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22AA" w14:textId="4043974D" w:rsidR="00B65EA5" w:rsidRDefault="00B65EA5" w:rsidP="00B65EA5">
      <w:pPr>
        <w:spacing w:after="200" w:line="276" w:lineRule="auto"/>
        <w:jc w:val="center"/>
        <w:rPr>
          <w:noProof/>
          <w:lang w:eastAsia="en-AU"/>
        </w:rPr>
      </w:pPr>
      <w:r>
        <w:rPr>
          <w:noProof/>
        </w:rPr>
        <w:drawing>
          <wp:anchor distT="0" distB="0" distL="114300" distR="114300" simplePos="0" relativeHeight="251658240" behindDoc="0" locked="0" layoutInCell="1" allowOverlap="1" wp14:anchorId="6897AD4F" wp14:editId="72877948">
            <wp:simplePos x="0" y="0"/>
            <wp:positionH relativeFrom="page">
              <wp:align>left</wp:align>
            </wp:positionH>
            <wp:positionV relativeFrom="paragraph">
              <wp:posOffset>-908685</wp:posOffset>
            </wp:positionV>
            <wp:extent cx="709295" cy="10675620"/>
            <wp:effectExtent l="0" t="0" r="0" b="0"/>
            <wp:wrapNone/>
            <wp:docPr id="2" name="Picture 2" descr="new new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ew b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10675620"/>
                    </a:xfrm>
                    <a:prstGeom prst="rect">
                      <a:avLst/>
                    </a:prstGeom>
                    <a:noFill/>
                  </pic:spPr>
                </pic:pic>
              </a:graphicData>
            </a:graphic>
            <wp14:sizeRelH relativeFrom="page">
              <wp14:pctWidth>0</wp14:pctWidth>
            </wp14:sizeRelH>
            <wp14:sizeRelV relativeFrom="page">
              <wp14:pctHeight>0</wp14:pctHeight>
            </wp14:sizeRelV>
          </wp:anchor>
        </w:drawing>
      </w:r>
    </w:p>
    <w:p w14:paraId="193E9F5D" w14:textId="77777777" w:rsidR="00B65EA5" w:rsidRDefault="00B65EA5" w:rsidP="00B65EA5">
      <w:pPr>
        <w:spacing w:after="200" w:line="276" w:lineRule="auto"/>
        <w:jc w:val="center"/>
        <w:rPr>
          <w:noProof/>
          <w:lang w:eastAsia="en-AU"/>
        </w:rPr>
      </w:pPr>
    </w:p>
    <w:p w14:paraId="127470D4" w14:textId="13D5B8E0" w:rsidR="00B65EA5" w:rsidRDefault="00B65EA5" w:rsidP="00B65EA5">
      <w:pPr>
        <w:spacing w:after="200" w:line="276" w:lineRule="auto"/>
        <w:jc w:val="center"/>
        <w:rPr>
          <w:noProof/>
          <w:lang w:eastAsia="en-AU"/>
        </w:rPr>
      </w:pPr>
      <w:r>
        <w:rPr>
          <w:noProof/>
          <w:lang w:eastAsia="en-AU"/>
        </w:rPr>
        <w:drawing>
          <wp:inline distT="0" distB="0" distL="0" distR="0" wp14:anchorId="1DE09D52" wp14:editId="13A7B147">
            <wp:extent cx="3589020" cy="2240280"/>
            <wp:effectExtent l="0" t="0" r="0" b="0"/>
            <wp:docPr id="1" name="Picture 1" descr="Australian Research Council logo&#10;"/>
            <wp:cNvGraphicFramePr/>
            <a:graphic xmlns:a="http://schemas.openxmlformats.org/drawingml/2006/main">
              <a:graphicData uri="http://schemas.openxmlformats.org/drawingml/2006/picture">
                <pic:pic xmlns:pic="http://schemas.openxmlformats.org/drawingml/2006/picture">
                  <pic:nvPicPr>
                    <pic:cNvPr id="1" name="Picture 1" descr="Australian Research Council logo&#1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2238375"/>
                    </a:xfrm>
                    <a:prstGeom prst="rect">
                      <a:avLst/>
                    </a:prstGeom>
                    <a:noFill/>
                    <a:ln>
                      <a:noFill/>
                    </a:ln>
                  </pic:spPr>
                </pic:pic>
              </a:graphicData>
            </a:graphic>
          </wp:inline>
        </w:drawing>
      </w:r>
    </w:p>
    <w:p w14:paraId="181937C8" w14:textId="77777777" w:rsidR="00B65EA5" w:rsidRDefault="00B65EA5" w:rsidP="00B65EA5">
      <w:pPr>
        <w:spacing w:after="200" w:line="276" w:lineRule="auto"/>
        <w:jc w:val="center"/>
        <w:rPr>
          <w:noProof/>
          <w:lang w:eastAsia="en-AU"/>
        </w:rPr>
      </w:pPr>
    </w:p>
    <w:p w14:paraId="1A7DA111" w14:textId="77777777" w:rsidR="00B65EA5" w:rsidRDefault="00B65EA5" w:rsidP="00B65EA5">
      <w:pPr>
        <w:spacing w:after="200" w:line="276" w:lineRule="auto"/>
        <w:jc w:val="center"/>
        <w:rPr>
          <w:noProof/>
          <w:lang w:eastAsia="en-AU"/>
        </w:rPr>
      </w:pPr>
    </w:p>
    <w:p w14:paraId="6098BF7F" w14:textId="77777777" w:rsidR="00B65EA5" w:rsidRDefault="00B65EA5" w:rsidP="00B65EA5">
      <w:pPr>
        <w:spacing w:after="200" w:line="276" w:lineRule="auto"/>
        <w:jc w:val="center"/>
        <w:rPr>
          <w:noProof/>
          <w:lang w:eastAsia="en-AU"/>
        </w:rPr>
      </w:pPr>
    </w:p>
    <w:p w14:paraId="5EF75F6D" w14:textId="6742C330" w:rsidR="00B65EA5" w:rsidRDefault="00D94345" w:rsidP="00B65EA5">
      <w:pPr>
        <w:pStyle w:val="Title"/>
        <w:pBdr>
          <w:top w:val="single" w:sz="18" w:space="1" w:color="4F81BD"/>
          <w:bottom w:val="single" w:sz="18" w:space="1" w:color="4F81BD"/>
        </w:pBdr>
        <w:spacing w:before="240" w:after="240"/>
        <w:jc w:val="center"/>
        <w:rPr>
          <w:color w:val="auto"/>
          <w:spacing w:val="0"/>
        </w:rPr>
      </w:pPr>
      <w:r>
        <w:rPr>
          <w:color w:val="auto"/>
          <w:spacing w:val="0"/>
        </w:rPr>
        <w:t>Early Career Researchers</w:t>
      </w:r>
      <w:r w:rsidR="00226D40">
        <w:rPr>
          <w:color w:val="auto"/>
          <w:spacing w:val="0"/>
        </w:rPr>
        <w:t xml:space="preserve"> Statement</w:t>
      </w:r>
      <w:r w:rsidR="004D2A7D">
        <w:rPr>
          <w:color w:val="auto"/>
          <w:spacing w:val="0"/>
        </w:rPr>
        <w:t xml:space="preserve"> of Support</w:t>
      </w:r>
    </w:p>
    <w:p w14:paraId="5314AED7" w14:textId="77777777" w:rsidR="00B65EA5" w:rsidRDefault="00B65EA5" w:rsidP="00B65EA5">
      <w:pPr>
        <w:ind w:left="1276" w:firstLine="851"/>
        <w:rPr>
          <w:rStyle w:val="Strong"/>
        </w:rPr>
      </w:pPr>
    </w:p>
    <w:p w14:paraId="5B844A91" w14:textId="77777777" w:rsidR="00B65EA5" w:rsidRDefault="00B65EA5" w:rsidP="00B65EA5">
      <w:pPr>
        <w:ind w:left="1276" w:firstLine="851"/>
        <w:rPr>
          <w:rStyle w:val="Strong"/>
        </w:rPr>
      </w:pPr>
    </w:p>
    <w:p w14:paraId="7D2D7C0E" w14:textId="77777777" w:rsidR="00B65EA5" w:rsidRDefault="00B65EA5" w:rsidP="00B65EA5">
      <w:pPr>
        <w:ind w:left="1276" w:firstLine="851"/>
        <w:rPr>
          <w:rStyle w:val="Strong"/>
        </w:rPr>
      </w:pPr>
    </w:p>
    <w:p w14:paraId="07E4AE50" w14:textId="77777777" w:rsidR="00B65EA5" w:rsidRDefault="00B65EA5" w:rsidP="00B65EA5">
      <w:pPr>
        <w:rPr>
          <w:rFonts w:ascii="Arial" w:eastAsia="Calibri" w:hAnsi="Arial" w:cs="Arial"/>
          <w:b/>
        </w:rPr>
      </w:pPr>
    </w:p>
    <w:p w14:paraId="6AFFED6E" w14:textId="77777777" w:rsidR="00B65EA5" w:rsidRDefault="00B65EA5" w:rsidP="00B65EA5">
      <w:pPr>
        <w:spacing w:after="200" w:line="276" w:lineRule="auto"/>
        <w:jc w:val="center"/>
        <w:rPr>
          <w:rFonts w:ascii="Verdana" w:hAnsi="Verdana" w:cs="Times New Roman"/>
          <w:b/>
          <w:sz w:val="18"/>
          <w:szCs w:val="18"/>
        </w:rPr>
      </w:pPr>
      <w:r>
        <w:rPr>
          <w:rFonts w:ascii="Verdana" w:hAnsi="Verdana"/>
          <w:b/>
          <w:sz w:val="18"/>
          <w:szCs w:val="18"/>
        </w:rPr>
        <w:br w:type="page"/>
      </w:r>
    </w:p>
    <w:p w14:paraId="66F804EE" w14:textId="1305C28A" w:rsidR="00C60078" w:rsidRPr="00C60078" w:rsidRDefault="00C60078" w:rsidP="004310DA">
      <w:pPr>
        <w:pStyle w:val="Heading1"/>
        <w:spacing w:after="240"/>
        <w:rPr>
          <w:b w:val="0"/>
        </w:rPr>
      </w:pPr>
      <w:r w:rsidRPr="00876BDE">
        <w:lastRenderedPageBreak/>
        <w:t>Context</w:t>
      </w:r>
    </w:p>
    <w:p w14:paraId="6038CFE2" w14:textId="77777777" w:rsidR="003C0845" w:rsidRPr="0017273B" w:rsidRDefault="003C0845" w:rsidP="003C0845">
      <w:pPr>
        <w:rPr>
          <w:rFonts w:ascii="Times New Roman" w:hAnsi="Times New Roman" w:cs="Times New Roman"/>
          <w:sz w:val="24"/>
          <w:szCs w:val="24"/>
        </w:rPr>
      </w:pPr>
      <w:r w:rsidRPr="0017273B">
        <w:rPr>
          <w:rFonts w:ascii="Times New Roman" w:hAnsi="Times New Roman" w:cs="Times New Roman"/>
          <w:sz w:val="24"/>
          <w:szCs w:val="24"/>
          <w:lang w:val="en"/>
        </w:rPr>
        <w:t>The Australian Research Council (ARC) aims to be an integral part of a responsive and supportive research sector,</w:t>
      </w:r>
      <w:r w:rsidRPr="0017273B">
        <w:rPr>
          <w:rFonts w:ascii="Times New Roman" w:hAnsi="Times New Roman" w:cs="Times New Roman"/>
          <w:sz w:val="24"/>
          <w:szCs w:val="24"/>
        </w:rPr>
        <w:t xml:space="preserve"> that is providing opportunities for all researchers to participate in the Australian research workforce and undertake research for the benefit of the Australian community. </w:t>
      </w:r>
    </w:p>
    <w:p w14:paraId="7E8C0889" w14:textId="77777777" w:rsidR="003C0845" w:rsidRPr="0017273B" w:rsidRDefault="003C0845" w:rsidP="003C0845">
      <w:pPr>
        <w:rPr>
          <w:rFonts w:ascii="Times New Roman" w:hAnsi="Times New Roman" w:cs="Times New Roman"/>
          <w:sz w:val="24"/>
          <w:szCs w:val="24"/>
        </w:rPr>
      </w:pPr>
      <w:r w:rsidRPr="0017273B">
        <w:rPr>
          <w:rFonts w:ascii="Times New Roman" w:hAnsi="Times New Roman" w:cs="Times New Roman"/>
          <w:sz w:val="24"/>
          <w:szCs w:val="24"/>
        </w:rPr>
        <w:t xml:space="preserve">The ARC is committed to ensuring that all eligible researchers have fair and equitable access to competitive funding through the National Competitive Grants Program (NCGP). The ARC promotes and encourages, within the NCGP, approaches to eligibility and assessment that </w:t>
      </w:r>
      <w:proofErr w:type="gramStart"/>
      <w:r w:rsidRPr="0017273B">
        <w:rPr>
          <w:rFonts w:ascii="Times New Roman" w:hAnsi="Times New Roman" w:cs="Times New Roman"/>
          <w:sz w:val="24"/>
          <w:szCs w:val="24"/>
        </w:rPr>
        <w:t>take into account</w:t>
      </w:r>
      <w:proofErr w:type="gramEnd"/>
      <w:r w:rsidRPr="0017273B">
        <w:rPr>
          <w:rFonts w:ascii="Times New Roman" w:hAnsi="Times New Roman" w:cs="Times New Roman"/>
          <w:sz w:val="24"/>
          <w:szCs w:val="24"/>
        </w:rPr>
        <w:t xml:space="preserve"> the career stages, and diverse career and life opportunities and experiences of researchers.</w:t>
      </w:r>
    </w:p>
    <w:p w14:paraId="4F87D33D" w14:textId="285AC18F" w:rsidR="00646E52" w:rsidRDefault="003C0845" w:rsidP="003C0845">
      <w:pPr>
        <w:pStyle w:val="NormalWeb"/>
        <w:shd w:val="clear" w:color="auto" w:fill="FFFFFF"/>
        <w:spacing w:before="0" w:beforeAutospacing="0" w:after="240" w:afterAutospacing="0"/>
        <w:rPr>
          <w:rFonts w:eastAsiaTheme="minorHAnsi"/>
          <w:lang w:eastAsia="en-US"/>
        </w:rPr>
      </w:pPr>
      <w:r w:rsidRPr="0017273B">
        <w:rPr>
          <w:rFonts w:eastAsiaTheme="minorHAnsi"/>
          <w:lang w:eastAsia="en-US"/>
        </w:rPr>
        <w:t>The NCGP provides a range of opportunities, for researchers at all career stages, to undertake basic and applied research across science, technology, engineering, and mathematics (STEM), and humanities, arts, and social sciences (HASS) disciplines, individually and in teams.</w:t>
      </w:r>
    </w:p>
    <w:p w14:paraId="38BC98BE" w14:textId="2202F830" w:rsidR="00114F5D" w:rsidRPr="00DA0158" w:rsidRDefault="00114F5D" w:rsidP="004310DA">
      <w:pPr>
        <w:pStyle w:val="Heading1"/>
        <w:spacing w:after="240"/>
      </w:pPr>
      <w:r w:rsidRPr="00CC66B7">
        <w:t>Purpose</w:t>
      </w:r>
    </w:p>
    <w:p w14:paraId="2F9A19CF" w14:textId="77777777" w:rsidR="00AA63BD" w:rsidRPr="0017273B" w:rsidRDefault="00AA63BD" w:rsidP="00AA63BD">
      <w:pPr>
        <w:pStyle w:val="paragraph"/>
        <w:spacing w:before="0" w:beforeAutospacing="0" w:after="160" w:afterAutospacing="0"/>
        <w:textAlignment w:val="baseline"/>
        <w:rPr>
          <w:rFonts w:eastAsiaTheme="minorEastAsia"/>
          <w:lang w:eastAsia="en-US"/>
        </w:rPr>
      </w:pPr>
      <w:r w:rsidRPr="0017273B">
        <w:rPr>
          <w:rFonts w:eastAsiaTheme="minorEastAsia"/>
          <w:lang w:eastAsia="en-US"/>
        </w:rPr>
        <w:t>The purpose of this statement is to articulate the ARC’s commitment to supporting early-career researchers–researchers within five years of conferral of a PhD–and to enable their engagement in the Australian research workforce.</w:t>
      </w:r>
    </w:p>
    <w:p w14:paraId="45DCE1AE" w14:textId="77777777" w:rsidR="00AA63BD" w:rsidRPr="0017273B" w:rsidRDefault="00AA63BD" w:rsidP="00AA63BD">
      <w:pPr>
        <w:pStyle w:val="paragraph"/>
        <w:spacing w:before="0" w:beforeAutospacing="0" w:after="240" w:afterAutospacing="0"/>
        <w:textAlignment w:val="baseline"/>
        <w:rPr>
          <w:rFonts w:eastAsiaTheme="minorHAnsi"/>
          <w:lang w:eastAsia="en-US"/>
        </w:rPr>
      </w:pPr>
      <w:r w:rsidRPr="0017273B">
        <w:rPr>
          <w:rFonts w:eastAsiaTheme="minorHAnsi"/>
          <w:lang w:eastAsia="en-US"/>
        </w:rPr>
        <w:t>Encouraging broad participation in the NCGP, including through targeted funding schemes, is a priority for the ARC to ensure that outstanding researchers and research contribute to achieving Australia’s research and innovation goals.</w:t>
      </w:r>
    </w:p>
    <w:p w14:paraId="29EAD872" w14:textId="01BC25EA" w:rsidR="00114F5D" w:rsidRPr="00DA0158" w:rsidRDefault="005773CB" w:rsidP="004310DA">
      <w:pPr>
        <w:pStyle w:val="Heading1"/>
        <w:spacing w:after="240"/>
      </w:pPr>
      <w:r>
        <w:t>P</w:t>
      </w:r>
      <w:r w:rsidR="00D479DF">
        <w:t>rinciples</w:t>
      </w:r>
    </w:p>
    <w:p w14:paraId="767A7FFE" w14:textId="77777777" w:rsidR="004073F4" w:rsidRPr="0017273B" w:rsidRDefault="004073F4" w:rsidP="004073F4">
      <w:pPr>
        <w:pStyle w:val="paragraph"/>
        <w:spacing w:before="0" w:beforeAutospacing="0" w:after="160" w:afterAutospacing="0"/>
        <w:textAlignment w:val="baseline"/>
        <w:rPr>
          <w:rFonts w:eastAsiaTheme="minorHAnsi"/>
          <w:lang w:eastAsia="en-US"/>
        </w:rPr>
      </w:pPr>
      <w:r w:rsidRPr="0017273B">
        <w:rPr>
          <w:rFonts w:eastAsiaTheme="minorHAnsi"/>
          <w:lang w:eastAsia="en-US"/>
        </w:rPr>
        <w:t>The ARC recognises that to ensure an Australian research workforce that is relevant and sustainable, support and opportunities need to be available for early-career researchers. This is particularly relevant as early-career researchers can face specific challenges relating to participation, and continuation of employment in the research sector owing to a variety of factors, including career interruptions.</w:t>
      </w:r>
    </w:p>
    <w:p w14:paraId="548D24B7" w14:textId="77777777" w:rsidR="004073F4" w:rsidRPr="0017273B" w:rsidRDefault="004073F4" w:rsidP="004073F4">
      <w:pPr>
        <w:pStyle w:val="paragraph"/>
        <w:spacing w:before="0" w:beforeAutospacing="0" w:after="160" w:afterAutospacing="0"/>
        <w:textAlignment w:val="baseline"/>
        <w:rPr>
          <w:rFonts w:eastAsiaTheme="minorEastAsia"/>
          <w:lang w:eastAsia="en-US"/>
        </w:rPr>
      </w:pPr>
      <w:r w:rsidRPr="0017273B">
        <w:rPr>
          <w:rFonts w:eastAsiaTheme="minorHAnsi"/>
          <w:lang w:eastAsia="en-US"/>
        </w:rPr>
        <w:t xml:space="preserve">The ARC aims to support early-career researchers through a range of policy and program initiatives to build a strong, viable and diverse Australian research workforce. To achieve this the ARC has committed to: </w:t>
      </w:r>
    </w:p>
    <w:p w14:paraId="45C65A9F" w14:textId="77777777" w:rsidR="004073F4" w:rsidRPr="0017273B" w:rsidRDefault="004073F4" w:rsidP="004073F4">
      <w:pPr>
        <w:pStyle w:val="ListParagraph"/>
        <w:numPr>
          <w:ilvl w:val="0"/>
          <w:numId w:val="9"/>
        </w:numPr>
        <w:ind w:left="360"/>
        <w:rPr>
          <w:rFonts w:ascii="Times New Roman" w:eastAsiaTheme="majorEastAsia" w:hAnsi="Times New Roman" w:cs="Times New Roman"/>
          <w:color w:val="000000" w:themeColor="text1"/>
          <w:sz w:val="24"/>
          <w:szCs w:val="24"/>
          <w:lang w:val="en"/>
        </w:rPr>
      </w:pPr>
      <w:r w:rsidRPr="0017273B">
        <w:rPr>
          <w:rFonts w:ascii="Times New Roman" w:hAnsi="Times New Roman" w:cs="Times New Roman"/>
          <w:sz w:val="24"/>
          <w:szCs w:val="24"/>
          <w:lang w:val="en"/>
        </w:rPr>
        <w:t xml:space="preserve">Supporting the highest quality early-career researchers under a range of NCGP schemes, and specifically under the </w:t>
      </w:r>
      <w:r w:rsidRPr="0017273B">
        <w:rPr>
          <w:rFonts w:ascii="Times New Roman" w:hAnsi="Times New Roman" w:cs="Times New Roman"/>
          <w:i/>
          <w:iCs/>
          <w:sz w:val="24"/>
          <w:szCs w:val="24"/>
          <w:lang w:val="en"/>
        </w:rPr>
        <w:t>Discovery Early Career Researcher Award</w:t>
      </w:r>
      <w:r w:rsidRPr="0017273B">
        <w:rPr>
          <w:rFonts w:ascii="Times New Roman" w:hAnsi="Times New Roman" w:cs="Times New Roman"/>
          <w:sz w:val="24"/>
          <w:szCs w:val="24"/>
          <w:lang w:val="en"/>
        </w:rPr>
        <w:t xml:space="preserve"> scheme.</w:t>
      </w:r>
    </w:p>
    <w:p w14:paraId="658F4CF1" w14:textId="77777777" w:rsidR="004073F4" w:rsidRPr="0017273B" w:rsidRDefault="004073F4" w:rsidP="004073F4">
      <w:pPr>
        <w:pStyle w:val="ListParagraph"/>
        <w:numPr>
          <w:ilvl w:val="0"/>
          <w:numId w:val="9"/>
        </w:numPr>
        <w:ind w:left="360"/>
        <w:rPr>
          <w:rFonts w:ascii="Times New Roman" w:eastAsiaTheme="majorEastAsia" w:hAnsi="Times New Roman" w:cs="Times New Roman"/>
          <w:color w:val="000000" w:themeColor="text1"/>
          <w:sz w:val="24"/>
          <w:szCs w:val="24"/>
          <w:lang w:val="en"/>
        </w:rPr>
      </w:pPr>
      <w:r w:rsidRPr="0017273B">
        <w:rPr>
          <w:rFonts w:ascii="Times New Roman" w:hAnsi="Times New Roman" w:cs="Times New Roman"/>
          <w:sz w:val="24"/>
          <w:szCs w:val="24"/>
          <w:lang w:val="en"/>
        </w:rPr>
        <w:t xml:space="preserve">Facilitating access for early-career researchers to research leaders through, for example the </w:t>
      </w:r>
      <w:r w:rsidRPr="0017273B">
        <w:rPr>
          <w:rFonts w:ascii="Times New Roman" w:hAnsi="Times New Roman" w:cs="Times New Roman"/>
          <w:i/>
          <w:iCs/>
          <w:sz w:val="24"/>
          <w:szCs w:val="24"/>
          <w:lang w:val="en"/>
        </w:rPr>
        <w:t>Industrial Transformation Research Program</w:t>
      </w:r>
      <w:r w:rsidRPr="0017273B">
        <w:rPr>
          <w:rFonts w:ascii="Times New Roman" w:hAnsi="Times New Roman" w:cs="Times New Roman"/>
          <w:sz w:val="24"/>
          <w:szCs w:val="24"/>
          <w:lang w:val="en"/>
        </w:rPr>
        <w:t xml:space="preserve"> (ITRP), </w:t>
      </w:r>
      <w:r w:rsidRPr="0017273B">
        <w:rPr>
          <w:rFonts w:ascii="Times New Roman" w:hAnsi="Times New Roman" w:cs="Times New Roman"/>
          <w:i/>
          <w:iCs/>
          <w:sz w:val="24"/>
          <w:szCs w:val="24"/>
          <w:lang w:val="en"/>
        </w:rPr>
        <w:t>ARC</w:t>
      </w:r>
      <w:r w:rsidRPr="0017273B">
        <w:rPr>
          <w:rFonts w:ascii="Times New Roman" w:hAnsi="Times New Roman" w:cs="Times New Roman"/>
          <w:sz w:val="24"/>
          <w:szCs w:val="24"/>
          <w:lang w:val="en"/>
        </w:rPr>
        <w:t xml:space="preserve"> </w:t>
      </w:r>
      <w:proofErr w:type="spellStart"/>
      <w:r w:rsidRPr="0017273B">
        <w:rPr>
          <w:rFonts w:ascii="Times New Roman" w:hAnsi="Times New Roman" w:cs="Times New Roman"/>
          <w:i/>
          <w:iCs/>
          <w:sz w:val="24"/>
          <w:szCs w:val="24"/>
          <w:lang w:val="en"/>
        </w:rPr>
        <w:t>Centres</w:t>
      </w:r>
      <w:proofErr w:type="spellEnd"/>
      <w:r w:rsidRPr="0017273B">
        <w:rPr>
          <w:rFonts w:ascii="Times New Roman" w:hAnsi="Times New Roman" w:cs="Times New Roman"/>
          <w:i/>
          <w:iCs/>
          <w:sz w:val="24"/>
          <w:szCs w:val="24"/>
          <w:lang w:val="en"/>
        </w:rPr>
        <w:t xml:space="preserve"> of Excellence</w:t>
      </w:r>
      <w:r w:rsidRPr="0017273B">
        <w:rPr>
          <w:rFonts w:ascii="Times New Roman" w:hAnsi="Times New Roman" w:cs="Times New Roman"/>
          <w:sz w:val="24"/>
          <w:szCs w:val="24"/>
          <w:lang w:val="en"/>
        </w:rPr>
        <w:t xml:space="preserve">, and </w:t>
      </w:r>
      <w:r w:rsidRPr="0017273B">
        <w:rPr>
          <w:rFonts w:ascii="Times New Roman" w:hAnsi="Times New Roman" w:cs="Times New Roman"/>
          <w:i/>
          <w:iCs/>
          <w:sz w:val="24"/>
          <w:szCs w:val="24"/>
          <w:lang w:val="en"/>
        </w:rPr>
        <w:t>Australian Laureate Fellowships</w:t>
      </w:r>
      <w:r w:rsidRPr="0017273B">
        <w:rPr>
          <w:rFonts w:ascii="Times New Roman" w:hAnsi="Times New Roman" w:cs="Times New Roman"/>
          <w:sz w:val="24"/>
          <w:szCs w:val="24"/>
          <w:lang w:val="en"/>
        </w:rPr>
        <w:t xml:space="preserve"> schemes. </w:t>
      </w:r>
    </w:p>
    <w:p w14:paraId="4587A8D2" w14:textId="77777777" w:rsidR="004073F4" w:rsidRPr="0017273B" w:rsidRDefault="004073F4" w:rsidP="004073F4">
      <w:pPr>
        <w:pStyle w:val="ListParagraph"/>
        <w:numPr>
          <w:ilvl w:val="0"/>
          <w:numId w:val="9"/>
        </w:numPr>
        <w:ind w:left="360"/>
        <w:rPr>
          <w:rFonts w:ascii="Times New Roman" w:hAnsi="Times New Roman" w:cs="Times New Roman"/>
          <w:sz w:val="24"/>
          <w:szCs w:val="24"/>
          <w:lang w:val="en"/>
        </w:rPr>
      </w:pPr>
      <w:r w:rsidRPr="0017273B">
        <w:rPr>
          <w:rFonts w:ascii="Times New Roman" w:hAnsi="Times New Roman" w:cs="Times New Roman"/>
          <w:sz w:val="24"/>
          <w:szCs w:val="24"/>
          <w:lang w:val="en"/>
        </w:rPr>
        <w:t>Promoting outstanding researchers, research outcomes, and impact across all ARC funded disciplines to showcase excellence and improve the visibility of role models, mentors, and research leaders at all career stages.</w:t>
      </w:r>
    </w:p>
    <w:p w14:paraId="00645004" w14:textId="77777777" w:rsidR="004073F4" w:rsidRPr="0017273B" w:rsidRDefault="004073F4" w:rsidP="004073F4">
      <w:pPr>
        <w:pStyle w:val="ListParagraph"/>
        <w:numPr>
          <w:ilvl w:val="0"/>
          <w:numId w:val="9"/>
        </w:numPr>
        <w:ind w:left="360"/>
        <w:rPr>
          <w:rFonts w:ascii="Times New Roman" w:hAnsi="Times New Roman" w:cs="Times New Roman"/>
          <w:sz w:val="24"/>
          <w:szCs w:val="24"/>
          <w:lang w:val="en"/>
        </w:rPr>
      </w:pPr>
      <w:r w:rsidRPr="0017273B">
        <w:rPr>
          <w:rFonts w:ascii="Times New Roman" w:hAnsi="Times New Roman" w:cs="Times New Roman"/>
          <w:sz w:val="24"/>
          <w:szCs w:val="24"/>
          <w:lang w:val="en"/>
        </w:rPr>
        <w:t>Maintaining a peer review process predicated on research excellence that has fairness, expertise, administrative transparency, impartiality, and integrity as core principles.</w:t>
      </w:r>
    </w:p>
    <w:p w14:paraId="235E671F" w14:textId="77777777" w:rsidR="004073F4" w:rsidRPr="0017273B" w:rsidRDefault="004073F4" w:rsidP="004073F4">
      <w:pPr>
        <w:pStyle w:val="ListParagraph"/>
        <w:numPr>
          <w:ilvl w:val="0"/>
          <w:numId w:val="8"/>
        </w:numPr>
        <w:ind w:left="360"/>
        <w:rPr>
          <w:rFonts w:ascii="Times New Roman" w:hAnsi="Times New Roman" w:cs="Times New Roman"/>
          <w:sz w:val="24"/>
          <w:szCs w:val="24"/>
          <w:lang w:val="en"/>
        </w:rPr>
      </w:pPr>
      <w:r w:rsidRPr="0017273B">
        <w:rPr>
          <w:rFonts w:ascii="Times New Roman" w:hAnsi="Times New Roman" w:cs="Times New Roman"/>
          <w:sz w:val="24"/>
          <w:szCs w:val="24"/>
          <w:lang w:val="en"/>
        </w:rPr>
        <w:lastRenderedPageBreak/>
        <w:t>Ensuring program design and implementation, and best practice policies support the participation of early-career researchers in the Australian research workforce and contribute to building a strong and resilient future research workforce.</w:t>
      </w:r>
    </w:p>
    <w:p w14:paraId="77A6D68B" w14:textId="77777777" w:rsidR="004073F4" w:rsidRPr="0017273B" w:rsidRDefault="004073F4" w:rsidP="004073F4">
      <w:pPr>
        <w:pStyle w:val="ListParagraph"/>
        <w:numPr>
          <w:ilvl w:val="0"/>
          <w:numId w:val="8"/>
        </w:numPr>
        <w:ind w:left="360"/>
        <w:rPr>
          <w:rFonts w:ascii="Times New Roman" w:hAnsi="Times New Roman" w:cs="Times New Roman"/>
          <w:sz w:val="24"/>
          <w:szCs w:val="24"/>
          <w:lang w:val="en"/>
        </w:rPr>
      </w:pPr>
      <w:r w:rsidRPr="0017273B">
        <w:rPr>
          <w:rFonts w:ascii="Times New Roman" w:hAnsi="Times New Roman" w:cs="Times New Roman"/>
          <w:sz w:val="24"/>
          <w:szCs w:val="24"/>
          <w:lang w:val="en"/>
        </w:rPr>
        <w:t>Monitoring NCGP data and analysis to identify trends and inform policy consultation and development, implementation, and effectiveness.</w:t>
      </w:r>
    </w:p>
    <w:p w14:paraId="56818942" w14:textId="77777777" w:rsidR="004073F4" w:rsidRPr="0017273B" w:rsidRDefault="004073F4" w:rsidP="004073F4">
      <w:pPr>
        <w:pStyle w:val="ListParagraph"/>
        <w:numPr>
          <w:ilvl w:val="0"/>
          <w:numId w:val="8"/>
        </w:numPr>
        <w:ind w:left="360"/>
        <w:rPr>
          <w:rFonts w:ascii="Times New Roman" w:hAnsi="Times New Roman" w:cs="Times New Roman"/>
          <w:sz w:val="24"/>
          <w:szCs w:val="24"/>
          <w:lang w:val="en"/>
        </w:rPr>
      </w:pPr>
      <w:r w:rsidRPr="0017273B">
        <w:rPr>
          <w:rFonts w:ascii="Times New Roman" w:hAnsi="Times New Roman" w:cs="Times New Roman"/>
          <w:sz w:val="24"/>
          <w:szCs w:val="24"/>
          <w:lang w:val="en"/>
        </w:rPr>
        <w:t>Ensuring that all NGGP information complies with Australian Government accessibility requirements and guidelines, including non-discriminatory content.</w:t>
      </w:r>
    </w:p>
    <w:p w14:paraId="02B5C9EA" w14:textId="11B3AD11" w:rsidR="00114F5D" w:rsidRPr="00F46CC3" w:rsidRDefault="004073F4" w:rsidP="00114F5D">
      <w:pPr>
        <w:pStyle w:val="ListParagraph"/>
        <w:numPr>
          <w:ilvl w:val="0"/>
          <w:numId w:val="8"/>
        </w:numPr>
        <w:spacing w:after="0"/>
        <w:ind w:left="360"/>
        <w:textAlignment w:val="baseline"/>
        <w:rPr>
          <w:rFonts w:ascii="Times New Roman" w:eastAsiaTheme="minorEastAsia" w:hAnsi="Times New Roman" w:cs="Times New Roman"/>
          <w:sz w:val="24"/>
          <w:szCs w:val="24"/>
        </w:rPr>
      </w:pPr>
      <w:r w:rsidRPr="0017273B">
        <w:rPr>
          <w:rFonts w:ascii="Times New Roman" w:hAnsi="Times New Roman" w:cs="Times New Roman"/>
          <w:sz w:val="24"/>
          <w:szCs w:val="24"/>
          <w:lang w:val="en"/>
        </w:rPr>
        <w:t xml:space="preserve">Engaging with stakeholders to identify the most effective support for early-career researchers in the Australian research workforce. </w:t>
      </w:r>
    </w:p>
    <w:p w14:paraId="130FBE3F" w14:textId="5741D3A9" w:rsidR="00114F5D" w:rsidRPr="00DA0158" w:rsidRDefault="005773CB" w:rsidP="004310DA">
      <w:pPr>
        <w:pStyle w:val="Heading1"/>
        <w:spacing w:after="240"/>
      </w:pPr>
      <w:r>
        <w:t>Implementation</w:t>
      </w:r>
    </w:p>
    <w:p w14:paraId="3111E327" w14:textId="77777777" w:rsidR="0089237C" w:rsidRPr="0017273B" w:rsidRDefault="0089237C" w:rsidP="0089237C">
      <w:pPr>
        <w:pStyle w:val="paragraph"/>
        <w:spacing w:before="0" w:beforeAutospacing="0" w:after="0" w:afterAutospacing="0"/>
        <w:textAlignment w:val="baseline"/>
      </w:pPr>
      <w:r w:rsidRPr="0017273B">
        <w:rPr>
          <w:rStyle w:val="normaltextrun"/>
        </w:rPr>
        <w:t xml:space="preserve">The ARC supports early career researchers through Administering Organisations, primarily Australian universities, under the Discovery and Linkage Programs. These programs comprise a range of schemes to support researchers at different stages of their careers, build Australia’s research capability, </w:t>
      </w:r>
      <w:proofErr w:type="gramStart"/>
      <w:r w:rsidRPr="0017273B">
        <w:rPr>
          <w:rStyle w:val="normaltextrun"/>
        </w:rPr>
        <w:t>expand</w:t>
      </w:r>
      <w:proofErr w:type="gramEnd"/>
      <w:r w:rsidRPr="0017273B">
        <w:rPr>
          <w:rStyle w:val="normaltextrun"/>
        </w:rPr>
        <w:t xml:space="preserve"> and enhance research networks and collaborations, and develop hubs and centres of research excellence.</w:t>
      </w:r>
    </w:p>
    <w:p w14:paraId="16442929" w14:textId="77777777" w:rsidR="0089237C" w:rsidRPr="0017273B" w:rsidRDefault="0089237C" w:rsidP="0089237C">
      <w:pPr>
        <w:spacing w:before="240"/>
        <w:rPr>
          <w:rFonts w:ascii="Times New Roman" w:eastAsiaTheme="minorEastAsia" w:hAnsi="Times New Roman" w:cs="Times New Roman"/>
          <w:sz w:val="24"/>
          <w:szCs w:val="24"/>
        </w:rPr>
      </w:pPr>
      <w:r w:rsidRPr="0017273B">
        <w:rPr>
          <w:rFonts w:ascii="Times New Roman" w:eastAsiaTheme="minorEastAsia" w:hAnsi="Times New Roman" w:cs="Times New Roman"/>
          <w:sz w:val="24"/>
          <w:szCs w:val="24"/>
        </w:rPr>
        <w:t xml:space="preserve">In line with the principles outlined in the </w:t>
      </w:r>
      <w:r w:rsidRPr="0017273B">
        <w:rPr>
          <w:rFonts w:ascii="Times New Roman" w:eastAsiaTheme="minorEastAsia" w:hAnsi="Times New Roman" w:cs="Times New Roman"/>
          <w:i/>
          <w:iCs/>
          <w:sz w:val="24"/>
          <w:szCs w:val="24"/>
        </w:rPr>
        <w:t>ARC Research Workforce Statement</w:t>
      </w:r>
      <w:r w:rsidRPr="0017273B">
        <w:rPr>
          <w:rFonts w:ascii="Times New Roman" w:eastAsiaTheme="minorEastAsia" w:hAnsi="Times New Roman" w:cs="Times New Roman"/>
          <w:sz w:val="24"/>
          <w:szCs w:val="24"/>
        </w:rPr>
        <w:t>, the ARC provides</w:t>
      </w:r>
      <w:r w:rsidRPr="0017273B">
        <w:rPr>
          <w:rFonts w:ascii="Times New Roman" w:hAnsi="Times New Roman" w:cs="Times New Roman"/>
          <w:color w:val="5D5D5D"/>
          <w:sz w:val="24"/>
          <w:szCs w:val="24"/>
          <w:shd w:val="clear" w:color="auto" w:fill="FFFFFF"/>
        </w:rPr>
        <w:t xml:space="preserve"> </w:t>
      </w:r>
      <w:r w:rsidRPr="0017273B">
        <w:rPr>
          <w:rFonts w:ascii="Times New Roman" w:eastAsiaTheme="minorEastAsia" w:hAnsi="Times New Roman" w:cs="Times New Roman"/>
          <w:sz w:val="24"/>
          <w:szCs w:val="24"/>
        </w:rPr>
        <w:t>a range of opportunities for researchers from diverse career backgrounds, at all career stages, across disciplines, and from Australia and overseas. Within this framework, the ARC has implemented a range of initiatives to support early-career researchers:</w:t>
      </w:r>
    </w:p>
    <w:p w14:paraId="4FEBC324" w14:textId="77777777" w:rsidR="0089237C" w:rsidRPr="0017273B" w:rsidRDefault="0089237C" w:rsidP="0089237C">
      <w:pPr>
        <w:pStyle w:val="ListParagraph"/>
        <w:numPr>
          <w:ilvl w:val="0"/>
          <w:numId w:val="10"/>
        </w:numPr>
        <w:spacing w:after="0"/>
        <w:ind w:left="357" w:hanging="357"/>
        <w:textAlignment w:val="baseline"/>
        <w:rPr>
          <w:rFonts w:ascii="Times New Roman" w:eastAsiaTheme="minorEastAsia" w:hAnsi="Times New Roman" w:cs="Times New Roman"/>
          <w:sz w:val="24"/>
          <w:szCs w:val="24"/>
        </w:rPr>
      </w:pPr>
      <w:r w:rsidRPr="0017273B">
        <w:rPr>
          <w:rFonts w:ascii="Times New Roman" w:eastAsiaTheme="minorEastAsia" w:hAnsi="Times New Roman" w:cs="Times New Roman"/>
          <w:sz w:val="24"/>
          <w:szCs w:val="24"/>
        </w:rPr>
        <w:t xml:space="preserve">Early-career researchers can be supported under most NCGP schemes, including under the Linkage Program, through the </w:t>
      </w:r>
      <w:r w:rsidRPr="0017273B">
        <w:rPr>
          <w:rFonts w:ascii="Times New Roman" w:eastAsiaTheme="minorEastAsia" w:hAnsi="Times New Roman" w:cs="Times New Roman"/>
          <w:i/>
          <w:iCs/>
          <w:sz w:val="24"/>
          <w:szCs w:val="24"/>
        </w:rPr>
        <w:t>ARC Centres of Excellence</w:t>
      </w:r>
      <w:r w:rsidRPr="0017273B">
        <w:rPr>
          <w:rFonts w:ascii="Times New Roman" w:eastAsiaTheme="minorEastAsia" w:hAnsi="Times New Roman" w:cs="Times New Roman"/>
          <w:sz w:val="24"/>
          <w:szCs w:val="24"/>
        </w:rPr>
        <w:t xml:space="preserve"> scheme, the ITRP, and the </w:t>
      </w:r>
      <w:r w:rsidRPr="0017273B">
        <w:rPr>
          <w:rFonts w:ascii="Times New Roman" w:eastAsiaTheme="minorEastAsia" w:hAnsi="Times New Roman" w:cs="Times New Roman"/>
          <w:i/>
          <w:iCs/>
          <w:sz w:val="24"/>
          <w:szCs w:val="24"/>
        </w:rPr>
        <w:t xml:space="preserve">Linkage Projects </w:t>
      </w:r>
      <w:r w:rsidRPr="0017273B">
        <w:rPr>
          <w:rFonts w:ascii="Times New Roman" w:eastAsiaTheme="minorEastAsia" w:hAnsi="Times New Roman" w:cs="Times New Roman"/>
          <w:sz w:val="24"/>
          <w:szCs w:val="24"/>
        </w:rPr>
        <w:t xml:space="preserve">scheme. Under the Discovery Program, early-career researchers can be supported under the </w:t>
      </w:r>
      <w:r w:rsidRPr="0017273B">
        <w:rPr>
          <w:rFonts w:ascii="Times New Roman" w:eastAsiaTheme="minorEastAsia" w:hAnsi="Times New Roman" w:cs="Times New Roman"/>
          <w:i/>
          <w:iCs/>
          <w:sz w:val="24"/>
          <w:szCs w:val="24"/>
        </w:rPr>
        <w:t xml:space="preserve">Discovery Projects, Discovery Indigenous </w:t>
      </w:r>
      <w:r w:rsidRPr="0017273B">
        <w:rPr>
          <w:rFonts w:ascii="Times New Roman" w:eastAsiaTheme="minorEastAsia" w:hAnsi="Times New Roman" w:cs="Times New Roman"/>
          <w:sz w:val="24"/>
          <w:szCs w:val="24"/>
        </w:rPr>
        <w:t xml:space="preserve">and </w:t>
      </w:r>
      <w:r w:rsidRPr="0017273B">
        <w:rPr>
          <w:rFonts w:ascii="Times New Roman" w:eastAsiaTheme="minorEastAsia" w:hAnsi="Times New Roman" w:cs="Times New Roman"/>
          <w:i/>
          <w:iCs/>
          <w:sz w:val="24"/>
          <w:szCs w:val="24"/>
        </w:rPr>
        <w:t>Australian Laureate Fellowships</w:t>
      </w:r>
      <w:r w:rsidRPr="0017273B">
        <w:rPr>
          <w:rFonts w:ascii="Times New Roman" w:eastAsiaTheme="minorEastAsia" w:hAnsi="Times New Roman" w:cs="Times New Roman"/>
          <w:sz w:val="24"/>
          <w:szCs w:val="24"/>
        </w:rPr>
        <w:t xml:space="preserve"> schemes and exclusively under the </w:t>
      </w:r>
      <w:r w:rsidRPr="0017273B">
        <w:rPr>
          <w:rFonts w:ascii="Times New Roman" w:eastAsiaTheme="minorEastAsia" w:hAnsi="Times New Roman" w:cs="Times New Roman"/>
          <w:i/>
          <w:iCs/>
          <w:sz w:val="24"/>
          <w:szCs w:val="24"/>
        </w:rPr>
        <w:t xml:space="preserve">Discovery Early Career Researcher Award </w:t>
      </w:r>
      <w:r w:rsidRPr="0017273B">
        <w:rPr>
          <w:rFonts w:ascii="Times New Roman" w:eastAsiaTheme="minorEastAsia" w:hAnsi="Times New Roman" w:cs="Times New Roman"/>
          <w:sz w:val="24"/>
          <w:szCs w:val="24"/>
        </w:rPr>
        <w:t>scheme. Early-career researchers can work independently, with peers, or research leaders on projects, awards and in centres and hubs.</w:t>
      </w:r>
    </w:p>
    <w:p w14:paraId="173C56A4" w14:textId="53658083" w:rsidR="00114F5D" w:rsidRPr="002738B6" w:rsidRDefault="002A7362" w:rsidP="00C136C6">
      <w:pPr>
        <w:pStyle w:val="Heading1"/>
        <w:shd w:val="clear" w:color="auto" w:fill="auto"/>
        <w:spacing w:after="240"/>
        <w:rPr>
          <w:rFonts w:eastAsiaTheme="minorEastAsia" w:cs="Arial"/>
          <w:color w:val="auto"/>
          <w:sz w:val="24"/>
          <w:szCs w:val="24"/>
        </w:rPr>
      </w:pPr>
      <w:r w:rsidRPr="002738B6">
        <w:rPr>
          <w:rFonts w:eastAsiaTheme="minorEastAsia" w:cs="Arial"/>
          <w:color w:val="auto"/>
          <w:sz w:val="24"/>
          <w:szCs w:val="24"/>
        </w:rPr>
        <w:t>Targeted Funding</w:t>
      </w:r>
    </w:p>
    <w:p w14:paraId="5B77E585" w14:textId="77777777" w:rsidR="00680742" w:rsidRPr="00236300" w:rsidRDefault="00680742" w:rsidP="00680742">
      <w:pPr>
        <w:spacing w:after="0"/>
        <w:rPr>
          <w:rFonts w:ascii="Times New Roman" w:eastAsiaTheme="minorEastAsia" w:hAnsi="Times New Roman" w:cs="Times New Roman"/>
          <w:sz w:val="24"/>
          <w:szCs w:val="24"/>
        </w:rPr>
      </w:pPr>
      <w:r w:rsidRPr="00236300">
        <w:rPr>
          <w:rFonts w:ascii="Times New Roman" w:eastAsiaTheme="minorEastAsia" w:hAnsi="Times New Roman" w:cs="Times New Roman"/>
          <w:b/>
          <w:bCs/>
          <w:i/>
          <w:iCs/>
          <w:sz w:val="24"/>
          <w:szCs w:val="24"/>
        </w:rPr>
        <w:t>Discovery Early Career Researcher Award</w:t>
      </w:r>
      <w:r w:rsidRPr="00236300">
        <w:rPr>
          <w:rFonts w:ascii="Times New Roman" w:eastAsiaTheme="minorEastAsia" w:hAnsi="Times New Roman" w:cs="Times New Roman"/>
          <w:b/>
          <w:bCs/>
          <w:sz w:val="24"/>
          <w:szCs w:val="24"/>
        </w:rPr>
        <w:t xml:space="preserve"> (DECRA) scheme</w:t>
      </w:r>
    </w:p>
    <w:p w14:paraId="21AD0DFD" w14:textId="77777777" w:rsidR="00680742" w:rsidRPr="00236300" w:rsidRDefault="00680742" w:rsidP="00680742">
      <w:pPr>
        <w:pStyle w:val="ListParagraph"/>
        <w:numPr>
          <w:ilvl w:val="0"/>
          <w:numId w:val="11"/>
        </w:numPr>
        <w:spacing w:before="160" w:after="240"/>
        <w:ind w:left="357" w:hanging="357"/>
        <w:contextualSpacing w:val="0"/>
        <w:rPr>
          <w:rFonts w:ascii="Times New Roman" w:eastAsiaTheme="minorEastAsia" w:hAnsi="Times New Roman" w:cs="Times New Roman"/>
          <w:sz w:val="24"/>
          <w:szCs w:val="24"/>
        </w:rPr>
      </w:pPr>
      <w:r w:rsidRPr="00236300">
        <w:rPr>
          <w:rFonts w:ascii="Times New Roman" w:eastAsiaTheme="minorEastAsia" w:hAnsi="Times New Roman" w:cs="Times New Roman"/>
          <w:sz w:val="24"/>
          <w:szCs w:val="24"/>
        </w:rPr>
        <w:t xml:space="preserve">The </w:t>
      </w:r>
      <w:r w:rsidRPr="00236300">
        <w:rPr>
          <w:rFonts w:ascii="Times New Roman" w:eastAsiaTheme="minorEastAsia" w:hAnsi="Times New Roman" w:cs="Times New Roman"/>
          <w:i/>
          <w:iCs/>
          <w:sz w:val="24"/>
          <w:szCs w:val="24"/>
        </w:rPr>
        <w:t xml:space="preserve">Discovery Early Career Researcher Award (DECRA) </w:t>
      </w:r>
      <w:r w:rsidRPr="00236300">
        <w:rPr>
          <w:rFonts w:ascii="Times New Roman" w:eastAsiaTheme="minorEastAsia" w:hAnsi="Times New Roman" w:cs="Times New Roman"/>
          <w:sz w:val="24"/>
          <w:szCs w:val="24"/>
        </w:rPr>
        <w:t>scheme exclusively funds early-career researchers for projects in any discipline. Each year the DECRA scheme aims to support up to 200 three-year awards, including project funds of up to $50,000 per annum.</w:t>
      </w:r>
    </w:p>
    <w:p w14:paraId="06FE6141" w14:textId="77777777" w:rsidR="00680742" w:rsidRPr="00236300" w:rsidRDefault="00680742" w:rsidP="00680742">
      <w:pPr>
        <w:rPr>
          <w:rFonts w:ascii="Times New Roman" w:eastAsiaTheme="minorEastAsia" w:hAnsi="Times New Roman" w:cs="Times New Roman"/>
          <w:b/>
          <w:bCs/>
          <w:sz w:val="24"/>
          <w:szCs w:val="24"/>
        </w:rPr>
      </w:pPr>
      <w:r w:rsidRPr="00236300">
        <w:rPr>
          <w:rFonts w:ascii="Times New Roman" w:eastAsiaTheme="minorEastAsia" w:hAnsi="Times New Roman" w:cs="Times New Roman"/>
          <w:b/>
          <w:bCs/>
          <w:i/>
          <w:iCs/>
          <w:sz w:val="24"/>
          <w:szCs w:val="24"/>
        </w:rPr>
        <w:t>Australian Laureate Fellowships</w:t>
      </w:r>
      <w:r w:rsidRPr="00236300">
        <w:rPr>
          <w:rFonts w:ascii="Times New Roman" w:eastAsiaTheme="minorEastAsia" w:hAnsi="Times New Roman" w:cs="Times New Roman"/>
          <w:b/>
          <w:bCs/>
          <w:sz w:val="24"/>
          <w:szCs w:val="24"/>
        </w:rPr>
        <w:t xml:space="preserve"> scheme</w:t>
      </w:r>
    </w:p>
    <w:p w14:paraId="67E5B2E2" w14:textId="77777777" w:rsidR="00680742" w:rsidRPr="00236300" w:rsidRDefault="00680742" w:rsidP="00680742">
      <w:pPr>
        <w:pStyle w:val="ListParagraph"/>
        <w:numPr>
          <w:ilvl w:val="0"/>
          <w:numId w:val="11"/>
        </w:numPr>
        <w:spacing w:after="0"/>
        <w:ind w:left="357" w:hanging="357"/>
        <w:rPr>
          <w:rFonts w:ascii="Times New Roman" w:eastAsiaTheme="minorEastAsia" w:hAnsi="Times New Roman" w:cs="Times New Roman"/>
          <w:sz w:val="24"/>
          <w:szCs w:val="24"/>
        </w:rPr>
      </w:pPr>
      <w:r w:rsidRPr="00236300">
        <w:rPr>
          <w:rFonts w:ascii="Times New Roman" w:eastAsiaTheme="minorEastAsia" w:hAnsi="Times New Roman" w:cs="Times New Roman"/>
          <w:sz w:val="24"/>
          <w:szCs w:val="24"/>
        </w:rPr>
        <w:t>Each Australian Laureate Fellowship includes salary support for a minimum of two Postdoctoral Research Associates (PDRAs) for five years each. Additional PDRAs may be funded from project funds.</w:t>
      </w:r>
    </w:p>
    <w:p w14:paraId="720C71BF" w14:textId="77777777" w:rsidR="00680742" w:rsidRPr="00236300" w:rsidRDefault="00680742" w:rsidP="00680742">
      <w:pPr>
        <w:pStyle w:val="ListParagraph"/>
        <w:numPr>
          <w:ilvl w:val="0"/>
          <w:numId w:val="11"/>
        </w:numPr>
        <w:shd w:val="clear" w:color="auto" w:fill="FFFFFF"/>
        <w:spacing w:before="160" w:after="240" w:line="240" w:lineRule="auto"/>
        <w:ind w:left="357" w:hanging="357"/>
        <w:rPr>
          <w:rFonts w:ascii="Times New Roman" w:eastAsiaTheme="minorEastAsia" w:hAnsi="Times New Roman" w:cs="Times New Roman"/>
          <w:sz w:val="24"/>
          <w:szCs w:val="24"/>
        </w:rPr>
      </w:pPr>
      <w:r w:rsidRPr="00236300">
        <w:rPr>
          <w:rFonts w:ascii="Times New Roman" w:eastAsiaTheme="minorEastAsia" w:hAnsi="Times New Roman" w:cs="Times New Roman"/>
          <w:sz w:val="24"/>
          <w:szCs w:val="24"/>
        </w:rPr>
        <w:t xml:space="preserve">The </w:t>
      </w:r>
      <w:r w:rsidRPr="00236300">
        <w:rPr>
          <w:rFonts w:ascii="Times New Roman" w:eastAsiaTheme="minorEastAsia" w:hAnsi="Times New Roman" w:cs="Times New Roman"/>
          <w:i/>
          <w:iCs/>
          <w:sz w:val="24"/>
          <w:szCs w:val="24"/>
        </w:rPr>
        <w:t>Australian Laureate Fellowships</w:t>
      </w:r>
      <w:r w:rsidRPr="00236300">
        <w:rPr>
          <w:rFonts w:ascii="Times New Roman" w:eastAsiaTheme="minorEastAsia" w:hAnsi="Times New Roman" w:cs="Times New Roman"/>
          <w:sz w:val="24"/>
          <w:szCs w:val="24"/>
        </w:rPr>
        <w:t xml:space="preserve"> scheme supports the highest-quality researchers to undertake ground-breaking, internationally competitive research in Australia. Preference is given to researchers who will play a significant, sustained leadership and mentoring role in building Australia's internationally competitive research capacity. Australian </w:t>
      </w:r>
      <w:r w:rsidRPr="00236300">
        <w:rPr>
          <w:rFonts w:ascii="Times New Roman" w:eastAsiaTheme="minorEastAsia" w:hAnsi="Times New Roman" w:cs="Times New Roman"/>
          <w:sz w:val="24"/>
          <w:szCs w:val="24"/>
        </w:rPr>
        <w:lastRenderedPageBreak/>
        <w:t>Laureate Fellows are expected to provide an excellent research training environment and exemplary mentorship to nurture early-career researchers.</w:t>
      </w:r>
    </w:p>
    <w:p w14:paraId="6274B0EF" w14:textId="77777777" w:rsidR="00680742" w:rsidRPr="00236300" w:rsidRDefault="00680742" w:rsidP="00680742">
      <w:pPr>
        <w:rPr>
          <w:rFonts w:ascii="Times New Roman" w:eastAsiaTheme="minorEastAsia" w:hAnsi="Times New Roman" w:cs="Times New Roman"/>
          <w:b/>
          <w:bCs/>
          <w:sz w:val="24"/>
          <w:szCs w:val="24"/>
        </w:rPr>
      </w:pPr>
      <w:r w:rsidRPr="00236300">
        <w:rPr>
          <w:rFonts w:ascii="Times New Roman" w:eastAsiaTheme="minorEastAsia" w:hAnsi="Times New Roman" w:cs="Times New Roman"/>
          <w:b/>
          <w:bCs/>
          <w:i/>
          <w:iCs/>
          <w:sz w:val="24"/>
          <w:szCs w:val="24"/>
        </w:rPr>
        <w:t xml:space="preserve">Discovery Indigenous </w:t>
      </w:r>
      <w:r w:rsidRPr="00236300">
        <w:rPr>
          <w:rFonts w:ascii="Times New Roman" w:eastAsiaTheme="minorEastAsia" w:hAnsi="Times New Roman" w:cs="Times New Roman"/>
          <w:b/>
          <w:bCs/>
          <w:sz w:val="24"/>
          <w:szCs w:val="24"/>
        </w:rPr>
        <w:t>scheme</w:t>
      </w:r>
    </w:p>
    <w:p w14:paraId="31B4A71A" w14:textId="77777777" w:rsidR="00680742" w:rsidRPr="00236300" w:rsidRDefault="00680742" w:rsidP="00680742">
      <w:pPr>
        <w:pStyle w:val="ListParagraph"/>
        <w:numPr>
          <w:ilvl w:val="0"/>
          <w:numId w:val="11"/>
        </w:numPr>
        <w:spacing w:after="0"/>
        <w:ind w:left="357" w:hanging="357"/>
        <w:rPr>
          <w:rFonts w:ascii="Times New Roman" w:eastAsiaTheme="minorEastAsia" w:hAnsi="Times New Roman" w:cs="Times New Roman"/>
          <w:sz w:val="24"/>
          <w:szCs w:val="24"/>
        </w:rPr>
      </w:pPr>
      <w:r w:rsidRPr="00236300">
        <w:rPr>
          <w:rFonts w:ascii="Times New Roman" w:eastAsiaTheme="minorEastAsia" w:hAnsi="Times New Roman" w:cs="Times New Roman"/>
          <w:sz w:val="24"/>
          <w:szCs w:val="24"/>
        </w:rPr>
        <w:t xml:space="preserve">The Discovery Australian Aboriginal and Torres Strait Islander Award (DAATSIA) exclusively funds Aboriginal and/or Torres Strait Islander researchers. Awarded in conjunction with a Discovery Indigenous project, DAATSIAs are awarded at one of five salary levels, commensurate with academic levels A – E. </w:t>
      </w:r>
    </w:p>
    <w:p w14:paraId="00D484E8" w14:textId="56760691" w:rsidR="00EC36A9" w:rsidRDefault="00680742" w:rsidP="00114F5D">
      <w:pPr>
        <w:pStyle w:val="ListParagraph"/>
        <w:numPr>
          <w:ilvl w:val="0"/>
          <w:numId w:val="11"/>
        </w:numPr>
        <w:spacing w:after="0"/>
        <w:ind w:left="357" w:hanging="357"/>
        <w:rPr>
          <w:rFonts w:asciiTheme="majorHAnsi" w:eastAsiaTheme="minorEastAsia" w:hAnsiTheme="majorHAnsi" w:cstheme="majorHAnsi"/>
          <w:sz w:val="24"/>
          <w:szCs w:val="24"/>
        </w:rPr>
      </w:pPr>
      <w:r w:rsidRPr="00236300">
        <w:rPr>
          <w:rFonts w:ascii="Times New Roman" w:eastAsiaTheme="minorEastAsia" w:hAnsi="Times New Roman" w:cs="Times New Roman"/>
          <w:sz w:val="24"/>
          <w:szCs w:val="24"/>
        </w:rPr>
        <w:t xml:space="preserve">The </w:t>
      </w:r>
      <w:r w:rsidRPr="00236300">
        <w:rPr>
          <w:rFonts w:ascii="Times New Roman" w:eastAsiaTheme="minorEastAsia" w:hAnsi="Times New Roman" w:cs="Times New Roman"/>
          <w:i/>
          <w:iCs/>
          <w:sz w:val="24"/>
          <w:szCs w:val="24"/>
        </w:rPr>
        <w:t>Discovery Indigenous</w:t>
      </w:r>
      <w:r w:rsidRPr="00236300">
        <w:rPr>
          <w:rFonts w:ascii="Times New Roman" w:eastAsiaTheme="minorEastAsia" w:hAnsi="Times New Roman" w:cs="Times New Roman"/>
          <w:sz w:val="24"/>
          <w:szCs w:val="24"/>
        </w:rPr>
        <w:t xml:space="preserve"> scheme also exclusively supports Aboriginal and Torres Strait Islander research students and is the only NCGP scheme to support stipends for honours students.</w:t>
      </w:r>
      <w:r>
        <w:rPr>
          <w:rFonts w:asciiTheme="majorHAnsi" w:eastAsiaTheme="minorEastAsia" w:hAnsiTheme="majorHAnsi" w:cstheme="majorHAnsi"/>
          <w:sz w:val="24"/>
          <w:szCs w:val="24"/>
        </w:rPr>
        <w:t xml:space="preserve"> </w:t>
      </w:r>
    </w:p>
    <w:p w14:paraId="70B85C19" w14:textId="18401764" w:rsidR="00680742" w:rsidRPr="001565F8" w:rsidRDefault="00680742" w:rsidP="001565F8">
      <w:pPr>
        <w:pStyle w:val="Heading1"/>
        <w:shd w:val="clear" w:color="auto" w:fill="auto"/>
        <w:spacing w:after="240"/>
        <w:rPr>
          <w:rFonts w:eastAsiaTheme="minorEastAsia" w:cs="Arial"/>
          <w:color w:val="auto"/>
          <w:sz w:val="24"/>
          <w:szCs w:val="24"/>
        </w:rPr>
      </w:pPr>
      <w:r w:rsidRPr="001565F8">
        <w:rPr>
          <w:rFonts w:eastAsiaTheme="minorEastAsia" w:cs="Arial"/>
          <w:color w:val="auto"/>
          <w:sz w:val="24"/>
          <w:szCs w:val="24"/>
        </w:rPr>
        <w:t>Eligibility</w:t>
      </w:r>
    </w:p>
    <w:p w14:paraId="6EA01EEC" w14:textId="77777777" w:rsidR="00326E2D" w:rsidRPr="00236300" w:rsidRDefault="00326E2D" w:rsidP="00326E2D">
      <w:pPr>
        <w:pStyle w:val="paragraph"/>
        <w:numPr>
          <w:ilvl w:val="0"/>
          <w:numId w:val="12"/>
        </w:numPr>
        <w:spacing w:before="0" w:beforeAutospacing="0" w:after="0" w:afterAutospacing="0"/>
        <w:ind w:left="357" w:hanging="357"/>
        <w:textAlignment w:val="baseline"/>
        <w:rPr>
          <w:rStyle w:val="normaltextrun"/>
        </w:rPr>
      </w:pPr>
      <w:r w:rsidRPr="00236300">
        <w:rPr>
          <w:rStyle w:val="normaltextrun"/>
        </w:rPr>
        <w:t xml:space="preserve">Under the DECRA scheme, eligible researchers must apply within a specified timeframe based on award of PhD date. The eligibility period can be extended for specified career interruptions, in recognition of the potentially significant impact of interruptions at the early-career stage. </w:t>
      </w:r>
    </w:p>
    <w:p w14:paraId="0FCF273E" w14:textId="38DCD664" w:rsidR="00326E2D" w:rsidRDefault="00326E2D" w:rsidP="00326E2D">
      <w:pPr>
        <w:pStyle w:val="paragraph"/>
        <w:numPr>
          <w:ilvl w:val="0"/>
          <w:numId w:val="13"/>
        </w:numPr>
        <w:spacing w:before="0" w:beforeAutospacing="0" w:after="0" w:afterAutospacing="0"/>
        <w:textAlignment w:val="baseline"/>
      </w:pPr>
      <w:r w:rsidRPr="00236300">
        <w:rPr>
          <w:rStyle w:val="normaltextrun"/>
        </w:rPr>
        <w:t xml:space="preserve">Specified, eligible career interruptions include parental and caring responsibilities, medical conditions, unemployment, and non-research employment. </w:t>
      </w:r>
      <w:r w:rsidRPr="00236300">
        <w:t>Further information is provided in the </w:t>
      </w:r>
      <w:hyperlink r:id="rId10" w:history="1">
        <w:r w:rsidRPr="00236300">
          <w:rPr>
            <w:rStyle w:val="Hyperlink"/>
            <w:i/>
            <w:iCs/>
          </w:rPr>
          <w:t>Eligibility and Career Interruptions Statement</w:t>
        </w:r>
      </w:hyperlink>
      <w:r w:rsidRPr="00236300">
        <w:t>. </w:t>
      </w:r>
    </w:p>
    <w:p w14:paraId="5B927FF6" w14:textId="1EFFD3AB" w:rsidR="00680742" w:rsidRPr="001565F8" w:rsidRDefault="002C3006" w:rsidP="001565F8">
      <w:pPr>
        <w:pStyle w:val="Heading1"/>
        <w:shd w:val="clear" w:color="auto" w:fill="auto"/>
        <w:spacing w:after="240"/>
        <w:rPr>
          <w:rFonts w:eastAsiaTheme="minorEastAsia" w:cs="Arial"/>
          <w:color w:val="auto"/>
          <w:sz w:val="24"/>
          <w:szCs w:val="24"/>
        </w:rPr>
      </w:pPr>
      <w:r w:rsidRPr="001565F8">
        <w:rPr>
          <w:rFonts w:eastAsiaTheme="minorEastAsia" w:cs="Arial"/>
          <w:color w:val="auto"/>
          <w:sz w:val="24"/>
          <w:szCs w:val="24"/>
        </w:rPr>
        <w:t>Assessment</w:t>
      </w:r>
    </w:p>
    <w:p w14:paraId="0C933F23" w14:textId="77777777" w:rsidR="000E1F2F" w:rsidRPr="00236300" w:rsidRDefault="000E1F2F" w:rsidP="000E1F2F">
      <w:pPr>
        <w:pStyle w:val="paragraph"/>
        <w:numPr>
          <w:ilvl w:val="0"/>
          <w:numId w:val="13"/>
        </w:numPr>
        <w:spacing w:before="0" w:beforeAutospacing="0" w:after="0" w:afterAutospacing="0"/>
        <w:ind w:left="357" w:hanging="357"/>
        <w:textAlignment w:val="baseline"/>
      </w:pPr>
      <w:r w:rsidRPr="00236300">
        <w:rPr>
          <w:rStyle w:val="normaltextrun"/>
        </w:rPr>
        <w:t>The award of ARC funding is predicated on research excellence determined through a fair, rigorous, and competitive peer review process.</w:t>
      </w:r>
    </w:p>
    <w:p w14:paraId="07E9C7A2" w14:textId="77777777" w:rsidR="000E1F2F" w:rsidRPr="00236300" w:rsidRDefault="000E1F2F" w:rsidP="000E1F2F">
      <w:pPr>
        <w:pStyle w:val="ListParagraph"/>
        <w:numPr>
          <w:ilvl w:val="0"/>
          <w:numId w:val="13"/>
        </w:numPr>
        <w:rPr>
          <w:rFonts w:ascii="Times New Roman" w:eastAsiaTheme="minorEastAsia" w:hAnsi="Times New Roman" w:cs="Times New Roman"/>
          <w:sz w:val="24"/>
          <w:szCs w:val="24"/>
        </w:rPr>
      </w:pPr>
      <w:r w:rsidRPr="00236300">
        <w:rPr>
          <w:rFonts w:ascii="Times New Roman" w:eastAsiaTheme="minorEastAsia" w:hAnsi="Times New Roman" w:cs="Times New Roman"/>
          <w:sz w:val="24"/>
          <w:szCs w:val="24"/>
        </w:rPr>
        <w:t>The Research Opportunity and Performance Evidence (ROPE) assessment criterion is used in most ARC schemes to recognise research excellence in the context of diverse career and life opportunities and experiences.</w:t>
      </w:r>
    </w:p>
    <w:p w14:paraId="2E9C41E2" w14:textId="196D605C" w:rsidR="000E1F2F" w:rsidRDefault="000E1F2F" w:rsidP="000E1F2F">
      <w:pPr>
        <w:pStyle w:val="ListParagraph"/>
        <w:numPr>
          <w:ilvl w:val="0"/>
          <w:numId w:val="13"/>
        </w:numPr>
        <w:rPr>
          <w:rFonts w:ascii="Times New Roman" w:eastAsiaTheme="minorEastAsia" w:hAnsi="Times New Roman" w:cs="Times New Roman"/>
          <w:sz w:val="24"/>
          <w:szCs w:val="24"/>
        </w:rPr>
      </w:pPr>
      <w:r w:rsidRPr="00236300">
        <w:rPr>
          <w:rFonts w:ascii="Times New Roman" w:eastAsiaTheme="minorEastAsia" w:hAnsi="Times New Roman" w:cs="Times New Roman"/>
          <w:sz w:val="24"/>
          <w:szCs w:val="24"/>
        </w:rPr>
        <w:t>ROPE considers a researcher’s capacity, productivity, and contribution, relative to opportunity and experience, recognising the impact of career interruptions for any reason.</w:t>
      </w:r>
    </w:p>
    <w:p w14:paraId="4E3BAC44" w14:textId="3D5567AC" w:rsidR="002C3006" w:rsidRPr="001565F8" w:rsidRDefault="002C3006" w:rsidP="001565F8">
      <w:pPr>
        <w:pStyle w:val="Heading1"/>
        <w:shd w:val="clear" w:color="auto" w:fill="auto"/>
        <w:spacing w:after="240"/>
        <w:rPr>
          <w:rFonts w:eastAsiaTheme="minorEastAsia" w:cs="Arial"/>
          <w:color w:val="auto"/>
          <w:sz w:val="24"/>
          <w:szCs w:val="24"/>
        </w:rPr>
      </w:pPr>
      <w:r w:rsidRPr="001565F8">
        <w:rPr>
          <w:rFonts w:eastAsiaTheme="minorEastAsia" w:cs="Arial"/>
          <w:color w:val="auto"/>
          <w:sz w:val="24"/>
          <w:szCs w:val="24"/>
        </w:rPr>
        <w:t>Grant Conditions</w:t>
      </w:r>
    </w:p>
    <w:p w14:paraId="05A9FFFE" w14:textId="77777777" w:rsidR="002B74F1" w:rsidRPr="00236300" w:rsidRDefault="002B74F1" w:rsidP="002B74F1">
      <w:pPr>
        <w:autoSpaceDE w:val="0"/>
        <w:autoSpaceDN w:val="0"/>
        <w:adjustRightInd w:val="0"/>
        <w:spacing w:before="120" w:after="120" w:line="264" w:lineRule="auto"/>
        <w:rPr>
          <w:rFonts w:ascii="Times New Roman" w:hAnsi="Times New Roman" w:cs="Times New Roman"/>
          <w:b/>
          <w:bCs/>
          <w:sz w:val="24"/>
          <w:szCs w:val="24"/>
        </w:rPr>
      </w:pPr>
      <w:r w:rsidRPr="00236300">
        <w:rPr>
          <w:rFonts w:ascii="Times New Roman" w:hAnsi="Times New Roman" w:cs="Times New Roman"/>
          <w:sz w:val="24"/>
          <w:szCs w:val="24"/>
        </w:rPr>
        <w:t xml:space="preserve">The NCGP is administered in accordance with the </w:t>
      </w:r>
      <w:hyperlink r:id="rId11" w:history="1">
        <w:r w:rsidRPr="00236300">
          <w:rPr>
            <w:rStyle w:val="Hyperlink"/>
            <w:rFonts w:ascii="Times New Roman" w:hAnsi="Times New Roman" w:cs="Times New Roman"/>
            <w:i/>
            <w:iCs/>
            <w:sz w:val="24"/>
            <w:szCs w:val="24"/>
          </w:rPr>
          <w:t>Commonwealth Grants Rules and Guidelines</w:t>
        </w:r>
      </w:hyperlink>
      <w:r w:rsidRPr="00236300">
        <w:rPr>
          <w:rFonts w:ascii="Times New Roman" w:hAnsi="Times New Roman" w:cs="Times New Roman"/>
          <w:i/>
          <w:iCs/>
          <w:sz w:val="24"/>
          <w:szCs w:val="24"/>
        </w:rPr>
        <w:t>.</w:t>
      </w:r>
      <w:r w:rsidRPr="00236300">
        <w:rPr>
          <w:rFonts w:ascii="Times New Roman" w:hAnsi="Times New Roman" w:cs="Times New Roman"/>
          <w:sz w:val="24"/>
          <w:szCs w:val="24"/>
        </w:rPr>
        <w:t xml:space="preserve"> Grants are awarded in accordance with ARC grant guidelines and policies.</w:t>
      </w:r>
    </w:p>
    <w:p w14:paraId="65CE7356" w14:textId="77777777" w:rsidR="002B74F1" w:rsidRPr="00236300" w:rsidRDefault="002B74F1" w:rsidP="002B74F1">
      <w:pPr>
        <w:pStyle w:val="ListParagraph"/>
        <w:numPr>
          <w:ilvl w:val="0"/>
          <w:numId w:val="14"/>
        </w:numPr>
        <w:rPr>
          <w:rFonts w:ascii="Times New Roman" w:eastAsiaTheme="minorEastAsia" w:hAnsi="Times New Roman" w:cs="Times New Roman"/>
          <w:sz w:val="24"/>
          <w:szCs w:val="24"/>
        </w:rPr>
      </w:pPr>
      <w:r w:rsidRPr="00236300">
        <w:rPr>
          <w:rFonts w:ascii="Times New Roman" w:eastAsiaTheme="minorEastAsia" w:hAnsi="Times New Roman" w:cs="Times New Roman"/>
          <w:sz w:val="24"/>
          <w:szCs w:val="24"/>
        </w:rPr>
        <w:t>A DECRA may be undertaken part-time for a period of up to six years. Award recipients can access parental, recreation, and sick leave.</w:t>
      </w:r>
    </w:p>
    <w:p w14:paraId="3C2B8FB2" w14:textId="77777777" w:rsidR="002B74F1" w:rsidRPr="00236300" w:rsidRDefault="002B74F1" w:rsidP="002B74F1">
      <w:pPr>
        <w:pStyle w:val="ListParagraph"/>
        <w:numPr>
          <w:ilvl w:val="0"/>
          <w:numId w:val="14"/>
        </w:numPr>
        <w:rPr>
          <w:rFonts w:ascii="Times New Roman" w:eastAsiaTheme="minorEastAsia" w:hAnsi="Times New Roman" w:cs="Times New Roman"/>
          <w:sz w:val="24"/>
          <w:szCs w:val="24"/>
        </w:rPr>
      </w:pPr>
      <w:r w:rsidRPr="00236300">
        <w:rPr>
          <w:rStyle w:val="normaltextrun"/>
          <w:rFonts w:ascii="Times New Roman" w:hAnsi="Times New Roman" w:cs="Times New Roman"/>
          <w:color w:val="000000"/>
          <w:sz w:val="24"/>
          <w:szCs w:val="24"/>
          <w:shd w:val="clear" w:color="auto" w:fill="FFFFFF"/>
        </w:rPr>
        <w:t>A Chief Investigator, under any project scheme, must be an employee for at least 20 per cent of full time equivalent at an Eligible Organisation. This criterion ensures that researchers with part-time positions, who can often be early-career researchers, are eligible to apply for NCGP funding. </w:t>
      </w:r>
      <w:r w:rsidRPr="00236300">
        <w:rPr>
          <w:rStyle w:val="eop"/>
          <w:rFonts w:ascii="Times New Roman" w:hAnsi="Times New Roman" w:cs="Times New Roman"/>
          <w:color w:val="000000"/>
          <w:sz w:val="24"/>
          <w:szCs w:val="24"/>
          <w:shd w:val="clear" w:color="auto" w:fill="FFFFFF"/>
        </w:rPr>
        <w:t> </w:t>
      </w:r>
    </w:p>
    <w:p w14:paraId="3F2B3370" w14:textId="627AD33A" w:rsidR="002C3006" w:rsidRPr="001565F8" w:rsidRDefault="002C3006" w:rsidP="001565F8">
      <w:pPr>
        <w:pStyle w:val="Heading1"/>
        <w:shd w:val="clear" w:color="auto" w:fill="auto"/>
        <w:spacing w:after="240"/>
        <w:rPr>
          <w:rFonts w:eastAsiaTheme="minorEastAsia" w:cs="Arial"/>
          <w:color w:val="auto"/>
          <w:sz w:val="24"/>
          <w:szCs w:val="24"/>
        </w:rPr>
      </w:pPr>
      <w:r w:rsidRPr="001565F8">
        <w:rPr>
          <w:rFonts w:eastAsiaTheme="minorEastAsia" w:cs="Arial"/>
          <w:color w:val="auto"/>
          <w:sz w:val="24"/>
          <w:szCs w:val="24"/>
        </w:rPr>
        <w:t>Monitoring</w:t>
      </w:r>
    </w:p>
    <w:p w14:paraId="7702F90B" w14:textId="77777777" w:rsidR="002F2BDD" w:rsidRPr="00236300" w:rsidRDefault="002F2BDD" w:rsidP="002F2BDD">
      <w:pPr>
        <w:pStyle w:val="ListParagraph"/>
        <w:numPr>
          <w:ilvl w:val="0"/>
          <w:numId w:val="13"/>
        </w:numPr>
        <w:rPr>
          <w:rFonts w:ascii="Times New Roman" w:eastAsiaTheme="minorEastAsia" w:hAnsi="Times New Roman" w:cs="Times New Roman"/>
          <w:sz w:val="24"/>
          <w:szCs w:val="24"/>
        </w:rPr>
      </w:pPr>
      <w:r w:rsidRPr="00236300">
        <w:rPr>
          <w:rFonts w:ascii="Times New Roman" w:eastAsiaTheme="minorEastAsia" w:hAnsi="Times New Roman" w:cs="Times New Roman"/>
          <w:sz w:val="24"/>
          <w:szCs w:val="24"/>
        </w:rPr>
        <w:t xml:space="preserve">The ARC monitors the outcomes of grant opportunities to identify any trends or issues that may be affecting early-career researchers. </w:t>
      </w:r>
    </w:p>
    <w:p w14:paraId="2C7EE400" w14:textId="41E4F50F" w:rsidR="002C3006" w:rsidRPr="001565F8" w:rsidRDefault="002C3006" w:rsidP="001565F8">
      <w:pPr>
        <w:pStyle w:val="Heading1"/>
        <w:shd w:val="clear" w:color="auto" w:fill="auto"/>
        <w:spacing w:after="240"/>
        <w:rPr>
          <w:rFonts w:eastAsiaTheme="minorEastAsia" w:cs="Arial"/>
          <w:color w:val="auto"/>
          <w:sz w:val="24"/>
          <w:szCs w:val="24"/>
        </w:rPr>
      </w:pPr>
      <w:r w:rsidRPr="001565F8">
        <w:rPr>
          <w:rFonts w:eastAsiaTheme="minorEastAsia" w:cs="Arial"/>
          <w:color w:val="auto"/>
          <w:sz w:val="24"/>
          <w:szCs w:val="24"/>
        </w:rPr>
        <w:lastRenderedPageBreak/>
        <w:t>Expectations of Administering Organisations</w:t>
      </w:r>
    </w:p>
    <w:p w14:paraId="4D22BFF1" w14:textId="77777777" w:rsidR="0017273B" w:rsidRPr="00236300" w:rsidRDefault="0017273B" w:rsidP="0017273B">
      <w:pPr>
        <w:rPr>
          <w:rFonts w:ascii="Times New Roman" w:eastAsiaTheme="minorEastAsia" w:hAnsi="Times New Roman" w:cs="Times New Roman"/>
          <w:sz w:val="24"/>
          <w:szCs w:val="24"/>
        </w:rPr>
      </w:pPr>
      <w:r w:rsidRPr="00236300">
        <w:rPr>
          <w:rFonts w:ascii="Times New Roman" w:eastAsiaTheme="minorEastAsia" w:hAnsi="Times New Roman" w:cs="Times New Roman"/>
          <w:sz w:val="24"/>
          <w:szCs w:val="24"/>
        </w:rPr>
        <w:t>ARC funding is provided to Administering Organisations not to individual researchers. In this context, the ARC expects Administering Organisations will encourage broad participation in research and development activities and:</w:t>
      </w:r>
    </w:p>
    <w:p w14:paraId="492A60C2" w14:textId="77777777" w:rsidR="0017273B" w:rsidRPr="00236300" w:rsidRDefault="0017273B" w:rsidP="0017273B">
      <w:pPr>
        <w:pStyle w:val="ListParagraph"/>
        <w:numPr>
          <w:ilvl w:val="0"/>
          <w:numId w:val="15"/>
        </w:numPr>
        <w:ind w:left="357" w:hanging="357"/>
        <w:rPr>
          <w:rFonts w:ascii="Times New Roman" w:eastAsiaTheme="minorEastAsia" w:hAnsi="Times New Roman" w:cs="Times New Roman"/>
          <w:sz w:val="24"/>
          <w:szCs w:val="24"/>
        </w:rPr>
      </w:pPr>
      <w:r w:rsidRPr="00236300">
        <w:rPr>
          <w:rFonts w:ascii="Times New Roman" w:eastAsiaTheme="minorEastAsia" w:hAnsi="Times New Roman" w:cs="Times New Roman"/>
          <w:sz w:val="24"/>
          <w:szCs w:val="24"/>
        </w:rPr>
        <w:t>provide opportunities for early-career researchers to extend their leadership and communication skills through targeted development opportunities</w:t>
      </w:r>
    </w:p>
    <w:p w14:paraId="79CED501" w14:textId="77777777" w:rsidR="0017273B" w:rsidRPr="00236300" w:rsidRDefault="0017273B" w:rsidP="0017273B">
      <w:pPr>
        <w:pStyle w:val="ListParagraph"/>
        <w:numPr>
          <w:ilvl w:val="0"/>
          <w:numId w:val="15"/>
        </w:numPr>
        <w:spacing w:before="240"/>
        <w:rPr>
          <w:rFonts w:ascii="Times New Roman" w:eastAsiaTheme="minorEastAsia" w:hAnsi="Times New Roman" w:cs="Times New Roman"/>
          <w:sz w:val="24"/>
          <w:szCs w:val="24"/>
        </w:rPr>
      </w:pPr>
      <w:r w:rsidRPr="00236300">
        <w:rPr>
          <w:rFonts w:ascii="Times New Roman" w:eastAsiaTheme="minorEastAsia" w:hAnsi="Times New Roman" w:cs="Times New Roman"/>
          <w:sz w:val="24"/>
          <w:szCs w:val="24"/>
        </w:rPr>
        <w:t>enable early-career researchers to expand and develop their research leadership capabilities in leading research projects</w:t>
      </w:r>
    </w:p>
    <w:p w14:paraId="0ECE8219" w14:textId="77777777" w:rsidR="0017273B" w:rsidRPr="00236300" w:rsidRDefault="0017273B" w:rsidP="0017273B">
      <w:pPr>
        <w:pStyle w:val="ListParagraph"/>
        <w:numPr>
          <w:ilvl w:val="0"/>
          <w:numId w:val="15"/>
        </w:numPr>
        <w:spacing w:before="240"/>
        <w:rPr>
          <w:rFonts w:ascii="Times New Roman" w:eastAsiaTheme="minorEastAsia" w:hAnsi="Times New Roman" w:cs="Times New Roman"/>
          <w:sz w:val="24"/>
          <w:szCs w:val="24"/>
        </w:rPr>
      </w:pPr>
      <w:r w:rsidRPr="00236300">
        <w:rPr>
          <w:rFonts w:ascii="Times New Roman" w:eastAsiaTheme="minorEastAsia" w:hAnsi="Times New Roman" w:cs="Times New Roman"/>
          <w:sz w:val="24"/>
          <w:szCs w:val="24"/>
        </w:rPr>
        <w:t xml:space="preserve">provide ongoing training and education that promotes and supports responsible research conduct </w:t>
      </w:r>
    </w:p>
    <w:p w14:paraId="2361C0F1" w14:textId="77777777" w:rsidR="0017273B" w:rsidRPr="00236300" w:rsidRDefault="0017273B" w:rsidP="0017273B">
      <w:pPr>
        <w:pStyle w:val="ListParagraph"/>
        <w:numPr>
          <w:ilvl w:val="0"/>
          <w:numId w:val="15"/>
        </w:numPr>
        <w:spacing w:before="240"/>
        <w:rPr>
          <w:rFonts w:ascii="Times New Roman" w:eastAsiaTheme="minorEastAsia" w:hAnsi="Times New Roman" w:cs="Times New Roman"/>
          <w:sz w:val="24"/>
          <w:szCs w:val="24"/>
        </w:rPr>
      </w:pPr>
      <w:r w:rsidRPr="00236300">
        <w:rPr>
          <w:rFonts w:ascii="Times New Roman" w:eastAsiaTheme="minorEastAsia" w:hAnsi="Times New Roman" w:cs="Times New Roman"/>
          <w:sz w:val="24"/>
          <w:szCs w:val="24"/>
        </w:rPr>
        <w:t xml:space="preserve">support early-career researchers by providing flexible and supportive workplace environments. </w:t>
      </w:r>
    </w:p>
    <w:p w14:paraId="1EAB4B92" w14:textId="77777777" w:rsidR="002C3006" w:rsidRDefault="002C3006"/>
    <w:sectPr w:rsidR="002C3006" w:rsidSect="00F0449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7969" w14:textId="77777777" w:rsidR="00177E9D" w:rsidRDefault="00177E9D" w:rsidP="004F61FE">
      <w:pPr>
        <w:spacing w:after="0" w:line="240" w:lineRule="auto"/>
      </w:pPr>
      <w:r>
        <w:separator/>
      </w:r>
    </w:p>
  </w:endnote>
  <w:endnote w:type="continuationSeparator" w:id="0">
    <w:p w14:paraId="337B8FFB" w14:textId="77777777" w:rsidR="00177E9D" w:rsidRDefault="00177E9D" w:rsidP="004F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234168"/>
      <w:docPartObj>
        <w:docPartGallery w:val="Page Numbers (Bottom of Page)"/>
        <w:docPartUnique/>
      </w:docPartObj>
    </w:sdtPr>
    <w:sdtEndPr>
      <w:rPr>
        <w:rFonts w:ascii="Times New Roman" w:hAnsi="Times New Roman" w:cs="Times New Roman"/>
        <w:noProof/>
      </w:rPr>
    </w:sdtEndPr>
    <w:sdtContent>
      <w:p w14:paraId="545E986E" w14:textId="4DC62DEF" w:rsidR="00B17A9A" w:rsidRPr="00F04491" w:rsidRDefault="00B17A9A">
        <w:pPr>
          <w:pStyle w:val="Footer"/>
          <w:jc w:val="right"/>
          <w:rPr>
            <w:rFonts w:ascii="Times New Roman" w:hAnsi="Times New Roman" w:cs="Times New Roman"/>
          </w:rPr>
        </w:pPr>
        <w:r w:rsidRPr="00F04491">
          <w:rPr>
            <w:rFonts w:ascii="Times New Roman" w:hAnsi="Times New Roman" w:cs="Times New Roman"/>
          </w:rPr>
          <w:fldChar w:fldCharType="begin"/>
        </w:r>
        <w:r w:rsidRPr="00F04491">
          <w:rPr>
            <w:rFonts w:ascii="Times New Roman" w:hAnsi="Times New Roman" w:cs="Times New Roman"/>
          </w:rPr>
          <w:instrText xml:space="preserve"> PAGE   \* MERGEFORMAT </w:instrText>
        </w:r>
        <w:r w:rsidRPr="00F04491">
          <w:rPr>
            <w:rFonts w:ascii="Times New Roman" w:hAnsi="Times New Roman" w:cs="Times New Roman"/>
          </w:rPr>
          <w:fldChar w:fldCharType="separate"/>
        </w:r>
        <w:r w:rsidRPr="00F04491">
          <w:rPr>
            <w:rFonts w:ascii="Times New Roman" w:hAnsi="Times New Roman" w:cs="Times New Roman"/>
            <w:noProof/>
          </w:rPr>
          <w:t>2</w:t>
        </w:r>
        <w:r w:rsidRPr="00F04491">
          <w:rPr>
            <w:rFonts w:ascii="Times New Roman" w:hAnsi="Times New Roman" w:cs="Times New Roman"/>
            <w:noProof/>
          </w:rPr>
          <w:fldChar w:fldCharType="end"/>
        </w:r>
      </w:p>
    </w:sdtContent>
  </w:sdt>
  <w:p w14:paraId="54395271" w14:textId="77777777" w:rsidR="00B17A9A" w:rsidRDefault="00B1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6DE2" w14:textId="77777777" w:rsidR="00177E9D" w:rsidRDefault="00177E9D" w:rsidP="004F61FE">
      <w:pPr>
        <w:spacing w:after="0" w:line="240" w:lineRule="auto"/>
      </w:pPr>
      <w:r>
        <w:separator/>
      </w:r>
    </w:p>
  </w:footnote>
  <w:footnote w:type="continuationSeparator" w:id="0">
    <w:p w14:paraId="03F4BBC0" w14:textId="77777777" w:rsidR="00177E9D" w:rsidRDefault="00177E9D" w:rsidP="004F6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706B"/>
    <w:multiLevelType w:val="multilevel"/>
    <w:tmpl w:val="4442086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299294F"/>
    <w:multiLevelType w:val="multilevel"/>
    <w:tmpl w:val="444208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0D4292B"/>
    <w:multiLevelType w:val="multilevel"/>
    <w:tmpl w:val="444208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D386CDA"/>
    <w:multiLevelType w:val="multilevel"/>
    <w:tmpl w:val="6100B5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A73F7"/>
    <w:multiLevelType w:val="multilevel"/>
    <w:tmpl w:val="444208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46F2263"/>
    <w:multiLevelType w:val="hybridMultilevel"/>
    <w:tmpl w:val="FEC0A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F3F6DE4"/>
    <w:multiLevelType w:val="hybridMultilevel"/>
    <w:tmpl w:val="EF6CC35E"/>
    <w:lvl w:ilvl="0" w:tplc="A43C0340">
      <w:start w:val="1"/>
      <w:numFmt w:val="lowerLetter"/>
      <w:pStyle w:val="GrantGuidelinesList"/>
      <w:lvlText w:val="%1."/>
      <w:lvlJc w:val="left"/>
      <w:pPr>
        <w:ind w:left="1353" w:hanging="360"/>
      </w:pPr>
      <w:rPr>
        <w:rFonts w:ascii="Calibri" w:hAnsi="Calibri" w:cs="Calibri" w:hint="default"/>
        <w:b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B4CCB"/>
    <w:multiLevelType w:val="multilevel"/>
    <w:tmpl w:val="7BD61E54"/>
    <w:lvl w:ilvl="0">
      <w:start w:val="1"/>
      <w:numFmt w:val="upperLetter"/>
      <w:pStyle w:val="GrantGuidelinesSchemeHeading1PartA"/>
      <w:lvlText w:val="Part %1"/>
      <w:lvlJc w:val="left"/>
      <w:pPr>
        <w:ind w:left="786" w:hanging="360"/>
      </w:pPr>
      <w:rPr>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Heading2IRD"/>
      <w:lvlText w:val="%1%2."/>
      <w:lvlJc w:val="left"/>
      <w:pPr>
        <w:ind w:left="720" w:hanging="720"/>
      </w:pPr>
      <w:rPr>
        <w:rFonts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rantGuidelinesSchemeSectionClauseA11"/>
      <w:lvlText w:val="%1%2.%3"/>
      <w:lvlJc w:val="left"/>
      <w:pPr>
        <w:ind w:left="1260" w:hanging="1080"/>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b w:val="0"/>
      </w:r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8" w15:restartNumberingAfterBreak="0">
    <w:nsid w:val="5C4D3336"/>
    <w:multiLevelType w:val="hybridMultilevel"/>
    <w:tmpl w:val="E9340A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32709D3"/>
    <w:multiLevelType w:val="hybridMultilevel"/>
    <w:tmpl w:val="3B8CC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C0316F"/>
    <w:multiLevelType w:val="multilevel"/>
    <w:tmpl w:val="5628A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E07A6F"/>
    <w:multiLevelType w:val="hybridMultilevel"/>
    <w:tmpl w:val="FFFFFFFF"/>
    <w:lvl w:ilvl="0" w:tplc="9D344E9A">
      <w:start w:val="1"/>
      <w:numFmt w:val="bullet"/>
      <w:lvlText w:val=""/>
      <w:lvlJc w:val="left"/>
      <w:pPr>
        <w:ind w:left="720" w:hanging="360"/>
      </w:pPr>
      <w:rPr>
        <w:rFonts w:ascii="Symbol" w:hAnsi="Symbol" w:hint="default"/>
      </w:rPr>
    </w:lvl>
    <w:lvl w:ilvl="1" w:tplc="E1FAEB78">
      <w:start w:val="1"/>
      <w:numFmt w:val="bullet"/>
      <w:lvlText w:val="o"/>
      <w:lvlJc w:val="left"/>
      <w:pPr>
        <w:ind w:left="1440" w:hanging="360"/>
      </w:pPr>
      <w:rPr>
        <w:rFonts w:ascii="Courier New" w:hAnsi="Courier New" w:hint="default"/>
      </w:rPr>
    </w:lvl>
    <w:lvl w:ilvl="2" w:tplc="22628352">
      <w:start w:val="1"/>
      <w:numFmt w:val="bullet"/>
      <w:lvlText w:val=""/>
      <w:lvlJc w:val="left"/>
      <w:pPr>
        <w:ind w:left="2160" w:hanging="360"/>
      </w:pPr>
      <w:rPr>
        <w:rFonts w:ascii="Wingdings" w:hAnsi="Wingdings" w:hint="default"/>
      </w:rPr>
    </w:lvl>
    <w:lvl w:ilvl="3" w:tplc="755A8064">
      <w:start w:val="1"/>
      <w:numFmt w:val="bullet"/>
      <w:lvlText w:val=""/>
      <w:lvlJc w:val="left"/>
      <w:pPr>
        <w:ind w:left="2880" w:hanging="360"/>
      </w:pPr>
      <w:rPr>
        <w:rFonts w:ascii="Symbol" w:hAnsi="Symbol" w:hint="default"/>
      </w:rPr>
    </w:lvl>
    <w:lvl w:ilvl="4" w:tplc="D93215DC">
      <w:start w:val="1"/>
      <w:numFmt w:val="bullet"/>
      <w:lvlText w:val="o"/>
      <w:lvlJc w:val="left"/>
      <w:pPr>
        <w:ind w:left="3600" w:hanging="360"/>
      </w:pPr>
      <w:rPr>
        <w:rFonts w:ascii="Courier New" w:hAnsi="Courier New" w:hint="default"/>
      </w:rPr>
    </w:lvl>
    <w:lvl w:ilvl="5" w:tplc="F07EAF52">
      <w:start w:val="1"/>
      <w:numFmt w:val="bullet"/>
      <w:lvlText w:val=""/>
      <w:lvlJc w:val="left"/>
      <w:pPr>
        <w:ind w:left="4320" w:hanging="360"/>
      </w:pPr>
      <w:rPr>
        <w:rFonts w:ascii="Wingdings" w:hAnsi="Wingdings" w:hint="default"/>
      </w:rPr>
    </w:lvl>
    <w:lvl w:ilvl="6" w:tplc="68F2AD4E">
      <w:start w:val="1"/>
      <w:numFmt w:val="bullet"/>
      <w:lvlText w:val=""/>
      <w:lvlJc w:val="left"/>
      <w:pPr>
        <w:ind w:left="5040" w:hanging="360"/>
      </w:pPr>
      <w:rPr>
        <w:rFonts w:ascii="Symbol" w:hAnsi="Symbol" w:hint="default"/>
      </w:rPr>
    </w:lvl>
    <w:lvl w:ilvl="7" w:tplc="017C344C">
      <w:start w:val="1"/>
      <w:numFmt w:val="bullet"/>
      <w:lvlText w:val="o"/>
      <w:lvlJc w:val="left"/>
      <w:pPr>
        <w:ind w:left="5760" w:hanging="360"/>
      </w:pPr>
      <w:rPr>
        <w:rFonts w:ascii="Courier New" w:hAnsi="Courier New" w:hint="default"/>
      </w:rPr>
    </w:lvl>
    <w:lvl w:ilvl="8" w:tplc="CC580BDE">
      <w:start w:val="1"/>
      <w:numFmt w:val="bullet"/>
      <w:lvlText w:val=""/>
      <w:lvlJc w:val="left"/>
      <w:pPr>
        <w:ind w:left="6480" w:hanging="360"/>
      </w:pPr>
      <w:rPr>
        <w:rFonts w:ascii="Wingdings" w:hAnsi="Wingdings" w:hint="default"/>
      </w:rPr>
    </w:lvl>
  </w:abstractNum>
  <w:abstractNum w:abstractNumId="12" w15:restartNumberingAfterBreak="0">
    <w:nsid w:val="6A0D4EAE"/>
    <w:multiLevelType w:val="hybridMultilevel"/>
    <w:tmpl w:val="012AF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4192CA6"/>
    <w:multiLevelType w:val="hybridMultilevel"/>
    <w:tmpl w:val="3C281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13"/>
  </w:num>
  <w:num w:numId="8">
    <w:abstractNumId w:val="11"/>
  </w:num>
  <w:num w:numId="9">
    <w:abstractNumId w:val="9"/>
  </w:num>
  <w:num w:numId="10">
    <w:abstractNumId w:val="4"/>
  </w:num>
  <w:num w:numId="11">
    <w:abstractNumId w:val="0"/>
  </w:num>
  <w:num w:numId="12">
    <w:abstractNumId w:val="12"/>
  </w:num>
  <w:num w:numId="13">
    <w:abstractNumId w:val="8"/>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5D"/>
    <w:rsid w:val="00013299"/>
    <w:rsid w:val="00020DBD"/>
    <w:rsid w:val="00025B4D"/>
    <w:rsid w:val="00055FBA"/>
    <w:rsid w:val="00080CE3"/>
    <w:rsid w:val="0009208E"/>
    <w:rsid w:val="00093954"/>
    <w:rsid w:val="000B2C42"/>
    <w:rsid w:val="000B7C1C"/>
    <w:rsid w:val="000E1F2F"/>
    <w:rsid w:val="00103CE6"/>
    <w:rsid w:val="0010604E"/>
    <w:rsid w:val="00114F5D"/>
    <w:rsid w:val="00116BEA"/>
    <w:rsid w:val="00121A92"/>
    <w:rsid w:val="0012330D"/>
    <w:rsid w:val="001565F8"/>
    <w:rsid w:val="001640D0"/>
    <w:rsid w:val="0017273B"/>
    <w:rsid w:val="00177E9D"/>
    <w:rsid w:val="001A71DE"/>
    <w:rsid w:val="001B2102"/>
    <w:rsid w:val="001B5EB1"/>
    <w:rsid w:val="001D77CF"/>
    <w:rsid w:val="0021452E"/>
    <w:rsid w:val="00223CFA"/>
    <w:rsid w:val="00226D40"/>
    <w:rsid w:val="00236300"/>
    <w:rsid w:val="00256DF6"/>
    <w:rsid w:val="00257F87"/>
    <w:rsid w:val="002630D7"/>
    <w:rsid w:val="00272C8A"/>
    <w:rsid w:val="002738B6"/>
    <w:rsid w:val="0029196C"/>
    <w:rsid w:val="002A7362"/>
    <w:rsid w:val="002B74F1"/>
    <w:rsid w:val="002C0F37"/>
    <w:rsid w:val="002C3006"/>
    <w:rsid w:val="002D5FB7"/>
    <w:rsid w:val="002E034A"/>
    <w:rsid w:val="002F2BDD"/>
    <w:rsid w:val="003134D6"/>
    <w:rsid w:val="00317DCA"/>
    <w:rsid w:val="00326E2D"/>
    <w:rsid w:val="00333A96"/>
    <w:rsid w:val="00354422"/>
    <w:rsid w:val="0037444C"/>
    <w:rsid w:val="003757E0"/>
    <w:rsid w:val="003830D8"/>
    <w:rsid w:val="003853F9"/>
    <w:rsid w:val="0039113B"/>
    <w:rsid w:val="00393B2A"/>
    <w:rsid w:val="00394644"/>
    <w:rsid w:val="003B02D0"/>
    <w:rsid w:val="003C0845"/>
    <w:rsid w:val="003C2690"/>
    <w:rsid w:val="003F287A"/>
    <w:rsid w:val="003F763F"/>
    <w:rsid w:val="004055DC"/>
    <w:rsid w:val="004073F4"/>
    <w:rsid w:val="00417734"/>
    <w:rsid w:val="004310DA"/>
    <w:rsid w:val="00474308"/>
    <w:rsid w:val="00474482"/>
    <w:rsid w:val="00480437"/>
    <w:rsid w:val="00486ACA"/>
    <w:rsid w:val="00491A23"/>
    <w:rsid w:val="004B33B4"/>
    <w:rsid w:val="004C12E9"/>
    <w:rsid w:val="004C5D8C"/>
    <w:rsid w:val="004D035B"/>
    <w:rsid w:val="004D2A7D"/>
    <w:rsid w:val="004E7AC0"/>
    <w:rsid w:val="004F61FE"/>
    <w:rsid w:val="005119C6"/>
    <w:rsid w:val="00526F54"/>
    <w:rsid w:val="0052732D"/>
    <w:rsid w:val="00532088"/>
    <w:rsid w:val="0053208C"/>
    <w:rsid w:val="00537F9B"/>
    <w:rsid w:val="00555FC1"/>
    <w:rsid w:val="00571578"/>
    <w:rsid w:val="00574C04"/>
    <w:rsid w:val="005773CB"/>
    <w:rsid w:val="005A1465"/>
    <w:rsid w:val="005A77DA"/>
    <w:rsid w:val="005B6D91"/>
    <w:rsid w:val="006045D7"/>
    <w:rsid w:val="006144FC"/>
    <w:rsid w:val="00615874"/>
    <w:rsid w:val="006218D3"/>
    <w:rsid w:val="006268C8"/>
    <w:rsid w:val="0064162B"/>
    <w:rsid w:val="00646E52"/>
    <w:rsid w:val="00680742"/>
    <w:rsid w:val="006842B5"/>
    <w:rsid w:val="00686853"/>
    <w:rsid w:val="006A0135"/>
    <w:rsid w:val="006F13DD"/>
    <w:rsid w:val="00764FFA"/>
    <w:rsid w:val="00767658"/>
    <w:rsid w:val="007744CA"/>
    <w:rsid w:val="007841F8"/>
    <w:rsid w:val="007B549A"/>
    <w:rsid w:val="00800B2B"/>
    <w:rsid w:val="00801561"/>
    <w:rsid w:val="00804474"/>
    <w:rsid w:val="00805893"/>
    <w:rsid w:val="008161D2"/>
    <w:rsid w:val="00865E59"/>
    <w:rsid w:val="00875E48"/>
    <w:rsid w:val="00876BDE"/>
    <w:rsid w:val="00885BFC"/>
    <w:rsid w:val="00885D5D"/>
    <w:rsid w:val="0089237C"/>
    <w:rsid w:val="008A47E1"/>
    <w:rsid w:val="008B03ED"/>
    <w:rsid w:val="008C7DE8"/>
    <w:rsid w:val="008F20F7"/>
    <w:rsid w:val="00910BE5"/>
    <w:rsid w:val="00911214"/>
    <w:rsid w:val="00983150"/>
    <w:rsid w:val="00985604"/>
    <w:rsid w:val="00992CB5"/>
    <w:rsid w:val="0099425F"/>
    <w:rsid w:val="00995CB5"/>
    <w:rsid w:val="009A1803"/>
    <w:rsid w:val="009B0B74"/>
    <w:rsid w:val="009C102C"/>
    <w:rsid w:val="009D7BD3"/>
    <w:rsid w:val="00A276AD"/>
    <w:rsid w:val="00A41FC1"/>
    <w:rsid w:val="00A46311"/>
    <w:rsid w:val="00A46B6D"/>
    <w:rsid w:val="00A549B6"/>
    <w:rsid w:val="00A6706F"/>
    <w:rsid w:val="00AA63BD"/>
    <w:rsid w:val="00AB245A"/>
    <w:rsid w:val="00AD3265"/>
    <w:rsid w:val="00AE2FDA"/>
    <w:rsid w:val="00AF32D6"/>
    <w:rsid w:val="00B165CB"/>
    <w:rsid w:val="00B17A9A"/>
    <w:rsid w:val="00B21C01"/>
    <w:rsid w:val="00B63109"/>
    <w:rsid w:val="00B65EA5"/>
    <w:rsid w:val="00B666D0"/>
    <w:rsid w:val="00B76D61"/>
    <w:rsid w:val="00BA0268"/>
    <w:rsid w:val="00BA4056"/>
    <w:rsid w:val="00BC57EB"/>
    <w:rsid w:val="00BE35F9"/>
    <w:rsid w:val="00C01693"/>
    <w:rsid w:val="00C05BD4"/>
    <w:rsid w:val="00C136C6"/>
    <w:rsid w:val="00C42B91"/>
    <w:rsid w:val="00C60078"/>
    <w:rsid w:val="00C622DA"/>
    <w:rsid w:val="00C63830"/>
    <w:rsid w:val="00C931A4"/>
    <w:rsid w:val="00CA4F52"/>
    <w:rsid w:val="00CA724A"/>
    <w:rsid w:val="00CB2ADD"/>
    <w:rsid w:val="00CB7FC3"/>
    <w:rsid w:val="00CD6B88"/>
    <w:rsid w:val="00CE3A73"/>
    <w:rsid w:val="00CF0C30"/>
    <w:rsid w:val="00CF1EFF"/>
    <w:rsid w:val="00CF70FF"/>
    <w:rsid w:val="00D0128E"/>
    <w:rsid w:val="00D1035A"/>
    <w:rsid w:val="00D479DF"/>
    <w:rsid w:val="00D63F07"/>
    <w:rsid w:val="00D73050"/>
    <w:rsid w:val="00D92346"/>
    <w:rsid w:val="00D94345"/>
    <w:rsid w:val="00DA0158"/>
    <w:rsid w:val="00DA550D"/>
    <w:rsid w:val="00DB1DA4"/>
    <w:rsid w:val="00DC5396"/>
    <w:rsid w:val="00DE6E5C"/>
    <w:rsid w:val="00E07ABF"/>
    <w:rsid w:val="00E35A7E"/>
    <w:rsid w:val="00E51C82"/>
    <w:rsid w:val="00E5799F"/>
    <w:rsid w:val="00E57F70"/>
    <w:rsid w:val="00E8328A"/>
    <w:rsid w:val="00E86485"/>
    <w:rsid w:val="00E9136F"/>
    <w:rsid w:val="00EC36A9"/>
    <w:rsid w:val="00ED00C0"/>
    <w:rsid w:val="00ED150B"/>
    <w:rsid w:val="00ED64B8"/>
    <w:rsid w:val="00EE0661"/>
    <w:rsid w:val="00EF59F3"/>
    <w:rsid w:val="00F04491"/>
    <w:rsid w:val="00F44BA7"/>
    <w:rsid w:val="00F46CC3"/>
    <w:rsid w:val="00FE0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128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F5D"/>
  </w:style>
  <w:style w:type="paragraph" w:styleId="Heading1">
    <w:name w:val="heading 1"/>
    <w:basedOn w:val="Normal"/>
    <w:next w:val="Normal"/>
    <w:link w:val="Heading1Char"/>
    <w:uiPriority w:val="9"/>
    <w:qFormat/>
    <w:rsid w:val="00DA0158"/>
    <w:pPr>
      <w:keepNext/>
      <w:keepLines/>
      <w:shd w:val="clear" w:color="auto" w:fill="1F497D"/>
      <w:spacing w:before="240" w:after="60" w:line="240" w:lineRule="auto"/>
      <w:outlineLvl w:val="0"/>
    </w:pPr>
    <w:rPr>
      <w:rFonts w:ascii="Arial" w:eastAsia="Times New Roman" w:hAnsi="Arial" w:cs="Times New Roman"/>
      <w:b/>
      <w:bCs/>
      <w:color w:val="FFFFF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4F5D"/>
    <w:rPr>
      <w:sz w:val="16"/>
      <w:szCs w:val="16"/>
    </w:rPr>
  </w:style>
  <w:style w:type="paragraph" w:styleId="CommentText">
    <w:name w:val="annotation text"/>
    <w:basedOn w:val="Normal"/>
    <w:link w:val="CommentTextChar"/>
    <w:uiPriority w:val="99"/>
    <w:semiHidden/>
    <w:unhideWhenUsed/>
    <w:rsid w:val="00114F5D"/>
    <w:pPr>
      <w:spacing w:line="240" w:lineRule="auto"/>
    </w:pPr>
    <w:rPr>
      <w:sz w:val="20"/>
      <w:szCs w:val="20"/>
    </w:rPr>
  </w:style>
  <w:style w:type="character" w:customStyle="1" w:styleId="CommentTextChar">
    <w:name w:val="Comment Text Char"/>
    <w:basedOn w:val="DefaultParagraphFont"/>
    <w:link w:val="CommentText"/>
    <w:uiPriority w:val="99"/>
    <w:semiHidden/>
    <w:rsid w:val="00114F5D"/>
    <w:rPr>
      <w:sz w:val="20"/>
      <w:szCs w:val="20"/>
    </w:rPr>
  </w:style>
  <w:style w:type="paragraph" w:styleId="BalloonText">
    <w:name w:val="Balloon Text"/>
    <w:basedOn w:val="Normal"/>
    <w:link w:val="BalloonTextChar"/>
    <w:uiPriority w:val="99"/>
    <w:semiHidden/>
    <w:unhideWhenUsed/>
    <w:rsid w:val="00114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F5D"/>
    <w:rPr>
      <w:rFonts w:ascii="Segoe UI" w:hAnsi="Segoe UI" w:cs="Segoe UI"/>
      <w:sz w:val="18"/>
      <w:szCs w:val="18"/>
    </w:rPr>
  </w:style>
  <w:style w:type="character" w:styleId="Hyperlink">
    <w:name w:val="Hyperlink"/>
    <w:basedOn w:val="DefaultParagraphFont"/>
    <w:uiPriority w:val="99"/>
    <w:unhideWhenUsed/>
    <w:rsid w:val="00767658"/>
    <w:rPr>
      <w:color w:val="0563C1" w:themeColor="hyperlink"/>
      <w:u w:val="single"/>
    </w:rPr>
  </w:style>
  <w:style w:type="character" w:styleId="FollowedHyperlink">
    <w:name w:val="FollowedHyperlink"/>
    <w:basedOn w:val="DefaultParagraphFont"/>
    <w:uiPriority w:val="99"/>
    <w:semiHidden/>
    <w:unhideWhenUsed/>
    <w:rsid w:val="003134D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B549A"/>
    <w:rPr>
      <w:b/>
      <w:bCs/>
    </w:rPr>
  </w:style>
  <w:style w:type="character" w:customStyle="1" w:styleId="CommentSubjectChar">
    <w:name w:val="Comment Subject Char"/>
    <w:basedOn w:val="CommentTextChar"/>
    <w:link w:val="CommentSubject"/>
    <w:uiPriority w:val="99"/>
    <w:semiHidden/>
    <w:rsid w:val="007B549A"/>
    <w:rPr>
      <w:b/>
      <w:bCs/>
      <w:sz w:val="20"/>
      <w:szCs w:val="20"/>
    </w:rPr>
  </w:style>
  <w:style w:type="character" w:styleId="Strong">
    <w:name w:val="Strong"/>
    <w:basedOn w:val="DefaultParagraphFont"/>
    <w:uiPriority w:val="22"/>
    <w:qFormat/>
    <w:rsid w:val="00ED64B8"/>
    <w:rPr>
      <w:b/>
      <w:bCs/>
    </w:rPr>
  </w:style>
  <w:style w:type="character" w:customStyle="1" w:styleId="GrantGuidelinesListChar">
    <w:name w:val="Grant Guidelines List Char"/>
    <w:basedOn w:val="DefaultParagraphFont"/>
    <w:link w:val="GrantGuidelinesList"/>
    <w:locked/>
    <w:rsid w:val="0029196C"/>
    <w:rPr>
      <w:rFonts w:ascii="Arial" w:hAnsi="Arial" w:cs="Arial"/>
      <w:bCs/>
    </w:rPr>
  </w:style>
  <w:style w:type="paragraph" w:customStyle="1" w:styleId="GrantGuidelinesList">
    <w:name w:val="Grant Guidelines List"/>
    <w:basedOn w:val="Normal"/>
    <w:link w:val="GrantGuidelinesListChar"/>
    <w:qFormat/>
    <w:rsid w:val="0029196C"/>
    <w:pPr>
      <w:numPr>
        <w:numId w:val="3"/>
      </w:numPr>
      <w:spacing w:before="120" w:after="120" w:line="285" w:lineRule="atLeast"/>
    </w:pPr>
    <w:rPr>
      <w:rFonts w:ascii="Arial" w:hAnsi="Arial" w:cs="Arial"/>
      <w:bCs/>
    </w:rPr>
  </w:style>
  <w:style w:type="paragraph" w:customStyle="1" w:styleId="StyleHeading2IRD">
    <w:name w:val="Style Heading2 IRD"/>
    <w:basedOn w:val="Normal"/>
    <w:rsid w:val="0029196C"/>
    <w:pPr>
      <w:numPr>
        <w:ilvl w:val="1"/>
        <w:numId w:val="4"/>
      </w:numPr>
      <w:tabs>
        <w:tab w:val="left" w:pos="993"/>
        <w:tab w:val="num" w:pos="1440"/>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rsid w:val="0029196C"/>
    <w:pPr>
      <w:numPr>
        <w:ilvl w:val="3"/>
        <w:numId w:val="4"/>
      </w:numPr>
      <w:tabs>
        <w:tab w:val="left" w:pos="0"/>
        <w:tab w:val="left" w:pos="993"/>
      </w:tabs>
      <w:spacing w:after="120" w:line="240" w:lineRule="auto"/>
    </w:pPr>
    <w:rPr>
      <w:rFonts w:ascii="Arial" w:eastAsia="Times New Roman" w:hAnsi="Arial" w:cs="Times New Roman"/>
      <w:sz w:val="24"/>
      <w:szCs w:val="24"/>
      <w:lang w:eastAsia="en-AU"/>
    </w:rPr>
  </w:style>
  <w:style w:type="character" w:customStyle="1" w:styleId="GrantGuidelinesSchemeSectionClauseA11Char">
    <w:name w:val="Grant Guidelines Scheme Section Clause (A1.1) Char"/>
    <w:basedOn w:val="DefaultParagraphFont"/>
    <w:link w:val="GrantGuidelinesSchemeSectionClauseA11"/>
    <w:locked/>
    <w:rsid w:val="0029196C"/>
    <w:rPr>
      <w:szCs w:val="24"/>
    </w:rPr>
  </w:style>
  <w:style w:type="paragraph" w:customStyle="1" w:styleId="GrantGuidelinesSchemeSectionClauseA11">
    <w:name w:val="Grant Guidelines Scheme Section Clause (A1.1)"/>
    <w:basedOn w:val="Paralevel1"/>
    <w:link w:val="GrantGuidelinesSchemeSectionClauseA11Char"/>
    <w:qFormat/>
    <w:rsid w:val="0029196C"/>
    <w:pPr>
      <w:numPr>
        <w:ilvl w:val="2"/>
      </w:numPr>
      <w:tabs>
        <w:tab w:val="clear" w:pos="0"/>
        <w:tab w:val="clear" w:pos="993"/>
      </w:tabs>
      <w:spacing w:before="240" w:line="285" w:lineRule="atLeast"/>
      <w:ind w:left="851" w:hanging="851"/>
    </w:pPr>
    <w:rPr>
      <w:rFonts w:asciiTheme="minorHAnsi" w:eastAsiaTheme="minorHAnsi" w:hAnsiTheme="minorHAnsi" w:cstheme="minorBidi"/>
      <w:sz w:val="22"/>
      <w:lang w:eastAsia="en-US"/>
    </w:rPr>
  </w:style>
  <w:style w:type="paragraph" w:customStyle="1" w:styleId="GrantGuidelinesSchemeHeading1PartA">
    <w:name w:val="Grant Guidelines Scheme Heading 1 (Part A)"/>
    <w:basedOn w:val="Normal"/>
    <w:qFormat/>
    <w:rsid w:val="0029196C"/>
    <w:pPr>
      <w:keepNext/>
      <w:keepLines/>
      <w:numPr>
        <w:numId w:val="4"/>
      </w:numPr>
      <w:suppressAutoHyphens/>
      <w:spacing w:before="360" w:after="120" w:line="460" w:lineRule="atLeast"/>
      <w:ind w:left="851" w:hanging="851"/>
      <w:contextualSpacing/>
      <w:outlineLvl w:val="0"/>
    </w:pPr>
    <w:rPr>
      <w:rFonts w:asciiTheme="majorHAnsi" w:eastAsiaTheme="majorEastAsia" w:hAnsiTheme="majorHAnsi" w:cstheme="majorBidi"/>
      <w:b/>
      <w:bCs/>
      <w:color w:val="44546A" w:themeColor="text2"/>
      <w:sz w:val="32"/>
      <w:szCs w:val="28"/>
    </w:rPr>
  </w:style>
  <w:style w:type="paragraph" w:styleId="ListParagraph">
    <w:name w:val="List Paragraph"/>
    <w:basedOn w:val="Normal"/>
    <w:link w:val="ListParagraphChar"/>
    <w:uiPriority w:val="34"/>
    <w:qFormat/>
    <w:rsid w:val="0037444C"/>
    <w:pPr>
      <w:ind w:left="720"/>
      <w:contextualSpacing/>
    </w:pPr>
  </w:style>
  <w:style w:type="paragraph" w:styleId="Title">
    <w:name w:val="Title"/>
    <w:basedOn w:val="Normal"/>
    <w:next w:val="Normal"/>
    <w:link w:val="TitleChar"/>
    <w:uiPriority w:val="10"/>
    <w:qFormat/>
    <w:rsid w:val="00B65EA5"/>
    <w:pPr>
      <w:spacing w:after="120" w:line="240" w:lineRule="auto"/>
      <w:contextualSpacing/>
    </w:pPr>
    <w:rPr>
      <w:rFonts w:ascii="Cambria" w:eastAsia="Times New Roman" w:hAnsi="Cambria" w:cs="Times New Roman"/>
      <w:color w:val="1F497D"/>
      <w:spacing w:val="30"/>
      <w:kern w:val="28"/>
      <w:sz w:val="96"/>
      <w:szCs w:val="52"/>
    </w:rPr>
  </w:style>
  <w:style w:type="character" w:customStyle="1" w:styleId="TitleChar">
    <w:name w:val="Title Char"/>
    <w:basedOn w:val="DefaultParagraphFont"/>
    <w:link w:val="Title"/>
    <w:uiPriority w:val="10"/>
    <w:rsid w:val="00B65EA5"/>
    <w:rPr>
      <w:rFonts w:ascii="Cambria" w:eastAsia="Times New Roman" w:hAnsi="Cambria" w:cs="Times New Roman"/>
      <w:color w:val="1F497D"/>
      <w:spacing w:val="30"/>
      <w:kern w:val="28"/>
      <w:sz w:val="96"/>
      <w:szCs w:val="52"/>
    </w:rPr>
  </w:style>
  <w:style w:type="character" w:customStyle="1" w:styleId="Heading1Char">
    <w:name w:val="Heading 1 Char"/>
    <w:basedOn w:val="DefaultParagraphFont"/>
    <w:link w:val="Heading1"/>
    <w:uiPriority w:val="9"/>
    <w:rsid w:val="00DA0158"/>
    <w:rPr>
      <w:rFonts w:ascii="Arial" w:eastAsia="Times New Roman" w:hAnsi="Arial" w:cs="Times New Roman"/>
      <w:b/>
      <w:bCs/>
      <w:color w:val="FFFFFF"/>
      <w:sz w:val="32"/>
      <w:szCs w:val="28"/>
      <w:shd w:val="clear" w:color="auto" w:fill="1F497D"/>
    </w:rPr>
  </w:style>
  <w:style w:type="paragraph" w:styleId="Header">
    <w:name w:val="header"/>
    <w:basedOn w:val="Normal"/>
    <w:link w:val="HeaderChar"/>
    <w:uiPriority w:val="99"/>
    <w:unhideWhenUsed/>
    <w:rsid w:val="004F6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1FE"/>
  </w:style>
  <w:style w:type="paragraph" w:styleId="Footer">
    <w:name w:val="footer"/>
    <w:basedOn w:val="Normal"/>
    <w:link w:val="FooterChar"/>
    <w:uiPriority w:val="99"/>
    <w:unhideWhenUsed/>
    <w:rsid w:val="004F6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1FE"/>
  </w:style>
  <w:style w:type="table" w:styleId="GridTable6Colorful-Accent5">
    <w:name w:val="Grid Table 6 Colorful Accent 5"/>
    <w:basedOn w:val="TableNormal"/>
    <w:uiPriority w:val="51"/>
    <w:rsid w:val="00CA724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3F287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3F287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1">
    <w:name w:val="Grid Table 1 Light Accent 1"/>
    <w:basedOn w:val="TableNormal"/>
    <w:uiPriority w:val="46"/>
    <w:rsid w:val="00103CE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3C084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AA63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link w:val="ListParagraph"/>
    <w:uiPriority w:val="34"/>
    <w:locked/>
    <w:rsid w:val="004073F4"/>
  </w:style>
  <w:style w:type="character" w:customStyle="1" w:styleId="normaltextrun">
    <w:name w:val="normaltextrun"/>
    <w:basedOn w:val="DefaultParagraphFont"/>
    <w:rsid w:val="0089237C"/>
  </w:style>
  <w:style w:type="character" w:customStyle="1" w:styleId="eop">
    <w:name w:val="eop"/>
    <w:basedOn w:val="DefaultParagraphFont"/>
    <w:rsid w:val="002B7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90794">
      <w:bodyDiv w:val="1"/>
      <w:marLeft w:val="0"/>
      <w:marRight w:val="0"/>
      <w:marTop w:val="0"/>
      <w:marBottom w:val="0"/>
      <w:divBdr>
        <w:top w:val="none" w:sz="0" w:space="0" w:color="auto"/>
        <w:left w:val="none" w:sz="0" w:space="0" w:color="auto"/>
        <w:bottom w:val="none" w:sz="0" w:space="0" w:color="auto"/>
        <w:right w:val="none" w:sz="0" w:space="0" w:color="auto"/>
      </w:divBdr>
    </w:div>
    <w:div w:id="1132334012">
      <w:bodyDiv w:val="1"/>
      <w:marLeft w:val="0"/>
      <w:marRight w:val="0"/>
      <w:marTop w:val="0"/>
      <w:marBottom w:val="0"/>
      <w:divBdr>
        <w:top w:val="none" w:sz="0" w:space="0" w:color="auto"/>
        <w:left w:val="none" w:sz="0" w:space="0" w:color="auto"/>
        <w:bottom w:val="none" w:sz="0" w:space="0" w:color="auto"/>
        <w:right w:val="none" w:sz="0" w:space="0" w:color="auto"/>
      </w:divBdr>
    </w:div>
    <w:div w:id="1216771648">
      <w:bodyDiv w:val="1"/>
      <w:marLeft w:val="0"/>
      <w:marRight w:val="0"/>
      <w:marTop w:val="0"/>
      <w:marBottom w:val="0"/>
      <w:divBdr>
        <w:top w:val="none" w:sz="0" w:space="0" w:color="auto"/>
        <w:left w:val="none" w:sz="0" w:space="0" w:color="auto"/>
        <w:bottom w:val="none" w:sz="0" w:space="0" w:color="auto"/>
        <w:right w:val="none" w:sz="0" w:space="0" w:color="auto"/>
      </w:divBdr>
    </w:div>
    <w:div w:id="1216812458">
      <w:bodyDiv w:val="1"/>
      <w:marLeft w:val="0"/>
      <w:marRight w:val="0"/>
      <w:marTop w:val="0"/>
      <w:marBottom w:val="0"/>
      <w:divBdr>
        <w:top w:val="none" w:sz="0" w:space="0" w:color="auto"/>
        <w:left w:val="none" w:sz="0" w:space="0" w:color="auto"/>
        <w:bottom w:val="none" w:sz="0" w:space="0" w:color="auto"/>
        <w:right w:val="none" w:sz="0" w:space="0" w:color="auto"/>
      </w:divBdr>
    </w:div>
    <w:div w:id="1326930895">
      <w:bodyDiv w:val="1"/>
      <w:marLeft w:val="0"/>
      <w:marRight w:val="0"/>
      <w:marTop w:val="0"/>
      <w:marBottom w:val="0"/>
      <w:divBdr>
        <w:top w:val="none" w:sz="0" w:space="0" w:color="auto"/>
        <w:left w:val="none" w:sz="0" w:space="0" w:color="auto"/>
        <w:bottom w:val="none" w:sz="0" w:space="0" w:color="auto"/>
        <w:right w:val="none" w:sz="0" w:space="0" w:color="auto"/>
      </w:divBdr>
    </w:div>
    <w:div w:id="195678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e.gov.au/government/commonwealth-grants/commonwealth-grants-rules-and-guideline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arc.gov.au/policies-strategies/policy/eligibility-and-career-interruptions-stateme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8fa4970-7f82-475f-885f-ec033aa4af35" xsi:nil="true"/>
  </documentManagement>
</p:properties>
</file>

<file path=customXml/itemProps1.xml><?xml version="1.0" encoding="utf-8"?>
<ds:datastoreItem xmlns:ds="http://schemas.openxmlformats.org/officeDocument/2006/customXml" ds:itemID="{7A3BC3C9-4ABA-4627-9FF2-B9290C7E4601}">
  <ds:schemaRefs>
    <ds:schemaRef ds:uri="http://schemas.openxmlformats.org/officeDocument/2006/bibliography"/>
  </ds:schemaRefs>
</ds:datastoreItem>
</file>

<file path=customXml/itemProps2.xml><?xml version="1.0" encoding="utf-8"?>
<ds:datastoreItem xmlns:ds="http://schemas.openxmlformats.org/officeDocument/2006/customXml" ds:itemID="{2DE31C60-B458-4264-AF61-8C9BFFBCE0E0}"/>
</file>

<file path=customXml/itemProps3.xml><?xml version="1.0" encoding="utf-8"?>
<ds:datastoreItem xmlns:ds="http://schemas.openxmlformats.org/officeDocument/2006/customXml" ds:itemID="{521F378E-AA66-49EF-B47A-2356945D43F4}"/>
</file>

<file path=customXml/itemProps4.xml><?xml version="1.0" encoding="utf-8"?>
<ds:datastoreItem xmlns:ds="http://schemas.openxmlformats.org/officeDocument/2006/customXml" ds:itemID="{C2227599-248E-46A3-8491-6177BD7E5591}"/>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2022-06-14T03:40:00Z</dcterms:created>
  <dcterms:modified xsi:type="dcterms:W3CDTF">2022-06-14T03:40:00Z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ies>
</file>