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32E844" w14:textId="77777777" w:rsidR="00A966D8" w:rsidRPr="009C464D" w:rsidRDefault="5BC019D1" w:rsidP="00AE15DF">
      <w:pPr>
        <w:shd w:val="clear" w:color="auto" w:fill="FFFFFF" w:themeFill="background1"/>
        <w:jc w:val="center"/>
        <w:rPr>
          <w:rFonts w:asciiTheme="majorHAnsi" w:eastAsia="Times New Roman" w:hAnsiTheme="majorHAnsi" w:cstheme="majorHAnsi"/>
          <w:spacing w:val="30"/>
          <w:kern w:val="28"/>
          <w:sz w:val="96"/>
          <w:szCs w:val="52"/>
        </w:rPr>
      </w:pPr>
      <w:r>
        <w:rPr>
          <w:noProof/>
        </w:rPr>
        <w:drawing>
          <wp:inline distT="0" distB="0" distL="0" distR="0" wp14:anchorId="44FC9386" wp14:editId="09909AB0">
            <wp:extent cx="2762250" cy="1718451"/>
            <wp:effectExtent l="0" t="0" r="0" b="0"/>
            <wp:docPr id="6" name="Picture 6" descr="ARC logo." title="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2762250" cy="1718451"/>
                    </a:xfrm>
                    <a:prstGeom prst="rect">
                      <a:avLst/>
                    </a:prstGeom>
                  </pic:spPr>
                </pic:pic>
              </a:graphicData>
            </a:graphic>
          </wp:inline>
        </w:drawing>
      </w:r>
    </w:p>
    <w:p w14:paraId="4405382B" w14:textId="77777777" w:rsidR="009C464D" w:rsidRPr="009C464D" w:rsidRDefault="009C464D" w:rsidP="00AE15DF">
      <w:pPr>
        <w:shd w:val="clear" w:color="auto" w:fill="FFFFFF" w:themeFill="background1"/>
        <w:jc w:val="both"/>
        <w:rPr>
          <w:rFonts w:asciiTheme="majorHAnsi" w:eastAsia="Times New Roman" w:hAnsiTheme="majorHAnsi" w:cstheme="majorHAnsi"/>
          <w:b/>
          <w:spacing w:val="30"/>
          <w:kern w:val="28"/>
          <w:sz w:val="56"/>
          <w:szCs w:val="56"/>
        </w:rPr>
      </w:pPr>
    </w:p>
    <w:p w14:paraId="17489DB2" w14:textId="54D2D53E" w:rsidR="00E114A5" w:rsidRPr="009C464D" w:rsidRDefault="00A966D8" w:rsidP="00021FC8">
      <w:pPr>
        <w:pStyle w:val="Title"/>
      </w:pPr>
      <w:r w:rsidRPr="009C464D">
        <w:t>Evaluation of the Discovery Projects scheme</w:t>
      </w:r>
    </w:p>
    <w:p w14:paraId="57D6617F" w14:textId="77777777" w:rsidR="00A966D8" w:rsidRPr="009C464D" w:rsidRDefault="00A966D8" w:rsidP="00021FC8">
      <w:pPr>
        <w:shd w:val="clear" w:color="auto" w:fill="FFFFFF" w:themeFill="background1"/>
        <w:rPr>
          <w:rFonts w:asciiTheme="majorHAnsi" w:eastAsia="Times New Roman" w:hAnsiTheme="majorHAnsi" w:cstheme="majorHAnsi"/>
          <w:b/>
          <w:spacing w:val="30"/>
          <w:kern w:val="28"/>
          <w:sz w:val="40"/>
          <w:szCs w:val="40"/>
        </w:rPr>
      </w:pPr>
      <w:r w:rsidRPr="009C464D">
        <w:rPr>
          <w:rFonts w:asciiTheme="majorHAnsi" w:eastAsia="Times New Roman" w:hAnsiTheme="majorHAnsi" w:cstheme="majorHAnsi"/>
          <w:b/>
          <w:spacing w:val="30"/>
          <w:kern w:val="28"/>
          <w:sz w:val="40"/>
          <w:szCs w:val="40"/>
        </w:rPr>
        <w:t>Final report</w:t>
      </w:r>
    </w:p>
    <w:p w14:paraId="566728F1" w14:textId="77777777" w:rsidR="00A966D8" w:rsidRPr="009C464D" w:rsidRDefault="00A966D8" w:rsidP="002924B8">
      <w:pPr>
        <w:shd w:val="clear" w:color="auto" w:fill="FFFFFF" w:themeFill="background1"/>
        <w:rPr>
          <w:rFonts w:asciiTheme="majorHAnsi" w:hAnsiTheme="majorHAnsi" w:cstheme="majorHAnsi"/>
          <w:lang w:val="en-US"/>
        </w:rPr>
      </w:pPr>
    </w:p>
    <w:p w14:paraId="4E9A7D4B" w14:textId="77777777" w:rsidR="00A966D8" w:rsidRPr="009C464D" w:rsidRDefault="00A966D8" w:rsidP="002924B8">
      <w:pPr>
        <w:shd w:val="clear" w:color="auto" w:fill="FFFFFF" w:themeFill="background1"/>
        <w:spacing w:after="0" w:line="240" w:lineRule="auto"/>
        <w:rPr>
          <w:rFonts w:asciiTheme="majorHAnsi" w:eastAsia="Calibri" w:hAnsiTheme="majorHAnsi" w:cstheme="majorHAnsi"/>
          <w:sz w:val="24"/>
          <w:szCs w:val="24"/>
        </w:rPr>
      </w:pPr>
      <w:r w:rsidRPr="009C464D">
        <w:rPr>
          <w:rFonts w:asciiTheme="majorHAnsi" w:eastAsia="Calibri" w:hAnsiTheme="majorHAnsi" w:cstheme="majorHAnsi"/>
          <w:sz w:val="24"/>
          <w:szCs w:val="24"/>
        </w:rPr>
        <w:t>Australian Research Council</w:t>
      </w:r>
    </w:p>
    <w:p w14:paraId="17C574A0" w14:textId="58343338" w:rsidR="00A966D8" w:rsidRPr="009C464D" w:rsidRDefault="00A966D8" w:rsidP="002924B8">
      <w:pPr>
        <w:shd w:val="clear" w:color="auto" w:fill="FFFFFF" w:themeFill="background1"/>
        <w:spacing w:after="0" w:line="240" w:lineRule="auto"/>
        <w:rPr>
          <w:rFonts w:asciiTheme="majorHAnsi" w:eastAsia="Calibri" w:hAnsiTheme="majorHAnsi" w:cstheme="majorHAnsi"/>
          <w:sz w:val="24"/>
          <w:szCs w:val="24"/>
        </w:rPr>
      </w:pPr>
      <w:r w:rsidRPr="009C464D">
        <w:rPr>
          <w:rFonts w:asciiTheme="majorHAnsi" w:eastAsia="Calibri" w:hAnsiTheme="majorHAnsi" w:cstheme="majorHAnsi"/>
          <w:sz w:val="24"/>
          <w:szCs w:val="24"/>
        </w:rPr>
        <w:t xml:space="preserve">Program Evaluation </w:t>
      </w:r>
      <w:r w:rsidR="007A56AA">
        <w:rPr>
          <w:rFonts w:asciiTheme="majorHAnsi" w:eastAsia="Calibri" w:hAnsiTheme="majorHAnsi" w:cstheme="majorHAnsi"/>
          <w:sz w:val="24"/>
          <w:szCs w:val="24"/>
        </w:rPr>
        <w:t>S</w:t>
      </w:r>
      <w:r w:rsidRPr="009C464D">
        <w:rPr>
          <w:rFonts w:asciiTheme="majorHAnsi" w:eastAsia="Calibri" w:hAnsiTheme="majorHAnsi" w:cstheme="majorHAnsi"/>
          <w:sz w:val="24"/>
          <w:szCs w:val="24"/>
        </w:rPr>
        <w:t>ection</w:t>
      </w:r>
    </w:p>
    <w:p w14:paraId="0D17D174" w14:textId="77777777" w:rsidR="00A966D8" w:rsidRPr="009C464D" w:rsidRDefault="00A966D8" w:rsidP="002924B8">
      <w:pPr>
        <w:shd w:val="clear" w:color="auto" w:fill="FFFFFF" w:themeFill="background1"/>
        <w:spacing w:after="0" w:line="240" w:lineRule="auto"/>
        <w:rPr>
          <w:rFonts w:asciiTheme="majorHAnsi" w:eastAsia="Calibri" w:hAnsiTheme="majorHAnsi" w:cstheme="majorHAnsi"/>
          <w:sz w:val="24"/>
          <w:szCs w:val="24"/>
        </w:rPr>
      </w:pPr>
    </w:p>
    <w:p w14:paraId="65CB12E0" w14:textId="50A7DC20" w:rsidR="00A966D8" w:rsidRPr="009C464D" w:rsidRDefault="00095750" w:rsidP="002924B8">
      <w:pPr>
        <w:shd w:val="clear" w:color="auto" w:fill="FFFFFF" w:themeFill="background1"/>
        <w:spacing w:after="0"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November </w:t>
      </w:r>
      <w:r w:rsidR="00A966D8" w:rsidRPr="009C464D">
        <w:rPr>
          <w:rFonts w:asciiTheme="majorHAnsi" w:eastAsia="Calibri" w:hAnsiTheme="majorHAnsi" w:cstheme="majorHAnsi"/>
          <w:sz w:val="24"/>
          <w:szCs w:val="24"/>
        </w:rPr>
        <w:t>2020</w:t>
      </w:r>
    </w:p>
    <w:p w14:paraId="3A9FFD02" w14:textId="77777777" w:rsidR="00A966D8" w:rsidRPr="009C464D" w:rsidRDefault="00A966D8" w:rsidP="00AE15DF">
      <w:pPr>
        <w:shd w:val="clear" w:color="auto" w:fill="FFFFFF" w:themeFill="background1"/>
        <w:spacing w:after="0" w:line="240" w:lineRule="auto"/>
        <w:jc w:val="both"/>
        <w:rPr>
          <w:rFonts w:asciiTheme="majorHAnsi" w:eastAsia="Calibri" w:hAnsiTheme="majorHAnsi" w:cstheme="majorHAnsi"/>
          <w:sz w:val="24"/>
          <w:szCs w:val="24"/>
        </w:rPr>
      </w:pPr>
    </w:p>
    <w:p w14:paraId="26BA0334" w14:textId="77777777" w:rsidR="00A966D8" w:rsidRPr="009C464D" w:rsidRDefault="00A966D8" w:rsidP="00AE15DF">
      <w:pPr>
        <w:shd w:val="clear" w:color="auto" w:fill="FFFFFF" w:themeFill="background1"/>
        <w:spacing w:after="0" w:line="240" w:lineRule="auto"/>
        <w:jc w:val="both"/>
        <w:rPr>
          <w:rFonts w:asciiTheme="majorHAnsi" w:eastAsia="Calibri" w:hAnsiTheme="majorHAnsi" w:cstheme="majorHAnsi"/>
          <w:sz w:val="24"/>
          <w:szCs w:val="24"/>
        </w:rPr>
      </w:pPr>
    </w:p>
    <w:p w14:paraId="4919B4B0" w14:textId="77777777" w:rsidR="00A966D8" w:rsidRPr="009C464D" w:rsidRDefault="00A966D8" w:rsidP="00AE15DF">
      <w:pPr>
        <w:shd w:val="clear" w:color="auto" w:fill="FFFFFF" w:themeFill="background1"/>
        <w:spacing w:after="0" w:line="240" w:lineRule="auto"/>
        <w:jc w:val="both"/>
        <w:rPr>
          <w:rFonts w:asciiTheme="majorHAnsi" w:eastAsia="Calibri" w:hAnsiTheme="majorHAnsi" w:cstheme="majorHAnsi"/>
          <w:sz w:val="24"/>
          <w:szCs w:val="24"/>
        </w:rPr>
      </w:pPr>
    </w:p>
    <w:p w14:paraId="7A3592C2" w14:textId="77777777" w:rsidR="00A966D8" w:rsidRPr="009C464D" w:rsidRDefault="00A966D8" w:rsidP="00AE15DF">
      <w:pPr>
        <w:shd w:val="clear" w:color="auto" w:fill="FFFFFF" w:themeFill="background1"/>
        <w:spacing w:after="0" w:line="240" w:lineRule="auto"/>
        <w:jc w:val="both"/>
        <w:rPr>
          <w:rFonts w:asciiTheme="majorHAnsi" w:eastAsia="Calibri" w:hAnsiTheme="majorHAnsi" w:cstheme="majorHAnsi"/>
          <w:sz w:val="24"/>
          <w:szCs w:val="24"/>
        </w:rPr>
      </w:pPr>
    </w:p>
    <w:p w14:paraId="744C1FF9" w14:textId="77777777" w:rsidR="00A966D8" w:rsidRPr="009C464D" w:rsidRDefault="00A966D8" w:rsidP="00AE15DF">
      <w:pPr>
        <w:shd w:val="clear" w:color="auto" w:fill="FFFFFF" w:themeFill="background1"/>
        <w:spacing w:after="0" w:line="240" w:lineRule="auto"/>
        <w:jc w:val="both"/>
        <w:rPr>
          <w:rFonts w:asciiTheme="majorHAnsi" w:eastAsia="Calibri" w:hAnsiTheme="majorHAnsi" w:cstheme="majorHAnsi"/>
          <w:sz w:val="24"/>
          <w:szCs w:val="24"/>
        </w:rPr>
      </w:pPr>
    </w:p>
    <w:p w14:paraId="27738B45" w14:textId="005B6A28" w:rsidR="00C81D6A" w:rsidRDefault="00C81D6A" w:rsidP="00751469">
      <w:pPr>
        <w:pStyle w:val="FigureTitle"/>
      </w:pPr>
      <w:r>
        <w:br w:type="page"/>
      </w:r>
    </w:p>
    <w:sdt>
      <w:sdtPr>
        <w:rPr>
          <w:rFonts w:asciiTheme="minorHAnsi" w:eastAsiaTheme="minorHAnsi" w:hAnsiTheme="minorHAnsi" w:cstheme="minorBidi"/>
          <w:b w:val="0"/>
          <w:bCs w:val="0"/>
          <w:sz w:val="22"/>
          <w:szCs w:val="22"/>
        </w:rPr>
        <w:id w:val="-1448842577"/>
        <w:docPartObj>
          <w:docPartGallery w:val="Table of Contents"/>
          <w:docPartUnique/>
        </w:docPartObj>
      </w:sdtPr>
      <w:sdtEndPr/>
      <w:sdtContent>
        <w:p w14:paraId="3A10AF12" w14:textId="2BD9926A" w:rsidR="00170B1A" w:rsidRDefault="00170B1A" w:rsidP="00586EC3">
          <w:pPr>
            <w:pStyle w:val="TOCHeading"/>
            <w:numPr>
              <w:ilvl w:val="0"/>
              <w:numId w:val="0"/>
            </w:numPr>
            <w:ind w:left="432" w:hanging="432"/>
          </w:pPr>
          <w:r>
            <w:t>Contents</w:t>
          </w:r>
        </w:p>
        <w:p w14:paraId="161702DC" w14:textId="360F021E" w:rsidR="009D3952" w:rsidRDefault="00170B1A">
          <w:pPr>
            <w:pStyle w:val="TOC1"/>
            <w:rPr>
              <w:rFonts w:asciiTheme="minorHAnsi" w:eastAsiaTheme="minorEastAsia" w:hAnsiTheme="minorHAnsi" w:cstheme="minorBidi"/>
              <w:b w:val="0"/>
              <w:bCs w:val="0"/>
              <w:szCs w:val="22"/>
              <w:lang w:eastAsia="en-AU"/>
            </w:rPr>
          </w:pPr>
          <w:r>
            <w:fldChar w:fldCharType="begin"/>
          </w:r>
          <w:r>
            <w:instrText xml:space="preserve"> TOC \o "1-3" \h \z \u </w:instrText>
          </w:r>
          <w:r>
            <w:fldChar w:fldCharType="separate"/>
          </w:r>
          <w:hyperlink w:anchor="_Toc55544751" w:history="1">
            <w:r w:rsidR="009D3952" w:rsidRPr="00F8440C">
              <w:rPr>
                <w:rStyle w:val="Hyperlink"/>
              </w:rPr>
              <w:t>Abbreviations and glossary</w:t>
            </w:r>
            <w:r w:rsidR="009D3952">
              <w:rPr>
                <w:webHidden/>
              </w:rPr>
              <w:tab/>
            </w:r>
            <w:r w:rsidR="009D3952">
              <w:rPr>
                <w:webHidden/>
              </w:rPr>
              <w:fldChar w:fldCharType="begin"/>
            </w:r>
            <w:r w:rsidR="009D3952">
              <w:rPr>
                <w:webHidden/>
              </w:rPr>
              <w:instrText xml:space="preserve"> PAGEREF _Toc55544751 \h </w:instrText>
            </w:r>
            <w:r w:rsidR="009D3952">
              <w:rPr>
                <w:webHidden/>
              </w:rPr>
            </w:r>
            <w:r w:rsidR="009D3952">
              <w:rPr>
                <w:webHidden/>
              </w:rPr>
              <w:fldChar w:fldCharType="separate"/>
            </w:r>
            <w:r w:rsidR="00AB03D7">
              <w:rPr>
                <w:webHidden/>
              </w:rPr>
              <w:t>4</w:t>
            </w:r>
            <w:r w:rsidR="009D3952">
              <w:rPr>
                <w:webHidden/>
              </w:rPr>
              <w:fldChar w:fldCharType="end"/>
            </w:r>
          </w:hyperlink>
        </w:p>
        <w:p w14:paraId="0BD55E95" w14:textId="4C18C39E" w:rsidR="009D3952" w:rsidRDefault="00857467">
          <w:pPr>
            <w:pStyle w:val="TOC1"/>
            <w:rPr>
              <w:rFonts w:asciiTheme="minorHAnsi" w:eastAsiaTheme="minorEastAsia" w:hAnsiTheme="minorHAnsi" w:cstheme="minorBidi"/>
              <w:b w:val="0"/>
              <w:bCs w:val="0"/>
              <w:szCs w:val="22"/>
              <w:lang w:eastAsia="en-AU"/>
            </w:rPr>
          </w:pPr>
          <w:hyperlink w:anchor="_Toc55544752" w:history="1">
            <w:r w:rsidR="009D3952" w:rsidRPr="00F8440C">
              <w:rPr>
                <w:rStyle w:val="Hyperlink"/>
              </w:rPr>
              <w:t>Executive summary</w:t>
            </w:r>
            <w:r w:rsidR="009D3952">
              <w:rPr>
                <w:webHidden/>
              </w:rPr>
              <w:tab/>
            </w:r>
            <w:r w:rsidR="009D3952">
              <w:rPr>
                <w:webHidden/>
              </w:rPr>
              <w:fldChar w:fldCharType="begin"/>
            </w:r>
            <w:r w:rsidR="009D3952">
              <w:rPr>
                <w:webHidden/>
              </w:rPr>
              <w:instrText xml:space="preserve"> PAGEREF _Toc55544752 \h </w:instrText>
            </w:r>
            <w:r w:rsidR="009D3952">
              <w:rPr>
                <w:webHidden/>
              </w:rPr>
            </w:r>
            <w:r w:rsidR="009D3952">
              <w:rPr>
                <w:webHidden/>
              </w:rPr>
              <w:fldChar w:fldCharType="separate"/>
            </w:r>
            <w:r w:rsidR="00AB03D7">
              <w:rPr>
                <w:webHidden/>
              </w:rPr>
              <w:t>6</w:t>
            </w:r>
            <w:r w:rsidR="009D3952">
              <w:rPr>
                <w:webHidden/>
              </w:rPr>
              <w:fldChar w:fldCharType="end"/>
            </w:r>
          </w:hyperlink>
        </w:p>
        <w:p w14:paraId="139A3780" w14:textId="67853F10" w:rsidR="009D3952" w:rsidRDefault="00857467">
          <w:pPr>
            <w:pStyle w:val="TOC1"/>
            <w:rPr>
              <w:rFonts w:asciiTheme="minorHAnsi" w:eastAsiaTheme="minorEastAsia" w:hAnsiTheme="minorHAnsi" w:cstheme="minorBidi"/>
              <w:b w:val="0"/>
              <w:bCs w:val="0"/>
              <w:szCs w:val="22"/>
              <w:lang w:eastAsia="en-AU"/>
            </w:rPr>
          </w:pPr>
          <w:hyperlink w:anchor="_Toc55544753" w:history="1">
            <w:r w:rsidR="009D3952" w:rsidRPr="00F8440C">
              <w:rPr>
                <w:rStyle w:val="Hyperlink"/>
              </w:rPr>
              <w:t>Key findings</w:t>
            </w:r>
            <w:r w:rsidR="009D3952">
              <w:rPr>
                <w:webHidden/>
              </w:rPr>
              <w:tab/>
            </w:r>
            <w:r w:rsidR="009D3952">
              <w:rPr>
                <w:webHidden/>
              </w:rPr>
              <w:tab/>
            </w:r>
            <w:r w:rsidR="009D3952">
              <w:rPr>
                <w:webHidden/>
              </w:rPr>
              <w:fldChar w:fldCharType="begin"/>
            </w:r>
            <w:r w:rsidR="009D3952">
              <w:rPr>
                <w:webHidden/>
              </w:rPr>
              <w:instrText xml:space="preserve"> PAGEREF _Toc55544753 \h </w:instrText>
            </w:r>
            <w:r w:rsidR="009D3952">
              <w:rPr>
                <w:webHidden/>
              </w:rPr>
            </w:r>
            <w:r w:rsidR="009D3952">
              <w:rPr>
                <w:webHidden/>
              </w:rPr>
              <w:fldChar w:fldCharType="separate"/>
            </w:r>
            <w:r w:rsidR="00AB03D7">
              <w:rPr>
                <w:webHidden/>
              </w:rPr>
              <w:t>7</w:t>
            </w:r>
            <w:r w:rsidR="009D3952">
              <w:rPr>
                <w:webHidden/>
              </w:rPr>
              <w:fldChar w:fldCharType="end"/>
            </w:r>
          </w:hyperlink>
        </w:p>
        <w:p w14:paraId="1E4FD3E9" w14:textId="5F0DC597" w:rsidR="009D3952" w:rsidRDefault="00857467">
          <w:pPr>
            <w:pStyle w:val="TOC1"/>
            <w:rPr>
              <w:rFonts w:asciiTheme="minorHAnsi" w:eastAsiaTheme="minorEastAsia" w:hAnsiTheme="minorHAnsi" w:cstheme="minorBidi"/>
              <w:b w:val="0"/>
              <w:bCs w:val="0"/>
              <w:szCs w:val="22"/>
              <w:lang w:eastAsia="en-AU"/>
            </w:rPr>
          </w:pPr>
          <w:hyperlink w:anchor="_Toc55544754" w:history="1">
            <w:r w:rsidR="009D3952" w:rsidRPr="00F8440C">
              <w:rPr>
                <w:rStyle w:val="Hyperlink"/>
              </w:rPr>
              <w:t>Opportunities for improvement</w:t>
            </w:r>
            <w:r w:rsidR="009D3952">
              <w:rPr>
                <w:webHidden/>
              </w:rPr>
              <w:tab/>
            </w:r>
            <w:r w:rsidR="009D3952">
              <w:rPr>
                <w:webHidden/>
              </w:rPr>
              <w:fldChar w:fldCharType="begin"/>
            </w:r>
            <w:r w:rsidR="009D3952">
              <w:rPr>
                <w:webHidden/>
              </w:rPr>
              <w:instrText xml:space="preserve"> PAGEREF _Toc55544754 \h </w:instrText>
            </w:r>
            <w:r w:rsidR="009D3952">
              <w:rPr>
                <w:webHidden/>
              </w:rPr>
            </w:r>
            <w:r w:rsidR="009D3952">
              <w:rPr>
                <w:webHidden/>
              </w:rPr>
              <w:fldChar w:fldCharType="separate"/>
            </w:r>
            <w:r w:rsidR="00AB03D7">
              <w:rPr>
                <w:webHidden/>
              </w:rPr>
              <w:t>9</w:t>
            </w:r>
            <w:r w:rsidR="009D3952">
              <w:rPr>
                <w:webHidden/>
              </w:rPr>
              <w:fldChar w:fldCharType="end"/>
            </w:r>
          </w:hyperlink>
        </w:p>
        <w:p w14:paraId="77816423" w14:textId="071EC706" w:rsidR="009D3952" w:rsidRDefault="00857467">
          <w:pPr>
            <w:pStyle w:val="TOC1"/>
            <w:rPr>
              <w:rFonts w:asciiTheme="minorHAnsi" w:eastAsiaTheme="minorEastAsia" w:hAnsiTheme="minorHAnsi" w:cstheme="minorBidi"/>
              <w:b w:val="0"/>
              <w:bCs w:val="0"/>
              <w:szCs w:val="22"/>
              <w:lang w:eastAsia="en-AU"/>
            </w:rPr>
          </w:pPr>
          <w:hyperlink w:anchor="_Toc55544755" w:history="1">
            <w:r w:rsidR="009D3952" w:rsidRPr="00F8440C">
              <w:rPr>
                <w:rStyle w:val="Hyperlink"/>
                <w:rFonts w:eastAsia="Calibri"/>
              </w:rPr>
              <w:t>Part One: Evaluation overview</w:t>
            </w:r>
            <w:r w:rsidR="009D3952">
              <w:rPr>
                <w:webHidden/>
              </w:rPr>
              <w:tab/>
            </w:r>
            <w:r w:rsidR="009D3952">
              <w:rPr>
                <w:webHidden/>
              </w:rPr>
              <w:fldChar w:fldCharType="begin"/>
            </w:r>
            <w:r w:rsidR="009D3952">
              <w:rPr>
                <w:webHidden/>
              </w:rPr>
              <w:instrText xml:space="preserve"> PAGEREF _Toc55544755 \h </w:instrText>
            </w:r>
            <w:r w:rsidR="009D3952">
              <w:rPr>
                <w:webHidden/>
              </w:rPr>
            </w:r>
            <w:r w:rsidR="009D3952">
              <w:rPr>
                <w:webHidden/>
              </w:rPr>
              <w:fldChar w:fldCharType="separate"/>
            </w:r>
            <w:r w:rsidR="00AB03D7">
              <w:rPr>
                <w:webHidden/>
              </w:rPr>
              <w:t>13</w:t>
            </w:r>
            <w:r w:rsidR="009D3952">
              <w:rPr>
                <w:webHidden/>
              </w:rPr>
              <w:fldChar w:fldCharType="end"/>
            </w:r>
          </w:hyperlink>
        </w:p>
        <w:p w14:paraId="39EB9265" w14:textId="3C241B3D" w:rsidR="009D3952" w:rsidRDefault="00857467">
          <w:pPr>
            <w:pStyle w:val="TOC2"/>
            <w:rPr>
              <w:rFonts w:asciiTheme="minorHAnsi" w:eastAsiaTheme="minorEastAsia" w:hAnsiTheme="minorHAnsi" w:cstheme="minorBidi"/>
              <w:iCs w:val="0"/>
              <w:noProof/>
              <w:szCs w:val="22"/>
              <w:lang w:eastAsia="en-AU"/>
            </w:rPr>
          </w:pPr>
          <w:hyperlink w:anchor="_Toc55544756" w:history="1">
            <w:r w:rsidR="009D3952" w:rsidRPr="00F8440C">
              <w:rPr>
                <w:rStyle w:val="Hyperlink"/>
                <w:noProof/>
              </w:rPr>
              <w:t>1.1</w:t>
            </w:r>
            <w:r w:rsidR="009D3952">
              <w:rPr>
                <w:rFonts w:asciiTheme="minorHAnsi" w:eastAsiaTheme="minorEastAsia" w:hAnsiTheme="minorHAnsi" w:cstheme="minorBidi"/>
                <w:iCs w:val="0"/>
                <w:noProof/>
                <w:szCs w:val="22"/>
                <w:lang w:eastAsia="en-AU"/>
              </w:rPr>
              <w:tab/>
            </w:r>
            <w:r w:rsidR="009D3952" w:rsidRPr="00F8440C">
              <w:rPr>
                <w:rStyle w:val="Hyperlink"/>
                <w:noProof/>
              </w:rPr>
              <w:t>Background</w:t>
            </w:r>
            <w:r w:rsidR="009D3952">
              <w:rPr>
                <w:noProof/>
                <w:webHidden/>
              </w:rPr>
              <w:tab/>
            </w:r>
            <w:r w:rsidR="009D3952">
              <w:rPr>
                <w:noProof/>
                <w:webHidden/>
              </w:rPr>
              <w:fldChar w:fldCharType="begin"/>
            </w:r>
            <w:r w:rsidR="009D3952">
              <w:rPr>
                <w:noProof/>
                <w:webHidden/>
              </w:rPr>
              <w:instrText xml:space="preserve"> PAGEREF _Toc55544756 \h </w:instrText>
            </w:r>
            <w:r w:rsidR="009D3952">
              <w:rPr>
                <w:noProof/>
                <w:webHidden/>
              </w:rPr>
            </w:r>
            <w:r w:rsidR="009D3952">
              <w:rPr>
                <w:noProof/>
                <w:webHidden/>
              </w:rPr>
              <w:fldChar w:fldCharType="separate"/>
            </w:r>
            <w:r w:rsidR="00AB03D7">
              <w:rPr>
                <w:noProof/>
                <w:webHidden/>
              </w:rPr>
              <w:t>13</w:t>
            </w:r>
            <w:r w:rsidR="009D3952">
              <w:rPr>
                <w:noProof/>
                <w:webHidden/>
              </w:rPr>
              <w:fldChar w:fldCharType="end"/>
            </w:r>
          </w:hyperlink>
        </w:p>
        <w:p w14:paraId="1D5BF3F3" w14:textId="3B794580" w:rsidR="009D3952" w:rsidRDefault="00857467">
          <w:pPr>
            <w:pStyle w:val="TOC2"/>
            <w:rPr>
              <w:rFonts w:asciiTheme="minorHAnsi" w:eastAsiaTheme="minorEastAsia" w:hAnsiTheme="minorHAnsi" w:cstheme="minorBidi"/>
              <w:iCs w:val="0"/>
              <w:noProof/>
              <w:szCs w:val="22"/>
              <w:lang w:eastAsia="en-AU"/>
            </w:rPr>
          </w:pPr>
          <w:hyperlink w:anchor="_Toc55544757" w:history="1">
            <w:r w:rsidR="009D3952" w:rsidRPr="00F8440C">
              <w:rPr>
                <w:rStyle w:val="Hyperlink"/>
                <w:noProof/>
              </w:rPr>
              <w:t>1.2</w:t>
            </w:r>
            <w:r w:rsidR="009D3952">
              <w:rPr>
                <w:rFonts w:asciiTheme="minorHAnsi" w:eastAsiaTheme="minorEastAsia" w:hAnsiTheme="minorHAnsi" w:cstheme="minorBidi"/>
                <w:iCs w:val="0"/>
                <w:noProof/>
                <w:szCs w:val="22"/>
                <w:lang w:eastAsia="en-AU"/>
              </w:rPr>
              <w:tab/>
            </w:r>
            <w:r w:rsidR="009D3952" w:rsidRPr="00F8440C">
              <w:rPr>
                <w:rStyle w:val="Hyperlink"/>
                <w:noProof/>
              </w:rPr>
              <w:t>Authorisation and management</w:t>
            </w:r>
            <w:r w:rsidR="009D3952">
              <w:rPr>
                <w:noProof/>
                <w:webHidden/>
              </w:rPr>
              <w:tab/>
            </w:r>
            <w:r w:rsidR="009D3952">
              <w:rPr>
                <w:noProof/>
                <w:webHidden/>
              </w:rPr>
              <w:fldChar w:fldCharType="begin"/>
            </w:r>
            <w:r w:rsidR="009D3952">
              <w:rPr>
                <w:noProof/>
                <w:webHidden/>
              </w:rPr>
              <w:instrText xml:space="preserve"> PAGEREF _Toc55544757 \h </w:instrText>
            </w:r>
            <w:r w:rsidR="009D3952">
              <w:rPr>
                <w:noProof/>
                <w:webHidden/>
              </w:rPr>
            </w:r>
            <w:r w:rsidR="009D3952">
              <w:rPr>
                <w:noProof/>
                <w:webHidden/>
              </w:rPr>
              <w:fldChar w:fldCharType="separate"/>
            </w:r>
            <w:r w:rsidR="00AB03D7">
              <w:rPr>
                <w:noProof/>
                <w:webHidden/>
              </w:rPr>
              <w:t>13</w:t>
            </w:r>
            <w:r w:rsidR="009D3952">
              <w:rPr>
                <w:noProof/>
                <w:webHidden/>
              </w:rPr>
              <w:fldChar w:fldCharType="end"/>
            </w:r>
          </w:hyperlink>
        </w:p>
        <w:p w14:paraId="6BAA8126" w14:textId="6A4EC4B5" w:rsidR="009D3952" w:rsidRDefault="00857467">
          <w:pPr>
            <w:pStyle w:val="TOC2"/>
            <w:rPr>
              <w:rFonts w:asciiTheme="minorHAnsi" w:eastAsiaTheme="minorEastAsia" w:hAnsiTheme="minorHAnsi" w:cstheme="minorBidi"/>
              <w:iCs w:val="0"/>
              <w:noProof/>
              <w:szCs w:val="22"/>
              <w:lang w:eastAsia="en-AU"/>
            </w:rPr>
          </w:pPr>
          <w:hyperlink w:anchor="_Toc55544758" w:history="1">
            <w:r w:rsidR="009D3952" w:rsidRPr="00F8440C">
              <w:rPr>
                <w:rStyle w:val="Hyperlink"/>
                <w:noProof/>
              </w:rPr>
              <w:t>1.3</w:t>
            </w:r>
            <w:r w:rsidR="009D3952">
              <w:rPr>
                <w:rFonts w:asciiTheme="minorHAnsi" w:eastAsiaTheme="minorEastAsia" w:hAnsiTheme="minorHAnsi" w:cstheme="minorBidi"/>
                <w:iCs w:val="0"/>
                <w:noProof/>
                <w:szCs w:val="22"/>
                <w:lang w:eastAsia="en-AU"/>
              </w:rPr>
              <w:tab/>
            </w:r>
            <w:r w:rsidR="009D3952" w:rsidRPr="00F8440C">
              <w:rPr>
                <w:rStyle w:val="Hyperlink"/>
                <w:noProof/>
              </w:rPr>
              <w:t>Reasons for the evaluation</w:t>
            </w:r>
            <w:r w:rsidR="009D3952">
              <w:rPr>
                <w:noProof/>
                <w:webHidden/>
              </w:rPr>
              <w:tab/>
            </w:r>
            <w:r w:rsidR="009D3952">
              <w:rPr>
                <w:noProof/>
                <w:webHidden/>
              </w:rPr>
              <w:fldChar w:fldCharType="begin"/>
            </w:r>
            <w:r w:rsidR="009D3952">
              <w:rPr>
                <w:noProof/>
                <w:webHidden/>
              </w:rPr>
              <w:instrText xml:space="preserve"> PAGEREF _Toc55544758 \h </w:instrText>
            </w:r>
            <w:r w:rsidR="009D3952">
              <w:rPr>
                <w:noProof/>
                <w:webHidden/>
              </w:rPr>
            </w:r>
            <w:r w:rsidR="009D3952">
              <w:rPr>
                <w:noProof/>
                <w:webHidden/>
              </w:rPr>
              <w:fldChar w:fldCharType="separate"/>
            </w:r>
            <w:r w:rsidR="00AB03D7">
              <w:rPr>
                <w:noProof/>
                <w:webHidden/>
              </w:rPr>
              <w:t>14</w:t>
            </w:r>
            <w:r w:rsidR="009D3952">
              <w:rPr>
                <w:noProof/>
                <w:webHidden/>
              </w:rPr>
              <w:fldChar w:fldCharType="end"/>
            </w:r>
          </w:hyperlink>
        </w:p>
        <w:p w14:paraId="072980C6" w14:textId="47B13243" w:rsidR="009D3952" w:rsidRDefault="00857467">
          <w:pPr>
            <w:pStyle w:val="TOC2"/>
            <w:rPr>
              <w:rFonts w:asciiTheme="minorHAnsi" w:eastAsiaTheme="minorEastAsia" w:hAnsiTheme="minorHAnsi" w:cstheme="minorBidi"/>
              <w:iCs w:val="0"/>
              <w:noProof/>
              <w:szCs w:val="22"/>
              <w:lang w:eastAsia="en-AU"/>
            </w:rPr>
          </w:pPr>
          <w:hyperlink w:anchor="_Toc55544759" w:history="1">
            <w:r w:rsidR="009D3952" w:rsidRPr="00F8440C">
              <w:rPr>
                <w:rStyle w:val="Hyperlink"/>
                <w:noProof/>
              </w:rPr>
              <w:t>1.4</w:t>
            </w:r>
            <w:r w:rsidR="009D3952">
              <w:rPr>
                <w:rFonts w:asciiTheme="minorHAnsi" w:eastAsiaTheme="minorEastAsia" w:hAnsiTheme="minorHAnsi" w:cstheme="minorBidi"/>
                <w:iCs w:val="0"/>
                <w:noProof/>
                <w:szCs w:val="22"/>
                <w:lang w:eastAsia="en-AU"/>
              </w:rPr>
              <w:tab/>
            </w:r>
            <w:r w:rsidR="009D3952" w:rsidRPr="00F8440C">
              <w:rPr>
                <w:rStyle w:val="Hyperlink"/>
                <w:noProof/>
              </w:rPr>
              <w:t>Purpose and scope</w:t>
            </w:r>
            <w:r w:rsidR="009D3952">
              <w:rPr>
                <w:noProof/>
                <w:webHidden/>
              </w:rPr>
              <w:tab/>
            </w:r>
            <w:r w:rsidR="009D3952">
              <w:rPr>
                <w:noProof/>
                <w:webHidden/>
              </w:rPr>
              <w:fldChar w:fldCharType="begin"/>
            </w:r>
            <w:r w:rsidR="009D3952">
              <w:rPr>
                <w:noProof/>
                <w:webHidden/>
              </w:rPr>
              <w:instrText xml:space="preserve"> PAGEREF _Toc55544759 \h </w:instrText>
            </w:r>
            <w:r w:rsidR="009D3952">
              <w:rPr>
                <w:noProof/>
                <w:webHidden/>
              </w:rPr>
            </w:r>
            <w:r w:rsidR="009D3952">
              <w:rPr>
                <w:noProof/>
                <w:webHidden/>
              </w:rPr>
              <w:fldChar w:fldCharType="separate"/>
            </w:r>
            <w:r w:rsidR="00AB03D7">
              <w:rPr>
                <w:noProof/>
                <w:webHidden/>
              </w:rPr>
              <w:t>14</w:t>
            </w:r>
            <w:r w:rsidR="009D3952">
              <w:rPr>
                <w:noProof/>
                <w:webHidden/>
              </w:rPr>
              <w:fldChar w:fldCharType="end"/>
            </w:r>
          </w:hyperlink>
        </w:p>
        <w:p w14:paraId="5E3DEA0B" w14:textId="4315C312" w:rsidR="009D3952" w:rsidRDefault="00857467">
          <w:pPr>
            <w:pStyle w:val="TOC2"/>
            <w:rPr>
              <w:rFonts w:asciiTheme="minorHAnsi" w:eastAsiaTheme="minorEastAsia" w:hAnsiTheme="minorHAnsi" w:cstheme="minorBidi"/>
              <w:iCs w:val="0"/>
              <w:noProof/>
              <w:szCs w:val="22"/>
              <w:lang w:eastAsia="en-AU"/>
            </w:rPr>
          </w:pPr>
          <w:hyperlink w:anchor="_Toc55544760" w:history="1">
            <w:r w:rsidR="009D3952" w:rsidRPr="00F8440C">
              <w:rPr>
                <w:rStyle w:val="Hyperlink"/>
                <w:noProof/>
              </w:rPr>
              <w:t>1.5</w:t>
            </w:r>
            <w:r w:rsidR="009D3952">
              <w:rPr>
                <w:rFonts w:asciiTheme="minorHAnsi" w:eastAsiaTheme="minorEastAsia" w:hAnsiTheme="minorHAnsi" w:cstheme="minorBidi"/>
                <w:iCs w:val="0"/>
                <w:noProof/>
                <w:szCs w:val="22"/>
                <w:lang w:eastAsia="en-AU"/>
              </w:rPr>
              <w:tab/>
            </w:r>
            <w:r w:rsidR="009D3952" w:rsidRPr="00F8440C">
              <w:rPr>
                <w:rStyle w:val="Hyperlink"/>
                <w:noProof/>
              </w:rPr>
              <w:t>Terms of reference</w:t>
            </w:r>
            <w:r w:rsidR="009D3952">
              <w:rPr>
                <w:noProof/>
                <w:webHidden/>
              </w:rPr>
              <w:tab/>
            </w:r>
            <w:r w:rsidR="009D3952">
              <w:rPr>
                <w:noProof/>
                <w:webHidden/>
              </w:rPr>
              <w:fldChar w:fldCharType="begin"/>
            </w:r>
            <w:r w:rsidR="009D3952">
              <w:rPr>
                <w:noProof/>
                <w:webHidden/>
              </w:rPr>
              <w:instrText xml:space="preserve"> PAGEREF _Toc55544760 \h </w:instrText>
            </w:r>
            <w:r w:rsidR="009D3952">
              <w:rPr>
                <w:noProof/>
                <w:webHidden/>
              </w:rPr>
            </w:r>
            <w:r w:rsidR="009D3952">
              <w:rPr>
                <w:noProof/>
                <w:webHidden/>
              </w:rPr>
              <w:fldChar w:fldCharType="separate"/>
            </w:r>
            <w:r w:rsidR="00AB03D7">
              <w:rPr>
                <w:noProof/>
                <w:webHidden/>
              </w:rPr>
              <w:t>14</w:t>
            </w:r>
            <w:r w:rsidR="009D3952">
              <w:rPr>
                <w:noProof/>
                <w:webHidden/>
              </w:rPr>
              <w:fldChar w:fldCharType="end"/>
            </w:r>
          </w:hyperlink>
        </w:p>
        <w:p w14:paraId="08489818" w14:textId="7A11C0D6" w:rsidR="009D3952" w:rsidRDefault="00857467">
          <w:pPr>
            <w:pStyle w:val="TOC2"/>
            <w:rPr>
              <w:rFonts w:asciiTheme="minorHAnsi" w:eastAsiaTheme="minorEastAsia" w:hAnsiTheme="minorHAnsi" w:cstheme="minorBidi"/>
              <w:iCs w:val="0"/>
              <w:noProof/>
              <w:szCs w:val="22"/>
              <w:lang w:eastAsia="en-AU"/>
            </w:rPr>
          </w:pPr>
          <w:hyperlink w:anchor="_Toc55544761" w:history="1">
            <w:r w:rsidR="009D3952" w:rsidRPr="00F8440C">
              <w:rPr>
                <w:rStyle w:val="Hyperlink"/>
                <w:noProof/>
              </w:rPr>
              <w:t>1.6</w:t>
            </w:r>
            <w:r w:rsidR="009D3952">
              <w:rPr>
                <w:rFonts w:asciiTheme="minorHAnsi" w:eastAsiaTheme="minorEastAsia" w:hAnsiTheme="minorHAnsi" w:cstheme="minorBidi"/>
                <w:iCs w:val="0"/>
                <w:noProof/>
                <w:szCs w:val="22"/>
                <w:lang w:eastAsia="en-AU"/>
              </w:rPr>
              <w:tab/>
            </w:r>
            <w:r w:rsidR="009D3952" w:rsidRPr="00F8440C">
              <w:rPr>
                <w:rStyle w:val="Hyperlink"/>
                <w:noProof/>
              </w:rPr>
              <w:t>Evaluation questions</w:t>
            </w:r>
            <w:r w:rsidR="009D3952">
              <w:rPr>
                <w:noProof/>
                <w:webHidden/>
              </w:rPr>
              <w:tab/>
            </w:r>
            <w:r w:rsidR="009D3952">
              <w:rPr>
                <w:noProof/>
                <w:webHidden/>
              </w:rPr>
              <w:fldChar w:fldCharType="begin"/>
            </w:r>
            <w:r w:rsidR="009D3952">
              <w:rPr>
                <w:noProof/>
                <w:webHidden/>
              </w:rPr>
              <w:instrText xml:space="preserve"> PAGEREF _Toc55544761 \h </w:instrText>
            </w:r>
            <w:r w:rsidR="009D3952">
              <w:rPr>
                <w:noProof/>
                <w:webHidden/>
              </w:rPr>
            </w:r>
            <w:r w:rsidR="009D3952">
              <w:rPr>
                <w:noProof/>
                <w:webHidden/>
              </w:rPr>
              <w:fldChar w:fldCharType="separate"/>
            </w:r>
            <w:r w:rsidR="00AB03D7">
              <w:rPr>
                <w:noProof/>
                <w:webHidden/>
              </w:rPr>
              <w:t>14</w:t>
            </w:r>
            <w:r w:rsidR="009D3952">
              <w:rPr>
                <w:noProof/>
                <w:webHidden/>
              </w:rPr>
              <w:fldChar w:fldCharType="end"/>
            </w:r>
          </w:hyperlink>
        </w:p>
        <w:p w14:paraId="63FF7A01" w14:textId="5CAC4F55" w:rsidR="009D3952" w:rsidRDefault="00857467">
          <w:pPr>
            <w:pStyle w:val="TOC2"/>
            <w:rPr>
              <w:rFonts w:asciiTheme="minorHAnsi" w:eastAsiaTheme="minorEastAsia" w:hAnsiTheme="minorHAnsi" w:cstheme="minorBidi"/>
              <w:iCs w:val="0"/>
              <w:noProof/>
              <w:szCs w:val="22"/>
              <w:lang w:eastAsia="en-AU"/>
            </w:rPr>
          </w:pPr>
          <w:hyperlink w:anchor="_Toc55544762" w:history="1">
            <w:r w:rsidR="009D3952" w:rsidRPr="00F8440C">
              <w:rPr>
                <w:rStyle w:val="Hyperlink"/>
                <w:noProof/>
              </w:rPr>
              <w:t>1.7</w:t>
            </w:r>
            <w:r w:rsidR="009D3952">
              <w:rPr>
                <w:rFonts w:asciiTheme="minorHAnsi" w:eastAsiaTheme="minorEastAsia" w:hAnsiTheme="minorHAnsi" w:cstheme="minorBidi"/>
                <w:iCs w:val="0"/>
                <w:noProof/>
                <w:szCs w:val="22"/>
                <w:lang w:eastAsia="en-AU"/>
              </w:rPr>
              <w:tab/>
            </w:r>
            <w:r w:rsidR="009D3952" w:rsidRPr="00F8440C">
              <w:rPr>
                <w:rStyle w:val="Hyperlink"/>
                <w:noProof/>
              </w:rPr>
              <w:t>Evaluation methodology</w:t>
            </w:r>
            <w:r w:rsidR="009D3952">
              <w:rPr>
                <w:noProof/>
                <w:webHidden/>
              </w:rPr>
              <w:tab/>
            </w:r>
            <w:r w:rsidR="009D3952">
              <w:rPr>
                <w:noProof/>
                <w:webHidden/>
              </w:rPr>
              <w:fldChar w:fldCharType="begin"/>
            </w:r>
            <w:r w:rsidR="009D3952">
              <w:rPr>
                <w:noProof/>
                <w:webHidden/>
              </w:rPr>
              <w:instrText xml:space="preserve"> PAGEREF _Toc55544762 \h </w:instrText>
            </w:r>
            <w:r w:rsidR="009D3952">
              <w:rPr>
                <w:noProof/>
                <w:webHidden/>
              </w:rPr>
            </w:r>
            <w:r w:rsidR="009D3952">
              <w:rPr>
                <w:noProof/>
                <w:webHidden/>
              </w:rPr>
              <w:fldChar w:fldCharType="separate"/>
            </w:r>
            <w:r w:rsidR="00AB03D7">
              <w:rPr>
                <w:noProof/>
                <w:webHidden/>
              </w:rPr>
              <w:t>15</w:t>
            </w:r>
            <w:r w:rsidR="009D3952">
              <w:rPr>
                <w:noProof/>
                <w:webHidden/>
              </w:rPr>
              <w:fldChar w:fldCharType="end"/>
            </w:r>
          </w:hyperlink>
        </w:p>
        <w:p w14:paraId="761D44FF" w14:textId="2E571B59" w:rsidR="009D3952" w:rsidRDefault="00857467">
          <w:pPr>
            <w:pStyle w:val="TOC2"/>
            <w:rPr>
              <w:rFonts w:asciiTheme="minorHAnsi" w:eastAsiaTheme="minorEastAsia" w:hAnsiTheme="minorHAnsi" w:cstheme="minorBidi"/>
              <w:iCs w:val="0"/>
              <w:noProof/>
              <w:szCs w:val="22"/>
              <w:lang w:eastAsia="en-AU"/>
            </w:rPr>
          </w:pPr>
          <w:hyperlink w:anchor="_Toc55544765" w:history="1">
            <w:r w:rsidR="009D3952" w:rsidRPr="00F8440C">
              <w:rPr>
                <w:rStyle w:val="Hyperlink"/>
                <w:noProof/>
              </w:rPr>
              <w:t>1.8</w:t>
            </w:r>
            <w:r w:rsidR="009D3952">
              <w:rPr>
                <w:rFonts w:asciiTheme="minorHAnsi" w:eastAsiaTheme="minorEastAsia" w:hAnsiTheme="minorHAnsi" w:cstheme="minorBidi"/>
                <w:iCs w:val="0"/>
                <w:noProof/>
                <w:szCs w:val="22"/>
                <w:lang w:eastAsia="en-AU"/>
              </w:rPr>
              <w:tab/>
            </w:r>
            <w:r w:rsidR="009D3952" w:rsidRPr="00F8440C">
              <w:rPr>
                <w:rStyle w:val="Hyperlink"/>
                <w:noProof/>
              </w:rPr>
              <w:t>ARC administrative data notes</w:t>
            </w:r>
            <w:r w:rsidR="009D3952">
              <w:rPr>
                <w:noProof/>
                <w:webHidden/>
              </w:rPr>
              <w:tab/>
            </w:r>
            <w:r w:rsidR="009D3952">
              <w:rPr>
                <w:noProof/>
                <w:webHidden/>
              </w:rPr>
              <w:fldChar w:fldCharType="begin"/>
            </w:r>
            <w:r w:rsidR="009D3952">
              <w:rPr>
                <w:noProof/>
                <w:webHidden/>
              </w:rPr>
              <w:instrText xml:space="preserve"> PAGEREF _Toc55544765 \h </w:instrText>
            </w:r>
            <w:r w:rsidR="009D3952">
              <w:rPr>
                <w:noProof/>
                <w:webHidden/>
              </w:rPr>
            </w:r>
            <w:r w:rsidR="009D3952">
              <w:rPr>
                <w:noProof/>
                <w:webHidden/>
              </w:rPr>
              <w:fldChar w:fldCharType="separate"/>
            </w:r>
            <w:r w:rsidR="00AB03D7">
              <w:rPr>
                <w:noProof/>
                <w:webHidden/>
              </w:rPr>
              <w:t>17</w:t>
            </w:r>
            <w:r w:rsidR="009D3952">
              <w:rPr>
                <w:noProof/>
                <w:webHidden/>
              </w:rPr>
              <w:fldChar w:fldCharType="end"/>
            </w:r>
          </w:hyperlink>
        </w:p>
        <w:p w14:paraId="5BECEF55" w14:textId="2AF64495" w:rsidR="009D3952" w:rsidRDefault="00857467">
          <w:pPr>
            <w:pStyle w:val="TOC1"/>
            <w:rPr>
              <w:rFonts w:asciiTheme="minorHAnsi" w:eastAsiaTheme="minorEastAsia" w:hAnsiTheme="minorHAnsi" w:cstheme="minorBidi"/>
              <w:b w:val="0"/>
              <w:bCs w:val="0"/>
              <w:szCs w:val="22"/>
              <w:lang w:eastAsia="en-AU"/>
            </w:rPr>
          </w:pPr>
          <w:hyperlink w:anchor="_Toc55544766" w:history="1">
            <w:r w:rsidR="009D3952" w:rsidRPr="00F8440C">
              <w:rPr>
                <w:rStyle w:val="Hyperlink"/>
              </w:rPr>
              <w:t>Part Two: Discovery Projects scheme implementation</w:t>
            </w:r>
            <w:r w:rsidR="009D3952">
              <w:rPr>
                <w:webHidden/>
              </w:rPr>
              <w:tab/>
            </w:r>
            <w:r w:rsidR="009D3952">
              <w:rPr>
                <w:webHidden/>
              </w:rPr>
              <w:fldChar w:fldCharType="begin"/>
            </w:r>
            <w:r w:rsidR="009D3952">
              <w:rPr>
                <w:webHidden/>
              </w:rPr>
              <w:instrText xml:space="preserve"> PAGEREF _Toc55544766 \h </w:instrText>
            </w:r>
            <w:r w:rsidR="009D3952">
              <w:rPr>
                <w:webHidden/>
              </w:rPr>
            </w:r>
            <w:r w:rsidR="009D3952">
              <w:rPr>
                <w:webHidden/>
              </w:rPr>
              <w:fldChar w:fldCharType="separate"/>
            </w:r>
            <w:r w:rsidR="00AB03D7">
              <w:rPr>
                <w:webHidden/>
              </w:rPr>
              <w:t>19</w:t>
            </w:r>
            <w:r w:rsidR="009D3952">
              <w:rPr>
                <w:webHidden/>
              </w:rPr>
              <w:fldChar w:fldCharType="end"/>
            </w:r>
          </w:hyperlink>
        </w:p>
        <w:p w14:paraId="2E265BFF" w14:textId="766AA1F2" w:rsidR="009D3952" w:rsidRDefault="00857467">
          <w:pPr>
            <w:pStyle w:val="TOC2"/>
            <w:rPr>
              <w:rFonts w:asciiTheme="minorHAnsi" w:eastAsiaTheme="minorEastAsia" w:hAnsiTheme="minorHAnsi" w:cstheme="minorBidi"/>
              <w:iCs w:val="0"/>
              <w:noProof/>
              <w:szCs w:val="22"/>
              <w:lang w:eastAsia="en-AU"/>
            </w:rPr>
          </w:pPr>
          <w:hyperlink w:anchor="_Toc55544770" w:history="1">
            <w:r w:rsidR="009D3952" w:rsidRPr="00F8440C">
              <w:rPr>
                <w:rStyle w:val="Hyperlink"/>
                <w:noProof/>
              </w:rPr>
              <w:t>2.1</w:t>
            </w:r>
            <w:r w:rsidR="009D3952">
              <w:rPr>
                <w:rFonts w:asciiTheme="minorHAnsi" w:eastAsiaTheme="minorEastAsia" w:hAnsiTheme="minorHAnsi" w:cstheme="minorBidi"/>
                <w:iCs w:val="0"/>
                <w:noProof/>
                <w:szCs w:val="22"/>
                <w:lang w:eastAsia="en-AU"/>
              </w:rPr>
              <w:tab/>
            </w:r>
            <w:r w:rsidR="009D3952" w:rsidRPr="00F8440C">
              <w:rPr>
                <w:rStyle w:val="Hyperlink"/>
                <w:noProof/>
              </w:rPr>
              <w:t>Origins of Discovery Projects</w:t>
            </w:r>
            <w:r w:rsidR="009D3952">
              <w:rPr>
                <w:noProof/>
                <w:webHidden/>
              </w:rPr>
              <w:tab/>
            </w:r>
            <w:r w:rsidR="009D3952">
              <w:rPr>
                <w:noProof/>
                <w:webHidden/>
              </w:rPr>
              <w:fldChar w:fldCharType="begin"/>
            </w:r>
            <w:r w:rsidR="009D3952">
              <w:rPr>
                <w:noProof/>
                <w:webHidden/>
              </w:rPr>
              <w:instrText xml:space="preserve"> PAGEREF _Toc55544770 \h </w:instrText>
            </w:r>
            <w:r w:rsidR="009D3952">
              <w:rPr>
                <w:noProof/>
                <w:webHidden/>
              </w:rPr>
            </w:r>
            <w:r w:rsidR="009D3952">
              <w:rPr>
                <w:noProof/>
                <w:webHidden/>
              </w:rPr>
              <w:fldChar w:fldCharType="separate"/>
            </w:r>
            <w:r w:rsidR="00AB03D7">
              <w:rPr>
                <w:noProof/>
                <w:webHidden/>
              </w:rPr>
              <w:t>19</w:t>
            </w:r>
            <w:r w:rsidR="009D3952">
              <w:rPr>
                <w:noProof/>
                <w:webHidden/>
              </w:rPr>
              <w:fldChar w:fldCharType="end"/>
            </w:r>
          </w:hyperlink>
        </w:p>
        <w:p w14:paraId="10A3FFDC" w14:textId="1B6E2733" w:rsidR="009D3952" w:rsidRDefault="00857467">
          <w:pPr>
            <w:pStyle w:val="TOC2"/>
            <w:rPr>
              <w:rFonts w:asciiTheme="minorHAnsi" w:eastAsiaTheme="minorEastAsia" w:hAnsiTheme="minorHAnsi" w:cstheme="minorBidi"/>
              <w:iCs w:val="0"/>
              <w:noProof/>
              <w:szCs w:val="22"/>
              <w:lang w:eastAsia="en-AU"/>
            </w:rPr>
          </w:pPr>
          <w:hyperlink w:anchor="_Toc55544771" w:history="1">
            <w:r w:rsidR="009D3952" w:rsidRPr="00F8440C">
              <w:rPr>
                <w:rStyle w:val="Hyperlink"/>
                <w:noProof/>
              </w:rPr>
              <w:t>2.2</w:t>
            </w:r>
            <w:r w:rsidR="009D3952">
              <w:rPr>
                <w:rFonts w:asciiTheme="minorHAnsi" w:eastAsiaTheme="minorEastAsia" w:hAnsiTheme="minorHAnsi" w:cstheme="minorBidi"/>
                <w:iCs w:val="0"/>
                <w:noProof/>
                <w:szCs w:val="22"/>
                <w:lang w:eastAsia="en-AU"/>
              </w:rPr>
              <w:tab/>
            </w:r>
            <w:r w:rsidR="009D3952" w:rsidRPr="00F8440C">
              <w:rPr>
                <w:rStyle w:val="Hyperlink"/>
                <w:noProof/>
              </w:rPr>
              <w:t>Overview of Discovery Projects scheme objectives and intended outcomes</w:t>
            </w:r>
            <w:r w:rsidR="009D3952">
              <w:rPr>
                <w:noProof/>
                <w:webHidden/>
              </w:rPr>
              <w:tab/>
            </w:r>
            <w:r w:rsidR="009D3952">
              <w:rPr>
                <w:noProof/>
                <w:webHidden/>
              </w:rPr>
              <w:fldChar w:fldCharType="begin"/>
            </w:r>
            <w:r w:rsidR="009D3952">
              <w:rPr>
                <w:noProof/>
                <w:webHidden/>
              </w:rPr>
              <w:instrText xml:space="preserve"> PAGEREF _Toc55544771 \h </w:instrText>
            </w:r>
            <w:r w:rsidR="009D3952">
              <w:rPr>
                <w:noProof/>
                <w:webHidden/>
              </w:rPr>
            </w:r>
            <w:r w:rsidR="009D3952">
              <w:rPr>
                <w:noProof/>
                <w:webHidden/>
              </w:rPr>
              <w:fldChar w:fldCharType="separate"/>
            </w:r>
            <w:r w:rsidR="00AB03D7">
              <w:rPr>
                <w:noProof/>
                <w:webHidden/>
              </w:rPr>
              <w:t>20</w:t>
            </w:r>
            <w:r w:rsidR="009D3952">
              <w:rPr>
                <w:noProof/>
                <w:webHidden/>
              </w:rPr>
              <w:fldChar w:fldCharType="end"/>
            </w:r>
          </w:hyperlink>
        </w:p>
        <w:p w14:paraId="1BBAF37E" w14:textId="6EBF6CE4" w:rsidR="009D3952" w:rsidRDefault="00857467">
          <w:pPr>
            <w:pStyle w:val="TOC2"/>
            <w:rPr>
              <w:rFonts w:asciiTheme="minorHAnsi" w:eastAsiaTheme="minorEastAsia" w:hAnsiTheme="minorHAnsi" w:cstheme="minorBidi"/>
              <w:iCs w:val="0"/>
              <w:noProof/>
              <w:szCs w:val="22"/>
              <w:lang w:eastAsia="en-AU"/>
            </w:rPr>
          </w:pPr>
          <w:hyperlink w:anchor="_Toc55544774" w:history="1">
            <w:r w:rsidR="009D3952" w:rsidRPr="00F8440C">
              <w:rPr>
                <w:rStyle w:val="Hyperlink"/>
                <w:noProof/>
              </w:rPr>
              <w:t>2.3</w:t>
            </w:r>
            <w:r w:rsidR="009D3952">
              <w:rPr>
                <w:rFonts w:asciiTheme="minorHAnsi" w:eastAsiaTheme="minorEastAsia" w:hAnsiTheme="minorHAnsi" w:cstheme="minorBidi"/>
                <w:iCs w:val="0"/>
                <w:noProof/>
                <w:szCs w:val="22"/>
                <w:lang w:eastAsia="en-AU"/>
              </w:rPr>
              <w:tab/>
            </w:r>
            <w:r w:rsidR="009D3952" w:rsidRPr="00F8440C">
              <w:rPr>
                <w:rStyle w:val="Hyperlink"/>
                <w:noProof/>
              </w:rPr>
              <w:t>Applications and funded projects</w:t>
            </w:r>
            <w:r w:rsidR="009D3952">
              <w:rPr>
                <w:noProof/>
                <w:webHidden/>
              </w:rPr>
              <w:tab/>
            </w:r>
            <w:r w:rsidR="009D3952">
              <w:rPr>
                <w:noProof/>
                <w:webHidden/>
              </w:rPr>
              <w:fldChar w:fldCharType="begin"/>
            </w:r>
            <w:r w:rsidR="009D3952">
              <w:rPr>
                <w:noProof/>
                <w:webHidden/>
              </w:rPr>
              <w:instrText xml:space="preserve"> PAGEREF _Toc55544774 \h </w:instrText>
            </w:r>
            <w:r w:rsidR="009D3952">
              <w:rPr>
                <w:noProof/>
                <w:webHidden/>
              </w:rPr>
            </w:r>
            <w:r w:rsidR="009D3952">
              <w:rPr>
                <w:noProof/>
                <w:webHidden/>
              </w:rPr>
              <w:fldChar w:fldCharType="separate"/>
            </w:r>
            <w:r w:rsidR="00AB03D7">
              <w:rPr>
                <w:noProof/>
                <w:webHidden/>
              </w:rPr>
              <w:t>23</w:t>
            </w:r>
            <w:r w:rsidR="009D3952">
              <w:rPr>
                <w:noProof/>
                <w:webHidden/>
              </w:rPr>
              <w:fldChar w:fldCharType="end"/>
            </w:r>
          </w:hyperlink>
        </w:p>
        <w:p w14:paraId="6E1BF174" w14:textId="547E07F7" w:rsidR="009D3952" w:rsidRDefault="00857467">
          <w:pPr>
            <w:pStyle w:val="TOC2"/>
            <w:rPr>
              <w:rFonts w:asciiTheme="minorHAnsi" w:eastAsiaTheme="minorEastAsia" w:hAnsiTheme="minorHAnsi" w:cstheme="minorBidi"/>
              <w:iCs w:val="0"/>
              <w:noProof/>
              <w:szCs w:val="22"/>
              <w:lang w:eastAsia="en-AU"/>
            </w:rPr>
          </w:pPr>
          <w:hyperlink w:anchor="_Toc55544775" w:history="1">
            <w:r w:rsidR="009D3952" w:rsidRPr="00F8440C">
              <w:rPr>
                <w:rStyle w:val="Hyperlink"/>
                <w:noProof/>
              </w:rPr>
              <w:t>2.4</w:t>
            </w:r>
            <w:r w:rsidR="009D3952">
              <w:rPr>
                <w:rFonts w:asciiTheme="minorHAnsi" w:eastAsiaTheme="minorEastAsia" w:hAnsiTheme="minorHAnsi" w:cstheme="minorBidi"/>
                <w:iCs w:val="0"/>
                <w:noProof/>
                <w:szCs w:val="22"/>
                <w:lang w:eastAsia="en-AU"/>
              </w:rPr>
              <w:tab/>
            </w:r>
            <w:r w:rsidR="009D3952" w:rsidRPr="00F8440C">
              <w:rPr>
                <w:rStyle w:val="Hyperlink"/>
                <w:rFonts w:ascii="Calibri Light" w:hAnsi="Calibri Light"/>
                <w:noProof/>
              </w:rPr>
              <w:t>Success rates</w:t>
            </w:r>
            <w:r w:rsidR="009D3952">
              <w:rPr>
                <w:noProof/>
                <w:webHidden/>
              </w:rPr>
              <w:tab/>
            </w:r>
            <w:r w:rsidR="009D3952">
              <w:rPr>
                <w:noProof/>
                <w:webHidden/>
              </w:rPr>
              <w:fldChar w:fldCharType="begin"/>
            </w:r>
            <w:r w:rsidR="009D3952">
              <w:rPr>
                <w:noProof/>
                <w:webHidden/>
              </w:rPr>
              <w:instrText xml:space="preserve"> PAGEREF _Toc55544775 \h </w:instrText>
            </w:r>
            <w:r w:rsidR="009D3952">
              <w:rPr>
                <w:noProof/>
                <w:webHidden/>
              </w:rPr>
            </w:r>
            <w:r w:rsidR="009D3952">
              <w:rPr>
                <w:noProof/>
                <w:webHidden/>
              </w:rPr>
              <w:fldChar w:fldCharType="separate"/>
            </w:r>
            <w:r w:rsidR="00AB03D7">
              <w:rPr>
                <w:noProof/>
                <w:webHidden/>
              </w:rPr>
              <w:t>23</w:t>
            </w:r>
            <w:r w:rsidR="009D3952">
              <w:rPr>
                <w:noProof/>
                <w:webHidden/>
              </w:rPr>
              <w:fldChar w:fldCharType="end"/>
            </w:r>
          </w:hyperlink>
        </w:p>
        <w:p w14:paraId="410AD053" w14:textId="00460288" w:rsidR="009D3952" w:rsidRDefault="00857467">
          <w:pPr>
            <w:pStyle w:val="TOC2"/>
            <w:rPr>
              <w:rFonts w:asciiTheme="minorHAnsi" w:eastAsiaTheme="minorEastAsia" w:hAnsiTheme="minorHAnsi" w:cstheme="minorBidi"/>
              <w:iCs w:val="0"/>
              <w:noProof/>
              <w:szCs w:val="22"/>
              <w:lang w:eastAsia="en-AU"/>
            </w:rPr>
          </w:pPr>
          <w:hyperlink w:anchor="_Toc55544776" w:history="1">
            <w:r w:rsidR="009D3952" w:rsidRPr="00F8440C">
              <w:rPr>
                <w:rStyle w:val="Hyperlink"/>
                <w:noProof/>
              </w:rPr>
              <w:t>2.5</w:t>
            </w:r>
            <w:r w:rsidR="009D3952">
              <w:rPr>
                <w:rFonts w:asciiTheme="minorHAnsi" w:eastAsiaTheme="minorEastAsia" w:hAnsiTheme="minorHAnsi" w:cstheme="minorBidi"/>
                <w:iCs w:val="0"/>
                <w:noProof/>
                <w:szCs w:val="22"/>
                <w:lang w:eastAsia="en-AU"/>
              </w:rPr>
              <w:tab/>
            </w:r>
            <w:r w:rsidR="009D3952" w:rsidRPr="00F8440C">
              <w:rPr>
                <w:rStyle w:val="Hyperlink"/>
                <w:noProof/>
              </w:rPr>
              <w:t>Funding requested and awarded</w:t>
            </w:r>
            <w:r w:rsidR="009D3952">
              <w:rPr>
                <w:noProof/>
                <w:webHidden/>
              </w:rPr>
              <w:tab/>
            </w:r>
            <w:r w:rsidR="009D3952">
              <w:rPr>
                <w:noProof/>
                <w:webHidden/>
              </w:rPr>
              <w:fldChar w:fldCharType="begin"/>
            </w:r>
            <w:r w:rsidR="009D3952">
              <w:rPr>
                <w:noProof/>
                <w:webHidden/>
              </w:rPr>
              <w:instrText xml:space="preserve"> PAGEREF _Toc55544776 \h </w:instrText>
            </w:r>
            <w:r w:rsidR="009D3952">
              <w:rPr>
                <w:noProof/>
                <w:webHidden/>
              </w:rPr>
            </w:r>
            <w:r w:rsidR="009D3952">
              <w:rPr>
                <w:noProof/>
                <w:webHidden/>
              </w:rPr>
              <w:fldChar w:fldCharType="separate"/>
            </w:r>
            <w:r w:rsidR="00AB03D7">
              <w:rPr>
                <w:noProof/>
                <w:webHidden/>
              </w:rPr>
              <w:t>24</w:t>
            </w:r>
            <w:r w:rsidR="009D3952">
              <w:rPr>
                <w:noProof/>
                <w:webHidden/>
              </w:rPr>
              <w:fldChar w:fldCharType="end"/>
            </w:r>
          </w:hyperlink>
        </w:p>
        <w:p w14:paraId="56E6CA41" w14:textId="430A035E" w:rsidR="009D3952" w:rsidRDefault="00857467">
          <w:pPr>
            <w:pStyle w:val="TOC2"/>
            <w:rPr>
              <w:rFonts w:asciiTheme="minorHAnsi" w:eastAsiaTheme="minorEastAsia" w:hAnsiTheme="minorHAnsi" w:cstheme="minorBidi"/>
              <w:iCs w:val="0"/>
              <w:noProof/>
              <w:szCs w:val="22"/>
              <w:lang w:eastAsia="en-AU"/>
            </w:rPr>
          </w:pPr>
          <w:hyperlink w:anchor="_Toc55544783" w:history="1">
            <w:r w:rsidR="009D3952" w:rsidRPr="00F8440C">
              <w:rPr>
                <w:rStyle w:val="Hyperlink"/>
                <w:noProof/>
              </w:rPr>
              <w:t>2.6</w:t>
            </w:r>
            <w:r w:rsidR="009D3952">
              <w:rPr>
                <w:rFonts w:asciiTheme="minorHAnsi" w:eastAsiaTheme="minorEastAsia" w:hAnsiTheme="minorHAnsi" w:cstheme="minorBidi"/>
                <w:iCs w:val="0"/>
                <w:noProof/>
                <w:szCs w:val="22"/>
                <w:lang w:eastAsia="en-AU"/>
              </w:rPr>
              <w:tab/>
            </w:r>
            <w:r w:rsidR="009D3952" w:rsidRPr="00F8440C">
              <w:rPr>
                <w:rStyle w:val="Hyperlink"/>
                <w:noProof/>
              </w:rPr>
              <w:t>Return rates</w:t>
            </w:r>
            <w:r w:rsidR="009D3952">
              <w:rPr>
                <w:noProof/>
                <w:webHidden/>
              </w:rPr>
              <w:tab/>
            </w:r>
            <w:r w:rsidR="009D3952">
              <w:rPr>
                <w:noProof/>
                <w:webHidden/>
              </w:rPr>
              <w:fldChar w:fldCharType="begin"/>
            </w:r>
            <w:r w:rsidR="009D3952">
              <w:rPr>
                <w:noProof/>
                <w:webHidden/>
              </w:rPr>
              <w:instrText xml:space="preserve"> PAGEREF _Toc55544783 \h </w:instrText>
            </w:r>
            <w:r w:rsidR="009D3952">
              <w:rPr>
                <w:noProof/>
                <w:webHidden/>
              </w:rPr>
            </w:r>
            <w:r w:rsidR="009D3952">
              <w:rPr>
                <w:noProof/>
                <w:webHidden/>
              </w:rPr>
              <w:fldChar w:fldCharType="separate"/>
            </w:r>
            <w:r w:rsidR="00AB03D7">
              <w:rPr>
                <w:noProof/>
                <w:webHidden/>
              </w:rPr>
              <w:t>25</w:t>
            </w:r>
            <w:r w:rsidR="009D3952">
              <w:rPr>
                <w:noProof/>
                <w:webHidden/>
              </w:rPr>
              <w:fldChar w:fldCharType="end"/>
            </w:r>
          </w:hyperlink>
        </w:p>
        <w:p w14:paraId="6EEA121A" w14:textId="366C5663" w:rsidR="009D3952" w:rsidRDefault="00857467">
          <w:pPr>
            <w:pStyle w:val="TOC2"/>
            <w:rPr>
              <w:rFonts w:asciiTheme="minorHAnsi" w:eastAsiaTheme="minorEastAsia" w:hAnsiTheme="minorHAnsi" w:cstheme="minorBidi"/>
              <w:iCs w:val="0"/>
              <w:noProof/>
              <w:szCs w:val="22"/>
              <w:lang w:eastAsia="en-AU"/>
            </w:rPr>
          </w:pPr>
          <w:hyperlink w:anchor="_Toc55544785" w:history="1">
            <w:r w:rsidR="009D3952" w:rsidRPr="00F8440C">
              <w:rPr>
                <w:rStyle w:val="Hyperlink"/>
                <w:noProof/>
                <w:lang w:eastAsia="en-AU"/>
              </w:rPr>
              <w:t>2.7</w:t>
            </w:r>
            <w:r w:rsidR="009D3952">
              <w:rPr>
                <w:rFonts w:asciiTheme="minorHAnsi" w:eastAsiaTheme="minorEastAsia" w:hAnsiTheme="minorHAnsi" w:cstheme="minorBidi"/>
                <w:iCs w:val="0"/>
                <w:noProof/>
                <w:szCs w:val="22"/>
                <w:lang w:eastAsia="en-AU"/>
              </w:rPr>
              <w:tab/>
            </w:r>
            <w:r w:rsidR="009D3952" w:rsidRPr="00F8440C">
              <w:rPr>
                <w:rStyle w:val="Hyperlink"/>
                <w:noProof/>
                <w:lang w:eastAsia="en-AU"/>
              </w:rPr>
              <w:t>Participating organisation contributions</w:t>
            </w:r>
            <w:r w:rsidR="009D3952">
              <w:rPr>
                <w:noProof/>
                <w:webHidden/>
              </w:rPr>
              <w:tab/>
            </w:r>
            <w:r w:rsidR="009D3952">
              <w:rPr>
                <w:noProof/>
                <w:webHidden/>
              </w:rPr>
              <w:fldChar w:fldCharType="begin"/>
            </w:r>
            <w:r w:rsidR="009D3952">
              <w:rPr>
                <w:noProof/>
                <w:webHidden/>
              </w:rPr>
              <w:instrText xml:space="preserve"> PAGEREF _Toc55544785 \h </w:instrText>
            </w:r>
            <w:r w:rsidR="009D3952">
              <w:rPr>
                <w:noProof/>
                <w:webHidden/>
              </w:rPr>
            </w:r>
            <w:r w:rsidR="009D3952">
              <w:rPr>
                <w:noProof/>
                <w:webHidden/>
              </w:rPr>
              <w:fldChar w:fldCharType="separate"/>
            </w:r>
            <w:r w:rsidR="00AB03D7">
              <w:rPr>
                <w:noProof/>
                <w:webHidden/>
              </w:rPr>
              <w:t>25</w:t>
            </w:r>
            <w:r w:rsidR="009D3952">
              <w:rPr>
                <w:noProof/>
                <w:webHidden/>
              </w:rPr>
              <w:fldChar w:fldCharType="end"/>
            </w:r>
          </w:hyperlink>
        </w:p>
        <w:p w14:paraId="24C55E44" w14:textId="6E99E256" w:rsidR="009D3952" w:rsidRDefault="00857467">
          <w:pPr>
            <w:pStyle w:val="TOC2"/>
            <w:rPr>
              <w:rFonts w:asciiTheme="minorHAnsi" w:eastAsiaTheme="minorEastAsia" w:hAnsiTheme="minorHAnsi" w:cstheme="minorBidi"/>
              <w:iCs w:val="0"/>
              <w:noProof/>
              <w:szCs w:val="22"/>
              <w:lang w:eastAsia="en-AU"/>
            </w:rPr>
          </w:pPr>
          <w:hyperlink w:anchor="_Toc55544786" w:history="1">
            <w:r w:rsidR="009D3952" w:rsidRPr="00F8440C">
              <w:rPr>
                <w:rStyle w:val="Hyperlink"/>
                <w:noProof/>
                <w:lang w:eastAsia="en-AU"/>
              </w:rPr>
              <w:t>2.8</w:t>
            </w:r>
            <w:r w:rsidR="009D3952">
              <w:rPr>
                <w:rFonts w:asciiTheme="minorHAnsi" w:eastAsiaTheme="minorEastAsia" w:hAnsiTheme="minorHAnsi" w:cstheme="minorBidi"/>
                <w:iCs w:val="0"/>
                <w:noProof/>
                <w:szCs w:val="22"/>
                <w:lang w:eastAsia="en-AU"/>
              </w:rPr>
              <w:tab/>
            </w:r>
            <w:r w:rsidR="009D3952" w:rsidRPr="00F8440C">
              <w:rPr>
                <w:rStyle w:val="Hyperlink"/>
                <w:noProof/>
                <w:lang w:eastAsia="en-AU"/>
              </w:rPr>
              <w:t>Fields of Research</w:t>
            </w:r>
            <w:r w:rsidR="009D3952">
              <w:rPr>
                <w:noProof/>
                <w:webHidden/>
              </w:rPr>
              <w:tab/>
            </w:r>
            <w:r w:rsidR="009D3952">
              <w:rPr>
                <w:noProof/>
                <w:webHidden/>
              </w:rPr>
              <w:fldChar w:fldCharType="begin"/>
            </w:r>
            <w:r w:rsidR="009D3952">
              <w:rPr>
                <w:noProof/>
                <w:webHidden/>
              </w:rPr>
              <w:instrText xml:space="preserve"> PAGEREF _Toc55544786 \h </w:instrText>
            </w:r>
            <w:r w:rsidR="009D3952">
              <w:rPr>
                <w:noProof/>
                <w:webHidden/>
              </w:rPr>
            </w:r>
            <w:r w:rsidR="009D3952">
              <w:rPr>
                <w:noProof/>
                <w:webHidden/>
              </w:rPr>
              <w:fldChar w:fldCharType="separate"/>
            </w:r>
            <w:r w:rsidR="00AB03D7">
              <w:rPr>
                <w:noProof/>
                <w:webHidden/>
              </w:rPr>
              <w:t>26</w:t>
            </w:r>
            <w:r w:rsidR="009D3952">
              <w:rPr>
                <w:noProof/>
                <w:webHidden/>
              </w:rPr>
              <w:fldChar w:fldCharType="end"/>
            </w:r>
          </w:hyperlink>
        </w:p>
        <w:p w14:paraId="0C31D4B2" w14:textId="59B06982" w:rsidR="009D3952" w:rsidRDefault="00857467">
          <w:pPr>
            <w:pStyle w:val="TOC2"/>
            <w:rPr>
              <w:rFonts w:asciiTheme="minorHAnsi" w:eastAsiaTheme="minorEastAsia" w:hAnsiTheme="minorHAnsi" w:cstheme="minorBidi"/>
              <w:iCs w:val="0"/>
              <w:noProof/>
              <w:szCs w:val="22"/>
              <w:lang w:eastAsia="en-AU"/>
            </w:rPr>
          </w:pPr>
          <w:hyperlink w:anchor="_Toc55544789" w:history="1">
            <w:r w:rsidR="009D3952" w:rsidRPr="00F8440C">
              <w:rPr>
                <w:rStyle w:val="Hyperlink"/>
                <w:noProof/>
                <w:lang w:eastAsia="en-AU"/>
              </w:rPr>
              <w:t>2.9</w:t>
            </w:r>
            <w:r w:rsidR="009D3952">
              <w:rPr>
                <w:rFonts w:asciiTheme="minorHAnsi" w:eastAsiaTheme="minorEastAsia" w:hAnsiTheme="minorHAnsi" w:cstheme="minorBidi"/>
                <w:iCs w:val="0"/>
                <w:noProof/>
                <w:szCs w:val="22"/>
                <w:lang w:eastAsia="en-AU"/>
              </w:rPr>
              <w:tab/>
            </w:r>
            <w:r w:rsidR="009D3952" w:rsidRPr="00F8440C">
              <w:rPr>
                <w:rStyle w:val="Hyperlink"/>
                <w:noProof/>
                <w:lang w:eastAsia="en-AU"/>
              </w:rPr>
              <w:t>Interdisciplinary research</w:t>
            </w:r>
            <w:r w:rsidR="009D3952">
              <w:rPr>
                <w:noProof/>
                <w:webHidden/>
              </w:rPr>
              <w:tab/>
            </w:r>
            <w:r w:rsidR="009D3952">
              <w:rPr>
                <w:noProof/>
                <w:webHidden/>
              </w:rPr>
              <w:fldChar w:fldCharType="begin"/>
            </w:r>
            <w:r w:rsidR="009D3952">
              <w:rPr>
                <w:noProof/>
                <w:webHidden/>
              </w:rPr>
              <w:instrText xml:space="preserve"> PAGEREF _Toc55544789 \h </w:instrText>
            </w:r>
            <w:r w:rsidR="009D3952">
              <w:rPr>
                <w:noProof/>
                <w:webHidden/>
              </w:rPr>
            </w:r>
            <w:r w:rsidR="009D3952">
              <w:rPr>
                <w:noProof/>
                <w:webHidden/>
              </w:rPr>
              <w:fldChar w:fldCharType="separate"/>
            </w:r>
            <w:r w:rsidR="00AB03D7">
              <w:rPr>
                <w:noProof/>
                <w:webHidden/>
              </w:rPr>
              <w:t>33</w:t>
            </w:r>
            <w:r w:rsidR="009D3952">
              <w:rPr>
                <w:noProof/>
                <w:webHidden/>
              </w:rPr>
              <w:fldChar w:fldCharType="end"/>
            </w:r>
          </w:hyperlink>
        </w:p>
        <w:p w14:paraId="6EB961D1" w14:textId="43BE40FA" w:rsidR="009D3952" w:rsidRDefault="00857467">
          <w:pPr>
            <w:pStyle w:val="TOC2"/>
            <w:rPr>
              <w:rFonts w:asciiTheme="minorHAnsi" w:eastAsiaTheme="minorEastAsia" w:hAnsiTheme="minorHAnsi" w:cstheme="minorBidi"/>
              <w:iCs w:val="0"/>
              <w:noProof/>
              <w:szCs w:val="22"/>
              <w:lang w:eastAsia="en-AU"/>
            </w:rPr>
          </w:pPr>
          <w:hyperlink w:anchor="_Toc55544790" w:history="1">
            <w:r w:rsidR="009D3952" w:rsidRPr="00F8440C">
              <w:rPr>
                <w:rStyle w:val="Hyperlink"/>
                <w:noProof/>
              </w:rPr>
              <w:t>2.10</w:t>
            </w:r>
            <w:r w:rsidR="009D3952">
              <w:rPr>
                <w:rFonts w:asciiTheme="minorHAnsi" w:eastAsiaTheme="minorEastAsia" w:hAnsiTheme="minorHAnsi" w:cstheme="minorBidi"/>
                <w:iCs w:val="0"/>
                <w:noProof/>
                <w:szCs w:val="22"/>
                <w:lang w:eastAsia="en-AU"/>
              </w:rPr>
              <w:tab/>
            </w:r>
            <w:r w:rsidR="009D3952" w:rsidRPr="00F8440C">
              <w:rPr>
                <w:rStyle w:val="Hyperlink"/>
                <w:noProof/>
              </w:rPr>
              <w:t>Project completion and objectives achieved</w:t>
            </w:r>
            <w:r w:rsidR="009D3952">
              <w:rPr>
                <w:noProof/>
                <w:webHidden/>
              </w:rPr>
              <w:tab/>
            </w:r>
            <w:r w:rsidR="009D3952">
              <w:rPr>
                <w:noProof/>
                <w:webHidden/>
              </w:rPr>
              <w:fldChar w:fldCharType="begin"/>
            </w:r>
            <w:r w:rsidR="009D3952">
              <w:rPr>
                <w:noProof/>
                <w:webHidden/>
              </w:rPr>
              <w:instrText xml:space="preserve"> PAGEREF _Toc55544790 \h </w:instrText>
            </w:r>
            <w:r w:rsidR="009D3952">
              <w:rPr>
                <w:noProof/>
                <w:webHidden/>
              </w:rPr>
            </w:r>
            <w:r w:rsidR="009D3952">
              <w:rPr>
                <w:noProof/>
                <w:webHidden/>
              </w:rPr>
              <w:fldChar w:fldCharType="separate"/>
            </w:r>
            <w:r w:rsidR="00AB03D7">
              <w:rPr>
                <w:noProof/>
                <w:webHidden/>
              </w:rPr>
              <w:t>34</w:t>
            </w:r>
            <w:r w:rsidR="009D3952">
              <w:rPr>
                <w:noProof/>
                <w:webHidden/>
              </w:rPr>
              <w:fldChar w:fldCharType="end"/>
            </w:r>
          </w:hyperlink>
        </w:p>
        <w:p w14:paraId="3445E18B" w14:textId="57D3ED40" w:rsidR="009D3952" w:rsidRDefault="00857467">
          <w:pPr>
            <w:pStyle w:val="TOC1"/>
            <w:rPr>
              <w:rFonts w:asciiTheme="minorHAnsi" w:eastAsiaTheme="minorEastAsia" w:hAnsiTheme="minorHAnsi" w:cstheme="minorBidi"/>
              <w:b w:val="0"/>
              <w:bCs w:val="0"/>
              <w:szCs w:val="22"/>
              <w:lang w:eastAsia="en-AU"/>
            </w:rPr>
          </w:pPr>
          <w:hyperlink w:anchor="_Toc55544794" w:history="1">
            <w:r w:rsidR="009D3952" w:rsidRPr="00F8440C">
              <w:rPr>
                <w:rStyle w:val="Hyperlink"/>
              </w:rPr>
              <w:t>Part Three: Effectiveness—Discovery Projects scheme objectives</w:t>
            </w:r>
            <w:r w:rsidR="009D3952">
              <w:rPr>
                <w:webHidden/>
              </w:rPr>
              <w:tab/>
            </w:r>
            <w:r w:rsidR="009D3952">
              <w:rPr>
                <w:webHidden/>
              </w:rPr>
              <w:fldChar w:fldCharType="begin"/>
            </w:r>
            <w:r w:rsidR="009D3952">
              <w:rPr>
                <w:webHidden/>
              </w:rPr>
              <w:instrText xml:space="preserve"> PAGEREF _Toc55544794 \h </w:instrText>
            </w:r>
            <w:r w:rsidR="009D3952">
              <w:rPr>
                <w:webHidden/>
              </w:rPr>
            </w:r>
            <w:r w:rsidR="009D3952">
              <w:rPr>
                <w:webHidden/>
              </w:rPr>
              <w:fldChar w:fldCharType="separate"/>
            </w:r>
            <w:r w:rsidR="00AB03D7">
              <w:rPr>
                <w:webHidden/>
              </w:rPr>
              <w:t>37</w:t>
            </w:r>
            <w:r w:rsidR="009D3952">
              <w:rPr>
                <w:webHidden/>
              </w:rPr>
              <w:fldChar w:fldCharType="end"/>
            </w:r>
          </w:hyperlink>
        </w:p>
        <w:p w14:paraId="731CA257" w14:textId="05CE60DC" w:rsidR="009D3952" w:rsidRDefault="00857467">
          <w:pPr>
            <w:pStyle w:val="TOC2"/>
            <w:rPr>
              <w:rFonts w:asciiTheme="minorHAnsi" w:eastAsiaTheme="minorEastAsia" w:hAnsiTheme="minorHAnsi" w:cstheme="minorBidi"/>
              <w:iCs w:val="0"/>
              <w:noProof/>
              <w:szCs w:val="22"/>
              <w:lang w:eastAsia="en-AU"/>
            </w:rPr>
          </w:pPr>
          <w:hyperlink w:anchor="_Toc55544802" w:history="1">
            <w:r w:rsidR="009D3952" w:rsidRPr="00F8440C">
              <w:rPr>
                <w:rStyle w:val="Hyperlink"/>
                <w:noProof/>
              </w:rPr>
              <w:t>3.1</w:t>
            </w:r>
            <w:r w:rsidR="009D3952">
              <w:rPr>
                <w:rFonts w:asciiTheme="minorHAnsi" w:eastAsiaTheme="minorEastAsia" w:hAnsiTheme="minorHAnsi" w:cstheme="minorBidi"/>
                <w:iCs w:val="0"/>
                <w:noProof/>
                <w:szCs w:val="22"/>
                <w:lang w:eastAsia="en-AU"/>
              </w:rPr>
              <w:tab/>
            </w:r>
            <w:r w:rsidR="009D3952" w:rsidRPr="00F8440C">
              <w:rPr>
                <w:rStyle w:val="Hyperlink"/>
                <w:noProof/>
              </w:rPr>
              <w:t>Quantitative stakeholder views on effectiveness—overall scheme objectives</w:t>
            </w:r>
            <w:r w:rsidR="009D3952">
              <w:rPr>
                <w:noProof/>
                <w:webHidden/>
              </w:rPr>
              <w:tab/>
            </w:r>
            <w:r w:rsidR="009D3952">
              <w:rPr>
                <w:noProof/>
                <w:webHidden/>
              </w:rPr>
              <w:fldChar w:fldCharType="begin"/>
            </w:r>
            <w:r w:rsidR="009D3952">
              <w:rPr>
                <w:noProof/>
                <w:webHidden/>
              </w:rPr>
              <w:instrText xml:space="preserve"> PAGEREF _Toc55544802 \h </w:instrText>
            </w:r>
            <w:r w:rsidR="009D3952">
              <w:rPr>
                <w:noProof/>
                <w:webHidden/>
              </w:rPr>
            </w:r>
            <w:r w:rsidR="009D3952">
              <w:rPr>
                <w:noProof/>
                <w:webHidden/>
              </w:rPr>
              <w:fldChar w:fldCharType="separate"/>
            </w:r>
            <w:r w:rsidR="00AB03D7">
              <w:rPr>
                <w:noProof/>
                <w:webHidden/>
              </w:rPr>
              <w:t>38</w:t>
            </w:r>
            <w:r w:rsidR="009D3952">
              <w:rPr>
                <w:noProof/>
                <w:webHidden/>
              </w:rPr>
              <w:fldChar w:fldCharType="end"/>
            </w:r>
          </w:hyperlink>
        </w:p>
        <w:p w14:paraId="2C8CD2BA" w14:textId="4C3E2DE7" w:rsidR="009D3952" w:rsidRDefault="00857467">
          <w:pPr>
            <w:pStyle w:val="TOC2"/>
            <w:rPr>
              <w:rFonts w:asciiTheme="minorHAnsi" w:eastAsiaTheme="minorEastAsia" w:hAnsiTheme="minorHAnsi" w:cstheme="minorBidi"/>
              <w:iCs w:val="0"/>
              <w:noProof/>
              <w:szCs w:val="22"/>
              <w:lang w:eastAsia="en-AU"/>
            </w:rPr>
          </w:pPr>
          <w:hyperlink w:anchor="_Toc55544803" w:history="1">
            <w:r w:rsidR="009D3952" w:rsidRPr="00F8440C">
              <w:rPr>
                <w:rStyle w:val="Hyperlink"/>
                <w:noProof/>
              </w:rPr>
              <w:t>3.2</w:t>
            </w:r>
            <w:r w:rsidR="009D3952">
              <w:rPr>
                <w:rFonts w:asciiTheme="minorHAnsi" w:eastAsiaTheme="minorEastAsia" w:hAnsiTheme="minorHAnsi" w:cstheme="minorBidi"/>
                <w:iCs w:val="0"/>
                <w:noProof/>
                <w:szCs w:val="22"/>
                <w:lang w:eastAsia="en-AU"/>
              </w:rPr>
              <w:tab/>
            </w:r>
            <w:r w:rsidR="009D3952" w:rsidRPr="00F8440C">
              <w:rPr>
                <w:rStyle w:val="Hyperlink"/>
                <w:noProof/>
              </w:rPr>
              <w:t>Supporting excellent basic and applied research by individuals and teams</w:t>
            </w:r>
            <w:r w:rsidR="009D3952">
              <w:rPr>
                <w:noProof/>
                <w:webHidden/>
              </w:rPr>
              <w:tab/>
            </w:r>
            <w:r w:rsidR="009D3952">
              <w:rPr>
                <w:noProof/>
                <w:webHidden/>
              </w:rPr>
              <w:fldChar w:fldCharType="begin"/>
            </w:r>
            <w:r w:rsidR="009D3952">
              <w:rPr>
                <w:noProof/>
                <w:webHidden/>
              </w:rPr>
              <w:instrText xml:space="preserve"> PAGEREF _Toc55544803 \h </w:instrText>
            </w:r>
            <w:r w:rsidR="009D3952">
              <w:rPr>
                <w:noProof/>
                <w:webHidden/>
              </w:rPr>
            </w:r>
            <w:r w:rsidR="009D3952">
              <w:rPr>
                <w:noProof/>
                <w:webHidden/>
              </w:rPr>
              <w:fldChar w:fldCharType="separate"/>
            </w:r>
            <w:r w:rsidR="00AB03D7">
              <w:rPr>
                <w:noProof/>
                <w:webHidden/>
              </w:rPr>
              <w:t>40</w:t>
            </w:r>
            <w:r w:rsidR="009D3952">
              <w:rPr>
                <w:noProof/>
                <w:webHidden/>
              </w:rPr>
              <w:fldChar w:fldCharType="end"/>
            </w:r>
          </w:hyperlink>
        </w:p>
        <w:p w14:paraId="146F13C5" w14:textId="5CA6C4F6" w:rsidR="009D3952" w:rsidRDefault="00857467">
          <w:pPr>
            <w:pStyle w:val="TOC2"/>
            <w:rPr>
              <w:rFonts w:asciiTheme="minorHAnsi" w:eastAsiaTheme="minorEastAsia" w:hAnsiTheme="minorHAnsi" w:cstheme="minorBidi"/>
              <w:iCs w:val="0"/>
              <w:noProof/>
              <w:szCs w:val="22"/>
              <w:lang w:eastAsia="en-AU"/>
            </w:rPr>
          </w:pPr>
          <w:hyperlink w:anchor="_Toc55544807" w:history="1">
            <w:r w:rsidR="009D3952" w:rsidRPr="00F8440C">
              <w:rPr>
                <w:rStyle w:val="Hyperlink"/>
                <w:noProof/>
              </w:rPr>
              <w:t>3.3</w:t>
            </w:r>
            <w:r w:rsidR="009D3952">
              <w:rPr>
                <w:rFonts w:asciiTheme="minorHAnsi" w:eastAsiaTheme="minorEastAsia" w:hAnsiTheme="minorHAnsi" w:cstheme="minorBidi"/>
                <w:iCs w:val="0"/>
                <w:noProof/>
                <w:szCs w:val="22"/>
                <w:lang w:eastAsia="en-AU"/>
              </w:rPr>
              <w:tab/>
            </w:r>
            <w:r w:rsidR="009D3952" w:rsidRPr="00F8440C">
              <w:rPr>
                <w:rStyle w:val="Hyperlink"/>
                <w:noProof/>
              </w:rPr>
              <w:t>Supporting excellent research training</w:t>
            </w:r>
            <w:r w:rsidR="009D3952">
              <w:rPr>
                <w:noProof/>
                <w:webHidden/>
              </w:rPr>
              <w:tab/>
            </w:r>
            <w:r w:rsidR="009D3952">
              <w:rPr>
                <w:noProof/>
                <w:webHidden/>
              </w:rPr>
              <w:fldChar w:fldCharType="begin"/>
            </w:r>
            <w:r w:rsidR="009D3952">
              <w:rPr>
                <w:noProof/>
                <w:webHidden/>
              </w:rPr>
              <w:instrText xml:space="preserve"> PAGEREF _Toc55544807 \h </w:instrText>
            </w:r>
            <w:r w:rsidR="009D3952">
              <w:rPr>
                <w:noProof/>
                <w:webHidden/>
              </w:rPr>
            </w:r>
            <w:r w:rsidR="009D3952">
              <w:rPr>
                <w:noProof/>
                <w:webHidden/>
              </w:rPr>
              <w:fldChar w:fldCharType="separate"/>
            </w:r>
            <w:r w:rsidR="00AB03D7">
              <w:rPr>
                <w:noProof/>
                <w:webHidden/>
              </w:rPr>
              <w:t>49</w:t>
            </w:r>
            <w:r w:rsidR="009D3952">
              <w:rPr>
                <w:noProof/>
                <w:webHidden/>
              </w:rPr>
              <w:fldChar w:fldCharType="end"/>
            </w:r>
          </w:hyperlink>
        </w:p>
        <w:p w14:paraId="2F26B4B4" w14:textId="76AD2507" w:rsidR="009D3952" w:rsidRDefault="00857467">
          <w:pPr>
            <w:pStyle w:val="TOC2"/>
            <w:rPr>
              <w:rFonts w:asciiTheme="minorHAnsi" w:eastAsiaTheme="minorEastAsia" w:hAnsiTheme="minorHAnsi" w:cstheme="minorBidi"/>
              <w:iCs w:val="0"/>
              <w:noProof/>
              <w:szCs w:val="22"/>
              <w:lang w:eastAsia="en-AU"/>
            </w:rPr>
          </w:pPr>
          <w:hyperlink w:anchor="_Toc55544811" w:history="1">
            <w:r w:rsidR="009D3952" w:rsidRPr="00F8440C">
              <w:rPr>
                <w:rStyle w:val="Hyperlink"/>
                <w:noProof/>
              </w:rPr>
              <w:t>3.4</w:t>
            </w:r>
            <w:r w:rsidR="009D3952">
              <w:rPr>
                <w:rFonts w:asciiTheme="minorHAnsi" w:eastAsiaTheme="minorEastAsia" w:hAnsiTheme="minorHAnsi" w:cstheme="minorBidi"/>
                <w:iCs w:val="0"/>
                <w:noProof/>
                <w:szCs w:val="22"/>
                <w:lang w:eastAsia="en-AU"/>
              </w:rPr>
              <w:tab/>
            </w:r>
            <w:r w:rsidR="009D3952" w:rsidRPr="00F8440C">
              <w:rPr>
                <w:rStyle w:val="Hyperlink"/>
                <w:noProof/>
              </w:rPr>
              <w:t>Supporting national and international research collaboration</w:t>
            </w:r>
            <w:r w:rsidR="009D3952">
              <w:rPr>
                <w:noProof/>
                <w:webHidden/>
              </w:rPr>
              <w:tab/>
            </w:r>
            <w:r w:rsidR="009D3952">
              <w:rPr>
                <w:noProof/>
                <w:webHidden/>
              </w:rPr>
              <w:fldChar w:fldCharType="begin"/>
            </w:r>
            <w:r w:rsidR="009D3952">
              <w:rPr>
                <w:noProof/>
                <w:webHidden/>
              </w:rPr>
              <w:instrText xml:space="preserve"> PAGEREF _Toc55544811 \h </w:instrText>
            </w:r>
            <w:r w:rsidR="009D3952">
              <w:rPr>
                <w:noProof/>
                <w:webHidden/>
              </w:rPr>
            </w:r>
            <w:r w:rsidR="009D3952">
              <w:rPr>
                <w:noProof/>
                <w:webHidden/>
              </w:rPr>
              <w:fldChar w:fldCharType="separate"/>
            </w:r>
            <w:r w:rsidR="00AB03D7">
              <w:rPr>
                <w:noProof/>
                <w:webHidden/>
              </w:rPr>
              <w:t>53</w:t>
            </w:r>
            <w:r w:rsidR="009D3952">
              <w:rPr>
                <w:noProof/>
                <w:webHidden/>
              </w:rPr>
              <w:fldChar w:fldCharType="end"/>
            </w:r>
          </w:hyperlink>
        </w:p>
        <w:p w14:paraId="44469E3E" w14:textId="1FD0B6D9" w:rsidR="009D3952" w:rsidRDefault="00857467">
          <w:pPr>
            <w:pStyle w:val="TOC2"/>
            <w:rPr>
              <w:rFonts w:asciiTheme="minorHAnsi" w:eastAsiaTheme="minorEastAsia" w:hAnsiTheme="minorHAnsi" w:cstheme="minorBidi"/>
              <w:iCs w:val="0"/>
              <w:noProof/>
              <w:szCs w:val="22"/>
              <w:lang w:eastAsia="en-AU"/>
            </w:rPr>
          </w:pPr>
          <w:hyperlink w:anchor="_Toc55544815" w:history="1">
            <w:r w:rsidR="009D3952" w:rsidRPr="00F8440C">
              <w:rPr>
                <w:rStyle w:val="Hyperlink"/>
                <w:noProof/>
              </w:rPr>
              <w:t>3.5</w:t>
            </w:r>
            <w:r w:rsidR="009D3952">
              <w:rPr>
                <w:rFonts w:asciiTheme="minorHAnsi" w:eastAsiaTheme="minorEastAsia" w:hAnsiTheme="minorHAnsi" w:cstheme="minorBidi"/>
                <w:iCs w:val="0"/>
                <w:noProof/>
                <w:szCs w:val="22"/>
                <w:lang w:eastAsia="en-AU"/>
              </w:rPr>
              <w:tab/>
            </w:r>
            <w:r w:rsidR="009D3952" w:rsidRPr="00F8440C">
              <w:rPr>
                <w:rStyle w:val="Hyperlink"/>
                <w:noProof/>
              </w:rPr>
              <w:t>Enhancing the scale and focus of research in Australian Government priority areas</w:t>
            </w:r>
            <w:r w:rsidR="009D3952">
              <w:rPr>
                <w:noProof/>
                <w:webHidden/>
              </w:rPr>
              <w:tab/>
            </w:r>
            <w:r w:rsidR="009D3952">
              <w:rPr>
                <w:noProof/>
                <w:webHidden/>
              </w:rPr>
              <w:fldChar w:fldCharType="begin"/>
            </w:r>
            <w:r w:rsidR="009D3952">
              <w:rPr>
                <w:noProof/>
                <w:webHidden/>
              </w:rPr>
              <w:instrText xml:space="preserve"> PAGEREF _Toc55544815 \h </w:instrText>
            </w:r>
            <w:r w:rsidR="009D3952">
              <w:rPr>
                <w:noProof/>
                <w:webHidden/>
              </w:rPr>
            </w:r>
            <w:r w:rsidR="009D3952">
              <w:rPr>
                <w:noProof/>
                <w:webHidden/>
              </w:rPr>
              <w:fldChar w:fldCharType="separate"/>
            </w:r>
            <w:r w:rsidR="00AB03D7">
              <w:rPr>
                <w:noProof/>
                <w:webHidden/>
              </w:rPr>
              <w:t>59</w:t>
            </w:r>
            <w:r w:rsidR="009D3952">
              <w:rPr>
                <w:noProof/>
                <w:webHidden/>
              </w:rPr>
              <w:fldChar w:fldCharType="end"/>
            </w:r>
          </w:hyperlink>
        </w:p>
        <w:p w14:paraId="12F39C73" w14:textId="0C2FA515" w:rsidR="009D3952" w:rsidRDefault="00857467">
          <w:pPr>
            <w:pStyle w:val="TOC1"/>
            <w:rPr>
              <w:rFonts w:asciiTheme="minorHAnsi" w:eastAsiaTheme="minorEastAsia" w:hAnsiTheme="minorHAnsi" w:cstheme="minorBidi"/>
              <w:b w:val="0"/>
              <w:bCs w:val="0"/>
              <w:szCs w:val="22"/>
              <w:lang w:eastAsia="en-AU"/>
            </w:rPr>
          </w:pPr>
          <w:hyperlink w:anchor="_Toc55544818" w:history="1">
            <w:r w:rsidR="009D3952" w:rsidRPr="00F8440C">
              <w:rPr>
                <w:rStyle w:val="Hyperlink"/>
              </w:rPr>
              <w:t>Part Four: Effectiveness—Discovery Projects scheme intended outcomes</w:t>
            </w:r>
            <w:r w:rsidR="009D3952">
              <w:rPr>
                <w:webHidden/>
              </w:rPr>
              <w:tab/>
            </w:r>
            <w:r w:rsidR="009D3952">
              <w:rPr>
                <w:webHidden/>
              </w:rPr>
              <w:fldChar w:fldCharType="begin"/>
            </w:r>
            <w:r w:rsidR="009D3952">
              <w:rPr>
                <w:webHidden/>
              </w:rPr>
              <w:instrText xml:space="preserve"> PAGEREF _Toc55544818 \h </w:instrText>
            </w:r>
            <w:r w:rsidR="009D3952">
              <w:rPr>
                <w:webHidden/>
              </w:rPr>
            </w:r>
            <w:r w:rsidR="009D3952">
              <w:rPr>
                <w:webHidden/>
              </w:rPr>
              <w:fldChar w:fldCharType="separate"/>
            </w:r>
            <w:r w:rsidR="00AB03D7">
              <w:rPr>
                <w:webHidden/>
              </w:rPr>
              <w:t>63</w:t>
            </w:r>
            <w:r w:rsidR="009D3952">
              <w:rPr>
                <w:webHidden/>
              </w:rPr>
              <w:fldChar w:fldCharType="end"/>
            </w:r>
          </w:hyperlink>
        </w:p>
        <w:p w14:paraId="073DAEA4" w14:textId="22C3C52C" w:rsidR="009D3952" w:rsidRDefault="00857467">
          <w:pPr>
            <w:pStyle w:val="TOC2"/>
            <w:rPr>
              <w:rFonts w:asciiTheme="minorHAnsi" w:eastAsiaTheme="minorEastAsia" w:hAnsiTheme="minorHAnsi" w:cstheme="minorBidi"/>
              <w:iCs w:val="0"/>
              <w:noProof/>
              <w:szCs w:val="22"/>
              <w:lang w:eastAsia="en-AU"/>
            </w:rPr>
          </w:pPr>
          <w:hyperlink w:anchor="_Toc55544824" w:history="1">
            <w:r w:rsidR="009D3952" w:rsidRPr="00F8440C">
              <w:rPr>
                <w:rStyle w:val="Hyperlink"/>
                <w:noProof/>
              </w:rPr>
              <w:t>4.1</w:t>
            </w:r>
            <w:r w:rsidR="009D3952">
              <w:rPr>
                <w:rFonts w:asciiTheme="minorHAnsi" w:eastAsiaTheme="minorEastAsia" w:hAnsiTheme="minorHAnsi" w:cstheme="minorBidi"/>
                <w:iCs w:val="0"/>
                <w:noProof/>
                <w:szCs w:val="22"/>
                <w:lang w:eastAsia="en-AU"/>
              </w:rPr>
              <w:tab/>
            </w:r>
            <w:r w:rsidR="009D3952" w:rsidRPr="00F8440C">
              <w:rPr>
                <w:rStyle w:val="Hyperlink"/>
                <w:noProof/>
              </w:rPr>
              <w:t>Quantitative stakeholder views on effectiveness—overall scheme intended outcomes</w:t>
            </w:r>
            <w:r w:rsidR="009D3952">
              <w:rPr>
                <w:noProof/>
                <w:webHidden/>
              </w:rPr>
              <w:tab/>
            </w:r>
            <w:r w:rsidR="009D3952">
              <w:rPr>
                <w:noProof/>
                <w:webHidden/>
              </w:rPr>
              <w:fldChar w:fldCharType="begin"/>
            </w:r>
            <w:r w:rsidR="009D3952">
              <w:rPr>
                <w:noProof/>
                <w:webHidden/>
              </w:rPr>
              <w:instrText xml:space="preserve"> PAGEREF _Toc55544824 \h </w:instrText>
            </w:r>
            <w:r w:rsidR="009D3952">
              <w:rPr>
                <w:noProof/>
                <w:webHidden/>
              </w:rPr>
            </w:r>
            <w:r w:rsidR="009D3952">
              <w:rPr>
                <w:noProof/>
                <w:webHidden/>
              </w:rPr>
              <w:fldChar w:fldCharType="separate"/>
            </w:r>
            <w:r w:rsidR="00AB03D7">
              <w:rPr>
                <w:noProof/>
                <w:webHidden/>
              </w:rPr>
              <w:t>64</w:t>
            </w:r>
            <w:r w:rsidR="009D3952">
              <w:rPr>
                <w:noProof/>
                <w:webHidden/>
              </w:rPr>
              <w:fldChar w:fldCharType="end"/>
            </w:r>
          </w:hyperlink>
        </w:p>
        <w:p w14:paraId="64617CAD" w14:textId="21857D35" w:rsidR="009D3952" w:rsidRDefault="00857467">
          <w:pPr>
            <w:pStyle w:val="TOC2"/>
            <w:rPr>
              <w:rFonts w:asciiTheme="minorHAnsi" w:eastAsiaTheme="minorEastAsia" w:hAnsiTheme="minorHAnsi" w:cstheme="minorBidi"/>
              <w:iCs w:val="0"/>
              <w:noProof/>
              <w:szCs w:val="22"/>
              <w:lang w:eastAsia="en-AU"/>
            </w:rPr>
          </w:pPr>
          <w:hyperlink w:anchor="_Toc55544825" w:history="1">
            <w:r w:rsidR="009D3952" w:rsidRPr="00F8440C">
              <w:rPr>
                <w:rStyle w:val="Hyperlink"/>
                <w:noProof/>
              </w:rPr>
              <w:t>4.2</w:t>
            </w:r>
            <w:r w:rsidR="009D3952">
              <w:rPr>
                <w:rFonts w:asciiTheme="minorHAnsi" w:eastAsiaTheme="minorEastAsia" w:hAnsiTheme="minorHAnsi" w:cstheme="minorBidi"/>
                <w:iCs w:val="0"/>
                <w:noProof/>
                <w:szCs w:val="22"/>
                <w:lang w:eastAsia="en-AU"/>
              </w:rPr>
              <w:tab/>
            </w:r>
            <w:r w:rsidR="009D3952" w:rsidRPr="00F8440C">
              <w:rPr>
                <w:rStyle w:val="Hyperlink"/>
                <w:noProof/>
              </w:rPr>
              <w:t>Expanding Australia’s knowledge base and research capacity</w:t>
            </w:r>
            <w:r w:rsidR="009D3952">
              <w:rPr>
                <w:noProof/>
                <w:webHidden/>
              </w:rPr>
              <w:tab/>
            </w:r>
            <w:r w:rsidR="009D3952">
              <w:rPr>
                <w:noProof/>
                <w:webHidden/>
              </w:rPr>
              <w:fldChar w:fldCharType="begin"/>
            </w:r>
            <w:r w:rsidR="009D3952">
              <w:rPr>
                <w:noProof/>
                <w:webHidden/>
              </w:rPr>
              <w:instrText xml:space="preserve"> PAGEREF _Toc55544825 \h </w:instrText>
            </w:r>
            <w:r w:rsidR="009D3952">
              <w:rPr>
                <w:noProof/>
                <w:webHidden/>
              </w:rPr>
            </w:r>
            <w:r w:rsidR="009D3952">
              <w:rPr>
                <w:noProof/>
                <w:webHidden/>
              </w:rPr>
              <w:fldChar w:fldCharType="separate"/>
            </w:r>
            <w:r w:rsidR="00AB03D7">
              <w:rPr>
                <w:noProof/>
                <w:webHidden/>
              </w:rPr>
              <w:t>68</w:t>
            </w:r>
            <w:r w:rsidR="009D3952">
              <w:rPr>
                <w:noProof/>
                <w:webHidden/>
              </w:rPr>
              <w:fldChar w:fldCharType="end"/>
            </w:r>
          </w:hyperlink>
        </w:p>
        <w:p w14:paraId="24D7D449" w14:textId="27F5641E" w:rsidR="009D3952" w:rsidRDefault="00857467">
          <w:pPr>
            <w:pStyle w:val="TOC2"/>
            <w:rPr>
              <w:rFonts w:asciiTheme="minorHAnsi" w:eastAsiaTheme="minorEastAsia" w:hAnsiTheme="minorHAnsi" w:cstheme="minorBidi"/>
              <w:iCs w:val="0"/>
              <w:noProof/>
              <w:szCs w:val="22"/>
              <w:lang w:eastAsia="en-AU"/>
            </w:rPr>
          </w:pPr>
          <w:hyperlink w:anchor="_Toc55544829" w:history="1">
            <w:r w:rsidR="009D3952" w:rsidRPr="00F8440C">
              <w:rPr>
                <w:rStyle w:val="Hyperlink"/>
                <w:noProof/>
              </w:rPr>
              <w:t>4.3</w:t>
            </w:r>
            <w:r w:rsidR="009D3952">
              <w:rPr>
                <w:rFonts w:asciiTheme="minorHAnsi" w:eastAsiaTheme="minorEastAsia" w:hAnsiTheme="minorHAnsi" w:cstheme="minorBidi"/>
                <w:iCs w:val="0"/>
                <w:noProof/>
                <w:szCs w:val="22"/>
                <w:lang w:eastAsia="en-AU"/>
              </w:rPr>
              <w:tab/>
            </w:r>
            <w:r w:rsidR="009D3952" w:rsidRPr="00F8440C">
              <w:rPr>
                <w:rStyle w:val="Hyperlink"/>
                <w:noProof/>
              </w:rPr>
              <w:t xml:space="preserve">Delivering economic, commercial, environmental, social and cultural benefits for </w:t>
            </w:r>
            <w:r w:rsidR="009D3952">
              <w:rPr>
                <w:rStyle w:val="Hyperlink"/>
                <w:noProof/>
              </w:rPr>
              <w:t xml:space="preserve">      </w:t>
            </w:r>
            <w:r w:rsidR="009D3952" w:rsidRPr="00F8440C">
              <w:rPr>
                <w:rStyle w:val="Hyperlink"/>
                <w:noProof/>
              </w:rPr>
              <w:t>Australia</w:t>
            </w:r>
            <w:r w:rsidR="009D3952">
              <w:rPr>
                <w:noProof/>
                <w:webHidden/>
              </w:rPr>
              <w:tab/>
            </w:r>
            <w:r w:rsidR="009D3952">
              <w:rPr>
                <w:noProof/>
                <w:webHidden/>
              </w:rPr>
              <w:fldChar w:fldCharType="begin"/>
            </w:r>
            <w:r w:rsidR="009D3952">
              <w:rPr>
                <w:noProof/>
                <w:webHidden/>
              </w:rPr>
              <w:instrText xml:space="preserve"> PAGEREF _Toc55544829 \h </w:instrText>
            </w:r>
            <w:r w:rsidR="009D3952">
              <w:rPr>
                <w:noProof/>
                <w:webHidden/>
              </w:rPr>
            </w:r>
            <w:r w:rsidR="009D3952">
              <w:rPr>
                <w:noProof/>
                <w:webHidden/>
              </w:rPr>
              <w:fldChar w:fldCharType="separate"/>
            </w:r>
            <w:r w:rsidR="00AB03D7">
              <w:rPr>
                <w:noProof/>
                <w:webHidden/>
              </w:rPr>
              <w:t>73</w:t>
            </w:r>
            <w:r w:rsidR="009D3952">
              <w:rPr>
                <w:noProof/>
                <w:webHidden/>
              </w:rPr>
              <w:fldChar w:fldCharType="end"/>
            </w:r>
          </w:hyperlink>
        </w:p>
        <w:p w14:paraId="793860F0" w14:textId="2A395E01" w:rsidR="009D3952" w:rsidRDefault="00857467">
          <w:pPr>
            <w:pStyle w:val="TOC2"/>
            <w:rPr>
              <w:rStyle w:val="Hyperlink"/>
              <w:noProof/>
            </w:rPr>
          </w:pPr>
          <w:hyperlink w:anchor="_Toc55544832" w:history="1">
            <w:r w:rsidR="009D3952" w:rsidRPr="00F8440C">
              <w:rPr>
                <w:rStyle w:val="Hyperlink"/>
                <w:noProof/>
              </w:rPr>
              <w:t>4.4</w:t>
            </w:r>
            <w:r w:rsidR="009D3952">
              <w:rPr>
                <w:rFonts w:asciiTheme="minorHAnsi" w:eastAsiaTheme="minorEastAsia" w:hAnsiTheme="minorHAnsi" w:cstheme="minorBidi"/>
                <w:iCs w:val="0"/>
                <w:noProof/>
                <w:szCs w:val="22"/>
                <w:lang w:eastAsia="en-AU"/>
              </w:rPr>
              <w:tab/>
            </w:r>
            <w:r w:rsidR="009D3952" w:rsidRPr="00F8440C">
              <w:rPr>
                <w:rStyle w:val="Hyperlink"/>
                <w:noProof/>
              </w:rPr>
              <w:t>Stakeholder feedback on potential improvements</w:t>
            </w:r>
            <w:r w:rsidR="009D3952">
              <w:rPr>
                <w:noProof/>
                <w:webHidden/>
              </w:rPr>
              <w:tab/>
            </w:r>
            <w:r w:rsidR="009D3952">
              <w:rPr>
                <w:noProof/>
                <w:webHidden/>
              </w:rPr>
              <w:fldChar w:fldCharType="begin"/>
            </w:r>
            <w:r w:rsidR="009D3952">
              <w:rPr>
                <w:noProof/>
                <w:webHidden/>
              </w:rPr>
              <w:instrText xml:space="preserve"> PAGEREF _Toc55544832 \h </w:instrText>
            </w:r>
            <w:r w:rsidR="009D3952">
              <w:rPr>
                <w:noProof/>
                <w:webHidden/>
              </w:rPr>
            </w:r>
            <w:r w:rsidR="009D3952">
              <w:rPr>
                <w:noProof/>
                <w:webHidden/>
              </w:rPr>
              <w:fldChar w:fldCharType="separate"/>
            </w:r>
            <w:r w:rsidR="00AB03D7">
              <w:rPr>
                <w:noProof/>
                <w:webHidden/>
              </w:rPr>
              <w:t>77</w:t>
            </w:r>
            <w:r w:rsidR="009D3952">
              <w:rPr>
                <w:noProof/>
                <w:webHidden/>
              </w:rPr>
              <w:fldChar w:fldCharType="end"/>
            </w:r>
          </w:hyperlink>
        </w:p>
        <w:p w14:paraId="4F948106" w14:textId="77777777" w:rsidR="009D3952" w:rsidRPr="009D3952" w:rsidRDefault="009D3952" w:rsidP="009D3952">
          <w:pPr>
            <w:rPr>
              <w:noProof/>
            </w:rPr>
          </w:pPr>
        </w:p>
        <w:p w14:paraId="02EBBD3E" w14:textId="008EE6F2" w:rsidR="009D3952" w:rsidRDefault="00857467">
          <w:pPr>
            <w:pStyle w:val="TOC1"/>
            <w:rPr>
              <w:rFonts w:asciiTheme="minorHAnsi" w:eastAsiaTheme="minorEastAsia" w:hAnsiTheme="minorHAnsi" w:cstheme="minorBidi"/>
              <w:b w:val="0"/>
              <w:bCs w:val="0"/>
              <w:szCs w:val="22"/>
              <w:lang w:eastAsia="en-AU"/>
            </w:rPr>
          </w:pPr>
          <w:hyperlink w:anchor="_Toc55544833" w:history="1">
            <w:r w:rsidR="009D3952" w:rsidRPr="00F8440C">
              <w:rPr>
                <w:rStyle w:val="Hyperlink"/>
              </w:rPr>
              <w:t>Part Five: Appropriateness of the Discovery Projects scheme</w:t>
            </w:r>
            <w:r w:rsidR="009D3952">
              <w:rPr>
                <w:webHidden/>
              </w:rPr>
              <w:tab/>
            </w:r>
            <w:r w:rsidR="009D3952">
              <w:rPr>
                <w:webHidden/>
              </w:rPr>
              <w:fldChar w:fldCharType="begin"/>
            </w:r>
            <w:r w:rsidR="009D3952">
              <w:rPr>
                <w:webHidden/>
              </w:rPr>
              <w:instrText xml:space="preserve"> PAGEREF _Toc55544833 \h </w:instrText>
            </w:r>
            <w:r w:rsidR="009D3952">
              <w:rPr>
                <w:webHidden/>
              </w:rPr>
            </w:r>
            <w:r w:rsidR="009D3952">
              <w:rPr>
                <w:webHidden/>
              </w:rPr>
              <w:fldChar w:fldCharType="separate"/>
            </w:r>
            <w:r w:rsidR="00AB03D7">
              <w:rPr>
                <w:webHidden/>
              </w:rPr>
              <w:t>79</w:t>
            </w:r>
            <w:r w:rsidR="009D3952">
              <w:rPr>
                <w:webHidden/>
              </w:rPr>
              <w:fldChar w:fldCharType="end"/>
            </w:r>
          </w:hyperlink>
        </w:p>
        <w:p w14:paraId="10A8E24B" w14:textId="4A792009" w:rsidR="009D3952" w:rsidRDefault="00857467">
          <w:pPr>
            <w:pStyle w:val="TOC2"/>
            <w:rPr>
              <w:rFonts w:asciiTheme="minorHAnsi" w:eastAsiaTheme="minorEastAsia" w:hAnsiTheme="minorHAnsi" w:cstheme="minorBidi"/>
              <w:iCs w:val="0"/>
              <w:noProof/>
              <w:szCs w:val="22"/>
              <w:lang w:eastAsia="en-AU"/>
            </w:rPr>
          </w:pPr>
          <w:hyperlink w:anchor="_Toc55544841" w:history="1">
            <w:r w:rsidR="009D3952" w:rsidRPr="00F8440C">
              <w:rPr>
                <w:rStyle w:val="Hyperlink"/>
                <w:noProof/>
                <w:lang w:val="en-US"/>
              </w:rPr>
              <w:t>5.1</w:t>
            </w:r>
            <w:r w:rsidR="009D3952">
              <w:rPr>
                <w:rFonts w:asciiTheme="minorHAnsi" w:eastAsiaTheme="minorEastAsia" w:hAnsiTheme="minorHAnsi" w:cstheme="minorBidi"/>
                <w:iCs w:val="0"/>
                <w:noProof/>
                <w:szCs w:val="22"/>
                <w:lang w:eastAsia="en-AU"/>
              </w:rPr>
              <w:tab/>
            </w:r>
            <w:r w:rsidR="009D3952" w:rsidRPr="00F8440C">
              <w:rPr>
                <w:rStyle w:val="Hyperlink"/>
                <w:noProof/>
                <w:lang w:val="en-US"/>
              </w:rPr>
              <w:t>Discovery Projects’ role within Australia’s research funding landscape</w:t>
            </w:r>
            <w:r w:rsidR="009D3952">
              <w:rPr>
                <w:noProof/>
                <w:webHidden/>
              </w:rPr>
              <w:tab/>
            </w:r>
            <w:r w:rsidR="009D3952">
              <w:rPr>
                <w:noProof/>
                <w:webHidden/>
              </w:rPr>
              <w:fldChar w:fldCharType="begin"/>
            </w:r>
            <w:r w:rsidR="009D3952">
              <w:rPr>
                <w:noProof/>
                <w:webHidden/>
              </w:rPr>
              <w:instrText xml:space="preserve"> PAGEREF _Toc55544841 \h </w:instrText>
            </w:r>
            <w:r w:rsidR="009D3952">
              <w:rPr>
                <w:noProof/>
                <w:webHidden/>
              </w:rPr>
            </w:r>
            <w:r w:rsidR="009D3952">
              <w:rPr>
                <w:noProof/>
                <w:webHidden/>
              </w:rPr>
              <w:fldChar w:fldCharType="separate"/>
            </w:r>
            <w:r w:rsidR="00AB03D7">
              <w:rPr>
                <w:noProof/>
                <w:webHidden/>
              </w:rPr>
              <w:t>80</w:t>
            </w:r>
            <w:r w:rsidR="009D3952">
              <w:rPr>
                <w:noProof/>
                <w:webHidden/>
              </w:rPr>
              <w:fldChar w:fldCharType="end"/>
            </w:r>
          </w:hyperlink>
        </w:p>
        <w:p w14:paraId="64D70F2A" w14:textId="515E831C" w:rsidR="009D3952" w:rsidRDefault="00857467">
          <w:pPr>
            <w:pStyle w:val="TOC2"/>
            <w:rPr>
              <w:rFonts w:asciiTheme="minorHAnsi" w:eastAsiaTheme="minorEastAsia" w:hAnsiTheme="minorHAnsi" w:cstheme="minorBidi"/>
              <w:iCs w:val="0"/>
              <w:noProof/>
              <w:szCs w:val="22"/>
              <w:lang w:eastAsia="en-AU"/>
            </w:rPr>
          </w:pPr>
          <w:hyperlink w:anchor="_Toc55544849" w:history="1">
            <w:r w:rsidR="009D3952" w:rsidRPr="00F8440C">
              <w:rPr>
                <w:rStyle w:val="Hyperlink"/>
                <w:noProof/>
              </w:rPr>
              <w:t>5.2</w:t>
            </w:r>
            <w:r w:rsidR="009D3952">
              <w:rPr>
                <w:rFonts w:asciiTheme="minorHAnsi" w:eastAsiaTheme="minorEastAsia" w:hAnsiTheme="minorHAnsi" w:cstheme="minorBidi"/>
                <w:iCs w:val="0"/>
                <w:noProof/>
                <w:szCs w:val="22"/>
                <w:lang w:eastAsia="en-AU"/>
              </w:rPr>
              <w:tab/>
            </w:r>
            <w:r w:rsidR="009D3952" w:rsidRPr="00F8440C">
              <w:rPr>
                <w:rStyle w:val="Hyperlink"/>
                <w:noProof/>
              </w:rPr>
              <w:t>Discovery Projects scheme design</w:t>
            </w:r>
            <w:r w:rsidR="009D3952">
              <w:rPr>
                <w:noProof/>
                <w:webHidden/>
              </w:rPr>
              <w:tab/>
            </w:r>
            <w:r w:rsidR="009D3952">
              <w:rPr>
                <w:noProof/>
                <w:webHidden/>
              </w:rPr>
              <w:fldChar w:fldCharType="begin"/>
            </w:r>
            <w:r w:rsidR="009D3952">
              <w:rPr>
                <w:noProof/>
                <w:webHidden/>
              </w:rPr>
              <w:instrText xml:space="preserve"> PAGEREF _Toc55544849 \h </w:instrText>
            </w:r>
            <w:r w:rsidR="009D3952">
              <w:rPr>
                <w:noProof/>
                <w:webHidden/>
              </w:rPr>
            </w:r>
            <w:r w:rsidR="009D3952">
              <w:rPr>
                <w:noProof/>
                <w:webHidden/>
              </w:rPr>
              <w:fldChar w:fldCharType="separate"/>
            </w:r>
            <w:r w:rsidR="00AB03D7">
              <w:rPr>
                <w:noProof/>
                <w:webHidden/>
              </w:rPr>
              <w:t>85</w:t>
            </w:r>
            <w:r w:rsidR="009D3952">
              <w:rPr>
                <w:noProof/>
                <w:webHidden/>
              </w:rPr>
              <w:fldChar w:fldCharType="end"/>
            </w:r>
          </w:hyperlink>
        </w:p>
        <w:p w14:paraId="36640AC4" w14:textId="617C1E88" w:rsidR="009D3952" w:rsidRDefault="00857467">
          <w:pPr>
            <w:pStyle w:val="TOC2"/>
            <w:rPr>
              <w:rFonts w:asciiTheme="minorHAnsi" w:eastAsiaTheme="minorEastAsia" w:hAnsiTheme="minorHAnsi" w:cstheme="minorBidi"/>
              <w:iCs w:val="0"/>
              <w:noProof/>
              <w:szCs w:val="22"/>
              <w:lang w:eastAsia="en-AU"/>
            </w:rPr>
          </w:pPr>
          <w:hyperlink w:anchor="_Toc55544854" w:history="1">
            <w:r w:rsidR="009D3952" w:rsidRPr="00F8440C">
              <w:rPr>
                <w:rStyle w:val="Hyperlink"/>
                <w:noProof/>
                <w:lang w:eastAsia="en-AU"/>
              </w:rPr>
              <w:t>5.3</w:t>
            </w:r>
            <w:r w:rsidR="009D3952">
              <w:rPr>
                <w:rFonts w:asciiTheme="minorHAnsi" w:eastAsiaTheme="minorEastAsia" w:hAnsiTheme="minorHAnsi" w:cstheme="minorBidi"/>
                <w:iCs w:val="0"/>
                <w:noProof/>
                <w:szCs w:val="22"/>
                <w:lang w:eastAsia="en-AU"/>
              </w:rPr>
              <w:tab/>
            </w:r>
            <w:r w:rsidR="009D3952" w:rsidRPr="00F8440C">
              <w:rPr>
                <w:rStyle w:val="Hyperlink"/>
                <w:noProof/>
                <w:lang w:eastAsia="en-AU"/>
              </w:rPr>
              <w:t>Appropriateness of Discovery Projects’ funding amount and duration</w:t>
            </w:r>
            <w:r w:rsidR="009D3952">
              <w:rPr>
                <w:noProof/>
                <w:webHidden/>
              </w:rPr>
              <w:tab/>
            </w:r>
            <w:r w:rsidR="009D3952">
              <w:rPr>
                <w:noProof/>
                <w:webHidden/>
              </w:rPr>
              <w:fldChar w:fldCharType="begin"/>
            </w:r>
            <w:r w:rsidR="009D3952">
              <w:rPr>
                <w:noProof/>
                <w:webHidden/>
              </w:rPr>
              <w:instrText xml:space="preserve"> PAGEREF _Toc55544854 \h </w:instrText>
            </w:r>
            <w:r w:rsidR="009D3952">
              <w:rPr>
                <w:noProof/>
                <w:webHidden/>
              </w:rPr>
            </w:r>
            <w:r w:rsidR="009D3952">
              <w:rPr>
                <w:noProof/>
                <w:webHidden/>
              </w:rPr>
              <w:fldChar w:fldCharType="separate"/>
            </w:r>
            <w:r w:rsidR="00AB03D7">
              <w:rPr>
                <w:noProof/>
                <w:webHidden/>
              </w:rPr>
              <w:t>91</w:t>
            </w:r>
            <w:r w:rsidR="009D3952">
              <w:rPr>
                <w:noProof/>
                <w:webHidden/>
              </w:rPr>
              <w:fldChar w:fldCharType="end"/>
            </w:r>
          </w:hyperlink>
        </w:p>
        <w:p w14:paraId="2C35B792" w14:textId="779A907B" w:rsidR="009D3952" w:rsidRDefault="00857467">
          <w:pPr>
            <w:pStyle w:val="TOC1"/>
            <w:rPr>
              <w:rFonts w:asciiTheme="minorHAnsi" w:eastAsiaTheme="minorEastAsia" w:hAnsiTheme="minorHAnsi" w:cstheme="minorBidi"/>
              <w:b w:val="0"/>
              <w:bCs w:val="0"/>
              <w:szCs w:val="22"/>
              <w:lang w:eastAsia="en-AU"/>
            </w:rPr>
          </w:pPr>
          <w:hyperlink w:anchor="_Toc55544859" w:history="1">
            <w:r w:rsidR="009D3952" w:rsidRPr="00F8440C">
              <w:rPr>
                <w:rStyle w:val="Hyperlink"/>
                <w:rFonts w:eastAsia="Calibri"/>
              </w:rPr>
              <w:t xml:space="preserve">Appendix A: Opportunity One—Targeted advice, outreach and engagement (additional </w:t>
            </w:r>
            <w:r w:rsidR="009D3952">
              <w:rPr>
                <w:rStyle w:val="Hyperlink"/>
                <w:rFonts w:eastAsia="Calibri"/>
              </w:rPr>
              <w:t xml:space="preserve">      </w:t>
            </w:r>
            <w:r w:rsidR="009D3952" w:rsidRPr="00F8440C">
              <w:rPr>
                <w:rStyle w:val="Hyperlink"/>
                <w:rFonts w:eastAsia="Calibri"/>
              </w:rPr>
              <w:t>information)</w:t>
            </w:r>
            <w:r w:rsidR="009D3952">
              <w:rPr>
                <w:webHidden/>
              </w:rPr>
              <w:tab/>
            </w:r>
            <w:r w:rsidR="009D3952">
              <w:rPr>
                <w:webHidden/>
              </w:rPr>
              <w:fldChar w:fldCharType="begin"/>
            </w:r>
            <w:r w:rsidR="009D3952">
              <w:rPr>
                <w:webHidden/>
              </w:rPr>
              <w:instrText xml:space="preserve"> PAGEREF _Toc55544859 \h </w:instrText>
            </w:r>
            <w:r w:rsidR="009D3952">
              <w:rPr>
                <w:webHidden/>
              </w:rPr>
            </w:r>
            <w:r w:rsidR="009D3952">
              <w:rPr>
                <w:webHidden/>
              </w:rPr>
              <w:fldChar w:fldCharType="separate"/>
            </w:r>
            <w:r w:rsidR="00AB03D7">
              <w:rPr>
                <w:webHidden/>
              </w:rPr>
              <w:t>98</w:t>
            </w:r>
            <w:r w:rsidR="009D3952">
              <w:rPr>
                <w:webHidden/>
              </w:rPr>
              <w:fldChar w:fldCharType="end"/>
            </w:r>
          </w:hyperlink>
        </w:p>
        <w:p w14:paraId="23D029F7" w14:textId="13F7E375" w:rsidR="009D3952" w:rsidRDefault="00857467">
          <w:pPr>
            <w:pStyle w:val="TOC1"/>
            <w:rPr>
              <w:rFonts w:asciiTheme="minorHAnsi" w:eastAsiaTheme="minorEastAsia" w:hAnsiTheme="minorHAnsi" w:cstheme="minorBidi"/>
              <w:b w:val="0"/>
              <w:bCs w:val="0"/>
              <w:szCs w:val="22"/>
              <w:lang w:eastAsia="en-AU"/>
            </w:rPr>
          </w:pPr>
          <w:hyperlink w:anchor="_Toc55544860" w:history="1">
            <w:r w:rsidR="009D3952" w:rsidRPr="00F8440C">
              <w:rPr>
                <w:rStyle w:val="Hyperlink"/>
                <w:rFonts w:eastAsia="Calibri"/>
              </w:rPr>
              <w:t xml:space="preserve">Appendix B: </w:t>
            </w:r>
            <w:r w:rsidR="009D3952" w:rsidRPr="00F8440C">
              <w:rPr>
                <w:rStyle w:val="Hyperlink"/>
              </w:rPr>
              <w:t>Stakeholder feedback—executive summary</w:t>
            </w:r>
            <w:r w:rsidR="009D3952">
              <w:rPr>
                <w:webHidden/>
              </w:rPr>
              <w:tab/>
            </w:r>
            <w:r w:rsidR="009D3952">
              <w:rPr>
                <w:webHidden/>
              </w:rPr>
              <w:fldChar w:fldCharType="begin"/>
            </w:r>
            <w:r w:rsidR="009D3952">
              <w:rPr>
                <w:webHidden/>
              </w:rPr>
              <w:instrText xml:space="preserve"> PAGEREF _Toc55544860 \h </w:instrText>
            </w:r>
            <w:r w:rsidR="009D3952">
              <w:rPr>
                <w:webHidden/>
              </w:rPr>
            </w:r>
            <w:r w:rsidR="009D3952">
              <w:rPr>
                <w:webHidden/>
              </w:rPr>
              <w:fldChar w:fldCharType="separate"/>
            </w:r>
            <w:r w:rsidR="00AB03D7">
              <w:rPr>
                <w:webHidden/>
              </w:rPr>
              <w:t>100</w:t>
            </w:r>
            <w:r w:rsidR="009D3952">
              <w:rPr>
                <w:webHidden/>
              </w:rPr>
              <w:fldChar w:fldCharType="end"/>
            </w:r>
          </w:hyperlink>
        </w:p>
        <w:p w14:paraId="03E6BEFA" w14:textId="003C0C72" w:rsidR="009D3952" w:rsidRDefault="00857467">
          <w:pPr>
            <w:pStyle w:val="TOC1"/>
            <w:rPr>
              <w:rFonts w:asciiTheme="minorHAnsi" w:eastAsiaTheme="minorEastAsia" w:hAnsiTheme="minorHAnsi" w:cstheme="minorBidi"/>
              <w:b w:val="0"/>
              <w:bCs w:val="0"/>
              <w:szCs w:val="22"/>
              <w:lang w:eastAsia="en-AU"/>
            </w:rPr>
          </w:pPr>
          <w:hyperlink w:anchor="_Toc55544861" w:history="1">
            <w:r w:rsidR="009D3952" w:rsidRPr="00F8440C">
              <w:rPr>
                <w:rStyle w:val="Hyperlink"/>
                <w:rFonts w:eastAsia="Calibri"/>
              </w:rPr>
              <w:t>Appendix C: Survey sample</w:t>
            </w:r>
            <w:r w:rsidR="009D3952">
              <w:rPr>
                <w:webHidden/>
              </w:rPr>
              <w:tab/>
            </w:r>
            <w:r w:rsidR="009D3952">
              <w:rPr>
                <w:webHidden/>
              </w:rPr>
              <w:fldChar w:fldCharType="begin"/>
            </w:r>
            <w:r w:rsidR="009D3952">
              <w:rPr>
                <w:webHidden/>
              </w:rPr>
              <w:instrText xml:space="preserve"> PAGEREF _Toc55544861 \h </w:instrText>
            </w:r>
            <w:r w:rsidR="009D3952">
              <w:rPr>
                <w:webHidden/>
              </w:rPr>
            </w:r>
            <w:r w:rsidR="009D3952">
              <w:rPr>
                <w:webHidden/>
              </w:rPr>
              <w:fldChar w:fldCharType="separate"/>
            </w:r>
            <w:r w:rsidR="00AB03D7">
              <w:rPr>
                <w:webHidden/>
              </w:rPr>
              <w:t>103</w:t>
            </w:r>
            <w:r w:rsidR="009D3952">
              <w:rPr>
                <w:webHidden/>
              </w:rPr>
              <w:fldChar w:fldCharType="end"/>
            </w:r>
          </w:hyperlink>
        </w:p>
        <w:p w14:paraId="463932EB" w14:textId="56D4E5F8" w:rsidR="009D3952" w:rsidRDefault="00857467">
          <w:pPr>
            <w:pStyle w:val="TOC1"/>
            <w:rPr>
              <w:rFonts w:asciiTheme="minorHAnsi" w:eastAsiaTheme="minorEastAsia" w:hAnsiTheme="minorHAnsi" w:cstheme="minorBidi"/>
              <w:b w:val="0"/>
              <w:bCs w:val="0"/>
              <w:szCs w:val="22"/>
              <w:lang w:eastAsia="en-AU"/>
            </w:rPr>
          </w:pPr>
          <w:hyperlink w:anchor="_Toc55544862" w:history="1">
            <w:r w:rsidR="009D3952" w:rsidRPr="00F8440C">
              <w:rPr>
                <w:rStyle w:val="Hyperlink"/>
              </w:rPr>
              <w:t>Appendix D: Success rates by Fields of Research</w:t>
            </w:r>
            <w:r w:rsidR="009D3952">
              <w:rPr>
                <w:webHidden/>
              </w:rPr>
              <w:tab/>
            </w:r>
            <w:r w:rsidR="009D3952">
              <w:rPr>
                <w:webHidden/>
              </w:rPr>
              <w:fldChar w:fldCharType="begin"/>
            </w:r>
            <w:r w:rsidR="009D3952">
              <w:rPr>
                <w:webHidden/>
              </w:rPr>
              <w:instrText xml:space="preserve"> PAGEREF _Toc55544862 \h </w:instrText>
            </w:r>
            <w:r w:rsidR="009D3952">
              <w:rPr>
                <w:webHidden/>
              </w:rPr>
            </w:r>
            <w:r w:rsidR="009D3952">
              <w:rPr>
                <w:webHidden/>
              </w:rPr>
              <w:fldChar w:fldCharType="separate"/>
            </w:r>
            <w:r w:rsidR="00AB03D7">
              <w:rPr>
                <w:webHidden/>
              </w:rPr>
              <w:t>106</w:t>
            </w:r>
            <w:r w:rsidR="009D3952">
              <w:rPr>
                <w:webHidden/>
              </w:rPr>
              <w:fldChar w:fldCharType="end"/>
            </w:r>
          </w:hyperlink>
        </w:p>
        <w:p w14:paraId="1B6340C2" w14:textId="1F25F991" w:rsidR="009D3952" w:rsidRDefault="00857467">
          <w:pPr>
            <w:pStyle w:val="TOC1"/>
            <w:rPr>
              <w:rFonts w:asciiTheme="minorHAnsi" w:eastAsiaTheme="minorEastAsia" w:hAnsiTheme="minorHAnsi" w:cstheme="minorBidi"/>
              <w:b w:val="0"/>
              <w:bCs w:val="0"/>
              <w:szCs w:val="22"/>
              <w:lang w:eastAsia="en-AU"/>
            </w:rPr>
          </w:pPr>
          <w:hyperlink w:anchor="_Toc55544863" w:history="1">
            <w:r w:rsidR="009D3952" w:rsidRPr="00F8440C">
              <w:rPr>
                <w:rStyle w:val="Hyperlink"/>
                <w:rFonts w:eastAsia="Calibri"/>
              </w:rPr>
              <w:t>Appendix E: Translational benefits delivered through Discovery Projects</w:t>
            </w:r>
            <w:r w:rsidR="009D3952">
              <w:rPr>
                <w:webHidden/>
              </w:rPr>
              <w:tab/>
            </w:r>
            <w:r w:rsidR="009D3952">
              <w:rPr>
                <w:webHidden/>
              </w:rPr>
              <w:fldChar w:fldCharType="begin"/>
            </w:r>
            <w:r w:rsidR="009D3952">
              <w:rPr>
                <w:webHidden/>
              </w:rPr>
              <w:instrText xml:space="preserve"> PAGEREF _Toc55544863 \h </w:instrText>
            </w:r>
            <w:r w:rsidR="009D3952">
              <w:rPr>
                <w:webHidden/>
              </w:rPr>
            </w:r>
            <w:r w:rsidR="009D3952">
              <w:rPr>
                <w:webHidden/>
              </w:rPr>
              <w:fldChar w:fldCharType="separate"/>
            </w:r>
            <w:r w:rsidR="00AB03D7">
              <w:rPr>
                <w:webHidden/>
              </w:rPr>
              <w:t>107</w:t>
            </w:r>
            <w:r w:rsidR="009D3952">
              <w:rPr>
                <w:webHidden/>
              </w:rPr>
              <w:fldChar w:fldCharType="end"/>
            </w:r>
          </w:hyperlink>
        </w:p>
        <w:p w14:paraId="49B80EB8" w14:textId="58F8508B" w:rsidR="009D3952" w:rsidRDefault="00857467">
          <w:pPr>
            <w:pStyle w:val="TOC1"/>
            <w:rPr>
              <w:rFonts w:asciiTheme="minorHAnsi" w:eastAsiaTheme="minorEastAsia" w:hAnsiTheme="minorHAnsi" w:cstheme="minorBidi"/>
              <w:b w:val="0"/>
              <w:bCs w:val="0"/>
              <w:szCs w:val="22"/>
              <w:lang w:eastAsia="en-AU"/>
            </w:rPr>
          </w:pPr>
          <w:hyperlink w:anchor="_Toc55544864" w:history="1">
            <w:r w:rsidR="009D3952" w:rsidRPr="00F8440C">
              <w:rPr>
                <w:rStyle w:val="Hyperlink"/>
                <w:rFonts w:eastAsia="Calibri"/>
              </w:rPr>
              <w:t>Appendix F: Research and development investment in Australia</w:t>
            </w:r>
            <w:r w:rsidR="009D3952">
              <w:rPr>
                <w:webHidden/>
              </w:rPr>
              <w:tab/>
            </w:r>
            <w:r w:rsidR="009D3952">
              <w:rPr>
                <w:webHidden/>
              </w:rPr>
              <w:fldChar w:fldCharType="begin"/>
            </w:r>
            <w:r w:rsidR="009D3952">
              <w:rPr>
                <w:webHidden/>
              </w:rPr>
              <w:instrText xml:space="preserve"> PAGEREF _Toc55544864 \h </w:instrText>
            </w:r>
            <w:r w:rsidR="009D3952">
              <w:rPr>
                <w:webHidden/>
              </w:rPr>
            </w:r>
            <w:r w:rsidR="009D3952">
              <w:rPr>
                <w:webHidden/>
              </w:rPr>
              <w:fldChar w:fldCharType="separate"/>
            </w:r>
            <w:r w:rsidR="00AB03D7">
              <w:rPr>
                <w:webHidden/>
              </w:rPr>
              <w:t>108</w:t>
            </w:r>
            <w:r w:rsidR="009D3952">
              <w:rPr>
                <w:webHidden/>
              </w:rPr>
              <w:fldChar w:fldCharType="end"/>
            </w:r>
          </w:hyperlink>
        </w:p>
        <w:p w14:paraId="2D1926DF" w14:textId="6568A116" w:rsidR="00170B1A" w:rsidRDefault="00170B1A" w:rsidP="00A455EE">
          <w:pPr>
            <w:spacing w:before="60" w:after="60" w:line="240" w:lineRule="auto"/>
          </w:pPr>
          <w:r>
            <w:rPr>
              <w:b/>
              <w:bCs/>
              <w:noProof/>
            </w:rPr>
            <w:fldChar w:fldCharType="end"/>
          </w:r>
        </w:p>
      </w:sdtContent>
    </w:sdt>
    <w:p w14:paraId="4E0422D9" w14:textId="77777777" w:rsidR="00A966D8" w:rsidRPr="009C464D" w:rsidRDefault="00A966D8" w:rsidP="00AE15DF">
      <w:pPr>
        <w:shd w:val="clear" w:color="auto" w:fill="FFFFFF" w:themeFill="background1"/>
        <w:spacing w:after="0" w:line="240" w:lineRule="auto"/>
        <w:jc w:val="both"/>
        <w:rPr>
          <w:rFonts w:asciiTheme="majorHAnsi" w:eastAsia="Calibri" w:hAnsiTheme="majorHAnsi" w:cstheme="majorHAnsi"/>
          <w:sz w:val="24"/>
          <w:szCs w:val="24"/>
        </w:rPr>
      </w:pPr>
    </w:p>
    <w:p w14:paraId="16B29AA1" w14:textId="77777777" w:rsidR="00A966D8" w:rsidRPr="009C464D" w:rsidRDefault="00A966D8" w:rsidP="00AE15DF">
      <w:pPr>
        <w:shd w:val="clear" w:color="auto" w:fill="FFFFFF" w:themeFill="background1"/>
        <w:spacing w:after="0" w:line="240" w:lineRule="auto"/>
        <w:jc w:val="both"/>
        <w:rPr>
          <w:rFonts w:asciiTheme="majorHAnsi" w:eastAsia="Calibri" w:hAnsiTheme="majorHAnsi" w:cstheme="majorHAnsi"/>
          <w:sz w:val="24"/>
          <w:szCs w:val="24"/>
        </w:rPr>
      </w:pPr>
    </w:p>
    <w:p w14:paraId="5CE2CDAE" w14:textId="77777777" w:rsidR="009C464D" w:rsidRPr="009C464D" w:rsidRDefault="009C464D" w:rsidP="00AE15DF">
      <w:pPr>
        <w:shd w:val="clear" w:color="auto" w:fill="FFFFFF" w:themeFill="background1"/>
        <w:spacing w:after="0" w:line="240" w:lineRule="auto"/>
        <w:jc w:val="both"/>
        <w:rPr>
          <w:rFonts w:asciiTheme="majorHAnsi" w:eastAsia="Calibri" w:hAnsiTheme="majorHAnsi" w:cstheme="majorHAnsi"/>
          <w:sz w:val="24"/>
          <w:szCs w:val="24"/>
        </w:rPr>
      </w:pPr>
    </w:p>
    <w:p w14:paraId="03F97916" w14:textId="77777777" w:rsidR="009C464D" w:rsidRPr="009C464D" w:rsidRDefault="009C464D" w:rsidP="00AE15DF">
      <w:pPr>
        <w:shd w:val="clear" w:color="auto" w:fill="FFFFFF" w:themeFill="background1"/>
        <w:spacing w:after="0" w:line="240" w:lineRule="auto"/>
        <w:jc w:val="both"/>
        <w:rPr>
          <w:rFonts w:asciiTheme="majorHAnsi" w:eastAsia="Calibri" w:hAnsiTheme="majorHAnsi" w:cstheme="majorHAnsi"/>
          <w:sz w:val="24"/>
          <w:szCs w:val="24"/>
        </w:rPr>
      </w:pPr>
    </w:p>
    <w:p w14:paraId="14A6F18C" w14:textId="77777777" w:rsidR="009C464D" w:rsidRPr="009C464D" w:rsidRDefault="009C464D" w:rsidP="00AE15DF">
      <w:pPr>
        <w:shd w:val="clear" w:color="auto" w:fill="FFFFFF" w:themeFill="background1"/>
        <w:spacing w:after="0" w:line="240" w:lineRule="auto"/>
        <w:jc w:val="both"/>
        <w:rPr>
          <w:rFonts w:asciiTheme="majorHAnsi" w:eastAsia="Calibri" w:hAnsiTheme="majorHAnsi" w:cstheme="majorHAnsi"/>
          <w:sz w:val="24"/>
          <w:szCs w:val="24"/>
        </w:rPr>
      </w:pPr>
    </w:p>
    <w:p w14:paraId="638D564F" w14:textId="77777777" w:rsidR="009C464D" w:rsidRPr="009C464D" w:rsidRDefault="009C464D" w:rsidP="00AE15DF">
      <w:pPr>
        <w:shd w:val="clear" w:color="auto" w:fill="FFFFFF" w:themeFill="background1"/>
        <w:spacing w:after="0" w:line="240" w:lineRule="auto"/>
        <w:jc w:val="both"/>
        <w:rPr>
          <w:rFonts w:asciiTheme="majorHAnsi" w:eastAsia="Calibri" w:hAnsiTheme="majorHAnsi" w:cstheme="majorHAnsi"/>
          <w:sz w:val="24"/>
          <w:szCs w:val="24"/>
        </w:rPr>
      </w:pPr>
    </w:p>
    <w:p w14:paraId="4034F55B" w14:textId="77777777" w:rsidR="009C464D" w:rsidRPr="009C464D" w:rsidRDefault="009C464D" w:rsidP="00AE15DF">
      <w:pPr>
        <w:shd w:val="clear" w:color="auto" w:fill="FFFFFF" w:themeFill="background1"/>
        <w:spacing w:after="0" w:line="240" w:lineRule="auto"/>
        <w:jc w:val="both"/>
        <w:rPr>
          <w:rFonts w:asciiTheme="majorHAnsi" w:eastAsia="Calibri" w:hAnsiTheme="majorHAnsi" w:cstheme="majorHAnsi"/>
          <w:sz w:val="24"/>
          <w:szCs w:val="24"/>
        </w:rPr>
      </w:pPr>
    </w:p>
    <w:p w14:paraId="4AB58A09" w14:textId="77777777" w:rsidR="009C464D" w:rsidRPr="009C464D" w:rsidRDefault="009C464D" w:rsidP="00AE15DF">
      <w:pPr>
        <w:shd w:val="clear" w:color="auto" w:fill="FFFFFF" w:themeFill="background1"/>
        <w:spacing w:after="0" w:line="240" w:lineRule="auto"/>
        <w:jc w:val="both"/>
        <w:rPr>
          <w:rFonts w:asciiTheme="majorHAnsi" w:eastAsia="Calibri" w:hAnsiTheme="majorHAnsi" w:cstheme="majorHAnsi"/>
          <w:sz w:val="24"/>
          <w:szCs w:val="24"/>
        </w:rPr>
      </w:pPr>
    </w:p>
    <w:p w14:paraId="317D5D47" w14:textId="77777777" w:rsidR="009C464D" w:rsidRPr="009C464D" w:rsidRDefault="009C464D" w:rsidP="00AE15DF">
      <w:pPr>
        <w:shd w:val="clear" w:color="auto" w:fill="FFFFFF" w:themeFill="background1"/>
        <w:spacing w:after="0" w:line="240" w:lineRule="auto"/>
        <w:jc w:val="both"/>
        <w:rPr>
          <w:rFonts w:asciiTheme="majorHAnsi" w:eastAsia="Calibri" w:hAnsiTheme="majorHAnsi" w:cstheme="majorHAnsi"/>
          <w:sz w:val="24"/>
          <w:szCs w:val="24"/>
        </w:rPr>
      </w:pPr>
    </w:p>
    <w:p w14:paraId="70FB2819" w14:textId="77777777" w:rsidR="00170B1A" w:rsidRDefault="00170B1A">
      <w:pPr>
        <w:rPr>
          <w:rFonts w:asciiTheme="majorHAnsi" w:eastAsia="Times New Roman" w:hAnsiTheme="majorHAnsi" w:cstheme="majorHAnsi"/>
          <w:b/>
          <w:sz w:val="28"/>
          <w:szCs w:val="28"/>
        </w:rPr>
      </w:pPr>
      <w:bookmarkStart w:id="0" w:name="_Toc13057463"/>
      <w:r>
        <w:br w:type="page"/>
      </w:r>
    </w:p>
    <w:p w14:paraId="53D000B5" w14:textId="7C94BBF2" w:rsidR="002D5431" w:rsidRDefault="002D5431" w:rsidP="000151D7">
      <w:pPr>
        <w:pStyle w:val="Heading1"/>
        <w:numPr>
          <w:ilvl w:val="0"/>
          <w:numId w:val="0"/>
        </w:numPr>
        <w:spacing w:after="360"/>
        <w:jc w:val="both"/>
      </w:pPr>
      <w:bookmarkStart w:id="1" w:name="_Toc51918667"/>
      <w:bookmarkStart w:id="2" w:name="_Ref53558861"/>
      <w:bookmarkStart w:id="3" w:name="_Ref53558868"/>
      <w:bookmarkStart w:id="4" w:name="_Toc55544751"/>
      <w:r>
        <w:lastRenderedPageBreak/>
        <w:t>Abbreviations and glossary</w:t>
      </w:r>
      <w:bookmarkEnd w:id="1"/>
      <w:bookmarkEnd w:id="2"/>
      <w:bookmarkEnd w:id="3"/>
      <w:bookmarkEnd w:id="4"/>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2D5431" w14:paraId="55507061" w14:textId="77777777" w:rsidTr="002D5431">
        <w:tc>
          <w:tcPr>
            <w:tcW w:w="2127" w:type="dxa"/>
          </w:tcPr>
          <w:p w14:paraId="6DB80521"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ANZSRC</w:t>
            </w:r>
          </w:p>
        </w:tc>
        <w:tc>
          <w:tcPr>
            <w:tcW w:w="7229" w:type="dxa"/>
          </w:tcPr>
          <w:p w14:paraId="47A9B9F9" w14:textId="2049A6B4"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Australian and New Zealand Standard Research Classification</w:t>
            </w:r>
          </w:p>
        </w:tc>
      </w:tr>
      <w:tr w:rsidR="002D5431" w14:paraId="56CDE650" w14:textId="77777777" w:rsidTr="002D5431">
        <w:tc>
          <w:tcPr>
            <w:tcW w:w="2127" w:type="dxa"/>
          </w:tcPr>
          <w:p w14:paraId="09F41ACC"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APD</w:t>
            </w:r>
          </w:p>
        </w:tc>
        <w:tc>
          <w:tcPr>
            <w:tcW w:w="7229" w:type="dxa"/>
          </w:tcPr>
          <w:p w14:paraId="74B4CA9D"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Australian Postdoctoral Fellowship</w:t>
            </w:r>
          </w:p>
        </w:tc>
      </w:tr>
      <w:tr w:rsidR="002D5431" w14:paraId="7F1139E1" w14:textId="77777777" w:rsidTr="002D5431">
        <w:tc>
          <w:tcPr>
            <w:tcW w:w="2127" w:type="dxa"/>
          </w:tcPr>
          <w:p w14:paraId="34097FE0"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APF</w:t>
            </w:r>
          </w:p>
        </w:tc>
        <w:tc>
          <w:tcPr>
            <w:tcW w:w="7229" w:type="dxa"/>
          </w:tcPr>
          <w:p w14:paraId="6B7B9508"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Australian Professorial Fellowship</w:t>
            </w:r>
          </w:p>
        </w:tc>
      </w:tr>
      <w:tr w:rsidR="002D5431" w14:paraId="6A4162F0" w14:textId="77777777" w:rsidTr="002D5431">
        <w:tc>
          <w:tcPr>
            <w:tcW w:w="2127" w:type="dxa"/>
          </w:tcPr>
          <w:p w14:paraId="52E6752F"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Applied research</w:t>
            </w:r>
          </w:p>
        </w:tc>
        <w:tc>
          <w:tcPr>
            <w:tcW w:w="7229" w:type="dxa"/>
          </w:tcPr>
          <w:p w14:paraId="6E2A5D12" w14:textId="1A7E0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Original work undertaken primarily to acquire new knowledge with a specific application in view. It is undertaken either to determine possible uses for the findings of basic research or to determine new ways of achieving some specific and predetermined objectives</w:t>
            </w:r>
            <w:r w:rsidR="009E45FA" w:rsidRPr="00F12378">
              <w:rPr>
                <w:rStyle w:val="FootnoteReference"/>
                <w:rFonts w:asciiTheme="majorHAnsi" w:hAnsiTheme="majorHAnsi" w:cstheme="majorHAnsi"/>
              </w:rPr>
              <w:footnoteReference w:id="2"/>
            </w:r>
          </w:p>
        </w:tc>
      </w:tr>
      <w:tr w:rsidR="002D5431" w14:paraId="340F6332" w14:textId="77777777" w:rsidTr="002D5431">
        <w:tc>
          <w:tcPr>
            <w:tcW w:w="2127" w:type="dxa"/>
          </w:tcPr>
          <w:p w14:paraId="697D8480"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ARC</w:t>
            </w:r>
          </w:p>
        </w:tc>
        <w:tc>
          <w:tcPr>
            <w:tcW w:w="7229" w:type="dxa"/>
          </w:tcPr>
          <w:p w14:paraId="0F51113F"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Australian Research Council</w:t>
            </w:r>
          </w:p>
        </w:tc>
      </w:tr>
      <w:tr w:rsidR="002D5431" w14:paraId="4EA40AAD" w14:textId="77777777" w:rsidTr="002D5431">
        <w:tc>
          <w:tcPr>
            <w:tcW w:w="2127" w:type="dxa"/>
          </w:tcPr>
          <w:p w14:paraId="4D5D4FAD"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ARF</w:t>
            </w:r>
          </w:p>
        </w:tc>
        <w:tc>
          <w:tcPr>
            <w:tcW w:w="7229" w:type="dxa"/>
          </w:tcPr>
          <w:p w14:paraId="0FC689E0"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Australian Research Fellowship</w:t>
            </w:r>
          </w:p>
        </w:tc>
      </w:tr>
      <w:tr w:rsidR="002D5431" w14:paraId="41FF773D" w14:textId="77777777" w:rsidTr="002D5431">
        <w:tc>
          <w:tcPr>
            <w:tcW w:w="2127" w:type="dxa"/>
          </w:tcPr>
          <w:p w14:paraId="356050BC"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CGRGs</w:t>
            </w:r>
          </w:p>
        </w:tc>
        <w:tc>
          <w:tcPr>
            <w:tcW w:w="7229" w:type="dxa"/>
          </w:tcPr>
          <w:p w14:paraId="4B060BCC"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Commonwealth Grants Rules and Guidelines</w:t>
            </w:r>
          </w:p>
        </w:tc>
      </w:tr>
      <w:tr w:rsidR="002D5431" w14:paraId="52E48B9A" w14:textId="77777777" w:rsidTr="002D5431">
        <w:tc>
          <w:tcPr>
            <w:tcW w:w="2127" w:type="dxa"/>
          </w:tcPr>
          <w:p w14:paraId="008E28BE"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DECRA</w:t>
            </w:r>
          </w:p>
        </w:tc>
        <w:tc>
          <w:tcPr>
            <w:tcW w:w="7229" w:type="dxa"/>
          </w:tcPr>
          <w:p w14:paraId="68BDC2BC"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Discovery Early Career Researcher Award</w:t>
            </w:r>
          </w:p>
        </w:tc>
      </w:tr>
      <w:tr w:rsidR="002D5431" w14:paraId="1A494C95" w14:textId="77777777" w:rsidTr="002D5431">
        <w:tc>
          <w:tcPr>
            <w:tcW w:w="2127" w:type="dxa"/>
          </w:tcPr>
          <w:p w14:paraId="24CC6811"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DIA</w:t>
            </w:r>
          </w:p>
        </w:tc>
        <w:tc>
          <w:tcPr>
            <w:tcW w:w="7229" w:type="dxa"/>
          </w:tcPr>
          <w:p w14:paraId="50C114D7"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Discovery International Award</w:t>
            </w:r>
          </w:p>
        </w:tc>
      </w:tr>
      <w:tr w:rsidR="002D5431" w14:paraId="36F3CFFB" w14:textId="77777777" w:rsidTr="002D5431">
        <w:tc>
          <w:tcPr>
            <w:tcW w:w="2127" w:type="dxa"/>
          </w:tcPr>
          <w:p w14:paraId="090BA6C1"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DORA</w:t>
            </w:r>
          </w:p>
        </w:tc>
        <w:tc>
          <w:tcPr>
            <w:tcW w:w="7229" w:type="dxa"/>
          </w:tcPr>
          <w:p w14:paraId="1F08FD8D"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Discovery Outstanding Researcher Award</w:t>
            </w:r>
          </w:p>
        </w:tc>
      </w:tr>
      <w:tr w:rsidR="007B117C" w14:paraId="2D05A106" w14:textId="77777777" w:rsidTr="002D5431">
        <w:tc>
          <w:tcPr>
            <w:tcW w:w="2127" w:type="dxa"/>
          </w:tcPr>
          <w:p w14:paraId="743E8134" w14:textId="18EBE4F7" w:rsidR="007B117C" w:rsidRPr="00F12378" w:rsidRDefault="007B117C"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DP</w:t>
            </w:r>
          </w:p>
        </w:tc>
        <w:tc>
          <w:tcPr>
            <w:tcW w:w="7229" w:type="dxa"/>
          </w:tcPr>
          <w:p w14:paraId="1CEF8D1F" w14:textId="4CEAC9EB" w:rsidR="007B117C" w:rsidRPr="00F12378" w:rsidRDefault="007B117C"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Discovery Projects</w:t>
            </w:r>
          </w:p>
        </w:tc>
      </w:tr>
      <w:tr w:rsidR="00B94F6A" w14:paraId="71723DDD" w14:textId="77777777" w:rsidTr="002D5431">
        <w:tc>
          <w:tcPr>
            <w:tcW w:w="2127" w:type="dxa"/>
          </w:tcPr>
          <w:p w14:paraId="7D001736" w14:textId="0780C803" w:rsidR="00B94F6A" w:rsidRPr="00F12378" w:rsidRDefault="00B94F6A"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Early Career Researcher</w:t>
            </w:r>
          </w:p>
        </w:tc>
        <w:tc>
          <w:tcPr>
            <w:tcW w:w="7229" w:type="dxa"/>
          </w:tcPr>
          <w:p w14:paraId="07876D21" w14:textId="123A92EE" w:rsidR="00B94F6A" w:rsidRPr="00F12378" w:rsidRDefault="00454013" w:rsidP="00642B30">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A researcher who has held a PhD or equivalent qualification for a period of less than or equal to five years</w:t>
            </w:r>
            <w:r w:rsidR="00642B30" w:rsidRPr="00F12378">
              <w:rPr>
                <w:rFonts w:asciiTheme="majorHAnsi" w:hAnsiTheme="majorHAnsi" w:cstheme="majorHAnsi"/>
              </w:rPr>
              <w:t xml:space="preserve"> at the time of their application</w:t>
            </w:r>
          </w:p>
        </w:tc>
      </w:tr>
      <w:tr w:rsidR="002D5431" w14:paraId="1588246B" w14:textId="77777777" w:rsidTr="002D5431">
        <w:tc>
          <w:tcPr>
            <w:tcW w:w="2127" w:type="dxa"/>
          </w:tcPr>
          <w:p w14:paraId="37D278DF"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ERA</w:t>
            </w:r>
          </w:p>
        </w:tc>
        <w:tc>
          <w:tcPr>
            <w:tcW w:w="7229" w:type="dxa"/>
          </w:tcPr>
          <w:p w14:paraId="2073CCE5"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Excellence in Research for Australia</w:t>
            </w:r>
          </w:p>
        </w:tc>
      </w:tr>
      <w:tr w:rsidR="00292A55" w14:paraId="2635B72E" w14:textId="77777777" w:rsidTr="002D5431">
        <w:tc>
          <w:tcPr>
            <w:tcW w:w="2127" w:type="dxa"/>
          </w:tcPr>
          <w:p w14:paraId="669FF41A" w14:textId="6C6510F5" w:rsidR="00292A55" w:rsidRPr="00F12378" w:rsidRDefault="009463F5"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Experimental development</w:t>
            </w:r>
          </w:p>
        </w:tc>
        <w:tc>
          <w:tcPr>
            <w:tcW w:w="7229" w:type="dxa"/>
          </w:tcPr>
          <w:p w14:paraId="216476FE" w14:textId="2BD8C36D" w:rsidR="00292A55" w:rsidRPr="00F12378" w:rsidRDefault="002359D3"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Systematic work, using existing knowledge gained from research or practical experience, which is directed to producing new materials, products, devices, policies, behaviours or outlooks; to installing new processes, systems and services; or to improving substantially those already produced or installed</w:t>
            </w:r>
            <w:r w:rsidR="009E45FA" w:rsidRPr="00F12378">
              <w:rPr>
                <w:rStyle w:val="FootnoteReference"/>
                <w:rFonts w:asciiTheme="majorHAnsi" w:hAnsiTheme="majorHAnsi" w:cstheme="majorHAnsi"/>
              </w:rPr>
              <w:footnoteReference w:id="3"/>
            </w:r>
          </w:p>
        </w:tc>
      </w:tr>
      <w:tr w:rsidR="002D5431" w14:paraId="31342114" w14:textId="77777777" w:rsidTr="002D5431">
        <w:tc>
          <w:tcPr>
            <w:tcW w:w="2127" w:type="dxa"/>
          </w:tcPr>
          <w:p w14:paraId="22E9CB54"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proofErr w:type="spellStart"/>
            <w:r w:rsidRPr="00F12378">
              <w:rPr>
                <w:rFonts w:asciiTheme="majorHAnsi" w:hAnsiTheme="majorHAnsi" w:cstheme="majorHAnsi"/>
                <w:b/>
              </w:rPr>
              <w:t>FoR</w:t>
            </w:r>
            <w:proofErr w:type="spellEnd"/>
          </w:p>
        </w:tc>
        <w:tc>
          <w:tcPr>
            <w:tcW w:w="7229" w:type="dxa"/>
          </w:tcPr>
          <w:p w14:paraId="7E2A20AA"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Field of Research</w:t>
            </w:r>
          </w:p>
        </w:tc>
      </w:tr>
      <w:tr w:rsidR="002D5431" w14:paraId="041A8474" w14:textId="77777777" w:rsidTr="002D5431">
        <w:tc>
          <w:tcPr>
            <w:tcW w:w="2127" w:type="dxa"/>
          </w:tcPr>
          <w:p w14:paraId="37E5D7E7"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FTE</w:t>
            </w:r>
          </w:p>
        </w:tc>
        <w:tc>
          <w:tcPr>
            <w:tcW w:w="7229" w:type="dxa"/>
          </w:tcPr>
          <w:p w14:paraId="07989861"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Full-Time Equivalent</w:t>
            </w:r>
          </w:p>
        </w:tc>
      </w:tr>
      <w:tr w:rsidR="002D5431" w14:paraId="114F45C2" w14:textId="77777777" w:rsidTr="002D5431">
        <w:tc>
          <w:tcPr>
            <w:tcW w:w="2127" w:type="dxa"/>
          </w:tcPr>
          <w:p w14:paraId="085806FF"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HASS</w:t>
            </w:r>
          </w:p>
        </w:tc>
        <w:tc>
          <w:tcPr>
            <w:tcW w:w="7229" w:type="dxa"/>
          </w:tcPr>
          <w:p w14:paraId="34112899"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Humanities, Arts and Social Sciences</w:t>
            </w:r>
          </w:p>
        </w:tc>
      </w:tr>
      <w:tr w:rsidR="002D5431" w14:paraId="7F55BE8D" w14:textId="77777777" w:rsidTr="002D5431">
        <w:tc>
          <w:tcPr>
            <w:tcW w:w="2127" w:type="dxa"/>
          </w:tcPr>
          <w:p w14:paraId="2933E497"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HDR</w:t>
            </w:r>
          </w:p>
        </w:tc>
        <w:tc>
          <w:tcPr>
            <w:tcW w:w="7229" w:type="dxa"/>
          </w:tcPr>
          <w:p w14:paraId="46D548C6" w14:textId="72B9367E"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 xml:space="preserve">Higher </w:t>
            </w:r>
            <w:r w:rsidR="0018283E">
              <w:rPr>
                <w:rFonts w:asciiTheme="majorHAnsi" w:hAnsiTheme="majorHAnsi" w:cstheme="majorHAnsi"/>
              </w:rPr>
              <w:t>D</w:t>
            </w:r>
            <w:r w:rsidRPr="00F12378">
              <w:rPr>
                <w:rFonts w:asciiTheme="majorHAnsi" w:hAnsiTheme="majorHAnsi" w:cstheme="majorHAnsi"/>
              </w:rPr>
              <w:t xml:space="preserve">egree by </w:t>
            </w:r>
            <w:r w:rsidR="0018283E">
              <w:rPr>
                <w:rFonts w:asciiTheme="majorHAnsi" w:hAnsiTheme="majorHAnsi" w:cstheme="majorHAnsi"/>
              </w:rPr>
              <w:t>R</w:t>
            </w:r>
            <w:r w:rsidRPr="00F12378">
              <w:rPr>
                <w:rFonts w:asciiTheme="majorHAnsi" w:hAnsiTheme="majorHAnsi" w:cstheme="majorHAnsi"/>
              </w:rPr>
              <w:t>esearch</w:t>
            </w:r>
          </w:p>
        </w:tc>
      </w:tr>
      <w:tr w:rsidR="002D5431" w14:paraId="1AC6759D" w14:textId="77777777" w:rsidTr="002D5431">
        <w:tc>
          <w:tcPr>
            <w:tcW w:w="2127" w:type="dxa"/>
          </w:tcPr>
          <w:p w14:paraId="177C1346"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ICA</w:t>
            </w:r>
          </w:p>
        </w:tc>
        <w:tc>
          <w:tcPr>
            <w:tcW w:w="7229" w:type="dxa"/>
          </w:tcPr>
          <w:p w14:paraId="0DFC1536"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International Collaboration Award</w:t>
            </w:r>
          </w:p>
        </w:tc>
      </w:tr>
      <w:tr w:rsidR="002D5431" w14:paraId="3B23E1D2" w14:textId="77777777" w:rsidTr="002D5431">
        <w:tc>
          <w:tcPr>
            <w:tcW w:w="2127" w:type="dxa"/>
          </w:tcPr>
          <w:p w14:paraId="4A9AB5F7"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IDR</w:t>
            </w:r>
          </w:p>
        </w:tc>
        <w:tc>
          <w:tcPr>
            <w:tcW w:w="7229" w:type="dxa"/>
          </w:tcPr>
          <w:p w14:paraId="2C43ABD5" w14:textId="77777777" w:rsidR="002D5431" w:rsidRPr="00F12378" w:rsidRDefault="002D5431" w:rsidP="004B1439">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Interdisciplinary Research</w:t>
            </w:r>
          </w:p>
        </w:tc>
      </w:tr>
      <w:tr w:rsidR="00454013" w14:paraId="27C13967" w14:textId="77777777" w:rsidTr="002D5431">
        <w:tc>
          <w:tcPr>
            <w:tcW w:w="2127" w:type="dxa"/>
          </w:tcPr>
          <w:p w14:paraId="62846169" w14:textId="3AD5A603"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Mid-Career Researcher</w:t>
            </w:r>
          </w:p>
        </w:tc>
        <w:tc>
          <w:tcPr>
            <w:tcW w:w="7229" w:type="dxa"/>
          </w:tcPr>
          <w:p w14:paraId="0B99D65C" w14:textId="6C235F18" w:rsidR="00454013" w:rsidRPr="00F12378" w:rsidRDefault="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A researcher who has held a PhD or equivalent qualification for a period of between five and fifteen years at the time of their application</w:t>
            </w:r>
          </w:p>
        </w:tc>
      </w:tr>
      <w:tr w:rsidR="00454013" w14:paraId="58CA6A34" w14:textId="77777777" w:rsidTr="002D5431">
        <w:tc>
          <w:tcPr>
            <w:tcW w:w="2127" w:type="dxa"/>
          </w:tcPr>
          <w:p w14:paraId="6A9B0E27"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NCGP</w:t>
            </w:r>
          </w:p>
        </w:tc>
        <w:tc>
          <w:tcPr>
            <w:tcW w:w="7229" w:type="dxa"/>
          </w:tcPr>
          <w:p w14:paraId="597AD857"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National Competitive Grants Program</w:t>
            </w:r>
          </w:p>
        </w:tc>
      </w:tr>
      <w:tr w:rsidR="00454013" w14:paraId="6A41CCC5" w14:textId="77777777" w:rsidTr="002D5431">
        <w:tc>
          <w:tcPr>
            <w:tcW w:w="2127" w:type="dxa"/>
          </w:tcPr>
          <w:p w14:paraId="68593C9B"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NHMRC</w:t>
            </w:r>
          </w:p>
        </w:tc>
        <w:tc>
          <w:tcPr>
            <w:tcW w:w="7229" w:type="dxa"/>
          </w:tcPr>
          <w:p w14:paraId="4276FFD8"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National Health and Medical Research Council</w:t>
            </w:r>
          </w:p>
        </w:tc>
      </w:tr>
      <w:tr w:rsidR="00476C3B" w14:paraId="5F29356E" w14:textId="77777777" w:rsidTr="002D5431">
        <w:tc>
          <w:tcPr>
            <w:tcW w:w="2127" w:type="dxa"/>
          </w:tcPr>
          <w:p w14:paraId="39C3A480" w14:textId="38790BA6" w:rsidR="00476C3B" w:rsidRPr="00F12378" w:rsidRDefault="00476C3B"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PhD</w:t>
            </w:r>
          </w:p>
        </w:tc>
        <w:tc>
          <w:tcPr>
            <w:tcW w:w="7229" w:type="dxa"/>
          </w:tcPr>
          <w:p w14:paraId="218AA6AE" w14:textId="3A6AE989" w:rsidR="00476C3B" w:rsidRPr="00F12378" w:rsidRDefault="00476C3B"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Doctor of Philosophy</w:t>
            </w:r>
          </w:p>
        </w:tc>
      </w:tr>
      <w:tr w:rsidR="00454013" w14:paraId="1E55BF17" w14:textId="77777777" w:rsidTr="002D5431">
        <w:tc>
          <w:tcPr>
            <w:tcW w:w="2127" w:type="dxa"/>
          </w:tcPr>
          <w:p w14:paraId="52D4CD8E"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Pure basic research</w:t>
            </w:r>
          </w:p>
        </w:tc>
        <w:tc>
          <w:tcPr>
            <w:tcW w:w="7229" w:type="dxa"/>
          </w:tcPr>
          <w:p w14:paraId="48DE970E" w14:textId="64A6E3F0"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Experimental and theoretical work undertaken to acquire new knowledge without looking for long term benefits other than the advancement of knowledge</w:t>
            </w:r>
            <w:r w:rsidRPr="00F12378">
              <w:rPr>
                <w:rStyle w:val="FootnoteReference"/>
                <w:rFonts w:asciiTheme="majorHAnsi" w:hAnsiTheme="majorHAnsi" w:cstheme="majorHAnsi"/>
              </w:rPr>
              <w:footnoteReference w:id="4"/>
            </w:r>
          </w:p>
        </w:tc>
      </w:tr>
      <w:tr w:rsidR="00454013" w14:paraId="400C6115" w14:textId="77777777" w:rsidTr="002D5431">
        <w:tc>
          <w:tcPr>
            <w:tcW w:w="2127" w:type="dxa"/>
          </w:tcPr>
          <w:p w14:paraId="5A90A860"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QEII</w:t>
            </w:r>
          </w:p>
        </w:tc>
        <w:tc>
          <w:tcPr>
            <w:tcW w:w="7229" w:type="dxa"/>
          </w:tcPr>
          <w:p w14:paraId="7A984E9A"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Queen Elizabeth II Fellowship</w:t>
            </w:r>
          </w:p>
        </w:tc>
      </w:tr>
      <w:tr w:rsidR="00454013" w14:paraId="50334FE7" w14:textId="77777777" w:rsidTr="002D5431">
        <w:tc>
          <w:tcPr>
            <w:tcW w:w="2127" w:type="dxa"/>
          </w:tcPr>
          <w:p w14:paraId="36E67E4C" w14:textId="3887B89A"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lastRenderedPageBreak/>
              <w:t>R&amp;D</w:t>
            </w:r>
          </w:p>
        </w:tc>
        <w:tc>
          <w:tcPr>
            <w:tcW w:w="7229" w:type="dxa"/>
          </w:tcPr>
          <w:p w14:paraId="4387EA46" w14:textId="44DC77A2"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Research and development</w:t>
            </w:r>
          </w:p>
        </w:tc>
      </w:tr>
      <w:tr w:rsidR="00CC1449" w14:paraId="14B065DD" w14:textId="77777777" w:rsidTr="002D5431">
        <w:tc>
          <w:tcPr>
            <w:tcW w:w="2127" w:type="dxa"/>
          </w:tcPr>
          <w:p w14:paraId="760A66A8" w14:textId="7E1CE2BF" w:rsidR="00CC1449" w:rsidRPr="00F12378" w:rsidRDefault="00CC1449" w:rsidP="00454013">
            <w:pPr>
              <w:widowControl w:val="0"/>
              <w:shd w:val="clear" w:color="auto" w:fill="FFFFFF" w:themeFill="background1"/>
              <w:spacing w:after="120"/>
              <w:ind w:left="-113"/>
              <w:rPr>
                <w:rFonts w:asciiTheme="majorHAnsi" w:hAnsiTheme="majorHAnsi" w:cstheme="majorHAnsi"/>
                <w:b/>
              </w:rPr>
            </w:pPr>
            <w:r>
              <w:rPr>
                <w:rFonts w:asciiTheme="majorHAnsi" w:hAnsiTheme="majorHAnsi" w:cstheme="majorHAnsi"/>
                <w:b/>
              </w:rPr>
              <w:t>Research trainee</w:t>
            </w:r>
          </w:p>
        </w:tc>
        <w:tc>
          <w:tcPr>
            <w:tcW w:w="7229" w:type="dxa"/>
          </w:tcPr>
          <w:p w14:paraId="08112476" w14:textId="577350D3" w:rsidR="00CC1449" w:rsidRPr="00484103" w:rsidRDefault="00CC1449" w:rsidP="00454013">
            <w:pPr>
              <w:widowControl w:val="0"/>
              <w:shd w:val="clear" w:color="auto" w:fill="FFFFFF" w:themeFill="background1"/>
              <w:spacing w:after="120"/>
              <w:ind w:left="-113"/>
              <w:rPr>
                <w:rFonts w:asciiTheme="majorHAnsi" w:hAnsiTheme="majorHAnsi" w:cstheme="majorHAnsi"/>
              </w:rPr>
            </w:pPr>
            <w:r>
              <w:rPr>
                <w:rFonts w:asciiTheme="majorHAnsi" w:hAnsiTheme="majorHAnsi" w:cstheme="majorHAnsi"/>
              </w:rPr>
              <w:t xml:space="preserve">Throughout this report, research trainee is employed </w:t>
            </w:r>
            <w:r w:rsidR="00324541">
              <w:rPr>
                <w:rFonts w:asciiTheme="majorHAnsi" w:hAnsiTheme="majorHAnsi" w:cstheme="majorHAnsi"/>
              </w:rPr>
              <w:t>broadly,</w:t>
            </w:r>
            <w:r>
              <w:rPr>
                <w:rFonts w:asciiTheme="majorHAnsi" w:hAnsiTheme="majorHAnsi" w:cstheme="majorHAnsi"/>
              </w:rPr>
              <w:t xml:space="preserve"> to refer to those engaging in </w:t>
            </w:r>
            <w:r w:rsidR="00324541">
              <w:rPr>
                <w:rFonts w:asciiTheme="majorHAnsi" w:hAnsiTheme="majorHAnsi" w:cstheme="majorHAnsi"/>
              </w:rPr>
              <w:t>Honours, Master’s, PhD</w:t>
            </w:r>
            <w:r w:rsidR="000E4A88">
              <w:rPr>
                <w:rFonts w:asciiTheme="majorHAnsi" w:hAnsiTheme="majorHAnsi" w:cstheme="majorHAnsi"/>
              </w:rPr>
              <w:t xml:space="preserve"> or</w:t>
            </w:r>
            <w:r w:rsidR="00324541">
              <w:rPr>
                <w:rFonts w:asciiTheme="majorHAnsi" w:hAnsiTheme="majorHAnsi" w:cstheme="majorHAnsi"/>
              </w:rPr>
              <w:t xml:space="preserve"> postdoctoral training.</w:t>
            </w:r>
          </w:p>
        </w:tc>
      </w:tr>
      <w:tr w:rsidR="00454013" w14:paraId="5C25E996" w14:textId="77777777" w:rsidTr="002D5431">
        <w:tc>
          <w:tcPr>
            <w:tcW w:w="2127" w:type="dxa"/>
          </w:tcPr>
          <w:p w14:paraId="35F53547"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Return rate</w:t>
            </w:r>
          </w:p>
        </w:tc>
        <w:tc>
          <w:tcPr>
            <w:tcW w:w="7229" w:type="dxa"/>
          </w:tcPr>
          <w:p w14:paraId="1B09A5AF"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The amount of ARC funding awarded as a percentage of funding requested in successful applications</w:t>
            </w:r>
          </w:p>
        </w:tc>
      </w:tr>
      <w:tr w:rsidR="00454013" w14:paraId="5503F914" w14:textId="77777777" w:rsidTr="002D5431">
        <w:tc>
          <w:tcPr>
            <w:tcW w:w="2127" w:type="dxa"/>
          </w:tcPr>
          <w:p w14:paraId="357F167B"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RFCD</w:t>
            </w:r>
          </w:p>
        </w:tc>
        <w:tc>
          <w:tcPr>
            <w:tcW w:w="7229" w:type="dxa"/>
          </w:tcPr>
          <w:p w14:paraId="678E313E" w14:textId="6C7CF61A"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Research Fields, Courses and Disciplines</w:t>
            </w:r>
          </w:p>
        </w:tc>
      </w:tr>
      <w:tr w:rsidR="00454013" w14:paraId="332CDF4D" w14:textId="77777777" w:rsidTr="002D5431">
        <w:tc>
          <w:tcPr>
            <w:tcW w:w="2127" w:type="dxa"/>
          </w:tcPr>
          <w:p w14:paraId="14776124"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ROPE</w:t>
            </w:r>
          </w:p>
        </w:tc>
        <w:tc>
          <w:tcPr>
            <w:tcW w:w="7229" w:type="dxa"/>
          </w:tcPr>
          <w:p w14:paraId="42D652A2"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Research Opportunity and Performance Evidence</w:t>
            </w:r>
          </w:p>
        </w:tc>
      </w:tr>
      <w:tr w:rsidR="00454013" w14:paraId="33FB7A3D" w14:textId="77777777" w:rsidTr="002D5431">
        <w:tc>
          <w:tcPr>
            <w:tcW w:w="2127" w:type="dxa"/>
          </w:tcPr>
          <w:p w14:paraId="5B7F6DA1"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RMS</w:t>
            </w:r>
          </w:p>
        </w:tc>
        <w:tc>
          <w:tcPr>
            <w:tcW w:w="7229" w:type="dxa"/>
          </w:tcPr>
          <w:p w14:paraId="429D9F77"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Research Management System</w:t>
            </w:r>
          </w:p>
        </w:tc>
      </w:tr>
      <w:tr w:rsidR="00454013" w14:paraId="0F88AC0E" w14:textId="77777777" w:rsidTr="002D5431">
        <w:tc>
          <w:tcPr>
            <w:tcW w:w="2127" w:type="dxa"/>
          </w:tcPr>
          <w:p w14:paraId="518D401D"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SEO</w:t>
            </w:r>
          </w:p>
        </w:tc>
        <w:tc>
          <w:tcPr>
            <w:tcW w:w="7229" w:type="dxa"/>
          </w:tcPr>
          <w:p w14:paraId="32E17D17"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Socio-Economic Objective</w:t>
            </w:r>
          </w:p>
        </w:tc>
      </w:tr>
      <w:tr w:rsidR="00454013" w14:paraId="0F3F9CD8" w14:textId="77777777" w:rsidTr="002D5431">
        <w:tc>
          <w:tcPr>
            <w:tcW w:w="2127" w:type="dxa"/>
          </w:tcPr>
          <w:p w14:paraId="093D609E"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STEM</w:t>
            </w:r>
          </w:p>
        </w:tc>
        <w:tc>
          <w:tcPr>
            <w:tcW w:w="7229" w:type="dxa"/>
          </w:tcPr>
          <w:p w14:paraId="12B04479"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Science, Technology, Engineering and Mathematics</w:t>
            </w:r>
          </w:p>
        </w:tc>
      </w:tr>
      <w:tr w:rsidR="00454013" w14:paraId="167BC74A" w14:textId="77777777" w:rsidTr="002D5431">
        <w:tc>
          <w:tcPr>
            <w:tcW w:w="2127" w:type="dxa"/>
          </w:tcPr>
          <w:p w14:paraId="1670B781"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Strategic basic research</w:t>
            </w:r>
          </w:p>
        </w:tc>
        <w:tc>
          <w:tcPr>
            <w:tcW w:w="7229" w:type="dxa"/>
          </w:tcPr>
          <w:p w14:paraId="7D3C89B4" w14:textId="6D337522"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Experimental and theoretical work undertaken to acquire new knowledge directed into specified broad areas in the expectation of practical discoveries. It provides the broad base of knowledge necessary for the solution of recognised practical problems</w:t>
            </w:r>
            <w:r w:rsidRPr="00F12378">
              <w:rPr>
                <w:rStyle w:val="FootnoteReference"/>
                <w:rFonts w:asciiTheme="majorHAnsi" w:hAnsiTheme="majorHAnsi" w:cstheme="majorHAnsi"/>
              </w:rPr>
              <w:footnoteReference w:id="5"/>
            </w:r>
          </w:p>
        </w:tc>
      </w:tr>
      <w:tr w:rsidR="00454013" w14:paraId="17A175FC" w14:textId="77777777" w:rsidTr="002D5431">
        <w:tc>
          <w:tcPr>
            <w:tcW w:w="2127" w:type="dxa"/>
          </w:tcPr>
          <w:p w14:paraId="25990FF7"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b/>
              </w:rPr>
            </w:pPr>
            <w:r w:rsidRPr="00F12378">
              <w:rPr>
                <w:rFonts w:asciiTheme="majorHAnsi" w:hAnsiTheme="majorHAnsi" w:cstheme="majorHAnsi"/>
                <w:b/>
              </w:rPr>
              <w:t>Success rate</w:t>
            </w:r>
          </w:p>
        </w:tc>
        <w:tc>
          <w:tcPr>
            <w:tcW w:w="7229" w:type="dxa"/>
          </w:tcPr>
          <w:p w14:paraId="7C064567" w14:textId="77777777" w:rsidR="00454013" w:rsidRPr="00F12378" w:rsidRDefault="00454013" w:rsidP="00454013">
            <w:pPr>
              <w:widowControl w:val="0"/>
              <w:shd w:val="clear" w:color="auto" w:fill="FFFFFF" w:themeFill="background1"/>
              <w:spacing w:after="120"/>
              <w:ind w:left="-113"/>
              <w:rPr>
                <w:rFonts w:asciiTheme="majorHAnsi" w:hAnsiTheme="majorHAnsi" w:cstheme="majorHAnsi"/>
              </w:rPr>
            </w:pPr>
            <w:r w:rsidRPr="00F12378">
              <w:rPr>
                <w:rFonts w:asciiTheme="majorHAnsi" w:hAnsiTheme="majorHAnsi" w:cstheme="majorHAnsi"/>
              </w:rPr>
              <w:t>The number of funded projects as a percentage of applications submitted</w:t>
            </w:r>
          </w:p>
        </w:tc>
      </w:tr>
    </w:tbl>
    <w:p w14:paraId="2837F7E0" w14:textId="77777777" w:rsidR="00AE15DF" w:rsidRDefault="00AE15DF" w:rsidP="008B655A"/>
    <w:p w14:paraId="062D101D" w14:textId="77777777" w:rsidR="00AE15DF" w:rsidRDefault="00AE15DF" w:rsidP="00AE15DF">
      <w:pPr>
        <w:jc w:val="both"/>
        <w:rPr>
          <w:rFonts w:asciiTheme="majorHAnsi" w:eastAsia="Times New Roman" w:hAnsiTheme="majorHAnsi" w:cstheme="majorHAnsi"/>
          <w:b/>
          <w:sz w:val="28"/>
          <w:szCs w:val="28"/>
        </w:rPr>
      </w:pPr>
      <w:r>
        <w:br w:type="page"/>
      </w:r>
    </w:p>
    <w:p w14:paraId="33CAF44F" w14:textId="7D740991" w:rsidR="00F321E3" w:rsidRPr="00820D9F" w:rsidRDefault="002D5431" w:rsidP="00820D9F">
      <w:pPr>
        <w:pStyle w:val="Heading1"/>
        <w:numPr>
          <w:ilvl w:val="0"/>
          <w:numId w:val="0"/>
        </w:numPr>
        <w:ind w:left="432" w:hanging="432"/>
        <w:jc w:val="both"/>
        <w:rPr>
          <w:rFonts w:eastAsia="Calibri"/>
        </w:rPr>
      </w:pPr>
      <w:bookmarkStart w:id="5" w:name="_Toc51918668"/>
      <w:bookmarkStart w:id="6" w:name="_Toc55544752"/>
      <w:r>
        <w:lastRenderedPageBreak/>
        <w:t>Executive summary</w:t>
      </w:r>
      <w:bookmarkEnd w:id="0"/>
      <w:bookmarkEnd w:id="5"/>
      <w:bookmarkEnd w:id="6"/>
    </w:p>
    <w:p w14:paraId="6AF15ECC" w14:textId="1908D59D" w:rsidR="000C16D5" w:rsidRPr="000C16D5" w:rsidRDefault="000C16D5" w:rsidP="000C16D5">
      <w:pPr>
        <w:rPr>
          <w:rFonts w:ascii="Calibri Light" w:eastAsia="Calibri" w:hAnsi="Calibri Light" w:cs="Calibri Light"/>
        </w:rPr>
      </w:pPr>
      <w:r w:rsidRPr="000C16D5">
        <w:rPr>
          <w:rFonts w:ascii="Calibri Light" w:eastAsia="Calibri" w:hAnsi="Calibri Light" w:cs="Calibri Light"/>
        </w:rPr>
        <w:t xml:space="preserve">Discovery Projects is the largest Australian Research Council (ARC) funding scheme, supporting 15,035 projects since its introduction in 2001, and constituting almost 40 per cent of all National Competitive Grants Program (NCGP) funding. The scheme supports excellent basic and applied research undertaken by individuals and teams. </w:t>
      </w:r>
    </w:p>
    <w:p w14:paraId="48CEA3B5" w14:textId="77777777" w:rsidR="000C16D5" w:rsidRPr="000C16D5" w:rsidRDefault="000C16D5" w:rsidP="000C16D5">
      <w:pPr>
        <w:rPr>
          <w:rFonts w:ascii="Calibri Light" w:eastAsia="Calibri" w:hAnsi="Calibri Light" w:cs="Calibri Light"/>
        </w:rPr>
      </w:pPr>
      <w:r w:rsidRPr="000C16D5">
        <w:rPr>
          <w:rFonts w:ascii="Calibri Light" w:eastAsia="Calibri" w:hAnsi="Calibri Light" w:cs="Calibri Light"/>
        </w:rPr>
        <w:t>This evaluation assessed the effectiveness and appropriateness of the Discovery Projects scheme. It focused on the scheme’s design and implementation, including its objectives and intended outcomes, its role within Australia’s overall research and innovation landscape, the administration and provision of funding, and the benefits of the research it supports. The evaluation drew upon ARC policy and program documents, data and information from the scheme’s inception to the 2020 round (DP20), as well as stakeholder surveys and interviews conducted by Kantar, Public Division. Discovery Projects had not previously been evaluated.</w:t>
      </w:r>
    </w:p>
    <w:p w14:paraId="3A6B2A4D" w14:textId="77777777" w:rsidR="000C16D5" w:rsidRPr="000C16D5" w:rsidRDefault="000C16D5" w:rsidP="000C16D5">
      <w:pPr>
        <w:rPr>
          <w:rFonts w:ascii="Calibri Light" w:eastAsia="Calibri" w:hAnsi="Calibri Light" w:cs="Times New Roman"/>
        </w:rPr>
      </w:pPr>
      <w:r w:rsidRPr="000C16D5">
        <w:rPr>
          <w:rFonts w:ascii="Calibri Light" w:eastAsia="Calibri" w:hAnsi="Calibri Light" w:cs="Calibri Light"/>
          <w:color w:val="000000"/>
          <w:shd w:val="clear" w:color="auto" w:fill="FFFFFF"/>
        </w:rPr>
        <w:t xml:space="preserve">Stakeholder feedback and ARC data indicated that, overall, Discovery Projects is effective in achieving its </w:t>
      </w:r>
      <w:r w:rsidRPr="000C16D5">
        <w:rPr>
          <w:rFonts w:ascii="Calibri Light" w:eastAsia="Calibri" w:hAnsi="Calibri Light" w:cs="Times New Roman"/>
        </w:rPr>
        <w:t xml:space="preserve">objectives and intended outcomes, including: </w:t>
      </w:r>
    </w:p>
    <w:p w14:paraId="3C4293C1" w14:textId="77777777" w:rsidR="000C16D5" w:rsidRPr="000C16D5" w:rsidRDefault="000C16D5" w:rsidP="000C16D5">
      <w:pPr>
        <w:numPr>
          <w:ilvl w:val="0"/>
          <w:numId w:val="57"/>
        </w:numPr>
        <w:contextualSpacing/>
        <w:rPr>
          <w:rFonts w:ascii="Calibri Light" w:eastAsia="Calibri" w:hAnsi="Calibri Light" w:cs="Calibri Light"/>
        </w:rPr>
      </w:pPr>
      <w:r w:rsidRPr="000C16D5">
        <w:rPr>
          <w:rFonts w:ascii="Calibri Light" w:eastAsia="Calibri" w:hAnsi="Calibri Light" w:cs="Calibri Light"/>
        </w:rPr>
        <w:t xml:space="preserve">supporting excellent basic and applied research by individuals and teams through its competitive peer review process </w:t>
      </w:r>
    </w:p>
    <w:p w14:paraId="612B2D66" w14:textId="77777777" w:rsidR="000C16D5" w:rsidRPr="000C16D5" w:rsidRDefault="000C16D5" w:rsidP="000C16D5">
      <w:pPr>
        <w:numPr>
          <w:ilvl w:val="0"/>
          <w:numId w:val="57"/>
        </w:numPr>
        <w:contextualSpacing/>
        <w:rPr>
          <w:rFonts w:ascii="Calibri Light" w:eastAsia="Calibri" w:hAnsi="Calibri Light" w:cs="Calibri Light"/>
        </w:rPr>
      </w:pPr>
      <w:r w:rsidRPr="000C16D5">
        <w:rPr>
          <w:rFonts w:ascii="Calibri Light" w:eastAsia="Calibri" w:hAnsi="Calibri Light" w:cs="Calibri Light"/>
        </w:rPr>
        <w:t>supporting excellent research training opportunities in high quality research environments</w:t>
      </w:r>
    </w:p>
    <w:p w14:paraId="50799D89" w14:textId="77777777" w:rsidR="000C16D5" w:rsidRPr="000C16D5" w:rsidRDefault="000C16D5" w:rsidP="000C16D5">
      <w:pPr>
        <w:numPr>
          <w:ilvl w:val="0"/>
          <w:numId w:val="57"/>
        </w:numPr>
        <w:contextualSpacing/>
        <w:rPr>
          <w:rFonts w:ascii="Calibri Light" w:eastAsia="Calibri" w:hAnsi="Calibri Light" w:cs="Calibri Light"/>
        </w:rPr>
      </w:pPr>
      <w:r w:rsidRPr="000C16D5">
        <w:rPr>
          <w:rFonts w:ascii="Calibri Light" w:eastAsia="Calibri" w:hAnsi="Calibri Light" w:cs="Calibri Light"/>
        </w:rPr>
        <w:t>fostering increased national and international research collaboration, particularly between scholars across institutional and national boundaries</w:t>
      </w:r>
    </w:p>
    <w:p w14:paraId="649D77CB" w14:textId="77777777" w:rsidR="000C16D5" w:rsidRPr="000C16D5" w:rsidRDefault="000C16D5" w:rsidP="000C16D5">
      <w:pPr>
        <w:numPr>
          <w:ilvl w:val="0"/>
          <w:numId w:val="57"/>
        </w:numPr>
        <w:contextualSpacing/>
        <w:rPr>
          <w:rFonts w:ascii="Calibri Light" w:eastAsia="Calibri" w:hAnsi="Calibri Light" w:cs="Calibri Light"/>
        </w:rPr>
      </w:pPr>
      <w:r w:rsidRPr="000C16D5">
        <w:rPr>
          <w:rFonts w:ascii="Calibri Light" w:eastAsia="Calibri" w:hAnsi="Calibri Light" w:cs="Calibri Light"/>
        </w:rPr>
        <w:t>expanding Australia’s knowledge base and research capacity by supporting funding opportunities, open access research outputs and a sustainable research workforce</w:t>
      </w:r>
    </w:p>
    <w:p w14:paraId="08099D96" w14:textId="77777777" w:rsidR="000C16D5" w:rsidRPr="000C16D5" w:rsidRDefault="000C16D5" w:rsidP="00281670">
      <w:pPr>
        <w:numPr>
          <w:ilvl w:val="0"/>
          <w:numId w:val="57"/>
        </w:numPr>
        <w:ind w:left="714" w:hanging="357"/>
        <w:rPr>
          <w:rFonts w:ascii="Calibri Light" w:eastAsia="Calibri" w:hAnsi="Calibri Light" w:cs="Calibri Light"/>
        </w:rPr>
      </w:pPr>
      <w:r w:rsidRPr="000C16D5">
        <w:rPr>
          <w:rFonts w:ascii="Calibri Light" w:eastAsia="Calibri" w:hAnsi="Calibri Light" w:cs="Calibri Light"/>
        </w:rPr>
        <w:t>delivering a diverse range of economic, commercial, environmental, social and cultural benefits to Australia.</w:t>
      </w:r>
    </w:p>
    <w:p w14:paraId="73EF3A1D" w14:textId="77777777" w:rsidR="000C16D5" w:rsidRPr="000C16D5" w:rsidRDefault="000C16D5" w:rsidP="000C16D5">
      <w:pPr>
        <w:rPr>
          <w:rFonts w:ascii="Calibri Light" w:eastAsia="Calibri" w:hAnsi="Calibri Light" w:cs="Calibri Light"/>
        </w:rPr>
      </w:pPr>
      <w:r w:rsidRPr="000C16D5">
        <w:rPr>
          <w:rFonts w:ascii="Calibri Light" w:eastAsia="Calibri" w:hAnsi="Calibri Light" w:cs="Calibri Light"/>
        </w:rPr>
        <w:t xml:space="preserve">Stakeholders generally considered the scheme’s design—including its objectives, intended outcomes and funding duration and amount—to be appropriate. They regarded Discovery Projects as a unique component of the Australian research funding landscape that complemented other sources of funding available to researchers, and emphasised the importance of its support for investigator-led, non-medical basic research. </w:t>
      </w:r>
    </w:p>
    <w:p w14:paraId="3B955456" w14:textId="77777777" w:rsidR="000C16D5" w:rsidRPr="000C16D5" w:rsidRDefault="000C16D5" w:rsidP="000C16D5">
      <w:pPr>
        <w:rPr>
          <w:rFonts w:ascii="Calibri Light" w:eastAsia="Calibri" w:hAnsi="Calibri Light" w:cs="Calibri Light"/>
        </w:rPr>
      </w:pPr>
      <w:r w:rsidRPr="000C16D5">
        <w:rPr>
          <w:rFonts w:ascii="Calibri Light" w:eastAsia="Calibri" w:hAnsi="Calibri Light" w:cs="Calibri Light"/>
        </w:rPr>
        <w:t>However, the strength of stakeholder agreement on the scheme’s effectiveness and appropriateness varied with respect to specific objectives and intended outcomes. In qualitative feedback, some stakeholders expressed concerns or a lack of clarity about elements of the scheme, including perceived tensions between aspects of its design and views that some research and researchers were disadvantaged in assessment processes. The evaluation identified six opportunities to address stakeholder feedback and support improvements in the scheme’s performance:</w:t>
      </w:r>
    </w:p>
    <w:p w14:paraId="6AD12D00" w14:textId="77777777" w:rsidR="000C16D5" w:rsidRPr="000C16D5" w:rsidRDefault="000C16D5" w:rsidP="000C16D5">
      <w:pPr>
        <w:numPr>
          <w:ilvl w:val="0"/>
          <w:numId w:val="56"/>
        </w:numPr>
        <w:ind w:left="567" w:hanging="284"/>
        <w:contextualSpacing/>
        <w:rPr>
          <w:rFonts w:ascii="Calibri Light" w:eastAsia="Calibri" w:hAnsi="Calibri Light" w:cs="Calibri Light"/>
        </w:rPr>
      </w:pPr>
      <w:r w:rsidRPr="000C16D5">
        <w:rPr>
          <w:rFonts w:ascii="Calibri Light" w:eastAsia="Calibri" w:hAnsi="Calibri Light" w:cs="Calibri Light"/>
        </w:rPr>
        <w:t>Targeted advice, engagement and outreach</w:t>
      </w:r>
    </w:p>
    <w:p w14:paraId="75B836F5" w14:textId="77777777" w:rsidR="000C16D5" w:rsidRPr="000C16D5" w:rsidRDefault="000C16D5" w:rsidP="000C16D5">
      <w:pPr>
        <w:numPr>
          <w:ilvl w:val="0"/>
          <w:numId w:val="56"/>
        </w:numPr>
        <w:ind w:left="567" w:hanging="284"/>
        <w:contextualSpacing/>
        <w:rPr>
          <w:rFonts w:ascii="Calibri Light" w:eastAsia="Calibri" w:hAnsi="Calibri Light" w:cs="Calibri Light"/>
        </w:rPr>
      </w:pPr>
      <w:r w:rsidRPr="000C16D5">
        <w:rPr>
          <w:rFonts w:ascii="Calibri Light" w:eastAsia="Calibri" w:hAnsi="Calibri Light" w:cs="Calibri Light"/>
        </w:rPr>
        <w:t xml:space="preserve">Improved facilitation of national and international collaboration </w:t>
      </w:r>
    </w:p>
    <w:p w14:paraId="37214CD1" w14:textId="77777777" w:rsidR="000C16D5" w:rsidRPr="000C16D5" w:rsidRDefault="000C16D5" w:rsidP="000C16D5">
      <w:pPr>
        <w:numPr>
          <w:ilvl w:val="0"/>
          <w:numId w:val="56"/>
        </w:numPr>
        <w:ind w:left="567" w:hanging="284"/>
        <w:contextualSpacing/>
        <w:rPr>
          <w:rFonts w:ascii="Calibri Light" w:eastAsia="Calibri" w:hAnsi="Calibri Light" w:cs="Calibri Light"/>
        </w:rPr>
      </w:pPr>
      <w:r w:rsidRPr="000C16D5">
        <w:rPr>
          <w:rFonts w:ascii="Calibri Light" w:eastAsia="Calibri" w:hAnsi="Calibri Light" w:cs="Calibri Light"/>
        </w:rPr>
        <w:t>Improved Discovery Projects data collection</w:t>
      </w:r>
    </w:p>
    <w:p w14:paraId="138CB27D" w14:textId="77777777" w:rsidR="000C16D5" w:rsidRPr="000C16D5" w:rsidRDefault="000C16D5" w:rsidP="000C16D5">
      <w:pPr>
        <w:numPr>
          <w:ilvl w:val="0"/>
          <w:numId w:val="56"/>
        </w:numPr>
        <w:ind w:left="567" w:hanging="284"/>
        <w:contextualSpacing/>
        <w:rPr>
          <w:rFonts w:ascii="Calibri Light" w:eastAsia="Calibri" w:hAnsi="Calibri Light" w:cs="Calibri Light"/>
        </w:rPr>
      </w:pPr>
      <w:r w:rsidRPr="000C16D5">
        <w:rPr>
          <w:rFonts w:ascii="Calibri Light" w:eastAsia="Calibri" w:hAnsi="Calibri Light" w:cs="Calibri Light"/>
        </w:rPr>
        <w:t>Potential options to provide aggregated feedback on Selection Advisory Committee assessments</w:t>
      </w:r>
    </w:p>
    <w:p w14:paraId="17A8209B" w14:textId="77777777" w:rsidR="000C16D5" w:rsidRPr="000C16D5" w:rsidRDefault="000C16D5" w:rsidP="000C16D5">
      <w:pPr>
        <w:numPr>
          <w:ilvl w:val="0"/>
          <w:numId w:val="56"/>
        </w:numPr>
        <w:ind w:left="567" w:hanging="284"/>
        <w:contextualSpacing/>
        <w:rPr>
          <w:rFonts w:ascii="Calibri Light" w:eastAsia="Calibri" w:hAnsi="Calibri Light" w:cs="Calibri Light"/>
        </w:rPr>
      </w:pPr>
      <w:r w:rsidRPr="000C16D5">
        <w:rPr>
          <w:rFonts w:ascii="Calibri Light" w:eastAsia="Calibri" w:hAnsi="Calibri Light" w:cs="Calibri Light"/>
        </w:rPr>
        <w:t>Development of a Discovery Projects program logic</w:t>
      </w:r>
    </w:p>
    <w:p w14:paraId="27F7A0D1" w14:textId="62596E0D" w:rsidR="000C16D5" w:rsidRDefault="000C16D5" w:rsidP="000C16D5">
      <w:pPr>
        <w:numPr>
          <w:ilvl w:val="0"/>
          <w:numId w:val="56"/>
        </w:numPr>
        <w:ind w:left="567" w:hanging="284"/>
        <w:contextualSpacing/>
        <w:rPr>
          <w:rFonts w:ascii="Calibri Light" w:eastAsia="Calibri" w:hAnsi="Calibri Light" w:cs="Calibri Light"/>
        </w:rPr>
      </w:pPr>
      <w:r w:rsidRPr="000C16D5">
        <w:rPr>
          <w:rFonts w:ascii="Calibri Light" w:eastAsia="Calibri" w:hAnsi="Calibri Light" w:cs="Calibri Light"/>
        </w:rPr>
        <w:t>Ongoing monitoring and evaluation.</w:t>
      </w:r>
    </w:p>
    <w:p w14:paraId="1BDFC676" w14:textId="77777777" w:rsidR="000C16D5" w:rsidRDefault="000C16D5">
      <w:pPr>
        <w:rPr>
          <w:rFonts w:ascii="Calibri Light" w:eastAsia="Calibri" w:hAnsi="Calibri Light" w:cs="Calibri Light"/>
        </w:rPr>
      </w:pPr>
      <w:r>
        <w:rPr>
          <w:rFonts w:ascii="Calibri Light" w:eastAsia="Calibri" w:hAnsi="Calibri Light" w:cs="Calibri Light"/>
        </w:rPr>
        <w:br w:type="page"/>
      </w:r>
    </w:p>
    <w:p w14:paraId="0C0B530B" w14:textId="7E3D42AE" w:rsidR="00F321E3" w:rsidRPr="00D627BA" w:rsidRDefault="0000583D" w:rsidP="005B7D51">
      <w:pPr>
        <w:pStyle w:val="Heading1"/>
        <w:numPr>
          <w:ilvl w:val="0"/>
          <w:numId w:val="0"/>
        </w:numPr>
        <w:spacing w:after="240"/>
        <w:ind w:left="431" w:hanging="431"/>
        <w:jc w:val="both"/>
      </w:pPr>
      <w:bookmarkStart w:id="7" w:name="_Toc51918669"/>
      <w:bookmarkStart w:id="8" w:name="_Toc54699219"/>
      <w:bookmarkStart w:id="9" w:name="_Toc55544753"/>
      <w:r w:rsidRPr="00D627BA">
        <w:lastRenderedPageBreak/>
        <w:t>Key findings</w:t>
      </w:r>
      <w:bookmarkEnd w:id="7"/>
      <w:bookmarkEnd w:id="8"/>
      <w:bookmarkEnd w:id="9"/>
    </w:p>
    <w:p w14:paraId="6A1F5F8F" w14:textId="77777777" w:rsidR="00AE20C3" w:rsidRPr="00AB65F1" w:rsidRDefault="00AE20C3" w:rsidP="00AE20C3">
      <w:pPr>
        <w:rPr>
          <w:rFonts w:asciiTheme="majorHAnsi" w:hAnsiTheme="majorHAnsi" w:cstheme="majorHAnsi"/>
          <w:b/>
          <w:bCs/>
          <w:i/>
          <w:iCs/>
        </w:rPr>
      </w:pPr>
      <w:r w:rsidRPr="00AB65F1">
        <w:rPr>
          <w:rFonts w:asciiTheme="majorHAnsi" w:hAnsiTheme="majorHAnsi" w:cstheme="majorHAnsi"/>
          <w:b/>
          <w:bCs/>
          <w:i/>
          <w:iCs/>
        </w:rPr>
        <w:t xml:space="preserve">Key Finding </w:t>
      </w:r>
      <w:r>
        <w:rPr>
          <w:rFonts w:asciiTheme="majorHAnsi" w:hAnsiTheme="majorHAnsi" w:cstheme="majorHAnsi"/>
          <w:b/>
          <w:bCs/>
          <w:i/>
          <w:iCs/>
        </w:rPr>
        <w:t>One</w:t>
      </w:r>
      <w:r w:rsidRPr="00AB65F1">
        <w:rPr>
          <w:rFonts w:asciiTheme="majorHAnsi" w:hAnsiTheme="majorHAnsi" w:cstheme="majorHAnsi"/>
          <w:b/>
          <w:bCs/>
          <w:i/>
          <w:iCs/>
        </w:rPr>
        <w:t xml:space="preserve">: Discovery Projects </w:t>
      </w:r>
      <w:r>
        <w:rPr>
          <w:rFonts w:asciiTheme="majorHAnsi" w:hAnsiTheme="majorHAnsi" w:cstheme="majorHAnsi"/>
          <w:b/>
          <w:bCs/>
          <w:i/>
          <w:iCs/>
        </w:rPr>
        <w:t>i</w:t>
      </w:r>
      <w:r w:rsidRPr="00AB65F1">
        <w:rPr>
          <w:rFonts w:asciiTheme="majorHAnsi" w:hAnsiTheme="majorHAnsi" w:cstheme="majorHAnsi"/>
          <w:b/>
          <w:bCs/>
          <w:i/>
          <w:iCs/>
        </w:rPr>
        <w:t>s effective</w:t>
      </w:r>
      <w:r>
        <w:rPr>
          <w:rFonts w:asciiTheme="majorHAnsi" w:hAnsiTheme="majorHAnsi" w:cstheme="majorHAnsi"/>
          <w:b/>
          <w:bCs/>
          <w:i/>
          <w:iCs/>
        </w:rPr>
        <w:t xml:space="preserve"> in</w:t>
      </w:r>
      <w:r w:rsidRPr="00AB65F1">
        <w:rPr>
          <w:rFonts w:asciiTheme="majorHAnsi" w:hAnsiTheme="majorHAnsi" w:cstheme="majorHAnsi"/>
          <w:b/>
          <w:bCs/>
          <w:i/>
          <w:iCs/>
        </w:rPr>
        <w:t xml:space="preserve"> achieving its objectives and intended outcomes</w:t>
      </w:r>
    </w:p>
    <w:p w14:paraId="50A1D221" w14:textId="736C3400" w:rsidR="00AE20C3" w:rsidRDefault="2267667D" w:rsidP="4390EBBA">
      <w:pPr>
        <w:rPr>
          <w:rFonts w:asciiTheme="majorHAnsi" w:hAnsiTheme="majorHAnsi" w:cstheme="majorBidi"/>
        </w:rPr>
      </w:pPr>
      <w:r w:rsidRPr="4390EBBA">
        <w:rPr>
          <w:rFonts w:asciiTheme="majorHAnsi" w:hAnsiTheme="majorHAnsi" w:cstheme="majorBidi"/>
        </w:rPr>
        <w:t>Stakeholder feedback and ARC data indicated that</w:t>
      </w:r>
      <w:r w:rsidR="09797098" w:rsidRPr="4390EBBA">
        <w:rPr>
          <w:rFonts w:asciiTheme="majorHAnsi" w:hAnsiTheme="majorHAnsi" w:cstheme="majorBidi"/>
        </w:rPr>
        <w:t xml:space="preserve"> </w:t>
      </w:r>
      <w:r w:rsidRPr="4390EBBA">
        <w:rPr>
          <w:rFonts w:asciiTheme="majorHAnsi" w:hAnsiTheme="majorHAnsi" w:cstheme="majorBidi"/>
        </w:rPr>
        <w:t xml:space="preserve">Discovery Projects is </w:t>
      </w:r>
      <w:r w:rsidR="0B407340" w:rsidRPr="4390EBBA">
        <w:rPr>
          <w:rFonts w:asciiTheme="majorHAnsi" w:hAnsiTheme="majorHAnsi" w:cstheme="majorBidi"/>
        </w:rPr>
        <w:t xml:space="preserve">broadly </w:t>
      </w:r>
      <w:r w:rsidRPr="4390EBBA">
        <w:rPr>
          <w:rFonts w:asciiTheme="majorHAnsi" w:hAnsiTheme="majorHAnsi" w:cstheme="majorBidi"/>
        </w:rPr>
        <w:t xml:space="preserve">effective in achieving </w:t>
      </w:r>
      <w:r w:rsidR="58A38539" w:rsidRPr="4390EBBA">
        <w:rPr>
          <w:rFonts w:asciiTheme="majorHAnsi" w:hAnsiTheme="majorHAnsi" w:cstheme="majorBidi"/>
        </w:rPr>
        <w:t xml:space="preserve">all </w:t>
      </w:r>
      <w:r w:rsidRPr="4390EBBA">
        <w:rPr>
          <w:rFonts w:asciiTheme="majorHAnsi" w:hAnsiTheme="majorHAnsi" w:cstheme="majorBidi"/>
        </w:rPr>
        <w:t>objectives and intended outcomes listed in the DP21 Grant Guidelines. Stakeholders agreed most strongly about the effectiveness of the scheme’s support for excellent basic research, national research collaboration, research training, and expanding Australia’s knowledge base and research capacity.</w:t>
      </w:r>
    </w:p>
    <w:p w14:paraId="6B072C61" w14:textId="77777777" w:rsidR="00AE20C3" w:rsidRPr="00AB65F1" w:rsidRDefault="00AE20C3" w:rsidP="00AE20C3">
      <w:pPr>
        <w:rPr>
          <w:rFonts w:asciiTheme="majorHAnsi" w:hAnsiTheme="majorHAnsi" w:cstheme="majorHAnsi"/>
          <w:b/>
          <w:bCs/>
          <w:i/>
          <w:iCs/>
        </w:rPr>
      </w:pPr>
      <w:r w:rsidRPr="00AB65F1">
        <w:rPr>
          <w:rFonts w:asciiTheme="majorHAnsi" w:hAnsiTheme="majorHAnsi" w:cstheme="majorHAnsi"/>
          <w:b/>
          <w:bCs/>
          <w:i/>
          <w:iCs/>
        </w:rPr>
        <w:t xml:space="preserve">Key Finding </w:t>
      </w:r>
      <w:r>
        <w:rPr>
          <w:rFonts w:asciiTheme="majorHAnsi" w:hAnsiTheme="majorHAnsi" w:cstheme="majorHAnsi"/>
          <w:b/>
          <w:bCs/>
          <w:i/>
          <w:iCs/>
        </w:rPr>
        <w:t>Two</w:t>
      </w:r>
      <w:r w:rsidRPr="00AB65F1">
        <w:rPr>
          <w:rFonts w:asciiTheme="majorHAnsi" w:hAnsiTheme="majorHAnsi" w:cstheme="majorHAnsi"/>
          <w:b/>
          <w:bCs/>
          <w:i/>
          <w:iCs/>
        </w:rPr>
        <w:t xml:space="preserve">: Discovery Projects’ </w:t>
      </w:r>
      <w:r>
        <w:rPr>
          <w:rFonts w:asciiTheme="majorHAnsi" w:hAnsiTheme="majorHAnsi" w:cstheme="majorHAnsi"/>
          <w:b/>
          <w:bCs/>
          <w:i/>
          <w:iCs/>
        </w:rPr>
        <w:t>scheme design is appropriate</w:t>
      </w:r>
    </w:p>
    <w:p w14:paraId="0D3E70C4" w14:textId="77777777" w:rsidR="00AE20C3" w:rsidRDefault="00AE20C3" w:rsidP="00AE20C3">
      <w:pPr>
        <w:rPr>
          <w:rFonts w:asciiTheme="majorHAnsi" w:hAnsiTheme="majorHAnsi" w:cstheme="majorHAnsi"/>
        </w:rPr>
      </w:pPr>
      <w:r>
        <w:rPr>
          <w:rFonts w:asciiTheme="majorHAnsi" w:hAnsiTheme="majorHAnsi" w:cstheme="majorHAnsi"/>
        </w:rPr>
        <w:t>Overall, s</w:t>
      </w:r>
      <w:r w:rsidRPr="00AB65F1">
        <w:rPr>
          <w:rFonts w:asciiTheme="majorHAnsi" w:hAnsiTheme="majorHAnsi" w:cstheme="majorHAnsi"/>
        </w:rPr>
        <w:t xml:space="preserve">takeholders </w:t>
      </w:r>
      <w:r>
        <w:rPr>
          <w:rFonts w:asciiTheme="majorHAnsi" w:hAnsiTheme="majorHAnsi" w:cstheme="majorHAnsi"/>
        </w:rPr>
        <w:t>regarded</w:t>
      </w:r>
      <w:r w:rsidRPr="00AB65F1">
        <w:rPr>
          <w:rFonts w:asciiTheme="majorHAnsi" w:hAnsiTheme="majorHAnsi" w:cstheme="majorHAnsi"/>
        </w:rPr>
        <w:t xml:space="preserve"> </w:t>
      </w:r>
      <w:r>
        <w:rPr>
          <w:rFonts w:asciiTheme="majorHAnsi" w:hAnsiTheme="majorHAnsi" w:cstheme="majorHAnsi"/>
        </w:rPr>
        <w:t>Discovery Projects’</w:t>
      </w:r>
      <w:r w:rsidRPr="00AB65F1">
        <w:rPr>
          <w:rFonts w:asciiTheme="majorHAnsi" w:hAnsiTheme="majorHAnsi" w:cstheme="majorHAnsi"/>
        </w:rPr>
        <w:t xml:space="preserve"> objectives and intended outcomes</w:t>
      </w:r>
      <w:r>
        <w:rPr>
          <w:rFonts w:asciiTheme="majorHAnsi" w:hAnsiTheme="majorHAnsi" w:cstheme="majorHAnsi"/>
        </w:rPr>
        <w:t xml:space="preserve"> as appropriate to achieve its policy intent. Survey and interview participants highlighted positive interrelationships between distinct elements of the scheme’s design, including the importance of its support for basic research in laying the foundations for applied research and the delivery of translational benefits. The majority of stakeholders also agreed that the scheme’s project funding amount and duration were appropriate to meet its objectives and intended outcomes.  </w:t>
      </w:r>
    </w:p>
    <w:p w14:paraId="2F78B57E" w14:textId="77777777" w:rsidR="00AE20C3" w:rsidRPr="00AB65F1" w:rsidRDefault="00AE20C3" w:rsidP="00AE20C3">
      <w:pPr>
        <w:rPr>
          <w:rFonts w:asciiTheme="majorHAnsi" w:hAnsiTheme="majorHAnsi" w:cstheme="majorHAnsi"/>
          <w:b/>
          <w:bCs/>
          <w:i/>
          <w:iCs/>
        </w:rPr>
      </w:pPr>
      <w:r w:rsidRPr="00AB65F1">
        <w:rPr>
          <w:rFonts w:asciiTheme="majorHAnsi" w:hAnsiTheme="majorHAnsi" w:cstheme="majorHAnsi"/>
          <w:b/>
          <w:bCs/>
          <w:i/>
          <w:iCs/>
        </w:rPr>
        <w:t xml:space="preserve">Key Finding </w:t>
      </w:r>
      <w:r>
        <w:rPr>
          <w:rFonts w:asciiTheme="majorHAnsi" w:hAnsiTheme="majorHAnsi" w:cstheme="majorHAnsi"/>
          <w:b/>
          <w:bCs/>
          <w:i/>
          <w:iCs/>
        </w:rPr>
        <w:t>Three</w:t>
      </w:r>
      <w:r w:rsidRPr="00AB65F1">
        <w:rPr>
          <w:rFonts w:asciiTheme="majorHAnsi" w:hAnsiTheme="majorHAnsi" w:cstheme="majorHAnsi"/>
          <w:b/>
          <w:bCs/>
          <w:i/>
          <w:iCs/>
        </w:rPr>
        <w:t xml:space="preserve">: Discovery Projects </w:t>
      </w:r>
      <w:r>
        <w:rPr>
          <w:rFonts w:asciiTheme="majorHAnsi" w:hAnsiTheme="majorHAnsi" w:cstheme="majorHAnsi"/>
          <w:b/>
          <w:bCs/>
          <w:i/>
          <w:iCs/>
        </w:rPr>
        <w:t>plays</w:t>
      </w:r>
      <w:r w:rsidRPr="00AB65F1">
        <w:rPr>
          <w:rFonts w:asciiTheme="majorHAnsi" w:hAnsiTheme="majorHAnsi" w:cstheme="majorHAnsi"/>
          <w:b/>
          <w:bCs/>
          <w:i/>
          <w:iCs/>
        </w:rPr>
        <w:t xml:space="preserve"> a unique and important role within the Australian research funding landscape</w:t>
      </w:r>
      <w:r>
        <w:rPr>
          <w:rFonts w:asciiTheme="majorHAnsi" w:hAnsiTheme="majorHAnsi" w:cstheme="majorHAnsi"/>
          <w:b/>
          <w:bCs/>
          <w:i/>
          <w:iCs/>
        </w:rPr>
        <w:t xml:space="preserve"> by supporting basic research</w:t>
      </w:r>
    </w:p>
    <w:p w14:paraId="44D775A5" w14:textId="1913C808" w:rsidR="00AE20C3" w:rsidRDefault="00AE20C3" w:rsidP="00AE20C3">
      <w:pPr>
        <w:rPr>
          <w:rFonts w:asciiTheme="majorHAnsi" w:hAnsiTheme="majorHAnsi" w:cstheme="majorHAnsi"/>
        </w:rPr>
      </w:pPr>
      <w:r>
        <w:rPr>
          <w:rFonts w:asciiTheme="majorHAnsi" w:hAnsiTheme="majorHAnsi" w:cstheme="majorHAnsi"/>
        </w:rPr>
        <w:t xml:space="preserve">Stakeholders regarded Discovery Projects as a unique component of the Australian research funding landscape that complemented </w:t>
      </w:r>
      <w:r w:rsidR="00FD6119">
        <w:rPr>
          <w:rFonts w:asciiTheme="majorHAnsi" w:hAnsiTheme="majorHAnsi" w:cstheme="majorHAnsi"/>
        </w:rPr>
        <w:t xml:space="preserve">other </w:t>
      </w:r>
      <w:r>
        <w:rPr>
          <w:rFonts w:asciiTheme="majorHAnsi" w:hAnsiTheme="majorHAnsi" w:cstheme="majorHAnsi"/>
        </w:rPr>
        <w:t xml:space="preserve">NCGP </w:t>
      </w:r>
      <w:r w:rsidR="00FD6119">
        <w:rPr>
          <w:rFonts w:asciiTheme="majorHAnsi" w:hAnsiTheme="majorHAnsi" w:cstheme="majorHAnsi"/>
        </w:rPr>
        <w:t xml:space="preserve">schemes </w:t>
      </w:r>
      <w:r>
        <w:rPr>
          <w:rFonts w:asciiTheme="majorHAnsi" w:hAnsiTheme="majorHAnsi" w:cstheme="majorHAnsi"/>
        </w:rPr>
        <w:t xml:space="preserve">and non-ARC sources of funding. While the scheme supports both basic and applied research, stakeholders emphasised the importance of its contribution to investigator-led, non-medical basic research conducted at Australian universities, </w:t>
      </w:r>
      <w:r w:rsidR="00316B63">
        <w:rPr>
          <w:rFonts w:asciiTheme="majorHAnsi" w:hAnsiTheme="majorHAnsi" w:cstheme="majorHAnsi"/>
        </w:rPr>
        <w:t>in the context of</w:t>
      </w:r>
      <w:r>
        <w:rPr>
          <w:rFonts w:asciiTheme="majorHAnsi" w:hAnsiTheme="majorHAnsi" w:cstheme="majorHAnsi"/>
        </w:rPr>
        <w:t xml:space="preserve"> the substantial focus on</w:t>
      </w:r>
      <w:r w:rsidRPr="00AA2C02">
        <w:rPr>
          <w:rFonts w:asciiTheme="majorHAnsi" w:hAnsiTheme="majorHAnsi" w:cstheme="majorHAnsi"/>
        </w:rPr>
        <w:t xml:space="preserve"> applied research</w:t>
      </w:r>
      <w:r>
        <w:rPr>
          <w:rFonts w:asciiTheme="majorHAnsi" w:hAnsiTheme="majorHAnsi" w:cstheme="majorHAnsi"/>
        </w:rPr>
        <w:t xml:space="preserve"> in Australia’s</w:t>
      </w:r>
      <w:r w:rsidRPr="00AA2C02">
        <w:rPr>
          <w:rFonts w:asciiTheme="majorHAnsi" w:hAnsiTheme="majorHAnsi" w:cstheme="majorHAnsi"/>
        </w:rPr>
        <w:t xml:space="preserve"> </w:t>
      </w:r>
      <w:r>
        <w:rPr>
          <w:rFonts w:asciiTheme="majorHAnsi" w:hAnsiTheme="majorHAnsi" w:cstheme="majorHAnsi"/>
        </w:rPr>
        <w:t>broader research and development effort.</w:t>
      </w:r>
    </w:p>
    <w:p w14:paraId="18C910BD" w14:textId="77777777" w:rsidR="00AE20C3" w:rsidRPr="00AB65F1" w:rsidRDefault="00AE20C3" w:rsidP="00AE20C3">
      <w:pPr>
        <w:rPr>
          <w:rFonts w:asciiTheme="majorHAnsi" w:hAnsiTheme="majorHAnsi" w:cstheme="majorHAnsi"/>
          <w:b/>
          <w:bCs/>
          <w:i/>
          <w:iCs/>
        </w:rPr>
      </w:pPr>
      <w:r w:rsidRPr="00AB65F1">
        <w:rPr>
          <w:rFonts w:asciiTheme="majorHAnsi" w:hAnsiTheme="majorHAnsi" w:cstheme="majorHAnsi"/>
          <w:b/>
          <w:bCs/>
          <w:i/>
          <w:iCs/>
        </w:rPr>
        <w:t xml:space="preserve">Key Finding </w:t>
      </w:r>
      <w:r>
        <w:rPr>
          <w:rFonts w:asciiTheme="majorHAnsi" w:hAnsiTheme="majorHAnsi" w:cstheme="majorHAnsi"/>
          <w:b/>
          <w:bCs/>
          <w:i/>
          <w:iCs/>
        </w:rPr>
        <w:t>Four</w:t>
      </w:r>
      <w:r w:rsidRPr="00AB65F1">
        <w:rPr>
          <w:rFonts w:asciiTheme="majorHAnsi" w:hAnsiTheme="majorHAnsi" w:cstheme="majorHAnsi"/>
          <w:b/>
          <w:bCs/>
          <w:i/>
          <w:iCs/>
        </w:rPr>
        <w:t xml:space="preserve">: Discovery Projects </w:t>
      </w:r>
      <w:r>
        <w:rPr>
          <w:rFonts w:asciiTheme="majorHAnsi" w:hAnsiTheme="majorHAnsi" w:cstheme="majorHAnsi"/>
          <w:b/>
          <w:bCs/>
          <w:i/>
          <w:iCs/>
        </w:rPr>
        <w:t>research supports diverse positive academic outcomes and translational benefits</w:t>
      </w:r>
    </w:p>
    <w:p w14:paraId="7493D54F" w14:textId="26EDA144" w:rsidR="00AE20C3" w:rsidRPr="00AB65F1" w:rsidRDefault="00AE20C3" w:rsidP="00AE20C3">
      <w:pPr>
        <w:rPr>
          <w:rFonts w:asciiTheme="majorHAnsi" w:hAnsiTheme="majorHAnsi" w:cstheme="majorHAnsi"/>
        </w:rPr>
      </w:pPr>
      <w:r w:rsidRPr="00AB65F1">
        <w:rPr>
          <w:rFonts w:asciiTheme="majorHAnsi" w:hAnsiTheme="majorHAnsi" w:cstheme="majorHAnsi"/>
        </w:rPr>
        <w:t xml:space="preserve">Discovery Projects </w:t>
      </w:r>
      <w:r>
        <w:rPr>
          <w:rFonts w:asciiTheme="majorHAnsi" w:hAnsiTheme="majorHAnsi" w:cstheme="majorHAnsi"/>
        </w:rPr>
        <w:t xml:space="preserve">supports </w:t>
      </w:r>
      <w:r w:rsidRPr="00AB65F1">
        <w:rPr>
          <w:rFonts w:asciiTheme="majorHAnsi" w:hAnsiTheme="majorHAnsi" w:cstheme="majorHAnsi"/>
        </w:rPr>
        <w:t xml:space="preserve">a </w:t>
      </w:r>
      <w:r>
        <w:rPr>
          <w:rFonts w:asciiTheme="majorHAnsi" w:hAnsiTheme="majorHAnsi" w:cstheme="majorHAnsi"/>
        </w:rPr>
        <w:t>substantial body of openly accessible</w:t>
      </w:r>
      <w:r w:rsidRPr="00AB65F1">
        <w:rPr>
          <w:rFonts w:asciiTheme="majorHAnsi" w:hAnsiTheme="majorHAnsi" w:cstheme="majorHAnsi"/>
        </w:rPr>
        <w:t xml:space="preserve"> research outputs</w:t>
      </w:r>
      <w:r>
        <w:rPr>
          <w:rFonts w:asciiTheme="majorHAnsi" w:hAnsiTheme="majorHAnsi" w:cstheme="majorHAnsi"/>
        </w:rPr>
        <w:t xml:space="preserve"> and contributes to national research capacity through the provision of</w:t>
      </w:r>
      <w:r w:rsidRPr="00AB65F1">
        <w:rPr>
          <w:rFonts w:asciiTheme="majorHAnsi" w:hAnsiTheme="majorHAnsi" w:cstheme="majorHAnsi"/>
        </w:rPr>
        <w:t xml:space="preserve"> </w:t>
      </w:r>
      <w:r>
        <w:rPr>
          <w:rFonts w:asciiTheme="majorHAnsi" w:hAnsiTheme="majorHAnsi" w:cstheme="majorHAnsi"/>
        </w:rPr>
        <w:t xml:space="preserve">funding, opportunities for </w:t>
      </w:r>
      <w:r w:rsidR="0003187A">
        <w:rPr>
          <w:rFonts w:asciiTheme="majorHAnsi" w:hAnsiTheme="majorHAnsi" w:cstheme="majorHAnsi"/>
        </w:rPr>
        <w:t>the</w:t>
      </w:r>
      <w:r>
        <w:rPr>
          <w:rFonts w:asciiTheme="majorHAnsi" w:hAnsiTheme="majorHAnsi" w:cstheme="majorHAnsi"/>
        </w:rPr>
        <w:t xml:space="preserve"> development of the research workforce</w:t>
      </w:r>
      <w:r w:rsidRPr="00AB65F1">
        <w:rPr>
          <w:rFonts w:asciiTheme="majorHAnsi" w:hAnsiTheme="majorHAnsi" w:cstheme="majorHAnsi"/>
        </w:rPr>
        <w:t xml:space="preserve">, and </w:t>
      </w:r>
      <w:r>
        <w:rPr>
          <w:rFonts w:asciiTheme="majorHAnsi" w:hAnsiTheme="majorHAnsi" w:cstheme="majorHAnsi"/>
        </w:rPr>
        <w:t xml:space="preserve">enhancements to the scale and diversity of research in Australia. The majority of stakeholders considered the scheme effective in supporting </w:t>
      </w:r>
      <w:r w:rsidRPr="00AB65F1">
        <w:rPr>
          <w:rFonts w:asciiTheme="majorHAnsi" w:hAnsiTheme="majorHAnsi" w:cstheme="majorHAnsi"/>
        </w:rPr>
        <w:t>economic, commercial, environmental, social and cultural benefit</w:t>
      </w:r>
      <w:r>
        <w:rPr>
          <w:rFonts w:asciiTheme="majorHAnsi" w:hAnsiTheme="majorHAnsi" w:cstheme="majorHAnsi"/>
        </w:rPr>
        <w:t xml:space="preserve">s, and described a wide variety of translational outcomes delivered by their completed projects. However, some stakeholders noted difficulties anticipating long term benefits and </w:t>
      </w:r>
      <w:r w:rsidR="00B457A5">
        <w:rPr>
          <w:rFonts w:asciiTheme="majorHAnsi" w:hAnsiTheme="majorHAnsi" w:cstheme="majorHAnsi"/>
        </w:rPr>
        <w:t xml:space="preserve">articulating </w:t>
      </w:r>
      <w:r>
        <w:rPr>
          <w:rFonts w:asciiTheme="majorHAnsi" w:hAnsiTheme="majorHAnsi" w:cstheme="majorHAnsi"/>
        </w:rPr>
        <w:t>outcomes arising from basic research.</w:t>
      </w:r>
    </w:p>
    <w:p w14:paraId="666B2FCF" w14:textId="77777777" w:rsidR="00AE20C3" w:rsidRPr="00AB65F1" w:rsidRDefault="00AE20C3" w:rsidP="00AE20C3">
      <w:pPr>
        <w:rPr>
          <w:rFonts w:asciiTheme="majorHAnsi" w:hAnsiTheme="majorHAnsi" w:cstheme="majorHAnsi"/>
          <w:b/>
          <w:bCs/>
          <w:i/>
          <w:iCs/>
        </w:rPr>
      </w:pPr>
      <w:r w:rsidRPr="00AB65F1">
        <w:rPr>
          <w:rFonts w:asciiTheme="majorHAnsi" w:hAnsiTheme="majorHAnsi" w:cstheme="majorHAnsi"/>
          <w:b/>
          <w:bCs/>
          <w:i/>
          <w:iCs/>
        </w:rPr>
        <w:t xml:space="preserve">Key Finding </w:t>
      </w:r>
      <w:r>
        <w:rPr>
          <w:rFonts w:asciiTheme="majorHAnsi" w:hAnsiTheme="majorHAnsi" w:cstheme="majorHAnsi"/>
          <w:b/>
          <w:bCs/>
          <w:i/>
          <w:iCs/>
        </w:rPr>
        <w:t>Five</w:t>
      </w:r>
      <w:r w:rsidRPr="00AB65F1">
        <w:rPr>
          <w:rFonts w:asciiTheme="majorHAnsi" w:hAnsiTheme="majorHAnsi" w:cstheme="majorHAnsi"/>
          <w:b/>
          <w:bCs/>
          <w:i/>
          <w:iCs/>
        </w:rPr>
        <w:t xml:space="preserve">: </w:t>
      </w:r>
      <w:r>
        <w:rPr>
          <w:rFonts w:asciiTheme="majorHAnsi" w:hAnsiTheme="majorHAnsi" w:cstheme="majorHAnsi"/>
          <w:b/>
          <w:bCs/>
          <w:i/>
          <w:iCs/>
        </w:rPr>
        <w:t xml:space="preserve">Researchers completing funded projects recently and those collaborating internationally </w:t>
      </w:r>
      <w:r w:rsidRPr="00AB65F1">
        <w:rPr>
          <w:rFonts w:asciiTheme="majorHAnsi" w:hAnsiTheme="majorHAnsi" w:cstheme="majorHAnsi"/>
          <w:b/>
          <w:bCs/>
          <w:i/>
          <w:iCs/>
        </w:rPr>
        <w:t>ha</w:t>
      </w:r>
      <w:r>
        <w:rPr>
          <w:rFonts w:asciiTheme="majorHAnsi" w:hAnsiTheme="majorHAnsi" w:cstheme="majorHAnsi"/>
          <w:b/>
          <w:bCs/>
          <w:i/>
          <w:iCs/>
        </w:rPr>
        <w:t>d</w:t>
      </w:r>
      <w:r w:rsidRPr="00AB65F1">
        <w:rPr>
          <w:rFonts w:asciiTheme="majorHAnsi" w:hAnsiTheme="majorHAnsi" w:cstheme="majorHAnsi"/>
          <w:b/>
          <w:bCs/>
          <w:i/>
          <w:iCs/>
        </w:rPr>
        <w:t xml:space="preserve"> more positive perceptions of Discovery Projects</w:t>
      </w:r>
    </w:p>
    <w:p w14:paraId="3915F8A2" w14:textId="055076B0" w:rsidR="00AE20C3" w:rsidRPr="00AB65F1" w:rsidRDefault="00AE20C3" w:rsidP="00AE20C3">
      <w:pPr>
        <w:rPr>
          <w:rFonts w:asciiTheme="majorHAnsi" w:hAnsiTheme="majorHAnsi" w:cstheme="majorHAnsi"/>
        </w:rPr>
      </w:pPr>
      <w:r>
        <w:rPr>
          <w:rFonts w:asciiTheme="majorHAnsi" w:hAnsiTheme="majorHAnsi" w:cstheme="majorHAnsi"/>
        </w:rPr>
        <w:t xml:space="preserve">Researchers whose last completed project under the scheme was finalised </w:t>
      </w:r>
      <w:r w:rsidR="005D7F4E">
        <w:rPr>
          <w:rFonts w:asciiTheme="majorHAnsi" w:hAnsiTheme="majorHAnsi" w:cstheme="majorHAnsi"/>
        </w:rPr>
        <w:t xml:space="preserve">in the past three years </w:t>
      </w:r>
      <w:r>
        <w:rPr>
          <w:rFonts w:asciiTheme="majorHAnsi" w:hAnsiTheme="majorHAnsi" w:cstheme="majorHAnsi"/>
        </w:rPr>
        <w:t>or involved international collaboration tended to be more positive about Discovery Projects’ effectiveness and appropriateness. This suggests that the scheme’s implementation may have improved over time and that international collaboration may enhance overall scheme performance. Additional research would be required to provide further insight into these findings.</w:t>
      </w:r>
    </w:p>
    <w:p w14:paraId="1AF02FED" w14:textId="77777777" w:rsidR="00AE20C3" w:rsidRPr="00AB65F1" w:rsidRDefault="00AE20C3" w:rsidP="00AE20C3">
      <w:pPr>
        <w:rPr>
          <w:rFonts w:asciiTheme="majorHAnsi" w:hAnsiTheme="majorHAnsi" w:cstheme="majorHAnsi"/>
          <w:b/>
          <w:bCs/>
          <w:i/>
          <w:iCs/>
        </w:rPr>
      </w:pPr>
      <w:r w:rsidRPr="00AB65F1">
        <w:rPr>
          <w:rFonts w:asciiTheme="majorHAnsi" w:hAnsiTheme="majorHAnsi" w:cstheme="majorHAnsi"/>
          <w:b/>
          <w:bCs/>
          <w:i/>
          <w:iCs/>
        </w:rPr>
        <w:t xml:space="preserve">Key Finding </w:t>
      </w:r>
      <w:r>
        <w:rPr>
          <w:rFonts w:asciiTheme="majorHAnsi" w:hAnsiTheme="majorHAnsi" w:cstheme="majorHAnsi"/>
          <w:b/>
          <w:bCs/>
          <w:i/>
          <w:iCs/>
        </w:rPr>
        <w:t>Six</w:t>
      </w:r>
      <w:r w:rsidRPr="00AB65F1">
        <w:rPr>
          <w:rFonts w:asciiTheme="majorHAnsi" w:hAnsiTheme="majorHAnsi" w:cstheme="majorHAnsi"/>
          <w:b/>
          <w:bCs/>
          <w:i/>
          <w:iCs/>
        </w:rPr>
        <w:t xml:space="preserve">: </w:t>
      </w:r>
      <w:r>
        <w:rPr>
          <w:rFonts w:asciiTheme="majorHAnsi" w:hAnsiTheme="majorHAnsi" w:cstheme="majorHAnsi"/>
          <w:b/>
          <w:bCs/>
          <w:i/>
          <w:iCs/>
        </w:rPr>
        <w:t>Some stakeholders were unclear or had concerns about elements of Discovery Projects</w:t>
      </w:r>
    </w:p>
    <w:p w14:paraId="0B6B5F1B" w14:textId="360CB6BD" w:rsidR="00AE20C3" w:rsidRPr="00F80693" w:rsidRDefault="00AE20C3" w:rsidP="00AE20C3">
      <w:pPr>
        <w:rPr>
          <w:rFonts w:asciiTheme="majorHAnsi" w:hAnsiTheme="majorHAnsi" w:cstheme="majorHAnsi"/>
        </w:rPr>
      </w:pPr>
      <w:r>
        <w:rPr>
          <w:rFonts w:asciiTheme="majorHAnsi" w:hAnsiTheme="majorHAnsi" w:cstheme="majorHAnsi"/>
        </w:rPr>
        <w:t xml:space="preserve">Although stakeholders predominantly agreed that Discovery Projects was effective and appropriate, elements of the scheme’s objectives and intended outcomes, implementation and assessment </w:t>
      </w:r>
      <w:r>
        <w:rPr>
          <w:rFonts w:asciiTheme="majorHAnsi" w:hAnsiTheme="majorHAnsi" w:cstheme="majorHAnsi"/>
        </w:rPr>
        <w:lastRenderedPageBreak/>
        <w:t>processes were unclear or raised concerns</w:t>
      </w:r>
      <w:r w:rsidRPr="007E4EE8">
        <w:rPr>
          <w:rFonts w:asciiTheme="majorHAnsi" w:hAnsiTheme="majorHAnsi" w:cstheme="majorHAnsi"/>
        </w:rPr>
        <w:t xml:space="preserve"> </w:t>
      </w:r>
      <w:r>
        <w:rPr>
          <w:rFonts w:asciiTheme="majorHAnsi" w:hAnsiTheme="majorHAnsi" w:cstheme="majorHAnsi"/>
        </w:rPr>
        <w:t xml:space="preserve">for some. These included </w:t>
      </w:r>
      <w:r w:rsidRPr="00F80693">
        <w:rPr>
          <w:rFonts w:asciiTheme="majorHAnsi" w:hAnsiTheme="majorHAnsi" w:cstheme="majorHAnsi"/>
        </w:rPr>
        <w:t>perceived tensions between the scheme’s support for basic research and the inclusion of applied research and translational benefits in its objectives and intended outcomes</w:t>
      </w:r>
      <w:r>
        <w:rPr>
          <w:rFonts w:asciiTheme="majorHAnsi" w:hAnsiTheme="majorHAnsi" w:cstheme="majorHAnsi"/>
        </w:rPr>
        <w:t xml:space="preserve">, as well as a lack of clarity about the role of the National Science and Research Priorities in scheme processes. Some stakeholders also </w:t>
      </w:r>
      <w:r w:rsidR="004B74E6">
        <w:rPr>
          <w:rFonts w:asciiTheme="majorHAnsi" w:hAnsiTheme="majorHAnsi" w:cstheme="majorHAnsi"/>
        </w:rPr>
        <w:t>expressed concerns</w:t>
      </w:r>
      <w:r>
        <w:rPr>
          <w:rFonts w:asciiTheme="majorHAnsi" w:hAnsiTheme="majorHAnsi" w:cstheme="majorHAnsi"/>
        </w:rPr>
        <w:t xml:space="preserve"> that, in assessment processes: </w:t>
      </w:r>
      <w:r w:rsidR="002C4889">
        <w:rPr>
          <w:rFonts w:asciiTheme="majorHAnsi" w:hAnsiTheme="majorHAnsi" w:cstheme="majorHAnsi"/>
        </w:rPr>
        <w:t>Humanities, Arts and Social Sciences</w:t>
      </w:r>
      <w:r w:rsidR="002C4889" w:rsidRPr="00F80693">
        <w:rPr>
          <w:rFonts w:asciiTheme="majorHAnsi" w:hAnsiTheme="majorHAnsi" w:cstheme="majorHAnsi"/>
        </w:rPr>
        <w:t xml:space="preserve"> </w:t>
      </w:r>
      <w:r w:rsidRPr="00F80693">
        <w:rPr>
          <w:rFonts w:asciiTheme="majorHAnsi" w:hAnsiTheme="majorHAnsi" w:cstheme="majorHAnsi"/>
        </w:rPr>
        <w:t xml:space="preserve">research was disadvantaged in </w:t>
      </w:r>
      <w:r>
        <w:rPr>
          <w:rFonts w:asciiTheme="majorHAnsi" w:hAnsiTheme="majorHAnsi" w:cstheme="majorHAnsi"/>
        </w:rPr>
        <w:t xml:space="preserve">comparison to </w:t>
      </w:r>
      <w:r w:rsidRPr="00F80693">
        <w:rPr>
          <w:rFonts w:asciiTheme="majorHAnsi" w:hAnsiTheme="majorHAnsi" w:cstheme="majorHAnsi"/>
        </w:rPr>
        <w:t>S</w:t>
      </w:r>
      <w:r w:rsidR="002C4889">
        <w:rPr>
          <w:rFonts w:asciiTheme="majorHAnsi" w:hAnsiTheme="majorHAnsi" w:cstheme="majorHAnsi"/>
        </w:rPr>
        <w:t>cience, Technology, Engineering and Mathematics</w:t>
      </w:r>
      <w:r w:rsidRPr="00F80693">
        <w:rPr>
          <w:rFonts w:asciiTheme="majorHAnsi" w:hAnsiTheme="majorHAnsi" w:cstheme="majorHAnsi"/>
        </w:rPr>
        <w:t xml:space="preserve"> research</w:t>
      </w:r>
      <w:r>
        <w:rPr>
          <w:rFonts w:asciiTheme="majorHAnsi" w:hAnsiTheme="majorHAnsi" w:cstheme="majorHAnsi"/>
        </w:rPr>
        <w:t xml:space="preserve">; </w:t>
      </w:r>
      <w:r w:rsidRPr="00F80693">
        <w:rPr>
          <w:rFonts w:asciiTheme="majorHAnsi" w:hAnsiTheme="majorHAnsi" w:cstheme="majorHAnsi"/>
        </w:rPr>
        <w:t xml:space="preserve">experienced applicants </w:t>
      </w:r>
      <w:r>
        <w:rPr>
          <w:rFonts w:asciiTheme="majorHAnsi" w:hAnsiTheme="majorHAnsi" w:cstheme="majorHAnsi"/>
        </w:rPr>
        <w:t>were favoured over</w:t>
      </w:r>
      <w:r w:rsidRPr="00F80693">
        <w:rPr>
          <w:rFonts w:asciiTheme="majorHAnsi" w:hAnsiTheme="majorHAnsi" w:cstheme="majorHAnsi"/>
        </w:rPr>
        <w:t xml:space="preserve"> Early and Mid-Career Researchers</w:t>
      </w:r>
      <w:r>
        <w:rPr>
          <w:rFonts w:asciiTheme="majorHAnsi" w:hAnsiTheme="majorHAnsi" w:cstheme="majorHAnsi"/>
        </w:rPr>
        <w:t xml:space="preserve">; </w:t>
      </w:r>
      <w:r w:rsidR="00747C4E">
        <w:rPr>
          <w:rFonts w:asciiTheme="majorHAnsi" w:hAnsiTheme="majorHAnsi" w:cstheme="majorHAnsi"/>
        </w:rPr>
        <w:t>and</w:t>
      </w:r>
      <w:r>
        <w:rPr>
          <w:rFonts w:asciiTheme="majorHAnsi" w:hAnsiTheme="majorHAnsi" w:cstheme="majorHAnsi"/>
        </w:rPr>
        <w:t xml:space="preserve"> economic benefits were preferred to social and cultural benefits</w:t>
      </w:r>
      <w:r w:rsidRPr="00F80693">
        <w:rPr>
          <w:rFonts w:asciiTheme="majorHAnsi" w:hAnsiTheme="majorHAnsi" w:cstheme="majorHAnsi"/>
        </w:rPr>
        <w:t>.</w:t>
      </w:r>
    </w:p>
    <w:p w14:paraId="312C57A4" w14:textId="77777777" w:rsidR="00AE20C3" w:rsidRPr="00AB65F1" w:rsidRDefault="00AE20C3" w:rsidP="00AE20C3">
      <w:pPr>
        <w:rPr>
          <w:rFonts w:asciiTheme="majorHAnsi" w:hAnsiTheme="majorHAnsi" w:cstheme="majorHAnsi"/>
          <w:b/>
          <w:bCs/>
          <w:i/>
          <w:iCs/>
        </w:rPr>
      </w:pPr>
      <w:r w:rsidRPr="00AB65F1">
        <w:rPr>
          <w:rFonts w:asciiTheme="majorHAnsi" w:hAnsiTheme="majorHAnsi" w:cstheme="majorHAnsi"/>
          <w:b/>
          <w:bCs/>
          <w:i/>
          <w:iCs/>
        </w:rPr>
        <w:t xml:space="preserve">Key Finding </w:t>
      </w:r>
      <w:r>
        <w:rPr>
          <w:rFonts w:asciiTheme="majorHAnsi" w:hAnsiTheme="majorHAnsi" w:cstheme="majorHAnsi"/>
          <w:b/>
          <w:bCs/>
          <w:i/>
          <w:iCs/>
        </w:rPr>
        <w:t>Seven</w:t>
      </w:r>
      <w:r w:rsidRPr="00AB65F1">
        <w:rPr>
          <w:rFonts w:asciiTheme="majorHAnsi" w:hAnsiTheme="majorHAnsi" w:cstheme="majorHAnsi"/>
          <w:b/>
          <w:bCs/>
          <w:i/>
          <w:iCs/>
        </w:rPr>
        <w:t xml:space="preserve">: </w:t>
      </w:r>
      <w:r>
        <w:rPr>
          <w:rFonts w:asciiTheme="majorHAnsi" w:hAnsiTheme="majorHAnsi" w:cstheme="majorHAnsi"/>
          <w:b/>
          <w:bCs/>
          <w:i/>
          <w:iCs/>
        </w:rPr>
        <w:t>Data limitations affect monitoring and evaluation of</w:t>
      </w:r>
      <w:r w:rsidRPr="00AB65F1">
        <w:rPr>
          <w:rFonts w:asciiTheme="majorHAnsi" w:hAnsiTheme="majorHAnsi" w:cstheme="majorHAnsi"/>
          <w:b/>
          <w:bCs/>
          <w:i/>
          <w:iCs/>
        </w:rPr>
        <w:t xml:space="preserve"> </w:t>
      </w:r>
      <w:r>
        <w:rPr>
          <w:rFonts w:asciiTheme="majorHAnsi" w:hAnsiTheme="majorHAnsi" w:cstheme="majorHAnsi"/>
          <w:b/>
          <w:bCs/>
          <w:i/>
          <w:iCs/>
        </w:rPr>
        <w:t>Discovery Projects</w:t>
      </w:r>
    </w:p>
    <w:p w14:paraId="36092A3E" w14:textId="0E51D2CA" w:rsidR="001C2659" w:rsidRDefault="00AE20C3" w:rsidP="00AE20C3">
      <w:pPr>
        <w:rPr>
          <w:rFonts w:asciiTheme="majorHAnsi" w:eastAsia="Times New Roman" w:hAnsiTheme="majorHAnsi" w:cstheme="majorHAnsi"/>
          <w:b/>
          <w:sz w:val="28"/>
          <w:szCs w:val="28"/>
        </w:rPr>
      </w:pPr>
      <w:r>
        <w:rPr>
          <w:rFonts w:asciiTheme="majorHAnsi" w:hAnsiTheme="majorHAnsi" w:cstheme="majorHAnsi"/>
        </w:rPr>
        <w:t xml:space="preserve">While ARC systems support comprehensive, quality-assured data on Discovery Projects applications, data limitations </w:t>
      </w:r>
      <w:r w:rsidR="00337002">
        <w:rPr>
          <w:rFonts w:asciiTheme="majorHAnsi" w:hAnsiTheme="majorHAnsi" w:cstheme="majorHAnsi"/>
        </w:rPr>
        <w:t>affecting</w:t>
      </w:r>
      <w:r>
        <w:rPr>
          <w:rFonts w:asciiTheme="majorHAnsi" w:hAnsiTheme="majorHAnsi" w:cstheme="majorHAnsi"/>
        </w:rPr>
        <w:t xml:space="preserve"> monitoring and evaluation of the scheme</w:t>
      </w:r>
      <w:r w:rsidR="00337002">
        <w:rPr>
          <w:rFonts w:asciiTheme="majorHAnsi" w:hAnsiTheme="majorHAnsi" w:cstheme="majorHAnsi"/>
        </w:rPr>
        <w:t xml:space="preserve"> were identified</w:t>
      </w:r>
      <w:r>
        <w:rPr>
          <w:rFonts w:asciiTheme="majorHAnsi" w:hAnsiTheme="majorHAnsi" w:cstheme="majorHAnsi"/>
        </w:rPr>
        <w:t>. Changes to terminology, reporting processes and systems over time have made it difficult to establish consistent and comparable longitudinal datasets on</w:t>
      </w:r>
      <w:r w:rsidR="00082461">
        <w:rPr>
          <w:rFonts w:asciiTheme="majorHAnsi" w:hAnsiTheme="majorHAnsi" w:cstheme="majorHAnsi"/>
        </w:rPr>
        <w:t xml:space="preserve"> some</w:t>
      </w:r>
      <w:r>
        <w:rPr>
          <w:rFonts w:asciiTheme="majorHAnsi" w:hAnsiTheme="majorHAnsi" w:cstheme="majorHAnsi"/>
        </w:rPr>
        <w:t xml:space="preserve"> aspects of scheme performance.</w:t>
      </w:r>
      <w:r w:rsidRPr="00C930DB">
        <w:rPr>
          <w:rFonts w:asciiTheme="majorHAnsi" w:hAnsiTheme="majorHAnsi" w:cstheme="majorHAnsi"/>
        </w:rPr>
        <w:t xml:space="preserve"> </w:t>
      </w:r>
      <w:r>
        <w:rPr>
          <w:rFonts w:asciiTheme="majorHAnsi" w:hAnsiTheme="majorHAnsi" w:cstheme="majorHAnsi"/>
        </w:rPr>
        <w:t xml:space="preserve">Further, there is a lack of alignment in some areas between the data collected within ARC systems and the scheme’s stated objectives and intended outcomes. The data collected in final reports were not sufficient to comprehensively assess the overall scale of research training delivered under the scheme. In addition, there are limitations inhibiting more detailed evaluation of the outcomes and achievements of Discovery Projects research beyond the intentions specified in applications.  </w:t>
      </w:r>
      <w:r w:rsidR="001C2659">
        <w:br w:type="page"/>
      </w:r>
    </w:p>
    <w:p w14:paraId="44ADF320" w14:textId="3D30745D" w:rsidR="005B7D51" w:rsidRPr="00D3021C" w:rsidRDefault="005B7D51" w:rsidP="00FC05D4">
      <w:pPr>
        <w:pStyle w:val="Heading1"/>
        <w:numPr>
          <w:ilvl w:val="0"/>
          <w:numId w:val="0"/>
        </w:numPr>
        <w:spacing w:after="480"/>
      </w:pPr>
      <w:bookmarkStart w:id="10" w:name="_Toc51918670"/>
      <w:bookmarkStart w:id="11" w:name="_Toc55544754"/>
      <w:r w:rsidRPr="00D3021C">
        <w:lastRenderedPageBreak/>
        <w:t>Opportunities for improvement</w:t>
      </w:r>
      <w:bookmarkEnd w:id="10"/>
      <w:bookmarkEnd w:id="11"/>
    </w:p>
    <w:p w14:paraId="6D4677D9" w14:textId="15018397" w:rsidR="005B7D51" w:rsidRPr="008930B7" w:rsidRDefault="005B7D51" w:rsidP="00FC05D4">
      <w:pPr>
        <w:shd w:val="clear" w:color="auto" w:fill="FFFFFF" w:themeFill="background1"/>
        <w:rPr>
          <w:rFonts w:asciiTheme="majorHAnsi" w:eastAsia="Calibri" w:hAnsiTheme="majorHAnsi" w:cstheme="majorHAnsi"/>
          <w:b/>
          <w:i/>
          <w:iCs/>
          <w:sz w:val="26"/>
          <w:szCs w:val="26"/>
          <w:lang w:val="en-US"/>
        </w:rPr>
      </w:pPr>
      <w:r w:rsidRPr="008930B7">
        <w:rPr>
          <w:rFonts w:asciiTheme="majorHAnsi" w:eastAsia="Calibri" w:hAnsiTheme="majorHAnsi" w:cstheme="majorHAnsi"/>
          <w:b/>
          <w:i/>
          <w:iCs/>
          <w:sz w:val="26"/>
          <w:szCs w:val="26"/>
          <w:lang w:val="en-US"/>
        </w:rPr>
        <w:t xml:space="preserve">Opportunity One: </w:t>
      </w:r>
      <w:r w:rsidR="00C97E64">
        <w:rPr>
          <w:rFonts w:asciiTheme="majorHAnsi" w:eastAsia="Calibri" w:hAnsiTheme="majorHAnsi" w:cstheme="majorHAnsi"/>
          <w:b/>
          <w:i/>
          <w:iCs/>
          <w:sz w:val="26"/>
          <w:szCs w:val="26"/>
          <w:lang w:val="en-US"/>
        </w:rPr>
        <w:t xml:space="preserve">Targeted </w:t>
      </w:r>
      <w:r w:rsidR="00275C5E">
        <w:rPr>
          <w:rFonts w:asciiTheme="majorHAnsi" w:eastAsia="Calibri" w:hAnsiTheme="majorHAnsi" w:cstheme="majorHAnsi"/>
          <w:b/>
          <w:i/>
          <w:iCs/>
          <w:sz w:val="26"/>
          <w:szCs w:val="26"/>
          <w:lang w:val="en-US"/>
        </w:rPr>
        <w:t xml:space="preserve">advice, </w:t>
      </w:r>
      <w:r w:rsidR="00C97E64">
        <w:rPr>
          <w:rFonts w:asciiTheme="majorHAnsi" w:eastAsia="Calibri" w:hAnsiTheme="majorHAnsi" w:cstheme="majorHAnsi"/>
          <w:b/>
          <w:i/>
          <w:iCs/>
          <w:sz w:val="26"/>
          <w:szCs w:val="26"/>
          <w:lang w:val="en-US"/>
        </w:rPr>
        <w:t>e</w:t>
      </w:r>
      <w:r w:rsidRPr="008930B7">
        <w:rPr>
          <w:rFonts w:asciiTheme="majorHAnsi" w:eastAsia="Calibri" w:hAnsiTheme="majorHAnsi" w:cstheme="majorHAnsi"/>
          <w:b/>
          <w:i/>
          <w:iCs/>
          <w:sz w:val="26"/>
          <w:szCs w:val="26"/>
          <w:lang w:val="en-US"/>
        </w:rPr>
        <w:t>ngagement and outreach</w:t>
      </w:r>
    </w:p>
    <w:p w14:paraId="7186A037" w14:textId="2581CF5B" w:rsidR="005B7D51" w:rsidRPr="0003399E" w:rsidRDefault="00A43D6F" w:rsidP="00FC05D4">
      <w:pPr>
        <w:shd w:val="clear" w:color="auto" w:fill="FFFFFF" w:themeFill="background1"/>
        <w:rPr>
          <w:rFonts w:asciiTheme="majorHAnsi" w:eastAsia="Calibri" w:hAnsiTheme="majorHAnsi" w:cstheme="majorHAnsi"/>
          <w:lang w:val="en-US"/>
        </w:rPr>
      </w:pPr>
      <w:r w:rsidRPr="0003399E">
        <w:rPr>
          <w:rFonts w:asciiTheme="majorHAnsi" w:eastAsia="Calibri" w:hAnsiTheme="majorHAnsi" w:cstheme="majorHAnsi"/>
          <w:lang w:val="en-US"/>
        </w:rPr>
        <w:t xml:space="preserve">To raise stakeholder awareness, address concerns, and clarify issues </w:t>
      </w:r>
      <w:r w:rsidR="00E24B48" w:rsidRPr="0003399E">
        <w:rPr>
          <w:rFonts w:asciiTheme="majorHAnsi" w:eastAsia="Calibri" w:hAnsiTheme="majorHAnsi" w:cstheme="majorHAnsi"/>
          <w:lang w:val="en-US"/>
        </w:rPr>
        <w:t>highlighted</w:t>
      </w:r>
      <w:r w:rsidR="00970892" w:rsidRPr="0003399E">
        <w:rPr>
          <w:rFonts w:asciiTheme="majorHAnsi" w:eastAsia="Calibri" w:hAnsiTheme="majorHAnsi" w:cstheme="majorHAnsi"/>
          <w:lang w:val="en-US"/>
        </w:rPr>
        <w:t xml:space="preserve"> in this </w:t>
      </w:r>
      <w:r w:rsidR="00F74877" w:rsidRPr="0003399E">
        <w:rPr>
          <w:rFonts w:asciiTheme="majorHAnsi" w:eastAsia="Calibri" w:hAnsiTheme="majorHAnsi" w:cstheme="majorHAnsi"/>
          <w:lang w:val="en-US"/>
        </w:rPr>
        <w:t>evaluation</w:t>
      </w:r>
      <w:r w:rsidR="00970892" w:rsidRPr="0003399E">
        <w:rPr>
          <w:rFonts w:asciiTheme="majorHAnsi" w:eastAsia="Calibri" w:hAnsiTheme="majorHAnsi" w:cstheme="majorHAnsi"/>
          <w:lang w:val="en-US"/>
        </w:rPr>
        <w:t xml:space="preserve">, </w:t>
      </w:r>
      <w:r w:rsidR="0021288D">
        <w:rPr>
          <w:rFonts w:asciiTheme="majorHAnsi" w:eastAsia="Calibri" w:hAnsiTheme="majorHAnsi" w:cstheme="majorHAnsi"/>
          <w:lang w:val="en-US"/>
        </w:rPr>
        <w:t>opportunities exist</w:t>
      </w:r>
      <w:r w:rsidR="00D3569E" w:rsidRPr="0003399E">
        <w:rPr>
          <w:rFonts w:asciiTheme="majorHAnsi" w:eastAsia="Calibri" w:hAnsiTheme="majorHAnsi" w:cstheme="majorHAnsi"/>
          <w:lang w:val="en-US"/>
        </w:rPr>
        <w:t xml:space="preserve"> to reinforce </w:t>
      </w:r>
      <w:r w:rsidR="0096372B" w:rsidRPr="0003399E">
        <w:rPr>
          <w:rFonts w:asciiTheme="majorHAnsi" w:eastAsia="Calibri" w:hAnsiTheme="majorHAnsi" w:cstheme="majorHAnsi"/>
          <w:lang w:val="en-US"/>
        </w:rPr>
        <w:t>the following</w:t>
      </w:r>
      <w:r w:rsidR="00D3569E" w:rsidRPr="0003399E">
        <w:rPr>
          <w:rFonts w:asciiTheme="majorHAnsi" w:eastAsia="Calibri" w:hAnsiTheme="majorHAnsi" w:cstheme="majorHAnsi"/>
          <w:lang w:val="en-US"/>
        </w:rPr>
        <w:t xml:space="preserve"> messages </w:t>
      </w:r>
      <w:r w:rsidR="0096372B" w:rsidRPr="0003399E">
        <w:rPr>
          <w:rFonts w:asciiTheme="majorHAnsi" w:eastAsia="Calibri" w:hAnsiTheme="majorHAnsi" w:cstheme="majorHAnsi"/>
          <w:lang w:val="en-US"/>
        </w:rPr>
        <w:t xml:space="preserve">in ARC </w:t>
      </w:r>
      <w:r w:rsidR="00CC6DDC" w:rsidRPr="0003399E">
        <w:rPr>
          <w:rFonts w:asciiTheme="majorHAnsi" w:eastAsia="Calibri" w:hAnsiTheme="majorHAnsi" w:cstheme="majorHAnsi"/>
          <w:lang w:val="en-US"/>
        </w:rPr>
        <w:t xml:space="preserve">engagement and outreach </w:t>
      </w:r>
      <w:r w:rsidR="00CC6DDC">
        <w:rPr>
          <w:rFonts w:asciiTheme="majorHAnsi" w:eastAsia="Calibri" w:hAnsiTheme="majorHAnsi" w:cstheme="majorHAnsi"/>
          <w:lang w:val="en-US"/>
        </w:rPr>
        <w:t>with researchers and research offices, and in</w:t>
      </w:r>
      <w:r w:rsidR="00CC6DDC" w:rsidRPr="0003399E">
        <w:rPr>
          <w:rFonts w:asciiTheme="majorHAnsi" w:eastAsia="Calibri" w:hAnsiTheme="majorHAnsi" w:cstheme="majorHAnsi"/>
          <w:lang w:val="en-US"/>
        </w:rPr>
        <w:t xml:space="preserve"> </w:t>
      </w:r>
      <w:r w:rsidR="0096372B" w:rsidRPr="0003399E">
        <w:rPr>
          <w:rFonts w:asciiTheme="majorHAnsi" w:eastAsia="Calibri" w:hAnsiTheme="majorHAnsi" w:cstheme="majorHAnsi"/>
          <w:lang w:val="en-US"/>
        </w:rPr>
        <w:t>advice</w:t>
      </w:r>
      <w:r w:rsidR="0021288D">
        <w:rPr>
          <w:rFonts w:asciiTheme="majorHAnsi" w:eastAsia="Calibri" w:hAnsiTheme="majorHAnsi" w:cstheme="majorHAnsi"/>
          <w:lang w:val="en-US"/>
        </w:rPr>
        <w:t xml:space="preserve"> to Discovery Projects</w:t>
      </w:r>
      <w:r w:rsidR="00DD4372">
        <w:rPr>
          <w:rFonts w:asciiTheme="majorHAnsi" w:eastAsia="Calibri" w:hAnsiTheme="majorHAnsi" w:cstheme="majorHAnsi"/>
          <w:lang w:val="en-US"/>
        </w:rPr>
        <w:t xml:space="preserve"> applicants,</w:t>
      </w:r>
      <w:r w:rsidR="0021288D">
        <w:rPr>
          <w:rFonts w:asciiTheme="majorHAnsi" w:eastAsia="Calibri" w:hAnsiTheme="majorHAnsi" w:cstheme="majorHAnsi"/>
          <w:lang w:val="en-US"/>
        </w:rPr>
        <w:t xml:space="preserve"> assessors and Selection Advisory Committees</w:t>
      </w:r>
      <w:r w:rsidR="0096372B" w:rsidRPr="0003399E">
        <w:rPr>
          <w:rFonts w:asciiTheme="majorHAnsi" w:eastAsia="Calibri" w:hAnsiTheme="majorHAnsi" w:cstheme="majorHAnsi"/>
          <w:lang w:val="en-US"/>
        </w:rPr>
        <w:t xml:space="preserve"> </w:t>
      </w:r>
      <w:r w:rsidR="00AA5A71" w:rsidRPr="0003399E">
        <w:rPr>
          <w:rFonts w:asciiTheme="majorHAnsi" w:eastAsia="Calibri" w:hAnsiTheme="majorHAnsi" w:cstheme="majorHAnsi"/>
          <w:lang w:val="en-US"/>
        </w:rPr>
        <w:t>(</w:t>
      </w:r>
      <w:r w:rsidR="00612700">
        <w:rPr>
          <w:rFonts w:asciiTheme="majorHAnsi" w:eastAsia="Calibri" w:hAnsiTheme="majorHAnsi" w:cstheme="majorHAnsi"/>
          <w:lang w:val="en-US"/>
        </w:rPr>
        <w:t>additional</w:t>
      </w:r>
      <w:r w:rsidR="00612700" w:rsidRPr="0003399E">
        <w:rPr>
          <w:rFonts w:asciiTheme="majorHAnsi" w:eastAsia="Calibri" w:hAnsiTheme="majorHAnsi" w:cstheme="majorHAnsi"/>
          <w:lang w:val="en-US"/>
        </w:rPr>
        <w:t xml:space="preserve"> </w:t>
      </w:r>
      <w:r w:rsidR="0075312D" w:rsidRPr="0003399E">
        <w:rPr>
          <w:rFonts w:asciiTheme="majorHAnsi" w:eastAsia="Calibri" w:hAnsiTheme="majorHAnsi" w:cstheme="majorHAnsi"/>
          <w:lang w:val="en-US"/>
        </w:rPr>
        <w:t>information</w:t>
      </w:r>
      <w:r w:rsidR="006B5F55" w:rsidRPr="0003399E">
        <w:rPr>
          <w:rFonts w:asciiTheme="majorHAnsi" w:eastAsia="Calibri" w:hAnsiTheme="majorHAnsi" w:cstheme="majorHAnsi"/>
          <w:lang w:val="en-US"/>
        </w:rPr>
        <w:t xml:space="preserve"> on </w:t>
      </w:r>
      <w:r w:rsidR="00577C1A" w:rsidRPr="0003399E">
        <w:rPr>
          <w:rFonts w:asciiTheme="majorHAnsi" w:eastAsia="Calibri" w:hAnsiTheme="majorHAnsi" w:cstheme="majorHAnsi"/>
          <w:lang w:val="en-US"/>
        </w:rPr>
        <w:t xml:space="preserve">each </w:t>
      </w:r>
      <w:r w:rsidR="00747EB6" w:rsidRPr="0003399E">
        <w:rPr>
          <w:rFonts w:asciiTheme="majorHAnsi" w:eastAsia="Calibri" w:hAnsiTheme="majorHAnsi" w:cstheme="majorHAnsi"/>
          <w:lang w:val="en-US"/>
        </w:rPr>
        <w:t>point is provided in</w:t>
      </w:r>
      <w:r w:rsidR="0003399E" w:rsidRPr="0003399E">
        <w:rPr>
          <w:rFonts w:asciiTheme="majorHAnsi" w:eastAsia="Calibri" w:hAnsiTheme="majorHAnsi" w:cstheme="majorHAnsi"/>
          <w:lang w:val="en-US"/>
        </w:rPr>
        <w:t xml:space="preserve"> </w:t>
      </w:r>
      <w:hyperlink w:anchor="_Appendix_A:_Opportunity" w:history="1">
        <w:r w:rsidR="0003399E" w:rsidRPr="0003399E">
          <w:rPr>
            <w:rFonts w:asciiTheme="majorHAnsi" w:hAnsiTheme="majorHAnsi" w:cstheme="majorHAnsi"/>
            <w:lang w:val="en-US"/>
          </w:rPr>
          <w:t>Appendix A</w:t>
        </w:r>
      </w:hyperlink>
      <w:r w:rsidR="00AA5A71" w:rsidRPr="0003399E">
        <w:rPr>
          <w:rFonts w:asciiTheme="majorHAnsi" w:eastAsia="Calibri" w:hAnsiTheme="majorHAnsi" w:cstheme="majorHAnsi"/>
          <w:lang w:val="en-US"/>
        </w:rPr>
        <w:t>)</w:t>
      </w:r>
      <w:r w:rsidR="005B7D51" w:rsidRPr="0003399E">
        <w:rPr>
          <w:rFonts w:asciiTheme="majorHAnsi" w:eastAsia="Calibri" w:hAnsiTheme="majorHAnsi" w:cstheme="majorHAnsi"/>
          <w:lang w:val="en-US"/>
        </w:rPr>
        <w:t>:</w:t>
      </w:r>
    </w:p>
    <w:p w14:paraId="22659014" w14:textId="711F2E69" w:rsidR="00352348" w:rsidRDefault="001B6061" w:rsidP="00714D6D">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sidRPr="001B6061">
        <w:rPr>
          <w:rFonts w:asciiTheme="majorHAnsi" w:eastAsia="Calibri" w:hAnsiTheme="majorHAnsi" w:cstheme="majorHAnsi"/>
          <w:lang w:val="en-US"/>
        </w:rPr>
        <w:t>Discovery Projects funding is based on research excellence</w:t>
      </w:r>
      <w:r w:rsidR="00714D6D">
        <w:rPr>
          <w:rFonts w:asciiTheme="majorHAnsi" w:eastAsia="Calibri" w:hAnsiTheme="majorHAnsi" w:cstheme="majorHAnsi"/>
          <w:lang w:val="en-US"/>
        </w:rPr>
        <w:t xml:space="preserve"> </w:t>
      </w:r>
    </w:p>
    <w:p w14:paraId="54BD4874" w14:textId="23D0F577" w:rsidR="005B7D51" w:rsidRPr="00714D6D" w:rsidRDefault="00356AEB" w:rsidP="00714D6D">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sidRPr="00714D6D">
        <w:rPr>
          <w:rFonts w:asciiTheme="majorHAnsi" w:eastAsia="Calibri" w:hAnsiTheme="majorHAnsi" w:cstheme="majorHAnsi"/>
          <w:lang w:val="en-US"/>
        </w:rPr>
        <w:t xml:space="preserve">the proportion of funded projects involving basic research </w:t>
      </w:r>
      <w:r w:rsidR="00905018" w:rsidRPr="00714D6D">
        <w:rPr>
          <w:rFonts w:asciiTheme="majorHAnsi" w:eastAsia="Calibri" w:hAnsiTheme="majorHAnsi" w:cstheme="majorHAnsi"/>
          <w:lang w:val="en-US"/>
        </w:rPr>
        <w:t xml:space="preserve">has </w:t>
      </w:r>
      <w:r w:rsidRPr="00714D6D">
        <w:rPr>
          <w:rFonts w:asciiTheme="majorHAnsi" w:eastAsia="Calibri" w:hAnsiTheme="majorHAnsi" w:cstheme="majorHAnsi"/>
          <w:lang w:val="en-US"/>
        </w:rPr>
        <w:t>increased</w:t>
      </w:r>
    </w:p>
    <w:p w14:paraId="187488BC" w14:textId="4D5DD8EF" w:rsidR="00D27EE7" w:rsidRPr="002573BB" w:rsidRDefault="00D27EE7" w:rsidP="00D27EE7">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 xml:space="preserve">Discovery Projects supports innovative research </w:t>
      </w:r>
      <w:r w:rsidR="008E5AEE">
        <w:rPr>
          <w:rFonts w:asciiTheme="majorHAnsi" w:eastAsia="Calibri" w:hAnsiTheme="majorHAnsi" w:cstheme="majorHAnsi"/>
          <w:lang w:val="en-US"/>
        </w:rPr>
        <w:t xml:space="preserve">involving elements of risk </w:t>
      </w:r>
      <w:r>
        <w:rPr>
          <w:rFonts w:asciiTheme="majorHAnsi" w:eastAsia="Calibri" w:hAnsiTheme="majorHAnsi" w:cstheme="majorHAnsi"/>
          <w:lang w:val="en-US"/>
        </w:rPr>
        <w:t>when assessed as suitable through peer review</w:t>
      </w:r>
    </w:p>
    <w:p w14:paraId="7C916852" w14:textId="31CE8D29" w:rsidR="005B7D51" w:rsidRDefault="00C2198B" w:rsidP="00FC05D4">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b</w:t>
      </w:r>
      <w:r w:rsidR="005B7D51" w:rsidRPr="002573BB">
        <w:rPr>
          <w:rFonts w:asciiTheme="majorHAnsi" w:eastAsia="Calibri" w:hAnsiTheme="majorHAnsi" w:cstheme="majorHAnsi"/>
          <w:lang w:val="en-US"/>
        </w:rPr>
        <w:t xml:space="preserve">asic research </w:t>
      </w:r>
      <w:r w:rsidR="00EA1640">
        <w:rPr>
          <w:rFonts w:asciiTheme="majorHAnsi" w:eastAsia="Calibri" w:hAnsiTheme="majorHAnsi" w:cstheme="majorHAnsi"/>
          <w:lang w:val="en-US"/>
        </w:rPr>
        <w:t xml:space="preserve">is important in </w:t>
      </w:r>
      <w:r w:rsidR="005B7D51" w:rsidRPr="002573BB">
        <w:rPr>
          <w:rFonts w:asciiTheme="majorHAnsi" w:eastAsia="Calibri" w:hAnsiTheme="majorHAnsi" w:cstheme="majorHAnsi"/>
          <w:lang w:val="en-US"/>
        </w:rPr>
        <w:t xml:space="preserve">supporting Australian Government research priorities and translational benefits </w:t>
      </w:r>
    </w:p>
    <w:p w14:paraId="37707D3F" w14:textId="77777777" w:rsidR="00A917D6" w:rsidRPr="0075163D" w:rsidRDefault="00A917D6" w:rsidP="00A917D6">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addressing an</w:t>
      </w:r>
      <w:r w:rsidRPr="0075163D">
        <w:rPr>
          <w:rFonts w:asciiTheme="majorHAnsi" w:eastAsia="Calibri" w:hAnsiTheme="majorHAnsi" w:cstheme="majorHAnsi"/>
          <w:lang w:val="en-US"/>
        </w:rPr>
        <w:t xml:space="preserve"> Australian Government priori</w:t>
      </w:r>
      <w:r>
        <w:rPr>
          <w:rFonts w:asciiTheme="majorHAnsi" w:eastAsia="Calibri" w:hAnsiTheme="majorHAnsi" w:cstheme="majorHAnsi"/>
          <w:lang w:val="en-US"/>
        </w:rPr>
        <w:t>ty is not a requirement for funding</w:t>
      </w:r>
    </w:p>
    <w:p w14:paraId="715C1E5A" w14:textId="15504DD0" w:rsidR="005B7D51" w:rsidRPr="005B7D51" w:rsidRDefault="00CD7A37" w:rsidP="00FC05D4">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there is no preference</w:t>
      </w:r>
      <w:r w:rsidR="00130EE5">
        <w:rPr>
          <w:rFonts w:asciiTheme="majorHAnsi" w:eastAsia="Calibri" w:hAnsiTheme="majorHAnsi" w:cstheme="majorHAnsi"/>
          <w:lang w:val="en-US"/>
        </w:rPr>
        <w:t xml:space="preserve"> between application</w:t>
      </w:r>
      <w:r w:rsidR="004E7DB0">
        <w:rPr>
          <w:rFonts w:asciiTheme="majorHAnsi" w:eastAsia="Calibri" w:hAnsiTheme="majorHAnsi" w:cstheme="majorHAnsi"/>
          <w:lang w:val="en-US"/>
        </w:rPr>
        <w:t>s</w:t>
      </w:r>
      <w:r w:rsidR="00130EE5">
        <w:rPr>
          <w:rFonts w:asciiTheme="majorHAnsi" w:eastAsia="Calibri" w:hAnsiTheme="majorHAnsi" w:cstheme="majorHAnsi"/>
          <w:lang w:val="en-US"/>
        </w:rPr>
        <w:t xml:space="preserve"> that may de</w:t>
      </w:r>
      <w:r>
        <w:rPr>
          <w:rFonts w:asciiTheme="majorHAnsi" w:eastAsia="Calibri" w:hAnsiTheme="majorHAnsi" w:cstheme="majorHAnsi"/>
          <w:lang w:val="en-US"/>
        </w:rPr>
        <w:t>liver</w:t>
      </w:r>
      <w:r w:rsidR="00A81C7D">
        <w:rPr>
          <w:rFonts w:asciiTheme="majorHAnsi" w:eastAsia="Calibri" w:hAnsiTheme="majorHAnsi" w:cstheme="majorHAnsi"/>
          <w:lang w:val="en-US"/>
        </w:rPr>
        <w:t xml:space="preserve"> </w:t>
      </w:r>
      <w:r w:rsidR="005B7D51" w:rsidRPr="005B7D51">
        <w:rPr>
          <w:rFonts w:asciiTheme="majorHAnsi" w:eastAsia="Calibri" w:hAnsiTheme="majorHAnsi" w:cstheme="majorHAnsi"/>
          <w:lang w:val="en-US"/>
        </w:rPr>
        <w:t xml:space="preserve">economic, commercial, environmental, social </w:t>
      </w:r>
      <w:r w:rsidR="005F63B9">
        <w:rPr>
          <w:rFonts w:asciiTheme="majorHAnsi" w:eastAsia="Calibri" w:hAnsiTheme="majorHAnsi" w:cstheme="majorHAnsi"/>
          <w:lang w:val="en-US"/>
        </w:rPr>
        <w:t>or</w:t>
      </w:r>
      <w:r w:rsidR="005B7D51" w:rsidRPr="005B7D51">
        <w:rPr>
          <w:rFonts w:asciiTheme="majorHAnsi" w:eastAsia="Calibri" w:hAnsiTheme="majorHAnsi" w:cstheme="majorHAnsi"/>
          <w:lang w:val="en-US"/>
        </w:rPr>
        <w:t xml:space="preserve"> cultural benefits</w:t>
      </w:r>
    </w:p>
    <w:p w14:paraId="7605599B" w14:textId="78567E29" w:rsidR="005B7D51" w:rsidRDefault="00FF2D6E" w:rsidP="00FC05D4">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overall</w:t>
      </w:r>
      <w:r w:rsidR="00D9447D">
        <w:rPr>
          <w:rFonts w:asciiTheme="majorHAnsi" w:eastAsia="Calibri" w:hAnsiTheme="majorHAnsi" w:cstheme="majorHAnsi"/>
          <w:lang w:val="en-US"/>
        </w:rPr>
        <w:t>,</w:t>
      </w:r>
      <w:r>
        <w:rPr>
          <w:rFonts w:asciiTheme="majorHAnsi" w:eastAsia="Calibri" w:hAnsiTheme="majorHAnsi" w:cstheme="majorHAnsi"/>
          <w:lang w:val="en-US"/>
        </w:rPr>
        <w:t xml:space="preserve"> </w:t>
      </w:r>
      <w:r w:rsidR="004559A1">
        <w:rPr>
          <w:rFonts w:asciiTheme="majorHAnsi" w:eastAsia="Calibri" w:hAnsiTheme="majorHAnsi" w:cstheme="majorHAnsi"/>
          <w:lang w:val="en-US"/>
        </w:rPr>
        <w:t>s</w:t>
      </w:r>
      <w:r w:rsidR="005B7D51" w:rsidRPr="005B7D51">
        <w:rPr>
          <w:rFonts w:asciiTheme="majorHAnsi" w:eastAsia="Calibri" w:hAnsiTheme="majorHAnsi" w:cstheme="majorHAnsi"/>
          <w:lang w:val="en-US"/>
        </w:rPr>
        <w:t>uccess rate</w:t>
      </w:r>
      <w:r w:rsidR="005273C3">
        <w:rPr>
          <w:rFonts w:asciiTheme="majorHAnsi" w:eastAsia="Calibri" w:hAnsiTheme="majorHAnsi" w:cstheme="majorHAnsi"/>
          <w:lang w:val="en-US"/>
        </w:rPr>
        <w:t>s</w:t>
      </w:r>
      <w:r w:rsidR="005B7D51" w:rsidRPr="005B7D51">
        <w:rPr>
          <w:rFonts w:asciiTheme="majorHAnsi" w:eastAsia="Calibri" w:hAnsiTheme="majorHAnsi" w:cstheme="majorHAnsi"/>
          <w:lang w:val="en-US"/>
        </w:rPr>
        <w:t xml:space="preserve"> for women</w:t>
      </w:r>
      <w:r w:rsidR="00672824">
        <w:rPr>
          <w:rFonts w:asciiTheme="majorHAnsi" w:eastAsia="Calibri" w:hAnsiTheme="majorHAnsi" w:cstheme="majorHAnsi"/>
          <w:lang w:val="en-US"/>
        </w:rPr>
        <w:t>,</w:t>
      </w:r>
      <w:r w:rsidR="009E451C">
        <w:rPr>
          <w:rFonts w:asciiTheme="majorHAnsi" w:eastAsia="Calibri" w:hAnsiTheme="majorHAnsi" w:cstheme="majorHAnsi"/>
          <w:lang w:val="en-US"/>
        </w:rPr>
        <w:t xml:space="preserve"> </w:t>
      </w:r>
      <w:r w:rsidR="00C343AB">
        <w:rPr>
          <w:rFonts w:asciiTheme="majorHAnsi" w:eastAsia="Calibri" w:hAnsiTheme="majorHAnsi" w:cstheme="majorHAnsi"/>
          <w:lang w:val="en-US"/>
        </w:rPr>
        <w:t>E</w:t>
      </w:r>
      <w:r w:rsidR="005B7D51" w:rsidRPr="005B7D51">
        <w:rPr>
          <w:rFonts w:asciiTheme="majorHAnsi" w:eastAsia="Calibri" w:hAnsiTheme="majorHAnsi" w:cstheme="majorHAnsi"/>
          <w:lang w:val="en-US"/>
        </w:rPr>
        <w:t>arly</w:t>
      </w:r>
      <w:r w:rsidR="00672824">
        <w:rPr>
          <w:rFonts w:asciiTheme="majorHAnsi" w:eastAsia="Calibri" w:hAnsiTheme="majorHAnsi" w:cstheme="majorHAnsi"/>
          <w:lang w:val="en-US"/>
        </w:rPr>
        <w:t xml:space="preserve"> Career</w:t>
      </w:r>
      <w:r w:rsidR="00604EE9">
        <w:rPr>
          <w:rFonts w:asciiTheme="majorHAnsi" w:eastAsia="Calibri" w:hAnsiTheme="majorHAnsi" w:cstheme="majorHAnsi"/>
          <w:lang w:val="en-US"/>
        </w:rPr>
        <w:t xml:space="preserve"> and </w:t>
      </w:r>
      <w:r w:rsidR="00C343AB">
        <w:rPr>
          <w:rFonts w:asciiTheme="majorHAnsi" w:eastAsia="Calibri" w:hAnsiTheme="majorHAnsi" w:cstheme="majorHAnsi"/>
          <w:lang w:val="en-US"/>
        </w:rPr>
        <w:t>M</w:t>
      </w:r>
      <w:r w:rsidR="005B7D51" w:rsidRPr="005B7D51">
        <w:rPr>
          <w:rFonts w:asciiTheme="majorHAnsi" w:eastAsia="Calibri" w:hAnsiTheme="majorHAnsi" w:cstheme="majorHAnsi"/>
          <w:lang w:val="en-US"/>
        </w:rPr>
        <w:t>id-</w:t>
      </w:r>
      <w:r w:rsidR="00B829B1">
        <w:rPr>
          <w:rFonts w:asciiTheme="majorHAnsi" w:eastAsia="Calibri" w:hAnsiTheme="majorHAnsi" w:cstheme="majorHAnsi"/>
          <w:lang w:val="en-US"/>
        </w:rPr>
        <w:t>C</w:t>
      </w:r>
      <w:r w:rsidR="005B7D51" w:rsidRPr="005B7D51">
        <w:rPr>
          <w:rFonts w:asciiTheme="majorHAnsi" w:eastAsia="Calibri" w:hAnsiTheme="majorHAnsi" w:cstheme="majorHAnsi"/>
          <w:lang w:val="en-US"/>
        </w:rPr>
        <w:t xml:space="preserve">areer </w:t>
      </w:r>
      <w:r w:rsidR="009E451C">
        <w:rPr>
          <w:rFonts w:asciiTheme="majorHAnsi" w:eastAsia="Calibri" w:hAnsiTheme="majorHAnsi" w:cstheme="majorHAnsi"/>
          <w:lang w:val="en-US"/>
        </w:rPr>
        <w:t>Chief Investigators</w:t>
      </w:r>
      <w:r w:rsidR="00820B69">
        <w:rPr>
          <w:rFonts w:asciiTheme="majorHAnsi" w:eastAsia="Calibri" w:hAnsiTheme="majorHAnsi" w:cstheme="majorHAnsi"/>
          <w:lang w:val="en-US"/>
        </w:rPr>
        <w:t xml:space="preserve">, </w:t>
      </w:r>
      <w:r w:rsidR="007C6875">
        <w:rPr>
          <w:rFonts w:asciiTheme="majorHAnsi" w:eastAsia="Calibri" w:hAnsiTheme="majorHAnsi" w:cstheme="majorHAnsi"/>
          <w:lang w:val="en-US"/>
        </w:rPr>
        <w:t>a</w:t>
      </w:r>
      <w:r w:rsidR="00B907B1">
        <w:rPr>
          <w:rFonts w:asciiTheme="majorHAnsi" w:eastAsia="Calibri" w:hAnsiTheme="majorHAnsi" w:cstheme="majorHAnsi"/>
          <w:lang w:val="en-US"/>
        </w:rPr>
        <w:t>nd</w:t>
      </w:r>
      <w:r w:rsidR="007C6875">
        <w:rPr>
          <w:rFonts w:asciiTheme="majorHAnsi" w:eastAsia="Calibri" w:hAnsiTheme="majorHAnsi" w:cstheme="majorHAnsi"/>
          <w:lang w:val="en-US"/>
        </w:rPr>
        <w:t xml:space="preserve"> </w:t>
      </w:r>
      <w:r w:rsidR="00507042">
        <w:rPr>
          <w:rFonts w:asciiTheme="majorHAnsi" w:eastAsia="Calibri" w:hAnsiTheme="majorHAnsi" w:cstheme="majorHAnsi"/>
          <w:lang w:val="en-US"/>
        </w:rPr>
        <w:t>Humanities, Arts and Social Sciences</w:t>
      </w:r>
      <w:r w:rsidR="00001E50">
        <w:rPr>
          <w:rFonts w:asciiTheme="majorHAnsi" w:eastAsia="Calibri" w:hAnsiTheme="majorHAnsi" w:cstheme="majorHAnsi"/>
          <w:lang w:val="en-US"/>
        </w:rPr>
        <w:t xml:space="preserve"> </w:t>
      </w:r>
      <w:r w:rsidR="00E34262">
        <w:rPr>
          <w:rFonts w:asciiTheme="majorHAnsi" w:eastAsia="Calibri" w:hAnsiTheme="majorHAnsi" w:cstheme="majorHAnsi"/>
          <w:lang w:val="en-US"/>
        </w:rPr>
        <w:t>research</w:t>
      </w:r>
      <w:r>
        <w:rPr>
          <w:rFonts w:asciiTheme="majorHAnsi" w:eastAsia="Calibri" w:hAnsiTheme="majorHAnsi" w:cstheme="majorHAnsi"/>
          <w:lang w:val="en-US"/>
        </w:rPr>
        <w:t>,</w:t>
      </w:r>
      <w:r w:rsidR="00E34262">
        <w:rPr>
          <w:rFonts w:asciiTheme="majorHAnsi" w:eastAsia="Calibri" w:hAnsiTheme="majorHAnsi" w:cstheme="majorHAnsi"/>
          <w:lang w:val="en-US"/>
        </w:rPr>
        <w:t xml:space="preserve"> are </w:t>
      </w:r>
      <w:r w:rsidR="00F6789F">
        <w:rPr>
          <w:rFonts w:asciiTheme="majorHAnsi" w:eastAsia="Calibri" w:hAnsiTheme="majorHAnsi" w:cstheme="majorHAnsi"/>
          <w:lang w:val="en-US"/>
        </w:rPr>
        <w:t>comparable to, or above, overall scheme success rates</w:t>
      </w:r>
    </w:p>
    <w:p w14:paraId="464B7356" w14:textId="56DEC08D" w:rsidR="005B7D51" w:rsidRPr="00B907B1" w:rsidRDefault="005B7D51" w:rsidP="00FC05D4">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sidRPr="005B7D51">
        <w:rPr>
          <w:rFonts w:asciiTheme="majorHAnsi" w:eastAsia="Calibri" w:hAnsiTheme="majorHAnsi" w:cstheme="majorHAnsi"/>
          <w:lang w:val="en-US"/>
        </w:rPr>
        <w:t xml:space="preserve">the ARC </w:t>
      </w:r>
      <w:r w:rsidR="004F44CE">
        <w:rPr>
          <w:rFonts w:asciiTheme="majorHAnsi" w:eastAsia="Calibri" w:hAnsiTheme="majorHAnsi" w:cstheme="majorHAnsi"/>
          <w:lang w:val="en-US"/>
        </w:rPr>
        <w:t>is committed</w:t>
      </w:r>
      <w:r w:rsidR="00DA3400">
        <w:rPr>
          <w:rFonts w:asciiTheme="majorHAnsi" w:eastAsia="Calibri" w:hAnsiTheme="majorHAnsi" w:cstheme="majorHAnsi"/>
          <w:lang w:val="en-US"/>
        </w:rPr>
        <w:t xml:space="preserve"> to</w:t>
      </w:r>
      <w:r w:rsidR="00E8034F">
        <w:rPr>
          <w:rFonts w:asciiTheme="majorHAnsi" w:eastAsia="Calibri" w:hAnsiTheme="majorHAnsi" w:cstheme="majorHAnsi"/>
          <w:lang w:val="en-US"/>
        </w:rPr>
        <w:t xml:space="preserve"> </w:t>
      </w:r>
      <w:r w:rsidR="00A8315B">
        <w:rPr>
          <w:rFonts w:asciiTheme="majorHAnsi" w:eastAsia="Calibri" w:hAnsiTheme="majorHAnsi" w:cstheme="majorHAnsi"/>
          <w:lang w:val="en-US"/>
        </w:rPr>
        <w:t xml:space="preserve">the </w:t>
      </w:r>
      <w:r w:rsidR="0085765E">
        <w:rPr>
          <w:rFonts w:asciiTheme="majorHAnsi" w:eastAsia="Calibri" w:hAnsiTheme="majorHAnsi" w:cstheme="majorHAnsi"/>
          <w:lang w:val="en-US"/>
        </w:rPr>
        <w:t xml:space="preserve">competitive assessment of </w:t>
      </w:r>
      <w:r w:rsidRPr="005B7D51">
        <w:rPr>
          <w:rFonts w:asciiTheme="majorHAnsi" w:eastAsia="Calibri" w:hAnsiTheme="majorHAnsi" w:cstheme="majorHAnsi"/>
          <w:lang w:val="en-US"/>
        </w:rPr>
        <w:t>inte</w:t>
      </w:r>
      <w:r w:rsidRPr="00B907B1">
        <w:rPr>
          <w:rFonts w:asciiTheme="majorHAnsi" w:eastAsia="Calibri" w:hAnsiTheme="majorHAnsi" w:cstheme="majorHAnsi"/>
          <w:lang w:val="en-US"/>
        </w:rPr>
        <w:t>rdisciplinary research</w:t>
      </w:r>
    </w:p>
    <w:p w14:paraId="68E13F53" w14:textId="4CF6F7B8" w:rsidR="005B7D51" w:rsidRPr="00D42783" w:rsidRDefault="00EC5279" w:rsidP="00FC05D4">
      <w:pPr>
        <w:numPr>
          <w:ilvl w:val="0"/>
          <w:numId w:val="28"/>
        </w:numPr>
        <w:shd w:val="clear" w:color="auto" w:fill="FFFFFF" w:themeFill="background1"/>
        <w:spacing w:before="60" w:after="120"/>
        <w:ind w:left="714" w:hanging="357"/>
        <w:rPr>
          <w:rFonts w:asciiTheme="majorHAnsi" w:eastAsia="Calibri" w:hAnsiTheme="majorHAnsi" w:cstheme="majorHAnsi"/>
          <w:lang w:val="en-US"/>
        </w:rPr>
      </w:pPr>
      <w:r w:rsidRPr="00B907B1">
        <w:rPr>
          <w:rFonts w:asciiTheme="majorHAnsi" w:eastAsia="Calibri" w:hAnsiTheme="majorHAnsi" w:cstheme="majorHAnsi"/>
          <w:lang w:val="en-US"/>
        </w:rPr>
        <w:t>Discovery Projects</w:t>
      </w:r>
      <w:r w:rsidR="002243F5" w:rsidRPr="00B907B1">
        <w:rPr>
          <w:rFonts w:asciiTheme="majorHAnsi" w:eastAsia="Calibri" w:hAnsiTheme="majorHAnsi" w:cstheme="majorHAnsi"/>
          <w:lang w:val="en-US"/>
        </w:rPr>
        <w:t xml:space="preserve"> </w:t>
      </w:r>
      <w:r w:rsidR="00953D66" w:rsidRPr="00B907B1">
        <w:rPr>
          <w:rFonts w:asciiTheme="majorHAnsi" w:eastAsia="Calibri" w:hAnsiTheme="majorHAnsi" w:cstheme="majorHAnsi"/>
          <w:lang w:val="en-US"/>
        </w:rPr>
        <w:t>fund</w:t>
      </w:r>
      <w:r w:rsidR="00DF3D44" w:rsidRPr="00B907B1">
        <w:rPr>
          <w:rFonts w:asciiTheme="majorHAnsi" w:eastAsia="Calibri" w:hAnsiTheme="majorHAnsi" w:cstheme="majorHAnsi"/>
          <w:lang w:val="en-US"/>
        </w:rPr>
        <w:t>s</w:t>
      </w:r>
      <w:r w:rsidR="00953D66" w:rsidRPr="00B907B1">
        <w:rPr>
          <w:rFonts w:asciiTheme="majorHAnsi" w:eastAsia="Calibri" w:hAnsiTheme="majorHAnsi" w:cstheme="majorHAnsi"/>
          <w:lang w:val="en-US"/>
        </w:rPr>
        <w:t xml:space="preserve"> four and five year applications </w:t>
      </w:r>
      <w:r w:rsidR="00D54697" w:rsidRPr="00B907B1">
        <w:rPr>
          <w:rFonts w:asciiTheme="majorHAnsi" w:eastAsia="Calibri" w:hAnsiTheme="majorHAnsi" w:cstheme="majorHAnsi"/>
          <w:lang w:val="en-US"/>
        </w:rPr>
        <w:t xml:space="preserve">when assessed as </w:t>
      </w:r>
      <w:r w:rsidR="00720454" w:rsidRPr="00B907B1">
        <w:rPr>
          <w:rFonts w:asciiTheme="majorHAnsi" w:eastAsia="Calibri" w:hAnsiTheme="majorHAnsi" w:cstheme="majorHAnsi"/>
          <w:lang w:val="en-US"/>
        </w:rPr>
        <w:t>competitive</w:t>
      </w:r>
      <w:r w:rsidR="00720454">
        <w:rPr>
          <w:rFonts w:asciiTheme="majorHAnsi" w:eastAsia="Calibri" w:hAnsiTheme="majorHAnsi" w:cstheme="majorHAnsi"/>
          <w:lang w:val="en-US"/>
        </w:rPr>
        <w:t xml:space="preserve"> </w:t>
      </w:r>
      <w:r w:rsidR="00D54697">
        <w:rPr>
          <w:rFonts w:asciiTheme="majorHAnsi" w:eastAsia="Calibri" w:hAnsiTheme="majorHAnsi" w:cstheme="majorHAnsi"/>
          <w:lang w:val="en-US"/>
        </w:rPr>
        <w:t>through peer review.</w:t>
      </w:r>
    </w:p>
    <w:p w14:paraId="013CE467" w14:textId="1F75823E" w:rsidR="005B7D51" w:rsidRPr="008930B7" w:rsidRDefault="005B7D51" w:rsidP="00FC05D4">
      <w:pPr>
        <w:shd w:val="clear" w:color="auto" w:fill="FFFFFF" w:themeFill="background1"/>
        <w:spacing w:before="360"/>
        <w:rPr>
          <w:rFonts w:asciiTheme="majorHAnsi" w:eastAsia="Calibri" w:hAnsiTheme="majorHAnsi" w:cstheme="majorHAnsi"/>
          <w:b/>
          <w:i/>
          <w:iCs/>
          <w:sz w:val="26"/>
          <w:szCs w:val="26"/>
          <w:lang w:val="en-US"/>
        </w:rPr>
      </w:pPr>
      <w:r w:rsidRPr="008930B7">
        <w:rPr>
          <w:rFonts w:asciiTheme="majorHAnsi" w:eastAsia="Calibri" w:hAnsiTheme="majorHAnsi" w:cstheme="majorHAnsi"/>
          <w:b/>
          <w:i/>
          <w:iCs/>
          <w:sz w:val="26"/>
          <w:szCs w:val="26"/>
          <w:lang w:val="en-US"/>
        </w:rPr>
        <w:t xml:space="preserve">Opportunity Two: </w:t>
      </w:r>
      <w:r w:rsidR="004C5819">
        <w:rPr>
          <w:rFonts w:asciiTheme="majorHAnsi" w:eastAsia="Calibri" w:hAnsiTheme="majorHAnsi" w:cstheme="majorHAnsi"/>
          <w:b/>
          <w:i/>
          <w:iCs/>
          <w:sz w:val="26"/>
          <w:szCs w:val="26"/>
          <w:lang w:val="en-US"/>
        </w:rPr>
        <w:t xml:space="preserve">Improved facilitation of </w:t>
      </w:r>
      <w:r w:rsidR="00C97E64">
        <w:rPr>
          <w:rFonts w:asciiTheme="majorHAnsi" w:eastAsia="Calibri" w:hAnsiTheme="majorHAnsi" w:cstheme="majorHAnsi"/>
          <w:b/>
          <w:i/>
          <w:iCs/>
          <w:sz w:val="26"/>
          <w:szCs w:val="26"/>
          <w:lang w:val="en-US"/>
        </w:rPr>
        <w:t>national and international collaboration</w:t>
      </w:r>
    </w:p>
    <w:p w14:paraId="2D5141F3" w14:textId="787AA754" w:rsidR="008C1DCD" w:rsidRDefault="00F06BA4" w:rsidP="00FC05D4">
      <w:pPr>
        <w:shd w:val="clear" w:color="auto" w:fill="FFFFFF" w:themeFill="background1"/>
        <w:rPr>
          <w:rFonts w:asciiTheme="majorHAnsi" w:eastAsia="Calibri" w:hAnsiTheme="majorHAnsi" w:cstheme="majorHAnsi"/>
          <w:lang w:val="en-US"/>
        </w:rPr>
      </w:pPr>
      <w:r>
        <w:rPr>
          <w:rFonts w:asciiTheme="majorHAnsi" w:eastAsia="Calibri" w:hAnsiTheme="majorHAnsi" w:cstheme="majorHAnsi"/>
          <w:lang w:val="en-US"/>
        </w:rPr>
        <w:t>Stakeholder feedback</w:t>
      </w:r>
      <w:r w:rsidR="00D2288E">
        <w:rPr>
          <w:rFonts w:asciiTheme="majorHAnsi" w:eastAsia="Calibri" w:hAnsiTheme="majorHAnsi" w:cstheme="majorHAnsi"/>
          <w:lang w:val="en-US"/>
        </w:rPr>
        <w:t xml:space="preserve"> indicated</w:t>
      </w:r>
      <w:r w:rsidR="00D97D80">
        <w:rPr>
          <w:rFonts w:asciiTheme="majorHAnsi" w:eastAsia="Calibri" w:hAnsiTheme="majorHAnsi" w:cstheme="majorHAnsi"/>
          <w:lang w:val="en-US"/>
        </w:rPr>
        <w:t xml:space="preserve"> the potential for </w:t>
      </w:r>
      <w:r w:rsidR="00852967">
        <w:rPr>
          <w:rFonts w:asciiTheme="majorHAnsi" w:eastAsia="Calibri" w:hAnsiTheme="majorHAnsi" w:cstheme="majorHAnsi"/>
          <w:lang w:val="en-US"/>
        </w:rPr>
        <w:t xml:space="preserve">research </w:t>
      </w:r>
      <w:r w:rsidR="00D97D80">
        <w:rPr>
          <w:rFonts w:asciiTheme="majorHAnsi" w:eastAsia="Calibri" w:hAnsiTheme="majorHAnsi" w:cstheme="majorHAnsi"/>
          <w:lang w:val="en-US"/>
        </w:rPr>
        <w:t xml:space="preserve">collaboration to bolster the overall effectiveness of Discovery </w:t>
      </w:r>
      <w:r w:rsidR="00852967">
        <w:rPr>
          <w:rFonts w:asciiTheme="majorHAnsi" w:eastAsia="Calibri" w:hAnsiTheme="majorHAnsi" w:cstheme="majorHAnsi"/>
          <w:lang w:val="en-US"/>
        </w:rPr>
        <w:t>P</w:t>
      </w:r>
      <w:r w:rsidR="00D97D80">
        <w:rPr>
          <w:rFonts w:asciiTheme="majorHAnsi" w:eastAsia="Calibri" w:hAnsiTheme="majorHAnsi" w:cstheme="majorHAnsi"/>
          <w:lang w:val="en-US"/>
        </w:rPr>
        <w:t xml:space="preserve">rojects, and </w:t>
      </w:r>
      <w:r w:rsidR="00904F1F">
        <w:rPr>
          <w:rFonts w:asciiTheme="majorHAnsi" w:eastAsia="Calibri" w:hAnsiTheme="majorHAnsi" w:cstheme="majorHAnsi"/>
          <w:lang w:val="en-US"/>
        </w:rPr>
        <w:t>highlighted</w:t>
      </w:r>
      <w:r w:rsidR="006766AC">
        <w:rPr>
          <w:rFonts w:asciiTheme="majorHAnsi" w:eastAsia="Calibri" w:hAnsiTheme="majorHAnsi" w:cstheme="majorHAnsi"/>
          <w:lang w:val="en-US"/>
        </w:rPr>
        <w:t xml:space="preserve"> </w:t>
      </w:r>
      <w:r w:rsidR="007606F6">
        <w:rPr>
          <w:rFonts w:asciiTheme="majorHAnsi" w:eastAsia="Calibri" w:hAnsiTheme="majorHAnsi" w:cstheme="majorHAnsi"/>
          <w:lang w:val="en-US"/>
        </w:rPr>
        <w:t>o</w:t>
      </w:r>
      <w:r w:rsidR="002F1A5F">
        <w:rPr>
          <w:rFonts w:asciiTheme="majorHAnsi" w:eastAsia="Calibri" w:hAnsiTheme="majorHAnsi" w:cstheme="majorHAnsi"/>
          <w:lang w:val="en-US"/>
        </w:rPr>
        <w:t>pportunities</w:t>
      </w:r>
      <w:r w:rsidR="008C1DCD">
        <w:rPr>
          <w:rFonts w:asciiTheme="majorHAnsi" w:eastAsia="Calibri" w:hAnsiTheme="majorHAnsi" w:cstheme="majorHAnsi"/>
          <w:lang w:val="en-US"/>
        </w:rPr>
        <w:t xml:space="preserve"> to </w:t>
      </w:r>
      <w:r w:rsidR="007606F6">
        <w:rPr>
          <w:rFonts w:asciiTheme="majorHAnsi" w:eastAsia="Calibri" w:hAnsiTheme="majorHAnsi" w:cstheme="majorHAnsi"/>
          <w:lang w:val="en-US"/>
        </w:rPr>
        <w:t>reduce perceived barriers to national and international collaboration</w:t>
      </w:r>
      <w:r w:rsidR="00852967">
        <w:rPr>
          <w:rFonts w:asciiTheme="majorHAnsi" w:eastAsia="Calibri" w:hAnsiTheme="majorHAnsi" w:cstheme="majorHAnsi"/>
          <w:lang w:val="en-US"/>
        </w:rPr>
        <w:t xml:space="preserve"> under the scheme</w:t>
      </w:r>
      <w:r w:rsidR="0018782E">
        <w:rPr>
          <w:rFonts w:asciiTheme="majorHAnsi" w:eastAsia="Calibri" w:hAnsiTheme="majorHAnsi" w:cstheme="majorHAnsi"/>
          <w:lang w:val="en-US"/>
        </w:rPr>
        <w:t>.</w:t>
      </w:r>
      <w:r w:rsidR="005B7D51" w:rsidRPr="005B7D51">
        <w:rPr>
          <w:rFonts w:asciiTheme="majorHAnsi" w:eastAsia="Calibri" w:hAnsiTheme="majorHAnsi" w:cstheme="majorHAnsi"/>
          <w:lang w:val="en-US"/>
        </w:rPr>
        <w:t xml:space="preserve"> </w:t>
      </w:r>
      <w:r w:rsidR="00852967">
        <w:rPr>
          <w:rFonts w:asciiTheme="majorHAnsi" w:eastAsia="Calibri" w:hAnsiTheme="majorHAnsi" w:cstheme="majorHAnsi"/>
          <w:lang w:val="en-US"/>
        </w:rPr>
        <w:t>These include:</w:t>
      </w:r>
    </w:p>
    <w:p w14:paraId="260E6896" w14:textId="6E1BE43A" w:rsidR="00213D97" w:rsidRPr="00E50335" w:rsidRDefault="00C96990" w:rsidP="005408AE">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 xml:space="preserve">reviewing the </w:t>
      </w:r>
      <w:r w:rsidR="005323AF">
        <w:rPr>
          <w:rFonts w:asciiTheme="majorHAnsi" w:eastAsia="Calibri" w:hAnsiTheme="majorHAnsi" w:cstheme="majorHAnsi"/>
          <w:lang w:val="en-US"/>
        </w:rPr>
        <w:t>possibility of allowing</w:t>
      </w:r>
      <w:r w:rsidR="00213D97" w:rsidRPr="005B7D51">
        <w:rPr>
          <w:rFonts w:asciiTheme="majorHAnsi" w:eastAsia="Calibri" w:hAnsiTheme="majorHAnsi" w:cstheme="majorHAnsi"/>
          <w:lang w:val="en-US"/>
        </w:rPr>
        <w:t xml:space="preserve"> all Partner Investigators—including international researchers—to submit a less intensive two page Curriculum Vitae</w:t>
      </w:r>
      <w:r w:rsidR="00213D97">
        <w:rPr>
          <w:rFonts w:asciiTheme="majorHAnsi" w:eastAsia="Calibri" w:hAnsiTheme="majorHAnsi" w:cstheme="majorHAnsi"/>
          <w:lang w:val="en-US"/>
        </w:rPr>
        <w:t xml:space="preserve"> </w:t>
      </w:r>
      <w:r w:rsidR="00422B5E">
        <w:rPr>
          <w:rFonts w:asciiTheme="majorHAnsi" w:eastAsia="Calibri" w:hAnsiTheme="majorHAnsi" w:cstheme="majorHAnsi"/>
          <w:lang w:val="en-US"/>
        </w:rPr>
        <w:t>with specific content requirements</w:t>
      </w:r>
      <w:r w:rsidR="00213D97" w:rsidRPr="005B7D51">
        <w:rPr>
          <w:rFonts w:asciiTheme="majorHAnsi" w:eastAsia="Calibri" w:hAnsiTheme="majorHAnsi" w:cstheme="majorHAnsi"/>
          <w:lang w:val="en-US"/>
        </w:rPr>
        <w:t xml:space="preserve">, rather than completing the entire </w:t>
      </w:r>
      <w:r w:rsidR="00213D97" w:rsidRPr="002573BB">
        <w:rPr>
          <w:rFonts w:asciiTheme="majorHAnsi" w:eastAsia="Calibri" w:hAnsiTheme="majorHAnsi" w:cstheme="majorHAnsi"/>
          <w:lang w:val="en-US"/>
        </w:rPr>
        <w:t xml:space="preserve">Research Opportunity and Performance </w:t>
      </w:r>
      <w:r w:rsidR="00213D97" w:rsidRPr="00E50335">
        <w:rPr>
          <w:rFonts w:asciiTheme="majorHAnsi" w:eastAsia="Calibri" w:hAnsiTheme="majorHAnsi" w:cstheme="majorHAnsi"/>
          <w:lang w:val="en-US"/>
        </w:rPr>
        <w:t xml:space="preserve">Evidence section of </w:t>
      </w:r>
      <w:r w:rsidR="00D555E1" w:rsidRPr="00E50335">
        <w:rPr>
          <w:rFonts w:asciiTheme="majorHAnsi" w:eastAsia="Calibri" w:hAnsiTheme="majorHAnsi" w:cstheme="majorHAnsi"/>
          <w:lang w:val="en-US"/>
        </w:rPr>
        <w:t xml:space="preserve">Discovery Projects </w:t>
      </w:r>
      <w:r w:rsidR="00213D97" w:rsidRPr="00E50335">
        <w:rPr>
          <w:rFonts w:asciiTheme="majorHAnsi" w:eastAsia="Calibri" w:hAnsiTheme="majorHAnsi" w:cstheme="majorHAnsi"/>
          <w:lang w:val="en-US"/>
        </w:rPr>
        <w:t>application forms</w:t>
      </w:r>
    </w:p>
    <w:p w14:paraId="3BDBA2B2" w14:textId="2257489F" w:rsidR="005E3250" w:rsidRPr="00E50335" w:rsidRDefault="002A50E8" w:rsidP="005408AE">
      <w:pPr>
        <w:numPr>
          <w:ilvl w:val="0"/>
          <w:numId w:val="28"/>
        </w:numPr>
        <w:shd w:val="clear" w:color="auto" w:fill="FFFFFF" w:themeFill="background1"/>
        <w:spacing w:before="60" w:after="120"/>
        <w:ind w:left="714" w:hanging="357"/>
        <w:rPr>
          <w:rFonts w:asciiTheme="majorHAnsi" w:eastAsia="Calibri" w:hAnsiTheme="majorHAnsi" w:cstheme="majorHAnsi"/>
          <w:lang w:val="en-US"/>
        </w:rPr>
      </w:pPr>
      <w:r w:rsidRPr="00E50335">
        <w:rPr>
          <w:rFonts w:asciiTheme="majorHAnsi" w:eastAsia="Calibri" w:hAnsiTheme="majorHAnsi" w:cstheme="majorHAnsi"/>
          <w:lang w:val="en-US"/>
        </w:rPr>
        <w:t xml:space="preserve">reinforcing, through </w:t>
      </w:r>
      <w:r w:rsidR="00325D39" w:rsidRPr="00E50335">
        <w:rPr>
          <w:rFonts w:asciiTheme="majorHAnsi" w:eastAsia="Calibri" w:hAnsiTheme="majorHAnsi" w:cstheme="majorHAnsi"/>
          <w:lang w:val="en-US"/>
        </w:rPr>
        <w:t>outreach and engagement</w:t>
      </w:r>
      <w:r w:rsidRPr="00E50335">
        <w:rPr>
          <w:rFonts w:asciiTheme="majorHAnsi" w:eastAsia="Calibri" w:hAnsiTheme="majorHAnsi" w:cstheme="majorHAnsi"/>
          <w:lang w:val="en-US"/>
        </w:rPr>
        <w:t xml:space="preserve">, </w:t>
      </w:r>
      <w:r w:rsidR="00CD13F2" w:rsidRPr="00E50335">
        <w:rPr>
          <w:rFonts w:asciiTheme="majorHAnsi" w:eastAsia="Calibri" w:hAnsiTheme="majorHAnsi" w:cstheme="majorHAnsi"/>
          <w:lang w:val="en-US"/>
        </w:rPr>
        <w:t>th</w:t>
      </w:r>
      <w:r w:rsidR="00B13F64" w:rsidRPr="00E50335">
        <w:rPr>
          <w:rFonts w:asciiTheme="majorHAnsi" w:eastAsia="Calibri" w:hAnsiTheme="majorHAnsi" w:cstheme="majorHAnsi"/>
          <w:lang w:val="en-US"/>
        </w:rPr>
        <w:t xml:space="preserve">e purpose </w:t>
      </w:r>
      <w:r w:rsidRPr="00E50335">
        <w:rPr>
          <w:rFonts w:asciiTheme="majorHAnsi" w:eastAsia="Calibri" w:hAnsiTheme="majorHAnsi" w:cstheme="majorHAnsi"/>
          <w:lang w:val="en-US"/>
        </w:rPr>
        <w:t xml:space="preserve">and importance </w:t>
      </w:r>
      <w:r w:rsidR="00B13F64" w:rsidRPr="00E50335">
        <w:rPr>
          <w:rFonts w:asciiTheme="majorHAnsi" w:eastAsia="Calibri" w:hAnsiTheme="majorHAnsi" w:cstheme="majorHAnsi"/>
          <w:lang w:val="en-US"/>
        </w:rPr>
        <w:t>of the scheme’s</w:t>
      </w:r>
      <w:r w:rsidR="00CD13F2" w:rsidRPr="00E50335">
        <w:rPr>
          <w:rFonts w:asciiTheme="majorHAnsi" w:eastAsia="Calibri" w:hAnsiTheme="majorHAnsi" w:cstheme="majorHAnsi"/>
          <w:lang w:val="en-US"/>
        </w:rPr>
        <w:t xml:space="preserve"> </w:t>
      </w:r>
      <w:r w:rsidR="00366521" w:rsidRPr="00E50335">
        <w:rPr>
          <w:rFonts w:asciiTheme="majorHAnsi" w:eastAsia="Calibri" w:hAnsiTheme="majorHAnsi" w:cstheme="majorHAnsi"/>
          <w:lang w:val="en-US"/>
        </w:rPr>
        <w:t>Chief Investigator participation limits</w:t>
      </w:r>
      <w:r w:rsidR="002030DB" w:rsidRPr="00E50335">
        <w:rPr>
          <w:rFonts w:asciiTheme="majorHAnsi" w:eastAsia="Calibri" w:hAnsiTheme="majorHAnsi" w:cstheme="majorHAnsi"/>
          <w:lang w:val="en-US"/>
        </w:rPr>
        <w:t xml:space="preserve"> </w:t>
      </w:r>
      <w:r w:rsidR="00397D01" w:rsidRPr="00E50335">
        <w:rPr>
          <w:rFonts w:asciiTheme="majorHAnsi" w:eastAsia="Calibri" w:hAnsiTheme="majorHAnsi" w:cstheme="majorHAnsi"/>
          <w:lang w:val="en-US"/>
        </w:rPr>
        <w:t xml:space="preserve">in ensuring </w:t>
      </w:r>
      <w:r w:rsidR="00FA2CF6" w:rsidRPr="00E50335">
        <w:rPr>
          <w:rFonts w:asciiTheme="majorHAnsi" w:eastAsia="Calibri" w:hAnsiTheme="majorHAnsi" w:cstheme="majorHAnsi"/>
          <w:lang w:val="en-US"/>
        </w:rPr>
        <w:t>researchers invest sufficient</w:t>
      </w:r>
      <w:r w:rsidR="007B71BF" w:rsidRPr="00E50335">
        <w:rPr>
          <w:rFonts w:asciiTheme="majorHAnsi" w:eastAsia="Calibri" w:hAnsiTheme="majorHAnsi" w:cstheme="majorHAnsi"/>
          <w:lang w:val="en-US"/>
        </w:rPr>
        <w:t xml:space="preserve"> </w:t>
      </w:r>
      <w:r w:rsidR="00397D01" w:rsidRPr="00E50335">
        <w:rPr>
          <w:rFonts w:asciiTheme="majorHAnsi" w:eastAsia="Calibri" w:hAnsiTheme="majorHAnsi" w:cstheme="majorHAnsi"/>
          <w:lang w:val="en-US"/>
        </w:rPr>
        <w:t>time and resources</w:t>
      </w:r>
      <w:r w:rsidR="007B71BF" w:rsidRPr="00E50335">
        <w:rPr>
          <w:rFonts w:asciiTheme="majorHAnsi" w:eastAsia="Calibri" w:hAnsiTheme="majorHAnsi" w:cstheme="majorHAnsi"/>
          <w:lang w:val="en-US"/>
        </w:rPr>
        <w:t xml:space="preserve"> </w:t>
      </w:r>
      <w:r w:rsidR="00397D01" w:rsidRPr="00E50335">
        <w:rPr>
          <w:rFonts w:asciiTheme="majorHAnsi" w:eastAsia="Calibri" w:hAnsiTheme="majorHAnsi" w:cstheme="majorHAnsi"/>
          <w:lang w:val="en-US"/>
        </w:rPr>
        <w:t>in funded projects</w:t>
      </w:r>
      <w:r w:rsidR="001117CA" w:rsidRPr="00281670">
        <w:rPr>
          <w:rFonts w:asciiTheme="majorHAnsi" w:eastAsia="Calibri" w:hAnsiTheme="majorHAnsi" w:cstheme="majorHAnsi"/>
          <w:lang w:val="en-US"/>
        </w:rPr>
        <w:t>;</w:t>
      </w:r>
      <w:r w:rsidR="00A51B29" w:rsidRPr="00281670">
        <w:rPr>
          <w:rFonts w:asciiTheme="majorHAnsi" w:eastAsia="Calibri" w:hAnsiTheme="majorHAnsi" w:cstheme="majorHAnsi"/>
          <w:lang w:val="en-US"/>
        </w:rPr>
        <w:t xml:space="preserve"> </w:t>
      </w:r>
      <w:r w:rsidR="00370A46" w:rsidRPr="00281670">
        <w:rPr>
          <w:rFonts w:asciiTheme="majorHAnsi" w:eastAsia="Calibri" w:hAnsiTheme="majorHAnsi" w:cstheme="majorHAnsi"/>
          <w:lang w:val="en-US"/>
        </w:rPr>
        <w:t>while noting that</w:t>
      </w:r>
      <w:r w:rsidR="00950A90" w:rsidRPr="00281670">
        <w:rPr>
          <w:rFonts w:asciiTheme="majorHAnsi" w:eastAsia="Calibri" w:hAnsiTheme="majorHAnsi" w:cstheme="majorHAnsi"/>
          <w:lang w:val="en-US"/>
        </w:rPr>
        <w:t>,</w:t>
      </w:r>
      <w:r w:rsidR="00370A46" w:rsidRPr="00281670">
        <w:rPr>
          <w:rFonts w:asciiTheme="majorHAnsi" w:eastAsia="Calibri" w:hAnsiTheme="majorHAnsi" w:cstheme="majorHAnsi"/>
          <w:lang w:val="en-US"/>
        </w:rPr>
        <w:t xml:space="preserve"> </w:t>
      </w:r>
      <w:r w:rsidR="006606CF" w:rsidRPr="00281670">
        <w:rPr>
          <w:rFonts w:asciiTheme="majorHAnsi" w:eastAsia="Calibri" w:hAnsiTheme="majorHAnsi" w:cstheme="majorHAnsi"/>
          <w:lang w:val="en-US"/>
        </w:rPr>
        <w:t xml:space="preserve">provided </w:t>
      </w:r>
      <w:r w:rsidR="00E647C8" w:rsidRPr="00E50335">
        <w:rPr>
          <w:rFonts w:asciiTheme="majorHAnsi" w:eastAsia="Calibri" w:hAnsiTheme="majorHAnsi" w:cstheme="majorHAnsi"/>
          <w:lang w:val="en-US"/>
        </w:rPr>
        <w:t>Chief Investigator responsibilities are</w:t>
      </w:r>
      <w:r w:rsidR="009004A6" w:rsidRPr="00E50335">
        <w:rPr>
          <w:rFonts w:asciiTheme="majorHAnsi" w:eastAsia="Calibri" w:hAnsiTheme="majorHAnsi" w:cstheme="majorHAnsi"/>
          <w:lang w:val="en-US"/>
        </w:rPr>
        <w:t xml:space="preserve"> </w:t>
      </w:r>
      <w:r w:rsidR="00CD750F" w:rsidRPr="00281670">
        <w:rPr>
          <w:rFonts w:asciiTheme="majorHAnsi" w:eastAsia="Calibri" w:hAnsiTheme="majorHAnsi" w:cstheme="majorHAnsi"/>
          <w:lang w:val="en-US"/>
        </w:rPr>
        <w:t>fulfilled</w:t>
      </w:r>
      <w:r w:rsidR="00E647C8" w:rsidRPr="00E50335">
        <w:rPr>
          <w:rFonts w:asciiTheme="majorHAnsi" w:eastAsia="Calibri" w:hAnsiTheme="majorHAnsi" w:cstheme="majorHAnsi"/>
          <w:lang w:val="en-US"/>
        </w:rPr>
        <w:t>,</w:t>
      </w:r>
      <w:r w:rsidR="00CE4834" w:rsidRPr="00E50335">
        <w:rPr>
          <w:rFonts w:asciiTheme="majorHAnsi" w:eastAsia="Calibri" w:hAnsiTheme="majorHAnsi" w:cstheme="majorHAnsi"/>
          <w:lang w:val="en-US"/>
        </w:rPr>
        <w:t xml:space="preserve"> </w:t>
      </w:r>
      <w:r w:rsidR="007970D2" w:rsidRPr="00E50335">
        <w:rPr>
          <w:rFonts w:asciiTheme="majorHAnsi" w:eastAsia="Calibri" w:hAnsiTheme="majorHAnsi" w:cstheme="majorHAnsi"/>
          <w:lang w:val="en-US"/>
        </w:rPr>
        <w:t>flexibility</w:t>
      </w:r>
      <w:r w:rsidR="00CE4834" w:rsidRPr="00E50335">
        <w:rPr>
          <w:rFonts w:asciiTheme="majorHAnsi" w:eastAsia="Calibri" w:hAnsiTheme="majorHAnsi" w:cstheme="majorHAnsi"/>
          <w:lang w:val="en-US"/>
        </w:rPr>
        <w:t xml:space="preserve"> exists</w:t>
      </w:r>
      <w:r w:rsidR="007970D2" w:rsidRPr="00E50335">
        <w:rPr>
          <w:rFonts w:asciiTheme="majorHAnsi" w:eastAsia="Calibri" w:hAnsiTheme="majorHAnsi" w:cstheme="majorHAnsi"/>
          <w:lang w:val="en-US"/>
        </w:rPr>
        <w:t xml:space="preserve"> to </w:t>
      </w:r>
      <w:r w:rsidR="00B13F64" w:rsidRPr="00E50335">
        <w:rPr>
          <w:rFonts w:asciiTheme="majorHAnsi" w:eastAsia="Calibri" w:hAnsiTheme="majorHAnsi" w:cstheme="majorHAnsi"/>
          <w:lang w:val="en-US"/>
        </w:rPr>
        <w:t>contribut</w:t>
      </w:r>
      <w:r w:rsidR="00CD750F" w:rsidRPr="00281670">
        <w:rPr>
          <w:rFonts w:asciiTheme="majorHAnsi" w:eastAsia="Calibri" w:hAnsiTheme="majorHAnsi" w:cstheme="majorHAnsi"/>
          <w:lang w:val="en-US"/>
        </w:rPr>
        <w:t>e</w:t>
      </w:r>
      <w:r w:rsidR="00B13F64" w:rsidRPr="00E50335">
        <w:rPr>
          <w:rFonts w:asciiTheme="majorHAnsi" w:eastAsia="Calibri" w:hAnsiTheme="majorHAnsi" w:cstheme="majorHAnsi"/>
          <w:lang w:val="en-US"/>
        </w:rPr>
        <w:t xml:space="preserve"> to</w:t>
      </w:r>
      <w:r w:rsidR="005D0F12" w:rsidRPr="00E50335">
        <w:rPr>
          <w:rFonts w:asciiTheme="majorHAnsi" w:eastAsia="Calibri" w:hAnsiTheme="majorHAnsi" w:cstheme="majorHAnsi"/>
          <w:lang w:val="en-US"/>
        </w:rPr>
        <w:t xml:space="preserve"> additional</w:t>
      </w:r>
      <w:r w:rsidR="00AE56F0" w:rsidRPr="00E50335">
        <w:rPr>
          <w:rFonts w:asciiTheme="majorHAnsi" w:eastAsia="Calibri" w:hAnsiTheme="majorHAnsi" w:cstheme="majorHAnsi"/>
          <w:lang w:val="en-US"/>
        </w:rPr>
        <w:t xml:space="preserve"> </w:t>
      </w:r>
      <w:r w:rsidR="005D0F12" w:rsidRPr="00E50335">
        <w:rPr>
          <w:rFonts w:asciiTheme="majorHAnsi" w:eastAsia="Calibri" w:hAnsiTheme="majorHAnsi" w:cstheme="majorHAnsi"/>
          <w:lang w:val="en-US"/>
        </w:rPr>
        <w:t xml:space="preserve">research </w:t>
      </w:r>
      <w:r w:rsidR="00B13F64" w:rsidRPr="00E50335">
        <w:rPr>
          <w:rFonts w:asciiTheme="majorHAnsi" w:eastAsia="Calibri" w:hAnsiTheme="majorHAnsi" w:cstheme="majorHAnsi"/>
          <w:lang w:val="en-US"/>
        </w:rPr>
        <w:t>projects</w:t>
      </w:r>
      <w:r w:rsidR="005D0F12" w:rsidRPr="00E50335">
        <w:rPr>
          <w:rFonts w:asciiTheme="majorHAnsi" w:eastAsia="Calibri" w:hAnsiTheme="majorHAnsi" w:cstheme="majorHAnsi"/>
          <w:lang w:val="en-US"/>
        </w:rPr>
        <w:t xml:space="preserve"> </w:t>
      </w:r>
      <w:r w:rsidR="007970D2" w:rsidRPr="00E50335">
        <w:rPr>
          <w:rFonts w:asciiTheme="majorHAnsi" w:eastAsia="Calibri" w:hAnsiTheme="majorHAnsi" w:cstheme="majorHAnsi"/>
          <w:lang w:val="en-US"/>
        </w:rPr>
        <w:t xml:space="preserve">as </w:t>
      </w:r>
      <w:r w:rsidR="001D5F88" w:rsidRPr="00E50335">
        <w:rPr>
          <w:rFonts w:asciiTheme="majorHAnsi" w:eastAsia="Calibri" w:hAnsiTheme="majorHAnsi" w:cstheme="majorHAnsi"/>
          <w:lang w:val="en-US"/>
        </w:rPr>
        <w:t>unnamed researchers</w:t>
      </w:r>
      <w:r w:rsidR="00B13F64" w:rsidRPr="00E50335">
        <w:rPr>
          <w:rFonts w:asciiTheme="majorHAnsi" w:eastAsia="Calibri" w:hAnsiTheme="majorHAnsi" w:cstheme="majorHAnsi"/>
          <w:lang w:val="en-US"/>
        </w:rPr>
        <w:t>.</w:t>
      </w:r>
    </w:p>
    <w:p w14:paraId="3ECB2684" w14:textId="7ED41D50" w:rsidR="00D3021C" w:rsidRDefault="00B35488" w:rsidP="00FC05D4">
      <w:pPr>
        <w:shd w:val="clear" w:color="auto" w:fill="FFFFFF" w:themeFill="background1"/>
        <w:rPr>
          <w:rFonts w:asciiTheme="majorHAnsi" w:eastAsia="Calibri" w:hAnsiTheme="majorHAnsi" w:cstheme="majorHAnsi"/>
          <w:lang w:val="en-US"/>
        </w:rPr>
      </w:pPr>
      <w:r>
        <w:rPr>
          <w:rFonts w:asciiTheme="majorHAnsi" w:eastAsia="Calibri" w:hAnsiTheme="majorHAnsi" w:cstheme="majorHAnsi"/>
          <w:lang w:val="en-US"/>
        </w:rPr>
        <w:t>O</w:t>
      </w:r>
      <w:r w:rsidR="005B7D51" w:rsidRPr="005B7D51">
        <w:rPr>
          <w:rFonts w:asciiTheme="majorHAnsi" w:eastAsia="Calibri" w:hAnsiTheme="majorHAnsi" w:cstheme="majorHAnsi"/>
          <w:lang w:val="en-US"/>
        </w:rPr>
        <w:t xml:space="preserve">ngoing monitoring of the </w:t>
      </w:r>
      <w:r w:rsidR="00206101">
        <w:rPr>
          <w:rFonts w:asciiTheme="majorHAnsi" w:eastAsia="Calibri" w:hAnsiTheme="majorHAnsi" w:cstheme="majorHAnsi"/>
          <w:lang w:val="en-US"/>
        </w:rPr>
        <w:t xml:space="preserve">scale of </w:t>
      </w:r>
      <w:r w:rsidR="00323CE1">
        <w:rPr>
          <w:rFonts w:asciiTheme="majorHAnsi" w:eastAsia="Calibri" w:hAnsiTheme="majorHAnsi" w:cstheme="majorHAnsi"/>
          <w:lang w:val="en-US"/>
        </w:rPr>
        <w:t xml:space="preserve">research </w:t>
      </w:r>
      <w:r w:rsidR="00206101">
        <w:rPr>
          <w:rFonts w:asciiTheme="majorHAnsi" w:eastAsia="Calibri" w:hAnsiTheme="majorHAnsi" w:cstheme="majorHAnsi"/>
          <w:lang w:val="en-US"/>
        </w:rPr>
        <w:t>collaboration</w:t>
      </w:r>
      <w:r w:rsidR="00881CCD">
        <w:rPr>
          <w:rFonts w:asciiTheme="majorHAnsi" w:eastAsia="Calibri" w:hAnsiTheme="majorHAnsi" w:cstheme="majorHAnsi"/>
          <w:lang w:val="en-US"/>
        </w:rPr>
        <w:t xml:space="preserve"> between researchers and </w:t>
      </w:r>
      <w:proofErr w:type="spellStart"/>
      <w:r w:rsidR="00881CCD">
        <w:rPr>
          <w:rFonts w:asciiTheme="majorHAnsi" w:eastAsia="Calibri" w:hAnsiTheme="majorHAnsi" w:cstheme="majorHAnsi"/>
          <w:lang w:val="en-US"/>
        </w:rPr>
        <w:t>organisations</w:t>
      </w:r>
      <w:proofErr w:type="spellEnd"/>
      <w:r w:rsidR="00B13F64">
        <w:rPr>
          <w:rFonts w:asciiTheme="majorHAnsi" w:eastAsia="Calibri" w:hAnsiTheme="majorHAnsi" w:cstheme="majorHAnsi"/>
          <w:lang w:val="en-US"/>
        </w:rPr>
        <w:t xml:space="preserve"> may</w:t>
      </w:r>
      <w:r w:rsidR="00200677">
        <w:rPr>
          <w:rFonts w:asciiTheme="majorHAnsi" w:eastAsia="Calibri" w:hAnsiTheme="majorHAnsi" w:cstheme="majorHAnsi"/>
          <w:lang w:val="en-US"/>
        </w:rPr>
        <w:t xml:space="preserve"> inform future</w:t>
      </w:r>
      <w:r>
        <w:rPr>
          <w:rFonts w:asciiTheme="majorHAnsi" w:eastAsia="Calibri" w:hAnsiTheme="majorHAnsi" w:cstheme="majorHAnsi"/>
          <w:lang w:val="en-US"/>
        </w:rPr>
        <w:t xml:space="preserve"> assess</w:t>
      </w:r>
      <w:r w:rsidR="00200677">
        <w:rPr>
          <w:rFonts w:asciiTheme="majorHAnsi" w:eastAsia="Calibri" w:hAnsiTheme="majorHAnsi" w:cstheme="majorHAnsi"/>
          <w:lang w:val="en-US"/>
        </w:rPr>
        <w:t>ment</w:t>
      </w:r>
      <w:r>
        <w:rPr>
          <w:rFonts w:asciiTheme="majorHAnsi" w:eastAsia="Calibri" w:hAnsiTheme="majorHAnsi" w:cstheme="majorHAnsi"/>
          <w:lang w:val="en-US"/>
        </w:rPr>
        <w:t xml:space="preserve"> </w:t>
      </w:r>
      <w:r w:rsidR="00200677">
        <w:rPr>
          <w:rFonts w:asciiTheme="majorHAnsi" w:eastAsia="Calibri" w:hAnsiTheme="majorHAnsi" w:cstheme="majorHAnsi"/>
          <w:lang w:val="en-US"/>
        </w:rPr>
        <w:t xml:space="preserve">of </w:t>
      </w:r>
      <w:r>
        <w:rPr>
          <w:rFonts w:asciiTheme="majorHAnsi" w:eastAsia="Calibri" w:hAnsiTheme="majorHAnsi" w:cstheme="majorHAnsi"/>
          <w:lang w:val="en-US"/>
        </w:rPr>
        <w:t xml:space="preserve">the impact of these changes and </w:t>
      </w:r>
      <w:r w:rsidR="00302DCE">
        <w:rPr>
          <w:rFonts w:asciiTheme="majorHAnsi" w:eastAsia="Calibri" w:hAnsiTheme="majorHAnsi" w:cstheme="majorHAnsi"/>
          <w:lang w:val="en-US"/>
        </w:rPr>
        <w:t xml:space="preserve">support </w:t>
      </w:r>
      <w:r w:rsidR="00200677">
        <w:rPr>
          <w:rFonts w:asciiTheme="majorHAnsi" w:eastAsia="Calibri" w:hAnsiTheme="majorHAnsi" w:cstheme="majorHAnsi"/>
          <w:lang w:val="en-US"/>
        </w:rPr>
        <w:t xml:space="preserve">greater </w:t>
      </w:r>
      <w:r w:rsidR="00170C37">
        <w:rPr>
          <w:rFonts w:asciiTheme="majorHAnsi" w:eastAsia="Calibri" w:hAnsiTheme="majorHAnsi" w:cstheme="majorHAnsi"/>
          <w:lang w:val="en-US"/>
        </w:rPr>
        <w:t xml:space="preserve">understanding of the benefits </w:t>
      </w:r>
      <w:r w:rsidR="00200677">
        <w:rPr>
          <w:rFonts w:asciiTheme="majorHAnsi" w:eastAsia="Calibri" w:hAnsiTheme="majorHAnsi" w:cstheme="majorHAnsi"/>
          <w:lang w:val="en-US"/>
        </w:rPr>
        <w:t xml:space="preserve">of </w:t>
      </w:r>
      <w:r w:rsidR="00170C37">
        <w:rPr>
          <w:rFonts w:asciiTheme="majorHAnsi" w:eastAsia="Calibri" w:hAnsiTheme="majorHAnsi" w:cstheme="majorHAnsi"/>
          <w:lang w:val="en-US"/>
        </w:rPr>
        <w:t>national and international collaboration</w:t>
      </w:r>
      <w:r w:rsidR="00972216">
        <w:rPr>
          <w:rFonts w:asciiTheme="majorHAnsi" w:eastAsia="Calibri" w:hAnsiTheme="majorHAnsi" w:cstheme="majorHAnsi"/>
          <w:lang w:val="en-US"/>
        </w:rPr>
        <w:t xml:space="preserve"> under the scheme</w:t>
      </w:r>
      <w:r w:rsidR="005B7D51" w:rsidRPr="005B7D51">
        <w:rPr>
          <w:rFonts w:asciiTheme="majorHAnsi" w:eastAsia="Calibri" w:hAnsiTheme="majorHAnsi" w:cstheme="majorHAnsi"/>
          <w:lang w:val="en-US"/>
        </w:rPr>
        <w:t>.</w:t>
      </w:r>
    </w:p>
    <w:p w14:paraId="29E68C25" w14:textId="77777777" w:rsidR="00A228A2" w:rsidRDefault="00A228A2" w:rsidP="00FC05D4">
      <w:pPr>
        <w:shd w:val="clear" w:color="auto" w:fill="FFFFFF" w:themeFill="background1"/>
        <w:rPr>
          <w:rFonts w:asciiTheme="majorHAnsi" w:eastAsia="Calibri" w:hAnsiTheme="majorHAnsi" w:cstheme="majorHAnsi"/>
          <w:lang w:val="en-US"/>
        </w:rPr>
      </w:pPr>
    </w:p>
    <w:p w14:paraId="6B94BE30" w14:textId="4ED90200" w:rsidR="005B7D51" w:rsidRPr="008930B7" w:rsidRDefault="005B7D51" w:rsidP="00FC05D4">
      <w:pPr>
        <w:shd w:val="clear" w:color="auto" w:fill="FFFFFF" w:themeFill="background1"/>
        <w:spacing w:before="360"/>
        <w:rPr>
          <w:rFonts w:asciiTheme="majorHAnsi" w:eastAsia="Calibri" w:hAnsiTheme="majorHAnsi" w:cstheme="majorHAnsi"/>
          <w:b/>
          <w:i/>
          <w:iCs/>
          <w:sz w:val="26"/>
          <w:szCs w:val="26"/>
          <w:lang w:val="en-US"/>
        </w:rPr>
      </w:pPr>
      <w:r w:rsidRPr="008930B7">
        <w:rPr>
          <w:rFonts w:asciiTheme="majorHAnsi" w:eastAsia="Calibri" w:hAnsiTheme="majorHAnsi" w:cstheme="majorHAnsi"/>
          <w:b/>
          <w:i/>
          <w:iCs/>
          <w:sz w:val="26"/>
          <w:szCs w:val="26"/>
          <w:lang w:val="en-US"/>
        </w:rPr>
        <w:lastRenderedPageBreak/>
        <w:t xml:space="preserve">Opportunity Three: </w:t>
      </w:r>
      <w:r w:rsidR="007B515B">
        <w:rPr>
          <w:rFonts w:asciiTheme="majorHAnsi" w:eastAsia="Calibri" w:hAnsiTheme="majorHAnsi" w:cstheme="majorHAnsi"/>
          <w:b/>
          <w:i/>
          <w:iCs/>
          <w:sz w:val="26"/>
          <w:szCs w:val="26"/>
          <w:lang w:val="en-US"/>
        </w:rPr>
        <w:t>Improved Discovery Projects data collection</w:t>
      </w:r>
    </w:p>
    <w:p w14:paraId="76BA0F66" w14:textId="6E1A3150" w:rsidR="005B7D51" w:rsidRPr="005B7D51" w:rsidRDefault="006C1A16" w:rsidP="002C1467">
      <w:pPr>
        <w:shd w:val="clear" w:color="auto" w:fill="FFFFFF" w:themeFill="background1"/>
        <w:rPr>
          <w:rFonts w:asciiTheme="majorHAnsi" w:eastAsia="Calibri" w:hAnsiTheme="majorHAnsi" w:cstheme="majorHAnsi"/>
          <w:lang w:val="en-US"/>
        </w:rPr>
      </w:pPr>
      <w:r>
        <w:rPr>
          <w:rFonts w:asciiTheme="majorHAnsi" w:eastAsia="Calibri" w:hAnsiTheme="majorHAnsi" w:cstheme="majorHAnsi"/>
          <w:lang w:val="en-US"/>
        </w:rPr>
        <w:t xml:space="preserve">Further </w:t>
      </w:r>
      <w:r w:rsidR="00171DD9">
        <w:rPr>
          <w:rFonts w:asciiTheme="majorHAnsi" w:eastAsia="Calibri" w:hAnsiTheme="majorHAnsi" w:cstheme="majorHAnsi"/>
          <w:lang w:val="en-US"/>
        </w:rPr>
        <w:t xml:space="preserve">strengthening </w:t>
      </w:r>
      <w:r w:rsidR="00AD6944">
        <w:rPr>
          <w:rFonts w:asciiTheme="majorHAnsi" w:eastAsia="Calibri" w:hAnsiTheme="majorHAnsi" w:cstheme="majorHAnsi"/>
          <w:lang w:val="en-US"/>
        </w:rPr>
        <w:t>Discovery Projects</w:t>
      </w:r>
      <w:r>
        <w:rPr>
          <w:rFonts w:asciiTheme="majorHAnsi" w:eastAsia="Calibri" w:hAnsiTheme="majorHAnsi" w:cstheme="majorHAnsi"/>
          <w:lang w:val="en-US"/>
        </w:rPr>
        <w:t xml:space="preserve"> data collection</w:t>
      </w:r>
      <w:r w:rsidR="00AD6944">
        <w:rPr>
          <w:rFonts w:asciiTheme="majorHAnsi" w:eastAsia="Calibri" w:hAnsiTheme="majorHAnsi" w:cstheme="majorHAnsi"/>
          <w:lang w:val="en-US"/>
        </w:rPr>
        <w:t xml:space="preserve">, including </w:t>
      </w:r>
      <w:r w:rsidR="00E51FBF">
        <w:rPr>
          <w:rFonts w:asciiTheme="majorHAnsi" w:eastAsia="Calibri" w:hAnsiTheme="majorHAnsi" w:cstheme="majorHAnsi"/>
          <w:lang w:val="en-US"/>
        </w:rPr>
        <w:t>greater</w:t>
      </w:r>
      <w:r w:rsidR="000D52E0">
        <w:rPr>
          <w:rFonts w:asciiTheme="majorHAnsi" w:eastAsia="Calibri" w:hAnsiTheme="majorHAnsi" w:cstheme="majorHAnsi"/>
          <w:lang w:val="en-US"/>
        </w:rPr>
        <w:t xml:space="preserve"> alignment of data with </w:t>
      </w:r>
      <w:r w:rsidR="0098323F">
        <w:rPr>
          <w:rFonts w:asciiTheme="majorHAnsi" w:eastAsia="Calibri" w:hAnsiTheme="majorHAnsi" w:cstheme="majorHAnsi"/>
          <w:lang w:val="en-US"/>
        </w:rPr>
        <w:t xml:space="preserve">the scheme’s objectives and intended outcomes, </w:t>
      </w:r>
      <w:r>
        <w:rPr>
          <w:rFonts w:asciiTheme="majorHAnsi" w:eastAsia="Calibri" w:hAnsiTheme="majorHAnsi" w:cstheme="majorHAnsi"/>
          <w:lang w:val="en-US"/>
        </w:rPr>
        <w:t xml:space="preserve">may </w:t>
      </w:r>
      <w:r w:rsidR="00AF236D">
        <w:rPr>
          <w:rFonts w:asciiTheme="majorHAnsi" w:eastAsia="Calibri" w:hAnsiTheme="majorHAnsi" w:cstheme="majorHAnsi"/>
          <w:lang w:val="en-US"/>
        </w:rPr>
        <w:t xml:space="preserve">support </w:t>
      </w:r>
      <w:r w:rsidR="00E51FBF">
        <w:rPr>
          <w:rFonts w:asciiTheme="majorHAnsi" w:eastAsia="Calibri" w:hAnsiTheme="majorHAnsi" w:cstheme="majorHAnsi"/>
          <w:lang w:val="en-US"/>
        </w:rPr>
        <w:t xml:space="preserve">enhanced </w:t>
      </w:r>
      <w:r w:rsidR="00AF236D">
        <w:rPr>
          <w:rFonts w:asciiTheme="majorHAnsi" w:eastAsia="Calibri" w:hAnsiTheme="majorHAnsi" w:cstheme="majorHAnsi"/>
          <w:lang w:val="en-US"/>
        </w:rPr>
        <w:t xml:space="preserve">monitoring and assessment </w:t>
      </w:r>
      <w:r w:rsidR="009C6401">
        <w:rPr>
          <w:rFonts w:asciiTheme="majorHAnsi" w:eastAsia="Calibri" w:hAnsiTheme="majorHAnsi" w:cstheme="majorHAnsi"/>
          <w:lang w:val="en-US"/>
        </w:rPr>
        <w:t xml:space="preserve">of </w:t>
      </w:r>
      <w:r w:rsidR="00AD6944">
        <w:rPr>
          <w:rFonts w:asciiTheme="majorHAnsi" w:eastAsia="Calibri" w:hAnsiTheme="majorHAnsi" w:cstheme="majorHAnsi"/>
          <w:lang w:val="en-US"/>
        </w:rPr>
        <w:t>scheme performance</w:t>
      </w:r>
      <w:r w:rsidR="003477EF">
        <w:rPr>
          <w:rFonts w:asciiTheme="majorHAnsi" w:eastAsia="Calibri" w:hAnsiTheme="majorHAnsi" w:cstheme="majorHAnsi"/>
          <w:lang w:val="en-US"/>
        </w:rPr>
        <w:t>,</w:t>
      </w:r>
      <w:r w:rsidR="00D453D7">
        <w:rPr>
          <w:rFonts w:asciiTheme="majorHAnsi" w:eastAsia="Calibri" w:hAnsiTheme="majorHAnsi" w:cstheme="majorHAnsi"/>
          <w:lang w:val="en-US"/>
        </w:rPr>
        <w:t xml:space="preserve"> in accordance with the </w:t>
      </w:r>
      <w:r w:rsidR="005B7D51" w:rsidRPr="005B7D51">
        <w:rPr>
          <w:rFonts w:asciiTheme="majorHAnsi" w:eastAsia="Calibri" w:hAnsiTheme="majorHAnsi" w:cstheme="majorHAnsi"/>
          <w:lang w:val="en-US"/>
        </w:rPr>
        <w:t>Commonwealth Grants Rules and Guidelines</w:t>
      </w:r>
      <w:r w:rsidR="00B34E91">
        <w:rPr>
          <w:rFonts w:asciiTheme="majorHAnsi" w:eastAsia="Calibri" w:hAnsiTheme="majorHAnsi" w:cstheme="majorHAnsi"/>
          <w:lang w:val="en-US"/>
        </w:rPr>
        <w:t>.</w:t>
      </w:r>
      <w:r w:rsidR="0041010C">
        <w:rPr>
          <w:rStyle w:val="FootnoteReference"/>
          <w:rFonts w:asciiTheme="majorHAnsi" w:eastAsia="Calibri" w:hAnsiTheme="majorHAnsi" w:cstheme="majorHAnsi"/>
          <w:lang w:val="en-US"/>
        </w:rPr>
        <w:footnoteReference w:id="6"/>
      </w:r>
      <w:r w:rsidR="005B7D51" w:rsidRPr="005B7D51">
        <w:rPr>
          <w:rFonts w:asciiTheme="majorHAnsi" w:eastAsia="Calibri" w:hAnsiTheme="majorHAnsi" w:cstheme="majorHAnsi"/>
          <w:lang w:val="en-US"/>
        </w:rPr>
        <w:t xml:space="preserve"> </w:t>
      </w:r>
      <w:r w:rsidR="00B34E91">
        <w:rPr>
          <w:rFonts w:asciiTheme="majorHAnsi" w:eastAsia="Calibri" w:hAnsiTheme="majorHAnsi" w:cstheme="majorHAnsi"/>
          <w:lang w:val="en-US"/>
        </w:rPr>
        <w:t>Opportunities to improve data collection</w:t>
      </w:r>
      <w:r w:rsidR="001618CC">
        <w:rPr>
          <w:rFonts w:asciiTheme="majorHAnsi" w:eastAsia="Calibri" w:hAnsiTheme="majorHAnsi" w:cstheme="majorHAnsi"/>
          <w:lang w:val="en-US"/>
        </w:rPr>
        <w:t xml:space="preserve"> </w:t>
      </w:r>
      <w:r w:rsidR="00B34E91">
        <w:rPr>
          <w:rFonts w:asciiTheme="majorHAnsi" w:eastAsia="Calibri" w:hAnsiTheme="majorHAnsi" w:cstheme="majorHAnsi"/>
          <w:lang w:val="en-US"/>
        </w:rPr>
        <w:t>include</w:t>
      </w:r>
      <w:r w:rsidR="005B7D51" w:rsidRPr="005B7D51">
        <w:rPr>
          <w:rFonts w:asciiTheme="majorHAnsi" w:eastAsia="Calibri" w:hAnsiTheme="majorHAnsi" w:cstheme="majorHAnsi"/>
          <w:lang w:val="en-US"/>
        </w:rPr>
        <w:t>:</w:t>
      </w:r>
    </w:p>
    <w:p w14:paraId="5AEDA04F" w14:textId="73DC3B07" w:rsidR="005B7D51" w:rsidRDefault="002B11C8" w:rsidP="00FC05D4">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changing</w:t>
      </w:r>
      <w:r w:rsidR="005B7D51" w:rsidRPr="007A1A95">
        <w:rPr>
          <w:rFonts w:asciiTheme="majorHAnsi" w:eastAsia="Calibri" w:hAnsiTheme="majorHAnsi" w:cstheme="majorHAnsi"/>
          <w:lang w:val="en-US"/>
        </w:rPr>
        <w:t xml:space="preserve"> application form</w:t>
      </w:r>
      <w:r>
        <w:rPr>
          <w:rFonts w:asciiTheme="majorHAnsi" w:eastAsia="Calibri" w:hAnsiTheme="majorHAnsi" w:cstheme="majorHAnsi"/>
          <w:lang w:val="en-US"/>
        </w:rPr>
        <w:t>s</w:t>
      </w:r>
      <w:r w:rsidR="005B7D51" w:rsidRPr="007A1A95">
        <w:rPr>
          <w:rFonts w:asciiTheme="majorHAnsi" w:eastAsia="Calibri" w:hAnsiTheme="majorHAnsi" w:cstheme="majorHAnsi"/>
          <w:lang w:val="en-US"/>
        </w:rPr>
        <w:t xml:space="preserve"> to specify that research trainee data should include the total number of trainees </w:t>
      </w:r>
      <w:r w:rsidR="00602EED" w:rsidRPr="007A1A95">
        <w:rPr>
          <w:rFonts w:asciiTheme="majorHAnsi" w:eastAsia="Calibri" w:hAnsiTheme="majorHAnsi" w:cstheme="majorHAnsi"/>
          <w:lang w:val="en-US"/>
        </w:rPr>
        <w:t xml:space="preserve">to be supported through </w:t>
      </w:r>
      <w:r w:rsidR="005B7D51" w:rsidRPr="007A1A95">
        <w:rPr>
          <w:rFonts w:asciiTheme="majorHAnsi" w:eastAsia="Calibri" w:hAnsiTheme="majorHAnsi" w:cstheme="majorHAnsi"/>
          <w:lang w:val="en-US"/>
        </w:rPr>
        <w:t xml:space="preserve">the project, </w:t>
      </w:r>
      <w:r w:rsidR="0062790D" w:rsidRPr="007A1A95">
        <w:rPr>
          <w:rFonts w:asciiTheme="majorHAnsi" w:eastAsia="Calibri" w:hAnsiTheme="majorHAnsi" w:cstheme="majorHAnsi"/>
          <w:lang w:val="en-US"/>
        </w:rPr>
        <w:t>and</w:t>
      </w:r>
      <w:r w:rsidR="005B7D51" w:rsidRPr="007A1A95">
        <w:rPr>
          <w:rFonts w:asciiTheme="majorHAnsi" w:eastAsia="Calibri" w:hAnsiTheme="majorHAnsi" w:cstheme="majorHAnsi"/>
          <w:lang w:val="en-US"/>
        </w:rPr>
        <w:t xml:space="preserve"> whether</w:t>
      </w:r>
      <w:r w:rsidR="001240CD" w:rsidRPr="007A1A95">
        <w:rPr>
          <w:rFonts w:asciiTheme="majorHAnsi" w:eastAsia="Calibri" w:hAnsiTheme="majorHAnsi" w:cstheme="majorHAnsi"/>
          <w:lang w:val="en-US"/>
        </w:rPr>
        <w:t xml:space="preserve"> they </w:t>
      </w:r>
      <w:r w:rsidR="003477EF">
        <w:rPr>
          <w:rFonts w:asciiTheme="majorHAnsi" w:eastAsia="Calibri" w:hAnsiTheme="majorHAnsi" w:cstheme="majorHAnsi"/>
          <w:lang w:val="en-US"/>
        </w:rPr>
        <w:t>will</w:t>
      </w:r>
      <w:r w:rsidR="003477EF" w:rsidRPr="007A1A95">
        <w:rPr>
          <w:rFonts w:asciiTheme="majorHAnsi" w:eastAsia="Calibri" w:hAnsiTheme="majorHAnsi" w:cstheme="majorHAnsi"/>
          <w:lang w:val="en-US"/>
        </w:rPr>
        <w:t xml:space="preserve"> </w:t>
      </w:r>
      <w:r w:rsidR="005B7D51" w:rsidRPr="007A1A95">
        <w:rPr>
          <w:rFonts w:asciiTheme="majorHAnsi" w:eastAsia="Calibri" w:hAnsiTheme="majorHAnsi" w:cstheme="majorHAnsi"/>
          <w:lang w:val="en-US"/>
        </w:rPr>
        <w:t>rece</w:t>
      </w:r>
      <w:r w:rsidR="003477EF">
        <w:rPr>
          <w:rFonts w:asciiTheme="majorHAnsi" w:eastAsia="Calibri" w:hAnsiTheme="majorHAnsi" w:cstheme="majorHAnsi"/>
          <w:lang w:val="en-US"/>
        </w:rPr>
        <w:t>ive</w:t>
      </w:r>
      <w:r w:rsidR="005B7D51" w:rsidRPr="007A1A95">
        <w:rPr>
          <w:rFonts w:asciiTheme="majorHAnsi" w:eastAsia="Calibri" w:hAnsiTheme="majorHAnsi" w:cstheme="majorHAnsi"/>
          <w:lang w:val="en-US"/>
        </w:rPr>
        <w:t xml:space="preserve"> </w:t>
      </w:r>
      <w:r w:rsidR="0062790D" w:rsidRPr="007A1A95">
        <w:rPr>
          <w:rFonts w:asciiTheme="majorHAnsi" w:eastAsia="Calibri" w:hAnsiTheme="majorHAnsi" w:cstheme="majorHAnsi"/>
          <w:lang w:val="en-US"/>
        </w:rPr>
        <w:t xml:space="preserve">a </w:t>
      </w:r>
      <w:r w:rsidR="005B7D51" w:rsidRPr="007A1A95">
        <w:rPr>
          <w:rFonts w:asciiTheme="majorHAnsi" w:eastAsia="Calibri" w:hAnsiTheme="majorHAnsi" w:cstheme="majorHAnsi"/>
          <w:lang w:val="en-US"/>
        </w:rPr>
        <w:t>H</w:t>
      </w:r>
      <w:r w:rsidR="00B50E7C" w:rsidRPr="007A1A95">
        <w:rPr>
          <w:rFonts w:asciiTheme="majorHAnsi" w:eastAsia="Calibri" w:hAnsiTheme="majorHAnsi" w:cstheme="majorHAnsi"/>
          <w:lang w:val="en-US"/>
        </w:rPr>
        <w:t>igher Degree by Research</w:t>
      </w:r>
      <w:r w:rsidR="005B7D51" w:rsidRPr="007A1A95">
        <w:rPr>
          <w:rFonts w:asciiTheme="majorHAnsi" w:eastAsia="Calibri" w:hAnsiTheme="majorHAnsi" w:cstheme="majorHAnsi"/>
          <w:lang w:val="en-US"/>
        </w:rPr>
        <w:t xml:space="preserve"> stipend and/or project support</w:t>
      </w:r>
    </w:p>
    <w:p w14:paraId="6A22C1FA" w14:textId="43C1958B" w:rsidR="0016610D" w:rsidRPr="007A1A95" w:rsidRDefault="0016610D" w:rsidP="00FC05D4">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 xml:space="preserve">adjusting final report </w:t>
      </w:r>
      <w:r w:rsidR="00596414">
        <w:rPr>
          <w:rFonts w:asciiTheme="majorHAnsi" w:eastAsia="Calibri" w:hAnsiTheme="majorHAnsi" w:cstheme="majorHAnsi"/>
          <w:lang w:val="en-US"/>
        </w:rPr>
        <w:t xml:space="preserve">questions to include the total number of </w:t>
      </w:r>
      <w:r w:rsidR="00B80596">
        <w:rPr>
          <w:rFonts w:asciiTheme="majorHAnsi" w:eastAsia="Calibri" w:hAnsiTheme="majorHAnsi" w:cstheme="majorHAnsi"/>
          <w:lang w:val="en-US"/>
        </w:rPr>
        <w:t>research trainees supported</w:t>
      </w:r>
      <w:r w:rsidR="00365EB6">
        <w:rPr>
          <w:rFonts w:asciiTheme="majorHAnsi" w:eastAsia="Calibri" w:hAnsiTheme="majorHAnsi" w:cstheme="majorHAnsi"/>
          <w:lang w:val="en-US"/>
        </w:rPr>
        <w:t>—</w:t>
      </w:r>
      <w:r w:rsidR="00E66BF7">
        <w:rPr>
          <w:rFonts w:asciiTheme="majorHAnsi" w:eastAsia="Calibri" w:hAnsiTheme="majorHAnsi" w:cstheme="majorHAnsi"/>
          <w:lang w:val="en-US"/>
        </w:rPr>
        <w:t>to measure against data collected from applications</w:t>
      </w:r>
      <w:r w:rsidR="00365EB6">
        <w:rPr>
          <w:rFonts w:asciiTheme="majorHAnsi" w:eastAsia="Calibri" w:hAnsiTheme="majorHAnsi" w:cstheme="majorHAnsi"/>
          <w:lang w:val="en-US"/>
        </w:rPr>
        <w:t>, and support ass</w:t>
      </w:r>
      <w:r w:rsidR="00B80613">
        <w:rPr>
          <w:rFonts w:asciiTheme="majorHAnsi" w:eastAsia="Calibri" w:hAnsiTheme="majorHAnsi" w:cstheme="majorHAnsi"/>
          <w:lang w:val="en-US"/>
        </w:rPr>
        <w:t>essment of the overall scale of research training delivered under the scheme</w:t>
      </w:r>
    </w:p>
    <w:p w14:paraId="24D5A010" w14:textId="27FFE1DB" w:rsidR="008F68AE" w:rsidRDefault="00DD26BF" w:rsidP="008F68AE">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a</w:t>
      </w:r>
      <w:r w:rsidR="003135FF">
        <w:rPr>
          <w:rFonts w:asciiTheme="majorHAnsi" w:eastAsia="Calibri" w:hAnsiTheme="majorHAnsi" w:cstheme="majorHAnsi"/>
          <w:lang w:val="en-US"/>
        </w:rPr>
        <w:t xml:space="preserve">mending application forms to allow researchers to indicate whether their project will address </w:t>
      </w:r>
      <w:r w:rsidR="0064777F">
        <w:rPr>
          <w:rFonts w:asciiTheme="majorHAnsi" w:eastAsia="Calibri" w:hAnsiTheme="majorHAnsi" w:cstheme="majorHAnsi"/>
          <w:lang w:val="en-US"/>
        </w:rPr>
        <w:t>an Australian Government priority area beyond the National Science and Research Priorities</w:t>
      </w:r>
      <w:r w:rsidR="00B3422B">
        <w:rPr>
          <w:rFonts w:asciiTheme="majorHAnsi" w:eastAsia="Calibri" w:hAnsiTheme="majorHAnsi" w:cstheme="majorHAnsi"/>
          <w:lang w:val="en-US"/>
        </w:rPr>
        <w:t>—</w:t>
      </w:r>
      <w:r w:rsidR="0064777F">
        <w:rPr>
          <w:rFonts w:asciiTheme="majorHAnsi" w:eastAsia="Calibri" w:hAnsiTheme="majorHAnsi" w:cstheme="majorHAnsi"/>
          <w:lang w:val="en-US"/>
        </w:rPr>
        <w:t>to align with recent changes to the scheme’s objectives</w:t>
      </w:r>
    </w:p>
    <w:p w14:paraId="75C7BB53" w14:textId="4B393091" w:rsidR="008F68AE" w:rsidRPr="00EA78E1" w:rsidRDefault="008F68AE" w:rsidP="007057E6">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sidRPr="00FC1C44">
        <w:rPr>
          <w:rFonts w:asciiTheme="majorHAnsi" w:eastAsia="Calibri" w:hAnsiTheme="majorHAnsi" w:cstheme="majorHAnsi"/>
          <w:lang w:val="en-US"/>
        </w:rPr>
        <w:t>adjusting final report</w:t>
      </w:r>
      <w:r w:rsidR="00365EB6">
        <w:rPr>
          <w:rFonts w:asciiTheme="majorHAnsi" w:eastAsia="Calibri" w:hAnsiTheme="majorHAnsi" w:cstheme="majorHAnsi"/>
          <w:lang w:val="en-US"/>
        </w:rPr>
        <w:t xml:space="preserve">s </w:t>
      </w:r>
      <w:r w:rsidRPr="00FC1C44">
        <w:rPr>
          <w:rFonts w:asciiTheme="majorHAnsi" w:eastAsia="Calibri" w:hAnsiTheme="majorHAnsi" w:cstheme="majorHAnsi"/>
          <w:lang w:val="en-US"/>
        </w:rPr>
        <w:t xml:space="preserve">to </w:t>
      </w:r>
      <w:r w:rsidR="00EA78E1" w:rsidRPr="00FC1C44">
        <w:rPr>
          <w:rFonts w:asciiTheme="majorHAnsi" w:eastAsia="Calibri" w:hAnsiTheme="majorHAnsi" w:cstheme="majorHAnsi"/>
          <w:lang w:val="en-US"/>
        </w:rPr>
        <w:t xml:space="preserve">include response options </w:t>
      </w:r>
      <w:r w:rsidRPr="00EA78E1">
        <w:rPr>
          <w:rFonts w:asciiTheme="majorHAnsi" w:eastAsia="Calibri" w:hAnsiTheme="majorHAnsi" w:cstheme="majorHAnsi"/>
          <w:lang w:val="en-US"/>
        </w:rPr>
        <w:t>in the Benefits section that cover all scheme intended outcomes—</w:t>
      </w:r>
      <w:r w:rsidR="00365EB6">
        <w:rPr>
          <w:rFonts w:asciiTheme="majorHAnsi" w:eastAsia="Calibri" w:hAnsiTheme="majorHAnsi" w:cstheme="majorHAnsi"/>
          <w:lang w:val="en-US"/>
        </w:rPr>
        <w:t>specifically</w:t>
      </w:r>
      <w:r w:rsidRPr="00FC1C44">
        <w:rPr>
          <w:rFonts w:asciiTheme="majorHAnsi" w:eastAsia="Calibri" w:hAnsiTheme="majorHAnsi" w:cstheme="majorHAnsi"/>
          <w:lang w:val="en-US"/>
        </w:rPr>
        <w:t xml:space="preserve">, adding options to indicate </w:t>
      </w:r>
      <w:r w:rsidRPr="00EA78E1">
        <w:rPr>
          <w:rFonts w:asciiTheme="majorHAnsi" w:eastAsia="Calibri" w:hAnsiTheme="majorHAnsi" w:cstheme="majorHAnsi"/>
          <w:lang w:val="en-US"/>
        </w:rPr>
        <w:t xml:space="preserve">whether a project contributed to expanding Australia’s knowledge base or delivered commercial benefits </w:t>
      </w:r>
    </w:p>
    <w:p w14:paraId="7973C62D" w14:textId="1E8845A2" w:rsidR="001240CD" w:rsidRPr="003135FF" w:rsidRDefault="00D0775E" w:rsidP="003135FF">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 xml:space="preserve">consider </w:t>
      </w:r>
      <w:r w:rsidR="00167F43">
        <w:rPr>
          <w:rFonts w:asciiTheme="majorHAnsi" w:eastAsia="Calibri" w:hAnsiTheme="majorHAnsi" w:cstheme="majorHAnsi"/>
          <w:lang w:val="en-US"/>
        </w:rPr>
        <w:t>options</w:t>
      </w:r>
      <w:r>
        <w:rPr>
          <w:rFonts w:asciiTheme="majorHAnsi" w:eastAsia="Calibri" w:hAnsiTheme="majorHAnsi" w:cstheme="majorHAnsi"/>
          <w:lang w:val="en-US"/>
        </w:rPr>
        <w:t xml:space="preserve"> to </w:t>
      </w:r>
      <w:r w:rsidR="005B7D51" w:rsidRPr="005B7D51">
        <w:rPr>
          <w:rFonts w:asciiTheme="majorHAnsi" w:eastAsia="Calibri" w:hAnsiTheme="majorHAnsi" w:cstheme="majorHAnsi"/>
          <w:lang w:val="en-US"/>
        </w:rPr>
        <w:t xml:space="preserve">expand available </w:t>
      </w:r>
      <w:r w:rsidR="00402665">
        <w:rPr>
          <w:rFonts w:asciiTheme="majorHAnsi" w:eastAsia="Calibri" w:hAnsiTheme="majorHAnsi" w:cstheme="majorHAnsi"/>
          <w:lang w:val="en-US"/>
        </w:rPr>
        <w:t>funding data</w:t>
      </w:r>
      <w:r w:rsidR="005B7D51" w:rsidRPr="005B7D51">
        <w:rPr>
          <w:rFonts w:asciiTheme="majorHAnsi" w:eastAsia="Calibri" w:hAnsiTheme="majorHAnsi" w:cstheme="majorHAnsi"/>
          <w:lang w:val="en-US"/>
        </w:rPr>
        <w:t xml:space="preserve"> in relation to specific budget items</w:t>
      </w:r>
      <w:r>
        <w:rPr>
          <w:rFonts w:asciiTheme="majorHAnsi" w:eastAsia="Calibri" w:hAnsiTheme="majorHAnsi" w:cstheme="majorHAnsi"/>
          <w:lang w:val="en-US"/>
        </w:rPr>
        <w:t>, while ensuring researchers have the flexibility of a one-line budget</w:t>
      </w:r>
      <w:r w:rsidR="00826B37">
        <w:rPr>
          <w:rFonts w:asciiTheme="majorHAnsi" w:eastAsia="Calibri" w:hAnsiTheme="majorHAnsi" w:cstheme="majorHAnsi"/>
          <w:lang w:val="en-US"/>
        </w:rPr>
        <w:t xml:space="preserve"> and </w:t>
      </w:r>
      <w:r w:rsidR="00D46CB1">
        <w:rPr>
          <w:rFonts w:asciiTheme="majorHAnsi" w:eastAsia="Calibri" w:hAnsiTheme="majorHAnsi" w:cstheme="majorHAnsi"/>
          <w:lang w:val="en-US"/>
        </w:rPr>
        <w:t xml:space="preserve">avoiding </w:t>
      </w:r>
      <w:r w:rsidR="00516345">
        <w:rPr>
          <w:rFonts w:asciiTheme="majorHAnsi" w:eastAsia="Calibri" w:hAnsiTheme="majorHAnsi" w:cstheme="majorHAnsi"/>
          <w:lang w:val="en-US"/>
        </w:rPr>
        <w:t xml:space="preserve">the creation of </w:t>
      </w:r>
      <w:r w:rsidR="00D46CB1">
        <w:rPr>
          <w:rFonts w:asciiTheme="majorHAnsi" w:eastAsia="Calibri" w:hAnsiTheme="majorHAnsi" w:cstheme="majorHAnsi"/>
          <w:lang w:val="en-US"/>
        </w:rPr>
        <w:t xml:space="preserve">additional </w:t>
      </w:r>
      <w:r w:rsidR="00516345">
        <w:rPr>
          <w:rFonts w:asciiTheme="majorHAnsi" w:eastAsia="Calibri" w:hAnsiTheme="majorHAnsi" w:cstheme="majorHAnsi"/>
          <w:lang w:val="en-US"/>
        </w:rPr>
        <w:t xml:space="preserve">administrative burden for </w:t>
      </w:r>
      <w:r w:rsidR="003477EF">
        <w:rPr>
          <w:rFonts w:asciiTheme="majorHAnsi" w:eastAsia="Calibri" w:hAnsiTheme="majorHAnsi" w:cstheme="majorHAnsi"/>
          <w:lang w:val="en-US"/>
        </w:rPr>
        <w:t xml:space="preserve">university </w:t>
      </w:r>
      <w:r w:rsidR="00516345">
        <w:rPr>
          <w:rFonts w:asciiTheme="majorHAnsi" w:eastAsia="Calibri" w:hAnsiTheme="majorHAnsi" w:cstheme="majorHAnsi"/>
          <w:lang w:val="en-US"/>
        </w:rPr>
        <w:t>research offices</w:t>
      </w:r>
    </w:p>
    <w:p w14:paraId="7DC7F16B" w14:textId="1312F38A" w:rsidR="00520AA0" w:rsidRPr="00681282" w:rsidRDefault="0676726A" w:rsidP="00281670">
      <w:pPr>
        <w:numPr>
          <w:ilvl w:val="0"/>
          <w:numId w:val="28"/>
        </w:numPr>
        <w:shd w:val="clear" w:color="auto" w:fill="FFFFFF" w:themeFill="background1"/>
        <w:spacing w:before="60" w:after="60"/>
        <w:ind w:left="714" w:hanging="357"/>
        <w:rPr>
          <w:rFonts w:asciiTheme="majorHAnsi" w:eastAsia="Calibri" w:hAnsiTheme="majorHAnsi" w:cstheme="majorBidi"/>
          <w:lang w:val="en-US"/>
        </w:rPr>
      </w:pPr>
      <w:r w:rsidRPr="73E46CCC">
        <w:rPr>
          <w:rFonts w:asciiTheme="majorHAnsi" w:eastAsia="Calibri" w:hAnsiTheme="majorHAnsi" w:cstheme="majorBidi"/>
          <w:lang w:val="en-US"/>
        </w:rPr>
        <w:t>consider options to collect further data on the experiences of research</w:t>
      </w:r>
      <w:r w:rsidR="00681282" w:rsidRPr="73E46CCC">
        <w:rPr>
          <w:rFonts w:asciiTheme="majorHAnsi" w:eastAsia="Calibri" w:hAnsiTheme="majorHAnsi" w:cstheme="majorBidi"/>
          <w:lang w:val="en-US"/>
        </w:rPr>
        <w:t xml:space="preserve"> trainees involved in research supported by Discovery Projects—</w:t>
      </w:r>
      <w:r w:rsidR="509D7516" w:rsidRPr="73E46CCC">
        <w:rPr>
          <w:rFonts w:asciiTheme="majorHAnsi" w:eastAsia="Calibri" w:hAnsiTheme="majorHAnsi" w:cstheme="majorBidi"/>
          <w:lang w:val="en-US"/>
        </w:rPr>
        <w:t xml:space="preserve">potentially through </w:t>
      </w:r>
      <w:r w:rsidR="509D7516" w:rsidRPr="11273B39">
        <w:rPr>
          <w:rFonts w:asciiTheme="majorHAnsi" w:eastAsia="Calibri" w:hAnsiTheme="majorHAnsi" w:cstheme="majorBidi"/>
          <w:lang w:val="en-US"/>
        </w:rPr>
        <w:t xml:space="preserve">short </w:t>
      </w:r>
      <w:r w:rsidR="509D7516" w:rsidRPr="73E46CCC">
        <w:rPr>
          <w:rFonts w:asciiTheme="majorHAnsi" w:eastAsia="Calibri" w:hAnsiTheme="majorHAnsi" w:cstheme="majorBidi"/>
          <w:lang w:val="en-US"/>
        </w:rPr>
        <w:t>voluntary questionnaires or surveys</w:t>
      </w:r>
      <w:r w:rsidR="00681282" w:rsidRPr="73E46CCC">
        <w:rPr>
          <w:rFonts w:asciiTheme="majorHAnsi" w:eastAsia="Calibri" w:hAnsiTheme="majorHAnsi" w:cstheme="majorBidi"/>
          <w:lang w:val="en-US"/>
        </w:rPr>
        <w:t xml:space="preserve">—to provide further insight on the nature and effectiveness of research training </w:t>
      </w:r>
      <w:r w:rsidR="00DA02CD">
        <w:rPr>
          <w:rFonts w:asciiTheme="majorHAnsi" w:eastAsia="Calibri" w:hAnsiTheme="majorHAnsi" w:cstheme="majorBidi"/>
          <w:lang w:val="en-US"/>
        </w:rPr>
        <w:t>under</w:t>
      </w:r>
      <w:r w:rsidR="00681282" w:rsidRPr="73E46CCC">
        <w:rPr>
          <w:rFonts w:asciiTheme="majorHAnsi" w:eastAsia="Calibri" w:hAnsiTheme="majorHAnsi" w:cstheme="majorBidi"/>
          <w:lang w:val="en-US"/>
        </w:rPr>
        <w:t xml:space="preserve"> the scheme (this opportunity may be considered more broadly across the N</w:t>
      </w:r>
      <w:r w:rsidR="009F44F0">
        <w:rPr>
          <w:rFonts w:asciiTheme="majorHAnsi" w:eastAsia="Calibri" w:hAnsiTheme="majorHAnsi" w:cstheme="majorBidi"/>
          <w:lang w:val="en-US"/>
        </w:rPr>
        <w:t>CGP</w:t>
      </w:r>
      <w:r w:rsidR="00681282" w:rsidRPr="73E46CCC">
        <w:rPr>
          <w:rFonts w:asciiTheme="majorHAnsi" w:eastAsia="Calibri" w:hAnsiTheme="majorHAnsi" w:cstheme="majorBidi"/>
          <w:lang w:val="en-US"/>
        </w:rPr>
        <w:t>)</w:t>
      </w:r>
      <w:r w:rsidR="00747EA4" w:rsidRPr="73E46CCC">
        <w:rPr>
          <w:rFonts w:asciiTheme="majorHAnsi" w:eastAsia="Calibri" w:hAnsiTheme="majorHAnsi" w:cstheme="majorBidi"/>
          <w:lang w:val="en-US"/>
        </w:rPr>
        <w:t xml:space="preserve"> </w:t>
      </w:r>
    </w:p>
    <w:p w14:paraId="7A859B04" w14:textId="3EA77F49" w:rsidR="00520AA0" w:rsidRPr="002573BB" w:rsidRDefault="00D840BC" w:rsidP="00FC05D4">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Pr>
          <w:rFonts w:asciiTheme="majorHAnsi" w:eastAsia="Calibri" w:hAnsiTheme="majorHAnsi" w:cstheme="majorHAnsi"/>
          <w:lang w:val="en-US"/>
        </w:rPr>
        <w:t>improving consistency</w:t>
      </w:r>
      <w:r w:rsidR="00AB29FC">
        <w:rPr>
          <w:rFonts w:asciiTheme="majorHAnsi" w:eastAsia="Calibri" w:hAnsiTheme="majorHAnsi" w:cstheme="majorHAnsi"/>
          <w:lang w:val="en-US"/>
        </w:rPr>
        <w:t xml:space="preserve"> over time in </w:t>
      </w:r>
      <w:r w:rsidR="00EB77EF">
        <w:rPr>
          <w:rFonts w:asciiTheme="majorHAnsi" w:eastAsia="Calibri" w:hAnsiTheme="majorHAnsi" w:cstheme="majorHAnsi"/>
          <w:lang w:val="en-US"/>
        </w:rPr>
        <w:t>data collection</w:t>
      </w:r>
      <w:r w:rsidR="00AB604C">
        <w:rPr>
          <w:rFonts w:asciiTheme="majorHAnsi" w:eastAsia="Calibri" w:hAnsiTheme="majorHAnsi" w:cstheme="majorHAnsi"/>
          <w:lang w:val="en-US"/>
        </w:rPr>
        <w:t xml:space="preserve"> through</w:t>
      </w:r>
      <w:r w:rsidR="007C2048">
        <w:rPr>
          <w:rFonts w:asciiTheme="majorHAnsi" w:eastAsia="Calibri" w:hAnsiTheme="majorHAnsi" w:cstheme="majorHAnsi"/>
          <w:lang w:val="en-US"/>
        </w:rPr>
        <w:t xml:space="preserve"> applications,</w:t>
      </w:r>
      <w:r w:rsidR="00520AA0" w:rsidRPr="002573BB">
        <w:rPr>
          <w:rFonts w:asciiTheme="majorHAnsi" w:eastAsia="Calibri" w:hAnsiTheme="majorHAnsi" w:cstheme="majorHAnsi"/>
          <w:lang w:val="en-US"/>
        </w:rPr>
        <w:t xml:space="preserve"> final reports and variation requests</w:t>
      </w:r>
      <w:r w:rsidR="00B3422B">
        <w:rPr>
          <w:rFonts w:asciiTheme="majorHAnsi" w:eastAsia="Calibri" w:hAnsiTheme="majorHAnsi" w:cstheme="majorHAnsi"/>
          <w:lang w:val="en-US"/>
        </w:rPr>
        <w:t>—</w:t>
      </w:r>
      <w:r w:rsidR="00520AA0" w:rsidRPr="002573BB">
        <w:rPr>
          <w:rFonts w:asciiTheme="majorHAnsi" w:eastAsia="Calibri" w:hAnsiTheme="majorHAnsi" w:cstheme="majorHAnsi"/>
          <w:lang w:val="en-US"/>
        </w:rPr>
        <w:t xml:space="preserve">to enhance the </w:t>
      </w:r>
      <w:r w:rsidR="00AB604C">
        <w:rPr>
          <w:rFonts w:asciiTheme="majorHAnsi" w:eastAsia="Calibri" w:hAnsiTheme="majorHAnsi" w:cstheme="majorHAnsi"/>
          <w:lang w:val="en-US"/>
        </w:rPr>
        <w:t xml:space="preserve">ARC’s ability to monitor and </w:t>
      </w:r>
      <w:proofErr w:type="spellStart"/>
      <w:r w:rsidR="00AB604C">
        <w:rPr>
          <w:rFonts w:asciiTheme="majorHAnsi" w:eastAsia="Calibri" w:hAnsiTheme="majorHAnsi" w:cstheme="majorHAnsi"/>
          <w:lang w:val="en-US"/>
        </w:rPr>
        <w:t>analyse</w:t>
      </w:r>
      <w:proofErr w:type="spellEnd"/>
      <w:r w:rsidR="00AB604C">
        <w:rPr>
          <w:rFonts w:asciiTheme="majorHAnsi" w:eastAsia="Calibri" w:hAnsiTheme="majorHAnsi" w:cstheme="majorHAnsi"/>
          <w:lang w:val="en-US"/>
        </w:rPr>
        <w:t xml:space="preserve"> the scheme’s </w:t>
      </w:r>
      <w:r w:rsidR="00CA55FD">
        <w:rPr>
          <w:rFonts w:asciiTheme="majorHAnsi" w:eastAsia="Calibri" w:hAnsiTheme="majorHAnsi" w:cstheme="majorHAnsi"/>
          <w:lang w:val="en-US"/>
        </w:rPr>
        <w:t xml:space="preserve">performance over a longer </w:t>
      </w:r>
      <w:r w:rsidR="00520AA0" w:rsidRPr="002573BB">
        <w:rPr>
          <w:rFonts w:asciiTheme="majorHAnsi" w:eastAsia="Calibri" w:hAnsiTheme="majorHAnsi" w:cstheme="majorHAnsi"/>
          <w:lang w:val="en-US"/>
        </w:rPr>
        <w:t>timescale</w:t>
      </w:r>
      <w:r w:rsidR="00520AA0">
        <w:rPr>
          <w:rFonts w:asciiTheme="majorHAnsi" w:eastAsia="Calibri" w:hAnsiTheme="majorHAnsi" w:cstheme="majorHAnsi"/>
          <w:lang w:val="en-US"/>
        </w:rPr>
        <w:t>.</w:t>
      </w:r>
    </w:p>
    <w:p w14:paraId="297E8CFF" w14:textId="30314BFD" w:rsidR="00EA1F05" w:rsidRPr="00EA1F05" w:rsidRDefault="15470A23" w:rsidP="4390EBBA">
      <w:pPr>
        <w:shd w:val="clear" w:color="auto" w:fill="FFFFFF" w:themeFill="background1"/>
        <w:spacing w:before="360"/>
        <w:rPr>
          <w:rFonts w:asciiTheme="majorHAnsi" w:hAnsiTheme="majorHAnsi" w:cstheme="majorBidi"/>
          <w:b/>
          <w:bCs/>
          <w:i/>
          <w:iCs/>
          <w:sz w:val="26"/>
          <w:szCs w:val="26"/>
          <w:lang w:val="en-US"/>
        </w:rPr>
      </w:pPr>
      <w:r w:rsidRPr="4390EBBA">
        <w:rPr>
          <w:rFonts w:asciiTheme="majorHAnsi" w:eastAsia="Calibri" w:hAnsiTheme="majorHAnsi" w:cstheme="majorBidi"/>
          <w:b/>
          <w:bCs/>
          <w:i/>
          <w:iCs/>
          <w:sz w:val="26"/>
          <w:szCs w:val="26"/>
          <w:lang w:val="en-US"/>
        </w:rPr>
        <w:t xml:space="preserve">Opportunity Four: </w:t>
      </w:r>
      <w:r w:rsidR="1AFF2870" w:rsidRPr="4390EBBA">
        <w:rPr>
          <w:rFonts w:asciiTheme="majorHAnsi" w:eastAsia="Calibri" w:hAnsiTheme="majorHAnsi" w:cstheme="majorBidi"/>
          <w:b/>
          <w:bCs/>
          <w:i/>
          <w:iCs/>
          <w:sz w:val="26"/>
          <w:szCs w:val="26"/>
          <w:lang w:val="en-US"/>
        </w:rPr>
        <w:t>P</w:t>
      </w:r>
      <w:r w:rsidR="141DA52F" w:rsidRPr="4390EBBA">
        <w:rPr>
          <w:rFonts w:asciiTheme="majorHAnsi" w:eastAsia="Calibri" w:hAnsiTheme="majorHAnsi" w:cstheme="majorBidi"/>
          <w:b/>
          <w:bCs/>
          <w:i/>
          <w:iCs/>
          <w:sz w:val="26"/>
          <w:szCs w:val="26"/>
          <w:lang w:val="en-US"/>
        </w:rPr>
        <w:t>otential</w:t>
      </w:r>
      <w:r w:rsidR="3661C0E2" w:rsidRPr="4390EBBA">
        <w:rPr>
          <w:rFonts w:asciiTheme="majorHAnsi" w:eastAsia="Calibri" w:hAnsiTheme="majorHAnsi" w:cstheme="majorBidi"/>
          <w:b/>
          <w:bCs/>
          <w:i/>
          <w:iCs/>
          <w:sz w:val="26"/>
          <w:szCs w:val="26"/>
          <w:lang w:val="en-US"/>
        </w:rPr>
        <w:t xml:space="preserve"> options to provide aggregated feedback on Selection Advisory Committee </w:t>
      </w:r>
      <w:r w:rsidR="2AE8E224" w:rsidRPr="4390EBBA">
        <w:rPr>
          <w:rFonts w:asciiTheme="majorHAnsi" w:eastAsia="Calibri" w:hAnsiTheme="majorHAnsi" w:cstheme="majorBidi"/>
          <w:b/>
          <w:bCs/>
          <w:i/>
          <w:iCs/>
          <w:sz w:val="26"/>
          <w:szCs w:val="26"/>
          <w:lang w:val="en-US"/>
        </w:rPr>
        <w:t>assessments</w:t>
      </w:r>
    </w:p>
    <w:p w14:paraId="76F3E44E" w14:textId="7491A362" w:rsidR="00EA1F05" w:rsidRPr="007057E6" w:rsidRDefault="2AE8E224" w:rsidP="4390EBBA">
      <w:pPr>
        <w:rPr>
          <w:rFonts w:asciiTheme="majorHAnsi" w:hAnsiTheme="majorHAnsi" w:cstheme="majorBidi"/>
          <w:lang w:val="en-US"/>
        </w:rPr>
      </w:pPr>
      <w:r w:rsidRPr="4390EBBA">
        <w:rPr>
          <w:rFonts w:asciiTheme="majorHAnsi" w:hAnsiTheme="majorHAnsi" w:cstheme="majorBidi"/>
          <w:lang w:val="en-US"/>
        </w:rPr>
        <w:t xml:space="preserve">Subject to </w:t>
      </w:r>
      <w:r w:rsidR="4F8E2DB4" w:rsidRPr="4390EBBA">
        <w:rPr>
          <w:rFonts w:asciiTheme="majorHAnsi" w:hAnsiTheme="majorHAnsi" w:cstheme="majorBidi"/>
          <w:lang w:val="en-US"/>
        </w:rPr>
        <w:t>consideration</w:t>
      </w:r>
      <w:r w:rsidR="57E1F032" w:rsidRPr="4390EBBA">
        <w:rPr>
          <w:rFonts w:asciiTheme="majorHAnsi" w:hAnsiTheme="majorHAnsi" w:cstheme="majorBidi"/>
          <w:lang w:val="en-US"/>
        </w:rPr>
        <w:t xml:space="preserve"> </w:t>
      </w:r>
      <w:r w:rsidR="7627DFC8" w:rsidRPr="4390EBBA">
        <w:rPr>
          <w:rFonts w:asciiTheme="majorHAnsi" w:hAnsiTheme="majorHAnsi" w:cstheme="majorBidi"/>
          <w:lang w:val="en-US"/>
        </w:rPr>
        <w:t xml:space="preserve">by the ARC </w:t>
      </w:r>
      <w:r w:rsidR="57E1F032" w:rsidRPr="4390EBBA">
        <w:rPr>
          <w:rFonts w:asciiTheme="majorHAnsi" w:hAnsiTheme="majorHAnsi" w:cstheme="majorBidi"/>
          <w:lang w:val="en-US"/>
        </w:rPr>
        <w:t>of feasibility</w:t>
      </w:r>
      <w:r w:rsidR="37B13190" w:rsidRPr="4390EBBA">
        <w:rPr>
          <w:rFonts w:asciiTheme="majorHAnsi" w:hAnsiTheme="majorHAnsi" w:cstheme="majorBidi"/>
          <w:lang w:val="en-US"/>
        </w:rPr>
        <w:t xml:space="preserve"> and </w:t>
      </w:r>
      <w:r w:rsidR="57E1F032" w:rsidRPr="4390EBBA">
        <w:rPr>
          <w:rFonts w:asciiTheme="majorHAnsi" w:hAnsiTheme="majorHAnsi" w:cstheme="majorBidi"/>
          <w:lang w:val="en-US"/>
        </w:rPr>
        <w:t>appropriateness</w:t>
      </w:r>
      <w:r w:rsidR="7627DFC8" w:rsidRPr="4390EBBA">
        <w:rPr>
          <w:rFonts w:asciiTheme="majorHAnsi" w:hAnsiTheme="majorHAnsi" w:cstheme="majorBidi"/>
          <w:lang w:val="en-US"/>
        </w:rPr>
        <w:t xml:space="preserve">, there may be an opportunity to </w:t>
      </w:r>
      <w:r w:rsidR="647D4FCE" w:rsidRPr="4390EBBA">
        <w:rPr>
          <w:rFonts w:asciiTheme="majorHAnsi" w:hAnsiTheme="majorHAnsi" w:cstheme="majorBidi"/>
          <w:lang w:val="en-US"/>
        </w:rPr>
        <w:t xml:space="preserve">investigate the </w:t>
      </w:r>
      <w:r w:rsidR="3661C0E2" w:rsidRPr="4390EBBA">
        <w:rPr>
          <w:rFonts w:asciiTheme="majorHAnsi" w:hAnsiTheme="majorHAnsi" w:cstheme="majorBidi"/>
          <w:lang w:val="en-US"/>
        </w:rPr>
        <w:t>develop</w:t>
      </w:r>
      <w:r w:rsidR="7B0E6C30" w:rsidRPr="4390EBBA">
        <w:rPr>
          <w:rFonts w:asciiTheme="majorHAnsi" w:hAnsiTheme="majorHAnsi" w:cstheme="majorBidi"/>
          <w:lang w:val="en-US"/>
        </w:rPr>
        <w:t>ment of</w:t>
      </w:r>
      <w:r w:rsidR="3661C0E2" w:rsidRPr="4390EBBA">
        <w:rPr>
          <w:rFonts w:asciiTheme="majorHAnsi" w:hAnsiTheme="majorHAnsi" w:cstheme="majorBidi"/>
          <w:lang w:val="en-US"/>
        </w:rPr>
        <w:t xml:space="preserve"> brief reports </w:t>
      </w:r>
      <w:proofErr w:type="spellStart"/>
      <w:r w:rsidR="3661C0E2" w:rsidRPr="4390EBBA">
        <w:rPr>
          <w:rFonts w:asciiTheme="majorHAnsi" w:hAnsiTheme="majorHAnsi" w:cstheme="majorBidi"/>
          <w:lang w:val="en-US"/>
        </w:rPr>
        <w:t>summarising</w:t>
      </w:r>
      <w:proofErr w:type="spellEnd"/>
      <w:r w:rsidR="3661C0E2" w:rsidRPr="4390EBBA">
        <w:rPr>
          <w:rFonts w:asciiTheme="majorHAnsi" w:hAnsiTheme="majorHAnsi" w:cstheme="majorBidi"/>
          <w:lang w:val="en-US"/>
        </w:rPr>
        <w:t xml:space="preserve"> overall issues, considerations and/or concerns emerging </w:t>
      </w:r>
      <w:r w:rsidR="435FF6EE" w:rsidRPr="4390EBBA">
        <w:rPr>
          <w:rFonts w:asciiTheme="majorHAnsi" w:hAnsiTheme="majorHAnsi" w:cstheme="majorBidi"/>
          <w:lang w:val="en-US"/>
        </w:rPr>
        <w:t>in</w:t>
      </w:r>
      <w:r w:rsidR="3661C0E2" w:rsidRPr="4390EBBA">
        <w:rPr>
          <w:rFonts w:asciiTheme="majorHAnsi" w:hAnsiTheme="majorHAnsi" w:cstheme="majorBidi"/>
          <w:lang w:val="en-US"/>
        </w:rPr>
        <w:t xml:space="preserve"> Selection Advisory Committe</w:t>
      </w:r>
      <w:r w:rsidR="33EDF365" w:rsidRPr="4390EBBA">
        <w:rPr>
          <w:rFonts w:asciiTheme="majorHAnsi" w:hAnsiTheme="majorHAnsi" w:cstheme="majorBidi"/>
          <w:lang w:val="en-US"/>
        </w:rPr>
        <w:t xml:space="preserve">e </w:t>
      </w:r>
      <w:r w:rsidR="435FF6EE" w:rsidRPr="4390EBBA">
        <w:rPr>
          <w:rFonts w:asciiTheme="majorHAnsi" w:hAnsiTheme="majorHAnsi" w:cstheme="majorBidi"/>
          <w:lang w:val="en-US"/>
        </w:rPr>
        <w:t>deliberations</w:t>
      </w:r>
      <w:r w:rsidR="49CC7090" w:rsidRPr="4390EBBA">
        <w:rPr>
          <w:rFonts w:asciiTheme="majorHAnsi" w:hAnsiTheme="majorHAnsi" w:cstheme="majorBidi"/>
          <w:lang w:val="en-US"/>
        </w:rPr>
        <w:t xml:space="preserve"> </w:t>
      </w:r>
      <w:r w:rsidR="0BAD1AF9" w:rsidRPr="4390EBBA">
        <w:rPr>
          <w:rFonts w:asciiTheme="majorHAnsi" w:hAnsiTheme="majorHAnsi" w:cstheme="majorBidi"/>
          <w:lang w:val="en-US"/>
        </w:rPr>
        <w:t>during</w:t>
      </w:r>
      <w:r w:rsidR="49CC7090" w:rsidRPr="4390EBBA">
        <w:rPr>
          <w:rFonts w:asciiTheme="majorHAnsi" w:hAnsiTheme="majorHAnsi" w:cstheme="majorBidi"/>
          <w:lang w:val="en-US"/>
        </w:rPr>
        <w:t xml:space="preserve"> </w:t>
      </w:r>
      <w:r w:rsidR="461075CB" w:rsidRPr="4390EBBA">
        <w:rPr>
          <w:rFonts w:asciiTheme="majorHAnsi" w:hAnsiTheme="majorHAnsi" w:cstheme="majorBidi"/>
          <w:lang w:val="en-US"/>
        </w:rPr>
        <w:t>a Discovery Projects round</w:t>
      </w:r>
      <w:r w:rsidR="4F8E2DB4" w:rsidRPr="4390EBBA">
        <w:rPr>
          <w:rFonts w:asciiTheme="majorHAnsi" w:hAnsiTheme="majorHAnsi" w:cstheme="majorBidi"/>
          <w:lang w:val="en-US"/>
        </w:rPr>
        <w:t>.</w:t>
      </w:r>
      <w:r w:rsidR="435FF6EE" w:rsidRPr="4390EBBA">
        <w:rPr>
          <w:rFonts w:asciiTheme="majorHAnsi" w:hAnsiTheme="majorHAnsi" w:cstheme="majorBidi"/>
          <w:lang w:val="en-US"/>
        </w:rPr>
        <w:t xml:space="preserve"> </w:t>
      </w:r>
      <w:r w:rsidR="05B4C418" w:rsidRPr="4390EBBA">
        <w:rPr>
          <w:rFonts w:asciiTheme="majorHAnsi" w:hAnsiTheme="majorHAnsi" w:cstheme="majorBidi"/>
          <w:lang w:val="en-US"/>
        </w:rPr>
        <w:t>These</w:t>
      </w:r>
      <w:r w:rsidR="435FF6EE" w:rsidRPr="4390EBBA">
        <w:rPr>
          <w:rFonts w:asciiTheme="majorHAnsi" w:hAnsiTheme="majorHAnsi" w:cstheme="majorBidi"/>
          <w:lang w:val="en-US"/>
        </w:rPr>
        <w:t xml:space="preserve"> reports </w:t>
      </w:r>
      <w:r w:rsidR="40E9F597" w:rsidRPr="4390EBBA">
        <w:rPr>
          <w:rFonts w:asciiTheme="majorHAnsi" w:hAnsiTheme="majorHAnsi" w:cstheme="majorBidi"/>
          <w:lang w:val="en-US"/>
        </w:rPr>
        <w:t>would not comment on the outcomes of individual applications</w:t>
      </w:r>
      <w:r w:rsidR="1DA8E72D" w:rsidRPr="4390EBBA">
        <w:rPr>
          <w:rFonts w:asciiTheme="majorHAnsi" w:hAnsiTheme="majorHAnsi" w:cstheme="majorBidi"/>
          <w:lang w:val="en-US"/>
        </w:rPr>
        <w:t xml:space="preserve">. However, they </w:t>
      </w:r>
      <w:r w:rsidR="40E9F597" w:rsidRPr="4390EBBA">
        <w:rPr>
          <w:rFonts w:asciiTheme="majorHAnsi" w:hAnsiTheme="majorHAnsi" w:cstheme="majorBidi"/>
          <w:lang w:val="en-US"/>
        </w:rPr>
        <w:t xml:space="preserve">may </w:t>
      </w:r>
      <w:r w:rsidR="574ECFD7" w:rsidRPr="4390EBBA">
        <w:rPr>
          <w:rFonts w:asciiTheme="majorHAnsi" w:hAnsiTheme="majorHAnsi" w:cstheme="majorBidi"/>
          <w:lang w:val="en-US"/>
        </w:rPr>
        <w:t>enhance the</w:t>
      </w:r>
      <w:r w:rsidR="3661C0E2" w:rsidRPr="4390EBBA">
        <w:rPr>
          <w:rFonts w:asciiTheme="majorHAnsi" w:hAnsiTheme="majorHAnsi" w:cstheme="majorBidi"/>
          <w:lang w:val="en-US"/>
        </w:rPr>
        <w:t xml:space="preserve"> transparency</w:t>
      </w:r>
      <w:r w:rsidR="007E0301">
        <w:rPr>
          <w:rFonts w:asciiTheme="majorHAnsi" w:hAnsiTheme="majorHAnsi" w:cstheme="majorBidi"/>
          <w:lang w:val="en-US"/>
        </w:rPr>
        <w:t xml:space="preserve"> and consistency</w:t>
      </w:r>
      <w:r w:rsidR="3661C0E2" w:rsidRPr="4390EBBA">
        <w:rPr>
          <w:rFonts w:asciiTheme="majorHAnsi" w:hAnsiTheme="majorHAnsi" w:cstheme="majorBidi"/>
          <w:lang w:val="en-US"/>
        </w:rPr>
        <w:t xml:space="preserve"> </w:t>
      </w:r>
      <w:r w:rsidR="6FD855E5" w:rsidRPr="4390EBBA">
        <w:rPr>
          <w:rFonts w:asciiTheme="majorHAnsi" w:hAnsiTheme="majorHAnsi" w:cstheme="majorBidi"/>
          <w:lang w:val="en-US"/>
        </w:rPr>
        <w:t>of</w:t>
      </w:r>
      <w:r w:rsidR="3661C0E2" w:rsidRPr="4390EBBA">
        <w:rPr>
          <w:rFonts w:asciiTheme="majorHAnsi" w:hAnsiTheme="majorHAnsi" w:cstheme="majorBidi"/>
          <w:lang w:val="en-US"/>
        </w:rPr>
        <w:t xml:space="preserve"> </w:t>
      </w:r>
      <w:r w:rsidR="2A9FD515" w:rsidRPr="4390EBBA">
        <w:rPr>
          <w:rFonts w:asciiTheme="majorHAnsi" w:hAnsiTheme="majorHAnsi" w:cstheme="majorBidi"/>
          <w:lang w:val="en-US"/>
        </w:rPr>
        <w:t xml:space="preserve">assessment </w:t>
      </w:r>
      <w:r w:rsidR="3661C0E2" w:rsidRPr="4390EBBA">
        <w:rPr>
          <w:rFonts w:asciiTheme="majorHAnsi" w:hAnsiTheme="majorHAnsi" w:cstheme="majorBidi"/>
          <w:lang w:val="en-US"/>
        </w:rPr>
        <w:t xml:space="preserve">processes and </w:t>
      </w:r>
      <w:r w:rsidR="58F0C9DB" w:rsidRPr="4390EBBA">
        <w:rPr>
          <w:rFonts w:asciiTheme="majorHAnsi" w:hAnsiTheme="majorHAnsi" w:cstheme="majorBidi"/>
          <w:lang w:val="en-US"/>
        </w:rPr>
        <w:t>support researchers</w:t>
      </w:r>
      <w:r w:rsidR="12EB9232" w:rsidRPr="4390EBBA">
        <w:rPr>
          <w:rFonts w:asciiTheme="majorHAnsi" w:hAnsiTheme="majorHAnsi" w:cstheme="majorBidi"/>
          <w:lang w:val="en-US"/>
        </w:rPr>
        <w:t xml:space="preserve"> in </w:t>
      </w:r>
      <w:r w:rsidR="3661C0E2" w:rsidRPr="4390EBBA">
        <w:rPr>
          <w:rFonts w:asciiTheme="majorHAnsi" w:hAnsiTheme="majorHAnsi" w:cstheme="majorBidi"/>
          <w:lang w:val="en-US"/>
        </w:rPr>
        <w:t>develop</w:t>
      </w:r>
      <w:r w:rsidR="12EB9232" w:rsidRPr="4390EBBA">
        <w:rPr>
          <w:rFonts w:asciiTheme="majorHAnsi" w:hAnsiTheme="majorHAnsi" w:cstheme="majorBidi"/>
          <w:lang w:val="en-US"/>
        </w:rPr>
        <w:t>ing</w:t>
      </w:r>
      <w:r w:rsidR="3661C0E2" w:rsidRPr="4390EBBA">
        <w:rPr>
          <w:rFonts w:asciiTheme="majorHAnsi" w:hAnsiTheme="majorHAnsi" w:cstheme="majorBidi"/>
          <w:lang w:val="en-US"/>
        </w:rPr>
        <w:t xml:space="preserve"> future applications.</w:t>
      </w:r>
    </w:p>
    <w:p w14:paraId="058A8418" w14:textId="6E3D0538" w:rsidR="00EA1F05" w:rsidRPr="007057E6" w:rsidRDefault="00EA1F05" w:rsidP="007057E6">
      <w:pPr>
        <w:rPr>
          <w:rFonts w:asciiTheme="majorHAnsi" w:hAnsiTheme="majorHAnsi" w:cstheme="majorHAnsi"/>
          <w:lang w:val="en-US"/>
        </w:rPr>
      </w:pPr>
      <w:r w:rsidRPr="007057E6">
        <w:rPr>
          <w:rFonts w:asciiTheme="majorHAnsi" w:hAnsiTheme="majorHAnsi" w:cstheme="majorHAnsi"/>
          <w:lang w:val="en-US"/>
        </w:rPr>
        <w:t>A</w:t>
      </w:r>
      <w:r w:rsidR="007C6EE4">
        <w:rPr>
          <w:rFonts w:asciiTheme="majorHAnsi" w:hAnsiTheme="majorHAnsi" w:cstheme="majorHAnsi"/>
          <w:lang w:val="en-US"/>
        </w:rPr>
        <w:t xml:space="preserve">dditional </w:t>
      </w:r>
      <w:r w:rsidR="00FE5BFC">
        <w:rPr>
          <w:rFonts w:asciiTheme="majorHAnsi" w:hAnsiTheme="majorHAnsi" w:cstheme="majorHAnsi"/>
          <w:lang w:val="en-US"/>
        </w:rPr>
        <w:t xml:space="preserve">factors for consideration include </w:t>
      </w:r>
      <w:r w:rsidR="009A5B1C">
        <w:rPr>
          <w:rFonts w:asciiTheme="majorHAnsi" w:hAnsiTheme="majorHAnsi" w:cstheme="majorHAnsi"/>
          <w:lang w:val="en-US"/>
        </w:rPr>
        <w:t>the burden on Selection Advisory Committees,</w:t>
      </w:r>
      <w:r w:rsidR="00A62D47">
        <w:rPr>
          <w:rFonts w:asciiTheme="majorHAnsi" w:hAnsiTheme="majorHAnsi" w:cstheme="majorHAnsi"/>
          <w:lang w:val="en-US"/>
        </w:rPr>
        <w:t xml:space="preserve"> </w:t>
      </w:r>
      <w:r w:rsidR="00513FDA">
        <w:rPr>
          <w:rFonts w:asciiTheme="majorHAnsi" w:hAnsiTheme="majorHAnsi" w:cstheme="majorHAnsi"/>
          <w:lang w:val="en-US"/>
        </w:rPr>
        <w:t>t</w:t>
      </w:r>
      <w:r w:rsidRPr="007057E6">
        <w:rPr>
          <w:rFonts w:asciiTheme="majorHAnsi" w:hAnsiTheme="majorHAnsi" w:cstheme="majorHAnsi"/>
          <w:lang w:val="en-US"/>
        </w:rPr>
        <w:t xml:space="preserve">he potential value </w:t>
      </w:r>
      <w:r w:rsidR="00331D2F">
        <w:rPr>
          <w:rFonts w:asciiTheme="majorHAnsi" w:hAnsiTheme="majorHAnsi" w:cstheme="majorHAnsi"/>
          <w:lang w:val="en-US"/>
        </w:rPr>
        <w:t xml:space="preserve">to applicants </w:t>
      </w:r>
      <w:r w:rsidRPr="007057E6">
        <w:rPr>
          <w:rFonts w:asciiTheme="majorHAnsi" w:hAnsiTheme="majorHAnsi" w:cstheme="majorHAnsi"/>
          <w:lang w:val="en-US"/>
        </w:rPr>
        <w:t xml:space="preserve">of </w:t>
      </w:r>
      <w:r w:rsidR="006054BB">
        <w:rPr>
          <w:rFonts w:asciiTheme="majorHAnsi" w:hAnsiTheme="majorHAnsi" w:cstheme="majorHAnsi"/>
          <w:lang w:val="en-US"/>
        </w:rPr>
        <w:t>aggregated</w:t>
      </w:r>
      <w:r w:rsidRPr="007057E6">
        <w:rPr>
          <w:rFonts w:asciiTheme="majorHAnsi" w:hAnsiTheme="majorHAnsi" w:cstheme="majorHAnsi"/>
          <w:lang w:val="en-US"/>
        </w:rPr>
        <w:t xml:space="preserve"> feedback</w:t>
      </w:r>
      <w:r w:rsidR="007B52B4">
        <w:rPr>
          <w:rFonts w:asciiTheme="majorHAnsi" w:hAnsiTheme="majorHAnsi" w:cstheme="majorHAnsi"/>
          <w:lang w:val="en-US"/>
        </w:rPr>
        <w:t xml:space="preserve"> and </w:t>
      </w:r>
      <w:r w:rsidRPr="007057E6">
        <w:rPr>
          <w:rFonts w:asciiTheme="majorHAnsi" w:hAnsiTheme="majorHAnsi" w:cstheme="majorHAnsi"/>
          <w:lang w:val="en-US"/>
        </w:rPr>
        <w:t xml:space="preserve">the extent to which </w:t>
      </w:r>
      <w:r w:rsidR="007B52B4">
        <w:rPr>
          <w:rFonts w:asciiTheme="majorHAnsi" w:hAnsiTheme="majorHAnsi" w:cstheme="majorHAnsi"/>
          <w:lang w:val="en-US"/>
        </w:rPr>
        <w:t xml:space="preserve">such reports </w:t>
      </w:r>
      <w:r w:rsidR="006054BB">
        <w:rPr>
          <w:rFonts w:asciiTheme="majorHAnsi" w:hAnsiTheme="majorHAnsi" w:cstheme="majorHAnsi"/>
          <w:lang w:val="en-US"/>
        </w:rPr>
        <w:t>may</w:t>
      </w:r>
      <w:r w:rsidRPr="007057E6">
        <w:rPr>
          <w:rFonts w:asciiTheme="majorHAnsi" w:hAnsiTheme="majorHAnsi" w:cstheme="majorHAnsi"/>
          <w:lang w:val="en-US"/>
        </w:rPr>
        <w:t xml:space="preserve"> provide</w:t>
      </w:r>
      <w:r w:rsidR="00331D2F">
        <w:rPr>
          <w:rFonts w:asciiTheme="majorHAnsi" w:hAnsiTheme="majorHAnsi" w:cstheme="majorHAnsi"/>
          <w:lang w:val="en-US"/>
        </w:rPr>
        <w:t xml:space="preserve"> </w:t>
      </w:r>
      <w:r w:rsidRPr="007057E6">
        <w:rPr>
          <w:rFonts w:asciiTheme="majorHAnsi" w:hAnsiTheme="majorHAnsi" w:cstheme="majorHAnsi"/>
          <w:lang w:val="en-US"/>
        </w:rPr>
        <w:t xml:space="preserve">insights beyond existing </w:t>
      </w:r>
      <w:r w:rsidR="007B52B4">
        <w:rPr>
          <w:rFonts w:asciiTheme="majorHAnsi" w:hAnsiTheme="majorHAnsi" w:cstheme="majorHAnsi"/>
          <w:lang w:val="en-US"/>
        </w:rPr>
        <w:t xml:space="preserve">advice, </w:t>
      </w:r>
      <w:r w:rsidRPr="007057E6">
        <w:rPr>
          <w:rFonts w:asciiTheme="majorHAnsi" w:hAnsiTheme="majorHAnsi" w:cstheme="majorHAnsi"/>
          <w:lang w:val="en-US"/>
        </w:rPr>
        <w:t xml:space="preserve">outreach and engagement. </w:t>
      </w:r>
      <w:r w:rsidR="005A326C">
        <w:rPr>
          <w:rFonts w:asciiTheme="majorHAnsi" w:hAnsiTheme="majorHAnsi" w:cstheme="majorHAnsi"/>
          <w:lang w:val="en-US"/>
        </w:rPr>
        <w:t xml:space="preserve">If </w:t>
      </w:r>
      <w:r w:rsidR="00633132">
        <w:rPr>
          <w:rFonts w:asciiTheme="majorHAnsi" w:hAnsiTheme="majorHAnsi" w:cstheme="majorHAnsi"/>
          <w:lang w:val="en-US"/>
        </w:rPr>
        <w:t xml:space="preserve">this opportunity is </w:t>
      </w:r>
      <w:r w:rsidR="00433792">
        <w:rPr>
          <w:rFonts w:asciiTheme="majorHAnsi" w:hAnsiTheme="majorHAnsi" w:cstheme="majorHAnsi"/>
          <w:lang w:val="en-US"/>
        </w:rPr>
        <w:t>pursued, it may also</w:t>
      </w:r>
      <w:r w:rsidRPr="007057E6">
        <w:rPr>
          <w:rFonts w:asciiTheme="majorHAnsi" w:hAnsiTheme="majorHAnsi" w:cstheme="majorHAnsi"/>
          <w:lang w:val="en-US"/>
        </w:rPr>
        <w:t xml:space="preserve"> be considered more broadly across the N</w:t>
      </w:r>
      <w:r w:rsidR="00001E50">
        <w:rPr>
          <w:rFonts w:asciiTheme="majorHAnsi" w:hAnsiTheme="majorHAnsi" w:cstheme="majorHAnsi"/>
          <w:lang w:val="en-US"/>
        </w:rPr>
        <w:t>CGP</w:t>
      </w:r>
      <w:r w:rsidRPr="007057E6">
        <w:rPr>
          <w:rFonts w:asciiTheme="majorHAnsi" w:hAnsiTheme="majorHAnsi" w:cstheme="majorHAnsi"/>
          <w:lang w:val="en-US"/>
        </w:rPr>
        <w:t xml:space="preserve">. </w:t>
      </w:r>
    </w:p>
    <w:p w14:paraId="3C1C6130" w14:textId="6270ACB8" w:rsidR="005B7D51" w:rsidRPr="0046014C" w:rsidRDefault="005B7D51" w:rsidP="00FC05D4">
      <w:pPr>
        <w:shd w:val="clear" w:color="auto" w:fill="FFFFFF" w:themeFill="background1"/>
        <w:spacing w:before="360"/>
        <w:rPr>
          <w:rFonts w:asciiTheme="majorHAnsi" w:eastAsia="Calibri" w:hAnsiTheme="majorHAnsi" w:cstheme="majorHAnsi"/>
          <w:b/>
          <w:i/>
          <w:sz w:val="26"/>
          <w:szCs w:val="26"/>
          <w:lang w:val="en-US"/>
        </w:rPr>
      </w:pPr>
      <w:r w:rsidRPr="00EA1F05">
        <w:rPr>
          <w:rFonts w:asciiTheme="majorHAnsi" w:eastAsia="Calibri" w:hAnsiTheme="majorHAnsi" w:cstheme="majorHAnsi"/>
          <w:b/>
          <w:i/>
          <w:sz w:val="26"/>
          <w:szCs w:val="26"/>
          <w:lang w:val="en-US"/>
        </w:rPr>
        <w:lastRenderedPageBreak/>
        <w:t xml:space="preserve">Opportunity </w:t>
      </w:r>
      <w:r w:rsidR="00EA1F05">
        <w:rPr>
          <w:rFonts w:asciiTheme="majorHAnsi" w:eastAsia="Calibri" w:hAnsiTheme="majorHAnsi" w:cstheme="majorHAnsi"/>
          <w:b/>
          <w:i/>
          <w:iCs/>
          <w:sz w:val="26"/>
          <w:szCs w:val="26"/>
          <w:lang w:val="en-US"/>
        </w:rPr>
        <w:t>Five</w:t>
      </w:r>
      <w:r w:rsidRPr="00EA1F05">
        <w:rPr>
          <w:rFonts w:asciiTheme="majorHAnsi" w:eastAsia="Calibri" w:hAnsiTheme="majorHAnsi" w:cstheme="majorHAnsi"/>
          <w:b/>
          <w:i/>
          <w:sz w:val="26"/>
          <w:szCs w:val="26"/>
          <w:lang w:val="en-US"/>
        </w:rPr>
        <w:t xml:space="preserve">: </w:t>
      </w:r>
      <w:r w:rsidRPr="00833F2E">
        <w:rPr>
          <w:rFonts w:asciiTheme="majorHAnsi" w:eastAsia="Calibri" w:hAnsiTheme="majorHAnsi" w:cstheme="majorHAnsi"/>
          <w:b/>
          <w:i/>
          <w:sz w:val="26"/>
          <w:szCs w:val="26"/>
          <w:lang w:val="en-US"/>
        </w:rPr>
        <w:t>Develop</w:t>
      </w:r>
      <w:r w:rsidR="00776538" w:rsidRPr="003007BD">
        <w:rPr>
          <w:rFonts w:asciiTheme="majorHAnsi" w:eastAsia="Calibri" w:hAnsiTheme="majorHAnsi" w:cstheme="majorHAnsi"/>
          <w:b/>
          <w:i/>
          <w:sz w:val="26"/>
          <w:szCs w:val="26"/>
          <w:lang w:val="en-US"/>
        </w:rPr>
        <w:t>ment of</w:t>
      </w:r>
      <w:r w:rsidRPr="00532D55">
        <w:rPr>
          <w:rFonts w:asciiTheme="majorHAnsi" w:eastAsia="Calibri" w:hAnsiTheme="majorHAnsi" w:cstheme="majorHAnsi"/>
          <w:b/>
          <w:i/>
          <w:sz w:val="26"/>
          <w:szCs w:val="26"/>
          <w:lang w:val="en-US"/>
        </w:rPr>
        <w:t xml:space="preserve"> a Discovery Projects </w:t>
      </w:r>
      <w:r w:rsidR="007353FA">
        <w:rPr>
          <w:rFonts w:asciiTheme="majorHAnsi" w:eastAsia="Calibri" w:hAnsiTheme="majorHAnsi" w:cstheme="majorHAnsi"/>
          <w:b/>
          <w:i/>
          <w:sz w:val="26"/>
          <w:szCs w:val="26"/>
          <w:lang w:val="en-US"/>
        </w:rPr>
        <w:t>p</w:t>
      </w:r>
      <w:r w:rsidRPr="00532D55">
        <w:rPr>
          <w:rFonts w:asciiTheme="majorHAnsi" w:eastAsia="Calibri" w:hAnsiTheme="majorHAnsi" w:cstheme="majorHAnsi"/>
          <w:b/>
          <w:i/>
          <w:sz w:val="26"/>
          <w:szCs w:val="26"/>
          <w:lang w:val="en-US"/>
        </w:rPr>
        <w:t xml:space="preserve">rogram </w:t>
      </w:r>
      <w:r w:rsidR="007353FA">
        <w:rPr>
          <w:rFonts w:asciiTheme="majorHAnsi" w:eastAsia="Calibri" w:hAnsiTheme="majorHAnsi" w:cstheme="majorHAnsi"/>
          <w:b/>
          <w:i/>
          <w:sz w:val="26"/>
          <w:szCs w:val="26"/>
          <w:lang w:val="en-US"/>
        </w:rPr>
        <w:t>l</w:t>
      </w:r>
      <w:r w:rsidRPr="00532D55">
        <w:rPr>
          <w:rFonts w:asciiTheme="majorHAnsi" w:eastAsia="Calibri" w:hAnsiTheme="majorHAnsi" w:cstheme="majorHAnsi"/>
          <w:b/>
          <w:i/>
          <w:sz w:val="26"/>
          <w:szCs w:val="26"/>
          <w:lang w:val="en-US"/>
        </w:rPr>
        <w:t>ogic</w:t>
      </w:r>
    </w:p>
    <w:p w14:paraId="70EF1190" w14:textId="5BBC9DBC" w:rsidR="005B7D51" w:rsidRPr="005B7D51" w:rsidRDefault="005B7D51" w:rsidP="00B11E67">
      <w:pPr>
        <w:shd w:val="clear" w:color="auto" w:fill="FFFFFF" w:themeFill="background1"/>
        <w:rPr>
          <w:rFonts w:asciiTheme="majorHAnsi" w:eastAsia="Calibri" w:hAnsiTheme="majorHAnsi" w:cstheme="majorHAnsi"/>
          <w:lang w:val="en-US"/>
        </w:rPr>
      </w:pPr>
      <w:r w:rsidRPr="005B7D51">
        <w:rPr>
          <w:rFonts w:asciiTheme="majorHAnsi" w:eastAsia="Calibri" w:hAnsiTheme="majorHAnsi" w:cstheme="majorHAnsi"/>
          <w:lang w:val="en-US"/>
        </w:rPr>
        <w:t xml:space="preserve">The </w:t>
      </w:r>
      <w:r w:rsidR="0064777F">
        <w:rPr>
          <w:rFonts w:asciiTheme="majorHAnsi" w:eastAsia="Calibri" w:hAnsiTheme="majorHAnsi" w:cstheme="majorHAnsi"/>
          <w:lang w:val="en-US"/>
        </w:rPr>
        <w:t xml:space="preserve">development of a </w:t>
      </w:r>
      <w:r w:rsidR="00E55E31">
        <w:rPr>
          <w:rFonts w:asciiTheme="majorHAnsi" w:eastAsia="Calibri" w:hAnsiTheme="majorHAnsi" w:cstheme="majorHAnsi"/>
          <w:lang w:val="en-US"/>
        </w:rPr>
        <w:t>p</w:t>
      </w:r>
      <w:r w:rsidR="0064777F">
        <w:rPr>
          <w:rFonts w:asciiTheme="majorHAnsi" w:eastAsia="Calibri" w:hAnsiTheme="majorHAnsi" w:cstheme="majorHAnsi"/>
          <w:lang w:val="en-US"/>
        </w:rPr>
        <w:t xml:space="preserve">rogram </w:t>
      </w:r>
      <w:r w:rsidR="00E55E31">
        <w:rPr>
          <w:rFonts w:asciiTheme="majorHAnsi" w:eastAsia="Calibri" w:hAnsiTheme="majorHAnsi" w:cstheme="majorHAnsi"/>
          <w:lang w:val="en-US"/>
        </w:rPr>
        <w:t>l</w:t>
      </w:r>
      <w:r w:rsidR="0064777F">
        <w:rPr>
          <w:rFonts w:asciiTheme="majorHAnsi" w:eastAsia="Calibri" w:hAnsiTheme="majorHAnsi" w:cstheme="majorHAnsi"/>
          <w:lang w:val="en-US"/>
        </w:rPr>
        <w:t xml:space="preserve">ogic for the Discovery Projects scheme may support </w:t>
      </w:r>
      <w:r w:rsidR="004E267E">
        <w:rPr>
          <w:rFonts w:asciiTheme="majorHAnsi" w:eastAsia="Calibri" w:hAnsiTheme="majorHAnsi" w:cstheme="majorHAnsi"/>
          <w:lang w:val="en-US"/>
        </w:rPr>
        <w:t xml:space="preserve">enhanced </w:t>
      </w:r>
      <w:r w:rsidR="00E55E31">
        <w:rPr>
          <w:rFonts w:asciiTheme="majorHAnsi" w:eastAsia="Calibri" w:hAnsiTheme="majorHAnsi" w:cstheme="majorHAnsi"/>
          <w:lang w:val="en-US"/>
        </w:rPr>
        <w:t>implementation,</w:t>
      </w:r>
      <w:r w:rsidR="0064777F">
        <w:rPr>
          <w:rFonts w:asciiTheme="majorHAnsi" w:eastAsia="Calibri" w:hAnsiTheme="majorHAnsi" w:cstheme="majorHAnsi"/>
          <w:lang w:val="en-US"/>
        </w:rPr>
        <w:t xml:space="preserve"> </w:t>
      </w:r>
      <w:r w:rsidR="00E55E31">
        <w:rPr>
          <w:rFonts w:asciiTheme="majorHAnsi" w:eastAsia="Calibri" w:hAnsiTheme="majorHAnsi" w:cstheme="majorHAnsi"/>
          <w:lang w:val="en-US"/>
        </w:rPr>
        <w:t xml:space="preserve">monitoring </w:t>
      </w:r>
      <w:r w:rsidR="00B11E67">
        <w:rPr>
          <w:rFonts w:asciiTheme="majorHAnsi" w:eastAsia="Calibri" w:hAnsiTheme="majorHAnsi" w:cstheme="majorHAnsi"/>
          <w:lang w:val="en-US"/>
        </w:rPr>
        <w:t xml:space="preserve">and evaluation of </w:t>
      </w:r>
      <w:r w:rsidR="00B272E6">
        <w:rPr>
          <w:rFonts w:asciiTheme="majorHAnsi" w:eastAsia="Calibri" w:hAnsiTheme="majorHAnsi" w:cstheme="majorHAnsi"/>
          <w:lang w:val="en-US"/>
        </w:rPr>
        <w:t xml:space="preserve">the </w:t>
      </w:r>
      <w:r w:rsidR="00B11E67">
        <w:rPr>
          <w:rFonts w:asciiTheme="majorHAnsi" w:eastAsia="Calibri" w:hAnsiTheme="majorHAnsi" w:cstheme="majorHAnsi"/>
          <w:lang w:val="en-US"/>
        </w:rPr>
        <w:t xml:space="preserve">scheme. </w:t>
      </w:r>
      <w:r w:rsidRPr="005B7D51">
        <w:rPr>
          <w:rFonts w:asciiTheme="majorHAnsi" w:eastAsia="Calibri" w:hAnsiTheme="majorHAnsi" w:cstheme="majorHAnsi"/>
          <w:lang w:val="en-US"/>
        </w:rPr>
        <w:t>The C</w:t>
      </w:r>
      <w:r w:rsidR="00B65FF0">
        <w:rPr>
          <w:rFonts w:asciiTheme="majorHAnsi" w:eastAsia="Calibri" w:hAnsiTheme="majorHAnsi" w:cstheme="majorHAnsi"/>
          <w:lang w:val="en-US"/>
        </w:rPr>
        <w:t>ommonwealth Grant</w:t>
      </w:r>
      <w:r w:rsidRPr="005B7D51">
        <w:rPr>
          <w:rFonts w:asciiTheme="majorHAnsi" w:eastAsia="Calibri" w:hAnsiTheme="majorHAnsi" w:cstheme="majorHAnsi"/>
          <w:lang w:val="en-US"/>
        </w:rPr>
        <w:t>s</w:t>
      </w:r>
      <w:r w:rsidR="00B65FF0">
        <w:rPr>
          <w:rFonts w:asciiTheme="majorHAnsi" w:eastAsia="Calibri" w:hAnsiTheme="majorHAnsi" w:cstheme="majorHAnsi"/>
          <w:lang w:val="en-US"/>
        </w:rPr>
        <w:t xml:space="preserve"> Rules and Guidelines</w:t>
      </w:r>
      <w:r w:rsidRPr="005B7D51">
        <w:rPr>
          <w:rFonts w:asciiTheme="majorHAnsi" w:eastAsia="Calibri" w:hAnsiTheme="majorHAnsi" w:cstheme="majorHAnsi"/>
          <w:lang w:val="en-US"/>
        </w:rPr>
        <w:t xml:space="preserve"> highlight the importance of ‘robust planning and design’ in the administration of Australian Government grant opportunities </w:t>
      </w:r>
      <w:r w:rsidR="002045E9">
        <w:rPr>
          <w:rFonts w:asciiTheme="majorHAnsi" w:eastAsia="Calibri" w:hAnsiTheme="majorHAnsi" w:cstheme="majorHAnsi"/>
          <w:lang w:val="en-US"/>
        </w:rPr>
        <w:t>by</w:t>
      </w:r>
      <w:r w:rsidRPr="005B7D51">
        <w:rPr>
          <w:rFonts w:asciiTheme="majorHAnsi" w:eastAsia="Calibri" w:hAnsiTheme="majorHAnsi" w:cstheme="majorHAnsi"/>
          <w:lang w:val="en-US"/>
        </w:rPr>
        <w:t>:</w:t>
      </w:r>
    </w:p>
    <w:p w14:paraId="1E81C590" w14:textId="0A10DE56" w:rsidR="005B7D51" w:rsidRPr="005B7D51" w:rsidRDefault="005B7D51" w:rsidP="00FC05D4">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sidRPr="005B7D51">
        <w:rPr>
          <w:rFonts w:asciiTheme="majorHAnsi" w:eastAsia="Calibri" w:hAnsiTheme="majorHAnsi" w:cstheme="majorHAnsi"/>
          <w:lang w:val="en-US"/>
        </w:rPr>
        <w:t>establishing a rationale for grant opportunities</w:t>
      </w:r>
      <w:r w:rsidR="00182F5F">
        <w:rPr>
          <w:rFonts w:asciiTheme="majorHAnsi" w:eastAsia="Calibri" w:hAnsiTheme="majorHAnsi" w:cstheme="majorHAnsi"/>
          <w:lang w:val="en-US"/>
        </w:rPr>
        <w:t>—</w:t>
      </w:r>
      <w:r w:rsidRPr="005B7D51">
        <w:rPr>
          <w:rFonts w:asciiTheme="majorHAnsi" w:eastAsia="Calibri" w:hAnsiTheme="majorHAnsi" w:cstheme="majorHAnsi"/>
          <w:lang w:val="en-US"/>
        </w:rPr>
        <w:t>particularly what outcomes are expected and how these will be measured</w:t>
      </w:r>
    </w:p>
    <w:p w14:paraId="7384EFB7" w14:textId="5DE39C92" w:rsidR="005B7D51" w:rsidRPr="005B7D51" w:rsidRDefault="005B7D51" w:rsidP="00FC05D4">
      <w:pPr>
        <w:numPr>
          <w:ilvl w:val="0"/>
          <w:numId w:val="28"/>
        </w:numPr>
        <w:shd w:val="clear" w:color="auto" w:fill="FFFFFF" w:themeFill="background1"/>
        <w:spacing w:before="60" w:after="60"/>
        <w:ind w:left="714" w:hanging="357"/>
        <w:rPr>
          <w:rFonts w:asciiTheme="majorHAnsi" w:eastAsia="Calibri" w:hAnsiTheme="majorHAnsi" w:cstheme="majorHAnsi"/>
          <w:lang w:val="en-US"/>
        </w:rPr>
      </w:pPr>
      <w:r w:rsidRPr="005B7D51">
        <w:rPr>
          <w:rFonts w:asciiTheme="majorHAnsi" w:eastAsia="Calibri" w:hAnsiTheme="majorHAnsi" w:cstheme="majorHAnsi"/>
          <w:lang w:val="en-US"/>
        </w:rPr>
        <w:t>defining the operational objectives</w:t>
      </w:r>
    </w:p>
    <w:p w14:paraId="4DED277B" w14:textId="6161F744" w:rsidR="005B7D51" w:rsidRPr="005B7D51" w:rsidRDefault="005B7D51" w:rsidP="00FC05D4">
      <w:pPr>
        <w:numPr>
          <w:ilvl w:val="0"/>
          <w:numId w:val="28"/>
        </w:numPr>
        <w:shd w:val="clear" w:color="auto" w:fill="FFFFFF" w:themeFill="background1"/>
        <w:spacing w:before="60" w:after="120"/>
        <w:ind w:left="714" w:hanging="357"/>
        <w:rPr>
          <w:rFonts w:asciiTheme="majorHAnsi" w:eastAsia="Calibri" w:hAnsiTheme="majorHAnsi" w:cstheme="majorHAnsi"/>
          <w:lang w:val="en-US"/>
        </w:rPr>
      </w:pPr>
      <w:r w:rsidRPr="005B7D51">
        <w:rPr>
          <w:rFonts w:asciiTheme="majorHAnsi" w:eastAsia="Calibri" w:hAnsiTheme="majorHAnsi" w:cstheme="majorHAnsi"/>
          <w:lang w:val="en-US"/>
        </w:rPr>
        <w:t>establishing performance and evaluation measures.</w:t>
      </w:r>
      <w:r w:rsidR="00D85E40">
        <w:rPr>
          <w:rStyle w:val="FootnoteReference"/>
          <w:rFonts w:asciiTheme="majorHAnsi" w:eastAsia="Calibri" w:hAnsiTheme="majorHAnsi" w:cstheme="majorHAnsi"/>
          <w:lang w:val="en-US"/>
        </w:rPr>
        <w:footnoteReference w:id="7"/>
      </w:r>
    </w:p>
    <w:p w14:paraId="32D558EF" w14:textId="4459A866" w:rsidR="004B69EF" w:rsidRPr="00B11E67" w:rsidRDefault="00532D55" w:rsidP="00B11E67">
      <w:pPr>
        <w:shd w:val="clear" w:color="auto" w:fill="FFFFFF" w:themeFill="background1"/>
        <w:rPr>
          <w:rFonts w:asciiTheme="majorHAnsi" w:eastAsia="Calibri" w:hAnsiTheme="majorHAnsi" w:cstheme="majorHAnsi"/>
          <w:lang w:val="en-US"/>
        </w:rPr>
      </w:pPr>
      <w:r>
        <w:rPr>
          <w:rFonts w:asciiTheme="majorHAnsi" w:eastAsia="Calibri" w:hAnsiTheme="majorHAnsi" w:cstheme="majorHAnsi"/>
          <w:lang w:val="en-US"/>
        </w:rPr>
        <w:t>W</w:t>
      </w:r>
      <w:r w:rsidR="005B7D51" w:rsidRPr="005B7D51">
        <w:rPr>
          <w:rFonts w:asciiTheme="majorHAnsi" w:eastAsia="Calibri" w:hAnsiTheme="majorHAnsi" w:cstheme="majorHAnsi"/>
          <w:lang w:val="en-US"/>
        </w:rPr>
        <w:t>hile Discovery Projects has been in existence since 200</w:t>
      </w:r>
      <w:r w:rsidR="00DB6276">
        <w:rPr>
          <w:rFonts w:asciiTheme="majorHAnsi" w:eastAsia="Calibri" w:hAnsiTheme="majorHAnsi" w:cstheme="majorHAnsi"/>
          <w:lang w:val="en-US"/>
        </w:rPr>
        <w:t>1</w:t>
      </w:r>
      <w:r w:rsidR="005B7D51" w:rsidRPr="005B7D51">
        <w:rPr>
          <w:rFonts w:asciiTheme="majorHAnsi" w:eastAsia="Calibri" w:hAnsiTheme="majorHAnsi" w:cstheme="majorHAnsi"/>
          <w:lang w:val="en-US"/>
        </w:rPr>
        <w:t xml:space="preserve"> and has undergone numerous changes over </w:t>
      </w:r>
      <w:r w:rsidR="005B5D57">
        <w:rPr>
          <w:rFonts w:asciiTheme="majorHAnsi" w:eastAsia="Calibri" w:hAnsiTheme="majorHAnsi" w:cstheme="majorHAnsi"/>
          <w:lang w:val="en-US"/>
        </w:rPr>
        <w:t>time</w:t>
      </w:r>
      <w:r w:rsidR="005B7D51" w:rsidRPr="005B7D51">
        <w:rPr>
          <w:rFonts w:asciiTheme="majorHAnsi" w:eastAsia="Calibri" w:hAnsiTheme="majorHAnsi" w:cstheme="majorHAnsi"/>
          <w:lang w:val="en-US"/>
        </w:rPr>
        <w:t>, a program logic model has not be</w:t>
      </w:r>
      <w:r w:rsidR="00D729CF">
        <w:rPr>
          <w:rFonts w:asciiTheme="majorHAnsi" w:eastAsia="Calibri" w:hAnsiTheme="majorHAnsi" w:cstheme="majorHAnsi"/>
          <w:lang w:val="en-US"/>
        </w:rPr>
        <w:t>en</w:t>
      </w:r>
      <w:r w:rsidR="005B7D51" w:rsidRPr="005B7D51">
        <w:rPr>
          <w:rFonts w:asciiTheme="majorHAnsi" w:eastAsia="Calibri" w:hAnsiTheme="majorHAnsi" w:cstheme="majorHAnsi"/>
          <w:lang w:val="en-US"/>
        </w:rPr>
        <w:t xml:space="preserve"> developed for the scheme. </w:t>
      </w:r>
      <w:r w:rsidR="004E267E" w:rsidRPr="005B7D51">
        <w:rPr>
          <w:rFonts w:asciiTheme="majorHAnsi" w:eastAsia="Calibri" w:hAnsiTheme="majorHAnsi" w:cstheme="majorHAnsi"/>
          <w:lang w:val="en-US"/>
        </w:rPr>
        <w:t xml:space="preserve">The development of </w:t>
      </w:r>
      <w:r w:rsidR="004E267E">
        <w:rPr>
          <w:rFonts w:asciiTheme="majorHAnsi" w:eastAsia="Calibri" w:hAnsiTheme="majorHAnsi" w:cstheme="majorHAnsi"/>
          <w:lang w:val="en-US"/>
        </w:rPr>
        <w:t>such a model</w:t>
      </w:r>
      <w:r w:rsidR="004E267E" w:rsidRPr="005B7D51">
        <w:rPr>
          <w:rFonts w:asciiTheme="majorHAnsi" w:eastAsia="Calibri" w:hAnsiTheme="majorHAnsi" w:cstheme="majorHAnsi"/>
          <w:lang w:val="en-US"/>
        </w:rPr>
        <w:t xml:space="preserve"> may </w:t>
      </w:r>
      <w:r w:rsidR="00BD558C">
        <w:rPr>
          <w:rFonts w:asciiTheme="majorHAnsi" w:eastAsia="Calibri" w:hAnsiTheme="majorHAnsi" w:cstheme="majorHAnsi"/>
          <w:lang w:val="en-US"/>
        </w:rPr>
        <w:t xml:space="preserve">assist in </w:t>
      </w:r>
      <w:r w:rsidR="004E267E" w:rsidRPr="005B7D51">
        <w:rPr>
          <w:rFonts w:asciiTheme="majorHAnsi" w:eastAsia="Calibri" w:hAnsiTheme="majorHAnsi" w:cstheme="majorHAnsi"/>
          <w:lang w:val="en-US"/>
        </w:rPr>
        <w:t>further clarify</w:t>
      </w:r>
      <w:r w:rsidR="00BD558C">
        <w:rPr>
          <w:rFonts w:asciiTheme="majorHAnsi" w:eastAsia="Calibri" w:hAnsiTheme="majorHAnsi" w:cstheme="majorHAnsi"/>
          <w:lang w:val="en-US"/>
        </w:rPr>
        <w:t>ing</w:t>
      </w:r>
      <w:r w:rsidR="004E267E" w:rsidRPr="005B7D51">
        <w:rPr>
          <w:rFonts w:asciiTheme="majorHAnsi" w:eastAsia="Calibri" w:hAnsiTheme="majorHAnsi" w:cstheme="majorHAnsi"/>
          <w:lang w:val="en-US"/>
        </w:rPr>
        <w:t xml:space="preserve"> Discovery Projects’ objectives and intended outcomes</w:t>
      </w:r>
      <w:r w:rsidR="00BD558C">
        <w:rPr>
          <w:rFonts w:asciiTheme="majorHAnsi" w:eastAsia="Calibri" w:hAnsiTheme="majorHAnsi" w:cstheme="majorHAnsi"/>
          <w:lang w:val="en-US"/>
        </w:rPr>
        <w:t>, including</w:t>
      </w:r>
      <w:r w:rsidR="004E267E" w:rsidRPr="005B7D51">
        <w:rPr>
          <w:rFonts w:asciiTheme="majorHAnsi" w:eastAsia="Calibri" w:hAnsiTheme="majorHAnsi" w:cstheme="majorHAnsi"/>
          <w:lang w:val="en-US"/>
        </w:rPr>
        <w:t xml:space="preserve"> </w:t>
      </w:r>
      <w:r w:rsidR="00BD558C">
        <w:rPr>
          <w:rFonts w:asciiTheme="majorHAnsi" w:eastAsia="Calibri" w:hAnsiTheme="majorHAnsi" w:cstheme="majorHAnsi"/>
          <w:lang w:val="en-US"/>
        </w:rPr>
        <w:t xml:space="preserve">in relation to the intentions underpinning key </w:t>
      </w:r>
      <w:r w:rsidR="00E10F44">
        <w:rPr>
          <w:rFonts w:asciiTheme="majorHAnsi" w:eastAsia="Calibri" w:hAnsiTheme="majorHAnsi" w:cstheme="majorHAnsi"/>
          <w:lang w:val="en-US"/>
        </w:rPr>
        <w:t>terms</w:t>
      </w:r>
      <w:r w:rsidR="00BD558C">
        <w:rPr>
          <w:rFonts w:asciiTheme="majorHAnsi" w:eastAsia="Calibri" w:hAnsiTheme="majorHAnsi" w:cstheme="majorHAnsi"/>
          <w:lang w:val="en-US"/>
        </w:rPr>
        <w:t>, such as</w:t>
      </w:r>
      <w:r w:rsidR="00BD558C">
        <w:rPr>
          <w:rFonts w:asciiTheme="majorHAnsi" w:hAnsiTheme="majorHAnsi" w:cstheme="majorHAnsi"/>
        </w:rPr>
        <w:t xml:space="preserve"> ‘research training’, ‘research capacity’, </w:t>
      </w:r>
      <w:r w:rsidR="001554C4">
        <w:rPr>
          <w:rFonts w:asciiTheme="majorHAnsi" w:hAnsiTheme="majorHAnsi" w:cstheme="majorHAnsi"/>
        </w:rPr>
        <w:t>and</w:t>
      </w:r>
      <w:r w:rsidR="00BD558C">
        <w:rPr>
          <w:rFonts w:asciiTheme="majorHAnsi" w:hAnsiTheme="majorHAnsi" w:cstheme="majorHAnsi"/>
        </w:rPr>
        <w:t xml:space="preserve"> the distinction between research ‘teams’ and ‘collaboration’</w:t>
      </w:r>
      <w:r w:rsidR="001554C4">
        <w:rPr>
          <w:rFonts w:asciiTheme="majorHAnsi" w:hAnsiTheme="majorHAnsi" w:cstheme="majorHAnsi"/>
        </w:rPr>
        <w:t xml:space="preserve">. </w:t>
      </w:r>
      <w:r w:rsidR="00BF7178">
        <w:rPr>
          <w:rFonts w:asciiTheme="majorHAnsi" w:eastAsia="Calibri" w:hAnsiTheme="majorHAnsi" w:cstheme="majorHAnsi"/>
          <w:lang w:val="en-US"/>
        </w:rPr>
        <w:t>It may</w:t>
      </w:r>
      <w:r w:rsidR="005B7D51" w:rsidRPr="005B7D51">
        <w:rPr>
          <w:rFonts w:asciiTheme="majorHAnsi" w:eastAsia="Calibri" w:hAnsiTheme="majorHAnsi" w:cstheme="majorHAnsi"/>
          <w:lang w:val="en-US"/>
        </w:rPr>
        <w:t xml:space="preserve"> </w:t>
      </w:r>
      <w:r w:rsidR="00BF7178">
        <w:rPr>
          <w:rFonts w:asciiTheme="majorHAnsi" w:eastAsia="Calibri" w:hAnsiTheme="majorHAnsi" w:cstheme="majorHAnsi"/>
          <w:lang w:val="en-US"/>
        </w:rPr>
        <w:t xml:space="preserve">also </w:t>
      </w:r>
      <w:r w:rsidR="006B5848">
        <w:rPr>
          <w:rFonts w:asciiTheme="majorHAnsi" w:eastAsia="Calibri" w:hAnsiTheme="majorHAnsi" w:cstheme="majorHAnsi"/>
          <w:lang w:val="en-US"/>
        </w:rPr>
        <w:t xml:space="preserve">inform </w:t>
      </w:r>
      <w:r w:rsidR="000C63DA">
        <w:rPr>
          <w:rFonts w:asciiTheme="majorHAnsi" w:eastAsia="Calibri" w:hAnsiTheme="majorHAnsi" w:cstheme="majorHAnsi"/>
          <w:lang w:val="en-US"/>
        </w:rPr>
        <w:t xml:space="preserve">effective </w:t>
      </w:r>
      <w:r w:rsidR="005B7D51" w:rsidRPr="005B7D51">
        <w:rPr>
          <w:rFonts w:asciiTheme="majorHAnsi" w:eastAsia="Calibri" w:hAnsiTheme="majorHAnsi" w:cstheme="majorHAnsi"/>
          <w:lang w:val="en-US"/>
        </w:rPr>
        <w:t>ongoing resourcing and policy decisions,</w:t>
      </w:r>
      <w:r w:rsidR="00D24E1B">
        <w:rPr>
          <w:rFonts w:asciiTheme="majorHAnsi" w:eastAsia="Calibri" w:hAnsiTheme="majorHAnsi" w:cstheme="majorHAnsi"/>
          <w:lang w:val="en-US"/>
        </w:rPr>
        <w:t xml:space="preserve"> and</w:t>
      </w:r>
      <w:r w:rsidR="005B7D51" w:rsidRPr="005B7D51">
        <w:rPr>
          <w:rFonts w:asciiTheme="majorHAnsi" w:eastAsia="Calibri" w:hAnsiTheme="majorHAnsi" w:cstheme="majorHAnsi"/>
          <w:lang w:val="en-US"/>
        </w:rPr>
        <w:t xml:space="preserve"> </w:t>
      </w:r>
      <w:r w:rsidR="00F16244">
        <w:rPr>
          <w:rFonts w:asciiTheme="majorHAnsi" w:eastAsia="Calibri" w:hAnsiTheme="majorHAnsi" w:cstheme="majorHAnsi"/>
          <w:lang w:val="en-US"/>
        </w:rPr>
        <w:t xml:space="preserve">provide </w:t>
      </w:r>
      <w:r w:rsidR="00587DFE">
        <w:rPr>
          <w:rFonts w:asciiTheme="majorHAnsi" w:eastAsia="Calibri" w:hAnsiTheme="majorHAnsi" w:cstheme="majorHAnsi"/>
          <w:lang w:val="en-US"/>
        </w:rPr>
        <w:t xml:space="preserve">greater </w:t>
      </w:r>
      <w:r w:rsidR="00F16244">
        <w:rPr>
          <w:rFonts w:asciiTheme="majorHAnsi" w:eastAsia="Calibri" w:hAnsiTheme="majorHAnsi" w:cstheme="majorHAnsi"/>
          <w:lang w:val="en-US"/>
        </w:rPr>
        <w:t xml:space="preserve">assurance </w:t>
      </w:r>
      <w:r w:rsidR="00252770">
        <w:rPr>
          <w:rFonts w:asciiTheme="majorHAnsi" w:eastAsia="Calibri" w:hAnsiTheme="majorHAnsi" w:cstheme="majorHAnsi"/>
          <w:lang w:val="en-US"/>
        </w:rPr>
        <w:t xml:space="preserve">that </w:t>
      </w:r>
      <w:r w:rsidR="00F16244">
        <w:rPr>
          <w:rFonts w:asciiTheme="majorHAnsi" w:eastAsia="Calibri" w:hAnsiTheme="majorHAnsi" w:cstheme="majorHAnsi"/>
          <w:lang w:val="en-US"/>
        </w:rPr>
        <w:t>the scheme’s</w:t>
      </w:r>
      <w:r w:rsidR="00252770">
        <w:rPr>
          <w:rFonts w:asciiTheme="majorHAnsi" w:eastAsia="Calibri" w:hAnsiTheme="majorHAnsi" w:cstheme="majorHAnsi"/>
          <w:lang w:val="en-US"/>
        </w:rPr>
        <w:t xml:space="preserve"> design i</w:t>
      </w:r>
      <w:r w:rsidR="000C63DA">
        <w:rPr>
          <w:rFonts w:asciiTheme="majorHAnsi" w:eastAsia="Calibri" w:hAnsiTheme="majorHAnsi" w:cstheme="majorHAnsi"/>
          <w:lang w:val="en-US"/>
        </w:rPr>
        <w:t>s appropriate</w:t>
      </w:r>
      <w:r w:rsidR="00F16244">
        <w:rPr>
          <w:rFonts w:asciiTheme="majorHAnsi" w:eastAsia="Calibri" w:hAnsiTheme="majorHAnsi" w:cstheme="majorHAnsi"/>
          <w:lang w:val="en-US"/>
        </w:rPr>
        <w:t>.</w:t>
      </w:r>
    </w:p>
    <w:p w14:paraId="3D840086" w14:textId="3E9E35D5" w:rsidR="005B7D51" w:rsidRPr="008930B7" w:rsidRDefault="005B7D51" w:rsidP="00FC05D4">
      <w:pPr>
        <w:shd w:val="clear" w:color="auto" w:fill="FFFFFF" w:themeFill="background1"/>
        <w:spacing w:before="360"/>
        <w:rPr>
          <w:rFonts w:asciiTheme="majorHAnsi" w:eastAsia="Calibri" w:hAnsiTheme="majorHAnsi" w:cstheme="majorHAnsi"/>
          <w:b/>
          <w:i/>
          <w:iCs/>
          <w:sz w:val="26"/>
          <w:szCs w:val="26"/>
          <w:lang w:val="en-US"/>
        </w:rPr>
      </w:pPr>
      <w:r w:rsidRPr="008930B7">
        <w:rPr>
          <w:rFonts w:asciiTheme="majorHAnsi" w:eastAsia="Calibri" w:hAnsiTheme="majorHAnsi" w:cstheme="majorHAnsi"/>
          <w:b/>
          <w:i/>
          <w:iCs/>
          <w:sz w:val="26"/>
          <w:szCs w:val="26"/>
          <w:lang w:val="en-US"/>
        </w:rPr>
        <w:t xml:space="preserve">Opportunity </w:t>
      </w:r>
      <w:r w:rsidR="00EA1F05">
        <w:rPr>
          <w:rFonts w:asciiTheme="majorHAnsi" w:eastAsia="Calibri" w:hAnsiTheme="majorHAnsi" w:cstheme="majorHAnsi"/>
          <w:b/>
          <w:i/>
          <w:iCs/>
          <w:sz w:val="26"/>
          <w:szCs w:val="26"/>
          <w:lang w:val="en-US"/>
        </w:rPr>
        <w:t>Six</w:t>
      </w:r>
      <w:r w:rsidRPr="008930B7">
        <w:rPr>
          <w:rFonts w:asciiTheme="majorHAnsi" w:eastAsia="Calibri" w:hAnsiTheme="majorHAnsi" w:cstheme="majorHAnsi"/>
          <w:b/>
          <w:i/>
          <w:iCs/>
          <w:sz w:val="26"/>
          <w:szCs w:val="26"/>
          <w:lang w:val="en-US"/>
        </w:rPr>
        <w:t>: Ongoing monitoring</w:t>
      </w:r>
      <w:r w:rsidR="001F7249">
        <w:rPr>
          <w:rFonts w:asciiTheme="majorHAnsi" w:eastAsia="Calibri" w:hAnsiTheme="majorHAnsi" w:cstheme="majorHAnsi"/>
          <w:b/>
          <w:i/>
          <w:iCs/>
          <w:sz w:val="26"/>
          <w:szCs w:val="26"/>
          <w:lang w:val="en-US"/>
        </w:rPr>
        <w:t xml:space="preserve"> and evaluation</w:t>
      </w:r>
    </w:p>
    <w:p w14:paraId="1B4D827A" w14:textId="7A36E6FD" w:rsidR="00182F5F" w:rsidRPr="00182F5F" w:rsidRDefault="00847CD1" w:rsidP="00FC05D4">
      <w:pPr>
        <w:shd w:val="clear" w:color="auto" w:fill="FFFFFF" w:themeFill="background1"/>
        <w:spacing w:after="120"/>
        <w:rPr>
          <w:rFonts w:asciiTheme="majorHAnsi" w:eastAsia="Calibri" w:hAnsiTheme="majorHAnsi" w:cstheme="majorHAnsi"/>
          <w:bCs/>
          <w:lang w:val="en-US"/>
        </w:rPr>
      </w:pPr>
      <w:r>
        <w:rPr>
          <w:rFonts w:asciiTheme="majorHAnsi" w:eastAsia="Calibri" w:hAnsiTheme="majorHAnsi" w:cstheme="majorHAnsi"/>
          <w:bCs/>
          <w:lang w:val="en-US"/>
        </w:rPr>
        <w:t>Continued</w:t>
      </w:r>
      <w:r w:rsidRPr="00182F5F">
        <w:rPr>
          <w:rFonts w:asciiTheme="majorHAnsi" w:eastAsia="Calibri" w:hAnsiTheme="majorHAnsi" w:cstheme="majorHAnsi"/>
          <w:bCs/>
          <w:lang w:val="en-US"/>
        </w:rPr>
        <w:t xml:space="preserve"> </w:t>
      </w:r>
      <w:r w:rsidR="005B7D51" w:rsidRPr="00182F5F">
        <w:rPr>
          <w:rFonts w:asciiTheme="majorHAnsi" w:eastAsia="Calibri" w:hAnsiTheme="majorHAnsi" w:cstheme="majorHAnsi"/>
          <w:bCs/>
          <w:lang w:val="en-US"/>
        </w:rPr>
        <w:t>monitoring of Discovery Projects</w:t>
      </w:r>
      <w:r w:rsidR="001D7DF9">
        <w:rPr>
          <w:rFonts w:asciiTheme="majorHAnsi" w:eastAsia="Calibri" w:hAnsiTheme="majorHAnsi" w:cstheme="majorHAnsi"/>
          <w:bCs/>
          <w:lang w:val="en-US"/>
        </w:rPr>
        <w:t xml:space="preserve"> </w:t>
      </w:r>
      <w:r w:rsidR="005B7D51" w:rsidRPr="00182F5F">
        <w:rPr>
          <w:rFonts w:asciiTheme="majorHAnsi" w:eastAsia="Calibri" w:hAnsiTheme="majorHAnsi" w:cstheme="majorHAnsi"/>
          <w:bCs/>
          <w:lang w:val="en-US"/>
        </w:rPr>
        <w:t>against benchmarks established within this evaluation</w:t>
      </w:r>
      <w:r w:rsidR="00182F5F">
        <w:rPr>
          <w:rFonts w:asciiTheme="majorHAnsi" w:eastAsia="Calibri" w:hAnsiTheme="majorHAnsi" w:cstheme="majorHAnsi"/>
          <w:bCs/>
          <w:lang w:val="en-US"/>
        </w:rPr>
        <w:t xml:space="preserve"> may contribute to </w:t>
      </w:r>
      <w:r>
        <w:rPr>
          <w:rFonts w:asciiTheme="majorHAnsi" w:eastAsia="Calibri" w:hAnsiTheme="majorHAnsi" w:cstheme="majorHAnsi"/>
          <w:bCs/>
          <w:lang w:val="en-US"/>
        </w:rPr>
        <w:t>ongoing assessment</w:t>
      </w:r>
      <w:r w:rsidR="001D7DF9">
        <w:rPr>
          <w:rFonts w:asciiTheme="majorHAnsi" w:eastAsia="Calibri" w:hAnsiTheme="majorHAnsi" w:cstheme="majorHAnsi"/>
          <w:bCs/>
          <w:lang w:val="en-US"/>
        </w:rPr>
        <w:t xml:space="preserve"> of the scheme’s performance</w:t>
      </w:r>
      <w:r w:rsidR="0093700B">
        <w:rPr>
          <w:rFonts w:asciiTheme="majorHAnsi" w:eastAsia="Calibri" w:hAnsiTheme="majorHAnsi" w:cstheme="majorHAnsi"/>
          <w:bCs/>
          <w:lang w:val="en-US"/>
        </w:rPr>
        <w:t xml:space="preserve"> and </w:t>
      </w:r>
      <w:r>
        <w:rPr>
          <w:rFonts w:asciiTheme="majorHAnsi" w:eastAsia="Calibri" w:hAnsiTheme="majorHAnsi" w:cstheme="majorHAnsi"/>
          <w:bCs/>
          <w:lang w:val="en-US"/>
        </w:rPr>
        <w:t>inform</w:t>
      </w:r>
      <w:r w:rsidR="0093700B">
        <w:rPr>
          <w:rFonts w:asciiTheme="majorHAnsi" w:eastAsia="Calibri" w:hAnsiTheme="majorHAnsi" w:cstheme="majorHAnsi"/>
          <w:bCs/>
          <w:lang w:val="en-US"/>
        </w:rPr>
        <w:t xml:space="preserve"> further improvements over time.</w:t>
      </w:r>
    </w:p>
    <w:p w14:paraId="0C14F976" w14:textId="568411FB" w:rsidR="005B7D51" w:rsidRPr="005B7D51" w:rsidRDefault="005B7D51" w:rsidP="00FC05D4">
      <w:pPr>
        <w:shd w:val="clear" w:color="auto" w:fill="FFFFFF" w:themeFill="background1"/>
        <w:spacing w:after="120"/>
        <w:rPr>
          <w:rFonts w:asciiTheme="majorHAnsi" w:eastAsia="Calibri" w:hAnsiTheme="majorHAnsi" w:cstheme="majorHAnsi"/>
          <w:lang w:val="en-US"/>
        </w:rPr>
      </w:pPr>
      <w:r w:rsidRPr="005B7D51">
        <w:rPr>
          <w:rFonts w:asciiTheme="majorHAnsi" w:eastAsia="Calibri" w:hAnsiTheme="majorHAnsi" w:cstheme="majorHAnsi"/>
        </w:rPr>
        <w:t xml:space="preserve">In addition to maintaining existing reporting processes, </w:t>
      </w:r>
      <w:r w:rsidR="00D71D0C">
        <w:rPr>
          <w:rFonts w:asciiTheme="majorHAnsi" w:eastAsia="Calibri" w:hAnsiTheme="majorHAnsi" w:cstheme="majorHAnsi"/>
        </w:rPr>
        <w:t>further areas for ongoing monitoring</w:t>
      </w:r>
      <w:r w:rsidR="00202605">
        <w:rPr>
          <w:rFonts w:asciiTheme="majorHAnsi" w:eastAsia="Calibri" w:hAnsiTheme="majorHAnsi" w:cstheme="majorHAnsi"/>
        </w:rPr>
        <w:t xml:space="preserve"> include</w:t>
      </w:r>
      <w:r w:rsidRPr="005B7D51">
        <w:rPr>
          <w:rFonts w:asciiTheme="majorHAnsi" w:eastAsia="Calibri" w:hAnsiTheme="majorHAnsi" w:cstheme="majorHAnsi"/>
        </w:rPr>
        <w:t>:</w:t>
      </w:r>
    </w:p>
    <w:p w14:paraId="1BB2E31C" w14:textId="71924A87" w:rsidR="005B7D51" w:rsidRPr="005B7D51" w:rsidRDefault="005B7D51" w:rsidP="00FC05D4">
      <w:pPr>
        <w:numPr>
          <w:ilvl w:val="0"/>
          <w:numId w:val="32"/>
        </w:numPr>
        <w:shd w:val="clear" w:color="auto" w:fill="FFFFFF" w:themeFill="background1"/>
        <w:spacing w:before="60" w:after="60"/>
        <w:rPr>
          <w:rFonts w:asciiTheme="majorHAnsi" w:eastAsia="Calibri" w:hAnsiTheme="majorHAnsi" w:cstheme="majorHAnsi"/>
        </w:rPr>
      </w:pPr>
      <w:r w:rsidRPr="005B7D51">
        <w:rPr>
          <w:rFonts w:asciiTheme="majorHAnsi" w:eastAsia="Calibri" w:hAnsiTheme="majorHAnsi" w:cstheme="majorHAnsi"/>
        </w:rPr>
        <w:t>the proportion of applications submitted, funded projects</w:t>
      </w:r>
      <w:r w:rsidR="00507042">
        <w:rPr>
          <w:rFonts w:asciiTheme="majorHAnsi" w:eastAsia="Calibri" w:hAnsiTheme="majorHAnsi" w:cstheme="majorHAnsi"/>
        </w:rPr>
        <w:t xml:space="preserve"> and</w:t>
      </w:r>
      <w:r w:rsidRPr="005B7D51">
        <w:rPr>
          <w:rFonts w:asciiTheme="majorHAnsi" w:eastAsia="Calibri" w:hAnsiTheme="majorHAnsi" w:cstheme="majorHAnsi"/>
        </w:rPr>
        <w:t xml:space="preserve"> funding awarded</w:t>
      </w:r>
      <w:r w:rsidR="00507042">
        <w:rPr>
          <w:rFonts w:asciiTheme="majorHAnsi" w:eastAsia="Calibri" w:hAnsiTheme="majorHAnsi" w:cstheme="majorHAnsi"/>
        </w:rPr>
        <w:t>,</w:t>
      </w:r>
      <w:r w:rsidRPr="005B7D51">
        <w:rPr>
          <w:rFonts w:asciiTheme="majorHAnsi" w:eastAsia="Calibri" w:hAnsiTheme="majorHAnsi" w:cstheme="majorHAnsi"/>
        </w:rPr>
        <w:t xml:space="preserve"> as well a</w:t>
      </w:r>
      <w:r w:rsidR="00262878">
        <w:rPr>
          <w:rFonts w:asciiTheme="majorHAnsi" w:eastAsia="Calibri" w:hAnsiTheme="majorHAnsi" w:cstheme="majorHAnsi"/>
        </w:rPr>
        <w:t>s</w:t>
      </w:r>
      <w:r w:rsidRPr="005B7D51">
        <w:rPr>
          <w:rFonts w:asciiTheme="majorHAnsi" w:eastAsia="Calibri" w:hAnsiTheme="majorHAnsi" w:cstheme="majorHAnsi"/>
        </w:rPr>
        <w:t xml:space="preserve"> success rates and return rates for:</w:t>
      </w:r>
    </w:p>
    <w:p w14:paraId="38BF6856" w14:textId="1441FF5A" w:rsidR="005B7D51" w:rsidRPr="002573BB" w:rsidRDefault="005B7D51" w:rsidP="00FC05D4">
      <w:pPr>
        <w:numPr>
          <w:ilvl w:val="1"/>
          <w:numId w:val="32"/>
        </w:numPr>
        <w:shd w:val="clear" w:color="auto" w:fill="FFFFFF" w:themeFill="background1"/>
        <w:spacing w:before="60" w:after="60"/>
        <w:rPr>
          <w:rFonts w:asciiTheme="majorHAnsi" w:eastAsia="Calibri" w:hAnsiTheme="majorHAnsi" w:cstheme="majorHAnsi"/>
        </w:rPr>
      </w:pPr>
      <w:r w:rsidRPr="005B7D51">
        <w:rPr>
          <w:rFonts w:asciiTheme="majorHAnsi" w:eastAsia="Calibri" w:hAnsiTheme="majorHAnsi" w:cstheme="majorHAnsi"/>
        </w:rPr>
        <w:t>b</w:t>
      </w:r>
      <w:r w:rsidRPr="002573BB">
        <w:rPr>
          <w:rFonts w:asciiTheme="majorHAnsi" w:eastAsia="Calibri" w:hAnsiTheme="majorHAnsi" w:cstheme="majorHAnsi"/>
        </w:rPr>
        <w:t>asic</w:t>
      </w:r>
      <w:r w:rsidR="00366721">
        <w:rPr>
          <w:rFonts w:asciiTheme="majorHAnsi" w:eastAsia="Calibri" w:hAnsiTheme="majorHAnsi" w:cstheme="majorHAnsi"/>
        </w:rPr>
        <w:t xml:space="preserve"> and </w:t>
      </w:r>
      <w:r w:rsidRPr="002573BB">
        <w:rPr>
          <w:rFonts w:asciiTheme="majorHAnsi" w:eastAsia="Calibri" w:hAnsiTheme="majorHAnsi" w:cstheme="majorHAnsi"/>
        </w:rPr>
        <w:t>applied research</w:t>
      </w:r>
    </w:p>
    <w:p w14:paraId="221289CE" w14:textId="589D7FE9" w:rsidR="005B7D51" w:rsidRPr="002573BB" w:rsidRDefault="005C366F" w:rsidP="00FC05D4">
      <w:pPr>
        <w:numPr>
          <w:ilvl w:val="1"/>
          <w:numId w:val="32"/>
        </w:numPr>
        <w:shd w:val="clear" w:color="auto" w:fill="FFFFFF" w:themeFill="background1"/>
        <w:spacing w:before="60" w:after="60"/>
        <w:rPr>
          <w:rFonts w:asciiTheme="majorHAnsi" w:eastAsia="Calibri" w:hAnsiTheme="majorHAnsi" w:cstheme="majorHAnsi"/>
        </w:rPr>
      </w:pPr>
      <w:r>
        <w:rPr>
          <w:rFonts w:asciiTheme="majorHAnsi" w:eastAsia="Calibri" w:hAnsiTheme="majorHAnsi" w:cstheme="majorHAnsi"/>
        </w:rPr>
        <w:t>H</w:t>
      </w:r>
      <w:r w:rsidR="00FA2031">
        <w:rPr>
          <w:rFonts w:asciiTheme="majorHAnsi" w:eastAsia="Calibri" w:hAnsiTheme="majorHAnsi" w:cstheme="majorHAnsi"/>
        </w:rPr>
        <w:t>umanities, Arts and Social Sciences and Science, Technology, Engineering and Mathematics</w:t>
      </w:r>
      <w:r w:rsidR="005B7D51" w:rsidRPr="002573BB">
        <w:rPr>
          <w:rFonts w:asciiTheme="majorHAnsi" w:eastAsia="Calibri" w:hAnsiTheme="majorHAnsi" w:cstheme="majorHAnsi"/>
        </w:rPr>
        <w:t xml:space="preserve"> research</w:t>
      </w:r>
    </w:p>
    <w:p w14:paraId="35CD20C5" w14:textId="2D3632C1" w:rsidR="005B7D51" w:rsidRPr="005B7D51" w:rsidRDefault="005B7D51" w:rsidP="00FC05D4">
      <w:pPr>
        <w:numPr>
          <w:ilvl w:val="0"/>
          <w:numId w:val="32"/>
        </w:numPr>
        <w:shd w:val="clear" w:color="auto" w:fill="FFFFFF" w:themeFill="background1"/>
        <w:spacing w:before="60" w:after="60"/>
        <w:rPr>
          <w:rFonts w:asciiTheme="majorHAnsi" w:eastAsia="Calibri" w:hAnsiTheme="majorHAnsi" w:cstheme="majorHAnsi"/>
        </w:rPr>
      </w:pPr>
      <w:r w:rsidRPr="005B7D51">
        <w:rPr>
          <w:rFonts w:asciiTheme="majorHAnsi" w:eastAsia="Calibri" w:hAnsiTheme="majorHAnsi" w:cstheme="majorHAnsi"/>
        </w:rPr>
        <w:t xml:space="preserve">research trainee participation on projects, including the total and average number of research trainees </w:t>
      </w:r>
      <w:r w:rsidR="00E02301">
        <w:rPr>
          <w:rFonts w:asciiTheme="majorHAnsi" w:eastAsia="Calibri" w:hAnsiTheme="majorHAnsi" w:cstheme="majorHAnsi"/>
        </w:rPr>
        <w:t>identified</w:t>
      </w:r>
      <w:r w:rsidR="00646328" w:rsidRPr="005B7D51">
        <w:rPr>
          <w:rFonts w:asciiTheme="majorHAnsi" w:eastAsia="Calibri" w:hAnsiTheme="majorHAnsi" w:cstheme="majorHAnsi"/>
        </w:rPr>
        <w:t xml:space="preserve"> </w:t>
      </w:r>
      <w:r w:rsidRPr="005B7D51">
        <w:rPr>
          <w:rFonts w:asciiTheme="majorHAnsi" w:eastAsia="Calibri" w:hAnsiTheme="majorHAnsi" w:cstheme="majorHAnsi"/>
        </w:rPr>
        <w:t>on applications and funded projects, and the funding associated with HDR stipend requests</w:t>
      </w:r>
    </w:p>
    <w:p w14:paraId="50BC5C4D" w14:textId="03ED9461" w:rsidR="005B7D51" w:rsidRPr="005B7D51" w:rsidRDefault="00C561D9" w:rsidP="00FC05D4">
      <w:pPr>
        <w:numPr>
          <w:ilvl w:val="0"/>
          <w:numId w:val="32"/>
        </w:numPr>
        <w:shd w:val="clear" w:color="auto" w:fill="FFFFFF" w:themeFill="background1"/>
        <w:spacing w:before="60" w:after="60"/>
        <w:rPr>
          <w:rFonts w:asciiTheme="majorHAnsi" w:eastAsia="Calibri" w:hAnsiTheme="majorHAnsi" w:cstheme="majorHAnsi"/>
        </w:rPr>
      </w:pPr>
      <w:r>
        <w:rPr>
          <w:rFonts w:asciiTheme="majorHAnsi" w:eastAsia="Calibri" w:hAnsiTheme="majorHAnsi" w:cstheme="majorHAnsi"/>
        </w:rPr>
        <w:t>E</w:t>
      </w:r>
      <w:r w:rsidR="005B7D51" w:rsidRPr="005B7D51">
        <w:rPr>
          <w:rFonts w:asciiTheme="majorHAnsi" w:eastAsia="Calibri" w:hAnsiTheme="majorHAnsi" w:cstheme="majorHAnsi"/>
        </w:rPr>
        <w:t>arly and Mid-Career named researcher participation, including the proportion of Early and Mid-Career named researchers on applications and funded projects and success rates</w:t>
      </w:r>
    </w:p>
    <w:p w14:paraId="652DC89E" w14:textId="360E04CB" w:rsidR="005B7D51" w:rsidRPr="002573BB" w:rsidRDefault="005B7D51" w:rsidP="00FC05D4">
      <w:pPr>
        <w:numPr>
          <w:ilvl w:val="0"/>
          <w:numId w:val="32"/>
        </w:numPr>
        <w:shd w:val="clear" w:color="auto" w:fill="FFFFFF" w:themeFill="background1"/>
        <w:spacing w:before="60" w:after="60"/>
        <w:rPr>
          <w:rFonts w:asciiTheme="majorHAnsi" w:eastAsia="Calibri" w:hAnsiTheme="majorHAnsi" w:cstheme="majorHAnsi"/>
        </w:rPr>
      </w:pPr>
      <w:r w:rsidRPr="005B7D51">
        <w:rPr>
          <w:rFonts w:asciiTheme="majorHAnsi" w:eastAsia="Calibri" w:hAnsiTheme="majorHAnsi" w:cstheme="majorHAnsi"/>
        </w:rPr>
        <w:t>t</w:t>
      </w:r>
      <w:r w:rsidRPr="002573BB">
        <w:rPr>
          <w:rFonts w:asciiTheme="majorHAnsi" w:eastAsia="Calibri" w:hAnsiTheme="majorHAnsi" w:cstheme="majorHAnsi"/>
        </w:rPr>
        <w:t xml:space="preserve">he number of research outputs generated by Discovery </w:t>
      </w:r>
      <w:r w:rsidR="00262878">
        <w:rPr>
          <w:rFonts w:asciiTheme="majorHAnsi" w:eastAsia="Calibri" w:hAnsiTheme="majorHAnsi" w:cstheme="majorHAnsi"/>
        </w:rPr>
        <w:t>P</w:t>
      </w:r>
      <w:r w:rsidRPr="002573BB">
        <w:rPr>
          <w:rFonts w:asciiTheme="majorHAnsi" w:eastAsia="Calibri" w:hAnsiTheme="majorHAnsi" w:cstheme="majorHAnsi"/>
        </w:rPr>
        <w:t xml:space="preserve">rojects, including the number of outputs per completed project and changes in </w:t>
      </w:r>
      <w:r w:rsidR="00F8302B">
        <w:rPr>
          <w:rFonts w:asciiTheme="majorHAnsi" w:eastAsia="Calibri" w:hAnsiTheme="majorHAnsi" w:cstheme="majorHAnsi"/>
        </w:rPr>
        <w:t>traditional and non-traditional</w:t>
      </w:r>
      <w:r w:rsidRPr="002573BB">
        <w:rPr>
          <w:rFonts w:asciiTheme="majorHAnsi" w:eastAsia="Calibri" w:hAnsiTheme="majorHAnsi" w:cstheme="majorHAnsi"/>
        </w:rPr>
        <w:t xml:space="preserve"> output types over time</w:t>
      </w:r>
    </w:p>
    <w:p w14:paraId="28763CA7" w14:textId="2EE5B26E" w:rsidR="005B7D51" w:rsidRPr="005B7D51" w:rsidRDefault="005B7D51" w:rsidP="00FC05D4">
      <w:pPr>
        <w:numPr>
          <w:ilvl w:val="0"/>
          <w:numId w:val="27"/>
        </w:numPr>
        <w:shd w:val="clear" w:color="auto" w:fill="FFFFFF" w:themeFill="background1"/>
        <w:spacing w:before="60" w:after="120"/>
        <w:ind w:left="714" w:hanging="357"/>
        <w:rPr>
          <w:rFonts w:asciiTheme="majorHAnsi" w:eastAsia="Calibri" w:hAnsiTheme="majorHAnsi" w:cstheme="majorHAnsi"/>
        </w:rPr>
      </w:pPr>
      <w:r w:rsidRPr="005B7D51">
        <w:rPr>
          <w:rFonts w:asciiTheme="majorHAnsi" w:eastAsia="Calibri" w:hAnsiTheme="majorHAnsi" w:cstheme="majorHAnsi"/>
        </w:rPr>
        <w:t>timeliness of final report submission, including the proportion of final reports being submitted on time</w:t>
      </w:r>
      <w:r w:rsidR="00366721">
        <w:rPr>
          <w:rFonts w:asciiTheme="majorHAnsi" w:eastAsia="Calibri" w:hAnsiTheme="majorHAnsi" w:cstheme="majorHAnsi"/>
        </w:rPr>
        <w:t xml:space="preserve"> and </w:t>
      </w:r>
      <w:r w:rsidRPr="005B7D51">
        <w:rPr>
          <w:rFonts w:asciiTheme="majorHAnsi" w:eastAsia="Calibri" w:hAnsiTheme="majorHAnsi" w:cstheme="majorHAnsi"/>
        </w:rPr>
        <w:t>late.</w:t>
      </w:r>
    </w:p>
    <w:p w14:paraId="5B0191AE" w14:textId="2D40FAAB" w:rsidR="005B7D51" w:rsidRPr="005B7D51" w:rsidRDefault="005B7D51" w:rsidP="00FC05D4">
      <w:pPr>
        <w:shd w:val="clear" w:color="auto" w:fill="FFFFFF" w:themeFill="background1"/>
        <w:spacing w:after="120"/>
        <w:rPr>
          <w:rFonts w:asciiTheme="majorHAnsi" w:eastAsia="Calibri" w:hAnsiTheme="majorHAnsi" w:cstheme="majorHAnsi"/>
        </w:rPr>
      </w:pPr>
      <w:r w:rsidRPr="005B7D51">
        <w:rPr>
          <w:rFonts w:asciiTheme="majorHAnsi" w:eastAsia="Calibri" w:hAnsiTheme="majorHAnsi" w:cstheme="majorHAnsi"/>
        </w:rPr>
        <w:t xml:space="preserve">Given the scheme’s significance to the </w:t>
      </w:r>
      <w:r w:rsidR="00B65FF0">
        <w:rPr>
          <w:rFonts w:asciiTheme="majorHAnsi" w:eastAsia="Calibri" w:hAnsiTheme="majorHAnsi" w:cstheme="majorHAnsi"/>
        </w:rPr>
        <w:t>N</w:t>
      </w:r>
      <w:r w:rsidR="009F44F0">
        <w:rPr>
          <w:rFonts w:asciiTheme="majorHAnsi" w:eastAsia="Calibri" w:hAnsiTheme="majorHAnsi" w:cstheme="majorHAnsi"/>
        </w:rPr>
        <w:t>CGP</w:t>
      </w:r>
      <w:r w:rsidRPr="005B7D51">
        <w:rPr>
          <w:rFonts w:asciiTheme="majorHAnsi" w:eastAsia="Calibri" w:hAnsiTheme="majorHAnsi" w:cstheme="majorHAnsi"/>
        </w:rPr>
        <w:t>, and to the broader Australian research funding landscape</w:t>
      </w:r>
      <w:r w:rsidR="003450B9">
        <w:rPr>
          <w:rFonts w:asciiTheme="majorHAnsi" w:eastAsia="Calibri" w:hAnsiTheme="majorHAnsi" w:cstheme="majorHAnsi"/>
        </w:rPr>
        <w:t>,</w:t>
      </w:r>
      <w:r w:rsidR="00C96EBA">
        <w:rPr>
          <w:rFonts w:asciiTheme="majorHAnsi" w:eastAsia="Calibri" w:hAnsiTheme="majorHAnsi" w:cstheme="majorHAnsi"/>
        </w:rPr>
        <w:t xml:space="preserve"> </w:t>
      </w:r>
      <w:r w:rsidR="008850BB">
        <w:rPr>
          <w:rFonts w:asciiTheme="majorHAnsi" w:eastAsia="Calibri" w:hAnsiTheme="majorHAnsi" w:cstheme="majorHAnsi"/>
        </w:rPr>
        <w:t>a</w:t>
      </w:r>
      <w:r w:rsidR="00DB2820">
        <w:rPr>
          <w:rFonts w:asciiTheme="majorHAnsi" w:eastAsia="Calibri" w:hAnsiTheme="majorHAnsi" w:cstheme="majorHAnsi"/>
        </w:rPr>
        <w:t xml:space="preserve"> further</w:t>
      </w:r>
      <w:r w:rsidR="008850BB">
        <w:rPr>
          <w:rFonts w:asciiTheme="majorHAnsi" w:eastAsia="Calibri" w:hAnsiTheme="majorHAnsi" w:cstheme="majorHAnsi"/>
        </w:rPr>
        <w:t xml:space="preserve"> </w:t>
      </w:r>
      <w:r w:rsidRPr="007342C0">
        <w:rPr>
          <w:rFonts w:asciiTheme="majorHAnsi" w:eastAsia="Calibri" w:hAnsiTheme="majorHAnsi" w:cstheme="majorHAnsi"/>
        </w:rPr>
        <w:t>evaluation of Discovery Projects</w:t>
      </w:r>
      <w:r w:rsidR="007342C0" w:rsidRPr="007342C0">
        <w:rPr>
          <w:rFonts w:asciiTheme="majorHAnsi" w:eastAsia="Calibri" w:hAnsiTheme="majorHAnsi" w:cstheme="majorHAnsi"/>
        </w:rPr>
        <w:t xml:space="preserve"> </w:t>
      </w:r>
      <w:r w:rsidRPr="007342C0">
        <w:rPr>
          <w:rFonts w:asciiTheme="majorHAnsi" w:eastAsia="Calibri" w:hAnsiTheme="majorHAnsi" w:cstheme="majorHAnsi"/>
        </w:rPr>
        <w:t>in 2024–25</w:t>
      </w:r>
      <w:r w:rsidR="00C96EBA">
        <w:rPr>
          <w:rFonts w:asciiTheme="majorHAnsi" w:eastAsia="Calibri" w:hAnsiTheme="majorHAnsi" w:cstheme="majorHAnsi"/>
        </w:rPr>
        <w:t xml:space="preserve"> would </w:t>
      </w:r>
      <w:r w:rsidR="009613B2">
        <w:rPr>
          <w:rFonts w:asciiTheme="majorHAnsi" w:eastAsia="Calibri" w:hAnsiTheme="majorHAnsi" w:cstheme="majorHAnsi"/>
        </w:rPr>
        <w:t xml:space="preserve">provide a </w:t>
      </w:r>
      <w:r w:rsidR="00DB2820">
        <w:rPr>
          <w:rFonts w:asciiTheme="majorHAnsi" w:eastAsia="Calibri" w:hAnsiTheme="majorHAnsi" w:cstheme="majorHAnsi"/>
        </w:rPr>
        <w:t>valuable</w:t>
      </w:r>
      <w:r w:rsidR="009613B2">
        <w:rPr>
          <w:rFonts w:asciiTheme="majorHAnsi" w:eastAsia="Calibri" w:hAnsiTheme="majorHAnsi" w:cstheme="majorHAnsi"/>
        </w:rPr>
        <w:t xml:space="preserve"> opportunity</w:t>
      </w:r>
      <w:r w:rsidR="008D7954">
        <w:rPr>
          <w:rFonts w:asciiTheme="majorHAnsi" w:eastAsia="Calibri" w:hAnsiTheme="majorHAnsi" w:cstheme="majorHAnsi"/>
        </w:rPr>
        <w:t xml:space="preserve"> to</w:t>
      </w:r>
      <w:r w:rsidRPr="005B7D51">
        <w:rPr>
          <w:rFonts w:asciiTheme="majorHAnsi" w:eastAsia="Calibri" w:hAnsiTheme="majorHAnsi" w:cstheme="majorHAnsi"/>
        </w:rPr>
        <w:t>:</w:t>
      </w:r>
    </w:p>
    <w:p w14:paraId="663EB732" w14:textId="522C15D5" w:rsidR="005B7D51" w:rsidRPr="005B7D51" w:rsidRDefault="005B7D51" w:rsidP="00FC05D4">
      <w:pPr>
        <w:numPr>
          <w:ilvl w:val="0"/>
          <w:numId w:val="32"/>
        </w:numPr>
        <w:shd w:val="clear" w:color="auto" w:fill="FFFFFF" w:themeFill="background1"/>
        <w:spacing w:before="60" w:after="60"/>
        <w:rPr>
          <w:rFonts w:asciiTheme="majorHAnsi" w:eastAsia="Calibri" w:hAnsiTheme="majorHAnsi" w:cstheme="majorHAnsi"/>
        </w:rPr>
      </w:pPr>
      <w:r w:rsidRPr="005B7D51">
        <w:rPr>
          <w:rFonts w:asciiTheme="majorHAnsi" w:eastAsia="Calibri" w:hAnsiTheme="majorHAnsi" w:cstheme="majorHAnsi"/>
        </w:rPr>
        <w:lastRenderedPageBreak/>
        <w:t>analyse performance against benchmarks identified within this evaluation</w:t>
      </w:r>
    </w:p>
    <w:p w14:paraId="0F06E417" w14:textId="5C3B326D" w:rsidR="005B7D51" w:rsidRPr="005B7D51" w:rsidRDefault="005B7D51" w:rsidP="00FC05D4">
      <w:pPr>
        <w:numPr>
          <w:ilvl w:val="0"/>
          <w:numId w:val="32"/>
        </w:numPr>
        <w:shd w:val="clear" w:color="auto" w:fill="FFFFFF" w:themeFill="background1"/>
        <w:spacing w:before="60" w:after="60"/>
        <w:rPr>
          <w:rFonts w:asciiTheme="majorHAnsi" w:eastAsia="Calibri" w:hAnsiTheme="majorHAnsi" w:cstheme="majorHAnsi"/>
        </w:rPr>
      </w:pPr>
      <w:r w:rsidRPr="005B7D51">
        <w:rPr>
          <w:rFonts w:asciiTheme="majorHAnsi" w:eastAsia="Calibri" w:hAnsiTheme="majorHAnsi" w:cstheme="majorHAnsi"/>
        </w:rPr>
        <w:t>assess scheme objectives and intended outcomes using additional available data and following the development of a program logic model for the scheme</w:t>
      </w:r>
    </w:p>
    <w:p w14:paraId="1DE5C921" w14:textId="61313242" w:rsidR="00D3021C" w:rsidRDefault="005B7D51" w:rsidP="00FC05D4">
      <w:pPr>
        <w:numPr>
          <w:ilvl w:val="0"/>
          <w:numId w:val="32"/>
        </w:numPr>
        <w:shd w:val="clear" w:color="auto" w:fill="FFFFFF" w:themeFill="background1"/>
        <w:spacing w:before="60" w:after="60"/>
        <w:rPr>
          <w:rFonts w:asciiTheme="majorHAnsi" w:eastAsia="Calibri" w:hAnsiTheme="majorHAnsi" w:cstheme="majorHAnsi"/>
        </w:rPr>
      </w:pPr>
      <w:r w:rsidRPr="005B7D51">
        <w:rPr>
          <w:rFonts w:asciiTheme="majorHAnsi" w:eastAsia="Calibri" w:hAnsiTheme="majorHAnsi" w:cstheme="majorHAnsi"/>
        </w:rPr>
        <w:t>analyse elements of the scheme that were introduced</w:t>
      </w:r>
      <w:r w:rsidR="00A43737">
        <w:rPr>
          <w:rFonts w:asciiTheme="majorHAnsi" w:eastAsia="Calibri" w:hAnsiTheme="majorHAnsi" w:cstheme="majorHAnsi"/>
        </w:rPr>
        <w:t xml:space="preserve"> or </w:t>
      </w:r>
      <w:r w:rsidRPr="005B7D51">
        <w:rPr>
          <w:rFonts w:asciiTheme="majorHAnsi" w:eastAsia="Calibri" w:hAnsiTheme="majorHAnsi" w:cstheme="majorHAnsi"/>
        </w:rPr>
        <w:t>changed too recently to be considered within the current evaluation.</w:t>
      </w:r>
    </w:p>
    <w:p w14:paraId="1F87D51C" w14:textId="1782FFE9" w:rsidR="00752517" w:rsidRPr="00D3021C" w:rsidRDefault="00D3021C" w:rsidP="00FC05D4">
      <w:pPr>
        <w:rPr>
          <w:rFonts w:asciiTheme="majorHAnsi" w:eastAsia="Calibri" w:hAnsiTheme="majorHAnsi" w:cstheme="majorHAnsi"/>
        </w:rPr>
      </w:pPr>
      <w:r>
        <w:rPr>
          <w:rFonts w:asciiTheme="majorHAnsi" w:eastAsia="Calibri" w:hAnsiTheme="majorHAnsi" w:cstheme="majorHAnsi"/>
        </w:rPr>
        <w:br w:type="page"/>
      </w:r>
    </w:p>
    <w:p w14:paraId="4C79089A" w14:textId="4277B0B1" w:rsidR="002D5431" w:rsidRPr="002D5431" w:rsidRDefault="002D5431" w:rsidP="008B655A">
      <w:pPr>
        <w:pStyle w:val="Heading1"/>
        <w:numPr>
          <w:ilvl w:val="0"/>
          <w:numId w:val="0"/>
        </w:numPr>
        <w:spacing w:before="0" w:after="160" w:line="259" w:lineRule="auto"/>
        <w:ind w:left="432" w:hanging="432"/>
        <w:rPr>
          <w:rFonts w:eastAsia="Calibri"/>
        </w:rPr>
      </w:pPr>
      <w:bookmarkStart w:id="12" w:name="_Toc51918671"/>
      <w:bookmarkStart w:id="13" w:name="_Toc55544755"/>
      <w:r w:rsidRPr="002D5431">
        <w:rPr>
          <w:rFonts w:eastAsia="Calibri"/>
        </w:rPr>
        <w:lastRenderedPageBreak/>
        <w:t xml:space="preserve">Part </w:t>
      </w:r>
      <w:r w:rsidR="00F829C3">
        <w:rPr>
          <w:rFonts w:eastAsia="Calibri"/>
        </w:rPr>
        <w:t>One</w:t>
      </w:r>
      <w:r w:rsidRPr="002D5431">
        <w:rPr>
          <w:rFonts w:eastAsia="Calibri"/>
        </w:rPr>
        <w:t xml:space="preserve">: </w:t>
      </w:r>
      <w:r w:rsidR="00B378E8">
        <w:rPr>
          <w:rFonts w:eastAsia="Calibri"/>
        </w:rPr>
        <w:t>Evaluation overview</w:t>
      </w:r>
      <w:bookmarkEnd w:id="12"/>
      <w:bookmarkEnd w:id="13"/>
    </w:p>
    <w:p w14:paraId="5A4BD5EF" w14:textId="77777777" w:rsidR="00F321E3" w:rsidRPr="00E43346" w:rsidRDefault="00F321E3" w:rsidP="008B655A">
      <w:pPr>
        <w:pStyle w:val="Heading2"/>
      </w:pPr>
      <w:bookmarkStart w:id="14" w:name="_Toc51918672"/>
      <w:bookmarkStart w:id="15" w:name="_Toc55544756"/>
      <w:r w:rsidRPr="00E43346">
        <w:t>Background</w:t>
      </w:r>
      <w:bookmarkEnd w:id="14"/>
      <w:bookmarkEnd w:id="15"/>
    </w:p>
    <w:p w14:paraId="69B5F6F9" w14:textId="4A13ECF4" w:rsidR="0021690F" w:rsidRPr="0021690F" w:rsidRDefault="005B54ED" w:rsidP="00CF1ECF">
      <w:pPr>
        <w:rPr>
          <w:rFonts w:asciiTheme="majorHAnsi" w:hAnsiTheme="majorHAnsi" w:cstheme="majorHAnsi"/>
        </w:rPr>
      </w:pPr>
      <w:r>
        <w:rPr>
          <w:rFonts w:asciiTheme="majorHAnsi" w:eastAsia="Calibri" w:hAnsiTheme="majorHAnsi" w:cstheme="majorHAnsi"/>
        </w:rPr>
        <w:t>Discovery Projects</w:t>
      </w:r>
      <w:r w:rsidR="00F321E3" w:rsidRPr="004F15D8">
        <w:rPr>
          <w:rFonts w:asciiTheme="majorHAnsi" w:eastAsia="Calibri" w:hAnsiTheme="majorHAnsi" w:cstheme="majorHAnsi"/>
        </w:rPr>
        <w:t xml:space="preserve"> is the largest A</w:t>
      </w:r>
      <w:r w:rsidR="00496194">
        <w:rPr>
          <w:rFonts w:asciiTheme="majorHAnsi" w:eastAsia="Calibri" w:hAnsiTheme="majorHAnsi" w:cstheme="majorHAnsi"/>
        </w:rPr>
        <w:t>ustralian Research Council (ARC)</w:t>
      </w:r>
      <w:r w:rsidR="00F321E3" w:rsidRPr="004F15D8">
        <w:rPr>
          <w:rFonts w:asciiTheme="majorHAnsi" w:eastAsia="Calibri" w:hAnsiTheme="majorHAnsi" w:cstheme="majorHAnsi"/>
        </w:rPr>
        <w:t xml:space="preserve"> funding scheme and one of the main means by which researchers interact with the ARC. </w:t>
      </w:r>
      <w:r w:rsidR="0021690F">
        <w:rPr>
          <w:rFonts w:asciiTheme="majorHAnsi" w:hAnsiTheme="majorHAnsi" w:cstheme="majorHAnsi"/>
        </w:rPr>
        <w:t>It</w:t>
      </w:r>
      <w:r w:rsidR="0021690F" w:rsidRPr="007D30F8">
        <w:rPr>
          <w:rFonts w:asciiTheme="majorHAnsi" w:hAnsiTheme="majorHAnsi" w:cstheme="majorHAnsi"/>
        </w:rPr>
        <w:t xml:space="preserve"> provides</w:t>
      </w:r>
      <w:r w:rsidR="00603988">
        <w:rPr>
          <w:rFonts w:asciiTheme="majorHAnsi" w:hAnsiTheme="majorHAnsi" w:cstheme="majorHAnsi"/>
        </w:rPr>
        <w:t xml:space="preserve"> project</w:t>
      </w:r>
      <w:r w:rsidR="0021690F" w:rsidRPr="007D30F8">
        <w:rPr>
          <w:rFonts w:asciiTheme="majorHAnsi" w:hAnsiTheme="majorHAnsi" w:cstheme="majorHAnsi"/>
        </w:rPr>
        <w:t xml:space="preserve"> funding for basic and applied research undertaken by individual researchers and teams. </w:t>
      </w:r>
      <w:r w:rsidR="00603988">
        <w:rPr>
          <w:rFonts w:asciiTheme="majorHAnsi" w:hAnsiTheme="majorHAnsi" w:cstheme="majorHAnsi"/>
        </w:rPr>
        <w:t xml:space="preserve">Discovery Projects </w:t>
      </w:r>
      <w:r w:rsidR="00EC44C5">
        <w:rPr>
          <w:rFonts w:asciiTheme="majorHAnsi" w:hAnsiTheme="majorHAnsi" w:cstheme="majorHAnsi"/>
        </w:rPr>
        <w:t>offers</w:t>
      </w:r>
      <w:r w:rsidR="0021690F" w:rsidRPr="000A525F">
        <w:rPr>
          <w:rFonts w:asciiTheme="majorHAnsi" w:hAnsiTheme="majorHAnsi" w:cstheme="majorHAnsi"/>
        </w:rPr>
        <w:t xml:space="preserve"> between $30,000 and $500,000 per year for up to five years.</w:t>
      </w:r>
      <w:r w:rsidR="0021690F">
        <w:rPr>
          <w:rFonts w:asciiTheme="majorHAnsi" w:hAnsiTheme="majorHAnsi" w:cstheme="majorHAnsi"/>
        </w:rPr>
        <w:t xml:space="preserve"> </w:t>
      </w:r>
      <w:r w:rsidR="0021690F" w:rsidRPr="00A767C6">
        <w:rPr>
          <w:rFonts w:asciiTheme="majorHAnsi" w:hAnsiTheme="majorHAnsi" w:cstheme="majorHAnsi"/>
        </w:rPr>
        <w:t>As is the case across the entirety of the N</w:t>
      </w:r>
      <w:r w:rsidR="004B64E0">
        <w:rPr>
          <w:rFonts w:asciiTheme="majorHAnsi" w:hAnsiTheme="majorHAnsi" w:cstheme="majorHAnsi"/>
        </w:rPr>
        <w:t>ational Competitive Grants Program (NCGP)</w:t>
      </w:r>
      <w:r w:rsidR="0021690F" w:rsidRPr="00A767C6">
        <w:rPr>
          <w:rFonts w:asciiTheme="majorHAnsi" w:hAnsiTheme="majorHAnsi" w:cstheme="majorHAnsi"/>
        </w:rPr>
        <w:t>, Discovery Projects allocates funding on the basis of research excellence</w:t>
      </w:r>
      <w:r w:rsidR="00254644">
        <w:rPr>
          <w:rFonts w:asciiTheme="majorHAnsi" w:hAnsiTheme="majorHAnsi" w:cstheme="majorHAnsi"/>
        </w:rPr>
        <w:t xml:space="preserve"> as assessed through ARC selection processes.</w:t>
      </w:r>
    </w:p>
    <w:p w14:paraId="02B8A07A" w14:textId="596A266C" w:rsidR="00F321E3" w:rsidRPr="004F15D8" w:rsidRDefault="00F321E3" w:rsidP="00CF1ECF">
      <w:pPr>
        <w:shd w:val="clear" w:color="auto" w:fill="FFFFFF" w:themeFill="background1"/>
        <w:rPr>
          <w:rFonts w:asciiTheme="majorHAnsi" w:eastAsia="Calibri" w:hAnsiTheme="majorHAnsi" w:cstheme="majorHAnsi"/>
        </w:rPr>
      </w:pPr>
      <w:r w:rsidRPr="004F15D8">
        <w:rPr>
          <w:rFonts w:asciiTheme="majorHAnsi" w:eastAsia="Calibri" w:hAnsiTheme="majorHAnsi" w:cstheme="majorHAnsi"/>
        </w:rPr>
        <w:t>The Discovery Program</w:t>
      </w:r>
      <w:r w:rsidR="00656DC3">
        <w:rPr>
          <w:rFonts w:asciiTheme="majorHAnsi" w:eastAsia="Calibri" w:hAnsiTheme="majorHAnsi" w:cstheme="majorHAnsi"/>
        </w:rPr>
        <w:t xml:space="preserve">, </w:t>
      </w:r>
      <w:r w:rsidR="002912E5">
        <w:rPr>
          <w:rFonts w:asciiTheme="majorHAnsi" w:eastAsia="Calibri" w:hAnsiTheme="majorHAnsi" w:cstheme="majorHAnsi"/>
        </w:rPr>
        <w:t>including</w:t>
      </w:r>
      <w:r w:rsidR="00656DC3">
        <w:rPr>
          <w:rFonts w:asciiTheme="majorHAnsi" w:eastAsia="Calibri" w:hAnsiTheme="majorHAnsi" w:cstheme="majorHAnsi"/>
        </w:rPr>
        <w:t xml:space="preserve"> the Discovery Projects scheme,</w:t>
      </w:r>
      <w:r w:rsidRPr="004F15D8">
        <w:rPr>
          <w:rFonts w:asciiTheme="majorHAnsi" w:eastAsia="Calibri" w:hAnsiTheme="majorHAnsi" w:cstheme="majorHAnsi"/>
        </w:rPr>
        <w:t xml:space="preserve"> w</w:t>
      </w:r>
      <w:r w:rsidR="00656DC3">
        <w:rPr>
          <w:rFonts w:asciiTheme="majorHAnsi" w:eastAsia="Calibri" w:hAnsiTheme="majorHAnsi" w:cstheme="majorHAnsi"/>
        </w:rPr>
        <w:t>as</w:t>
      </w:r>
      <w:r w:rsidRPr="004F15D8">
        <w:rPr>
          <w:rFonts w:asciiTheme="majorHAnsi" w:eastAsia="Calibri" w:hAnsiTheme="majorHAnsi" w:cstheme="majorHAnsi"/>
        </w:rPr>
        <w:t xml:space="preserve"> part of an announcement in December 1999, when the Hon Dr David Kemp AC, then Minister for Education, Training and Youth Affairs, released </w:t>
      </w:r>
      <w:r w:rsidRPr="004F15D8">
        <w:rPr>
          <w:rFonts w:asciiTheme="majorHAnsi" w:eastAsia="Calibri" w:hAnsiTheme="majorHAnsi" w:cstheme="majorHAnsi"/>
          <w:i/>
        </w:rPr>
        <w:t>Knowledge and Innovation: A policy statement for research and research training</w:t>
      </w:r>
      <w:r w:rsidRPr="004F15D8">
        <w:rPr>
          <w:rFonts w:asciiTheme="majorHAnsi" w:eastAsia="Calibri" w:hAnsiTheme="majorHAnsi" w:cstheme="majorHAnsi"/>
        </w:rPr>
        <w:t>.</w:t>
      </w:r>
      <w:r w:rsidRPr="004F15D8">
        <w:rPr>
          <w:rFonts w:asciiTheme="majorHAnsi" w:eastAsia="Calibri" w:hAnsiTheme="majorHAnsi" w:cstheme="majorHAnsi"/>
          <w:vertAlign w:val="superscript"/>
        </w:rPr>
        <w:footnoteReference w:id="8"/>
      </w:r>
      <w:r w:rsidRPr="004F15D8">
        <w:rPr>
          <w:rFonts w:asciiTheme="majorHAnsi" w:eastAsia="Calibri" w:hAnsiTheme="majorHAnsi" w:cstheme="majorHAnsi"/>
        </w:rPr>
        <w:t xml:space="preserve"> Th</w:t>
      </w:r>
      <w:r w:rsidR="0093603B">
        <w:rPr>
          <w:rFonts w:asciiTheme="majorHAnsi" w:eastAsia="Calibri" w:hAnsiTheme="majorHAnsi" w:cstheme="majorHAnsi"/>
        </w:rPr>
        <w:t>is</w:t>
      </w:r>
      <w:r w:rsidRPr="004F15D8">
        <w:rPr>
          <w:rFonts w:asciiTheme="majorHAnsi" w:eastAsia="Calibri" w:hAnsiTheme="majorHAnsi" w:cstheme="majorHAnsi"/>
        </w:rPr>
        <w:t xml:space="preserve"> policy statement set out the Howard Government’s vision for the future of higher education research in Australia, including the establishment of the </w:t>
      </w:r>
      <w:r w:rsidR="00AE15DF">
        <w:rPr>
          <w:rFonts w:asciiTheme="majorHAnsi" w:eastAsia="Calibri" w:hAnsiTheme="majorHAnsi" w:cstheme="majorHAnsi"/>
        </w:rPr>
        <w:t>NCGP.</w:t>
      </w:r>
    </w:p>
    <w:p w14:paraId="7FF110EE" w14:textId="520B3804" w:rsidR="00F321E3" w:rsidRDefault="00F321E3" w:rsidP="00CF1ECF">
      <w:pPr>
        <w:shd w:val="clear" w:color="auto" w:fill="FFFFFF" w:themeFill="background1"/>
        <w:rPr>
          <w:rFonts w:asciiTheme="majorHAnsi" w:eastAsia="Calibri" w:hAnsiTheme="majorHAnsi" w:cstheme="majorHAnsi"/>
        </w:rPr>
      </w:pPr>
      <w:r w:rsidRPr="004F15D8">
        <w:rPr>
          <w:rFonts w:asciiTheme="majorHAnsi" w:eastAsia="Calibri" w:hAnsiTheme="majorHAnsi" w:cstheme="majorHAnsi"/>
        </w:rPr>
        <w:t>The intent of the Discov</w:t>
      </w:r>
      <w:r w:rsidR="00AE15DF">
        <w:rPr>
          <w:rFonts w:asciiTheme="majorHAnsi" w:eastAsia="Calibri" w:hAnsiTheme="majorHAnsi" w:cstheme="majorHAnsi"/>
        </w:rPr>
        <w:t>ery element of the NCGP was to ‘</w:t>
      </w:r>
      <w:r w:rsidRPr="004F15D8">
        <w:rPr>
          <w:rFonts w:asciiTheme="majorHAnsi" w:eastAsia="Calibri" w:hAnsiTheme="majorHAnsi" w:cstheme="majorHAnsi"/>
        </w:rPr>
        <w:t>[recognise] the importance of Australia’s universities as major sources of fundamental research, dedicated to the creation of knowledge, within a wider framework that encourages li</w:t>
      </w:r>
      <w:r w:rsidR="00AE15DF">
        <w:rPr>
          <w:rFonts w:asciiTheme="majorHAnsi" w:eastAsia="Calibri" w:hAnsiTheme="majorHAnsi" w:cstheme="majorHAnsi"/>
        </w:rPr>
        <w:t>nks with users of the research’.</w:t>
      </w:r>
      <w:r w:rsidRPr="004F15D8">
        <w:rPr>
          <w:rFonts w:asciiTheme="majorHAnsi" w:eastAsia="Calibri" w:hAnsiTheme="majorHAnsi" w:cstheme="majorHAnsi"/>
          <w:vertAlign w:val="superscript"/>
        </w:rPr>
        <w:footnoteReference w:id="9"/>
      </w:r>
    </w:p>
    <w:p w14:paraId="693F4D66" w14:textId="24928F11" w:rsidR="003869CC" w:rsidRPr="004F5637" w:rsidRDefault="003869CC" w:rsidP="00CF1ECF">
      <w:pPr>
        <w:spacing w:after="120"/>
        <w:rPr>
          <w:rFonts w:asciiTheme="majorHAnsi" w:hAnsiTheme="majorHAnsi" w:cstheme="majorHAnsi"/>
        </w:rPr>
      </w:pPr>
      <w:r w:rsidRPr="004F5637">
        <w:rPr>
          <w:rFonts w:asciiTheme="majorHAnsi" w:hAnsiTheme="majorHAnsi" w:cstheme="majorHAnsi"/>
        </w:rPr>
        <w:t xml:space="preserve">The Discovery Projects scheme’s </w:t>
      </w:r>
      <w:r w:rsidR="001F2D13">
        <w:rPr>
          <w:rFonts w:asciiTheme="majorHAnsi" w:hAnsiTheme="majorHAnsi" w:cstheme="majorHAnsi"/>
        </w:rPr>
        <w:t>current</w:t>
      </w:r>
      <w:r w:rsidRPr="004F5637">
        <w:rPr>
          <w:rFonts w:asciiTheme="majorHAnsi" w:hAnsiTheme="majorHAnsi" w:cstheme="majorHAnsi"/>
        </w:rPr>
        <w:t xml:space="preserve"> objectives are to:</w:t>
      </w:r>
    </w:p>
    <w:p w14:paraId="3C893153" w14:textId="7346A8A9" w:rsidR="003869CC" w:rsidRPr="004F5637" w:rsidRDefault="003869CC" w:rsidP="00254D36">
      <w:pPr>
        <w:numPr>
          <w:ilvl w:val="0"/>
          <w:numId w:val="5"/>
        </w:numPr>
        <w:shd w:val="clear" w:color="auto" w:fill="FFFFFF"/>
        <w:spacing w:before="60" w:after="60" w:line="240" w:lineRule="auto"/>
        <w:ind w:left="714" w:hanging="357"/>
        <w:rPr>
          <w:rFonts w:asciiTheme="majorHAnsi" w:hAnsiTheme="majorHAnsi" w:cstheme="majorHAnsi"/>
        </w:rPr>
      </w:pPr>
      <w:r w:rsidRPr="004F5637">
        <w:rPr>
          <w:rFonts w:asciiTheme="majorHAnsi" w:hAnsiTheme="majorHAnsi" w:cstheme="majorHAnsi"/>
        </w:rPr>
        <w:t>support excellent basic and applied research and research training by individuals and teams</w:t>
      </w:r>
    </w:p>
    <w:p w14:paraId="76360CE0" w14:textId="20A19E67" w:rsidR="003869CC" w:rsidRPr="004F5637" w:rsidRDefault="003869CC" w:rsidP="00254D36">
      <w:pPr>
        <w:numPr>
          <w:ilvl w:val="0"/>
          <w:numId w:val="5"/>
        </w:numPr>
        <w:shd w:val="clear" w:color="auto" w:fill="FFFFFF"/>
        <w:spacing w:before="60" w:after="60" w:line="240" w:lineRule="auto"/>
        <w:ind w:left="714" w:hanging="357"/>
        <w:rPr>
          <w:rFonts w:asciiTheme="majorHAnsi" w:hAnsiTheme="majorHAnsi" w:cstheme="majorHAnsi"/>
        </w:rPr>
      </w:pPr>
      <w:r w:rsidRPr="004F5637">
        <w:rPr>
          <w:rFonts w:asciiTheme="majorHAnsi" w:hAnsiTheme="majorHAnsi" w:cstheme="majorHAnsi"/>
        </w:rPr>
        <w:t>support national and international research collaboration</w:t>
      </w:r>
    </w:p>
    <w:p w14:paraId="1298D168" w14:textId="77777777" w:rsidR="003869CC" w:rsidRPr="004F5637" w:rsidRDefault="003869CC" w:rsidP="00254D36">
      <w:pPr>
        <w:numPr>
          <w:ilvl w:val="0"/>
          <w:numId w:val="5"/>
        </w:numPr>
        <w:shd w:val="clear" w:color="auto" w:fill="FFFFFF"/>
        <w:spacing w:before="60" w:after="120"/>
        <w:ind w:left="714" w:hanging="357"/>
        <w:rPr>
          <w:rFonts w:asciiTheme="majorHAnsi" w:hAnsiTheme="majorHAnsi" w:cstheme="majorHAnsi"/>
        </w:rPr>
      </w:pPr>
      <w:r w:rsidRPr="004F5637">
        <w:rPr>
          <w:rFonts w:asciiTheme="majorHAnsi" w:hAnsiTheme="majorHAnsi" w:cstheme="majorHAnsi"/>
        </w:rPr>
        <w:t>enhance the scale and focus of research in Australian Government priority areas.</w:t>
      </w:r>
    </w:p>
    <w:p w14:paraId="0BA64924" w14:textId="2C589580" w:rsidR="003869CC" w:rsidRPr="004F5637" w:rsidRDefault="003869CC" w:rsidP="00CF1ECF">
      <w:pPr>
        <w:spacing w:after="120"/>
        <w:rPr>
          <w:rFonts w:asciiTheme="majorHAnsi" w:hAnsiTheme="majorHAnsi" w:cstheme="majorHAnsi"/>
        </w:rPr>
      </w:pPr>
      <w:r w:rsidRPr="004F5637">
        <w:rPr>
          <w:rFonts w:asciiTheme="majorHAnsi" w:hAnsiTheme="majorHAnsi" w:cstheme="majorHAnsi"/>
        </w:rPr>
        <w:t>The intended outcomes for the Discovery Projects scheme are:</w:t>
      </w:r>
    </w:p>
    <w:p w14:paraId="0550B310" w14:textId="7114B7A2" w:rsidR="003869CC" w:rsidRPr="004F5637" w:rsidRDefault="003869CC" w:rsidP="00254D36">
      <w:pPr>
        <w:numPr>
          <w:ilvl w:val="0"/>
          <w:numId w:val="5"/>
        </w:numPr>
        <w:shd w:val="clear" w:color="auto" w:fill="FFFFFF"/>
        <w:spacing w:before="60" w:after="60" w:line="240" w:lineRule="auto"/>
        <w:ind w:left="714" w:hanging="357"/>
        <w:rPr>
          <w:rFonts w:asciiTheme="majorHAnsi" w:hAnsiTheme="majorHAnsi" w:cstheme="majorHAnsi"/>
        </w:rPr>
      </w:pPr>
      <w:r w:rsidRPr="004F5637">
        <w:rPr>
          <w:rFonts w:asciiTheme="majorHAnsi" w:hAnsiTheme="majorHAnsi" w:cstheme="majorHAnsi"/>
        </w:rPr>
        <w:t>expanded knowledge base and research capacity in Australia</w:t>
      </w:r>
    </w:p>
    <w:p w14:paraId="083D47B9" w14:textId="44508BDE" w:rsidR="003869CC" w:rsidRPr="001F2D13" w:rsidRDefault="003869CC" w:rsidP="00254D36">
      <w:pPr>
        <w:numPr>
          <w:ilvl w:val="0"/>
          <w:numId w:val="5"/>
        </w:numPr>
        <w:shd w:val="clear" w:color="auto" w:fill="FFFFFF"/>
        <w:spacing w:before="60" w:after="120"/>
        <w:ind w:left="714" w:hanging="357"/>
        <w:rPr>
          <w:rFonts w:asciiTheme="majorHAnsi" w:hAnsiTheme="majorHAnsi" w:cstheme="majorHAnsi"/>
          <w:lang w:val="en-US"/>
        </w:rPr>
      </w:pPr>
      <w:r w:rsidRPr="004F5637">
        <w:rPr>
          <w:rFonts w:asciiTheme="majorHAnsi" w:hAnsiTheme="majorHAnsi" w:cstheme="majorHAnsi"/>
        </w:rPr>
        <w:t>economic, commercial, environmental, social and/or cultural benefits for Australia.</w:t>
      </w:r>
    </w:p>
    <w:p w14:paraId="7F51BD74" w14:textId="77777777" w:rsidR="00F321E3" w:rsidRPr="004F15D8" w:rsidRDefault="00F321E3" w:rsidP="00CF1ECF">
      <w:pPr>
        <w:pStyle w:val="Heading2"/>
      </w:pPr>
      <w:bookmarkStart w:id="16" w:name="_Toc13057469"/>
      <w:bookmarkStart w:id="17" w:name="_Toc51918673"/>
      <w:bookmarkStart w:id="18" w:name="_Toc55544757"/>
      <w:r w:rsidRPr="00D42E65">
        <w:t>Authorisation and management</w:t>
      </w:r>
      <w:bookmarkEnd w:id="16"/>
      <w:bookmarkEnd w:id="17"/>
      <w:bookmarkEnd w:id="18"/>
    </w:p>
    <w:p w14:paraId="7DDE0E09" w14:textId="5F157288" w:rsidR="00F321E3" w:rsidRPr="004F15D8" w:rsidRDefault="00F321E3" w:rsidP="00CF1ECF">
      <w:pPr>
        <w:shd w:val="clear" w:color="auto" w:fill="FFFFFF" w:themeFill="background1"/>
        <w:rPr>
          <w:rFonts w:asciiTheme="majorHAnsi" w:eastAsia="Calibri" w:hAnsiTheme="majorHAnsi" w:cstheme="majorHAnsi"/>
        </w:rPr>
      </w:pPr>
      <w:r w:rsidRPr="004F15D8">
        <w:rPr>
          <w:rFonts w:asciiTheme="majorHAnsi" w:eastAsia="Calibri" w:hAnsiTheme="majorHAnsi" w:cstheme="majorHAnsi"/>
        </w:rPr>
        <w:t xml:space="preserve">This evaluation was authorised and undertaken in accordance with the </w:t>
      </w:r>
      <w:r w:rsidRPr="00FA3EB0">
        <w:rPr>
          <w:rFonts w:asciiTheme="majorHAnsi" w:eastAsia="Calibri" w:hAnsiTheme="majorHAnsi" w:cstheme="majorHAnsi"/>
          <w:i/>
        </w:rPr>
        <w:t>ARC Evaluation Strategy</w:t>
      </w:r>
      <w:r w:rsidRPr="004F15D8">
        <w:rPr>
          <w:rFonts w:asciiTheme="majorHAnsi" w:eastAsia="Calibri" w:hAnsiTheme="majorHAnsi" w:cstheme="majorHAnsi"/>
        </w:rPr>
        <w:t xml:space="preserve"> and </w:t>
      </w:r>
      <w:r w:rsidRPr="00FA3EB0">
        <w:rPr>
          <w:rFonts w:asciiTheme="majorHAnsi" w:eastAsia="Calibri" w:hAnsiTheme="majorHAnsi" w:cstheme="majorHAnsi"/>
          <w:i/>
        </w:rPr>
        <w:t>Strategic Evaluation Plan</w:t>
      </w:r>
      <w:r w:rsidRPr="004F15D8">
        <w:rPr>
          <w:rFonts w:asciiTheme="majorHAnsi" w:eastAsia="Calibri" w:hAnsiTheme="majorHAnsi" w:cstheme="majorHAnsi"/>
        </w:rPr>
        <w:t>.</w:t>
      </w:r>
      <w:r w:rsidRPr="004F15D8">
        <w:rPr>
          <w:rFonts w:asciiTheme="majorHAnsi" w:eastAsia="Calibri" w:hAnsiTheme="majorHAnsi" w:cstheme="majorHAnsi"/>
          <w:vertAlign w:val="superscript"/>
        </w:rPr>
        <w:footnoteReference w:id="10"/>
      </w:r>
      <w:r w:rsidR="00D42E65">
        <w:rPr>
          <w:rFonts w:asciiTheme="majorHAnsi" w:eastAsia="Calibri" w:hAnsiTheme="majorHAnsi" w:cstheme="majorHAnsi"/>
        </w:rPr>
        <w:t xml:space="preserve"> </w:t>
      </w:r>
      <w:r w:rsidRPr="004F15D8">
        <w:rPr>
          <w:rFonts w:asciiTheme="majorHAnsi" w:eastAsia="Calibri" w:hAnsiTheme="majorHAnsi" w:cstheme="majorHAnsi"/>
        </w:rPr>
        <w:t xml:space="preserve">The evaluation was managed and conducted by the ARC Program Evaluation Section, which </w:t>
      </w:r>
      <w:r w:rsidR="00EE09F7">
        <w:rPr>
          <w:rFonts w:asciiTheme="majorHAnsi" w:eastAsia="Calibri" w:hAnsiTheme="majorHAnsi" w:cstheme="majorHAnsi"/>
        </w:rPr>
        <w:t>is part of</w:t>
      </w:r>
      <w:r w:rsidRPr="004F15D8">
        <w:rPr>
          <w:rFonts w:asciiTheme="majorHAnsi" w:eastAsia="Calibri" w:hAnsiTheme="majorHAnsi" w:cstheme="majorHAnsi"/>
        </w:rPr>
        <w:t xml:space="preserve"> the Corporate Services Branch and is independent from policy and program functions within the</w:t>
      </w:r>
      <w:r w:rsidR="00AE15DF">
        <w:rPr>
          <w:rFonts w:asciiTheme="majorHAnsi" w:eastAsia="Calibri" w:hAnsiTheme="majorHAnsi" w:cstheme="majorHAnsi"/>
        </w:rPr>
        <w:t xml:space="preserve"> ARC</w:t>
      </w:r>
      <w:r w:rsidR="0093603B">
        <w:rPr>
          <w:rFonts w:asciiTheme="majorHAnsi" w:eastAsia="Calibri" w:hAnsiTheme="majorHAnsi" w:cstheme="majorHAnsi"/>
        </w:rPr>
        <w:t>’s</w:t>
      </w:r>
      <w:r w:rsidR="00AE15DF">
        <w:rPr>
          <w:rFonts w:asciiTheme="majorHAnsi" w:eastAsia="Calibri" w:hAnsiTheme="majorHAnsi" w:cstheme="majorHAnsi"/>
        </w:rPr>
        <w:t xml:space="preserve"> organisational structure. </w:t>
      </w:r>
    </w:p>
    <w:p w14:paraId="4ACD7C0F" w14:textId="77777777" w:rsidR="00F321E3" w:rsidRPr="00AE15DF" w:rsidRDefault="00F321E3" w:rsidP="00CF1ECF">
      <w:pPr>
        <w:shd w:val="clear" w:color="auto" w:fill="FFFFFF" w:themeFill="background1"/>
        <w:rPr>
          <w:rFonts w:asciiTheme="majorHAnsi" w:eastAsia="Calibri" w:hAnsiTheme="majorHAnsi" w:cstheme="majorHAnsi"/>
        </w:rPr>
      </w:pPr>
      <w:r w:rsidRPr="004F15D8">
        <w:rPr>
          <w:rFonts w:asciiTheme="majorHAnsi" w:eastAsia="Calibri" w:hAnsiTheme="majorHAnsi" w:cstheme="majorHAnsi"/>
        </w:rPr>
        <w:t>The Program Evaluation Section consulted with relevant ARC line areas to identify the priorities and issues addressed in the evaluation, seek advice on policy and program matters, and access policy and program d</w:t>
      </w:r>
      <w:r w:rsidR="00AE15DF">
        <w:rPr>
          <w:rFonts w:asciiTheme="majorHAnsi" w:eastAsia="Calibri" w:hAnsiTheme="majorHAnsi" w:cstheme="majorHAnsi"/>
        </w:rPr>
        <w:t>ata, documents and information.</w:t>
      </w:r>
    </w:p>
    <w:p w14:paraId="481D30FA" w14:textId="77777777" w:rsidR="0049267F" w:rsidRPr="004F15D8" w:rsidRDefault="00F321E3" w:rsidP="00CF1ECF">
      <w:pPr>
        <w:shd w:val="clear" w:color="auto" w:fill="FFFFFF" w:themeFill="background1"/>
        <w:rPr>
          <w:rFonts w:asciiTheme="majorHAnsi" w:eastAsia="Calibri" w:hAnsiTheme="majorHAnsi" w:cstheme="majorHAnsi"/>
        </w:rPr>
      </w:pPr>
      <w:r w:rsidRPr="004F15D8">
        <w:rPr>
          <w:rFonts w:asciiTheme="majorHAnsi" w:eastAsia="Calibri" w:hAnsiTheme="majorHAnsi" w:cstheme="majorHAnsi"/>
        </w:rPr>
        <w:t>The Program Evaluation Section engaged Kantar</w:t>
      </w:r>
      <w:r w:rsidR="008420FA">
        <w:rPr>
          <w:rFonts w:asciiTheme="majorHAnsi" w:eastAsia="Calibri" w:hAnsiTheme="majorHAnsi" w:cstheme="majorHAnsi"/>
        </w:rPr>
        <w:t>,</w:t>
      </w:r>
      <w:r w:rsidRPr="004F15D8">
        <w:rPr>
          <w:rFonts w:asciiTheme="majorHAnsi" w:eastAsia="Calibri" w:hAnsiTheme="majorHAnsi" w:cstheme="majorHAnsi"/>
        </w:rPr>
        <w:t xml:space="preserve"> Public</w:t>
      </w:r>
      <w:r w:rsidR="00F01201" w:rsidRPr="004F15D8">
        <w:rPr>
          <w:rFonts w:asciiTheme="majorHAnsi" w:eastAsia="Calibri" w:hAnsiTheme="majorHAnsi" w:cstheme="majorHAnsi"/>
        </w:rPr>
        <w:t xml:space="preserve"> Division</w:t>
      </w:r>
      <w:r w:rsidRPr="004F15D8">
        <w:rPr>
          <w:rFonts w:asciiTheme="majorHAnsi" w:eastAsia="Calibri" w:hAnsiTheme="majorHAnsi" w:cstheme="majorHAnsi"/>
        </w:rPr>
        <w:t xml:space="preserve"> to conduct independent survey and interview res</w:t>
      </w:r>
      <w:r w:rsidR="008420FA">
        <w:rPr>
          <w:rFonts w:asciiTheme="majorHAnsi" w:eastAsia="Calibri" w:hAnsiTheme="majorHAnsi" w:cstheme="majorHAnsi"/>
        </w:rPr>
        <w:t>earch with external</w:t>
      </w:r>
      <w:r w:rsidRPr="004F15D8">
        <w:rPr>
          <w:rFonts w:asciiTheme="majorHAnsi" w:eastAsia="Calibri" w:hAnsiTheme="majorHAnsi" w:cstheme="majorHAnsi"/>
        </w:rPr>
        <w:t xml:space="preserve"> stakeholders as an input </w:t>
      </w:r>
      <w:r w:rsidR="008420FA">
        <w:rPr>
          <w:rFonts w:asciiTheme="majorHAnsi" w:eastAsia="Calibri" w:hAnsiTheme="majorHAnsi" w:cstheme="majorHAnsi"/>
        </w:rPr>
        <w:t>in</w:t>
      </w:r>
      <w:r w:rsidRPr="004F15D8">
        <w:rPr>
          <w:rFonts w:asciiTheme="majorHAnsi" w:eastAsia="Calibri" w:hAnsiTheme="majorHAnsi" w:cstheme="majorHAnsi"/>
        </w:rPr>
        <w:t>to the evaluation. Kantar</w:t>
      </w:r>
      <w:r w:rsidR="008420FA">
        <w:rPr>
          <w:rFonts w:asciiTheme="majorHAnsi" w:eastAsia="Calibri" w:hAnsiTheme="majorHAnsi" w:cstheme="majorHAnsi"/>
        </w:rPr>
        <w:t>,</w:t>
      </w:r>
      <w:r w:rsidRPr="004F15D8">
        <w:rPr>
          <w:rFonts w:asciiTheme="majorHAnsi" w:eastAsia="Calibri" w:hAnsiTheme="majorHAnsi" w:cstheme="majorHAnsi"/>
        </w:rPr>
        <w:t xml:space="preserve"> Public</w:t>
      </w:r>
      <w:r w:rsidR="00F01201" w:rsidRPr="004F15D8">
        <w:rPr>
          <w:rFonts w:asciiTheme="majorHAnsi" w:eastAsia="Calibri" w:hAnsiTheme="majorHAnsi" w:cstheme="majorHAnsi"/>
        </w:rPr>
        <w:t xml:space="preserve"> Division’</w:t>
      </w:r>
      <w:r w:rsidRPr="004F15D8">
        <w:rPr>
          <w:rFonts w:asciiTheme="majorHAnsi" w:eastAsia="Calibri" w:hAnsiTheme="majorHAnsi" w:cstheme="majorHAnsi"/>
        </w:rPr>
        <w:t>s stakeholder engagement services were procured under the whole-of-government Research, Evaluation and Data panel arrangement, administered by the</w:t>
      </w:r>
      <w:r w:rsidR="00AE15DF">
        <w:rPr>
          <w:rFonts w:asciiTheme="majorHAnsi" w:eastAsia="Calibri" w:hAnsiTheme="majorHAnsi" w:cstheme="majorHAnsi"/>
        </w:rPr>
        <w:t xml:space="preserve"> Department of Social Services.</w:t>
      </w:r>
    </w:p>
    <w:p w14:paraId="22ECC562" w14:textId="77777777" w:rsidR="0049267F" w:rsidRPr="004F15D8" w:rsidRDefault="00F321E3" w:rsidP="00CF1ECF">
      <w:pPr>
        <w:pStyle w:val="Heading2"/>
      </w:pPr>
      <w:bookmarkStart w:id="19" w:name="_Toc51918674"/>
      <w:bookmarkStart w:id="20" w:name="_Toc55544758"/>
      <w:r w:rsidRPr="004F15D8">
        <w:lastRenderedPageBreak/>
        <w:t>Reasons for the evaluation</w:t>
      </w:r>
      <w:bookmarkEnd w:id="19"/>
      <w:bookmarkEnd w:id="20"/>
    </w:p>
    <w:p w14:paraId="705CFCEB" w14:textId="530044DA" w:rsidR="0049267F" w:rsidRPr="004F15D8" w:rsidRDefault="00F321E3" w:rsidP="00CF1ECF">
      <w:pPr>
        <w:shd w:val="clear" w:color="auto" w:fill="FFFFFF" w:themeFill="background1"/>
        <w:rPr>
          <w:rFonts w:asciiTheme="majorHAnsi" w:eastAsia="Calibri" w:hAnsiTheme="majorHAnsi" w:cstheme="majorHAnsi"/>
        </w:rPr>
      </w:pPr>
      <w:r w:rsidRPr="004F15D8">
        <w:rPr>
          <w:rFonts w:asciiTheme="majorHAnsi" w:eastAsia="Calibri" w:hAnsiTheme="majorHAnsi" w:cstheme="majorHAnsi"/>
        </w:rPr>
        <w:t xml:space="preserve">Discovery Projects has not been evaluated since it </w:t>
      </w:r>
      <w:r w:rsidR="0047418B">
        <w:rPr>
          <w:rFonts w:asciiTheme="majorHAnsi" w:eastAsia="Calibri" w:hAnsiTheme="majorHAnsi" w:cstheme="majorHAnsi"/>
        </w:rPr>
        <w:t>was introduced</w:t>
      </w:r>
      <w:r w:rsidR="0047418B" w:rsidRPr="004F15D8">
        <w:rPr>
          <w:rFonts w:asciiTheme="majorHAnsi" w:eastAsia="Calibri" w:hAnsiTheme="majorHAnsi" w:cstheme="majorHAnsi"/>
        </w:rPr>
        <w:t xml:space="preserve"> </w:t>
      </w:r>
      <w:r w:rsidRPr="004F15D8">
        <w:rPr>
          <w:rFonts w:asciiTheme="majorHAnsi" w:eastAsia="Calibri" w:hAnsiTheme="majorHAnsi" w:cstheme="majorHAnsi"/>
        </w:rPr>
        <w:t>in 2001. Given its long running operation and its central role within the Australian Government’s overall investme</w:t>
      </w:r>
      <w:r w:rsidR="008420FA">
        <w:rPr>
          <w:rFonts w:asciiTheme="majorHAnsi" w:eastAsia="Calibri" w:hAnsiTheme="majorHAnsi" w:cstheme="majorHAnsi"/>
        </w:rPr>
        <w:t>nt in university research, it was</w:t>
      </w:r>
      <w:r w:rsidRPr="004F15D8">
        <w:rPr>
          <w:rFonts w:asciiTheme="majorHAnsi" w:eastAsia="Calibri" w:hAnsiTheme="majorHAnsi" w:cstheme="majorHAnsi"/>
        </w:rPr>
        <w:t xml:space="preserve"> important to assess the implementation of the scheme and its performance in supporting high quality research.</w:t>
      </w:r>
    </w:p>
    <w:p w14:paraId="3A5FA5AD" w14:textId="77777777" w:rsidR="0049267F" w:rsidRPr="004F15D8" w:rsidRDefault="0049267F" w:rsidP="00CF1ECF">
      <w:pPr>
        <w:pStyle w:val="Heading2"/>
      </w:pPr>
      <w:bookmarkStart w:id="21" w:name="_Toc51918675"/>
      <w:bookmarkStart w:id="22" w:name="_Toc55544759"/>
      <w:r w:rsidRPr="004F15D8">
        <w:t>Purpose and scope</w:t>
      </w:r>
      <w:bookmarkEnd w:id="21"/>
      <w:bookmarkEnd w:id="22"/>
    </w:p>
    <w:p w14:paraId="0263C3AE" w14:textId="77777777" w:rsidR="0049267F" w:rsidRPr="004F15D8" w:rsidRDefault="0049267F" w:rsidP="00CF1ECF">
      <w:pPr>
        <w:shd w:val="clear" w:color="auto" w:fill="FFFFFF" w:themeFill="background1"/>
        <w:rPr>
          <w:rFonts w:asciiTheme="majorHAnsi" w:eastAsia="Calibri" w:hAnsiTheme="majorHAnsi" w:cstheme="majorHAnsi"/>
        </w:rPr>
      </w:pPr>
      <w:r w:rsidRPr="004F15D8">
        <w:rPr>
          <w:rFonts w:asciiTheme="majorHAnsi" w:eastAsia="Calibri" w:hAnsiTheme="majorHAnsi" w:cstheme="majorHAnsi"/>
        </w:rPr>
        <w:t xml:space="preserve">The </w:t>
      </w:r>
      <w:r w:rsidR="008420FA">
        <w:rPr>
          <w:rFonts w:asciiTheme="majorHAnsi" w:eastAsia="Calibri" w:hAnsiTheme="majorHAnsi" w:cstheme="majorHAnsi"/>
        </w:rPr>
        <w:t>purpose of the evaluation was</w:t>
      </w:r>
      <w:r w:rsidRPr="004F15D8">
        <w:rPr>
          <w:rFonts w:asciiTheme="majorHAnsi" w:eastAsia="Calibri" w:hAnsiTheme="majorHAnsi" w:cstheme="majorHAnsi"/>
        </w:rPr>
        <w:t xml:space="preserve"> to assess the appropriateness and effectiveness of the Discovery Projects scheme with respect to its objectives and intend</w:t>
      </w:r>
      <w:r w:rsidR="008420FA">
        <w:rPr>
          <w:rFonts w:asciiTheme="majorHAnsi" w:eastAsia="Calibri" w:hAnsiTheme="majorHAnsi" w:cstheme="majorHAnsi"/>
        </w:rPr>
        <w:t>ed outcomes. The evaluation</w:t>
      </w:r>
      <w:r w:rsidRPr="004F15D8">
        <w:rPr>
          <w:rFonts w:asciiTheme="majorHAnsi" w:eastAsia="Calibri" w:hAnsiTheme="majorHAnsi" w:cstheme="majorHAnsi"/>
        </w:rPr>
        <w:t xml:space="preserve"> consider</w:t>
      </w:r>
      <w:r w:rsidR="008420FA">
        <w:rPr>
          <w:rFonts w:asciiTheme="majorHAnsi" w:eastAsia="Calibri" w:hAnsiTheme="majorHAnsi" w:cstheme="majorHAnsi"/>
        </w:rPr>
        <w:t>ed</w:t>
      </w:r>
      <w:r w:rsidRPr="004F15D8">
        <w:rPr>
          <w:rFonts w:asciiTheme="majorHAnsi" w:eastAsia="Calibri" w:hAnsiTheme="majorHAnsi" w:cstheme="majorHAnsi"/>
        </w:rPr>
        <w:t xml:space="preserve"> the scheme’s design and implementation, including its role within Australia’s overall research and innovation landscape, the administration and provision of funding under the scheme and the benefits of the researc</w:t>
      </w:r>
      <w:r w:rsidR="008420FA">
        <w:rPr>
          <w:rFonts w:asciiTheme="majorHAnsi" w:eastAsia="Calibri" w:hAnsiTheme="majorHAnsi" w:cstheme="majorHAnsi"/>
        </w:rPr>
        <w:t xml:space="preserve">h it supports. It considered </w:t>
      </w:r>
      <w:r w:rsidRPr="004F15D8">
        <w:rPr>
          <w:rFonts w:asciiTheme="majorHAnsi" w:eastAsia="Calibri" w:hAnsiTheme="majorHAnsi" w:cstheme="majorHAnsi"/>
        </w:rPr>
        <w:t>all Disc</w:t>
      </w:r>
      <w:r w:rsidR="008420FA">
        <w:rPr>
          <w:rFonts w:asciiTheme="majorHAnsi" w:eastAsia="Calibri" w:hAnsiTheme="majorHAnsi" w:cstheme="majorHAnsi"/>
        </w:rPr>
        <w:t>overy Projects rounds since the scheme’s commencement</w:t>
      </w:r>
      <w:r w:rsidRPr="004F15D8">
        <w:rPr>
          <w:rFonts w:asciiTheme="majorHAnsi" w:eastAsia="Calibri" w:hAnsiTheme="majorHAnsi" w:cstheme="majorHAnsi"/>
        </w:rPr>
        <w:t>. The evaluation is intended to inform policy and program decision making—and possible improvements—in relation to the scheme and its future implementation.</w:t>
      </w:r>
    </w:p>
    <w:p w14:paraId="485697EB" w14:textId="77777777" w:rsidR="0049267F" w:rsidRPr="004F15D8" w:rsidRDefault="0049267F" w:rsidP="00CF1ECF">
      <w:pPr>
        <w:pStyle w:val="Heading2"/>
      </w:pPr>
      <w:bookmarkStart w:id="23" w:name="_Toc51918676"/>
      <w:bookmarkStart w:id="24" w:name="_Toc55544760"/>
      <w:r w:rsidRPr="004F15D8">
        <w:t>Terms of reference</w:t>
      </w:r>
      <w:bookmarkEnd w:id="23"/>
      <w:bookmarkEnd w:id="24"/>
    </w:p>
    <w:p w14:paraId="3D0EE492" w14:textId="77777777" w:rsidR="0049267F" w:rsidRPr="00AE15DF" w:rsidRDefault="0049267F" w:rsidP="002E7500">
      <w:pPr>
        <w:shd w:val="clear" w:color="auto" w:fill="FFFFFF" w:themeFill="background1"/>
        <w:spacing w:after="120"/>
        <w:rPr>
          <w:rFonts w:asciiTheme="majorHAnsi" w:eastAsia="Calibri" w:hAnsiTheme="majorHAnsi" w:cstheme="majorHAnsi"/>
        </w:rPr>
      </w:pPr>
      <w:r w:rsidRPr="004F15D8">
        <w:rPr>
          <w:rFonts w:asciiTheme="majorHAnsi" w:eastAsia="Calibri" w:hAnsiTheme="majorHAnsi" w:cstheme="majorHAnsi"/>
        </w:rPr>
        <w:t>The evaluation assess</w:t>
      </w:r>
      <w:r w:rsidR="00F01201" w:rsidRPr="004F15D8">
        <w:rPr>
          <w:rFonts w:asciiTheme="majorHAnsi" w:eastAsia="Calibri" w:hAnsiTheme="majorHAnsi" w:cstheme="majorHAnsi"/>
        </w:rPr>
        <w:t>ed</w:t>
      </w:r>
      <w:r w:rsidR="00AE15DF">
        <w:rPr>
          <w:rFonts w:asciiTheme="majorHAnsi" w:eastAsia="Calibri" w:hAnsiTheme="majorHAnsi" w:cstheme="majorHAnsi"/>
        </w:rPr>
        <w:t>:</w:t>
      </w:r>
    </w:p>
    <w:p w14:paraId="7F63897B" w14:textId="77777777" w:rsidR="0049267F" w:rsidRPr="004F15D8" w:rsidRDefault="0049267F" w:rsidP="00254D36">
      <w:pPr>
        <w:pStyle w:val="ListParagraph"/>
        <w:numPr>
          <w:ilvl w:val="0"/>
          <w:numId w:val="1"/>
        </w:numPr>
        <w:shd w:val="clear" w:color="auto" w:fill="FFFFFF" w:themeFill="background1"/>
        <w:spacing w:after="120" w:line="259" w:lineRule="auto"/>
        <w:ind w:left="714"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 xml:space="preserve">the effectiveness of the Discovery Projects scheme—including the ARC’s implementation of the scheme and the outcomes of funded research—in supporting excellent basic and applied research and research training, enhancing research collaboration, expanding Australia’s research </w:t>
      </w:r>
      <w:r w:rsidR="008420FA">
        <w:rPr>
          <w:rFonts w:asciiTheme="majorHAnsi" w:hAnsiTheme="majorHAnsi" w:cstheme="majorHAnsi"/>
          <w:color w:val="auto"/>
          <w:sz w:val="22"/>
        </w:rPr>
        <w:t>capacity</w:t>
      </w:r>
      <w:r w:rsidRPr="004F15D8">
        <w:rPr>
          <w:rFonts w:asciiTheme="majorHAnsi" w:hAnsiTheme="majorHAnsi" w:cstheme="majorHAnsi"/>
          <w:color w:val="auto"/>
          <w:sz w:val="22"/>
        </w:rPr>
        <w:t xml:space="preserve"> and supporting research that benefits Australia </w:t>
      </w:r>
    </w:p>
    <w:p w14:paraId="289E28B9" w14:textId="77777777" w:rsidR="0049267F" w:rsidRPr="00AE15DF" w:rsidRDefault="0049267F" w:rsidP="00254D36">
      <w:pPr>
        <w:pStyle w:val="ListParagraph"/>
        <w:numPr>
          <w:ilvl w:val="0"/>
          <w:numId w:val="1"/>
        </w:numPr>
        <w:shd w:val="clear" w:color="auto" w:fill="FFFFFF" w:themeFill="background1"/>
        <w:spacing w:after="240" w:line="259" w:lineRule="auto"/>
        <w:ind w:left="714"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the appropriateness of the Discovery Projects scheme, including with respect to its design, the nature of the support it provides, and its role within the Australian Government’s overall investment in research and innovation.</w:t>
      </w:r>
    </w:p>
    <w:p w14:paraId="568D108E" w14:textId="77777777" w:rsidR="0049267F" w:rsidRPr="004F15D8" w:rsidRDefault="0049267F" w:rsidP="00CF1ECF">
      <w:pPr>
        <w:pStyle w:val="Heading2"/>
      </w:pPr>
      <w:bookmarkStart w:id="25" w:name="_Toc51918677"/>
      <w:bookmarkStart w:id="26" w:name="_Toc55544761"/>
      <w:r w:rsidRPr="004F15D8">
        <w:t>Evaluation questions</w:t>
      </w:r>
      <w:bookmarkEnd w:id="25"/>
      <w:bookmarkEnd w:id="26"/>
    </w:p>
    <w:p w14:paraId="7CC0FF22" w14:textId="77777777" w:rsidR="0049267F" w:rsidRPr="004F15D8" w:rsidRDefault="0049267F" w:rsidP="002E7500">
      <w:pPr>
        <w:shd w:val="clear" w:color="auto" w:fill="FFFFFF" w:themeFill="background1"/>
        <w:spacing w:after="120"/>
        <w:rPr>
          <w:rFonts w:asciiTheme="majorHAnsi" w:hAnsiTheme="majorHAnsi" w:cstheme="majorHAnsi"/>
        </w:rPr>
      </w:pPr>
      <w:r w:rsidRPr="004F15D8">
        <w:rPr>
          <w:rFonts w:asciiTheme="majorHAnsi" w:hAnsiTheme="majorHAnsi" w:cstheme="majorHAnsi"/>
        </w:rPr>
        <w:t xml:space="preserve">To address the terms of reference, the evaluation </w:t>
      </w:r>
      <w:r w:rsidR="00F01201" w:rsidRPr="004F15D8">
        <w:rPr>
          <w:rFonts w:asciiTheme="majorHAnsi" w:hAnsiTheme="majorHAnsi" w:cstheme="majorHAnsi"/>
        </w:rPr>
        <w:t>sought to answer the</w:t>
      </w:r>
      <w:r w:rsidRPr="004F15D8">
        <w:rPr>
          <w:rFonts w:asciiTheme="majorHAnsi" w:hAnsiTheme="majorHAnsi" w:cstheme="majorHAnsi"/>
        </w:rPr>
        <w:t xml:space="preserve"> following questions, with reference to the scheme’s ob</w:t>
      </w:r>
      <w:r w:rsidR="00AE15DF">
        <w:rPr>
          <w:rFonts w:asciiTheme="majorHAnsi" w:hAnsiTheme="majorHAnsi" w:cstheme="majorHAnsi"/>
        </w:rPr>
        <w:t>jectives and intended outcomes:</w:t>
      </w:r>
    </w:p>
    <w:p w14:paraId="1308BC9B" w14:textId="77777777" w:rsidR="0049267F" w:rsidRPr="008420FA" w:rsidRDefault="0049267F" w:rsidP="00254D36">
      <w:pPr>
        <w:pStyle w:val="ListParagraph"/>
        <w:numPr>
          <w:ilvl w:val="0"/>
          <w:numId w:val="2"/>
        </w:numPr>
        <w:shd w:val="clear" w:color="auto" w:fill="FFFFFF" w:themeFill="background1"/>
        <w:spacing w:before="60" w:after="60" w:line="259" w:lineRule="auto"/>
        <w:ind w:left="426" w:hanging="357"/>
        <w:contextualSpacing w:val="0"/>
        <w:rPr>
          <w:rFonts w:asciiTheme="majorHAnsi" w:hAnsiTheme="majorHAnsi" w:cstheme="majorHAnsi"/>
          <w:color w:val="auto"/>
          <w:sz w:val="22"/>
        </w:rPr>
      </w:pPr>
      <w:r w:rsidRPr="008420FA">
        <w:rPr>
          <w:rFonts w:asciiTheme="majorHAnsi" w:hAnsiTheme="majorHAnsi" w:cstheme="majorHAnsi"/>
          <w:color w:val="auto"/>
          <w:sz w:val="22"/>
        </w:rPr>
        <w:t>What has been the nature, scale and focus of research support under the Discovery Projects scheme, including in relation to:</w:t>
      </w:r>
    </w:p>
    <w:p w14:paraId="51384685"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number of applications and funded projects, including success rates</w:t>
      </w:r>
    </w:p>
    <w:p w14:paraId="76F64FB4"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funding amounts, duration and return rates</w:t>
      </w:r>
    </w:p>
    <w:p w14:paraId="625CA21A"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researchers, research trainees, and other individuals and teams</w:t>
      </w:r>
    </w:p>
    <w:p w14:paraId="16C3A713"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national and international research collaboration</w:t>
      </w:r>
    </w:p>
    <w:p w14:paraId="6AED3F65"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fields of research and socioeconomic objectives</w:t>
      </w:r>
    </w:p>
    <w:p w14:paraId="2AA5E813" w14:textId="77777777" w:rsidR="0049267F" w:rsidRPr="00EE5F0E"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EE5F0E">
        <w:rPr>
          <w:rFonts w:asciiTheme="majorHAnsi" w:hAnsiTheme="majorHAnsi" w:cstheme="majorHAnsi"/>
          <w:color w:val="auto"/>
          <w:sz w:val="22"/>
        </w:rPr>
        <w:t>basic and applied research</w:t>
      </w:r>
    </w:p>
    <w:p w14:paraId="51EE7E10" w14:textId="1E5CA74E" w:rsidR="00AE15DF" w:rsidRPr="007057E6" w:rsidRDefault="0049267F" w:rsidP="007057E6">
      <w:pPr>
        <w:pStyle w:val="ListParagraph"/>
        <w:numPr>
          <w:ilvl w:val="1"/>
          <w:numId w:val="2"/>
        </w:numPr>
        <w:shd w:val="clear" w:color="auto" w:fill="FFFFFF" w:themeFill="background1"/>
        <w:spacing w:before="60" w:after="240" w:line="259" w:lineRule="auto"/>
        <w:ind w:left="992" w:hanging="357"/>
        <w:contextualSpacing w:val="0"/>
        <w:rPr>
          <w:rFonts w:asciiTheme="majorHAnsi" w:hAnsiTheme="majorHAnsi" w:cstheme="majorHAnsi"/>
        </w:rPr>
      </w:pPr>
      <w:r w:rsidRPr="00EE5F0E">
        <w:rPr>
          <w:rFonts w:asciiTheme="majorHAnsi" w:hAnsiTheme="majorHAnsi" w:cstheme="majorHAnsi"/>
          <w:color w:val="auto"/>
          <w:sz w:val="22"/>
        </w:rPr>
        <w:t xml:space="preserve">completion </w:t>
      </w:r>
      <w:r w:rsidRPr="004F15D8">
        <w:rPr>
          <w:rFonts w:asciiTheme="majorHAnsi" w:hAnsiTheme="majorHAnsi" w:cstheme="majorHAnsi"/>
          <w:color w:val="auto"/>
          <w:sz w:val="22"/>
        </w:rPr>
        <w:t>and outcomes of research?</w:t>
      </w:r>
    </w:p>
    <w:p w14:paraId="4566FA43" w14:textId="77777777" w:rsidR="0049267F" w:rsidRPr="008420FA" w:rsidRDefault="0049267F" w:rsidP="00254D36">
      <w:pPr>
        <w:pStyle w:val="ListParagraph"/>
        <w:numPr>
          <w:ilvl w:val="0"/>
          <w:numId w:val="2"/>
        </w:numPr>
        <w:shd w:val="clear" w:color="auto" w:fill="FFFFFF" w:themeFill="background1"/>
        <w:spacing w:after="120" w:line="259" w:lineRule="auto"/>
        <w:ind w:left="425" w:hanging="357"/>
        <w:contextualSpacing w:val="0"/>
        <w:rPr>
          <w:rFonts w:asciiTheme="majorHAnsi" w:hAnsiTheme="majorHAnsi" w:cstheme="majorHAnsi"/>
          <w:color w:val="auto"/>
          <w:sz w:val="22"/>
        </w:rPr>
      </w:pPr>
      <w:r w:rsidRPr="008420FA">
        <w:rPr>
          <w:rFonts w:asciiTheme="majorHAnsi" w:hAnsiTheme="majorHAnsi" w:cstheme="majorHAnsi"/>
          <w:color w:val="auto"/>
          <w:sz w:val="22"/>
        </w:rPr>
        <w:t xml:space="preserve">How effective has the Discovery Projects scheme been in achieving its objectives and intended outcomes, including in relation to: </w:t>
      </w:r>
    </w:p>
    <w:p w14:paraId="1A9BBD00"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ARC implementation of the scheme, including application, assessment and post award processes</w:t>
      </w:r>
    </w:p>
    <w:p w14:paraId="63AE689D"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the nature and value of the support provided</w:t>
      </w:r>
    </w:p>
    <w:p w14:paraId="34F0310B"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lastRenderedPageBreak/>
        <w:t>supporting high quality research outcomes that provide benefits for research stakeholders and for Australia</w:t>
      </w:r>
    </w:p>
    <w:p w14:paraId="07AD1AD6" w14:textId="272603F3" w:rsidR="00AE15DF" w:rsidRPr="008517AE" w:rsidRDefault="0049267F" w:rsidP="007057E6">
      <w:pPr>
        <w:pStyle w:val="ListParagraph"/>
        <w:numPr>
          <w:ilvl w:val="1"/>
          <w:numId w:val="2"/>
        </w:numPr>
        <w:shd w:val="clear" w:color="auto" w:fill="FFFFFF" w:themeFill="background1"/>
        <w:spacing w:before="60" w:after="240" w:line="259" w:lineRule="auto"/>
        <w:ind w:left="992" w:hanging="357"/>
        <w:contextualSpacing w:val="0"/>
        <w:rPr>
          <w:rFonts w:asciiTheme="majorHAnsi" w:hAnsiTheme="majorHAnsi" w:cstheme="majorHAnsi"/>
        </w:rPr>
      </w:pPr>
      <w:r w:rsidRPr="004F15D8">
        <w:rPr>
          <w:rFonts w:asciiTheme="majorHAnsi" w:hAnsiTheme="majorHAnsi" w:cstheme="majorHAnsi"/>
          <w:color w:val="auto"/>
          <w:sz w:val="22"/>
        </w:rPr>
        <w:t>performing its role within the Australian research and innovation landscape?</w:t>
      </w:r>
    </w:p>
    <w:p w14:paraId="16EB2E3B" w14:textId="77777777" w:rsidR="0049267F" w:rsidRPr="008420FA" w:rsidRDefault="0049267F" w:rsidP="00254D36">
      <w:pPr>
        <w:pStyle w:val="ListParagraph"/>
        <w:numPr>
          <w:ilvl w:val="0"/>
          <w:numId w:val="2"/>
        </w:numPr>
        <w:shd w:val="clear" w:color="auto" w:fill="FFFFFF" w:themeFill="background1"/>
        <w:spacing w:after="120" w:line="259" w:lineRule="auto"/>
        <w:ind w:left="425" w:hanging="357"/>
        <w:contextualSpacing w:val="0"/>
        <w:rPr>
          <w:rFonts w:asciiTheme="majorHAnsi" w:hAnsiTheme="majorHAnsi" w:cstheme="majorHAnsi"/>
          <w:color w:val="auto"/>
          <w:sz w:val="22"/>
        </w:rPr>
      </w:pPr>
      <w:r w:rsidRPr="008420FA">
        <w:rPr>
          <w:rFonts w:asciiTheme="majorHAnsi" w:hAnsiTheme="majorHAnsi" w:cstheme="majorHAnsi"/>
          <w:color w:val="auto"/>
          <w:sz w:val="22"/>
        </w:rPr>
        <w:t>How appropriate is the Discovery Projects scheme—including its objectives and intended outcomes—for achieving the intent of the Australian Government in relation to:</w:t>
      </w:r>
    </w:p>
    <w:p w14:paraId="57594089"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the role of the scheme within the Government’s overall investment in research and innovation</w:t>
      </w:r>
    </w:p>
    <w:p w14:paraId="160D9CF7"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the design of the scheme</w:t>
      </w:r>
    </w:p>
    <w:p w14:paraId="234B775D" w14:textId="77777777" w:rsidR="0049267F" w:rsidRPr="004F15D8" w:rsidRDefault="0049267F" w:rsidP="00254D36">
      <w:pPr>
        <w:pStyle w:val="ListParagraph"/>
        <w:numPr>
          <w:ilvl w:val="1"/>
          <w:numId w:val="2"/>
        </w:numPr>
        <w:shd w:val="clear" w:color="auto" w:fill="FFFFFF" w:themeFill="background1"/>
        <w:spacing w:before="60" w:after="60" w:line="259" w:lineRule="auto"/>
        <w:ind w:left="993"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the nature and value of the support provided</w:t>
      </w:r>
    </w:p>
    <w:p w14:paraId="212EF724" w14:textId="77777777" w:rsidR="0049267F" w:rsidRPr="00AE15DF" w:rsidRDefault="0049267F" w:rsidP="00254D36">
      <w:pPr>
        <w:pStyle w:val="ListParagraph"/>
        <w:numPr>
          <w:ilvl w:val="1"/>
          <w:numId w:val="2"/>
        </w:numPr>
        <w:shd w:val="clear" w:color="auto" w:fill="FFFFFF" w:themeFill="background1"/>
        <w:spacing w:before="60" w:after="240" w:line="259" w:lineRule="auto"/>
        <w:ind w:left="992"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supporting translational benefits for Australia by funding basic research?</w:t>
      </w:r>
    </w:p>
    <w:p w14:paraId="2406DA2E" w14:textId="77777777" w:rsidR="0049267F" w:rsidRPr="004F15D8" w:rsidRDefault="0049267F" w:rsidP="00CF1ECF">
      <w:pPr>
        <w:pStyle w:val="Heading2"/>
      </w:pPr>
      <w:bookmarkStart w:id="27" w:name="_Toc51918678"/>
      <w:bookmarkStart w:id="28" w:name="_Toc55544762"/>
      <w:r w:rsidRPr="004F15D8">
        <w:t>Evaluation methodology</w:t>
      </w:r>
      <w:bookmarkEnd w:id="27"/>
      <w:bookmarkEnd w:id="28"/>
    </w:p>
    <w:p w14:paraId="35ECEE3A" w14:textId="77777777" w:rsidR="0049267F" w:rsidRPr="004F15D8" w:rsidRDefault="0049267F" w:rsidP="00CF1ECF">
      <w:pPr>
        <w:shd w:val="clear" w:color="auto" w:fill="FFFFFF" w:themeFill="background1"/>
        <w:spacing w:after="120"/>
        <w:rPr>
          <w:rFonts w:asciiTheme="majorHAnsi" w:hAnsiTheme="majorHAnsi" w:cstheme="majorHAnsi"/>
        </w:rPr>
      </w:pPr>
      <w:r w:rsidRPr="004F15D8">
        <w:rPr>
          <w:rFonts w:asciiTheme="majorHAnsi" w:hAnsiTheme="majorHAnsi" w:cstheme="majorHAnsi"/>
        </w:rPr>
        <w:t>The evaluation questions were addressed through analysis of the following sources of data and information:</w:t>
      </w:r>
    </w:p>
    <w:p w14:paraId="5D7C06E7" w14:textId="77777777" w:rsidR="0049267F" w:rsidRPr="004F15D8" w:rsidRDefault="0049267F" w:rsidP="00254D36">
      <w:pPr>
        <w:pStyle w:val="ListParagraph"/>
        <w:numPr>
          <w:ilvl w:val="0"/>
          <w:numId w:val="3"/>
        </w:numPr>
        <w:shd w:val="clear" w:color="auto" w:fill="FFFFFF" w:themeFill="background1"/>
        <w:spacing w:before="60" w:after="60" w:line="259" w:lineRule="auto"/>
        <w:ind w:left="777" w:hanging="357"/>
        <w:contextualSpacing w:val="0"/>
        <w:rPr>
          <w:rFonts w:asciiTheme="majorHAnsi" w:hAnsiTheme="majorHAnsi" w:cstheme="majorHAnsi"/>
          <w:color w:val="auto"/>
          <w:sz w:val="22"/>
        </w:rPr>
      </w:pPr>
      <w:r w:rsidRPr="004F15D8">
        <w:rPr>
          <w:rFonts w:asciiTheme="majorHAnsi" w:hAnsiTheme="majorHAnsi" w:cstheme="majorHAnsi"/>
          <w:color w:val="auto"/>
          <w:sz w:val="22"/>
        </w:rPr>
        <w:t>quantitative and qualitative program management data and information collected by the ARC (predominantly addressing evaluation question 1)</w:t>
      </w:r>
    </w:p>
    <w:p w14:paraId="7A21B1F8" w14:textId="78723666" w:rsidR="00AE15DF" w:rsidRPr="00AE15DF" w:rsidRDefault="00EB33B5" w:rsidP="00254D36">
      <w:pPr>
        <w:pStyle w:val="ListParagraph"/>
        <w:numPr>
          <w:ilvl w:val="0"/>
          <w:numId w:val="3"/>
        </w:numPr>
        <w:shd w:val="clear" w:color="auto" w:fill="FFFFFF" w:themeFill="background1"/>
        <w:spacing w:before="60" w:after="120" w:line="259" w:lineRule="auto"/>
        <w:ind w:left="777" w:hanging="357"/>
        <w:contextualSpacing w:val="0"/>
        <w:rPr>
          <w:rFonts w:asciiTheme="majorHAnsi" w:hAnsiTheme="majorHAnsi" w:cstheme="majorHAnsi"/>
          <w:color w:val="auto"/>
          <w:sz w:val="22"/>
        </w:rPr>
      </w:pPr>
      <w:r>
        <w:rPr>
          <w:rFonts w:asciiTheme="majorHAnsi" w:hAnsiTheme="majorHAnsi" w:cstheme="majorHAnsi"/>
          <w:color w:val="auto"/>
          <w:sz w:val="22"/>
        </w:rPr>
        <w:t>qualitative and</w:t>
      </w:r>
      <w:r w:rsidR="0049267F" w:rsidRPr="004F15D8">
        <w:rPr>
          <w:rFonts w:asciiTheme="majorHAnsi" w:hAnsiTheme="majorHAnsi" w:cstheme="majorHAnsi"/>
          <w:color w:val="auto"/>
          <w:sz w:val="22"/>
        </w:rPr>
        <w:t xml:space="preserve"> quantitative stakeholder feedback collected through surveys</w:t>
      </w:r>
      <w:r w:rsidR="002A3A1C">
        <w:rPr>
          <w:rFonts w:asciiTheme="majorHAnsi" w:hAnsiTheme="majorHAnsi" w:cstheme="majorHAnsi"/>
          <w:color w:val="auto"/>
          <w:sz w:val="22"/>
        </w:rPr>
        <w:t xml:space="preserve"> and </w:t>
      </w:r>
      <w:r w:rsidR="0049267F" w:rsidRPr="004F15D8">
        <w:rPr>
          <w:rFonts w:asciiTheme="majorHAnsi" w:hAnsiTheme="majorHAnsi" w:cstheme="majorHAnsi"/>
          <w:color w:val="auto"/>
          <w:sz w:val="22"/>
        </w:rPr>
        <w:t>interviews, conducted by Kantar</w:t>
      </w:r>
      <w:r w:rsidR="008420FA">
        <w:rPr>
          <w:rFonts w:asciiTheme="majorHAnsi" w:hAnsiTheme="majorHAnsi" w:cstheme="majorHAnsi"/>
          <w:color w:val="auto"/>
          <w:sz w:val="22"/>
        </w:rPr>
        <w:t>,</w:t>
      </w:r>
      <w:r w:rsidR="0049267F" w:rsidRPr="004F15D8">
        <w:rPr>
          <w:rFonts w:asciiTheme="majorHAnsi" w:hAnsiTheme="majorHAnsi" w:cstheme="majorHAnsi"/>
          <w:color w:val="auto"/>
          <w:sz w:val="22"/>
        </w:rPr>
        <w:t xml:space="preserve"> Public</w:t>
      </w:r>
      <w:r w:rsidR="008420FA">
        <w:rPr>
          <w:rFonts w:asciiTheme="majorHAnsi" w:hAnsiTheme="majorHAnsi" w:cstheme="majorHAnsi"/>
          <w:color w:val="auto"/>
          <w:sz w:val="22"/>
        </w:rPr>
        <w:t xml:space="preserve"> Division</w:t>
      </w:r>
      <w:r w:rsidR="0049267F" w:rsidRPr="004F15D8">
        <w:rPr>
          <w:rFonts w:asciiTheme="majorHAnsi" w:hAnsiTheme="majorHAnsi" w:cstheme="majorHAnsi"/>
          <w:color w:val="auto"/>
          <w:sz w:val="22"/>
        </w:rPr>
        <w:t xml:space="preserve"> (predominantly addressing evaluation questions 2 and 3).</w:t>
      </w:r>
    </w:p>
    <w:p w14:paraId="79B56011" w14:textId="77777777" w:rsidR="0049267F" w:rsidRPr="007D515F" w:rsidRDefault="0049267F" w:rsidP="008B655A">
      <w:pPr>
        <w:pStyle w:val="Heading3"/>
      </w:pPr>
      <w:bookmarkStart w:id="29" w:name="_Toc50533575"/>
      <w:bookmarkStart w:id="30" w:name="_Toc50553725"/>
      <w:bookmarkStart w:id="31" w:name="_Toc50554959"/>
      <w:bookmarkStart w:id="32" w:name="_Toc50618082"/>
      <w:bookmarkStart w:id="33" w:name="_Toc50618364"/>
      <w:bookmarkStart w:id="34" w:name="_Toc51916941"/>
      <w:bookmarkStart w:id="35" w:name="_Toc51918782"/>
      <w:bookmarkStart w:id="36" w:name="_Toc53557187"/>
      <w:bookmarkStart w:id="37" w:name="_Toc54699229"/>
      <w:bookmarkStart w:id="38" w:name="_Toc55544763"/>
      <w:r w:rsidRPr="007D515F">
        <w:t>ARC policy and program documents, data and information</w:t>
      </w:r>
      <w:bookmarkEnd w:id="29"/>
      <w:bookmarkEnd w:id="30"/>
      <w:bookmarkEnd w:id="31"/>
      <w:bookmarkEnd w:id="32"/>
      <w:bookmarkEnd w:id="33"/>
      <w:bookmarkEnd w:id="34"/>
      <w:bookmarkEnd w:id="35"/>
      <w:bookmarkEnd w:id="36"/>
      <w:bookmarkEnd w:id="37"/>
      <w:bookmarkEnd w:id="38"/>
    </w:p>
    <w:p w14:paraId="3E335873" w14:textId="77777777" w:rsidR="00E41E23" w:rsidRPr="00AE15DF" w:rsidRDefault="00E41E23" w:rsidP="00CF1ECF">
      <w:pPr>
        <w:shd w:val="clear" w:color="auto" w:fill="FFFFFF" w:themeFill="background1"/>
        <w:rPr>
          <w:rFonts w:asciiTheme="majorHAnsi" w:hAnsiTheme="majorHAnsi" w:cstheme="majorHAnsi"/>
        </w:rPr>
      </w:pPr>
      <w:r w:rsidRPr="00AE15DF">
        <w:rPr>
          <w:rFonts w:asciiTheme="majorHAnsi" w:hAnsiTheme="majorHAnsi" w:cstheme="majorHAnsi"/>
        </w:rPr>
        <w:t>A range of policy and program materials were used to inform the development of the evaluation and analysis presented in this report. These included publicly available sources such as the ARC’s Discovery Project</w:t>
      </w:r>
      <w:r w:rsidR="00961439" w:rsidRPr="00AE15DF">
        <w:rPr>
          <w:rFonts w:asciiTheme="majorHAnsi" w:hAnsiTheme="majorHAnsi" w:cstheme="majorHAnsi"/>
        </w:rPr>
        <w:t>s webpage, Grant Guidelines/</w:t>
      </w:r>
      <w:r w:rsidRPr="00AE15DF">
        <w:rPr>
          <w:rFonts w:asciiTheme="majorHAnsi" w:hAnsiTheme="majorHAnsi" w:cstheme="majorHAnsi"/>
        </w:rPr>
        <w:t>Funding Rules</w:t>
      </w:r>
      <w:r w:rsidR="00961439" w:rsidRPr="00AE15DF">
        <w:rPr>
          <w:rFonts w:asciiTheme="majorHAnsi" w:hAnsiTheme="majorHAnsi" w:cstheme="majorHAnsi"/>
        </w:rPr>
        <w:t xml:space="preserve"> and selection reports</w:t>
      </w:r>
      <w:r w:rsidRPr="00AE15DF">
        <w:rPr>
          <w:rFonts w:asciiTheme="majorHAnsi" w:hAnsiTheme="majorHAnsi" w:cstheme="majorHAnsi"/>
        </w:rPr>
        <w:t>, as well as internal policy and program management documents such as scheme timelines, stakeholder engagement materials (such as presentations), applicant documentation (including applications, progr</w:t>
      </w:r>
      <w:r w:rsidR="00961439" w:rsidRPr="00AE15DF">
        <w:rPr>
          <w:rFonts w:asciiTheme="majorHAnsi" w:hAnsiTheme="majorHAnsi" w:cstheme="majorHAnsi"/>
        </w:rPr>
        <w:t>ess reports and final reports)</w:t>
      </w:r>
      <w:r w:rsidR="00AE15DF" w:rsidRPr="00AE15DF">
        <w:rPr>
          <w:rFonts w:asciiTheme="majorHAnsi" w:hAnsiTheme="majorHAnsi" w:cstheme="majorHAnsi"/>
        </w:rPr>
        <w:t>, internal ARC reviews</w:t>
      </w:r>
      <w:r w:rsidR="00961439" w:rsidRPr="00AE15DF">
        <w:rPr>
          <w:rFonts w:asciiTheme="majorHAnsi" w:hAnsiTheme="majorHAnsi" w:cstheme="majorHAnsi"/>
        </w:rPr>
        <w:t xml:space="preserve"> and</w:t>
      </w:r>
      <w:r w:rsidR="00F01201" w:rsidRPr="00AE15DF">
        <w:rPr>
          <w:rFonts w:asciiTheme="majorHAnsi" w:hAnsiTheme="majorHAnsi" w:cstheme="majorHAnsi"/>
        </w:rPr>
        <w:t xml:space="preserve"> Ministerial submiss</w:t>
      </w:r>
      <w:r w:rsidR="00961439" w:rsidRPr="00AE15DF">
        <w:rPr>
          <w:rFonts w:asciiTheme="majorHAnsi" w:hAnsiTheme="majorHAnsi" w:cstheme="majorHAnsi"/>
        </w:rPr>
        <w:t xml:space="preserve">ions. </w:t>
      </w:r>
    </w:p>
    <w:p w14:paraId="52D4F963" w14:textId="537E8F01" w:rsidR="0049267F" w:rsidRPr="00AE15DF" w:rsidRDefault="0049267F" w:rsidP="00CF1ECF">
      <w:pPr>
        <w:shd w:val="clear" w:color="auto" w:fill="FFFFFF" w:themeFill="background1"/>
        <w:rPr>
          <w:rFonts w:asciiTheme="majorHAnsi" w:hAnsiTheme="majorHAnsi" w:cstheme="majorHAnsi"/>
        </w:rPr>
      </w:pPr>
      <w:r w:rsidRPr="00AE15DF">
        <w:rPr>
          <w:rFonts w:asciiTheme="majorHAnsi" w:hAnsiTheme="majorHAnsi" w:cstheme="majorHAnsi"/>
        </w:rPr>
        <w:t>ARC program managem</w:t>
      </w:r>
      <w:r w:rsidR="001F3108">
        <w:rPr>
          <w:rFonts w:asciiTheme="majorHAnsi" w:hAnsiTheme="majorHAnsi" w:cstheme="majorHAnsi"/>
        </w:rPr>
        <w:t>ent data and information were</w:t>
      </w:r>
      <w:r w:rsidR="00E41E23" w:rsidRPr="00AE15DF">
        <w:rPr>
          <w:rFonts w:asciiTheme="majorHAnsi" w:hAnsiTheme="majorHAnsi" w:cstheme="majorHAnsi"/>
        </w:rPr>
        <w:t xml:space="preserve"> sourced internally from the ARC’s Research Management System (RMS)</w:t>
      </w:r>
      <w:r w:rsidR="00961439" w:rsidRPr="00AE15DF">
        <w:rPr>
          <w:rFonts w:asciiTheme="majorHAnsi" w:hAnsiTheme="majorHAnsi" w:cstheme="majorHAnsi"/>
        </w:rPr>
        <w:t>, final reports</w:t>
      </w:r>
      <w:r w:rsidR="00E41E23" w:rsidRPr="00AE15DF">
        <w:rPr>
          <w:rFonts w:asciiTheme="majorHAnsi" w:hAnsiTheme="majorHAnsi" w:cstheme="majorHAnsi"/>
        </w:rPr>
        <w:t xml:space="preserve"> and archived records. R</w:t>
      </w:r>
      <w:r w:rsidRPr="00AE15DF">
        <w:rPr>
          <w:rFonts w:asciiTheme="majorHAnsi" w:hAnsiTheme="majorHAnsi" w:cstheme="majorHAnsi"/>
        </w:rPr>
        <w:t xml:space="preserve">elevant policy and program </w:t>
      </w:r>
      <w:r w:rsidR="00E72C8E">
        <w:rPr>
          <w:rFonts w:asciiTheme="majorHAnsi" w:hAnsiTheme="majorHAnsi" w:cstheme="majorHAnsi"/>
        </w:rPr>
        <w:t>staff</w:t>
      </w:r>
      <w:r w:rsidR="00E41E23" w:rsidRPr="00AE15DF">
        <w:rPr>
          <w:rFonts w:asciiTheme="majorHAnsi" w:hAnsiTheme="majorHAnsi" w:cstheme="majorHAnsi"/>
        </w:rPr>
        <w:t xml:space="preserve"> within the ARC provided</w:t>
      </w:r>
      <w:r w:rsidRPr="00AE15DF">
        <w:rPr>
          <w:rFonts w:asciiTheme="majorHAnsi" w:hAnsiTheme="majorHAnsi" w:cstheme="majorHAnsi"/>
        </w:rPr>
        <w:t xml:space="preserve"> technical advice on the interpretation, complexities and caveats associated with the data and information. In particular,</w:t>
      </w:r>
      <w:r w:rsidR="00E41E23" w:rsidRPr="00AE15DF">
        <w:rPr>
          <w:rFonts w:asciiTheme="majorHAnsi" w:hAnsiTheme="majorHAnsi" w:cstheme="majorHAnsi"/>
        </w:rPr>
        <w:t xml:space="preserve"> the</w:t>
      </w:r>
      <w:r w:rsidRPr="00AE15DF">
        <w:rPr>
          <w:rFonts w:asciiTheme="majorHAnsi" w:hAnsiTheme="majorHAnsi" w:cstheme="majorHAnsi"/>
        </w:rPr>
        <w:t xml:space="preserve"> </w:t>
      </w:r>
      <w:r w:rsidR="00EB33B5">
        <w:rPr>
          <w:rFonts w:asciiTheme="majorHAnsi" w:hAnsiTheme="majorHAnsi" w:cstheme="majorHAnsi"/>
        </w:rPr>
        <w:t xml:space="preserve">Grant Policy and Data </w:t>
      </w:r>
      <w:r w:rsidR="00E41E23" w:rsidRPr="00AE15DF">
        <w:rPr>
          <w:rFonts w:asciiTheme="majorHAnsi" w:hAnsiTheme="majorHAnsi" w:cstheme="majorHAnsi"/>
        </w:rPr>
        <w:t>section</w:t>
      </w:r>
      <w:r w:rsidRPr="00AE15DF">
        <w:rPr>
          <w:rFonts w:asciiTheme="majorHAnsi" w:hAnsiTheme="majorHAnsi" w:cstheme="majorHAnsi"/>
        </w:rPr>
        <w:t xml:space="preserve"> extract</w:t>
      </w:r>
      <w:r w:rsidR="00E41E23" w:rsidRPr="00AE15DF">
        <w:rPr>
          <w:rFonts w:asciiTheme="majorHAnsi" w:hAnsiTheme="majorHAnsi" w:cstheme="majorHAnsi"/>
        </w:rPr>
        <w:t>ed</w:t>
      </w:r>
      <w:r w:rsidRPr="00AE15DF">
        <w:rPr>
          <w:rFonts w:asciiTheme="majorHAnsi" w:hAnsiTheme="majorHAnsi" w:cstheme="majorHAnsi"/>
        </w:rPr>
        <w:t xml:space="preserve"> and provide</w:t>
      </w:r>
      <w:r w:rsidR="00E41E23" w:rsidRPr="00AE15DF">
        <w:rPr>
          <w:rFonts w:asciiTheme="majorHAnsi" w:hAnsiTheme="majorHAnsi" w:cstheme="majorHAnsi"/>
        </w:rPr>
        <w:t>d</w:t>
      </w:r>
      <w:r w:rsidRPr="00AE15DF">
        <w:rPr>
          <w:rFonts w:asciiTheme="majorHAnsi" w:hAnsiTheme="majorHAnsi" w:cstheme="majorHAnsi"/>
        </w:rPr>
        <w:t xml:space="preserve"> quantitative data, including Discovery Projects application, assessment and outcome data.</w:t>
      </w:r>
      <w:r w:rsidR="00AE15DF" w:rsidRPr="00AE15DF">
        <w:rPr>
          <w:rFonts w:asciiTheme="majorHAnsi" w:hAnsiTheme="majorHAnsi" w:cstheme="majorHAnsi"/>
        </w:rPr>
        <w:t xml:space="preserve"> Q</w:t>
      </w:r>
      <w:r w:rsidR="00E41E23" w:rsidRPr="00AE15DF">
        <w:rPr>
          <w:rFonts w:asciiTheme="majorHAnsi" w:hAnsiTheme="majorHAnsi" w:cstheme="majorHAnsi"/>
        </w:rPr>
        <w:t>uantitative and</w:t>
      </w:r>
      <w:r w:rsidRPr="00AE15DF">
        <w:rPr>
          <w:rFonts w:asciiTheme="majorHAnsi" w:hAnsiTheme="majorHAnsi" w:cstheme="majorHAnsi"/>
        </w:rPr>
        <w:t xml:space="preserve"> qualitative data arising from regular post award program management processes, including project reporting (</w:t>
      </w:r>
      <w:r w:rsidR="00AE15DF" w:rsidRPr="00AE15DF">
        <w:rPr>
          <w:rFonts w:asciiTheme="majorHAnsi" w:hAnsiTheme="majorHAnsi" w:cstheme="majorHAnsi"/>
        </w:rPr>
        <w:t>variation requests</w:t>
      </w:r>
      <w:r w:rsidRPr="00AE15DF">
        <w:rPr>
          <w:rFonts w:asciiTheme="majorHAnsi" w:hAnsiTheme="majorHAnsi" w:cstheme="majorHAnsi"/>
        </w:rPr>
        <w:t xml:space="preserve"> and final reports), as well as information on funding agreements and o</w:t>
      </w:r>
      <w:r w:rsidR="00E41E23" w:rsidRPr="00AE15DF">
        <w:rPr>
          <w:rFonts w:asciiTheme="majorHAnsi" w:hAnsiTheme="majorHAnsi" w:cstheme="majorHAnsi"/>
        </w:rPr>
        <w:t>ther project management issues</w:t>
      </w:r>
      <w:r w:rsidR="001F3108">
        <w:rPr>
          <w:rFonts w:asciiTheme="majorHAnsi" w:hAnsiTheme="majorHAnsi" w:cstheme="majorHAnsi"/>
        </w:rPr>
        <w:t>, were</w:t>
      </w:r>
      <w:r w:rsidR="00AE15DF" w:rsidRPr="00AE15DF">
        <w:rPr>
          <w:rFonts w:asciiTheme="majorHAnsi" w:hAnsiTheme="majorHAnsi" w:cstheme="majorHAnsi"/>
        </w:rPr>
        <w:t xml:space="preserve"> also employed</w:t>
      </w:r>
      <w:r w:rsidR="00E41E23" w:rsidRPr="00AE15DF">
        <w:rPr>
          <w:rFonts w:asciiTheme="majorHAnsi" w:hAnsiTheme="majorHAnsi" w:cstheme="majorHAnsi"/>
        </w:rPr>
        <w:t>.</w:t>
      </w:r>
    </w:p>
    <w:p w14:paraId="4F701AFD" w14:textId="7E0186FF" w:rsidR="0049267F" w:rsidRDefault="00E41E23" w:rsidP="00CF1ECF">
      <w:pPr>
        <w:shd w:val="clear" w:color="auto" w:fill="FFFFFF" w:themeFill="background1"/>
        <w:rPr>
          <w:rFonts w:asciiTheme="majorHAnsi" w:hAnsiTheme="majorHAnsi" w:cstheme="majorHAnsi"/>
        </w:rPr>
      </w:pPr>
      <w:r w:rsidRPr="00AE15DF">
        <w:rPr>
          <w:rFonts w:asciiTheme="majorHAnsi" w:hAnsiTheme="majorHAnsi" w:cstheme="majorHAnsi"/>
        </w:rPr>
        <w:t xml:space="preserve">The </w:t>
      </w:r>
      <w:r w:rsidR="0049267F" w:rsidRPr="00AE15DF">
        <w:rPr>
          <w:rFonts w:asciiTheme="majorHAnsi" w:hAnsiTheme="majorHAnsi" w:cstheme="majorHAnsi"/>
        </w:rPr>
        <w:t>Program E</w:t>
      </w:r>
      <w:r w:rsidRPr="00AE15DF">
        <w:rPr>
          <w:rFonts w:asciiTheme="majorHAnsi" w:hAnsiTheme="majorHAnsi" w:cstheme="majorHAnsi"/>
        </w:rPr>
        <w:t>valuation section undertook</w:t>
      </w:r>
      <w:r w:rsidR="0049267F" w:rsidRPr="00AE15DF">
        <w:rPr>
          <w:rFonts w:asciiTheme="majorHAnsi" w:hAnsiTheme="majorHAnsi" w:cstheme="majorHAnsi"/>
        </w:rPr>
        <w:t xml:space="preserve"> evaluative analysis of th</w:t>
      </w:r>
      <w:r w:rsidR="001F3108">
        <w:rPr>
          <w:rFonts w:asciiTheme="majorHAnsi" w:hAnsiTheme="majorHAnsi" w:cstheme="majorHAnsi"/>
        </w:rPr>
        <w:t>e data to develop findings. This evaluation</w:t>
      </w:r>
      <w:r w:rsidRPr="00AE15DF">
        <w:rPr>
          <w:rFonts w:asciiTheme="majorHAnsi" w:hAnsiTheme="majorHAnsi" w:cstheme="majorHAnsi"/>
        </w:rPr>
        <w:t xml:space="preserve"> built upon</w:t>
      </w:r>
      <w:r w:rsidR="0049267F" w:rsidRPr="00AE15DF">
        <w:rPr>
          <w:rFonts w:asciiTheme="majorHAnsi" w:hAnsiTheme="majorHAnsi" w:cstheme="majorHAnsi"/>
        </w:rPr>
        <w:t xml:space="preserve"> existing data analysis undertaken internally by the ARC as a part of its regular program review and monitoring processes.</w:t>
      </w:r>
    </w:p>
    <w:p w14:paraId="1AC83574" w14:textId="77777777" w:rsidR="00B57CC5" w:rsidRPr="00AE15DF" w:rsidRDefault="00B57CC5" w:rsidP="007057E6">
      <w:pPr>
        <w:pStyle w:val="Heading3"/>
        <w:spacing w:before="240"/>
      </w:pPr>
      <w:bookmarkStart w:id="39" w:name="_Toc51916942"/>
      <w:bookmarkStart w:id="40" w:name="_Toc51918783"/>
      <w:bookmarkStart w:id="41" w:name="_Toc50533576"/>
      <w:bookmarkStart w:id="42" w:name="_Toc50553726"/>
      <w:bookmarkStart w:id="43" w:name="_Toc50554960"/>
      <w:bookmarkStart w:id="44" w:name="_Toc50618083"/>
      <w:bookmarkStart w:id="45" w:name="_Toc50618365"/>
      <w:bookmarkStart w:id="46" w:name="_Toc51916943"/>
      <w:bookmarkStart w:id="47" w:name="_Toc51918784"/>
      <w:bookmarkStart w:id="48" w:name="_Toc53557188"/>
      <w:bookmarkStart w:id="49" w:name="_Toc54699230"/>
      <w:bookmarkStart w:id="50" w:name="_Toc55544764"/>
      <w:bookmarkEnd w:id="39"/>
      <w:bookmarkEnd w:id="40"/>
      <w:r w:rsidRPr="00AE15DF">
        <w:t>Stakeholder surveys and interviews</w:t>
      </w:r>
      <w:bookmarkEnd w:id="41"/>
      <w:bookmarkEnd w:id="42"/>
      <w:bookmarkEnd w:id="43"/>
      <w:bookmarkEnd w:id="44"/>
      <w:bookmarkEnd w:id="45"/>
      <w:bookmarkEnd w:id="46"/>
      <w:bookmarkEnd w:id="47"/>
      <w:bookmarkEnd w:id="48"/>
      <w:bookmarkEnd w:id="49"/>
      <w:bookmarkEnd w:id="50"/>
    </w:p>
    <w:p w14:paraId="0DB758F1" w14:textId="74DF58F4" w:rsidR="00B57CC5" w:rsidRDefault="00B57CC5" w:rsidP="00CF1ECF">
      <w:pPr>
        <w:shd w:val="clear" w:color="auto" w:fill="FFFFFF" w:themeFill="background1"/>
        <w:rPr>
          <w:rFonts w:asciiTheme="majorHAnsi" w:hAnsiTheme="majorHAnsi" w:cstheme="majorHAnsi"/>
        </w:rPr>
      </w:pPr>
      <w:r w:rsidRPr="004F15D8">
        <w:rPr>
          <w:rFonts w:asciiTheme="majorHAnsi" w:hAnsiTheme="majorHAnsi" w:cstheme="majorHAnsi"/>
        </w:rPr>
        <w:t>The stakeholder engagement undertaken by Kantar</w:t>
      </w:r>
      <w:r w:rsidR="00EA66FE">
        <w:rPr>
          <w:rFonts w:asciiTheme="majorHAnsi" w:hAnsiTheme="majorHAnsi" w:cstheme="majorHAnsi"/>
        </w:rPr>
        <w:t>,</w:t>
      </w:r>
      <w:r w:rsidRPr="004F15D8">
        <w:rPr>
          <w:rFonts w:asciiTheme="majorHAnsi" w:hAnsiTheme="majorHAnsi" w:cstheme="majorHAnsi"/>
        </w:rPr>
        <w:t xml:space="preserve"> Public</w:t>
      </w:r>
      <w:r w:rsidR="00EA66FE">
        <w:rPr>
          <w:rFonts w:asciiTheme="majorHAnsi" w:hAnsiTheme="majorHAnsi" w:cstheme="majorHAnsi"/>
        </w:rPr>
        <w:t xml:space="preserve"> Division</w:t>
      </w:r>
      <w:r w:rsidRPr="004F15D8">
        <w:rPr>
          <w:rFonts w:asciiTheme="majorHAnsi" w:hAnsiTheme="majorHAnsi" w:cstheme="majorHAnsi"/>
        </w:rPr>
        <w:t xml:space="preserve"> included the delivery of interviews and surveys, the collection and analysis of quantitative and qualitative data and reporting to the ARC </w:t>
      </w:r>
      <w:r w:rsidRPr="004F15D8">
        <w:rPr>
          <w:rFonts w:asciiTheme="majorHAnsi" w:hAnsiTheme="majorHAnsi" w:cstheme="majorHAnsi"/>
        </w:rPr>
        <w:lastRenderedPageBreak/>
        <w:t>on outcomes.</w:t>
      </w:r>
      <w:r w:rsidR="00D044BA">
        <w:rPr>
          <w:rStyle w:val="FootnoteReference"/>
          <w:rFonts w:asciiTheme="majorHAnsi" w:hAnsiTheme="majorHAnsi" w:cstheme="majorHAnsi"/>
        </w:rPr>
        <w:footnoteReference w:id="11"/>
      </w:r>
      <w:r w:rsidR="001D38FD" w:rsidRPr="001D38FD">
        <w:rPr>
          <w:rFonts w:asciiTheme="majorHAnsi" w:hAnsiTheme="majorHAnsi" w:cstheme="majorHAnsi"/>
        </w:rPr>
        <w:t xml:space="preserve"> </w:t>
      </w:r>
      <w:r w:rsidR="001D38FD" w:rsidRPr="004F15D8">
        <w:rPr>
          <w:rFonts w:asciiTheme="majorHAnsi" w:hAnsiTheme="majorHAnsi" w:cstheme="majorHAnsi"/>
        </w:rPr>
        <w:t xml:space="preserve">Policy and program </w:t>
      </w:r>
      <w:r w:rsidR="00076011">
        <w:rPr>
          <w:rFonts w:asciiTheme="majorHAnsi" w:hAnsiTheme="majorHAnsi" w:cstheme="majorHAnsi"/>
        </w:rPr>
        <w:t>staff</w:t>
      </w:r>
      <w:r w:rsidR="00076011" w:rsidRPr="004F15D8">
        <w:rPr>
          <w:rFonts w:asciiTheme="majorHAnsi" w:hAnsiTheme="majorHAnsi" w:cstheme="majorHAnsi"/>
        </w:rPr>
        <w:t xml:space="preserve"> </w:t>
      </w:r>
      <w:r w:rsidR="001D38FD" w:rsidRPr="004F15D8">
        <w:rPr>
          <w:rFonts w:asciiTheme="majorHAnsi" w:hAnsiTheme="majorHAnsi" w:cstheme="majorHAnsi"/>
        </w:rPr>
        <w:t>in the ARC provided assistance with identifying participants and obtaining contact details. Kantar</w:t>
      </w:r>
      <w:r w:rsidR="001D38FD">
        <w:rPr>
          <w:rFonts w:asciiTheme="majorHAnsi" w:hAnsiTheme="majorHAnsi" w:cstheme="majorHAnsi"/>
        </w:rPr>
        <w:t>,</w:t>
      </w:r>
      <w:r w:rsidR="001D38FD" w:rsidRPr="004F15D8">
        <w:rPr>
          <w:rFonts w:asciiTheme="majorHAnsi" w:hAnsiTheme="majorHAnsi" w:cstheme="majorHAnsi"/>
        </w:rPr>
        <w:t xml:space="preserve"> Public</w:t>
      </w:r>
      <w:r w:rsidR="001D38FD">
        <w:rPr>
          <w:rFonts w:asciiTheme="majorHAnsi" w:hAnsiTheme="majorHAnsi" w:cstheme="majorHAnsi"/>
        </w:rPr>
        <w:t xml:space="preserve"> Division</w:t>
      </w:r>
      <w:r w:rsidR="001D38FD" w:rsidRPr="004F15D8">
        <w:rPr>
          <w:rFonts w:asciiTheme="majorHAnsi" w:hAnsiTheme="majorHAnsi" w:cstheme="majorHAnsi"/>
        </w:rPr>
        <w:t xml:space="preserve"> de-identified all interview and survey responses, and destroyed stakeholder contact details upon completion of the services.</w:t>
      </w:r>
      <w:r w:rsidR="00DF6612">
        <w:rPr>
          <w:rFonts w:asciiTheme="majorHAnsi" w:hAnsiTheme="majorHAnsi" w:cstheme="majorHAnsi"/>
        </w:rPr>
        <w:t xml:space="preserve"> The Program Evaluation section undertook</w:t>
      </w:r>
      <w:r w:rsidR="006444E5">
        <w:rPr>
          <w:rFonts w:asciiTheme="majorHAnsi" w:hAnsiTheme="majorHAnsi" w:cstheme="majorHAnsi"/>
        </w:rPr>
        <w:t xml:space="preserve"> a</w:t>
      </w:r>
      <w:r w:rsidR="00DF6612">
        <w:rPr>
          <w:rFonts w:asciiTheme="majorHAnsi" w:hAnsiTheme="majorHAnsi" w:cstheme="majorHAnsi"/>
        </w:rPr>
        <w:t xml:space="preserve"> supplementary </w:t>
      </w:r>
      <w:r w:rsidR="006444E5">
        <w:rPr>
          <w:rFonts w:asciiTheme="majorHAnsi" w:hAnsiTheme="majorHAnsi" w:cstheme="majorHAnsi"/>
        </w:rPr>
        <w:t>analysis</w:t>
      </w:r>
      <w:r w:rsidR="00DF6612">
        <w:rPr>
          <w:rFonts w:asciiTheme="majorHAnsi" w:hAnsiTheme="majorHAnsi" w:cstheme="majorHAnsi"/>
        </w:rPr>
        <w:t xml:space="preserve"> of interview and survey stakeholder data.</w:t>
      </w:r>
    </w:p>
    <w:p w14:paraId="7A4E959D" w14:textId="77777777" w:rsidR="0053647F" w:rsidRPr="00F949E6" w:rsidRDefault="0053647F" w:rsidP="0053647F">
      <w:pPr>
        <w:pStyle w:val="Heading4"/>
      </w:pPr>
      <w:r>
        <w:t>Surveys</w:t>
      </w:r>
    </w:p>
    <w:p w14:paraId="33CE9A27" w14:textId="314A32D8" w:rsidR="0053647F" w:rsidRDefault="0053647F" w:rsidP="0053647F">
      <w:pPr>
        <w:shd w:val="clear" w:color="auto" w:fill="FFFFFF" w:themeFill="background1"/>
        <w:rPr>
          <w:rFonts w:asciiTheme="majorHAnsi" w:hAnsiTheme="majorHAnsi" w:cstheme="majorHAnsi"/>
        </w:rPr>
      </w:pPr>
      <w:r w:rsidRPr="004F15D8">
        <w:rPr>
          <w:rFonts w:asciiTheme="majorHAnsi" w:hAnsiTheme="majorHAnsi" w:cstheme="majorHAnsi"/>
        </w:rPr>
        <w:t>Surveys were undertaken to obtain a broad understanding of the views</w:t>
      </w:r>
      <w:r>
        <w:rPr>
          <w:rFonts w:asciiTheme="majorHAnsi" w:hAnsiTheme="majorHAnsi" w:cstheme="majorHAnsi"/>
        </w:rPr>
        <w:t xml:space="preserve"> and experiences of researchers funded under</w:t>
      </w:r>
      <w:r w:rsidRPr="004F15D8">
        <w:rPr>
          <w:rFonts w:asciiTheme="majorHAnsi" w:hAnsiTheme="majorHAnsi" w:cstheme="majorHAnsi"/>
        </w:rPr>
        <w:t xml:space="preserve"> the Discovery Projects scheme. Surveys were tailored and delivered to na</w:t>
      </w:r>
      <w:r>
        <w:rPr>
          <w:rFonts w:asciiTheme="majorHAnsi" w:hAnsiTheme="majorHAnsi" w:cstheme="majorHAnsi"/>
        </w:rPr>
        <w:t>med researchers funded from DP02 onwards</w:t>
      </w:r>
      <w:r w:rsidRPr="004F15D8">
        <w:rPr>
          <w:rFonts w:asciiTheme="majorHAnsi" w:hAnsiTheme="majorHAnsi" w:cstheme="majorHAnsi"/>
        </w:rPr>
        <w:t>, including Chief Investigators, Partner Investigators and fellowship</w:t>
      </w:r>
      <w:r w:rsidR="002466DD">
        <w:rPr>
          <w:rFonts w:asciiTheme="majorHAnsi" w:hAnsiTheme="majorHAnsi" w:cstheme="majorHAnsi"/>
        </w:rPr>
        <w:t>/award</w:t>
      </w:r>
      <w:r w:rsidRPr="004F15D8">
        <w:rPr>
          <w:rFonts w:asciiTheme="majorHAnsi" w:hAnsiTheme="majorHAnsi" w:cstheme="majorHAnsi"/>
        </w:rPr>
        <w:t xml:space="preserve"> recipients.</w:t>
      </w:r>
      <w:r w:rsidRPr="00EA66FE">
        <w:rPr>
          <w:rFonts w:asciiTheme="majorHAnsi" w:hAnsiTheme="majorHAnsi" w:cstheme="majorHAnsi"/>
        </w:rPr>
        <w:t xml:space="preserve"> </w:t>
      </w:r>
      <w:r>
        <w:rPr>
          <w:rFonts w:asciiTheme="majorHAnsi" w:hAnsiTheme="majorHAnsi" w:cstheme="majorHAnsi"/>
        </w:rPr>
        <w:t>Invitations to complete the</w:t>
      </w:r>
      <w:r w:rsidRPr="001D38FD">
        <w:rPr>
          <w:rFonts w:asciiTheme="majorHAnsi" w:hAnsiTheme="majorHAnsi" w:cstheme="majorHAnsi"/>
        </w:rPr>
        <w:t xml:space="preserve"> online survey were sent to all named researchers</w:t>
      </w:r>
      <w:r>
        <w:rPr>
          <w:rFonts w:asciiTheme="majorHAnsi" w:hAnsiTheme="majorHAnsi" w:cstheme="majorHAnsi"/>
        </w:rPr>
        <w:t xml:space="preserve"> funded under Discovery Projects between DP02 and DP20, for whom the ARC had contact details</w:t>
      </w:r>
      <w:r w:rsidRPr="001D38FD">
        <w:rPr>
          <w:rFonts w:asciiTheme="majorHAnsi" w:hAnsiTheme="majorHAnsi" w:cstheme="majorHAnsi"/>
        </w:rPr>
        <w:t>. A total of n=19,615 invitations were sent; approximately 100 further named researchers did not have email addresses recorded on RMS.</w:t>
      </w:r>
    </w:p>
    <w:p w14:paraId="17FC9639" w14:textId="14573BCC" w:rsidR="0053647F" w:rsidRDefault="0053647F" w:rsidP="0053647F">
      <w:pPr>
        <w:shd w:val="clear" w:color="auto" w:fill="FFFFFF" w:themeFill="background1"/>
        <w:rPr>
          <w:rFonts w:asciiTheme="majorHAnsi" w:hAnsiTheme="majorHAnsi" w:cstheme="majorHAnsi"/>
        </w:rPr>
      </w:pPr>
      <w:r w:rsidRPr="00EA66FE">
        <w:rPr>
          <w:rFonts w:asciiTheme="majorHAnsi" w:hAnsiTheme="majorHAnsi" w:cstheme="majorHAnsi"/>
        </w:rPr>
        <w:t>The s</w:t>
      </w:r>
      <w:r>
        <w:rPr>
          <w:rFonts w:asciiTheme="majorHAnsi" w:hAnsiTheme="majorHAnsi" w:cstheme="majorHAnsi"/>
        </w:rPr>
        <w:t>urvey was open for 23 days and was completed by a total of n=3</w:t>
      </w:r>
      <w:r w:rsidRPr="00EA66FE">
        <w:rPr>
          <w:rFonts w:asciiTheme="majorHAnsi" w:hAnsiTheme="majorHAnsi" w:cstheme="majorHAnsi"/>
        </w:rPr>
        <w:t>06</w:t>
      </w:r>
      <w:r>
        <w:rPr>
          <w:rFonts w:asciiTheme="majorHAnsi" w:hAnsiTheme="majorHAnsi" w:cstheme="majorHAnsi"/>
        </w:rPr>
        <w:t>9 named researchers</w:t>
      </w:r>
      <w:r w:rsidRPr="00EA66FE">
        <w:rPr>
          <w:rFonts w:asciiTheme="majorHAnsi" w:hAnsiTheme="majorHAnsi" w:cstheme="majorHAnsi"/>
        </w:rPr>
        <w:t>. This represents a re</w:t>
      </w:r>
      <w:r>
        <w:rPr>
          <w:rFonts w:asciiTheme="majorHAnsi" w:hAnsiTheme="majorHAnsi" w:cstheme="majorHAnsi"/>
        </w:rPr>
        <w:t>sponse rate of approximately 16 per cent</w:t>
      </w:r>
      <w:r w:rsidRPr="00EA66FE">
        <w:rPr>
          <w:rFonts w:asciiTheme="majorHAnsi" w:hAnsiTheme="majorHAnsi" w:cstheme="majorHAnsi"/>
        </w:rPr>
        <w:t>.</w:t>
      </w:r>
      <w:r>
        <w:rPr>
          <w:rFonts w:asciiTheme="majorHAnsi" w:hAnsiTheme="majorHAnsi" w:cstheme="majorHAnsi"/>
        </w:rPr>
        <w:t xml:space="preserve"> </w:t>
      </w:r>
      <w:r w:rsidRPr="00EA66FE">
        <w:rPr>
          <w:rFonts w:asciiTheme="majorHAnsi" w:hAnsiTheme="majorHAnsi" w:cstheme="majorHAnsi"/>
        </w:rPr>
        <w:t>A total of 215 automatic bounce backs and automatic replies were received.</w:t>
      </w:r>
      <w:r>
        <w:rPr>
          <w:rFonts w:asciiTheme="majorHAnsi" w:hAnsiTheme="majorHAnsi" w:cstheme="majorHAnsi"/>
        </w:rPr>
        <w:t xml:space="preserve"> </w:t>
      </w:r>
      <w:r w:rsidRPr="00EA66FE">
        <w:rPr>
          <w:rFonts w:asciiTheme="majorHAnsi" w:hAnsiTheme="majorHAnsi" w:cstheme="majorHAnsi"/>
        </w:rPr>
        <w:t>To ensure participation was voluntary, respondents were</w:t>
      </w:r>
      <w:r w:rsidR="009A0B4D">
        <w:rPr>
          <w:rFonts w:asciiTheme="majorHAnsi" w:hAnsiTheme="majorHAnsi" w:cstheme="majorHAnsi"/>
        </w:rPr>
        <w:t xml:space="preserve"> generally</w:t>
      </w:r>
      <w:r w:rsidRPr="00EA66FE">
        <w:rPr>
          <w:rFonts w:asciiTheme="majorHAnsi" w:hAnsiTheme="majorHAnsi" w:cstheme="majorHAnsi"/>
        </w:rPr>
        <w:t xml:space="preserve"> not forced to </w:t>
      </w:r>
      <w:r w:rsidR="00691789">
        <w:rPr>
          <w:rFonts w:asciiTheme="majorHAnsi" w:hAnsiTheme="majorHAnsi" w:cstheme="majorHAnsi"/>
        </w:rPr>
        <w:t>respond to</w:t>
      </w:r>
      <w:r w:rsidRPr="00EA66FE">
        <w:rPr>
          <w:rFonts w:asciiTheme="majorHAnsi" w:hAnsiTheme="majorHAnsi" w:cstheme="majorHAnsi"/>
        </w:rPr>
        <w:t xml:space="preserve"> </w:t>
      </w:r>
      <w:r w:rsidR="004C6C3D">
        <w:rPr>
          <w:rFonts w:asciiTheme="majorHAnsi" w:hAnsiTheme="majorHAnsi" w:cstheme="majorHAnsi"/>
        </w:rPr>
        <w:t>survey questions</w:t>
      </w:r>
      <w:r w:rsidRPr="00EA66FE">
        <w:rPr>
          <w:rFonts w:asciiTheme="majorHAnsi" w:hAnsiTheme="majorHAnsi" w:cstheme="majorHAnsi"/>
        </w:rPr>
        <w:t xml:space="preserve">. As </w:t>
      </w:r>
      <w:r>
        <w:rPr>
          <w:rFonts w:asciiTheme="majorHAnsi" w:hAnsiTheme="majorHAnsi" w:cstheme="majorHAnsi"/>
        </w:rPr>
        <w:t xml:space="preserve">such, the sample size </w:t>
      </w:r>
      <w:r w:rsidRPr="00EA66FE">
        <w:rPr>
          <w:rFonts w:asciiTheme="majorHAnsi" w:hAnsiTheme="majorHAnsi" w:cstheme="majorHAnsi"/>
        </w:rPr>
        <w:t>differs between</w:t>
      </w:r>
      <w:r>
        <w:rPr>
          <w:rFonts w:asciiTheme="majorHAnsi" w:hAnsiTheme="majorHAnsi" w:cstheme="majorHAnsi"/>
        </w:rPr>
        <w:t xml:space="preserve"> </w:t>
      </w:r>
      <w:r w:rsidRPr="00EA66FE">
        <w:rPr>
          <w:rFonts w:asciiTheme="majorHAnsi" w:hAnsiTheme="majorHAnsi" w:cstheme="majorHAnsi"/>
        </w:rPr>
        <w:t>questions.</w:t>
      </w:r>
      <w:r>
        <w:rPr>
          <w:rFonts w:asciiTheme="majorHAnsi" w:hAnsiTheme="majorHAnsi" w:cstheme="majorHAnsi"/>
        </w:rPr>
        <w:t xml:space="preserve"> Further information about the distribution of the survey sample by key demographic variables is </w:t>
      </w:r>
      <w:r w:rsidRPr="00CC2533">
        <w:rPr>
          <w:rFonts w:asciiTheme="majorHAnsi" w:hAnsiTheme="majorHAnsi" w:cstheme="majorHAnsi"/>
        </w:rPr>
        <w:t xml:space="preserve">provided in </w:t>
      </w:r>
      <w:hyperlink w:anchor="_Appendix_C:_Survey" w:history="1">
        <w:r w:rsidRPr="00CC2533">
          <w:rPr>
            <w:rFonts w:asciiTheme="majorHAnsi" w:hAnsiTheme="majorHAnsi" w:cstheme="majorHAnsi"/>
          </w:rPr>
          <w:t xml:space="preserve">Appendix </w:t>
        </w:r>
        <w:r w:rsidR="004750BF" w:rsidRPr="00CC2533">
          <w:rPr>
            <w:rFonts w:asciiTheme="majorHAnsi" w:hAnsiTheme="majorHAnsi" w:cstheme="majorHAnsi"/>
          </w:rPr>
          <w:t>C</w:t>
        </w:r>
      </w:hyperlink>
      <w:r w:rsidRPr="00CC2533">
        <w:rPr>
          <w:rFonts w:asciiTheme="majorHAnsi" w:hAnsiTheme="majorHAnsi" w:cstheme="majorHAnsi"/>
        </w:rPr>
        <w:t>. No weighting was applied</w:t>
      </w:r>
      <w:r>
        <w:rPr>
          <w:rFonts w:asciiTheme="majorHAnsi" w:hAnsiTheme="majorHAnsi" w:cstheme="majorHAnsi"/>
        </w:rPr>
        <w:t xml:space="preserve"> to the sample. As such, responses slightly over represent researchers who had</w:t>
      </w:r>
      <w:r w:rsidRPr="00EA66FE">
        <w:rPr>
          <w:rFonts w:asciiTheme="majorHAnsi" w:hAnsiTheme="majorHAnsi" w:cstheme="majorHAnsi"/>
        </w:rPr>
        <w:t xml:space="preserve"> been awarded funding multiple times under the Discovery Projects scheme, and</w:t>
      </w:r>
      <w:r>
        <w:rPr>
          <w:rFonts w:asciiTheme="majorHAnsi" w:hAnsiTheme="majorHAnsi" w:cstheme="majorHAnsi"/>
        </w:rPr>
        <w:t xml:space="preserve"> those currently</w:t>
      </w:r>
      <w:r w:rsidR="008D4104">
        <w:rPr>
          <w:rFonts w:asciiTheme="majorHAnsi" w:hAnsiTheme="majorHAnsi" w:cstheme="majorHAnsi"/>
        </w:rPr>
        <w:t xml:space="preserve"> or </w:t>
      </w:r>
      <w:r>
        <w:rPr>
          <w:rFonts w:asciiTheme="majorHAnsi" w:hAnsiTheme="majorHAnsi" w:cstheme="majorHAnsi"/>
        </w:rPr>
        <w:t xml:space="preserve">recently receiving </w:t>
      </w:r>
      <w:r w:rsidRPr="00EA66FE">
        <w:rPr>
          <w:rFonts w:asciiTheme="majorHAnsi" w:hAnsiTheme="majorHAnsi" w:cstheme="majorHAnsi"/>
        </w:rPr>
        <w:t>funding.</w:t>
      </w:r>
    </w:p>
    <w:p w14:paraId="501BCA32" w14:textId="051566B4" w:rsidR="0053647F" w:rsidRPr="00854438" w:rsidRDefault="0053647F" w:rsidP="0053647F">
      <w:pPr>
        <w:shd w:val="clear" w:color="auto" w:fill="FFFFFF" w:themeFill="background1"/>
        <w:rPr>
          <w:rFonts w:asciiTheme="majorHAnsi" w:hAnsiTheme="majorHAnsi" w:cstheme="majorHAnsi"/>
        </w:rPr>
      </w:pPr>
      <w:r w:rsidRPr="00854438">
        <w:rPr>
          <w:rFonts w:asciiTheme="majorHAnsi" w:hAnsiTheme="majorHAnsi" w:cstheme="majorHAnsi"/>
        </w:rPr>
        <w:t xml:space="preserve">Coding was undertaken to thematically group text-based responses to two open-ended questions from the survey. Due to the large sample collected, a representative subsample of </w:t>
      </w:r>
      <w:r w:rsidRPr="002C1467">
        <w:rPr>
          <w:rFonts w:asciiTheme="majorHAnsi" w:hAnsiTheme="majorHAnsi" w:cstheme="majorHAnsi"/>
        </w:rPr>
        <w:t xml:space="preserve">n=1000 responses were selected for coding for Question </w:t>
      </w:r>
      <w:r w:rsidR="00DC2286">
        <w:rPr>
          <w:rFonts w:asciiTheme="majorHAnsi" w:hAnsiTheme="majorHAnsi" w:cstheme="majorHAnsi"/>
        </w:rPr>
        <w:t>Six</w:t>
      </w:r>
      <w:r w:rsidRPr="002C1467">
        <w:rPr>
          <w:rFonts w:asciiTheme="majorHAnsi" w:hAnsiTheme="majorHAnsi" w:cstheme="majorHAnsi"/>
        </w:rPr>
        <w:t xml:space="preserve"> </w:t>
      </w:r>
      <w:r w:rsidRPr="00854438">
        <w:rPr>
          <w:rFonts w:asciiTheme="majorHAnsi" w:hAnsiTheme="majorHAnsi" w:cstheme="majorHAnsi"/>
        </w:rPr>
        <w:t xml:space="preserve">and n=1012 for coding for Question </w:t>
      </w:r>
      <w:r w:rsidR="00DC2286">
        <w:rPr>
          <w:rFonts w:asciiTheme="majorHAnsi" w:hAnsiTheme="majorHAnsi" w:cstheme="majorHAnsi"/>
        </w:rPr>
        <w:t>Seven</w:t>
      </w:r>
      <w:r w:rsidRPr="00854438">
        <w:rPr>
          <w:rFonts w:asciiTheme="majorHAnsi" w:hAnsiTheme="majorHAnsi" w:cstheme="majorHAnsi"/>
        </w:rPr>
        <w:t>. To generate a sub-sample that was representative of all responses, these open-ended questions were analysed to ascertain the proportion of participants associated with disciplinary, basic/applied, international collaboration/non-collaboration and gender groupings. These proportions were then used to develop a sample frame where quotas for each subgrouping were filled through random selection. The remaining qualitative data generated by the surveys were examined through thematic analysis to identify, analyse and interpret common patterns of meaning across comments.</w:t>
      </w:r>
    </w:p>
    <w:p w14:paraId="1DF926B4" w14:textId="4E981F95" w:rsidR="0053647F" w:rsidRPr="004F15D8" w:rsidRDefault="0053647F" w:rsidP="00CF1ECF">
      <w:pPr>
        <w:shd w:val="clear" w:color="auto" w:fill="FFFFFF" w:themeFill="background1"/>
        <w:rPr>
          <w:rFonts w:asciiTheme="majorHAnsi" w:hAnsiTheme="majorHAnsi" w:cstheme="majorHAnsi"/>
        </w:rPr>
      </w:pPr>
      <w:r w:rsidRPr="00854438">
        <w:rPr>
          <w:rFonts w:asciiTheme="majorHAnsi" w:hAnsiTheme="majorHAnsi" w:cstheme="majorHAnsi"/>
        </w:rPr>
        <w:t xml:space="preserve">Throughout this report, differences between researcher sub-groups that reached statistical significance (at the 95 per cent confidence level) have been prioritised. With a total base size of n=3069 from a total population of 19,615 researchers, the overall margin of error for the quantitative survey is +/-1.6 per cent. However, as base sizes vary across questions, the margin of error for each question also varies. As mentioned earlier, for coded open-ended questions, Kantar, Public Division developed a representative subsample of </w:t>
      </w:r>
      <w:r w:rsidRPr="002C1467">
        <w:rPr>
          <w:rFonts w:asciiTheme="majorHAnsi" w:hAnsiTheme="majorHAnsi" w:cstheme="majorHAnsi"/>
        </w:rPr>
        <w:t>n=1000 for Q</w:t>
      </w:r>
      <w:r w:rsidR="00DC2286">
        <w:rPr>
          <w:rFonts w:asciiTheme="majorHAnsi" w:hAnsiTheme="majorHAnsi" w:cstheme="majorHAnsi"/>
        </w:rPr>
        <w:t>uestion Six</w:t>
      </w:r>
      <w:r w:rsidRPr="00854438">
        <w:rPr>
          <w:rFonts w:asciiTheme="majorHAnsi" w:hAnsiTheme="majorHAnsi" w:cstheme="majorHAnsi"/>
        </w:rPr>
        <w:t>, and n=1012 for Q</w:t>
      </w:r>
      <w:r w:rsidR="00DC2286">
        <w:rPr>
          <w:rFonts w:asciiTheme="majorHAnsi" w:hAnsiTheme="majorHAnsi" w:cstheme="majorHAnsi"/>
        </w:rPr>
        <w:t>uestion Seven</w:t>
      </w:r>
      <w:r w:rsidRPr="00854438">
        <w:rPr>
          <w:rFonts w:asciiTheme="majorHAnsi" w:hAnsiTheme="majorHAnsi" w:cstheme="majorHAnsi"/>
        </w:rPr>
        <w:t>. For these questions the margin of error is approximately +/-3 per cent. Additional open-ended survey responses were read and categorised into common themes.</w:t>
      </w:r>
    </w:p>
    <w:p w14:paraId="4DDBD910" w14:textId="77777777" w:rsidR="00F949E6" w:rsidRPr="007D515F" w:rsidRDefault="00F949E6" w:rsidP="00CF1ECF">
      <w:pPr>
        <w:pStyle w:val="Heading4"/>
      </w:pPr>
      <w:r w:rsidRPr="007D515F">
        <w:t>Interviews</w:t>
      </w:r>
    </w:p>
    <w:p w14:paraId="0623078B" w14:textId="29C422A9" w:rsidR="00B57CC5" w:rsidRPr="004F15D8" w:rsidRDefault="00B57CC5" w:rsidP="00CF1ECF">
      <w:pPr>
        <w:shd w:val="clear" w:color="auto" w:fill="FFFFFF" w:themeFill="background1"/>
        <w:spacing w:after="120"/>
        <w:rPr>
          <w:rFonts w:asciiTheme="majorHAnsi" w:hAnsiTheme="majorHAnsi" w:cstheme="majorHAnsi"/>
        </w:rPr>
      </w:pPr>
      <w:r w:rsidRPr="004F15D8">
        <w:rPr>
          <w:rFonts w:asciiTheme="majorHAnsi" w:hAnsiTheme="majorHAnsi" w:cstheme="majorHAnsi"/>
        </w:rPr>
        <w:t>In-depth interviews were undertaken with stakehold</w:t>
      </w:r>
      <w:r w:rsidR="00976CA6" w:rsidRPr="004F15D8">
        <w:rPr>
          <w:rFonts w:asciiTheme="majorHAnsi" w:hAnsiTheme="majorHAnsi" w:cstheme="majorHAnsi"/>
        </w:rPr>
        <w:t xml:space="preserve">ers possessing an in-depth understanding of the Discovery Projects scheme, and its strategic position within the </w:t>
      </w:r>
      <w:r w:rsidRPr="004F15D8">
        <w:rPr>
          <w:rFonts w:asciiTheme="majorHAnsi" w:hAnsiTheme="majorHAnsi" w:cstheme="majorHAnsi"/>
        </w:rPr>
        <w:t>broader research and innovation landscape. Interviews were tailored and delivered to the following Discovery Projects stakeholder groups:</w:t>
      </w:r>
    </w:p>
    <w:p w14:paraId="08E512FA" w14:textId="295F5036" w:rsidR="00B57CC5" w:rsidRPr="00AE15DF" w:rsidRDefault="00F70661" w:rsidP="00254D36">
      <w:pPr>
        <w:pStyle w:val="ListParagraph"/>
        <w:numPr>
          <w:ilvl w:val="0"/>
          <w:numId w:val="4"/>
        </w:numPr>
        <w:shd w:val="clear" w:color="auto" w:fill="FFFFFF" w:themeFill="background1"/>
        <w:spacing w:before="60" w:after="60" w:line="259" w:lineRule="auto"/>
        <w:ind w:left="714" w:hanging="357"/>
        <w:contextualSpacing w:val="0"/>
        <w:rPr>
          <w:rFonts w:asciiTheme="majorHAnsi" w:hAnsiTheme="majorHAnsi" w:cstheme="majorHAnsi"/>
          <w:color w:val="auto"/>
          <w:sz w:val="22"/>
        </w:rPr>
      </w:pPr>
      <w:r>
        <w:rPr>
          <w:rFonts w:asciiTheme="majorHAnsi" w:hAnsiTheme="majorHAnsi" w:cstheme="majorHAnsi"/>
          <w:color w:val="auto"/>
          <w:sz w:val="22"/>
        </w:rPr>
        <w:lastRenderedPageBreak/>
        <w:t>a</w:t>
      </w:r>
      <w:r w:rsidR="00B57CC5" w:rsidRPr="004F15D8">
        <w:rPr>
          <w:rFonts w:asciiTheme="majorHAnsi" w:hAnsiTheme="majorHAnsi" w:cstheme="majorHAnsi"/>
          <w:color w:val="auto"/>
          <w:sz w:val="22"/>
        </w:rPr>
        <w:t xml:space="preserve">dministering </w:t>
      </w:r>
      <w:r>
        <w:rPr>
          <w:rFonts w:asciiTheme="majorHAnsi" w:hAnsiTheme="majorHAnsi" w:cstheme="majorHAnsi"/>
          <w:color w:val="auto"/>
          <w:sz w:val="22"/>
        </w:rPr>
        <w:t>o</w:t>
      </w:r>
      <w:r w:rsidR="00B57CC5" w:rsidRPr="004F15D8">
        <w:rPr>
          <w:rFonts w:asciiTheme="majorHAnsi" w:hAnsiTheme="majorHAnsi" w:cstheme="majorHAnsi"/>
          <w:color w:val="auto"/>
          <w:sz w:val="22"/>
        </w:rPr>
        <w:t xml:space="preserve">rganisations, </w:t>
      </w:r>
      <w:r w:rsidR="00B57CC5" w:rsidRPr="00AE15DF">
        <w:rPr>
          <w:rFonts w:asciiTheme="majorHAnsi" w:hAnsiTheme="majorHAnsi" w:cstheme="majorHAnsi"/>
          <w:color w:val="auto"/>
          <w:sz w:val="22"/>
        </w:rPr>
        <w:t>particularly research offices (</w:t>
      </w:r>
      <w:r w:rsidR="009D0FD7">
        <w:rPr>
          <w:rFonts w:asciiTheme="majorHAnsi" w:hAnsiTheme="majorHAnsi" w:cstheme="majorHAnsi"/>
          <w:color w:val="auto"/>
          <w:sz w:val="22"/>
        </w:rPr>
        <w:t>n=</w:t>
      </w:r>
      <w:r w:rsidR="00976CA6" w:rsidRPr="00AE15DF">
        <w:rPr>
          <w:rFonts w:asciiTheme="majorHAnsi" w:hAnsiTheme="majorHAnsi" w:cstheme="majorHAnsi"/>
          <w:color w:val="auto"/>
          <w:sz w:val="22"/>
        </w:rPr>
        <w:t>24</w:t>
      </w:r>
      <w:r w:rsidR="00B57CC5" w:rsidRPr="00AE15DF">
        <w:rPr>
          <w:rFonts w:asciiTheme="majorHAnsi" w:hAnsiTheme="majorHAnsi" w:cstheme="majorHAnsi"/>
          <w:color w:val="auto"/>
          <w:sz w:val="22"/>
        </w:rPr>
        <w:t>)</w:t>
      </w:r>
    </w:p>
    <w:p w14:paraId="5715AC21" w14:textId="2C615C74" w:rsidR="00F949E6" w:rsidRPr="00F949E6" w:rsidRDefault="00961439" w:rsidP="00254D36">
      <w:pPr>
        <w:pStyle w:val="ListParagraph"/>
        <w:numPr>
          <w:ilvl w:val="0"/>
          <w:numId w:val="4"/>
        </w:numPr>
        <w:shd w:val="clear" w:color="auto" w:fill="FFFFFF" w:themeFill="background1"/>
        <w:spacing w:before="60" w:after="120" w:line="259" w:lineRule="auto"/>
        <w:ind w:left="714" w:hanging="357"/>
        <w:contextualSpacing w:val="0"/>
        <w:rPr>
          <w:rFonts w:asciiTheme="majorHAnsi" w:hAnsiTheme="majorHAnsi" w:cstheme="majorHAnsi"/>
          <w:color w:val="auto"/>
          <w:sz w:val="22"/>
        </w:rPr>
      </w:pPr>
      <w:r w:rsidRPr="00AE15DF">
        <w:rPr>
          <w:rFonts w:asciiTheme="majorHAnsi" w:hAnsiTheme="majorHAnsi" w:cstheme="majorHAnsi"/>
          <w:color w:val="auto"/>
          <w:sz w:val="22"/>
        </w:rPr>
        <w:t>peak bodies representing university cohorts</w:t>
      </w:r>
      <w:r w:rsidR="00976CA6" w:rsidRPr="00AE15DF">
        <w:rPr>
          <w:rFonts w:asciiTheme="majorHAnsi" w:hAnsiTheme="majorHAnsi" w:cstheme="majorHAnsi"/>
          <w:color w:val="auto"/>
          <w:sz w:val="22"/>
        </w:rPr>
        <w:t xml:space="preserve"> (</w:t>
      </w:r>
      <w:r w:rsidR="009D0FD7">
        <w:rPr>
          <w:rFonts w:asciiTheme="majorHAnsi" w:hAnsiTheme="majorHAnsi" w:cstheme="majorHAnsi"/>
          <w:color w:val="auto"/>
          <w:sz w:val="22"/>
        </w:rPr>
        <w:t>n=</w:t>
      </w:r>
      <w:r w:rsidR="00976CA6" w:rsidRPr="00AE15DF">
        <w:rPr>
          <w:rFonts w:asciiTheme="majorHAnsi" w:hAnsiTheme="majorHAnsi" w:cstheme="majorHAnsi"/>
          <w:color w:val="auto"/>
          <w:sz w:val="22"/>
        </w:rPr>
        <w:t>3)</w:t>
      </w:r>
      <w:r w:rsidR="00727CE5">
        <w:rPr>
          <w:rFonts w:asciiTheme="majorHAnsi" w:hAnsiTheme="majorHAnsi" w:cstheme="majorHAnsi"/>
          <w:color w:val="auto"/>
          <w:sz w:val="22"/>
        </w:rPr>
        <w:t>.</w:t>
      </w:r>
    </w:p>
    <w:p w14:paraId="75794760" w14:textId="00A0AC1A" w:rsidR="00F949E6" w:rsidRDefault="00727CE5" w:rsidP="00CF1ECF">
      <w:pPr>
        <w:shd w:val="clear" w:color="auto" w:fill="FFFFFF" w:themeFill="background1"/>
        <w:rPr>
          <w:rFonts w:asciiTheme="majorHAnsi" w:hAnsiTheme="majorHAnsi" w:cstheme="majorHAnsi"/>
        </w:rPr>
      </w:pPr>
      <w:r>
        <w:rPr>
          <w:rFonts w:asciiTheme="majorHAnsi" w:hAnsiTheme="majorHAnsi" w:cstheme="majorHAnsi"/>
        </w:rPr>
        <w:t>B</w:t>
      </w:r>
      <w:r w:rsidR="00F949E6" w:rsidRPr="00F949E6">
        <w:rPr>
          <w:rFonts w:asciiTheme="majorHAnsi" w:hAnsiTheme="majorHAnsi" w:cstheme="majorHAnsi"/>
        </w:rPr>
        <w:t>espoke discussion guide</w:t>
      </w:r>
      <w:r>
        <w:rPr>
          <w:rFonts w:asciiTheme="majorHAnsi" w:hAnsiTheme="majorHAnsi" w:cstheme="majorHAnsi"/>
        </w:rPr>
        <w:t>s</w:t>
      </w:r>
      <w:r w:rsidR="00F949E6" w:rsidRPr="00F949E6">
        <w:rPr>
          <w:rFonts w:asciiTheme="majorHAnsi" w:hAnsiTheme="majorHAnsi" w:cstheme="majorHAnsi"/>
        </w:rPr>
        <w:t xml:space="preserve"> w</w:t>
      </w:r>
      <w:r>
        <w:rPr>
          <w:rFonts w:asciiTheme="majorHAnsi" w:hAnsiTheme="majorHAnsi" w:cstheme="majorHAnsi"/>
        </w:rPr>
        <w:t>ere</w:t>
      </w:r>
      <w:r w:rsidR="00F949E6" w:rsidRPr="00F949E6">
        <w:rPr>
          <w:rFonts w:asciiTheme="majorHAnsi" w:hAnsiTheme="majorHAnsi" w:cstheme="majorHAnsi"/>
        </w:rPr>
        <w:t xml:space="preserve"> prepared for the</w:t>
      </w:r>
      <w:r>
        <w:rPr>
          <w:rFonts w:asciiTheme="majorHAnsi" w:hAnsiTheme="majorHAnsi" w:cstheme="majorHAnsi"/>
        </w:rPr>
        <w:t>se</w:t>
      </w:r>
      <w:r w:rsidR="00F949E6" w:rsidRPr="00F949E6">
        <w:rPr>
          <w:rFonts w:asciiTheme="majorHAnsi" w:hAnsiTheme="majorHAnsi" w:cstheme="majorHAnsi"/>
        </w:rPr>
        <w:t xml:space="preserve"> different stakeholder </w:t>
      </w:r>
      <w:r>
        <w:rPr>
          <w:rFonts w:asciiTheme="majorHAnsi" w:hAnsiTheme="majorHAnsi" w:cstheme="majorHAnsi"/>
        </w:rPr>
        <w:t>groups</w:t>
      </w:r>
      <w:r w:rsidR="00F949E6">
        <w:rPr>
          <w:rFonts w:asciiTheme="majorHAnsi" w:hAnsiTheme="majorHAnsi" w:cstheme="majorHAnsi"/>
        </w:rPr>
        <w:t xml:space="preserve"> through engagements between Kantar, Public Division and the ARC.</w:t>
      </w:r>
      <w:r w:rsidR="00F949E6" w:rsidRPr="00F949E6">
        <w:rPr>
          <w:rFonts w:asciiTheme="majorHAnsi" w:hAnsiTheme="majorHAnsi" w:cstheme="majorHAnsi"/>
        </w:rPr>
        <w:t xml:space="preserve"> Interviews with stakeholders lasted up to one hour and were </w:t>
      </w:r>
      <w:r w:rsidR="001F3108">
        <w:rPr>
          <w:rFonts w:asciiTheme="majorHAnsi" w:hAnsiTheme="majorHAnsi" w:cstheme="majorHAnsi"/>
        </w:rPr>
        <w:t xml:space="preserve">primarily </w:t>
      </w:r>
      <w:r w:rsidR="00F949E6" w:rsidRPr="00F949E6">
        <w:rPr>
          <w:rFonts w:asciiTheme="majorHAnsi" w:hAnsiTheme="majorHAnsi" w:cstheme="majorHAnsi"/>
        </w:rPr>
        <w:t>conducted over the te</w:t>
      </w:r>
      <w:r w:rsidR="00F949E6">
        <w:rPr>
          <w:rFonts w:asciiTheme="majorHAnsi" w:hAnsiTheme="majorHAnsi" w:cstheme="majorHAnsi"/>
        </w:rPr>
        <w:t>lephone</w:t>
      </w:r>
      <w:r w:rsidR="00F949E6" w:rsidRPr="00F949E6">
        <w:rPr>
          <w:rFonts w:asciiTheme="majorHAnsi" w:hAnsiTheme="majorHAnsi" w:cstheme="majorHAnsi"/>
        </w:rPr>
        <w:t>.</w:t>
      </w:r>
      <w:r w:rsidR="001F3108">
        <w:rPr>
          <w:rStyle w:val="FootnoteReference"/>
          <w:rFonts w:asciiTheme="majorHAnsi" w:hAnsiTheme="majorHAnsi" w:cstheme="majorHAnsi"/>
        </w:rPr>
        <w:footnoteReference w:id="12"/>
      </w:r>
      <w:r w:rsidR="00F949E6" w:rsidRPr="00F949E6">
        <w:rPr>
          <w:rFonts w:asciiTheme="majorHAnsi" w:hAnsiTheme="majorHAnsi" w:cstheme="majorHAnsi"/>
        </w:rPr>
        <w:t xml:space="preserve"> All recruitment and interviews were conducted in-house by Kantar, </w:t>
      </w:r>
      <w:r w:rsidR="001F3108">
        <w:rPr>
          <w:rFonts w:asciiTheme="majorHAnsi" w:hAnsiTheme="majorHAnsi" w:cstheme="majorHAnsi"/>
        </w:rPr>
        <w:t xml:space="preserve">Public Division. </w:t>
      </w:r>
      <w:r w:rsidR="00F949E6" w:rsidRPr="00F949E6">
        <w:rPr>
          <w:rFonts w:asciiTheme="majorHAnsi" w:hAnsiTheme="majorHAnsi" w:cstheme="majorHAnsi"/>
        </w:rPr>
        <w:t>Following engagements with stakeholders, interviewers prepared detailed notes a</w:t>
      </w:r>
      <w:r w:rsidR="002466DD">
        <w:rPr>
          <w:rFonts w:asciiTheme="majorHAnsi" w:hAnsiTheme="majorHAnsi" w:cstheme="majorHAnsi"/>
        </w:rPr>
        <w:t>gainst</w:t>
      </w:r>
      <w:r w:rsidR="00F949E6" w:rsidRPr="00F949E6">
        <w:rPr>
          <w:rFonts w:asciiTheme="majorHAnsi" w:hAnsiTheme="majorHAnsi" w:cstheme="majorHAnsi"/>
        </w:rPr>
        <w:t xml:space="preserve"> the discussion guide.</w:t>
      </w:r>
      <w:r w:rsidR="001F3108" w:rsidRPr="001F3108">
        <w:rPr>
          <w:rFonts w:asciiTheme="majorHAnsi" w:hAnsiTheme="majorHAnsi" w:cstheme="majorHAnsi"/>
        </w:rPr>
        <w:t xml:space="preserve"> </w:t>
      </w:r>
      <w:r w:rsidR="001F3108">
        <w:rPr>
          <w:rFonts w:asciiTheme="majorHAnsi" w:hAnsiTheme="majorHAnsi" w:cstheme="majorHAnsi"/>
        </w:rPr>
        <w:t xml:space="preserve">Post-analysis </w:t>
      </w:r>
      <w:r w:rsidR="001F3108" w:rsidRPr="00F949E6">
        <w:rPr>
          <w:rFonts w:asciiTheme="majorHAnsi" w:hAnsiTheme="majorHAnsi" w:cstheme="majorHAnsi"/>
        </w:rPr>
        <w:t>was undertaken</w:t>
      </w:r>
      <w:r w:rsidR="001F3108">
        <w:rPr>
          <w:rFonts w:asciiTheme="majorHAnsi" w:hAnsiTheme="majorHAnsi" w:cstheme="majorHAnsi"/>
        </w:rPr>
        <w:t xml:space="preserve"> by the consultants</w:t>
      </w:r>
      <w:r w:rsidR="001F3108" w:rsidRPr="00F949E6">
        <w:rPr>
          <w:rFonts w:asciiTheme="majorHAnsi" w:hAnsiTheme="majorHAnsi" w:cstheme="majorHAnsi"/>
        </w:rPr>
        <w:t xml:space="preserve"> through several workshops </w:t>
      </w:r>
      <w:r w:rsidR="00DF6612">
        <w:rPr>
          <w:rFonts w:asciiTheme="majorHAnsi" w:hAnsiTheme="majorHAnsi" w:cstheme="majorHAnsi"/>
        </w:rPr>
        <w:t>involving</w:t>
      </w:r>
      <w:r w:rsidR="001F3108" w:rsidRPr="00F949E6">
        <w:rPr>
          <w:rFonts w:asciiTheme="majorHAnsi" w:hAnsiTheme="majorHAnsi" w:cstheme="majorHAnsi"/>
        </w:rPr>
        <w:t xml:space="preserve"> the interview team.</w:t>
      </w:r>
      <w:r w:rsidR="001F3108">
        <w:rPr>
          <w:rFonts w:asciiTheme="majorHAnsi" w:hAnsiTheme="majorHAnsi" w:cstheme="majorHAnsi"/>
        </w:rPr>
        <w:t xml:space="preserve"> These provided the foundation for </w:t>
      </w:r>
      <w:r w:rsidR="001F3108" w:rsidRPr="001F3108">
        <w:rPr>
          <w:rFonts w:asciiTheme="majorHAnsi" w:hAnsiTheme="majorHAnsi" w:cstheme="majorHAnsi"/>
        </w:rPr>
        <w:t>a sys</w:t>
      </w:r>
      <w:r w:rsidR="001F3108">
        <w:rPr>
          <w:rFonts w:asciiTheme="majorHAnsi" w:hAnsiTheme="majorHAnsi" w:cstheme="majorHAnsi"/>
        </w:rPr>
        <w:t xml:space="preserve">tematic distillation </w:t>
      </w:r>
      <w:r w:rsidR="001F3108" w:rsidRPr="001F3108">
        <w:rPr>
          <w:rFonts w:asciiTheme="majorHAnsi" w:hAnsiTheme="majorHAnsi" w:cstheme="majorHAnsi"/>
        </w:rPr>
        <w:t>of the main themes across each section of the discussion guide, helping to assess</w:t>
      </w:r>
      <w:r w:rsidR="001F3108">
        <w:rPr>
          <w:rFonts w:asciiTheme="majorHAnsi" w:hAnsiTheme="majorHAnsi" w:cstheme="majorHAnsi"/>
        </w:rPr>
        <w:t xml:space="preserve"> patterns in responses</w:t>
      </w:r>
      <w:r w:rsidR="001F3108" w:rsidRPr="001F3108">
        <w:rPr>
          <w:rFonts w:asciiTheme="majorHAnsi" w:hAnsiTheme="majorHAnsi" w:cstheme="majorHAnsi"/>
        </w:rPr>
        <w:t xml:space="preserve"> across different stakeholder groups.</w:t>
      </w:r>
    </w:p>
    <w:p w14:paraId="0BC55D65" w14:textId="40FE798A" w:rsidR="00746691" w:rsidRPr="006A3F18" w:rsidRDefault="00746691" w:rsidP="007057E6">
      <w:pPr>
        <w:pStyle w:val="Heading2"/>
      </w:pPr>
      <w:bookmarkStart w:id="51" w:name="_Toc51918679"/>
      <w:bookmarkStart w:id="52" w:name="_Toc55544765"/>
      <w:r w:rsidRPr="007D515F">
        <w:t>ARC</w:t>
      </w:r>
      <w:r>
        <w:t xml:space="preserve"> administrative</w:t>
      </w:r>
      <w:r w:rsidRPr="007D515F">
        <w:t xml:space="preserve"> </w:t>
      </w:r>
      <w:r>
        <w:t>data notes</w:t>
      </w:r>
      <w:bookmarkEnd w:id="51"/>
      <w:bookmarkEnd w:id="52"/>
    </w:p>
    <w:p w14:paraId="6F44E741" w14:textId="623A7975" w:rsidR="00746691" w:rsidRDefault="00746691" w:rsidP="00746691">
      <w:pPr>
        <w:rPr>
          <w:rFonts w:asciiTheme="majorHAnsi" w:hAnsiTheme="majorHAnsi" w:cstheme="majorHAnsi"/>
        </w:rPr>
      </w:pPr>
      <w:r>
        <w:rPr>
          <w:rFonts w:asciiTheme="majorHAnsi" w:hAnsiTheme="majorHAnsi" w:cstheme="majorHAnsi"/>
        </w:rPr>
        <w:t>The below textbox provides a summary of important information and historical changes to consider when interpreting ARC program data throughout the report.</w:t>
      </w:r>
    </w:p>
    <w:p w14:paraId="41688A65" w14:textId="77777777" w:rsidR="00746691" w:rsidRPr="007202F3" w:rsidRDefault="00746691" w:rsidP="00746691">
      <w:pPr>
        <w:shd w:val="clear" w:color="auto" w:fill="DEEAF6" w:themeFill="accent1" w:themeFillTint="33"/>
        <w:spacing w:after="0" w:line="257" w:lineRule="auto"/>
        <w:ind w:firstLine="142"/>
        <w:rPr>
          <w:rFonts w:asciiTheme="majorHAnsi" w:hAnsiTheme="majorHAnsi" w:cstheme="majorHAnsi"/>
          <w:b/>
        </w:rPr>
      </w:pPr>
      <w:r>
        <w:rPr>
          <w:rFonts w:asciiTheme="majorHAnsi" w:hAnsiTheme="majorHAnsi" w:cstheme="majorHAnsi"/>
          <w:b/>
        </w:rPr>
        <w:t xml:space="preserve">      </w:t>
      </w:r>
      <w:r w:rsidRPr="007202F3">
        <w:rPr>
          <w:rFonts w:asciiTheme="majorHAnsi" w:hAnsiTheme="majorHAnsi" w:cstheme="majorHAnsi"/>
          <w:b/>
        </w:rPr>
        <w:t>Data notes</w:t>
      </w:r>
    </w:p>
    <w:p w14:paraId="6292202D" w14:textId="77777777" w:rsidR="00746691" w:rsidRPr="007202F3" w:rsidRDefault="00746691" w:rsidP="00746691">
      <w:pPr>
        <w:pStyle w:val="ListParagraph"/>
        <w:numPr>
          <w:ilvl w:val="0"/>
          <w:numId w:val="11"/>
        </w:numPr>
        <w:shd w:val="clear" w:color="auto" w:fill="DEEAF6" w:themeFill="accent1" w:themeFillTint="33"/>
        <w:spacing w:before="60" w:after="60" w:line="259" w:lineRule="auto"/>
        <w:ind w:left="425" w:hanging="425"/>
        <w:rPr>
          <w:rFonts w:asciiTheme="majorHAnsi" w:hAnsiTheme="majorHAnsi" w:cstheme="majorHAnsi"/>
          <w:color w:val="auto"/>
          <w:sz w:val="22"/>
        </w:rPr>
      </w:pPr>
      <w:r w:rsidRPr="007202F3">
        <w:rPr>
          <w:rFonts w:asciiTheme="majorHAnsi" w:hAnsiTheme="majorHAnsi" w:cstheme="majorHAnsi"/>
          <w:color w:val="auto"/>
          <w:sz w:val="22"/>
        </w:rPr>
        <w:t>Data are primarily presented based on scheme round funding commencement dates, which have been abbreviated (e.g. DP02 refers to the Discovery Projects round for funding commencing in 2002).</w:t>
      </w:r>
    </w:p>
    <w:p w14:paraId="1AE9563C" w14:textId="77777777" w:rsidR="00746691" w:rsidRPr="007202F3" w:rsidRDefault="00746691" w:rsidP="00746691">
      <w:pPr>
        <w:pStyle w:val="ListParagraph"/>
        <w:numPr>
          <w:ilvl w:val="0"/>
          <w:numId w:val="11"/>
        </w:numPr>
        <w:shd w:val="clear" w:color="auto" w:fill="DEEAF6" w:themeFill="accent1" w:themeFillTint="33"/>
        <w:spacing w:before="60" w:after="60" w:line="259" w:lineRule="auto"/>
        <w:ind w:left="425" w:hanging="425"/>
        <w:rPr>
          <w:rFonts w:asciiTheme="majorHAnsi" w:hAnsiTheme="majorHAnsi" w:cstheme="majorHAnsi"/>
          <w:color w:val="auto"/>
          <w:sz w:val="22"/>
        </w:rPr>
      </w:pPr>
      <w:r w:rsidRPr="007202F3">
        <w:rPr>
          <w:rFonts w:asciiTheme="majorHAnsi" w:hAnsiTheme="majorHAnsi" w:cstheme="majorHAnsi"/>
          <w:color w:val="auto"/>
          <w:sz w:val="22"/>
        </w:rPr>
        <w:t xml:space="preserve">Unless otherwise noted, application data have been generated to cover the period from the inaugural Discovery Projects round (DP02) to the most recently announced round at the time of drafting (DP20). Applications that were withdrawn have been excluded from data analysis.  </w:t>
      </w:r>
    </w:p>
    <w:p w14:paraId="049E0741" w14:textId="77777777" w:rsidR="00746691" w:rsidRPr="007202F3" w:rsidRDefault="00746691" w:rsidP="00746691">
      <w:pPr>
        <w:pStyle w:val="ListParagraph"/>
        <w:numPr>
          <w:ilvl w:val="0"/>
          <w:numId w:val="11"/>
        </w:numPr>
        <w:shd w:val="clear" w:color="auto" w:fill="DEEAF6" w:themeFill="accent1" w:themeFillTint="33"/>
        <w:spacing w:before="60" w:after="60" w:line="259" w:lineRule="auto"/>
        <w:ind w:left="425" w:hanging="425"/>
        <w:rPr>
          <w:rFonts w:asciiTheme="majorHAnsi" w:hAnsiTheme="majorHAnsi" w:cstheme="majorHAnsi"/>
          <w:color w:val="auto"/>
          <w:sz w:val="22"/>
        </w:rPr>
      </w:pPr>
      <w:r w:rsidRPr="007202F3">
        <w:rPr>
          <w:rFonts w:asciiTheme="majorHAnsi" w:hAnsiTheme="majorHAnsi" w:cstheme="majorHAnsi"/>
          <w:color w:val="auto"/>
          <w:sz w:val="22"/>
        </w:rPr>
        <w:t xml:space="preserve">ARC administrative data from final reports have been generated as at 26 February 2020. </w:t>
      </w:r>
    </w:p>
    <w:p w14:paraId="3D88F8B8" w14:textId="77777777" w:rsidR="00746691" w:rsidRPr="007202F3" w:rsidRDefault="00746691" w:rsidP="00746691">
      <w:pPr>
        <w:pStyle w:val="ListParagraph"/>
        <w:numPr>
          <w:ilvl w:val="0"/>
          <w:numId w:val="11"/>
        </w:numPr>
        <w:shd w:val="clear" w:color="auto" w:fill="DEEAF6" w:themeFill="accent1" w:themeFillTint="33"/>
        <w:spacing w:before="60" w:after="60" w:line="259" w:lineRule="auto"/>
        <w:ind w:left="425" w:hanging="425"/>
        <w:rPr>
          <w:rFonts w:asciiTheme="majorHAnsi" w:hAnsiTheme="majorHAnsi" w:cstheme="majorHAnsi"/>
          <w:color w:val="auto"/>
          <w:sz w:val="22"/>
        </w:rPr>
      </w:pPr>
      <w:r w:rsidRPr="007202F3">
        <w:rPr>
          <w:rFonts w:asciiTheme="majorHAnsi" w:hAnsiTheme="majorHAnsi" w:cstheme="majorHAnsi"/>
          <w:color w:val="auto"/>
          <w:sz w:val="22"/>
        </w:rPr>
        <w:t xml:space="preserve">Final reports from after DP14 have generally been excluded from analysis. A limited number of final reports have been submitted from later funding rounds, as most of these projects remain ongoing. While mandatory, final reports have not been submitted for all completed DP02–DP20 projects. </w:t>
      </w:r>
    </w:p>
    <w:p w14:paraId="4ABA75D9" w14:textId="77777777" w:rsidR="00746691" w:rsidRPr="007202F3" w:rsidRDefault="00746691" w:rsidP="00746691">
      <w:pPr>
        <w:pStyle w:val="ListParagraph"/>
        <w:numPr>
          <w:ilvl w:val="0"/>
          <w:numId w:val="11"/>
        </w:numPr>
        <w:shd w:val="clear" w:color="auto" w:fill="DEEAF6" w:themeFill="accent1" w:themeFillTint="33"/>
        <w:spacing w:before="60" w:after="60" w:line="259" w:lineRule="auto"/>
        <w:ind w:left="425" w:hanging="425"/>
        <w:rPr>
          <w:rFonts w:asciiTheme="majorHAnsi" w:hAnsiTheme="majorHAnsi" w:cstheme="majorHAnsi"/>
          <w:color w:val="auto"/>
          <w:sz w:val="22"/>
        </w:rPr>
      </w:pPr>
      <w:r w:rsidRPr="007202F3">
        <w:rPr>
          <w:rFonts w:asciiTheme="majorHAnsi" w:hAnsiTheme="majorHAnsi" w:cstheme="majorHAnsi"/>
          <w:color w:val="auto"/>
          <w:sz w:val="22"/>
        </w:rPr>
        <w:t xml:space="preserve">Application and final report data generally rely upon researcher self-reporting. </w:t>
      </w:r>
    </w:p>
    <w:p w14:paraId="6E47D8DA" w14:textId="0C374CCC" w:rsidR="00746691" w:rsidRPr="007202F3" w:rsidRDefault="00746691" w:rsidP="00746691">
      <w:pPr>
        <w:pStyle w:val="ListParagraph"/>
        <w:numPr>
          <w:ilvl w:val="0"/>
          <w:numId w:val="11"/>
        </w:numPr>
        <w:shd w:val="clear" w:color="auto" w:fill="DEEAF6" w:themeFill="accent1" w:themeFillTint="33"/>
        <w:spacing w:before="60" w:after="240" w:line="259" w:lineRule="auto"/>
        <w:ind w:left="425" w:hanging="425"/>
        <w:rPr>
          <w:rFonts w:asciiTheme="majorHAnsi" w:hAnsiTheme="majorHAnsi" w:cstheme="majorHAnsi"/>
          <w:color w:val="auto"/>
          <w:sz w:val="22"/>
        </w:rPr>
      </w:pPr>
      <w:r w:rsidRPr="007202F3">
        <w:rPr>
          <w:rFonts w:asciiTheme="majorHAnsi" w:hAnsiTheme="majorHAnsi" w:cstheme="majorHAnsi"/>
          <w:color w:val="auto"/>
          <w:sz w:val="22"/>
        </w:rPr>
        <w:t>Data relating to</w:t>
      </w:r>
      <w:r>
        <w:rPr>
          <w:rFonts w:asciiTheme="majorHAnsi" w:hAnsiTheme="majorHAnsi" w:cstheme="majorHAnsi"/>
          <w:color w:val="auto"/>
          <w:sz w:val="22"/>
        </w:rPr>
        <w:t xml:space="preserve"> projects and</w:t>
      </w:r>
      <w:r w:rsidRPr="007202F3">
        <w:rPr>
          <w:rFonts w:asciiTheme="majorHAnsi" w:hAnsiTheme="majorHAnsi" w:cstheme="majorHAnsi"/>
          <w:color w:val="auto"/>
          <w:sz w:val="22"/>
        </w:rPr>
        <w:t xml:space="preserve"> funding—including</w:t>
      </w:r>
      <w:r>
        <w:rPr>
          <w:rFonts w:asciiTheme="majorHAnsi" w:hAnsiTheme="majorHAnsi" w:cstheme="majorHAnsi"/>
          <w:color w:val="auto"/>
          <w:sz w:val="22"/>
        </w:rPr>
        <w:t xml:space="preserve"> funded projects,</w:t>
      </w:r>
      <w:r w:rsidRPr="007202F3">
        <w:rPr>
          <w:rFonts w:asciiTheme="majorHAnsi" w:hAnsiTheme="majorHAnsi" w:cstheme="majorHAnsi"/>
          <w:color w:val="auto"/>
          <w:sz w:val="22"/>
        </w:rPr>
        <w:t xml:space="preserve"> total scheme funding, average project funding and return rates—have been generated on the</w:t>
      </w:r>
      <w:r>
        <w:rPr>
          <w:rFonts w:asciiTheme="majorHAnsi" w:hAnsiTheme="majorHAnsi" w:cstheme="majorHAnsi"/>
          <w:color w:val="auto"/>
          <w:sz w:val="22"/>
        </w:rPr>
        <w:t xml:space="preserve"> basis of data at the time of Ministerial announcement.</w:t>
      </w:r>
      <w:r w:rsidRPr="007202F3">
        <w:rPr>
          <w:rFonts w:asciiTheme="majorHAnsi" w:hAnsiTheme="majorHAnsi" w:cstheme="majorHAnsi"/>
          <w:color w:val="auto"/>
          <w:sz w:val="22"/>
        </w:rPr>
        <w:t xml:space="preserve"> </w:t>
      </w:r>
    </w:p>
    <w:p w14:paraId="555706ED" w14:textId="77777777" w:rsidR="00746691" w:rsidRPr="007202F3" w:rsidRDefault="00746691" w:rsidP="00746691">
      <w:pPr>
        <w:shd w:val="clear" w:color="auto" w:fill="DEEAF6" w:themeFill="accent1" w:themeFillTint="33"/>
        <w:spacing w:after="0" w:line="257" w:lineRule="auto"/>
        <w:ind w:firstLine="142"/>
        <w:rPr>
          <w:rFonts w:asciiTheme="majorHAnsi" w:hAnsiTheme="majorHAnsi" w:cstheme="majorHAnsi"/>
          <w:b/>
        </w:rPr>
      </w:pPr>
      <w:r>
        <w:rPr>
          <w:rFonts w:asciiTheme="majorHAnsi" w:hAnsiTheme="majorHAnsi" w:cstheme="majorHAnsi"/>
          <w:b/>
        </w:rPr>
        <w:t xml:space="preserve">      </w:t>
      </w:r>
      <w:r w:rsidRPr="007202F3">
        <w:rPr>
          <w:rFonts w:asciiTheme="majorHAnsi" w:hAnsiTheme="majorHAnsi" w:cstheme="majorHAnsi"/>
          <w:b/>
        </w:rPr>
        <w:t>Historical changes</w:t>
      </w:r>
    </w:p>
    <w:p w14:paraId="06B182F3" w14:textId="77777777" w:rsidR="00746691" w:rsidRPr="007202F3" w:rsidRDefault="00746691" w:rsidP="00746691">
      <w:pPr>
        <w:pStyle w:val="ListParagraph"/>
        <w:numPr>
          <w:ilvl w:val="0"/>
          <w:numId w:val="12"/>
        </w:numPr>
        <w:shd w:val="clear" w:color="auto" w:fill="DEEAF6" w:themeFill="accent1" w:themeFillTint="33"/>
        <w:spacing w:before="60" w:after="60" w:line="259" w:lineRule="auto"/>
        <w:ind w:left="425" w:hanging="425"/>
        <w:rPr>
          <w:rFonts w:asciiTheme="majorHAnsi" w:hAnsiTheme="majorHAnsi" w:cstheme="majorHAnsi"/>
          <w:color w:val="auto"/>
          <w:sz w:val="22"/>
        </w:rPr>
      </w:pPr>
      <w:r w:rsidRPr="007202F3">
        <w:rPr>
          <w:rFonts w:asciiTheme="majorHAnsi" w:hAnsiTheme="majorHAnsi" w:cstheme="majorHAnsi"/>
          <w:color w:val="auto"/>
          <w:sz w:val="22"/>
        </w:rPr>
        <w:t xml:space="preserve">Between DP02 and DP11, Discovery Projects included specific provisions to support Early Career Researchers. From DP12 onwards, the Discovery Early Career Researcher Award (DECRA) scheme became the ARC’s primary source of support for this group. </w:t>
      </w:r>
    </w:p>
    <w:p w14:paraId="62F95760" w14:textId="0032B01D" w:rsidR="00746691" w:rsidRPr="007202F3" w:rsidRDefault="00746691" w:rsidP="00746691">
      <w:pPr>
        <w:pStyle w:val="ListParagraph"/>
        <w:numPr>
          <w:ilvl w:val="0"/>
          <w:numId w:val="12"/>
        </w:numPr>
        <w:shd w:val="clear" w:color="auto" w:fill="DEEAF6" w:themeFill="accent1" w:themeFillTint="33"/>
        <w:spacing w:before="60" w:after="60" w:line="259" w:lineRule="auto"/>
        <w:ind w:left="425" w:hanging="425"/>
        <w:rPr>
          <w:rFonts w:asciiTheme="majorHAnsi" w:hAnsiTheme="majorHAnsi" w:cstheme="majorHAnsi"/>
          <w:color w:val="auto"/>
          <w:sz w:val="22"/>
        </w:rPr>
      </w:pPr>
      <w:r w:rsidRPr="007202F3">
        <w:rPr>
          <w:rFonts w:asciiTheme="majorHAnsi" w:hAnsiTheme="majorHAnsi" w:cstheme="majorHAnsi"/>
          <w:color w:val="auto"/>
          <w:sz w:val="22"/>
        </w:rPr>
        <w:t>Between DP02 and DP11, the Discovery Projects scheme offered a range of fellowship opportunities supporting researchers at different career stages, including the Australian Professorial Fellowship (APF), the Australian Research Fellowship (ARF), the Queen Elizabeth II Fellowship (QEII) and the Australian Postdoctoral Fellowship (APD). Between DP12 and DP14, the scheme offered the Discovery Outstanding Researcher Award (DORA). Comparable fellowship</w:t>
      </w:r>
      <w:r w:rsidR="004E4E26">
        <w:rPr>
          <w:rFonts w:asciiTheme="majorHAnsi" w:hAnsiTheme="majorHAnsi" w:cstheme="majorHAnsi"/>
          <w:color w:val="auto"/>
          <w:sz w:val="22"/>
        </w:rPr>
        <w:t xml:space="preserve"> and </w:t>
      </w:r>
      <w:r w:rsidRPr="007202F3">
        <w:rPr>
          <w:rFonts w:asciiTheme="majorHAnsi" w:hAnsiTheme="majorHAnsi" w:cstheme="majorHAnsi"/>
          <w:color w:val="auto"/>
          <w:sz w:val="22"/>
        </w:rPr>
        <w:t>award opportunities have largely been transitioned into other NCGP schemes over time, with Discovery Projects currently emphasising the provision of project funding. These fellowship</w:t>
      </w:r>
      <w:r w:rsidR="004E4E26">
        <w:rPr>
          <w:rFonts w:asciiTheme="majorHAnsi" w:hAnsiTheme="majorHAnsi" w:cstheme="majorHAnsi"/>
          <w:color w:val="auto"/>
          <w:sz w:val="22"/>
        </w:rPr>
        <w:t xml:space="preserve"> and </w:t>
      </w:r>
      <w:r w:rsidRPr="007202F3">
        <w:rPr>
          <w:rFonts w:asciiTheme="majorHAnsi" w:hAnsiTheme="majorHAnsi" w:cstheme="majorHAnsi"/>
          <w:color w:val="auto"/>
          <w:sz w:val="22"/>
        </w:rPr>
        <w:t>award opportunities are included within the DP02–DP14 scheme data presented by this report.</w:t>
      </w:r>
    </w:p>
    <w:p w14:paraId="1299F96F" w14:textId="77777777" w:rsidR="00746691" w:rsidRPr="006A3F18" w:rsidRDefault="00746691" w:rsidP="00746691">
      <w:pPr>
        <w:pStyle w:val="ListParagraph"/>
        <w:numPr>
          <w:ilvl w:val="0"/>
          <w:numId w:val="12"/>
        </w:numPr>
        <w:shd w:val="clear" w:color="auto" w:fill="DEEAF6" w:themeFill="accent1" w:themeFillTint="33"/>
        <w:spacing w:before="60" w:after="60" w:line="259" w:lineRule="auto"/>
        <w:ind w:left="425" w:hanging="425"/>
        <w:rPr>
          <w:rFonts w:asciiTheme="majorHAnsi" w:hAnsiTheme="majorHAnsi" w:cstheme="majorHAnsi"/>
          <w:color w:val="auto"/>
          <w:sz w:val="22"/>
        </w:rPr>
      </w:pPr>
      <w:r w:rsidRPr="007202F3">
        <w:rPr>
          <w:rFonts w:asciiTheme="majorHAnsi" w:hAnsiTheme="majorHAnsi" w:cstheme="majorHAnsi"/>
          <w:color w:val="auto"/>
          <w:sz w:val="22"/>
        </w:rPr>
        <w:lastRenderedPageBreak/>
        <w:t xml:space="preserve">The Discovery Projects scheme’s priorities and policy objectives have also shifted over time. For instance, since DP03, the Discovery Projects scheme has included objectives relating to support for research priorities identified by the Australian Government. These have changed over the scheme’s history, and have included the National Research Priorities, the Strategic Research Priorities and the National Science and Research Priorities. The scheme has also had a greater focus on international collaboration since DP10, coinciding with the termination of the Linkage International scheme.    </w:t>
      </w:r>
    </w:p>
    <w:p w14:paraId="68657C84" w14:textId="77777777" w:rsidR="00BE374B" w:rsidRPr="00F949E6" w:rsidRDefault="00BE374B" w:rsidP="00CF1ECF">
      <w:pPr>
        <w:shd w:val="clear" w:color="auto" w:fill="FFFFFF" w:themeFill="background1"/>
        <w:rPr>
          <w:rFonts w:asciiTheme="majorHAnsi" w:hAnsiTheme="majorHAnsi" w:cstheme="majorHAnsi"/>
        </w:rPr>
      </w:pPr>
    </w:p>
    <w:p w14:paraId="3603866D" w14:textId="77777777" w:rsidR="00961439" w:rsidRPr="004F15D8" w:rsidRDefault="00961439" w:rsidP="00CF1ECF">
      <w:pPr>
        <w:shd w:val="clear" w:color="auto" w:fill="FFFFFF" w:themeFill="background1"/>
        <w:spacing w:afterLines="160" w:after="384"/>
        <w:rPr>
          <w:rFonts w:asciiTheme="majorHAnsi" w:hAnsiTheme="majorHAnsi" w:cstheme="majorHAnsi"/>
        </w:rPr>
      </w:pPr>
    </w:p>
    <w:p w14:paraId="4048D412" w14:textId="5776E2C1" w:rsidR="00D42E65" w:rsidRDefault="00D42E65" w:rsidP="00CF1ECF">
      <w:pPr>
        <w:shd w:val="clear" w:color="auto" w:fill="FFFFFF" w:themeFill="background1"/>
        <w:spacing w:afterLines="160" w:after="384"/>
        <w:contextualSpacing/>
        <w:rPr>
          <w:rFonts w:asciiTheme="majorHAnsi" w:hAnsiTheme="majorHAnsi" w:cstheme="majorHAnsi"/>
        </w:rPr>
      </w:pPr>
    </w:p>
    <w:p w14:paraId="06E5FC34" w14:textId="4009148F" w:rsidR="00C165F1" w:rsidRDefault="00C165F1" w:rsidP="00CF1ECF">
      <w:pPr>
        <w:shd w:val="clear" w:color="auto" w:fill="FFFFFF" w:themeFill="background1"/>
        <w:spacing w:afterLines="160" w:after="384"/>
        <w:contextualSpacing/>
        <w:rPr>
          <w:rFonts w:asciiTheme="majorHAnsi" w:hAnsiTheme="majorHAnsi" w:cstheme="majorHAnsi"/>
        </w:rPr>
      </w:pPr>
    </w:p>
    <w:p w14:paraId="3766783C" w14:textId="711F57CE" w:rsidR="00C165F1" w:rsidRDefault="00C165F1" w:rsidP="00CF1ECF">
      <w:pPr>
        <w:shd w:val="clear" w:color="auto" w:fill="FFFFFF" w:themeFill="background1"/>
        <w:spacing w:afterLines="160" w:after="384"/>
        <w:contextualSpacing/>
        <w:rPr>
          <w:rFonts w:asciiTheme="majorHAnsi" w:hAnsiTheme="majorHAnsi" w:cstheme="majorHAnsi"/>
        </w:rPr>
      </w:pPr>
    </w:p>
    <w:p w14:paraId="5A787B03" w14:textId="5B14019F" w:rsidR="00C165F1" w:rsidRDefault="00C165F1" w:rsidP="00CF1ECF">
      <w:pPr>
        <w:shd w:val="clear" w:color="auto" w:fill="FFFFFF" w:themeFill="background1"/>
        <w:spacing w:afterLines="160" w:after="384"/>
        <w:contextualSpacing/>
        <w:rPr>
          <w:rFonts w:asciiTheme="majorHAnsi" w:hAnsiTheme="majorHAnsi" w:cstheme="majorHAnsi"/>
        </w:rPr>
      </w:pPr>
    </w:p>
    <w:p w14:paraId="298F214E" w14:textId="72FD806E" w:rsidR="00C165F1" w:rsidRDefault="00C165F1" w:rsidP="00CF1ECF">
      <w:pPr>
        <w:shd w:val="clear" w:color="auto" w:fill="FFFFFF" w:themeFill="background1"/>
        <w:spacing w:afterLines="160" w:after="384"/>
        <w:contextualSpacing/>
        <w:rPr>
          <w:rFonts w:asciiTheme="majorHAnsi" w:hAnsiTheme="majorHAnsi" w:cstheme="majorHAnsi"/>
        </w:rPr>
      </w:pPr>
    </w:p>
    <w:p w14:paraId="0234E6AA" w14:textId="4281AE0C" w:rsidR="00C165F1" w:rsidRDefault="00C165F1" w:rsidP="00CF1ECF">
      <w:pPr>
        <w:shd w:val="clear" w:color="auto" w:fill="FFFFFF" w:themeFill="background1"/>
        <w:spacing w:afterLines="160" w:after="384"/>
        <w:contextualSpacing/>
        <w:rPr>
          <w:rFonts w:asciiTheme="majorHAnsi" w:hAnsiTheme="majorHAnsi" w:cstheme="majorHAnsi"/>
        </w:rPr>
      </w:pPr>
    </w:p>
    <w:p w14:paraId="03FED53D" w14:textId="6247253A" w:rsidR="00C165F1" w:rsidRDefault="00C165F1" w:rsidP="00CF1ECF">
      <w:pPr>
        <w:shd w:val="clear" w:color="auto" w:fill="FFFFFF" w:themeFill="background1"/>
        <w:spacing w:afterLines="160" w:after="384"/>
        <w:contextualSpacing/>
        <w:rPr>
          <w:rFonts w:asciiTheme="majorHAnsi" w:hAnsiTheme="majorHAnsi" w:cstheme="majorHAnsi"/>
        </w:rPr>
      </w:pPr>
    </w:p>
    <w:p w14:paraId="5E6C1861" w14:textId="73F03A2B" w:rsidR="00C165F1" w:rsidRDefault="00C165F1" w:rsidP="00CF1ECF">
      <w:pPr>
        <w:shd w:val="clear" w:color="auto" w:fill="FFFFFF" w:themeFill="background1"/>
        <w:spacing w:afterLines="160" w:after="384"/>
        <w:contextualSpacing/>
        <w:rPr>
          <w:rFonts w:asciiTheme="majorHAnsi" w:hAnsiTheme="majorHAnsi" w:cstheme="majorHAnsi"/>
        </w:rPr>
      </w:pPr>
    </w:p>
    <w:p w14:paraId="61F48A44" w14:textId="7D693C46" w:rsidR="00C165F1" w:rsidRDefault="00C165F1">
      <w:pPr>
        <w:rPr>
          <w:rFonts w:asciiTheme="majorHAnsi" w:hAnsiTheme="majorHAnsi" w:cstheme="majorHAnsi"/>
        </w:rPr>
      </w:pPr>
      <w:r>
        <w:rPr>
          <w:rFonts w:asciiTheme="majorHAnsi" w:hAnsiTheme="majorHAnsi" w:cstheme="majorHAnsi"/>
        </w:rPr>
        <w:br w:type="page"/>
      </w:r>
    </w:p>
    <w:p w14:paraId="5BC3020C" w14:textId="77777777" w:rsidR="00C165F1" w:rsidRPr="009143C2" w:rsidRDefault="00C165F1" w:rsidP="008B655A">
      <w:pPr>
        <w:pStyle w:val="Heading1"/>
        <w:numPr>
          <w:ilvl w:val="0"/>
          <w:numId w:val="0"/>
        </w:numPr>
        <w:spacing w:after="480"/>
        <w:ind w:left="431" w:hanging="431"/>
      </w:pPr>
      <w:bookmarkStart w:id="53" w:name="_Toc51918680"/>
      <w:bookmarkStart w:id="54" w:name="_Toc55544766"/>
      <w:r w:rsidRPr="009143C2">
        <w:lastRenderedPageBreak/>
        <w:t xml:space="preserve">Part </w:t>
      </w:r>
      <w:r>
        <w:t>Two:</w:t>
      </w:r>
      <w:r w:rsidRPr="00B91AEE">
        <w:t xml:space="preserve"> </w:t>
      </w:r>
      <w:r w:rsidRPr="009143C2">
        <w:t>Discovery Projects</w:t>
      </w:r>
      <w:r>
        <w:t xml:space="preserve"> scheme implementation</w:t>
      </w:r>
      <w:bookmarkEnd w:id="53"/>
      <w:bookmarkEnd w:id="54"/>
      <w:r w:rsidRPr="009143C2">
        <w:t xml:space="preserve">  </w:t>
      </w:r>
    </w:p>
    <w:p w14:paraId="63327CE5" w14:textId="77777777" w:rsidR="00C165F1" w:rsidRPr="00F14823" w:rsidRDefault="00C165F1" w:rsidP="00254D36">
      <w:pPr>
        <w:pStyle w:val="ListParagraph"/>
        <w:numPr>
          <w:ilvl w:val="0"/>
          <w:numId w:val="14"/>
        </w:numPr>
        <w:spacing w:after="160" w:line="259" w:lineRule="auto"/>
        <w:contextualSpacing w:val="0"/>
        <w:jc w:val="both"/>
        <w:outlineLvl w:val="0"/>
        <w:rPr>
          <w:rFonts w:asciiTheme="majorHAnsi" w:hAnsiTheme="majorHAnsi" w:cstheme="majorHAnsi"/>
          <w:b/>
          <w:vanish/>
          <w:sz w:val="28"/>
          <w:szCs w:val="28"/>
        </w:rPr>
      </w:pPr>
      <w:bookmarkStart w:id="55" w:name="_Toc50533578"/>
      <w:bookmarkStart w:id="56" w:name="_Toc50553728"/>
      <w:bookmarkStart w:id="57" w:name="_Toc50554962"/>
      <w:bookmarkStart w:id="58" w:name="_Toc50618085"/>
      <w:bookmarkStart w:id="59" w:name="_Toc50618367"/>
      <w:bookmarkStart w:id="60" w:name="_Toc51916946"/>
      <w:bookmarkStart w:id="61" w:name="_Toc51918787"/>
      <w:bookmarkStart w:id="62" w:name="_Toc51918681"/>
      <w:bookmarkStart w:id="63" w:name="_Toc53557191"/>
      <w:bookmarkStart w:id="64" w:name="_Toc54699233"/>
      <w:bookmarkStart w:id="65" w:name="_Toc55544767"/>
      <w:bookmarkEnd w:id="55"/>
      <w:bookmarkEnd w:id="56"/>
      <w:bookmarkEnd w:id="57"/>
      <w:bookmarkEnd w:id="58"/>
      <w:bookmarkEnd w:id="59"/>
      <w:bookmarkEnd w:id="60"/>
      <w:bookmarkEnd w:id="61"/>
      <w:bookmarkEnd w:id="62"/>
      <w:bookmarkEnd w:id="63"/>
      <w:bookmarkEnd w:id="64"/>
      <w:bookmarkEnd w:id="65"/>
    </w:p>
    <w:p w14:paraId="22EE44AB" w14:textId="77777777" w:rsidR="00C165F1" w:rsidRPr="00F14823" w:rsidRDefault="00C165F1" w:rsidP="00254D36">
      <w:pPr>
        <w:pStyle w:val="ListParagraph"/>
        <w:numPr>
          <w:ilvl w:val="0"/>
          <w:numId w:val="14"/>
        </w:numPr>
        <w:spacing w:after="160" w:line="259" w:lineRule="auto"/>
        <w:contextualSpacing w:val="0"/>
        <w:jc w:val="both"/>
        <w:outlineLvl w:val="0"/>
        <w:rPr>
          <w:rFonts w:asciiTheme="majorHAnsi" w:hAnsiTheme="majorHAnsi" w:cstheme="majorHAnsi"/>
          <w:b/>
          <w:vanish/>
          <w:sz w:val="28"/>
          <w:szCs w:val="28"/>
        </w:rPr>
      </w:pPr>
      <w:bookmarkStart w:id="66" w:name="_Toc50533579"/>
      <w:bookmarkStart w:id="67" w:name="_Toc50553729"/>
      <w:bookmarkStart w:id="68" w:name="_Toc50554963"/>
      <w:bookmarkStart w:id="69" w:name="_Toc50618086"/>
      <w:bookmarkStart w:id="70" w:name="_Toc50618368"/>
      <w:bookmarkStart w:id="71" w:name="_Toc51916947"/>
      <w:bookmarkStart w:id="72" w:name="_Toc51918788"/>
      <w:bookmarkStart w:id="73" w:name="_Toc51918682"/>
      <w:bookmarkStart w:id="74" w:name="_Toc53557192"/>
      <w:bookmarkStart w:id="75" w:name="_Toc54699234"/>
      <w:bookmarkStart w:id="76" w:name="_Toc55544768"/>
      <w:bookmarkEnd w:id="66"/>
      <w:bookmarkEnd w:id="67"/>
      <w:bookmarkEnd w:id="68"/>
      <w:bookmarkEnd w:id="69"/>
      <w:bookmarkEnd w:id="70"/>
      <w:bookmarkEnd w:id="71"/>
      <w:bookmarkEnd w:id="72"/>
      <w:bookmarkEnd w:id="73"/>
      <w:bookmarkEnd w:id="74"/>
      <w:bookmarkEnd w:id="75"/>
      <w:bookmarkEnd w:id="76"/>
    </w:p>
    <w:p w14:paraId="0F345116" w14:textId="0CFEACE5" w:rsidR="00FA2720" w:rsidRPr="005D7336" w:rsidRDefault="00B714A9" w:rsidP="007057E6">
      <w:bookmarkStart w:id="77" w:name="_Toc51916948"/>
      <w:r w:rsidRPr="007057E6">
        <w:rPr>
          <w:rFonts w:asciiTheme="majorHAnsi" w:hAnsiTheme="majorHAnsi" w:cstheme="majorHAnsi"/>
        </w:rPr>
        <w:t xml:space="preserve">Part Two </w:t>
      </w:r>
      <w:r w:rsidR="008504EA" w:rsidRPr="007057E6">
        <w:rPr>
          <w:rFonts w:asciiTheme="majorHAnsi" w:hAnsiTheme="majorHAnsi" w:cstheme="majorHAnsi"/>
        </w:rPr>
        <w:t xml:space="preserve">provides contextual material </w:t>
      </w:r>
      <w:r w:rsidR="00822422" w:rsidRPr="007057E6">
        <w:rPr>
          <w:rFonts w:asciiTheme="majorHAnsi" w:hAnsiTheme="majorHAnsi" w:cstheme="majorHAnsi"/>
        </w:rPr>
        <w:t>supporting</w:t>
      </w:r>
      <w:r w:rsidR="008504EA" w:rsidRPr="007057E6">
        <w:rPr>
          <w:rFonts w:asciiTheme="majorHAnsi" w:hAnsiTheme="majorHAnsi" w:cstheme="majorHAnsi"/>
        </w:rPr>
        <w:t xml:space="preserve"> th</w:t>
      </w:r>
      <w:r w:rsidR="00822422" w:rsidRPr="007057E6">
        <w:rPr>
          <w:rFonts w:asciiTheme="majorHAnsi" w:hAnsiTheme="majorHAnsi" w:cstheme="majorHAnsi"/>
        </w:rPr>
        <w:t>e</w:t>
      </w:r>
      <w:r w:rsidR="008504EA" w:rsidRPr="007057E6">
        <w:rPr>
          <w:rFonts w:asciiTheme="majorHAnsi" w:hAnsiTheme="majorHAnsi" w:cstheme="majorHAnsi"/>
        </w:rPr>
        <w:t xml:space="preserve"> report’s evaluation of the effectiveness and appropriateness of the Discovery Projects scheme.</w:t>
      </w:r>
      <w:r w:rsidR="00A11A93" w:rsidRPr="007057E6">
        <w:rPr>
          <w:rFonts w:asciiTheme="majorHAnsi" w:hAnsiTheme="majorHAnsi" w:cstheme="majorHAnsi"/>
        </w:rPr>
        <w:t xml:space="preserve"> The first half of Part Two sets out the historical context of Discovery Projects and provides a strategic overview of its objectives and intended outcomes. The second half </w:t>
      </w:r>
      <w:r w:rsidR="00DE317E" w:rsidRPr="007057E6">
        <w:rPr>
          <w:rFonts w:asciiTheme="majorHAnsi" w:hAnsiTheme="majorHAnsi" w:cstheme="majorHAnsi"/>
        </w:rPr>
        <w:t xml:space="preserve">examines ARC administrative data </w:t>
      </w:r>
      <w:r w:rsidR="00E1447D" w:rsidRPr="007057E6">
        <w:rPr>
          <w:rFonts w:asciiTheme="majorHAnsi" w:hAnsiTheme="majorHAnsi" w:cstheme="majorHAnsi"/>
        </w:rPr>
        <w:t>representing</w:t>
      </w:r>
      <w:r w:rsidR="00D3447B" w:rsidRPr="007057E6">
        <w:rPr>
          <w:rFonts w:asciiTheme="majorHAnsi" w:hAnsiTheme="majorHAnsi" w:cstheme="majorHAnsi"/>
        </w:rPr>
        <w:t xml:space="preserve"> the nature, scale and focus of the scheme.</w:t>
      </w:r>
      <w:bookmarkEnd w:id="77"/>
      <w:r w:rsidR="00D3447B" w:rsidRPr="007057E6">
        <w:rPr>
          <w:rFonts w:asciiTheme="majorHAnsi" w:hAnsiTheme="majorHAnsi" w:cstheme="majorHAnsi"/>
        </w:rPr>
        <w:t xml:space="preserve"> </w:t>
      </w:r>
      <w:r w:rsidR="00DE317E" w:rsidRPr="007057E6">
        <w:rPr>
          <w:rFonts w:asciiTheme="majorHAnsi" w:hAnsiTheme="majorHAnsi" w:cstheme="majorHAnsi"/>
        </w:rPr>
        <w:t xml:space="preserve"> </w:t>
      </w:r>
      <w:r w:rsidR="008504EA" w:rsidRPr="007057E6">
        <w:rPr>
          <w:rFonts w:asciiTheme="majorHAnsi" w:hAnsiTheme="majorHAnsi" w:cstheme="majorHAnsi"/>
        </w:rPr>
        <w:t xml:space="preserve"> </w:t>
      </w:r>
    </w:p>
    <w:p w14:paraId="7F8F9995" w14:textId="4F671BFB" w:rsidR="00BF289A" w:rsidRPr="007F45DD" w:rsidRDefault="00BF289A" w:rsidP="00BF289A">
      <w:pPr>
        <w:pStyle w:val="Heading2"/>
        <w:numPr>
          <w:ilvl w:val="0"/>
          <w:numId w:val="0"/>
        </w:numPr>
        <w:shd w:val="clear" w:color="auto" w:fill="DEEAF6" w:themeFill="accent1" w:themeFillTint="33"/>
        <w:ind w:left="426" w:hanging="426"/>
      </w:pPr>
      <w:bookmarkStart w:id="78" w:name="_Toc51916949"/>
      <w:bookmarkStart w:id="79" w:name="_Toc51918789"/>
      <w:bookmarkStart w:id="80" w:name="_Toc51918683"/>
      <w:bookmarkStart w:id="81" w:name="_Toc53557193"/>
      <w:bookmarkStart w:id="82" w:name="_Toc54699235"/>
      <w:bookmarkStart w:id="83" w:name="_Toc55544769"/>
      <w:r>
        <w:t>Summary of findings</w:t>
      </w:r>
      <w:bookmarkEnd w:id="78"/>
      <w:bookmarkEnd w:id="79"/>
      <w:bookmarkEnd w:id="80"/>
      <w:bookmarkEnd w:id="81"/>
      <w:bookmarkEnd w:id="82"/>
      <w:bookmarkEnd w:id="83"/>
    </w:p>
    <w:p w14:paraId="4303EB48" w14:textId="340879EB" w:rsidR="00BF289A" w:rsidRPr="007D515F" w:rsidRDefault="00BF289A" w:rsidP="00BF289A">
      <w:pPr>
        <w:numPr>
          <w:ilvl w:val="0"/>
          <w:numId w:val="39"/>
        </w:numPr>
        <w:shd w:val="clear" w:color="auto" w:fill="DEEAF6" w:themeFill="accent1" w:themeFillTint="33"/>
        <w:spacing w:after="60"/>
        <w:ind w:left="426" w:hanging="426"/>
        <w:rPr>
          <w:rFonts w:ascii="Calibri Light" w:eastAsia="Calibri" w:hAnsi="Calibri Light" w:cs="Calibri Light"/>
        </w:rPr>
      </w:pPr>
      <w:r w:rsidRPr="007D515F">
        <w:rPr>
          <w:rFonts w:ascii="Calibri Light" w:eastAsia="Calibri" w:hAnsi="Calibri Light" w:cs="Calibri Light"/>
        </w:rPr>
        <w:t>Discovery Projects applications received, projects funded and funding requested</w:t>
      </w:r>
      <w:r w:rsidR="00BF2E1E">
        <w:rPr>
          <w:rFonts w:ascii="Calibri Light" w:eastAsia="Calibri" w:hAnsi="Calibri Light" w:cs="Calibri Light"/>
        </w:rPr>
        <w:t xml:space="preserve"> by applicants</w:t>
      </w:r>
      <w:r w:rsidRPr="007D515F">
        <w:rPr>
          <w:rFonts w:ascii="Calibri Light" w:eastAsia="Calibri" w:hAnsi="Calibri Light" w:cs="Calibri Light"/>
        </w:rPr>
        <w:t xml:space="preserve"> </w:t>
      </w:r>
      <w:r w:rsidR="00683E15">
        <w:rPr>
          <w:rFonts w:ascii="Calibri Light" w:eastAsia="Calibri" w:hAnsi="Calibri Light" w:cs="Calibri Light"/>
        </w:rPr>
        <w:t xml:space="preserve">declined </w:t>
      </w:r>
      <w:r w:rsidRPr="007D515F">
        <w:rPr>
          <w:rFonts w:ascii="Calibri Light" w:eastAsia="Calibri" w:hAnsi="Calibri Light" w:cs="Calibri Light"/>
        </w:rPr>
        <w:t>from DP12 onwards. Th</w:t>
      </w:r>
      <w:r>
        <w:rPr>
          <w:rFonts w:ascii="Calibri Light" w:eastAsia="Calibri" w:hAnsi="Calibri Light" w:cs="Calibri Light"/>
        </w:rPr>
        <w:t>is</w:t>
      </w:r>
      <w:r w:rsidRPr="007D515F">
        <w:rPr>
          <w:rFonts w:ascii="Calibri Light" w:eastAsia="Calibri" w:hAnsi="Calibri Light" w:cs="Calibri Light"/>
        </w:rPr>
        <w:t xml:space="preserve"> primarily reflect</w:t>
      </w:r>
      <w:r>
        <w:rPr>
          <w:rFonts w:ascii="Calibri Light" w:eastAsia="Calibri" w:hAnsi="Calibri Light" w:cs="Calibri Light"/>
        </w:rPr>
        <w:t>ed</w:t>
      </w:r>
      <w:r w:rsidRPr="007D515F">
        <w:rPr>
          <w:rFonts w:ascii="Calibri Light" w:eastAsia="Calibri" w:hAnsi="Calibri Light" w:cs="Calibri Light"/>
        </w:rPr>
        <w:t xml:space="preserve"> </w:t>
      </w:r>
      <w:r>
        <w:rPr>
          <w:rFonts w:ascii="Calibri Light" w:eastAsia="Calibri" w:hAnsi="Calibri Light" w:cs="Calibri Light"/>
        </w:rPr>
        <w:t xml:space="preserve">the reallocation of ARC funding to the Discovery Early Career Researcher Award (DECRA) scheme; however, </w:t>
      </w:r>
      <w:r w:rsidR="00076566">
        <w:rPr>
          <w:rFonts w:ascii="Calibri Light" w:eastAsia="Calibri" w:hAnsi="Calibri Light" w:cs="Calibri Light"/>
        </w:rPr>
        <w:t>these trends</w:t>
      </w:r>
      <w:r>
        <w:rPr>
          <w:rFonts w:ascii="Calibri Light" w:eastAsia="Calibri" w:hAnsi="Calibri Light" w:cs="Calibri Light"/>
        </w:rPr>
        <w:t xml:space="preserve"> continued over subsequent rounds.</w:t>
      </w:r>
      <w:r w:rsidRPr="007D515F">
        <w:rPr>
          <w:rFonts w:ascii="Calibri Light" w:eastAsia="Calibri" w:hAnsi="Calibri Light" w:cs="Calibri Light"/>
        </w:rPr>
        <w:t xml:space="preserve"> </w:t>
      </w:r>
    </w:p>
    <w:p w14:paraId="780F675D" w14:textId="56673A7C" w:rsidR="00EF3475" w:rsidRPr="00EF3475" w:rsidRDefault="00BF289A">
      <w:pPr>
        <w:numPr>
          <w:ilvl w:val="0"/>
          <w:numId w:val="39"/>
        </w:numPr>
        <w:shd w:val="clear" w:color="auto" w:fill="DEEAF6" w:themeFill="accent1" w:themeFillTint="33"/>
        <w:spacing w:after="60"/>
        <w:ind w:left="426" w:hanging="426"/>
        <w:rPr>
          <w:rFonts w:ascii="Calibri Light" w:eastAsia="Calibri" w:hAnsi="Calibri Light" w:cs="Calibri Light"/>
        </w:rPr>
      </w:pPr>
      <w:r>
        <w:rPr>
          <w:rFonts w:ascii="Calibri Light" w:eastAsia="Calibri" w:hAnsi="Calibri Light" w:cs="Calibri Light"/>
        </w:rPr>
        <w:t>T</w:t>
      </w:r>
      <w:r w:rsidRPr="007D515F">
        <w:rPr>
          <w:rFonts w:ascii="Calibri Light" w:eastAsia="Calibri" w:hAnsi="Calibri Light" w:cs="Calibri Light"/>
        </w:rPr>
        <w:t>otal funding awarded</w:t>
      </w:r>
      <w:r>
        <w:rPr>
          <w:rFonts w:ascii="Calibri Light" w:eastAsia="Calibri" w:hAnsi="Calibri Light" w:cs="Calibri Light"/>
        </w:rPr>
        <w:t xml:space="preserve"> fell </w:t>
      </w:r>
      <w:r w:rsidR="00BD5494">
        <w:rPr>
          <w:rFonts w:ascii="Calibri Light" w:eastAsia="Calibri" w:hAnsi="Calibri Light" w:cs="Calibri Light"/>
        </w:rPr>
        <w:t>by 25.6 per cent</w:t>
      </w:r>
      <w:r>
        <w:rPr>
          <w:rFonts w:ascii="Calibri Light" w:eastAsia="Calibri" w:hAnsi="Calibri Light" w:cs="Calibri Light"/>
        </w:rPr>
        <w:t xml:space="preserve"> </w:t>
      </w:r>
      <w:r w:rsidR="00EC3226">
        <w:rPr>
          <w:rFonts w:ascii="Calibri Light" w:eastAsia="Calibri" w:hAnsi="Calibri Light" w:cs="Calibri Light"/>
        </w:rPr>
        <w:t xml:space="preserve">between </w:t>
      </w:r>
      <w:r>
        <w:rPr>
          <w:rFonts w:ascii="Calibri Light" w:eastAsia="Calibri" w:hAnsi="Calibri Light" w:cs="Calibri Light"/>
        </w:rPr>
        <w:t>DP</w:t>
      </w:r>
      <w:r w:rsidR="000618AA">
        <w:rPr>
          <w:rFonts w:ascii="Calibri Light" w:eastAsia="Calibri" w:hAnsi="Calibri Light" w:cs="Calibri Light"/>
        </w:rPr>
        <w:t>11</w:t>
      </w:r>
      <w:r w:rsidR="00EC3226">
        <w:rPr>
          <w:rFonts w:ascii="Calibri Light" w:eastAsia="Calibri" w:hAnsi="Calibri Light" w:cs="Calibri Light"/>
        </w:rPr>
        <w:t xml:space="preserve"> and </w:t>
      </w:r>
      <w:r w:rsidR="00D72C7C">
        <w:rPr>
          <w:rFonts w:ascii="Calibri Light" w:eastAsia="Calibri" w:hAnsi="Calibri Light" w:cs="Calibri Light"/>
        </w:rPr>
        <w:t>DP</w:t>
      </w:r>
      <w:r w:rsidR="000618AA">
        <w:rPr>
          <w:rFonts w:ascii="Calibri Light" w:eastAsia="Calibri" w:hAnsi="Calibri Light" w:cs="Calibri Light"/>
        </w:rPr>
        <w:t>12</w:t>
      </w:r>
      <w:r w:rsidR="00D72C7C">
        <w:rPr>
          <w:rFonts w:ascii="Calibri Light" w:eastAsia="Calibri" w:hAnsi="Calibri Light" w:cs="Calibri Light"/>
        </w:rPr>
        <w:t xml:space="preserve"> </w:t>
      </w:r>
      <w:r w:rsidR="009C6EC5">
        <w:rPr>
          <w:rFonts w:ascii="Calibri Light" w:eastAsia="Calibri" w:hAnsi="Calibri Light" w:cs="Calibri Light"/>
        </w:rPr>
        <w:t xml:space="preserve">following </w:t>
      </w:r>
      <w:r w:rsidR="00D72C7C">
        <w:rPr>
          <w:rFonts w:ascii="Calibri Light" w:eastAsia="Calibri" w:hAnsi="Calibri Light" w:cs="Calibri Light"/>
        </w:rPr>
        <w:t>the introduction of DECRA</w:t>
      </w:r>
      <w:r w:rsidR="000E6D5E">
        <w:rPr>
          <w:rFonts w:ascii="Calibri Light" w:eastAsia="Calibri" w:hAnsi="Calibri Light" w:cs="Calibri Light"/>
        </w:rPr>
        <w:t xml:space="preserve">. </w:t>
      </w:r>
      <w:r w:rsidR="000E6D5E">
        <w:rPr>
          <w:rFonts w:asciiTheme="majorHAnsi" w:hAnsiTheme="majorHAnsi" w:cstheme="majorHAnsi"/>
          <w:lang w:eastAsia="en-AU"/>
        </w:rPr>
        <w:t>T</w:t>
      </w:r>
      <w:r w:rsidR="000E6D5E" w:rsidRPr="000A5AEE">
        <w:rPr>
          <w:rFonts w:asciiTheme="majorHAnsi" w:hAnsiTheme="majorHAnsi" w:cstheme="majorHAnsi"/>
          <w:lang w:eastAsia="en-AU"/>
        </w:rPr>
        <w:t xml:space="preserve">otal funding </w:t>
      </w:r>
      <w:r w:rsidR="000E6D5E">
        <w:rPr>
          <w:rFonts w:asciiTheme="majorHAnsi" w:hAnsiTheme="majorHAnsi" w:cstheme="majorHAnsi"/>
          <w:lang w:eastAsia="en-AU"/>
        </w:rPr>
        <w:t xml:space="preserve">then </w:t>
      </w:r>
      <w:r w:rsidR="000E6D5E" w:rsidRPr="000A5AEE">
        <w:rPr>
          <w:rFonts w:asciiTheme="majorHAnsi" w:hAnsiTheme="majorHAnsi" w:cstheme="majorHAnsi"/>
          <w:lang w:eastAsia="en-AU"/>
        </w:rPr>
        <w:t>remained stable</w:t>
      </w:r>
      <w:r w:rsidR="000E6D5E">
        <w:rPr>
          <w:rFonts w:asciiTheme="majorHAnsi" w:hAnsiTheme="majorHAnsi" w:cstheme="majorHAnsi"/>
          <w:lang w:eastAsia="en-AU"/>
        </w:rPr>
        <w:t xml:space="preserve"> (at approximately $230,000,000–$250,000,000) until DP18</w:t>
      </w:r>
      <w:r w:rsidR="000E6D5E" w:rsidRPr="000A5AEE">
        <w:rPr>
          <w:rFonts w:asciiTheme="majorHAnsi" w:hAnsiTheme="majorHAnsi" w:cstheme="majorHAnsi"/>
          <w:lang w:eastAsia="en-AU"/>
        </w:rPr>
        <w:t>, before rising in DP19 ($262,590,367) and DP20 ($284,952,924)</w:t>
      </w:r>
      <w:r>
        <w:rPr>
          <w:rFonts w:ascii="Calibri Light" w:eastAsia="Calibri" w:hAnsi="Calibri Light" w:cs="Calibri Light"/>
        </w:rPr>
        <w:t>.</w:t>
      </w:r>
      <w:r w:rsidR="001042C3" w:rsidRPr="001042C3">
        <w:rPr>
          <w:rFonts w:asciiTheme="majorHAnsi" w:hAnsiTheme="majorHAnsi" w:cstheme="majorHAnsi"/>
        </w:rPr>
        <w:t xml:space="preserve"> </w:t>
      </w:r>
    </w:p>
    <w:p w14:paraId="7B22C85C" w14:textId="77777777" w:rsidR="00D7486B" w:rsidRDefault="00D7486B" w:rsidP="00D7486B">
      <w:pPr>
        <w:numPr>
          <w:ilvl w:val="0"/>
          <w:numId w:val="39"/>
        </w:numPr>
        <w:shd w:val="clear" w:color="auto" w:fill="DEEAF6" w:themeFill="accent1" w:themeFillTint="33"/>
        <w:spacing w:after="60"/>
        <w:ind w:left="426" w:hanging="426"/>
        <w:rPr>
          <w:rFonts w:ascii="Calibri Light" w:eastAsia="Calibri" w:hAnsi="Calibri Light" w:cs="Calibri Light"/>
        </w:rPr>
      </w:pPr>
      <w:r w:rsidRPr="007D515F">
        <w:rPr>
          <w:rFonts w:ascii="Calibri Light" w:eastAsia="Calibri" w:hAnsi="Calibri Light" w:cs="Calibri Light"/>
        </w:rPr>
        <w:t>From DP07 onwards, Discovery Projects success rates remained</w:t>
      </w:r>
      <w:r>
        <w:rPr>
          <w:rFonts w:ascii="Calibri Light" w:eastAsia="Calibri" w:hAnsi="Calibri Light" w:cs="Calibri Light"/>
        </w:rPr>
        <w:t xml:space="preserve"> stable</w:t>
      </w:r>
      <w:r w:rsidRPr="007D515F">
        <w:rPr>
          <w:rFonts w:ascii="Calibri Light" w:eastAsia="Calibri" w:hAnsi="Calibri Light" w:cs="Calibri Light"/>
        </w:rPr>
        <w:t xml:space="preserve"> at app</w:t>
      </w:r>
      <w:r>
        <w:rPr>
          <w:rFonts w:ascii="Calibri Light" w:eastAsia="Calibri" w:hAnsi="Calibri Light" w:cs="Calibri Light"/>
        </w:rPr>
        <w:t>roximately 20 per cent. R</w:t>
      </w:r>
      <w:r w:rsidRPr="007D515F">
        <w:rPr>
          <w:rFonts w:ascii="Calibri Light" w:eastAsia="Calibri" w:hAnsi="Calibri Light" w:cs="Calibri Light"/>
        </w:rPr>
        <w:t xml:space="preserve">eturn rates </w:t>
      </w:r>
      <w:r>
        <w:rPr>
          <w:rFonts w:ascii="Calibri Light" w:eastAsia="Calibri" w:hAnsi="Calibri Light" w:cs="Calibri Light"/>
        </w:rPr>
        <w:t>increased</w:t>
      </w:r>
      <w:r w:rsidRPr="007D515F">
        <w:rPr>
          <w:rFonts w:ascii="Calibri Light" w:eastAsia="Calibri" w:hAnsi="Calibri Light" w:cs="Calibri Light"/>
        </w:rPr>
        <w:t xml:space="preserve"> from 50.8 per cent (DP12) to 73.6 per cent (DP20). </w:t>
      </w:r>
    </w:p>
    <w:p w14:paraId="0865F044" w14:textId="15672624" w:rsidR="00BF289A" w:rsidRPr="001042C3" w:rsidRDefault="001042C3">
      <w:pPr>
        <w:numPr>
          <w:ilvl w:val="0"/>
          <w:numId w:val="39"/>
        </w:numPr>
        <w:shd w:val="clear" w:color="auto" w:fill="DEEAF6" w:themeFill="accent1" w:themeFillTint="33"/>
        <w:spacing w:after="60"/>
        <w:ind w:left="426" w:hanging="426"/>
        <w:rPr>
          <w:rFonts w:ascii="Calibri Light" w:eastAsia="Calibri" w:hAnsi="Calibri Light" w:cs="Calibri Light"/>
        </w:rPr>
      </w:pPr>
      <w:r>
        <w:rPr>
          <w:rFonts w:asciiTheme="majorHAnsi" w:hAnsiTheme="majorHAnsi" w:cstheme="majorHAnsi"/>
        </w:rPr>
        <w:t xml:space="preserve">The ratio of total </w:t>
      </w:r>
      <w:r w:rsidR="00AC6180">
        <w:rPr>
          <w:rFonts w:asciiTheme="majorHAnsi" w:hAnsiTheme="majorHAnsi" w:cstheme="majorHAnsi"/>
        </w:rPr>
        <w:t xml:space="preserve">participating organisation </w:t>
      </w:r>
      <w:r>
        <w:rPr>
          <w:rFonts w:asciiTheme="majorHAnsi" w:hAnsiTheme="majorHAnsi" w:cstheme="majorHAnsi"/>
        </w:rPr>
        <w:t xml:space="preserve">contributions to total ARC funding </w:t>
      </w:r>
      <w:r w:rsidR="00F11001">
        <w:rPr>
          <w:rFonts w:asciiTheme="majorHAnsi" w:hAnsiTheme="majorHAnsi" w:cstheme="majorHAnsi"/>
        </w:rPr>
        <w:t>for</w:t>
      </w:r>
      <w:r w:rsidR="00B63878">
        <w:rPr>
          <w:rFonts w:asciiTheme="majorHAnsi" w:hAnsiTheme="majorHAnsi" w:cstheme="majorHAnsi"/>
        </w:rPr>
        <w:t xml:space="preserve"> successful Discovery Projects applications </w:t>
      </w:r>
      <w:r>
        <w:rPr>
          <w:rFonts w:asciiTheme="majorHAnsi" w:hAnsiTheme="majorHAnsi" w:cstheme="majorHAnsi"/>
        </w:rPr>
        <w:t>increased from $0.84:$1 in DP02 to $1.20:$1 in DP20.</w:t>
      </w:r>
    </w:p>
    <w:p w14:paraId="44A0C16C" w14:textId="0939ABEF" w:rsidR="00BF289A" w:rsidRDefault="00BF289A" w:rsidP="00BF289A">
      <w:pPr>
        <w:numPr>
          <w:ilvl w:val="0"/>
          <w:numId w:val="39"/>
        </w:numPr>
        <w:shd w:val="clear" w:color="auto" w:fill="DEEAF6" w:themeFill="accent1" w:themeFillTint="33"/>
        <w:spacing w:after="60"/>
        <w:ind w:left="426" w:hanging="426"/>
        <w:rPr>
          <w:rFonts w:ascii="Calibri Light" w:eastAsia="Calibri" w:hAnsi="Calibri Light" w:cs="Calibri Light"/>
        </w:rPr>
      </w:pPr>
      <w:r w:rsidDel="00010A83">
        <w:rPr>
          <w:rFonts w:ascii="Calibri Light" w:eastAsia="Calibri" w:hAnsi="Calibri Light" w:cs="Calibri Light"/>
        </w:rPr>
        <w:t>Science, Technology, Engineering and Mathematics (</w:t>
      </w:r>
      <w:r>
        <w:rPr>
          <w:rFonts w:ascii="Calibri Light" w:eastAsia="Calibri" w:hAnsi="Calibri Light" w:cs="Calibri Light"/>
        </w:rPr>
        <w:t>STEM</w:t>
      </w:r>
      <w:r w:rsidDel="00010A83">
        <w:rPr>
          <w:rFonts w:ascii="Calibri Light" w:eastAsia="Calibri" w:hAnsi="Calibri Light" w:cs="Calibri Light"/>
        </w:rPr>
        <w:t>)</w:t>
      </w:r>
      <w:r>
        <w:rPr>
          <w:rFonts w:ascii="Calibri Light" w:eastAsia="Calibri" w:hAnsi="Calibri Light" w:cs="Calibri Light"/>
        </w:rPr>
        <w:t xml:space="preserve"> </w:t>
      </w:r>
      <w:r w:rsidRPr="007D515F">
        <w:rPr>
          <w:rFonts w:ascii="Calibri Light" w:eastAsia="Calibri" w:hAnsi="Calibri Light" w:cs="Calibri Light"/>
        </w:rPr>
        <w:t xml:space="preserve">disciplines </w:t>
      </w:r>
      <w:r w:rsidR="00FE5FD6">
        <w:rPr>
          <w:rFonts w:ascii="Calibri Light" w:eastAsia="Calibri" w:hAnsi="Calibri Light" w:cs="Calibri Light"/>
        </w:rPr>
        <w:t>have been</w:t>
      </w:r>
      <w:r w:rsidR="003B7C5B">
        <w:rPr>
          <w:rFonts w:ascii="Calibri Light" w:eastAsia="Calibri" w:hAnsi="Calibri Light" w:cs="Calibri Light"/>
        </w:rPr>
        <w:t xml:space="preserve"> represented</w:t>
      </w:r>
      <w:r w:rsidR="00A20859">
        <w:rPr>
          <w:rFonts w:ascii="Calibri Light" w:eastAsia="Calibri" w:hAnsi="Calibri Light" w:cs="Calibri Light"/>
        </w:rPr>
        <w:t xml:space="preserve"> </w:t>
      </w:r>
      <w:r w:rsidR="00010A83">
        <w:rPr>
          <w:rFonts w:ascii="Calibri Light" w:eastAsia="Calibri" w:hAnsi="Calibri Light" w:cs="Calibri Light"/>
        </w:rPr>
        <w:t xml:space="preserve">more </w:t>
      </w:r>
      <w:r w:rsidR="00A20859">
        <w:rPr>
          <w:rFonts w:ascii="Calibri Light" w:eastAsia="Calibri" w:hAnsi="Calibri Light" w:cs="Calibri Light"/>
        </w:rPr>
        <w:t xml:space="preserve">strongly </w:t>
      </w:r>
      <w:r w:rsidR="00010A83">
        <w:rPr>
          <w:rFonts w:ascii="Calibri Light" w:eastAsia="Calibri" w:hAnsi="Calibri Light" w:cs="Calibri Light"/>
        </w:rPr>
        <w:t xml:space="preserve">than </w:t>
      </w:r>
      <w:r w:rsidR="00292B3E">
        <w:rPr>
          <w:rFonts w:ascii="Calibri Light" w:eastAsia="Calibri" w:hAnsi="Calibri Light" w:cs="Calibri Light"/>
        </w:rPr>
        <w:t>Humanities, Arts and Social Sciences (</w:t>
      </w:r>
      <w:r w:rsidR="00010A83">
        <w:rPr>
          <w:rFonts w:ascii="Calibri Light" w:eastAsia="Calibri" w:hAnsi="Calibri Light" w:cs="Calibri Light"/>
        </w:rPr>
        <w:t>HASS</w:t>
      </w:r>
      <w:r w:rsidR="00292B3E">
        <w:rPr>
          <w:rFonts w:ascii="Calibri Light" w:eastAsia="Calibri" w:hAnsi="Calibri Light" w:cs="Calibri Light"/>
        </w:rPr>
        <w:t>)</w:t>
      </w:r>
      <w:r w:rsidR="00010A83">
        <w:rPr>
          <w:rFonts w:ascii="Calibri Light" w:eastAsia="Calibri" w:hAnsi="Calibri Light" w:cs="Calibri Light"/>
        </w:rPr>
        <w:t xml:space="preserve"> disciplines </w:t>
      </w:r>
      <w:r w:rsidR="00A578C8">
        <w:rPr>
          <w:rFonts w:ascii="Calibri Light" w:eastAsia="Calibri" w:hAnsi="Calibri Light" w:cs="Calibri Light"/>
        </w:rPr>
        <w:t xml:space="preserve">in </w:t>
      </w:r>
      <w:r w:rsidRPr="007D515F">
        <w:rPr>
          <w:rFonts w:ascii="Calibri Light" w:eastAsia="Calibri" w:hAnsi="Calibri Light" w:cs="Calibri Light"/>
        </w:rPr>
        <w:t>application</w:t>
      </w:r>
      <w:r w:rsidR="003B7C5B">
        <w:rPr>
          <w:rFonts w:ascii="Calibri Light" w:eastAsia="Calibri" w:hAnsi="Calibri Light" w:cs="Calibri Light"/>
        </w:rPr>
        <w:t>s</w:t>
      </w:r>
      <w:r w:rsidRPr="007D515F">
        <w:rPr>
          <w:rFonts w:ascii="Calibri Light" w:eastAsia="Calibri" w:hAnsi="Calibri Light" w:cs="Calibri Light"/>
        </w:rPr>
        <w:t>, funded project</w:t>
      </w:r>
      <w:r w:rsidR="003B7C5B">
        <w:rPr>
          <w:rFonts w:ascii="Calibri Light" w:eastAsia="Calibri" w:hAnsi="Calibri Light" w:cs="Calibri Light"/>
        </w:rPr>
        <w:t>s</w:t>
      </w:r>
      <w:r w:rsidRPr="007D515F">
        <w:rPr>
          <w:rFonts w:ascii="Calibri Light" w:eastAsia="Calibri" w:hAnsi="Calibri Light" w:cs="Calibri Light"/>
        </w:rPr>
        <w:t xml:space="preserve"> and funding awarded</w:t>
      </w:r>
      <w:r>
        <w:rPr>
          <w:rFonts w:ascii="Calibri Light" w:eastAsia="Calibri" w:hAnsi="Calibri Light" w:cs="Calibri Light"/>
        </w:rPr>
        <w:t>, with</w:t>
      </w:r>
      <w:r w:rsidRPr="00025615">
        <w:rPr>
          <w:rFonts w:ascii="Calibri Light" w:eastAsia="Calibri" w:hAnsi="Calibri Light" w:cs="Calibri Light"/>
        </w:rPr>
        <w:t xml:space="preserve"> </w:t>
      </w:r>
      <w:r w:rsidRPr="007D515F">
        <w:rPr>
          <w:rFonts w:ascii="Calibri Light" w:eastAsia="Calibri" w:hAnsi="Calibri Light" w:cs="Calibri Light"/>
        </w:rPr>
        <w:t>Biolog</w:t>
      </w:r>
      <w:r w:rsidR="0036548A">
        <w:rPr>
          <w:rFonts w:ascii="Calibri Light" w:eastAsia="Calibri" w:hAnsi="Calibri Light" w:cs="Calibri Light"/>
        </w:rPr>
        <w:t xml:space="preserve">y </w:t>
      </w:r>
      <w:r w:rsidRPr="007D515F">
        <w:rPr>
          <w:rFonts w:ascii="Calibri Light" w:eastAsia="Calibri" w:hAnsi="Calibri Light" w:cs="Calibri Light"/>
        </w:rPr>
        <w:t>and Engin</w:t>
      </w:r>
      <w:r>
        <w:rPr>
          <w:rFonts w:ascii="Calibri Light" w:eastAsia="Calibri" w:hAnsi="Calibri Light" w:cs="Calibri Light"/>
        </w:rPr>
        <w:t>eering being the most</w:t>
      </w:r>
      <w:r w:rsidRPr="007D515F">
        <w:rPr>
          <w:rFonts w:ascii="Calibri Light" w:eastAsia="Calibri" w:hAnsi="Calibri Light" w:cs="Calibri Light"/>
        </w:rPr>
        <w:t xml:space="preserve"> represented </w:t>
      </w:r>
      <w:r>
        <w:rPr>
          <w:rFonts w:ascii="Calibri Light" w:eastAsia="Calibri" w:hAnsi="Calibri Light" w:cs="Calibri Light"/>
        </w:rPr>
        <w:t>fields</w:t>
      </w:r>
      <w:r w:rsidRPr="007D515F">
        <w:rPr>
          <w:rFonts w:ascii="Calibri Light" w:eastAsia="Calibri" w:hAnsi="Calibri Light" w:cs="Calibri Light"/>
        </w:rPr>
        <w:t>. How</w:t>
      </w:r>
      <w:r w:rsidR="00953F13">
        <w:rPr>
          <w:rFonts w:ascii="Calibri Light" w:eastAsia="Calibri" w:hAnsi="Calibri Light" w:cs="Calibri Light"/>
        </w:rPr>
        <w:t>ever,</w:t>
      </w:r>
      <w:r w:rsidR="00380A8D">
        <w:rPr>
          <w:rFonts w:ascii="Calibri Light" w:eastAsia="Calibri" w:hAnsi="Calibri Light" w:cs="Calibri Light"/>
        </w:rPr>
        <w:t xml:space="preserve"> </w:t>
      </w:r>
      <w:r w:rsidR="00292B3E">
        <w:rPr>
          <w:rFonts w:ascii="Calibri Light" w:eastAsia="Calibri" w:hAnsi="Calibri Light" w:cs="Calibri Light"/>
        </w:rPr>
        <w:t>s</w:t>
      </w:r>
      <w:r w:rsidR="006E28BA">
        <w:rPr>
          <w:rFonts w:ascii="Calibri Light" w:eastAsia="Calibri" w:hAnsi="Calibri Light" w:cs="Calibri Light"/>
        </w:rPr>
        <w:t>uccess and return rate</w:t>
      </w:r>
      <w:r w:rsidR="00C32F9F">
        <w:rPr>
          <w:rFonts w:ascii="Calibri Light" w:eastAsia="Calibri" w:hAnsi="Calibri Light" w:cs="Calibri Light"/>
        </w:rPr>
        <w:t>s</w:t>
      </w:r>
      <w:r w:rsidR="006E28BA">
        <w:rPr>
          <w:rFonts w:ascii="Calibri Light" w:eastAsia="Calibri" w:hAnsi="Calibri Light" w:cs="Calibri Light"/>
        </w:rPr>
        <w:t xml:space="preserve"> for</w:t>
      </w:r>
      <w:r w:rsidR="00953F13">
        <w:rPr>
          <w:rFonts w:ascii="Calibri Light" w:eastAsia="Calibri" w:hAnsi="Calibri Light" w:cs="Calibri Light"/>
        </w:rPr>
        <w:t xml:space="preserve"> </w:t>
      </w:r>
      <w:r w:rsidR="00C32F9F">
        <w:rPr>
          <w:rFonts w:ascii="Calibri Light" w:eastAsia="Calibri" w:hAnsi="Calibri Light" w:cs="Calibri Light"/>
        </w:rPr>
        <w:t xml:space="preserve">HASS and STEM </w:t>
      </w:r>
      <w:r w:rsidR="000703E6">
        <w:rPr>
          <w:rFonts w:ascii="Calibri Light" w:eastAsia="Calibri" w:hAnsi="Calibri Light" w:cs="Calibri Light"/>
        </w:rPr>
        <w:t>research</w:t>
      </w:r>
      <w:r w:rsidRPr="007D515F">
        <w:rPr>
          <w:rFonts w:ascii="Calibri Light" w:eastAsia="Calibri" w:hAnsi="Calibri Light" w:cs="Calibri Light"/>
        </w:rPr>
        <w:t xml:space="preserve"> </w:t>
      </w:r>
      <w:r w:rsidR="00C32F9F">
        <w:rPr>
          <w:rFonts w:ascii="Calibri Light" w:eastAsia="Calibri" w:hAnsi="Calibri Light" w:cs="Calibri Light"/>
        </w:rPr>
        <w:t>have been comparable.</w:t>
      </w:r>
      <w:r w:rsidRPr="007D515F">
        <w:rPr>
          <w:rFonts w:ascii="Calibri Light" w:eastAsia="Calibri" w:hAnsi="Calibri Light" w:cs="Calibri Light"/>
        </w:rPr>
        <w:t xml:space="preserve"> </w:t>
      </w:r>
    </w:p>
    <w:p w14:paraId="66292FE3" w14:textId="27009FD0" w:rsidR="00BF289A" w:rsidRPr="009A5E13" w:rsidRDefault="00BF289A" w:rsidP="00BF289A">
      <w:pPr>
        <w:numPr>
          <w:ilvl w:val="0"/>
          <w:numId w:val="39"/>
        </w:numPr>
        <w:shd w:val="clear" w:color="auto" w:fill="DEEAF6" w:themeFill="accent1" w:themeFillTint="33"/>
        <w:spacing w:after="60"/>
        <w:ind w:left="426" w:hanging="426"/>
        <w:rPr>
          <w:rFonts w:ascii="Calibri Light" w:eastAsia="Calibri" w:hAnsi="Calibri Light" w:cs="Calibri Light"/>
        </w:rPr>
      </w:pPr>
      <w:r w:rsidRPr="009A5E13">
        <w:rPr>
          <w:rFonts w:ascii="Calibri Light" w:eastAsia="Calibri" w:hAnsi="Calibri Light" w:cs="Calibri Light"/>
        </w:rPr>
        <w:t xml:space="preserve">The proportion of interdisciplinary applications and </w:t>
      </w:r>
      <w:r w:rsidR="00126BA8">
        <w:rPr>
          <w:rFonts w:ascii="Calibri Light" w:eastAsia="Calibri" w:hAnsi="Calibri Light" w:cs="Calibri Light"/>
        </w:rPr>
        <w:t xml:space="preserve">funded </w:t>
      </w:r>
      <w:r w:rsidRPr="009A5E13">
        <w:rPr>
          <w:rFonts w:ascii="Calibri Light" w:eastAsia="Calibri" w:hAnsi="Calibri Light" w:cs="Calibri Light"/>
        </w:rPr>
        <w:t>projects declined</w:t>
      </w:r>
      <w:r>
        <w:rPr>
          <w:rFonts w:ascii="Calibri Light" w:eastAsia="Calibri" w:hAnsi="Calibri Light" w:cs="Calibri Light"/>
        </w:rPr>
        <w:t xml:space="preserve"> slightly</w:t>
      </w:r>
      <w:r w:rsidRPr="009A5E13">
        <w:rPr>
          <w:rFonts w:ascii="Calibri Light" w:eastAsia="Calibri" w:hAnsi="Calibri Light" w:cs="Calibri Light"/>
        </w:rPr>
        <w:t xml:space="preserve"> </w:t>
      </w:r>
      <w:r>
        <w:rPr>
          <w:rFonts w:ascii="Calibri Light" w:eastAsia="Calibri" w:hAnsi="Calibri Light" w:cs="Calibri Light"/>
        </w:rPr>
        <w:t>from DP07 onwards</w:t>
      </w:r>
      <w:r w:rsidRPr="009A5E13">
        <w:rPr>
          <w:rFonts w:ascii="Calibri Light" w:eastAsia="Calibri" w:hAnsi="Calibri Light" w:cs="Calibri Light"/>
        </w:rPr>
        <w:t xml:space="preserve">. </w:t>
      </w:r>
      <w:r w:rsidR="004A7145">
        <w:rPr>
          <w:rFonts w:ascii="Calibri Light" w:eastAsia="Calibri" w:hAnsi="Calibri Light" w:cs="Calibri Light"/>
        </w:rPr>
        <w:t>S</w:t>
      </w:r>
      <w:r w:rsidRPr="009A5E13">
        <w:rPr>
          <w:rFonts w:ascii="Calibri Light" w:eastAsia="Calibri" w:hAnsi="Calibri Light" w:cs="Calibri Light"/>
        </w:rPr>
        <w:t>uccess rate</w:t>
      </w:r>
      <w:r>
        <w:rPr>
          <w:rFonts w:ascii="Calibri Light" w:eastAsia="Calibri" w:hAnsi="Calibri Light" w:cs="Calibri Light"/>
        </w:rPr>
        <w:t>s</w:t>
      </w:r>
      <w:r w:rsidRPr="009A5E13">
        <w:rPr>
          <w:rFonts w:ascii="Calibri Light" w:eastAsia="Calibri" w:hAnsi="Calibri Light" w:cs="Calibri Light"/>
        </w:rPr>
        <w:t xml:space="preserve"> </w:t>
      </w:r>
      <w:r w:rsidR="004A7145">
        <w:rPr>
          <w:rFonts w:ascii="Calibri Light" w:eastAsia="Calibri" w:hAnsi="Calibri Light" w:cs="Calibri Light"/>
        </w:rPr>
        <w:t xml:space="preserve">for interdisciplinary research were </w:t>
      </w:r>
      <w:r w:rsidRPr="009A5E13">
        <w:rPr>
          <w:rFonts w:ascii="Calibri Light" w:eastAsia="Calibri" w:hAnsi="Calibri Light" w:cs="Calibri Light"/>
        </w:rPr>
        <w:t xml:space="preserve">slightly lower than </w:t>
      </w:r>
      <w:r w:rsidR="004A7145">
        <w:rPr>
          <w:rFonts w:ascii="Calibri Light" w:eastAsia="Calibri" w:hAnsi="Calibri Light" w:cs="Calibri Light"/>
        </w:rPr>
        <w:t xml:space="preserve">for </w:t>
      </w:r>
      <w:r w:rsidRPr="009A5E13">
        <w:rPr>
          <w:rFonts w:ascii="Calibri Light" w:eastAsia="Calibri" w:hAnsi="Calibri Light" w:cs="Calibri Light"/>
        </w:rPr>
        <w:t>non-interdisciplinary research.</w:t>
      </w:r>
    </w:p>
    <w:p w14:paraId="6C7C81E2" w14:textId="367CA3AF" w:rsidR="00BF289A" w:rsidRPr="007057E6" w:rsidRDefault="0056346A" w:rsidP="007057E6">
      <w:pPr>
        <w:numPr>
          <w:ilvl w:val="0"/>
          <w:numId w:val="39"/>
        </w:numPr>
        <w:shd w:val="clear" w:color="auto" w:fill="DEEAF6" w:themeFill="accent1" w:themeFillTint="33"/>
        <w:spacing w:after="60"/>
        <w:ind w:left="426" w:hanging="426"/>
        <w:rPr>
          <w:rFonts w:ascii="Calibri Light" w:hAnsi="Calibri Light" w:cs="Calibri Light"/>
        </w:rPr>
      </w:pPr>
      <w:r>
        <w:rPr>
          <w:rFonts w:ascii="Calibri Light" w:eastAsia="Calibri" w:hAnsi="Calibri Light" w:cs="Calibri Light"/>
        </w:rPr>
        <w:t>Final reports indicated that w</w:t>
      </w:r>
      <w:r w:rsidR="00BF289A">
        <w:rPr>
          <w:rFonts w:ascii="Calibri Light" w:eastAsia="Calibri" w:hAnsi="Calibri Light" w:cs="Calibri Light"/>
        </w:rPr>
        <w:t>hile most</w:t>
      </w:r>
      <w:r w:rsidR="00BF289A" w:rsidRPr="007D515F">
        <w:rPr>
          <w:rFonts w:ascii="Calibri Light" w:eastAsia="Calibri" w:hAnsi="Calibri Light" w:cs="Calibri Light"/>
        </w:rPr>
        <w:t xml:space="preserve"> completed projects </w:t>
      </w:r>
      <w:r w:rsidR="00BF289A">
        <w:rPr>
          <w:rFonts w:ascii="Calibri Light" w:eastAsia="Calibri" w:hAnsi="Calibri Light" w:cs="Calibri Light"/>
        </w:rPr>
        <w:t>experienced</w:t>
      </w:r>
      <w:r w:rsidR="00BF289A" w:rsidRPr="007D515F">
        <w:rPr>
          <w:rFonts w:ascii="Calibri Light" w:eastAsia="Calibri" w:hAnsi="Calibri Light" w:cs="Calibri Light"/>
        </w:rPr>
        <w:t xml:space="preserve"> interruptions </w:t>
      </w:r>
      <w:r w:rsidR="00BF289A">
        <w:rPr>
          <w:rFonts w:ascii="Calibri Light" w:eastAsia="Calibri" w:hAnsi="Calibri Light" w:cs="Calibri Light"/>
        </w:rPr>
        <w:t xml:space="preserve">affecting </w:t>
      </w:r>
      <w:r w:rsidR="00BF289A" w:rsidRPr="007D515F">
        <w:rPr>
          <w:rFonts w:ascii="Calibri Light" w:eastAsia="Calibri" w:hAnsi="Calibri Light" w:cs="Calibri Light"/>
        </w:rPr>
        <w:t>timely</w:t>
      </w:r>
      <w:r w:rsidR="00BF289A">
        <w:rPr>
          <w:rFonts w:ascii="Calibri Light" w:eastAsia="Calibri" w:hAnsi="Calibri Light" w:cs="Calibri Light"/>
        </w:rPr>
        <w:t xml:space="preserve"> progress or completion,</w:t>
      </w:r>
      <w:r w:rsidR="00BF289A" w:rsidRPr="007D515F">
        <w:rPr>
          <w:rFonts w:ascii="Calibri Light" w:eastAsia="Calibri" w:hAnsi="Calibri Light" w:cs="Calibri Light"/>
        </w:rPr>
        <w:t xml:space="preserve"> </w:t>
      </w:r>
      <w:r w:rsidR="00BF289A">
        <w:rPr>
          <w:rFonts w:ascii="Calibri Light" w:eastAsia="Calibri" w:hAnsi="Calibri Light" w:cs="Calibri Light"/>
        </w:rPr>
        <w:t>the vast majority</w:t>
      </w:r>
      <w:r w:rsidR="00592E03">
        <w:rPr>
          <w:rFonts w:ascii="Calibri Light" w:eastAsia="Calibri" w:hAnsi="Calibri Light" w:cs="Calibri Light"/>
        </w:rPr>
        <w:t xml:space="preserve"> </w:t>
      </w:r>
      <w:r w:rsidR="00EB3526">
        <w:rPr>
          <w:rFonts w:ascii="Calibri Light" w:eastAsia="Calibri" w:hAnsi="Calibri Light" w:cs="Calibri Light"/>
        </w:rPr>
        <w:t xml:space="preserve">fulfilled </w:t>
      </w:r>
      <w:r w:rsidR="00BF289A">
        <w:rPr>
          <w:rFonts w:ascii="Calibri Light" w:eastAsia="Calibri" w:hAnsi="Calibri Light" w:cs="Calibri Light"/>
        </w:rPr>
        <w:t>all of</w:t>
      </w:r>
      <w:r w:rsidR="00BF289A" w:rsidRPr="007D515F">
        <w:rPr>
          <w:rFonts w:ascii="Calibri Light" w:eastAsia="Calibri" w:hAnsi="Calibri Light" w:cs="Calibri Light"/>
        </w:rPr>
        <w:t xml:space="preserve"> </w:t>
      </w:r>
      <w:r w:rsidR="00BF289A">
        <w:rPr>
          <w:rFonts w:ascii="Calibri Light" w:eastAsia="Calibri" w:hAnsi="Calibri Light" w:cs="Calibri Light"/>
        </w:rPr>
        <w:t>their project</w:t>
      </w:r>
      <w:r w:rsidR="00BF289A" w:rsidRPr="007D515F">
        <w:rPr>
          <w:rFonts w:ascii="Calibri Light" w:eastAsia="Calibri" w:hAnsi="Calibri Light" w:cs="Calibri Light"/>
        </w:rPr>
        <w:t xml:space="preserve"> objectives.</w:t>
      </w:r>
    </w:p>
    <w:p w14:paraId="29CD280B" w14:textId="7DE10324" w:rsidR="00C165F1" w:rsidRPr="009143C2" w:rsidRDefault="00C165F1" w:rsidP="007057E6">
      <w:pPr>
        <w:pStyle w:val="Heading2"/>
        <w:keepNext w:val="0"/>
        <w:keepLines w:val="0"/>
        <w:numPr>
          <w:ilvl w:val="1"/>
          <w:numId w:val="14"/>
        </w:numPr>
        <w:shd w:val="clear" w:color="auto" w:fill="auto"/>
        <w:spacing w:before="240" w:line="259" w:lineRule="auto"/>
        <w:ind w:left="578" w:hanging="578"/>
        <w:jc w:val="both"/>
      </w:pPr>
      <w:bookmarkStart w:id="84" w:name="_Toc51918684"/>
      <w:bookmarkStart w:id="85" w:name="_Toc55544770"/>
      <w:r w:rsidRPr="009143C2">
        <w:t>Origins of Discovery Projects</w:t>
      </w:r>
      <w:bookmarkEnd w:id="84"/>
      <w:bookmarkEnd w:id="85"/>
    </w:p>
    <w:p w14:paraId="3E85F242" w14:textId="7B448965" w:rsidR="00C165F1" w:rsidRDefault="00C165F1" w:rsidP="00C165F1">
      <w:pPr>
        <w:rPr>
          <w:rFonts w:asciiTheme="majorHAnsi" w:hAnsiTheme="majorHAnsi" w:cstheme="majorHAnsi"/>
        </w:rPr>
      </w:pPr>
      <w:r w:rsidRPr="001D585A">
        <w:rPr>
          <w:rFonts w:asciiTheme="majorHAnsi" w:hAnsiTheme="majorHAnsi" w:cstheme="majorHAnsi"/>
        </w:rPr>
        <w:t>The</w:t>
      </w:r>
      <w:r>
        <w:rPr>
          <w:rFonts w:asciiTheme="majorHAnsi" w:hAnsiTheme="majorHAnsi" w:cstheme="majorHAnsi"/>
        </w:rPr>
        <w:t xml:space="preserve"> introduction of the Discovery Projects scheme coincided with the</w:t>
      </w:r>
      <w:r w:rsidRPr="001D585A">
        <w:rPr>
          <w:rFonts w:asciiTheme="majorHAnsi" w:hAnsiTheme="majorHAnsi" w:cstheme="majorHAnsi"/>
        </w:rPr>
        <w:t xml:space="preserve"> establishment of</w:t>
      </w:r>
      <w:r>
        <w:rPr>
          <w:rFonts w:asciiTheme="majorHAnsi" w:hAnsiTheme="majorHAnsi" w:cstheme="majorHAnsi"/>
        </w:rPr>
        <w:t xml:space="preserve"> the ARC</w:t>
      </w:r>
      <w:r w:rsidRPr="001D585A">
        <w:rPr>
          <w:rFonts w:asciiTheme="majorHAnsi" w:hAnsiTheme="majorHAnsi" w:cstheme="majorHAnsi"/>
        </w:rPr>
        <w:t xml:space="preserve"> as an</w:t>
      </w:r>
      <w:r>
        <w:rPr>
          <w:rFonts w:asciiTheme="majorHAnsi" w:hAnsiTheme="majorHAnsi" w:cstheme="majorHAnsi"/>
        </w:rPr>
        <w:t xml:space="preserve"> independent</w:t>
      </w:r>
      <w:r w:rsidRPr="001D585A">
        <w:rPr>
          <w:rFonts w:asciiTheme="majorHAnsi" w:hAnsiTheme="majorHAnsi" w:cstheme="majorHAnsi"/>
        </w:rPr>
        <w:t xml:space="preserve"> </w:t>
      </w:r>
      <w:r>
        <w:rPr>
          <w:rFonts w:asciiTheme="majorHAnsi" w:hAnsiTheme="majorHAnsi" w:cstheme="majorHAnsi"/>
        </w:rPr>
        <w:t>Commonwealth</w:t>
      </w:r>
      <w:r w:rsidRPr="001D585A">
        <w:rPr>
          <w:rFonts w:asciiTheme="majorHAnsi" w:hAnsiTheme="majorHAnsi" w:cstheme="majorHAnsi"/>
        </w:rPr>
        <w:t xml:space="preserve"> </w:t>
      </w:r>
      <w:r>
        <w:rPr>
          <w:rFonts w:asciiTheme="majorHAnsi" w:hAnsiTheme="majorHAnsi" w:cstheme="majorHAnsi"/>
        </w:rPr>
        <w:t xml:space="preserve">entity under the </w:t>
      </w:r>
      <w:r>
        <w:rPr>
          <w:rFonts w:asciiTheme="majorHAnsi" w:hAnsiTheme="majorHAnsi" w:cstheme="majorHAnsi"/>
          <w:i/>
        </w:rPr>
        <w:t>Australian Research Council Act 2001</w:t>
      </w:r>
      <w:r>
        <w:rPr>
          <w:rFonts w:asciiTheme="majorHAnsi" w:hAnsiTheme="majorHAnsi" w:cstheme="majorHAnsi"/>
        </w:rPr>
        <w:t xml:space="preserve">. Discovery Projects broadly replaced the Large Research Grants and Research Fellowships schemes, which had previously been administered by the ARC as part of the National Board of Employment, Education and Training. The </w:t>
      </w:r>
      <w:r w:rsidR="00CB0360">
        <w:rPr>
          <w:rFonts w:asciiTheme="majorHAnsi" w:hAnsiTheme="majorHAnsi" w:cstheme="majorHAnsi"/>
        </w:rPr>
        <w:t xml:space="preserve">first </w:t>
      </w:r>
      <w:r>
        <w:rPr>
          <w:rFonts w:asciiTheme="majorHAnsi" w:hAnsiTheme="majorHAnsi" w:cstheme="majorHAnsi"/>
        </w:rPr>
        <w:t xml:space="preserve">Discovery Projects </w:t>
      </w:r>
      <w:r w:rsidR="00CB0360">
        <w:rPr>
          <w:rFonts w:asciiTheme="majorHAnsi" w:hAnsiTheme="majorHAnsi" w:cstheme="majorHAnsi"/>
        </w:rPr>
        <w:t>scheme round</w:t>
      </w:r>
      <w:r w:rsidR="00713BA5">
        <w:rPr>
          <w:rFonts w:asciiTheme="majorHAnsi" w:hAnsiTheme="majorHAnsi" w:cstheme="majorHAnsi"/>
        </w:rPr>
        <w:t xml:space="preserve"> </w:t>
      </w:r>
      <w:r w:rsidR="00FF38DF">
        <w:rPr>
          <w:rFonts w:asciiTheme="majorHAnsi" w:hAnsiTheme="majorHAnsi" w:cstheme="majorHAnsi"/>
        </w:rPr>
        <w:t xml:space="preserve">(DP02) </w:t>
      </w:r>
      <w:r w:rsidR="00912DAE">
        <w:rPr>
          <w:rFonts w:asciiTheme="majorHAnsi" w:hAnsiTheme="majorHAnsi" w:cstheme="majorHAnsi"/>
        </w:rPr>
        <w:t xml:space="preserve">opened in 2001, for project funding </w:t>
      </w:r>
      <w:r>
        <w:rPr>
          <w:rFonts w:asciiTheme="majorHAnsi" w:hAnsiTheme="majorHAnsi" w:cstheme="majorHAnsi"/>
        </w:rPr>
        <w:t>commenc</w:t>
      </w:r>
      <w:r w:rsidR="00CB0360">
        <w:rPr>
          <w:rFonts w:asciiTheme="majorHAnsi" w:hAnsiTheme="majorHAnsi" w:cstheme="majorHAnsi"/>
        </w:rPr>
        <w:t>ing</w:t>
      </w:r>
      <w:r>
        <w:rPr>
          <w:rFonts w:asciiTheme="majorHAnsi" w:hAnsiTheme="majorHAnsi" w:cstheme="majorHAnsi"/>
        </w:rPr>
        <w:t xml:space="preserve"> in 2002. </w:t>
      </w:r>
    </w:p>
    <w:p w14:paraId="33AB93A9" w14:textId="27A984F3" w:rsidR="00C165F1" w:rsidRPr="001D585A" w:rsidRDefault="00C165F1" w:rsidP="00C165F1">
      <w:pPr>
        <w:rPr>
          <w:rFonts w:asciiTheme="majorHAnsi" w:hAnsiTheme="majorHAnsi" w:cstheme="majorHAnsi"/>
        </w:rPr>
      </w:pPr>
      <w:r>
        <w:rPr>
          <w:rFonts w:asciiTheme="majorHAnsi" w:hAnsiTheme="majorHAnsi" w:cstheme="majorHAnsi"/>
        </w:rPr>
        <w:t xml:space="preserve">The policy rationale behind the establishment of the ARC’s NCGP was articulated in </w:t>
      </w:r>
      <w:r>
        <w:rPr>
          <w:rFonts w:asciiTheme="majorHAnsi" w:hAnsiTheme="majorHAnsi" w:cstheme="majorHAnsi"/>
          <w:i/>
        </w:rPr>
        <w:t xml:space="preserve">Knowledge and Innovation: A policy statement for research and research training </w:t>
      </w:r>
      <w:r>
        <w:rPr>
          <w:rFonts w:asciiTheme="majorHAnsi" w:hAnsiTheme="majorHAnsi" w:cstheme="majorHAnsi"/>
        </w:rPr>
        <w:t>in December 1999. This document outlined the intent to divide the NCGP into two elements—the Discovery Program and the Linkage Program. The former was to focus on recognising</w:t>
      </w:r>
      <w:r w:rsidRPr="003B47E6">
        <w:rPr>
          <w:rFonts w:asciiTheme="majorHAnsi" w:hAnsiTheme="majorHAnsi" w:cstheme="majorHAnsi"/>
        </w:rPr>
        <w:t xml:space="preserve"> </w:t>
      </w:r>
      <w:r>
        <w:rPr>
          <w:rFonts w:asciiTheme="majorHAnsi" w:hAnsiTheme="majorHAnsi" w:cstheme="majorHAnsi"/>
        </w:rPr>
        <w:t>‘</w:t>
      </w:r>
      <w:r w:rsidRPr="003B47E6">
        <w:rPr>
          <w:rFonts w:asciiTheme="majorHAnsi" w:hAnsiTheme="majorHAnsi" w:cstheme="majorHAnsi"/>
        </w:rPr>
        <w:t>the importance of Australia’s universities as major sources of fundamental research, dedicated to the creation of knowledge, within a wider framework that encourages links with users of the research</w:t>
      </w:r>
      <w:r>
        <w:rPr>
          <w:rFonts w:asciiTheme="majorHAnsi" w:hAnsiTheme="majorHAnsi" w:cstheme="majorHAnsi"/>
        </w:rPr>
        <w:t>’. The latter emphasised ‘</w:t>
      </w:r>
      <w:r w:rsidRPr="003B47E6">
        <w:rPr>
          <w:rFonts w:asciiTheme="majorHAnsi" w:hAnsiTheme="majorHAnsi" w:cstheme="majorHAnsi"/>
        </w:rPr>
        <w:t>national and international collaboration necessary for Australian research to contribute to a strong and vibrant kno</w:t>
      </w:r>
      <w:r>
        <w:rPr>
          <w:rFonts w:asciiTheme="majorHAnsi" w:hAnsiTheme="majorHAnsi" w:cstheme="majorHAnsi"/>
        </w:rPr>
        <w:t>wledge economy’ through</w:t>
      </w:r>
      <w:r w:rsidRPr="003B47E6">
        <w:rPr>
          <w:rFonts w:asciiTheme="majorHAnsi" w:hAnsiTheme="majorHAnsi" w:cstheme="majorHAnsi"/>
        </w:rPr>
        <w:t xml:space="preserve"> </w:t>
      </w:r>
      <w:r>
        <w:rPr>
          <w:rFonts w:asciiTheme="majorHAnsi" w:hAnsiTheme="majorHAnsi" w:cstheme="majorHAnsi"/>
        </w:rPr>
        <w:t>‘</w:t>
      </w:r>
      <w:r w:rsidRPr="003B47E6">
        <w:rPr>
          <w:rFonts w:asciiTheme="majorHAnsi" w:hAnsiTheme="majorHAnsi" w:cstheme="majorHAnsi"/>
        </w:rPr>
        <w:t xml:space="preserve">better collaboration with researchers in other universities and across the </w:t>
      </w:r>
      <w:r w:rsidRPr="003B47E6">
        <w:rPr>
          <w:rFonts w:asciiTheme="majorHAnsi" w:hAnsiTheme="majorHAnsi" w:cstheme="majorHAnsi"/>
        </w:rPr>
        <w:lastRenderedPageBreak/>
        <w:t>innovation system</w:t>
      </w:r>
      <w:r>
        <w:rPr>
          <w:rFonts w:asciiTheme="majorHAnsi" w:hAnsiTheme="majorHAnsi" w:cstheme="majorHAnsi"/>
        </w:rPr>
        <w:t>’.</w:t>
      </w:r>
      <w:r>
        <w:rPr>
          <w:rStyle w:val="FootnoteReference"/>
          <w:rFonts w:asciiTheme="majorHAnsi" w:hAnsiTheme="majorHAnsi" w:cstheme="majorHAnsi"/>
        </w:rPr>
        <w:footnoteReference w:id="13"/>
      </w:r>
      <w:r>
        <w:rPr>
          <w:rFonts w:asciiTheme="majorHAnsi" w:hAnsiTheme="majorHAnsi" w:cstheme="majorHAnsi"/>
        </w:rPr>
        <w:t xml:space="preserve"> The design of the NCGP reflected stakeholder feedback highlighting the ‘</w:t>
      </w:r>
      <w:r w:rsidRPr="001D585A">
        <w:rPr>
          <w:rFonts w:asciiTheme="majorHAnsi" w:hAnsiTheme="majorHAnsi" w:cstheme="majorHAnsi"/>
        </w:rPr>
        <w:t xml:space="preserve">need to ensure the continued strength of basic research while encouraging more </w:t>
      </w:r>
      <w:r>
        <w:rPr>
          <w:rFonts w:asciiTheme="majorHAnsi" w:hAnsiTheme="majorHAnsi" w:cstheme="majorHAnsi"/>
        </w:rPr>
        <w:t>“</w:t>
      </w:r>
      <w:r w:rsidRPr="001D585A">
        <w:rPr>
          <w:rFonts w:asciiTheme="majorHAnsi" w:hAnsiTheme="majorHAnsi" w:cstheme="majorHAnsi"/>
        </w:rPr>
        <w:t>application-oriented</w:t>
      </w:r>
      <w:r>
        <w:rPr>
          <w:rFonts w:asciiTheme="majorHAnsi" w:hAnsiTheme="majorHAnsi" w:cstheme="majorHAnsi"/>
        </w:rPr>
        <w:t>”</w:t>
      </w:r>
      <w:r w:rsidRPr="001D585A">
        <w:rPr>
          <w:rFonts w:asciiTheme="majorHAnsi" w:hAnsiTheme="majorHAnsi" w:cstheme="majorHAnsi"/>
        </w:rPr>
        <w:t xml:space="preserve"> research, in line with the greater emphasis placed on exte</w:t>
      </w:r>
      <w:r>
        <w:rPr>
          <w:rFonts w:asciiTheme="majorHAnsi" w:hAnsiTheme="majorHAnsi" w:cstheme="majorHAnsi"/>
        </w:rPr>
        <w:t>rnal linkages and collaboration’</w:t>
      </w:r>
      <w:r w:rsidRPr="001D585A">
        <w:rPr>
          <w:rFonts w:asciiTheme="majorHAnsi" w:hAnsiTheme="majorHAnsi" w:cstheme="majorHAnsi"/>
        </w:rPr>
        <w:t>.</w:t>
      </w:r>
      <w:r>
        <w:rPr>
          <w:rStyle w:val="FootnoteReference"/>
          <w:rFonts w:asciiTheme="majorHAnsi" w:hAnsiTheme="majorHAnsi" w:cstheme="majorHAnsi"/>
        </w:rPr>
        <w:footnoteReference w:id="14"/>
      </w:r>
      <w:r>
        <w:rPr>
          <w:rFonts w:asciiTheme="majorHAnsi" w:hAnsiTheme="majorHAnsi" w:cstheme="majorHAnsi"/>
        </w:rPr>
        <w:t xml:space="preserve"> </w:t>
      </w:r>
    </w:p>
    <w:p w14:paraId="584C9163" w14:textId="77777777" w:rsidR="00C165F1" w:rsidRDefault="00C165F1" w:rsidP="00C165F1">
      <w:pPr>
        <w:spacing w:after="240"/>
        <w:rPr>
          <w:rFonts w:asciiTheme="majorHAnsi" w:hAnsiTheme="majorHAnsi" w:cstheme="majorHAnsi"/>
        </w:rPr>
      </w:pPr>
      <w:r w:rsidRPr="003B47E6">
        <w:rPr>
          <w:rFonts w:asciiTheme="majorHAnsi" w:hAnsiTheme="majorHAnsi" w:cstheme="majorHAnsi"/>
          <w:i/>
        </w:rPr>
        <w:t>Knowledge and Innovation</w:t>
      </w:r>
      <w:r>
        <w:rPr>
          <w:rFonts w:asciiTheme="majorHAnsi" w:hAnsiTheme="majorHAnsi" w:cstheme="majorHAnsi"/>
          <w:i/>
        </w:rPr>
        <w:t xml:space="preserve"> </w:t>
      </w:r>
      <w:r>
        <w:rPr>
          <w:rFonts w:asciiTheme="majorHAnsi" w:hAnsiTheme="majorHAnsi" w:cstheme="majorHAnsi"/>
        </w:rPr>
        <w:t>outlined the Australian Government’s reasoning behind maintaining a balanced approach to its support for basic and applied research:</w:t>
      </w:r>
    </w:p>
    <w:p w14:paraId="0C725863" w14:textId="77777777" w:rsidR="00C165F1" w:rsidRDefault="00C165F1" w:rsidP="00A47300">
      <w:pPr>
        <w:pStyle w:val="Quote"/>
        <w:spacing w:after="240"/>
        <w:ind w:left="425" w:right="663"/>
      </w:pPr>
      <w:r w:rsidRPr="007F45DD">
        <w:t>The Government believes that basic research serves as the foundation and catalyst to much commercial research and is a fundamental driver of innovation. The Government also recognises that our universities are the principal sites for basic research and that support for fundamental research must be sustained. At the same time, governments have responsibilities to address social needs in cost-effective ways. It is a legitimate expectation that public investment in research will pay social dividends through contributions to problem-solving as well as providing commercial opportunities.</w:t>
      </w:r>
      <w:r>
        <w:rPr>
          <w:rStyle w:val="FootnoteReference"/>
          <w:i w:val="0"/>
        </w:rPr>
        <w:footnoteReference w:id="15"/>
      </w:r>
      <w:r w:rsidRPr="001D585A">
        <w:t xml:space="preserve"> </w:t>
      </w:r>
    </w:p>
    <w:p w14:paraId="19B58424" w14:textId="1DE4BB4B" w:rsidR="00C165F1" w:rsidRDefault="00C165F1" w:rsidP="00C165F1">
      <w:pPr>
        <w:rPr>
          <w:rFonts w:asciiTheme="majorHAnsi" w:hAnsiTheme="majorHAnsi" w:cstheme="majorHAnsi"/>
        </w:rPr>
      </w:pPr>
      <w:r>
        <w:rPr>
          <w:rFonts w:asciiTheme="majorHAnsi" w:hAnsiTheme="majorHAnsi" w:cstheme="majorHAnsi"/>
        </w:rPr>
        <w:t>From its inception, the Discovery Projects scheme has been the central component of the Discovery Program, and pivotal to the broader NCGP. In total, the scheme received 67,890</w:t>
      </w:r>
      <w:r w:rsidRPr="000A5AEE">
        <w:rPr>
          <w:rFonts w:asciiTheme="majorHAnsi" w:hAnsiTheme="majorHAnsi" w:cstheme="majorHAnsi"/>
        </w:rPr>
        <w:t xml:space="preserve"> applications and f</w:t>
      </w:r>
      <w:r>
        <w:rPr>
          <w:rFonts w:asciiTheme="majorHAnsi" w:hAnsiTheme="majorHAnsi" w:cstheme="majorHAnsi"/>
        </w:rPr>
        <w:t>unded 15,035 projects between the DP02 and DP20 funding rounds, constituting 60 per cent</w:t>
      </w:r>
      <w:r w:rsidRPr="000A5AEE">
        <w:rPr>
          <w:rFonts w:asciiTheme="majorHAnsi" w:hAnsiTheme="majorHAnsi" w:cstheme="majorHAnsi"/>
        </w:rPr>
        <w:t xml:space="preserve"> of </w:t>
      </w:r>
      <w:r>
        <w:rPr>
          <w:rFonts w:asciiTheme="majorHAnsi" w:hAnsiTheme="majorHAnsi" w:cstheme="majorHAnsi"/>
        </w:rPr>
        <w:t>applications received and 5</w:t>
      </w:r>
      <w:r w:rsidR="00AE79F7">
        <w:rPr>
          <w:rFonts w:asciiTheme="majorHAnsi" w:hAnsiTheme="majorHAnsi" w:cstheme="majorHAnsi"/>
        </w:rPr>
        <w:t>4</w:t>
      </w:r>
      <w:r>
        <w:rPr>
          <w:rFonts w:asciiTheme="majorHAnsi" w:hAnsiTheme="majorHAnsi" w:cstheme="majorHAnsi"/>
        </w:rPr>
        <w:t xml:space="preserve"> per cent of </w:t>
      </w:r>
      <w:r w:rsidRPr="000A5AEE">
        <w:rPr>
          <w:rFonts w:asciiTheme="majorHAnsi" w:hAnsiTheme="majorHAnsi" w:cstheme="majorHAnsi"/>
        </w:rPr>
        <w:t>projects</w:t>
      </w:r>
      <w:r>
        <w:rPr>
          <w:rFonts w:asciiTheme="majorHAnsi" w:hAnsiTheme="majorHAnsi" w:cstheme="majorHAnsi"/>
        </w:rPr>
        <w:t xml:space="preserve"> funded under the NCGP</w:t>
      </w:r>
      <w:r w:rsidRPr="000A5AEE">
        <w:rPr>
          <w:rFonts w:asciiTheme="majorHAnsi" w:hAnsiTheme="majorHAnsi" w:cstheme="majorHAnsi"/>
        </w:rPr>
        <w:t xml:space="preserve">. </w:t>
      </w:r>
      <w:r>
        <w:rPr>
          <w:rFonts w:asciiTheme="majorHAnsi" w:hAnsiTheme="majorHAnsi" w:cstheme="majorHAnsi"/>
        </w:rPr>
        <w:t>On average, the scheme received 357</w:t>
      </w:r>
      <w:r w:rsidR="00ED3D96">
        <w:rPr>
          <w:rFonts w:asciiTheme="majorHAnsi" w:hAnsiTheme="majorHAnsi" w:cstheme="majorHAnsi"/>
        </w:rPr>
        <w:t>3</w:t>
      </w:r>
      <w:r>
        <w:rPr>
          <w:rFonts w:asciiTheme="majorHAnsi" w:hAnsiTheme="majorHAnsi" w:cstheme="majorHAnsi"/>
        </w:rPr>
        <w:t xml:space="preserve"> applications and funded 79</w:t>
      </w:r>
      <w:r w:rsidR="000A3FD5">
        <w:rPr>
          <w:rFonts w:asciiTheme="majorHAnsi" w:hAnsiTheme="majorHAnsi" w:cstheme="majorHAnsi"/>
        </w:rPr>
        <w:t>1</w:t>
      </w:r>
      <w:r>
        <w:rPr>
          <w:rFonts w:asciiTheme="majorHAnsi" w:hAnsiTheme="majorHAnsi" w:cstheme="majorHAnsi"/>
        </w:rPr>
        <w:t xml:space="preserve"> projects per year.</w:t>
      </w:r>
    </w:p>
    <w:p w14:paraId="639B1911" w14:textId="08630150" w:rsidR="00C165F1" w:rsidRPr="00372AA1" w:rsidRDefault="00C165F1" w:rsidP="00254D36">
      <w:pPr>
        <w:pStyle w:val="Heading2"/>
        <w:keepNext w:val="0"/>
        <w:keepLines w:val="0"/>
        <w:numPr>
          <w:ilvl w:val="1"/>
          <w:numId w:val="14"/>
        </w:numPr>
        <w:shd w:val="clear" w:color="auto" w:fill="auto"/>
        <w:spacing w:line="259" w:lineRule="auto"/>
      </w:pPr>
      <w:bookmarkStart w:id="86" w:name="_Overview_of_Discovery"/>
      <w:bookmarkStart w:id="87" w:name="_Toc51918685"/>
      <w:bookmarkStart w:id="88" w:name="_Toc55544771"/>
      <w:bookmarkEnd w:id="86"/>
      <w:r>
        <w:t>Overview of Discovery Projects scheme objectives and intended outcomes</w:t>
      </w:r>
      <w:bookmarkEnd w:id="87"/>
      <w:bookmarkEnd w:id="88"/>
    </w:p>
    <w:p w14:paraId="501D7FA9" w14:textId="1DCAA38F" w:rsidR="00C165F1" w:rsidRDefault="00C165F1" w:rsidP="00C165F1">
      <w:pPr>
        <w:rPr>
          <w:rFonts w:asciiTheme="majorHAnsi" w:hAnsiTheme="majorHAnsi" w:cstheme="majorHAnsi"/>
        </w:rPr>
      </w:pPr>
      <w:r w:rsidRPr="004F5637">
        <w:rPr>
          <w:rFonts w:asciiTheme="majorHAnsi" w:hAnsiTheme="majorHAnsi" w:cstheme="majorHAnsi"/>
        </w:rPr>
        <w:t xml:space="preserve">Under the Department of Finance’s </w:t>
      </w:r>
      <w:r w:rsidRPr="004F5637">
        <w:rPr>
          <w:rFonts w:asciiTheme="majorHAnsi" w:hAnsiTheme="majorHAnsi" w:cstheme="majorHAnsi"/>
          <w:i/>
        </w:rPr>
        <w:t>Commonwealth Grants Rules and Guidelines 2017</w:t>
      </w:r>
      <w:r w:rsidRPr="004F5637">
        <w:rPr>
          <w:rFonts w:asciiTheme="majorHAnsi" w:hAnsiTheme="majorHAnsi" w:cstheme="majorHAnsi"/>
        </w:rPr>
        <w:t xml:space="preserve"> (CGRGs), Australian Government agencies are expected to adopt an ‘outcomes orientation’ in the administration of grants programs. This requires the development of ‘concise, unambiguous, and realistic’ operational objectives</w:t>
      </w:r>
      <w:r>
        <w:rPr>
          <w:rFonts w:asciiTheme="majorHAnsi" w:hAnsiTheme="majorHAnsi" w:cstheme="majorHAnsi"/>
        </w:rPr>
        <w:t xml:space="preserve"> and</w:t>
      </w:r>
      <w:r w:rsidRPr="004F5637">
        <w:rPr>
          <w:rFonts w:asciiTheme="majorHAnsi" w:hAnsiTheme="majorHAnsi" w:cstheme="majorHAnsi"/>
        </w:rPr>
        <w:t xml:space="preserve"> an articulation of the ‘change [that] is expected as a result of a grant (the intended outcomes)’.</w:t>
      </w:r>
      <w:r w:rsidRPr="004F5637">
        <w:rPr>
          <w:rFonts w:cstheme="majorHAnsi"/>
          <w:vertAlign w:val="superscript"/>
        </w:rPr>
        <w:footnoteReference w:id="16"/>
      </w:r>
      <w:r w:rsidRPr="004F5637">
        <w:rPr>
          <w:rFonts w:asciiTheme="majorHAnsi" w:hAnsiTheme="majorHAnsi" w:cstheme="majorHAnsi"/>
        </w:rPr>
        <w:t xml:space="preserve"> </w:t>
      </w:r>
      <w:r>
        <w:rPr>
          <w:rFonts w:asciiTheme="majorHAnsi" w:hAnsiTheme="majorHAnsi" w:cstheme="majorHAnsi"/>
        </w:rPr>
        <w:t>Accordingly, NCGP scheme</w:t>
      </w:r>
      <w:r w:rsidRPr="004F5637" w:rsidDel="000E152E">
        <w:rPr>
          <w:rFonts w:asciiTheme="majorHAnsi" w:hAnsiTheme="majorHAnsi" w:cstheme="majorHAnsi"/>
        </w:rPr>
        <w:t xml:space="preserve"> </w:t>
      </w:r>
      <w:r w:rsidRPr="004F5637">
        <w:rPr>
          <w:rFonts w:asciiTheme="majorHAnsi" w:hAnsiTheme="majorHAnsi" w:cstheme="majorHAnsi"/>
        </w:rPr>
        <w:t>objectives reflect ‘the specific result the ARC/Australian Government is trying to achieve within the scheme timeframe and with the available resources’</w:t>
      </w:r>
      <w:r w:rsidRPr="004F5637" w:rsidDel="00A00300">
        <w:rPr>
          <w:rFonts w:asciiTheme="majorHAnsi" w:hAnsiTheme="majorHAnsi" w:cstheme="majorHAnsi"/>
        </w:rPr>
        <w:t>,</w:t>
      </w:r>
      <w:r>
        <w:rPr>
          <w:rFonts w:asciiTheme="majorHAnsi" w:hAnsiTheme="majorHAnsi" w:cstheme="majorHAnsi"/>
        </w:rPr>
        <w:t xml:space="preserve"> while</w:t>
      </w:r>
      <w:r w:rsidRPr="004F5637">
        <w:rPr>
          <w:rFonts w:asciiTheme="majorHAnsi" w:hAnsiTheme="majorHAnsi" w:cstheme="majorHAnsi"/>
        </w:rPr>
        <w:t xml:space="preserve"> </w:t>
      </w:r>
      <w:r w:rsidRPr="004F5637">
        <w:rPr>
          <w:rFonts w:asciiTheme="majorHAnsi" w:hAnsiTheme="majorHAnsi" w:cstheme="majorHAnsi"/>
          <w:lang w:val="en-US"/>
        </w:rPr>
        <w:t xml:space="preserve">intended outcomes refer to </w:t>
      </w:r>
      <w:r>
        <w:rPr>
          <w:rFonts w:asciiTheme="majorHAnsi" w:hAnsiTheme="majorHAnsi" w:cstheme="majorHAnsi"/>
          <w:lang w:val="en-US"/>
        </w:rPr>
        <w:t>what</w:t>
      </w:r>
      <w:r w:rsidRPr="004F5637">
        <w:rPr>
          <w:rFonts w:asciiTheme="majorHAnsi" w:hAnsiTheme="majorHAnsi" w:cstheme="majorHAnsi"/>
          <w:lang w:val="en-US"/>
        </w:rPr>
        <w:t xml:space="preserve"> the ‘ARC/Australian Government hopes to achieve if the objectives are accomplished’</w:t>
      </w:r>
      <w:r>
        <w:rPr>
          <w:rFonts w:asciiTheme="majorHAnsi" w:hAnsiTheme="majorHAnsi" w:cstheme="majorHAnsi"/>
          <w:lang w:val="en-US"/>
        </w:rPr>
        <w:t>.</w:t>
      </w:r>
      <w:r w:rsidRPr="004F5637">
        <w:rPr>
          <w:rFonts w:cstheme="majorHAnsi"/>
          <w:vertAlign w:val="superscript"/>
          <w:lang w:val="en-US"/>
        </w:rPr>
        <w:footnoteReference w:id="17"/>
      </w:r>
      <w:r>
        <w:rPr>
          <w:rFonts w:asciiTheme="majorHAnsi" w:hAnsiTheme="majorHAnsi" w:cstheme="majorHAnsi"/>
        </w:rPr>
        <w:t xml:space="preserve"> </w:t>
      </w:r>
      <w:r w:rsidRPr="004F5637">
        <w:rPr>
          <w:rFonts w:asciiTheme="majorHAnsi" w:hAnsiTheme="majorHAnsi" w:cstheme="majorHAnsi"/>
        </w:rPr>
        <w:t xml:space="preserve">The CGRGs position the evaluation of performance against objectives and intended outcomes as </w:t>
      </w:r>
      <w:r>
        <w:rPr>
          <w:rFonts w:asciiTheme="majorHAnsi" w:hAnsiTheme="majorHAnsi" w:cstheme="majorHAnsi"/>
        </w:rPr>
        <w:t xml:space="preserve">a </w:t>
      </w:r>
      <w:r w:rsidRPr="004F5637">
        <w:rPr>
          <w:rFonts w:asciiTheme="majorHAnsi" w:hAnsiTheme="majorHAnsi" w:cstheme="majorHAnsi"/>
        </w:rPr>
        <w:t xml:space="preserve">key component of grants administration. This is intended to ensure </w:t>
      </w:r>
      <w:r>
        <w:rPr>
          <w:rFonts w:asciiTheme="majorHAnsi" w:hAnsiTheme="majorHAnsi" w:cstheme="majorHAnsi"/>
        </w:rPr>
        <w:t xml:space="preserve">that </w:t>
      </w:r>
      <w:r w:rsidRPr="004F5637">
        <w:rPr>
          <w:rFonts w:asciiTheme="majorHAnsi" w:hAnsiTheme="majorHAnsi" w:cstheme="majorHAnsi"/>
        </w:rPr>
        <w:t xml:space="preserve">grants </w:t>
      </w:r>
      <w:r>
        <w:rPr>
          <w:rFonts w:asciiTheme="majorHAnsi" w:hAnsiTheme="majorHAnsi" w:cstheme="majorHAnsi"/>
        </w:rPr>
        <w:t>support</w:t>
      </w:r>
      <w:r w:rsidRPr="004F5637">
        <w:rPr>
          <w:rFonts w:asciiTheme="majorHAnsi" w:hAnsiTheme="majorHAnsi" w:cstheme="majorHAnsi"/>
        </w:rPr>
        <w:t xml:space="preserve"> the achievement of Australian Government policy </w:t>
      </w:r>
      <w:r>
        <w:rPr>
          <w:rFonts w:asciiTheme="majorHAnsi" w:hAnsiTheme="majorHAnsi" w:cstheme="majorHAnsi"/>
        </w:rPr>
        <w:t>goals</w:t>
      </w:r>
      <w:r w:rsidRPr="004F5637">
        <w:rPr>
          <w:rFonts w:asciiTheme="majorHAnsi" w:hAnsiTheme="majorHAnsi" w:cstheme="majorHAnsi"/>
        </w:rPr>
        <w:t xml:space="preserve"> and </w:t>
      </w:r>
      <w:r>
        <w:rPr>
          <w:rFonts w:asciiTheme="majorHAnsi" w:hAnsiTheme="majorHAnsi" w:cstheme="majorHAnsi"/>
        </w:rPr>
        <w:t>deliver</w:t>
      </w:r>
      <w:r w:rsidRPr="004F5637">
        <w:rPr>
          <w:rFonts w:asciiTheme="majorHAnsi" w:hAnsiTheme="majorHAnsi" w:cstheme="majorHAnsi"/>
        </w:rPr>
        <w:t xml:space="preserve"> positive outcomes to the broader community.</w:t>
      </w:r>
      <w:r>
        <w:rPr>
          <w:rFonts w:asciiTheme="majorHAnsi" w:hAnsiTheme="majorHAnsi" w:cstheme="majorHAnsi"/>
        </w:rPr>
        <w:t xml:space="preserve"> </w:t>
      </w:r>
      <w:r w:rsidR="00724F8F">
        <w:rPr>
          <w:rFonts w:asciiTheme="majorHAnsi" w:hAnsiTheme="majorHAnsi" w:cstheme="majorHAnsi"/>
        </w:rPr>
        <w:t>While commonly used within the context of Australian Government grants administration</w:t>
      </w:r>
      <w:r w:rsidR="00B20374">
        <w:rPr>
          <w:rFonts w:asciiTheme="majorHAnsi" w:hAnsiTheme="majorHAnsi" w:cstheme="majorHAnsi"/>
        </w:rPr>
        <w:t xml:space="preserve"> to map relationships between </w:t>
      </w:r>
      <w:r w:rsidR="00B20374">
        <w:rPr>
          <w:rFonts w:asciiTheme="majorHAnsi" w:hAnsiTheme="majorHAnsi" w:cstheme="majorHAnsi"/>
          <w:lang w:val="en-US"/>
        </w:rPr>
        <w:t>inputs, activities, outputs and expected outcomes</w:t>
      </w:r>
      <w:r w:rsidR="004970EC">
        <w:rPr>
          <w:rFonts w:asciiTheme="majorHAnsi" w:hAnsiTheme="majorHAnsi" w:cstheme="majorHAnsi"/>
        </w:rPr>
        <w:t>, the Discovery Projects scheme does not</w:t>
      </w:r>
      <w:r w:rsidR="00EB78E0">
        <w:rPr>
          <w:rFonts w:asciiTheme="majorHAnsi" w:hAnsiTheme="majorHAnsi" w:cstheme="majorHAnsi"/>
        </w:rPr>
        <w:t xml:space="preserve"> currently</w:t>
      </w:r>
      <w:r w:rsidR="004970EC">
        <w:rPr>
          <w:rFonts w:asciiTheme="majorHAnsi" w:hAnsiTheme="majorHAnsi" w:cstheme="majorHAnsi"/>
        </w:rPr>
        <w:t xml:space="preserve"> have a program logic model</w:t>
      </w:r>
      <w:r w:rsidR="00A51E9E">
        <w:rPr>
          <w:rFonts w:asciiTheme="majorHAnsi" w:hAnsiTheme="majorHAnsi" w:cstheme="majorHAnsi"/>
          <w:lang w:val="en-US"/>
        </w:rPr>
        <w:t>.</w:t>
      </w:r>
    </w:p>
    <w:p w14:paraId="052B7A42" w14:textId="691FBC86" w:rsidR="00CC7E85" w:rsidRDefault="00C165F1" w:rsidP="00C165F1">
      <w:pPr>
        <w:spacing w:after="120"/>
        <w:rPr>
          <w:rFonts w:asciiTheme="majorHAnsi" w:hAnsiTheme="majorHAnsi" w:cstheme="majorHAnsi"/>
        </w:rPr>
      </w:pPr>
      <w:r w:rsidRPr="004F5637">
        <w:rPr>
          <w:rFonts w:asciiTheme="majorHAnsi" w:hAnsiTheme="majorHAnsi" w:cstheme="majorHAnsi"/>
        </w:rPr>
        <w:t xml:space="preserve">This </w:t>
      </w:r>
      <w:r>
        <w:rPr>
          <w:rFonts w:asciiTheme="majorHAnsi" w:hAnsiTheme="majorHAnsi" w:cstheme="majorHAnsi"/>
        </w:rPr>
        <w:t>report</w:t>
      </w:r>
      <w:r w:rsidRPr="004F5637">
        <w:rPr>
          <w:rFonts w:asciiTheme="majorHAnsi" w:hAnsiTheme="majorHAnsi" w:cstheme="majorHAnsi"/>
        </w:rPr>
        <w:t xml:space="preserve"> uses t</w:t>
      </w:r>
      <w:r>
        <w:rPr>
          <w:rFonts w:asciiTheme="majorHAnsi" w:hAnsiTheme="majorHAnsi" w:cstheme="majorHAnsi"/>
        </w:rPr>
        <w:t>he</w:t>
      </w:r>
      <w:r w:rsidRPr="004F5637">
        <w:rPr>
          <w:rFonts w:asciiTheme="majorHAnsi" w:hAnsiTheme="majorHAnsi" w:cstheme="majorHAnsi"/>
        </w:rPr>
        <w:t xml:space="preserve"> objectives and intended outcomes</w:t>
      </w:r>
      <w:r>
        <w:rPr>
          <w:rFonts w:asciiTheme="majorHAnsi" w:hAnsiTheme="majorHAnsi" w:cstheme="majorHAnsi"/>
        </w:rPr>
        <w:t xml:space="preserve"> identified within the DP21 funding round</w:t>
      </w:r>
      <w:r w:rsidRPr="004F5637">
        <w:rPr>
          <w:rFonts w:asciiTheme="majorHAnsi" w:hAnsiTheme="majorHAnsi" w:cstheme="majorHAnsi"/>
        </w:rPr>
        <w:t xml:space="preserve"> to assess</w:t>
      </w:r>
      <w:r>
        <w:rPr>
          <w:rFonts w:asciiTheme="majorHAnsi" w:hAnsiTheme="majorHAnsi" w:cstheme="majorHAnsi"/>
        </w:rPr>
        <w:t xml:space="preserve"> the</w:t>
      </w:r>
      <w:r w:rsidRPr="004F5637">
        <w:rPr>
          <w:rFonts w:asciiTheme="majorHAnsi" w:hAnsiTheme="majorHAnsi" w:cstheme="majorHAnsi"/>
        </w:rPr>
        <w:t xml:space="preserve"> performance </w:t>
      </w:r>
      <w:r>
        <w:rPr>
          <w:rFonts w:asciiTheme="majorHAnsi" w:hAnsiTheme="majorHAnsi" w:cstheme="majorHAnsi"/>
        </w:rPr>
        <w:t>of the Discovery Projects scheme</w:t>
      </w:r>
      <w:r w:rsidRPr="004F5637">
        <w:rPr>
          <w:rFonts w:asciiTheme="majorHAnsi" w:hAnsiTheme="majorHAnsi" w:cstheme="majorHAnsi"/>
        </w:rPr>
        <w:t>.</w:t>
      </w:r>
      <w:r>
        <w:rPr>
          <w:rFonts w:asciiTheme="majorHAnsi" w:hAnsiTheme="majorHAnsi" w:cstheme="majorHAnsi"/>
        </w:rPr>
        <w:t xml:space="preserve"> </w:t>
      </w:r>
      <w:r w:rsidRPr="004F5637">
        <w:rPr>
          <w:rFonts w:asciiTheme="majorHAnsi" w:hAnsiTheme="majorHAnsi" w:cstheme="majorHAnsi"/>
        </w:rPr>
        <w:t xml:space="preserve">Reflecting the </w:t>
      </w:r>
      <w:r>
        <w:rPr>
          <w:rFonts w:asciiTheme="majorHAnsi" w:hAnsiTheme="majorHAnsi" w:cstheme="majorHAnsi"/>
        </w:rPr>
        <w:t>outcomes orientation required under</w:t>
      </w:r>
      <w:r w:rsidRPr="004F5637">
        <w:rPr>
          <w:rFonts w:asciiTheme="majorHAnsi" w:hAnsiTheme="majorHAnsi" w:cstheme="majorHAnsi"/>
        </w:rPr>
        <w:t xml:space="preserve"> the CGRGs,</w:t>
      </w:r>
      <w:r w:rsidR="00B2434F">
        <w:rPr>
          <w:rFonts w:asciiTheme="majorHAnsi" w:hAnsiTheme="majorHAnsi" w:cstheme="majorHAnsi"/>
        </w:rPr>
        <w:t xml:space="preserve"> the</w:t>
      </w:r>
      <w:r w:rsidRPr="004F5637">
        <w:rPr>
          <w:rFonts w:asciiTheme="majorHAnsi" w:hAnsiTheme="majorHAnsi" w:cstheme="majorHAnsi"/>
        </w:rPr>
        <w:t xml:space="preserve"> DP21 Grant Guidelines introduced </w:t>
      </w:r>
      <w:r w:rsidR="0045444D">
        <w:rPr>
          <w:rFonts w:asciiTheme="majorHAnsi" w:hAnsiTheme="majorHAnsi" w:cstheme="majorHAnsi"/>
        </w:rPr>
        <w:t>the</w:t>
      </w:r>
      <w:r w:rsidR="00CC0CE7" w:rsidRPr="004F5637">
        <w:rPr>
          <w:rFonts w:asciiTheme="majorHAnsi" w:hAnsiTheme="majorHAnsi" w:cstheme="majorHAnsi"/>
        </w:rPr>
        <w:t xml:space="preserve"> </w:t>
      </w:r>
      <w:r w:rsidRPr="004F5637">
        <w:rPr>
          <w:rFonts w:asciiTheme="majorHAnsi" w:hAnsiTheme="majorHAnsi" w:cstheme="majorHAnsi"/>
        </w:rPr>
        <w:t>distinction between ‘objectives’ and ‘intended outcomes</w:t>
      </w:r>
      <w:r>
        <w:rPr>
          <w:rFonts w:asciiTheme="majorHAnsi" w:hAnsiTheme="majorHAnsi" w:cstheme="majorHAnsi"/>
        </w:rPr>
        <w:t>’</w:t>
      </w:r>
      <w:r w:rsidR="007E7B77">
        <w:rPr>
          <w:rFonts w:asciiTheme="majorHAnsi" w:hAnsiTheme="majorHAnsi" w:cstheme="majorHAnsi"/>
        </w:rPr>
        <w:t>, where</w:t>
      </w:r>
      <w:r w:rsidRPr="004F5637">
        <w:rPr>
          <w:rFonts w:asciiTheme="majorHAnsi" w:hAnsiTheme="majorHAnsi" w:cstheme="majorHAnsi"/>
        </w:rPr>
        <w:t xml:space="preserve"> </w:t>
      </w:r>
      <w:r w:rsidR="007E7B77">
        <w:rPr>
          <w:rFonts w:asciiTheme="majorHAnsi" w:hAnsiTheme="majorHAnsi" w:cstheme="majorHAnsi"/>
        </w:rPr>
        <w:t>p</w:t>
      </w:r>
      <w:r w:rsidRPr="004F5637">
        <w:rPr>
          <w:rFonts w:asciiTheme="majorHAnsi" w:hAnsiTheme="majorHAnsi" w:cstheme="majorHAnsi"/>
        </w:rPr>
        <w:t xml:space="preserve">revious funding rounds employed </w:t>
      </w:r>
      <w:r w:rsidR="007E7B77">
        <w:rPr>
          <w:rFonts w:asciiTheme="majorHAnsi" w:hAnsiTheme="majorHAnsi" w:cstheme="majorHAnsi"/>
        </w:rPr>
        <w:t xml:space="preserve">only </w:t>
      </w:r>
      <w:r w:rsidRPr="004F5637">
        <w:rPr>
          <w:rFonts w:asciiTheme="majorHAnsi" w:hAnsiTheme="majorHAnsi" w:cstheme="majorHAnsi"/>
        </w:rPr>
        <w:t xml:space="preserve">the terminology of ‘objectives’. Over time, Discovery Projects scheme objectives have consistently </w:t>
      </w:r>
      <w:r w:rsidR="00577EBE">
        <w:rPr>
          <w:rFonts w:asciiTheme="majorHAnsi" w:hAnsiTheme="majorHAnsi" w:cstheme="majorHAnsi"/>
        </w:rPr>
        <w:t>included support for</w:t>
      </w:r>
      <w:r w:rsidR="007E7B77" w:rsidRPr="004F5637">
        <w:rPr>
          <w:rFonts w:asciiTheme="majorHAnsi" w:hAnsiTheme="majorHAnsi" w:cstheme="majorHAnsi"/>
        </w:rPr>
        <w:t xml:space="preserve"> </w:t>
      </w:r>
      <w:r w:rsidRPr="004F5637">
        <w:rPr>
          <w:rFonts w:asciiTheme="majorHAnsi" w:hAnsiTheme="majorHAnsi" w:cstheme="majorHAnsi"/>
        </w:rPr>
        <w:t>high quality basic</w:t>
      </w:r>
      <w:r w:rsidR="000879BB">
        <w:rPr>
          <w:rFonts w:asciiTheme="majorHAnsi" w:hAnsiTheme="majorHAnsi" w:cstheme="majorHAnsi"/>
        </w:rPr>
        <w:t xml:space="preserve"> or </w:t>
      </w:r>
      <w:r w:rsidRPr="004F5637">
        <w:rPr>
          <w:rFonts w:asciiTheme="majorHAnsi" w:hAnsiTheme="majorHAnsi" w:cstheme="majorHAnsi"/>
        </w:rPr>
        <w:t xml:space="preserve">fundamental research, research training, Australian Government research priorities, expanding Australia’s knowledge base and building research capacity. </w:t>
      </w:r>
      <w:r w:rsidR="00577EBE">
        <w:rPr>
          <w:rFonts w:asciiTheme="majorHAnsi" w:hAnsiTheme="majorHAnsi" w:cstheme="majorHAnsi"/>
        </w:rPr>
        <w:t>R</w:t>
      </w:r>
      <w:r>
        <w:rPr>
          <w:rFonts w:asciiTheme="majorHAnsi" w:hAnsiTheme="majorHAnsi" w:cstheme="majorHAnsi"/>
        </w:rPr>
        <w:t xml:space="preserve">esearch </w:t>
      </w:r>
      <w:r>
        <w:rPr>
          <w:rFonts w:asciiTheme="majorHAnsi" w:hAnsiTheme="majorHAnsi" w:cstheme="majorHAnsi"/>
        </w:rPr>
        <w:lastRenderedPageBreak/>
        <w:t xml:space="preserve">collaboration </w:t>
      </w:r>
      <w:r w:rsidRPr="004F5637">
        <w:rPr>
          <w:rFonts w:asciiTheme="majorHAnsi" w:hAnsiTheme="majorHAnsi" w:cstheme="majorHAnsi"/>
        </w:rPr>
        <w:t xml:space="preserve">has also been a sustained focus, </w:t>
      </w:r>
      <w:r>
        <w:rPr>
          <w:rFonts w:asciiTheme="majorHAnsi" w:hAnsiTheme="majorHAnsi" w:cstheme="majorHAnsi"/>
        </w:rPr>
        <w:t xml:space="preserve">and </w:t>
      </w:r>
      <w:r w:rsidRPr="004F5637">
        <w:rPr>
          <w:rFonts w:asciiTheme="majorHAnsi" w:hAnsiTheme="majorHAnsi" w:cstheme="majorHAnsi"/>
        </w:rPr>
        <w:t xml:space="preserve">direct reference to collaboration </w:t>
      </w:r>
      <w:r w:rsidR="00EB78E0">
        <w:rPr>
          <w:rFonts w:asciiTheme="majorHAnsi" w:hAnsiTheme="majorHAnsi" w:cstheme="majorHAnsi"/>
        </w:rPr>
        <w:t xml:space="preserve">has been a component of </w:t>
      </w:r>
      <w:r w:rsidR="009D27D6">
        <w:rPr>
          <w:rFonts w:asciiTheme="majorHAnsi" w:hAnsiTheme="majorHAnsi" w:cstheme="majorHAnsi"/>
        </w:rPr>
        <w:t xml:space="preserve">the </w:t>
      </w:r>
      <w:r>
        <w:rPr>
          <w:rFonts w:asciiTheme="majorHAnsi" w:hAnsiTheme="majorHAnsi" w:cstheme="majorHAnsi"/>
        </w:rPr>
        <w:t>scheme</w:t>
      </w:r>
      <w:r w:rsidR="009D27D6">
        <w:rPr>
          <w:rFonts w:asciiTheme="majorHAnsi" w:hAnsiTheme="majorHAnsi" w:cstheme="majorHAnsi"/>
        </w:rPr>
        <w:t>’s</w:t>
      </w:r>
      <w:r>
        <w:rPr>
          <w:rFonts w:asciiTheme="majorHAnsi" w:hAnsiTheme="majorHAnsi" w:cstheme="majorHAnsi"/>
        </w:rPr>
        <w:t xml:space="preserve"> objectives since</w:t>
      </w:r>
      <w:r w:rsidRPr="004F5637">
        <w:rPr>
          <w:rFonts w:asciiTheme="majorHAnsi" w:hAnsiTheme="majorHAnsi" w:cstheme="majorHAnsi"/>
        </w:rPr>
        <w:t xml:space="preserve"> DP10.</w:t>
      </w:r>
      <w:r w:rsidR="00CC7E85">
        <w:rPr>
          <w:rFonts w:asciiTheme="majorHAnsi" w:hAnsiTheme="majorHAnsi" w:cstheme="majorHAnsi"/>
        </w:rPr>
        <w:t xml:space="preserve"> </w:t>
      </w:r>
      <w:r>
        <w:rPr>
          <w:rFonts w:asciiTheme="majorHAnsi" w:hAnsiTheme="majorHAnsi" w:cstheme="majorHAnsi"/>
        </w:rPr>
        <w:t>While the</w:t>
      </w:r>
      <w:r w:rsidRPr="004F5637">
        <w:rPr>
          <w:rFonts w:asciiTheme="majorHAnsi" w:hAnsiTheme="majorHAnsi" w:cstheme="majorHAnsi"/>
        </w:rPr>
        <w:t xml:space="preserve"> themes identified within DP21 objectives and intended outcomes have generally been </w:t>
      </w:r>
      <w:r w:rsidR="007C4711">
        <w:rPr>
          <w:rFonts w:asciiTheme="majorHAnsi" w:hAnsiTheme="majorHAnsi" w:cstheme="majorHAnsi"/>
        </w:rPr>
        <w:t>maintained</w:t>
      </w:r>
      <w:r w:rsidRPr="004F5637">
        <w:rPr>
          <w:rFonts w:asciiTheme="majorHAnsi" w:hAnsiTheme="majorHAnsi" w:cstheme="majorHAnsi"/>
        </w:rPr>
        <w:t xml:space="preserve"> throughout the scheme’s history, there have been shifts in terminology and focus</w:t>
      </w:r>
      <w:r w:rsidR="00CC7E85">
        <w:rPr>
          <w:rFonts w:asciiTheme="majorHAnsi" w:hAnsiTheme="majorHAnsi" w:cstheme="majorHAnsi"/>
        </w:rPr>
        <w:t xml:space="preserve">. </w:t>
      </w:r>
      <w:r w:rsidR="001B2153">
        <w:rPr>
          <w:rFonts w:asciiTheme="majorHAnsi" w:hAnsiTheme="majorHAnsi" w:cstheme="majorHAnsi"/>
        </w:rPr>
        <w:t>For example, reference to applied research</w:t>
      </w:r>
      <w:r w:rsidR="00EC29DB">
        <w:rPr>
          <w:rFonts w:asciiTheme="majorHAnsi" w:hAnsiTheme="majorHAnsi" w:cstheme="majorHAnsi"/>
        </w:rPr>
        <w:t xml:space="preserve"> </w:t>
      </w:r>
      <w:r w:rsidR="003B76C1">
        <w:rPr>
          <w:rFonts w:asciiTheme="majorHAnsi" w:hAnsiTheme="majorHAnsi" w:cstheme="majorHAnsi"/>
        </w:rPr>
        <w:t xml:space="preserve">was not </w:t>
      </w:r>
      <w:r w:rsidR="00AA74C1">
        <w:rPr>
          <w:rFonts w:asciiTheme="majorHAnsi" w:hAnsiTheme="majorHAnsi" w:cstheme="majorHAnsi"/>
        </w:rPr>
        <w:t>expressly included in the</w:t>
      </w:r>
      <w:r w:rsidR="00120306">
        <w:rPr>
          <w:rFonts w:asciiTheme="majorHAnsi" w:hAnsiTheme="majorHAnsi" w:cstheme="majorHAnsi"/>
        </w:rPr>
        <w:t xml:space="preserve"> scheme’s</w:t>
      </w:r>
      <w:r w:rsidR="00CD6ABC">
        <w:rPr>
          <w:rFonts w:asciiTheme="majorHAnsi" w:hAnsiTheme="majorHAnsi" w:cstheme="majorHAnsi"/>
        </w:rPr>
        <w:t xml:space="preserve"> objectives until </w:t>
      </w:r>
      <w:r w:rsidR="001B2153">
        <w:rPr>
          <w:rFonts w:asciiTheme="majorHAnsi" w:hAnsiTheme="majorHAnsi" w:cstheme="majorHAnsi"/>
        </w:rPr>
        <w:t xml:space="preserve">DP12. </w:t>
      </w:r>
      <w:r w:rsidR="00CC7E85">
        <w:rPr>
          <w:rFonts w:asciiTheme="majorHAnsi" w:hAnsiTheme="majorHAnsi" w:cstheme="majorHAnsi"/>
        </w:rPr>
        <w:t>Data</w:t>
      </w:r>
      <w:r w:rsidRPr="004F5637">
        <w:rPr>
          <w:rFonts w:asciiTheme="majorHAnsi" w:hAnsiTheme="majorHAnsi" w:cstheme="majorHAnsi"/>
        </w:rPr>
        <w:t xml:space="preserve"> presented throughout </w:t>
      </w:r>
      <w:r>
        <w:rPr>
          <w:rFonts w:asciiTheme="majorHAnsi" w:hAnsiTheme="majorHAnsi" w:cstheme="majorHAnsi"/>
        </w:rPr>
        <w:t>this evaluation are</w:t>
      </w:r>
      <w:r w:rsidRPr="004F5637">
        <w:rPr>
          <w:rFonts w:asciiTheme="majorHAnsi" w:hAnsiTheme="majorHAnsi" w:cstheme="majorHAnsi"/>
        </w:rPr>
        <w:t xml:space="preserve"> interpreted in light of historical </w:t>
      </w:r>
      <w:r>
        <w:rPr>
          <w:rFonts w:asciiTheme="majorHAnsi" w:hAnsiTheme="majorHAnsi" w:cstheme="majorHAnsi"/>
        </w:rPr>
        <w:t>changes</w:t>
      </w:r>
      <w:r w:rsidR="00CC7E85">
        <w:rPr>
          <w:rFonts w:asciiTheme="majorHAnsi" w:hAnsiTheme="majorHAnsi" w:cstheme="majorHAnsi"/>
        </w:rPr>
        <w:t xml:space="preserve"> </w:t>
      </w:r>
      <w:r w:rsidR="00FF7AD3">
        <w:rPr>
          <w:rFonts w:asciiTheme="majorHAnsi" w:hAnsiTheme="majorHAnsi" w:cstheme="majorHAnsi"/>
        </w:rPr>
        <w:t>in</w:t>
      </w:r>
      <w:r w:rsidR="00CC7E85" w:rsidRPr="004F5637">
        <w:rPr>
          <w:rFonts w:asciiTheme="majorHAnsi" w:hAnsiTheme="majorHAnsi" w:cstheme="majorHAnsi"/>
        </w:rPr>
        <w:t xml:space="preserve"> </w:t>
      </w:r>
      <w:r w:rsidR="000872A0">
        <w:rPr>
          <w:rFonts w:asciiTheme="majorHAnsi" w:hAnsiTheme="majorHAnsi" w:cstheme="majorHAnsi"/>
        </w:rPr>
        <w:t>Discovery Projects</w:t>
      </w:r>
      <w:r w:rsidR="009A0C82">
        <w:rPr>
          <w:rFonts w:asciiTheme="majorHAnsi" w:hAnsiTheme="majorHAnsi" w:cstheme="majorHAnsi"/>
        </w:rPr>
        <w:t>’</w:t>
      </w:r>
      <w:r w:rsidR="000872A0" w:rsidRPr="004F5637">
        <w:rPr>
          <w:rFonts w:asciiTheme="majorHAnsi" w:hAnsiTheme="majorHAnsi" w:cstheme="majorHAnsi"/>
        </w:rPr>
        <w:t xml:space="preserve"> </w:t>
      </w:r>
      <w:r w:rsidR="00CC7E85" w:rsidRPr="004F5637">
        <w:rPr>
          <w:rFonts w:asciiTheme="majorHAnsi" w:hAnsiTheme="majorHAnsi" w:cstheme="majorHAnsi"/>
        </w:rPr>
        <w:t>policy settings</w:t>
      </w:r>
      <w:r w:rsidRPr="004F5637">
        <w:rPr>
          <w:rFonts w:asciiTheme="majorHAnsi" w:hAnsiTheme="majorHAnsi" w:cstheme="majorHAnsi"/>
        </w:rPr>
        <w:t>.</w:t>
      </w:r>
      <w:r>
        <w:rPr>
          <w:rFonts w:asciiTheme="majorHAnsi" w:hAnsiTheme="majorHAnsi" w:cstheme="majorHAnsi"/>
        </w:rPr>
        <w:t xml:space="preserve"> </w:t>
      </w:r>
    </w:p>
    <w:p w14:paraId="416DEF27" w14:textId="6F87E9F2" w:rsidR="00441224" w:rsidRDefault="00C165F1" w:rsidP="00C165F1">
      <w:pPr>
        <w:spacing w:after="120"/>
        <w:rPr>
          <w:rFonts w:asciiTheme="majorHAnsi" w:hAnsiTheme="majorHAnsi" w:cstheme="majorHAnsi"/>
        </w:rPr>
      </w:pPr>
      <w:r>
        <w:rPr>
          <w:rFonts w:asciiTheme="majorHAnsi" w:hAnsiTheme="majorHAnsi" w:cstheme="majorHAnsi"/>
        </w:rPr>
        <w:t>The following section</w:t>
      </w:r>
      <w:r w:rsidR="007267C9">
        <w:rPr>
          <w:rFonts w:asciiTheme="majorHAnsi" w:hAnsiTheme="majorHAnsi" w:cstheme="majorHAnsi"/>
        </w:rPr>
        <w:t>s</w:t>
      </w:r>
      <w:r>
        <w:rPr>
          <w:rFonts w:asciiTheme="majorHAnsi" w:hAnsiTheme="majorHAnsi" w:cstheme="majorHAnsi"/>
        </w:rPr>
        <w:t xml:space="preserve"> briefly outline key introductory information on Discovery Projects’ objectives and intended outcomes to support the more detailed discussion of the scheme’s effectiveness and appropriateness in Parts Three, Four and Five.</w:t>
      </w:r>
      <w:r w:rsidR="00CC7E85">
        <w:rPr>
          <w:rFonts w:asciiTheme="majorHAnsi" w:hAnsiTheme="majorHAnsi" w:cstheme="majorHAnsi"/>
        </w:rPr>
        <w:t xml:space="preserve"> </w:t>
      </w:r>
    </w:p>
    <w:p w14:paraId="4FA32F40" w14:textId="6C99F688" w:rsidR="00C165F1" w:rsidRDefault="00C165F1" w:rsidP="00C165F1">
      <w:pPr>
        <w:spacing w:after="120"/>
        <w:rPr>
          <w:rFonts w:asciiTheme="majorHAnsi" w:hAnsiTheme="majorHAnsi" w:cstheme="majorHAnsi"/>
        </w:rPr>
      </w:pPr>
      <w:r>
        <w:rPr>
          <w:rFonts w:asciiTheme="majorHAnsi" w:hAnsiTheme="majorHAnsi" w:cstheme="majorHAnsi"/>
        </w:rPr>
        <w:t>From inception, the central principle of Discovery Projects—and the NCGP as a whole—has been to support research on the basis of excellence</w:t>
      </w:r>
      <w:r w:rsidRPr="008510A4">
        <w:rPr>
          <w:rFonts w:asciiTheme="majorHAnsi" w:hAnsiTheme="majorHAnsi" w:cstheme="majorHAnsi"/>
        </w:rPr>
        <w:t>.</w:t>
      </w:r>
      <w:r w:rsidRPr="003F7778">
        <w:rPr>
          <w:rFonts w:asciiTheme="majorHAnsi" w:hAnsiTheme="majorHAnsi" w:cstheme="majorHAnsi"/>
        </w:rPr>
        <w:t xml:space="preserve"> </w:t>
      </w:r>
      <w:r>
        <w:rPr>
          <w:rFonts w:asciiTheme="majorHAnsi" w:hAnsiTheme="majorHAnsi" w:cstheme="majorHAnsi"/>
        </w:rPr>
        <w:t>Competitive peer review underpins the scheme’s allocation of funding and its efforts to achieve all objectives and intended outcomes. Discovery Projects</w:t>
      </w:r>
      <w:r w:rsidRPr="008510A4">
        <w:rPr>
          <w:rFonts w:asciiTheme="majorHAnsi" w:hAnsiTheme="majorHAnsi" w:cstheme="majorHAnsi"/>
        </w:rPr>
        <w:t xml:space="preserve"> </w:t>
      </w:r>
      <w:r>
        <w:rPr>
          <w:rFonts w:asciiTheme="majorHAnsi" w:hAnsiTheme="majorHAnsi" w:cstheme="majorHAnsi"/>
        </w:rPr>
        <w:t>funds</w:t>
      </w:r>
      <w:r w:rsidR="009937FE">
        <w:rPr>
          <w:rFonts w:asciiTheme="majorHAnsi" w:hAnsiTheme="majorHAnsi" w:cstheme="majorHAnsi"/>
        </w:rPr>
        <w:t xml:space="preserve"> excellent</w:t>
      </w:r>
      <w:r w:rsidRPr="008510A4">
        <w:rPr>
          <w:rFonts w:asciiTheme="majorHAnsi" w:hAnsiTheme="majorHAnsi" w:cstheme="majorHAnsi"/>
        </w:rPr>
        <w:t xml:space="preserve"> </w:t>
      </w:r>
      <w:r>
        <w:rPr>
          <w:rFonts w:asciiTheme="majorHAnsi" w:hAnsiTheme="majorHAnsi" w:cstheme="majorHAnsi"/>
        </w:rPr>
        <w:t>investigator-led research in a diverse range of</w:t>
      </w:r>
      <w:r w:rsidRPr="008510A4">
        <w:rPr>
          <w:rFonts w:asciiTheme="majorHAnsi" w:hAnsiTheme="majorHAnsi" w:cstheme="majorHAnsi"/>
        </w:rPr>
        <w:t xml:space="preserve"> </w:t>
      </w:r>
      <w:r>
        <w:rPr>
          <w:rFonts w:asciiTheme="majorHAnsi" w:hAnsiTheme="majorHAnsi" w:cstheme="majorHAnsi"/>
        </w:rPr>
        <w:t xml:space="preserve">disciplinary and interdisciplinary fields, encompassing both basic and applied approaches. </w:t>
      </w:r>
      <w:r w:rsidRPr="008510A4">
        <w:rPr>
          <w:rFonts w:asciiTheme="majorHAnsi" w:hAnsiTheme="majorHAnsi" w:cstheme="majorHAnsi"/>
        </w:rPr>
        <w:t>Compared to other NCGP schemes</w:t>
      </w:r>
      <w:r>
        <w:rPr>
          <w:rFonts w:asciiTheme="majorHAnsi" w:hAnsiTheme="majorHAnsi" w:cstheme="majorHAnsi"/>
        </w:rPr>
        <w:t>, it</w:t>
      </w:r>
      <w:r w:rsidRPr="008510A4">
        <w:rPr>
          <w:rFonts w:asciiTheme="majorHAnsi" w:hAnsiTheme="majorHAnsi" w:cstheme="majorHAnsi"/>
        </w:rPr>
        <w:t xml:space="preserve"> has</w:t>
      </w:r>
      <w:r>
        <w:rPr>
          <w:rFonts w:asciiTheme="majorHAnsi" w:hAnsiTheme="majorHAnsi" w:cstheme="majorHAnsi"/>
        </w:rPr>
        <w:t xml:space="preserve"> a large pool of available funding, and</w:t>
      </w:r>
      <w:r w:rsidRPr="008510A4">
        <w:rPr>
          <w:rFonts w:asciiTheme="majorHAnsi" w:hAnsiTheme="majorHAnsi" w:cstheme="majorHAnsi"/>
        </w:rPr>
        <w:t xml:space="preserve"> relatively </w:t>
      </w:r>
      <w:r>
        <w:rPr>
          <w:rFonts w:asciiTheme="majorHAnsi" w:hAnsiTheme="majorHAnsi" w:cstheme="majorHAnsi"/>
        </w:rPr>
        <w:t>broad</w:t>
      </w:r>
      <w:r w:rsidRPr="008510A4">
        <w:rPr>
          <w:rFonts w:asciiTheme="majorHAnsi" w:hAnsiTheme="majorHAnsi" w:cstheme="majorHAnsi"/>
        </w:rPr>
        <w:t xml:space="preserve"> eligibility requirements</w:t>
      </w:r>
      <w:r>
        <w:rPr>
          <w:rFonts w:asciiTheme="majorHAnsi" w:hAnsiTheme="majorHAnsi" w:cstheme="majorHAnsi"/>
        </w:rPr>
        <w:t>.</w:t>
      </w:r>
    </w:p>
    <w:p w14:paraId="425881D7" w14:textId="27A6BB7F" w:rsidR="00C165F1" w:rsidRPr="004F5637" w:rsidRDefault="00C165F1" w:rsidP="00254D36">
      <w:pPr>
        <w:pStyle w:val="Heading3"/>
        <w:numPr>
          <w:ilvl w:val="2"/>
          <w:numId w:val="14"/>
        </w:numPr>
        <w:shd w:val="clear" w:color="auto" w:fill="auto"/>
      </w:pPr>
      <w:bookmarkStart w:id="90" w:name="_Toc50533582"/>
      <w:bookmarkStart w:id="91" w:name="_Toc50553732"/>
      <w:bookmarkStart w:id="92" w:name="_Toc50554966"/>
      <w:bookmarkStart w:id="93" w:name="_Toc50618089"/>
      <w:bookmarkStart w:id="94" w:name="_Toc50618371"/>
      <w:bookmarkStart w:id="95" w:name="_Toc51916952"/>
      <w:bookmarkStart w:id="96" w:name="_Toc51918792"/>
      <w:bookmarkStart w:id="97" w:name="_Toc53557196"/>
      <w:bookmarkStart w:id="98" w:name="_Toc54699238"/>
      <w:bookmarkStart w:id="99" w:name="_Toc55544772"/>
      <w:r>
        <w:t>Objectives</w:t>
      </w:r>
      <w:bookmarkEnd w:id="90"/>
      <w:bookmarkEnd w:id="91"/>
      <w:bookmarkEnd w:id="92"/>
      <w:bookmarkEnd w:id="93"/>
      <w:bookmarkEnd w:id="94"/>
      <w:bookmarkEnd w:id="95"/>
      <w:bookmarkEnd w:id="96"/>
      <w:bookmarkEnd w:id="97"/>
      <w:bookmarkEnd w:id="98"/>
      <w:bookmarkEnd w:id="99"/>
    </w:p>
    <w:p w14:paraId="5879FBE8" w14:textId="77777777" w:rsidR="00C165F1" w:rsidRDefault="00C165F1" w:rsidP="00C165F1">
      <w:pPr>
        <w:pStyle w:val="Heading4"/>
        <w:rPr>
          <w:i w:val="0"/>
          <w:iCs/>
        </w:rPr>
      </w:pPr>
      <w:r w:rsidRPr="007F45DD">
        <w:t>S</w:t>
      </w:r>
      <w:r w:rsidRPr="00394EE3">
        <w:t>upport</w:t>
      </w:r>
      <w:r w:rsidRPr="007F45DD">
        <w:t>ing</w:t>
      </w:r>
      <w:r w:rsidRPr="00394EE3">
        <w:t xml:space="preserve"> excellent basic and applied research</w:t>
      </w:r>
      <w:r>
        <w:t xml:space="preserve"> and research training by individuals and teams</w:t>
      </w:r>
    </w:p>
    <w:p w14:paraId="5AC1D536" w14:textId="196900B8" w:rsidR="00C165F1" w:rsidRDefault="00C165F1" w:rsidP="00C165F1">
      <w:pPr>
        <w:pStyle w:val="Heading4"/>
        <w:rPr>
          <w:i w:val="0"/>
          <w:iCs/>
        </w:rPr>
      </w:pPr>
      <w:r>
        <w:rPr>
          <w:i w:val="0"/>
        </w:rPr>
        <w:t>As with all NCGP schemes, Discovery Projects</w:t>
      </w:r>
      <w:r w:rsidRPr="007F45DD">
        <w:rPr>
          <w:i w:val="0"/>
        </w:rPr>
        <w:t xml:space="preserve"> applications</w:t>
      </w:r>
      <w:r>
        <w:rPr>
          <w:i w:val="0"/>
        </w:rPr>
        <w:t xml:space="preserve"> are assessed by disciplinary experts</w:t>
      </w:r>
      <w:r w:rsidRPr="007F45DD">
        <w:rPr>
          <w:i w:val="0"/>
        </w:rPr>
        <w:t xml:space="preserve"> according to</w:t>
      </w:r>
      <w:r>
        <w:rPr>
          <w:i w:val="0"/>
        </w:rPr>
        <w:t xml:space="preserve"> </w:t>
      </w:r>
      <w:r w:rsidR="00810942">
        <w:rPr>
          <w:i w:val="0"/>
        </w:rPr>
        <w:t>assessment crit</w:t>
      </w:r>
      <w:r w:rsidRPr="007F45DD">
        <w:rPr>
          <w:i w:val="0"/>
        </w:rPr>
        <w:t xml:space="preserve">eria </w:t>
      </w:r>
      <w:r>
        <w:rPr>
          <w:i w:val="0"/>
        </w:rPr>
        <w:t>specified</w:t>
      </w:r>
      <w:r w:rsidRPr="007F45DD">
        <w:rPr>
          <w:i w:val="0"/>
        </w:rPr>
        <w:t xml:space="preserve"> within</w:t>
      </w:r>
      <w:r>
        <w:rPr>
          <w:i w:val="0"/>
        </w:rPr>
        <w:t xml:space="preserve"> </w:t>
      </w:r>
      <w:r w:rsidRPr="007F45DD">
        <w:rPr>
          <w:i w:val="0"/>
        </w:rPr>
        <w:t>Grant Guidelines.</w:t>
      </w:r>
      <w:r>
        <w:rPr>
          <w:i w:val="0"/>
        </w:rPr>
        <w:t xml:space="preserve"> As noted above, the initial policy rationale for the Discovery Program emphasised support for basic research. However, applied research has been eligible for Discovery Projects funding since inception, and has been included within scheme objectives from DP12 onwards.</w:t>
      </w:r>
    </w:p>
    <w:p w14:paraId="591D61F7" w14:textId="30DD309D" w:rsidR="00C165F1" w:rsidRDefault="00C165F1" w:rsidP="00C165F1">
      <w:pPr>
        <w:pStyle w:val="Heading4"/>
        <w:rPr>
          <w:i w:val="0"/>
          <w:iCs/>
        </w:rPr>
      </w:pPr>
      <w:r>
        <w:rPr>
          <w:i w:val="0"/>
        </w:rPr>
        <w:t xml:space="preserve">Both individual researchers and research teams have been supported throughout the history of Discovery Projects. </w:t>
      </w:r>
      <w:r w:rsidRPr="00F975AC">
        <w:rPr>
          <w:i w:val="0"/>
        </w:rPr>
        <w:t xml:space="preserve">Key principles underpinning the assessment of </w:t>
      </w:r>
      <w:r w:rsidR="00B45D56">
        <w:rPr>
          <w:i w:val="0"/>
        </w:rPr>
        <w:t xml:space="preserve">researchers </w:t>
      </w:r>
      <w:r w:rsidR="0065087E">
        <w:rPr>
          <w:i w:val="0"/>
        </w:rPr>
        <w:t>under</w:t>
      </w:r>
      <w:r w:rsidRPr="00F975AC">
        <w:rPr>
          <w:i w:val="0"/>
        </w:rPr>
        <w:t xml:space="preserve"> all NCGP schemes, including Discovery Projects, are outlined in the</w:t>
      </w:r>
      <w:r w:rsidRPr="0097164A">
        <w:rPr>
          <w:iCs/>
        </w:rPr>
        <w:t xml:space="preserve"> ARC Research Opportunity and Performance Evidence (ROPE) Statement</w:t>
      </w:r>
      <w:r w:rsidRPr="00F975AC">
        <w:rPr>
          <w:i w:val="0"/>
        </w:rPr>
        <w:t>.</w:t>
      </w:r>
      <w:r w:rsidRPr="007F45DD">
        <w:rPr>
          <w:i w:val="0"/>
        </w:rPr>
        <w:t xml:space="preserve"> </w:t>
      </w:r>
      <w:r w:rsidRPr="00F975AC">
        <w:rPr>
          <w:i w:val="0"/>
        </w:rPr>
        <w:t>The purpose of ROPE is ‘to enable evaluation of a researcher’s activities, outputs and achievements, in the context of career and life opportunities and experiences, including, where relevant, significant career interruptions.’</w:t>
      </w:r>
      <w:r w:rsidRPr="00F975AC">
        <w:rPr>
          <w:rStyle w:val="FootnoteReference"/>
          <w:i w:val="0"/>
        </w:rPr>
        <w:footnoteReference w:id="18"/>
      </w:r>
    </w:p>
    <w:p w14:paraId="11708B82" w14:textId="20E3D90C" w:rsidR="00741312" w:rsidRPr="0036548A" w:rsidRDefault="00C165F1" w:rsidP="0036548A">
      <w:pPr>
        <w:pStyle w:val="Heading4"/>
        <w:rPr>
          <w:i w:val="0"/>
        </w:rPr>
      </w:pPr>
      <w:r w:rsidRPr="007F45DD">
        <w:rPr>
          <w:i w:val="0"/>
        </w:rPr>
        <w:t xml:space="preserve">Research training is critical to </w:t>
      </w:r>
      <w:r>
        <w:rPr>
          <w:i w:val="0"/>
        </w:rPr>
        <w:t>Australia’s</w:t>
      </w:r>
      <w:r w:rsidRPr="007F45DD">
        <w:rPr>
          <w:i w:val="0"/>
        </w:rPr>
        <w:t xml:space="preserve"> performance </w:t>
      </w:r>
      <w:r>
        <w:rPr>
          <w:i w:val="0"/>
        </w:rPr>
        <w:t>in</w:t>
      </w:r>
      <w:r w:rsidRPr="007F45DD">
        <w:rPr>
          <w:i w:val="0"/>
        </w:rPr>
        <w:t xml:space="preserve"> research and innovation, and</w:t>
      </w:r>
      <w:r>
        <w:rPr>
          <w:i w:val="0"/>
        </w:rPr>
        <w:t xml:space="preserve"> to the delivery of positive </w:t>
      </w:r>
      <w:r w:rsidR="00E0117E">
        <w:rPr>
          <w:i w:val="0"/>
        </w:rPr>
        <w:t xml:space="preserve">academic and non-academic </w:t>
      </w:r>
      <w:r>
        <w:rPr>
          <w:i w:val="0"/>
        </w:rPr>
        <w:t xml:space="preserve">outcomes </w:t>
      </w:r>
      <w:r w:rsidR="00437E9B">
        <w:rPr>
          <w:i w:val="0"/>
        </w:rPr>
        <w:t>fr</w:t>
      </w:r>
      <w:r w:rsidR="00B64710">
        <w:rPr>
          <w:i w:val="0"/>
        </w:rPr>
        <w:t>om scholarship</w:t>
      </w:r>
      <w:r>
        <w:rPr>
          <w:i w:val="0"/>
        </w:rPr>
        <w:t>.</w:t>
      </w:r>
      <w:r w:rsidRPr="007F45DD">
        <w:rPr>
          <w:rStyle w:val="FootnoteReference"/>
          <w:i w:val="0"/>
        </w:rPr>
        <w:footnoteReference w:id="19"/>
      </w:r>
      <w:r w:rsidRPr="007F45DD">
        <w:rPr>
          <w:i w:val="0"/>
        </w:rPr>
        <w:t xml:space="preserve"> </w:t>
      </w:r>
      <w:r w:rsidR="007C149E">
        <w:rPr>
          <w:i w:val="0"/>
        </w:rPr>
        <w:t>Discovery Projects recognises</w:t>
      </w:r>
      <w:r w:rsidR="00B416FE">
        <w:rPr>
          <w:i w:val="0"/>
        </w:rPr>
        <w:t xml:space="preserve"> the importance of continuing to invest in the future research workforce to support the development of</w:t>
      </w:r>
      <w:r w:rsidR="007C149E">
        <w:rPr>
          <w:i w:val="0"/>
        </w:rPr>
        <w:t xml:space="preserve"> e</w:t>
      </w:r>
      <w:r w:rsidR="00BC4D28" w:rsidRPr="001E5172">
        <w:rPr>
          <w:i w:val="0"/>
        </w:rPr>
        <w:t xml:space="preserve">xcellent researchers </w:t>
      </w:r>
      <w:r w:rsidR="00B416FE">
        <w:rPr>
          <w:i w:val="0"/>
        </w:rPr>
        <w:t>capable of conducting</w:t>
      </w:r>
      <w:r w:rsidR="00BC4D28" w:rsidRPr="001E5172">
        <w:rPr>
          <w:i w:val="0"/>
        </w:rPr>
        <w:t xml:space="preserve"> excellent research.</w:t>
      </w:r>
      <w:r w:rsidR="00BC4D28">
        <w:t xml:space="preserve"> </w:t>
      </w:r>
      <w:r w:rsidR="00644D57">
        <w:rPr>
          <w:i w:val="0"/>
        </w:rPr>
        <w:t>The scheme</w:t>
      </w:r>
      <w:r w:rsidR="00B416FE">
        <w:rPr>
          <w:i w:val="0"/>
        </w:rPr>
        <w:t xml:space="preserve"> supports the delivery of training in high-quality research environments </w:t>
      </w:r>
      <w:r w:rsidR="00644D57">
        <w:rPr>
          <w:i w:val="0"/>
        </w:rPr>
        <w:t>and provides</w:t>
      </w:r>
      <w:r>
        <w:rPr>
          <w:i w:val="0"/>
        </w:rPr>
        <w:t xml:space="preserve"> stipend and project support for research trainees</w:t>
      </w:r>
      <w:r w:rsidR="00B416FE">
        <w:rPr>
          <w:i w:val="0"/>
        </w:rPr>
        <w:t>.</w:t>
      </w:r>
    </w:p>
    <w:p w14:paraId="6CF54B1A" w14:textId="77777777" w:rsidR="00C165F1" w:rsidRDefault="00C165F1" w:rsidP="00C165F1">
      <w:pPr>
        <w:pStyle w:val="Heading4"/>
      </w:pPr>
      <w:r w:rsidRPr="00394EE3">
        <w:t>Support</w:t>
      </w:r>
      <w:r w:rsidRPr="007F45DD">
        <w:t>ing</w:t>
      </w:r>
      <w:r w:rsidRPr="00394EE3">
        <w:t xml:space="preserve"> national and international research collaboration</w:t>
      </w:r>
    </w:p>
    <w:p w14:paraId="194F19DC" w14:textId="4A43244D" w:rsidR="00C165F1" w:rsidRPr="00B01A39" w:rsidRDefault="00C165F1" w:rsidP="00C165F1">
      <w:pPr>
        <w:rPr>
          <w:rFonts w:asciiTheme="majorHAnsi" w:hAnsiTheme="majorHAnsi" w:cstheme="majorHAnsi"/>
        </w:rPr>
      </w:pPr>
      <w:r w:rsidRPr="00B01A39">
        <w:rPr>
          <w:rFonts w:asciiTheme="majorHAnsi" w:hAnsiTheme="majorHAnsi" w:cstheme="majorHAnsi"/>
        </w:rPr>
        <w:t>National and international collaboration</w:t>
      </w:r>
      <w:r>
        <w:rPr>
          <w:rFonts w:asciiTheme="majorHAnsi" w:hAnsiTheme="majorHAnsi" w:cstheme="majorHAnsi"/>
        </w:rPr>
        <w:t xml:space="preserve"> has been a central feature of recent</w:t>
      </w:r>
      <w:r w:rsidRPr="00B01A39">
        <w:rPr>
          <w:rFonts w:asciiTheme="majorHAnsi" w:hAnsiTheme="majorHAnsi" w:cstheme="majorHAnsi"/>
        </w:rPr>
        <w:t xml:space="preserve"> Australian Government policy initiatives </w:t>
      </w:r>
      <w:r>
        <w:rPr>
          <w:rFonts w:asciiTheme="majorHAnsi" w:hAnsiTheme="majorHAnsi" w:cstheme="majorHAnsi"/>
        </w:rPr>
        <w:t xml:space="preserve">to improve </w:t>
      </w:r>
      <w:r w:rsidRPr="00B01A39">
        <w:rPr>
          <w:rFonts w:asciiTheme="majorHAnsi" w:hAnsiTheme="majorHAnsi" w:cstheme="majorHAnsi"/>
        </w:rPr>
        <w:t>Australian research and innovation.</w:t>
      </w:r>
      <w:r w:rsidRPr="00B01A39">
        <w:rPr>
          <w:rStyle w:val="FootnoteReference"/>
          <w:rFonts w:asciiTheme="majorHAnsi" w:hAnsiTheme="majorHAnsi" w:cstheme="majorHAnsi"/>
        </w:rPr>
        <w:footnoteReference w:id="20"/>
      </w:r>
      <w:r w:rsidRPr="00B01A39">
        <w:rPr>
          <w:rFonts w:asciiTheme="majorHAnsi" w:hAnsiTheme="majorHAnsi" w:cstheme="majorHAnsi"/>
        </w:rPr>
        <w:t xml:space="preserve"> Discovery Projects currently </w:t>
      </w:r>
      <w:r w:rsidRPr="00B01A39">
        <w:rPr>
          <w:rFonts w:asciiTheme="majorHAnsi" w:hAnsiTheme="majorHAnsi" w:cstheme="majorHAnsi"/>
        </w:rPr>
        <w:lastRenderedPageBreak/>
        <w:t xml:space="preserve">supports research conducted by national and international teams of </w:t>
      </w:r>
      <w:r>
        <w:rPr>
          <w:rFonts w:asciiTheme="majorHAnsi" w:hAnsiTheme="majorHAnsi" w:cstheme="majorHAnsi"/>
        </w:rPr>
        <w:t xml:space="preserve">university </w:t>
      </w:r>
      <w:r w:rsidRPr="00B01A39">
        <w:rPr>
          <w:rFonts w:asciiTheme="majorHAnsi" w:hAnsiTheme="majorHAnsi" w:cstheme="majorHAnsi"/>
        </w:rPr>
        <w:t xml:space="preserve">researchers, as well as collaboration between </w:t>
      </w:r>
      <w:r>
        <w:rPr>
          <w:rFonts w:asciiTheme="majorHAnsi" w:hAnsiTheme="majorHAnsi" w:cstheme="majorHAnsi"/>
        </w:rPr>
        <w:t>higher education institutions</w:t>
      </w:r>
      <w:r w:rsidRPr="00B01A39">
        <w:rPr>
          <w:rFonts w:asciiTheme="majorHAnsi" w:hAnsiTheme="majorHAnsi" w:cstheme="majorHAnsi"/>
        </w:rPr>
        <w:t xml:space="preserve"> and business, </w:t>
      </w:r>
      <w:r w:rsidR="00207886" w:rsidRPr="00B01A39">
        <w:rPr>
          <w:rFonts w:asciiTheme="majorHAnsi" w:hAnsiTheme="majorHAnsi" w:cstheme="majorHAnsi"/>
        </w:rPr>
        <w:t xml:space="preserve">government, </w:t>
      </w:r>
      <w:r w:rsidRPr="00B01A39">
        <w:rPr>
          <w:rFonts w:asciiTheme="majorHAnsi" w:hAnsiTheme="majorHAnsi" w:cstheme="majorHAnsi"/>
        </w:rPr>
        <w:t xml:space="preserve">community and other </w:t>
      </w:r>
      <w:r>
        <w:rPr>
          <w:rFonts w:asciiTheme="majorHAnsi" w:hAnsiTheme="majorHAnsi" w:cstheme="majorHAnsi"/>
        </w:rPr>
        <w:t>stakeholders</w:t>
      </w:r>
      <w:r w:rsidRPr="00B01A39">
        <w:rPr>
          <w:rFonts w:asciiTheme="majorHAnsi" w:hAnsiTheme="majorHAnsi" w:cstheme="majorHAnsi"/>
        </w:rPr>
        <w:t xml:space="preserve">. </w:t>
      </w:r>
      <w:r w:rsidR="00125465">
        <w:rPr>
          <w:rFonts w:asciiTheme="majorHAnsi" w:hAnsiTheme="majorHAnsi" w:cstheme="majorHAnsi"/>
        </w:rPr>
        <w:t>It</w:t>
      </w:r>
      <w:r>
        <w:rPr>
          <w:rFonts w:asciiTheme="majorHAnsi" w:hAnsiTheme="majorHAnsi" w:cstheme="majorHAnsi"/>
        </w:rPr>
        <w:t xml:space="preserve"> complements the</w:t>
      </w:r>
      <w:r w:rsidRPr="00B01A39">
        <w:rPr>
          <w:rFonts w:asciiTheme="majorHAnsi" w:hAnsiTheme="majorHAnsi" w:cstheme="majorHAnsi"/>
        </w:rPr>
        <w:t xml:space="preserve"> Linkage Program</w:t>
      </w:r>
      <w:r>
        <w:rPr>
          <w:rFonts w:asciiTheme="majorHAnsi" w:hAnsiTheme="majorHAnsi" w:cstheme="majorHAnsi"/>
        </w:rPr>
        <w:t>’s</w:t>
      </w:r>
      <w:r w:rsidRPr="00B01A39">
        <w:rPr>
          <w:rFonts w:asciiTheme="majorHAnsi" w:hAnsiTheme="majorHAnsi" w:cstheme="majorHAnsi"/>
        </w:rPr>
        <w:t xml:space="preserve"> </w:t>
      </w:r>
      <w:r>
        <w:rPr>
          <w:rFonts w:asciiTheme="majorHAnsi" w:hAnsiTheme="majorHAnsi" w:cstheme="majorHAnsi"/>
        </w:rPr>
        <w:t>focus on supporting</w:t>
      </w:r>
      <w:r w:rsidRPr="00B01A39">
        <w:rPr>
          <w:rFonts w:asciiTheme="majorHAnsi" w:hAnsiTheme="majorHAnsi" w:cstheme="majorHAnsi"/>
        </w:rPr>
        <w:t xml:space="preserve"> relationships between university researchers and end</w:t>
      </w:r>
      <w:r w:rsidR="00713FC4">
        <w:rPr>
          <w:rFonts w:asciiTheme="majorHAnsi" w:hAnsiTheme="majorHAnsi" w:cstheme="majorHAnsi"/>
        </w:rPr>
        <w:t xml:space="preserve"> </w:t>
      </w:r>
      <w:r w:rsidRPr="00B01A39">
        <w:rPr>
          <w:rFonts w:asciiTheme="majorHAnsi" w:hAnsiTheme="majorHAnsi" w:cstheme="majorHAnsi"/>
        </w:rPr>
        <w:t xml:space="preserve">users </w:t>
      </w:r>
      <w:r>
        <w:rPr>
          <w:rFonts w:asciiTheme="majorHAnsi" w:hAnsiTheme="majorHAnsi" w:cstheme="majorHAnsi"/>
        </w:rPr>
        <w:t xml:space="preserve">by </w:t>
      </w:r>
      <w:r w:rsidR="005C5902">
        <w:rPr>
          <w:rFonts w:asciiTheme="majorHAnsi" w:hAnsiTheme="majorHAnsi" w:cstheme="majorHAnsi"/>
        </w:rPr>
        <w:t xml:space="preserve">enabling </w:t>
      </w:r>
      <w:r>
        <w:rPr>
          <w:rFonts w:asciiTheme="majorHAnsi" w:hAnsiTheme="majorHAnsi" w:cstheme="majorHAnsi"/>
        </w:rPr>
        <w:t>the development of</w:t>
      </w:r>
      <w:r w:rsidRPr="00B01A39">
        <w:rPr>
          <w:rFonts w:asciiTheme="majorHAnsi" w:hAnsiTheme="majorHAnsi" w:cstheme="majorHAnsi"/>
        </w:rPr>
        <w:t xml:space="preserve"> national and international </w:t>
      </w:r>
      <w:r>
        <w:rPr>
          <w:rFonts w:asciiTheme="majorHAnsi" w:hAnsiTheme="majorHAnsi" w:cstheme="majorHAnsi"/>
        </w:rPr>
        <w:t xml:space="preserve">collaborative networks </w:t>
      </w:r>
      <w:r w:rsidR="005C5902">
        <w:rPr>
          <w:rFonts w:asciiTheme="majorHAnsi" w:hAnsiTheme="majorHAnsi" w:cstheme="majorHAnsi"/>
        </w:rPr>
        <w:t xml:space="preserve">primarily </w:t>
      </w:r>
      <w:r w:rsidRPr="00B01A39">
        <w:rPr>
          <w:rFonts w:asciiTheme="majorHAnsi" w:hAnsiTheme="majorHAnsi" w:cstheme="majorHAnsi"/>
        </w:rPr>
        <w:t>between scholar</w:t>
      </w:r>
      <w:r>
        <w:rPr>
          <w:rFonts w:asciiTheme="majorHAnsi" w:hAnsiTheme="majorHAnsi" w:cstheme="majorHAnsi"/>
        </w:rPr>
        <w:t>s</w:t>
      </w:r>
      <w:r w:rsidRPr="00B01A39">
        <w:rPr>
          <w:rFonts w:asciiTheme="majorHAnsi" w:hAnsiTheme="majorHAnsi" w:cstheme="majorHAnsi"/>
        </w:rPr>
        <w:t xml:space="preserve">. </w:t>
      </w:r>
    </w:p>
    <w:p w14:paraId="0A9FD8AE" w14:textId="77777777" w:rsidR="00C165F1" w:rsidRDefault="00C165F1" w:rsidP="00C165F1">
      <w:pPr>
        <w:pStyle w:val="Heading4"/>
      </w:pPr>
      <w:r w:rsidRPr="00394EE3">
        <w:t>Enhanc</w:t>
      </w:r>
      <w:r w:rsidRPr="007F45DD">
        <w:t>ing</w:t>
      </w:r>
      <w:r w:rsidRPr="00394EE3">
        <w:t xml:space="preserve"> the scale and focus of research in Australian Government priority areas</w:t>
      </w:r>
    </w:p>
    <w:p w14:paraId="314830D3" w14:textId="511E948A" w:rsidR="00C165F1" w:rsidRPr="00D8569C" w:rsidRDefault="00C165F1" w:rsidP="00C165F1">
      <w:pPr>
        <w:pStyle w:val="Heading4"/>
      </w:pPr>
      <w:r>
        <w:rPr>
          <w:i w:val="0"/>
        </w:rPr>
        <w:t>A range of Australian Government priorities exist within the national research and innovation landscape, commonly emphasising</w:t>
      </w:r>
      <w:r w:rsidRPr="008B0769">
        <w:rPr>
          <w:i w:val="0"/>
        </w:rPr>
        <w:t xml:space="preserve"> existing strengths, opportunities for further investment and/or areas of community nee</w:t>
      </w:r>
      <w:r>
        <w:rPr>
          <w:i w:val="0"/>
        </w:rPr>
        <w:t>d</w:t>
      </w:r>
      <w:r w:rsidRPr="008B0769">
        <w:rPr>
          <w:i w:val="0"/>
        </w:rPr>
        <w:t>. F</w:t>
      </w:r>
      <w:r>
        <w:rPr>
          <w:i w:val="0"/>
        </w:rPr>
        <w:t>or most of the scheme’s history</w:t>
      </w:r>
      <w:r w:rsidRPr="008B0769">
        <w:rPr>
          <w:i w:val="0"/>
        </w:rPr>
        <w:t xml:space="preserve">, Discovery Projects has </w:t>
      </w:r>
      <w:r>
        <w:rPr>
          <w:i w:val="0"/>
        </w:rPr>
        <w:t>incorporated</w:t>
      </w:r>
      <w:r w:rsidRPr="008B0769">
        <w:rPr>
          <w:i w:val="0"/>
        </w:rPr>
        <w:t xml:space="preserve"> objectives relating to enhancing the ‘scale and focus’ of research in Australian Government priority areas. At present, the National Science and Research Priorities are the only priorities directly referenced within scheme documentation.</w:t>
      </w:r>
      <w:r>
        <w:t xml:space="preserve"> </w:t>
      </w:r>
      <w:r>
        <w:rPr>
          <w:i w:val="0"/>
        </w:rPr>
        <w:t xml:space="preserve">These </w:t>
      </w:r>
      <w:r w:rsidRPr="00C75FA6">
        <w:rPr>
          <w:i w:val="0"/>
        </w:rPr>
        <w:t xml:space="preserve">were </w:t>
      </w:r>
      <w:r w:rsidR="0097164A">
        <w:rPr>
          <w:i w:val="0"/>
        </w:rPr>
        <w:t>intended</w:t>
      </w:r>
      <w:r w:rsidRPr="00C75FA6">
        <w:rPr>
          <w:i w:val="0"/>
        </w:rPr>
        <w:t xml:space="preserve"> to ‘focus government investment for science and research on the most important challenges’ and ‘help science and research efforts reflect the needs of industry, the economy and the community’.</w:t>
      </w:r>
      <w:r>
        <w:rPr>
          <w:rStyle w:val="FootnoteReference"/>
          <w:i w:val="0"/>
        </w:rPr>
        <w:footnoteReference w:id="21"/>
      </w:r>
      <w:r w:rsidRPr="00C75FA6">
        <w:rPr>
          <w:i w:val="0"/>
        </w:rPr>
        <w:t xml:space="preserve"> </w:t>
      </w:r>
      <w:r w:rsidR="00F26264">
        <w:rPr>
          <w:i w:val="0"/>
        </w:rPr>
        <w:t xml:space="preserve">Despite their inclusion in the objectives, it is not a requirement </w:t>
      </w:r>
      <w:r w:rsidR="00595B66">
        <w:rPr>
          <w:i w:val="0"/>
        </w:rPr>
        <w:t>that</w:t>
      </w:r>
      <w:r w:rsidR="00F26264">
        <w:rPr>
          <w:i w:val="0"/>
        </w:rPr>
        <w:t xml:space="preserve"> Discovery Projects applications address a</w:t>
      </w:r>
      <w:r w:rsidR="000711DA">
        <w:rPr>
          <w:i w:val="0"/>
        </w:rPr>
        <w:t xml:space="preserve"> specific</w:t>
      </w:r>
      <w:r w:rsidR="00F26264">
        <w:rPr>
          <w:i w:val="0"/>
        </w:rPr>
        <w:t xml:space="preserve"> Australian Government priority.</w:t>
      </w:r>
    </w:p>
    <w:p w14:paraId="3985EF89" w14:textId="336A490A" w:rsidR="00C165F1" w:rsidRDefault="00C165F1" w:rsidP="00254D36">
      <w:pPr>
        <w:pStyle w:val="Heading3"/>
        <w:numPr>
          <w:ilvl w:val="2"/>
          <w:numId w:val="14"/>
        </w:numPr>
        <w:shd w:val="clear" w:color="auto" w:fill="auto"/>
      </w:pPr>
      <w:bookmarkStart w:id="100" w:name="_Toc50533583"/>
      <w:bookmarkStart w:id="101" w:name="_Toc50553733"/>
      <w:bookmarkStart w:id="102" w:name="_Toc50554967"/>
      <w:bookmarkStart w:id="103" w:name="_Toc50618090"/>
      <w:bookmarkStart w:id="104" w:name="_Toc50618372"/>
      <w:bookmarkStart w:id="105" w:name="_Toc51916953"/>
      <w:bookmarkStart w:id="106" w:name="_Toc51918793"/>
      <w:bookmarkStart w:id="107" w:name="_Toc53557197"/>
      <w:bookmarkStart w:id="108" w:name="_Toc54699239"/>
      <w:bookmarkStart w:id="109" w:name="_Toc55544773"/>
      <w:r>
        <w:t>Intended outcomes</w:t>
      </w:r>
      <w:bookmarkEnd w:id="100"/>
      <w:bookmarkEnd w:id="101"/>
      <w:bookmarkEnd w:id="102"/>
      <w:bookmarkEnd w:id="103"/>
      <w:bookmarkEnd w:id="104"/>
      <w:bookmarkEnd w:id="105"/>
      <w:bookmarkEnd w:id="106"/>
      <w:bookmarkEnd w:id="107"/>
      <w:bookmarkEnd w:id="108"/>
      <w:bookmarkEnd w:id="109"/>
    </w:p>
    <w:p w14:paraId="62432F49" w14:textId="77777777" w:rsidR="00C165F1" w:rsidRDefault="00C165F1" w:rsidP="00C165F1">
      <w:pPr>
        <w:pStyle w:val="Heading4"/>
      </w:pPr>
      <w:r w:rsidRPr="00394EE3">
        <w:t>Expanded knowledge base and research capacity in Australia</w:t>
      </w:r>
    </w:p>
    <w:p w14:paraId="4679FF87" w14:textId="1C4C60B0" w:rsidR="00C165F1" w:rsidRDefault="00EC6C15" w:rsidP="00C165F1">
      <w:pPr>
        <w:pStyle w:val="Heading4"/>
        <w:rPr>
          <w:i w:val="0"/>
        </w:rPr>
      </w:pPr>
      <w:r>
        <w:rPr>
          <w:i w:val="0"/>
        </w:rPr>
        <w:t xml:space="preserve">As the </w:t>
      </w:r>
      <w:r w:rsidR="001B1095">
        <w:rPr>
          <w:i w:val="0"/>
        </w:rPr>
        <w:t xml:space="preserve">ARC’s largest scheme, </w:t>
      </w:r>
      <w:r w:rsidR="00C165F1" w:rsidRPr="0022709F">
        <w:rPr>
          <w:i w:val="0"/>
        </w:rPr>
        <w:t>Discovery Projects</w:t>
      </w:r>
      <w:r w:rsidR="00C165F1">
        <w:rPr>
          <w:i w:val="0"/>
        </w:rPr>
        <w:t xml:space="preserve"> represents a significant component of the Australian Government’s investment in </w:t>
      </w:r>
      <w:r w:rsidR="008F7197">
        <w:rPr>
          <w:i w:val="0"/>
        </w:rPr>
        <w:t xml:space="preserve">university </w:t>
      </w:r>
      <w:r w:rsidR="00C165F1">
        <w:rPr>
          <w:i w:val="0"/>
        </w:rPr>
        <w:t>research</w:t>
      </w:r>
      <w:r w:rsidR="0041186B">
        <w:rPr>
          <w:i w:val="0"/>
        </w:rPr>
        <w:t xml:space="preserve">. </w:t>
      </w:r>
      <w:r w:rsidR="00502F25">
        <w:rPr>
          <w:i w:val="0"/>
        </w:rPr>
        <w:t>It</w:t>
      </w:r>
      <w:r w:rsidR="00195A52">
        <w:rPr>
          <w:i w:val="0"/>
        </w:rPr>
        <w:t xml:space="preserve"> </w:t>
      </w:r>
      <w:r w:rsidR="003A34B1" w:rsidRPr="003A34B1">
        <w:rPr>
          <w:i w:val="0"/>
        </w:rPr>
        <w:t xml:space="preserve">is </w:t>
      </w:r>
      <w:r w:rsidR="00195A52">
        <w:rPr>
          <w:i w:val="0"/>
        </w:rPr>
        <w:t xml:space="preserve">designed to contribute to an expanded knowledge base in Australia </w:t>
      </w:r>
      <w:r w:rsidR="003A0219">
        <w:rPr>
          <w:i w:val="0"/>
        </w:rPr>
        <w:t xml:space="preserve">by supporting </w:t>
      </w:r>
      <w:r w:rsidR="00513C28">
        <w:rPr>
          <w:i w:val="0"/>
        </w:rPr>
        <w:t xml:space="preserve">peer-reviewed scholarship in a </w:t>
      </w:r>
      <w:r w:rsidR="00DD65AB">
        <w:rPr>
          <w:i w:val="0"/>
        </w:rPr>
        <w:t>wide</w:t>
      </w:r>
      <w:r w:rsidR="00513C28">
        <w:rPr>
          <w:i w:val="0"/>
        </w:rPr>
        <w:t xml:space="preserve"> </w:t>
      </w:r>
      <w:r w:rsidR="00C94C0F">
        <w:rPr>
          <w:i w:val="0"/>
        </w:rPr>
        <w:t>range of disciplines</w:t>
      </w:r>
      <w:r w:rsidR="009210AE">
        <w:rPr>
          <w:i w:val="0"/>
        </w:rPr>
        <w:t>,</w:t>
      </w:r>
      <w:r w:rsidR="00DD65AB">
        <w:rPr>
          <w:i w:val="0"/>
        </w:rPr>
        <w:t xml:space="preserve"> and </w:t>
      </w:r>
      <w:r w:rsidR="009210AE">
        <w:rPr>
          <w:i w:val="0"/>
        </w:rPr>
        <w:t>encouraging</w:t>
      </w:r>
      <w:r w:rsidR="00DD65AB">
        <w:rPr>
          <w:i w:val="0"/>
        </w:rPr>
        <w:t xml:space="preserve"> broad dissemination and use of research outputs </w:t>
      </w:r>
      <w:r w:rsidR="003B3E48">
        <w:rPr>
          <w:i w:val="0"/>
        </w:rPr>
        <w:t xml:space="preserve">and data </w:t>
      </w:r>
      <w:r w:rsidR="00EF1F08">
        <w:rPr>
          <w:i w:val="0"/>
        </w:rPr>
        <w:t xml:space="preserve">in accordance with the </w:t>
      </w:r>
      <w:r w:rsidR="00EF1F08" w:rsidRPr="00DC661C">
        <w:t>ARC</w:t>
      </w:r>
      <w:r w:rsidR="00F03B7E" w:rsidRPr="00DC661C">
        <w:t xml:space="preserve"> Open Access Policy</w:t>
      </w:r>
      <w:r w:rsidR="00F03B7E">
        <w:rPr>
          <w:i w:val="0"/>
        </w:rPr>
        <w:t>.</w:t>
      </w:r>
      <w:r w:rsidR="00217D8D">
        <w:rPr>
          <w:rStyle w:val="FootnoteReference"/>
          <w:i w:val="0"/>
        </w:rPr>
        <w:footnoteReference w:id="22"/>
      </w:r>
      <w:r w:rsidR="00F03B7E">
        <w:rPr>
          <w:i w:val="0"/>
        </w:rPr>
        <w:t xml:space="preserve"> </w:t>
      </w:r>
      <w:r w:rsidR="003A34B1" w:rsidRPr="003A34B1">
        <w:rPr>
          <w:i w:val="0"/>
        </w:rPr>
        <w:t>Th</w:t>
      </w:r>
      <w:r w:rsidR="009923C6">
        <w:rPr>
          <w:i w:val="0"/>
        </w:rPr>
        <w:t xml:space="preserve">rough the </w:t>
      </w:r>
      <w:r w:rsidR="003A34B1" w:rsidRPr="003A34B1">
        <w:rPr>
          <w:i w:val="0"/>
        </w:rPr>
        <w:t xml:space="preserve">fundamental knowledge base </w:t>
      </w:r>
      <w:r w:rsidR="009923C6">
        <w:rPr>
          <w:i w:val="0"/>
        </w:rPr>
        <w:t>it supports, the</w:t>
      </w:r>
      <w:r w:rsidR="00F03B7E">
        <w:rPr>
          <w:i w:val="0"/>
        </w:rPr>
        <w:t xml:space="preserve"> scheme</w:t>
      </w:r>
      <w:r w:rsidR="003A34B1" w:rsidRPr="003A34B1">
        <w:rPr>
          <w:i w:val="0"/>
        </w:rPr>
        <w:t xml:space="preserve"> </w:t>
      </w:r>
      <w:r w:rsidR="009923C6">
        <w:rPr>
          <w:i w:val="0"/>
        </w:rPr>
        <w:t>aims</w:t>
      </w:r>
      <w:r w:rsidR="00E22B54">
        <w:rPr>
          <w:i w:val="0"/>
        </w:rPr>
        <w:t xml:space="preserve"> to assist</w:t>
      </w:r>
      <w:r w:rsidR="003A34B1" w:rsidRPr="003A34B1">
        <w:rPr>
          <w:i w:val="0"/>
        </w:rPr>
        <w:t xml:space="preserve"> a broad range of actors in </w:t>
      </w:r>
      <w:r w:rsidR="00E22B54">
        <w:rPr>
          <w:i w:val="0"/>
        </w:rPr>
        <w:t xml:space="preserve">academic, </w:t>
      </w:r>
      <w:r w:rsidR="003A34B1" w:rsidRPr="003A34B1">
        <w:rPr>
          <w:i w:val="0"/>
        </w:rPr>
        <w:t xml:space="preserve">commercial, government, community and other settings. </w:t>
      </w:r>
    </w:p>
    <w:p w14:paraId="384FB395" w14:textId="1D860B8A" w:rsidR="00741312" w:rsidRPr="00301821" w:rsidRDefault="00C165F1" w:rsidP="00301821">
      <w:pPr>
        <w:pStyle w:val="Heading4"/>
        <w:rPr>
          <w:i w:val="0"/>
        </w:rPr>
      </w:pPr>
      <w:r w:rsidRPr="00F975AC">
        <w:rPr>
          <w:i w:val="0"/>
        </w:rPr>
        <w:t>The scheme’s contributions to</w:t>
      </w:r>
      <w:r>
        <w:rPr>
          <w:i w:val="0"/>
        </w:rPr>
        <w:t xml:space="preserve"> Australia’s</w:t>
      </w:r>
      <w:r w:rsidRPr="00F975AC">
        <w:rPr>
          <w:i w:val="0"/>
        </w:rPr>
        <w:t xml:space="preserve"> research capacity relate to the exp</w:t>
      </w:r>
      <w:r>
        <w:rPr>
          <w:i w:val="0"/>
        </w:rPr>
        <w:t>ansion of available expertise, opportunities for funding,</w:t>
      </w:r>
      <w:r w:rsidRPr="00F975AC">
        <w:rPr>
          <w:i w:val="0"/>
        </w:rPr>
        <w:t xml:space="preserve"> and the development of </w:t>
      </w:r>
      <w:r>
        <w:rPr>
          <w:i w:val="0"/>
        </w:rPr>
        <w:t>a diverse and sustainable research workforce</w:t>
      </w:r>
      <w:r w:rsidRPr="00F975AC">
        <w:rPr>
          <w:i w:val="0"/>
        </w:rPr>
        <w:t>.</w:t>
      </w:r>
      <w:r>
        <w:rPr>
          <w:rStyle w:val="FootnoteReference"/>
          <w:i w:val="0"/>
        </w:rPr>
        <w:footnoteReference w:id="23"/>
      </w:r>
      <w:r w:rsidRPr="00F975AC">
        <w:rPr>
          <w:i w:val="0"/>
        </w:rPr>
        <w:t xml:space="preserve"> </w:t>
      </w:r>
      <w:r w:rsidRPr="003B2683">
        <w:rPr>
          <w:i w:val="0"/>
        </w:rPr>
        <w:t xml:space="preserve">The </w:t>
      </w:r>
      <w:r w:rsidRPr="003F66B8">
        <w:t>ARC Research Workforce Statement</w:t>
      </w:r>
      <w:r>
        <w:rPr>
          <w:i w:val="0"/>
        </w:rPr>
        <w:t>, which traverses the entire NCGP—including Discovery Projects—</w:t>
      </w:r>
      <w:r w:rsidRPr="003B2683">
        <w:rPr>
          <w:i w:val="0"/>
        </w:rPr>
        <w:t xml:space="preserve">outlines the agency’s commitment to the development of a sustainable Australian research workforce in order to build research capacity and maintain international competitiveness. </w:t>
      </w:r>
      <w:r>
        <w:rPr>
          <w:i w:val="0"/>
        </w:rPr>
        <w:t>Discovery Projects supports</w:t>
      </w:r>
      <w:r w:rsidRPr="003B2683">
        <w:rPr>
          <w:i w:val="0"/>
        </w:rPr>
        <w:t xml:space="preserve"> this </w:t>
      </w:r>
      <w:r>
        <w:rPr>
          <w:i w:val="0"/>
        </w:rPr>
        <w:t>intended outcome</w:t>
      </w:r>
      <w:r w:rsidRPr="003B2683">
        <w:rPr>
          <w:i w:val="0"/>
        </w:rPr>
        <w:t xml:space="preserve"> by</w:t>
      </w:r>
      <w:r>
        <w:rPr>
          <w:i w:val="0"/>
        </w:rPr>
        <w:t xml:space="preserve"> providing opportunities to the Australian</w:t>
      </w:r>
      <w:r w:rsidRPr="003B2683">
        <w:rPr>
          <w:i w:val="0"/>
        </w:rPr>
        <w:t xml:space="preserve"> research workforce at all career stages.</w:t>
      </w:r>
      <w:r w:rsidRPr="003B2683">
        <w:rPr>
          <w:rStyle w:val="FootnoteReference"/>
          <w:i w:val="0"/>
        </w:rPr>
        <w:footnoteReference w:id="24"/>
      </w:r>
    </w:p>
    <w:p w14:paraId="0500E441" w14:textId="77777777" w:rsidR="00C165F1" w:rsidRDefault="00C165F1" w:rsidP="00C165F1">
      <w:pPr>
        <w:pStyle w:val="Heading4"/>
      </w:pPr>
      <w:r w:rsidRPr="00394EE3">
        <w:t>Economic, commercial, environmental, social and cultural benefits for Australia</w:t>
      </w:r>
    </w:p>
    <w:p w14:paraId="0E414ADD" w14:textId="04B1D25F" w:rsidR="00C165F1" w:rsidRDefault="00C165F1" w:rsidP="00C165F1">
      <w:pPr>
        <w:pStyle w:val="Heading4"/>
        <w:rPr>
          <w:i w:val="0"/>
          <w:iCs/>
        </w:rPr>
      </w:pPr>
      <w:r w:rsidRPr="00B46062">
        <w:rPr>
          <w:i w:val="0"/>
        </w:rPr>
        <w:t xml:space="preserve">In articulating the rationale for the establishment of the NCGP, </w:t>
      </w:r>
      <w:r w:rsidRPr="005B48CD">
        <w:t>Knowledge and Innovation</w:t>
      </w:r>
      <w:r w:rsidRPr="00B46062">
        <w:rPr>
          <w:i w:val="0"/>
        </w:rPr>
        <w:t xml:space="preserve"> </w:t>
      </w:r>
      <w:r w:rsidRPr="00265055">
        <w:rPr>
          <w:i w:val="0"/>
        </w:rPr>
        <w:t>envisaged the development of an ‘entrepreneurial’ research culture, focused on identifying ‘opportunities in new and emerging fields of research that will provide social, cultural and economic benefit’.</w:t>
      </w:r>
      <w:r>
        <w:rPr>
          <w:rStyle w:val="FootnoteReference"/>
          <w:i w:val="0"/>
        </w:rPr>
        <w:footnoteReference w:id="25"/>
      </w:r>
      <w:r>
        <w:rPr>
          <w:i w:val="0"/>
        </w:rPr>
        <w:t xml:space="preserve"> </w:t>
      </w:r>
      <w:r w:rsidR="00CD7B98">
        <w:rPr>
          <w:i w:val="0"/>
        </w:rPr>
        <w:t>T</w:t>
      </w:r>
      <w:r w:rsidR="002426F7">
        <w:rPr>
          <w:i w:val="0"/>
        </w:rPr>
        <w:t>h</w:t>
      </w:r>
      <w:r w:rsidR="00C62963">
        <w:rPr>
          <w:i w:val="0"/>
        </w:rPr>
        <w:t>e</w:t>
      </w:r>
      <w:r>
        <w:rPr>
          <w:i w:val="0"/>
        </w:rPr>
        <w:t xml:space="preserve"> </w:t>
      </w:r>
      <w:r w:rsidR="00541854">
        <w:rPr>
          <w:i w:val="0"/>
        </w:rPr>
        <w:t xml:space="preserve">Discovery Projects </w:t>
      </w:r>
      <w:r w:rsidR="00810942">
        <w:rPr>
          <w:i w:val="0"/>
        </w:rPr>
        <w:t>assessment crit</w:t>
      </w:r>
      <w:r>
        <w:rPr>
          <w:i w:val="0"/>
        </w:rPr>
        <w:t xml:space="preserve">eria </w:t>
      </w:r>
      <w:r w:rsidR="00D24F7A">
        <w:rPr>
          <w:i w:val="0"/>
        </w:rPr>
        <w:t>ask applicants to outline</w:t>
      </w:r>
      <w:r w:rsidRPr="007F45DD">
        <w:rPr>
          <w:i w:val="0"/>
        </w:rPr>
        <w:t xml:space="preserve"> </w:t>
      </w:r>
      <w:r w:rsidR="007C4FE9">
        <w:rPr>
          <w:i w:val="0"/>
        </w:rPr>
        <w:t>the benefits that will be</w:t>
      </w:r>
      <w:r>
        <w:rPr>
          <w:i w:val="0"/>
        </w:rPr>
        <w:t xml:space="preserve"> delivered </w:t>
      </w:r>
      <w:r w:rsidRPr="007F45DD">
        <w:rPr>
          <w:i w:val="0"/>
        </w:rPr>
        <w:t>through funded research</w:t>
      </w:r>
      <w:r w:rsidR="008536DB">
        <w:rPr>
          <w:i w:val="0"/>
        </w:rPr>
        <w:t xml:space="preserve"> for Australia and </w:t>
      </w:r>
      <w:r w:rsidR="0026466C">
        <w:rPr>
          <w:i w:val="0"/>
        </w:rPr>
        <w:t>international communities</w:t>
      </w:r>
      <w:r w:rsidRPr="007F45DD">
        <w:rPr>
          <w:i w:val="0"/>
        </w:rPr>
        <w:t xml:space="preserve">. This </w:t>
      </w:r>
      <w:r w:rsidR="00BE0109">
        <w:rPr>
          <w:i w:val="0"/>
        </w:rPr>
        <w:t>focus is</w:t>
      </w:r>
      <w:r w:rsidR="00BE0109" w:rsidRPr="007F45DD">
        <w:rPr>
          <w:i w:val="0"/>
        </w:rPr>
        <w:t xml:space="preserve"> </w:t>
      </w:r>
      <w:r w:rsidRPr="007F45DD">
        <w:rPr>
          <w:i w:val="0"/>
        </w:rPr>
        <w:t>inten</w:t>
      </w:r>
      <w:r>
        <w:rPr>
          <w:i w:val="0"/>
        </w:rPr>
        <w:t>ded</w:t>
      </w:r>
      <w:r w:rsidRPr="007F45DD">
        <w:rPr>
          <w:i w:val="0"/>
        </w:rPr>
        <w:t xml:space="preserve"> to </w:t>
      </w:r>
      <w:r>
        <w:rPr>
          <w:i w:val="0"/>
        </w:rPr>
        <w:t>ensure</w:t>
      </w:r>
      <w:r w:rsidRPr="007F45DD">
        <w:rPr>
          <w:i w:val="0"/>
        </w:rPr>
        <w:t xml:space="preserve"> </w:t>
      </w:r>
      <w:r w:rsidRPr="007F45DD">
        <w:rPr>
          <w:i w:val="0"/>
        </w:rPr>
        <w:lastRenderedPageBreak/>
        <w:t xml:space="preserve">public funding </w:t>
      </w:r>
      <w:r>
        <w:rPr>
          <w:i w:val="0"/>
        </w:rPr>
        <w:t>administered by the ARC</w:t>
      </w:r>
      <w:r w:rsidRPr="007F45DD">
        <w:rPr>
          <w:i w:val="0"/>
        </w:rPr>
        <w:t xml:space="preserve"> </w:t>
      </w:r>
      <w:r w:rsidR="00365F05">
        <w:rPr>
          <w:i w:val="0"/>
        </w:rPr>
        <w:t xml:space="preserve">through the scheme </w:t>
      </w:r>
      <w:r w:rsidRPr="007F45DD">
        <w:rPr>
          <w:i w:val="0"/>
        </w:rPr>
        <w:t>is returned</w:t>
      </w:r>
      <w:r>
        <w:rPr>
          <w:i w:val="0"/>
        </w:rPr>
        <w:t xml:space="preserve"> </w:t>
      </w:r>
      <w:r w:rsidRPr="007F45DD">
        <w:rPr>
          <w:i w:val="0"/>
        </w:rPr>
        <w:t xml:space="preserve">in the form of </w:t>
      </w:r>
      <w:r w:rsidR="00365F05">
        <w:rPr>
          <w:i w:val="0"/>
        </w:rPr>
        <w:t xml:space="preserve">clear and substantive </w:t>
      </w:r>
      <w:r w:rsidRPr="007F45DD">
        <w:rPr>
          <w:i w:val="0"/>
        </w:rPr>
        <w:t>economic, commercial, environmental, social and cultural benefits.</w:t>
      </w:r>
    </w:p>
    <w:p w14:paraId="79E1AB11" w14:textId="77777777" w:rsidR="00C165F1" w:rsidRPr="004F78F0" w:rsidRDefault="00C165F1" w:rsidP="00C165F1">
      <w:pPr>
        <w:jc w:val="center"/>
        <w:rPr>
          <w:i/>
          <w:iCs/>
          <w:sz w:val="16"/>
          <w:szCs w:val="16"/>
        </w:rPr>
      </w:pPr>
      <w:r w:rsidRPr="004F78F0">
        <w:rPr>
          <w:sz w:val="16"/>
          <w:szCs w:val="16"/>
        </w:rPr>
        <w:t>**********************************************************************************</w:t>
      </w:r>
    </w:p>
    <w:p w14:paraId="79BBBE8A" w14:textId="7DDC16EE" w:rsidR="00C165F1" w:rsidRDefault="00C165F1" w:rsidP="007057E6">
      <w:pPr>
        <w:spacing w:after="0"/>
      </w:pPr>
      <w:r>
        <w:rPr>
          <w:rFonts w:asciiTheme="majorHAnsi" w:hAnsiTheme="majorHAnsi" w:cstheme="majorHAnsi"/>
        </w:rPr>
        <w:t xml:space="preserve">The remainder of Part Two outlines trends in the nature, scale and focus of </w:t>
      </w:r>
      <w:r w:rsidR="003F66B8">
        <w:rPr>
          <w:rFonts w:asciiTheme="majorHAnsi" w:hAnsiTheme="majorHAnsi" w:cstheme="majorHAnsi"/>
        </w:rPr>
        <w:t xml:space="preserve">the </w:t>
      </w:r>
      <w:r>
        <w:rPr>
          <w:rFonts w:asciiTheme="majorHAnsi" w:hAnsiTheme="majorHAnsi" w:cstheme="majorHAnsi"/>
        </w:rPr>
        <w:t>Discovery Projects</w:t>
      </w:r>
      <w:r w:rsidR="003F66B8">
        <w:rPr>
          <w:rFonts w:asciiTheme="majorHAnsi" w:hAnsiTheme="majorHAnsi" w:cstheme="majorHAnsi"/>
        </w:rPr>
        <w:t xml:space="preserve"> scheme</w:t>
      </w:r>
      <w:r>
        <w:rPr>
          <w:rFonts w:asciiTheme="majorHAnsi" w:hAnsiTheme="majorHAnsi" w:cstheme="majorHAnsi"/>
        </w:rPr>
        <w:t xml:space="preserve"> in the DP02–DP20 funding rounds, primarily employing internal ARC program data from applications, funded projects and final reports. This information provides context for the evaluation of the scheme’s effectiveness in achieving its objectives (Part Three) and intended outcomes (Part Four), as well as its appropriateness (Part Five). </w:t>
      </w:r>
    </w:p>
    <w:p w14:paraId="3289AD11" w14:textId="60BF077F" w:rsidR="00C165F1" w:rsidRPr="0011271B" w:rsidRDefault="00C165F1" w:rsidP="007057E6">
      <w:pPr>
        <w:pStyle w:val="Heading2"/>
        <w:keepNext w:val="0"/>
        <w:keepLines w:val="0"/>
        <w:numPr>
          <w:ilvl w:val="1"/>
          <w:numId w:val="14"/>
        </w:numPr>
        <w:shd w:val="clear" w:color="auto" w:fill="auto"/>
        <w:spacing w:before="160" w:line="259" w:lineRule="auto"/>
        <w:ind w:left="578" w:hanging="578"/>
      </w:pPr>
      <w:bookmarkStart w:id="110" w:name="_Applications_and_funded"/>
      <w:bookmarkStart w:id="111" w:name="_Toc51918686"/>
      <w:bookmarkStart w:id="112" w:name="_Toc55544774"/>
      <w:bookmarkEnd w:id="110"/>
      <w:r>
        <w:t>Applications and funded projects</w:t>
      </w:r>
      <w:bookmarkEnd w:id="111"/>
      <w:bookmarkEnd w:id="112"/>
    </w:p>
    <w:p w14:paraId="66C1459B" w14:textId="44705686" w:rsidR="00C165F1" w:rsidRPr="0099737E" w:rsidRDefault="00C165F1" w:rsidP="00C165F1">
      <w:pPr>
        <w:rPr>
          <w:rFonts w:asciiTheme="majorHAnsi" w:hAnsiTheme="majorHAnsi" w:cstheme="majorHAnsi"/>
        </w:rPr>
      </w:pPr>
      <w:r>
        <w:rPr>
          <w:rFonts w:asciiTheme="majorHAnsi" w:hAnsiTheme="majorHAnsi" w:cstheme="majorHAnsi"/>
        </w:rPr>
        <w:t xml:space="preserve">The number of applications submitted under the Discovery Projects scheme has fluctuated over time. The period between DP02 and DP11 saw a relatively sustained increase in application numbers, growing from 3077 to 4230. This trend was interrupted in DP12, with applications dropping by 16.2 per cent in a single year to 3544. This decrease coincided with the movement of the ARC’s primary mechanism of support for Early Career Researchers from Discovery Projects to the DECRA scheme. </w:t>
      </w:r>
      <w:r w:rsidRPr="000A5AEE">
        <w:rPr>
          <w:rFonts w:asciiTheme="majorHAnsi" w:hAnsiTheme="majorHAnsi" w:cstheme="majorHAnsi"/>
        </w:rPr>
        <w:t xml:space="preserve">A </w:t>
      </w:r>
      <w:r>
        <w:rPr>
          <w:rFonts w:asciiTheme="majorHAnsi" w:hAnsiTheme="majorHAnsi" w:cstheme="majorHAnsi"/>
        </w:rPr>
        <w:t xml:space="preserve">further decline in application numbers </w:t>
      </w:r>
      <w:r w:rsidRPr="000A5AEE">
        <w:rPr>
          <w:rFonts w:asciiTheme="majorHAnsi" w:hAnsiTheme="majorHAnsi" w:cstheme="majorHAnsi"/>
        </w:rPr>
        <w:t>occurred between DP18–DP2</w:t>
      </w:r>
      <w:r>
        <w:rPr>
          <w:rFonts w:asciiTheme="majorHAnsi" w:hAnsiTheme="majorHAnsi" w:cstheme="majorHAnsi"/>
        </w:rPr>
        <w:t>0</w:t>
      </w:r>
      <w:r w:rsidRPr="000A5AEE">
        <w:rPr>
          <w:rFonts w:asciiTheme="majorHAnsi" w:hAnsiTheme="majorHAnsi" w:cstheme="majorHAnsi"/>
        </w:rPr>
        <w:t>, with the scheme receiving an average of slightly fewer than 3000</w:t>
      </w:r>
      <w:r>
        <w:rPr>
          <w:rFonts w:asciiTheme="majorHAnsi" w:hAnsiTheme="majorHAnsi" w:cstheme="majorHAnsi"/>
        </w:rPr>
        <w:t xml:space="preserve"> applications</w:t>
      </w:r>
      <w:r w:rsidRPr="000A5AEE">
        <w:rPr>
          <w:rFonts w:asciiTheme="majorHAnsi" w:hAnsiTheme="majorHAnsi" w:cstheme="majorHAnsi"/>
        </w:rPr>
        <w:t xml:space="preserve"> per year</w:t>
      </w:r>
      <w:r>
        <w:rPr>
          <w:rFonts w:asciiTheme="majorHAnsi" w:hAnsiTheme="majorHAnsi" w:cstheme="majorHAnsi"/>
        </w:rPr>
        <w:t xml:space="preserve"> throughout this period</w:t>
      </w:r>
      <w:r w:rsidRPr="000A5AEE">
        <w:rPr>
          <w:rFonts w:asciiTheme="majorHAnsi" w:hAnsiTheme="majorHAnsi" w:cstheme="majorHAnsi"/>
        </w:rPr>
        <w:t>.</w:t>
      </w:r>
      <w:r>
        <w:rPr>
          <w:rFonts w:asciiTheme="majorHAnsi" w:hAnsiTheme="majorHAnsi" w:cstheme="majorHAnsi"/>
        </w:rPr>
        <w:t xml:space="preserve"> This may have been influenced by ARC outreach efforts prior to these rounds encouraging university Research Offices to ensure that only high-quality applications are submitted for peer review, in order to reduce ARC administrative burden and improve success rates.</w:t>
      </w:r>
    </w:p>
    <w:p w14:paraId="1F9842BF" w14:textId="5F322518" w:rsidR="00C165F1" w:rsidRPr="00751469" w:rsidRDefault="00C165F1" w:rsidP="00751469">
      <w:pPr>
        <w:pStyle w:val="FigureTitle"/>
      </w:pPr>
      <w:r w:rsidRPr="00751469">
        <w:t xml:space="preserve">Figure </w:t>
      </w:r>
      <w:r w:rsidR="00857467">
        <w:fldChar w:fldCharType="begin"/>
      </w:r>
      <w:r w:rsidR="00857467">
        <w:instrText xml:space="preserve"> SEQ Figure \* ARABIC </w:instrText>
      </w:r>
      <w:r w:rsidR="00857467">
        <w:fldChar w:fldCharType="separate"/>
      </w:r>
      <w:r w:rsidR="00AB03D7">
        <w:rPr>
          <w:noProof/>
        </w:rPr>
        <w:t>1</w:t>
      </w:r>
      <w:r w:rsidR="00857467">
        <w:rPr>
          <w:noProof/>
        </w:rPr>
        <w:fldChar w:fldCharType="end"/>
      </w:r>
      <w:r w:rsidRPr="00751469">
        <w:t>: Applications submitted and funded, DP02–DP20</w:t>
      </w:r>
    </w:p>
    <w:p w14:paraId="2F456165" w14:textId="0A821756" w:rsidR="00C165F1" w:rsidRPr="000A5AEE" w:rsidRDefault="00596724" w:rsidP="00C165F1">
      <w:pPr>
        <w:rPr>
          <w:rFonts w:asciiTheme="majorHAnsi" w:hAnsiTheme="majorHAnsi" w:cstheme="majorHAnsi"/>
        </w:rPr>
      </w:pPr>
      <w:r>
        <w:rPr>
          <w:rFonts w:asciiTheme="majorHAnsi" w:hAnsiTheme="majorHAnsi" w:cstheme="majorHAnsi"/>
          <w:noProof/>
        </w:rPr>
        <w:drawing>
          <wp:inline distT="0" distB="0" distL="0" distR="0" wp14:anchorId="3FD17D6B" wp14:editId="036C9C1D">
            <wp:extent cx="5730875" cy="2255520"/>
            <wp:effectExtent l="0" t="0" r="3175" b="0"/>
            <wp:docPr id="42" name="Picture 42" descr="Figure 1 is a graph showing the number of Discovery Projects applications and funded projects by funding round between DP02 and DP20.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1 is a graph showing the number of Discovery Projects applications and funded projects by funding round between DP02 and DP20. See text above and below graph for more inform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2255520"/>
                    </a:xfrm>
                    <a:prstGeom prst="rect">
                      <a:avLst/>
                    </a:prstGeom>
                    <a:noFill/>
                  </pic:spPr>
                </pic:pic>
              </a:graphicData>
            </a:graphic>
          </wp:inline>
        </w:drawing>
      </w:r>
    </w:p>
    <w:p w14:paraId="13B62886" w14:textId="77777777" w:rsidR="00C165F1" w:rsidRPr="000A5AEE" w:rsidRDefault="00C165F1" w:rsidP="00C165F1">
      <w:pPr>
        <w:rPr>
          <w:rFonts w:asciiTheme="majorHAnsi" w:hAnsiTheme="majorHAnsi" w:cstheme="majorHAnsi"/>
          <w:sz w:val="16"/>
          <w:szCs w:val="16"/>
        </w:rPr>
      </w:pPr>
      <w:r w:rsidRPr="000A5AEE">
        <w:rPr>
          <w:rFonts w:asciiTheme="majorHAnsi" w:hAnsiTheme="majorHAnsi" w:cstheme="majorHAnsi"/>
          <w:sz w:val="16"/>
          <w:szCs w:val="16"/>
        </w:rPr>
        <w:t>Source: ARC</w:t>
      </w:r>
      <w:r>
        <w:rPr>
          <w:rFonts w:asciiTheme="majorHAnsi" w:hAnsiTheme="majorHAnsi" w:cstheme="majorHAnsi"/>
          <w:sz w:val="16"/>
          <w:szCs w:val="16"/>
        </w:rPr>
        <w:t xml:space="preserve"> administrative data</w:t>
      </w:r>
      <w:r w:rsidRPr="000A5AEE">
        <w:rPr>
          <w:rFonts w:asciiTheme="majorHAnsi" w:hAnsiTheme="majorHAnsi" w:cstheme="majorHAnsi"/>
          <w:sz w:val="16"/>
          <w:szCs w:val="16"/>
        </w:rPr>
        <w:t xml:space="preserve">. </w:t>
      </w:r>
    </w:p>
    <w:p w14:paraId="4E3D656F" w14:textId="309EBD3F" w:rsidR="00C165F1" w:rsidRDefault="00C165F1" w:rsidP="00C165F1">
      <w:pPr>
        <w:rPr>
          <w:rFonts w:asciiTheme="majorHAnsi" w:hAnsiTheme="majorHAnsi" w:cstheme="majorHAnsi"/>
        </w:rPr>
      </w:pPr>
      <w:r>
        <w:rPr>
          <w:rFonts w:asciiTheme="majorHAnsi" w:hAnsiTheme="majorHAnsi" w:cstheme="majorHAnsi"/>
        </w:rPr>
        <w:t>T</w:t>
      </w:r>
      <w:r w:rsidRPr="000A5AEE">
        <w:rPr>
          <w:rFonts w:asciiTheme="majorHAnsi" w:hAnsiTheme="majorHAnsi" w:cstheme="majorHAnsi"/>
        </w:rPr>
        <w:t xml:space="preserve">here </w:t>
      </w:r>
      <w:r>
        <w:rPr>
          <w:rFonts w:asciiTheme="majorHAnsi" w:hAnsiTheme="majorHAnsi" w:cstheme="majorHAnsi"/>
        </w:rPr>
        <w:t>was also</w:t>
      </w:r>
      <w:r w:rsidRPr="000A5AEE">
        <w:rPr>
          <w:rFonts w:asciiTheme="majorHAnsi" w:hAnsiTheme="majorHAnsi" w:cstheme="majorHAnsi"/>
        </w:rPr>
        <w:t xml:space="preserve"> a relatively steady decline in the number of proje</w:t>
      </w:r>
      <w:r>
        <w:rPr>
          <w:rFonts w:asciiTheme="majorHAnsi" w:hAnsiTheme="majorHAnsi" w:cstheme="majorHAnsi"/>
        </w:rPr>
        <w:t xml:space="preserve">cts funded under the scheme. After an initial period of growth in funded projects between DP02 and DP05 (from 792 to 1055 funded projects), the number of successful Discovery Projects applications gradually decreased, </w:t>
      </w:r>
      <w:r w:rsidR="003C4664">
        <w:rPr>
          <w:rFonts w:asciiTheme="majorHAnsi" w:hAnsiTheme="majorHAnsi" w:cstheme="majorHAnsi"/>
        </w:rPr>
        <w:t>before settling</w:t>
      </w:r>
      <w:r w:rsidR="001514F1">
        <w:rPr>
          <w:rFonts w:asciiTheme="majorHAnsi" w:hAnsiTheme="majorHAnsi" w:cstheme="majorHAnsi"/>
        </w:rPr>
        <w:t xml:space="preserve"> </w:t>
      </w:r>
      <w:r w:rsidR="006A7AD2">
        <w:rPr>
          <w:rFonts w:asciiTheme="majorHAnsi" w:hAnsiTheme="majorHAnsi" w:cstheme="majorHAnsi"/>
        </w:rPr>
        <w:t>somewhat</w:t>
      </w:r>
      <w:r w:rsidR="003C4664">
        <w:rPr>
          <w:rFonts w:asciiTheme="majorHAnsi" w:hAnsiTheme="majorHAnsi" w:cstheme="majorHAnsi"/>
        </w:rPr>
        <w:t xml:space="preserve"> </w:t>
      </w:r>
      <w:r w:rsidR="003B4872">
        <w:rPr>
          <w:rFonts w:asciiTheme="majorHAnsi" w:hAnsiTheme="majorHAnsi" w:cstheme="majorHAnsi"/>
        </w:rPr>
        <w:t>in more recent rounds (</w:t>
      </w:r>
      <w:r>
        <w:rPr>
          <w:rFonts w:asciiTheme="majorHAnsi" w:hAnsiTheme="majorHAnsi" w:cstheme="majorHAnsi"/>
        </w:rPr>
        <w:t>an average of 639.7 projects funded in DP15–DP20</w:t>
      </w:r>
      <w:r w:rsidR="003B4872">
        <w:rPr>
          <w:rFonts w:asciiTheme="majorHAnsi" w:hAnsiTheme="majorHAnsi" w:cstheme="majorHAnsi"/>
        </w:rPr>
        <w:t>)</w:t>
      </w:r>
      <w:r>
        <w:rPr>
          <w:rFonts w:asciiTheme="majorHAnsi" w:hAnsiTheme="majorHAnsi" w:cstheme="majorHAnsi"/>
        </w:rPr>
        <w:t xml:space="preserve">. This amounted to a 37.4 per cent fall in the number of projects funded between DP05 and DP20. This decline is likely to reflect a range of factors, including the fall in application numbers, increased return rates for </w:t>
      </w:r>
      <w:r w:rsidRPr="00281670">
        <w:rPr>
          <w:rFonts w:asciiTheme="majorHAnsi" w:hAnsiTheme="majorHAnsi" w:cstheme="majorHAnsi"/>
          <w:color w:val="000000" w:themeColor="text1"/>
        </w:rPr>
        <w:t xml:space="preserve">successful projects (see </w:t>
      </w:r>
      <w:hyperlink w:anchor="_Return_rates" w:history="1">
        <w:r w:rsidRPr="00281670">
          <w:rPr>
            <w:rStyle w:val="Hyperlink"/>
            <w:rFonts w:cstheme="majorHAnsi"/>
            <w:color w:val="000000" w:themeColor="text1"/>
            <w:sz w:val="22"/>
            <w:u w:val="none"/>
          </w:rPr>
          <w:t xml:space="preserve">Section </w:t>
        </w:r>
        <w:r w:rsidR="00A97D4E" w:rsidRPr="00281670">
          <w:rPr>
            <w:rStyle w:val="Hyperlink"/>
            <w:rFonts w:cstheme="majorHAnsi"/>
            <w:color w:val="000000" w:themeColor="text1"/>
            <w:sz w:val="22"/>
            <w:u w:val="none"/>
          </w:rPr>
          <w:t>2.6</w:t>
        </w:r>
      </w:hyperlink>
      <w:r w:rsidRPr="00281670">
        <w:rPr>
          <w:rFonts w:asciiTheme="majorHAnsi" w:hAnsiTheme="majorHAnsi" w:cstheme="majorHAnsi"/>
          <w:color w:val="000000" w:themeColor="text1"/>
        </w:rPr>
        <w:t xml:space="preserve">), and changes </w:t>
      </w:r>
      <w:r>
        <w:rPr>
          <w:rFonts w:asciiTheme="majorHAnsi" w:hAnsiTheme="majorHAnsi" w:cstheme="majorHAnsi"/>
        </w:rPr>
        <w:t xml:space="preserve">in the composition of the NCGP. </w:t>
      </w:r>
    </w:p>
    <w:p w14:paraId="24693B7A" w14:textId="1DB0DF42" w:rsidR="00C165F1" w:rsidRDefault="00C165F1" w:rsidP="00254D36">
      <w:pPr>
        <w:pStyle w:val="Heading2"/>
        <w:keepNext w:val="0"/>
        <w:keepLines w:val="0"/>
        <w:numPr>
          <w:ilvl w:val="1"/>
          <w:numId w:val="14"/>
        </w:numPr>
        <w:shd w:val="clear" w:color="auto" w:fill="auto"/>
        <w:spacing w:before="240" w:line="259" w:lineRule="auto"/>
        <w:ind w:left="578" w:hanging="578"/>
      </w:pPr>
      <w:bookmarkStart w:id="113" w:name="_Toc51918687"/>
      <w:bookmarkStart w:id="114" w:name="_Toc55544775"/>
      <w:r w:rsidRPr="0006444F">
        <w:rPr>
          <w:rFonts w:ascii="Calibri Light" w:hAnsi="Calibri Light"/>
        </w:rPr>
        <w:t>Success rates</w:t>
      </w:r>
      <w:bookmarkEnd w:id="113"/>
      <w:bookmarkEnd w:id="114"/>
    </w:p>
    <w:p w14:paraId="741B7D3A" w14:textId="77777777" w:rsidR="00C165F1" w:rsidRPr="0006444F" w:rsidRDefault="00C165F1" w:rsidP="00C165F1">
      <w:pPr>
        <w:rPr>
          <w:rFonts w:asciiTheme="majorHAnsi" w:hAnsiTheme="majorHAnsi" w:cstheme="majorHAnsi"/>
          <w:i/>
        </w:rPr>
      </w:pPr>
      <w:r w:rsidRPr="000A5AEE">
        <w:rPr>
          <w:rFonts w:asciiTheme="majorHAnsi" w:hAnsiTheme="majorHAnsi" w:cstheme="majorHAnsi"/>
        </w:rPr>
        <w:t xml:space="preserve">Success rates are defined as the number of </w:t>
      </w:r>
      <w:r>
        <w:rPr>
          <w:rFonts w:asciiTheme="majorHAnsi" w:hAnsiTheme="majorHAnsi" w:cstheme="majorHAnsi"/>
        </w:rPr>
        <w:t xml:space="preserve">projects funded </w:t>
      </w:r>
      <w:r w:rsidRPr="000A5AEE">
        <w:rPr>
          <w:rFonts w:asciiTheme="majorHAnsi" w:hAnsiTheme="majorHAnsi" w:cstheme="majorHAnsi"/>
        </w:rPr>
        <w:t xml:space="preserve">as a percentage of applications submitted. </w:t>
      </w:r>
      <w:r>
        <w:rPr>
          <w:rFonts w:asciiTheme="majorHAnsi" w:hAnsiTheme="majorHAnsi" w:cstheme="majorHAnsi"/>
        </w:rPr>
        <w:t xml:space="preserve">These may be affected by a range of factors, including the number of applications </w:t>
      </w:r>
      <w:r>
        <w:rPr>
          <w:rFonts w:asciiTheme="majorHAnsi" w:hAnsiTheme="majorHAnsi" w:cstheme="majorHAnsi"/>
        </w:rPr>
        <w:lastRenderedPageBreak/>
        <w:t xml:space="preserve">received, the total funding available and the funding requested by applicants. After reaching a high of 30.9 per cent in DP05, the success rate for the Discovery Projects scheme remained relatively stable, at approximately 20 per cent from DP07–DP20. </w:t>
      </w:r>
    </w:p>
    <w:p w14:paraId="5DA005F7" w14:textId="101DF750" w:rsidR="00C165F1" w:rsidRPr="0006444F" w:rsidRDefault="00C165F1" w:rsidP="00751469">
      <w:pPr>
        <w:pStyle w:val="FigureTitle"/>
        <w:rPr>
          <w:i/>
        </w:rPr>
      </w:pPr>
      <w:r w:rsidRPr="0006444F">
        <w:t xml:space="preserve">Figure </w:t>
      </w:r>
      <w:r w:rsidR="00857467">
        <w:fldChar w:fldCharType="begin"/>
      </w:r>
      <w:r w:rsidR="00857467">
        <w:instrText xml:space="preserve"> SEQ Figure \* ARABI</w:instrText>
      </w:r>
      <w:r w:rsidR="00857467">
        <w:instrText xml:space="preserve">C </w:instrText>
      </w:r>
      <w:r w:rsidR="00857467">
        <w:fldChar w:fldCharType="separate"/>
      </w:r>
      <w:r w:rsidR="00AB03D7">
        <w:rPr>
          <w:noProof/>
        </w:rPr>
        <w:t>2</w:t>
      </w:r>
      <w:r w:rsidR="00857467">
        <w:rPr>
          <w:noProof/>
        </w:rPr>
        <w:fldChar w:fldCharType="end"/>
      </w:r>
      <w:r w:rsidRPr="0006444F">
        <w:t>: Success rates, DP02–DP20</w:t>
      </w:r>
    </w:p>
    <w:p w14:paraId="5F11C426" w14:textId="58B5B54F" w:rsidR="00C165F1" w:rsidRPr="000A5AEE" w:rsidRDefault="00596724" w:rsidP="00C165F1">
      <w:pPr>
        <w:rPr>
          <w:rFonts w:asciiTheme="majorHAnsi" w:hAnsiTheme="majorHAnsi" w:cstheme="majorHAnsi"/>
          <w:b/>
        </w:rPr>
      </w:pPr>
      <w:r>
        <w:rPr>
          <w:rFonts w:asciiTheme="majorHAnsi" w:hAnsiTheme="majorHAnsi" w:cstheme="majorHAnsi"/>
          <w:b/>
          <w:noProof/>
        </w:rPr>
        <w:drawing>
          <wp:inline distT="0" distB="0" distL="0" distR="0" wp14:anchorId="52CB7199" wp14:editId="17A08123">
            <wp:extent cx="5651500" cy="2286000"/>
            <wp:effectExtent l="0" t="0" r="6350" b="0"/>
            <wp:docPr id="43" name="Picture 43" descr="Figure 2 is a graph showing Discovery Projects success rates by funding round between DP02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2 is a graph showing Discovery Projects success rates by funding round between DP02 and DP20. See text above graph for more infor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500" cy="2286000"/>
                    </a:xfrm>
                    <a:prstGeom prst="rect">
                      <a:avLst/>
                    </a:prstGeom>
                    <a:noFill/>
                  </pic:spPr>
                </pic:pic>
              </a:graphicData>
            </a:graphic>
          </wp:inline>
        </w:drawing>
      </w:r>
    </w:p>
    <w:p w14:paraId="479EC377" w14:textId="77777777" w:rsidR="00C165F1" w:rsidRDefault="00C165F1" w:rsidP="00C165F1">
      <w:pPr>
        <w:contextualSpacing/>
        <w:rPr>
          <w:rFonts w:asciiTheme="majorHAnsi" w:hAnsiTheme="majorHAnsi" w:cstheme="majorHAnsi"/>
          <w:sz w:val="16"/>
          <w:szCs w:val="16"/>
        </w:rPr>
      </w:pPr>
      <w:r>
        <w:rPr>
          <w:rFonts w:asciiTheme="majorHAnsi" w:hAnsiTheme="majorHAnsi" w:cstheme="majorHAnsi"/>
          <w:sz w:val="16"/>
          <w:szCs w:val="16"/>
        </w:rPr>
        <w:t>Source: ARC administrative data.</w:t>
      </w:r>
    </w:p>
    <w:p w14:paraId="30BD8805" w14:textId="4431128A" w:rsidR="00C165F1" w:rsidRPr="000A5AEE" w:rsidRDefault="00C165F1" w:rsidP="00254D36">
      <w:pPr>
        <w:pStyle w:val="Heading2"/>
        <w:keepNext w:val="0"/>
        <w:keepLines w:val="0"/>
        <w:numPr>
          <w:ilvl w:val="1"/>
          <w:numId w:val="14"/>
        </w:numPr>
        <w:shd w:val="clear" w:color="auto" w:fill="auto"/>
        <w:spacing w:line="259" w:lineRule="auto"/>
      </w:pPr>
      <w:bookmarkStart w:id="115" w:name="_Funding_requested_and"/>
      <w:bookmarkStart w:id="116" w:name="_Toc51918688"/>
      <w:bookmarkStart w:id="117" w:name="_Toc55544776"/>
      <w:bookmarkEnd w:id="115"/>
      <w:r w:rsidRPr="000A5AEE">
        <w:t>Funding</w:t>
      </w:r>
      <w:r>
        <w:t xml:space="preserve"> requested and awarded</w:t>
      </w:r>
      <w:bookmarkEnd w:id="116"/>
      <w:bookmarkEnd w:id="117"/>
    </w:p>
    <w:p w14:paraId="7217EED8" w14:textId="7C222CAC" w:rsidR="00C165F1" w:rsidRDefault="00C165F1" w:rsidP="00C165F1">
      <w:pPr>
        <w:rPr>
          <w:rFonts w:asciiTheme="majorHAnsi" w:hAnsiTheme="majorHAnsi" w:cstheme="majorHAnsi"/>
        </w:rPr>
      </w:pPr>
      <w:r>
        <w:rPr>
          <w:rFonts w:asciiTheme="majorHAnsi" w:hAnsiTheme="majorHAnsi" w:cstheme="majorHAnsi"/>
        </w:rPr>
        <w:t xml:space="preserve">Total funding requested under the Discovery Projects scheme </w:t>
      </w:r>
      <w:r w:rsidR="0055090C">
        <w:rPr>
          <w:rFonts w:asciiTheme="majorHAnsi" w:hAnsiTheme="majorHAnsi" w:cstheme="majorHAnsi"/>
        </w:rPr>
        <w:t xml:space="preserve">more than </w:t>
      </w:r>
      <w:r>
        <w:rPr>
          <w:rFonts w:asciiTheme="majorHAnsi" w:hAnsiTheme="majorHAnsi" w:cstheme="majorHAnsi"/>
        </w:rPr>
        <w:t xml:space="preserve">doubled between DP02 </w:t>
      </w:r>
      <w:r w:rsidR="009773B5">
        <w:rPr>
          <w:rFonts w:asciiTheme="majorHAnsi" w:hAnsiTheme="majorHAnsi" w:cstheme="majorHAnsi"/>
        </w:rPr>
        <w:t>(</w:t>
      </w:r>
      <w:r>
        <w:rPr>
          <w:rFonts w:asciiTheme="majorHAnsi" w:hAnsiTheme="majorHAnsi" w:cstheme="majorHAnsi"/>
        </w:rPr>
        <w:t>$1,014,313,394) and DP11 ($2,203,559,701),</w:t>
      </w:r>
      <w:r w:rsidR="004D226B">
        <w:rPr>
          <w:rFonts w:asciiTheme="majorHAnsi" w:hAnsiTheme="majorHAnsi" w:cstheme="majorHAnsi"/>
        </w:rPr>
        <w:t xml:space="preserve"> as a consequence of</w:t>
      </w:r>
      <w:r w:rsidR="009773B5">
        <w:rPr>
          <w:rFonts w:asciiTheme="majorHAnsi" w:hAnsiTheme="majorHAnsi" w:cstheme="majorHAnsi"/>
        </w:rPr>
        <w:t xml:space="preserve"> </w:t>
      </w:r>
      <w:r w:rsidR="004D226B">
        <w:rPr>
          <w:rFonts w:asciiTheme="majorHAnsi" w:hAnsiTheme="majorHAnsi" w:cstheme="majorHAnsi"/>
        </w:rPr>
        <w:t>increase</w:t>
      </w:r>
      <w:r w:rsidR="009773B5">
        <w:rPr>
          <w:rFonts w:asciiTheme="majorHAnsi" w:hAnsiTheme="majorHAnsi" w:cstheme="majorHAnsi"/>
        </w:rPr>
        <w:t>s both</w:t>
      </w:r>
      <w:r w:rsidR="004D226B">
        <w:rPr>
          <w:rFonts w:asciiTheme="majorHAnsi" w:hAnsiTheme="majorHAnsi" w:cstheme="majorHAnsi"/>
        </w:rPr>
        <w:t xml:space="preserve"> in</w:t>
      </w:r>
      <w:r w:rsidR="009773B5">
        <w:rPr>
          <w:rFonts w:asciiTheme="majorHAnsi" w:hAnsiTheme="majorHAnsi" w:cstheme="majorHAnsi"/>
        </w:rPr>
        <w:t xml:space="preserve"> the number of</w:t>
      </w:r>
      <w:r w:rsidR="004D226B">
        <w:rPr>
          <w:rFonts w:asciiTheme="majorHAnsi" w:hAnsiTheme="majorHAnsi" w:cstheme="majorHAnsi"/>
        </w:rPr>
        <w:t xml:space="preserve"> applications submitted and </w:t>
      </w:r>
      <w:r w:rsidR="009773B5">
        <w:rPr>
          <w:rFonts w:asciiTheme="majorHAnsi" w:hAnsiTheme="majorHAnsi" w:cstheme="majorHAnsi"/>
        </w:rPr>
        <w:t>the average amount requested per project,</w:t>
      </w:r>
      <w:r>
        <w:rPr>
          <w:rFonts w:asciiTheme="majorHAnsi" w:hAnsiTheme="majorHAnsi" w:cstheme="majorHAnsi"/>
        </w:rPr>
        <w:t xml:space="preserve"> before declining substantially in DP12 ($1,822,442,555) with the introduction of DECRA. After rising between DP13</w:t>
      </w:r>
      <w:r w:rsidR="00550887">
        <w:rPr>
          <w:rFonts w:asciiTheme="majorHAnsi" w:hAnsiTheme="majorHAnsi" w:cstheme="majorHAnsi"/>
        </w:rPr>
        <w:t xml:space="preserve"> and </w:t>
      </w:r>
      <w:r>
        <w:rPr>
          <w:rFonts w:asciiTheme="majorHAnsi" w:hAnsiTheme="majorHAnsi" w:cstheme="majorHAnsi"/>
        </w:rPr>
        <w:t>DP15 (reaching $1,950,089,142), total funding requested again fell</w:t>
      </w:r>
      <w:r w:rsidR="004D226B">
        <w:rPr>
          <w:rFonts w:asciiTheme="majorHAnsi" w:hAnsiTheme="majorHAnsi" w:cstheme="majorHAnsi"/>
        </w:rPr>
        <w:t>, reaching</w:t>
      </w:r>
      <w:r>
        <w:rPr>
          <w:rFonts w:asciiTheme="majorHAnsi" w:hAnsiTheme="majorHAnsi" w:cstheme="majorHAnsi"/>
        </w:rPr>
        <w:t xml:space="preserve"> $1,641,948,285 in DP20. </w:t>
      </w:r>
    </w:p>
    <w:p w14:paraId="18D2A49F" w14:textId="4DDD1519" w:rsidR="00B264B2" w:rsidRDefault="00B264B2" w:rsidP="00B264B2">
      <w:pPr>
        <w:rPr>
          <w:rFonts w:asciiTheme="majorHAnsi" w:hAnsiTheme="majorHAnsi" w:cstheme="majorHAnsi"/>
          <w:lang w:eastAsia="en-AU"/>
        </w:rPr>
      </w:pPr>
      <w:r>
        <w:rPr>
          <w:rFonts w:asciiTheme="majorHAnsi" w:hAnsiTheme="majorHAnsi" w:cstheme="majorHAnsi"/>
        </w:rPr>
        <w:t>T</w:t>
      </w:r>
      <w:r w:rsidRPr="000A5AEE">
        <w:rPr>
          <w:rFonts w:asciiTheme="majorHAnsi" w:hAnsiTheme="majorHAnsi" w:cstheme="majorHAnsi"/>
        </w:rPr>
        <w:t xml:space="preserve">otal funding awarded under </w:t>
      </w:r>
      <w:r>
        <w:rPr>
          <w:rFonts w:asciiTheme="majorHAnsi" w:hAnsiTheme="majorHAnsi" w:cstheme="majorHAnsi"/>
        </w:rPr>
        <w:t>the scheme followed somewhat similar trends, rising</w:t>
      </w:r>
      <w:r w:rsidRPr="000A5AEE">
        <w:rPr>
          <w:rFonts w:asciiTheme="majorHAnsi" w:hAnsiTheme="majorHAnsi" w:cstheme="majorHAnsi"/>
        </w:rPr>
        <w:t xml:space="preserve"> from </w:t>
      </w:r>
      <w:r>
        <w:rPr>
          <w:rFonts w:asciiTheme="majorHAnsi" w:hAnsiTheme="majorHAnsi" w:cstheme="majorHAnsi"/>
          <w:lang w:eastAsia="en-AU"/>
        </w:rPr>
        <w:t>$196,091,236 to $318,162,472 be</w:t>
      </w:r>
      <w:r>
        <w:rPr>
          <w:rFonts w:asciiTheme="majorHAnsi" w:hAnsiTheme="majorHAnsi" w:cstheme="majorHAnsi"/>
        </w:rPr>
        <w:t>tween DP02 and DP11</w:t>
      </w:r>
      <w:r w:rsidRPr="000A5AEE">
        <w:rPr>
          <w:rFonts w:asciiTheme="majorHAnsi" w:hAnsiTheme="majorHAnsi" w:cstheme="majorHAnsi"/>
          <w:lang w:eastAsia="en-AU"/>
        </w:rPr>
        <w:t xml:space="preserve"> (</w:t>
      </w:r>
      <w:r>
        <w:rPr>
          <w:rFonts w:asciiTheme="majorHAnsi" w:hAnsiTheme="majorHAnsi" w:cstheme="majorHAnsi"/>
          <w:lang w:eastAsia="en-AU"/>
        </w:rPr>
        <w:t>with a peak of $325,575,28</w:t>
      </w:r>
      <w:r w:rsidRPr="000A5AEE">
        <w:rPr>
          <w:rFonts w:asciiTheme="majorHAnsi" w:hAnsiTheme="majorHAnsi" w:cstheme="majorHAnsi"/>
          <w:lang w:eastAsia="en-AU"/>
        </w:rPr>
        <w:t>9 in DP10</w:t>
      </w:r>
      <w:r>
        <w:rPr>
          <w:rFonts w:asciiTheme="majorHAnsi" w:hAnsiTheme="majorHAnsi" w:cstheme="majorHAnsi"/>
          <w:lang w:eastAsia="en-AU"/>
        </w:rPr>
        <w:t>)</w:t>
      </w:r>
      <w:r w:rsidRPr="000A5AEE">
        <w:rPr>
          <w:rFonts w:asciiTheme="majorHAnsi" w:hAnsiTheme="majorHAnsi" w:cstheme="majorHAnsi"/>
          <w:lang w:eastAsia="en-AU"/>
        </w:rPr>
        <w:t>.</w:t>
      </w:r>
      <w:r>
        <w:rPr>
          <w:rFonts w:asciiTheme="majorHAnsi" w:hAnsiTheme="majorHAnsi" w:cstheme="majorHAnsi"/>
          <w:lang w:eastAsia="en-AU"/>
        </w:rPr>
        <w:t xml:space="preserve"> </w:t>
      </w:r>
      <w:r w:rsidRPr="000A5AEE">
        <w:rPr>
          <w:rFonts w:asciiTheme="majorHAnsi" w:hAnsiTheme="majorHAnsi" w:cstheme="majorHAnsi"/>
          <w:lang w:eastAsia="en-AU"/>
        </w:rPr>
        <w:t xml:space="preserve">DP12 saw a </w:t>
      </w:r>
      <w:r>
        <w:rPr>
          <w:rFonts w:asciiTheme="majorHAnsi" w:hAnsiTheme="majorHAnsi" w:cstheme="majorHAnsi"/>
          <w:lang w:eastAsia="en-AU"/>
        </w:rPr>
        <w:t>25.6 per cent fall in a single year (to $236,837,</w:t>
      </w:r>
      <w:r w:rsidRPr="000A5AEE">
        <w:rPr>
          <w:rFonts w:asciiTheme="majorHAnsi" w:hAnsiTheme="majorHAnsi" w:cstheme="majorHAnsi"/>
          <w:lang w:eastAsia="en-AU"/>
        </w:rPr>
        <w:t>254</w:t>
      </w:r>
      <w:r>
        <w:rPr>
          <w:rFonts w:asciiTheme="majorHAnsi" w:hAnsiTheme="majorHAnsi" w:cstheme="majorHAnsi"/>
          <w:lang w:eastAsia="en-AU"/>
        </w:rPr>
        <w:t>), following the introduction of DECRA</w:t>
      </w:r>
      <w:r w:rsidRPr="000A5AEE">
        <w:rPr>
          <w:rFonts w:asciiTheme="majorHAnsi" w:hAnsiTheme="majorHAnsi" w:cstheme="majorHAnsi"/>
          <w:lang w:eastAsia="en-AU"/>
        </w:rPr>
        <w:t>.</w:t>
      </w:r>
      <w:r>
        <w:rPr>
          <w:rFonts w:asciiTheme="majorHAnsi" w:hAnsiTheme="majorHAnsi" w:cstheme="majorHAnsi"/>
          <w:lang w:eastAsia="en-AU"/>
        </w:rPr>
        <w:t xml:space="preserve"> T</w:t>
      </w:r>
      <w:r w:rsidRPr="000A5AEE">
        <w:rPr>
          <w:rFonts w:asciiTheme="majorHAnsi" w:hAnsiTheme="majorHAnsi" w:cstheme="majorHAnsi"/>
          <w:lang w:eastAsia="en-AU"/>
        </w:rPr>
        <w:t xml:space="preserve">otal funding </w:t>
      </w:r>
      <w:r w:rsidR="00B82601">
        <w:rPr>
          <w:rFonts w:asciiTheme="majorHAnsi" w:hAnsiTheme="majorHAnsi" w:cstheme="majorHAnsi"/>
          <w:lang w:eastAsia="en-AU"/>
        </w:rPr>
        <w:t>then</w:t>
      </w:r>
      <w:r w:rsidR="008C1603">
        <w:rPr>
          <w:rFonts w:asciiTheme="majorHAnsi" w:hAnsiTheme="majorHAnsi" w:cstheme="majorHAnsi"/>
          <w:lang w:eastAsia="en-AU"/>
        </w:rPr>
        <w:t xml:space="preserve"> </w:t>
      </w:r>
      <w:r w:rsidRPr="000A5AEE">
        <w:rPr>
          <w:rFonts w:asciiTheme="majorHAnsi" w:hAnsiTheme="majorHAnsi" w:cstheme="majorHAnsi"/>
          <w:lang w:eastAsia="en-AU"/>
        </w:rPr>
        <w:t>remained stable</w:t>
      </w:r>
      <w:r w:rsidR="007B5A81">
        <w:rPr>
          <w:rFonts w:asciiTheme="majorHAnsi" w:hAnsiTheme="majorHAnsi" w:cstheme="majorHAnsi"/>
          <w:lang w:eastAsia="en-AU"/>
        </w:rPr>
        <w:t xml:space="preserve"> (at approximately $230</w:t>
      </w:r>
      <w:r w:rsidR="00183A7A">
        <w:rPr>
          <w:rFonts w:asciiTheme="majorHAnsi" w:hAnsiTheme="majorHAnsi" w:cstheme="majorHAnsi"/>
          <w:lang w:eastAsia="en-AU"/>
        </w:rPr>
        <w:t>,000,000– $250,000,000)</w:t>
      </w:r>
      <w:r>
        <w:rPr>
          <w:rFonts w:asciiTheme="majorHAnsi" w:hAnsiTheme="majorHAnsi" w:cstheme="majorHAnsi"/>
          <w:lang w:eastAsia="en-AU"/>
        </w:rPr>
        <w:t xml:space="preserve"> </w:t>
      </w:r>
      <w:r w:rsidR="00183A7A">
        <w:rPr>
          <w:rFonts w:asciiTheme="majorHAnsi" w:hAnsiTheme="majorHAnsi" w:cstheme="majorHAnsi"/>
          <w:lang w:eastAsia="en-AU"/>
        </w:rPr>
        <w:t xml:space="preserve">until </w:t>
      </w:r>
      <w:r>
        <w:rPr>
          <w:rFonts w:asciiTheme="majorHAnsi" w:hAnsiTheme="majorHAnsi" w:cstheme="majorHAnsi"/>
          <w:lang w:eastAsia="en-AU"/>
        </w:rPr>
        <w:t>DP18</w:t>
      </w:r>
      <w:r w:rsidRPr="000A5AEE">
        <w:rPr>
          <w:rFonts w:asciiTheme="majorHAnsi" w:hAnsiTheme="majorHAnsi" w:cstheme="majorHAnsi"/>
          <w:lang w:eastAsia="en-AU"/>
        </w:rPr>
        <w:t>, before rising in DP19 ($262,590,367) and DP20 ($284,952,924).</w:t>
      </w:r>
    </w:p>
    <w:p w14:paraId="1B32DC2B" w14:textId="53A1DE12" w:rsidR="00C165F1" w:rsidRPr="004C2707" w:rsidRDefault="00C165F1" w:rsidP="00751469">
      <w:pPr>
        <w:pStyle w:val="FigureTitle"/>
        <w:rPr>
          <w:i/>
          <w:color w:val="auto"/>
        </w:rPr>
      </w:pPr>
      <w:r w:rsidRPr="004C2707">
        <w:t xml:space="preserve">Figure </w:t>
      </w:r>
      <w:r w:rsidR="00857467">
        <w:fldChar w:fldCharType="begin"/>
      </w:r>
      <w:r w:rsidR="00857467">
        <w:instrText xml:space="preserve"> SEQ Figure \* ARABIC </w:instrText>
      </w:r>
      <w:r w:rsidR="00857467">
        <w:fldChar w:fldCharType="separate"/>
      </w:r>
      <w:r w:rsidR="00AB03D7">
        <w:rPr>
          <w:noProof/>
        </w:rPr>
        <w:t>3</w:t>
      </w:r>
      <w:r w:rsidR="00857467">
        <w:rPr>
          <w:noProof/>
        </w:rPr>
        <w:fldChar w:fldCharType="end"/>
      </w:r>
      <w:r w:rsidRPr="004C2707">
        <w:t xml:space="preserve">: Total funding </w:t>
      </w:r>
      <w:r>
        <w:t>requested</w:t>
      </w:r>
      <w:r w:rsidR="001736EE">
        <w:t xml:space="preserve"> and </w:t>
      </w:r>
      <w:r>
        <w:t>awarded, DP02–DP20</w:t>
      </w:r>
    </w:p>
    <w:p w14:paraId="09350F4D" w14:textId="16BAE717" w:rsidR="00C165F1" w:rsidRPr="000A5AEE" w:rsidRDefault="000E5749" w:rsidP="00C165F1">
      <w:pPr>
        <w:rPr>
          <w:rFonts w:asciiTheme="majorHAnsi" w:hAnsiTheme="majorHAnsi" w:cstheme="majorHAnsi"/>
        </w:rPr>
      </w:pPr>
      <w:r>
        <w:rPr>
          <w:rFonts w:asciiTheme="majorHAnsi" w:hAnsiTheme="majorHAnsi" w:cstheme="majorHAnsi"/>
          <w:noProof/>
        </w:rPr>
        <w:drawing>
          <wp:inline distT="0" distB="0" distL="0" distR="0" wp14:anchorId="680B717D" wp14:editId="0FDF419A">
            <wp:extent cx="5730875" cy="2426335"/>
            <wp:effectExtent l="0" t="0" r="3175" b="0"/>
            <wp:docPr id="44" name="Picture 44" descr="Figure 3 is a graph showing the total amount of funding requested and awarded under Discovery Projects between DP02 and DP20. See text above th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3 is a graph showing the total amount of funding requested and awarded under Discovery Projects between DP02 and DP20. See text above the graph for more inform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426335"/>
                    </a:xfrm>
                    <a:prstGeom prst="rect">
                      <a:avLst/>
                    </a:prstGeom>
                    <a:noFill/>
                  </pic:spPr>
                </pic:pic>
              </a:graphicData>
            </a:graphic>
          </wp:inline>
        </w:drawing>
      </w:r>
    </w:p>
    <w:p w14:paraId="5398C0DB" w14:textId="6C11472D" w:rsidR="00C165F1" w:rsidRDefault="00C165F1" w:rsidP="00C165F1">
      <w:pPr>
        <w:rPr>
          <w:rFonts w:asciiTheme="majorHAnsi" w:hAnsiTheme="majorHAnsi" w:cstheme="majorHAnsi"/>
          <w:sz w:val="16"/>
          <w:szCs w:val="16"/>
          <w:lang w:eastAsia="en-AU"/>
        </w:rPr>
      </w:pPr>
      <w:r w:rsidRPr="000A5AEE">
        <w:rPr>
          <w:rFonts w:asciiTheme="majorHAnsi" w:hAnsiTheme="majorHAnsi" w:cstheme="majorHAnsi"/>
          <w:sz w:val="16"/>
          <w:szCs w:val="16"/>
          <w:lang w:eastAsia="en-AU"/>
        </w:rPr>
        <w:t>Source: ARC</w:t>
      </w:r>
      <w:r>
        <w:rPr>
          <w:rFonts w:asciiTheme="majorHAnsi" w:hAnsiTheme="majorHAnsi" w:cstheme="majorHAnsi"/>
          <w:sz w:val="16"/>
          <w:szCs w:val="16"/>
          <w:lang w:eastAsia="en-AU"/>
        </w:rPr>
        <w:t xml:space="preserve"> administrative data</w:t>
      </w:r>
      <w:r w:rsidRPr="000A5AEE">
        <w:rPr>
          <w:rFonts w:asciiTheme="majorHAnsi" w:hAnsiTheme="majorHAnsi" w:cstheme="majorHAnsi"/>
          <w:sz w:val="16"/>
          <w:szCs w:val="16"/>
          <w:lang w:eastAsia="en-AU"/>
        </w:rPr>
        <w:t xml:space="preserve">. </w:t>
      </w:r>
      <w:r w:rsidRPr="000A5AEE">
        <w:rPr>
          <w:rFonts w:asciiTheme="majorHAnsi" w:hAnsiTheme="majorHAnsi" w:cstheme="majorHAnsi"/>
          <w:i/>
          <w:sz w:val="16"/>
          <w:szCs w:val="16"/>
          <w:lang w:eastAsia="en-AU"/>
        </w:rPr>
        <w:t xml:space="preserve">Note: </w:t>
      </w:r>
      <w:r>
        <w:rPr>
          <w:rFonts w:asciiTheme="majorHAnsi" w:hAnsiTheme="majorHAnsi" w:cstheme="majorHAnsi"/>
          <w:i/>
          <w:sz w:val="16"/>
          <w:szCs w:val="16"/>
          <w:lang w:eastAsia="en-AU"/>
        </w:rPr>
        <w:t>Funding data</w:t>
      </w:r>
      <w:r w:rsidRPr="000A5AEE">
        <w:rPr>
          <w:rFonts w:asciiTheme="majorHAnsi" w:hAnsiTheme="majorHAnsi" w:cstheme="majorHAnsi"/>
          <w:i/>
          <w:sz w:val="16"/>
          <w:szCs w:val="16"/>
          <w:lang w:eastAsia="en-AU"/>
        </w:rPr>
        <w:t xml:space="preserve"> reflect funding amounts at the time of announcement</w:t>
      </w:r>
      <w:r w:rsidR="00370DD1">
        <w:rPr>
          <w:rFonts w:asciiTheme="majorHAnsi" w:hAnsiTheme="majorHAnsi" w:cstheme="majorHAnsi"/>
          <w:i/>
          <w:sz w:val="16"/>
          <w:szCs w:val="16"/>
          <w:lang w:eastAsia="en-AU"/>
        </w:rPr>
        <w:t>, and have not been adjusted for inflation</w:t>
      </w:r>
      <w:r w:rsidRPr="000A5AEE">
        <w:rPr>
          <w:rFonts w:asciiTheme="majorHAnsi" w:hAnsiTheme="majorHAnsi" w:cstheme="majorHAnsi"/>
          <w:i/>
          <w:sz w:val="16"/>
          <w:szCs w:val="16"/>
          <w:lang w:eastAsia="en-AU"/>
        </w:rPr>
        <w:t xml:space="preserve">. </w:t>
      </w:r>
    </w:p>
    <w:p w14:paraId="427FC761" w14:textId="77777777" w:rsidR="008B39F1" w:rsidRPr="008B39F1" w:rsidRDefault="008B39F1" w:rsidP="008B39F1">
      <w:pPr>
        <w:pStyle w:val="ListParagraph"/>
        <w:keepNext/>
        <w:keepLines/>
        <w:numPr>
          <w:ilvl w:val="0"/>
          <w:numId w:val="21"/>
        </w:numPr>
        <w:shd w:val="clear" w:color="auto" w:fill="FFFFFF" w:themeFill="background1"/>
        <w:spacing w:before="480" w:after="60" w:line="264" w:lineRule="auto"/>
        <w:contextualSpacing w:val="0"/>
        <w:outlineLvl w:val="0"/>
        <w:rPr>
          <w:rStyle w:val="CommentReference"/>
          <w:rFonts w:ascii="Arial" w:eastAsiaTheme="minorEastAsia" w:hAnsi="Arial" w:cstheme="majorHAnsi"/>
          <w:b/>
          <w:vanish/>
          <w:color w:val="auto"/>
          <w:lang w:eastAsia="en-AU"/>
        </w:rPr>
      </w:pPr>
      <w:bookmarkStart w:id="118" w:name="_Toc51916957"/>
      <w:bookmarkStart w:id="119" w:name="_Toc51918797"/>
      <w:bookmarkStart w:id="120" w:name="_Toc51918689"/>
      <w:bookmarkStart w:id="121" w:name="_Toc51916958"/>
      <w:bookmarkStart w:id="122" w:name="_Toc51918798"/>
      <w:bookmarkStart w:id="123" w:name="_Toc51918690"/>
      <w:bookmarkStart w:id="124" w:name="_Toc53557201"/>
      <w:bookmarkStart w:id="125" w:name="_Toc54699243"/>
      <w:bookmarkStart w:id="126" w:name="_Toc55544777"/>
      <w:bookmarkEnd w:id="118"/>
      <w:bookmarkEnd w:id="119"/>
      <w:bookmarkEnd w:id="120"/>
      <w:bookmarkEnd w:id="121"/>
      <w:bookmarkEnd w:id="122"/>
      <w:bookmarkEnd w:id="123"/>
      <w:bookmarkEnd w:id="124"/>
      <w:bookmarkEnd w:id="125"/>
      <w:bookmarkEnd w:id="126"/>
    </w:p>
    <w:p w14:paraId="03BDC9AB" w14:textId="77777777" w:rsidR="008B39F1" w:rsidRPr="008B39F1" w:rsidRDefault="008B39F1" w:rsidP="008B39F1">
      <w:pPr>
        <w:pStyle w:val="ListParagraph"/>
        <w:keepNext/>
        <w:keepLines/>
        <w:numPr>
          <w:ilvl w:val="1"/>
          <w:numId w:val="21"/>
        </w:numPr>
        <w:shd w:val="clear" w:color="auto" w:fill="FFFFFF" w:themeFill="background1"/>
        <w:spacing w:after="160" w:line="264" w:lineRule="auto"/>
        <w:contextualSpacing w:val="0"/>
        <w:outlineLvl w:val="1"/>
        <w:rPr>
          <w:rStyle w:val="CommentReference"/>
          <w:rFonts w:ascii="Arial" w:eastAsiaTheme="minorEastAsia" w:hAnsi="Arial" w:cstheme="majorHAnsi"/>
          <w:b/>
          <w:vanish/>
          <w:color w:val="auto"/>
          <w:lang w:eastAsia="en-AU"/>
        </w:rPr>
      </w:pPr>
      <w:bookmarkStart w:id="127" w:name="_Toc51916959"/>
      <w:bookmarkStart w:id="128" w:name="_Toc51918799"/>
      <w:bookmarkStart w:id="129" w:name="_Toc51918691"/>
      <w:bookmarkStart w:id="130" w:name="_Toc53557202"/>
      <w:bookmarkStart w:id="131" w:name="_Toc54699244"/>
      <w:bookmarkStart w:id="132" w:name="_Toc55544778"/>
      <w:bookmarkEnd w:id="127"/>
      <w:bookmarkEnd w:id="128"/>
      <w:bookmarkEnd w:id="129"/>
      <w:bookmarkEnd w:id="130"/>
      <w:bookmarkEnd w:id="131"/>
      <w:bookmarkEnd w:id="132"/>
    </w:p>
    <w:p w14:paraId="2E48060E" w14:textId="77777777" w:rsidR="008B39F1" w:rsidRPr="008B39F1" w:rsidRDefault="008B39F1" w:rsidP="008B39F1">
      <w:pPr>
        <w:pStyle w:val="ListParagraph"/>
        <w:keepNext/>
        <w:keepLines/>
        <w:numPr>
          <w:ilvl w:val="1"/>
          <w:numId w:val="21"/>
        </w:numPr>
        <w:shd w:val="clear" w:color="auto" w:fill="FFFFFF" w:themeFill="background1"/>
        <w:spacing w:after="160" w:line="264" w:lineRule="auto"/>
        <w:contextualSpacing w:val="0"/>
        <w:outlineLvl w:val="1"/>
        <w:rPr>
          <w:rStyle w:val="CommentReference"/>
          <w:rFonts w:ascii="Arial" w:eastAsiaTheme="minorEastAsia" w:hAnsi="Arial" w:cstheme="majorHAnsi"/>
          <w:b/>
          <w:vanish/>
          <w:color w:val="auto"/>
          <w:lang w:eastAsia="en-AU"/>
        </w:rPr>
      </w:pPr>
      <w:bookmarkStart w:id="133" w:name="_Toc51916960"/>
      <w:bookmarkStart w:id="134" w:name="_Toc51918800"/>
      <w:bookmarkStart w:id="135" w:name="_Toc51918692"/>
      <w:bookmarkStart w:id="136" w:name="_Toc53557203"/>
      <w:bookmarkStart w:id="137" w:name="_Toc54699245"/>
      <w:bookmarkStart w:id="138" w:name="_Toc55544779"/>
      <w:bookmarkEnd w:id="133"/>
      <w:bookmarkEnd w:id="134"/>
      <w:bookmarkEnd w:id="135"/>
      <w:bookmarkEnd w:id="136"/>
      <w:bookmarkEnd w:id="137"/>
      <w:bookmarkEnd w:id="138"/>
    </w:p>
    <w:p w14:paraId="22CD298F" w14:textId="77777777" w:rsidR="008B39F1" w:rsidRPr="008B39F1" w:rsidRDefault="008B39F1" w:rsidP="008B39F1">
      <w:pPr>
        <w:pStyle w:val="ListParagraph"/>
        <w:keepNext/>
        <w:keepLines/>
        <w:numPr>
          <w:ilvl w:val="1"/>
          <w:numId w:val="21"/>
        </w:numPr>
        <w:shd w:val="clear" w:color="auto" w:fill="FFFFFF" w:themeFill="background1"/>
        <w:spacing w:after="160" w:line="264" w:lineRule="auto"/>
        <w:contextualSpacing w:val="0"/>
        <w:outlineLvl w:val="1"/>
        <w:rPr>
          <w:rStyle w:val="CommentReference"/>
          <w:rFonts w:ascii="Arial" w:eastAsiaTheme="minorEastAsia" w:hAnsi="Arial" w:cstheme="majorHAnsi"/>
          <w:b/>
          <w:vanish/>
          <w:color w:val="auto"/>
          <w:lang w:eastAsia="en-AU"/>
        </w:rPr>
      </w:pPr>
      <w:bookmarkStart w:id="139" w:name="_Toc51916961"/>
      <w:bookmarkStart w:id="140" w:name="_Toc51918801"/>
      <w:bookmarkStart w:id="141" w:name="_Toc51918693"/>
      <w:bookmarkStart w:id="142" w:name="_Toc53557204"/>
      <w:bookmarkStart w:id="143" w:name="_Toc54699246"/>
      <w:bookmarkStart w:id="144" w:name="_Toc55544780"/>
      <w:bookmarkEnd w:id="139"/>
      <w:bookmarkEnd w:id="140"/>
      <w:bookmarkEnd w:id="141"/>
      <w:bookmarkEnd w:id="142"/>
      <w:bookmarkEnd w:id="143"/>
      <w:bookmarkEnd w:id="144"/>
    </w:p>
    <w:p w14:paraId="6B331934" w14:textId="77777777" w:rsidR="008B39F1" w:rsidRPr="008B39F1" w:rsidRDefault="008B39F1" w:rsidP="008B39F1">
      <w:pPr>
        <w:pStyle w:val="ListParagraph"/>
        <w:keepNext/>
        <w:keepLines/>
        <w:numPr>
          <w:ilvl w:val="1"/>
          <w:numId w:val="21"/>
        </w:numPr>
        <w:shd w:val="clear" w:color="auto" w:fill="FFFFFF" w:themeFill="background1"/>
        <w:spacing w:after="160" w:line="264" w:lineRule="auto"/>
        <w:contextualSpacing w:val="0"/>
        <w:outlineLvl w:val="1"/>
        <w:rPr>
          <w:rStyle w:val="CommentReference"/>
          <w:rFonts w:ascii="Arial" w:eastAsiaTheme="minorEastAsia" w:hAnsi="Arial" w:cstheme="majorHAnsi"/>
          <w:b/>
          <w:vanish/>
          <w:color w:val="auto"/>
          <w:lang w:eastAsia="en-AU"/>
        </w:rPr>
      </w:pPr>
      <w:bookmarkStart w:id="145" w:name="_Toc51916962"/>
      <w:bookmarkStart w:id="146" w:name="_Toc51918802"/>
      <w:bookmarkStart w:id="147" w:name="_Toc51918694"/>
      <w:bookmarkStart w:id="148" w:name="_Toc53557205"/>
      <w:bookmarkStart w:id="149" w:name="_Toc54699247"/>
      <w:bookmarkStart w:id="150" w:name="_Toc55544781"/>
      <w:bookmarkEnd w:id="145"/>
      <w:bookmarkEnd w:id="146"/>
      <w:bookmarkEnd w:id="147"/>
      <w:bookmarkEnd w:id="148"/>
      <w:bookmarkEnd w:id="149"/>
      <w:bookmarkEnd w:id="150"/>
    </w:p>
    <w:p w14:paraId="11797FE2" w14:textId="77777777" w:rsidR="008B39F1" w:rsidRPr="008B39F1" w:rsidRDefault="008B39F1" w:rsidP="008B39F1">
      <w:pPr>
        <w:pStyle w:val="ListParagraph"/>
        <w:keepNext/>
        <w:keepLines/>
        <w:numPr>
          <w:ilvl w:val="1"/>
          <w:numId w:val="21"/>
        </w:numPr>
        <w:shd w:val="clear" w:color="auto" w:fill="FFFFFF" w:themeFill="background1"/>
        <w:spacing w:after="160" w:line="264" w:lineRule="auto"/>
        <w:contextualSpacing w:val="0"/>
        <w:outlineLvl w:val="1"/>
        <w:rPr>
          <w:rStyle w:val="CommentReference"/>
          <w:rFonts w:ascii="Arial" w:eastAsiaTheme="minorEastAsia" w:hAnsi="Arial" w:cstheme="majorHAnsi"/>
          <w:b/>
          <w:vanish/>
          <w:color w:val="auto"/>
          <w:lang w:eastAsia="en-AU"/>
        </w:rPr>
      </w:pPr>
      <w:bookmarkStart w:id="151" w:name="_Toc51916963"/>
      <w:bookmarkStart w:id="152" w:name="_Toc51918803"/>
      <w:bookmarkStart w:id="153" w:name="_Toc51918695"/>
      <w:bookmarkStart w:id="154" w:name="_Toc53557206"/>
      <w:bookmarkStart w:id="155" w:name="_Toc54699248"/>
      <w:bookmarkStart w:id="156" w:name="_Toc55544782"/>
      <w:bookmarkEnd w:id="151"/>
      <w:bookmarkEnd w:id="152"/>
      <w:bookmarkEnd w:id="153"/>
      <w:bookmarkEnd w:id="154"/>
      <w:bookmarkEnd w:id="155"/>
      <w:bookmarkEnd w:id="156"/>
    </w:p>
    <w:p w14:paraId="67142240" w14:textId="47A2C568" w:rsidR="00C165F1" w:rsidRPr="0006444F" w:rsidRDefault="00C165F1" w:rsidP="008B39F1">
      <w:pPr>
        <w:pStyle w:val="Heading2"/>
      </w:pPr>
      <w:bookmarkStart w:id="157" w:name="_Return_rates"/>
      <w:bookmarkStart w:id="158" w:name="_Toc51918696"/>
      <w:bookmarkStart w:id="159" w:name="_Toc55544783"/>
      <w:bookmarkEnd w:id="157"/>
      <w:r w:rsidRPr="0006444F">
        <w:t>Return rates</w:t>
      </w:r>
      <w:bookmarkEnd w:id="158"/>
      <w:bookmarkEnd w:id="159"/>
    </w:p>
    <w:p w14:paraId="0A72DF79" w14:textId="30124AE9" w:rsidR="00C165F1" w:rsidRDefault="00C165F1" w:rsidP="00C165F1">
      <w:pPr>
        <w:rPr>
          <w:rFonts w:asciiTheme="majorHAnsi" w:hAnsiTheme="majorHAnsi" w:cstheme="majorHAnsi"/>
        </w:rPr>
      </w:pPr>
      <w:r>
        <w:rPr>
          <w:rFonts w:asciiTheme="majorHAnsi" w:hAnsiTheme="majorHAnsi" w:cstheme="majorHAnsi"/>
        </w:rPr>
        <w:t xml:space="preserve">Budgets for successful applications are assessed as part of the ARC’s peer review </w:t>
      </w:r>
      <w:r w:rsidRPr="00607DD0">
        <w:rPr>
          <w:rFonts w:asciiTheme="majorHAnsi" w:hAnsiTheme="majorHAnsi" w:cstheme="majorHAnsi"/>
        </w:rPr>
        <w:t xml:space="preserve">processes. </w:t>
      </w:r>
      <w:r w:rsidRPr="00501DA1">
        <w:rPr>
          <w:rFonts w:asciiTheme="majorHAnsi" w:hAnsiTheme="majorHAnsi" w:cstheme="majorHAnsi"/>
        </w:rPr>
        <w:fldChar w:fldCharType="begin"/>
      </w:r>
      <w:r w:rsidRPr="005C09F8">
        <w:rPr>
          <w:rFonts w:asciiTheme="majorHAnsi" w:hAnsiTheme="majorHAnsi" w:cstheme="majorHAnsi"/>
        </w:rPr>
        <w:instrText xml:space="preserve"> REF _Ref49760791 \h </w:instrText>
      </w:r>
      <w:r w:rsidRPr="0006444F">
        <w:rPr>
          <w:rFonts w:asciiTheme="majorHAnsi" w:hAnsiTheme="majorHAnsi" w:cstheme="majorHAnsi"/>
        </w:rPr>
        <w:instrText xml:space="preserve"> \* MERGEFORMAT </w:instrText>
      </w:r>
      <w:r w:rsidRPr="00501DA1">
        <w:rPr>
          <w:rFonts w:asciiTheme="majorHAnsi" w:hAnsiTheme="majorHAnsi" w:cstheme="majorHAnsi"/>
        </w:rPr>
      </w:r>
      <w:r w:rsidRPr="00501DA1">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4</w:t>
      </w:r>
      <w:r w:rsidR="00AB03D7" w:rsidRPr="0006444F">
        <w:t>:</w:t>
      </w:r>
      <w:r w:rsidRPr="00501DA1">
        <w:rPr>
          <w:rFonts w:asciiTheme="majorHAnsi" w:hAnsiTheme="majorHAnsi" w:cstheme="majorHAnsi"/>
        </w:rPr>
        <w:fldChar w:fldCharType="end"/>
      </w:r>
      <w:r w:rsidRPr="00607DD0">
        <w:rPr>
          <w:rFonts w:asciiTheme="majorHAnsi" w:hAnsiTheme="majorHAnsi" w:cstheme="majorHAnsi"/>
        </w:rPr>
        <w:t xml:space="preserve"> </w:t>
      </w:r>
      <w:r w:rsidRPr="005C09F8">
        <w:rPr>
          <w:rFonts w:asciiTheme="majorHAnsi" w:hAnsiTheme="majorHAnsi" w:cstheme="majorHAnsi"/>
        </w:rPr>
        <w:t>shows that the return rate for Discovery Projects (defined as the amount of ARC funding awarded as a percentage of funding requested in successful applications) was relatively stable between DP02 and</w:t>
      </w:r>
      <w:r>
        <w:rPr>
          <w:rFonts w:asciiTheme="majorHAnsi" w:hAnsiTheme="majorHAnsi" w:cstheme="majorHAnsi"/>
        </w:rPr>
        <w:t xml:space="preserve"> DP12, averaging 56.7 per cent through this period. From DP13 onwards, the return rate steadily increased, peaking at 73.6 per cent in DP20.  </w:t>
      </w:r>
    </w:p>
    <w:p w14:paraId="73F3DFD9" w14:textId="73D6B831" w:rsidR="00C165F1" w:rsidRPr="0006444F" w:rsidRDefault="00C165F1" w:rsidP="00751469">
      <w:pPr>
        <w:pStyle w:val="FigureTitle"/>
        <w:rPr>
          <w:i/>
        </w:rPr>
      </w:pPr>
      <w:bookmarkStart w:id="160" w:name="_Ref49760791"/>
      <w:r w:rsidRPr="0006444F">
        <w:t xml:space="preserve">Figure </w:t>
      </w:r>
      <w:r w:rsidR="00857467">
        <w:fldChar w:fldCharType="begin"/>
      </w:r>
      <w:r w:rsidR="00857467">
        <w:instrText xml:space="preserve"> SEQ Figure \* ARABIC </w:instrText>
      </w:r>
      <w:r w:rsidR="00857467">
        <w:fldChar w:fldCharType="separate"/>
      </w:r>
      <w:r w:rsidR="00AB03D7">
        <w:rPr>
          <w:noProof/>
        </w:rPr>
        <w:t>4</w:t>
      </w:r>
      <w:r w:rsidR="00857467">
        <w:rPr>
          <w:noProof/>
        </w:rPr>
        <w:fldChar w:fldCharType="end"/>
      </w:r>
      <w:r w:rsidRPr="0006444F">
        <w:t>:</w:t>
      </w:r>
      <w:bookmarkEnd w:id="160"/>
      <w:r w:rsidRPr="0006444F">
        <w:t xml:space="preserve"> Return rates, DP02–DP20</w:t>
      </w:r>
    </w:p>
    <w:p w14:paraId="6DDF7F31" w14:textId="67997852" w:rsidR="00C165F1" w:rsidRDefault="000E5749" w:rsidP="00C165F1">
      <w:pPr>
        <w:rPr>
          <w:rFonts w:asciiTheme="majorHAnsi" w:hAnsiTheme="majorHAnsi" w:cstheme="majorHAnsi"/>
        </w:rPr>
      </w:pPr>
      <w:r>
        <w:rPr>
          <w:rFonts w:asciiTheme="majorHAnsi" w:hAnsiTheme="majorHAnsi" w:cstheme="majorHAnsi"/>
          <w:noProof/>
        </w:rPr>
        <w:drawing>
          <wp:inline distT="0" distB="0" distL="0" distR="0" wp14:anchorId="417A7071" wp14:editId="561B5D7C">
            <wp:extent cx="5718810" cy="1962785"/>
            <wp:effectExtent l="0" t="0" r="0" b="0"/>
            <wp:docPr id="51" name="Picture 51" descr="Figure 4 is a graph showing Discovery Projects return rates by funding round between DP02 and DP20.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4 is a graph showing Discovery Projects return rates by funding round between DP02 and DP20. See text above and below graph for more inform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810" cy="1962785"/>
                    </a:xfrm>
                    <a:prstGeom prst="rect">
                      <a:avLst/>
                    </a:prstGeom>
                    <a:noFill/>
                  </pic:spPr>
                </pic:pic>
              </a:graphicData>
            </a:graphic>
          </wp:inline>
        </w:drawing>
      </w:r>
    </w:p>
    <w:p w14:paraId="321F6247" w14:textId="77777777" w:rsidR="00C165F1" w:rsidRPr="0006444F" w:rsidRDefault="00C165F1" w:rsidP="00C165F1">
      <w:pPr>
        <w:rPr>
          <w:rFonts w:asciiTheme="majorHAnsi" w:hAnsiTheme="majorHAnsi" w:cstheme="majorHAnsi"/>
          <w:sz w:val="16"/>
          <w:szCs w:val="16"/>
        </w:rPr>
      </w:pPr>
      <w:r>
        <w:rPr>
          <w:rFonts w:asciiTheme="majorHAnsi" w:hAnsiTheme="majorHAnsi" w:cstheme="majorHAnsi"/>
          <w:sz w:val="16"/>
          <w:szCs w:val="16"/>
        </w:rPr>
        <w:t>Source: ARC administrative data.</w:t>
      </w:r>
    </w:p>
    <w:p w14:paraId="790A11C9" w14:textId="1DCB8D66" w:rsidR="00C165F1" w:rsidRDefault="00C165F1" w:rsidP="00C165F1">
      <w:pPr>
        <w:rPr>
          <w:rFonts w:asciiTheme="majorHAnsi" w:hAnsiTheme="majorHAnsi" w:cstheme="majorHAnsi"/>
        </w:rPr>
      </w:pPr>
      <w:r>
        <w:rPr>
          <w:rFonts w:asciiTheme="majorHAnsi" w:hAnsiTheme="majorHAnsi" w:cstheme="majorHAnsi"/>
        </w:rPr>
        <w:t xml:space="preserve">This increase may reflect several interacting factors. The declining number of funded projects has allowed a greater proportion of funding to be awarded to </w:t>
      </w:r>
      <w:r w:rsidRPr="0092047A">
        <w:rPr>
          <w:rFonts w:asciiTheme="majorHAnsi" w:hAnsiTheme="majorHAnsi" w:cstheme="majorHAnsi"/>
        </w:rPr>
        <w:t>successful applicants. Between DP18 and DP20, there was also an increase in total funding announced under the scheme (</w:t>
      </w:r>
      <w:hyperlink w:anchor="_Funding_requested_and" w:history="1">
        <w:r w:rsidR="0092047A" w:rsidRPr="00281670">
          <w:rPr>
            <w:rStyle w:val="Hyperlink"/>
            <w:rFonts w:cstheme="majorHAnsi"/>
            <w:color w:val="auto"/>
            <w:sz w:val="22"/>
            <w:u w:val="none"/>
          </w:rPr>
          <w:t>Section 2.5</w:t>
        </w:r>
      </w:hyperlink>
      <w:r w:rsidRPr="0092047A">
        <w:rPr>
          <w:rFonts w:asciiTheme="majorHAnsi" w:hAnsiTheme="majorHAnsi" w:cstheme="majorHAnsi"/>
        </w:rPr>
        <w:t xml:space="preserve">). While </w:t>
      </w:r>
      <w:r>
        <w:rPr>
          <w:rFonts w:asciiTheme="majorHAnsi" w:hAnsiTheme="majorHAnsi" w:cstheme="majorHAnsi"/>
        </w:rPr>
        <w:t xml:space="preserve">Discovery Projects return rates increased in recent years, they remained relatively low compared to return rates under the Linkage Program. </w:t>
      </w:r>
    </w:p>
    <w:p w14:paraId="05F67863" w14:textId="77777777" w:rsidR="008B39F1" w:rsidRPr="008B39F1" w:rsidRDefault="008B39F1" w:rsidP="008B39F1">
      <w:pPr>
        <w:pStyle w:val="ListParagraph"/>
        <w:numPr>
          <w:ilvl w:val="1"/>
          <w:numId w:val="14"/>
        </w:numPr>
        <w:spacing w:after="160" w:line="259" w:lineRule="auto"/>
        <w:contextualSpacing w:val="0"/>
        <w:outlineLvl w:val="1"/>
        <w:rPr>
          <w:rFonts w:asciiTheme="majorHAnsi" w:hAnsiTheme="majorHAnsi" w:cstheme="majorHAnsi"/>
          <w:b/>
          <w:vanish/>
          <w:color w:val="auto"/>
          <w:lang w:eastAsia="en-AU"/>
        </w:rPr>
      </w:pPr>
      <w:bookmarkStart w:id="161" w:name="_Toc51916965"/>
      <w:bookmarkStart w:id="162" w:name="_Toc51918805"/>
      <w:bookmarkStart w:id="163" w:name="_Toc51918697"/>
      <w:bookmarkStart w:id="164" w:name="_Toc53557208"/>
      <w:bookmarkStart w:id="165" w:name="_Toc54699250"/>
      <w:bookmarkStart w:id="166" w:name="_Toc55544784"/>
      <w:bookmarkEnd w:id="161"/>
      <w:bookmarkEnd w:id="162"/>
      <w:bookmarkEnd w:id="163"/>
      <w:bookmarkEnd w:id="164"/>
      <w:bookmarkEnd w:id="165"/>
      <w:bookmarkEnd w:id="166"/>
    </w:p>
    <w:p w14:paraId="12593D9D" w14:textId="55598E23" w:rsidR="00C165F1" w:rsidRDefault="00C165F1" w:rsidP="00254D36">
      <w:pPr>
        <w:pStyle w:val="Heading2"/>
        <w:keepNext w:val="0"/>
        <w:keepLines w:val="0"/>
        <w:numPr>
          <w:ilvl w:val="1"/>
          <w:numId w:val="14"/>
        </w:numPr>
        <w:shd w:val="clear" w:color="auto" w:fill="auto"/>
        <w:spacing w:line="259" w:lineRule="auto"/>
        <w:rPr>
          <w:lang w:eastAsia="en-AU"/>
        </w:rPr>
      </w:pPr>
      <w:bookmarkStart w:id="167" w:name="_Participating_organisation_contribu"/>
      <w:bookmarkStart w:id="168" w:name="_Toc51918698"/>
      <w:bookmarkStart w:id="169" w:name="_Toc55544785"/>
      <w:bookmarkEnd w:id="167"/>
      <w:r>
        <w:rPr>
          <w:lang w:eastAsia="en-AU"/>
        </w:rPr>
        <w:t>Participating organisation contributions</w:t>
      </w:r>
      <w:bookmarkEnd w:id="168"/>
      <w:bookmarkEnd w:id="169"/>
    </w:p>
    <w:p w14:paraId="049D719A" w14:textId="70DD4DE7" w:rsidR="00C165F1" w:rsidRDefault="00C165F1" w:rsidP="00C165F1">
      <w:pPr>
        <w:rPr>
          <w:rFonts w:asciiTheme="majorHAnsi" w:hAnsiTheme="majorHAnsi" w:cstheme="majorHAnsi"/>
        </w:rPr>
      </w:pPr>
      <w:r>
        <w:rPr>
          <w:rFonts w:asciiTheme="majorHAnsi" w:hAnsiTheme="majorHAnsi" w:cstheme="majorHAnsi"/>
        </w:rPr>
        <w:t>Cash and in-kind contributions from participating organisations constitute significant additional source</w:t>
      </w:r>
      <w:r w:rsidR="00042ED5">
        <w:rPr>
          <w:rFonts w:asciiTheme="majorHAnsi" w:hAnsiTheme="majorHAnsi" w:cstheme="majorHAnsi"/>
        </w:rPr>
        <w:t>s</w:t>
      </w:r>
      <w:r>
        <w:rPr>
          <w:rFonts w:asciiTheme="majorHAnsi" w:hAnsiTheme="majorHAnsi" w:cstheme="majorHAnsi"/>
        </w:rPr>
        <w:t xml:space="preserve"> of </w:t>
      </w:r>
      <w:r w:rsidR="00044D8D">
        <w:rPr>
          <w:rFonts w:asciiTheme="majorHAnsi" w:hAnsiTheme="majorHAnsi" w:cstheme="majorHAnsi"/>
        </w:rPr>
        <w:t xml:space="preserve">support </w:t>
      </w:r>
      <w:r>
        <w:rPr>
          <w:rFonts w:asciiTheme="majorHAnsi" w:hAnsiTheme="majorHAnsi" w:cstheme="majorHAnsi"/>
        </w:rPr>
        <w:t xml:space="preserve">for research </w:t>
      </w:r>
      <w:r w:rsidR="00042ED5">
        <w:rPr>
          <w:rFonts w:asciiTheme="majorHAnsi" w:hAnsiTheme="majorHAnsi" w:cstheme="majorHAnsi"/>
        </w:rPr>
        <w:t xml:space="preserve">funded </w:t>
      </w:r>
      <w:r>
        <w:rPr>
          <w:rFonts w:asciiTheme="majorHAnsi" w:hAnsiTheme="majorHAnsi" w:cstheme="majorHAnsi"/>
        </w:rPr>
        <w:t>under the Discovery Projects scheme.</w:t>
      </w:r>
      <w:r>
        <w:rPr>
          <w:rStyle w:val="FootnoteReference"/>
          <w:rFonts w:asciiTheme="majorHAnsi" w:hAnsiTheme="majorHAnsi" w:cstheme="majorHAnsi"/>
        </w:rPr>
        <w:footnoteReference w:id="26"/>
      </w:r>
      <w:r>
        <w:rPr>
          <w:rFonts w:asciiTheme="majorHAnsi" w:hAnsiTheme="majorHAnsi" w:cstheme="majorHAnsi"/>
        </w:rPr>
        <w:t xml:space="preserve"> Between DP02 and DP20, participating organisation cash and in-kind contributions matched every $1 awarded through the scheme, with total combined contributions </w:t>
      </w:r>
      <w:r w:rsidR="00042ED5">
        <w:rPr>
          <w:rFonts w:asciiTheme="majorHAnsi" w:hAnsiTheme="majorHAnsi" w:cstheme="majorHAnsi"/>
        </w:rPr>
        <w:t xml:space="preserve">pledged on </w:t>
      </w:r>
      <w:r>
        <w:rPr>
          <w:rFonts w:asciiTheme="majorHAnsi" w:hAnsiTheme="majorHAnsi" w:cstheme="majorHAnsi"/>
        </w:rPr>
        <w:t>successful applications (</w:t>
      </w:r>
      <w:r w:rsidRPr="00E4057B">
        <w:rPr>
          <w:rFonts w:asciiTheme="majorHAnsi" w:hAnsiTheme="majorHAnsi" w:cstheme="majorHAnsi"/>
        </w:rPr>
        <w:t>$5,005,957,858</w:t>
      </w:r>
      <w:r>
        <w:rPr>
          <w:rFonts w:asciiTheme="majorHAnsi" w:hAnsiTheme="majorHAnsi" w:cstheme="majorHAnsi"/>
        </w:rPr>
        <w:t xml:space="preserve">) slightly exceeding total ARC funding </w:t>
      </w:r>
      <w:r w:rsidRPr="00AB2FFE">
        <w:rPr>
          <w:rFonts w:asciiTheme="majorHAnsi" w:hAnsiTheme="majorHAnsi" w:cstheme="majorHAnsi"/>
        </w:rPr>
        <w:t>(</w:t>
      </w:r>
      <w:r>
        <w:rPr>
          <w:rFonts w:asciiTheme="majorHAnsi" w:hAnsiTheme="majorHAnsi" w:cstheme="majorHAnsi"/>
        </w:rPr>
        <w:t xml:space="preserve">$4,999,362,564). </w:t>
      </w:r>
      <w:r w:rsidR="00044D8D">
        <w:rPr>
          <w:rFonts w:asciiTheme="majorHAnsi" w:hAnsiTheme="majorHAnsi" w:cstheme="majorHAnsi"/>
        </w:rPr>
        <w:t>T</w:t>
      </w:r>
      <w:r>
        <w:rPr>
          <w:rFonts w:asciiTheme="majorHAnsi" w:hAnsiTheme="majorHAnsi" w:cstheme="majorHAnsi"/>
        </w:rPr>
        <w:t>he ratio of total contributions on successful applications to total ARC Discovery Projects funding increased over time from $0.84:$1 in DP02 to $1.20:$1 in DP20. From DP11</w:t>
      </w:r>
      <w:r w:rsidR="00D3059D">
        <w:rPr>
          <w:rFonts w:asciiTheme="majorHAnsi" w:hAnsiTheme="majorHAnsi" w:cstheme="majorHAnsi"/>
        </w:rPr>
        <w:t xml:space="preserve"> to </w:t>
      </w:r>
      <w:r>
        <w:rPr>
          <w:rFonts w:asciiTheme="majorHAnsi" w:hAnsiTheme="majorHAnsi" w:cstheme="majorHAnsi"/>
        </w:rPr>
        <w:t xml:space="preserve">DP20, </w:t>
      </w:r>
      <w:r w:rsidR="007419D7">
        <w:rPr>
          <w:rFonts w:asciiTheme="majorHAnsi" w:hAnsiTheme="majorHAnsi" w:cstheme="majorHAnsi"/>
        </w:rPr>
        <w:t>over 70</w:t>
      </w:r>
      <w:r>
        <w:rPr>
          <w:rFonts w:asciiTheme="majorHAnsi" w:hAnsiTheme="majorHAnsi" w:cstheme="majorHAnsi"/>
        </w:rPr>
        <w:t xml:space="preserve"> per cent of contributions </w:t>
      </w:r>
      <w:r w:rsidR="009849CC">
        <w:rPr>
          <w:rFonts w:asciiTheme="majorHAnsi" w:hAnsiTheme="majorHAnsi" w:cstheme="majorHAnsi"/>
        </w:rPr>
        <w:t xml:space="preserve">to </w:t>
      </w:r>
      <w:r>
        <w:rPr>
          <w:rFonts w:asciiTheme="majorHAnsi" w:hAnsiTheme="majorHAnsi" w:cstheme="majorHAnsi"/>
        </w:rPr>
        <w:t xml:space="preserve">funded projects were </w:t>
      </w:r>
      <w:r w:rsidR="007419D7">
        <w:rPr>
          <w:rFonts w:asciiTheme="majorHAnsi" w:hAnsiTheme="majorHAnsi" w:cstheme="majorHAnsi"/>
        </w:rPr>
        <w:t>pledged</w:t>
      </w:r>
      <w:r>
        <w:rPr>
          <w:rFonts w:asciiTheme="majorHAnsi" w:hAnsiTheme="majorHAnsi" w:cstheme="majorHAnsi"/>
        </w:rPr>
        <w:t xml:space="preserve"> by Administering Organisations. </w:t>
      </w:r>
    </w:p>
    <w:p w14:paraId="271BD1F3" w14:textId="0F621546" w:rsidR="00C165F1" w:rsidRPr="004F28C1" w:rsidRDefault="00C165F1" w:rsidP="00C165F1">
      <w:pPr>
        <w:rPr>
          <w:rFonts w:asciiTheme="majorHAnsi" w:hAnsiTheme="majorHAnsi" w:cstheme="majorHAnsi"/>
        </w:rPr>
      </w:pPr>
      <w:r w:rsidRPr="004A1770">
        <w:rPr>
          <w:rFonts w:asciiTheme="majorHAnsi" w:hAnsiTheme="majorHAnsi" w:cstheme="majorHAnsi"/>
          <w:highlight w:val="yellow"/>
        </w:rPr>
        <w:fldChar w:fldCharType="begin"/>
      </w:r>
      <w:r w:rsidRPr="004A1770">
        <w:rPr>
          <w:rFonts w:asciiTheme="majorHAnsi" w:hAnsiTheme="majorHAnsi" w:cstheme="majorHAnsi"/>
        </w:rPr>
        <w:instrText xml:space="preserve"> REF _Ref40075993 \h </w:instrText>
      </w:r>
      <w:r w:rsidRPr="004A1770">
        <w:rPr>
          <w:rFonts w:asciiTheme="majorHAnsi" w:hAnsiTheme="majorHAnsi" w:cstheme="majorHAnsi"/>
          <w:highlight w:val="yellow"/>
        </w:rPr>
        <w:instrText xml:space="preserve"> \* MERGEFORMAT </w:instrText>
      </w:r>
      <w:r w:rsidRPr="004A1770">
        <w:rPr>
          <w:rFonts w:asciiTheme="majorHAnsi" w:hAnsiTheme="majorHAnsi" w:cstheme="majorHAnsi"/>
          <w:highlight w:val="yellow"/>
        </w:rPr>
      </w:r>
      <w:r w:rsidRPr="004A1770">
        <w:rPr>
          <w:rFonts w:asciiTheme="majorHAnsi" w:hAnsiTheme="majorHAnsi" w:cstheme="majorHAnsi"/>
          <w:highlight w:val="yellow"/>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5</w:t>
      </w:r>
      <w:r w:rsidRPr="004A1770">
        <w:rPr>
          <w:rFonts w:asciiTheme="majorHAnsi" w:hAnsiTheme="majorHAnsi" w:cstheme="majorHAnsi"/>
          <w:highlight w:val="yellow"/>
        </w:rPr>
        <w:fldChar w:fldCharType="end"/>
      </w:r>
      <w:r w:rsidRPr="004A1770">
        <w:rPr>
          <w:rFonts w:asciiTheme="majorHAnsi" w:hAnsiTheme="majorHAnsi" w:cstheme="majorHAnsi"/>
        </w:rPr>
        <w:t xml:space="preserve"> traces</w:t>
      </w:r>
      <w:r>
        <w:rPr>
          <w:rFonts w:asciiTheme="majorHAnsi" w:hAnsiTheme="majorHAnsi" w:cstheme="majorHAnsi"/>
        </w:rPr>
        <w:t xml:space="preserve"> total and average contributions associated with applications and funded projects between DP02 and DP20. Total contributions grew substantially between DP02 and DP11, before declining noticeably in DP12. This appears to correlate with a drop in overall applications and funding awarded under the scheme following the introduction of </w:t>
      </w:r>
      <w:r w:rsidRPr="00281670">
        <w:rPr>
          <w:rFonts w:asciiTheme="majorHAnsi" w:hAnsiTheme="majorHAnsi" w:cstheme="majorHAnsi"/>
          <w:color w:val="000000" w:themeColor="text1"/>
        </w:rPr>
        <w:t xml:space="preserve">DECRA (see </w:t>
      </w:r>
      <w:hyperlink w:anchor="_Applications_and_funded" w:history="1">
        <w:r w:rsidRPr="00281670">
          <w:rPr>
            <w:rStyle w:val="Hyperlink"/>
            <w:rFonts w:cstheme="majorHAnsi"/>
            <w:color w:val="000000" w:themeColor="text1"/>
            <w:sz w:val="22"/>
            <w:u w:val="none"/>
          </w:rPr>
          <w:t>Section</w:t>
        </w:r>
        <w:r w:rsidR="00926C32" w:rsidRPr="00281670">
          <w:rPr>
            <w:rStyle w:val="Hyperlink"/>
            <w:rFonts w:cstheme="majorHAnsi"/>
            <w:color w:val="000000" w:themeColor="text1"/>
            <w:sz w:val="22"/>
            <w:u w:val="none"/>
          </w:rPr>
          <w:t>s</w:t>
        </w:r>
        <w:r w:rsidRPr="00281670">
          <w:rPr>
            <w:rStyle w:val="Hyperlink"/>
            <w:rFonts w:cstheme="majorHAnsi"/>
            <w:color w:val="000000" w:themeColor="text1"/>
            <w:sz w:val="22"/>
            <w:u w:val="none"/>
          </w:rPr>
          <w:t xml:space="preserve"> </w:t>
        </w:r>
        <w:r w:rsidR="00926C32" w:rsidRPr="00281670">
          <w:rPr>
            <w:rStyle w:val="Hyperlink"/>
            <w:rFonts w:cstheme="majorHAnsi"/>
            <w:color w:val="000000" w:themeColor="text1"/>
            <w:sz w:val="22"/>
            <w:u w:val="none"/>
          </w:rPr>
          <w:t>2.3</w:t>
        </w:r>
      </w:hyperlink>
      <w:r w:rsidR="00926C32" w:rsidRPr="00281670">
        <w:rPr>
          <w:rFonts w:asciiTheme="majorHAnsi" w:hAnsiTheme="majorHAnsi" w:cstheme="majorHAnsi"/>
          <w:color w:val="000000" w:themeColor="text1"/>
        </w:rPr>
        <w:t xml:space="preserve"> and </w:t>
      </w:r>
      <w:hyperlink w:anchor="_Funding_requested_and" w:history="1">
        <w:r w:rsidR="00926C32" w:rsidRPr="00281670">
          <w:rPr>
            <w:rStyle w:val="Hyperlink"/>
            <w:rFonts w:cstheme="majorHAnsi"/>
            <w:color w:val="000000" w:themeColor="text1"/>
            <w:sz w:val="22"/>
            <w:u w:val="none"/>
          </w:rPr>
          <w:t>2.5</w:t>
        </w:r>
      </w:hyperlink>
      <w:r w:rsidRPr="00281670">
        <w:rPr>
          <w:rFonts w:asciiTheme="majorHAnsi" w:hAnsiTheme="majorHAnsi" w:cstheme="majorHAnsi"/>
          <w:color w:val="000000" w:themeColor="text1"/>
        </w:rPr>
        <w:t>). However</w:t>
      </w:r>
      <w:r>
        <w:rPr>
          <w:rFonts w:asciiTheme="majorHAnsi" w:hAnsiTheme="majorHAnsi" w:cstheme="majorHAnsi"/>
        </w:rPr>
        <w:t xml:space="preserve">, where overall application and funded project numbers continued to decline after DP12, total contributions broadly increased from DP12 to DP20, from </w:t>
      </w:r>
      <w:r w:rsidRPr="001D08BE">
        <w:rPr>
          <w:rFonts w:asciiTheme="majorHAnsi" w:hAnsiTheme="majorHAnsi" w:cstheme="majorHAnsi"/>
        </w:rPr>
        <w:t>$1,059,829,030 to $2,048,588,484 for applications and from $247,819,017 to $342,562,376 on funded projects.</w:t>
      </w:r>
      <w:r>
        <w:rPr>
          <w:rFonts w:asciiTheme="majorHAnsi" w:hAnsiTheme="majorHAnsi" w:cstheme="majorHAnsi"/>
        </w:rPr>
        <w:t xml:space="preserve"> This is likely to reflect at least two factors. Firstly, there was growth in the average level of contributions per project from </w:t>
      </w:r>
      <w:r>
        <w:rPr>
          <w:rFonts w:asciiTheme="majorHAnsi" w:hAnsiTheme="majorHAnsi" w:cstheme="majorHAnsi"/>
        </w:rPr>
        <w:lastRenderedPageBreak/>
        <w:t xml:space="preserve">$249,049 to $712,533 on applications and $318,533 to $519,034 on funded projects from DP12 to DP20. Secondly, it may reflect the increase in the average number of participating organisations per </w:t>
      </w:r>
      <w:r w:rsidRPr="00A27150">
        <w:rPr>
          <w:rFonts w:asciiTheme="majorHAnsi" w:hAnsiTheme="majorHAnsi" w:cstheme="majorHAnsi"/>
        </w:rPr>
        <w:t xml:space="preserve">project </w:t>
      </w:r>
      <w:r w:rsidRPr="00A515BA">
        <w:rPr>
          <w:rFonts w:asciiTheme="majorHAnsi" w:hAnsiTheme="majorHAnsi" w:cstheme="majorHAnsi"/>
        </w:rPr>
        <w:t xml:space="preserve">(see </w:t>
      </w:r>
      <w:hyperlink w:anchor="_ARC_data—participating_organisation" w:history="1">
        <w:r w:rsidRPr="00281670">
          <w:rPr>
            <w:rStyle w:val="Hyperlink"/>
            <w:rFonts w:cstheme="majorHAnsi"/>
            <w:color w:val="auto"/>
            <w:sz w:val="22"/>
            <w:u w:val="none"/>
          </w:rPr>
          <w:t xml:space="preserve">Section </w:t>
        </w:r>
        <w:r w:rsidR="00C90F8D" w:rsidRPr="00281670">
          <w:rPr>
            <w:rStyle w:val="Hyperlink"/>
            <w:rFonts w:cstheme="majorHAnsi"/>
            <w:color w:val="auto"/>
            <w:sz w:val="22"/>
            <w:u w:val="none"/>
          </w:rPr>
          <w:t>3.4.2</w:t>
        </w:r>
      </w:hyperlink>
      <w:r w:rsidRPr="00A515BA">
        <w:rPr>
          <w:rFonts w:asciiTheme="majorHAnsi" w:hAnsiTheme="majorHAnsi" w:cstheme="majorHAnsi"/>
        </w:rPr>
        <w:t xml:space="preserve">). </w:t>
      </w:r>
      <w:r w:rsidR="00524C64" w:rsidRPr="00A515BA">
        <w:rPr>
          <w:rFonts w:asciiTheme="majorHAnsi" w:hAnsiTheme="majorHAnsi" w:cstheme="majorHAnsi"/>
        </w:rPr>
        <w:t>Discovery</w:t>
      </w:r>
      <w:r w:rsidR="00524C64" w:rsidRPr="00A27150">
        <w:rPr>
          <w:rFonts w:asciiTheme="majorHAnsi" w:hAnsiTheme="majorHAnsi" w:cstheme="majorHAnsi"/>
        </w:rPr>
        <w:t xml:space="preserve"> </w:t>
      </w:r>
      <w:r w:rsidR="00524C64">
        <w:rPr>
          <w:rFonts w:asciiTheme="majorHAnsi" w:hAnsiTheme="majorHAnsi" w:cstheme="majorHAnsi"/>
        </w:rPr>
        <w:t>Projects applications</w:t>
      </w:r>
      <w:r>
        <w:rPr>
          <w:rFonts w:asciiTheme="majorHAnsi" w:hAnsiTheme="majorHAnsi" w:cstheme="majorHAnsi"/>
        </w:rPr>
        <w:t xml:space="preserve"> only recently beg</w:t>
      </w:r>
      <w:r w:rsidR="00524C64">
        <w:rPr>
          <w:rFonts w:asciiTheme="majorHAnsi" w:hAnsiTheme="majorHAnsi" w:cstheme="majorHAnsi"/>
        </w:rPr>
        <w:t>an to</w:t>
      </w:r>
      <w:r>
        <w:rPr>
          <w:rFonts w:asciiTheme="majorHAnsi" w:hAnsiTheme="majorHAnsi" w:cstheme="majorHAnsi"/>
        </w:rPr>
        <w:t xml:space="preserve"> directly </w:t>
      </w:r>
      <w:r w:rsidR="00524C64">
        <w:rPr>
          <w:rFonts w:asciiTheme="majorHAnsi" w:hAnsiTheme="majorHAnsi" w:cstheme="majorHAnsi"/>
        </w:rPr>
        <w:t>distinguish</w:t>
      </w:r>
      <w:r w:rsidR="00EA0AC1">
        <w:rPr>
          <w:rFonts w:asciiTheme="majorHAnsi" w:hAnsiTheme="majorHAnsi" w:cstheme="majorHAnsi"/>
        </w:rPr>
        <w:t xml:space="preserve"> </w:t>
      </w:r>
      <w:r w:rsidR="00524C64">
        <w:rPr>
          <w:rFonts w:asciiTheme="majorHAnsi" w:hAnsiTheme="majorHAnsi" w:cstheme="majorHAnsi"/>
        </w:rPr>
        <w:t>between</w:t>
      </w:r>
      <w:r>
        <w:rPr>
          <w:rFonts w:asciiTheme="majorHAnsi" w:hAnsiTheme="majorHAnsi" w:cstheme="majorHAnsi"/>
        </w:rPr>
        <w:t xml:space="preserve"> cash and in-kind contributions. In each round between DP16 and DP20, 85–90 per cent of contributions indicated within successful applications were in-kind. </w:t>
      </w:r>
    </w:p>
    <w:p w14:paraId="7152292C" w14:textId="0D8BA28B" w:rsidR="00C165F1" w:rsidRPr="00E4057B" w:rsidRDefault="00C165F1" w:rsidP="00751469">
      <w:pPr>
        <w:pStyle w:val="FigureTitle"/>
        <w:rPr>
          <w:i/>
        </w:rPr>
      </w:pPr>
      <w:bookmarkStart w:id="170" w:name="_Ref40075993"/>
      <w:r w:rsidRPr="00E4057B">
        <w:t xml:space="preserve">Figure </w:t>
      </w:r>
      <w:r w:rsidR="00857467">
        <w:fldChar w:fldCharType="begin"/>
      </w:r>
      <w:r w:rsidR="00857467">
        <w:instrText xml:space="preserve"> SEQ Figure \* ARABIC </w:instrText>
      </w:r>
      <w:r w:rsidR="00857467">
        <w:fldChar w:fldCharType="separate"/>
      </w:r>
      <w:r w:rsidR="00AB03D7">
        <w:rPr>
          <w:noProof/>
        </w:rPr>
        <w:t>5</w:t>
      </w:r>
      <w:r w:rsidR="00857467">
        <w:rPr>
          <w:noProof/>
        </w:rPr>
        <w:fldChar w:fldCharType="end"/>
      </w:r>
      <w:bookmarkEnd w:id="170"/>
      <w:r w:rsidRPr="00E4057B">
        <w:t>: Total</w:t>
      </w:r>
      <w:r w:rsidR="001736EE">
        <w:t xml:space="preserve"> and </w:t>
      </w:r>
      <w:r w:rsidRPr="00E4057B">
        <w:t xml:space="preserve">average </w:t>
      </w:r>
      <w:r>
        <w:t>contribution</w:t>
      </w:r>
      <w:r w:rsidRPr="00E4057B">
        <w:t>s on applications and funded projects, DP02–DP20</w:t>
      </w:r>
    </w:p>
    <w:p w14:paraId="78026B47" w14:textId="76486A92" w:rsidR="00C165F1" w:rsidRPr="00290F68" w:rsidRDefault="000E5749" w:rsidP="00C165F1">
      <w:pPr>
        <w:rPr>
          <w:rFonts w:asciiTheme="majorHAnsi" w:hAnsiTheme="majorHAnsi" w:cstheme="majorHAnsi"/>
          <w:b/>
          <w:color w:val="FF9933"/>
        </w:rPr>
      </w:pPr>
      <w:r>
        <w:rPr>
          <w:rFonts w:asciiTheme="majorHAnsi" w:hAnsiTheme="majorHAnsi" w:cstheme="majorHAnsi"/>
          <w:b/>
          <w:noProof/>
          <w:color w:val="FF9933"/>
        </w:rPr>
        <w:drawing>
          <wp:inline distT="0" distB="0" distL="0" distR="0" wp14:anchorId="61DCCA42" wp14:editId="5B80DBA7">
            <wp:extent cx="5730875" cy="3048000"/>
            <wp:effectExtent l="0" t="0" r="3175" b="0"/>
            <wp:docPr id="53" name="Picture 53" descr="Figure 5 is a graph showing the total and average contributions pledged on applications and funded projects between DP02 and DP20. See text above graph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5 is a graph showing the total and average contributions pledged on applications and funded projects between DP02 and DP20. See text above graph for more information.&#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048000"/>
                    </a:xfrm>
                    <a:prstGeom prst="rect">
                      <a:avLst/>
                    </a:prstGeom>
                    <a:noFill/>
                  </pic:spPr>
                </pic:pic>
              </a:graphicData>
            </a:graphic>
          </wp:inline>
        </w:drawing>
      </w:r>
    </w:p>
    <w:p w14:paraId="0FDA6B06" w14:textId="01B3C67F" w:rsidR="00C165F1" w:rsidRPr="0006444F" w:rsidRDefault="00C165F1" w:rsidP="00C165F1">
      <w:pPr>
        <w:rPr>
          <w:rFonts w:asciiTheme="majorHAnsi" w:hAnsiTheme="majorHAnsi" w:cstheme="majorHAnsi"/>
          <w:i/>
          <w:sz w:val="16"/>
          <w:szCs w:val="16"/>
        </w:rPr>
      </w:pPr>
      <w:r>
        <w:rPr>
          <w:rFonts w:asciiTheme="majorHAnsi" w:hAnsiTheme="majorHAnsi" w:cstheme="majorHAnsi"/>
          <w:sz w:val="16"/>
          <w:szCs w:val="16"/>
        </w:rPr>
        <w:t xml:space="preserve">Source: ARC administrative data. </w:t>
      </w:r>
      <w:r w:rsidRPr="00A513BE">
        <w:rPr>
          <w:rFonts w:asciiTheme="majorHAnsi" w:hAnsiTheme="majorHAnsi" w:cstheme="majorHAnsi"/>
          <w:i/>
          <w:sz w:val="16"/>
          <w:szCs w:val="16"/>
        </w:rPr>
        <w:t>Note:</w:t>
      </w:r>
      <w:r>
        <w:rPr>
          <w:rFonts w:asciiTheme="majorHAnsi" w:hAnsiTheme="majorHAnsi" w:cstheme="majorHAnsi"/>
          <w:i/>
          <w:sz w:val="16"/>
          <w:szCs w:val="16"/>
        </w:rPr>
        <w:t xml:space="preserve"> Figures provided reflect planned contributions in applications.</w:t>
      </w:r>
      <w:r w:rsidR="0077725E">
        <w:rPr>
          <w:rFonts w:asciiTheme="majorHAnsi" w:hAnsiTheme="majorHAnsi" w:cstheme="majorHAnsi"/>
          <w:i/>
          <w:sz w:val="16"/>
          <w:szCs w:val="16"/>
        </w:rPr>
        <w:t xml:space="preserve"> Contribution data have not been adjusted for inflation.</w:t>
      </w:r>
      <w:r>
        <w:rPr>
          <w:rFonts w:asciiTheme="majorHAnsi" w:hAnsiTheme="majorHAnsi" w:cstheme="majorHAnsi"/>
          <w:i/>
          <w:sz w:val="16"/>
          <w:szCs w:val="16"/>
        </w:rPr>
        <w:t xml:space="preserve"> Changes to the ARC’s collection of contribution data were introduced in DP15 to request both cash and in-kind contributions separately; previously, the ARC requested information about ‘non-ARC contributions’, which combined both cash and some types of in-kind contributions (e.g. university staff wages). </w:t>
      </w:r>
    </w:p>
    <w:p w14:paraId="49486BC4" w14:textId="76ACDA48" w:rsidR="00C165F1" w:rsidRPr="000A5AEE" w:rsidRDefault="00C165F1" w:rsidP="00254D36">
      <w:pPr>
        <w:pStyle w:val="Heading2"/>
        <w:keepNext w:val="0"/>
        <w:keepLines w:val="0"/>
        <w:numPr>
          <w:ilvl w:val="1"/>
          <w:numId w:val="14"/>
        </w:numPr>
        <w:shd w:val="clear" w:color="auto" w:fill="auto"/>
        <w:spacing w:line="259" w:lineRule="auto"/>
        <w:rPr>
          <w:lang w:eastAsia="en-AU"/>
        </w:rPr>
      </w:pPr>
      <w:bookmarkStart w:id="171" w:name="_Toc51918699"/>
      <w:bookmarkStart w:id="172" w:name="_Toc55544786"/>
      <w:r>
        <w:rPr>
          <w:lang w:eastAsia="en-AU"/>
        </w:rPr>
        <w:t>Fields of Research</w:t>
      </w:r>
      <w:bookmarkEnd w:id="171"/>
      <w:bookmarkEnd w:id="172"/>
    </w:p>
    <w:p w14:paraId="7A5B2CF2" w14:textId="56FBA7BA" w:rsidR="00C165F1" w:rsidRDefault="00C165F1" w:rsidP="00254D36">
      <w:pPr>
        <w:pStyle w:val="Heading3"/>
        <w:numPr>
          <w:ilvl w:val="2"/>
          <w:numId w:val="14"/>
        </w:numPr>
        <w:shd w:val="clear" w:color="auto" w:fill="auto"/>
        <w:rPr>
          <w:lang w:eastAsia="en-AU"/>
        </w:rPr>
      </w:pPr>
      <w:bookmarkStart w:id="173" w:name="_Applications,_funded_projects"/>
      <w:bookmarkStart w:id="174" w:name="_Toc50533590"/>
      <w:bookmarkStart w:id="175" w:name="_Toc50553740"/>
      <w:bookmarkStart w:id="176" w:name="_Toc50554974"/>
      <w:bookmarkStart w:id="177" w:name="_Toc50618097"/>
      <w:bookmarkStart w:id="178" w:name="_Toc50618379"/>
      <w:bookmarkStart w:id="179" w:name="_Toc51916968"/>
      <w:bookmarkStart w:id="180" w:name="_Toc51918808"/>
      <w:bookmarkStart w:id="181" w:name="_Ref53148929"/>
      <w:bookmarkStart w:id="182" w:name="_Toc53557211"/>
      <w:bookmarkStart w:id="183" w:name="_Toc54699253"/>
      <w:bookmarkStart w:id="184" w:name="_Toc55544787"/>
      <w:bookmarkEnd w:id="173"/>
      <w:r>
        <w:rPr>
          <w:lang w:eastAsia="en-AU"/>
        </w:rPr>
        <w:t>Applications, funded projects and funding</w:t>
      </w:r>
      <w:bookmarkEnd w:id="174"/>
      <w:bookmarkEnd w:id="175"/>
      <w:bookmarkEnd w:id="176"/>
      <w:bookmarkEnd w:id="177"/>
      <w:bookmarkEnd w:id="178"/>
      <w:bookmarkEnd w:id="179"/>
      <w:bookmarkEnd w:id="180"/>
      <w:bookmarkEnd w:id="181"/>
      <w:bookmarkEnd w:id="182"/>
      <w:bookmarkEnd w:id="183"/>
      <w:bookmarkEnd w:id="184"/>
    </w:p>
    <w:p w14:paraId="16D82B97" w14:textId="77777777" w:rsidR="00C165F1" w:rsidRPr="0006444F" w:rsidRDefault="00C165F1" w:rsidP="00C165F1">
      <w:pPr>
        <w:pStyle w:val="Heading4"/>
        <w:rPr>
          <w:iCs/>
          <w:lang w:eastAsia="en-AU"/>
        </w:rPr>
      </w:pPr>
      <w:r>
        <w:rPr>
          <w:lang w:eastAsia="en-AU"/>
        </w:rPr>
        <w:t>HASS and STEM</w:t>
      </w:r>
    </w:p>
    <w:p w14:paraId="7E0CF414" w14:textId="3C205A0E" w:rsidR="00C165F1" w:rsidRDefault="00ED1211" w:rsidP="00C165F1">
      <w:pPr>
        <w:rPr>
          <w:rFonts w:asciiTheme="majorHAnsi" w:hAnsiTheme="majorHAnsi" w:cstheme="majorHAnsi"/>
        </w:rPr>
      </w:pPr>
      <w:r>
        <w:rPr>
          <w:rFonts w:asciiTheme="majorHAnsi" w:hAnsiTheme="majorHAnsi" w:cstheme="majorHAnsi"/>
        </w:rPr>
        <w:t xml:space="preserve">Using </w:t>
      </w:r>
      <w:r w:rsidR="00C165F1">
        <w:rPr>
          <w:rFonts w:asciiTheme="majorHAnsi" w:hAnsiTheme="majorHAnsi" w:cstheme="majorHAnsi"/>
        </w:rPr>
        <w:t>the</w:t>
      </w:r>
      <w:r w:rsidR="00C165F1" w:rsidRPr="009F6159">
        <w:rPr>
          <w:rFonts w:asciiTheme="majorHAnsi" w:hAnsiTheme="majorHAnsi" w:cstheme="majorHAnsi"/>
        </w:rPr>
        <w:t xml:space="preserve"> Australian and New Zealand Standard Research Classification (ANZSRC)</w:t>
      </w:r>
      <w:r w:rsidR="00DB509F">
        <w:rPr>
          <w:rFonts w:asciiTheme="majorHAnsi" w:hAnsiTheme="majorHAnsi" w:cstheme="majorHAnsi"/>
        </w:rPr>
        <w:t xml:space="preserve"> Field of Research (</w:t>
      </w:r>
      <w:proofErr w:type="spellStart"/>
      <w:r w:rsidR="00DB509F">
        <w:rPr>
          <w:rFonts w:asciiTheme="majorHAnsi" w:hAnsiTheme="majorHAnsi" w:cstheme="majorHAnsi"/>
        </w:rPr>
        <w:t>FoR</w:t>
      </w:r>
      <w:proofErr w:type="spellEnd"/>
      <w:r w:rsidR="00DB509F">
        <w:rPr>
          <w:rFonts w:asciiTheme="majorHAnsi" w:hAnsiTheme="majorHAnsi" w:cstheme="majorHAnsi"/>
        </w:rPr>
        <w:t>)</w:t>
      </w:r>
      <w:r w:rsidR="00F60DFD">
        <w:rPr>
          <w:rFonts w:asciiTheme="majorHAnsi" w:hAnsiTheme="majorHAnsi" w:cstheme="majorHAnsi"/>
        </w:rPr>
        <w:t xml:space="preserve"> codes</w:t>
      </w:r>
      <w:r w:rsidR="002707DC">
        <w:rPr>
          <w:rFonts w:asciiTheme="majorHAnsi" w:hAnsiTheme="majorHAnsi" w:cstheme="majorHAnsi"/>
        </w:rPr>
        <w:t xml:space="preserve"> </w:t>
      </w:r>
      <w:r w:rsidR="00051E81">
        <w:rPr>
          <w:rFonts w:asciiTheme="majorHAnsi" w:hAnsiTheme="majorHAnsi" w:cstheme="majorHAnsi"/>
        </w:rPr>
        <w:t>identified</w:t>
      </w:r>
      <w:r w:rsidR="00F60DFD">
        <w:rPr>
          <w:rFonts w:asciiTheme="majorHAnsi" w:hAnsiTheme="majorHAnsi" w:cstheme="majorHAnsi"/>
        </w:rPr>
        <w:t xml:space="preserve"> </w:t>
      </w:r>
      <w:r>
        <w:rPr>
          <w:rFonts w:asciiTheme="majorHAnsi" w:hAnsiTheme="majorHAnsi" w:cstheme="majorHAnsi"/>
        </w:rPr>
        <w:t>in Discovery Projects applications,</w:t>
      </w:r>
      <w:r w:rsidR="00C165F1">
        <w:rPr>
          <w:rStyle w:val="FootnoteReference"/>
          <w:rFonts w:asciiTheme="majorHAnsi" w:hAnsiTheme="majorHAnsi" w:cstheme="majorHAnsi"/>
        </w:rPr>
        <w:footnoteReference w:id="27"/>
      </w:r>
      <w:r w:rsidR="00C165F1">
        <w:rPr>
          <w:rFonts w:asciiTheme="majorHAnsi" w:hAnsiTheme="majorHAnsi" w:cstheme="majorHAnsi"/>
        </w:rPr>
        <w:t xml:space="preserve"> </w:t>
      </w:r>
      <w:r>
        <w:rPr>
          <w:rFonts w:asciiTheme="majorHAnsi" w:hAnsiTheme="majorHAnsi" w:cstheme="majorHAnsi"/>
        </w:rPr>
        <w:t xml:space="preserve">this section analyses the representation of </w:t>
      </w:r>
      <w:r>
        <w:rPr>
          <w:rFonts w:asciiTheme="majorHAnsi" w:hAnsiTheme="majorHAnsi" w:cstheme="majorHAnsi"/>
        </w:rPr>
        <w:lastRenderedPageBreak/>
        <w:t xml:space="preserve">different disciplines in research supported by the scheme. </w:t>
      </w:r>
      <w:r w:rsidR="00C165F1">
        <w:rPr>
          <w:rFonts w:asciiTheme="majorHAnsi" w:hAnsiTheme="majorHAnsi" w:cstheme="majorHAnsi"/>
        </w:rPr>
        <w:t xml:space="preserve">The primary 2-digit </w:t>
      </w:r>
      <w:proofErr w:type="spellStart"/>
      <w:r w:rsidR="00C165F1">
        <w:rPr>
          <w:rFonts w:asciiTheme="majorHAnsi" w:hAnsiTheme="majorHAnsi" w:cstheme="majorHAnsi"/>
        </w:rPr>
        <w:t>FoR</w:t>
      </w:r>
      <w:proofErr w:type="spellEnd"/>
      <w:r w:rsidR="00C165F1">
        <w:rPr>
          <w:rFonts w:asciiTheme="majorHAnsi" w:hAnsiTheme="majorHAnsi" w:cstheme="majorHAnsi"/>
        </w:rPr>
        <w:t xml:space="preserve"> code</w:t>
      </w:r>
      <w:r w:rsidR="00344343">
        <w:rPr>
          <w:rFonts w:asciiTheme="majorHAnsi" w:hAnsiTheme="majorHAnsi" w:cstheme="majorHAnsi"/>
        </w:rPr>
        <w:t>s</w:t>
      </w:r>
      <w:r w:rsidR="00C3698D">
        <w:rPr>
          <w:rStyle w:val="FootnoteReference"/>
          <w:rFonts w:asciiTheme="majorHAnsi" w:hAnsiTheme="majorHAnsi" w:cstheme="majorHAnsi"/>
        </w:rPr>
        <w:footnoteReference w:id="28"/>
      </w:r>
      <w:r w:rsidR="00C165F1">
        <w:rPr>
          <w:rFonts w:asciiTheme="majorHAnsi" w:hAnsiTheme="majorHAnsi" w:cstheme="majorHAnsi"/>
        </w:rPr>
        <w:t xml:space="preserve"> </w:t>
      </w:r>
      <w:r w:rsidR="004366D5">
        <w:rPr>
          <w:rFonts w:asciiTheme="majorHAnsi" w:hAnsiTheme="majorHAnsi" w:cstheme="majorHAnsi"/>
        </w:rPr>
        <w:t xml:space="preserve">entered in applications </w:t>
      </w:r>
      <w:r w:rsidR="00C165F1">
        <w:rPr>
          <w:rFonts w:asciiTheme="majorHAnsi" w:hAnsiTheme="majorHAnsi" w:cstheme="majorHAnsi"/>
        </w:rPr>
        <w:t>ha</w:t>
      </w:r>
      <w:r w:rsidR="00344343">
        <w:rPr>
          <w:rFonts w:asciiTheme="majorHAnsi" w:hAnsiTheme="majorHAnsi" w:cstheme="majorHAnsi"/>
        </w:rPr>
        <w:t>ve</w:t>
      </w:r>
      <w:r w:rsidR="00C165F1">
        <w:rPr>
          <w:rFonts w:asciiTheme="majorHAnsi" w:hAnsiTheme="majorHAnsi" w:cstheme="majorHAnsi"/>
        </w:rPr>
        <w:t xml:space="preserve"> been used to assign</w:t>
      </w:r>
      <w:r w:rsidR="000E78D8">
        <w:rPr>
          <w:rFonts w:asciiTheme="majorHAnsi" w:hAnsiTheme="majorHAnsi" w:cstheme="majorHAnsi"/>
        </w:rPr>
        <w:t xml:space="preserve"> projects</w:t>
      </w:r>
      <w:r w:rsidR="00C165F1">
        <w:rPr>
          <w:rFonts w:asciiTheme="majorHAnsi" w:hAnsiTheme="majorHAnsi" w:cstheme="majorHAnsi"/>
        </w:rPr>
        <w:t xml:space="preserve"> to either HASS or STEM disciplines.</w:t>
      </w:r>
      <w:r w:rsidR="00C165F1">
        <w:rPr>
          <w:rStyle w:val="FootnoteReference"/>
          <w:rFonts w:asciiTheme="majorHAnsi" w:hAnsiTheme="majorHAnsi" w:cstheme="majorHAnsi"/>
        </w:rPr>
        <w:footnoteReference w:id="29"/>
      </w:r>
    </w:p>
    <w:p w14:paraId="51FC9442" w14:textId="4702AD6B" w:rsidR="00C165F1" w:rsidRPr="005932F7" w:rsidRDefault="00C165F1" w:rsidP="00C165F1">
      <w:r w:rsidRPr="00607DD0">
        <w:rPr>
          <w:rFonts w:asciiTheme="majorHAnsi" w:hAnsiTheme="majorHAnsi" w:cstheme="majorHAnsi"/>
          <w:lang w:eastAsia="en-AU"/>
        </w:rPr>
        <w:t xml:space="preserve">As </w:t>
      </w:r>
      <w:r w:rsidRPr="00D8331D">
        <w:rPr>
          <w:rFonts w:asciiTheme="majorHAnsi" w:hAnsiTheme="majorHAnsi" w:cstheme="majorHAnsi"/>
          <w:lang w:eastAsia="en-AU"/>
        </w:rPr>
        <w:t xml:space="preserve">indicated in </w:t>
      </w:r>
      <w:r w:rsidRPr="00501DA1">
        <w:rPr>
          <w:rFonts w:asciiTheme="majorHAnsi" w:hAnsiTheme="majorHAnsi" w:cstheme="majorHAnsi"/>
          <w:lang w:eastAsia="en-AU"/>
        </w:rPr>
        <w:fldChar w:fldCharType="begin"/>
      </w:r>
      <w:r w:rsidRPr="00D8331D">
        <w:rPr>
          <w:rFonts w:asciiTheme="majorHAnsi" w:hAnsiTheme="majorHAnsi" w:cstheme="majorHAnsi"/>
          <w:lang w:eastAsia="en-AU"/>
        </w:rPr>
        <w:instrText xml:space="preserve"> REF _Ref49762126 \h </w:instrText>
      </w:r>
      <w:r w:rsidRPr="0006444F">
        <w:rPr>
          <w:rFonts w:asciiTheme="majorHAnsi" w:hAnsiTheme="majorHAnsi" w:cstheme="majorHAnsi"/>
          <w:lang w:eastAsia="en-AU"/>
        </w:rPr>
        <w:instrText xml:space="preserve"> \* MERGEFORMAT </w:instrText>
      </w:r>
      <w:r w:rsidRPr="00501DA1">
        <w:rPr>
          <w:rFonts w:asciiTheme="majorHAnsi" w:hAnsiTheme="majorHAnsi" w:cstheme="majorHAnsi"/>
          <w:lang w:eastAsia="en-AU"/>
        </w:rPr>
      </w:r>
      <w:r w:rsidRPr="00501DA1">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6</w:t>
      </w:r>
      <w:r w:rsidRPr="00501DA1">
        <w:rPr>
          <w:rFonts w:asciiTheme="majorHAnsi" w:hAnsiTheme="majorHAnsi" w:cstheme="majorHAnsi"/>
          <w:lang w:eastAsia="en-AU"/>
        </w:rPr>
        <w:fldChar w:fldCharType="end"/>
      </w:r>
      <w:r w:rsidRPr="00607DD0">
        <w:rPr>
          <w:rFonts w:asciiTheme="majorHAnsi" w:hAnsiTheme="majorHAnsi" w:cstheme="majorHAnsi"/>
          <w:lang w:eastAsia="en-AU"/>
        </w:rPr>
        <w:t>, STEM</w:t>
      </w:r>
      <w:r w:rsidRPr="007C66DC">
        <w:rPr>
          <w:rFonts w:asciiTheme="majorHAnsi" w:hAnsiTheme="majorHAnsi" w:cstheme="majorHAnsi"/>
          <w:lang w:eastAsia="en-AU"/>
        </w:rPr>
        <w:t xml:space="preserve"> disciplines</w:t>
      </w:r>
      <w:r w:rsidRPr="000A5AEE">
        <w:rPr>
          <w:rFonts w:asciiTheme="majorHAnsi" w:hAnsiTheme="majorHAnsi" w:cstheme="majorHAnsi"/>
          <w:lang w:eastAsia="en-AU"/>
        </w:rPr>
        <w:t xml:space="preserve"> have been</w:t>
      </w:r>
      <w:r w:rsidR="00261EA5">
        <w:rPr>
          <w:rFonts w:asciiTheme="majorHAnsi" w:hAnsiTheme="majorHAnsi" w:cstheme="majorHAnsi"/>
          <w:lang w:eastAsia="en-AU"/>
        </w:rPr>
        <w:t xml:space="preserve"> represented</w:t>
      </w:r>
      <w:r>
        <w:rPr>
          <w:rFonts w:asciiTheme="majorHAnsi" w:hAnsiTheme="majorHAnsi" w:cstheme="majorHAnsi"/>
          <w:lang w:eastAsia="en-AU"/>
        </w:rPr>
        <w:t xml:space="preserve"> more</w:t>
      </w:r>
      <w:r w:rsidRPr="000A5AEE">
        <w:rPr>
          <w:rFonts w:asciiTheme="majorHAnsi" w:hAnsiTheme="majorHAnsi" w:cstheme="majorHAnsi"/>
          <w:lang w:eastAsia="en-AU"/>
        </w:rPr>
        <w:t xml:space="preserve"> strongly </w:t>
      </w:r>
      <w:r>
        <w:rPr>
          <w:rFonts w:asciiTheme="majorHAnsi" w:hAnsiTheme="majorHAnsi" w:cstheme="majorHAnsi"/>
          <w:lang w:eastAsia="en-AU"/>
        </w:rPr>
        <w:t>than HASS disciplines</w:t>
      </w:r>
      <w:r w:rsidRPr="000A5AEE">
        <w:rPr>
          <w:rFonts w:asciiTheme="majorHAnsi" w:hAnsiTheme="majorHAnsi" w:cstheme="majorHAnsi"/>
          <w:lang w:eastAsia="en-AU"/>
        </w:rPr>
        <w:t xml:space="preserve"> in </w:t>
      </w:r>
      <w:r>
        <w:rPr>
          <w:rFonts w:asciiTheme="majorHAnsi" w:hAnsiTheme="majorHAnsi" w:cstheme="majorHAnsi"/>
          <w:lang w:eastAsia="en-AU"/>
        </w:rPr>
        <w:t>both</w:t>
      </w:r>
      <w:r w:rsidRPr="000A5AEE">
        <w:rPr>
          <w:rFonts w:asciiTheme="majorHAnsi" w:hAnsiTheme="majorHAnsi" w:cstheme="majorHAnsi"/>
          <w:lang w:eastAsia="en-AU"/>
        </w:rPr>
        <w:t xml:space="preserve"> applications and f</w:t>
      </w:r>
      <w:r>
        <w:rPr>
          <w:rFonts w:asciiTheme="majorHAnsi" w:hAnsiTheme="majorHAnsi" w:cstheme="majorHAnsi"/>
          <w:lang w:eastAsia="en-AU"/>
        </w:rPr>
        <w:t>unded projects</w:t>
      </w:r>
      <w:r w:rsidRPr="000A5AEE">
        <w:rPr>
          <w:rFonts w:asciiTheme="majorHAnsi" w:hAnsiTheme="majorHAnsi" w:cstheme="majorHAnsi"/>
          <w:lang w:eastAsia="en-AU"/>
        </w:rPr>
        <w:t>.</w:t>
      </w:r>
      <w:r>
        <w:rPr>
          <w:rFonts w:asciiTheme="majorHAnsi" w:hAnsiTheme="majorHAnsi" w:cstheme="majorHAnsi"/>
          <w:lang w:eastAsia="en-AU"/>
        </w:rPr>
        <w:t xml:space="preserve"> Th</w:t>
      </w:r>
      <w:r w:rsidR="00A56586">
        <w:rPr>
          <w:rFonts w:asciiTheme="majorHAnsi" w:hAnsiTheme="majorHAnsi" w:cstheme="majorHAnsi"/>
          <w:lang w:eastAsia="en-AU"/>
        </w:rPr>
        <w:t>e</w:t>
      </w:r>
      <w:r>
        <w:rPr>
          <w:rFonts w:asciiTheme="majorHAnsi" w:hAnsiTheme="majorHAnsi" w:cstheme="majorHAnsi"/>
          <w:lang w:eastAsia="en-AU"/>
        </w:rPr>
        <w:t xml:space="preserve"> difference in composition has become slightly more pronounced over time, with STEM growing from approximately 70 per cent to 80 per cent of all applications and funded projects from DP02–DP20. This disparity is more pronounced within the context of total funding awarded, with STEM disciplines receiving no less than 75.2 per cent of funding (DP10), and up to 83.6 per cent of funding (DP20), per scheme round.</w:t>
      </w:r>
    </w:p>
    <w:p w14:paraId="61D07E84" w14:textId="7D222553" w:rsidR="00C165F1" w:rsidRPr="004C2707" w:rsidRDefault="00C165F1" w:rsidP="00751469">
      <w:pPr>
        <w:pStyle w:val="FigureTitle"/>
        <w:rPr>
          <w:i/>
        </w:rPr>
      </w:pPr>
      <w:bookmarkStart w:id="185" w:name="_Ref49762126"/>
      <w:r w:rsidRPr="004C2707">
        <w:t xml:space="preserve">Figure </w:t>
      </w:r>
      <w:r w:rsidR="00857467">
        <w:fldChar w:fldCharType="begin"/>
      </w:r>
      <w:r w:rsidR="00857467">
        <w:instrText xml:space="preserve"> SEQ Figure \* ARABIC </w:instrText>
      </w:r>
      <w:r w:rsidR="00857467">
        <w:fldChar w:fldCharType="separate"/>
      </w:r>
      <w:r w:rsidR="00AB03D7">
        <w:rPr>
          <w:noProof/>
        </w:rPr>
        <w:t>6</w:t>
      </w:r>
      <w:r w:rsidR="00857467">
        <w:rPr>
          <w:noProof/>
        </w:rPr>
        <w:fldChar w:fldCharType="end"/>
      </w:r>
      <w:bookmarkEnd w:id="185"/>
      <w:r w:rsidRPr="004C2707">
        <w:t>: Proportion of applications, funded projects and total funding awarded by HASS/STEM, DP02–DP20</w:t>
      </w:r>
    </w:p>
    <w:p w14:paraId="1692864A" w14:textId="5CF50F7E" w:rsidR="00C165F1" w:rsidRPr="000A5AEE" w:rsidRDefault="000E5749" w:rsidP="00C165F1">
      <w:pPr>
        <w:rPr>
          <w:rFonts w:asciiTheme="majorHAnsi" w:hAnsiTheme="majorHAnsi" w:cstheme="majorHAnsi"/>
          <w:lang w:eastAsia="en-AU"/>
        </w:rPr>
      </w:pPr>
      <w:r>
        <w:rPr>
          <w:rFonts w:asciiTheme="majorHAnsi" w:hAnsiTheme="majorHAnsi" w:cstheme="majorHAnsi"/>
          <w:noProof/>
          <w:lang w:eastAsia="en-AU"/>
        </w:rPr>
        <w:drawing>
          <wp:inline distT="0" distB="0" distL="0" distR="0" wp14:anchorId="2ED596E3" wp14:editId="48A943EA">
            <wp:extent cx="5742940" cy="3017520"/>
            <wp:effectExtent l="0" t="0" r="0" b="0"/>
            <wp:docPr id="54" name="Picture 54" descr="Figure 6 is a graph showing the proportion of HASS/STEM applications, funded projects and total funding awarded under the Discovery Projects scheme between DP02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6 is a graph showing the proportion of HASS/STEM applications, funded projects and total funding awarded under the Discovery Projects scheme between DP02 and DP20. See text above graph for more inform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940" cy="3017520"/>
                    </a:xfrm>
                    <a:prstGeom prst="rect">
                      <a:avLst/>
                    </a:prstGeom>
                    <a:noFill/>
                  </pic:spPr>
                </pic:pic>
              </a:graphicData>
            </a:graphic>
          </wp:inline>
        </w:drawing>
      </w:r>
    </w:p>
    <w:p w14:paraId="0E3693C9" w14:textId="283BF8AC" w:rsidR="00C165F1" w:rsidRPr="00A244A2" w:rsidRDefault="00C165F1" w:rsidP="00C165F1">
      <w:pPr>
        <w:rPr>
          <w:rFonts w:asciiTheme="majorHAnsi" w:hAnsiTheme="majorHAnsi" w:cstheme="majorHAnsi"/>
          <w:sz w:val="16"/>
          <w:szCs w:val="16"/>
          <w:lang w:eastAsia="en-AU"/>
        </w:rPr>
      </w:pPr>
      <w:r w:rsidRPr="00A244A2">
        <w:rPr>
          <w:rFonts w:asciiTheme="majorHAnsi" w:hAnsiTheme="majorHAnsi" w:cstheme="majorHAnsi"/>
          <w:sz w:val="16"/>
          <w:szCs w:val="16"/>
          <w:lang w:eastAsia="en-AU"/>
        </w:rPr>
        <w:t>Source: ARC</w:t>
      </w:r>
      <w:r>
        <w:rPr>
          <w:rFonts w:asciiTheme="majorHAnsi" w:hAnsiTheme="majorHAnsi" w:cstheme="majorHAnsi"/>
          <w:sz w:val="16"/>
          <w:szCs w:val="16"/>
          <w:lang w:eastAsia="en-AU"/>
        </w:rPr>
        <w:t xml:space="preserve"> administrative data</w:t>
      </w:r>
      <w:r w:rsidRPr="00A244A2">
        <w:rPr>
          <w:rFonts w:asciiTheme="majorHAnsi" w:hAnsiTheme="majorHAnsi" w:cstheme="majorHAnsi"/>
          <w:sz w:val="16"/>
          <w:szCs w:val="16"/>
          <w:lang w:eastAsia="en-AU"/>
        </w:rPr>
        <w:t>.</w:t>
      </w:r>
      <w:r>
        <w:rPr>
          <w:rFonts w:asciiTheme="majorHAnsi" w:hAnsiTheme="majorHAnsi" w:cstheme="majorHAnsi"/>
          <w:sz w:val="16"/>
          <w:szCs w:val="16"/>
          <w:lang w:eastAsia="en-AU"/>
        </w:rPr>
        <w:t xml:space="preserve"> </w:t>
      </w:r>
      <w:r w:rsidRPr="0006444F">
        <w:rPr>
          <w:rFonts w:asciiTheme="majorHAnsi" w:hAnsiTheme="majorHAnsi" w:cstheme="majorHAnsi"/>
          <w:i/>
          <w:iCs/>
          <w:sz w:val="16"/>
          <w:szCs w:val="16"/>
          <w:lang w:eastAsia="en-AU"/>
        </w:rPr>
        <w:t>Note: STEM and HASS</w:t>
      </w:r>
      <w:r w:rsidRPr="004146AD">
        <w:rPr>
          <w:rFonts w:asciiTheme="majorHAnsi" w:hAnsiTheme="majorHAnsi" w:cstheme="majorHAnsi"/>
          <w:i/>
          <w:sz w:val="16"/>
          <w:szCs w:val="16"/>
          <w:lang w:eastAsia="en-AU"/>
        </w:rPr>
        <w:t xml:space="preserve"> designations have been applied on the basis of primary 2-digit </w:t>
      </w:r>
      <w:proofErr w:type="spellStart"/>
      <w:r w:rsidRPr="004146AD">
        <w:rPr>
          <w:rFonts w:asciiTheme="majorHAnsi" w:hAnsiTheme="majorHAnsi" w:cstheme="majorHAnsi"/>
          <w:i/>
          <w:sz w:val="16"/>
          <w:szCs w:val="16"/>
          <w:lang w:eastAsia="en-AU"/>
        </w:rPr>
        <w:t>FoR</w:t>
      </w:r>
      <w:proofErr w:type="spellEnd"/>
      <w:r w:rsidRPr="004146AD">
        <w:rPr>
          <w:rFonts w:asciiTheme="majorHAnsi" w:hAnsiTheme="majorHAnsi" w:cstheme="majorHAnsi"/>
          <w:i/>
          <w:sz w:val="16"/>
          <w:szCs w:val="16"/>
          <w:lang w:eastAsia="en-AU"/>
        </w:rPr>
        <w:t xml:space="preserve"> code. </w:t>
      </w:r>
      <w:r w:rsidR="00370DD1">
        <w:rPr>
          <w:rFonts w:asciiTheme="majorHAnsi" w:hAnsiTheme="majorHAnsi" w:cstheme="majorHAnsi"/>
          <w:i/>
          <w:sz w:val="16"/>
          <w:szCs w:val="16"/>
          <w:lang w:eastAsia="en-AU"/>
        </w:rPr>
        <w:t>Funding data</w:t>
      </w:r>
      <w:r w:rsidR="00370DD1" w:rsidRPr="000A5AEE">
        <w:rPr>
          <w:rFonts w:asciiTheme="majorHAnsi" w:hAnsiTheme="majorHAnsi" w:cstheme="majorHAnsi"/>
          <w:i/>
          <w:sz w:val="16"/>
          <w:szCs w:val="16"/>
          <w:lang w:eastAsia="en-AU"/>
        </w:rPr>
        <w:t xml:space="preserve"> reflect funding amounts at the time of announcement</w:t>
      </w:r>
      <w:r w:rsidR="00370DD1">
        <w:rPr>
          <w:rFonts w:asciiTheme="majorHAnsi" w:hAnsiTheme="majorHAnsi" w:cstheme="majorHAnsi"/>
          <w:i/>
          <w:sz w:val="16"/>
          <w:szCs w:val="16"/>
          <w:lang w:eastAsia="en-AU"/>
        </w:rPr>
        <w:t>, and have not been adjusted for inflation</w:t>
      </w:r>
      <w:r w:rsidR="00370DD1" w:rsidRPr="000A5AEE">
        <w:rPr>
          <w:rFonts w:asciiTheme="majorHAnsi" w:hAnsiTheme="majorHAnsi" w:cstheme="majorHAnsi"/>
          <w:i/>
          <w:sz w:val="16"/>
          <w:szCs w:val="16"/>
          <w:lang w:eastAsia="en-AU"/>
        </w:rPr>
        <w:t>.</w:t>
      </w:r>
    </w:p>
    <w:p w14:paraId="5ED043C2" w14:textId="77777777" w:rsidR="00C165F1" w:rsidRDefault="00C165F1" w:rsidP="00C165F1">
      <w:pPr>
        <w:pStyle w:val="Heading4"/>
        <w:rPr>
          <w:lang w:eastAsia="en-AU"/>
        </w:rPr>
      </w:pPr>
      <w:r>
        <w:rPr>
          <w:lang w:eastAsia="en-AU"/>
        </w:rPr>
        <w:t>2-digit Field of Research codes</w:t>
      </w:r>
    </w:p>
    <w:p w14:paraId="76C45D17" w14:textId="721304DF" w:rsidR="00C165F1" w:rsidRDefault="00C165F1" w:rsidP="00C165F1">
      <w:pPr>
        <w:rPr>
          <w:rFonts w:asciiTheme="majorHAnsi" w:hAnsiTheme="majorHAnsi" w:cstheme="majorHAnsi"/>
          <w:lang w:eastAsia="en-AU"/>
        </w:rPr>
      </w:pPr>
      <w:r w:rsidRPr="00FC2C7F">
        <w:rPr>
          <w:rFonts w:asciiTheme="majorHAnsi" w:hAnsiTheme="majorHAnsi" w:cstheme="majorHAnsi"/>
          <w:lang w:eastAsia="en-AU"/>
        </w:rPr>
        <w:t xml:space="preserve">Engineering and Biological Sciences </w:t>
      </w:r>
      <w:r>
        <w:rPr>
          <w:rFonts w:asciiTheme="majorHAnsi" w:hAnsiTheme="majorHAnsi" w:cstheme="majorHAnsi"/>
          <w:lang w:eastAsia="en-AU"/>
        </w:rPr>
        <w:t>were</w:t>
      </w:r>
      <w:r w:rsidRPr="00FC2C7F">
        <w:rPr>
          <w:rFonts w:asciiTheme="majorHAnsi" w:hAnsiTheme="majorHAnsi" w:cstheme="majorHAnsi"/>
          <w:lang w:eastAsia="en-AU"/>
        </w:rPr>
        <w:t xml:space="preserve"> the dominant</w:t>
      </w:r>
      <w:r>
        <w:rPr>
          <w:rFonts w:asciiTheme="majorHAnsi" w:hAnsiTheme="majorHAnsi" w:cstheme="majorHAnsi"/>
          <w:lang w:eastAsia="en-AU"/>
        </w:rPr>
        <w:t xml:space="preserve"> primary</w:t>
      </w:r>
      <w:r w:rsidRPr="00FC2C7F">
        <w:rPr>
          <w:rFonts w:asciiTheme="majorHAnsi" w:hAnsiTheme="majorHAnsi" w:cstheme="majorHAnsi"/>
          <w:lang w:eastAsia="en-AU"/>
        </w:rPr>
        <w:t xml:space="preserve"> 2</w:t>
      </w:r>
      <w:r>
        <w:rPr>
          <w:rFonts w:asciiTheme="majorHAnsi" w:hAnsiTheme="majorHAnsi" w:cstheme="majorHAnsi"/>
          <w:lang w:eastAsia="en-AU"/>
        </w:rPr>
        <w:noBreakHyphen/>
      </w:r>
      <w:r w:rsidRPr="00FC2C7F">
        <w:rPr>
          <w:rFonts w:asciiTheme="majorHAnsi" w:hAnsiTheme="majorHAnsi" w:cstheme="majorHAnsi"/>
          <w:lang w:eastAsia="en-AU"/>
        </w:rPr>
        <w:t xml:space="preserve">digit </w:t>
      </w:r>
      <w:proofErr w:type="spellStart"/>
      <w:r w:rsidRPr="00FC2C7F">
        <w:rPr>
          <w:rFonts w:asciiTheme="majorHAnsi" w:hAnsiTheme="majorHAnsi" w:cstheme="majorHAnsi"/>
          <w:lang w:eastAsia="en-AU"/>
        </w:rPr>
        <w:t>FoRs</w:t>
      </w:r>
      <w:proofErr w:type="spellEnd"/>
      <w:r w:rsidRPr="00FC2C7F">
        <w:rPr>
          <w:rFonts w:asciiTheme="majorHAnsi" w:hAnsiTheme="majorHAnsi" w:cstheme="majorHAnsi"/>
          <w:lang w:eastAsia="en-AU"/>
        </w:rPr>
        <w:t xml:space="preserve"> in Discovery Projects </w:t>
      </w:r>
      <w:r>
        <w:rPr>
          <w:rFonts w:asciiTheme="majorHAnsi" w:hAnsiTheme="majorHAnsi" w:cstheme="majorHAnsi"/>
          <w:lang w:eastAsia="en-AU"/>
        </w:rPr>
        <w:t>from DP02 to DP20,</w:t>
      </w:r>
      <w:r w:rsidRPr="00FC2C7F">
        <w:rPr>
          <w:rFonts w:asciiTheme="majorHAnsi" w:hAnsiTheme="majorHAnsi" w:cstheme="majorHAnsi"/>
          <w:lang w:eastAsia="en-AU"/>
        </w:rPr>
        <w:t xml:space="preserve"> recei</w:t>
      </w:r>
      <w:r>
        <w:rPr>
          <w:rFonts w:asciiTheme="majorHAnsi" w:hAnsiTheme="majorHAnsi" w:cstheme="majorHAnsi"/>
          <w:lang w:eastAsia="en-AU"/>
        </w:rPr>
        <w:t>ving</w:t>
      </w:r>
      <w:r w:rsidRPr="00FC2C7F">
        <w:rPr>
          <w:rFonts w:asciiTheme="majorHAnsi" w:hAnsiTheme="majorHAnsi" w:cstheme="majorHAnsi"/>
          <w:lang w:eastAsia="en-AU"/>
        </w:rPr>
        <w:t xml:space="preserve"> approximately double the proportion of applications and funded projects compared to the next highest</w:t>
      </w:r>
      <w:r>
        <w:rPr>
          <w:rFonts w:asciiTheme="majorHAnsi" w:hAnsiTheme="majorHAnsi" w:cstheme="majorHAnsi"/>
          <w:lang w:eastAsia="en-AU"/>
        </w:rPr>
        <w:t xml:space="preserve"> </w:t>
      </w:r>
      <w:proofErr w:type="spellStart"/>
      <w:r>
        <w:rPr>
          <w:rFonts w:asciiTheme="majorHAnsi" w:hAnsiTheme="majorHAnsi" w:cstheme="majorHAnsi"/>
          <w:lang w:eastAsia="en-AU"/>
        </w:rPr>
        <w:t>FoR</w:t>
      </w:r>
      <w:proofErr w:type="spellEnd"/>
      <w:r w:rsidRPr="00FC2C7F">
        <w:rPr>
          <w:rFonts w:asciiTheme="majorHAnsi" w:hAnsiTheme="majorHAnsi" w:cstheme="majorHAnsi"/>
          <w:lang w:eastAsia="en-AU"/>
        </w:rPr>
        <w:t xml:space="preserve">. Built Environment and Design and Agricultural and Veterinary Sciences </w:t>
      </w:r>
      <w:r>
        <w:rPr>
          <w:rFonts w:asciiTheme="majorHAnsi" w:hAnsiTheme="majorHAnsi" w:cstheme="majorHAnsi"/>
          <w:lang w:eastAsia="en-AU"/>
        </w:rPr>
        <w:t>were</w:t>
      </w:r>
      <w:r w:rsidRPr="00FC2C7F">
        <w:rPr>
          <w:rFonts w:asciiTheme="majorHAnsi" w:hAnsiTheme="majorHAnsi" w:cstheme="majorHAnsi"/>
          <w:lang w:eastAsia="en-AU"/>
        </w:rPr>
        <w:t xml:space="preserve"> the least represented </w:t>
      </w:r>
      <w:proofErr w:type="spellStart"/>
      <w:r w:rsidRPr="00FC2C7F">
        <w:rPr>
          <w:rFonts w:asciiTheme="majorHAnsi" w:hAnsiTheme="majorHAnsi" w:cstheme="majorHAnsi"/>
          <w:lang w:eastAsia="en-AU"/>
        </w:rPr>
        <w:t>FoR</w:t>
      </w:r>
      <w:proofErr w:type="spellEnd"/>
      <w:r w:rsidRPr="00FC2C7F">
        <w:rPr>
          <w:rFonts w:asciiTheme="majorHAnsi" w:hAnsiTheme="majorHAnsi" w:cstheme="majorHAnsi"/>
          <w:lang w:eastAsia="en-AU"/>
        </w:rPr>
        <w:t xml:space="preserve"> codes, each accounting for less than 1.2 per cent of all applications and funded projects over this period</w:t>
      </w:r>
      <w:r w:rsidRPr="00666409">
        <w:rPr>
          <w:rFonts w:asciiTheme="majorHAnsi" w:hAnsiTheme="majorHAnsi" w:cstheme="majorHAnsi"/>
          <w:lang w:eastAsia="en-AU"/>
        </w:rPr>
        <w:t xml:space="preserve">. </w:t>
      </w:r>
    </w:p>
    <w:p w14:paraId="66341F9C" w14:textId="661EE6C9" w:rsidR="00C165F1" w:rsidRPr="00590D5F" w:rsidRDefault="00C165F1" w:rsidP="00C165F1">
      <w:pPr>
        <w:rPr>
          <w:rFonts w:asciiTheme="majorHAnsi" w:hAnsiTheme="majorHAnsi" w:cstheme="majorHAnsi"/>
          <w:lang w:eastAsia="en-AU"/>
        </w:rPr>
      </w:pPr>
      <w:r w:rsidRPr="00590D5F">
        <w:rPr>
          <w:rFonts w:asciiTheme="majorHAnsi" w:hAnsiTheme="majorHAnsi" w:cstheme="majorHAnsi"/>
          <w:lang w:eastAsia="en-AU"/>
        </w:rPr>
        <w:t xml:space="preserve">The two following figures identify the </w:t>
      </w:r>
      <w:r w:rsidRPr="00E85964">
        <w:rPr>
          <w:rFonts w:asciiTheme="majorHAnsi" w:hAnsiTheme="majorHAnsi" w:cstheme="majorHAnsi"/>
          <w:lang w:eastAsia="en-AU"/>
        </w:rPr>
        <w:t xml:space="preserve">proportion of applications </w:t>
      </w:r>
      <w:r w:rsidR="00292557" w:rsidRPr="00832AAE">
        <w:rPr>
          <w:rFonts w:asciiTheme="majorHAnsi" w:hAnsiTheme="majorHAnsi" w:cstheme="majorHAnsi"/>
          <w:lang w:eastAsia="en-AU"/>
        </w:rPr>
        <w:t>(</w:t>
      </w:r>
      <w:r w:rsidR="00C44EF8" w:rsidRPr="00832AAE">
        <w:rPr>
          <w:rFonts w:asciiTheme="majorHAnsi" w:hAnsiTheme="majorHAnsi" w:cstheme="majorHAnsi"/>
          <w:lang w:eastAsia="en-AU"/>
        </w:rPr>
        <w:fldChar w:fldCharType="begin"/>
      </w:r>
      <w:r w:rsidR="00C44EF8" w:rsidRPr="00C44EF8">
        <w:rPr>
          <w:rFonts w:asciiTheme="majorHAnsi" w:hAnsiTheme="majorHAnsi" w:cstheme="majorHAnsi"/>
          <w:lang w:eastAsia="en-AU"/>
        </w:rPr>
        <w:instrText xml:space="preserve"> REF _Ref51918919 \h </w:instrText>
      </w:r>
      <w:r w:rsidR="00C44EF8" w:rsidRPr="007057E6">
        <w:rPr>
          <w:rFonts w:asciiTheme="majorHAnsi" w:hAnsiTheme="majorHAnsi" w:cstheme="majorHAnsi"/>
          <w:lang w:eastAsia="en-AU"/>
        </w:rPr>
        <w:instrText xml:space="preserve"> \* MERGEFORMAT </w:instrText>
      </w:r>
      <w:r w:rsidR="00C44EF8" w:rsidRPr="00832AAE">
        <w:rPr>
          <w:rFonts w:asciiTheme="majorHAnsi" w:hAnsiTheme="majorHAnsi" w:cstheme="majorHAnsi"/>
          <w:lang w:eastAsia="en-AU"/>
        </w:rPr>
      </w:r>
      <w:r w:rsidR="00C44EF8" w:rsidRPr="00832AAE">
        <w:rPr>
          <w:rFonts w:asciiTheme="majorHAnsi" w:hAnsiTheme="majorHAnsi" w:cstheme="majorHAnsi"/>
          <w:lang w:eastAsia="en-AU"/>
        </w:rPr>
        <w:fldChar w:fldCharType="separate"/>
      </w:r>
      <w:r w:rsidR="00AB03D7" w:rsidRPr="00AB03D7">
        <w:rPr>
          <w:rFonts w:asciiTheme="majorHAnsi" w:hAnsiTheme="majorHAnsi" w:cstheme="majorHAnsi"/>
          <w:iCs/>
          <w:color w:val="000000" w:themeColor="text1"/>
        </w:rPr>
        <w:t xml:space="preserve">Figure </w:t>
      </w:r>
      <w:r w:rsidR="00AB03D7" w:rsidRPr="00AB03D7">
        <w:rPr>
          <w:rFonts w:asciiTheme="majorHAnsi" w:hAnsiTheme="majorHAnsi" w:cstheme="majorHAnsi"/>
          <w:iCs/>
          <w:noProof/>
          <w:color w:val="000000" w:themeColor="text1"/>
        </w:rPr>
        <w:t>7</w:t>
      </w:r>
      <w:r w:rsidR="00C44EF8" w:rsidRPr="00832AAE">
        <w:rPr>
          <w:rFonts w:asciiTheme="majorHAnsi" w:hAnsiTheme="majorHAnsi" w:cstheme="majorHAnsi"/>
          <w:lang w:eastAsia="en-AU"/>
        </w:rPr>
        <w:fldChar w:fldCharType="end"/>
      </w:r>
      <w:r w:rsidR="00292557" w:rsidRPr="00C44EF8">
        <w:rPr>
          <w:rFonts w:asciiTheme="majorHAnsi" w:hAnsiTheme="majorHAnsi" w:cstheme="majorHAnsi"/>
          <w:lang w:eastAsia="en-AU"/>
        </w:rPr>
        <w:t>)</w:t>
      </w:r>
      <w:r w:rsidRPr="00C44EF8">
        <w:rPr>
          <w:rFonts w:asciiTheme="majorHAnsi" w:hAnsiTheme="majorHAnsi" w:cstheme="majorHAnsi"/>
          <w:lang w:eastAsia="en-AU"/>
        </w:rPr>
        <w:t xml:space="preserve"> and funded</w:t>
      </w:r>
      <w:r w:rsidRPr="00590D5F">
        <w:rPr>
          <w:rFonts w:asciiTheme="majorHAnsi" w:hAnsiTheme="majorHAnsi" w:cstheme="majorHAnsi"/>
          <w:lang w:eastAsia="en-AU"/>
        </w:rPr>
        <w:t xml:space="preserve"> projects</w:t>
      </w:r>
      <w:r w:rsidR="000123EE" w:rsidRPr="00590D5F">
        <w:rPr>
          <w:rFonts w:asciiTheme="majorHAnsi" w:hAnsiTheme="majorHAnsi" w:cstheme="majorHAnsi"/>
          <w:lang w:eastAsia="en-AU"/>
        </w:rPr>
        <w:t xml:space="preserve"> </w:t>
      </w:r>
      <w:r w:rsidRPr="00590D5F">
        <w:rPr>
          <w:rFonts w:asciiTheme="majorHAnsi" w:hAnsiTheme="majorHAnsi" w:cstheme="majorHAnsi"/>
          <w:lang w:eastAsia="en-AU"/>
        </w:rPr>
        <w:t>(</w:t>
      </w:r>
      <w:r w:rsidRPr="00590D5F">
        <w:rPr>
          <w:rFonts w:asciiTheme="majorHAnsi" w:hAnsiTheme="majorHAnsi" w:cstheme="majorHAnsi"/>
          <w:lang w:eastAsia="en-AU"/>
        </w:rPr>
        <w:fldChar w:fldCharType="begin"/>
      </w:r>
      <w:r w:rsidRPr="00590D5F">
        <w:rPr>
          <w:rFonts w:asciiTheme="majorHAnsi" w:hAnsiTheme="majorHAnsi" w:cstheme="majorHAnsi"/>
          <w:lang w:eastAsia="en-AU"/>
        </w:rPr>
        <w:instrText xml:space="preserve"> REF _Ref49762404 \h  \* MERGEFORMAT </w:instrText>
      </w:r>
      <w:r w:rsidRPr="00590D5F">
        <w:rPr>
          <w:rFonts w:asciiTheme="majorHAnsi" w:hAnsiTheme="majorHAnsi" w:cstheme="majorHAnsi"/>
          <w:lang w:eastAsia="en-AU"/>
        </w:rPr>
      </w:r>
      <w:r w:rsidRPr="00590D5F">
        <w:rPr>
          <w:rFonts w:asciiTheme="majorHAnsi" w:hAnsiTheme="majorHAnsi" w:cstheme="majorHAnsi"/>
          <w:lang w:eastAsia="en-AU"/>
        </w:rPr>
        <w:fldChar w:fldCharType="separate"/>
      </w:r>
      <w:r w:rsidR="00AB03D7" w:rsidRPr="00AB03D7">
        <w:rPr>
          <w:rFonts w:asciiTheme="majorHAnsi" w:hAnsiTheme="majorHAnsi" w:cstheme="majorHAnsi"/>
          <w:lang w:eastAsia="en-AU"/>
        </w:rPr>
        <w:t>Figure 8</w:t>
      </w:r>
      <w:r w:rsidRPr="00590D5F">
        <w:rPr>
          <w:rFonts w:asciiTheme="majorHAnsi" w:hAnsiTheme="majorHAnsi" w:cstheme="majorHAnsi"/>
          <w:lang w:eastAsia="en-AU"/>
        </w:rPr>
        <w:fldChar w:fldCharType="end"/>
      </w:r>
      <w:r w:rsidRPr="00590D5F">
        <w:rPr>
          <w:rFonts w:asciiTheme="majorHAnsi" w:hAnsiTheme="majorHAnsi" w:cstheme="majorHAnsi"/>
          <w:lang w:eastAsia="en-AU"/>
        </w:rPr>
        <w:t xml:space="preserve">) associated with each primary 2-digit </w:t>
      </w:r>
      <w:proofErr w:type="spellStart"/>
      <w:r w:rsidRPr="00590D5F">
        <w:rPr>
          <w:rFonts w:asciiTheme="majorHAnsi" w:hAnsiTheme="majorHAnsi" w:cstheme="majorHAnsi"/>
          <w:lang w:eastAsia="en-AU"/>
        </w:rPr>
        <w:t>FoR</w:t>
      </w:r>
      <w:proofErr w:type="spellEnd"/>
      <w:r w:rsidRPr="00590D5F">
        <w:rPr>
          <w:rFonts w:asciiTheme="majorHAnsi" w:hAnsiTheme="majorHAnsi" w:cstheme="majorHAnsi"/>
          <w:lang w:eastAsia="en-AU"/>
        </w:rPr>
        <w:t xml:space="preserve"> code throughout all Discovery Projects scheme rounds</w:t>
      </w:r>
      <w:r w:rsidR="00220F8B">
        <w:rPr>
          <w:rFonts w:asciiTheme="majorHAnsi" w:hAnsiTheme="majorHAnsi" w:cstheme="majorHAnsi"/>
          <w:lang w:eastAsia="en-AU"/>
        </w:rPr>
        <w:t xml:space="preserve"> between DP02 and DP20</w:t>
      </w:r>
      <w:r w:rsidRPr="00590D5F">
        <w:rPr>
          <w:rFonts w:asciiTheme="majorHAnsi" w:hAnsiTheme="majorHAnsi" w:cstheme="majorHAnsi"/>
          <w:lang w:eastAsia="en-AU"/>
        </w:rPr>
        <w:t xml:space="preserve">. In general, </w:t>
      </w:r>
      <w:proofErr w:type="spellStart"/>
      <w:r w:rsidRPr="00590D5F">
        <w:rPr>
          <w:rFonts w:asciiTheme="majorHAnsi" w:hAnsiTheme="majorHAnsi" w:cstheme="majorHAnsi"/>
          <w:lang w:eastAsia="en-AU"/>
        </w:rPr>
        <w:t>FoR</w:t>
      </w:r>
      <w:proofErr w:type="spellEnd"/>
      <w:r w:rsidRPr="00590D5F">
        <w:rPr>
          <w:rFonts w:asciiTheme="majorHAnsi" w:hAnsiTheme="majorHAnsi" w:cstheme="majorHAnsi"/>
          <w:lang w:eastAsia="en-AU"/>
        </w:rPr>
        <w:t xml:space="preserve"> representation was consistent between applications </w:t>
      </w:r>
      <w:r w:rsidRPr="00590D5F">
        <w:rPr>
          <w:rFonts w:asciiTheme="majorHAnsi" w:hAnsiTheme="majorHAnsi" w:cstheme="majorHAnsi"/>
          <w:lang w:eastAsia="en-AU"/>
        </w:rPr>
        <w:lastRenderedPageBreak/>
        <w:t xml:space="preserve">and funded projects. When ranked by total proportion from DP02 to DP20, nine of the top ten </w:t>
      </w:r>
      <w:proofErr w:type="spellStart"/>
      <w:r w:rsidRPr="00590D5F">
        <w:rPr>
          <w:rFonts w:asciiTheme="majorHAnsi" w:hAnsiTheme="majorHAnsi" w:cstheme="majorHAnsi"/>
          <w:lang w:eastAsia="en-AU"/>
        </w:rPr>
        <w:t>FoR</w:t>
      </w:r>
      <w:proofErr w:type="spellEnd"/>
      <w:r w:rsidRPr="00590D5F">
        <w:rPr>
          <w:rFonts w:asciiTheme="majorHAnsi" w:hAnsiTheme="majorHAnsi" w:cstheme="majorHAnsi"/>
          <w:lang w:eastAsia="en-AU"/>
        </w:rPr>
        <w:t xml:space="preserve"> codes appear for both applications and funded projects. These are Engineering, Biological Sciences, Information and Computing Sciences, Studies in Human Society, Chemical Sciences, Physical Sciences, Mathematical Sciences, Psychology and Cognitive Sciences, and Earth Sciences.</w:t>
      </w:r>
      <w:bookmarkStart w:id="186" w:name="_Ref49762398"/>
    </w:p>
    <w:p w14:paraId="78AD7F02" w14:textId="627D02DA" w:rsidR="00C165F1" w:rsidRPr="004C2707" w:rsidRDefault="00C165F1" w:rsidP="00751469">
      <w:pPr>
        <w:pStyle w:val="FigureTitle"/>
      </w:pPr>
      <w:bookmarkStart w:id="187" w:name="_Ref51918919"/>
      <w:r w:rsidRPr="004C2707">
        <w:t xml:space="preserve">Figure </w:t>
      </w:r>
      <w:r w:rsidR="00857467">
        <w:fldChar w:fldCharType="begin"/>
      </w:r>
      <w:r w:rsidR="00857467">
        <w:instrText xml:space="preserve"> SEQ Figure \* ARABIC </w:instrText>
      </w:r>
      <w:r w:rsidR="00857467">
        <w:fldChar w:fldCharType="separate"/>
      </w:r>
      <w:r w:rsidR="00AB03D7">
        <w:rPr>
          <w:noProof/>
        </w:rPr>
        <w:t>7</w:t>
      </w:r>
      <w:r w:rsidR="00857467">
        <w:rPr>
          <w:noProof/>
        </w:rPr>
        <w:fldChar w:fldCharType="end"/>
      </w:r>
      <w:bookmarkEnd w:id="186"/>
      <w:bookmarkEnd w:id="187"/>
      <w:r w:rsidRPr="004C2707">
        <w:t>: Proportion of applications by pri</w:t>
      </w:r>
      <w:r>
        <w:t xml:space="preserve">mary 2-digit </w:t>
      </w:r>
      <w:proofErr w:type="spellStart"/>
      <w:r>
        <w:t>FoR</w:t>
      </w:r>
      <w:proofErr w:type="spellEnd"/>
      <w:r>
        <w:t xml:space="preserve"> code, DP02–DP20</w:t>
      </w:r>
    </w:p>
    <w:p w14:paraId="32EE59AD" w14:textId="0E40B966" w:rsidR="00C165F1" w:rsidRDefault="000E5749" w:rsidP="00C165F1">
      <w:pPr>
        <w:rPr>
          <w:rFonts w:asciiTheme="majorHAnsi" w:hAnsiTheme="majorHAnsi" w:cstheme="majorHAnsi"/>
          <w:sz w:val="16"/>
          <w:szCs w:val="16"/>
        </w:rPr>
      </w:pPr>
      <w:r>
        <w:rPr>
          <w:rFonts w:asciiTheme="majorHAnsi" w:hAnsiTheme="majorHAnsi" w:cstheme="majorHAnsi"/>
          <w:noProof/>
          <w:sz w:val="16"/>
          <w:szCs w:val="16"/>
        </w:rPr>
        <w:drawing>
          <wp:inline distT="0" distB="0" distL="0" distR="0" wp14:anchorId="41B3C356" wp14:editId="032DA5D3">
            <wp:extent cx="5730875" cy="5553710"/>
            <wp:effectExtent l="0" t="0" r="3175" b="8890"/>
            <wp:docPr id="55" name="Picture 55" descr="Figure 7 is a graph showing the proportion of applications submitted under the Discovery Projects scheme by primary 2-digit FoR code between DP02 and DP20.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gure 7 is a graph showing the proportion of applications submitted under the Discovery Projects scheme by primary 2-digit FoR code between DP02 and DP20. See text above and below graph for more inform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5553710"/>
                    </a:xfrm>
                    <a:prstGeom prst="rect">
                      <a:avLst/>
                    </a:prstGeom>
                    <a:noFill/>
                  </pic:spPr>
                </pic:pic>
              </a:graphicData>
            </a:graphic>
          </wp:inline>
        </w:drawing>
      </w:r>
    </w:p>
    <w:p w14:paraId="7CF315B0" w14:textId="77777777" w:rsidR="00C165F1" w:rsidRDefault="00C165F1" w:rsidP="00C165F1">
      <w:pPr>
        <w:rPr>
          <w:rFonts w:asciiTheme="majorHAnsi" w:hAnsiTheme="majorHAnsi" w:cstheme="majorHAnsi"/>
          <w:sz w:val="16"/>
          <w:szCs w:val="16"/>
        </w:rPr>
      </w:pPr>
      <w:r w:rsidRPr="00380278">
        <w:rPr>
          <w:rFonts w:asciiTheme="majorHAnsi" w:hAnsiTheme="majorHAnsi" w:cstheme="majorHAnsi"/>
          <w:sz w:val="16"/>
          <w:szCs w:val="16"/>
        </w:rPr>
        <w:t>Source: ARC</w:t>
      </w:r>
      <w:r>
        <w:rPr>
          <w:rFonts w:asciiTheme="majorHAnsi" w:hAnsiTheme="majorHAnsi" w:cstheme="majorHAnsi"/>
          <w:sz w:val="16"/>
          <w:szCs w:val="16"/>
        </w:rPr>
        <w:t xml:space="preserve"> administrative data</w:t>
      </w:r>
      <w:r w:rsidRPr="00380278">
        <w:rPr>
          <w:rFonts w:asciiTheme="majorHAnsi" w:hAnsiTheme="majorHAnsi" w:cstheme="majorHAnsi"/>
          <w:sz w:val="16"/>
          <w:szCs w:val="16"/>
        </w:rPr>
        <w:t>.</w:t>
      </w:r>
      <w:r>
        <w:rPr>
          <w:rFonts w:asciiTheme="majorHAnsi" w:hAnsiTheme="majorHAnsi" w:cstheme="majorHAnsi"/>
          <w:sz w:val="16"/>
          <w:szCs w:val="16"/>
        </w:rPr>
        <w:t xml:space="preserve"> </w:t>
      </w:r>
    </w:p>
    <w:p w14:paraId="14940AF5" w14:textId="0CA1D8E5" w:rsidR="00C165F1" w:rsidRDefault="00C165F1" w:rsidP="00C165F1">
      <w:pPr>
        <w:rPr>
          <w:rFonts w:asciiTheme="majorHAnsi" w:hAnsiTheme="majorHAnsi" w:cstheme="majorHAnsi"/>
          <w:lang w:eastAsia="en-AU"/>
        </w:rPr>
      </w:pPr>
      <w:r w:rsidRPr="00FC2C7F">
        <w:rPr>
          <w:rFonts w:asciiTheme="majorHAnsi" w:hAnsiTheme="majorHAnsi" w:cstheme="majorHAnsi"/>
          <w:lang w:eastAsia="en-AU"/>
        </w:rPr>
        <w:t xml:space="preserve">The representation of different </w:t>
      </w:r>
      <w:proofErr w:type="spellStart"/>
      <w:r w:rsidRPr="00FC2C7F">
        <w:rPr>
          <w:rFonts w:asciiTheme="majorHAnsi" w:hAnsiTheme="majorHAnsi" w:cstheme="majorHAnsi"/>
          <w:lang w:eastAsia="en-AU"/>
        </w:rPr>
        <w:t>FoR</w:t>
      </w:r>
      <w:proofErr w:type="spellEnd"/>
      <w:r w:rsidRPr="00FC2C7F">
        <w:rPr>
          <w:rFonts w:asciiTheme="majorHAnsi" w:hAnsiTheme="majorHAnsi" w:cstheme="majorHAnsi"/>
          <w:lang w:eastAsia="en-AU"/>
        </w:rPr>
        <w:t xml:space="preserve"> codes within Discovery Projects applications remained relatively stable over time</w:t>
      </w:r>
      <w:r w:rsidR="00252893">
        <w:rPr>
          <w:rFonts w:asciiTheme="majorHAnsi" w:hAnsiTheme="majorHAnsi" w:cstheme="majorHAnsi"/>
          <w:lang w:eastAsia="en-AU"/>
        </w:rPr>
        <w:t>, although some trends are evident</w:t>
      </w:r>
      <w:r w:rsidRPr="00FC2C7F">
        <w:rPr>
          <w:rFonts w:asciiTheme="majorHAnsi" w:hAnsiTheme="majorHAnsi" w:cstheme="majorHAnsi"/>
          <w:lang w:eastAsia="en-AU"/>
        </w:rPr>
        <w:t xml:space="preserve">. </w:t>
      </w:r>
      <w:r>
        <w:rPr>
          <w:rFonts w:asciiTheme="majorHAnsi" w:hAnsiTheme="majorHAnsi" w:cstheme="majorHAnsi"/>
          <w:lang w:eastAsia="en-AU"/>
        </w:rPr>
        <w:t>The proportion of Engineering</w:t>
      </w:r>
      <w:r w:rsidRPr="00FC2C7F">
        <w:rPr>
          <w:rFonts w:asciiTheme="majorHAnsi" w:hAnsiTheme="majorHAnsi" w:cstheme="majorHAnsi"/>
          <w:lang w:eastAsia="en-AU"/>
        </w:rPr>
        <w:t xml:space="preserve"> applications submitted between DP02 and DP20</w:t>
      </w:r>
      <w:r>
        <w:rPr>
          <w:rFonts w:asciiTheme="majorHAnsi" w:hAnsiTheme="majorHAnsi" w:cstheme="majorHAnsi"/>
          <w:lang w:eastAsia="en-AU"/>
        </w:rPr>
        <w:t xml:space="preserve"> substantially increased</w:t>
      </w:r>
      <w:r w:rsidRPr="00FC2C7F">
        <w:rPr>
          <w:rFonts w:asciiTheme="majorHAnsi" w:hAnsiTheme="majorHAnsi" w:cstheme="majorHAnsi"/>
          <w:lang w:eastAsia="en-AU"/>
        </w:rPr>
        <w:t xml:space="preserve">. Conversely, the proportion of </w:t>
      </w:r>
      <w:r>
        <w:rPr>
          <w:rFonts w:asciiTheme="majorHAnsi" w:hAnsiTheme="majorHAnsi" w:cstheme="majorHAnsi"/>
          <w:lang w:eastAsia="en-AU"/>
        </w:rPr>
        <w:t>applications</w:t>
      </w:r>
      <w:r w:rsidRPr="00FC2C7F">
        <w:rPr>
          <w:rFonts w:asciiTheme="majorHAnsi" w:hAnsiTheme="majorHAnsi" w:cstheme="majorHAnsi"/>
          <w:lang w:eastAsia="en-AU"/>
        </w:rPr>
        <w:t xml:space="preserve"> </w:t>
      </w:r>
      <w:r w:rsidR="00B42381">
        <w:rPr>
          <w:rFonts w:asciiTheme="majorHAnsi" w:hAnsiTheme="majorHAnsi" w:cstheme="majorHAnsi"/>
          <w:lang w:eastAsia="en-AU"/>
        </w:rPr>
        <w:t>in</w:t>
      </w:r>
      <w:r w:rsidR="003857E2">
        <w:rPr>
          <w:rFonts w:asciiTheme="majorHAnsi" w:hAnsiTheme="majorHAnsi" w:cstheme="majorHAnsi"/>
          <w:lang w:eastAsia="en-AU"/>
        </w:rPr>
        <w:t xml:space="preserve"> the</w:t>
      </w:r>
      <w:r w:rsidRPr="00FC2C7F">
        <w:rPr>
          <w:rFonts w:asciiTheme="majorHAnsi" w:hAnsiTheme="majorHAnsi" w:cstheme="majorHAnsi"/>
          <w:lang w:eastAsia="en-AU"/>
        </w:rPr>
        <w:t xml:space="preserve"> Language, Communication and Culture</w:t>
      </w:r>
      <w:r w:rsidR="003857E2">
        <w:rPr>
          <w:rFonts w:asciiTheme="majorHAnsi" w:hAnsiTheme="majorHAnsi" w:cstheme="majorHAnsi"/>
          <w:lang w:eastAsia="en-AU"/>
        </w:rPr>
        <w:t>, and</w:t>
      </w:r>
      <w:r w:rsidRPr="00FC2C7F">
        <w:rPr>
          <w:rFonts w:asciiTheme="majorHAnsi" w:hAnsiTheme="majorHAnsi" w:cstheme="majorHAnsi"/>
          <w:lang w:eastAsia="en-AU"/>
        </w:rPr>
        <w:t xml:space="preserve"> Earth S</w:t>
      </w:r>
      <w:r>
        <w:rPr>
          <w:rFonts w:asciiTheme="majorHAnsi" w:hAnsiTheme="majorHAnsi" w:cstheme="majorHAnsi"/>
          <w:lang w:eastAsia="en-AU"/>
        </w:rPr>
        <w:t>ciences</w:t>
      </w:r>
      <w:r w:rsidR="003857E2">
        <w:rPr>
          <w:rFonts w:asciiTheme="majorHAnsi" w:hAnsiTheme="majorHAnsi" w:cstheme="majorHAnsi"/>
          <w:lang w:eastAsia="en-AU"/>
        </w:rPr>
        <w:t xml:space="preserve"> </w:t>
      </w:r>
      <w:proofErr w:type="spellStart"/>
      <w:r w:rsidR="003857E2">
        <w:rPr>
          <w:rFonts w:asciiTheme="majorHAnsi" w:hAnsiTheme="majorHAnsi" w:cstheme="majorHAnsi"/>
          <w:lang w:eastAsia="en-AU"/>
        </w:rPr>
        <w:t>FoRs</w:t>
      </w:r>
      <w:proofErr w:type="spellEnd"/>
      <w:r>
        <w:rPr>
          <w:rFonts w:asciiTheme="majorHAnsi" w:hAnsiTheme="majorHAnsi" w:cstheme="majorHAnsi"/>
          <w:lang w:eastAsia="en-AU"/>
        </w:rPr>
        <w:t xml:space="preserve"> decreased</w:t>
      </w:r>
      <w:r w:rsidRPr="00FC2C7F">
        <w:rPr>
          <w:rFonts w:asciiTheme="majorHAnsi" w:hAnsiTheme="majorHAnsi" w:cstheme="majorHAnsi"/>
          <w:lang w:eastAsia="en-AU"/>
        </w:rPr>
        <w:t>.</w:t>
      </w:r>
    </w:p>
    <w:p w14:paraId="0E7522F6" w14:textId="6206D956" w:rsidR="00C165F1" w:rsidRPr="00E93E4A" w:rsidRDefault="00C165F1" w:rsidP="00C165F1">
      <w:r w:rsidRPr="00501DA1">
        <w:rPr>
          <w:rFonts w:asciiTheme="majorHAnsi" w:hAnsiTheme="majorHAnsi" w:cstheme="majorHAnsi"/>
          <w:lang w:eastAsia="en-AU"/>
        </w:rPr>
        <w:fldChar w:fldCharType="begin"/>
      </w:r>
      <w:r w:rsidRPr="0068779D">
        <w:rPr>
          <w:rFonts w:asciiTheme="majorHAnsi" w:hAnsiTheme="majorHAnsi" w:cstheme="majorHAnsi"/>
          <w:lang w:eastAsia="en-AU"/>
        </w:rPr>
        <w:instrText xml:space="preserve"> REF _Ref49762404 \h </w:instrText>
      </w:r>
      <w:r w:rsidRPr="0006444F">
        <w:rPr>
          <w:rFonts w:asciiTheme="majorHAnsi" w:hAnsiTheme="majorHAnsi" w:cstheme="majorHAnsi"/>
          <w:lang w:eastAsia="en-AU"/>
        </w:rPr>
        <w:instrText xml:space="preserve"> \* MERGEFORMAT </w:instrText>
      </w:r>
      <w:r w:rsidRPr="00501DA1">
        <w:rPr>
          <w:rFonts w:asciiTheme="majorHAnsi" w:hAnsiTheme="majorHAnsi" w:cstheme="majorHAnsi"/>
          <w:lang w:eastAsia="en-AU"/>
        </w:rPr>
      </w:r>
      <w:r w:rsidRPr="00501DA1">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8</w:t>
      </w:r>
      <w:r w:rsidRPr="00501DA1">
        <w:rPr>
          <w:rFonts w:asciiTheme="majorHAnsi" w:hAnsiTheme="majorHAnsi" w:cstheme="majorHAnsi"/>
          <w:lang w:eastAsia="en-AU"/>
        </w:rPr>
        <w:fldChar w:fldCharType="end"/>
      </w:r>
      <w:r w:rsidRPr="00607DD0">
        <w:rPr>
          <w:rFonts w:asciiTheme="majorHAnsi" w:hAnsiTheme="majorHAnsi" w:cstheme="majorHAnsi"/>
          <w:lang w:eastAsia="en-AU"/>
        </w:rPr>
        <w:t xml:space="preserve"> </w:t>
      </w:r>
      <w:r w:rsidRPr="0068779D">
        <w:rPr>
          <w:rFonts w:asciiTheme="majorHAnsi" w:hAnsiTheme="majorHAnsi" w:cstheme="majorHAnsi"/>
          <w:lang w:eastAsia="en-AU"/>
        </w:rPr>
        <w:t>shows that</w:t>
      </w:r>
      <w:r>
        <w:rPr>
          <w:rFonts w:asciiTheme="majorHAnsi" w:hAnsiTheme="majorHAnsi" w:cstheme="majorHAnsi"/>
          <w:lang w:eastAsia="en-AU"/>
        </w:rPr>
        <w:t xml:space="preserve"> </w:t>
      </w:r>
      <w:r>
        <w:rPr>
          <w:rFonts w:asciiTheme="majorHAnsi" w:hAnsiTheme="majorHAnsi" w:cstheme="majorHAnsi"/>
        </w:rPr>
        <w:t>a</w:t>
      </w:r>
      <w:r w:rsidRPr="00FC2C7F">
        <w:rPr>
          <w:rFonts w:asciiTheme="majorHAnsi" w:hAnsiTheme="majorHAnsi" w:cstheme="majorHAnsi"/>
        </w:rPr>
        <w:t xml:space="preserve">mong funded projects, there </w:t>
      </w:r>
      <w:r>
        <w:rPr>
          <w:rFonts w:asciiTheme="majorHAnsi" w:hAnsiTheme="majorHAnsi" w:cstheme="majorHAnsi"/>
        </w:rPr>
        <w:t>was</w:t>
      </w:r>
      <w:r w:rsidRPr="00FC2C7F">
        <w:rPr>
          <w:rFonts w:asciiTheme="majorHAnsi" w:hAnsiTheme="majorHAnsi" w:cstheme="majorHAnsi"/>
        </w:rPr>
        <w:t xml:space="preserve"> also relative stability </w:t>
      </w:r>
      <w:r>
        <w:rPr>
          <w:rFonts w:asciiTheme="majorHAnsi" w:hAnsiTheme="majorHAnsi" w:cstheme="majorHAnsi"/>
        </w:rPr>
        <w:t>across</w:t>
      </w:r>
      <w:r w:rsidRPr="00FC2C7F">
        <w:rPr>
          <w:rFonts w:asciiTheme="majorHAnsi" w:hAnsiTheme="majorHAnsi" w:cstheme="majorHAnsi"/>
        </w:rPr>
        <w:t xml:space="preserve"> </w:t>
      </w:r>
      <w:proofErr w:type="spellStart"/>
      <w:r w:rsidRPr="00FC2C7F">
        <w:rPr>
          <w:rFonts w:asciiTheme="majorHAnsi" w:hAnsiTheme="majorHAnsi" w:cstheme="majorHAnsi"/>
        </w:rPr>
        <w:t>FoRs</w:t>
      </w:r>
      <w:proofErr w:type="spellEnd"/>
      <w:r w:rsidRPr="00FC2C7F">
        <w:rPr>
          <w:rFonts w:asciiTheme="majorHAnsi" w:hAnsiTheme="majorHAnsi" w:cstheme="majorHAnsi"/>
        </w:rPr>
        <w:t>. There was</w:t>
      </w:r>
      <w:r>
        <w:rPr>
          <w:rFonts w:asciiTheme="majorHAnsi" w:hAnsiTheme="majorHAnsi" w:cstheme="majorHAnsi"/>
        </w:rPr>
        <w:t>, again, a</w:t>
      </w:r>
      <w:r w:rsidRPr="00FC2C7F">
        <w:rPr>
          <w:rFonts w:asciiTheme="majorHAnsi" w:hAnsiTheme="majorHAnsi" w:cstheme="majorHAnsi"/>
        </w:rPr>
        <w:t xml:space="preserve"> general trend towards a greater representation of Engineering research up until DP17, </w:t>
      </w:r>
      <w:r>
        <w:rPr>
          <w:rFonts w:asciiTheme="majorHAnsi" w:hAnsiTheme="majorHAnsi" w:cstheme="majorHAnsi"/>
        </w:rPr>
        <w:t>but with a</w:t>
      </w:r>
      <w:r w:rsidRPr="00FC2C7F">
        <w:rPr>
          <w:rFonts w:asciiTheme="majorHAnsi" w:hAnsiTheme="majorHAnsi" w:cstheme="majorHAnsi"/>
        </w:rPr>
        <w:t xml:space="preserve"> slight decline over the three most recently announced funding rounds.</w:t>
      </w:r>
    </w:p>
    <w:p w14:paraId="3ECAF58F" w14:textId="5698AD68" w:rsidR="00C165F1" w:rsidRPr="004E1B45" w:rsidRDefault="00C165F1" w:rsidP="00751469">
      <w:pPr>
        <w:pStyle w:val="FigureTitle"/>
      </w:pPr>
      <w:bookmarkStart w:id="188" w:name="_Ref49762404"/>
      <w:r w:rsidRPr="004C2707">
        <w:lastRenderedPageBreak/>
        <w:t xml:space="preserve">Figure </w:t>
      </w:r>
      <w:r w:rsidR="00857467">
        <w:fldChar w:fldCharType="begin"/>
      </w:r>
      <w:r w:rsidR="00857467">
        <w:instrText xml:space="preserve"> SEQ Figure \* ARABIC </w:instrText>
      </w:r>
      <w:r w:rsidR="00857467">
        <w:fldChar w:fldCharType="separate"/>
      </w:r>
      <w:r w:rsidR="00AB03D7">
        <w:rPr>
          <w:noProof/>
        </w:rPr>
        <w:t>8</w:t>
      </w:r>
      <w:r w:rsidR="00857467">
        <w:rPr>
          <w:noProof/>
        </w:rPr>
        <w:fldChar w:fldCharType="end"/>
      </w:r>
      <w:bookmarkEnd w:id="188"/>
      <w:r w:rsidRPr="004C2707">
        <w:t xml:space="preserve">: Proportion of funded projects by primary 2-digit </w:t>
      </w:r>
      <w:proofErr w:type="spellStart"/>
      <w:r w:rsidRPr="004C2707">
        <w:t>FoR</w:t>
      </w:r>
      <w:proofErr w:type="spellEnd"/>
      <w:r w:rsidRPr="004C2707">
        <w:t xml:space="preserve"> code, DP02–DP20</w:t>
      </w:r>
    </w:p>
    <w:p w14:paraId="0B3B3FA7" w14:textId="33B644D1" w:rsidR="00C165F1" w:rsidRPr="007F63D2" w:rsidRDefault="000E5749" w:rsidP="00C165F1">
      <w:pPr>
        <w:pStyle w:val="Caption"/>
        <w:keepNext/>
        <w:rPr>
          <w:rFonts w:asciiTheme="majorHAnsi" w:hAnsiTheme="majorHAnsi" w:cstheme="majorHAnsi"/>
          <w:b/>
          <w:i w:val="0"/>
          <w:color w:val="000000" w:themeColor="text1"/>
        </w:rPr>
      </w:pPr>
      <w:r>
        <w:rPr>
          <w:rFonts w:asciiTheme="majorHAnsi" w:hAnsiTheme="majorHAnsi" w:cstheme="majorHAnsi"/>
          <w:b/>
          <w:i w:val="0"/>
          <w:noProof/>
          <w:color w:val="000000" w:themeColor="text1"/>
        </w:rPr>
        <w:drawing>
          <wp:inline distT="0" distB="0" distL="0" distR="0" wp14:anchorId="34F5A257" wp14:editId="60C8A15E">
            <wp:extent cx="5947719" cy="5998845"/>
            <wp:effectExtent l="0" t="0" r="0" b="1905"/>
            <wp:docPr id="56" name="Picture 56" descr="Figure 8 is a graph showing the proportion of funded projects under the Discovery Projects scheme by primary 2-digit FoR code between DP02 and DP20. See text above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8 is a graph showing the proportion of funded projects under the Discovery Projects scheme by primary 2-digit FoR code between DP02 and DP20. See text above below graph for more inform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850" cy="5999986"/>
                    </a:xfrm>
                    <a:prstGeom prst="rect">
                      <a:avLst/>
                    </a:prstGeom>
                    <a:noFill/>
                  </pic:spPr>
                </pic:pic>
              </a:graphicData>
            </a:graphic>
          </wp:inline>
        </w:drawing>
      </w:r>
    </w:p>
    <w:p w14:paraId="7B058ED4" w14:textId="77777777" w:rsidR="00C165F1" w:rsidRPr="005F41CC" w:rsidRDefault="00C165F1" w:rsidP="00C165F1">
      <w:pPr>
        <w:rPr>
          <w:rFonts w:asciiTheme="majorHAnsi" w:hAnsiTheme="majorHAnsi" w:cstheme="majorHAnsi"/>
          <w:sz w:val="16"/>
          <w:szCs w:val="16"/>
        </w:rPr>
      </w:pPr>
      <w:r w:rsidRPr="00380278">
        <w:rPr>
          <w:rFonts w:asciiTheme="majorHAnsi" w:hAnsiTheme="majorHAnsi" w:cstheme="majorHAnsi"/>
          <w:sz w:val="16"/>
          <w:szCs w:val="16"/>
        </w:rPr>
        <w:t>Source: ARC</w:t>
      </w:r>
      <w:r>
        <w:rPr>
          <w:rFonts w:asciiTheme="majorHAnsi" w:hAnsiTheme="majorHAnsi" w:cstheme="majorHAnsi"/>
          <w:sz w:val="16"/>
          <w:szCs w:val="16"/>
        </w:rPr>
        <w:t xml:space="preserve"> administrative data</w:t>
      </w:r>
      <w:r w:rsidRPr="00380278">
        <w:rPr>
          <w:rFonts w:asciiTheme="majorHAnsi" w:hAnsiTheme="majorHAnsi" w:cstheme="majorHAnsi"/>
          <w:sz w:val="16"/>
          <w:szCs w:val="16"/>
        </w:rPr>
        <w:t>.</w:t>
      </w:r>
    </w:p>
    <w:p w14:paraId="1F455ED1" w14:textId="48F80923" w:rsidR="00C165F1" w:rsidRDefault="00C165F1" w:rsidP="00C165F1">
      <w:pPr>
        <w:rPr>
          <w:rFonts w:asciiTheme="majorHAnsi" w:hAnsiTheme="majorHAnsi" w:cstheme="majorHAnsi"/>
          <w:lang w:eastAsia="en-AU"/>
        </w:rPr>
      </w:pPr>
      <w:r w:rsidRPr="000A5AEE">
        <w:rPr>
          <w:rFonts w:asciiTheme="majorHAnsi" w:hAnsiTheme="majorHAnsi" w:cstheme="majorHAnsi"/>
          <w:lang w:eastAsia="en-AU"/>
        </w:rPr>
        <w:t>In terms of</w:t>
      </w:r>
      <w:r>
        <w:rPr>
          <w:rFonts w:asciiTheme="majorHAnsi" w:hAnsiTheme="majorHAnsi" w:cstheme="majorHAnsi"/>
          <w:lang w:eastAsia="en-AU"/>
        </w:rPr>
        <w:t xml:space="preserve"> total </w:t>
      </w:r>
      <w:r w:rsidRPr="00E85964">
        <w:rPr>
          <w:rFonts w:asciiTheme="majorHAnsi" w:hAnsiTheme="majorHAnsi" w:cstheme="majorHAnsi"/>
          <w:lang w:eastAsia="en-AU"/>
        </w:rPr>
        <w:t>funding awarded</w:t>
      </w:r>
      <w:r w:rsidR="00820D36" w:rsidRPr="00832AAE">
        <w:rPr>
          <w:rFonts w:asciiTheme="majorHAnsi" w:hAnsiTheme="majorHAnsi" w:cstheme="majorHAnsi"/>
          <w:lang w:eastAsia="en-AU"/>
        </w:rPr>
        <w:t xml:space="preserve"> (</w:t>
      </w:r>
      <w:r w:rsidR="001C0631" w:rsidRPr="00832AAE">
        <w:rPr>
          <w:rFonts w:asciiTheme="majorHAnsi" w:hAnsiTheme="majorHAnsi" w:cstheme="majorHAnsi"/>
          <w:lang w:eastAsia="en-AU"/>
        </w:rPr>
        <w:fldChar w:fldCharType="begin"/>
      </w:r>
      <w:r w:rsidR="001C0631" w:rsidRPr="001C0631">
        <w:rPr>
          <w:rFonts w:asciiTheme="majorHAnsi" w:hAnsiTheme="majorHAnsi" w:cstheme="majorHAnsi"/>
          <w:lang w:eastAsia="en-AU"/>
        </w:rPr>
        <w:instrText xml:space="preserve"> REF _Ref51918923 \h </w:instrText>
      </w:r>
      <w:r w:rsidR="001C0631" w:rsidRPr="007057E6">
        <w:rPr>
          <w:rFonts w:asciiTheme="majorHAnsi" w:hAnsiTheme="majorHAnsi" w:cstheme="majorHAnsi"/>
          <w:lang w:eastAsia="en-AU"/>
        </w:rPr>
        <w:instrText xml:space="preserve"> \* MERGEFORMAT </w:instrText>
      </w:r>
      <w:r w:rsidR="001C0631" w:rsidRPr="00832AAE">
        <w:rPr>
          <w:rFonts w:asciiTheme="majorHAnsi" w:hAnsiTheme="majorHAnsi" w:cstheme="majorHAnsi"/>
          <w:lang w:eastAsia="en-AU"/>
        </w:rPr>
      </w:r>
      <w:r w:rsidR="001C0631" w:rsidRPr="00832AAE">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9</w:t>
      </w:r>
      <w:r w:rsidR="001C0631" w:rsidRPr="00832AAE">
        <w:rPr>
          <w:rFonts w:asciiTheme="majorHAnsi" w:hAnsiTheme="majorHAnsi" w:cstheme="majorHAnsi"/>
          <w:lang w:eastAsia="en-AU"/>
        </w:rPr>
        <w:fldChar w:fldCharType="end"/>
      </w:r>
      <w:r w:rsidR="00820D36" w:rsidRPr="00E85964">
        <w:rPr>
          <w:rFonts w:asciiTheme="majorHAnsi" w:hAnsiTheme="majorHAnsi" w:cstheme="majorHAnsi"/>
          <w:lang w:eastAsia="en-AU"/>
        </w:rPr>
        <w:t>)</w:t>
      </w:r>
      <w:r w:rsidRPr="00832AAE">
        <w:rPr>
          <w:rFonts w:asciiTheme="majorHAnsi" w:hAnsiTheme="majorHAnsi" w:cstheme="majorHAnsi"/>
          <w:lang w:eastAsia="en-AU"/>
        </w:rPr>
        <w:t>, Biological</w:t>
      </w:r>
      <w:r w:rsidRPr="000A5AEE">
        <w:rPr>
          <w:rFonts w:asciiTheme="majorHAnsi" w:hAnsiTheme="majorHAnsi" w:cstheme="majorHAnsi"/>
          <w:lang w:eastAsia="en-AU"/>
        </w:rPr>
        <w:t xml:space="preserve"> Sciences and Engineering </w:t>
      </w:r>
      <w:r>
        <w:rPr>
          <w:rFonts w:asciiTheme="majorHAnsi" w:hAnsiTheme="majorHAnsi" w:cstheme="majorHAnsi"/>
          <w:lang w:eastAsia="en-AU"/>
        </w:rPr>
        <w:t>were</w:t>
      </w:r>
      <w:r w:rsidRPr="000A5AEE">
        <w:rPr>
          <w:rFonts w:asciiTheme="majorHAnsi" w:hAnsiTheme="majorHAnsi" w:cstheme="majorHAnsi"/>
          <w:lang w:eastAsia="en-AU"/>
        </w:rPr>
        <w:t xml:space="preserve"> again the </w:t>
      </w:r>
      <w:r>
        <w:rPr>
          <w:rFonts w:asciiTheme="majorHAnsi" w:hAnsiTheme="majorHAnsi" w:cstheme="majorHAnsi"/>
          <w:lang w:eastAsia="en-AU"/>
        </w:rPr>
        <w:t xml:space="preserve">dominant primary 2-digit </w:t>
      </w:r>
      <w:proofErr w:type="spellStart"/>
      <w:r>
        <w:rPr>
          <w:rFonts w:asciiTheme="majorHAnsi" w:hAnsiTheme="majorHAnsi" w:cstheme="majorHAnsi"/>
          <w:lang w:eastAsia="en-AU"/>
        </w:rPr>
        <w:t>FoR</w:t>
      </w:r>
      <w:proofErr w:type="spellEnd"/>
      <w:r>
        <w:rPr>
          <w:rFonts w:asciiTheme="majorHAnsi" w:hAnsiTheme="majorHAnsi" w:cstheme="majorHAnsi"/>
          <w:lang w:eastAsia="en-AU"/>
        </w:rPr>
        <w:t xml:space="preserve"> codes between DP02 and DP20, receiving 17.2 per cent and 14.5 per cent of all funding respectively. S</w:t>
      </w:r>
      <w:r w:rsidRPr="000A5AEE">
        <w:rPr>
          <w:rFonts w:asciiTheme="majorHAnsi" w:hAnsiTheme="majorHAnsi" w:cstheme="majorHAnsi"/>
          <w:lang w:eastAsia="en-AU"/>
        </w:rPr>
        <w:t>tudies in Creative Arts</w:t>
      </w:r>
      <w:r>
        <w:rPr>
          <w:rFonts w:asciiTheme="majorHAnsi" w:hAnsiTheme="majorHAnsi" w:cstheme="majorHAnsi"/>
          <w:lang w:eastAsia="en-AU"/>
        </w:rPr>
        <w:t xml:space="preserve"> (0.9 per cent), Agricultural and Veterinary Sciences (0.8 per cent) and</w:t>
      </w:r>
      <w:r w:rsidRPr="000A5AEE">
        <w:rPr>
          <w:rFonts w:asciiTheme="majorHAnsi" w:hAnsiTheme="majorHAnsi" w:cstheme="majorHAnsi"/>
          <w:lang w:eastAsia="en-AU"/>
        </w:rPr>
        <w:t xml:space="preserve"> Built Environment and Design</w:t>
      </w:r>
      <w:r>
        <w:rPr>
          <w:rFonts w:asciiTheme="majorHAnsi" w:hAnsiTheme="majorHAnsi" w:cstheme="majorHAnsi"/>
          <w:lang w:eastAsia="en-AU"/>
        </w:rPr>
        <w:t xml:space="preserve"> (0.6 per cent)</w:t>
      </w:r>
      <w:r w:rsidRPr="000A5AEE">
        <w:rPr>
          <w:rFonts w:asciiTheme="majorHAnsi" w:hAnsiTheme="majorHAnsi" w:cstheme="majorHAnsi"/>
          <w:lang w:eastAsia="en-AU"/>
        </w:rPr>
        <w:t xml:space="preserve"> </w:t>
      </w:r>
      <w:r>
        <w:rPr>
          <w:rFonts w:asciiTheme="majorHAnsi" w:hAnsiTheme="majorHAnsi" w:cstheme="majorHAnsi"/>
          <w:lang w:eastAsia="en-AU"/>
        </w:rPr>
        <w:t>had</w:t>
      </w:r>
      <w:r w:rsidRPr="000A5AEE">
        <w:rPr>
          <w:rFonts w:asciiTheme="majorHAnsi" w:hAnsiTheme="majorHAnsi" w:cstheme="majorHAnsi"/>
          <w:lang w:eastAsia="en-AU"/>
        </w:rPr>
        <w:t xml:space="preserve"> the lowest</w:t>
      </w:r>
      <w:r>
        <w:rPr>
          <w:rFonts w:asciiTheme="majorHAnsi" w:hAnsiTheme="majorHAnsi" w:cstheme="majorHAnsi"/>
          <w:lang w:eastAsia="en-AU"/>
        </w:rPr>
        <w:t xml:space="preserve"> average proportion</w:t>
      </w:r>
      <w:r w:rsidR="00BD22B1">
        <w:rPr>
          <w:rFonts w:asciiTheme="majorHAnsi" w:hAnsiTheme="majorHAnsi" w:cstheme="majorHAnsi"/>
          <w:lang w:eastAsia="en-AU"/>
        </w:rPr>
        <w:t>s</w:t>
      </w:r>
      <w:r>
        <w:rPr>
          <w:rFonts w:asciiTheme="majorHAnsi" w:hAnsiTheme="majorHAnsi" w:cstheme="majorHAnsi"/>
          <w:lang w:eastAsia="en-AU"/>
        </w:rPr>
        <w:t xml:space="preserve"> of total funding. These figures </w:t>
      </w:r>
      <w:r w:rsidR="00B77602">
        <w:rPr>
          <w:rFonts w:asciiTheme="majorHAnsi" w:hAnsiTheme="majorHAnsi" w:cstheme="majorHAnsi"/>
          <w:lang w:eastAsia="en-AU"/>
        </w:rPr>
        <w:t>are consistent</w:t>
      </w:r>
      <w:r w:rsidR="00FA47FE">
        <w:rPr>
          <w:rFonts w:asciiTheme="majorHAnsi" w:hAnsiTheme="majorHAnsi" w:cstheme="majorHAnsi"/>
          <w:lang w:eastAsia="en-AU"/>
        </w:rPr>
        <w:t xml:space="preserve"> with </w:t>
      </w:r>
      <w:r>
        <w:rPr>
          <w:rFonts w:asciiTheme="majorHAnsi" w:hAnsiTheme="majorHAnsi" w:cstheme="majorHAnsi"/>
          <w:lang w:eastAsia="en-AU"/>
        </w:rPr>
        <w:t xml:space="preserve">the relative proportion of funded projects </w:t>
      </w:r>
      <w:r w:rsidR="001223FC">
        <w:rPr>
          <w:rFonts w:asciiTheme="majorHAnsi" w:hAnsiTheme="majorHAnsi" w:cstheme="majorHAnsi"/>
          <w:lang w:eastAsia="en-AU"/>
        </w:rPr>
        <w:t>addressing</w:t>
      </w:r>
      <w:r w:rsidR="00472ECC">
        <w:rPr>
          <w:rFonts w:asciiTheme="majorHAnsi" w:hAnsiTheme="majorHAnsi" w:cstheme="majorHAnsi"/>
          <w:lang w:eastAsia="en-AU"/>
        </w:rPr>
        <w:t xml:space="preserve"> </w:t>
      </w:r>
      <w:r>
        <w:rPr>
          <w:rFonts w:asciiTheme="majorHAnsi" w:hAnsiTheme="majorHAnsi" w:cstheme="majorHAnsi"/>
          <w:lang w:eastAsia="en-AU"/>
        </w:rPr>
        <w:t xml:space="preserve">these </w:t>
      </w:r>
      <w:proofErr w:type="spellStart"/>
      <w:r>
        <w:rPr>
          <w:rFonts w:asciiTheme="majorHAnsi" w:hAnsiTheme="majorHAnsi" w:cstheme="majorHAnsi"/>
          <w:lang w:eastAsia="en-AU"/>
        </w:rPr>
        <w:t>FoR</w:t>
      </w:r>
      <w:r w:rsidR="00472ECC">
        <w:rPr>
          <w:rFonts w:asciiTheme="majorHAnsi" w:hAnsiTheme="majorHAnsi" w:cstheme="majorHAnsi"/>
          <w:lang w:eastAsia="en-AU"/>
        </w:rPr>
        <w:t>s</w:t>
      </w:r>
      <w:proofErr w:type="spellEnd"/>
      <w:r>
        <w:rPr>
          <w:rFonts w:asciiTheme="majorHAnsi" w:hAnsiTheme="majorHAnsi" w:cstheme="majorHAnsi"/>
          <w:lang w:eastAsia="en-AU"/>
        </w:rPr>
        <w:t>.</w:t>
      </w:r>
    </w:p>
    <w:p w14:paraId="43533EE2" w14:textId="53F9F345" w:rsidR="00C165F1" w:rsidRPr="005932F7" w:rsidRDefault="00C165F1" w:rsidP="00751469">
      <w:pPr>
        <w:pStyle w:val="FigureTitle"/>
        <w:rPr>
          <w:i/>
        </w:rPr>
      </w:pPr>
      <w:bookmarkStart w:id="189" w:name="_Ref51918923"/>
      <w:r w:rsidRPr="005932F7">
        <w:lastRenderedPageBreak/>
        <w:t xml:space="preserve">Figure </w:t>
      </w:r>
      <w:r w:rsidR="00857467">
        <w:fldChar w:fldCharType="begin"/>
      </w:r>
      <w:r w:rsidR="00857467">
        <w:instrText xml:space="preserve"> SEQ Figure \* ARABIC </w:instrText>
      </w:r>
      <w:r w:rsidR="00857467">
        <w:fldChar w:fldCharType="separate"/>
      </w:r>
      <w:r w:rsidR="00AB03D7">
        <w:rPr>
          <w:noProof/>
        </w:rPr>
        <w:t>9</w:t>
      </w:r>
      <w:r w:rsidR="00857467">
        <w:rPr>
          <w:noProof/>
        </w:rPr>
        <w:fldChar w:fldCharType="end"/>
      </w:r>
      <w:bookmarkEnd w:id="189"/>
      <w:r w:rsidRPr="005932F7">
        <w:t xml:space="preserve">: Proportion of funding </w:t>
      </w:r>
      <w:r w:rsidR="00FC69AF">
        <w:t>awarded</w:t>
      </w:r>
      <w:r w:rsidRPr="005932F7">
        <w:t xml:space="preserve"> by primary 2-digit </w:t>
      </w:r>
      <w:proofErr w:type="spellStart"/>
      <w:r w:rsidRPr="005932F7">
        <w:t>FoR</w:t>
      </w:r>
      <w:proofErr w:type="spellEnd"/>
      <w:r w:rsidRPr="005932F7">
        <w:t xml:space="preserve"> code, DP02–DP20</w:t>
      </w:r>
    </w:p>
    <w:p w14:paraId="6BA03E76" w14:textId="6C2D644A" w:rsidR="00C165F1" w:rsidRPr="00380278" w:rsidRDefault="000E5749" w:rsidP="00C165F1">
      <w:pPr>
        <w:rPr>
          <w:rFonts w:asciiTheme="majorHAnsi" w:hAnsiTheme="majorHAnsi" w:cstheme="majorHAnsi"/>
          <w:lang w:eastAsia="en-AU"/>
        </w:rPr>
      </w:pPr>
      <w:r>
        <w:rPr>
          <w:rFonts w:asciiTheme="majorHAnsi" w:hAnsiTheme="majorHAnsi" w:cstheme="majorHAnsi"/>
          <w:noProof/>
          <w:lang w:eastAsia="en-AU"/>
        </w:rPr>
        <w:drawing>
          <wp:inline distT="0" distB="0" distL="0" distR="0" wp14:anchorId="316CF8DF" wp14:editId="3B5BA187">
            <wp:extent cx="5730875" cy="5895340"/>
            <wp:effectExtent l="0" t="0" r="3175" b="0"/>
            <wp:docPr id="57" name="Picture 57" descr="Figure 9 is a graph showing the proportion of funding awarded under the Discovery Projects scheme by primary 2-digit FoR code between DP02 and DP20.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9 is a graph showing the proportion of funding awarded under the Discovery Projects scheme by primary 2-digit FoR code between DP02 and DP20. See text above and below graph for more inform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5895340"/>
                    </a:xfrm>
                    <a:prstGeom prst="rect">
                      <a:avLst/>
                    </a:prstGeom>
                    <a:noFill/>
                  </pic:spPr>
                </pic:pic>
              </a:graphicData>
            </a:graphic>
          </wp:inline>
        </w:drawing>
      </w:r>
    </w:p>
    <w:p w14:paraId="7D893750" w14:textId="1FBFB63A" w:rsidR="00C165F1" w:rsidRDefault="00C165F1" w:rsidP="00C165F1">
      <w:pPr>
        <w:rPr>
          <w:rFonts w:asciiTheme="majorHAnsi" w:hAnsiTheme="majorHAnsi" w:cstheme="majorHAnsi"/>
          <w:sz w:val="16"/>
          <w:szCs w:val="16"/>
          <w:lang w:eastAsia="en-AU"/>
        </w:rPr>
      </w:pPr>
      <w:r w:rsidRPr="00DE4E0A">
        <w:rPr>
          <w:rFonts w:asciiTheme="majorHAnsi" w:hAnsiTheme="majorHAnsi" w:cstheme="majorHAnsi"/>
          <w:sz w:val="16"/>
          <w:szCs w:val="16"/>
          <w:lang w:eastAsia="en-AU"/>
        </w:rPr>
        <w:t>Source: ARC</w:t>
      </w:r>
      <w:r>
        <w:rPr>
          <w:rFonts w:asciiTheme="majorHAnsi" w:hAnsiTheme="majorHAnsi" w:cstheme="majorHAnsi"/>
          <w:sz w:val="16"/>
          <w:szCs w:val="16"/>
          <w:lang w:eastAsia="en-AU"/>
        </w:rPr>
        <w:t xml:space="preserve"> administrative data</w:t>
      </w:r>
      <w:r w:rsidRPr="00DE4E0A">
        <w:rPr>
          <w:rFonts w:asciiTheme="majorHAnsi" w:hAnsiTheme="majorHAnsi" w:cstheme="majorHAnsi"/>
          <w:sz w:val="16"/>
          <w:szCs w:val="16"/>
          <w:lang w:eastAsia="en-AU"/>
        </w:rPr>
        <w:t xml:space="preserve">. </w:t>
      </w:r>
      <w:r w:rsidR="00370DD1">
        <w:rPr>
          <w:rFonts w:asciiTheme="majorHAnsi" w:hAnsiTheme="majorHAnsi" w:cstheme="majorHAnsi"/>
          <w:i/>
          <w:sz w:val="16"/>
          <w:szCs w:val="16"/>
          <w:lang w:eastAsia="en-AU"/>
        </w:rPr>
        <w:t>Funding data</w:t>
      </w:r>
      <w:r w:rsidR="00370DD1" w:rsidRPr="000A5AEE">
        <w:rPr>
          <w:rFonts w:asciiTheme="majorHAnsi" w:hAnsiTheme="majorHAnsi" w:cstheme="majorHAnsi"/>
          <w:i/>
          <w:sz w:val="16"/>
          <w:szCs w:val="16"/>
          <w:lang w:eastAsia="en-AU"/>
        </w:rPr>
        <w:t xml:space="preserve"> reflect funding amounts at the time of announcement</w:t>
      </w:r>
      <w:r w:rsidR="00370DD1">
        <w:rPr>
          <w:rFonts w:asciiTheme="majorHAnsi" w:hAnsiTheme="majorHAnsi" w:cstheme="majorHAnsi"/>
          <w:i/>
          <w:sz w:val="16"/>
          <w:szCs w:val="16"/>
          <w:lang w:eastAsia="en-AU"/>
        </w:rPr>
        <w:t>, and have not been adjusted for inflation</w:t>
      </w:r>
      <w:r w:rsidR="00370DD1" w:rsidRPr="000A5AEE">
        <w:rPr>
          <w:rFonts w:asciiTheme="majorHAnsi" w:hAnsiTheme="majorHAnsi" w:cstheme="majorHAnsi"/>
          <w:i/>
          <w:sz w:val="16"/>
          <w:szCs w:val="16"/>
          <w:lang w:eastAsia="en-AU"/>
        </w:rPr>
        <w:t>.</w:t>
      </w:r>
    </w:p>
    <w:p w14:paraId="30B3F26A" w14:textId="061D4B3C" w:rsidR="00DF5E43" w:rsidRDefault="00C165F1" w:rsidP="00C165F1">
      <w:pPr>
        <w:rPr>
          <w:rFonts w:asciiTheme="majorHAnsi" w:hAnsiTheme="majorHAnsi" w:cstheme="majorHAnsi"/>
          <w:lang w:eastAsia="en-AU"/>
        </w:rPr>
      </w:pPr>
      <w:r>
        <w:rPr>
          <w:rFonts w:asciiTheme="majorHAnsi" w:hAnsiTheme="majorHAnsi" w:cstheme="majorHAnsi"/>
          <w:lang w:eastAsia="en-AU"/>
        </w:rPr>
        <w:t xml:space="preserve">Over time, the percentage of funding awarded to different </w:t>
      </w:r>
      <w:proofErr w:type="spellStart"/>
      <w:r>
        <w:rPr>
          <w:rFonts w:asciiTheme="majorHAnsi" w:hAnsiTheme="majorHAnsi" w:cstheme="majorHAnsi"/>
          <w:lang w:eastAsia="en-AU"/>
        </w:rPr>
        <w:t>FoRs</w:t>
      </w:r>
      <w:proofErr w:type="spellEnd"/>
      <w:r>
        <w:rPr>
          <w:rFonts w:asciiTheme="majorHAnsi" w:hAnsiTheme="majorHAnsi" w:cstheme="majorHAnsi"/>
          <w:lang w:eastAsia="en-AU"/>
        </w:rPr>
        <w:t xml:space="preserve"> has generally been consistent, although some changes are apparent. </w:t>
      </w:r>
      <w:r w:rsidRPr="00D42352">
        <w:rPr>
          <w:rFonts w:asciiTheme="majorHAnsi" w:hAnsiTheme="majorHAnsi" w:cstheme="majorHAnsi"/>
          <w:lang w:eastAsia="en-AU"/>
        </w:rPr>
        <w:t>Chemical Sciences</w:t>
      </w:r>
      <w:r>
        <w:rPr>
          <w:rFonts w:asciiTheme="majorHAnsi" w:hAnsiTheme="majorHAnsi" w:cstheme="majorHAnsi"/>
          <w:lang w:eastAsia="en-AU"/>
        </w:rPr>
        <w:t>, Language, Communication and Culture, and Earth Sciences</w:t>
      </w:r>
      <w:r w:rsidRPr="00D42352">
        <w:rPr>
          <w:rFonts w:asciiTheme="majorHAnsi" w:hAnsiTheme="majorHAnsi" w:cstheme="majorHAnsi"/>
          <w:lang w:eastAsia="en-AU"/>
        </w:rPr>
        <w:t xml:space="preserve"> </w:t>
      </w:r>
      <w:r>
        <w:rPr>
          <w:rFonts w:asciiTheme="majorHAnsi" w:hAnsiTheme="majorHAnsi" w:cstheme="majorHAnsi"/>
          <w:lang w:eastAsia="en-AU"/>
        </w:rPr>
        <w:t>received</w:t>
      </w:r>
      <w:r w:rsidRPr="00D42352">
        <w:rPr>
          <w:rFonts w:asciiTheme="majorHAnsi" w:hAnsiTheme="majorHAnsi" w:cstheme="majorHAnsi"/>
          <w:lang w:eastAsia="en-AU"/>
        </w:rPr>
        <w:t xml:space="preserve"> a</w:t>
      </w:r>
      <w:r>
        <w:rPr>
          <w:rFonts w:asciiTheme="majorHAnsi" w:hAnsiTheme="majorHAnsi" w:cstheme="majorHAnsi"/>
          <w:lang w:eastAsia="en-AU"/>
        </w:rPr>
        <w:t xml:space="preserve"> slightly</w:t>
      </w:r>
      <w:r w:rsidRPr="00D42352">
        <w:rPr>
          <w:rFonts w:asciiTheme="majorHAnsi" w:hAnsiTheme="majorHAnsi" w:cstheme="majorHAnsi"/>
          <w:lang w:eastAsia="en-AU"/>
        </w:rPr>
        <w:t xml:space="preserve"> diminishing p</w:t>
      </w:r>
      <w:r>
        <w:rPr>
          <w:rFonts w:asciiTheme="majorHAnsi" w:hAnsiTheme="majorHAnsi" w:cstheme="majorHAnsi"/>
          <w:lang w:eastAsia="en-AU"/>
        </w:rPr>
        <w:t>roportion</w:t>
      </w:r>
      <w:r w:rsidRPr="00D42352">
        <w:rPr>
          <w:rFonts w:asciiTheme="majorHAnsi" w:hAnsiTheme="majorHAnsi" w:cstheme="majorHAnsi"/>
          <w:lang w:eastAsia="en-AU"/>
        </w:rPr>
        <w:t xml:space="preserve"> of total funding</w:t>
      </w:r>
      <w:r>
        <w:rPr>
          <w:rFonts w:asciiTheme="majorHAnsi" w:hAnsiTheme="majorHAnsi" w:cstheme="majorHAnsi"/>
          <w:lang w:eastAsia="en-AU"/>
        </w:rPr>
        <w:t xml:space="preserve"> from DP04 onwards. The proportion of funding awarded to Medical and Health Sciences increased substantially in DP11 (5.4 per cent) and DP12 (5.5 per cent) from an average of 2.7 per cent in prior funding rounds. It subsequently moderated to an average of 3.7 per cent between DP13 and DP20.</w:t>
      </w:r>
      <w:r>
        <w:rPr>
          <w:rStyle w:val="FootnoteReference"/>
          <w:rFonts w:asciiTheme="majorHAnsi" w:hAnsiTheme="majorHAnsi" w:cstheme="majorHAnsi"/>
          <w:lang w:eastAsia="en-AU"/>
        </w:rPr>
        <w:footnoteReference w:id="30"/>
      </w:r>
    </w:p>
    <w:p w14:paraId="2CDBE81B" w14:textId="77777777" w:rsidR="00FE3D83" w:rsidRDefault="00FE3D83" w:rsidP="00C165F1">
      <w:pPr>
        <w:rPr>
          <w:rFonts w:asciiTheme="majorHAnsi" w:hAnsiTheme="majorHAnsi" w:cstheme="majorHAnsi"/>
          <w:lang w:eastAsia="en-AU"/>
        </w:rPr>
      </w:pPr>
    </w:p>
    <w:p w14:paraId="626204CB" w14:textId="16CD13F9" w:rsidR="00C165F1" w:rsidRDefault="00C165F1" w:rsidP="00254D36">
      <w:pPr>
        <w:pStyle w:val="Heading3"/>
        <w:numPr>
          <w:ilvl w:val="2"/>
          <w:numId w:val="14"/>
        </w:numPr>
        <w:shd w:val="clear" w:color="auto" w:fill="auto"/>
        <w:rPr>
          <w:lang w:eastAsia="en-AU"/>
        </w:rPr>
      </w:pPr>
      <w:bookmarkStart w:id="190" w:name="_Success_and_return"/>
      <w:bookmarkStart w:id="191" w:name="_Toc50533591"/>
      <w:bookmarkStart w:id="192" w:name="_Toc50553741"/>
      <w:bookmarkStart w:id="193" w:name="_Toc50554975"/>
      <w:bookmarkStart w:id="194" w:name="_Toc50618098"/>
      <w:bookmarkStart w:id="195" w:name="_Toc50618380"/>
      <w:bookmarkStart w:id="196" w:name="_Toc51916969"/>
      <w:bookmarkStart w:id="197" w:name="_Toc51918809"/>
      <w:bookmarkStart w:id="198" w:name="_Ref53148942"/>
      <w:bookmarkStart w:id="199" w:name="_Toc53557212"/>
      <w:bookmarkStart w:id="200" w:name="_Toc54699254"/>
      <w:bookmarkStart w:id="201" w:name="_Toc55544788"/>
      <w:bookmarkEnd w:id="190"/>
      <w:r>
        <w:rPr>
          <w:lang w:eastAsia="en-AU"/>
        </w:rPr>
        <w:lastRenderedPageBreak/>
        <w:t>Success and return rates</w:t>
      </w:r>
      <w:bookmarkEnd w:id="191"/>
      <w:bookmarkEnd w:id="192"/>
      <w:bookmarkEnd w:id="193"/>
      <w:bookmarkEnd w:id="194"/>
      <w:bookmarkEnd w:id="195"/>
      <w:bookmarkEnd w:id="196"/>
      <w:bookmarkEnd w:id="197"/>
      <w:bookmarkEnd w:id="198"/>
      <w:bookmarkEnd w:id="199"/>
      <w:bookmarkEnd w:id="200"/>
      <w:bookmarkEnd w:id="201"/>
    </w:p>
    <w:p w14:paraId="655ED78E" w14:textId="77777777" w:rsidR="00C165F1" w:rsidRPr="0006444F" w:rsidRDefault="00C165F1" w:rsidP="00C165F1">
      <w:pPr>
        <w:pStyle w:val="Heading4"/>
        <w:rPr>
          <w:lang w:eastAsia="en-AU"/>
        </w:rPr>
      </w:pPr>
      <w:r>
        <w:rPr>
          <w:lang w:eastAsia="en-AU"/>
        </w:rPr>
        <w:t>HASS and STEM</w:t>
      </w:r>
    </w:p>
    <w:p w14:paraId="02804D70" w14:textId="7BB4A2BC" w:rsidR="00C165F1" w:rsidRDefault="00C165F1" w:rsidP="00C165F1">
      <w:pPr>
        <w:rPr>
          <w:rFonts w:asciiTheme="majorHAnsi" w:hAnsiTheme="majorHAnsi" w:cstheme="majorHAnsi"/>
          <w:lang w:eastAsia="en-AU"/>
        </w:rPr>
      </w:pPr>
      <w:r>
        <w:rPr>
          <w:rFonts w:asciiTheme="majorHAnsi" w:hAnsiTheme="majorHAnsi" w:cstheme="majorHAnsi"/>
          <w:lang w:eastAsia="en-AU"/>
        </w:rPr>
        <w:t>Despite divergent application, funded project and fundin</w:t>
      </w:r>
      <w:r w:rsidRPr="00607DD0">
        <w:rPr>
          <w:rFonts w:asciiTheme="majorHAnsi" w:hAnsiTheme="majorHAnsi" w:cstheme="majorHAnsi"/>
          <w:lang w:eastAsia="en-AU"/>
        </w:rPr>
        <w:t xml:space="preserve">g outcomes, </w:t>
      </w:r>
      <w:r w:rsidRPr="00501DA1">
        <w:rPr>
          <w:rFonts w:asciiTheme="majorHAnsi" w:hAnsiTheme="majorHAnsi" w:cstheme="majorHAnsi"/>
          <w:lang w:eastAsia="en-AU"/>
        </w:rPr>
        <w:fldChar w:fldCharType="begin"/>
      </w:r>
      <w:r w:rsidRPr="004A1752">
        <w:rPr>
          <w:rFonts w:asciiTheme="majorHAnsi" w:hAnsiTheme="majorHAnsi" w:cstheme="majorHAnsi"/>
          <w:lang w:eastAsia="en-AU"/>
        </w:rPr>
        <w:instrText xml:space="preserve"> REF _Ref49763932 \h </w:instrText>
      </w:r>
      <w:r w:rsidRPr="0006444F">
        <w:rPr>
          <w:rFonts w:asciiTheme="majorHAnsi" w:hAnsiTheme="majorHAnsi" w:cstheme="majorHAnsi"/>
          <w:lang w:eastAsia="en-AU"/>
        </w:rPr>
        <w:instrText xml:space="preserve"> \* MERGEFORMAT </w:instrText>
      </w:r>
      <w:r w:rsidRPr="00501DA1">
        <w:rPr>
          <w:rFonts w:asciiTheme="majorHAnsi" w:hAnsiTheme="majorHAnsi" w:cstheme="majorHAnsi"/>
          <w:lang w:eastAsia="en-AU"/>
        </w:rPr>
      </w:r>
      <w:r w:rsidRPr="00501DA1">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10</w:t>
      </w:r>
      <w:r w:rsidRPr="00501DA1">
        <w:rPr>
          <w:rFonts w:asciiTheme="majorHAnsi" w:hAnsiTheme="majorHAnsi" w:cstheme="majorHAnsi"/>
          <w:lang w:eastAsia="en-AU"/>
        </w:rPr>
        <w:fldChar w:fldCharType="end"/>
      </w:r>
      <w:r w:rsidR="00E40274">
        <w:rPr>
          <w:rFonts w:asciiTheme="majorHAnsi" w:hAnsiTheme="majorHAnsi" w:cstheme="majorHAnsi"/>
          <w:lang w:eastAsia="en-AU"/>
        </w:rPr>
        <w:t xml:space="preserve"> </w:t>
      </w:r>
      <w:r w:rsidRPr="004A1752">
        <w:rPr>
          <w:rFonts w:asciiTheme="majorHAnsi" w:hAnsiTheme="majorHAnsi" w:cstheme="majorHAnsi"/>
          <w:lang w:eastAsia="en-AU"/>
        </w:rPr>
        <w:t>shows</w:t>
      </w:r>
      <w:r>
        <w:rPr>
          <w:rFonts w:asciiTheme="majorHAnsi" w:hAnsiTheme="majorHAnsi" w:cstheme="majorHAnsi"/>
          <w:lang w:eastAsia="en-AU"/>
        </w:rPr>
        <w:t xml:space="preserve"> that </w:t>
      </w:r>
      <w:r w:rsidRPr="007775A0">
        <w:rPr>
          <w:rFonts w:asciiTheme="majorHAnsi" w:hAnsiTheme="majorHAnsi" w:cstheme="majorHAnsi"/>
          <w:lang w:eastAsia="en-AU"/>
        </w:rPr>
        <w:t xml:space="preserve">success rates for HASS and STEM disciplines have </w:t>
      </w:r>
      <w:r>
        <w:rPr>
          <w:rFonts w:asciiTheme="majorHAnsi" w:hAnsiTheme="majorHAnsi" w:cstheme="majorHAnsi"/>
          <w:lang w:eastAsia="en-AU"/>
        </w:rPr>
        <w:t>corresponded closely throughout the history of the Discovery Projects scheme.</w:t>
      </w:r>
      <w:r w:rsidR="00E57637">
        <w:rPr>
          <w:rFonts w:asciiTheme="majorHAnsi" w:hAnsiTheme="majorHAnsi" w:cstheme="majorHAnsi"/>
          <w:lang w:eastAsia="en-AU"/>
        </w:rPr>
        <w:t xml:space="preserve"> This result reflects </w:t>
      </w:r>
      <w:r w:rsidR="00AB35BB">
        <w:rPr>
          <w:rFonts w:asciiTheme="majorHAnsi" w:hAnsiTheme="majorHAnsi" w:cstheme="majorHAnsi"/>
          <w:lang w:eastAsia="en-AU"/>
        </w:rPr>
        <w:t>ARC</w:t>
      </w:r>
      <w:r w:rsidR="00D56FA3">
        <w:rPr>
          <w:rFonts w:asciiTheme="majorHAnsi" w:hAnsiTheme="majorHAnsi" w:cstheme="majorHAnsi"/>
          <w:lang w:eastAsia="en-AU"/>
        </w:rPr>
        <w:t xml:space="preserve"> </w:t>
      </w:r>
      <w:r w:rsidR="00AB35BB">
        <w:rPr>
          <w:rFonts w:asciiTheme="majorHAnsi" w:hAnsiTheme="majorHAnsi" w:cstheme="majorHAnsi"/>
          <w:lang w:eastAsia="en-AU"/>
        </w:rPr>
        <w:t xml:space="preserve">processes </w:t>
      </w:r>
      <w:r w:rsidR="00D56FA3">
        <w:rPr>
          <w:rFonts w:asciiTheme="majorHAnsi" w:hAnsiTheme="majorHAnsi" w:cstheme="majorHAnsi"/>
          <w:lang w:eastAsia="en-AU"/>
        </w:rPr>
        <w:t>ensuring</w:t>
      </w:r>
      <w:r w:rsidR="00AB35BB">
        <w:rPr>
          <w:rFonts w:asciiTheme="majorHAnsi" w:hAnsiTheme="majorHAnsi" w:cstheme="majorHAnsi"/>
          <w:lang w:eastAsia="en-AU"/>
        </w:rPr>
        <w:t xml:space="preserve"> similar success rate results across </w:t>
      </w:r>
      <w:r w:rsidR="008A61AE">
        <w:rPr>
          <w:rFonts w:asciiTheme="majorHAnsi" w:hAnsiTheme="majorHAnsi" w:cstheme="majorHAnsi"/>
          <w:lang w:eastAsia="en-AU"/>
        </w:rPr>
        <w:t>di</w:t>
      </w:r>
      <w:r w:rsidR="00D705A7">
        <w:rPr>
          <w:rFonts w:asciiTheme="majorHAnsi" w:hAnsiTheme="majorHAnsi" w:cstheme="majorHAnsi"/>
          <w:lang w:eastAsia="en-AU"/>
        </w:rPr>
        <w:t>fferent</w:t>
      </w:r>
      <w:r w:rsidR="008A61AE">
        <w:rPr>
          <w:rFonts w:asciiTheme="majorHAnsi" w:hAnsiTheme="majorHAnsi" w:cstheme="majorHAnsi"/>
          <w:lang w:eastAsia="en-AU"/>
        </w:rPr>
        <w:t xml:space="preserve"> Selection Advisory Committee</w:t>
      </w:r>
      <w:r w:rsidR="00D705A7">
        <w:rPr>
          <w:rFonts w:asciiTheme="majorHAnsi" w:hAnsiTheme="majorHAnsi" w:cstheme="majorHAnsi"/>
          <w:lang w:eastAsia="en-AU"/>
        </w:rPr>
        <w:t xml:space="preserve"> disciplinary</w:t>
      </w:r>
      <w:r w:rsidR="008A61AE">
        <w:rPr>
          <w:rFonts w:asciiTheme="majorHAnsi" w:hAnsiTheme="majorHAnsi" w:cstheme="majorHAnsi"/>
          <w:lang w:eastAsia="en-AU"/>
        </w:rPr>
        <w:t xml:space="preserve"> panels.</w:t>
      </w:r>
      <w:r>
        <w:rPr>
          <w:rFonts w:asciiTheme="majorHAnsi" w:hAnsiTheme="majorHAnsi" w:cstheme="majorHAnsi"/>
          <w:lang w:eastAsia="en-AU"/>
        </w:rPr>
        <w:t xml:space="preserve"> </w:t>
      </w:r>
      <w:r w:rsidR="009A1834">
        <w:rPr>
          <w:rFonts w:asciiTheme="majorHAnsi" w:hAnsiTheme="majorHAnsi" w:cstheme="majorHAnsi"/>
          <w:lang w:eastAsia="en-AU"/>
        </w:rPr>
        <w:t>T</w:t>
      </w:r>
      <w:r w:rsidRPr="007775A0">
        <w:rPr>
          <w:rFonts w:asciiTheme="majorHAnsi" w:hAnsiTheme="majorHAnsi" w:cstheme="majorHAnsi"/>
          <w:lang w:eastAsia="en-AU"/>
        </w:rPr>
        <w:t xml:space="preserve">he return rate for funded HASS projects </w:t>
      </w:r>
      <w:r>
        <w:rPr>
          <w:rFonts w:asciiTheme="majorHAnsi" w:hAnsiTheme="majorHAnsi" w:cstheme="majorHAnsi"/>
          <w:lang w:eastAsia="en-AU"/>
        </w:rPr>
        <w:t>was</w:t>
      </w:r>
      <w:r w:rsidRPr="007775A0">
        <w:rPr>
          <w:rFonts w:asciiTheme="majorHAnsi" w:hAnsiTheme="majorHAnsi" w:cstheme="majorHAnsi"/>
          <w:lang w:eastAsia="en-AU"/>
        </w:rPr>
        <w:t xml:space="preserve"> generally slightly higher than for STEM, particularly during earl</w:t>
      </w:r>
      <w:r>
        <w:rPr>
          <w:rFonts w:asciiTheme="majorHAnsi" w:hAnsiTheme="majorHAnsi" w:cstheme="majorHAnsi"/>
          <w:lang w:eastAsia="en-AU"/>
        </w:rPr>
        <w:t>ier</w:t>
      </w:r>
      <w:r w:rsidRPr="007775A0">
        <w:rPr>
          <w:rFonts w:asciiTheme="majorHAnsi" w:hAnsiTheme="majorHAnsi" w:cstheme="majorHAnsi"/>
          <w:lang w:eastAsia="en-AU"/>
        </w:rPr>
        <w:t xml:space="preserve"> Discovery Projects funding rounds. Between DP02 and DP20, the total return rate for HASS projects was 61.2 per cent, compared to 59.8 per cent for </w:t>
      </w:r>
      <w:r w:rsidRPr="007C66DC">
        <w:rPr>
          <w:rFonts w:asciiTheme="majorHAnsi" w:hAnsiTheme="majorHAnsi" w:cstheme="majorHAnsi"/>
          <w:lang w:eastAsia="en-AU"/>
        </w:rPr>
        <w:t xml:space="preserve">STEM. </w:t>
      </w:r>
      <w:r>
        <w:rPr>
          <w:rFonts w:asciiTheme="majorHAnsi" w:hAnsiTheme="majorHAnsi" w:cstheme="majorHAnsi"/>
          <w:lang w:eastAsia="en-AU"/>
        </w:rPr>
        <w:t>D</w:t>
      </w:r>
      <w:r w:rsidRPr="007C66DC">
        <w:rPr>
          <w:rFonts w:asciiTheme="majorHAnsi" w:hAnsiTheme="majorHAnsi" w:cstheme="majorHAnsi"/>
          <w:lang w:eastAsia="en-AU"/>
        </w:rPr>
        <w:t xml:space="preserve">isparities in the proportion of total funding </w:t>
      </w:r>
      <w:r>
        <w:rPr>
          <w:rFonts w:asciiTheme="majorHAnsi" w:hAnsiTheme="majorHAnsi" w:cstheme="majorHAnsi"/>
          <w:lang w:eastAsia="en-AU"/>
        </w:rPr>
        <w:t>awarded to</w:t>
      </w:r>
      <w:r w:rsidRPr="007C66DC">
        <w:rPr>
          <w:rFonts w:asciiTheme="majorHAnsi" w:hAnsiTheme="majorHAnsi" w:cstheme="majorHAnsi"/>
          <w:lang w:eastAsia="en-AU"/>
        </w:rPr>
        <w:t xml:space="preserve"> STEM</w:t>
      </w:r>
      <w:r>
        <w:rPr>
          <w:rFonts w:asciiTheme="majorHAnsi" w:hAnsiTheme="majorHAnsi" w:cstheme="majorHAnsi"/>
          <w:lang w:eastAsia="en-AU"/>
        </w:rPr>
        <w:t xml:space="preserve"> </w:t>
      </w:r>
      <w:r w:rsidR="00D345A7">
        <w:rPr>
          <w:rFonts w:asciiTheme="majorHAnsi" w:hAnsiTheme="majorHAnsi" w:cstheme="majorHAnsi"/>
          <w:lang w:eastAsia="en-AU"/>
        </w:rPr>
        <w:t>and HASS</w:t>
      </w:r>
      <w:r w:rsidRPr="00913474">
        <w:rPr>
          <w:rFonts w:asciiTheme="majorHAnsi" w:hAnsiTheme="majorHAnsi" w:cstheme="majorHAnsi"/>
          <w:lang w:eastAsia="en-AU"/>
        </w:rPr>
        <w:t xml:space="preserve">, </w:t>
      </w:r>
      <w:r w:rsidR="00EA02AA">
        <w:rPr>
          <w:rFonts w:asciiTheme="majorHAnsi" w:hAnsiTheme="majorHAnsi" w:cstheme="majorHAnsi"/>
          <w:lang w:eastAsia="en-AU"/>
        </w:rPr>
        <w:t xml:space="preserve">as </w:t>
      </w:r>
      <w:r w:rsidRPr="00913474">
        <w:rPr>
          <w:rFonts w:asciiTheme="majorHAnsi" w:hAnsiTheme="majorHAnsi" w:cstheme="majorHAnsi"/>
          <w:lang w:eastAsia="en-AU"/>
        </w:rPr>
        <w:t xml:space="preserve">noted in </w:t>
      </w:r>
      <w:r w:rsidRPr="00501DA1">
        <w:rPr>
          <w:rFonts w:asciiTheme="majorHAnsi" w:hAnsiTheme="majorHAnsi" w:cstheme="majorHAnsi"/>
          <w:lang w:eastAsia="en-AU"/>
        </w:rPr>
        <w:fldChar w:fldCharType="begin"/>
      </w:r>
      <w:r w:rsidRPr="00913474">
        <w:rPr>
          <w:rFonts w:asciiTheme="majorHAnsi" w:hAnsiTheme="majorHAnsi" w:cstheme="majorHAnsi"/>
          <w:lang w:eastAsia="en-AU"/>
        </w:rPr>
        <w:instrText xml:space="preserve"> REF _Ref49762126 \h </w:instrText>
      </w:r>
      <w:r w:rsidRPr="0006444F">
        <w:rPr>
          <w:rFonts w:asciiTheme="majorHAnsi" w:hAnsiTheme="majorHAnsi" w:cstheme="majorHAnsi"/>
          <w:lang w:eastAsia="en-AU"/>
        </w:rPr>
        <w:instrText xml:space="preserve"> \* MERGEFORMAT </w:instrText>
      </w:r>
      <w:r w:rsidRPr="00501DA1">
        <w:rPr>
          <w:rFonts w:asciiTheme="majorHAnsi" w:hAnsiTheme="majorHAnsi" w:cstheme="majorHAnsi"/>
          <w:lang w:eastAsia="en-AU"/>
        </w:rPr>
      </w:r>
      <w:r w:rsidRPr="00501DA1">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6</w:t>
      </w:r>
      <w:r w:rsidRPr="00501DA1">
        <w:rPr>
          <w:rFonts w:asciiTheme="majorHAnsi" w:hAnsiTheme="majorHAnsi" w:cstheme="majorHAnsi"/>
          <w:lang w:eastAsia="en-AU"/>
        </w:rPr>
        <w:fldChar w:fldCharType="end"/>
      </w:r>
      <w:r w:rsidRPr="00607DD0">
        <w:rPr>
          <w:rFonts w:asciiTheme="majorHAnsi" w:hAnsiTheme="majorHAnsi" w:cstheme="majorHAnsi"/>
          <w:lang w:eastAsia="en-AU"/>
        </w:rPr>
        <w:t>,</w:t>
      </w:r>
      <w:r w:rsidRPr="00913474">
        <w:rPr>
          <w:rFonts w:asciiTheme="majorHAnsi" w:hAnsiTheme="majorHAnsi" w:cstheme="majorHAnsi"/>
          <w:lang w:eastAsia="en-AU"/>
        </w:rPr>
        <w:t xml:space="preserve"> do</w:t>
      </w:r>
      <w:r w:rsidRPr="007C66DC">
        <w:rPr>
          <w:rFonts w:asciiTheme="majorHAnsi" w:hAnsiTheme="majorHAnsi" w:cstheme="majorHAnsi"/>
          <w:lang w:eastAsia="en-AU"/>
        </w:rPr>
        <w:t xml:space="preserve"> not reflect</w:t>
      </w:r>
      <w:r>
        <w:rPr>
          <w:rFonts w:asciiTheme="majorHAnsi" w:hAnsiTheme="majorHAnsi" w:cstheme="majorHAnsi"/>
          <w:lang w:eastAsia="en-AU"/>
        </w:rPr>
        <w:t xml:space="preserve"> differences in return rates for these disciplinary areas.</w:t>
      </w:r>
    </w:p>
    <w:p w14:paraId="0F2775EA" w14:textId="6FAAD898" w:rsidR="00C165F1" w:rsidRPr="00DA4C10" w:rsidRDefault="00C165F1" w:rsidP="00751469">
      <w:pPr>
        <w:pStyle w:val="FigureTitle"/>
        <w:rPr>
          <w:i/>
        </w:rPr>
      </w:pPr>
      <w:bookmarkStart w:id="202" w:name="_Ref49763932"/>
      <w:r w:rsidRPr="00DA4C10">
        <w:t xml:space="preserve">Figure </w:t>
      </w:r>
      <w:r w:rsidR="00857467">
        <w:fldChar w:fldCharType="begin"/>
      </w:r>
      <w:r w:rsidR="00857467">
        <w:instrText xml:space="preserve"> SEQ Figure \* ARABIC </w:instrText>
      </w:r>
      <w:r w:rsidR="00857467">
        <w:fldChar w:fldCharType="separate"/>
      </w:r>
      <w:r w:rsidR="00AB03D7">
        <w:rPr>
          <w:noProof/>
        </w:rPr>
        <w:t>10</w:t>
      </w:r>
      <w:r w:rsidR="00857467">
        <w:rPr>
          <w:noProof/>
        </w:rPr>
        <w:fldChar w:fldCharType="end"/>
      </w:r>
      <w:bookmarkEnd w:id="202"/>
      <w:r w:rsidRPr="00DA4C10">
        <w:t>: Success and return rates by HASS/STEM, DP02–DP20</w:t>
      </w:r>
    </w:p>
    <w:p w14:paraId="77E35CA3" w14:textId="49AA39F0" w:rsidR="00C165F1" w:rsidRPr="000A5AEE" w:rsidRDefault="000E5749" w:rsidP="00C165F1">
      <w:pPr>
        <w:rPr>
          <w:rFonts w:asciiTheme="majorHAnsi" w:hAnsiTheme="majorHAnsi" w:cstheme="majorHAnsi"/>
          <w:lang w:eastAsia="en-AU"/>
        </w:rPr>
      </w:pPr>
      <w:r>
        <w:rPr>
          <w:rFonts w:asciiTheme="majorHAnsi" w:hAnsiTheme="majorHAnsi" w:cstheme="majorHAnsi"/>
          <w:noProof/>
          <w:lang w:eastAsia="en-AU"/>
        </w:rPr>
        <w:drawing>
          <wp:inline distT="0" distB="0" distL="0" distR="0" wp14:anchorId="4A221F3F" wp14:editId="4F96B51C">
            <wp:extent cx="5742940" cy="2737485"/>
            <wp:effectExtent l="0" t="0" r="0" b="5715"/>
            <wp:docPr id="58" name="Picture 58" descr="Figure 10 is a graph showing success and return rate results for HASS and STEM Discovery Projects between DP02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10 is a graph showing success and return rate results for HASS and STEM Discovery Projects between DP02 and DP20. See text above graph for more inform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2737485"/>
                    </a:xfrm>
                    <a:prstGeom prst="rect">
                      <a:avLst/>
                    </a:prstGeom>
                    <a:noFill/>
                  </pic:spPr>
                </pic:pic>
              </a:graphicData>
            </a:graphic>
          </wp:inline>
        </w:drawing>
      </w:r>
    </w:p>
    <w:p w14:paraId="6865C6C2" w14:textId="77777777" w:rsidR="00C165F1" w:rsidRDefault="00C165F1" w:rsidP="00C165F1">
      <w:pPr>
        <w:rPr>
          <w:rFonts w:asciiTheme="majorHAnsi" w:hAnsiTheme="majorHAnsi" w:cstheme="majorHAnsi"/>
          <w:i/>
          <w:sz w:val="16"/>
          <w:szCs w:val="16"/>
          <w:lang w:eastAsia="en-AU"/>
        </w:rPr>
      </w:pPr>
      <w:r w:rsidRPr="00A244A2">
        <w:rPr>
          <w:rFonts w:asciiTheme="majorHAnsi" w:hAnsiTheme="majorHAnsi" w:cstheme="majorHAnsi"/>
          <w:sz w:val="16"/>
          <w:szCs w:val="16"/>
          <w:lang w:eastAsia="en-AU"/>
        </w:rPr>
        <w:t>Source: ARC</w:t>
      </w:r>
      <w:r>
        <w:rPr>
          <w:rFonts w:asciiTheme="majorHAnsi" w:hAnsiTheme="majorHAnsi" w:cstheme="majorHAnsi"/>
          <w:sz w:val="16"/>
          <w:szCs w:val="16"/>
          <w:lang w:eastAsia="en-AU"/>
        </w:rPr>
        <w:t xml:space="preserve"> administrative data</w:t>
      </w:r>
      <w:r w:rsidRPr="00A244A2">
        <w:rPr>
          <w:rFonts w:asciiTheme="majorHAnsi" w:hAnsiTheme="majorHAnsi" w:cstheme="majorHAnsi"/>
          <w:sz w:val="16"/>
          <w:szCs w:val="16"/>
          <w:lang w:eastAsia="en-AU"/>
        </w:rPr>
        <w:t xml:space="preserve">. </w:t>
      </w:r>
      <w:r>
        <w:rPr>
          <w:rFonts w:asciiTheme="majorHAnsi" w:hAnsiTheme="majorHAnsi" w:cstheme="majorHAnsi"/>
          <w:i/>
          <w:sz w:val="16"/>
          <w:szCs w:val="16"/>
          <w:lang w:eastAsia="en-AU"/>
        </w:rPr>
        <w:t>Note: S</w:t>
      </w:r>
      <w:r w:rsidRPr="004146AD">
        <w:rPr>
          <w:rFonts w:asciiTheme="majorHAnsi" w:hAnsiTheme="majorHAnsi" w:cstheme="majorHAnsi"/>
          <w:i/>
          <w:sz w:val="16"/>
          <w:szCs w:val="16"/>
          <w:lang w:eastAsia="en-AU"/>
        </w:rPr>
        <w:t>TEM and HASS designations have been applied on the bas</w:t>
      </w:r>
      <w:r>
        <w:rPr>
          <w:rFonts w:asciiTheme="majorHAnsi" w:hAnsiTheme="majorHAnsi" w:cstheme="majorHAnsi"/>
          <w:i/>
          <w:sz w:val="16"/>
          <w:szCs w:val="16"/>
          <w:lang w:eastAsia="en-AU"/>
        </w:rPr>
        <w:t xml:space="preserve">is of primary 2-digit </w:t>
      </w:r>
      <w:proofErr w:type="spellStart"/>
      <w:r>
        <w:rPr>
          <w:rFonts w:asciiTheme="majorHAnsi" w:hAnsiTheme="majorHAnsi" w:cstheme="majorHAnsi"/>
          <w:i/>
          <w:sz w:val="16"/>
          <w:szCs w:val="16"/>
          <w:lang w:eastAsia="en-AU"/>
        </w:rPr>
        <w:t>FoR</w:t>
      </w:r>
      <w:proofErr w:type="spellEnd"/>
      <w:r>
        <w:rPr>
          <w:rFonts w:asciiTheme="majorHAnsi" w:hAnsiTheme="majorHAnsi" w:cstheme="majorHAnsi"/>
          <w:i/>
          <w:sz w:val="16"/>
          <w:szCs w:val="16"/>
          <w:lang w:eastAsia="en-AU"/>
        </w:rPr>
        <w:t xml:space="preserve"> code.</w:t>
      </w:r>
    </w:p>
    <w:p w14:paraId="0AAE01DB" w14:textId="3B5594A6" w:rsidR="00C165F1" w:rsidRPr="007F45DD" w:rsidRDefault="00E57637" w:rsidP="007057E6">
      <w:r w:rsidRPr="00E57637">
        <w:rPr>
          <w:rFonts w:asciiTheme="majorHAnsi" w:hAnsiTheme="majorHAnsi" w:cstheme="majorHAnsi"/>
          <w:lang w:eastAsia="en-AU"/>
        </w:rPr>
        <w:fldChar w:fldCharType="begin"/>
      </w:r>
      <w:r w:rsidRPr="00E57637">
        <w:rPr>
          <w:rFonts w:asciiTheme="majorHAnsi" w:hAnsiTheme="majorHAnsi" w:cstheme="majorHAnsi"/>
          <w:lang w:eastAsia="en-AU"/>
        </w:rPr>
        <w:instrText xml:space="preserve"> REF _Ref52443300 \h  \* MERGEFORMAT </w:instrText>
      </w:r>
      <w:r w:rsidRPr="00E57637">
        <w:rPr>
          <w:rFonts w:asciiTheme="majorHAnsi" w:hAnsiTheme="majorHAnsi" w:cstheme="majorHAnsi"/>
          <w:lang w:eastAsia="en-AU"/>
        </w:rPr>
      </w:r>
      <w:r w:rsidRPr="00E57637">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11</w:t>
      </w:r>
      <w:r w:rsidRPr="00E57637">
        <w:rPr>
          <w:rFonts w:asciiTheme="majorHAnsi" w:hAnsiTheme="majorHAnsi" w:cstheme="majorHAnsi"/>
          <w:lang w:eastAsia="en-AU"/>
        </w:rPr>
        <w:fldChar w:fldCharType="end"/>
      </w:r>
      <w:r w:rsidR="00FC17FC" w:rsidRPr="007057E6">
        <w:rPr>
          <w:rFonts w:asciiTheme="majorHAnsi" w:hAnsiTheme="majorHAnsi" w:cstheme="majorHAnsi"/>
          <w:lang w:eastAsia="en-AU"/>
        </w:rPr>
        <w:t xml:space="preserve"> </w:t>
      </w:r>
      <w:r w:rsidR="00C165F1" w:rsidRPr="007057E6">
        <w:rPr>
          <w:rFonts w:asciiTheme="majorHAnsi" w:hAnsiTheme="majorHAnsi" w:cstheme="majorHAnsi"/>
          <w:lang w:eastAsia="en-AU"/>
        </w:rPr>
        <w:t xml:space="preserve">maps average funding requested and awarded for HASS and STEM projects between DP02 and DP20. For both disciplinary areas, average funding requested and awarded gradually increased over time. However, in all Discovery Projects scheme rounds, </w:t>
      </w:r>
      <w:r w:rsidR="00124CF2" w:rsidRPr="007057E6">
        <w:rPr>
          <w:rFonts w:asciiTheme="majorHAnsi" w:hAnsiTheme="majorHAnsi" w:cstheme="majorHAnsi"/>
          <w:lang w:eastAsia="en-AU"/>
        </w:rPr>
        <w:t xml:space="preserve">successful </w:t>
      </w:r>
      <w:r w:rsidR="00C165F1" w:rsidRPr="007057E6">
        <w:rPr>
          <w:rFonts w:asciiTheme="majorHAnsi" w:hAnsiTheme="majorHAnsi" w:cstheme="majorHAnsi"/>
          <w:lang w:eastAsia="en-AU"/>
        </w:rPr>
        <w:t>STEM applications requested, and were awarded, substantially more average funding per project</w:t>
      </w:r>
      <w:r w:rsidR="00A422B0">
        <w:rPr>
          <w:rFonts w:asciiTheme="majorHAnsi" w:hAnsiTheme="majorHAnsi" w:cstheme="majorHAnsi"/>
          <w:lang w:eastAsia="en-AU"/>
        </w:rPr>
        <w:t xml:space="preserve">. </w:t>
      </w:r>
      <w:r w:rsidR="00C165F1" w:rsidRPr="007057E6">
        <w:rPr>
          <w:rFonts w:asciiTheme="majorHAnsi" w:hAnsiTheme="majorHAnsi" w:cstheme="majorHAnsi"/>
          <w:lang w:eastAsia="en-AU"/>
        </w:rPr>
        <w:t xml:space="preserve">Differences in funding requested are contributing to the overall skewing of scheme funding towards STEM. These findings potentially reflect </w:t>
      </w:r>
      <w:r w:rsidR="00106ABC" w:rsidRPr="007057E6">
        <w:rPr>
          <w:rFonts w:asciiTheme="majorHAnsi" w:hAnsiTheme="majorHAnsi" w:cstheme="majorHAnsi"/>
          <w:lang w:eastAsia="en-AU"/>
        </w:rPr>
        <w:t>disparities</w:t>
      </w:r>
      <w:r w:rsidR="00C165F1" w:rsidRPr="007057E6">
        <w:rPr>
          <w:rFonts w:asciiTheme="majorHAnsi" w:hAnsiTheme="majorHAnsi" w:cstheme="majorHAnsi"/>
          <w:lang w:eastAsia="en-AU"/>
        </w:rPr>
        <w:t xml:space="preserve"> in research costs associated with HASS and STEM projects, notwithstanding significant differences in expenses between disciplines within these overarching areas.</w:t>
      </w:r>
      <w:r w:rsidR="00C165F1" w:rsidRPr="007057E6">
        <w:rPr>
          <w:rStyle w:val="FootnoteReference"/>
          <w:rFonts w:asciiTheme="majorHAnsi" w:hAnsiTheme="majorHAnsi" w:cstheme="majorHAnsi"/>
          <w:lang w:eastAsia="en-AU"/>
        </w:rPr>
        <w:footnoteReference w:id="31"/>
      </w:r>
      <w:r w:rsidR="00C165F1">
        <w:rPr>
          <w:rFonts w:asciiTheme="majorHAnsi" w:hAnsiTheme="majorHAnsi" w:cstheme="majorHAnsi"/>
          <w:lang w:eastAsia="en-AU"/>
        </w:rPr>
        <w:t xml:space="preserve"> </w:t>
      </w:r>
    </w:p>
    <w:p w14:paraId="27AFA085" w14:textId="2485FCEF" w:rsidR="00213AEE" w:rsidRPr="007057E6" w:rsidRDefault="00213AEE" w:rsidP="00751469">
      <w:pPr>
        <w:pStyle w:val="FigureTitle"/>
        <w:rPr>
          <w:i/>
        </w:rPr>
      </w:pPr>
      <w:bookmarkStart w:id="203" w:name="_Ref52443300"/>
      <w:r w:rsidRPr="007057E6">
        <w:lastRenderedPageBreak/>
        <w:t xml:space="preserve">Figure </w:t>
      </w:r>
      <w:r w:rsidR="00857467">
        <w:fldChar w:fldCharType="begin"/>
      </w:r>
      <w:r w:rsidR="00857467">
        <w:instrText xml:space="preserve"> SEQ Figure \* ARABIC </w:instrText>
      </w:r>
      <w:r w:rsidR="00857467">
        <w:fldChar w:fldCharType="separate"/>
      </w:r>
      <w:r w:rsidR="00AB03D7">
        <w:rPr>
          <w:noProof/>
        </w:rPr>
        <w:t>11</w:t>
      </w:r>
      <w:r w:rsidR="00857467">
        <w:rPr>
          <w:noProof/>
        </w:rPr>
        <w:fldChar w:fldCharType="end"/>
      </w:r>
      <w:bookmarkEnd w:id="203"/>
      <w:r w:rsidRPr="007057E6">
        <w:t>: Average funding requested and awarded per project by HASS/STEM, DP02–DP20</w:t>
      </w:r>
    </w:p>
    <w:p w14:paraId="5089E3FB" w14:textId="7378B4BF" w:rsidR="00C165F1" w:rsidRDefault="000E5749" w:rsidP="00C165F1">
      <w:pPr>
        <w:rPr>
          <w:rFonts w:asciiTheme="majorHAnsi" w:hAnsiTheme="majorHAnsi" w:cstheme="majorHAnsi"/>
          <w:i/>
          <w:sz w:val="16"/>
          <w:szCs w:val="16"/>
          <w:lang w:eastAsia="en-AU"/>
        </w:rPr>
      </w:pPr>
      <w:r>
        <w:rPr>
          <w:rFonts w:asciiTheme="majorHAnsi" w:hAnsiTheme="majorHAnsi" w:cstheme="majorHAnsi"/>
          <w:i/>
          <w:noProof/>
          <w:sz w:val="16"/>
          <w:szCs w:val="16"/>
          <w:lang w:eastAsia="en-AU"/>
        </w:rPr>
        <w:drawing>
          <wp:inline distT="0" distB="0" distL="0" distR="0" wp14:anchorId="735D098B" wp14:editId="44BD4F87">
            <wp:extent cx="5730875" cy="2859405"/>
            <wp:effectExtent l="0" t="0" r="3175" b="0"/>
            <wp:docPr id="59" name="Picture 59" descr="Figure 11 is a graph mapping the average amount of funding requested and awarded per project for HASS and STEM disciplines. See above the graph for further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11 is a graph mapping the average amount of funding requested and awarded per project for HASS and STEM disciplines. See above the graph for further informati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859405"/>
                    </a:xfrm>
                    <a:prstGeom prst="rect">
                      <a:avLst/>
                    </a:prstGeom>
                    <a:noFill/>
                  </pic:spPr>
                </pic:pic>
              </a:graphicData>
            </a:graphic>
          </wp:inline>
        </w:drawing>
      </w:r>
    </w:p>
    <w:p w14:paraId="54FC0194" w14:textId="7AE264A5" w:rsidR="00C165F1" w:rsidRDefault="00C165F1" w:rsidP="00C165F1">
      <w:pPr>
        <w:rPr>
          <w:rFonts w:asciiTheme="majorHAnsi" w:hAnsiTheme="majorHAnsi" w:cstheme="majorHAnsi"/>
          <w:i/>
          <w:sz w:val="16"/>
          <w:szCs w:val="16"/>
          <w:lang w:eastAsia="en-AU"/>
        </w:rPr>
      </w:pPr>
      <w:r w:rsidRPr="00A244A2">
        <w:rPr>
          <w:rFonts w:asciiTheme="majorHAnsi" w:hAnsiTheme="majorHAnsi" w:cstheme="majorHAnsi"/>
          <w:sz w:val="16"/>
          <w:szCs w:val="16"/>
          <w:lang w:eastAsia="en-AU"/>
        </w:rPr>
        <w:t>Source: ARC</w:t>
      </w:r>
      <w:r>
        <w:rPr>
          <w:rFonts w:asciiTheme="majorHAnsi" w:hAnsiTheme="majorHAnsi" w:cstheme="majorHAnsi"/>
          <w:sz w:val="16"/>
          <w:szCs w:val="16"/>
          <w:lang w:eastAsia="en-AU"/>
        </w:rPr>
        <w:t xml:space="preserve"> administrative data</w:t>
      </w:r>
      <w:r w:rsidRPr="00A244A2">
        <w:rPr>
          <w:rFonts w:asciiTheme="majorHAnsi" w:hAnsiTheme="majorHAnsi" w:cstheme="majorHAnsi"/>
          <w:sz w:val="16"/>
          <w:szCs w:val="16"/>
          <w:lang w:eastAsia="en-AU"/>
        </w:rPr>
        <w:t xml:space="preserve">. </w:t>
      </w:r>
      <w:r w:rsidRPr="0006444F">
        <w:rPr>
          <w:rFonts w:asciiTheme="majorHAnsi" w:hAnsiTheme="majorHAnsi" w:cstheme="majorHAnsi"/>
          <w:i/>
          <w:iCs/>
          <w:sz w:val="16"/>
          <w:szCs w:val="16"/>
          <w:lang w:eastAsia="en-AU"/>
        </w:rPr>
        <w:t>Note: STEM</w:t>
      </w:r>
      <w:r w:rsidRPr="004146AD">
        <w:rPr>
          <w:rFonts w:asciiTheme="majorHAnsi" w:hAnsiTheme="majorHAnsi" w:cstheme="majorHAnsi"/>
          <w:i/>
          <w:sz w:val="16"/>
          <w:szCs w:val="16"/>
          <w:lang w:eastAsia="en-AU"/>
        </w:rPr>
        <w:t xml:space="preserve"> and HASS designations have been applied on the basis of primary 2-digit </w:t>
      </w:r>
      <w:proofErr w:type="spellStart"/>
      <w:r w:rsidRPr="004146AD">
        <w:rPr>
          <w:rFonts w:asciiTheme="majorHAnsi" w:hAnsiTheme="majorHAnsi" w:cstheme="majorHAnsi"/>
          <w:i/>
          <w:sz w:val="16"/>
          <w:szCs w:val="16"/>
          <w:lang w:eastAsia="en-AU"/>
        </w:rPr>
        <w:t>FoR</w:t>
      </w:r>
      <w:proofErr w:type="spellEnd"/>
      <w:r w:rsidRPr="004146AD">
        <w:rPr>
          <w:rFonts w:asciiTheme="majorHAnsi" w:hAnsiTheme="majorHAnsi" w:cstheme="majorHAnsi"/>
          <w:i/>
          <w:sz w:val="16"/>
          <w:szCs w:val="16"/>
          <w:lang w:eastAsia="en-AU"/>
        </w:rPr>
        <w:t xml:space="preserve"> code.</w:t>
      </w:r>
      <w:r w:rsidR="00370DD1" w:rsidRPr="00370DD1">
        <w:rPr>
          <w:rFonts w:asciiTheme="majorHAnsi" w:hAnsiTheme="majorHAnsi" w:cstheme="majorHAnsi"/>
          <w:i/>
          <w:sz w:val="16"/>
          <w:szCs w:val="16"/>
          <w:lang w:eastAsia="en-AU"/>
        </w:rPr>
        <w:t xml:space="preserve"> </w:t>
      </w:r>
      <w:r w:rsidR="00370DD1">
        <w:rPr>
          <w:rFonts w:asciiTheme="majorHAnsi" w:hAnsiTheme="majorHAnsi" w:cstheme="majorHAnsi"/>
          <w:i/>
          <w:sz w:val="16"/>
          <w:szCs w:val="16"/>
          <w:lang w:eastAsia="en-AU"/>
        </w:rPr>
        <w:t>Funding data</w:t>
      </w:r>
      <w:r w:rsidR="00370DD1" w:rsidRPr="000A5AEE">
        <w:rPr>
          <w:rFonts w:asciiTheme="majorHAnsi" w:hAnsiTheme="majorHAnsi" w:cstheme="majorHAnsi"/>
          <w:i/>
          <w:sz w:val="16"/>
          <w:szCs w:val="16"/>
          <w:lang w:eastAsia="en-AU"/>
        </w:rPr>
        <w:t xml:space="preserve"> reflect funding amounts at the time of announcement</w:t>
      </w:r>
      <w:r w:rsidR="00370DD1">
        <w:rPr>
          <w:rFonts w:asciiTheme="majorHAnsi" w:hAnsiTheme="majorHAnsi" w:cstheme="majorHAnsi"/>
          <w:i/>
          <w:sz w:val="16"/>
          <w:szCs w:val="16"/>
          <w:lang w:eastAsia="en-AU"/>
        </w:rPr>
        <w:t>, and have not been adjusted for inflation</w:t>
      </w:r>
      <w:r w:rsidR="00370DD1" w:rsidRPr="000A5AEE">
        <w:rPr>
          <w:rFonts w:asciiTheme="majorHAnsi" w:hAnsiTheme="majorHAnsi" w:cstheme="majorHAnsi"/>
          <w:i/>
          <w:sz w:val="16"/>
          <w:szCs w:val="16"/>
          <w:lang w:eastAsia="en-AU"/>
        </w:rPr>
        <w:t>.</w:t>
      </w:r>
      <w:r w:rsidR="00B036C8">
        <w:rPr>
          <w:rFonts w:asciiTheme="majorHAnsi" w:hAnsiTheme="majorHAnsi" w:cstheme="majorHAnsi"/>
          <w:i/>
          <w:sz w:val="16"/>
          <w:szCs w:val="16"/>
          <w:lang w:eastAsia="en-AU"/>
        </w:rPr>
        <w:t xml:space="preserve"> Funding requested data only includes successful applications.</w:t>
      </w:r>
    </w:p>
    <w:p w14:paraId="62D56C18" w14:textId="77777777" w:rsidR="00C165F1" w:rsidRDefault="00C165F1" w:rsidP="00C165F1">
      <w:pPr>
        <w:pStyle w:val="Heading4"/>
        <w:rPr>
          <w:lang w:eastAsia="en-AU"/>
        </w:rPr>
      </w:pPr>
      <w:r>
        <w:rPr>
          <w:lang w:eastAsia="en-AU"/>
        </w:rPr>
        <w:t>2-digit Field of Research codes</w:t>
      </w:r>
    </w:p>
    <w:p w14:paraId="30A0D30D" w14:textId="76B8227C" w:rsidR="00C165F1" w:rsidRDefault="00C165F1" w:rsidP="00C165F1">
      <w:pPr>
        <w:rPr>
          <w:rFonts w:asciiTheme="majorHAnsi" w:hAnsiTheme="majorHAnsi" w:cstheme="majorHAnsi"/>
          <w:lang w:eastAsia="en-AU"/>
        </w:rPr>
      </w:pPr>
      <w:r w:rsidRPr="0006444F">
        <w:rPr>
          <w:rFonts w:asciiTheme="majorHAnsi" w:hAnsiTheme="majorHAnsi" w:cstheme="majorHAnsi"/>
          <w:lang w:eastAsia="en-AU"/>
        </w:rPr>
        <w:fldChar w:fldCharType="begin"/>
      </w:r>
      <w:r w:rsidRPr="00EC3574">
        <w:rPr>
          <w:rFonts w:asciiTheme="majorHAnsi" w:hAnsiTheme="majorHAnsi" w:cstheme="majorHAnsi"/>
          <w:lang w:eastAsia="en-AU"/>
        </w:rPr>
        <w:instrText xml:space="preserve"> REF _Ref49765447 \h </w:instrText>
      </w:r>
      <w:r w:rsidRPr="0006444F">
        <w:rPr>
          <w:rFonts w:asciiTheme="majorHAnsi" w:hAnsiTheme="majorHAnsi" w:cstheme="majorHAnsi"/>
          <w:lang w:eastAsia="en-AU"/>
        </w:rPr>
        <w:instrText xml:space="preserve"> \* MERGEFORMAT </w:instrText>
      </w:r>
      <w:r w:rsidRPr="0006444F">
        <w:rPr>
          <w:rFonts w:asciiTheme="majorHAnsi" w:hAnsiTheme="majorHAnsi" w:cstheme="majorHAnsi"/>
          <w:lang w:eastAsia="en-AU"/>
        </w:rPr>
      </w:r>
      <w:r w:rsidRPr="0006444F">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12</w:t>
      </w:r>
      <w:r w:rsidRPr="0006444F">
        <w:rPr>
          <w:rFonts w:asciiTheme="majorHAnsi" w:hAnsiTheme="majorHAnsi" w:cstheme="majorHAnsi"/>
          <w:lang w:eastAsia="en-AU"/>
        </w:rPr>
        <w:fldChar w:fldCharType="end"/>
      </w:r>
      <w:r w:rsidRPr="00607DD0">
        <w:rPr>
          <w:rFonts w:asciiTheme="majorHAnsi" w:hAnsiTheme="majorHAnsi" w:cstheme="majorHAnsi"/>
          <w:lang w:eastAsia="en-AU"/>
        </w:rPr>
        <w:t xml:space="preserve"> </w:t>
      </w:r>
      <w:r w:rsidRPr="00EC3574">
        <w:rPr>
          <w:rFonts w:asciiTheme="majorHAnsi" w:hAnsiTheme="majorHAnsi" w:cstheme="majorHAnsi"/>
          <w:lang w:eastAsia="en-AU"/>
        </w:rPr>
        <w:t>depicts the six</w:t>
      </w:r>
      <w:r w:rsidRPr="00770658">
        <w:rPr>
          <w:rFonts w:asciiTheme="majorHAnsi" w:hAnsiTheme="majorHAnsi" w:cstheme="majorHAnsi"/>
          <w:lang w:eastAsia="en-AU"/>
        </w:rPr>
        <w:t xml:space="preserve"> primary 2-digit </w:t>
      </w:r>
      <w:proofErr w:type="spellStart"/>
      <w:r w:rsidRPr="00770658">
        <w:rPr>
          <w:rFonts w:asciiTheme="majorHAnsi" w:hAnsiTheme="majorHAnsi" w:cstheme="majorHAnsi"/>
          <w:lang w:eastAsia="en-AU"/>
        </w:rPr>
        <w:t>FoRs</w:t>
      </w:r>
      <w:proofErr w:type="spellEnd"/>
      <w:r w:rsidRPr="00770658">
        <w:rPr>
          <w:rFonts w:asciiTheme="majorHAnsi" w:hAnsiTheme="majorHAnsi" w:cstheme="majorHAnsi"/>
          <w:lang w:eastAsia="en-AU"/>
        </w:rPr>
        <w:t xml:space="preserve"> with the highest overall success rates between DP02 and DP20</w:t>
      </w:r>
      <w:r>
        <w:rPr>
          <w:rFonts w:asciiTheme="majorHAnsi" w:hAnsiTheme="majorHAnsi" w:cstheme="majorHAnsi"/>
          <w:lang w:eastAsia="en-AU"/>
        </w:rPr>
        <w:t>.</w:t>
      </w:r>
      <w:r w:rsidRPr="00770658">
        <w:rPr>
          <w:rFonts w:asciiTheme="majorHAnsi" w:hAnsiTheme="majorHAnsi" w:cstheme="majorHAnsi"/>
          <w:lang w:eastAsia="en-AU"/>
        </w:rPr>
        <w:t xml:space="preserve"> </w:t>
      </w:r>
      <w:r>
        <w:rPr>
          <w:rFonts w:asciiTheme="majorHAnsi" w:hAnsiTheme="majorHAnsi" w:cstheme="majorHAnsi"/>
          <w:lang w:eastAsia="en-AU"/>
        </w:rPr>
        <w:t>Three STEM (Mathematical Sciences, Psychology and Cognitive Sciences, and Biological Sciences) and three HASS (</w:t>
      </w:r>
      <w:r w:rsidRPr="00CC2533">
        <w:rPr>
          <w:rFonts w:asciiTheme="majorHAnsi" w:hAnsiTheme="majorHAnsi" w:cstheme="majorHAnsi"/>
          <w:lang w:eastAsia="en-AU"/>
        </w:rPr>
        <w:t xml:space="preserve">History and Archaeology, Economics, and Philosophy and Religious Studies) disciplines are represented. </w:t>
      </w:r>
      <w:r w:rsidR="00282486" w:rsidRPr="00CC2533">
        <w:rPr>
          <w:rFonts w:asciiTheme="majorHAnsi" w:hAnsiTheme="majorHAnsi" w:cstheme="majorHAnsi"/>
          <w:lang w:eastAsia="en-AU"/>
        </w:rPr>
        <w:t xml:space="preserve">(See </w:t>
      </w:r>
      <w:hyperlink w:anchor="_Appendix_D:_Success" w:history="1">
        <w:r w:rsidR="00282486" w:rsidRPr="00CC2533">
          <w:rPr>
            <w:rFonts w:asciiTheme="majorHAnsi" w:hAnsiTheme="majorHAnsi" w:cstheme="majorHAnsi"/>
            <w:lang w:eastAsia="en-AU"/>
          </w:rPr>
          <w:t xml:space="preserve">Appendix </w:t>
        </w:r>
        <w:r w:rsidR="00CC2533" w:rsidRPr="00CC2533">
          <w:rPr>
            <w:rFonts w:asciiTheme="majorHAnsi" w:hAnsiTheme="majorHAnsi" w:cstheme="majorHAnsi"/>
            <w:lang w:eastAsia="en-AU"/>
          </w:rPr>
          <w:t>D</w:t>
        </w:r>
      </w:hyperlink>
      <w:r w:rsidR="00282486" w:rsidRPr="00CC2533">
        <w:rPr>
          <w:rFonts w:asciiTheme="majorHAnsi" w:hAnsiTheme="majorHAnsi" w:cstheme="majorHAnsi"/>
          <w:lang w:eastAsia="en-AU"/>
        </w:rPr>
        <w:t xml:space="preserve"> for further</w:t>
      </w:r>
      <w:r w:rsidR="00282486" w:rsidRPr="00EC3574">
        <w:rPr>
          <w:rFonts w:asciiTheme="majorHAnsi" w:hAnsiTheme="majorHAnsi" w:cstheme="majorHAnsi"/>
          <w:lang w:eastAsia="en-AU"/>
        </w:rPr>
        <w:t xml:space="preserve"> detail on success rates by primary 2-digit </w:t>
      </w:r>
      <w:proofErr w:type="spellStart"/>
      <w:r w:rsidR="00282486" w:rsidRPr="00EC3574">
        <w:rPr>
          <w:rFonts w:asciiTheme="majorHAnsi" w:hAnsiTheme="majorHAnsi" w:cstheme="majorHAnsi"/>
          <w:lang w:eastAsia="en-AU"/>
        </w:rPr>
        <w:t>FoR</w:t>
      </w:r>
      <w:proofErr w:type="spellEnd"/>
      <w:r w:rsidR="00282486" w:rsidRPr="00EC3574">
        <w:rPr>
          <w:rFonts w:asciiTheme="majorHAnsi" w:hAnsiTheme="majorHAnsi" w:cstheme="majorHAnsi"/>
          <w:lang w:eastAsia="en-AU"/>
        </w:rPr>
        <w:t xml:space="preserve"> code</w:t>
      </w:r>
      <w:r w:rsidR="00282486">
        <w:rPr>
          <w:rFonts w:asciiTheme="majorHAnsi" w:hAnsiTheme="majorHAnsi" w:cstheme="majorHAnsi"/>
          <w:lang w:eastAsia="en-AU"/>
        </w:rPr>
        <w:t xml:space="preserve">s). </w:t>
      </w:r>
      <w:r>
        <w:rPr>
          <w:rFonts w:asciiTheme="majorHAnsi" w:hAnsiTheme="majorHAnsi" w:cstheme="majorHAnsi"/>
          <w:lang w:eastAsia="en-AU"/>
        </w:rPr>
        <w:t xml:space="preserve">Consistent with the data </w:t>
      </w:r>
      <w:r w:rsidRPr="00607DD0">
        <w:rPr>
          <w:rFonts w:asciiTheme="majorHAnsi" w:hAnsiTheme="majorHAnsi" w:cstheme="majorHAnsi"/>
          <w:lang w:eastAsia="en-AU"/>
        </w:rPr>
        <w:t xml:space="preserve">presented in </w:t>
      </w:r>
      <w:r w:rsidRPr="00501DA1">
        <w:rPr>
          <w:rFonts w:asciiTheme="majorHAnsi" w:hAnsiTheme="majorHAnsi" w:cstheme="majorHAnsi"/>
          <w:lang w:eastAsia="en-AU"/>
        </w:rPr>
        <w:fldChar w:fldCharType="begin"/>
      </w:r>
      <w:r w:rsidRPr="00EC3574">
        <w:rPr>
          <w:rFonts w:asciiTheme="majorHAnsi" w:hAnsiTheme="majorHAnsi" w:cstheme="majorHAnsi"/>
          <w:lang w:eastAsia="en-AU"/>
        </w:rPr>
        <w:instrText xml:space="preserve"> REF _Ref49763932 \h </w:instrText>
      </w:r>
      <w:r w:rsidRPr="0006444F">
        <w:rPr>
          <w:rFonts w:asciiTheme="majorHAnsi" w:hAnsiTheme="majorHAnsi" w:cstheme="majorHAnsi"/>
          <w:lang w:eastAsia="en-AU"/>
        </w:rPr>
        <w:instrText xml:space="preserve"> \* MERGEFORMAT </w:instrText>
      </w:r>
      <w:r w:rsidRPr="00501DA1">
        <w:rPr>
          <w:rFonts w:asciiTheme="majorHAnsi" w:hAnsiTheme="majorHAnsi" w:cstheme="majorHAnsi"/>
          <w:lang w:eastAsia="en-AU"/>
        </w:rPr>
      </w:r>
      <w:r w:rsidRPr="00501DA1">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10</w:t>
      </w:r>
      <w:r w:rsidRPr="00501DA1">
        <w:rPr>
          <w:rFonts w:asciiTheme="majorHAnsi" w:hAnsiTheme="majorHAnsi" w:cstheme="majorHAnsi"/>
          <w:lang w:eastAsia="en-AU"/>
        </w:rPr>
        <w:fldChar w:fldCharType="end"/>
      </w:r>
      <w:r>
        <w:rPr>
          <w:rFonts w:asciiTheme="majorHAnsi" w:hAnsiTheme="majorHAnsi" w:cstheme="majorHAnsi"/>
          <w:lang w:eastAsia="en-AU"/>
        </w:rPr>
        <w:t>, no</w:t>
      </w:r>
      <w:r w:rsidRPr="00607DD0">
        <w:rPr>
          <w:rFonts w:asciiTheme="majorHAnsi" w:hAnsiTheme="majorHAnsi" w:cstheme="majorHAnsi"/>
          <w:lang w:eastAsia="en-AU"/>
        </w:rPr>
        <w:t xml:space="preserve"> clear</w:t>
      </w:r>
      <w:r w:rsidRPr="00EC3574">
        <w:rPr>
          <w:rFonts w:asciiTheme="majorHAnsi" w:hAnsiTheme="majorHAnsi" w:cstheme="majorHAnsi"/>
          <w:lang w:eastAsia="en-AU"/>
        </w:rPr>
        <w:t xml:space="preserve"> patterns relating to </w:t>
      </w:r>
      <w:proofErr w:type="spellStart"/>
      <w:r w:rsidRPr="00EC3574">
        <w:rPr>
          <w:rFonts w:asciiTheme="majorHAnsi" w:hAnsiTheme="majorHAnsi" w:cstheme="majorHAnsi"/>
          <w:lang w:eastAsia="en-AU"/>
        </w:rPr>
        <w:t>FoR</w:t>
      </w:r>
      <w:proofErr w:type="spellEnd"/>
      <w:r w:rsidRPr="00EC3574">
        <w:rPr>
          <w:rFonts w:asciiTheme="majorHAnsi" w:hAnsiTheme="majorHAnsi" w:cstheme="majorHAnsi"/>
          <w:lang w:eastAsia="en-AU"/>
        </w:rPr>
        <w:t xml:space="preserve"> success rates were apparent when </w:t>
      </w:r>
      <w:r>
        <w:rPr>
          <w:rFonts w:asciiTheme="majorHAnsi" w:hAnsiTheme="majorHAnsi" w:cstheme="majorHAnsi"/>
          <w:lang w:eastAsia="en-AU"/>
        </w:rPr>
        <w:t>analysed</w:t>
      </w:r>
      <w:r w:rsidRPr="00EC3574">
        <w:rPr>
          <w:rFonts w:asciiTheme="majorHAnsi" w:hAnsiTheme="majorHAnsi" w:cstheme="majorHAnsi"/>
          <w:lang w:eastAsia="en-AU"/>
        </w:rPr>
        <w:t xml:space="preserve"> by HASS</w:t>
      </w:r>
      <w:r w:rsidR="00A71F7F">
        <w:rPr>
          <w:rFonts w:asciiTheme="majorHAnsi" w:hAnsiTheme="majorHAnsi" w:cstheme="majorHAnsi"/>
          <w:lang w:eastAsia="en-AU"/>
        </w:rPr>
        <w:t xml:space="preserve"> and </w:t>
      </w:r>
      <w:r w:rsidRPr="00EC3574">
        <w:rPr>
          <w:rFonts w:asciiTheme="majorHAnsi" w:hAnsiTheme="majorHAnsi" w:cstheme="majorHAnsi"/>
          <w:lang w:eastAsia="en-AU"/>
        </w:rPr>
        <w:t>STEM designations</w:t>
      </w:r>
      <w:r>
        <w:rPr>
          <w:rFonts w:asciiTheme="majorHAnsi" w:hAnsiTheme="majorHAnsi" w:cstheme="majorHAnsi"/>
          <w:lang w:eastAsia="en-AU"/>
        </w:rPr>
        <w:t xml:space="preserve">. Built Environment and Design (14.3 per cent) and Agricultural and Veterinary Sciences (14.8 per cent) had the lowest overall success rates from DP02 to DP20. </w:t>
      </w:r>
    </w:p>
    <w:p w14:paraId="24CD56A4" w14:textId="6B1FD53D" w:rsidR="00C165F1" w:rsidRPr="001D2776" w:rsidRDefault="00C165F1" w:rsidP="00751469">
      <w:pPr>
        <w:pStyle w:val="FigureTitle"/>
        <w:rPr>
          <w:i/>
        </w:rPr>
      </w:pPr>
      <w:bookmarkStart w:id="204" w:name="_Ref49765447"/>
      <w:r w:rsidRPr="001D2776">
        <w:t xml:space="preserve">Figure </w:t>
      </w:r>
      <w:r w:rsidR="00857467">
        <w:fldChar w:fldCharType="begin"/>
      </w:r>
      <w:r w:rsidR="00857467">
        <w:instrText xml:space="preserve"> SEQ Figure \* ARABIC </w:instrText>
      </w:r>
      <w:r w:rsidR="00857467">
        <w:fldChar w:fldCharType="separate"/>
      </w:r>
      <w:r w:rsidR="00AB03D7">
        <w:rPr>
          <w:noProof/>
        </w:rPr>
        <w:t>12</w:t>
      </w:r>
      <w:r w:rsidR="00857467">
        <w:rPr>
          <w:noProof/>
        </w:rPr>
        <w:fldChar w:fldCharType="end"/>
      </w:r>
      <w:bookmarkEnd w:id="204"/>
      <w:r w:rsidRPr="001D2776">
        <w:t>: Success rate</w:t>
      </w:r>
      <w:r>
        <w:t>s</w:t>
      </w:r>
      <w:r w:rsidRPr="001D2776">
        <w:t xml:space="preserve"> by primary 2-digit </w:t>
      </w:r>
      <w:proofErr w:type="spellStart"/>
      <w:r w:rsidRPr="001D2776">
        <w:t>FoR</w:t>
      </w:r>
      <w:proofErr w:type="spellEnd"/>
      <w:r w:rsidRPr="001D2776">
        <w:t xml:space="preserve"> code, DP02–DP20</w:t>
      </w:r>
    </w:p>
    <w:p w14:paraId="74819EE7" w14:textId="65946D93" w:rsidR="00C165F1" w:rsidRPr="004454F6" w:rsidRDefault="000E5749" w:rsidP="00C165F1">
      <w:r>
        <w:rPr>
          <w:noProof/>
        </w:rPr>
        <w:drawing>
          <wp:inline distT="0" distB="0" distL="0" distR="0" wp14:anchorId="29BD890D" wp14:editId="5793358B">
            <wp:extent cx="5730875" cy="2670175"/>
            <wp:effectExtent l="0" t="0" r="3175" b="0"/>
            <wp:docPr id="60" name="Picture 60" descr="Figure 12 is a graph showing success rate Discovery Projects results for the six most successful 2-digit FoR codes between DP02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12 is a graph showing success rate Discovery Projects results for the six most successful 2-digit FoR codes between DP02 and DP20. See text above graph for more inform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2670175"/>
                    </a:xfrm>
                    <a:prstGeom prst="rect">
                      <a:avLst/>
                    </a:prstGeom>
                    <a:noFill/>
                  </pic:spPr>
                </pic:pic>
              </a:graphicData>
            </a:graphic>
          </wp:inline>
        </w:drawing>
      </w:r>
    </w:p>
    <w:p w14:paraId="2BB9EF24" w14:textId="1F8DFE26" w:rsidR="00C165F1" w:rsidRDefault="00C165F1" w:rsidP="00C165F1">
      <w:pPr>
        <w:rPr>
          <w:rFonts w:asciiTheme="majorHAnsi" w:hAnsiTheme="majorHAnsi" w:cstheme="majorHAnsi"/>
          <w:sz w:val="16"/>
          <w:szCs w:val="16"/>
        </w:rPr>
      </w:pPr>
      <w:r w:rsidRPr="00380278">
        <w:rPr>
          <w:rFonts w:asciiTheme="majorHAnsi" w:hAnsiTheme="majorHAnsi" w:cstheme="majorHAnsi"/>
          <w:sz w:val="16"/>
          <w:szCs w:val="16"/>
        </w:rPr>
        <w:t>Source: ARC</w:t>
      </w:r>
      <w:r>
        <w:rPr>
          <w:rFonts w:asciiTheme="majorHAnsi" w:hAnsiTheme="majorHAnsi" w:cstheme="majorHAnsi"/>
          <w:sz w:val="16"/>
          <w:szCs w:val="16"/>
        </w:rPr>
        <w:t xml:space="preserve"> administrative data</w:t>
      </w:r>
      <w:r w:rsidRPr="00380278">
        <w:rPr>
          <w:rFonts w:asciiTheme="majorHAnsi" w:hAnsiTheme="majorHAnsi" w:cstheme="majorHAnsi"/>
          <w:sz w:val="16"/>
          <w:szCs w:val="16"/>
        </w:rPr>
        <w:t>.</w:t>
      </w:r>
    </w:p>
    <w:p w14:paraId="17180F39" w14:textId="77777777" w:rsidR="00C165F1" w:rsidRDefault="00C165F1" w:rsidP="00254D36">
      <w:pPr>
        <w:pStyle w:val="Heading2"/>
        <w:keepNext w:val="0"/>
        <w:keepLines w:val="0"/>
        <w:numPr>
          <w:ilvl w:val="1"/>
          <w:numId w:val="14"/>
        </w:numPr>
        <w:shd w:val="clear" w:color="auto" w:fill="auto"/>
        <w:spacing w:line="259" w:lineRule="auto"/>
        <w:rPr>
          <w:lang w:eastAsia="en-AU"/>
        </w:rPr>
      </w:pPr>
      <w:bookmarkStart w:id="205" w:name="_Toc51916970"/>
      <w:bookmarkStart w:id="206" w:name="_Toc51918810"/>
      <w:bookmarkStart w:id="207" w:name="_Toc51918700"/>
      <w:bookmarkStart w:id="208" w:name="_Interdisciplinary_research"/>
      <w:bookmarkStart w:id="209" w:name="_Toc51918701"/>
      <w:bookmarkStart w:id="210" w:name="_Ref53148966"/>
      <w:bookmarkStart w:id="211" w:name="_Toc55544789"/>
      <w:bookmarkEnd w:id="205"/>
      <w:bookmarkEnd w:id="206"/>
      <w:bookmarkEnd w:id="207"/>
      <w:bookmarkEnd w:id="208"/>
      <w:r>
        <w:rPr>
          <w:lang w:eastAsia="en-AU"/>
        </w:rPr>
        <w:lastRenderedPageBreak/>
        <w:t>Interdisciplinary research</w:t>
      </w:r>
      <w:bookmarkEnd w:id="209"/>
      <w:bookmarkEnd w:id="210"/>
      <w:bookmarkEnd w:id="211"/>
    </w:p>
    <w:p w14:paraId="110CBAB4" w14:textId="172639E2" w:rsidR="00C165F1" w:rsidRDefault="00C165F1" w:rsidP="00C165F1">
      <w:pPr>
        <w:rPr>
          <w:rFonts w:asciiTheme="majorHAnsi" w:hAnsiTheme="majorHAnsi" w:cstheme="majorHAnsi"/>
          <w:lang w:eastAsia="en-AU"/>
        </w:rPr>
      </w:pPr>
      <w:r>
        <w:rPr>
          <w:rFonts w:asciiTheme="majorHAnsi" w:hAnsiTheme="majorHAnsi" w:cstheme="majorHAnsi"/>
          <w:lang w:eastAsia="en-AU"/>
        </w:rPr>
        <w:t xml:space="preserve">The </w:t>
      </w:r>
      <w:r w:rsidRPr="00141E29">
        <w:rPr>
          <w:rFonts w:asciiTheme="majorHAnsi" w:hAnsiTheme="majorHAnsi" w:cstheme="majorHAnsi"/>
          <w:i/>
          <w:lang w:eastAsia="en-AU"/>
        </w:rPr>
        <w:t>ARC Statement of Support for Interdisciplinary Research</w:t>
      </w:r>
      <w:r>
        <w:rPr>
          <w:rFonts w:asciiTheme="majorHAnsi" w:hAnsiTheme="majorHAnsi" w:cstheme="majorHAnsi"/>
          <w:lang w:eastAsia="en-AU"/>
        </w:rPr>
        <w:t xml:space="preserve"> describes interdisciplinary research (IDR) as ‘research that traverses or transcends disciplinary boundaries and which synthesises(s) or integrate(s) methods and knowledge from multiple disciplinary domains’.</w:t>
      </w:r>
      <w:r>
        <w:rPr>
          <w:rStyle w:val="FootnoteReference"/>
          <w:rFonts w:asciiTheme="majorHAnsi" w:hAnsiTheme="majorHAnsi" w:cstheme="majorHAnsi"/>
          <w:lang w:eastAsia="en-AU"/>
        </w:rPr>
        <w:footnoteReference w:id="32"/>
      </w:r>
      <w:r>
        <w:rPr>
          <w:rFonts w:asciiTheme="majorHAnsi" w:hAnsiTheme="majorHAnsi" w:cstheme="majorHAnsi"/>
          <w:lang w:eastAsia="en-AU"/>
        </w:rPr>
        <w:t xml:space="preserve"> Previous research suggests that IDR may be disadvantaged within peer review processes. Applications within existing disciplinary boundaries may be easier to substantiate using pre-existing research literature, and the innovativeness associated with IDR may be regarded as presenting greater risk. Recruiting peer reviewers with expertise across multiple disciplinary domains also presents distinct challenges.</w:t>
      </w:r>
      <w:r>
        <w:rPr>
          <w:rStyle w:val="FootnoteReference"/>
          <w:rFonts w:asciiTheme="majorHAnsi" w:hAnsiTheme="majorHAnsi" w:cstheme="majorHAnsi"/>
          <w:lang w:eastAsia="en-AU"/>
        </w:rPr>
        <w:footnoteReference w:id="33"/>
      </w:r>
      <w:r>
        <w:rPr>
          <w:rFonts w:asciiTheme="majorHAnsi" w:hAnsiTheme="majorHAnsi" w:cstheme="majorHAnsi"/>
          <w:lang w:eastAsia="en-AU"/>
        </w:rPr>
        <w:t xml:space="preserve"> ARC mechanisms to support IDR include recruiting College of Experts peer reviewers with broad expertise, </w:t>
      </w:r>
      <w:r w:rsidR="00C5109F">
        <w:rPr>
          <w:rFonts w:asciiTheme="majorHAnsi" w:hAnsiTheme="majorHAnsi" w:cstheme="majorHAnsi"/>
          <w:lang w:eastAsia="en-AU"/>
        </w:rPr>
        <w:t xml:space="preserve">assigning </w:t>
      </w:r>
      <w:r>
        <w:rPr>
          <w:rFonts w:asciiTheme="majorHAnsi" w:hAnsiTheme="majorHAnsi" w:cstheme="majorHAnsi"/>
          <w:lang w:eastAsia="en-AU"/>
        </w:rPr>
        <w:t xml:space="preserve">IDR proposals </w:t>
      </w:r>
      <w:r w:rsidR="0090578D">
        <w:rPr>
          <w:rFonts w:asciiTheme="majorHAnsi" w:hAnsiTheme="majorHAnsi" w:cstheme="majorHAnsi"/>
          <w:lang w:eastAsia="en-AU"/>
        </w:rPr>
        <w:t xml:space="preserve">across </w:t>
      </w:r>
      <w:r w:rsidR="00942E12">
        <w:rPr>
          <w:rFonts w:asciiTheme="majorHAnsi" w:hAnsiTheme="majorHAnsi" w:cstheme="majorHAnsi"/>
          <w:lang w:eastAsia="en-AU"/>
        </w:rPr>
        <w:t>Selection Advisory Committee</w:t>
      </w:r>
      <w:r w:rsidR="0090578D">
        <w:rPr>
          <w:rFonts w:asciiTheme="majorHAnsi" w:hAnsiTheme="majorHAnsi" w:cstheme="majorHAnsi"/>
          <w:lang w:eastAsia="en-AU"/>
        </w:rPr>
        <w:t xml:space="preserve"> panels as needed </w:t>
      </w:r>
      <w:r>
        <w:rPr>
          <w:rFonts w:asciiTheme="majorHAnsi" w:hAnsiTheme="majorHAnsi" w:cstheme="majorHAnsi"/>
          <w:lang w:eastAsia="en-AU"/>
        </w:rPr>
        <w:t xml:space="preserve">to </w:t>
      </w:r>
      <w:r w:rsidR="00C5109F">
        <w:rPr>
          <w:rFonts w:asciiTheme="majorHAnsi" w:hAnsiTheme="majorHAnsi" w:cstheme="majorHAnsi"/>
          <w:lang w:eastAsia="en-AU"/>
        </w:rPr>
        <w:t xml:space="preserve">ensure </w:t>
      </w:r>
      <w:r w:rsidR="00072A28">
        <w:rPr>
          <w:rFonts w:asciiTheme="majorHAnsi" w:hAnsiTheme="majorHAnsi" w:cstheme="majorHAnsi"/>
          <w:lang w:eastAsia="en-AU"/>
        </w:rPr>
        <w:t xml:space="preserve">they are assessed by </w:t>
      </w:r>
      <w:r w:rsidR="00303A59">
        <w:rPr>
          <w:rFonts w:asciiTheme="majorHAnsi" w:hAnsiTheme="majorHAnsi" w:cstheme="majorHAnsi"/>
          <w:lang w:eastAsia="en-AU"/>
        </w:rPr>
        <w:t>experts</w:t>
      </w:r>
      <w:r w:rsidR="007670AB">
        <w:rPr>
          <w:rFonts w:asciiTheme="majorHAnsi" w:hAnsiTheme="majorHAnsi" w:cstheme="majorHAnsi"/>
          <w:lang w:eastAsia="en-AU"/>
        </w:rPr>
        <w:t xml:space="preserve"> </w:t>
      </w:r>
      <w:r>
        <w:rPr>
          <w:rFonts w:asciiTheme="majorHAnsi" w:hAnsiTheme="majorHAnsi" w:cstheme="majorHAnsi"/>
          <w:lang w:eastAsia="en-AU"/>
        </w:rPr>
        <w:t>with the required diversity of disciplinary knowledge, and ongoing monitoring and reporting.</w:t>
      </w:r>
    </w:p>
    <w:p w14:paraId="30633953" w14:textId="30875CFB" w:rsidR="00C165F1" w:rsidRDefault="00C165F1" w:rsidP="00C165F1">
      <w:pPr>
        <w:rPr>
          <w:rFonts w:asciiTheme="majorHAnsi" w:hAnsiTheme="majorHAnsi" w:cstheme="majorHAnsi"/>
          <w:lang w:eastAsia="en-AU"/>
        </w:rPr>
      </w:pPr>
      <w:r>
        <w:rPr>
          <w:rFonts w:asciiTheme="majorHAnsi" w:hAnsiTheme="majorHAnsi" w:cstheme="majorHAnsi"/>
          <w:lang w:eastAsia="en-AU"/>
        </w:rPr>
        <w:t xml:space="preserve">This section employs two approaches to analyse the scale of IDR within Discovery Projects. Firstly, if the primary </w:t>
      </w:r>
      <w:proofErr w:type="spellStart"/>
      <w:r>
        <w:rPr>
          <w:rFonts w:asciiTheme="majorHAnsi" w:hAnsiTheme="majorHAnsi" w:cstheme="majorHAnsi"/>
          <w:lang w:eastAsia="en-AU"/>
        </w:rPr>
        <w:t>FoR</w:t>
      </w:r>
      <w:proofErr w:type="spellEnd"/>
      <w:r>
        <w:rPr>
          <w:rFonts w:asciiTheme="majorHAnsi" w:hAnsiTheme="majorHAnsi" w:cstheme="majorHAnsi"/>
          <w:lang w:eastAsia="en-AU"/>
        </w:rPr>
        <w:t xml:space="preserve"> code identified in an application has less than a 70 per cent weighting, the project has been deemed interdisciplinary in nature. This approach has been taken at both 2-digit and 4-digit </w:t>
      </w:r>
      <w:proofErr w:type="spellStart"/>
      <w:r>
        <w:rPr>
          <w:rFonts w:asciiTheme="majorHAnsi" w:hAnsiTheme="majorHAnsi" w:cstheme="majorHAnsi"/>
          <w:lang w:eastAsia="en-AU"/>
        </w:rPr>
        <w:t>FoR</w:t>
      </w:r>
      <w:proofErr w:type="spellEnd"/>
      <w:r>
        <w:rPr>
          <w:rFonts w:asciiTheme="majorHAnsi" w:hAnsiTheme="majorHAnsi" w:cstheme="majorHAnsi"/>
          <w:lang w:eastAsia="en-AU"/>
        </w:rPr>
        <w:t xml:space="preserve"> code levels. Secondly, </w:t>
      </w:r>
      <w:r w:rsidR="004F4D2D">
        <w:rPr>
          <w:rFonts w:asciiTheme="majorHAnsi" w:hAnsiTheme="majorHAnsi" w:cstheme="majorHAnsi"/>
          <w:lang w:eastAsia="en-AU"/>
        </w:rPr>
        <w:t xml:space="preserve">applications </w:t>
      </w:r>
      <w:r>
        <w:rPr>
          <w:rFonts w:asciiTheme="majorHAnsi" w:hAnsiTheme="majorHAnsi" w:cstheme="majorHAnsi"/>
          <w:lang w:eastAsia="en-AU"/>
        </w:rPr>
        <w:t xml:space="preserve">from DP17 onwards have included a question directly asking researchers to specify whether they regard their work as interdisciplinary. </w:t>
      </w:r>
    </w:p>
    <w:p w14:paraId="699AE5E3" w14:textId="06252D66" w:rsidR="00C165F1" w:rsidRDefault="00C165F1" w:rsidP="00C165F1">
      <w:pPr>
        <w:tabs>
          <w:tab w:val="left" w:pos="1134"/>
        </w:tabs>
        <w:spacing w:after="120"/>
        <w:rPr>
          <w:rFonts w:asciiTheme="majorHAnsi" w:hAnsiTheme="majorHAnsi" w:cstheme="majorHAnsi"/>
          <w:lang w:eastAsia="en-AU"/>
        </w:rPr>
      </w:pPr>
      <w:r w:rsidRPr="00607DD0">
        <w:rPr>
          <w:rFonts w:asciiTheme="majorHAnsi" w:hAnsiTheme="majorHAnsi" w:cstheme="majorHAnsi"/>
          <w:lang w:eastAsia="en-AU"/>
        </w:rPr>
        <w:fldChar w:fldCharType="begin"/>
      </w:r>
      <w:r w:rsidRPr="00D53C8D">
        <w:rPr>
          <w:rFonts w:asciiTheme="majorHAnsi" w:hAnsiTheme="majorHAnsi" w:cstheme="majorHAnsi"/>
          <w:lang w:eastAsia="en-AU"/>
        </w:rPr>
        <w:instrText xml:space="preserve"> REF _Ref49766220 \h </w:instrText>
      </w:r>
      <w:r w:rsidRPr="0006444F">
        <w:rPr>
          <w:rFonts w:asciiTheme="majorHAnsi" w:hAnsiTheme="majorHAnsi" w:cstheme="majorHAnsi"/>
          <w:lang w:eastAsia="en-AU"/>
        </w:rPr>
        <w:instrText xml:space="preserve"> \* MERGEFORMAT </w:instrText>
      </w:r>
      <w:r w:rsidRPr="00607DD0">
        <w:rPr>
          <w:rFonts w:asciiTheme="majorHAnsi" w:hAnsiTheme="majorHAnsi" w:cstheme="majorHAnsi"/>
          <w:lang w:eastAsia="en-AU"/>
        </w:rPr>
      </w:r>
      <w:r w:rsidRPr="00607DD0">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13</w:t>
      </w:r>
      <w:r w:rsidRPr="00607DD0">
        <w:rPr>
          <w:rFonts w:asciiTheme="majorHAnsi" w:hAnsiTheme="majorHAnsi" w:cstheme="majorHAnsi"/>
          <w:lang w:eastAsia="en-AU"/>
        </w:rPr>
        <w:fldChar w:fldCharType="end"/>
      </w:r>
      <w:r w:rsidRPr="00607DD0">
        <w:rPr>
          <w:rFonts w:asciiTheme="majorHAnsi" w:hAnsiTheme="majorHAnsi" w:cstheme="majorHAnsi"/>
          <w:lang w:eastAsia="en-AU"/>
        </w:rPr>
        <w:t xml:space="preserve"> </w:t>
      </w:r>
      <w:r w:rsidRPr="00D53C8D">
        <w:rPr>
          <w:rFonts w:asciiTheme="majorHAnsi" w:hAnsiTheme="majorHAnsi" w:cstheme="majorHAnsi"/>
          <w:lang w:eastAsia="en-AU"/>
        </w:rPr>
        <w:t>maps</w:t>
      </w:r>
      <w:r w:rsidRPr="007C3CDF">
        <w:rPr>
          <w:rFonts w:asciiTheme="majorHAnsi" w:hAnsiTheme="majorHAnsi" w:cstheme="majorHAnsi"/>
          <w:lang w:eastAsia="en-AU"/>
        </w:rPr>
        <w:t xml:space="preserve"> the</w:t>
      </w:r>
      <w:r w:rsidRPr="00B91AEE">
        <w:rPr>
          <w:rFonts w:asciiTheme="majorHAnsi" w:hAnsiTheme="majorHAnsi" w:cstheme="majorHAnsi"/>
          <w:lang w:eastAsia="en-AU"/>
        </w:rPr>
        <w:t xml:space="preserve"> proportion</w:t>
      </w:r>
      <w:r>
        <w:rPr>
          <w:rFonts w:asciiTheme="majorHAnsi" w:hAnsiTheme="majorHAnsi" w:cstheme="majorHAnsi"/>
          <w:lang w:eastAsia="en-AU"/>
        </w:rPr>
        <w:t xml:space="preserve"> of interdisciplinary Discovery Projects applications and funded projects using these measures. A few features of the graph are notable:</w:t>
      </w:r>
    </w:p>
    <w:p w14:paraId="76723344" w14:textId="1B756206" w:rsidR="00C165F1" w:rsidRPr="007202F3" w:rsidRDefault="00C165F1" w:rsidP="00254D36">
      <w:pPr>
        <w:pStyle w:val="ListParagraph"/>
        <w:numPr>
          <w:ilvl w:val="0"/>
          <w:numId w:val="13"/>
        </w:numPr>
        <w:tabs>
          <w:tab w:val="left" w:pos="1134"/>
        </w:tabs>
        <w:spacing w:before="60" w:after="60" w:line="259" w:lineRule="auto"/>
        <w:ind w:left="714" w:hanging="357"/>
        <w:rPr>
          <w:rFonts w:asciiTheme="majorHAnsi" w:hAnsiTheme="majorHAnsi" w:cstheme="majorHAnsi"/>
          <w:color w:val="auto"/>
          <w:sz w:val="22"/>
          <w:lang w:eastAsia="en-AU"/>
        </w:rPr>
      </w:pPr>
      <w:r w:rsidRPr="007202F3">
        <w:rPr>
          <w:rFonts w:asciiTheme="majorHAnsi" w:hAnsiTheme="majorHAnsi" w:cstheme="majorHAnsi"/>
          <w:color w:val="auto"/>
          <w:sz w:val="22"/>
          <w:lang w:eastAsia="en-AU"/>
        </w:rPr>
        <w:t xml:space="preserve">The level of IDR varies substantially depending on the </w:t>
      </w:r>
      <w:r w:rsidR="00F340E2">
        <w:rPr>
          <w:rFonts w:asciiTheme="majorHAnsi" w:hAnsiTheme="majorHAnsi" w:cstheme="majorHAnsi"/>
          <w:color w:val="auto"/>
          <w:sz w:val="22"/>
          <w:lang w:eastAsia="en-AU"/>
        </w:rPr>
        <w:t>metric</w:t>
      </w:r>
      <w:r w:rsidRPr="007202F3">
        <w:rPr>
          <w:rFonts w:asciiTheme="majorHAnsi" w:hAnsiTheme="majorHAnsi" w:cstheme="majorHAnsi"/>
          <w:color w:val="auto"/>
          <w:sz w:val="22"/>
          <w:lang w:eastAsia="en-AU"/>
        </w:rPr>
        <w:t xml:space="preserve"> </w:t>
      </w:r>
      <w:r w:rsidR="00F340E2">
        <w:rPr>
          <w:rFonts w:asciiTheme="majorHAnsi" w:hAnsiTheme="majorHAnsi" w:cstheme="majorHAnsi"/>
          <w:color w:val="auto"/>
          <w:sz w:val="22"/>
          <w:lang w:eastAsia="en-AU"/>
        </w:rPr>
        <w:t>used</w:t>
      </w:r>
      <w:r w:rsidRPr="007202F3">
        <w:rPr>
          <w:rFonts w:asciiTheme="majorHAnsi" w:hAnsiTheme="majorHAnsi" w:cstheme="majorHAnsi"/>
          <w:color w:val="auto"/>
          <w:sz w:val="22"/>
          <w:lang w:eastAsia="en-AU"/>
        </w:rPr>
        <w:t xml:space="preserve">, with the 4-digit </w:t>
      </w:r>
      <w:proofErr w:type="spellStart"/>
      <w:r w:rsidRPr="007202F3">
        <w:rPr>
          <w:rFonts w:asciiTheme="majorHAnsi" w:hAnsiTheme="majorHAnsi" w:cstheme="majorHAnsi"/>
          <w:color w:val="auto"/>
          <w:sz w:val="22"/>
          <w:lang w:eastAsia="en-AU"/>
        </w:rPr>
        <w:t>FoR</w:t>
      </w:r>
      <w:proofErr w:type="spellEnd"/>
      <w:r w:rsidRPr="007202F3">
        <w:rPr>
          <w:rFonts w:asciiTheme="majorHAnsi" w:hAnsiTheme="majorHAnsi" w:cstheme="majorHAnsi"/>
          <w:color w:val="auto"/>
          <w:sz w:val="22"/>
          <w:lang w:eastAsia="en-AU"/>
        </w:rPr>
        <w:t xml:space="preserve"> and self-assignation measures suggesting considerably higher proportions than the 2-digit </w:t>
      </w:r>
      <w:proofErr w:type="spellStart"/>
      <w:r w:rsidRPr="007202F3">
        <w:rPr>
          <w:rFonts w:asciiTheme="majorHAnsi" w:hAnsiTheme="majorHAnsi" w:cstheme="majorHAnsi"/>
          <w:color w:val="auto"/>
          <w:sz w:val="22"/>
          <w:lang w:eastAsia="en-AU"/>
        </w:rPr>
        <w:t>FoR</w:t>
      </w:r>
      <w:proofErr w:type="spellEnd"/>
      <w:r w:rsidRPr="007202F3">
        <w:rPr>
          <w:rFonts w:asciiTheme="majorHAnsi" w:hAnsiTheme="majorHAnsi" w:cstheme="majorHAnsi"/>
          <w:color w:val="auto"/>
          <w:sz w:val="22"/>
          <w:lang w:eastAsia="en-AU"/>
        </w:rPr>
        <w:t xml:space="preserve"> code measure. </w:t>
      </w:r>
      <w:r w:rsidR="0006439F">
        <w:rPr>
          <w:rFonts w:asciiTheme="majorHAnsi" w:hAnsiTheme="majorHAnsi" w:cstheme="majorHAnsi"/>
          <w:color w:val="auto"/>
          <w:sz w:val="22"/>
          <w:lang w:eastAsia="en-AU"/>
        </w:rPr>
        <w:t xml:space="preserve">The </w:t>
      </w:r>
      <w:r w:rsidR="00636A38">
        <w:rPr>
          <w:rFonts w:asciiTheme="majorHAnsi" w:hAnsiTheme="majorHAnsi" w:cstheme="majorHAnsi"/>
          <w:color w:val="auto"/>
          <w:sz w:val="22"/>
          <w:lang w:eastAsia="en-AU"/>
        </w:rPr>
        <w:t>lower</w:t>
      </w:r>
      <w:r w:rsidR="0006439F">
        <w:rPr>
          <w:rFonts w:asciiTheme="majorHAnsi" w:hAnsiTheme="majorHAnsi" w:cstheme="majorHAnsi"/>
          <w:color w:val="auto"/>
          <w:sz w:val="22"/>
          <w:lang w:eastAsia="en-AU"/>
        </w:rPr>
        <w:t xml:space="preserve"> rate of interdisciplinary research</w:t>
      </w:r>
      <w:r w:rsidR="00342BF6">
        <w:rPr>
          <w:rFonts w:asciiTheme="majorHAnsi" w:hAnsiTheme="majorHAnsi" w:cstheme="majorHAnsi"/>
          <w:color w:val="auto"/>
          <w:sz w:val="22"/>
          <w:lang w:eastAsia="en-AU"/>
        </w:rPr>
        <w:t xml:space="preserve"> recorded</w:t>
      </w:r>
      <w:r w:rsidR="0006439F">
        <w:rPr>
          <w:rFonts w:asciiTheme="majorHAnsi" w:hAnsiTheme="majorHAnsi" w:cstheme="majorHAnsi"/>
          <w:color w:val="auto"/>
          <w:sz w:val="22"/>
          <w:lang w:eastAsia="en-AU"/>
        </w:rPr>
        <w:t xml:space="preserve"> at the </w:t>
      </w:r>
      <w:r w:rsidR="00636A38">
        <w:rPr>
          <w:rFonts w:asciiTheme="majorHAnsi" w:hAnsiTheme="majorHAnsi" w:cstheme="majorHAnsi"/>
          <w:color w:val="auto"/>
          <w:sz w:val="22"/>
          <w:lang w:eastAsia="en-AU"/>
        </w:rPr>
        <w:t>2</w:t>
      </w:r>
      <w:r w:rsidR="0006439F">
        <w:rPr>
          <w:rFonts w:asciiTheme="majorHAnsi" w:hAnsiTheme="majorHAnsi" w:cstheme="majorHAnsi"/>
          <w:color w:val="auto"/>
          <w:sz w:val="22"/>
          <w:lang w:eastAsia="en-AU"/>
        </w:rPr>
        <w:t xml:space="preserve">-digit </w:t>
      </w:r>
      <w:proofErr w:type="spellStart"/>
      <w:r w:rsidR="0006439F">
        <w:rPr>
          <w:rFonts w:asciiTheme="majorHAnsi" w:hAnsiTheme="majorHAnsi" w:cstheme="majorHAnsi"/>
          <w:color w:val="auto"/>
          <w:sz w:val="22"/>
          <w:lang w:eastAsia="en-AU"/>
        </w:rPr>
        <w:t>FoR</w:t>
      </w:r>
      <w:proofErr w:type="spellEnd"/>
      <w:r w:rsidR="0006439F">
        <w:rPr>
          <w:rFonts w:asciiTheme="majorHAnsi" w:hAnsiTheme="majorHAnsi" w:cstheme="majorHAnsi"/>
          <w:color w:val="auto"/>
          <w:sz w:val="22"/>
          <w:lang w:eastAsia="en-AU"/>
        </w:rPr>
        <w:t xml:space="preserve"> level reflects </w:t>
      </w:r>
      <w:r w:rsidR="00701CB4">
        <w:rPr>
          <w:rFonts w:asciiTheme="majorHAnsi" w:hAnsiTheme="majorHAnsi" w:cstheme="majorHAnsi"/>
          <w:color w:val="auto"/>
          <w:sz w:val="22"/>
          <w:lang w:eastAsia="en-AU"/>
        </w:rPr>
        <w:t xml:space="preserve">the </w:t>
      </w:r>
      <w:r w:rsidR="004957CA">
        <w:rPr>
          <w:rFonts w:asciiTheme="majorHAnsi" w:hAnsiTheme="majorHAnsi" w:cstheme="majorHAnsi"/>
          <w:color w:val="auto"/>
          <w:sz w:val="22"/>
          <w:lang w:eastAsia="en-AU"/>
        </w:rPr>
        <w:t xml:space="preserve">more finely differentiated disciplinary </w:t>
      </w:r>
      <w:r w:rsidR="00AF1D5D">
        <w:rPr>
          <w:rFonts w:asciiTheme="majorHAnsi" w:hAnsiTheme="majorHAnsi" w:cstheme="majorHAnsi"/>
          <w:color w:val="auto"/>
          <w:sz w:val="22"/>
          <w:lang w:eastAsia="en-AU"/>
        </w:rPr>
        <w:t xml:space="preserve">divisions </w:t>
      </w:r>
      <w:r w:rsidR="003B1876">
        <w:rPr>
          <w:rFonts w:asciiTheme="majorHAnsi" w:hAnsiTheme="majorHAnsi" w:cstheme="majorHAnsi"/>
          <w:color w:val="auto"/>
          <w:sz w:val="22"/>
          <w:lang w:eastAsia="en-AU"/>
        </w:rPr>
        <w:t>allowed for by</w:t>
      </w:r>
      <w:r w:rsidR="00701CB4">
        <w:rPr>
          <w:rFonts w:asciiTheme="majorHAnsi" w:hAnsiTheme="majorHAnsi" w:cstheme="majorHAnsi"/>
          <w:color w:val="auto"/>
          <w:sz w:val="22"/>
          <w:lang w:eastAsia="en-AU"/>
        </w:rPr>
        <w:t xml:space="preserve"> </w:t>
      </w:r>
      <w:r w:rsidR="00636A38">
        <w:rPr>
          <w:rFonts w:asciiTheme="majorHAnsi" w:hAnsiTheme="majorHAnsi" w:cstheme="majorHAnsi"/>
          <w:color w:val="auto"/>
          <w:sz w:val="22"/>
          <w:lang w:eastAsia="en-AU"/>
        </w:rPr>
        <w:t>4</w:t>
      </w:r>
      <w:r w:rsidR="00701CB4">
        <w:rPr>
          <w:rFonts w:asciiTheme="majorHAnsi" w:hAnsiTheme="majorHAnsi" w:cstheme="majorHAnsi"/>
          <w:color w:val="auto"/>
          <w:sz w:val="22"/>
          <w:lang w:eastAsia="en-AU"/>
        </w:rPr>
        <w:t xml:space="preserve">-digit </w:t>
      </w:r>
      <w:proofErr w:type="spellStart"/>
      <w:r w:rsidR="00636A38">
        <w:rPr>
          <w:rFonts w:asciiTheme="majorHAnsi" w:hAnsiTheme="majorHAnsi" w:cstheme="majorHAnsi"/>
          <w:color w:val="auto"/>
          <w:sz w:val="22"/>
          <w:lang w:eastAsia="en-AU"/>
        </w:rPr>
        <w:t>FoR</w:t>
      </w:r>
      <w:proofErr w:type="spellEnd"/>
      <w:r w:rsidR="00636A38">
        <w:rPr>
          <w:rFonts w:asciiTheme="majorHAnsi" w:hAnsiTheme="majorHAnsi" w:cstheme="majorHAnsi"/>
          <w:color w:val="auto"/>
          <w:sz w:val="22"/>
          <w:lang w:eastAsia="en-AU"/>
        </w:rPr>
        <w:t xml:space="preserve"> codes</w:t>
      </w:r>
      <w:r w:rsidR="00701CB4">
        <w:rPr>
          <w:rFonts w:asciiTheme="majorHAnsi" w:hAnsiTheme="majorHAnsi" w:cstheme="majorHAnsi"/>
          <w:color w:val="auto"/>
          <w:sz w:val="22"/>
          <w:lang w:eastAsia="en-AU"/>
        </w:rPr>
        <w:t xml:space="preserve">. </w:t>
      </w:r>
    </w:p>
    <w:p w14:paraId="1625B6EF" w14:textId="77777777" w:rsidR="00C165F1" w:rsidRPr="007202F3" w:rsidRDefault="00C165F1" w:rsidP="00254D36">
      <w:pPr>
        <w:pStyle w:val="ListParagraph"/>
        <w:numPr>
          <w:ilvl w:val="0"/>
          <w:numId w:val="13"/>
        </w:numPr>
        <w:tabs>
          <w:tab w:val="left" w:pos="1134"/>
        </w:tabs>
        <w:spacing w:before="60" w:after="60" w:line="259" w:lineRule="auto"/>
        <w:ind w:left="714" w:hanging="357"/>
        <w:rPr>
          <w:rFonts w:asciiTheme="majorHAnsi" w:hAnsiTheme="majorHAnsi" w:cstheme="majorHAnsi"/>
          <w:color w:val="auto"/>
          <w:sz w:val="22"/>
          <w:lang w:eastAsia="en-AU"/>
        </w:rPr>
      </w:pPr>
      <w:r w:rsidRPr="007202F3">
        <w:rPr>
          <w:rFonts w:asciiTheme="majorHAnsi" w:hAnsiTheme="majorHAnsi" w:cstheme="majorHAnsi"/>
          <w:color w:val="auto"/>
          <w:sz w:val="22"/>
          <w:lang w:eastAsia="en-AU"/>
        </w:rPr>
        <w:t>The 2-digit and 4-digit approaches both suggest that there was a slight decline in the proportion of IDR between DP07 and DP20.</w:t>
      </w:r>
    </w:p>
    <w:p w14:paraId="3FE7B2C9" w14:textId="668604DB" w:rsidR="00C165F1" w:rsidRPr="007202F3" w:rsidRDefault="00C165F1" w:rsidP="00254D36">
      <w:pPr>
        <w:pStyle w:val="ListParagraph"/>
        <w:numPr>
          <w:ilvl w:val="0"/>
          <w:numId w:val="13"/>
        </w:numPr>
        <w:tabs>
          <w:tab w:val="left" w:pos="1134"/>
        </w:tabs>
        <w:spacing w:before="60" w:after="120" w:line="259" w:lineRule="auto"/>
        <w:ind w:left="714" w:hanging="357"/>
        <w:rPr>
          <w:rFonts w:asciiTheme="majorHAnsi" w:hAnsiTheme="majorHAnsi" w:cstheme="majorHAnsi"/>
          <w:color w:val="auto"/>
          <w:sz w:val="22"/>
          <w:lang w:eastAsia="en-AU"/>
        </w:rPr>
      </w:pPr>
      <w:r w:rsidRPr="007202F3">
        <w:rPr>
          <w:rFonts w:asciiTheme="majorHAnsi" w:hAnsiTheme="majorHAnsi" w:cstheme="majorHAnsi"/>
          <w:color w:val="auto"/>
          <w:sz w:val="22"/>
          <w:lang w:eastAsia="en-AU"/>
        </w:rPr>
        <w:t xml:space="preserve">According to all three measures, the proportion of IDR applications </w:t>
      </w:r>
      <w:r w:rsidR="00990A61">
        <w:rPr>
          <w:rFonts w:asciiTheme="majorHAnsi" w:hAnsiTheme="majorHAnsi" w:cstheme="majorHAnsi"/>
          <w:color w:val="auto"/>
          <w:sz w:val="22"/>
          <w:lang w:eastAsia="en-AU"/>
        </w:rPr>
        <w:t>was</w:t>
      </w:r>
      <w:r w:rsidR="00990A61" w:rsidRPr="007202F3">
        <w:rPr>
          <w:rFonts w:asciiTheme="majorHAnsi" w:hAnsiTheme="majorHAnsi" w:cstheme="majorHAnsi"/>
          <w:color w:val="auto"/>
          <w:sz w:val="22"/>
          <w:lang w:eastAsia="en-AU"/>
        </w:rPr>
        <w:t xml:space="preserve"> </w:t>
      </w:r>
      <w:r w:rsidRPr="007202F3">
        <w:rPr>
          <w:rFonts w:asciiTheme="majorHAnsi" w:hAnsiTheme="majorHAnsi" w:cstheme="majorHAnsi"/>
          <w:color w:val="auto"/>
          <w:sz w:val="22"/>
          <w:lang w:eastAsia="en-AU"/>
        </w:rPr>
        <w:t>generally slightly higher than the proportion of IDR funded projects.</w:t>
      </w:r>
    </w:p>
    <w:p w14:paraId="36C29932" w14:textId="3CC8B4B1" w:rsidR="00C165F1" w:rsidRPr="00DA4C10" w:rsidRDefault="00C165F1" w:rsidP="00751469">
      <w:pPr>
        <w:pStyle w:val="FigureTitle"/>
        <w:rPr>
          <w:i/>
        </w:rPr>
      </w:pPr>
      <w:bookmarkStart w:id="212" w:name="_Ref49766220"/>
      <w:r w:rsidRPr="00DA4C10">
        <w:t xml:space="preserve">Figure </w:t>
      </w:r>
      <w:r w:rsidR="00857467">
        <w:fldChar w:fldCharType="begin"/>
      </w:r>
      <w:r w:rsidR="00857467">
        <w:instrText xml:space="preserve"> SEQ Figure \* ARABIC </w:instrText>
      </w:r>
      <w:r w:rsidR="00857467">
        <w:fldChar w:fldCharType="separate"/>
      </w:r>
      <w:r w:rsidR="00AB03D7">
        <w:rPr>
          <w:noProof/>
        </w:rPr>
        <w:t>13</w:t>
      </w:r>
      <w:r w:rsidR="00857467">
        <w:rPr>
          <w:noProof/>
        </w:rPr>
        <w:fldChar w:fldCharType="end"/>
      </w:r>
      <w:bookmarkEnd w:id="212"/>
      <w:r w:rsidRPr="00DA4C10">
        <w:t>: Interdisciplinary applications and funded projects, DP02–DP20</w:t>
      </w:r>
    </w:p>
    <w:p w14:paraId="627BD446" w14:textId="42E1D249" w:rsidR="00C165F1" w:rsidRDefault="000E5749" w:rsidP="00C165F1">
      <w:pPr>
        <w:rPr>
          <w:rFonts w:asciiTheme="majorHAnsi" w:hAnsiTheme="majorHAnsi" w:cstheme="majorHAnsi"/>
          <w:b/>
          <w:lang w:eastAsia="en-AU"/>
        </w:rPr>
      </w:pPr>
      <w:r>
        <w:rPr>
          <w:rFonts w:asciiTheme="majorHAnsi" w:hAnsiTheme="majorHAnsi" w:cstheme="majorHAnsi"/>
          <w:b/>
          <w:noProof/>
          <w:lang w:eastAsia="en-AU"/>
        </w:rPr>
        <w:drawing>
          <wp:inline distT="0" distB="0" distL="0" distR="0" wp14:anchorId="17F6E5A9" wp14:editId="6DDE895F">
            <wp:extent cx="5755005" cy="2018030"/>
            <wp:effectExtent l="0" t="0" r="0" b="1270"/>
            <wp:docPr id="61" name="Picture 61" descr="Figure 13 is a graph showing the proportion of interdisciplinary applications and funded projects under the Discovery Projects scheme between DP02 and DP20. Interdisciplinary data is presented according to 2-digit Field of Research, 4-digit Field of Research and self-assignation.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13 is a graph showing the proportion of interdisciplinary applications and funded projects under the Discovery Projects scheme between DP02 and DP20. Interdisciplinary data is presented according to 2-digit Field of Research, 4-digit Field of Research and self-assignation. See text above graph for more inform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005" cy="2018030"/>
                    </a:xfrm>
                    <a:prstGeom prst="rect">
                      <a:avLst/>
                    </a:prstGeom>
                    <a:noFill/>
                  </pic:spPr>
                </pic:pic>
              </a:graphicData>
            </a:graphic>
          </wp:inline>
        </w:drawing>
      </w:r>
    </w:p>
    <w:p w14:paraId="438B7BB6" w14:textId="77777777" w:rsidR="00C165F1" w:rsidRPr="009430D8" w:rsidRDefault="00C165F1" w:rsidP="00C165F1">
      <w:pPr>
        <w:rPr>
          <w:rFonts w:asciiTheme="majorHAnsi" w:hAnsiTheme="majorHAnsi" w:cstheme="majorHAnsi"/>
          <w:i/>
          <w:sz w:val="16"/>
          <w:szCs w:val="16"/>
          <w:lang w:eastAsia="en-AU"/>
        </w:rPr>
      </w:pPr>
      <w:r w:rsidRPr="00A244A2">
        <w:rPr>
          <w:rFonts w:asciiTheme="majorHAnsi" w:hAnsiTheme="majorHAnsi" w:cstheme="majorHAnsi"/>
          <w:sz w:val="16"/>
          <w:szCs w:val="16"/>
          <w:lang w:eastAsia="en-AU"/>
        </w:rPr>
        <w:t>Source: ARC</w:t>
      </w:r>
      <w:r>
        <w:rPr>
          <w:rFonts w:asciiTheme="majorHAnsi" w:hAnsiTheme="majorHAnsi" w:cstheme="majorHAnsi"/>
          <w:sz w:val="16"/>
          <w:szCs w:val="16"/>
          <w:lang w:eastAsia="en-AU"/>
        </w:rPr>
        <w:t xml:space="preserve"> administrative data</w:t>
      </w:r>
      <w:r w:rsidRPr="00A244A2">
        <w:rPr>
          <w:rFonts w:asciiTheme="majorHAnsi" w:hAnsiTheme="majorHAnsi" w:cstheme="majorHAnsi"/>
          <w:sz w:val="16"/>
          <w:szCs w:val="16"/>
          <w:lang w:eastAsia="en-AU"/>
        </w:rPr>
        <w:t xml:space="preserve">. </w:t>
      </w:r>
      <w:r>
        <w:rPr>
          <w:rFonts w:asciiTheme="majorHAnsi" w:hAnsiTheme="majorHAnsi" w:cstheme="majorHAnsi"/>
          <w:i/>
          <w:sz w:val="16"/>
          <w:szCs w:val="16"/>
          <w:lang w:eastAsia="en-AU"/>
        </w:rPr>
        <w:t xml:space="preserve">Note: Self-assigned data only available from DP17 onwards. </w:t>
      </w:r>
    </w:p>
    <w:p w14:paraId="5915DFBD" w14:textId="407FE2C0" w:rsidR="00C165F1" w:rsidRDefault="00C165F1" w:rsidP="00C165F1">
      <w:pPr>
        <w:rPr>
          <w:rFonts w:asciiTheme="majorHAnsi" w:hAnsiTheme="majorHAnsi" w:cstheme="majorHAnsi"/>
          <w:lang w:eastAsia="en-AU"/>
        </w:rPr>
      </w:pPr>
      <w:r w:rsidRPr="00607DD0">
        <w:rPr>
          <w:rFonts w:asciiTheme="majorHAnsi" w:hAnsiTheme="majorHAnsi" w:cstheme="majorHAnsi"/>
          <w:lang w:eastAsia="en-AU"/>
        </w:rPr>
        <w:lastRenderedPageBreak/>
        <w:fldChar w:fldCharType="begin"/>
      </w:r>
      <w:r w:rsidRPr="00D53C8D">
        <w:rPr>
          <w:rFonts w:asciiTheme="majorHAnsi" w:hAnsiTheme="majorHAnsi" w:cstheme="majorHAnsi"/>
          <w:lang w:eastAsia="en-AU"/>
        </w:rPr>
        <w:instrText xml:space="preserve"> REF _Ref49766408 \h </w:instrText>
      </w:r>
      <w:r w:rsidRPr="0006444F">
        <w:rPr>
          <w:rFonts w:asciiTheme="majorHAnsi" w:hAnsiTheme="majorHAnsi" w:cstheme="majorHAnsi"/>
          <w:lang w:eastAsia="en-AU"/>
        </w:rPr>
        <w:instrText xml:space="preserve"> \* MERGEFORMAT </w:instrText>
      </w:r>
      <w:r w:rsidRPr="00607DD0">
        <w:rPr>
          <w:rFonts w:asciiTheme="majorHAnsi" w:hAnsiTheme="majorHAnsi" w:cstheme="majorHAnsi"/>
          <w:lang w:eastAsia="en-AU"/>
        </w:rPr>
      </w:r>
      <w:r w:rsidRPr="00607DD0">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14</w:t>
      </w:r>
      <w:r w:rsidRPr="00607DD0">
        <w:rPr>
          <w:rFonts w:asciiTheme="majorHAnsi" w:hAnsiTheme="majorHAnsi" w:cstheme="majorHAnsi"/>
          <w:lang w:eastAsia="en-AU"/>
        </w:rPr>
        <w:fldChar w:fldCharType="end"/>
      </w:r>
      <w:r w:rsidRPr="00607DD0">
        <w:rPr>
          <w:rFonts w:asciiTheme="majorHAnsi" w:hAnsiTheme="majorHAnsi" w:cstheme="majorHAnsi"/>
          <w:lang w:eastAsia="en-AU"/>
        </w:rPr>
        <w:t xml:space="preserve"> </w:t>
      </w:r>
      <w:r w:rsidRPr="00D53C8D">
        <w:rPr>
          <w:rFonts w:asciiTheme="majorHAnsi" w:hAnsiTheme="majorHAnsi" w:cstheme="majorHAnsi"/>
          <w:lang w:eastAsia="en-AU"/>
        </w:rPr>
        <w:t>tracks</w:t>
      </w:r>
      <w:r>
        <w:rPr>
          <w:rFonts w:asciiTheme="majorHAnsi" w:hAnsiTheme="majorHAnsi" w:cstheme="majorHAnsi"/>
          <w:lang w:eastAsia="en-AU"/>
        </w:rPr>
        <w:t xml:space="preserve"> success rates for IDR and non-IDR between DP02 and DP20, using the measures identified above. All three approaches suggest that the success rate for non-IDR was </w:t>
      </w:r>
      <w:r w:rsidR="00CC049A">
        <w:rPr>
          <w:rFonts w:asciiTheme="majorHAnsi" w:hAnsiTheme="majorHAnsi" w:cstheme="majorHAnsi"/>
          <w:lang w:eastAsia="en-AU"/>
        </w:rPr>
        <w:t xml:space="preserve">consistently </w:t>
      </w:r>
      <w:r>
        <w:rPr>
          <w:rFonts w:asciiTheme="majorHAnsi" w:hAnsiTheme="majorHAnsi" w:cstheme="majorHAnsi"/>
          <w:lang w:eastAsia="en-AU"/>
        </w:rPr>
        <w:t>slightly higher than the success rate for IDR throughout the time period. This suggests that there may be scope for the ARC to further focus its advice to Discovery Projects assessors and Selection Advisory Committees as part of ongoing efforts to support IDR.</w:t>
      </w:r>
      <w:r w:rsidDel="00EE53E8">
        <w:rPr>
          <w:rStyle w:val="FootnoteReference"/>
          <w:rFonts w:asciiTheme="majorHAnsi" w:hAnsiTheme="majorHAnsi" w:cstheme="majorHAnsi"/>
          <w:lang w:eastAsia="en-AU"/>
        </w:rPr>
        <w:t xml:space="preserve"> </w:t>
      </w:r>
      <w:r>
        <w:rPr>
          <w:rFonts w:asciiTheme="majorHAnsi" w:hAnsiTheme="majorHAnsi" w:cstheme="majorHAnsi"/>
          <w:lang w:eastAsia="en-AU"/>
        </w:rPr>
        <w:t xml:space="preserve"> </w:t>
      </w:r>
    </w:p>
    <w:p w14:paraId="373541B5" w14:textId="33D64DFE" w:rsidR="00C165F1" w:rsidRPr="00970679" w:rsidRDefault="00C165F1" w:rsidP="00751469">
      <w:pPr>
        <w:pStyle w:val="FigureTitle"/>
        <w:rPr>
          <w:i/>
        </w:rPr>
      </w:pPr>
      <w:bookmarkStart w:id="213" w:name="_Ref49766408"/>
      <w:r w:rsidRPr="00970679">
        <w:t xml:space="preserve">Figure </w:t>
      </w:r>
      <w:r w:rsidR="00857467">
        <w:fldChar w:fldCharType="begin"/>
      </w:r>
      <w:r w:rsidR="00857467">
        <w:instrText xml:space="preserve"> SEQ Figure \* ARABIC </w:instrText>
      </w:r>
      <w:r w:rsidR="00857467">
        <w:fldChar w:fldCharType="separate"/>
      </w:r>
      <w:r w:rsidR="00AB03D7">
        <w:rPr>
          <w:noProof/>
        </w:rPr>
        <w:t>14</w:t>
      </w:r>
      <w:r w:rsidR="00857467">
        <w:rPr>
          <w:noProof/>
        </w:rPr>
        <w:fldChar w:fldCharType="end"/>
      </w:r>
      <w:bookmarkEnd w:id="213"/>
      <w:r w:rsidRPr="00970679">
        <w:t>: Success rate</w:t>
      </w:r>
      <w:r>
        <w:t>s</w:t>
      </w:r>
      <w:r w:rsidRPr="00970679">
        <w:t xml:space="preserve"> for IDR and non-IDR, DP02–DP20</w:t>
      </w:r>
    </w:p>
    <w:p w14:paraId="112693C0" w14:textId="3EA2718F" w:rsidR="00C165F1" w:rsidRDefault="00875A0B" w:rsidP="00C165F1">
      <w:pPr>
        <w:rPr>
          <w:rFonts w:asciiTheme="majorHAnsi" w:hAnsiTheme="majorHAnsi" w:cstheme="majorHAnsi"/>
          <w:lang w:eastAsia="en-AU"/>
        </w:rPr>
      </w:pPr>
      <w:r>
        <w:rPr>
          <w:noProof/>
          <w:lang w:eastAsia="en-AU"/>
        </w:rPr>
        <mc:AlternateContent>
          <mc:Choice Requires="wps">
            <w:drawing>
              <wp:anchor distT="0" distB="0" distL="114300" distR="114300" simplePos="0" relativeHeight="251658240" behindDoc="0" locked="0" layoutInCell="1" allowOverlap="1" wp14:anchorId="6806BAEC" wp14:editId="173311EF">
                <wp:simplePos x="0" y="0"/>
                <wp:positionH relativeFrom="margin">
                  <wp:posOffset>3274695</wp:posOffset>
                </wp:positionH>
                <wp:positionV relativeFrom="paragraph">
                  <wp:posOffset>1978914</wp:posOffset>
                </wp:positionV>
                <wp:extent cx="950400" cy="24447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950400" cy="244475"/>
                        </a:xfrm>
                        <a:prstGeom prst="rect">
                          <a:avLst/>
                        </a:prstGeom>
                        <a:noFill/>
                        <a:ln w="6350">
                          <a:noFill/>
                        </a:ln>
                      </wps:spPr>
                      <wps:txbx>
                        <w:txbxContent>
                          <w:p w14:paraId="0CBD01E4" w14:textId="7CA861C6" w:rsidR="00027BC7" w:rsidRPr="00875A0B" w:rsidRDefault="00254F40" w:rsidP="00875A0B">
                            <w:pPr>
                              <w:jc w:val="center"/>
                              <w:rPr>
                                <w:sz w:val="16"/>
                                <w:szCs w:val="16"/>
                              </w:rPr>
                            </w:pPr>
                            <w:r w:rsidRPr="00875A0B">
                              <w:rPr>
                                <w:sz w:val="16"/>
                                <w:szCs w:val="16"/>
                              </w:rPr>
                              <w:t>IDR (2-digit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06BAEC" id="_x0000_t202" coordsize="21600,21600" o:spt="202" path="m,l,21600r21600,l21600,xe">
                <v:stroke joinstyle="miter"/>
                <v:path gradientshapeok="t" o:connecttype="rect"/>
              </v:shapetype>
              <v:shape id="Text Box 14" o:spid="_x0000_s1026" type="#_x0000_t202" style="position:absolute;margin-left:257.85pt;margin-top:155.8pt;width:74.85pt;height:19.2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" filled="f" stroked="f" strokeweight=".5pt">
                <v:textbox>
                  <w:txbxContent>
                    <w:p w14:paraId="0CBD01E4" w14:textId="7CA861C6" w:rsidR="00027BC7" w:rsidRPr="00875A0B" w:rsidRDefault="00254F40" w:rsidP="00875A0B">
                      <w:pPr>
                        <w:jc w:val="center"/>
                        <w:rPr>
                          <w:sz w:val="16"/>
                          <w:szCs w:val="16"/>
                        </w:rPr>
                      </w:pPr>
                      <w:r w:rsidRPr="00875A0B">
                        <w:rPr>
                          <w:sz w:val="16"/>
                          <w:szCs w:val="16"/>
                        </w:rPr>
                        <w:t>IDR (2-digit FoR)</w:t>
                      </w:r>
                    </w:p>
                  </w:txbxContent>
                </v:textbox>
                <w10:wrap anchorx="margin"/>
              </v:shape>
            </w:pict>
          </mc:Fallback>
        </mc:AlternateContent>
      </w:r>
      <w:r>
        <w:rPr>
          <w:noProof/>
          <w:lang w:eastAsia="en-AU"/>
        </w:rPr>
        <mc:AlternateContent>
          <mc:Choice Requires="wps">
            <w:drawing>
              <wp:anchor distT="0" distB="0" distL="114300" distR="114300" simplePos="0" relativeHeight="251658241" behindDoc="0" locked="0" layoutInCell="1" allowOverlap="1" wp14:anchorId="72E18EB2" wp14:editId="1374749B">
                <wp:simplePos x="0" y="0"/>
                <wp:positionH relativeFrom="margin">
                  <wp:posOffset>2372106</wp:posOffset>
                </wp:positionH>
                <wp:positionV relativeFrom="paragraph">
                  <wp:posOffset>449326</wp:posOffset>
                </wp:positionV>
                <wp:extent cx="1180800" cy="244475"/>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1180800" cy="244475"/>
                        </a:xfrm>
                        <a:prstGeom prst="rect">
                          <a:avLst/>
                        </a:prstGeom>
                        <a:noFill/>
                        <a:ln w="6350">
                          <a:noFill/>
                        </a:ln>
                      </wps:spPr>
                      <wps:txbx>
                        <w:txbxContent>
                          <w:p w14:paraId="33FF870F" w14:textId="0872E42E" w:rsidR="00605CDA" w:rsidRPr="00875A0B" w:rsidRDefault="00605CDA" w:rsidP="00875A0B">
                            <w:pPr>
                              <w:jc w:val="center"/>
                              <w:rPr>
                                <w:sz w:val="16"/>
                                <w:szCs w:val="16"/>
                              </w:rPr>
                            </w:pPr>
                            <w:r w:rsidRPr="00875A0B">
                              <w:rPr>
                                <w:sz w:val="16"/>
                                <w:szCs w:val="16"/>
                              </w:rPr>
                              <w:t>Non-IDR (2-digit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E18EB2" id="Text Box 32" o:spid="_x0000_s1027" type="#_x0000_t202" style="position:absolute;margin-left:186.8pt;margin-top:35.4pt;width:93pt;height:19.2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" filled="f" stroked="f" strokeweight=".5pt">
                <v:textbox>
                  <w:txbxContent>
                    <w:p w14:paraId="33FF870F" w14:textId="0872E42E" w:rsidR="00605CDA" w:rsidRPr="00875A0B" w:rsidRDefault="00605CDA" w:rsidP="00875A0B">
                      <w:pPr>
                        <w:jc w:val="center"/>
                        <w:rPr>
                          <w:sz w:val="16"/>
                          <w:szCs w:val="16"/>
                        </w:rPr>
                      </w:pPr>
                      <w:r w:rsidRPr="00875A0B">
                        <w:rPr>
                          <w:sz w:val="16"/>
                          <w:szCs w:val="16"/>
                        </w:rPr>
                        <w:t>Non-IDR (2-digit FoR)</w:t>
                      </w:r>
                    </w:p>
                  </w:txbxContent>
                </v:textbox>
                <w10:wrap anchorx="margin"/>
              </v:shape>
            </w:pict>
          </mc:Fallback>
        </mc:AlternateContent>
      </w:r>
      <w:r w:rsidR="00E151A1">
        <w:rPr>
          <w:noProof/>
          <w:lang w:eastAsia="en-AU"/>
        </w:rPr>
        <mc:AlternateContent>
          <mc:Choice Requires="wps">
            <w:drawing>
              <wp:anchor distT="0" distB="0" distL="114300" distR="114300" simplePos="0" relativeHeight="251658243" behindDoc="0" locked="0" layoutInCell="1" allowOverlap="1" wp14:anchorId="36513F88" wp14:editId="5DA3D563">
                <wp:simplePos x="0" y="0"/>
                <wp:positionH relativeFrom="column">
                  <wp:posOffset>2376420</wp:posOffset>
                </wp:positionH>
                <wp:positionV relativeFrom="paragraph">
                  <wp:posOffset>1319410</wp:posOffset>
                </wp:positionV>
                <wp:extent cx="0" cy="474795"/>
                <wp:effectExtent l="0" t="0" r="38100" b="20955"/>
                <wp:wrapNone/>
                <wp:docPr id="40" name="Straight Connector 40"/>
                <wp:cNvGraphicFramePr/>
                <a:graphic xmlns:a="http://schemas.openxmlformats.org/drawingml/2006/main">
                  <a:graphicData uri="http://schemas.microsoft.com/office/word/2010/wordprocessingShape">
                    <wps:wsp>
                      <wps:cNvCnPr/>
                      <wps:spPr>
                        <a:xfrm>
                          <a:off x="0" y="0"/>
                          <a:ext cx="0" cy="474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4E17D" id="Straight Connector 40"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pt,103.9pt" to="187.1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" strokecolor="black [3213]" strokeweight=".5pt">
                <v:stroke joinstyle="miter"/>
              </v:line>
            </w:pict>
          </mc:Fallback>
        </mc:AlternateContent>
      </w:r>
      <w:r w:rsidR="00ED4908">
        <w:rPr>
          <w:noProof/>
          <w:lang w:eastAsia="en-AU"/>
        </w:rPr>
        <mc:AlternateContent>
          <mc:Choice Requires="wps">
            <w:drawing>
              <wp:anchor distT="0" distB="0" distL="114300" distR="114300" simplePos="0" relativeHeight="251658242" behindDoc="0" locked="0" layoutInCell="1" allowOverlap="1" wp14:anchorId="6485E89E" wp14:editId="5A97D293">
                <wp:simplePos x="0" y="0"/>
                <wp:positionH relativeFrom="column">
                  <wp:posOffset>2958770</wp:posOffset>
                </wp:positionH>
                <wp:positionV relativeFrom="paragraph">
                  <wp:posOffset>628210</wp:posOffset>
                </wp:positionV>
                <wp:extent cx="7630" cy="417600"/>
                <wp:effectExtent l="0" t="0" r="30480" b="20955"/>
                <wp:wrapNone/>
                <wp:docPr id="33" name="Straight Connector 33"/>
                <wp:cNvGraphicFramePr/>
                <a:graphic xmlns:a="http://schemas.openxmlformats.org/drawingml/2006/main">
                  <a:graphicData uri="http://schemas.microsoft.com/office/word/2010/wordprocessingShape">
                    <wps:wsp>
                      <wps:cNvCnPr/>
                      <wps:spPr>
                        <a:xfrm>
                          <a:off x="0" y="0"/>
                          <a:ext cx="7630" cy="417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E587E" id="Straight Connector 3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49.45pt" to="233.5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" strokecolor="black [3213]" strokeweight=".5pt">
                <v:stroke joinstyle="miter"/>
              </v:line>
            </w:pict>
          </mc:Fallback>
        </mc:AlternateContent>
      </w:r>
      <w:r w:rsidR="000E5749">
        <w:rPr>
          <w:rFonts w:asciiTheme="majorHAnsi" w:hAnsiTheme="majorHAnsi" w:cstheme="majorHAnsi"/>
          <w:noProof/>
          <w:lang w:eastAsia="en-AU"/>
        </w:rPr>
        <w:drawing>
          <wp:inline distT="0" distB="0" distL="0" distR="0" wp14:anchorId="1201AC04" wp14:editId="1FE50D1F">
            <wp:extent cx="5712460" cy="3706495"/>
            <wp:effectExtent l="0" t="0" r="2540" b="8255"/>
            <wp:docPr id="62" name="Picture 62" descr="Figure 14 is a graph showing success rate outcomes for interdisciplinary and non-interdisciplinary research submitted under the Discovery Projects scheme between DP02 and DP20. Interdisciplinary data is presented according to 2-digit Field of Research, 4-digit Field of Research and self-assignation. See text above graph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14 is a graph showing success rate outcomes for interdisciplinary and non-interdisciplinary research submitted under the Discovery Projects scheme between DP02 and DP20. Interdisciplinary data is presented according to 2-digit Field of Research, 4-digit Field of Research and self-assignation. See text above graph for more informati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3706495"/>
                    </a:xfrm>
                    <a:prstGeom prst="rect">
                      <a:avLst/>
                    </a:prstGeom>
                    <a:noFill/>
                  </pic:spPr>
                </pic:pic>
              </a:graphicData>
            </a:graphic>
          </wp:inline>
        </w:drawing>
      </w:r>
    </w:p>
    <w:p w14:paraId="0FFEDBCF" w14:textId="77777777" w:rsidR="00C165F1" w:rsidRDefault="00C165F1" w:rsidP="00C165F1">
      <w:pPr>
        <w:rPr>
          <w:rFonts w:asciiTheme="majorHAnsi" w:hAnsiTheme="majorHAnsi" w:cstheme="majorHAnsi"/>
          <w:i/>
          <w:sz w:val="16"/>
          <w:szCs w:val="16"/>
          <w:lang w:eastAsia="en-AU"/>
        </w:rPr>
      </w:pPr>
      <w:r w:rsidRPr="00A244A2">
        <w:rPr>
          <w:rFonts w:asciiTheme="majorHAnsi" w:hAnsiTheme="majorHAnsi" w:cstheme="majorHAnsi"/>
          <w:sz w:val="16"/>
          <w:szCs w:val="16"/>
          <w:lang w:eastAsia="en-AU"/>
        </w:rPr>
        <w:t>Source: ARC</w:t>
      </w:r>
      <w:r>
        <w:rPr>
          <w:rFonts w:asciiTheme="majorHAnsi" w:hAnsiTheme="majorHAnsi" w:cstheme="majorHAnsi"/>
          <w:sz w:val="16"/>
          <w:szCs w:val="16"/>
          <w:lang w:eastAsia="en-AU"/>
        </w:rPr>
        <w:t xml:space="preserve"> administrative data</w:t>
      </w:r>
      <w:r w:rsidRPr="00A244A2">
        <w:rPr>
          <w:rFonts w:asciiTheme="majorHAnsi" w:hAnsiTheme="majorHAnsi" w:cstheme="majorHAnsi"/>
          <w:sz w:val="16"/>
          <w:szCs w:val="16"/>
          <w:lang w:eastAsia="en-AU"/>
        </w:rPr>
        <w:t xml:space="preserve">. </w:t>
      </w:r>
      <w:r>
        <w:rPr>
          <w:rFonts w:asciiTheme="majorHAnsi" w:hAnsiTheme="majorHAnsi" w:cstheme="majorHAnsi"/>
          <w:i/>
          <w:sz w:val="16"/>
          <w:szCs w:val="16"/>
          <w:lang w:eastAsia="en-AU"/>
        </w:rPr>
        <w:t xml:space="preserve">Note: Self-assigned data only available from DP17 onwards. </w:t>
      </w:r>
    </w:p>
    <w:p w14:paraId="3F434A5F" w14:textId="1FF8E212" w:rsidR="00C165F1" w:rsidRDefault="00C165F1" w:rsidP="00254D36">
      <w:pPr>
        <w:pStyle w:val="Heading2"/>
        <w:keepNext w:val="0"/>
        <w:keepLines w:val="0"/>
        <w:numPr>
          <w:ilvl w:val="1"/>
          <w:numId w:val="14"/>
        </w:numPr>
        <w:shd w:val="clear" w:color="auto" w:fill="auto"/>
        <w:spacing w:line="259" w:lineRule="auto"/>
      </w:pPr>
      <w:bookmarkStart w:id="214" w:name="_Toc51918702"/>
      <w:bookmarkStart w:id="215" w:name="_Toc55544790"/>
      <w:r>
        <w:t>Project completion and objectives achieved</w:t>
      </w:r>
      <w:bookmarkEnd w:id="214"/>
      <w:bookmarkEnd w:id="215"/>
      <w:r>
        <w:t xml:space="preserve"> </w:t>
      </w:r>
    </w:p>
    <w:p w14:paraId="138904DE" w14:textId="614E2F49" w:rsidR="00C165F1" w:rsidRPr="0006444F" w:rsidRDefault="00C165F1" w:rsidP="00C165F1">
      <w:pPr>
        <w:rPr>
          <w:lang w:eastAsia="en-AU"/>
        </w:rPr>
      </w:pPr>
      <w:r>
        <w:rPr>
          <w:rFonts w:asciiTheme="majorHAnsi" w:hAnsiTheme="majorHAnsi" w:cstheme="majorHAnsi"/>
          <w:lang w:eastAsia="en-AU"/>
        </w:rPr>
        <w:t>Final reports</w:t>
      </w:r>
      <w:r w:rsidRPr="005932F7">
        <w:rPr>
          <w:rFonts w:asciiTheme="majorHAnsi" w:hAnsiTheme="majorHAnsi" w:cstheme="majorHAnsi"/>
          <w:lang w:eastAsia="en-AU"/>
        </w:rPr>
        <w:t xml:space="preserve"> </w:t>
      </w:r>
      <w:r w:rsidR="00004597" w:rsidRPr="00C73464">
        <w:rPr>
          <w:rFonts w:asciiTheme="majorHAnsi" w:hAnsiTheme="majorHAnsi" w:cstheme="majorHAnsi"/>
          <w:lang w:eastAsia="en-AU"/>
        </w:rPr>
        <w:t xml:space="preserve">address compliance with </w:t>
      </w:r>
      <w:r w:rsidR="00004597">
        <w:rPr>
          <w:rFonts w:asciiTheme="majorHAnsi" w:hAnsiTheme="majorHAnsi" w:cstheme="majorHAnsi"/>
          <w:lang w:eastAsia="en-AU"/>
        </w:rPr>
        <w:t>funding conditions specified within Grant A</w:t>
      </w:r>
      <w:r w:rsidR="00004597" w:rsidRPr="00C73464">
        <w:rPr>
          <w:rFonts w:asciiTheme="majorHAnsi" w:hAnsiTheme="majorHAnsi" w:cstheme="majorHAnsi"/>
          <w:lang w:eastAsia="en-AU"/>
        </w:rPr>
        <w:t>greement</w:t>
      </w:r>
      <w:r w:rsidR="00004597">
        <w:rPr>
          <w:rFonts w:asciiTheme="majorHAnsi" w:hAnsiTheme="majorHAnsi" w:cstheme="majorHAnsi"/>
          <w:lang w:eastAsia="en-AU"/>
        </w:rPr>
        <w:t xml:space="preserve">s and </w:t>
      </w:r>
      <w:r>
        <w:rPr>
          <w:rFonts w:asciiTheme="majorHAnsi" w:hAnsiTheme="majorHAnsi" w:cstheme="majorHAnsi"/>
          <w:lang w:eastAsia="en-AU"/>
        </w:rPr>
        <w:t>are</w:t>
      </w:r>
      <w:r w:rsidRPr="005932F7">
        <w:rPr>
          <w:rFonts w:asciiTheme="majorHAnsi" w:hAnsiTheme="majorHAnsi" w:cstheme="majorHAnsi"/>
          <w:lang w:eastAsia="en-AU"/>
        </w:rPr>
        <w:t xml:space="preserve"> used</w:t>
      </w:r>
      <w:r>
        <w:rPr>
          <w:rFonts w:asciiTheme="majorHAnsi" w:hAnsiTheme="majorHAnsi" w:cstheme="majorHAnsi"/>
          <w:lang w:eastAsia="en-AU"/>
        </w:rPr>
        <w:t xml:space="preserve"> by the ARC</w:t>
      </w:r>
      <w:r w:rsidRPr="005932F7">
        <w:rPr>
          <w:rFonts w:asciiTheme="majorHAnsi" w:hAnsiTheme="majorHAnsi" w:cstheme="majorHAnsi"/>
          <w:lang w:eastAsia="en-AU"/>
        </w:rPr>
        <w:t xml:space="preserve"> to </w:t>
      </w:r>
      <w:r>
        <w:rPr>
          <w:rFonts w:asciiTheme="majorHAnsi" w:hAnsiTheme="majorHAnsi" w:cstheme="majorHAnsi"/>
          <w:lang w:eastAsia="en-AU"/>
        </w:rPr>
        <w:t>determine</w:t>
      </w:r>
      <w:r w:rsidRPr="005932F7">
        <w:rPr>
          <w:rFonts w:asciiTheme="majorHAnsi" w:hAnsiTheme="majorHAnsi" w:cstheme="majorHAnsi"/>
          <w:lang w:eastAsia="en-AU"/>
        </w:rPr>
        <w:t xml:space="preserve"> satisfactory</w:t>
      </w:r>
      <w:r>
        <w:rPr>
          <w:rFonts w:asciiTheme="majorHAnsi" w:hAnsiTheme="majorHAnsi" w:cstheme="majorHAnsi"/>
          <w:lang w:eastAsia="en-AU"/>
        </w:rPr>
        <w:t xml:space="preserve"> project</w:t>
      </w:r>
      <w:r w:rsidRPr="005932F7">
        <w:rPr>
          <w:rFonts w:asciiTheme="majorHAnsi" w:hAnsiTheme="majorHAnsi" w:cstheme="majorHAnsi"/>
          <w:lang w:eastAsia="en-AU"/>
        </w:rPr>
        <w:t xml:space="preserve"> completion.</w:t>
      </w:r>
      <w:r>
        <w:rPr>
          <w:rFonts w:asciiTheme="majorHAnsi" w:hAnsiTheme="majorHAnsi" w:cstheme="majorHAnsi"/>
          <w:lang w:eastAsia="en-AU"/>
        </w:rPr>
        <w:t xml:space="preserve"> </w:t>
      </w:r>
      <w:r w:rsidR="002F70B4">
        <w:rPr>
          <w:rFonts w:asciiTheme="majorHAnsi" w:hAnsiTheme="majorHAnsi" w:cstheme="majorHAnsi"/>
          <w:lang w:eastAsia="en-AU"/>
        </w:rPr>
        <w:t xml:space="preserve">This section </w:t>
      </w:r>
      <w:r w:rsidR="009C5221">
        <w:rPr>
          <w:rFonts w:asciiTheme="majorHAnsi" w:hAnsiTheme="majorHAnsi" w:cstheme="majorHAnsi"/>
          <w:lang w:eastAsia="en-AU"/>
        </w:rPr>
        <w:t>analyses</w:t>
      </w:r>
      <w:r w:rsidR="002F70B4">
        <w:rPr>
          <w:rFonts w:asciiTheme="majorHAnsi" w:hAnsiTheme="majorHAnsi" w:cstheme="majorHAnsi"/>
          <w:lang w:eastAsia="en-AU"/>
        </w:rPr>
        <w:t xml:space="preserve"> f</w:t>
      </w:r>
      <w:r>
        <w:rPr>
          <w:rFonts w:asciiTheme="majorHAnsi" w:hAnsiTheme="majorHAnsi" w:cstheme="majorHAnsi"/>
          <w:lang w:eastAsia="en-AU"/>
        </w:rPr>
        <w:t>inal report</w:t>
      </w:r>
      <w:r w:rsidR="002F70B4">
        <w:rPr>
          <w:rFonts w:asciiTheme="majorHAnsi" w:hAnsiTheme="majorHAnsi" w:cstheme="majorHAnsi"/>
          <w:lang w:eastAsia="en-AU"/>
        </w:rPr>
        <w:t xml:space="preserve"> data </w:t>
      </w:r>
      <w:r w:rsidRPr="00E40274">
        <w:rPr>
          <w:rFonts w:asciiTheme="majorHAnsi" w:hAnsiTheme="majorHAnsi" w:cstheme="majorHAnsi"/>
          <w:lang w:eastAsia="en-AU"/>
        </w:rPr>
        <w:t>to</w:t>
      </w:r>
      <w:r>
        <w:rPr>
          <w:rFonts w:asciiTheme="majorHAnsi" w:hAnsiTheme="majorHAnsi" w:cstheme="majorHAnsi"/>
          <w:lang w:eastAsia="en-AU"/>
        </w:rPr>
        <w:t xml:space="preserve"> provide insight into project completion and </w:t>
      </w:r>
      <w:r w:rsidR="00D67BC8">
        <w:rPr>
          <w:rFonts w:asciiTheme="majorHAnsi" w:hAnsiTheme="majorHAnsi" w:cstheme="majorHAnsi"/>
          <w:lang w:eastAsia="en-AU"/>
        </w:rPr>
        <w:t>the achievement of</w:t>
      </w:r>
      <w:r w:rsidR="0045667B">
        <w:rPr>
          <w:rFonts w:asciiTheme="majorHAnsi" w:hAnsiTheme="majorHAnsi" w:cstheme="majorHAnsi"/>
          <w:lang w:eastAsia="en-AU"/>
        </w:rPr>
        <w:t xml:space="preserve"> project objectives</w:t>
      </w:r>
      <w:r w:rsidR="00D67BC8">
        <w:rPr>
          <w:rFonts w:asciiTheme="majorHAnsi" w:hAnsiTheme="majorHAnsi" w:cstheme="majorHAnsi"/>
          <w:lang w:eastAsia="en-AU"/>
        </w:rPr>
        <w:t xml:space="preserve"> </w:t>
      </w:r>
      <w:r w:rsidR="009C5221">
        <w:rPr>
          <w:rFonts w:asciiTheme="majorHAnsi" w:hAnsiTheme="majorHAnsi" w:cstheme="majorHAnsi"/>
          <w:lang w:eastAsia="en-AU"/>
        </w:rPr>
        <w:t>in</w:t>
      </w:r>
      <w:r>
        <w:rPr>
          <w:rFonts w:asciiTheme="majorHAnsi" w:hAnsiTheme="majorHAnsi" w:cstheme="majorHAnsi"/>
          <w:lang w:eastAsia="en-AU"/>
        </w:rPr>
        <w:t xml:space="preserve"> research funded </w:t>
      </w:r>
      <w:r w:rsidR="00042C55">
        <w:rPr>
          <w:rFonts w:asciiTheme="majorHAnsi" w:hAnsiTheme="majorHAnsi" w:cstheme="majorHAnsi"/>
          <w:lang w:eastAsia="en-AU"/>
        </w:rPr>
        <w:t xml:space="preserve">under </w:t>
      </w:r>
      <w:r>
        <w:rPr>
          <w:rFonts w:asciiTheme="majorHAnsi" w:hAnsiTheme="majorHAnsi" w:cstheme="majorHAnsi"/>
          <w:lang w:eastAsia="en-AU"/>
        </w:rPr>
        <w:t>Discovery Projects. It should be acknowledged that final reports have not been submitted for all funded</w:t>
      </w:r>
      <w:r w:rsidR="00470D71">
        <w:rPr>
          <w:rFonts w:asciiTheme="majorHAnsi" w:hAnsiTheme="majorHAnsi" w:cstheme="majorHAnsi"/>
          <w:lang w:eastAsia="en-AU"/>
        </w:rPr>
        <w:t xml:space="preserve"> projects</w:t>
      </w:r>
      <w:r>
        <w:rPr>
          <w:rFonts w:asciiTheme="majorHAnsi" w:hAnsiTheme="majorHAnsi" w:cstheme="majorHAnsi"/>
          <w:lang w:eastAsia="en-AU"/>
        </w:rPr>
        <w:t xml:space="preserve">. Further, data derived from these reports are generally based upon researcher self-reporting. </w:t>
      </w:r>
    </w:p>
    <w:p w14:paraId="0A8C70C6" w14:textId="2A76BF4B" w:rsidR="00C165F1" w:rsidRDefault="00C165F1" w:rsidP="00254D36">
      <w:pPr>
        <w:pStyle w:val="Heading3"/>
        <w:numPr>
          <w:ilvl w:val="2"/>
          <w:numId w:val="14"/>
        </w:numPr>
        <w:shd w:val="clear" w:color="auto" w:fill="auto"/>
      </w:pPr>
      <w:bookmarkStart w:id="216" w:name="_Toc50533594"/>
      <w:bookmarkStart w:id="217" w:name="_Toc50553744"/>
      <w:bookmarkStart w:id="218" w:name="_Toc50554978"/>
      <w:bookmarkStart w:id="219" w:name="_Toc50618101"/>
      <w:bookmarkStart w:id="220" w:name="_Toc50618383"/>
      <w:bookmarkStart w:id="221" w:name="_Toc51916973"/>
      <w:bookmarkStart w:id="222" w:name="_Toc51918813"/>
      <w:bookmarkStart w:id="223" w:name="_Toc53557215"/>
      <w:bookmarkStart w:id="224" w:name="_Toc54699257"/>
      <w:bookmarkStart w:id="225" w:name="_Toc55544791"/>
      <w:r>
        <w:t>Project completion</w:t>
      </w:r>
      <w:bookmarkEnd w:id="216"/>
      <w:bookmarkEnd w:id="217"/>
      <w:bookmarkEnd w:id="218"/>
      <w:bookmarkEnd w:id="219"/>
      <w:bookmarkEnd w:id="220"/>
      <w:bookmarkEnd w:id="221"/>
      <w:bookmarkEnd w:id="222"/>
      <w:bookmarkEnd w:id="223"/>
      <w:bookmarkEnd w:id="224"/>
      <w:bookmarkEnd w:id="225"/>
    </w:p>
    <w:p w14:paraId="0217D62C" w14:textId="77777777" w:rsidR="00AB03D7" w:rsidRPr="00AB03D7" w:rsidRDefault="00C165F1" w:rsidP="00C165F1">
      <w:pPr>
        <w:rPr>
          <w:rFonts w:asciiTheme="majorHAnsi" w:hAnsiTheme="majorHAnsi" w:cstheme="majorHAnsi"/>
          <w:lang w:eastAsia="en-AU"/>
        </w:rPr>
      </w:pPr>
      <w:r>
        <w:rPr>
          <w:rFonts w:asciiTheme="majorHAnsi" w:hAnsiTheme="majorHAnsi" w:cstheme="majorHAnsi"/>
          <w:lang w:eastAsia="en-AU"/>
        </w:rPr>
        <w:t>From DP02 to DP11, researchers were expected to submit final reports within six months of their final grant payment or the final approved carryover of funds. This period was lengthened to 12 months from DP12 onwards.</w:t>
      </w:r>
      <w:r w:rsidRPr="005932F7" w:rsidDel="00046C3D">
        <w:rPr>
          <w:rFonts w:asciiTheme="majorHAnsi" w:hAnsiTheme="majorHAnsi" w:cstheme="majorHAnsi"/>
          <w:lang w:eastAsia="en-AU"/>
        </w:rPr>
        <w:t xml:space="preserve"> </w:t>
      </w:r>
      <w:r>
        <w:rPr>
          <w:rFonts w:asciiTheme="majorHAnsi" w:hAnsiTheme="majorHAnsi" w:cstheme="majorHAnsi"/>
          <w:lang w:eastAsia="en-AU"/>
        </w:rPr>
        <w:fldChar w:fldCharType="begin"/>
      </w:r>
      <w:r>
        <w:rPr>
          <w:rFonts w:asciiTheme="majorHAnsi" w:hAnsiTheme="majorHAnsi" w:cstheme="majorHAnsi"/>
          <w:lang w:eastAsia="en-AU"/>
        </w:rPr>
        <w:instrText xml:space="preserve"> REF _Ref49770842 \h  \* MERGEFORMAT </w:instrText>
      </w:r>
      <w:r>
        <w:rPr>
          <w:rFonts w:asciiTheme="majorHAnsi" w:hAnsiTheme="majorHAnsi" w:cstheme="majorHAnsi"/>
          <w:lang w:eastAsia="en-AU"/>
        </w:rPr>
      </w:r>
      <w:r>
        <w:rPr>
          <w:rFonts w:asciiTheme="majorHAnsi" w:hAnsiTheme="majorHAnsi" w:cstheme="majorHAnsi"/>
          <w:lang w:eastAsia="en-AU"/>
        </w:rPr>
        <w:fldChar w:fldCharType="separate"/>
      </w:r>
    </w:p>
    <w:p w14:paraId="5E301361" w14:textId="35510D0B" w:rsidR="00C57393" w:rsidRDefault="00AB03D7" w:rsidP="00C165F1">
      <w:pPr>
        <w:rPr>
          <w:rFonts w:asciiTheme="majorHAnsi" w:hAnsiTheme="majorHAnsi" w:cstheme="majorHAnsi"/>
          <w:lang w:eastAsia="en-AU"/>
        </w:rPr>
      </w:pPr>
      <w:r w:rsidRPr="00AB03D7">
        <w:rPr>
          <w:rFonts w:asciiTheme="majorHAnsi" w:hAnsiTheme="majorHAnsi" w:cstheme="majorHAnsi"/>
          <w:lang w:eastAsia="en-AU"/>
        </w:rPr>
        <w:t>Figure 15</w:t>
      </w:r>
      <w:r w:rsidR="00C165F1">
        <w:rPr>
          <w:rFonts w:asciiTheme="majorHAnsi" w:hAnsiTheme="majorHAnsi" w:cstheme="majorHAnsi"/>
          <w:lang w:eastAsia="en-AU"/>
        </w:rPr>
        <w:fldChar w:fldCharType="end"/>
      </w:r>
      <w:r w:rsidR="00C165F1">
        <w:rPr>
          <w:rFonts w:asciiTheme="majorHAnsi" w:hAnsiTheme="majorHAnsi" w:cstheme="majorHAnsi"/>
          <w:lang w:eastAsia="en-AU"/>
        </w:rPr>
        <w:t xml:space="preserve"> d</w:t>
      </w:r>
      <w:r w:rsidR="00C165F1" w:rsidRPr="009F6159">
        <w:rPr>
          <w:rFonts w:asciiTheme="majorHAnsi" w:hAnsiTheme="majorHAnsi" w:cstheme="majorHAnsi"/>
          <w:lang w:eastAsia="en-AU"/>
        </w:rPr>
        <w:t>epicts</w:t>
      </w:r>
      <w:r w:rsidR="00C165F1">
        <w:rPr>
          <w:rFonts w:asciiTheme="majorHAnsi" w:hAnsiTheme="majorHAnsi" w:cstheme="majorHAnsi"/>
          <w:lang w:eastAsia="en-AU"/>
        </w:rPr>
        <w:t xml:space="preserve"> available data on the proportion of submitted final reports classified as being on time or late by calendar year.</w:t>
      </w:r>
      <w:r w:rsidR="00C165F1">
        <w:rPr>
          <w:rStyle w:val="FootnoteReference"/>
          <w:rFonts w:asciiTheme="majorHAnsi" w:hAnsiTheme="majorHAnsi" w:cstheme="majorHAnsi"/>
          <w:lang w:eastAsia="en-AU"/>
        </w:rPr>
        <w:footnoteReference w:id="34"/>
      </w:r>
      <w:r w:rsidR="00C165F1">
        <w:rPr>
          <w:rFonts w:asciiTheme="majorHAnsi" w:hAnsiTheme="majorHAnsi" w:cstheme="majorHAnsi"/>
          <w:lang w:eastAsia="en-AU"/>
        </w:rPr>
        <w:t xml:space="preserve"> </w:t>
      </w:r>
    </w:p>
    <w:p w14:paraId="3C602B61" w14:textId="77777777" w:rsidR="00C57393" w:rsidRDefault="00C57393" w:rsidP="00C165F1">
      <w:pPr>
        <w:rPr>
          <w:rFonts w:asciiTheme="majorHAnsi" w:hAnsiTheme="majorHAnsi" w:cstheme="majorHAnsi"/>
          <w:b/>
          <w:iCs/>
          <w:color w:val="000000" w:themeColor="text1"/>
          <w:sz w:val="18"/>
          <w:szCs w:val="18"/>
        </w:rPr>
      </w:pPr>
      <w:bookmarkStart w:id="226" w:name="_Ref49770842"/>
    </w:p>
    <w:p w14:paraId="4AD6B738" w14:textId="3C6F03CD" w:rsidR="00C165F1" w:rsidRPr="0006444F" w:rsidRDefault="00C165F1" w:rsidP="00751469">
      <w:pPr>
        <w:pStyle w:val="FigureTitle"/>
      </w:pPr>
      <w:r w:rsidRPr="0006444F">
        <w:lastRenderedPageBreak/>
        <w:t xml:space="preserve">Figure </w:t>
      </w:r>
      <w:r w:rsidR="00857467">
        <w:fldChar w:fldCharType="begin"/>
      </w:r>
      <w:r w:rsidR="00857467">
        <w:instrText xml:space="preserve"> SEQ Figure \* ARABIC </w:instrText>
      </w:r>
      <w:r w:rsidR="00857467">
        <w:fldChar w:fldCharType="separate"/>
      </w:r>
      <w:r w:rsidR="00AB03D7">
        <w:rPr>
          <w:noProof/>
        </w:rPr>
        <w:t>15</w:t>
      </w:r>
      <w:r w:rsidR="00857467">
        <w:rPr>
          <w:noProof/>
        </w:rPr>
        <w:fldChar w:fldCharType="end"/>
      </w:r>
      <w:bookmarkEnd w:id="226"/>
      <w:r w:rsidRPr="0006444F">
        <w:t>: Proportion of final reports submitted on-time</w:t>
      </w:r>
      <w:r w:rsidR="00E71E9F">
        <w:t xml:space="preserve"> and </w:t>
      </w:r>
      <w:r w:rsidRPr="0006444F">
        <w:t>late by calendar year, 2015–2019</w:t>
      </w:r>
    </w:p>
    <w:p w14:paraId="2A3FC4CC" w14:textId="7CA36625" w:rsidR="00C165F1" w:rsidRDefault="000E5749" w:rsidP="00C165F1">
      <w:pPr>
        <w:rPr>
          <w:rFonts w:asciiTheme="majorHAnsi" w:hAnsiTheme="majorHAnsi" w:cstheme="majorHAnsi"/>
          <w:lang w:eastAsia="en-AU"/>
        </w:rPr>
      </w:pPr>
      <w:r>
        <w:rPr>
          <w:rFonts w:asciiTheme="majorHAnsi" w:hAnsiTheme="majorHAnsi" w:cstheme="majorHAnsi"/>
          <w:noProof/>
          <w:lang w:eastAsia="en-AU"/>
        </w:rPr>
        <w:drawing>
          <wp:inline distT="0" distB="0" distL="0" distR="0" wp14:anchorId="1CFA22E1" wp14:editId="032FA3E9">
            <wp:extent cx="5730875" cy="2444750"/>
            <wp:effectExtent l="0" t="0" r="3175" b="0"/>
            <wp:docPr id="63" name="Picture 63" descr="Figure 15 is a graph showing the proportion of Discovery Projects final reports submitted on-time or late by date of earliest submission, between 2015 and 2019. See text above and below graph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15 is a graph showing the proportion of Discovery Projects final reports submitted on-time or late by date of earliest submission, between 2015 and 2019. See text above and below graph for more informat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2444750"/>
                    </a:xfrm>
                    <a:prstGeom prst="rect">
                      <a:avLst/>
                    </a:prstGeom>
                    <a:noFill/>
                  </pic:spPr>
                </pic:pic>
              </a:graphicData>
            </a:graphic>
          </wp:inline>
        </w:drawing>
      </w:r>
    </w:p>
    <w:p w14:paraId="6B6D9DB3" w14:textId="3DF64C2A" w:rsidR="00C165F1" w:rsidRDefault="00C165F1" w:rsidP="00C165F1">
      <w:pPr>
        <w:rPr>
          <w:rFonts w:asciiTheme="majorHAnsi" w:hAnsiTheme="majorHAnsi" w:cstheme="majorHAnsi"/>
          <w:i/>
          <w:sz w:val="16"/>
          <w:szCs w:val="16"/>
          <w:lang w:eastAsia="en-AU"/>
        </w:rPr>
      </w:pPr>
      <w:r>
        <w:rPr>
          <w:rFonts w:asciiTheme="majorHAnsi" w:hAnsiTheme="majorHAnsi" w:cstheme="majorHAnsi"/>
          <w:sz w:val="16"/>
          <w:szCs w:val="16"/>
          <w:lang w:eastAsia="en-AU"/>
        </w:rPr>
        <w:t xml:space="preserve">Source: ARC administrative data. </w:t>
      </w:r>
      <w:r>
        <w:rPr>
          <w:rFonts w:asciiTheme="majorHAnsi" w:hAnsiTheme="majorHAnsi" w:cstheme="majorHAnsi"/>
          <w:i/>
          <w:sz w:val="16"/>
          <w:szCs w:val="16"/>
          <w:lang w:eastAsia="en-AU"/>
        </w:rPr>
        <w:t>Note: Data periods relate to calendar years, rather than DP funding rounds. On time</w:t>
      </w:r>
      <w:r w:rsidR="006C4A6F">
        <w:rPr>
          <w:rFonts w:asciiTheme="majorHAnsi" w:hAnsiTheme="majorHAnsi" w:cstheme="majorHAnsi"/>
          <w:i/>
          <w:sz w:val="16"/>
          <w:szCs w:val="16"/>
          <w:lang w:eastAsia="en-AU"/>
        </w:rPr>
        <w:t xml:space="preserve"> and </w:t>
      </w:r>
      <w:r>
        <w:rPr>
          <w:rFonts w:asciiTheme="majorHAnsi" w:hAnsiTheme="majorHAnsi" w:cstheme="majorHAnsi"/>
          <w:i/>
          <w:sz w:val="16"/>
          <w:szCs w:val="16"/>
          <w:lang w:eastAsia="en-AU"/>
        </w:rPr>
        <w:t>late time status</w:t>
      </w:r>
      <w:r w:rsidR="006C4A6F">
        <w:rPr>
          <w:rFonts w:asciiTheme="majorHAnsi" w:hAnsiTheme="majorHAnsi" w:cstheme="majorHAnsi"/>
          <w:i/>
          <w:sz w:val="16"/>
          <w:szCs w:val="16"/>
          <w:lang w:eastAsia="en-AU"/>
        </w:rPr>
        <w:t>es</w:t>
      </w:r>
      <w:r>
        <w:rPr>
          <w:rFonts w:asciiTheme="majorHAnsi" w:hAnsiTheme="majorHAnsi" w:cstheme="majorHAnsi"/>
          <w:i/>
          <w:sz w:val="16"/>
          <w:szCs w:val="16"/>
          <w:lang w:eastAsia="en-AU"/>
        </w:rPr>
        <w:t xml:space="preserve"> reflect earliest date of final report submission. </w:t>
      </w:r>
      <w:r w:rsidR="00280608">
        <w:rPr>
          <w:rFonts w:asciiTheme="majorHAnsi" w:hAnsiTheme="majorHAnsi" w:cstheme="majorHAnsi"/>
          <w:i/>
          <w:sz w:val="16"/>
          <w:szCs w:val="16"/>
          <w:lang w:eastAsia="en-AU"/>
        </w:rPr>
        <w:t>L</w:t>
      </w:r>
      <w:r w:rsidR="001204E4">
        <w:rPr>
          <w:rFonts w:asciiTheme="majorHAnsi" w:hAnsiTheme="majorHAnsi" w:cstheme="majorHAnsi"/>
          <w:i/>
          <w:sz w:val="16"/>
          <w:szCs w:val="16"/>
          <w:lang w:eastAsia="en-AU"/>
        </w:rPr>
        <w:t>ate status</w:t>
      </w:r>
      <w:r w:rsidR="00280608">
        <w:rPr>
          <w:rFonts w:asciiTheme="majorHAnsi" w:hAnsiTheme="majorHAnsi" w:cstheme="majorHAnsi"/>
          <w:i/>
          <w:sz w:val="16"/>
          <w:szCs w:val="16"/>
          <w:lang w:eastAsia="en-AU"/>
        </w:rPr>
        <w:t xml:space="preserve"> data</w:t>
      </w:r>
      <w:r w:rsidR="001204E4">
        <w:rPr>
          <w:rFonts w:asciiTheme="majorHAnsi" w:hAnsiTheme="majorHAnsi" w:cstheme="majorHAnsi"/>
          <w:i/>
          <w:sz w:val="16"/>
          <w:szCs w:val="16"/>
          <w:lang w:eastAsia="en-AU"/>
        </w:rPr>
        <w:t xml:space="preserve"> relate to </w:t>
      </w:r>
      <w:r w:rsidR="009F7C5C">
        <w:rPr>
          <w:rFonts w:asciiTheme="majorHAnsi" w:hAnsiTheme="majorHAnsi" w:cstheme="majorHAnsi"/>
          <w:i/>
          <w:sz w:val="16"/>
          <w:szCs w:val="16"/>
          <w:lang w:eastAsia="en-AU"/>
        </w:rPr>
        <w:t>final reports submitted longer than 12 months after the final grant payment/approved carryover of funds</w:t>
      </w:r>
      <w:r w:rsidR="00280608">
        <w:rPr>
          <w:rFonts w:asciiTheme="majorHAnsi" w:hAnsiTheme="majorHAnsi" w:cstheme="majorHAnsi"/>
          <w:i/>
          <w:sz w:val="16"/>
          <w:szCs w:val="16"/>
          <w:lang w:eastAsia="en-AU"/>
        </w:rPr>
        <w:t>; project variations to these dates are reflected within the data.</w:t>
      </w:r>
    </w:p>
    <w:p w14:paraId="6747C2D4" w14:textId="2CD4B483" w:rsidR="00C165F1" w:rsidRDefault="00C165F1" w:rsidP="00C165F1">
      <w:pPr>
        <w:rPr>
          <w:rFonts w:asciiTheme="majorHAnsi" w:hAnsiTheme="majorHAnsi" w:cstheme="majorHAnsi"/>
          <w:lang w:eastAsia="en-AU"/>
        </w:rPr>
      </w:pPr>
      <w:r>
        <w:rPr>
          <w:rFonts w:asciiTheme="majorHAnsi" w:hAnsiTheme="majorHAnsi" w:cstheme="majorHAnsi"/>
          <w:lang w:eastAsia="en-AU"/>
        </w:rPr>
        <w:t>Overall, a slight majority (53.0 per cent) of Discovery Projects final reports appear to have been submitted on time over the period documented. The data for 2015 were a noticeable outlier, within which a significant majority (69.3 per cent) of submitted final reports were late. However, as only final reports submitted in the second half of 2015 have been included, the data may not be representative of 2015 as a whole.</w:t>
      </w:r>
    </w:p>
    <w:p w14:paraId="470A20F2" w14:textId="1437A526" w:rsidR="00C165F1" w:rsidRPr="0006444F" w:rsidRDefault="00C165F1" w:rsidP="00C165F1">
      <w:pPr>
        <w:rPr>
          <w:lang w:eastAsia="en-AU"/>
        </w:rPr>
      </w:pPr>
      <w:r>
        <w:rPr>
          <w:rFonts w:asciiTheme="majorHAnsi" w:hAnsiTheme="majorHAnsi" w:cstheme="majorHAnsi"/>
          <w:lang w:eastAsia="en-AU"/>
        </w:rPr>
        <w:t>From late-2016 onwards, the ARC strengthened its mechanisms to encourage timely submission by</w:t>
      </w:r>
      <w:r w:rsidR="00E32DED">
        <w:rPr>
          <w:rFonts w:asciiTheme="majorHAnsi" w:hAnsiTheme="majorHAnsi" w:cstheme="majorHAnsi"/>
          <w:lang w:eastAsia="en-AU"/>
        </w:rPr>
        <w:t xml:space="preserve"> more rigorously</w:t>
      </w:r>
      <w:r>
        <w:rPr>
          <w:rFonts w:asciiTheme="majorHAnsi" w:hAnsiTheme="majorHAnsi" w:cstheme="majorHAnsi"/>
          <w:lang w:eastAsia="en-AU"/>
        </w:rPr>
        <w:t xml:space="preserve"> </w:t>
      </w:r>
      <w:r w:rsidR="004C0126">
        <w:rPr>
          <w:rFonts w:asciiTheme="majorHAnsi" w:hAnsiTheme="majorHAnsi" w:cstheme="majorHAnsi"/>
          <w:lang w:eastAsia="en-AU"/>
        </w:rPr>
        <w:t>e</w:t>
      </w:r>
      <w:r w:rsidR="004C0126" w:rsidRPr="004C0126">
        <w:rPr>
          <w:rFonts w:asciiTheme="majorHAnsi" w:hAnsiTheme="majorHAnsi" w:cstheme="majorHAnsi"/>
          <w:lang w:eastAsia="en-AU"/>
        </w:rPr>
        <w:t>nforcing eligibility requirements</w:t>
      </w:r>
      <w:r w:rsidR="004C0126">
        <w:rPr>
          <w:rFonts w:asciiTheme="majorHAnsi" w:hAnsiTheme="majorHAnsi" w:cstheme="majorHAnsi"/>
          <w:lang w:eastAsia="en-AU"/>
        </w:rPr>
        <w:t xml:space="preserve"> </w:t>
      </w:r>
      <w:r w:rsidR="005D41D5">
        <w:rPr>
          <w:rFonts w:asciiTheme="majorHAnsi" w:hAnsiTheme="majorHAnsi" w:cstheme="majorHAnsi"/>
          <w:lang w:eastAsia="en-AU"/>
        </w:rPr>
        <w:t>requiring</w:t>
      </w:r>
      <w:r w:rsidR="004C0126">
        <w:rPr>
          <w:rFonts w:asciiTheme="majorHAnsi" w:hAnsiTheme="majorHAnsi" w:cstheme="majorHAnsi"/>
          <w:lang w:eastAsia="en-AU"/>
        </w:rPr>
        <w:t xml:space="preserve"> </w:t>
      </w:r>
      <w:r w:rsidR="00D82069">
        <w:rPr>
          <w:rFonts w:asciiTheme="majorHAnsi" w:hAnsiTheme="majorHAnsi" w:cstheme="majorHAnsi"/>
          <w:lang w:eastAsia="en-AU"/>
        </w:rPr>
        <w:t>all named researchers on submitted applications to have</w:t>
      </w:r>
      <w:r w:rsidR="000E3A8C">
        <w:rPr>
          <w:rFonts w:asciiTheme="majorHAnsi" w:hAnsiTheme="majorHAnsi" w:cstheme="majorHAnsi"/>
          <w:lang w:eastAsia="en-AU"/>
        </w:rPr>
        <w:t xml:space="preserve"> met their obligations in relation to previously funded projects</w:t>
      </w:r>
      <w:r w:rsidR="00EF4D4E">
        <w:rPr>
          <w:rFonts w:asciiTheme="majorHAnsi" w:hAnsiTheme="majorHAnsi" w:cstheme="majorHAnsi"/>
          <w:lang w:eastAsia="en-AU"/>
        </w:rPr>
        <w:t>, including the submission of satisfactory final reports</w:t>
      </w:r>
      <w:r w:rsidR="00855D96">
        <w:rPr>
          <w:rFonts w:asciiTheme="majorHAnsi" w:hAnsiTheme="majorHAnsi" w:cstheme="majorHAnsi"/>
          <w:lang w:eastAsia="en-AU"/>
        </w:rPr>
        <w:t xml:space="preserve">, by the grant opportunity closing date. </w:t>
      </w:r>
      <w:r w:rsidR="000A0A36">
        <w:rPr>
          <w:rFonts w:asciiTheme="majorHAnsi" w:hAnsiTheme="majorHAnsi" w:cstheme="majorHAnsi"/>
          <w:lang w:eastAsia="en-AU"/>
        </w:rPr>
        <w:t>Given the relative</w:t>
      </w:r>
      <w:r w:rsidR="000E34C2">
        <w:rPr>
          <w:rFonts w:asciiTheme="majorHAnsi" w:hAnsiTheme="majorHAnsi" w:cstheme="majorHAnsi"/>
          <w:lang w:eastAsia="en-AU"/>
        </w:rPr>
        <w:t>ly recent</w:t>
      </w:r>
      <w:r w:rsidR="000A0A36">
        <w:rPr>
          <w:rFonts w:asciiTheme="majorHAnsi" w:hAnsiTheme="majorHAnsi" w:cstheme="majorHAnsi"/>
          <w:lang w:eastAsia="en-AU"/>
        </w:rPr>
        <w:t xml:space="preserve"> introduction</w:t>
      </w:r>
      <w:r w:rsidR="000E34C2">
        <w:rPr>
          <w:rFonts w:asciiTheme="majorHAnsi" w:hAnsiTheme="majorHAnsi" w:cstheme="majorHAnsi"/>
          <w:lang w:eastAsia="en-AU"/>
        </w:rPr>
        <w:t xml:space="preserve"> of this change</w:t>
      </w:r>
      <w:r w:rsidR="000A0A36">
        <w:rPr>
          <w:rFonts w:asciiTheme="majorHAnsi" w:hAnsiTheme="majorHAnsi" w:cstheme="majorHAnsi"/>
          <w:lang w:eastAsia="en-AU"/>
        </w:rPr>
        <w:t>,</w:t>
      </w:r>
      <w:r>
        <w:rPr>
          <w:rFonts w:asciiTheme="majorHAnsi" w:hAnsiTheme="majorHAnsi" w:cstheme="majorHAnsi"/>
          <w:lang w:eastAsia="en-AU"/>
        </w:rPr>
        <w:t xml:space="preserve"> </w:t>
      </w:r>
      <w:r w:rsidR="000A0A36">
        <w:rPr>
          <w:rFonts w:asciiTheme="majorHAnsi" w:hAnsiTheme="majorHAnsi" w:cstheme="majorHAnsi"/>
          <w:lang w:eastAsia="en-AU"/>
        </w:rPr>
        <w:t>c</w:t>
      </w:r>
      <w:r>
        <w:rPr>
          <w:rFonts w:asciiTheme="majorHAnsi" w:hAnsiTheme="majorHAnsi" w:cstheme="majorHAnsi"/>
          <w:lang w:eastAsia="en-AU"/>
        </w:rPr>
        <w:t xml:space="preserve">ontinued monitoring of these data may provide </w:t>
      </w:r>
      <w:r w:rsidR="00E32DED">
        <w:rPr>
          <w:rFonts w:asciiTheme="majorHAnsi" w:hAnsiTheme="majorHAnsi" w:cstheme="majorHAnsi"/>
          <w:lang w:eastAsia="en-AU"/>
        </w:rPr>
        <w:t xml:space="preserve">further </w:t>
      </w:r>
      <w:r>
        <w:rPr>
          <w:rFonts w:asciiTheme="majorHAnsi" w:hAnsiTheme="majorHAnsi" w:cstheme="majorHAnsi"/>
          <w:lang w:eastAsia="en-AU"/>
        </w:rPr>
        <w:t xml:space="preserve">insight into the impact of these </w:t>
      </w:r>
      <w:r w:rsidR="000A0A36">
        <w:rPr>
          <w:rFonts w:asciiTheme="majorHAnsi" w:hAnsiTheme="majorHAnsi" w:cstheme="majorHAnsi"/>
          <w:lang w:eastAsia="en-AU"/>
        </w:rPr>
        <w:t xml:space="preserve">mechanisms </w:t>
      </w:r>
      <w:r>
        <w:rPr>
          <w:rFonts w:asciiTheme="majorHAnsi" w:hAnsiTheme="majorHAnsi" w:cstheme="majorHAnsi"/>
          <w:lang w:eastAsia="en-AU"/>
        </w:rPr>
        <w:t xml:space="preserve">on the timely </w:t>
      </w:r>
      <w:r w:rsidR="005A5C09">
        <w:rPr>
          <w:rFonts w:asciiTheme="majorHAnsi" w:hAnsiTheme="majorHAnsi" w:cstheme="majorHAnsi"/>
          <w:lang w:eastAsia="en-AU"/>
        </w:rPr>
        <w:t>submission</w:t>
      </w:r>
      <w:r>
        <w:rPr>
          <w:rFonts w:asciiTheme="majorHAnsi" w:hAnsiTheme="majorHAnsi" w:cstheme="majorHAnsi"/>
          <w:lang w:eastAsia="en-AU"/>
        </w:rPr>
        <w:t xml:space="preserve"> of Discovery Projects </w:t>
      </w:r>
      <w:r w:rsidR="005A5C09">
        <w:rPr>
          <w:rFonts w:asciiTheme="majorHAnsi" w:hAnsiTheme="majorHAnsi" w:cstheme="majorHAnsi"/>
          <w:lang w:eastAsia="en-AU"/>
        </w:rPr>
        <w:t>final reports</w:t>
      </w:r>
      <w:r>
        <w:rPr>
          <w:rFonts w:asciiTheme="majorHAnsi" w:hAnsiTheme="majorHAnsi" w:cstheme="majorHAnsi"/>
          <w:lang w:eastAsia="en-AU"/>
        </w:rPr>
        <w:t>.</w:t>
      </w:r>
    </w:p>
    <w:p w14:paraId="6A9ECD43" w14:textId="5AC71486" w:rsidR="00C165F1" w:rsidRPr="0095407B" w:rsidRDefault="00C165F1" w:rsidP="00254D36">
      <w:pPr>
        <w:pStyle w:val="Heading3"/>
        <w:numPr>
          <w:ilvl w:val="2"/>
          <w:numId w:val="14"/>
        </w:numPr>
        <w:shd w:val="clear" w:color="auto" w:fill="auto"/>
      </w:pPr>
      <w:bookmarkStart w:id="227" w:name="_Factors_affecting_project"/>
      <w:bookmarkStart w:id="228" w:name="_Toc50533595"/>
      <w:bookmarkStart w:id="229" w:name="_Toc50553745"/>
      <w:bookmarkStart w:id="230" w:name="_Toc50554979"/>
      <w:bookmarkStart w:id="231" w:name="_Toc50618102"/>
      <w:bookmarkStart w:id="232" w:name="_Toc50618384"/>
      <w:bookmarkStart w:id="233" w:name="_Toc51916974"/>
      <w:bookmarkStart w:id="234" w:name="_Toc51918814"/>
      <w:bookmarkStart w:id="235" w:name="_Toc53557216"/>
      <w:bookmarkStart w:id="236" w:name="_Toc54699258"/>
      <w:bookmarkStart w:id="237" w:name="_Toc55544792"/>
      <w:bookmarkEnd w:id="227"/>
      <w:r>
        <w:t>Factors affecting project progress or completion</w:t>
      </w:r>
      <w:bookmarkEnd w:id="228"/>
      <w:bookmarkEnd w:id="229"/>
      <w:bookmarkEnd w:id="230"/>
      <w:bookmarkEnd w:id="231"/>
      <w:bookmarkEnd w:id="232"/>
      <w:bookmarkEnd w:id="233"/>
      <w:bookmarkEnd w:id="234"/>
      <w:bookmarkEnd w:id="235"/>
      <w:bookmarkEnd w:id="236"/>
      <w:bookmarkEnd w:id="237"/>
    </w:p>
    <w:p w14:paraId="69356C03" w14:textId="2C9084DA" w:rsidR="00C165F1" w:rsidRDefault="003D2DF3" w:rsidP="00C165F1">
      <w:r>
        <w:rPr>
          <w:rFonts w:asciiTheme="majorHAnsi" w:hAnsiTheme="majorHAnsi" w:cstheme="majorHAnsi"/>
          <w:lang w:eastAsia="en-AU"/>
        </w:rPr>
        <w:t>Discovery Projects</w:t>
      </w:r>
      <w:r w:rsidR="00C165F1">
        <w:rPr>
          <w:rFonts w:asciiTheme="majorHAnsi" w:hAnsiTheme="majorHAnsi" w:cstheme="majorHAnsi"/>
          <w:lang w:eastAsia="en-AU"/>
        </w:rPr>
        <w:t xml:space="preserve"> final reports </w:t>
      </w:r>
      <w:r w:rsidR="00831F8D">
        <w:rPr>
          <w:rFonts w:asciiTheme="majorHAnsi" w:hAnsiTheme="majorHAnsi" w:cstheme="majorHAnsi"/>
          <w:lang w:eastAsia="en-AU"/>
        </w:rPr>
        <w:t>ask</w:t>
      </w:r>
      <w:r w:rsidR="007E4CB4">
        <w:rPr>
          <w:rFonts w:asciiTheme="majorHAnsi" w:hAnsiTheme="majorHAnsi" w:cstheme="majorHAnsi"/>
          <w:lang w:eastAsia="en-AU"/>
        </w:rPr>
        <w:t xml:space="preserve"> whether there were</w:t>
      </w:r>
      <w:r w:rsidR="00C165F1">
        <w:rPr>
          <w:rFonts w:asciiTheme="majorHAnsi" w:hAnsiTheme="majorHAnsi" w:cstheme="majorHAnsi"/>
          <w:lang w:eastAsia="en-AU"/>
        </w:rPr>
        <w:t xml:space="preserve"> factors affecting</w:t>
      </w:r>
      <w:r w:rsidR="00C165F1" w:rsidRPr="00B546E4">
        <w:rPr>
          <w:rFonts w:asciiTheme="majorHAnsi" w:hAnsiTheme="majorHAnsi" w:cstheme="majorHAnsi"/>
          <w:lang w:eastAsia="en-AU"/>
        </w:rPr>
        <w:t xml:space="preserve"> </w:t>
      </w:r>
      <w:r w:rsidR="00C165F1">
        <w:rPr>
          <w:rFonts w:asciiTheme="majorHAnsi" w:hAnsiTheme="majorHAnsi" w:cstheme="majorHAnsi"/>
          <w:lang w:eastAsia="en-AU"/>
        </w:rPr>
        <w:t>‘</w:t>
      </w:r>
      <w:r w:rsidR="00C165F1" w:rsidRPr="00B546E4">
        <w:rPr>
          <w:rFonts w:asciiTheme="majorHAnsi" w:hAnsiTheme="majorHAnsi" w:cstheme="majorHAnsi"/>
          <w:lang w:eastAsia="en-AU"/>
        </w:rPr>
        <w:t>the satisfactory and timely</w:t>
      </w:r>
      <w:r w:rsidR="00C165F1">
        <w:rPr>
          <w:rFonts w:asciiTheme="majorHAnsi" w:hAnsiTheme="majorHAnsi" w:cstheme="majorHAnsi"/>
          <w:lang w:eastAsia="en-AU"/>
        </w:rPr>
        <w:t xml:space="preserve"> progress or completion of the project’. Researchers </w:t>
      </w:r>
      <w:r w:rsidR="001D4EF7">
        <w:rPr>
          <w:rFonts w:asciiTheme="majorHAnsi" w:hAnsiTheme="majorHAnsi" w:cstheme="majorHAnsi"/>
          <w:lang w:eastAsia="en-AU"/>
        </w:rPr>
        <w:t>answering</w:t>
      </w:r>
      <w:r w:rsidR="00C165F1">
        <w:rPr>
          <w:rFonts w:asciiTheme="majorHAnsi" w:hAnsiTheme="majorHAnsi" w:cstheme="majorHAnsi"/>
          <w:lang w:eastAsia="en-AU"/>
        </w:rPr>
        <w:t xml:space="preserve"> ‘Yes’ are prompted to provide a textual description of the nature of these interruptions. </w:t>
      </w:r>
      <w:r w:rsidR="00A87FC9">
        <w:rPr>
          <w:rFonts w:asciiTheme="majorHAnsi" w:hAnsiTheme="majorHAnsi" w:cstheme="majorHAnsi"/>
          <w:lang w:eastAsia="en-AU"/>
        </w:rPr>
        <w:t>T</w:t>
      </w:r>
      <w:r w:rsidR="00C165F1" w:rsidRPr="007C3CDF">
        <w:rPr>
          <w:rFonts w:asciiTheme="majorHAnsi" w:hAnsiTheme="majorHAnsi" w:cstheme="majorHAnsi"/>
          <w:lang w:eastAsia="en-AU"/>
        </w:rPr>
        <w:t>he majority</w:t>
      </w:r>
      <w:r w:rsidR="00C165F1">
        <w:rPr>
          <w:rFonts w:asciiTheme="majorHAnsi" w:hAnsiTheme="majorHAnsi" w:cstheme="majorHAnsi"/>
          <w:lang w:eastAsia="en-AU"/>
        </w:rPr>
        <w:t xml:space="preserve"> of</w:t>
      </w:r>
      <w:r w:rsidR="00BD6D0E">
        <w:rPr>
          <w:rFonts w:asciiTheme="majorHAnsi" w:hAnsiTheme="majorHAnsi" w:cstheme="majorHAnsi"/>
          <w:lang w:eastAsia="en-AU"/>
        </w:rPr>
        <w:t xml:space="preserve"> </w:t>
      </w:r>
      <w:r w:rsidR="00C165F1">
        <w:rPr>
          <w:rFonts w:asciiTheme="majorHAnsi" w:hAnsiTheme="majorHAnsi" w:cstheme="majorHAnsi"/>
          <w:lang w:eastAsia="en-AU"/>
        </w:rPr>
        <w:t xml:space="preserve">final reports submitted for </w:t>
      </w:r>
      <w:r w:rsidR="004D0079">
        <w:rPr>
          <w:rFonts w:asciiTheme="majorHAnsi" w:hAnsiTheme="majorHAnsi" w:cstheme="majorHAnsi"/>
          <w:lang w:eastAsia="en-AU"/>
        </w:rPr>
        <w:t>successful projects</w:t>
      </w:r>
      <w:r w:rsidR="00C165F1">
        <w:rPr>
          <w:rFonts w:asciiTheme="majorHAnsi" w:hAnsiTheme="majorHAnsi" w:cstheme="majorHAnsi"/>
          <w:lang w:eastAsia="en-AU"/>
        </w:rPr>
        <w:t xml:space="preserve"> between DP02 and DP14 answered </w:t>
      </w:r>
      <w:r w:rsidR="002B2602">
        <w:rPr>
          <w:rFonts w:asciiTheme="majorHAnsi" w:hAnsiTheme="majorHAnsi" w:cstheme="majorHAnsi"/>
          <w:lang w:eastAsia="en-AU"/>
        </w:rPr>
        <w:t xml:space="preserve">the above question </w:t>
      </w:r>
      <w:r w:rsidR="00C165F1">
        <w:rPr>
          <w:rFonts w:asciiTheme="majorHAnsi" w:hAnsiTheme="majorHAnsi" w:cstheme="majorHAnsi"/>
          <w:lang w:eastAsia="en-AU"/>
        </w:rPr>
        <w:t>affirmatively, with the proportion gradually increasing over time, from 53.3 per cent in DP02 to 61.2 per cent in DP14.</w:t>
      </w:r>
      <w:r w:rsidR="0034174B">
        <w:rPr>
          <w:rStyle w:val="FootnoteReference"/>
          <w:rFonts w:asciiTheme="majorHAnsi" w:hAnsiTheme="majorHAnsi" w:cstheme="majorHAnsi"/>
          <w:lang w:eastAsia="en-AU"/>
        </w:rPr>
        <w:footnoteReference w:id="35"/>
      </w:r>
      <w:r w:rsidR="00C165F1">
        <w:rPr>
          <w:rFonts w:asciiTheme="majorHAnsi" w:hAnsiTheme="majorHAnsi" w:cstheme="majorHAnsi"/>
          <w:lang w:eastAsia="en-AU"/>
        </w:rPr>
        <w:t xml:space="preserve"> </w:t>
      </w:r>
    </w:p>
    <w:p w14:paraId="768CC010" w14:textId="06E9CD41" w:rsidR="00C165F1" w:rsidRDefault="00D62051" w:rsidP="00C165F1">
      <w:pPr>
        <w:rPr>
          <w:rFonts w:asciiTheme="majorHAnsi" w:hAnsiTheme="majorHAnsi" w:cstheme="majorHAnsi"/>
          <w:lang w:eastAsia="en-AU"/>
        </w:rPr>
      </w:pPr>
      <w:r>
        <w:rPr>
          <w:rFonts w:asciiTheme="majorHAnsi" w:hAnsiTheme="majorHAnsi" w:cstheme="majorHAnsi"/>
          <w:lang w:eastAsia="en-AU"/>
        </w:rPr>
        <w:t xml:space="preserve">Analysis </w:t>
      </w:r>
      <w:r w:rsidR="00C165F1">
        <w:rPr>
          <w:rFonts w:asciiTheme="majorHAnsi" w:hAnsiTheme="majorHAnsi" w:cstheme="majorHAnsi"/>
          <w:lang w:eastAsia="en-AU"/>
        </w:rPr>
        <w:t xml:space="preserve">of </w:t>
      </w:r>
      <w:r>
        <w:rPr>
          <w:rFonts w:asciiTheme="majorHAnsi" w:hAnsiTheme="majorHAnsi" w:cstheme="majorHAnsi"/>
          <w:lang w:eastAsia="en-AU"/>
        </w:rPr>
        <w:t>a randomly selected sample of 100 of the 6303 open text descriptions available from final reports</w:t>
      </w:r>
      <w:r w:rsidR="00122C5D">
        <w:rPr>
          <w:rFonts w:asciiTheme="majorHAnsi" w:hAnsiTheme="majorHAnsi" w:cstheme="majorHAnsi"/>
          <w:lang w:eastAsia="en-AU"/>
        </w:rPr>
        <w:t xml:space="preserve"> provided insight on</w:t>
      </w:r>
      <w:r>
        <w:rPr>
          <w:rFonts w:asciiTheme="majorHAnsi" w:hAnsiTheme="majorHAnsi" w:cstheme="majorHAnsi"/>
          <w:lang w:eastAsia="en-AU"/>
        </w:rPr>
        <w:t xml:space="preserve"> </w:t>
      </w:r>
      <w:r w:rsidR="00C165F1">
        <w:rPr>
          <w:rFonts w:asciiTheme="majorHAnsi" w:hAnsiTheme="majorHAnsi" w:cstheme="majorHAnsi"/>
          <w:lang w:eastAsia="en-AU"/>
        </w:rPr>
        <w:t>the factors affecting the timely and satisfactory progress or completion of projects.</w:t>
      </w:r>
      <w:r w:rsidR="00122C5D">
        <w:rPr>
          <w:rFonts w:asciiTheme="majorHAnsi" w:hAnsiTheme="majorHAnsi" w:cstheme="majorHAnsi"/>
          <w:lang w:eastAsia="en-AU"/>
        </w:rPr>
        <w:t xml:space="preserve"> </w:t>
      </w:r>
      <w:r w:rsidR="00C165F1">
        <w:rPr>
          <w:rFonts w:asciiTheme="majorHAnsi" w:hAnsiTheme="majorHAnsi" w:cstheme="majorHAnsi"/>
          <w:lang w:eastAsia="en-AU"/>
        </w:rPr>
        <w:t xml:space="preserve">The most commonly cited factors related to personnel arrangements, particularly the recruitment of postdoctoral researchers and </w:t>
      </w:r>
      <w:r w:rsidR="00B560C4">
        <w:rPr>
          <w:rFonts w:asciiTheme="majorHAnsi" w:hAnsiTheme="majorHAnsi" w:cstheme="majorHAnsi"/>
          <w:lang w:eastAsia="en-AU"/>
        </w:rPr>
        <w:t xml:space="preserve">Higher Degree </w:t>
      </w:r>
      <w:r w:rsidR="0018283E">
        <w:rPr>
          <w:rFonts w:asciiTheme="majorHAnsi" w:hAnsiTheme="majorHAnsi" w:cstheme="majorHAnsi"/>
          <w:lang w:eastAsia="en-AU"/>
        </w:rPr>
        <w:t>b</w:t>
      </w:r>
      <w:r w:rsidR="00B560C4">
        <w:rPr>
          <w:rFonts w:asciiTheme="majorHAnsi" w:hAnsiTheme="majorHAnsi" w:cstheme="majorHAnsi"/>
          <w:lang w:eastAsia="en-AU"/>
        </w:rPr>
        <w:t>y Research (HDR)</w:t>
      </w:r>
      <w:r w:rsidR="00C165F1">
        <w:rPr>
          <w:rFonts w:asciiTheme="majorHAnsi" w:hAnsiTheme="majorHAnsi" w:cstheme="majorHAnsi"/>
          <w:lang w:eastAsia="en-AU"/>
        </w:rPr>
        <w:t xml:space="preserve"> candidates, movements between jobs, difficulties gaining access to necessary skills</w:t>
      </w:r>
      <w:r w:rsidR="00CD5BEA">
        <w:rPr>
          <w:rFonts w:asciiTheme="majorHAnsi" w:hAnsiTheme="majorHAnsi" w:cstheme="majorHAnsi"/>
          <w:lang w:eastAsia="en-AU"/>
        </w:rPr>
        <w:t xml:space="preserve"> and </w:t>
      </w:r>
      <w:r w:rsidR="00C165F1">
        <w:rPr>
          <w:rFonts w:asciiTheme="majorHAnsi" w:hAnsiTheme="majorHAnsi" w:cstheme="majorHAnsi"/>
          <w:lang w:eastAsia="en-AU"/>
        </w:rPr>
        <w:t xml:space="preserve">expertise, and/or retirement. Family and personal matters were often specified, such as illness, periods of leave and caring responsibilities. Factors relating to the research process itself, including interruptions to data collection, unexpected delays to project timeframes and the impact of unanticipated preliminary findings, were also frequent. </w:t>
      </w:r>
    </w:p>
    <w:p w14:paraId="10B12053" w14:textId="5D509C9C" w:rsidR="00C165F1" w:rsidRDefault="00C165F1" w:rsidP="00C165F1">
      <w:pPr>
        <w:rPr>
          <w:rFonts w:asciiTheme="majorHAnsi" w:hAnsiTheme="majorHAnsi" w:cstheme="majorHAnsi"/>
          <w:lang w:eastAsia="en-AU"/>
        </w:rPr>
      </w:pPr>
      <w:r>
        <w:rPr>
          <w:rFonts w:asciiTheme="majorHAnsi" w:hAnsiTheme="majorHAnsi" w:cstheme="majorHAnsi"/>
          <w:lang w:eastAsia="en-AU"/>
        </w:rPr>
        <w:lastRenderedPageBreak/>
        <w:t xml:space="preserve">A further theme commonly emphasised was the impact of not receiving the full sum of funding requested. Researchers described responding to this situation by reducing project scope, changing the research objectives originally specified, limiting the number of personnel involved, devoting less time to particular project stages and/or reducing the amount of </w:t>
      </w:r>
      <w:r w:rsidR="009F3EC8">
        <w:rPr>
          <w:rFonts w:asciiTheme="majorHAnsi" w:hAnsiTheme="majorHAnsi" w:cstheme="majorHAnsi"/>
          <w:lang w:eastAsia="en-AU"/>
        </w:rPr>
        <w:t xml:space="preserve">research </w:t>
      </w:r>
      <w:r>
        <w:rPr>
          <w:rFonts w:asciiTheme="majorHAnsi" w:hAnsiTheme="majorHAnsi" w:cstheme="majorHAnsi"/>
          <w:lang w:eastAsia="en-AU"/>
        </w:rPr>
        <w:t>data collected.</w:t>
      </w:r>
    </w:p>
    <w:p w14:paraId="7631C307" w14:textId="1FC247DB" w:rsidR="00C165F1" w:rsidRPr="0095407B" w:rsidRDefault="00C165F1" w:rsidP="00254D36">
      <w:pPr>
        <w:pStyle w:val="Heading3"/>
        <w:numPr>
          <w:ilvl w:val="2"/>
          <w:numId w:val="14"/>
        </w:numPr>
        <w:shd w:val="clear" w:color="auto" w:fill="auto"/>
      </w:pPr>
      <w:bookmarkStart w:id="238" w:name="_Toc50533596"/>
      <w:bookmarkStart w:id="239" w:name="_Toc50553746"/>
      <w:bookmarkStart w:id="240" w:name="_Toc50554980"/>
      <w:bookmarkStart w:id="241" w:name="_Toc50618103"/>
      <w:bookmarkStart w:id="242" w:name="_Toc50618385"/>
      <w:bookmarkStart w:id="243" w:name="_Toc51916975"/>
      <w:bookmarkStart w:id="244" w:name="_Toc51918815"/>
      <w:bookmarkStart w:id="245" w:name="_Toc53557217"/>
      <w:bookmarkStart w:id="246" w:name="_Toc54699259"/>
      <w:bookmarkStart w:id="247" w:name="_Toc55544793"/>
      <w:r>
        <w:t>Project objectives achieved</w:t>
      </w:r>
      <w:bookmarkEnd w:id="238"/>
      <w:bookmarkEnd w:id="239"/>
      <w:bookmarkEnd w:id="240"/>
      <w:bookmarkEnd w:id="241"/>
      <w:bookmarkEnd w:id="242"/>
      <w:bookmarkEnd w:id="243"/>
      <w:bookmarkEnd w:id="244"/>
      <w:bookmarkEnd w:id="245"/>
      <w:bookmarkEnd w:id="246"/>
      <w:bookmarkEnd w:id="247"/>
    </w:p>
    <w:p w14:paraId="6E13CA31" w14:textId="669F51C5" w:rsidR="00C165F1" w:rsidRPr="00094B67" w:rsidRDefault="00C165F1" w:rsidP="00C165F1">
      <w:pPr>
        <w:rPr>
          <w:rFonts w:asciiTheme="majorHAnsi" w:hAnsiTheme="majorHAnsi" w:cstheme="majorHAnsi"/>
          <w:lang w:eastAsia="en-AU"/>
        </w:rPr>
      </w:pPr>
      <w:r w:rsidRPr="00094B67">
        <w:rPr>
          <w:rFonts w:asciiTheme="majorHAnsi" w:hAnsiTheme="majorHAnsi" w:cstheme="majorHAnsi"/>
          <w:lang w:eastAsia="en-AU"/>
        </w:rPr>
        <w:t>Discovery Projects</w:t>
      </w:r>
      <w:r>
        <w:rPr>
          <w:rFonts w:asciiTheme="majorHAnsi" w:hAnsiTheme="majorHAnsi" w:cstheme="majorHAnsi"/>
          <w:lang w:eastAsia="en-AU"/>
        </w:rPr>
        <w:t xml:space="preserve"> </w:t>
      </w:r>
      <w:r w:rsidR="007E5A87">
        <w:rPr>
          <w:rFonts w:asciiTheme="majorHAnsi" w:hAnsiTheme="majorHAnsi" w:cstheme="majorHAnsi"/>
          <w:lang w:eastAsia="en-AU"/>
        </w:rPr>
        <w:t xml:space="preserve">applicants </w:t>
      </w:r>
      <w:r w:rsidR="00231F35">
        <w:rPr>
          <w:rFonts w:asciiTheme="majorHAnsi" w:hAnsiTheme="majorHAnsi" w:cstheme="majorHAnsi"/>
          <w:lang w:eastAsia="en-AU"/>
        </w:rPr>
        <w:t>must identify</w:t>
      </w:r>
      <w:r>
        <w:rPr>
          <w:rFonts w:asciiTheme="majorHAnsi" w:hAnsiTheme="majorHAnsi" w:cstheme="majorHAnsi"/>
          <w:lang w:eastAsia="en-AU"/>
        </w:rPr>
        <w:t xml:space="preserve"> individual project</w:t>
      </w:r>
      <w:r w:rsidRPr="00094B67">
        <w:rPr>
          <w:rFonts w:asciiTheme="majorHAnsi" w:hAnsiTheme="majorHAnsi" w:cstheme="majorHAnsi"/>
          <w:lang w:eastAsia="en-AU"/>
        </w:rPr>
        <w:t xml:space="preserve"> objectives </w:t>
      </w:r>
      <w:r w:rsidR="00D238A2">
        <w:rPr>
          <w:rFonts w:asciiTheme="majorHAnsi" w:hAnsiTheme="majorHAnsi" w:cstheme="majorHAnsi"/>
          <w:lang w:eastAsia="en-AU"/>
        </w:rPr>
        <w:t xml:space="preserve">and, </w:t>
      </w:r>
      <w:r w:rsidR="002A07F1">
        <w:rPr>
          <w:rFonts w:asciiTheme="majorHAnsi" w:hAnsiTheme="majorHAnsi" w:cstheme="majorHAnsi"/>
          <w:lang w:eastAsia="en-AU"/>
        </w:rPr>
        <w:t>if awarded funding, rep</w:t>
      </w:r>
      <w:r w:rsidR="003D3ED5">
        <w:rPr>
          <w:rFonts w:asciiTheme="majorHAnsi" w:hAnsiTheme="majorHAnsi" w:cstheme="majorHAnsi"/>
          <w:lang w:eastAsia="en-AU"/>
        </w:rPr>
        <w:t xml:space="preserve">ort on </w:t>
      </w:r>
      <w:r w:rsidR="00735632">
        <w:rPr>
          <w:rFonts w:asciiTheme="majorHAnsi" w:hAnsiTheme="majorHAnsi" w:cstheme="majorHAnsi"/>
          <w:lang w:eastAsia="en-AU"/>
        </w:rPr>
        <w:t>the achievement of those obj</w:t>
      </w:r>
      <w:r w:rsidR="008168A4">
        <w:rPr>
          <w:rFonts w:asciiTheme="majorHAnsi" w:hAnsiTheme="majorHAnsi" w:cstheme="majorHAnsi"/>
          <w:lang w:eastAsia="en-AU"/>
        </w:rPr>
        <w:t>e</w:t>
      </w:r>
      <w:r w:rsidR="00735632">
        <w:rPr>
          <w:rFonts w:asciiTheme="majorHAnsi" w:hAnsiTheme="majorHAnsi" w:cstheme="majorHAnsi"/>
          <w:lang w:eastAsia="en-AU"/>
        </w:rPr>
        <w:t>ctives</w:t>
      </w:r>
      <w:r w:rsidR="00307B21">
        <w:rPr>
          <w:rFonts w:asciiTheme="majorHAnsi" w:hAnsiTheme="majorHAnsi" w:cstheme="majorHAnsi"/>
          <w:lang w:eastAsia="en-AU"/>
        </w:rPr>
        <w:t xml:space="preserve"> in final reports</w:t>
      </w:r>
      <w:r w:rsidRPr="00094B67">
        <w:rPr>
          <w:rFonts w:asciiTheme="majorHAnsi" w:hAnsiTheme="majorHAnsi" w:cstheme="majorHAnsi"/>
          <w:lang w:eastAsia="en-AU"/>
        </w:rPr>
        <w:t>.</w:t>
      </w:r>
      <w:r>
        <w:rPr>
          <w:rFonts w:asciiTheme="majorHAnsi" w:hAnsiTheme="majorHAnsi" w:cstheme="majorHAnsi"/>
          <w:lang w:eastAsia="en-AU"/>
        </w:rPr>
        <w:t xml:space="preserve"> Researchers may</w:t>
      </w:r>
      <w:r w:rsidRPr="00094B67">
        <w:rPr>
          <w:rFonts w:asciiTheme="majorHAnsi" w:hAnsiTheme="majorHAnsi" w:cstheme="majorHAnsi"/>
          <w:lang w:eastAsia="en-AU"/>
        </w:rPr>
        <w:t xml:space="preserve"> reframe project objectives during the course o</w:t>
      </w:r>
      <w:r>
        <w:rPr>
          <w:rFonts w:asciiTheme="majorHAnsi" w:hAnsiTheme="majorHAnsi" w:cstheme="majorHAnsi"/>
          <w:lang w:eastAsia="en-AU"/>
        </w:rPr>
        <w:t xml:space="preserve">f their funding. </w:t>
      </w:r>
    </w:p>
    <w:p w14:paraId="0840B450" w14:textId="1AA1BE1A" w:rsidR="00C165F1" w:rsidRDefault="00C165F1" w:rsidP="00C165F1">
      <w:r>
        <w:rPr>
          <w:rFonts w:asciiTheme="majorHAnsi" w:hAnsiTheme="majorHAnsi" w:cstheme="majorHAnsi"/>
          <w:lang w:eastAsia="en-AU"/>
        </w:rPr>
        <w:t>As shown</w:t>
      </w:r>
      <w:r w:rsidRPr="00E96240">
        <w:rPr>
          <w:rFonts w:asciiTheme="majorHAnsi" w:hAnsiTheme="majorHAnsi" w:cstheme="majorHAnsi"/>
          <w:lang w:eastAsia="en-AU"/>
        </w:rPr>
        <w:t xml:space="preserve"> in</w:t>
      </w:r>
      <w:r>
        <w:rPr>
          <w:rFonts w:asciiTheme="majorHAnsi" w:hAnsiTheme="majorHAnsi" w:cstheme="majorHAnsi"/>
          <w:lang w:eastAsia="en-AU"/>
        </w:rPr>
        <w:t xml:space="preserve"> </w:t>
      </w:r>
      <w:r w:rsidRPr="00501DA1">
        <w:rPr>
          <w:rFonts w:asciiTheme="majorHAnsi" w:hAnsiTheme="majorHAnsi" w:cstheme="majorHAnsi"/>
          <w:lang w:eastAsia="en-AU"/>
        </w:rPr>
        <w:fldChar w:fldCharType="begin"/>
      </w:r>
      <w:r w:rsidRPr="00F55BAA">
        <w:rPr>
          <w:rFonts w:asciiTheme="majorHAnsi" w:hAnsiTheme="majorHAnsi" w:cstheme="majorHAnsi"/>
          <w:lang w:eastAsia="en-AU"/>
        </w:rPr>
        <w:instrText xml:space="preserve"> REF _Ref49776795 \h </w:instrText>
      </w:r>
      <w:r w:rsidRPr="0006444F">
        <w:rPr>
          <w:rFonts w:asciiTheme="majorHAnsi" w:hAnsiTheme="majorHAnsi" w:cstheme="majorHAnsi"/>
          <w:lang w:eastAsia="en-AU"/>
        </w:rPr>
        <w:instrText xml:space="preserve"> \* MERGEFORMAT </w:instrText>
      </w:r>
      <w:r w:rsidRPr="00501DA1">
        <w:rPr>
          <w:rFonts w:asciiTheme="majorHAnsi" w:hAnsiTheme="majorHAnsi" w:cstheme="majorHAnsi"/>
          <w:lang w:eastAsia="en-AU"/>
        </w:rPr>
      </w:r>
      <w:r w:rsidRPr="00501DA1">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Figure 16</w:t>
      </w:r>
      <w:r w:rsidRPr="00501DA1">
        <w:rPr>
          <w:rFonts w:asciiTheme="majorHAnsi" w:hAnsiTheme="majorHAnsi" w:cstheme="majorHAnsi"/>
          <w:lang w:eastAsia="en-AU"/>
        </w:rPr>
        <w:fldChar w:fldCharType="end"/>
      </w:r>
      <w:r w:rsidRPr="00F55BAA">
        <w:rPr>
          <w:rFonts w:asciiTheme="majorHAnsi" w:hAnsiTheme="majorHAnsi" w:cstheme="majorHAnsi"/>
          <w:lang w:eastAsia="en-AU"/>
        </w:rPr>
        <w:t>,</w:t>
      </w:r>
      <w:r w:rsidR="00C41126">
        <w:rPr>
          <w:rFonts w:asciiTheme="majorHAnsi" w:hAnsiTheme="majorHAnsi" w:cstheme="majorHAnsi"/>
          <w:lang w:eastAsia="en-AU"/>
        </w:rPr>
        <w:t xml:space="preserve"> </w:t>
      </w:r>
      <w:r w:rsidR="00C029B3">
        <w:rPr>
          <w:rFonts w:asciiTheme="majorHAnsi" w:hAnsiTheme="majorHAnsi" w:cstheme="majorHAnsi"/>
          <w:lang w:eastAsia="en-AU"/>
        </w:rPr>
        <w:t xml:space="preserve">available </w:t>
      </w:r>
      <w:r w:rsidR="00C41126">
        <w:rPr>
          <w:rFonts w:asciiTheme="majorHAnsi" w:hAnsiTheme="majorHAnsi" w:cstheme="majorHAnsi"/>
          <w:lang w:eastAsia="en-AU"/>
        </w:rPr>
        <w:t xml:space="preserve">final report data </w:t>
      </w:r>
      <w:r w:rsidR="008E05E2">
        <w:rPr>
          <w:rFonts w:asciiTheme="majorHAnsi" w:hAnsiTheme="majorHAnsi" w:cstheme="majorHAnsi"/>
          <w:lang w:eastAsia="en-AU"/>
        </w:rPr>
        <w:t>indicate that</w:t>
      </w:r>
      <w:r w:rsidRPr="00F55BAA">
        <w:rPr>
          <w:rFonts w:asciiTheme="majorHAnsi" w:hAnsiTheme="majorHAnsi" w:cstheme="majorHAnsi"/>
          <w:lang w:eastAsia="en-AU"/>
        </w:rPr>
        <w:t xml:space="preserve"> a high proportion</w:t>
      </w:r>
      <w:r w:rsidRPr="00D66BEC">
        <w:rPr>
          <w:rFonts w:asciiTheme="majorHAnsi" w:hAnsiTheme="majorHAnsi" w:cstheme="majorHAnsi"/>
          <w:lang w:eastAsia="en-AU"/>
        </w:rPr>
        <w:t xml:space="preserve"> of </w:t>
      </w:r>
      <w:r w:rsidR="00717734">
        <w:rPr>
          <w:rFonts w:asciiTheme="majorHAnsi" w:hAnsiTheme="majorHAnsi" w:cstheme="majorHAnsi"/>
          <w:lang w:eastAsia="en-AU"/>
        </w:rPr>
        <w:t xml:space="preserve">projects funded </w:t>
      </w:r>
      <w:r w:rsidR="00E6028A">
        <w:rPr>
          <w:rFonts w:asciiTheme="majorHAnsi" w:hAnsiTheme="majorHAnsi" w:cstheme="majorHAnsi"/>
          <w:lang w:eastAsia="en-AU"/>
        </w:rPr>
        <w:t>from</w:t>
      </w:r>
      <w:r w:rsidR="008C2140">
        <w:rPr>
          <w:rFonts w:asciiTheme="majorHAnsi" w:hAnsiTheme="majorHAnsi" w:cstheme="majorHAnsi"/>
          <w:lang w:eastAsia="en-AU"/>
        </w:rPr>
        <w:t xml:space="preserve"> DP02–DP14</w:t>
      </w:r>
      <w:r>
        <w:rPr>
          <w:rFonts w:asciiTheme="majorHAnsi" w:hAnsiTheme="majorHAnsi" w:cstheme="majorHAnsi"/>
          <w:lang w:eastAsia="en-AU"/>
        </w:rPr>
        <w:t xml:space="preserve"> </w:t>
      </w:r>
      <w:r w:rsidR="00A27265">
        <w:rPr>
          <w:rFonts w:asciiTheme="majorHAnsi" w:hAnsiTheme="majorHAnsi" w:cstheme="majorHAnsi"/>
          <w:lang w:eastAsia="en-AU"/>
        </w:rPr>
        <w:t xml:space="preserve">were reported to have </w:t>
      </w:r>
      <w:r w:rsidR="000534FA">
        <w:rPr>
          <w:rFonts w:asciiTheme="majorHAnsi" w:hAnsiTheme="majorHAnsi" w:cstheme="majorHAnsi"/>
          <w:lang w:eastAsia="en-AU"/>
        </w:rPr>
        <w:t>met</w:t>
      </w:r>
      <w:r>
        <w:rPr>
          <w:rFonts w:asciiTheme="majorHAnsi" w:hAnsiTheme="majorHAnsi" w:cstheme="majorHAnsi"/>
          <w:lang w:eastAsia="en-AU"/>
        </w:rPr>
        <w:t xml:space="preserve"> all project objectives. The proportion of projects meeting no objectives was less than 5 per cent in DP02 and diminished over time from a very low baseline to a negligible level.</w:t>
      </w:r>
    </w:p>
    <w:p w14:paraId="355213F1" w14:textId="07CBEC52" w:rsidR="00C165F1" w:rsidRPr="0006444F" w:rsidRDefault="00C165F1" w:rsidP="00751469">
      <w:pPr>
        <w:pStyle w:val="FigureTitle"/>
        <w:rPr>
          <w:i/>
        </w:rPr>
      </w:pPr>
      <w:bookmarkStart w:id="248" w:name="_Ref49776795"/>
      <w:r w:rsidRPr="0006444F">
        <w:t xml:space="preserve">Figure </w:t>
      </w:r>
      <w:r w:rsidR="00857467">
        <w:fldChar w:fldCharType="begin"/>
      </w:r>
      <w:r w:rsidR="00857467">
        <w:instrText xml:space="preserve"> SEQ Figure \* ARABIC </w:instrText>
      </w:r>
      <w:r w:rsidR="00857467">
        <w:fldChar w:fldCharType="separate"/>
      </w:r>
      <w:r w:rsidR="00AB03D7">
        <w:rPr>
          <w:noProof/>
        </w:rPr>
        <w:t>16</w:t>
      </w:r>
      <w:r w:rsidR="00857467">
        <w:rPr>
          <w:noProof/>
        </w:rPr>
        <w:fldChar w:fldCharType="end"/>
      </w:r>
      <w:bookmarkEnd w:id="248"/>
      <w:r w:rsidRPr="0006444F">
        <w:t>: Proportion of project objectives met, DP02–DP14</w:t>
      </w:r>
    </w:p>
    <w:p w14:paraId="28D3C4D7" w14:textId="43531EB7" w:rsidR="00C165F1" w:rsidRDefault="000E5749" w:rsidP="00C165F1">
      <w:pPr>
        <w:rPr>
          <w:rFonts w:asciiTheme="majorHAnsi" w:hAnsiTheme="majorHAnsi" w:cstheme="majorHAnsi"/>
          <w:b/>
          <w:lang w:eastAsia="en-AU"/>
        </w:rPr>
      </w:pPr>
      <w:r>
        <w:rPr>
          <w:rFonts w:asciiTheme="majorHAnsi" w:hAnsiTheme="majorHAnsi" w:cstheme="majorHAnsi"/>
          <w:b/>
          <w:noProof/>
          <w:lang w:eastAsia="en-AU"/>
        </w:rPr>
        <w:drawing>
          <wp:inline distT="0" distB="0" distL="0" distR="0" wp14:anchorId="512D216D" wp14:editId="753F736C">
            <wp:extent cx="5730875" cy="2914015"/>
            <wp:effectExtent l="0" t="0" r="3175" b="635"/>
            <wp:docPr id="64" name="Picture 64" descr="Figure 16 is a graph showing the proportion of Discovery Projects final reports indicating that the research met all, more than 50 per cent, some or none of the individual research project objectives, between DP02 and DP14.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16 is a graph showing the proportion of Discovery Projects final reports indicating that the research met all, more than 50 per cent, some or none of the individual research project objectives, between DP02 and DP14. See text above and below graph for more inform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2914015"/>
                    </a:xfrm>
                    <a:prstGeom prst="rect">
                      <a:avLst/>
                    </a:prstGeom>
                    <a:noFill/>
                  </pic:spPr>
                </pic:pic>
              </a:graphicData>
            </a:graphic>
          </wp:inline>
        </w:drawing>
      </w:r>
    </w:p>
    <w:p w14:paraId="5F334019" w14:textId="678F6328" w:rsidR="00C165F1" w:rsidRPr="00F970B2" w:rsidRDefault="00C165F1" w:rsidP="00C165F1">
      <w:pPr>
        <w:rPr>
          <w:rFonts w:asciiTheme="majorHAnsi" w:hAnsiTheme="majorHAnsi" w:cstheme="majorHAnsi"/>
          <w:sz w:val="16"/>
          <w:szCs w:val="16"/>
          <w:lang w:eastAsia="en-AU"/>
        </w:rPr>
      </w:pPr>
      <w:r w:rsidRPr="00A82C4B">
        <w:rPr>
          <w:rFonts w:asciiTheme="majorHAnsi" w:hAnsiTheme="majorHAnsi" w:cstheme="majorHAnsi"/>
          <w:sz w:val="16"/>
          <w:szCs w:val="16"/>
          <w:lang w:eastAsia="en-AU"/>
        </w:rPr>
        <w:t>Source: ARC</w:t>
      </w:r>
      <w:r>
        <w:rPr>
          <w:rFonts w:asciiTheme="majorHAnsi" w:hAnsiTheme="majorHAnsi" w:cstheme="majorHAnsi"/>
          <w:sz w:val="16"/>
          <w:szCs w:val="16"/>
          <w:lang w:eastAsia="en-AU"/>
        </w:rPr>
        <w:t xml:space="preserve"> administrative data</w:t>
      </w:r>
      <w:r w:rsidRPr="00A82C4B">
        <w:rPr>
          <w:rFonts w:asciiTheme="majorHAnsi" w:hAnsiTheme="majorHAnsi" w:cstheme="majorHAnsi"/>
          <w:sz w:val="16"/>
          <w:szCs w:val="16"/>
          <w:lang w:eastAsia="en-AU"/>
        </w:rPr>
        <w:t>.</w:t>
      </w:r>
      <w:r>
        <w:rPr>
          <w:rFonts w:asciiTheme="majorHAnsi" w:hAnsiTheme="majorHAnsi" w:cstheme="majorHAnsi"/>
          <w:sz w:val="16"/>
          <w:szCs w:val="16"/>
          <w:lang w:eastAsia="en-AU"/>
        </w:rPr>
        <w:t xml:space="preserve"> </w:t>
      </w:r>
      <w:r>
        <w:rPr>
          <w:rFonts w:asciiTheme="majorHAnsi" w:hAnsiTheme="majorHAnsi" w:cstheme="majorHAnsi"/>
          <w:i/>
          <w:iCs/>
          <w:sz w:val="16"/>
          <w:szCs w:val="16"/>
          <w:lang w:eastAsia="en-AU"/>
        </w:rPr>
        <w:t xml:space="preserve">Note: </w:t>
      </w:r>
      <w:r w:rsidRPr="00F92FF1">
        <w:rPr>
          <w:rFonts w:asciiTheme="majorHAnsi" w:hAnsiTheme="majorHAnsi" w:cstheme="majorHAnsi"/>
          <w:i/>
          <w:sz w:val="16"/>
          <w:szCs w:val="16"/>
          <w:lang w:eastAsia="en-AU"/>
        </w:rPr>
        <w:t>DP15 onwards excluded due to limited data being available.</w:t>
      </w:r>
      <w:r>
        <w:rPr>
          <w:rFonts w:asciiTheme="majorHAnsi" w:hAnsiTheme="majorHAnsi" w:cstheme="majorHAnsi"/>
          <w:i/>
          <w:sz w:val="16"/>
          <w:szCs w:val="16"/>
          <w:lang w:eastAsia="en-AU"/>
        </w:rPr>
        <w:t xml:space="preserve"> Data provided relate to the objectives of individual projects, rather than the Discovery Projects scheme objectives.</w:t>
      </w:r>
      <w:r w:rsidR="00CE09AC">
        <w:rPr>
          <w:rFonts w:asciiTheme="majorHAnsi" w:hAnsiTheme="majorHAnsi" w:cstheme="majorHAnsi"/>
          <w:i/>
          <w:sz w:val="16"/>
          <w:szCs w:val="16"/>
          <w:lang w:eastAsia="en-AU"/>
        </w:rPr>
        <w:t xml:space="preserve"> Early final reports requested </w:t>
      </w:r>
      <w:r w:rsidR="00D54592">
        <w:rPr>
          <w:rFonts w:asciiTheme="majorHAnsi" w:hAnsiTheme="majorHAnsi" w:cstheme="majorHAnsi"/>
          <w:i/>
          <w:sz w:val="16"/>
          <w:szCs w:val="16"/>
          <w:lang w:eastAsia="en-AU"/>
        </w:rPr>
        <w:t>a single overall indication</w:t>
      </w:r>
      <w:r w:rsidR="001346E9">
        <w:rPr>
          <w:rFonts w:asciiTheme="majorHAnsi" w:hAnsiTheme="majorHAnsi" w:cstheme="majorHAnsi"/>
          <w:i/>
          <w:sz w:val="16"/>
          <w:szCs w:val="16"/>
          <w:lang w:eastAsia="en-AU"/>
        </w:rPr>
        <w:t xml:space="preserve"> of whether the research met its objectives; later final reports requested an indication of whether each individual objective ha</w:t>
      </w:r>
      <w:r w:rsidR="00D54592">
        <w:rPr>
          <w:rFonts w:asciiTheme="majorHAnsi" w:hAnsiTheme="majorHAnsi" w:cstheme="majorHAnsi"/>
          <w:i/>
          <w:sz w:val="16"/>
          <w:szCs w:val="16"/>
          <w:lang w:eastAsia="en-AU"/>
        </w:rPr>
        <w:t>d been met.</w:t>
      </w:r>
      <w:r>
        <w:rPr>
          <w:rFonts w:asciiTheme="majorHAnsi" w:hAnsiTheme="majorHAnsi" w:cstheme="majorHAnsi"/>
          <w:i/>
          <w:sz w:val="16"/>
          <w:szCs w:val="16"/>
          <w:lang w:eastAsia="en-AU"/>
        </w:rPr>
        <w:t xml:space="preserve"> </w:t>
      </w:r>
    </w:p>
    <w:p w14:paraId="079CDEC3" w14:textId="73CEF93D" w:rsidR="00C165F1" w:rsidRPr="00B03BC7" w:rsidRDefault="00C165F1" w:rsidP="009E70C7">
      <w:pPr>
        <w:rPr>
          <w:lang w:eastAsia="en-AU"/>
        </w:rPr>
      </w:pPr>
      <w:r>
        <w:rPr>
          <w:rFonts w:asciiTheme="majorHAnsi" w:hAnsiTheme="majorHAnsi" w:cstheme="majorHAnsi"/>
          <w:lang w:eastAsia="en-AU"/>
        </w:rPr>
        <w:t xml:space="preserve">The most noticeable </w:t>
      </w:r>
      <w:r w:rsidRPr="0006430A">
        <w:rPr>
          <w:rFonts w:asciiTheme="majorHAnsi" w:hAnsiTheme="majorHAnsi" w:cstheme="majorHAnsi"/>
          <w:lang w:eastAsia="en-AU"/>
        </w:rPr>
        <w:t xml:space="preserve">features of </w:t>
      </w:r>
      <w:r w:rsidR="0006430A" w:rsidRPr="0006430A">
        <w:rPr>
          <w:rFonts w:asciiTheme="majorHAnsi" w:hAnsiTheme="majorHAnsi" w:cstheme="majorHAnsi"/>
          <w:lang w:eastAsia="en-AU"/>
        </w:rPr>
        <w:fldChar w:fldCharType="begin"/>
      </w:r>
      <w:r w:rsidR="0006430A" w:rsidRPr="0006430A">
        <w:rPr>
          <w:rFonts w:asciiTheme="majorHAnsi" w:hAnsiTheme="majorHAnsi" w:cstheme="majorHAnsi"/>
          <w:lang w:eastAsia="en-AU"/>
        </w:rPr>
        <w:instrText xml:space="preserve"> REF _Ref49776795 \h  \* MERGEFORMAT </w:instrText>
      </w:r>
      <w:r w:rsidR="0006430A" w:rsidRPr="0006430A">
        <w:rPr>
          <w:rFonts w:asciiTheme="majorHAnsi" w:hAnsiTheme="majorHAnsi" w:cstheme="majorHAnsi"/>
          <w:lang w:eastAsia="en-AU"/>
        </w:rPr>
      </w:r>
      <w:r w:rsidR="0006430A" w:rsidRPr="0006430A">
        <w:rPr>
          <w:rFonts w:asciiTheme="majorHAnsi"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16</w:t>
      </w:r>
      <w:r w:rsidR="0006430A" w:rsidRPr="0006430A">
        <w:rPr>
          <w:rFonts w:asciiTheme="majorHAnsi" w:hAnsiTheme="majorHAnsi" w:cstheme="majorHAnsi"/>
          <w:lang w:eastAsia="en-AU"/>
        </w:rPr>
        <w:fldChar w:fldCharType="end"/>
      </w:r>
      <w:r w:rsidRPr="0006430A">
        <w:rPr>
          <w:rFonts w:asciiTheme="majorHAnsi" w:hAnsiTheme="majorHAnsi" w:cstheme="majorHAnsi"/>
          <w:lang w:eastAsia="en-AU"/>
        </w:rPr>
        <w:t xml:space="preserve"> are</w:t>
      </w:r>
      <w:r w:rsidRPr="002A0132">
        <w:rPr>
          <w:rFonts w:asciiTheme="majorHAnsi" w:hAnsiTheme="majorHAnsi" w:cstheme="majorHAnsi"/>
          <w:lang w:eastAsia="en-AU"/>
        </w:rPr>
        <w:t xml:space="preserve"> the</w:t>
      </w:r>
      <w:r>
        <w:rPr>
          <w:rFonts w:asciiTheme="majorHAnsi" w:hAnsiTheme="majorHAnsi" w:cstheme="majorHAnsi"/>
          <w:lang w:eastAsia="en-AU"/>
        </w:rPr>
        <w:t xml:space="preserve"> decline in the proportion of research described as meeting all specified project objectives from DP07 (95.7 per cent) to DP11 (77.6 per cent), and the simultaneous rise in the proportion of research meeting 50 per cent or more of project objectives (</w:t>
      </w:r>
      <w:r w:rsidRPr="00BF7479">
        <w:rPr>
          <w:rFonts w:asciiTheme="majorHAnsi" w:hAnsiTheme="majorHAnsi" w:cstheme="majorHAnsi"/>
          <w:lang w:eastAsia="en-AU"/>
        </w:rPr>
        <w:t>from</w:t>
      </w:r>
      <w:r w:rsidRPr="0006444F">
        <w:rPr>
          <w:rFonts w:asciiTheme="majorHAnsi" w:hAnsiTheme="majorHAnsi" w:cstheme="majorHAnsi"/>
          <w:lang w:eastAsia="en-AU"/>
        </w:rPr>
        <w:t xml:space="preserve"> 1.5 </w:t>
      </w:r>
      <w:r w:rsidRPr="00BF7479">
        <w:rPr>
          <w:rFonts w:asciiTheme="majorHAnsi" w:hAnsiTheme="majorHAnsi" w:cstheme="majorHAnsi"/>
          <w:lang w:eastAsia="en-AU"/>
        </w:rPr>
        <w:t>per</w:t>
      </w:r>
      <w:r>
        <w:rPr>
          <w:rFonts w:asciiTheme="majorHAnsi" w:hAnsiTheme="majorHAnsi" w:cstheme="majorHAnsi"/>
          <w:lang w:eastAsia="en-AU"/>
        </w:rPr>
        <w:t xml:space="preserve"> cent in DP07 to 17.4 per cent in DP14). These apparent changes are likely to reflect amendments to ARC reporting processes. </w:t>
      </w:r>
      <w:r w:rsidR="00832269">
        <w:rPr>
          <w:rFonts w:asciiTheme="majorHAnsi" w:hAnsiTheme="majorHAnsi" w:cstheme="majorHAnsi"/>
          <w:lang w:eastAsia="en-AU"/>
        </w:rPr>
        <w:t>Origina</w:t>
      </w:r>
      <w:r w:rsidR="00850757">
        <w:rPr>
          <w:rFonts w:asciiTheme="majorHAnsi" w:hAnsiTheme="majorHAnsi" w:cstheme="majorHAnsi"/>
          <w:lang w:eastAsia="en-AU"/>
        </w:rPr>
        <w:t>lly,</w:t>
      </w:r>
      <w:r>
        <w:rPr>
          <w:rFonts w:asciiTheme="majorHAnsi" w:hAnsiTheme="majorHAnsi" w:cstheme="majorHAnsi"/>
          <w:lang w:eastAsia="en-AU"/>
        </w:rPr>
        <w:t xml:space="preserve"> Discovery Projects final reports asked, ‘Did the project meet its initial objectives or approved revised objectives?’, with researchers only able to provide a ‘Yes’ or ‘No’ response to describe the project as a whole. In later years, researchers were asked to respond against each individual project objective, allowing for more nuanced reporting. </w:t>
      </w:r>
      <w:bookmarkStart w:id="249" w:name="_Toc50618104"/>
      <w:bookmarkStart w:id="250" w:name="_Toc50618386"/>
      <w:bookmarkStart w:id="251" w:name="_Toc51916976"/>
      <w:bookmarkStart w:id="252" w:name="_Toc51918816"/>
      <w:bookmarkStart w:id="253" w:name="_Toc51918703"/>
      <w:bookmarkStart w:id="254" w:name="_Toc50618105"/>
      <w:bookmarkStart w:id="255" w:name="_Toc50618387"/>
      <w:bookmarkStart w:id="256" w:name="_Toc51916977"/>
      <w:bookmarkStart w:id="257" w:name="_Toc51918817"/>
      <w:bookmarkStart w:id="258" w:name="_Toc51918704"/>
      <w:bookmarkStart w:id="259" w:name="_Toc50618106"/>
      <w:bookmarkStart w:id="260" w:name="_Toc50618388"/>
      <w:bookmarkStart w:id="261" w:name="_Toc51916978"/>
      <w:bookmarkStart w:id="262" w:name="_Toc51918818"/>
      <w:bookmarkStart w:id="263" w:name="_Toc51918705"/>
      <w:bookmarkStart w:id="264" w:name="_Toc50618107"/>
      <w:bookmarkStart w:id="265" w:name="_Toc50618389"/>
      <w:bookmarkStart w:id="266" w:name="_Toc51916979"/>
      <w:bookmarkStart w:id="267" w:name="_Toc51918819"/>
      <w:bookmarkStart w:id="268" w:name="_Toc51918706"/>
      <w:bookmarkStart w:id="269" w:name="_Toc50618108"/>
      <w:bookmarkStart w:id="270" w:name="_Toc50618390"/>
      <w:bookmarkStart w:id="271" w:name="_Toc51916980"/>
      <w:bookmarkStart w:id="272" w:name="_Toc51918820"/>
      <w:bookmarkStart w:id="273" w:name="_Toc51918707"/>
      <w:bookmarkStart w:id="274" w:name="_Toc50618109"/>
      <w:bookmarkStart w:id="275" w:name="_Toc50618391"/>
      <w:bookmarkStart w:id="276" w:name="_Toc51916981"/>
      <w:bookmarkStart w:id="277" w:name="_Toc51918821"/>
      <w:bookmarkStart w:id="278" w:name="_Toc51918708"/>
      <w:bookmarkStart w:id="279" w:name="_Toc50618110"/>
      <w:bookmarkStart w:id="280" w:name="_Toc50618392"/>
      <w:bookmarkStart w:id="281" w:name="_Toc51916982"/>
      <w:bookmarkStart w:id="282" w:name="_Toc51918822"/>
      <w:bookmarkStart w:id="283" w:name="_Toc51918709"/>
      <w:bookmarkStart w:id="284" w:name="_Toc50618111"/>
      <w:bookmarkStart w:id="285" w:name="_Toc50618393"/>
      <w:bookmarkStart w:id="286" w:name="_Toc51916983"/>
      <w:bookmarkStart w:id="287" w:name="_Toc51918823"/>
      <w:bookmarkStart w:id="288" w:name="_Toc51918710"/>
      <w:bookmarkStart w:id="289" w:name="_Toc50618112"/>
      <w:bookmarkStart w:id="290" w:name="_Toc50618394"/>
      <w:bookmarkStart w:id="291" w:name="_Toc51916984"/>
      <w:bookmarkStart w:id="292" w:name="_Toc51918824"/>
      <w:bookmarkStart w:id="293" w:name="_Toc51918711"/>
      <w:bookmarkStart w:id="294" w:name="_Toc50618113"/>
      <w:bookmarkStart w:id="295" w:name="_Toc50618395"/>
      <w:bookmarkStart w:id="296" w:name="_Toc51916985"/>
      <w:bookmarkStart w:id="297" w:name="_Toc51918825"/>
      <w:bookmarkStart w:id="298" w:name="_Toc51918712"/>
      <w:bookmarkStart w:id="299" w:name="_Toc50618114"/>
      <w:bookmarkStart w:id="300" w:name="_Toc50618396"/>
      <w:bookmarkStart w:id="301" w:name="_Toc51916986"/>
      <w:bookmarkStart w:id="302" w:name="_Toc51918826"/>
      <w:bookmarkStart w:id="303" w:name="_Toc5191871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2DCE9DC5" w14:textId="77777777" w:rsidR="00D452A2" w:rsidRDefault="00D452A2">
      <w:pPr>
        <w:rPr>
          <w:rFonts w:asciiTheme="majorHAnsi" w:eastAsia="Times New Roman" w:hAnsiTheme="majorHAnsi" w:cstheme="majorHAnsi"/>
          <w:b/>
          <w:sz w:val="28"/>
          <w:szCs w:val="28"/>
        </w:rPr>
      </w:pPr>
      <w:r>
        <w:br w:type="page"/>
      </w:r>
    </w:p>
    <w:p w14:paraId="25BF31FF" w14:textId="605FB468" w:rsidR="006F159A" w:rsidRPr="006F159A" w:rsidRDefault="006F159A" w:rsidP="007057E6">
      <w:pPr>
        <w:pStyle w:val="Heading1"/>
        <w:numPr>
          <w:ilvl w:val="0"/>
          <w:numId w:val="0"/>
        </w:numPr>
        <w:spacing w:after="480"/>
      </w:pPr>
      <w:bookmarkStart w:id="304" w:name="_Toc51918714"/>
      <w:bookmarkStart w:id="305" w:name="_Toc55544794"/>
      <w:r w:rsidRPr="006F159A">
        <w:lastRenderedPageBreak/>
        <w:t>Part Three: Effectiveness—Discovery Projects scheme objectives</w:t>
      </w:r>
      <w:bookmarkEnd w:id="304"/>
      <w:bookmarkEnd w:id="305"/>
    </w:p>
    <w:p w14:paraId="562FA12D" w14:textId="77777777" w:rsidR="003164D6" w:rsidRPr="006F159A" w:rsidRDefault="003164D6" w:rsidP="003164D6">
      <w:pPr>
        <w:spacing w:after="120"/>
        <w:rPr>
          <w:rFonts w:asciiTheme="majorHAnsi" w:hAnsiTheme="majorHAnsi" w:cstheme="majorHAnsi"/>
        </w:rPr>
      </w:pPr>
      <w:r w:rsidRPr="006F159A">
        <w:rPr>
          <w:rFonts w:asciiTheme="majorHAnsi" w:hAnsiTheme="majorHAnsi" w:cstheme="majorHAnsi"/>
        </w:rPr>
        <w:t>Part Three evaluates Discovery Projects’ effectiveness in achieving its objectives, as stated in the DP21 Grant Guidelines. Following an initial analysis of stakeholder perceptions of Discovery Projects’ performance in relation to its objectives overall, the scheme’s effectiveness is assessed in relation to individual elements of the objectives, as follows:</w:t>
      </w:r>
    </w:p>
    <w:p w14:paraId="7C472D76" w14:textId="77777777" w:rsidR="003164D6" w:rsidRPr="006F159A" w:rsidRDefault="003164D6" w:rsidP="003164D6">
      <w:pPr>
        <w:numPr>
          <w:ilvl w:val="0"/>
          <w:numId w:val="16"/>
        </w:numPr>
        <w:spacing w:before="60" w:after="60"/>
        <w:ind w:left="714" w:hanging="357"/>
        <w:contextualSpacing/>
        <w:rPr>
          <w:rFonts w:asciiTheme="majorHAnsi" w:hAnsiTheme="majorHAnsi" w:cstheme="majorHAnsi"/>
        </w:rPr>
      </w:pPr>
      <w:r w:rsidRPr="006F159A">
        <w:rPr>
          <w:rFonts w:asciiTheme="majorHAnsi" w:hAnsiTheme="majorHAnsi" w:cstheme="majorHAnsi"/>
        </w:rPr>
        <w:t>supporting excellent basic and applied research by individuals and teams</w:t>
      </w:r>
    </w:p>
    <w:p w14:paraId="51A7FA35" w14:textId="77777777" w:rsidR="003164D6" w:rsidRPr="006F159A" w:rsidRDefault="003164D6" w:rsidP="003164D6">
      <w:pPr>
        <w:numPr>
          <w:ilvl w:val="0"/>
          <w:numId w:val="16"/>
        </w:numPr>
        <w:spacing w:before="60" w:after="60"/>
        <w:ind w:left="714" w:hanging="357"/>
        <w:contextualSpacing/>
        <w:rPr>
          <w:rFonts w:asciiTheme="majorHAnsi" w:hAnsiTheme="majorHAnsi" w:cstheme="majorHAnsi"/>
        </w:rPr>
      </w:pPr>
      <w:r w:rsidRPr="006F159A">
        <w:rPr>
          <w:rFonts w:asciiTheme="majorHAnsi" w:hAnsiTheme="majorHAnsi" w:cstheme="majorHAnsi"/>
        </w:rPr>
        <w:t>supporting excellent research training</w:t>
      </w:r>
    </w:p>
    <w:p w14:paraId="3436A449" w14:textId="641662E4" w:rsidR="003164D6" w:rsidRPr="006F159A" w:rsidRDefault="003164D6" w:rsidP="003164D6">
      <w:pPr>
        <w:numPr>
          <w:ilvl w:val="0"/>
          <w:numId w:val="16"/>
        </w:numPr>
        <w:spacing w:before="60" w:after="60"/>
        <w:ind w:left="714" w:hanging="357"/>
        <w:contextualSpacing/>
        <w:rPr>
          <w:rFonts w:asciiTheme="majorHAnsi" w:hAnsiTheme="majorHAnsi" w:cstheme="majorHAnsi"/>
        </w:rPr>
      </w:pPr>
      <w:r w:rsidRPr="006F159A">
        <w:rPr>
          <w:rFonts w:asciiTheme="majorHAnsi" w:hAnsiTheme="majorHAnsi" w:cstheme="majorHAnsi"/>
        </w:rPr>
        <w:t>supporting national and international</w:t>
      </w:r>
      <w:r w:rsidR="00DB00FE">
        <w:rPr>
          <w:rFonts w:asciiTheme="majorHAnsi" w:hAnsiTheme="majorHAnsi" w:cstheme="majorHAnsi"/>
        </w:rPr>
        <w:t xml:space="preserve"> research</w:t>
      </w:r>
      <w:r w:rsidRPr="006F159A">
        <w:rPr>
          <w:rFonts w:asciiTheme="majorHAnsi" w:hAnsiTheme="majorHAnsi" w:cstheme="majorHAnsi"/>
        </w:rPr>
        <w:t xml:space="preserve"> collaboration</w:t>
      </w:r>
    </w:p>
    <w:p w14:paraId="2F4966FA" w14:textId="4A2C69A4" w:rsidR="003164D6" w:rsidRPr="006F159A" w:rsidRDefault="003164D6" w:rsidP="003164D6">
      <w:pPr>
        <w:numPr>
          <w:ilvl w:val="0"/>
          <w:numId w:val="16"/>
        </w:numPr>
        <w:spacing w:before="60" w:after="120"/>
        <w:ind w:left="714" w:hanging="357"/>
        <w:rPr>
          <w:rFonts w:asciiTheme="majorHAnsi" w:hAnsiTheme="majorHAnsi" w:cstheme="majorHAnsi"/>
        </w:rPr>
      </w:pPr>
      <w:r w:rsidRPr="006F159A">
        <w:rPr>
          <w:rFonts w:asciiTheme="majorHAnsi" w:hAnsiTheme="majorHAnsi" w:cstheme="majorHAnsi"/>
        </w:rPr>
        <w:t>enhanc</w:t>
      </w:r>
      <w:r w:rsidR="00B327C4">
        <w:rPr>
          <w:rFonts w:asciiTheme="majorHAnsi" w:hAnsiTheme="majorHAnsi" w:cstheme="majorHAnsi"/>
        </w:rPr>
        <w:t>ing the</w:t>
      </w:r>
      <w:r w:rsidRPr="006F159A">
        <w:rPr>
          <w:rFonts w:asciiTheme="majorHAnsi" w:hAnsiTheme="majorHAnsi" w:cstheme="majorHAnsi"/>
        </w:rPr>
        <w:t xml:space="preserve"> scale and focus of research in Australian Government priority areas.</w:t>
      </w:r>
    </w:p>
    <w:p w14:paraId="2CE48784" w14:textId="64CC78D1" w:rsidR="003164D6" w:rsidRPr="005D7336" w:rsidRDefault="003164D6" w:rsidP="007057E6">
      <w:r w:rsidRPr="006F159A">
        <w:rPr>
          <w:rFonts w:asciiTheme="majorHAnsi" w:hAnsiTheme="majorHAnsi" w:cstheme="majorHAnsi"/>
        </w:rPr>
        <w:t>Each section includes a discussion of the approach Discovery Projects employs to achieve the objective, a consideration of relevant internal ARC administrative data, and a discussion of key perspectives emerging from surveys and interviews with stakeholders.</w:t>
      </w:r>
    </w:p>
    <w:p w14:paraId="01BC33DB" w14:textId="2449AEB6" w:rsidR="00BE18E2" w:rsidRDefault="00BE18E2" w:rsidP="00BE18E2">
      <w:pPr>
        <w:pStyle w:val="Heading2"/>
        <w:numPr>
          <w:ilvl w:val="0"/>
          <w:numId w:val="0"/>
        </w:numPr>
        <w:shd w:val="clear" w:color="auto" w:fill="DEEAF6" w:themeFill="accent1" w:themeFillTint="33"/>
        <w:ind w:left="576" w:hanging="576"/>
        <w:rPr>
          <w:lang w:eastAsia="en-AU"/>
        </w:rPr>
      </w:pPr>
      <w:bookmarkStart w:id="306" w:name="_Toc51916988"/>
      <w:bookmarkStart w:id="307" w:name="_Toc51918828"/>
      <w:bookmarkStart w:id="308" w:name="_Toc51918715"/>
      <w:bookmarkStart w:id="309" w:name="_Toc53557219"/>
      <w:bookmarkStart w:id="310" w:name="_Toc54699261"/>
      <w:bookmarkStart w:id="311" w:name="_Toc55544795"/>
      <w:r>
        <w:rPr>
          <w:lang w:eastAsia="en-AU"/>
        </w:rPr>
        <w:t>Summary of findings</w:t>
      </w:r>
      <w:bookmarkEnd w:id="306"/>
      <w:bookmarkEnd w:id="307"/>
      <w:bookmarkEnd w:id="308"/>
      <w:bookmarkEnd w:id="309"/>
      <w:bookmarkEnd w:id="310"/>
      <w:bookmarkEnd w:id="311"/>
    </w:p>
    <w:p w14:paraId="2C1E1374" w14:textId="6CA8E439" w:rsidR="00BE18E2" w:rsidRDefault="00186C70" w:rsidP="00BE18E2">
      <w:pPr>
        <w:numPr>
          <w:ilvl w:val="0"/>
          <w:numId w:val="40"/>
        </w:numPr>
        <w:shd w:val="clear" w:color="auto" w:fill="DEEAF6" w:themeFill="accent1" w:themeFillTint="33"/>
        <w:spacing w:after="60"/>
        <w:ind w:left="284" w:hanging="284"/>
        <w:rPr>
          <w:rFonts w:ascii="Calibri Light" w:eastAsia="Calibri" w:hAnsi="Calibri Light" w:cs="Calibri Light"/>
        </w:rPr>
      </w:pPr>
      <w:r>
        <w:rPr>
          <w:rFonts w:ascii="Calibri Light" w:eastAsia="Calibri" w:hAnsi="Calibri Light" w:cs="Calibri Light"/>
        </w:rPr>
        <w:t>S</w:t>
      </w:r>
      <w:r w:rsidR="00BE18E2">
        <w:rPr>
          <w:rFonts w:ascii="Calibri Light" w:eastAsia="Calibri" w:hAnsi="Calibri Light" w:cs="Calibri Light"/>
        </w:rPr>
        <w:t xml:space="preserve">takeholder feedback </w:t>
      </w:r>
      <w:r>
        <w:rPr>
          <w:rFonts w:ascii="Calibri Light" w:eastAsia="Calibri" w:hAnsi="Calibri Light" w:cs="Calibri Light"/>
        </w:rPr>
        <w:t xml:space="preserve">and ARC data </w:t>
      </w:r>
      <w:r w:rsidR="00BE18E2">
        <w:rPr>
          <w:rFonts w:ascii="Calibri Light" w:eastAsia="Calibri" w:hAnsi="Calibri Light" w:cs="Calibri Light"/>
        </w:rPr>
        <w:t xml:space="preserve">indicate </w:t>
      </w:r>
      <w:r w:rsidR="00F2309E">
        <w:rPr>
          <w:rFonts w:ascii="Calibri Light" w:eastAsia="Calibri" w:hAnsi="Calibri Light" w:cs="Calibri Light"/>
        </w:rPr>
        <w:t>that</w:t>
      </w:r>
      <w:r w:rsidR="00BE18E2" w:rsidRPr="006F159A">
        <w:rPr>
          <w:rFonts w:ascii="Calibri Light" w:eastAsia="Calibri" w:hAnsi="Calibri Light" w:cs="Calibri Light"/>
        </w:rPr>
        <w:t xml:space="preserve"> Discovery Projects </w:t>
      </w:r>
      <w:r w:rsidR="00BE18E2">
        <w:rPr>
          <w:rFonts w:ascii="Calibri Light" w:eastAsia="Calibri" w:hAnsi="Calibri Light" w:cs="Calibri Light"/>
        </w:rPr>
        <w:t xml:space="preserve">is effective in </w:t>
      </w:r>
      <w:r w:rsidR="00BE18E2" w:rsidRPr="006F159A">
        <w:rPr>
          <w:rFonts w:ascii="Calibri Light" w:eastAsia="Calibri" w:hAnsi="Calibri Light" w:cs="Calibri Light"/>
        </w:rPr>
        <w:t xml:space="preserve">achieving </w:t>
      </w:r>
      <w:r w:rsidR="00BE18E2">
        <w:rPr>
          <w:rFonts w:ascii="Calibri Light" w:eastAsia="Calibri" w:hAnsi="Calibri Light" w:cs="Calibri Light"/>
        </w:rPr>
        <w:t>its</w:t>
      </w:r>
      <w:r w:rsidR="00BE18E2" w:rsidRPr="006F159A">
        <w:rPr>
          <w:rFonts w:ascii="Calibri Light" w:eastAsia="Calibri" w:hAnsi="Calibri Light" w:cs="Calibri Light"/>
        </w:rPr>
        <w:t xml:space="preserve"> objectives</w:t>
      </w:r>
      <w:r w:rsidR="001E05F0">
        <w:rPr>
          <w:rFonts w:ascii="Calibri Light" w:eastAsia="Calibri" w:hAnsi="Calibri Light" w:cs="Calibri Light"/>
        </w:rPr>
        <w:t>. S</w:t>
      </w:r>
      <w:r w:rsidR="003409D4">
        <w:rPr>
          <w:rFonts w:ascii="Calibri Light" w:eastAsia="Calibri" w:hAnsi="Calibri Light" w:cs="Calibri Light"/>
        </w:rPr>
        <w:t>takeholders</w:t>
      </w:r>
      <w:r w:rsidR="000B1798">
        <w:rPr>
          <w:rFonts w:ascii="Calibri Light" w:eastAsia="Calibri" w:hAnsi="Calibri Light" w:cs="Calibri Light"/>
        </w:rPr>
        <w:t xml:space="preserve"> regard</w:t>
      </w:r>
      <w:r w:rsidR="001E05F0">
        <w:rPr>
          <w:rFonts w:ascii="Calibri Light" w:eastAsia="Calibri" w:hAnsi="Calibri Light" w:cs="Calibri Light"/>
        </w:rPr>
        <w:t>ed</w:t>
      </w:r>
      <w:r w:rsidR="000B1798">
        <w:rPr>
          <w:rFonts w:ascii="Calibri Light" w:eastAsia="Calibri" w:hAnsi="Calibri Light" w:cs="Calibri Light"/>
        </w:rPr>
        <w:t xml:space="preserve"> </w:t>
      </w:r>
      <w:r w:rsidR="001E05F0">
        <w:rPr>
          <w:rFonts w:ascii="Calibri Light" w:eastAsia="Calibri" w:hAnsi="Calibri Light" w:cs="Calibri Light"/>
        </w:rPr>
        <w:t>the scheme</w:t>
      </w:r>
      <w:r w:rsidR="000B1798">
        <w:rPr>
          <w:rFonts w:ascii="Calibri Light" w:eastAsia="Calibri" w:hAnsi="Calibri Light" w:cs="Calibri Light"/>
        </w:rPr>
        <w:t xml:space="preserve"> to be most effective in</w:t>
      </w:r>
      <w:r w:rsidR="00BE18E2" w:rsidRPr="006F159A">
        <w:rPr>
          <w:rFonts w:ascii="Calibri Light" w:eastAsia="Calibri" w:hAnsi="Calibri Light" w:cs="Calibri Light"/>
        </w:rPr>
        <w:t xml:space="preserve"> </w:t>
      </w:r>
      <w:r w:rsidR="001E05F0">
        <w:rPr>
          <w:rFonts w:ascii="Calibri Light" w:eastAsia="Calibri" w:hAnsi="Calibri Light" w:cs="Calibri Light"/>
        </w:rPr>
        <w:t>supporting</w:t>
      </w:r>
      <w:r w:rsidR="00BE18E2" w:rsidRPr="006F159A">
        <w:rPr>
          <w:rFonts w:ascii="Calibri Light" w:eastAsia="Calibri" w:hAnsi="Calibri Light" w:cs="Calibri Light"/>
        </w:rPr>
        <w:t xml:space="preserve"> basic research, </w:t>
      </w:r>
      <w:r w:rsidR="004D3F8B">
        <w:rPr>
          <w:rFonts w:ascii="Calibri Light" w:eastAsia="Calibri" w:hAnsi="Calibri Light" w:cs="Calibri Light"/>
        </w:rPr>
        <w:t xml:space="preserve">national </w:t>
      </w:r>
      <w:r w:rsidR="001E05F0">
        <w:rPr>
          <w:rFonts w:ascii="Calibri Light" w:eastAsia="Calibri" w:hAnsi="Calibri Light" w:cs="Calibri Light"/>
        </w:rPr>
        <w:t xml:space="preserve">research </w:t>
      </w:r>
      <w:r w:rsidR="004D3F8B">
        <w:rPr>
          <w:rFonts w:ascii="Calibri Light" w:eastAsia="Calibri" w:hAnsi="Calibri Light" w:cs="Calibri Light"/>
        </w:rPr>
        <w:t xml:space="preserve">collaboration and </w:t>
      </w:r>
      <w:r w:rsidR="00BE18E2" w:rsidRPr="006F159A">
        <w:rPr>
          <w:rFonts w:ascii="Calibri Light" w:eastAsia="Calibri" w:hAnsi="Calibri Light" w:cs="Calibri Light"/>
        </w:rPr>
        <w:t xml:space="preserve">research training. </w:t>
      </w:r>
    </w:p>
    <w:p w14:paraId="285AF82E" w14:textId="15C8C88C" w:rsidR="007579C4" w:rsidRPr="00BD01CE" w:rsidRDefault="007579C4">
      <w:pPr>
        <w:numPr>
          <w:ilvl w:val="0"/>
          <w:numId w:val="40"/>
        </w:numPr>
        <w:shd w:val="clear" w:color="auto" w:fill="DEEAF6" w:themeFill="accent1" w:themeFillTint="33"/>
        <w:spacing w:after="60"/>
        <w:ind w:left="284" w:hanging="284"/>
        <w:rPr>
          <w:rFonts w:ascii="Calibri Light" w:eastAsia="Calibri" w:hAnsi="Calibri Light" w:cs="Calibri Light"/>
        </w:rPr>
      </w:pPr>
      <w:r>
        <w:rPr>
          <w:rFonts w:ascii="Calibri Light" w:eastAsia="Calibri" w:hAnsi="Calibri Light" w:cs="Calibri Light"/>
        </w:rPr>
        <w:t xml:space="preserve">Researchers </w:t>
      </w:r>
      <w:r w:rsidR="00E72E62">
        <w:rPr>
          <w:rFonts w:ascii="Calibri Light" w:eastAsia="Calibri" w:hAnsi="Calibri Light" w:cs="Calibri Light"/>
        </w:rPr>
        <w:t xml:space="preserve">whose </w:t>
      </w:r>
      <w:r w:rsidR="00DB3A73">
        <w:rPr>
          <w:rFonts w:ascii="Calibri Light" w:eastAsia="Calibri" w:hAnsi="Calibri Light" w:cs="Calibri Light"/>
        </w:rPr>
        <w:t>last</w:t>
      </w:r>
      <w:r w:rsidR="001D77DA">
        <w:rPr>
          <w:rFonts w:ascii="Calibri Light" w:eastAsia="Calibri" w:hAnsi="Calibri Light" w:cs="Calibri Light"/>
        </w:rPr>
        <w:t xml:space="preserve"> completed</w:t>
      </w:r>
      <w:r w:rsidR="001D77DA" w:rsidRPr="006D7380">
        <w:rPr>
          <w:rFonts w:ascii="Calibri Light" w:eastAsia="Calibri" w:hAnsi="Calibri Light" w:cs="Calibri Light"/>
        </w:rPr>
        <w:t xml:space="preserve"> project under the scheme </w:t>
      </w:r>
      <w:r w:rsidR="001D77DA">
        <w:rPr>
          <w:rFonts w:ascii="Calibri Light" w:eastAsia="Calibri" w:hAnsi="Calibri Light" w:cs="Calibri Light"/>
        </w:rPr>
        <w:t>was finalised recently (2018 or later),</w:t>
      </w:r>
      <w:r w:rsidR="001D77DA" w:rsidRPr="006D7380">
        <w:rPr>
          <w:rFonts w:ascii="Calibri Light" w:eastAsia="Calibri" w:hAnsi="Calibri Light" w:cs="Calibri Light"/>
        </w:rPr>
        <w:t xml:space="preserve"> or</w:t>
      </w:r>
      <w:r w:rsidR="001D77DA">
        <w:rPr>
          <w:rFonts w:ascii="Calibri Light" w:eastAsia="Calibri" w:hAnsi="Calibri Light" w:cs="Calibri Light"/>
        </w:rPr>
        <w:t xml:space="preserve"> </w:t>
      </w:r>
      <w:r w:rsidR="001D77DA" w:rsidRPr="006D7380">
        <w:rPr>
          <w:rFonts w:ascii="Calibri Light" w:eastAsia="Calibri" w:hAnsi="Calibri Light" w:cs="Calibri Light"/>
        </w:rPr>
        <w:t>involved international collaboration</w:t>
      </w:r>
      <w:r w:rsidR="00021C36">
        <w:rPr>
          <w:rFonts w:ascii="Calibri Light" w:eastAsia="Calibri" w:hAnsi="Calibri Light" w:cs="Calibri Light"/>
        </w:rPr>
        <w:t xml:space="preserve">, </w:t>
      </w:r>
      <w:r w:rsidR="001928D4">
        <w:rPr>
          <w:rFonts w:ascii="Calibri Light" w:eastAsia="Calibri" w:hAnsi="Calibri Light" w:cs="Calibri Light"/>
        </w:rPr>
        <w:t>tended to be</w:t>
      </w:r>
      <w:r w:rsidR="0046371F">
        <w:rPr>
          <w:rFonts w:ascii="Calibri Light" w:eastAsia="Calibri" w:hAnsi="Calibri Light" w:cs="Calibri Light"/>
        </w:rPr>
        <w:t xml:space="preserve"> more</w:t>
      </w:r>
      <w:r w:rsidR="00214ECF">
        <w:rPr>
          <w:rFonts w:ascii="Calibri Light" w:eastAsia="Calibri" w:hAnsi="Calibri Light" w:cs="Calibri Light"/>
        </w:rPr>
        <w:t xml:space="preserve"> positive</w:t>
      </w:r>
      <w:r w:rsidR="0019433A">
        <w:rPr>
          <w:rFonts w:ascii="Calibri Light" w:eastAsia="Calibri" w:hAnsi="Calibri Light" w:cs="Calibri Light"/>
        </w:rPr>
        <w:t xml:space="preserve"> </w:t>
      </w:r>
      <w:r w:rsidR="001D77DA">
        <w:rPr>
          <w:rFonts w:ascii="Calibri Light" w:eastAsia="Calibri" w:hAnsi="Calibri Light" w:cs="Calibri Light"/>
        </w:rPr>
        <w:t xml:space="preserve">overall </w:t>
      </w:r>
      <w:r w:rsidR="00214ECF">
        <w:rPr>
          <w:rFonts w:ascii="Calibri Light" w:eastAsia="Calibri" w:hAnsi="Calibri Light" w:cs="Calibri Light"/>
        </w:rPr>
        <w:t xml:space="preserve">about </w:t>
      </w:r>
      <w:r w:rsidR="00BD01CE">
        <w:rPr>
          <w:rFonts w:ascii="Calibri Light" w:eastAsia="Calibri" w:hAnsi="Calibri Light" w:cs="Calibri Light"/>
        </w:rPr>
        <w:t>Discovery Projects’</w:t>
      </w:r>
      <w:r w:rsidR="00214ECF" w:rsidRPr="00BD01CE">
        <w:rPr>
          <w:rFonts w:ascii="Calibri Light" w:eastAsia="Calibri" w:hAnsi="Calibri Light" w:cs="Calibri Light"/>
        </w:rPr>
        <w:t xml:space="preserve"> effectiveness in meeting its objectives</w:t>
      </w:r>
      <w:r w:rsidR="00021C36">
        <w:rPr>
          <w:rFonts w:ascii="Calibri Light" w:eastAsia="Calibri" w:hAnsi="Calibri Light" w:cs="Calibri Light"/>
        </w:rPr>
        <w:t>.</w:t>
      </w:r>
    </w:p>
    <w:p w14:paraId="18DD1A25" w14:textId="264844E9" w:rsidR="00BE18E2" w:rsidRPr="006F159A" w:rsidRDefault="00BE18E2" w:rsidP="00BE18E2">
      <w:pPr>
        <w:shd w:val="clear" w:color="auto" w:fill="DEEAF6" w:themeFill="accent1" w:themeFillTint="33"/>
        <w:spacing w:before="120" w:after="120"/>
        <w:ind w:left="284" w:hanging="284"/>
        <w:rPr>
          <w:rFonts w:ascii="Calibri Light" w:eastAsia="Calibri" w:hAnsi="Calibri Light" w:cs="Calibri Light"/>
          <w:i/>
          <w:iCs/>
        </w:rPr>
      </w:pPr>
      <w:r w:rsidRPr="006F159A">
        <w:rPr>
          <w:rFonts w:ascii="Calibri Light" w:eastAsia="Calibri" w:hAnsi="Calibri Light" w:cs="Calibri Light"/>
          <w:i/>
          <w:iCs/>
        </w:rPr>
        <w:t>Supporting excellent basic and applied research by individuals and teams</w:t>
      </w:r>
    </w:p>
    <w:p w14:paraId="4D8AFC25" w14:textId="017188B6" w:rsidR="00BE18E2" w:rsidRPr="00F117EF" w:rsidRDefault="00466F43" w:rsidP="00BE18E2">
      <w:pPr>
        <w:numPr>
          <w:ilvl w:val="0"/>
          <w:numId w:val="41"/>
        </w:numPr>
        <w:shd w:val="clear" w:color="auto" w:fill="DEEAF6" w:themeFill="accent1" w:themeFillTint="33"/>
        <w:spacing w:after="60"/>
        <w:ind w:left="284" w:hanging="284"/>
        <w:rPr>
          <w:rFonts w:ascii="Calibri Light" w:eastAsia="Calibri" w:hAnsi="Calibri Light" w:cs="Calibri Light"/>
        </w:rPr>
      </w:pPr>
      <w:r>
        <w:rPr>
          <w:rFonts w:ascii="Calibri Light" w:eastAsia="Calibri" w:hAnsi="Calibri Light" w:cs="Calibri Light"/>
        </w:rPr>
        <w:t>While t</w:t>
      </w:r>
      <w:r w:rsidR="00BE18E2" w:rsidRPr="00142227">
        <w:rPr>
          <w:rFonts w:ascii="Calibri Light" w:eastAsia="Calibri" w:hAnsi="Calibri Light" w:cs="Calibri Light"/>
        </w:rPr>
        <w:t>he scheme</w:t>
      </w:r>
      <w:r>
        <w:rPr>
          <w:rFonts w:ascii="Calibri Light" w:eastAsia="Calibri" w:hAnsi="Calibri Light" w:cs="Calibri Light"/>
        </w:rPr>
        <w:t xml:space="preserve"> </w:t>
      </w:r>
      <w:r w:rsidR="00130515">
        <w:rPr>
          <w:rFonts w:ascii="Calibri Light" w:eastAsia="Calibri" w:hAnsi="Calibri Light" w:cs="Calibri Light"/>
        </w:rPr>
        <w:t>supports</w:t>
      </w:r>
      <w:r w:rsidR="008E00EB">
        <w:rPr>
          <w:rFonts w:ascii="Calibri Light" w:eastAsia="Calibri" w:hAnsi="Calibri Light" w:cs="Calibri Light"/>
        </w:rPr>
        <w:t xml:space="preserve"> both</w:t>
      </w:r>
      <w:r w:rsidR="00BE18E2" w:rsidRPr="00142227">
        <w:rPr>
          <w:rFonts w:ascii="Calibri Light" w:eastAsia="Calibri" w:hAnsi="Calibri Light" w:cs="Calibri Light"/>
        </w:rPr>
        <w:t xml:space="preserve"> basic and applied research</w:t>
      </w:r>
      <w:r>
        <w:rPr>
          <w:rFonts w:ascii="Calibri Light" w:eastAsia="Calibri" w:hAnsi="Calibri Light" w:cs="Calibri Light"/>
        </w:rPr>
        <w:t xml:space="preserve">, </w:t>
      </w:r>
      <w:bookmarkStart w:id="312" w:name="_Hlk53499272"/>
      <w:r>
        <w:rPr>
          <w:rFonts w:ascii="Calibri Light" w:eastAsia="Calibri" w:hAnsi="Calibri Light" w:cs="Calibri Light"/>
        </w:rPr>
        <w:t>t</w:t>
      </w:r>
      <w:r w:rsidR="00BE18E2" w:rsidRPr="00142227">
        <w:rPr>
          <w:rFonts w:ascii="Calibri Light" w:eastAsia="Calibri" w:hAnsi="Calibri Light" w:cs="Calibri Light"/>
        </w:rPr>
        <w:t xml:space="preserve">he proportion of </w:t>
      </w:r>
      <w:r>
        <w:rPr>
          <w:rFonts w:ascii="Calibri Light" w:eastAsia="Calibri" w:hAnsi="Calibri Light" w:cs="Calibri Light"/>
        </w:rPr>
        <w:t xml:space="preserve">funded projects involving basic research </w:t>
      </w:r>
      <w:r w:rsidR="00BE18E2" w:rsidRPr="00142227">
        <w:rPr>
          <w:rFonts w:ascii="Calibri Light" w:eastAsia="Calibri" w:hAnsi="Calibri Light" w:cs="Calibri Light"/>
        </w:rPr>
        <w:t>increased over time</w:t>
      </w:r>
      <w:bookmarkEnd w:id="312"/>
      <w:r w:rsidR="00BE18E2" w:rsidRPr="00142227">
        <w:rPr>
          <w:rFonts w:ascii="Calibri Light" w:eastAsia="Calibri" w:hAnsi="Calibri Light" w:cs="Calibri Light"/>
        </w:rPr>
        <w:t xml:space="preserve">. </w:t>
      </w:r>
      <w:r w:rsidR="00D508D1">
        <w:rPr>
          <w:rFonts w:ascii="Calibri Light" w:eastAsia="Calibri" w:hAnsi="Calibri Light" w:cs="Calibri Light"/>
        </w:rPr>
        <w:t>Success rates for b</w:t>
      </w:r>
      <w:r w:rsidR="00BE18E2" w:rsidRPr="00F117EF">
        <w:rPr>
          <w:rFonts w:ascii="Calibri Light" w:eastAsia="Calibri" w:hAnsi="Calibri Light" w:cs="Calibri Light"/>
        </w:rPr>
        <w:t xml:space="preserve">asic research </w:t>
      </w:r>
      <w:r w:rsidR="00D963A2">
        <w:rPr>
          <w:rFonts w:ascii="Calibri Light" w:eastAsia="Calibri" w:hAnsi="Calibri Light" w:cs="Calibri Light"/>
        </w:rPr>
        <w:t>were</w:t>
      </w:r>
      <w:r w:rsidR="00B15D3F">
        <w:rPr>
          <w:rFonts w:ascii="Calibri Light" w:eastAsia="Calibri" w:hAnsi="Calibri Light" w:cs="Calibri Light"/>
        </w:rPr>
        <w:t xml:space="preserve"> </w:t>
      </w:r>
      <w:r w:rsidR="00B15665">
        <w:rPr>
          <w:rFonts w:ascii="Calibri Light" w:eastAsia="Calibri" w:hAnsi="Calibri Light" w:cs="Calibri Light"/>
        </w:rPr>
        <w:t xml:space="preserve">consistently </w:t>
      </w:r>
      <w:r w:rsidR="00BE18E2" w:rsidRPr="00F117EF">
        <w:rPr>
          <w:rFonts w:ascii="Calibri Light" w:eastAsia="Calibri" w:hAnsi="Calibri Light" w:cs="Calibri Light"/>
        </w:rPr>
        <w:t xml:space="preserve">higher than </w:t>
      </w:r>
      <w:r w:rsidR="00D508D1">
        <w:rPr>
          <w:rFonts w:ascii="Calibri Light" w:eastAsia="Calibri" w:hAnsi="Calibri Light" w:cs="Calibri Light"/>
        </w:rPr>
        <w:t xml:space="preserve">for </w:t>
      </w:r>
      <w:r w:rsidR="00063E32">
        <w:rPr>
          <w:rFonts w:ascii="Calibri Light" w:eastAsia="Calibri" w:hAnsi="Calibri Light" w:cs="Calibri Light"/>
        </w:rPr>
        <w:t>applied research, while return rate</w:t>
      </w:r>
      <w:r w:rsidR="000E58FF">
        <w:rPr>
          <w:rFonts w:ascii="Calibri Light" w:eastAsia="Calibri" w:hAnsi="Calibri Light" w:cs="Calibri Light"/>
        </w:rPr>
        <w:t xml:space="preserve">s for both </w:t>
      </w:r>
      <w:r w:rsidR="00D963A2">
        <w:rPr>
          <w:rFonts w:ascii="Calibri Light" w:eastAsia="Calibri" w:hAnsi="Calibri Light" w:cs="Calibri Light"/>
        </w:rPr>
        <w:t>were</w:t>
      </w:r>
      <w:r w:rsidR="000E58FF">
        <w:rPr>
          <w:rFonts w:ascii="Calibri Light" w:eastAsia="Calibri" w:hAnsi="Calibri Light" w:cs="Calibri Light"/>
        </w:rPr>
        <w:t xml:space="preserve"> generally </w:t>
      </w:r>
      <w:r w:rsidR="001E0411">
        <w:rPr>
          <w:rFonts w:ascii="Calibri Light" w:eastAsia="Calibri" w:hAnsi="Calibri Light" w:cs="Calibri Light"/>
        </w:rPr>
        <w:t>similar.</w:t>
      </w:r>
    </w:p>
    <w:p w14:paraId="1BDFFF22" w14:textId="54B4822F" w:rsidR="00F455E5" w:rsidRDefault="00BE18E2" w:rsidP="00CD5E9C">
      <w:pPr>
        <w:numPr>
          <w:ilvl w:val="0"/>
          <w:numId w:val="41"/>
        </w:numPr>
        <w:shd w:val="clear" w:color="auto" w:fill="DEEAF6" w:themeFill="accent1" w:themeFillTint="33"/>
        <w:spacing w:after="60"/>
        <w:ind w:left="284" w:hanging="284"/>
        <w:rPr>
          <w:rFonts w:ascii="Calibri Light" w:eastAsia="Calibri" w:hAnsi="Calibri Light" w:cs="Calibri Light"/>
        </w:rPr>
      </w:pPr>
      <w:r>
        <w:rPr>
          <w:rFonts w:ascii="Calibri Light" w:eastAsia="Calibri" w:hAnsi="Calibri Light" w:cs="Calibri Light"/>
        </w:rPr>
        <w:t xml:space="preserve">The average number of named researchers on funded projects </w:t>
      </w:r>
      <w:r w:rsidR="00B15665">
        <w:rPr>
          <w:rFonts w:ascii="Calibri Light" w:eastAsia="Calibri" w:hAnsi="Calibri Light" w:cs="Calibri Light"/>
        </w:rPr>
        <w:t>steadily</w:t>
      </w:r>
      <w:r>
        <w:rPr>
          <w:rFonts w:ascii="Calibri Light" w:eastAsia="Calibri" w:hAnsi="Calibri Light" w:cs="Calibri Light"/>
        </w:rPr>
        <w:t xml:space="preserve"> increased from 2.1 </w:t>
      </w:r>
      <w:r w:rsidR="00F50018">
        <w:rPr>
          <w:rFonts w:ascii="Calibri Light" w:eastAsia="Calibri" w:hAnsi="Calibri Light" w:cs="Calibri Light"/>
        </w:rPr>
        <w:t xml:space="preserve">in DP02 </w:t>
      </w:r>
      <w:r>
        <w:rPr>
          <w:rFonts w:ascii="Calibri Light" w:eastAsia="Calibri" w:hAnsi="Calibri Light" w:cs="Calibri Light"/>
        </w:rPr>
        <w:t xml:space="preserve">to 3.2 </w:t>
      </w:r>
      <w:r w:rsidR="00F50018">
        <w:rPr>
          <w:rFonts w:ascii="Calibri Light" w:eastAsia="Calibri" w:hAnsi="Calibri Light" w:cs="Calibri Light"/>
        </w:rPr>
        <w:t>in</w:t>
      </w:r>
      <w:r>
        <w:rPr>
          <w:rFonts w:ascii="Calibri Light" w:eastAsia="Calibri" w:hAnsi="Calibri Light" w:cs="Calibri Light"/>
        </w:rPr>
        <w:t xml:space="preserve"> DP20. </w:t>
      </w:r>
      <w:r w:rsidR="00171C77">
        <w:rPr>
          <w:rFonts w:ascii="Calibri Light" w:eastAsia="Calibri" w:hAnsi="Calibri Light" w:cs="Calibri Light"/>
        </w:rPr>
        <w:t>While m</w:t>
      </w:r>
      <w:r w:rsidRPr="00142227">
        <w:rPr>
          <w:rFonts w:ascii="Calibri Light" w:eastAsia="Calibri" w:hAnsi="Calibri Light" w:cs="Calibri Light"/>
        </w:rPr>
        <w:t>ale</w:t>
      </w:r>
      <w:r w:rsidR="00571135">
        <w:rPr>
          <w:rFonts w:ascii="Calibri Light" w:eastAsia="Calibri" w:hAnsi="Calibri Light" w:cs="Calibri Light"/>
        </w:rPr>
        <w:t xml:space="preserve"> researchers</w:t>
      </w:r>
      <w:r w:rsidRPr="00142227">
        <w:rPr>
          <w:rFonts w:ascii="Calibri Light" w:eastAsia="Calibri" w:hAnsi="Calibri Light" w:cs="Calibri Light"/>
        </w:rPr>
        <w:t xml:space="preserve"> accounted for over 75 per cent of the total number of named researchers</w:t>
      </w:r>
      <w:r w:rsidR="009F0751">
        <w:rPr>
          <w:rFonts w:ascii="Calibri Light" w:eastAsia="Calibri" w:hAnsi="Calibri Light" w:cs="Calibri Light"/>
        </w:rPr>
        <w:t>,</w:t>
      </w:r>
      <w:r w:rsidR="002446B6">
        <w:rPr>
          <w:rFonts w:ascii="Calibri Light" w:eastAsia="Calibri" w:hAnsi="Calibri Light" w:cs="Calibri Light"/>
        </w:rPr>
        <w:t xml:space="preserve"> </w:t>
      </w:r>
      <w:r w:rsidR="00171C77">
        <w:rPr>
          <w:rFonts w:ascii="Calibri Light" w:eastAsia="Calibri" w:hAnsi="Calibri Light" w:cs="Calibri Light"/>
        </w:rPr>
        <w:t>female</w:t>
      </w:r>
      <w:r w:rsidR="002446B6">
        <w:rPr>
          <w:rFonts w:ascii="Calibri Light" w:eastAsia="Calibri" w:hAnsi="Calibri Light" w:cs="Calibri Light"/>
        </w:rPr>
        <w:t xml:space="preserve"> researchers </w:t>
      </w:r>
      <w:r w:rsidR="00171C77">
        <w:rPr>
          <w:rFonts w:ascii="Calibri Light" w:eastAsia="Calibri" w:hAnsi="Calibri Light" w:cs="Calibri Light"/>
        </w:rPr>
        <w:t>had higher</w:t>
      </w:r>
      <w:r w:rsidR="002446B6">
        <w:rPr>
          <w:rFonts w:ascii="Calibri Light" w:eastAsia="Calibri" w:hAnsi="Calibri Light" w:cs="Calibri Light"/>
        </w:rPr>
        <w:t xml:space="preserve"> success rate</w:t>
      </w:r>
      <w:r w:rsidR="00171C77">
        <w:rPr>
          <w:rFonts w:ascii="Calibri Light" w:eastAsia="Calibri" w:hAnsi="Calibri Light" w:cs="Calibri Light"/>
        </w:rPr>
        <w:t>s</w:t>
      </w:r>
      <w:r w:rsidR="002446B6">
        <w:rPr>
          <w:rFonts w:ascii="Calibri Light" w:eastAsia="Calibri" w:hAnsi="Calibri Light" w:cs="Calibri Light"/>
        </w:rPr>
        <w:t xml:space="preserve"> in recent funding rounds.</w:t>
      </w:r>
      <w:r w:rsidR="00CD5E9C" w:rsidRPr="00CD5E9C">
        <w:rPr>
          <w:rFonts w:ascii="Calibri Light" w:eastAsia="Calibri" w:hAnsi="Calibri Light" w:cs="Calibri Light"/>
        </w:rPr>
        <w:t xml:space="preserve"> </w:t>
      </w:r>
    </w:p>
    <w:p w14:paraId="0D831B1D" w14:textId="31E07624" w:rsidR="00CD5E9C" w:rsidRDefault="00F455E5" w:rsidP="00CD5E9C">
      <w:pPr>
        <w:numPr>
          <w:ilvl w:val="0"/>
          <w:numId w:val="41"/>
        </w:numPr>
        <w:shd w:val="clear" w:color="auto" w:fill="DEEAF6" w:themeFill="accent1" w:themeFillTint="33"/>
        <w:spacing w:after="60"/>
        <w:ind w:left="284" w:hanging="284"/>
        <w:rPr>
          <w:rFonts w:ascii="Calibri Light" w:eastAsia="Calibri" w:hAnsi="Calibri Light" w:cs="Calibri Light"/>
        </w:rPr>
      </w:pPr>
      <w:r>
        <w:rPr>
          <w:rFonts w:ascii="Calibri Light" w:eastAsia="Calibri" w:hAnsi="Calibri Light" w:cs="Calibri Light"/>
        </w:rPr>
        <w:t>Aboriginal and Torres Strait Islander researcher</w:t>
      </w:r>
      <w:r w:rsidR="0082297E">
        <w:rPr>
          <w:rFonts w:ascii="Calibri Light" w:eastAsia="Calibri" w:hAnsi="Calibri Light" w:cs="Calibri Light"/>
        </w:rPr>
        <w:t xml:space="preserve"> participation was low, but increased marginally </w:t>
      </w:r>
      <w:r w:rsidR="00122F8E">
        <w:rPr>
          <w:rFonts w:ascii="Calibri Light" w:eastAsia="Calibri" w:hAnsi="Calibri Light" w:cs="Calibri Light"/>
        </w:rPr>
        <w:t>from 0.2 per cent of all named researcher</w:t>
      </w:r>
      <w:r w:rsidR="00B3439C">
        <w:rPr>
          <w:rFonts w:ascii="Calibri Light" w:eastAsia="Calibri" w:hAnsi="Calibri Light" w:cs="Calibri Light"/>
        </w:rPr>
        <w:t>s on funded projects in DP02 to 0.5 per cent in DP20</w:t>
      </w:r>
      <w:r w:rsidR="0082297E">
        <w:rPr>
          <w:rFonts w:ascii="Calibri Light" w:eastAsia="Calibri" w:hAnsi="Calibri Light" w:cs="Calibri Light"/>
        </w:rPr>
        <w:t>.</w:t>
      </w:r>
    </w:p>
    <w:p w14:paraId="67F80728" w14:textId="43629EEB" w:rsidR="00BE18E2" w:rsidRPr="00492695" w:rsidRDefault="00CD5E9C">
      <w:pPr>
        <w:numPr>
          <w:ilvl w:val="0"/>
          <w:numId w:val="41"/>
        </w:numPr>
        <w:shd w:val="clear" w:color="auto" w:fill="DEEAF6" w:themeFill="accent1" w:themeFillTint="33"/>
        <w:spacing w:after="60"/>
        <w:ind w:left="284" w:hanging="284"/>
        <w:rPr>
          <w:rFonts w:ascii="Calibri Light" w:eastAsia="Calibri" w:hAnsi="Calibri Light" w:cs="Calibri Light"/>
        </w:rPr>
      </w:pPr>
      <w:r w:rsidRPr="00492695">
        <w:rPr>
          <w:rFonts w:ascii="Calibri Light" w:eastAsia="Calibri" w:hAnsi="Calibri Light" w:cs="Calibri Light"/>
        </w:rPr>
        <w:t>Stakeholders regarded the competitive peer review process as effective in underpinning the scheme’s support for excellent research conducted by individuals and teams.</w:t>
      </w:r>
      <w:r w:rsidR="00001856" w:rsidRPr="00492695">
        <w:rPr>
          <w:rFonts w:ascii="Calibri Light" w:eastAsia="Calibri" w:hAnsi="Calibri Light" w:cs="Calibri Light"/>
        </w:rPr>
        <w:t xml:space="preserve"> </w:t>
      </w:r>
      <w:r w:rsidR="00492695">
        <w:rPr>
          <w:rFonts w:ascii="Calibri Light" w:eastAsia="Calibri" w:hAnsi="Calibri Light" w:cs="Calibri Light"/>
        </w:rPr>
        <w:t>However, s</w:t>
      </w:r>
      <w:r w:rsidR="00001856" w:rsidRPr="00492695">
        <w:rPr>
          <w:rFonts w:ascii="Calibri Light" w:eastAsia="Calibri" w:hAnsi="Calibri Light" w:cs="Calibri Light"/>
        </w:rPr>
        <w:t>ome</w:t>
      </w:r>
      <w:r w:rsidR="00015E46" w:rsidRPr="00492695">
        <w:rPr>
          <w:rFonts w:ascii="Calibri Light" w:eastAsia="Calibri" w:hAnsi="Calibri Light" w:cs="Calibri Light"/>
        </w:rPr>
        <w:t xml:space="preserve"> </w:t>
      </w:r>
      <w:r w:rsidR="002256A6" w:rsidRPr="00492695">
        <w:rPr>
          <w:rFonts w:ascii="Calibri Light" w:eastAsia="Calibri" w:hAnsi="Calibri Light" w:cs="Calibri Light"/>
        </w:rPr>
        <w:t>stakeholder</w:t>
      </w:r>
      <w:r w:rsidR="00492695" w:rsidRPr="00492695">
        <w:rPr>
          <w:rFonts w:ascii="Calibri Light" w:eastAsia="Calibri" w:hAnsi="Calibri Light" w:cs="Calibri Light"/>
        </w:rPr>
        <w:t>s</w:t>
      </w:r>
      <w:r w:rsidR="002256A6" w:rsidRPr="00492695">
        <w:rPr>
          <w:rFonts w:ascii="Calibri Light" w:eastAsia="Calibri" w:hAnsi="Calibri Light" w:cs="Calibri Light"/>
        </w:rPr>
        <w:t xml:space="preserve"> </w:t>
      </w:r>
      <w:r w:rsidR="00492695" w:rsidRPr="00492695">
        <w:rPr>
          <w:rFonts w:ascii="Calibri Light" w:eastAsia="Calibri" w:hAnsi="Calibri Light" w:cs="Calibri Light"/>
        </w:rPr>
        <w:t xml:space="preserve">perceived </w:t>
      </w:r>
      <w:r w:rsidR="00015E46" w:rsidRPr="00492695">
        <w:rPr>
          <w:rFonts w:ascii="Calibri Light" w:eastAsia="Calibri" w:hAnsi="Calibri Light" w:cs="Calibri Light"/>
        </w:rPr>
        <w:t xml:space="preserve">HASS research </w:t>
      </w:r>
      <w:r w:rsidR="00492695" w:rsidRPr="00492695">
        <w:rPr>
          <w:rFonts w:ascii="Calibri Light" w:eastAsia="Calibri" w:hAnsi="Calibri Light" w:cs="Calibri Light"/>
        </w:rPr>
        <w:t>to be</w:t>
      </w:r>
      <w:r w:rsidR="00015E46" w:rsidRPr="00492695">
        <w:rPr>
          <w:rFonts w:ascii="Calibri Light" w:eastAsia="Calibri" w:hAnsi="Calibri Light" w:cs="Calibri Light"/>
        </w:rPr>
        <w:t xml:space="preserve"> disadvantaged</w:t>
      </w:r>
      <w:r w:rsidR="00492695">
        <w:rPr>
          <w:rFonts w:ascii="Calibri Light" w:eastAsia="Calibri" w:hAnsi="Calibri Light" w:cs="Calibri Light"/>
        </w:rPr>
        <w:t xml:space="preserve"> in comparison</w:t>
      </w:r>
      <w:r w:rsidR="00492695" w:rsidRPr="00492695">
        <w:rPr>
          <w:rFonts w:ascii="Calibri Light" w:eastAsia="Calibri" w:hAnsi="Calibri Light" w:cs="Calibri Light"/>
        </w:rPr>
        <w:t xml:space="preserve"> to STEM research.</w:t>
      </w:r>
    </w:p>
    <w:p w14:paraId="1CD7C462" w14:textId="2092F266" w:rsidR="00CD5E9C" w:rsidRPr="007057E6" w:rsidRDefault="00CD5E9C" w:rsidP="007057E6">
      <w:pPr>
        <w:shd w:val="clear" w:color="auto" w:fill="DEEAF6" w:themeFill="accent1" w:themeFillTint="33"/>
        <w:spacing w:before="120" w:after="120"/>
        <w:rPr>
          <w:rFonts w:ascii="Calibri Light" w:hAnsi="Calibri Light" w:cs="Calibri Light"/>
          <w:i/>
          <w:iCs/>
        </w:rPr>
      </w:pPr>
      <w:r w:rsidRPr="007057E6">
        <w:rPr>
          <w:rFonts w:ascii="Calibri Light" w:hAnsi="Calibri Light" w:cs="Calibri Light"/>
          <w:i/>
          <w:iCs/>
        </w:rPr>
        <w:t xml:space="preserve">Supporting excellent </w:t>
      </w:r>
      <w:r>
        <w:rPr>
          <w:rFonts w:ascii="Calibri Light" w:hAnsi="Calibri Light" w:cs="Calibri Light"/>
          <w:i/>
          <w:iCs/>
        </w:rPr>
        <w:t>research training</w:t>
      </w:r>
    </w:p>
    <w:p w14:paraId="31378311" w14:textId="32C34AA9" w:rsidR="00BE18E2" w:rsidRPr="006F159A" w:rsidRDefault="003C686B" w:rsidP="00BE18E2">
      <w:pPr>
        <w:numPr>
          <w:ilvl w:val="0"/>
          <w:numId w:val="41"/>
        </w:numPr>
        <w:shd w:val="clear" w:color="auto" w:fill="DEEAF6" w:themeFill="accent1" w:themeFillTint="33"/>
        <w:spacing w:after="60"/>
        <w:ind w:left="284" w:hanging="284"/>
        <w:rPr>
          <w:rFonts w:ascii="Calibri Light" w:eastAsia="Calibri" w:hAnsi="Calibri Light" w:cs="Calibri Light"/>
        </w:rPr>
      </w:pPr>
      <w:r>
        <w:rPr>
          <w:rFonts w:ascii="Calibri Light" w:eastAsia="Calibri" w:hAnsi="Calibri Light" w:cs="Calibri Light"/>
        </w:rPr>
        <w:t>T</w:t>
      </w:r>
      <w:r w:rsidRPr="006F159A">
        <w:rPr>
          <w:rFonts w:ascii="Calibri Light" w:eastAsia="Calibri" w:hAnsi="Calibri Light" w:cs="Calibri Light"/>
        </w:rPr>
        <w:t xml:space="preserve">otal </w:t>
      </w:r>
      <w:r>
        <w:rPr>
          <w:rFonts w:ascii="Calibri Light" w:eastAsia="Calibri" w:hAnsi="Calibri Light" w:cs="Calibri Light"/>
        </w:rPr>
        <w:t xml:space="preserve">research </w:t>
      </w:r>
      <w:r w:rsidRPr="006F159A">
        <w:rPr>
          <w:rFonts w:ascii="Calibri Light" w:eastAsia="Calibri" w:hAnsi="Calibri Light" w:cs="Calibri Light"/>
        </w:rPr>
        <w:t xml:space="preserve">trainee numbers </w:t>
      </w:r>
      <w:r w:rsidRPr="006F159A" w:rsidDel="006F6013">
        <w:rPr>
          <w:rFonts w:ascii="Calibri Light" w:eastAsia="Calibri" w:hAnsi="Calibri Light" w:cs="Calibri Light"/>
        </w:rPr>
        <w:t xml:space="preserve">and </w:t>
      </w:r>
      <w:r w:rsidRPr="006F159A">
        <w:rPr>
          <w:rFonts w:ascii="Calibri Light" w:eastAsia="Calibri" w:hAnsi="Calibri Light" w:cs="Calibri Light"/>
        </w:rPr>
        <w:t>H</w:t>
      </w:r>
      <w:r>
        <w:rPr>
          <w:rFonts w:ascii="Calibri Light" w:eastAsia="Calibri" w:hAnsi="Calibri Light" w:cs="Calibri Light"/>
        </w:rPr>
        <w:t>igher Degree by Research</w:t>
      </w:r>
      <w:r w:rsidRPr="006F159A">
        <w:rPr>
          <w:rFonts w:ascii="Calibri Light" w:eastAsia="Calibri" w:hAnsi="Calibri Light" w:cs="Calibri Light"/>
        </w:rPr>
        <w:t xml:space="preserve"> stipends </w:t>
      </w:r>
      <w:r w:rsidR="00BE18E2" w:rsidRPr="006F159A">
        <w:rPr>
          <w:rFonts w:ascii="Calibri Light" w:eastAsia="Calibri" w:hAnsi="Calibri Light" w:cs="Calibri Light"/>
        </w:rPr>
        <w:t>increased</w:t>
      </w:r>
      <w:r w:rsidR="008A1B2D">
        <w:rPr>
          <w:rFonts w:ascii="Calibri Light" w:eastAsia="Calibri" w:hAnsi="Calibri Light" w:cs="Calibri Light"/>
        </w:rPr>
        <w:t xml:space="preserve"> </w:t>
      </w:r>
      <w:r w:rsidR="00021C36">
        <w:rPr>
          <w:rFonts w:ascii="Calibri Light" w:eastAsia="Calibri" w:hAnsi="Calibri Light" w:cs="Calibri Light"/>
        </w:rPr>
        <w:t>slightly</w:t>
      </w:r>
      <w:r w:rsidR="00021C36" w:rsidRPr="006F159A">
        <w:rPr>
          <w:rFonts w:ascii="Calibri Light" w:eastAsia="Calibri" w:hAnsi="Calibri Light" w:cs="Calibri Light"/>
        </w:rPr>
        <w:t xml:space="preserve"> </w:t>
      </w:r>
      <w:r w:rsidR="008A1B2D">
        <w:rPr>
          <w:rFonts w:ascii="Calibri Light" w:eastAsia="Calibri" w:hAnsi="Calibri Light" w:cs="Calibri Light"/>
        </w:rPr>
        <w:t>on funded projects</w:t>
      </w:r>
      <w:r w:rsidR="00BE18E2" w:rsidRPr="006F159A">
        <w:rPr>
          <w:rFonts w:ascii="Calibri Light" w:eastAsia="Calibri" w:hAnsi="Calibri Light" w:cs="Calibri Light"/>
        </w:rPr>
        <w:t xml:space="preserve"> </w:t>
      </w:r>
      <w:r w:rsidR="00021C36">
        <w:rPr>
          <w:rFonts w:ascii="Calibri Light" w:eastAsia="Calibri" w:hAnsi="Calibri Light" w:cs="Calibri Light"/>
        </w:rPr>
        <w:t xml:space="preserve">between </w:t>
      </w:r>
      <w:r w:rsidR="0073132F">
        <w:rPr>
          <w:rFonts w:ascii="Calibri Light" w:eastAsia="Calibri" w:hAnsi="Calibri Light" w:cs="Calibri Light"/>
        </w:rPr>
        <w:t>DP16</w:t>
      </w:r>
      <w:r>
        <w:rPr>
          <w:rFonts w:ascii="Calibri Light" w:eastAsia="Calibri" w:hAnsi="Calibri Light" w:cs="Calibri Light"/>
        </w:rPr>
        <w:t xml:space="preserve"> </w:t>
      </w:r>
      <w:r w:rsidR="00021C36">
        <w:rPr>
          <w:rFonts w:ascii="Calibri Light" w:eastAsia="Calibri" w:hAnsi="Calibri Light" w:cs="Calibri Light"/>
        </w:rPr>
        <w:t>and</w:t>
      </w:r>
      <w:r>
        <w:rPr>
          <w:rFonts w:ascii="Calibri Light" w:eastAsia="Calibri" w:hAnsi="Calibri Light" w:cs="Calibri Light"/>
        </w:rPr>
        <w:t xml:space="preserve"> </w:t>
      </w:r>
      <w:r w:rsidR="0073132F">
        <w:rPr>
          <w:rFonts w:ascii="Calibri Light" w:eastAsia="Calibri" w:hAnsi="Calibri Light" w:cs="Calibri Light"/>
        </w:rPr>
        <w:t>DP20</w:t>
      </w:r>
      <w:r w:rsidR="00BE18E2" w:rsidRPr="006F159A">
        <w:rPr>
          <w:rFonts w:ascii="Calibri Light" w:eastAsia="Calibri" w:hAnsi="Calibri Light" w:cs="Calibri Light"/>
        </w:rPr>
        <w:t xml:space="preserve">. </w:t>
      </w:r>
    </w:p>
    <w:p w14:paraId="39ABEE7B" w14:textId="797F96E8" w:rsidR="00BE18E2" w:rsidRPr="006F159A" w:rsidRDefault="007D685A" w:rsidP="00BE18E2">
      <w:pPr>
        <w:numPr>
          <w:ilvl w:val="0"/>
          <w:numId w:val="41"/>
        </w:numPr>
        <w:shd w:val="clear" w:color="auto" w:fill="DEEAF6" w:themeFill="accent1" w:themeFillTint="33"/>
        <w:spacing w:after="60"/>
        <w:ind w:left="284" w:hanging="284"/>
        <w:rPr>
          <w:rFonts w:ascii="Calibri Light" w:eastAsia="Calibri" w:hAnsi="Calibri Light" w:cs="Calibri Light"/>
        </w:rPr>
      </w:pPr>
      <w:r>
        <w:rPr>
          <w:rFonts w:ascii="Calibri Light" w:eastAsia="Calibri" w:hAnsi="Calibri Light" w:cs="Calibri Light"/>
        </w:rPr>
        <w:t>D</w:t>
      </w:r>
      <w:r w:rsidR="00C96715">
        <w:rPr>
          <w:rFonts w:ascii="Calibri Light" w:eastAsia="Calibri" w:hAnsi="Calibri Light" w:cs="Calibri Light"/>
        </w:rPr>
        <w:t xml:space="preserve">ata </w:t>
      </w:r>
      <w:r w:rsidR="006A4562">
        <w:rPr>
          <w:rFonts w:ascii="Calibri Light" w:eastAsia="Calibri" w:hAnsi="Calibri Light" w:cs="Calibri Light"/>
        </w:rPr>
        <w:t xml:space="preserve">are not currently collected </w:t>
      </w:r>
      <w:r w:rsidR="00C96715">
        <w:rPr>
          <w:rFonts w:ascii="Calibri Light" w:eastAsia="Calibri" w:hAnsi="Calibri Light" w:cs="Calibri Light"/>
        </w:rPr>
        <w:t>on</w:t>
      </w:r>
      <w:r w:rsidR="00BE18E2" w:rsidRPr="006F159A">
        <w:rPr>
          <w:rFonts w:ascii="Calibri Light" w:eastAsia="Calibri" w:hAnsi="Calibri Light" w:cs="Calibri Light"/>
        </w:rPr>
        <w:t xml:space="preserve"> </w:t>
      </w:r>
      <w:r w:rsidR="008C140C">
        <w:rPr>
          <w:rFonts w:ascii="Calibri Light" w:eastAsia="Calibri" w:hAnsi="Calibri Light" w:cs="Calibri Light"/>
        </w:rPr>
        <w:t xml:space="preserve">the </w:t>
      </w:r>
      <w:r w:rsidR="00442D6A">
        <w:rPr>
          <w:rFonts w:ascii="Calibri Light" w:eastAsia="Calibri" w:hAnsi="Calibri Light" w:cs="Calibri Light"/>
        </w:rPr>
        <w:t xml:space="preserve">total </w:t>
      </w:r>
      <w:r w:rsidR="002D0E77">
        <w:rPr>
          <w:rFonts w:ascii="Calibri Light" w:eastAsia="Calibri" w:hAnsi="Calibri Light" w:cs="Calibri Light"/>
        </w:rPr>
        <w:t xml:space="preserve">number of </w:t>
      </w:r>
      <w:r w:rsidR="007B59C0">
        <w:rPr>
          <w:rFonts w:ascii="Calibri Light" w:eastAsia="Calibri" w:hAnsi="Calibri Light" w:cs="Calibri Light"/>
        </w:rPr>
        <w:t xml:space="preserve">research </w:t>
      </w:r>
      <w:r w:rsidR="00BE18E2">
        <w:rPr>
          <w:rFonts w:ascii="Calibri Light" w:eastAsia="Calibri" w:hAnsi="Calibri Light" w:cs="Calibri Light"/>
        </w:rPr>
        <w:t>trainee</w:t>
      </w:r>
      <w:r w:rsidR="008C140C">
        <w:rPr>
          <w:rFonts w:ascii="Calibri Light" w:eastAsia="Calibri" w:hAnsi="Calibri Light" w:cs="Calibri Light"/>
        </w:rPr>
        <w:t>s</w:t>
      </w:r>
      <w:r w:rsidR="00BE18E2" w:rsidRPr="006F159A">
        <w:rPr>
          <w:rFonts w:ascii="Calibri Light" w:eastAsia="Calibri" w:hAnsi="Calibri Light" w:cs="Calibri Light"/>
        </w:rPr>
        <w:t xml:space="preserve"> participati</w:t>
      </w:r>
      <w:r w:rsidR="008C140C">
        <w:rPr>
          <w:rFonts w:ascii="Calibri Light" w:eastAsia="Calibri" w:hAnsi="Calibri Light" w:cs="Calibri Light"/>
        </w:rPr>
        <w:t xml:space="preserve">ng </w:t>
      </w:r>
      <w:r w:rsidR="002D0E77">
        <w:rPr>
          <w:rFonts w:ascii="Calibri Light" w:eastAsia="Calibri" w:hAnsi="Calibri Light" w:cs="Calibri Light"/>
        </w:rPr>
        <w:t>on</w:t>
      </w:r>
      <w:r w:rsidR="008C140C">
        <w:rPr>
          <w:rFonts w:ascii="Calibri Light" w:eastAsia="Calibri" w:hAnsi="Calibri Light" w:cs="Calibri Light"/>
        </w:rPr>
        <w:t xml:space="preserve"> </w:t>
      </w:r>
      <w:r w:rsidR="002D0E77">
        <w:rPr>
          <w:rFonts w:ascii="Calibri Light" w:eastAsia="Calibri" w:hAnsi="Calibri Light" w:cs="Calibri Light"/>
        </w:rPr>
        <w:t>p</w:t>
      </w:r>
      <w:r w:rsidR="008C140C">
        <w:rPr>
          <w:rFonts w:ascii="Calibri Light" w:eastAsia="Calibri" w:hAnsi="Calibri Light" w:cs="Calibri Light"/>
        </w:rPr>
        <w:t>roject</w:t>
      </w:r>
      <w:r w:rsidR="002D0E77">
        <w:rPr>
          <w:rFonts w:ascii="Calibri Light" w:eastAsia="Calibri" w:hAnsi="Calibri Light" w:cs="Calibri Light"/>
        </w:rPr>
        <w:t xml:space="preserve">s under the scheme, or on </w:t>
      </w:r>
      <w:r w:rsidR="00C96715">
        <w:rPr>
          <w:rFonts w:ascii="Calibri Light" w:eastAsia="Calibri" w:hAnsi="Calibri Light" w:cs="Calibri Light"/>
        </w:rPr>
        <w:t xml:space="preserve">actual </w:t>
      </w:r>
      <w:r w:rsidR="00BE18E2" w:rsidRPr="006F159A">
        <w:rPr>
          <w:rFonts w:ascii="Calibri Light" w:eastAsia="Calibri" w:hAnsi="Calibri Light" w:cs="Calibri Light"/>
        </w:rPr>
        <w:t>stipend expenditur</w:t>
      </w:r>
      <w:r>
        <w:rPr>
          <w:rFonts w:ascii="Calibri Light" w:eastAsia="Calibri" w:hAnsi="Calibri Light" w:cs="Calibri Light"/>
        </w:rPr>
        <w:t>e</w:t>
      </w:r>
      <w:r w:rsidR="00BE18E2" w:rsidRPr="006F159A">
        <w:rPr>
          <w:rFonts w:ascii="Calibri Light" w:eastAsia="Calibri" w:hAnsi="Calibri Light" w:cs="Calibri Light"/>
        </w:rPr>
        <w:t>.</w:t>
      </w:r>
    </w:p>
    <w:p w14:paraId="13E8AD38" w14:textId="266B1040" w:rsidR="00BE18E2" w:rsidRDefault="1B961D18" w:rsidP="00BE18E2">
      <w:pPr>
        <w:numPr>
          <w:ilvl w:val="0"/>
          <w:numId w:val="41"/>
        </w:numPr>
        <w:shd w:val="clear" w:color="auto" w:fill="DEEAF6" w:themeFill="accent1" w:themeFillTint="33"/>
        <w:spacing w:after="60"/>
        <w:ind w:left="284" w:hanging="284"/>
        <w:rPr>
          <w:rFonts w:ascii="Calibri Light" w:eastAsia="Calibri" w:hAnsi="Calibri Light" w:cs="Calibri Light"/>
        </w:rPr>
      </w:pPr>
      <w:r w:rsidRPr="620BE526">
        <w:rPr>
          <w:rFonts w:ascii="Calibri Light" w:eastAsia="Calibri" w:hAnsi="Calibri Light" w:cs="Calibri Light"/>
        </w:rPr>
        <w:t>S</w:t>
      </w:r>
      <w:r w:rsidR="4369AF68" w:rsidRPr="620BE526">
        <w:rPr>
          <w:rFonts w:ascii="Calibri Light" w:eastAsia="Calibri" w:hAnsi="Calibri Light" w:cs="Calibri Light"/>
        </w:rPr>
        <w:t>takeholders</w:t>
      </w:r>
      <w:r w:rsidR="2CF317A3" w:rsidRPr="620BE526">
        <w:rPr>
          <w:rFonts w:ascii="Calibri Light" w:eastAsia="Calibri" w:hAnsi="Calibri Light" w:cs="Calibri Light"/>
        </w:rPr>
        <w:t xml:space="preserve"> commented </w:t>
      </w:r>
      <w:r w:rsidR="43A7FE52" w:rsidRPr="620BE526">
        <w:rPr>
          <w:rFonts w:ascii="Calibri Light" w:eastAsia="Calibri" w:hAnsi="Calibri Light" w:cs="Calibri Light"/>
        </w:rPr>
        <w:t>that</w:t>
      </w:r>
      <w:r w:rsidR="2CF317A3" w:rsidRPr="620BE526">
        <w:rPr>
          <w:rFonts w:ascii="Calibri Light" w:eastAsia="Calibri" w:hAnsi="Calibri Light" w:cs="Calibri Light"/>
        </w:rPr>
        <w:t xml:space="preserve"> the</w:t>
      </w:r>
      <w:r w:rsidR="43A7FE52" w:rsidRPr="620BE526">
        <w:rPr>
          <w:rFonts w:ascii="Calibri Light" w:eastAsia="Calibri" w:hAnsi="Calibri Light" w:cs="Calibri Light"/>
        </w:rPr>
        <w:t xml:space="preserve"> scheme’s support for research training was valuable, </w:t>
      </w:r>
      <w:r w:rsidRPr="620BE526">
        <w:rPr>
          <w:rFonts w:ascii="Calibri Light" w:eastAsia="Calibri" w:hAnsi="Calibri Light" w:cs="Calibri Light"/>
        </w:rPr>
        <w:t xml:space="preserve">but </w:t>
      </w:r>
      <w:r w:rsidR="2496A2CF" w:rsidRPr="620BE526">
        <w:rPr>
          <w:rFonts w:ascii="Calibri Light" w:eastAsia="Calibri" w:hAnsi="Calibri Light" w:cs="Calibri Light"/>
        </w:rPr>
        <w:t xml:space="preserve">raised concerns </w:t>
      </w:r>
      <w:r w:rsidR="717A0892" w:rsidRPr="620BE526">
        <w:rPr>
          <w:rFonts w:ascii="Calibri Light" w:eastAsia="Calibri" w:hAnsi="Calibri Light" w:cs="Calibri Light"/>
        </w:rPr>
        <w:t xml:space="preserve">that </w:t>
      </w:r>
      <w:r w:rsidR="6F14ABBD" w:rsidRPr="620BE526">
        <w:rPr>
          <w:rFonts w:ascii="Calibri Light" w:eastAsia="Calibri" w:hAnsi="Calibri Light" w:cs="Calibri Light"/>
        </w:rPr>
        <w:t xml:space="preserve">reductions in </w:t>
      </w:r>
      <w:r w:rsidR="64762DF5" w:rsidRPr="620BE526">
        <w:rPr>
          <w:rFonts w:ascii="Calibri Light" w:eastAsia="Calibri" w:hAnsi="Calibri Light" w:cs="Calibri Light"/>
        </w:rPr>
        <w:t>awarded project budgets</w:t>
      </w:r>
      <w:r w:rsidR="1DAE3E6A" w:rsidRPr="620BE526">
        <w:rPr>
          <w:rFonts w:ascii="Calibri Light" w:eastAsia="Calibri" w:hAnsi="Calibri Light" w:cs="Calibri Light"/>
        </w:rPr>
        <w:t xml:space="preserve"> </w:t>
      </w:r>
      <w:r w:rsidR="6F14ABBD" w:rsidRPr="620BE526">
        <w:rPr>
          <w:rFonts w:ascii="Calibri Light" w:eastAsia="Calibri" w:hAnsi="Calibri Light" w:cs="Calibri Light"/>
        </w:rPr>
        <w:t>impacted</w:t>
      </w:r>
      <w:r w:rsidR="1DAE3E6A" w:rsidRPr="620BE526">
        <w:rPr>
          <w:rFonts w:ascii="Calibri Light" w:eastAsia="Calibri" w:hAnsi="Calibri Light" w:cs="Calibri Light"/>
        </w:rPr>
        <w:t xml:space="preserve"> </w:t>
      </w:r>
      <w:r w:rsidR="5D86CD36" w:rsidRPr="620BE526">
        <w:rPr>
          <w:rFonts w:ascii="Calibri Light" w:eastAsia="Calibri" w:hAnsi="Calibri Light" w:cs="Calibri Light"/>
        </w:rPr>
        <w:t>support</w:t>
      </w:r>
      <w:r w:rsidR="09AF8445" w:rsidRPr="620BE526">
        <w:rPr>
          <w:rFonts w:ascii="Calibri Light" w:eastAsia="Calibri" w:hAnsi="Calibri Light" w:cs="Calibri Light"/>
        </w:rPr>
        <w:t xml:space="preserve"> for research training</w:t>
      </w:r>
      <w:r w:rsidR="2496A2CF" w:rsidRPr="620BE526">
        <w:rPr>
          <w:rFonts w:ascii="Calibri Light" w:eastAsia="Calibri" w:hAnsi="Calibri Light" w:cs="Calibri Light"/>
        </w:rPr>
        <w:t>,</w:t>
      </w:r>
      <w:r w:rsidR="09AF8445" w:rsidRPr="620BE526">
        <w:rPr>
          <w:rFonts w:ascii="Calibri Light" w:eastAsia="Calibri" w:hAnsi="Calibri Light" w:cs="Calibri Light"/>
        </w:rPr>
        <w:t xml:space="preserve"> </w:t>
      </w:r>
      <w:r w:rsidR="1DAE3E6A" w:rsidRPr="620BE526">
        <w:rPr>
          <w:rFonts w:ascii="Calibri Light" w:eastAsia="Calibri" w:hAnsi="Calibri Light" w:cs="Calibri Light"/>
        </w:rPr>
        <w:t xml:space="preserve">and that </w:t>
      </w:r>
      <w:r w:rsidR="67418591" w:rsidRPr="620BE526">
        <w:rPr>
          <w:rFonts w:ascii="Calibri Light" w:eastAsia="Calibri" w:hAnsi="Calibri Light" w:cs="Calibri Light"/>
        </w:rPr>
        <w:t>typical grant duration</w:t>
      </w:r>
      <w:r w:rsidR="3559F0BF" w:rsidRPr="620BE526">
        <w:rPr>
          <w:rFonts w:ascii="Calibri Light" w:eastAsia="Calibri" w:hAnsi="Calibri Light" w:cs="Calibri Light"/>
        </w:rPr>
        <w:t>s</w:t>
      </w:r>
      <w:r w:rsidR="67418591" w:rsidRPr="620BE526">
        <w:rPr>
          <w:rFonts w:ascii="Calibri Light" w:eastAsia="Calibri" w:hAnsi="Calibri Light" w:cs="Calibri Light"/>
        </w:rPr>
        <w:t xml:space="preserve"> </w:t>
      </w:r>
      <w:r w:rsidR="027D55C9" w:rsidRPr="620BE526">
        <w:rPr>
          <w:rFonts w:ascii="Calibri Light" w:eastAsia="Calibri" w:hAnsi="Calibri Light" w:cs="Calibri Light"/>
        </w:rPr>
        <w:t>did not align with</w:t>
      </w:r>
      <w:r w:rsidR="67418591" w:rsidRPr="620BE526">
        <w:rPr>
          <w:rFonts w:ascii="Calibri Light" w:eastAsia="Calibri" w:hAnsi="Calibri Light" w:cs="Calibri Light"/>
        </w:rPr>
        <w:t xml:space="preserve"> Doctor of Philosophy (PhD) completion</w:t>
      </w:r>
      <w:r w:rsidR="6F222955" w:rsidRPr="620BE526">
        <w:rPr>
          <w:rFonts w:ascii="Calibri Light" w:eastAsia="Calibri" w:hAnsi="Calibri Light" w:cs="Calibri Light"/>
        </w:rPr>
        <w:t xml:space="preserve"> </w:t>
      </w:r>
      <w:r w:rsidR="027D55C9" w:rsidRPr="620BE526">
        <w:rPr>
          <w:rFonts w:ascii="Calibri Light" w:eastAsia="Calibri" w:hAnsi="Calibri Light" w:cs="Calibri Light"/>
        </w:rPr>
        <w:t>timeframes</w:t>
      </w:r>
      <w:r w:rsidR="67418591" w:rsidRPr="620BE526">
        <w:rPr>
          <w:rFonts w:ascii="Calibri Light" w:eastAsia="Calibri" w:hAnsi="Calibri Light" w:cs="Calibri Light"/>
        </w:rPr>
        <w:t xml:space="preserve">. </w:t>
      </w:r>
    </w:p>
    <w:p w14:paraId="7FFFD586" w14:textId="77777777" w:rsidR="00AF0E1D" w:rsidRPr="006F159A" w:rsidRDefault="00AF0E1D" w:rsidP="00AF0E1D">
      <w:pPr>
        <w:shd w:val="clear" w:color="auto" w:fill="DEEAF6" w:themeFill="accent1" w:themeFillTint="33"/>
        <w:spacing w:after="60"/>
        <w:rPr>
          <w:rFonts w:ascii="Calibri Light" w:eastAsia="Calibri" w:hAnsi="Calibri Light" w:cs="Calibri Light"/>
        </w:rPr>
      </w:pPr>
    </w:p>
    <w:p w14:paraId="6049EA39" w14:textId="4576A111" w:rsidR="00BE18E2" w:rsidRPr="006F159A" w:rsidRDefault="00BE18E2" w:rsidP="00BE18E2">
      <w:pPr>
        <w:shd w:val="clear" w:color="auto" w:fill="DEEAF6" w:themeFill="accent1" w:themeFillTint="33"/>
        <w:spacing w:before="120" w:after="120"/>
        <w:ind w:left="284" w:hanging="284"/>
        <w:rPr>
          <w:rFonts w:ascii="Calibri Light" w:eastAsia="Calibri" w:hAnsi="Calibri Light" w:cs="Calibri Light"/>
          <w:i/>
        </w:rPr>
      </w:pPr>
      <w:r w:rsidRPr="006F159A">
        <w:rPr>
          <w:rFonts w:ascii="Calibri Light" w:eastAsia="Calibri" w:hAnsi="Calibri Light" w:cs="Calibri Light"/>
          <w:i/>
        </w:rPr>
        <w:lastRenderedPageBreak/>
        <w:t>Supporting national and international</w:t>
      </w:r>
      <w:r w:rsidR="004A2524">
        <w:rPr>
          <w:rFonts w:ascii="Calibri Light" w:eastAsia="Calibri" w:hAnsi="Calibri Light" w:cs="Calibri Light"/>
          <w:i/>
        </w:rPr>
        <w:t xml:space="preserve"> research</w:t>
      </w:r>
      <w:r w:rsidRPr="006F159A">
        <w:rPr>
          <w:rFonts w:ascii="Calibri Light" w:eastAsia="Calibri" w:hAnsi="Calibri Light" w:cs="Calibri Light"/>
          <w:i/>
        </w:rPr>
        <w:t xml:space="preserve"> collaboration</w:t>
      </w:r>
    </w:p>
    <w:p w14:paraId="0EAB8558" w14:textId="148751B8" w:rsidR="00BE18E2" w:rsidRPr="006F159A" w:rsidRDefault="00BE18E2" w:rsidP="00BE18E2">
      <w:pPr>
        <w:numPr>
          <w:ilvl w:val="0"/>
          <w:numId w:val="42"/>
        </w:numPr>
        <w:shd w:val="clear" w:color="auto" w:fill="DEEAF6" w:themeFill="accent1" w:themeFillTint="33"/>
        <w:spacing w:after="60"/>
        <w:ind w:left="284" w:hanging="284"/>
        <w:rPr>
          <w:rFonts w:ascii="Calibri Light" w:eastAsia="Calibri" w:hAnsi="Calibri Light" w:cs="Calibri Light"/>
        </w:rPr>
      </w:pPr>
      <w:r w:rsidRPr="006F159A">
        <w:rPr>
          <w:rFonts w:ascii="Calibri Light" w:eastAsia="Calibri" w:hAnsi="Calibri Light" w:cs="Calibri Light"/>
        </w:rPr>
        <w:t xml:space="preserve">The average number of participating organisations </w:t>
      </w:r>
      <w:r w:rsidR="00614D8F">
        <w:rPr>
          <w:rFonts w:ascii="Calibri Light" w:eastAsia="Calibri" w:hAnsi="Calibri Light" w:cs="Calibri Light"/>
        </w:rPr>
        <w:t xml:space="preserve">increased </w:t>
      </w:r>
      <w:r w:rsidRPr="006F159A">
        <w:rPr>
          <w:rFonts w:ascii="Calibri Light" w:eastAsia="Calibri" w:hAnsi="Calibri Light" w:cs="Calibri Light"/>
        </w:rPr>
        <w:t xml:space="preserve">on applications </w:t>
      </w:r>
      <w:r w:rsidR="00614D8F">
        <w:rPr>
          <w:rFonts w:ascii="Calibri Light" w:eastAsia="Calibri" w:hAnsi="Calibri Light" w:cs="Calibri Light"/>
        </w:rPr>
        <w:t>(</w:t>
      </w:r>
      <w:r w:rsidRPr="006F159A">
        <w:rPr>
          <w:rFonts w:ascii="Calibri Light" w:eastAsia="Calibri" w:hAnsi="Calibri Light" w:cs="Calibri Light"/>
        </w:rPr>
        <w:t>from 1.4 to 2.3</w:t>
      </w:r>
      <w:r w:rsidR="00614D8F">
        <w:rPr>
          <w:rFonts w:ascii="Calibri Light" w:eastAsia="Calibri" w:hAnsi="Calibri Light" w:cs="Calibri Light"/>
        </w:rPr>
        <w:t>)</w:t>
      </w:r>
      <w:r w:rsidRPr="006F159A">
        <w:rPr>
          <w:rFonts w:ascii="Calibri Light" w:eastAsia="Calibri" w:hAnsi="Calibri Light" w:cs="Calibri Light"/>
        </w:rPr>
        <w:t xml:space="preserve"> and funded projects </w:t>
      </w:r>
      <w:r w:rsidR="00614D8F">
        <w:rPr>
          <w:rFonts w:ascii="Calibri Light" w:eastAsia="Calibri" w:hAnsi="Calibri Light" w:cs="Calibri Light"/>
        </w:rPr>
        <w:t>(</w:t>
      </w:r>
      <w:r w:rsidRPr="006F159A">
        <w:rPr>
          <w:rFonts w:ascii="Calibri Light" w:eastAsia="Calibri" w:hAnsi="Calibri Light" w:cs="Calibri Light"/>
        </w:rPr>
        <w:t>from 1.5 to 2.4</w:t>
      </w:r>
      <w:r w:rsidR="00614D8F">
        <w:rPr>
          <w:rFonts w:ascii="Calibri Light" w:eastAsia="Calibri" w:hAnsi="Calibri Light" w:cs="Calibri Light"/>
        </w:rPr>
        <w:t xml:space="preserve">) </w:t>
      </w:r>
      <w:r w:rsidR="00772D38">
        <w:rPr>
          <w:rFonts w:ascii="Calibri Light" w:eastAsia="Calibri" w:hAnsi="Calibri Light" w:cs="Calibri Light"/>
        </w:rPr>
        <w:t>from</w:t>
      </w:r>
      <w:r w:rsidRPr="006F159A">
        <w:rPr>
          <w:rFonts w:ascii="Calibri Light" w:eastAsia="Calibri" w:hAnsi="Calibri Light" w:cs="Calibri Light"/>
        </w:rPr>
        <w:t xml:space="preserve"> DP02</w:t>
      </w:r>
      <w:r w:rsidR="00614D8F">
        <w:rPr>
          <w:rFonts w:ascii="Calibri Light" w:eastAsia="Calibri" w:hAnsi="Calibri Light" w:cs="Calibri Light"/>
        </w:rPr>
        <w:t xml:space="preserve"> to </w:t>
      </w:r>
      <w:r w:rsidRPr="006F159A">
        <w:rPr>
          <w:rFonts w:ascii="Calibri Light" w:eastAsia="Calibri" w:hAnsi="Calibri Light" w:cs="Calibri Light"/>
        </w:rPr>
        <w:t>DP20</w:t>
      </w:r>
      <w:r w:rsidR="00DE3C85">
        <w:rPr>
          <w:rFonts w:ascii="Calibri Light" w:eastAsia="Calibri" w:hAnsi="Calibri Light" w:cs="Calibri Light"/>
        </w:rPr>
        <w:t>.</w:t>
      </w:r>
      <w:r w:rsidRPr="006F159A">
        <w:rPr>
          <w:rFonts w:ascii="Calibri Light" w:eastAsia="Calibri" w:hAnsi="Calibri Light" w:cs="Calibri Light"/>
        </w:rPr>
        <w:t xml:space="preserve"> </w:t>
      </w:r>
    </w:p>
    <w:p w14:paraId="5AE9CDCB" w14:textId="5242F9C2" w:rsidR="00B37424" w:rsidRPr="00B37424" w:rsidRDefault="00BE18E2">
      <w:pPr>
        <w:numPr>
          <w:ilvl w:val="0"/>
          <w:numId w:val="42"/>
        </w:numPr>
        <w:shd w:val="clear" w:color="auto" w:fill="DEEAF6" w:themeFill="accent1" w:themeFillTint="33"/>
        <w:spacing w:after="60"/>
        <w:ind w:left="284" w:hanging="284"/>
        <w:rPr>
          <w:rFonts w:ascii="Calibri Light" w:eastAsia="Calibri" w:hAnsi="Calibri Light" w:cs="Calibri Light"/>
        </w:rPr>
      </w:pPr>
      <w:r w:rsidRPr="006F159A">
        <w:rPr>
          <w:rFonts w:ascii="Calibri Light" w:eastAsia="Calibri" w:hAnsi="Calibri Light" w:cs="Calibri Light"/>
        </w:rPr>
        <w:t>International organisations constituted a growing proportion of participating organisations</w:t>
      </w:r>
      <w:r w:rsidR="00E759E0">
        <w:rPr>
          <w:rFonts w:ascii="Calibri Light" w:eastAsia="Calibri" w:hAnsi="Calibri Light" w:cs="Calibri Light"/>
        </w:rPr>
        <w:t xml:space="preserve"> </w:t>
      </w:r>
      <w:r w:rsidRPr="006F159A">
        <w:rPr>
          <w:rFonts w:ascii="Calibri Light" w:eastAsia="Calibri" w:hAnsi="Calibri Light" w:cs="Calibri Light"/>
        </w:rPr>
        <w:t>on</w:t>
      </w:r>
      <w:r w:rsidR="00F30111">
        <w:rPr>
          <w:rFonts w:ascii="Calibri Light" w:eastAsia="Calibri" w:hAnsi="Calibri Light" w:cs="Calibri Light"/>
        </w:rPr>
        <w:t xml:space="preserve"> </w:t>
      </w:r>
      <w:r w:rsidRPr="006F159A">
        <w:rPr>
          <w:rFonts w:ascii="Calibri Light" w:eastAsia="Calibri" w:hAnsi="Calibri Light" w:cs="Calibri Light"/>
        </w:rPr>
        <w:t>applications</w:t>
      </w:r>
      <w:r w:rsidR="005F2BAD">
        <w:rPr>
          <w:rFonts w:ascii="Calibri Light" w:eastAsia="Calibri" w:hAnsi="Calibri Light" w:cs="Calibri Light"/>
        </w:rPr>
        <w:t xml:space="preserve"> (</w:t>
      </w:r>
      <w:r w:rsidR="0027556D">
        <w:rPr>
          <w:rFonts w:ascii="Calibri Light" w:eastAsia="Calibri" w:hAnsi="Calibri Light" w:cs="Calibri Light"/>
        </w:rPr>
        <w:t xml:space="preserve">from </w:t>
      </w:r>
      <w:r w:rsidR="005F2BAD">
        <w:rPr>
          <w:rFonts w:ascii="Calibri Light" w:eastAsia="Calibri" w:hAnsi="Calibri Light" w:cs="Calibri Light"/>
        </w:rPr>
        <w:t>25.5</w:t>
      </w:r>
      <w:r w:rsidR="0027556D">
        <w:rPr>
          <w:rFonts w:ascii="Calibri Light" w:eastAsia="Calibri" w:hAnsi="Calibri Light" w:cs="Calibri Light"/>
        </w:rPr>
        <w:t xml:space="preserve"> </w:t>
      </w:r>
      <w:r w:rsidR="00F17FDD">
        <w:rPr>
          <w:rFonts w:ascii="Calibri Light" w:eastAsia="Calibri" w:hAnsi="Calibri Light" w:cs="Calibri Light"/>
        </w:rPr>
        <w:t xml:space="preserve">per cent </w:t>
      </w:r>
      <w:r w:rsidR="0027556D">
        <w:rPr>
          <w:rFonts w:ascii="Calibri Light" w:eastAsia="Calibri" w:hAnsi="Calibri Light" w:cs="Calibri Light"/>
        </w:rPr>
        <w:t xml:space="preserve">to </w:t>
      </w:r>
      <w:r w:rsidR="005F2BAD">
        <w:rPr>
          <w:rFonts w:ascii="Calibri Light" w:eastAsia="Calibri" w:hAnsi="Calibri Light" w:cs="Calibri Light"/>
        </w:rPr>
        <w:t>33.0 per cent)</w:t>
      </w:r>
      <w:r w:rsidRPr="006F159A">
        <w:rPr>
          <w:rFonts w:ascii="Calibri Light" w:eastAsia="Calibri" w:hAnsi="Calibri Light" w:cs="Calibri Light"/>
        </w:rPr>
        <w:t xml:space="preserve"> and funded projects</w:t>
      </w:r>
      <w:r w:rsidR="003602E7">
        <w:rPr>
          <w:rFonts w:ascii="Calibri Light" w:eastAsia="Calibri" w:hAnsi="Calibri Light" w:cs="Calibri Light"/>
        </w:rPr>
        <w:t xml:space="preserve"> (</w:t>
      </w:r>
      <w:r w:rsidR="00B27727">
        <w:rPr>
          <w:rFonts w:ascii="Calibri Light" w:eastAsia="Calibri" w:hAnsi="Calibri Light" w:cs="Calibri Light"/>
        </w:rPr>
        <w:t xml:space="preserve">from </w:t>
      </w:r>
      <w:r w:rsidR="003602E7">
        <w:rPr>
          <w:rFonts w:ascii="Calibri Light" w:eastAsia="Calibri" w:hAnsi="Calibri Light" w:cs="Calibri Light"/>
        </w:rPr>
        <w:t>30.0</w:t>
      </w:r>
      <w:r w:rsidR="0027556D">
        <w:rPr>
          <w:rFonts w:ascii="Calibri Light" w:eastAsia="Calibri" w:hAnsi="Calibri Light" w:cs="Calibri Light"/>
        </w:rPr>
        <w:t xml:space="preserve"> </w:t>
      </w:r>
      <w:r w:rsidR="00F17FDD">
        <w:rPr>
          <w:rFonts w:ascii="Calibri Light" w:eastAsia="Calibri" w:hAnsi="Calibri Light" w:cs="Calibri Light"/>
        </w:rPr>
        <w:t xml:space="preserve">per cent </w:t>
      </w:r>
      <w:r w:rsidR="0027556D">
        <w:rPr>
          <w:rFonts w:ascii="Calibri Light" w:eastAsia="Calibri" w:hAnsi="Calibri Light" w:cs="Calibri Light"/>
        </w:rPr>
        <w:t xml:space="preserve">to </w:t>
      </w:r>
      <w:r w:rsidR="00F17FDD">
        <w:rPr>
          <w:rFonts w:ascii="Calibri Light" w:eastAsia="Calibri" w:hAnsi="Calibri Light" w:cs="Calibri Light"/>
        </w:rPr>
        <w:br/>
      </w:r>
      <w:r w:rsidR="003602E7">
        <w:rPr>
          <w:rFonts w:ascii="Calibri Light" w:eastAsia="Calibri" w:hAnsi="Calibri Light" w:cs="Calibri Light"/>
        </w:rPr>
        <w:t>33.</w:t>
      </w:r>
      <w:r w:rsidR="00E759E0">
        <w:rPr>
          <w:rFonts w:ascii="Calibri Light" w:eastAsia="Calibri" w:hAnsi="Calibri Light" w:cs="Calibri Light"/>
        </w:rPr>
        <w:t>0</w:t>
      </w:r>
      <w:r w:rsidR="00856ADB">
        <w:rPr>
          <w:rFonts w:ascii="Calibri Light" w:eastAsia="Calibri" w:hAnsi="Calibri Light" w:cs="Calibri Light"/>
        </w:rPr>
        <w:t xml:space="preserve"> per cent</w:t>
      </w:r>
      <w:r w:rsidR="003602E7">
        <w:rPr>
          <w:rFonts w:ascii="Calibri Light" w:eastAsia="Calibri" w:hAnsi="Calibri Light" w:cs="Calibri Light"/>
        </w:rPr>
        <w:t>)</w:t>
      </w:r>
      <w:r w:rsidR="00B27727">
        <w:rPr>
          <w:rFonts w:ascii="Calibri Light" w:eastAsia="Calibri" w:hAnsi="Calibri Light" w:cs="Calibri Light"/>
        </w:rPr>
        <w:t xml:space="preserve"> between DP11 and DP20</w:t>
      </w:r>
      <w:r w:rsidRPr="006F159A">
        <w:rPr>
          <w:rFonts w:ascii="Calibri Light" w:eastAsia="Calibri" w:hAnsi="Calibri Light" w:cs="Calibri Light"/>
        </w:rPr>
        <w:t>.</w:t>
      </w:r>
      <w:r w:rsidR="00B37424">
        <w:rPr>
          <w:rFonts w:ascii="Calibri Light" w:eastAsia="Calibri" w:hAnsi="Calibri Light" w:cs="Calibri Light"/>
        </w:rPr>
        <w:t xml:space="preserve"> </w:t>
      </w:r>
      <w:r w:rsidRPr="00B37424">
        <w:rPr>
          <w:rFonts w:ascii="Calibri Light" w:eastAsia="Calibri" w:hAnsi="Calibri Light" w:cs="Calibri Light"/>
        </w:rPr>
        <w:t xml:space="preserve">International higher education institutions were the </w:t>
      </w:r>
      <w:r w:rsidR="008317FF" w:rsidRPr="00B37424">
        <w:rPr>
          <w:rFonts w:ascii="Calibri Light" w:eastAsia="Calibri" w:hAnsi="Calibri Light" w:cs="Calibri Light"/>
        </w:rPr>
        <w:t>most common</w:t>
      </w:r>
      <w:r w:rsidRPr="00B37424">
        <w:rPr>
          <w:rFonts w:ascii="Calibri Light" w:eastAsia="Calibri" w:hAnsi="Calibri Light" w:cs="Calibri Light"/>
        </w:rPr>
        <w:t xml:space="preserve"> participating organisation type outside of Australian universities</w:t>
      </w:r>
      <w:r w:rsidR="00946199" w:rsidRPr="00B37424">
        <w:rPr>
          <w:rFonts w:ascii="Calibri Light" w:eastAsia="Calibri" w:hAnsi="Calibri Light" w:cs="Calibri Light"/>
        </w:rPr>
        <w:t xml:space="preserve">. </w:t>
      </w:r>
    </w:p>
    <w:p w14:paraId="19BD3443" w14:textId="191C8135" w:rsidR="0043572B" w:rsidRDefault="00B37424" w:rsidP="007057E6">
      <w:pPr>
        <w:numPr>
          <w:ilvl w:val="0"/>
          <w:numId w:val="42"/>
        </w:numPr>
        <w:shd w:val="clear" w:color="auto" w:fill="DEEAF6" w:themeFill="accent1" w:themeFillTint="33"/>
        <w:spacing w:after="60"/>
        <w:ind w:left="284" w:hanging="284"/>
        <w:rPr>
          <w:rFonts w:ascii="Calibri Light" w:eastAsia="Calibri" w:hAnsi="Calibri Light" w:cs="Calibri Light"/>
        </w:rPr>
      </w:pPr>
      <w:r>
        <w:rPr>
          <w:rFonts w:ascii="Calibri Light" w:eastAsia="Calibri" w:hAnsi="Calibri Light" w:cs="Calibri Light"/>
        </w:rPr>
        <w:t>I</w:t>
      </w:r>
      <w:r w:rsidR="00DF5EDC">
        <w:rPr>
          <w:rFonts w:ascii="Calibri Light" w:eastAsia="Calibri" w:hAnsi="Calibri Light" w:cs="Calibri Light"/>
        </w:rPr>
        <w:t xml:space="preserve">n line with its </w:t>
      </w:r>
      <w:r w:rsidR="003F1FEE">
        <w:rPr>
          <w:rFonts w:ascii="Calibri Light" w:eastAsia="Calibri" w:hAnsi="Calibri Light" w:cs="Calibri Light"/>
        </w:rPr>
        <w:t xml:space="preserve">design and </w:t>
      </w:r>
      <w:r w:rsidR="00507BF9">
        <w:rPr>
          <w:rFonts w:ascii="Calibri Light" w:eastAsia="Calibri" w:hAnsi="Calibri Light" w:cs="Calibri Light"/>
        </w:rPr>
        <w:t>intent</w:t>
      </w:r>
      <w:r w:rsidR="003F1FEE">
        <w:rPr>
          <w:rFonts w:ascii="Calibri Light" w:eastAsia="Calibri" w:hAnsi="Calibri Light" w:cs="Calibri Light"/>
        </w:rPr>
        <w:t xml:space="preserve">, </w:t>
      </w:r>
      <w:r w:rsidR="00FC180B">
        <w:rPr>
          <w:rFonts w:ascii="Calibri Light" w:eastAsia="Calibri" w:hAnsi="Calibri Light" w:cs="Calibri Light"/>
        </w:rPr>
        <w:t xml:space="preserve">the scheme </w:t>
      </w:r>
      <w:r w:rsidR="00BE18E2">
        <w:rPr>
          <w:rFonts w:ascii="Calibri Light" w:eastAsia="Calibri" w:hAnsi="Calibri Light" w:cs="Calibri Light"/>
        </w:rPr>
        <w:t>primarily</w:t>
      </w:r>
      <w:r w:rsidR="00BE18E2" w:rsidRPr="006F159A">
        <w:rPr>
          <w:rFonts w:ascii="Calibri Light" w:eastAsia="Calibri" w:hAnsi="Calibri Light" w:cs="Calibri Light"/>
        </w:rPr>
        <w:t xml:space="preserve"> </w:t>
      </w:r>
      <w:r w:rsidR="0085688A">
        <w:rPr>
          <w:rFonts w:ascii="Calibri Light" w:eastAsia="Calibri" w:hAnsi="Calibri Light" w:cs="Calibri Light"/>
        </w:rPr>
        <w:t xml:space="preserve">supports collaboration </w:t>
      </w:r>
      <w:r w:rsidR="00BE18E2" w:rsidRPr="006F159A">
        <w:rPr>
          <w:rFonts w:ascii="Calibri Light" w:eastAsia="Calibri" w:hAnsi="Calibri Light" w:cs="Calibri Light"/>
        </w:rPr>
        <w:t xml:space="preserve">between national and international </w:t>
      </w:r>
      <w:r>
        <w:rPr>
          <w:rFonts w:ascii="Calibri Light" w:eastAsia="Calibri" w:hAnsi="Calibri Light" w:cs="Calibri Light"/>
        </w:rPr>
        <w:t>researchers</w:t>
      </w:r>
      <w:r w:rsidR="00BE18E2">
        <w:rPr>
          <w:rFonts w:ascii="Calibri Light" w:eastAsia="Calibri" w:hAnsi="Calibri Light" w:cs="Calibri Light"/>
        </w:rPr>
        <w:t>.</w:t>
      </w:r>
    </w:p>
    <w:p w14:paraId="4CAE1F29" w14:textId="009F56A2" w:rsidR="00BE18E2" w:rsidRPr="004F1AF7" w:rsidRDefault="00DA714D" w:rsidP="007057E6">
      <w:pPr>
        <w:numPr>
          <w:ilvl w:val="0"/>
          <w:numId w:val="42"/>
        </w:numPr>
        <w:shd w:val="clear" w:color="auto" w:fill="DEEAF6" w:themeFill="accent1" w:themeFillTint="33"/>
        <w:spacing w:after="60"/>
        <w:ind w:left="284" w:hanging="284"/>
        <w:rPr>
          <w:rFonts w:ascii="Calibri Light" w:eastAsia="Calibri" w:hAnsi="Calibri Light" w:cs="Calibri Light"/>
        </w:rPr>
      </w:pPr>
      <w:r>
        <w:rPr>
          <w:rFonts w:ascii="Calibri Light" w:eastAsia="Calibri" w:hAnsi="Calibri Light" w:cs="Calibri Light"/>
        </w:rPr>
        <w:t>Qualitative s</w:t>
      </w:r>
      <w:r w:rsidR="00C666CB" w:rsidRPr="0043572B">
        <w:rPr>
          <w:rFonts w:ascii="Calibri Light" w:eastAsia="Calibri" w:hAnsi="Calibri Light" w:cs="Calibri Light"/>
        </w:rPr>
        <w:t>takeholder</w:t>
      </w:r>
      <w:r>
        <w:rPr>
          <w:rFonts w:ascii="Calibri Light" w:eastAsia="Calibri" w:hAnsi="Calibri Light" w:cs="Calibri Light"/>
        </w:rPr>
        <w:t xml:space="preserve"> feedback included</w:t>
      </w:r>
      <w:r w:rsidR="00660E00">
        <w:rPr>
          <w:rFonts w:ascii="Calibri Light" w:eastAsia="Calibri" w:hAnsi="Calibri Light" w:cs="Calibri Light"/>
        </w:rPr>
        <w:t xml:space="preserve"> concerns that</w:t>
      </w:r>
      <w:r w:rsidR="00C666CB" w:rsidRPr="0043572B">
        <w:rPr>
          <w:rFonts w:ascii="Calibri Light" w:eastAsia="Calibri" w:hAnsi="Calibri Light" w:cs="Calibri Light"/>
        </w:rPr>
        <w:t xml:space="preserve"> </w:t>
      </w:r>
      <w:r w:rsidR="00660E00">
        <w:rPr>
          <w:rFonts w:ascii="Calibri Light" w:eastAsia="Calibri" w:hAnsi="Calibri Light" w:cs="Calibri Light"/>
        </w:rPr>
        <w:t>l</w:t>
      </w:r>
      <w:r w:rsidR="00BE18E2" w:rsidRPr="004F1AF7">
        <w:rPr>
          <w:rFonts w:ascii="Calibri Light" w:eastAsia="Calibri" w:hAnsi="Calibri Light" w:cs="Calibri Light"/>
        </w:rPr>
        <w:t xml:space="preserve">imiting researchers to two Chief Investigator roles </w:t>
      </w:r>
      <w:r w:rsidR="00632AAA">
        <w:rPr>
          <w:rFonts w:ascii="Calibri Light" w:eastAsia="Calibri" w:hAnsi="Calibri Light" w:cs="Calibri Light"/>
        </w:rPr>
        <w:t>disincentivised</w:t>
      </w:r>
      <w:r w:rsidR="00660E00" w:rsidRPr="004F1AF7">
        <w:rPr>
          <w:rFonts w:ascii="Calibri Light" w:eastAsia="Calibri" w:hAnsi="Calibri Light" w:cs="Calibri Light"/>
        </w:rPr>
        <w:t xml:space="preserve"> </w:t>
      </w:r>
      <w:r w:rsidR="00BE18E2" w:rsidRPr="004F1AF7">
        <w:rPr>
          <w:rFonts w:ascii="Calibri Light" w:eastAsia="Calibri" w:hAnsi="Calibri Light" w:cs="Calibri Light"/>
        </w:rPr>
        <w:t>collaboration between Australian universities</w:t>
      </w:r>
      <w:r w:rsidR="004F1AF7" w:rsidRPr="004F1AF7">
        <w:rPr>
          <w:rFonts w:ascii="Calibri Light" w:eastAsia="Calibri" w:hAnsi="Calibri Light" w:cs="Calibri Light"/>
        </w:rPr>
        <w:t>, and that</w:t>
      </w:r>
      <w:r w:rsidR="00417B49">
        <w:rPr>
          <w:rFonts w:ascii="Calibri Light" w:eastAsia="Calibri" w:hAnsi="Calibri Light" w:cs="Calibri Light"/>
        </w:rPr>
        <w:t xml:space="preserve"> administrative </w:t>
      </w:r>
      <w:r w:rsidR="00BE18E2" w:rsidRPr="004F1AF7">
        <w:rPr>
          <w:rFonts w:ascii="Calibri Light" w:eastAsia="Calibri" w:hAnsi="Calibri Light" w:cs="Calibri Light"/>
        </w:rPr>
        <w:t>burden</w:t>
      </w:r>
      <w:r w:rsidR="00386FBB">
        <w:rPr>
          <w:rFonts w:ascii="Calibri Light" w:eastAsia="Calibri" w:hAnsi="Calibri Light" w:cs="Calibri Light"/>
        </w:rPr>
        <w:t>s</w:t>
      </w:r>
      <w:r w:rsidR="00BE18E2" w:rsidRPr="004F1AF7">
        <w:rPr>
          <w:rFonts w:ascii="Calibri Light" w:eastAsia="Calibri" w:hAnsi="Calibri Light" w:cs="Calibri Light"/>
        </w:rPr>
        <w:t xml:space="preserve"> </w:t>
      </w:r>
      <w:r w:rsidR="00632AAA">
        <w:rPr>
          <w:rFonts w:ascii="Calibri Light" w:eastAsia="Calibri" w:hAnsi="Calibri Light" w:cs="Calibri Light"/>
        </w:rPr>
        <w:t>impeded</w:t>
      </w:r>
      <w:r w:rsidR="00BE18E2" w:rsidRPr="004F1AF7">
        <w:rPr>
          <w:rFonts w:ascii="Calibri Light" w:eastAsia="Calibri" w:hAnsi="Calibri Light" w:cs="Calibri Light"/>
        </w:rPr>
        <w:t xml:space="preserve"> international Partner Investigato</w:t>
      </w:r>
      <w:r w:rsidR="00632AAA">
        <w:rPr>
          <w:rFonts w:ascii="Calibri Light" w:eastAsia="Calibri" w:hAnsi="Calibri Light" w:cs="Calibri Light"/>
        </w:rPr>
        <w:t>r participation</w:t>
      </w:r>
      <w:r w:rsidR="00BE18E2" w:rsidRPr="004F1AF7">
        <w:rPr>
          <w:rFonts w:ascii="Calibri Light" w:eastAsia="Calibri" w:hAnsi="Calibri Light" w:cs="Calibri Light"/>
        </w:rPr>
        <w:t xml:space="preserve">. </w:t>
      </w:r>
    </w:p>
    <w:p w14:paraId="4EEE4B79" w14:textId="77777777" w:rsidR="00BE18E2" w:rsidRPr="006F159A" w:rsidRDefault="00BE18E2" w:rsidP="00BE18E2">
      <w:pPr>
        <w:shd w:val="clear" w:color="auto" w:fill="DEEAF6" w:themeFill="accent1" w:themeFillTint="33"/>
        <w:spacing w:before="120" w:after="120"/>
        <w:ind w:left="284" w:hanging="284"/>
        <w:rPr>
          <w:rFonts w:ascii="Calibri Light" w:eastAsia="Calibri" w:hAnsi="Calibri Light" w:cs="Calibri Light"/>
          <w:i/>
        </w:rPr>
      </w:pPr>
      <w:r w:rsidRPr="006F159A">
        <w:rPr>
          <w:rFonts w:ascii="Calibri Light" w:eastAsia="Calibri" w:hAnsi="Calibri Light" w:cs="Calibri Light"/>
          <w:i/>
        </w:rPr>
        <w:t>Enhancing the scale and focus of research in Australian Government priority areas</w:t>
      </w:r>
    </w:p>
    <w:p w14:paraId="26D24A29" w14:textId="3E370073" w:rsidR="00BE18E2" w:rsidRPr="006F159A" w:rsidRDefault="00BE18E2" w:rsidP="00BE18E2">
      <w:pPr>
        <w:numPr>
          <w:ilvl w:val="0"/>
          <w:numId w:val="43"/>
        </w:numPr>
        <w:shd w:val="clear" w:color="auto" w:fill="DEEAF6" w:themeFill="accent1" w:themeFillTint="33"/>
        <w:spacing w:after="60"/>
        <w:ind w:left="284" w:hanging="284"/>
        <w:rPr>
          <w:rFonts w:ascii="Calibri Light" w:eastAsia="Calibri" w:hAnsi="Calibri Light" w:cs="Calibri Light"/>
        </w:rPr>
      </w:pPr>
      <w:r w:rsidRPr="006F159A">
        <w:rPr>
          <w:rFonts w:ascii="Calibri Light" w:eastAsia="Calibri" w:hAnsi="Calibri Light" w:cs="Calibri Light"/>
        </w:rPr>
        <w:t xml:space="preserve">The proportion of funded projects addressing the National Science and Research Priorities has declined compared to previous </w:t>
      </w:r>
      <w:r>
        <w:rPr>
          <w:rFonts w:ascii="Calibri Light" w:eastAsia="Calibri" w:hAnsi="Calibri Light" w:cs="Calibri Light"/>
        </w:rPr>
        <w:t>priorities</w:t>
      </w:r>
      <w:r w:rsidRPr="006F159A">
        <w:rPr>
          <w:rFonts w:ascii="Calibri Light" w:eastAsia="Calibri" w:hAnsi="Calibri Light" w:cs="Calibri Light"/>
        </w:rPr>
        <w:t xml:space="preserve">. This </w:t>
      </w:r>
      <w:r>
        <w:rPr>
          <w:rFonts w:ascii="Calibri Light" w:eastAsia="Calibri" w:hAnsi="Calibri Light" w:cs="Calibri Light"/>
        </w:rPr>
        <w:t>is likely to</w:t>
      </w:r>
      <w:r w:rsidRPr="006F159A">
        <w:rPr>
          <w:rFonts w:ascii="Calibri Light" w:eastAsia="Calibri" w:hAnsi="Calibri Light" w:cs="Calibri Light"/>
        </w:rPr>
        <w:t xml:space="preserve"> reflect changes to the nature, number and breadth of the priorities, rather than the effectiveness of the scheme. </w:t>
      </w:r>
    </w:p>
    <w:p w14:paraId="6C73BB44" w14:textId="77777777" w:rsidR="00BE18E2" w:rsidRPr="006F159A" w:rsidRDefault="00BE18E2" w:rsidP="00BE18E2">
      <w:pPr>
        <w:numPr>
          <w:ilvl w:val="0"/>
          <w:numId w:val="43"/>
        </w:numPr>
        <w:shd w:val="clear" w:color="auto" w:fill="DEEAF6" w:themeFill="accent1" w:themeFillTint="33"/>
        <w:spacing w:after="60"/>
        <w:ind w:left="284" w:hanging="284"/>
        <w:rPr>
          <w:rFonts w:ascii="Calibri Light" w:eastAsia="Calibri" w:hAnsi="Calibri Light" w:cs="Calibri Light"/>
        </w:rPr>
      </w:pPr>
      <w:r w:rsidRPr="006F159A">
        <w:rPr>
          <w:rFonts w:ascii="Calibri Light" w:eastAsia="Calibri" w:hAnsi="Calibri Light" w:cs="Calibri Light"/>
        </w:rPr>
        <w:t xml:space="preserve">Advanced Manufacturing, Environmental Change and Health have been the most </w:t>
      </w:r>
      <w:r>
        <w:rPr>
          <w:rFonts w:ascii="Calibri Light" w:eastAsia="Calibri" w:hAnsi="Calibri Light" w:cs="Calibri Light"/>
        </w:rPr>
        <w:t>frequently addressed</w:t>
      </w:r>
      <w:r w:rsidRPr="006F159A">
        <w:rPr>
          <w:rFonts w:ascii="Calibri Light" w:eastAsia="Calibri" w:hAnsi="Calibri Light" w:cs="Calibri Light"/>
        </w:rPr>
        <w:t xml:space="preserve"> National Science and Research Priorities; while Food, Soil and Water, and Resources have been addressed less frequently. </w:t>
      </w:r>
    </w:p>
    <w:p w14:paraId="4E3C7E0A" w14:textId="5F190295" w:rsidR="00BE18E2" w:rsidRDefault="00BE18E2" w:rsidP="007057E6">
      <w:pPr>
        <w:numPr>
          <w:ilvl w:val="0"/>
          <w:numId w:val="43"/>
        </w:numPr>
        <w:shd w:val="clear" w:color="auto" w:fill="DEEAF6" w:themeFill="accent1" w:themeFillTint="33"/>
        <w:spacing w:after="240"/>
        <w:ind w:left="284" w:hanging="284"/>
        <w:contextualSpacing/>
        <w:rPr>
          <w:rFonts w:ascii="Calibri Light" w:eastAsia="Calibri" w:hAnsi="Calibri Light" w:cs="Calibri Light"/>
        </w:rPr>
      </w:pPr>
      <w:r w:rsidRPr="006F159A">
        <w:rPr>
          <w:rFonts w:ascii="Calibri Light" w:eastAsia="Calibri" w:hAnsi="Calibri Light" w:cs="Calibri Light"/>
        </w:rPr>
        <w:t xml:space="preserve">Stakeholders expressed a degree of uncertainty about the role of the National Science and Research Priorities in Discovery Projects processes. </w:t>
      </w:r>
    </w:p>
    <w:p w14:paraId="11043800" w14:textId="77777777" w:rsidR="003164D6" w:rsidRPr="007057E6" w:rsidRDefault="003164D6" w:rsidP="007057E6">
      <w:pPr>
        <w:spacing w:after="0"/>
        <w:rPr>
          <w:rFonts w:ascii="Calibri Light" w:eastAsia="Calibri" w:hAnsi="Calibri Light" w:cs="Calibri Light"/>
        </w:rPr>
      </w:pPr>
    </w:p>
    <w:p w14:paraId="3A2620B1" w14:textId="07392508" w:rsidR="006F159A" w:rsidRPr="006F159A" w:rsidRDefault="006F159A" w:rsidP="00254D36">
      <w:pPr>
        <w:numPr>
          <w:ilvl w:val="0"/>
          <w:numId w:val="15"/>
        </w:numPr>
        <w:outlineLvl w:val="0"/>
        <w:rPr>
          <w:rFonts w:asciiTheme="majorHAnsi" w:hAnsiTheme="majorHAnsi" w:cstheme="majorHAnsi"/>
          <w:b/>
          <w:vanish/>
          <w:sz w:val="28"/>
          <w:szCs w:val="28"/>
        </w:rPr>
      </w:pPr>
      <w:bookmarkStart w:id="313" w:name="_Toc50533598"/>
      <w:bookmarkStart w:id="314" w:name="_Toc50553748"/>
      <w:bookmarkStart w:id="315" w:name="_Toc50554983"/>
      <w:bookmarkStart w:id="316" w:name="_Toc50618117"/>
      <w:bookmarkStart w:id="317" w:name="_Toc50618399"/>
      <w:bookmarkStart w:id="318" w:name="_Toc51916994"/>
      <w:bookmarkStart w:id="319" w:name="_Toc51918834"/>
      <w:bookmarkStart w:id="320" w:name="_Toc51918721"/>
      <w:bookmarkStart w:id="321" w:name="_Toc51916989"/>
      <w:bookmarkStart w:id="322" w:name="_Toc51918829"/>
      <w:bookmarkStart w:id="323" w:name="_Toc51918716"/>
      <w:bookmarkStart w:id="324" w:name="_Toc51916990"/>
      <w:bookmarkStart w:id="325" w:name="_Toc51918830"/>
      <w:bookmarkStart w:id="326" w:name="_Toc51918717"/>
      <w:bookmarkStart w:id="327" w:name="_Toc51916991"/>
      <w:bookmarkStart w:id="328" w:name="_Toc51918831"/>
      <w:bookmarkStart w:id="329" w:name="_Toc51918718"/>
      <w:bookmarkStart w:id="330" w:name="_Toc51916992"/>
      <w:bookmarkStart w:id="331" w:name="_Toc51918832"/>
      <w:bookmarkStart w:id="332" w:name="_Toc51918719"/>
      <w:bookmarkStart w:id="333" w:name="_Toc51916993"/>
      <w:bookmarkStart w:id="334" w:name="_Toc51918833"/>
      <w:bookmarkStart w:id="335" w:name="_Toc51918720"/>
      <w:bookmarkStart w:id="336" w:name="_Toc53557220"/>
      <w:bookmarkStart w:id="337" w:name="_Toc54699262"/>
      <w:bookmarkStart w:id="338" w:name="_Toc55544796"/>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63C1048F" w14:textId="77777777" w:rsidR="006F159A" w:rsidRPr="006F159A" w:rsidRDefault="006F159A" w:rsidP="00254D36">
      <w:pPr>
        <w:numPr>
          <w:ilvl w:val="0"/>
          <w:numId w:val="15"/>
        </w:numPr>
        <w:outlineLvl w:val="0"/>
        <w:rPr>
          <w:rFonts w:asciiTheme="majorHAnsi" w:hAnsiTheme="majorHAnsi" w:cstheme="majorHAnsi"/>
          <w:b/>
          <w:vanish/>
          <w:sz w:val="28"/>
          <w:szCs w:val="28"/>
        </w:rPr>
      </w:pPr>
      <w:bookmarkStart w:id="339" w:name="_Toc50533599"/>
      <w:bookmarkStart w:id="340" w:name="_Toc50553749"/>
      <w:bookmarkStart w:id="341" w:name="_Toc50554984"/>
      <w:bookmarkStart w:id="342" w:name="_Toc50618118"/>
      <w:bookmarkStart w:id="343" w:name="_Toc50618400"/>
      <w:bookmarkStart w:id="344" w:name="_Toc51916995"/>
      <w:bookmarkStart w:id="345" w:name="_Toc51918835"/>
      <w:bookmarkStart w:id="346" w:name="_Toc51918722"/>
      <w:bookmarkStart w:id="347" w:name="_Toc53557221"/>
      <w:bookmarkStart w:id="348" w:name="_Toc54699263"/>
      <w:bookmarkStart w:id="349" w:name="_Toc55544797"/>
      <w:bookmarkEnd w:id="339"/>
      <w:bookmarkEnd w:id="340"/>
      <w:bookmarkEnd w:id="341"/>
      <w:bookmarkEnd w:id="342"/>
      <w:bookmarkEnd w:id="343"/>
      <w:bookmarkEnd w:id="344"/>
      <w:bookmarkEnd w:id="345"/>
      <w:bookmarkEnd w:id="346"/>
      <w:bookmarkEnd w:id="347"/>
      <w:bookmarkEnd w:id="348"/>
      <w:bookmarkEnd w:id="349"/>
    </w:p>
    <w:p w14:paraId="7ED8CF1E" w14:textId="77777777" w:rsidR="006F159A" w:rsidRPr="006F159A" w:rsidRDefault="006F159A" w:rsidP="00254D36">
      <w:pPr>
        <w:numPr>
          <w:ilvl w:val="0"/>
          <w:numId w:val="15"/>
        </w:numPr>
        <w:outlineLvl w:val="0"/>
        <w:rPr>
          <w:rFonts w:asciiTheme="majorHAnsi" w:hAnsiTheme="majorHAnsi" w:cstheme="majorHAnsi"/>
          <w:b/>
          <w:vanish/>
          <w:sz w:val="28"/>
          <w:szCs w:val="28"/>
        </w:rPr>
      </w:pPr>
      <w:bookmarkStart w:id="350" w:name="_Toc50533600"/>
      <w:bookmarkStart w:id="351" w:name="_Toc50553750"/>
      <w:bookmarkStart w:id="352" w:name="_Toc50554985"/>
      <w:bookmarkStart w:id="353" w:name="_Toc50618119"/>
      <w:bookmarkStart w:id="354" w:name="_Toc50618401"/>
      <w:bookmarkStart w:id="355" w:name="_Toc51916996"/>
      <w:bookmarkStart w:id="356" w:name="_Toc51918836"/>
      <w:bookmarkStart w:id="357" w:name="_Toc51918723"/>
      <w:bookmarkStart w:id="358" w:name="_Toc53557222"/>
      <w:bookmarkStart w:id="359" w:name="_Toc54699264"/>
      <w:bookmarkStart w:id="360" w:name="_Toc55544798"/>
      <w:bookmarkEnd w:id="350"/>
      <w:bookmarkEnd w:id="351"/>
      <w:bookmarkEnd w:id="352"/>
      <w:bookmarkEnd w:id="353"/>
      <w:bookmarkEnd w:id="354"/>
      <w:bookmarkEnd w:id="355"/>
      <w:bookmarkEnd w:id="356"/>
      <w:bookmarkEnd w:id="357"/>
      <w:bookmarkEnd w:id="358"/>
      <w:bookmarkEnd w:id="359"/>
      <w:bookmarkEnd w:id="360"/>
    </w:p>
    <w:p w14:paraId="6A260294" w14:textId="77777777" w:rsidR="00D405E2" w:rsidRPr="00D405E2" w:rsidRDefault="00D405E2" w:rsidP="00D405E2">
      <w:pPr>
        <w:pStyle w:val="ListParagraph"/>
        <w:keepNext/>
        <w:keepLines/>
        <w:numPr>
          <w:ilvl w:val="0"/>
          <w:numId w:val="51"/>
        </w:numPr>
        <w:shd w:val="clear" w:color="auto" w:fill="FFFFFF" w:themeFill="background1"/>
        <w:spacing w:before="480" w:after="60" w:line="264" w:lineRule="auto"/>
        <w:contextualSpacing w:val="0"/>
        <w:outlineLvl w:val="0"/>
        <w:rPr>
          <w:rFonts w:asciiTheme="majorHAnsi" w:eastAsia="Times New Roman" w:hAnsiTheme="majorHAnsi" w:cstheme="majorHAnsi"/>
          <w:b/>
          <w:vanish/>
          <w:color w:val="auto"/>
          <w:sz w:val="28"/>
          <w:szCs w:val="28"/>
        </w:rPr>
      </w:pPr>
      <w:bookmarkStart w:id="361" w:name="_Toc50533601"/>
      <w:bookmarkStart w:id="362" w:name="_Toc50553751"/>
      <w:bookmarkStart w:id="363" w:name="_Toc50554986"/>
      <w:bookmarkStart w:id="364" w:name="_Toc50618120"/>
      <w:bookmarkStart w:id="365" w:name="_Toc50618402"/>
      <w:bookmarkStart w:id="366" w:name="_Toc53557223"/>
      <w:bookmarkStart w:id="367" w:name="_Toc54699265"/>
      <w:bookmarkStart w:id="368" w:name="_Toc55544799"/>
      <w:bookmarkStart w:id="369" w:name="_Toc51918724"/>
      <w:bookmarkEnd w:id="361"/>
      <w:bookmarkEnd w:id="362"/>
      <w:bookmarkEnd w:id="363"/>
      <w:bookmarkEnd w:id="364"/>
      <w:bookmarkEnd w:id="365"/>
      <w:bookmarkEnd w:id="366"/>
      <w:bookmarkEnd w:id="367"/>
      <w:bookmarkEnd w:id="368"/>
    </w:p>
    <w:p w14:paraId="291C4703" w14:textId="77777777" w:rsidR="00D405E2" w:rsidRPr="00D405E2" w:rsidRDefault="00D405E2" w:rsidP="00D405E2">
      <w:pPr>
        <w:pStyle w:val="ListParagraph"/>
        <w:keepNext/>
        <w:keepLines/>
        <w:numPr>
          <w:ilvl w:val="0"/>
          <w:numId w:val="21"/>
        </w:numPr>
        <w:shd w:val="clear" w:color="auto" w:fill="FFFFFF" w:themeFill="background1"/>
        <w:spacing w:before="480" w:after="60" w:line="264" w:lineRule="auto"/>
        <w:contextualSpacing w:val="0"/>
        <w:outlineLvl w:val="0"/>
        <w:rPr>
          <w:rFonts w:asciiTheme="majorHAnsi" w:eastAsia="Times New Roman" w:hAnsiTheme="majorHAnsi" w:cstheme="majorHAnsi"/>
          <w:b/>
          <w:vanish/>
          <w:color w:val="auto"/>
          <w:sz w:val="28"/>
          <w:szCs w:val="28"/>
        </w:rPr>
      </w:pPr>
      <w:bookmarkStart w:id="370" w:name="_Toc53557224"/>
      <w:bookmarkStart w:id="371" w:name="_Toc54699266"/>
      <w:bookmarkStart w:id="372" w:name="_Toc55544800"/>
      <w:bookmarkEnd w:id="370"/>
      <w:bookmarkEnd w:id="371"/>
      <w:bookmarkEnd w:id="372"/>
    </w:p>
    <w:p w14:paraId="08CF186E" w14:textId="77777777" w:rsidR="00D405E2" w:rsidRPr="00D405E2" w:rsidRDefault="00D405E2" w:rsidP="00D405E2">
      <w:pPr>
        <w:pStyle w:val="ListParagraph"/>
        <w:keepNext/>
        <w:keepLines/>
        <w:numPr>
          <w:ilvl w:val="0"/>
          <w:numId w:val="21"/>
        </w:numPr>
        <w:shd w:val="clear" w:color="auto" w:fill="FFFFFF" w:themeFill="background1"/>
        <w:spacing w:before="480" w:after="60" w:line="264" w:lineRule="auto"/>
        <w:contextualSpacing w:val="0"/>
        <w:outlineLvl w:val="0"/>
        <w:rPr>
          <w:rFonts w:asciiTheme="majorHAnsi" w:eastAsia="Times New Roman" w:hAnsiTheme="majorHAnsi" w:cstheme="majorHAnsi"/>
          <w:b/>
          <w:vanish/>
          <w:color w:val="auto"/>
          <w:sz w:val="28"/>
          <w:szCs w:val="28"/>
        </w:rPr>
      </w:pPr>
      <w:bookmarkStart w:id="373" w:name="_Toc53557225"/>
      <w:bookmarkStart w:id="374" w:name="_Toc54699267"/>
      <w:bookmarkStart w:id="375" w:name="_Toc55544801"/>
      <w:bookmarkEnd w:id="373"/>
      <w:bookmarkEnd w:id="374"/>
      <w:bookmarkEnd w:id="375"/>
    </w:p>
    <w:p w14:paraId="5E8EA4B0" w14:textId="3CDD172E" w:rsidR="006F159A" w:rsidRPr="006F159A" w:rsidRDefault="006F159A">
      <w:pPr>
        <w:pStyle w:val="Heading2"/>
      </w:pPr>
      <w:bookmarkStart w:id="376" w:name="_Quantitative_stakeholder_views"/>
      <w:bookmarkStart w:id="377" w:name="_Toc55544802"/>
      <w:bookmarkEnd w:id="376"/>
      <w:r w:rsidRPr="006F159A">
        <w:t>Quantitative stakeholder views on effectiveness—overall scheme objectives</w:t>
      </w:r>
      <w:bookmarkEnd w:id="369"/>
      <w:bookmarkEnd w:id="377"/>
    </w:p>
    <w:p w14:paraId="2150D845" w14:textId="5F140175" w:rsidR="006F159A" w:rsidRPr="006F159A" w:rsidRDefault="006F159A" w:rsidP="006F159A">
      <w:pPr>
        <w:spacing w:after="120"/>
        <w:rPr>
          <w:rFonts w:asciiTheme="majorHAnsi" w:hAnsiTheme="majorHAnsi" w:cstheme="majorHAnsi"/>
        </w:rPr>
      </w:pPr>
      <w:r w:rsidRPr="006F159A">
        <w:rPr>
          <w:rFonts w:asciiTheme="majorHAnsi" w:hAnsiTheme="majorHAnsi" w:cstheme="majorHAnsi"/>
        </w:rPr>
        <w:t xml:space="preserve">Researchers funded under Discovery Projects agreed that the ARC’s implementation of the scheme effectively supports the achievement of its objectives. </w:t>
      </w:r>
      <w:r w:rsidRPr="006F159A">
        <w:rPr>
          <w:rFonts w:asciiTheme="majorHAnsi" w:hAnsiTheme="majorHAnsi" w:cstheme="majorHAnsi"/>
        </w:rPr>
        <w:fldChar w:fldCharType="begin"/>
      </w:r>
      <w:r w:rsidRPr="006F159A">
        <w:rPr>
          <w:rFonts w:asciiTheme="majorHAnsi" w:hAnsiTheme="majorHAnsi" w:cstheme="majorHAnsi"/>
        </w:rPr>
        <w:instrText xml:space="preserve"> REF _Ref46124281 \h  \* MERGEFORMAT </w:instrText>
      </w:r>
      <w:r w:rsidRPr="006F159A">
        <w:rPr>
          <w:rFonts w:asciiTheme="majorHAnsi" w:hAnsiTheme="majorHAnsi" w:cstheme="majorHAnsi"/>
        </w:rPr>
      </w:r>
      <w:r w:rsidRPr="006F159A">
        <w:rPr>
          <w:rFonts w:asciiTheme="majorHAnsi" w:hAnsiTheme="majorHAnsi" w:cstheme="majorHAnsi"/>
        </w:rPr>
        <w:fldChar w:fldCharType="separate"/>
      </w:r>
      <w:r w:rsidR="00AB03D7" w:rsidRPr="00AB03D7">
        <w:rPr>
          <w:rFonts w:asciiTheme="majorHAnsi" w:hAnsiTheme="majorHAnsi" w:cstheme="majorHAnsi"/>
          <w:color w:val="000000" w:themeColor="text1"/>
        </w:rPr>
        <w:t>Figure 17</w:t>
      </w:r>
      <w:r w:rsidRPr="006F159A">
        <w:rPr>
          <w:rFonts w:asciiTheme="majorHAnsi" w:hAnsiTheme="majorHAnsi" w:cstheme="majorHAnsi"/>
        </w:rPr>
        <w:fldChar w:fldCharType="end"/>
      </w:r>
      <w:r w:rsidRPr="006F159A">
        <w:rPr>
          <w:rFonts w:asciiTheme="majorHAnsi" w:hAnsiTheme="majorHAnsi" w:cstheme="majorHAnsi"/>
        </w:rPr>
        <w:t xml:space="preserve"> shows researchers were most likely to either agree or strongly agree that the scheme effectively supports basic research (70 per cent), research collaboration within Australia (69 per cent) and internationally (63 per cent), as well as research training (67 per cent). The majority also agreed the scheme was effective in its support for applied research (57 per cent) and research in Australian Government priority areas (60 per cent). The proportion of respondents disagreeing or strongly disagreeing about the effectiveness of Discovery Projects in achieving scheme objectives was low. </w:t>
      </w:r>
    </w:p>
    <w:p w14:paraId="35858ADC" w14:textId="1FD0208D" w:rsidR="006F159A" w:rsidRPr="006F159A" w:rsidRDefault="006F159A" w:rsidP="00751469">
      <w:pPr>
        <w:pStyle w:val="FigureTitle"/>
      </w:pPr>
      <w:bookmarkStart w:id="378" w:name="_Ref49848523"/>
      <w:bookmarkStart w:id="379" w:name="_Ref46124281"/>
      <w:r w:rsidRPr="006F159A">
        <w:t xml:space="preserve">Figure </w:t>
      </w:r>
      <w:r w:rsidR="00857467">
        <w:fldChar w:fldCharType="begin"/>
      </w:r>
      <w:r w:rsidR="00857467">
        <w:instrText xml:space="preserve"> SEQ Figure \* ARABIC </w:instrText>
      </w:r>
      <w:r w:rsidR="00857467">
        <w:fldChar w:fldCharType="separate"/>
      </w:r>
      <w:r w:rsidR="00AB03D7">
        <w:rPr>
          <w:noProof/>
        </w:rPr>
        <w:t>17</w:t>
      </w:r>
      <w:r w:rsidR="00857467">
        <w:rPr>
          <w:noProof/>
        </w:rPr>
        <w:fldChar w:fldCharType="end"/>
      </w:r>
      <w:bookmarkEnd w:id="378"/>
      <w:bookmarkEnd w:id="379"/>
      <w:r w:rsidRPr="006F159A">
        <w:t>: Level of agreement that ARC implementation of Discovery Projects effectively supports scheme objectives</w:t>
      </w:r>
    </w:p>
    <w:p w14:paraId="5F2CF1D0" w14:textId="5A2D7139" w:rsidR="006F159A" w:rsidRPr="006F159A" w:rsidRDefault="000E5749" w:rsidP="006F159A">
      <w:pPr>
        <w:spacing w:after="120"/>
        <w:rPr>
          <w:rFonts w:asciiTheme="majorHAnsi" w:hAnsiTheme="majorHAnsi" w:cstheme="majorHAnsi"/>
        </w:rPr>
      </w:pPr>
      <w:r>
        <w:rPr>
          <w:rFonts w:asciiTheme="majorHAnsi" w:hAnsiTheme="majorHAnsi" w:cstheme="majorHAnsi"/>
          <w:noProof/>
        </w:rPr>
        <w:drawing>
          <wp:inline distT="0" distB="0" distL="0" distR="0" wp14:anchorId="186FF5FE" wp14:editId="11722C57">
            <wp:extent cx="5730875" cy="1792605"/>
            <wp:effectExtent l="0" t="0" r="3175" b="0"/>
            <wp:docPr id="65" name="Picture 65" descr="Figure 17 is a graph showing the level of agreement among researchers surveyed that the Discovery Projects scheme is effectively achieving its objectives. See text above graph for more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gure 17 is a graph showing the level of agreement among researchers surveyed that the Discovery Projects scheme is effectively achieving its objectives. See text above graph for more informatio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1792605"/>
                    </a:xfrm>
                    <a:prstGeom prst="rect">
                      <a:avLst/>
                    </a:prstGeom>
                    <a:noFill/>
                  </pic:spPr>
                </pic:pic>
              </a:graphicData>
            </a:graphic>
          </wp:inline>
        </w:drawing>
      </w:r>
    </w:p>
    <w:p w14:paraId="5A4594DF" w14:textId="77777777" w:rsidR="006F159A" w:rsidRPr="006F159A" w:rsidRDefault="006F159A" w:rsidP="006F159A">
      <w:pPr>
        <w:spacing w:after="120"/>
        <w:rPr>
          <w:rFonts w:asciiTheme="majorHAnsi" w:hAnsiTheme="majorHAnsi" w:cstheme="majorHAnsi"/>
          <w:sz w:val="16"/>
          <w:szCs w:val="16"/>
        </w:rPr>
      </w:pPr>
      <w:r w:rsidRPr="006F159A">
        <w:rPr>
          <w:rFonts w:asciiTheme="majorHAnsi" w:hAnsiTheme="majorHAnsi" w:cstheme="majorHAnsi"/>
          <w:sz w:val="16"/>
          <w:szCs w:val="16"/>
        </w:rPr>
        <w:t xml:space="preserve">Source: Kantar, Public Division. </w:t>
      </w:r>
      <w:r w:rsidRPr="006F159A">
        <w:rPr>
          <w:rFonts w:asciiTheme="majorHAnsi" w:hAnsiTheme="majorHAnsi" w:cstheme="majorHAnsi"/>
          <w:i/>
          <w:sz w:val="16"/>
          <w:szCs w:val="16"/>
        </w:rPr>
        <w:t>Note: (n=3018).</w:t>
      </w:r>
    </w:p>
    <w:p w14:paraId="08773124" w14:textId="63DBB5F6" w:rsidR="006F159A" w:rsidRPr="006F159A" w:rsidRDefault="00E45199" w:rsidP="00763396">
      <w:pPr>
        <w:keepNext/>
        <w:spacing w:after="120"/>
        <w:rPr>
          <w:rFonts w:asciiTheme="majorHAnsi" w:hAnsiTheme="majorHAnsi" w:cstheme="majorHAnsi"/>
          <w:b/>
          <w:i/>
          <w:iCs/>
          <w:color w:val="000000" w:themeColor="text1"/>
          <w:sz w:val="18"/>
          <w:szCs w:val="18"/>
        </w:rPr>
      </w:pPr>
      <w:r w:rsidRPr="00E45199">
        <w:rPr>
          <w:rFonts w:asciiTheme="majorHAnsi" w:hAnsiTheme="majorHAnsi" w:cstheme="majorHAnsi"/>
        </w:rPr>
        <w:lastRenderedPageBreak/>
        <w:fldChar w:fldCharType="begin"/>
      </w:r>
      <w:r w:rsidRPr="00E45199">
        <w:rPr>
          <w:rFonts w:asciiTheme="majorHAnsi" w:hAnsiTheme="majorHAnsi" w:cstheme="majorHAnsi"/>
        </w:rPr>
        <w:instrText xml:space="preserve"> REF _Ref52282953 \h  \* MERGEFORMAT </w:instrText>
      </w:r>
      <w:r w:rsidRPr="00E45199">
        <w:rPr>
          <w:rFonts w:asciiTheme="majorHAnsi" w:hAnsiTheme="majorHAnsi" w:cstheme="majorHAnsi"/>
        </w:rPr>
      </w:r>
      <w:r w:rsidRPr="00E45199">
        <w:rPr>
          <w:rFonts w:asciiTheme="majorHAnsi" w:hAnsiTheme="majorHAnsi" w:cstheme="majorHAnsi"/>
        </w:rPr>
        <w:fldChar w:fldCharType="separate"/>
      </w:r>
      <w:r w:rsidR="00AB03D7" w:rsidRPr="00AB03D7">
        <w:rPr>
          <w:rFonts w:asciiTheme="majorHAnsi" w:hAnsiTheme="majorHAnsi" w:cstheme="majorHAnsi"/>
          <w:color w:val="000000" w:themeColor="text1"/>
        </w:rPr>
        <w:t>Table 1</w:t>
      </w:r>
      <w:r w:rsidRPr="00E45199">
        <w:rPr>
          <w:rFonts w:asciiTheme="majorHAnsi" w:hAnsiTheme="majorHAnsi" w:cstheme="majorHAnsi"/>
        </w:rPr>
        <w:fldChar w:fldCharType="end"/>
      </w:r>
      <w:r w:rsidRPr="00E45199">
        <w:rPr>
          <w:rFonts w:asciiTheme="majorHAnsi" w:hAnsiTheme="majorHAnsi" w:cstheme="majorHAnsi"/>
        </w:rPr>
        <w:t xml:space="preserve"> </w:t>
      </w:r>
      <w:r w:rsidR="006F159A" w:rsidRPr="00E45199">
        <w:rPr>
          <w:rFonts w:asciiTheme="majorHAnsi" w:hAnsiTheme="majorHAnsi" w:cstheme="majorHAnsi"/>
        </w:rPr>
        <w:t>presents</w:t>
      </w:r>
      <w:r w:rsidR="006F159A" w:rsidRPr="006F159A">
        <w:rPr>
          <w:rFonts w:asciiTheme="majorHAnsi" w:hAnsiTheme="majorHAnsi" w:cstheme="majorHAnsi"/>
        </w:rPr>
        <w:t xml:space="preserve"> the proportion of researchers—grouped according to characteristics of their most recently completed project under the scheme—who agreed or strongly agreed that the ARC’s implementation of Discovery Projects effectively supports the achievement of scheme objectives.</w:t>
      </w:r>
    </w:p>
    <w:p w14:paraId="48AAC44D" w14:textId="5C6B01F9" w:rsidR="00E45199" w:rsidRPr="00672942" w:rsidRDefault="00E45199" w:rsidP="00672942">
      <w:pPr>
        <w:pStyle w:val="TableTitle"/>
      </w:pPr>
      <w:bookmarkStart w:id="380" w:name="_Ref52282953"/>
      <w:r w:rsidRPr="00672942">
        <w:t xml:space="preserve">Table </w:t>
      </w:r>
      <w:r w:rsidR="00857467">
        <w:fldChar w:fldCharType="begin"/>
      </w:r>
      <w:r w:rsidR="00857467">
        <w:instrText xml:space="preserve"> SEQ Table \* ARABIC </w:instrText>
      </w:r>
      <w:r w:rsidR="00857467">
        <w:fldChar w:fldCharType="separate"/>
      </w:r>
      <w:r w:rsidR="00AB03D7">
        <w:rPr>
          <w:noProof/>
        </w:rPr>
        <w:t>1</w:t>
      </w:r>
      <w:r w:rsidR="00857467">
        <w:rPr>
          <w:noProof/>
        </w:rPr>
        <w:fldChar w:fldCharType="end"/>
      </w:r>
      <w:bookmarkEnd w:id="380"/>
      <w:r w:rsidRPr="00672942">
        <w:t>: Proportion of researchers agreeing that ARC implementation of Discovery Projects effectively supports the achievement of scheme objectives, by most recently completed Discovery Projects research characteristics</w:t>
      </w:r>
    </w:p>
    <w:tbl>
      <w:tblPr>
        <w:tblStyle w:val="GridTable41"/>
        <w:tblW w:w="8784" w:type="dxa"/>
        <w:tblLayout w:type="fixed"/>
        <w:tblLook w:val="04A0" w:firstRow="1" w:lastRow="0" w:firstColumn="1" w:lastColumn="0" w:noHBand="0" w:noVBand="1"/>
        <w:tblCaption w:val="Table 1: Proportion of researchers agreeing that ARC implementation of Discovery Projects effectively supports the achievement of scheme objectives, by most recently completed Discovery Projects research characteristics"/>
        <w:tblDescription w:val="Table 1 indicates the proportion of researchers surveyed agreeing or strongly agreeing that ARC implementation of Discovery Projects effectively supports the achievement of scheme objectives. Researchers have been subcategorised according to information from their most recently completed Discovery Project. See text below table for more information.&#10;"/>
      </w:tblPr>
      <w:tblGrid>
        <w:gridCol w:w="1271"/>
        <w:gridCol w:w="567"/>
        <w:gridCol w:w="566"/>
        <w:gridCol w:w="851"/>
        <w:gridCol w:w="851"/>
        <w:gridCol w:w="851"/>
        <w:gridCol w:w="709"/>
        <w:gridCol w:w="721"/>
        <w:gridCol w:w="850"/>
        <w:gridCol w:w="851"/>
        <w:gridCol w:w="696"/>
      </w:tblGrid>
      <w:tr w:rsidR="00E45199" w:rsidRPr="006F159A" w14:paraId="0578C247" w14:textId="77777777" w:rsidTr="00353F2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262626"/>
            </w:tcBorders>
            <w:shd w:val="clear" w:color="auto" w:fill="262626"/>
          </w:tcPr>
          <w:p w14:paraId="5FA4E64D" w14:textId="77777777" w:rsidR="00E45199" w:rsidRPr="006F159A" w:rsidRDefault="00E45199" w:rsidP="00AC60D6">
            <w:pPr>
              <w:spacing w:before="120" w:after="120"/>
              <w:rPr>
                <w:rFonts w:cstheme="minorHAnsi"/>
                <w:sz w:val="16"/>
                <w:szCs w:val="16"/>
              </w:rPr>
            </w:pPr>
          </w:p>
        </w:tc>
        <w:tc>
          <w:tcPr>
            <w:tcW w:w="7513" w:type="dxa"/>
            <w:gridSpan w:val="10"/>
            <w:tcBorders>
              <w:top w:val="nil"/>
              <w:bottom w:val="single" w:sz="4" w:space="0" w:color="262626"/>
              <w:right w:val="nil"/>
            </w:tcBorders>
            <w:shd w:val="clear" w:color="auto" w:fill="262626"/>
          </w:tcPr>
          <w:p w14:paraId="542408F7" w14:textId="77777777" w:rsidR="00E45199" w:rsidRPr="006F159A" w:rsidRDefault="00E45199" w:rsidP="00AC60D6">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6F159A">
              <w:rPr>
                <w:rFonts w:cstheme="minorHAnsi"/>
              </w:rPr>
              <w:t xml:space="preserve">Research Project Characteristics </w:t>
            </w:r>
            <w:r w:rsidRPr="006F159A">
              <w:rPr>
                <w:rFonts w:cstheme="minorHAnsi"/>
                <w:szCs w:val="24"/>
              </w:rPr>
              <w:t xml:space="preserve"> </w:t>
            </w:r>
          </w:p>
        </w:tc>
      </w:tr>
      <w:tr w:rsidR="006D534D" w:rsidRPr="006F159A" w14:paraId="3A981ACB" w14:textId="77777777" w:rsidTr="00353F27">
        <w:trPr>
          <w:cnfStyle w:val="000000100000" w:firstRow="0" w:lastRow="0" w:firstColumn="0" w:lastColumn="0" w:oddVBand="0" w:evenVBand="0" w:oddHBand="1" w:evenHBand="0" w:firstRowFirstColumn="0" w:firstRowLastColumn="0" w:lastRowFirstColumn="0" w:lastRowLastColumn="0"/>
          <w:cantSplit/>
          <w:trHeight w:val="132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262626"/>
              <w:left w:val="single" w:sz="4" w:space="0" w:color="262626"/>
              <w:bottom w:val="single" w:sz="4" w:space="0" w:color="262626"/>
              <w:right w:val="single" w:sz="4" w:space="0" w:color="262626"/>
            </w:tcBorders>
            <w:shd w:val="clear" w:color="auto" w:fill="262626"/>
            <w:vAlign w:val="bottom"/>
          </w:tcPr>
          <w:p w14:paraId="04C1C968" w14:textId="77777777" w:rsidR="00E45199" w:rsidRPr="006F159A" w:rsidRDefault="00E45199" w:rsidP="00AC60D6">
            <w:pPr>
              <w:spacing w:before="120" w:after="120"/>
              <w:rPr>
                <w:rFonts w:cstheme="minorHAnsi"/>
                <w:color w:val="FFFFFF"/>
                <w:sz w:val="16"/>
                <w:szCs w:val="16"/>
              </w:rPr>
            </w:pPr>
            <w:r w:rsidRPr="006F159A">
              <w:rPr>
                <w:rFonts w:cstheme="minorHAnsi"/>
                <w:color w:val="FFFFFF"/>
                <w:sz w:val="16"/>
                <w:szCs w:val="16"/>
              </w:rPr>
              <w:t>Objective</w:t>
            </w:r>
          </w:p>
        </w:tc>
        <w:tc>
          <w:tcPr>
            <w:tcW w:w="567" w:type="dxa"/>
            <w:tcBorders>
              <w:top w:val="single" w:sz="4" w:space="0" w:color="262626"/>
              <w:left w:val="single" w:sz="4" w:space="0" w:color="262626"/>
              <w:bottom w:val="single" w:sz="4" w:space="0" w:color="262626"/>
              <w:right w:val="single" w:sz="4" w:space="0" w:color="262626"/>
            </w:tcBorders>
            <w:shd w:val="clear" w:color="auto" w:fill="262626"/>
            <w:textDirection w:val="btLr"/>
          </w:tcPr>
          <w:p w14:paraId="19584352"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STEM</w:t>
            </w:r>
          </w:p>
        </w:tc>
        <w:tc>
          <w:tcPr>
            <w:tcW w:w="566" w:type="dxa"/>
            <w:tcBorders>
              <w:top w:val="single" w:sz="4" w:space="0" w:color="262626"/>
              <w:left w:val="single" w:sz="4" w:space="0" w:color="262626"/>
              <w:bottom w:val="single" w:sz="4" w:space="0" w:color="262626"/>
              <w:right w:val="single" w:sz="4" w:space="0" w:color="262626"/>
            </w:tcBorders>
            <w:shd w:val="clear" w:color="auto" w:fill="262626"/>
            <w:textDirection w:val="btLr"/>
          </w:tcPr>
          <w:p w14:paraId="6A1B5E87"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HASS</w:t>
            </w:r>
          </w:p>
        </w:tc>
        <w:tc>
          <w:tcPr>
            <w:tcW w:w="851" w:type="dxa"/>
            <w:tcBorders>
              <w:top w:val="single" w:sz="4" w:space="0" w:color="262626"/>
              <w:left w:val="single" w:sz="4" w:space="0" w:color="262626"/>
              <w:bottom w:val="single" w:sz="4" w:space="0" w:color="262626"/>
              <w:right w:val="single" w:sz="4" w:space="0" w:color="262626"/>
            </w:tcBorders>
            <w:shd w:val="clear" w:color="auto" w:fill="262626"/>
            <w:textDirection w:val="btLr"/>
          </w:tcPr>
          <w:p w14:paraId="370654A8"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Completed Project 2018 or later</w:t>
            </w:r>
          </w:p>
        </w:tc>
        <w:tc>
          <w:tcPr>
            <w:tcW w:w="851" w:type="dxa"/>
            <w:tcBorders>
              <w:top w:val="single" w:sz="4" w:space="0" w:color="262626"/>
              <w:left w:val="single" w:sz="4" w:space="0" w:color="262626"/>
              <w:bottom w:val="single" w:sz="4" w:space="0" w:color="262626"/>
              <w:right w:val="single" w:sz="4" w:space="0" w:color="262626"/>
            </w:tcBorders>
            <w:shd w:val="clear" w:color="auto" w:fill="262626"/>
            <w:textDirection w:val="btLr"/>
          </w:tcPr>
          <w:p w14:paraId="08EA954A"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Completed Project 2011– 2017</w:t>
            </w:r>
          </w:p>
        </w:tc>
        <w:tc>
          <w:tcPr>
            <w:tcW w:w="851" w:type="dxa"/>
            <w:tcBorders>
              <w:top w:val="single" w:sz="4" w:space="0" w:color="262626"/>
              <w:left w:val="single" w:sz="4" w:space="0" w:color="262626"/>
              <w:bottom w:val="single" w:sz="4" w:space="0" w:color="262626"/>
              <w:right w:val="single" w:sz="4" w:space="0" w:color="262626"/>
            </w:tcBorders>
            <w:shd w:val="clear" w:color="auto" w:fill="262626"/>
            <w:textDirection w:val="btLr"/>
          </w:tcPr>
          <w:p w14:paraId="2A6DECB5"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Completed Project 2010 or earlier</w:t>
            </w:r>
          </w:p>
        </w:tc>
        <w:tc>
          <w:tcPr>
            <w:tcW w:w="709" w:type="dxa"/>
            <w:tcBorders>
              <w:top w:val="single" w:sz="4" w:space="0" w:color="262626"/>
              <w:left w:val="single" w:sz="4" w:space="0" w:color="262626"/>
              <w:bottom w:val="single" w:sz="4" w:space="0" w:color="262626"/>
              <w:right w:val="single" w:sz="4" w:space="0" w:color="262626"/>
            </w:tcBorders>
            <w:shd w:val="clear" w:color="auto" w:fill="262626" w:themeFill="text1" w:themeFillTint="D9"/>
            <w:textDirection w:val="btLr"/>
          </w:tcPr>
          <w:p w14:paraId="561EB7C4"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Basic</w:t>
            </w:r>
          </w:p>
        </w:tc>
        <w:tc>
          <w:tcPr>
            <w:tcW w:w="721" w:type="dxa"/>
            <w:tcBorders>
              <w:top w:val="single" w:sz="4" w:space="0" w:color="262626"/>
              <w:left w:val="single" w:sz="4" w:space="0" w:color="262626"/>
              <w:bottom w:val="single" w:sz="4" w:space="0" w:color="262626"/>
              <w:right w:val="single" w:sz="4" w:space="0" w:color="262626"/>
            </w:tcBorders>
            <w:shd w:val="clear" w:color="auto" w:fill="262626" w:themeFill="text1" w:themeFillTint="D9"/>
            <w:textDirection w:val="btLr"/>
          </w:tcPr>
          <w:p w14:paraId="737CB623"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Applied</w:t>
            </w:r>
          </w:p>
        </w:tc>
        <w:tc>
          <w:tcPr>
            <w:tcW w:w="850" w:type="dxa"/>
            <w:tcBorders>
              <w:top w:val="single" w:sz="4" w:space="0" w:color="262626"/>
              <w:left w:val="single" w:sz="4" w:space="0" w:color="262626"/>
              <w:bottom w:val="single" w:sz="4" w:space="0" w:color="262626"/>
              <w:right w:val="single" w:sz="4" w:space="0" w:color="262626"/>
            </w:tcBorders>
            <w:shd w:val="clear" w:color="auto" w:fill="262626"/>
            <w:textDirection w:val="btLr"/>
          </w:tcPr>
          <w:p w14:paraId="1264580D"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Basic and Applied Combined</w:t>
            </w:r>
          </w:p>
        </w:tc>
        <w:tc>
          <w:tcPr>
            <w:tcW w:w="851" w:type="dxa"/>
            <w:tcBorders>
              <w:top w:val="single" w:sz="4" w:space="0" w:color="262626"/>
              <w:left w:val="single" w:sz="4" w:space="0" w:color="262626"/>
              <w:bottom w:val="single" w:sz="4" w:space="0" w:color="262626"/>
              <w:right w:val="single" w:sz="4" w:space="0" w:color="262626"/>
            </w:tcBorders>
            <w:shd w:val="clear" w:color="auto" w:fill="262626"/>
            <w:textDirection w:val="btLr"/>
          </w:tcPr>
          <w:p w14:paraId="2E929D9A"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International Collaboration</w:t>
            </w:r>
          </w:p>
        </w:tc>
        <w:tc>
          <w:tcPr>
            <w:tcW w:w="696" w:type="dxa"/>
            <w:tcBorders>
              <w:top w:val="single" w:sz="4" w:space="0" w:color="262626"/>
              <w:left w:val="single" w:sz="4" w:space="0" w:color="262626"/>
              <w:bottom w:val="single" w:sz="4" w:space="0" w:color="262626"/>
              <w:right w:val="single" w:sz="4" w:space="0" w:color="262626"/>
            </w:tcBorders>
            <w:shd w:val="clear" w:color="auto" w:fill="262626"/>
            <w:textDirection w:val="btLr"/>
          </w:tcPr>
          <w:p w14:paraId="49B4DD3C" w14:textId="77777777" w:rsidR="00E45199" w:rsidRPr="006F159A" w:rsidRDefault="00E45199" w:rsidP="00AC60D6">
            <w:pPr>
              <w:spacing w:before="120" w:after="120"/>
              <w:ind w:left="27" w:right="113" w:firstLine="4"/>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6F159A">
              <w:rPr>
                <w:rFonts w:cstheme="minorHAnsi"/>
                <w:b/>
                <w:color w:val="FFFFFF"/>
                <w:sz w:val="16"/>
                <w:szCs w:val="16"/>
              </w:rPr>
              <w:t>No International Collaboration</w:t>
            </w:r>
          </w:p>
        </w:tc>
      </w:tr>
      <w:tr w:rsidR="00E45199" w:rsidRPr="006F159A" w14:paraId="0D8639A4" w14:textId="77777777" w:rsidTr="00353F27">
        <w:trPr>
          <w:trHeight w:val="57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262626"/>
              <w:left w:val="single" w:sz="4" w:space="0" w:color="auto"/>
              <w:bottom w:val="single" w:sz="4" w:space="0" w:color="auto"/>
              <w:right w:val="single" w:sz="4" w:space="0" w:color="auto"/>
            </w:tcBorders>
            <w:shd w:val="clear" w:color="auto" w:fill="auto"/>
          </w:tcPr>
          <w:p w14:paraId="7848A8F9" w14:textId="77D0765A" w:rsidR="00E45199" w:rsidRPr="006F159A" w:rsidRDefault="00E45199" w:rsidP="00AC60D6">
            <w:pPr>
              <w:spacing w:before="120" w:after="120"/>
              <w:rPr>
                <w:rFonts w:cstheme="minorHAnsi"/>
                <w:sz w:val="16"/>
                <w:szCs w:val="16"/>
              </w:rPr>
            </w:pPr>
            <w:r w:rsidRPr="006F159A">
              <w:rPr>
                <w:rFonts w:cstheme="minorHAnsi"/>
                <w:sz w:val="16"/>
                <w:szCs w:val="16"/>
              </w:rPr>
              <w:t xml:space="preserve">Basic </w:t>
            </w:r>
            <w:r w:rsidR="004A2524">
              <w:rPr>
                <w:rFonts w:cstheme="minorHAnsi"/>
                <w:sz w:val="16"/>
                <w:szCs w:val="16"/>
              </w:rPr>
              <w:t>r</w:t>
            </w:r>
            <w:r w:rsidRPr="006F159A">
              <w:rPr>
                <w:rFonts w:cstheme="minorHAnsi"/>
                <w:sz w:val="16"/>
                <w:szCs w:val="16"/>
              </w:rPr>
              <w:t>esearch</w:t>
            </w:r>
          </w:p>
        </w:tc>
        <w:tc>
          <w:tcPr>
            <w:tcW w:w="567" w:type="dxa"/>
            <w:tcBorders>
              <w:top w:val="single" w:sz="4" w:space="0" w:color="262626"/>
              <w:left w:val="single" w:sz="4" w:space="0" w:color="auto"/>
              <w:bottom w:val="single" w:sz="4" w:space="0" w:color="auto"/>
              <w:right w:val="single" w:sz="4" w:space="0" w:color="auto"/>
            </w:tcBorders>
            <w:shd w:val="clear" w:color="auto" w:fill="C5E0B3" w:themeFill="accent6" w:themeFillTint="66"/>
            <w:vAlign w:val="center"/>
          </w:tcPr>
          <w:p w14:paraId="5B237CC3" w14:textId="77777777" w:rsidR="008F2056"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72%</w:t>
            </w:r>
            <w:r w:rsidR="00AD41B7">
              <w:rPr>
                <w:rFonts w:cstheme="minorHAnsi"/>
                <w:color w:val="000000" w:themeColor="text1"/>
                <w:sz w:val="18"/>
                <w:szCs w:val="18"/>
              </w:rPr>
              <w:t xml:space="preserve"> </w:t>
            </w:r>
          </w:p>
          <w:p w14:paraId="16874063" w14:textId="38CE3DBE" w:rsidR="00E45199" w:rsidRPr="00E40274" w:rsidRDefault="00AD41B7"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566" w:type="dxa"/>
            <w:tcBorders>
              <w:top w:val="single" w:sz="4" w:space="0" w:color="262626"/>
              <w:left w:val="single" w:sz="4" w:space="0" w:color="auto"/>
              <w:bottom w:val="single" w:sz="4" w:space="0" w:color="auto"/>
              <w:right w:val="single" w:sz="4" w:space="0" w:color="auto"/>
            </w:tcBorders>
            <w:shd w:val="clear" w:color="auto" w:fill="auto"/>
            <w:vAlign w:val="center"/>
          </w:tcPr>
          <w:p w14:paraId="5DBDC70B"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67%</w:t>
            </w:r>
          </w:p>
        </w:tc>
        <w:tc>
          <w:tcPr>
            <w:tcW w:w="851" w:type="dxa"/>
            <w:tcBorders>
              <w:top w:val="single" w:sz="4" w:space="0" w:color="262626"/>
              <w:left w:val="single" w:sz="4" w:space="0" w:color="auto"/>
              <w:bottom w:val="single" w:sz="4" w:space="0" w:color="auto"/>
              <w:right w:val="single" w:sz="4" w:space="0" w:color="auto"/>
            </w:tcBorders>
            <w:shd w:val="clear" w:color="auto" w:fill="C5E0B3" w:themeFill="accent6" w:themeFillTint="66"/>
            <w:vAlign w:val="center"/>
          </w:tcPr>
          <w:p w14:paraId="2C69AE2D"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75%</w:t>
            </w:r>
          </w:p>
          <w:p w14:paraId="5489C9DC" w14:textId="577D13E6" w:rsidR="0044110E" w:rsidRPr="00E40274" w:rsidRDefault="0044110E"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262626"/>
              <w:left w:val="single" w:sz="4" w:space="0" w:color="auto"/>
              <w:bottom w:val="single" w:sz="4" w:space="0" w:color="auto"/>
              <w:right w:val="single" w:sz="4" w:space="0" w:color="auto"/>
            </w:tcBorders>
            <w:shd w:val="clear" w:color="auto" w:fill="E7E6E6" w:themeFill="background2"/>
            <w:vAlign w:val="center"/>
          </w:tcPr>
          <w:p w14:paraId="6C30D566"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66%</w:t>
            </w:r>
          </w:p>
          <w:p w14:paraId="4511E718" w14:textId="0E8A1112" w:rsidR="0044110E" w:rsidRPr="00E40274" w:rsidRDefault="0044110E"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262626"/>
              <w:left w:val="single" w:sz="4" w:space="0" w:color="auto"/>
              <w:bottom w:val="single" w:sz="4" w:space="0" w:color="auto"/>
              <w:right w:val="single" w:sz="4" w:space="0" w:color="auto"/>
            </w:tcBorders>
            <w:shd w:val="clear" w:color="auto" w:fill="E7E6E6" w:themeFill="background2"/>
            <w:vAlign w:val="center"/>
          </w:tcPr>
          <w:p w14:paraId="45D01BEA"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61%</w:t>
            </w:r>
          </w:p>
          <w:p w14:paraId="5ADB6C51" w14:textId="6E378DDB" w:rsidR="0044110E" w:rsidRPr="00E40274" w:rsidRDefault="0044110E"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709" w:type="dxa"/>
            <w:tcBorders>
              <w:top w:val="single" w:sz="4" w:space="0" w:color="262626"/>
              <w:left w:val="single" w:sz="4" w:space="0" w:color="auto"/>
              <w:bottom w:val="single" w:sz="4" w:space="0" w:color="auto"/>
              <w:right w:val="single" w:sz="4" w:space="0" w:color="auto"/>
            </w:tcBorders>
            <w:shd w:val="clear" w:color="auto" w:fill="auto"/>
            <w:vAlign w:val="center"/>
          </w:tcPr>
          <w:p w14:paraId="2ED74F25"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73%</w:t>
            </w:r>
          </w:p>
        </w:tc>
        <w:tc>
          <w:tcPr>
            <w:tcW w:w="721" w:type="dxa"/>
            <w:tcBorders>
              <w:top w:val="single" w:sz="4" w:space="0" w:color="262626"/>
              <w:left w:val="single" w:sz="4" w:space="0" w:color="auto"/>
              <w:bottom w:val="single" w:sz="4" w:space="0" w:color="auto"/>
              <w:right w:val="single" w:sz="4" w:space="0" w:color="auto"/>
            </w:tcBorders>
            <w:shd w:val="clear" w:color="auto" w:fill="E7E6E6" w:themeFill="background2"/>
            <w:vAlign w:val="center"/>
          </w:tcPr>
          <w:p w14:paraId="294E0F9E"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62%</w:t>
            </w:r>
          </w:p>
          <w:p w14:paraId="1504119D" w14:textId="32B9F36C" w:rsidR="008F2056" w:rsidRPr="00E40274" w:rsidRDefault="008F205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0" w:type="dxa"/>
            <w:tcBorders>
              <w:top w:val="single" w:sz="4" w:space="0" w:color="262626"/>
              <w:left w:val="single" w:sz="4" w:space="0" w:color="auto"/>
              <w:bottom w:val="single" w:sz="4" w:space="0" w:color="auto"/>
              <w:right w:val="single" w:sz="4" w:space="0" w:color="auto"/>
            </w:tcBorders>
            <w:shd w:val="clear" w:color="auto" w:fill="auto"/>
            <w:vAlign w:val="center"/>
          </w:tcPr>
          <w:p w14:paraId="58247F56"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70%</w:t>
            </w:r>
          </w:p>
        </w:tc>
        <w:tc>
          <w:tcPr>
            <w:tcW w:w="851" w:type="dxa"/>
            <w:tcBorders>
              <w:top w:val="single" w:sz="4" w:space="0" w:color="262626"/>
              <w:left w:val="single" w:sz="4" w:space="0" w:color="auto"/>
              <w:bottom w:val="single" w:sz="4" w:space="0" w:color="auto"/>
              <w:right w:val="single" w:sz="4" w:space="0" w:color="auto"/>
            </w:tcBorders>
            <w:shd w:val="clear" w:color="auto" w:fill="C5E0B3" w:themeFill="accent6" w:themeFillTint="66"/>
            <w:vAlign w:val="center"/>
          </w:tcPr>
          <w:p w14:paraId="23795687"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72%</w:t>
            </w:r>
          </w:p>
          <w:p w14:paraId="0B35F524" w14:textId="00F94E04" w:rsidR="008F2056" w:rsidRPr="00E40274" w:rsidRDefault="008F205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696" w:type="dxa"/>
            <w:tcBorders>
              <w:top w:val="single" w:sz="4" w:space="0" w:color="262626"/>
              <w:left w:val="single" w:sz="4" w:space="0" w:color="auto"/>
              <w:bottom w:val="single" w:sz="4" w:space="0" w:color="auto"/>
              <w:right w:val="single" w:sz="4" w:space="0" w:color="auto"/>
            </w:tcBorders>
            <w:shd w:val="clear" w:color="auto" w:fill="E7E6E6" w:themeFill="background2"/>
            <w:vAlign w:val="center"/>
          </w:tcPr>
          <w:p w14:paraId="29146BB8"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65%</w:t>
            </w:r>
          </w:p>
          <w:p w14:paraId="300A12F6" w14:textId="0F754458" w:rsidR="008F2056" w:rsidRPr="00E40274" w:rsidRDefault="008F205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r>
      <w:tr w:rsidR="00E45199" w:rsidRPr="006F159A" w14:paraId="4D5AB527" w14:textId="77777777" w:rsidTr="00353F27">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715E0CFC" w14:textId="77777777" w:rsidR="00E45199" w:rsidRPr="006F159A" w:rsidRDefault="00E45199" w:rsidP="00AC60D6">
            <w:pPr>
              <w:spacing w:before="120" w:after="120"/>
              <w:rPr>
                <w:rFonts w:cstheme="minorHAnsi"/>
                <w:sz w:val="16"/>
                <w:szCs w:val="16"/>
              </w:rPr>
            </w:pPr>
            <w:r w:rsidRPr="006F159A">
              <w:rPr>
                <w:rFonts w:cstheme="minorHAnsi"/>
                <w:sz w:val="16"/>
                <w:szCs w:val="16"/>
              </w:rPr>
              <w:t>Research collaboration within Australia</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AAF293D"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65%</w:t>
            </w:r>
          </w:p>
          <w:p w14:paraId="40251988" w14:textId="6787811F" w:rsidR="00AD41B7" w:rsidRPr="00E40274" w:rsidRDefault="00AD41B7"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7E65745"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74%</w:t>
            </w:r>
          </w:p>
          <w:p w14:paraId="6A514527" w14:textId="1964B04F" w:rsidR="0044110E" w:rsidRPr="00E40274" w:rsidRDefault="0044110E"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D6E5B3"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36D986"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43A6D3"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63A885"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68%</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044D52D"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B2F789"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CF3AF4"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69%</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581589F7"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64%</w:t>
            </w:r>
          </w:p>
        </w:tc>
      </w:tr>
      <w:tr w:rsidR="00E45199" w:rsidRPr="006F159A" w14:paraId="68D798D9" w14:textId="77777777" w:rsidTr="00353F27">
        <w:trPr>
          <w:trHeight w:val="698"/>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2BE46CA4" w14:textId="77777777" w:rsidR="00E45199" w:rsidRPr="006F159A" w:rsidRDefault="00E45199" w:rsidP="00AC60D6">
            <w:pPr>
              <w:spacing w:before="120" w:after="120"/>
              <w:rPr>
                <w:rFonts w:cstheme="minorHAnsi"/>
                <w:sz w:val="16"/>
                <w:szCs w:val="16"/>
              </w:rPr>
            </w:pPr>
            <w:r w:rsidRPr="006F159A">
              <w:rPr>
                <w:rFonts w:cstheme="minorHAnsi"/>
                <w:sz w:val="16"/>
                <w:szCs w:val="16"/>
              </w:rPr>
              <w:t>Research training</w:t>
            </w:r>
          </w:p>
        </w:tc>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ED0F2A7"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72%</w:t>
            </w:r>
          </w:p>
          <w:p w14:paraId="75289063" w14:textId="52D86B36" w:rsidR="0044110E" w:rsidRPr="00E40274" w:rsidRDefault="0044110E"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A554B02"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62%</w:t>
            </w:r>
          </w:p>
          <w:p w14:paraId="30382ABD" w14:textId="62E9558C" w:rsidR="0044110E" w:rsidRPr="00E40274" w:rsidRDefault="0044110E"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95ECBE7"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71%</w:t>
            </w:r>
          </w:p>
          <w:p w14:paraId="75CC6967" w14:textId="638D8FA9" w:rsidR="0044110E" w:rsidRPr="00E40274" w:rsidRDefault="0044110E"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F47EF7"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66%</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2E1897"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58%</w:t>
            </w:r>
          </w:p>
          <w:p w14:paraId="67B7AEF5" w14:textId="2955E084" w:rsidR="0044110E" w:rsidRPr="00E40274" w:rsidRDefault="0044110E"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BFD60F"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67%</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683A3E3"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3331C45"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69%</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30172C"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70%</w:t>
            </w:r>
          </w:p>
          <w:p w14:paraId="0AD076FC" w14:textId="53F5D716" w:rsidR="008F2056" w:rsidRPr="00E40274" w:rsidRDefault="008F205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6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69A2FE"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63%</w:t>
            </w:r>
          </w:p>
          <w:p w14:paraId="7A715505" w14:textId="7953ED2F" w:rsidR="008F2056" w:rsidRPr="00E40274" w:rsidRDefault="008F205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r>
      <w:tr w:rsidR="00E45199" w:rsidRPr="006F159A" w14:paraId="7DC3FB61" w14:textId="77777777" w:rsidTr="00353F27">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320FBCBC" w14:textId="77777777" w:rsidR="00E45199" w:rsidRPr="006F159A" w:rsidRDefault="00E45199" w:rsidP="00AC60D6">
            <w:pPr>
              <w:spacing w:before="120" w:after="120"/>
              <w:rPr>
                <w:rFonts w:cstheme="minorHAnsi"/>
                <w:sz w:val="16"/>
                <w:szCs w:val="16"/>
              </w:rPr>
            </w:pPr>
            <w:r w:rsidRPr="006F159A">
              <w:rPr>
                <w:rFonts w:cstheme="minorHAnsi"/>
                <w:sz w:val="16"/>
                <w:szCs w:val="16"/>
              </w:rPr>
              <w:t>International research collaboration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C85476"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05CF661"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525D840"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67%</w:t>
            </w:r>
          </w:p>
          <w:p w14:paraId="4964B3F7" w14:textId="6B8AFE3E" w:rsidR="0044110E" w:rsidRPr="00E40274" w:rsidRDefault="0044110E"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D47022"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55%</w:t>
            </w:r>
          </w:p>
          <w:p w14:paraId="3758E492" w14:textId="43E9112D" w:rsidR="0044110E" w:rsidRPr="00E40274" w:rsidRDefault="0044110E"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4586B5"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4DCD82"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63%</w:t>
            </w:r>
          </w:p>
        </w:tc>
        <w:tc>
          <w:tcPr>
            <w:tcW w:w="7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DB4CFD"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54%</w:t>
            </w:r>
          </w:p>
          <w:p w14:paraId="19D1C274" w14:textId="0B25515E" w:rsidR="008F2056" w:rsidRPr="00E40274" w:rsidRDefault="008F205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1DA7E5"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61%</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439DCF0"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69%</w:t>
            </w:r>
          </w:p>
          <w:p w14:paraId="4FBEC82B" w14:textId="6ADDD7D9" w:rsidR="008F2056" w:rsidRPr="00E40274" w:rsidRDefault="008F205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6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6A315F"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44%</w:t>
            </w:r>
          </w:p>
          <w:p w14:paraId="6511FA80" w14:textId="15286FF6" w:rsidR="008F2056" w:rsidRPr="00E40274" w:rsidRDefault="008F205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r>
      <w:tr w:rsidR="00E45199" w:rsidRPr="006F159A" w14:paraId="08BA3DCC" w14:textId="77777777" w:rsidTr="00353F27">
        <w:trPr>
          <w:trHeight w:val="1212"/>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628FB43E" w14:textId="77777777" w:rsidR="00E45199" w:rsidRPr="006F159A" w:rsidRDefault="00E45199" w:rsidP="00AC60D6">
            <w:pPr>
              <w:spacing w:before="120" w:after="120"/>
              <w:rPr>
                <w:rFonts w:cstheme="minorHAnsi"/>
                <w:sz w:val="16"/>
                <w:szCs w:val="16"/>
              </w:rPr>
            </w:pPr>
            <w:r w:rsidRPr="006F159A">
              <w:rPr>
                <w:rFonts w:cstheme="minorHAnsi"/>
                <w:sz w:val="16"/>
                <w:szCs w:val="16"/>
              </w:rPr>
              <w:t>Research in Australian Government priority areas</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F8DC885"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58%</w:t>
            </w:r>
          </w:p>
          <w:p w14:paraId="3E02A00A" w14:textId="34BD49EF" w:rsidR="0044110E" w:rsidRPr="00E40274" w:rsidRDefault="0044110E"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57AF2F"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65%</w:t>
            </w:r>
          </w:p>
          <w:p w14:paraId="05C28098" w14:textId="31F57474" w:rsidR="0044110E" w:rsidRPr="00E40274" w:rsidRDefault="0044110E"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CBFC59"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9C8D7D"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ECE639"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54%</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2074CE"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56%</w:t>
            </w:r>
          </w:p>
          <w:p w14:paraId="4C49158A" w14:textId="4DDA179E" w:rsidR="0044110E" w:rsidRPr="00E40274" w:rsidRDefault="008F205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ACC1A23"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63%</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C1A5B5D" w14:textId="77777777" w:rsidR="00E45199"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64%</w:t>
            </w:r>
          </w:p>
          <w:p w14:paraId="731383BC" w14:textId="379760CE" w:rsidR="008F2056" w:rsidRPr="00E40274" w:rsidRDefault="008F205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B1A707"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61%</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0618865" w14:textId="77777777" w:rsidR="00E45199" w:rsidRPr="00E40274" w:rsidRDefault="00E4519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58%</w:t>
            </w:r>
          </w:p>
        </w:tc>
      </w:tr>
      <w:tr w:rsidR="00E45199" w:rsidRPr="006F159A" w14:paraId="1ADEAE7E" w14:textId="77777777" w:rsidTr="00353F27">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6BE169F0" w14:textId="77777777" w:rsidR="00E45199" w:rsidRPr="006F159A" w:rsidRDefault="00E45199" w:rsidP="00AC60D6">
            <w:pPr>
              <w:spacing w:before="120" w:after="120"/>
              <w:rPr>
                <w:rFonts w:cstheme="minorHAnsi"/>
                <w:sz w:val="16"/>
                <w:szCs w:val="16"/>
              </w:rPr>
            </w:pPr>
            <w:r w:rsidRPr="006F159A">
              <w:rPr>
                <w:rFonts w:cstheme="minorHAnsi"/>
                <w:sz w:val="16"/>
                <w:szCs w:val="16"/>
              </w:rPr>
              <w:t>Applied research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AA0A2F"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54%</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355796D"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2027F5"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A9C847" w14:textId="77777777" w:rsidR="00E45199" w:rsidRPr="00E40274"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57%</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61BBD25"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43%</w:t>
            </w:r>
          </w:p>
          <w:p w14:paraId="017549C0" w14:textId="7FDC2DF1" w:rsidR="0044110E" w:rsidRPr="00E40274" w:rsidRDefault="0044110E"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76AFE43"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46%</w:t>
            </w:r>
          </w:p>
          <w:p w14:paraId="0B9B0B44" w14:textId="0D147164" w:rsidR="0044110E" w:rsidRPr="00E40274" w:rsidRDefault="0044110E"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72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33E45F7"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69%</w:t>
            </w:r>
          </w:p>
          <w:p w14:paraId="560BF23D" w14:textId="070EB614" w:rsidR="008F2056" w:rsidRPr="00E40274" w:rsidRDefault="008F205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D60EA0B"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62%</w:t>
            </w:r>
          </w:p>
          <w:p w14:paraId="2358FEE4" w14:textId="09FFB038" w:rsidR="008F2056" w:rsidRPr="00E40274" w:rsidRDefault="008F205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E25D090"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58%</w:t>
            </w:r>
          </w:p>
          <w:p w14:paraId="28374234" w14:textId="7BBEFF7F" w:rsidR="008F2056" w:rsidRPr="00E40274" w:rsidRDefault="008F205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c>
          <w:tcPr>
            <w:tcW w:w="6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E1F6EC" w14:textId="77777777" w:rsidR="00E45199" w:rsidRDefault="00E4519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E40274">
              <w:rPr>
                <w:rFonts w:cstheme="minorHAnsi"/>
                <w:color w:val="000000" w:themeColor="text1"/>
                <w:sz w:val="18"/>
                <w:szCs w:val="18"/>
              </w:rPr>
              <w:t>51%</w:t>
            </w:r>
          </w:p>
          <w:p w14:paraId="6AF38268" w14:textId="1D5E9707" w:rsidR="008F2056" w:rsidRPr="00E40274" w:rsidRDefault="008F205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t>
            </w:r>
          </w:p>
        </w:tc>
      </w:tr>
    </w:tbl>
    <w:p w14:paraId="6BD8E206" w14:textId="213C85B1" w:rsidR="006F159A" w:rsidRPr="006F159A" w:rsidRDefault="006F159A" w:rsidP="006F159A">
      <w:pPr>
        <w:spacing w:before="120" w:after="120"/>
        <w:rPr>
          <w:rFonts w:asciiTheme="majorHAnsi" w:hAnsiTheme="majorHAnsi" w:cstheme="majorHAnsi"/>
          <w:sz w:val="16"/>
          <w:szCs w:val="16"/>
        </w:rPr>
      </w:pPr>
      <w:r w:rsidRPr="006F159A">
        <w:rPr>
          <w:rFonts w:asciiTheme="majorHAnsi" w:hAnsiTheme="majorHAnsi" w:cstheme="majorHAnsi"/>
          <w:sz w:val="16"/>
          <w:szCs w:val="16"/>
        </w:rPr>
        <w:t xml:space="preserve">Source: Kantar, Public Division. </w:t>
      </w:r>
      <w:r w:rsidRPr="006F159A">
        <w:rPr>
          <w:rFonts w:asciiTheme="majorHAnsi" w:hAnsiTheme="majorHAnsi" w:cstheme="majorHAnsi"/>
          <w:i/>
          <w:sz w:val="16"/>
          <w:szCs w:val="16"/>
        </w:rPr>
        <w:t>Note: Percentage of survey respondents agreeing</w:t>
      </w:r>
      <w:r w:rsidR="00790337">
        <w:rPr>
          <w:rFonts w:asciiTheme="majorHAnsi" w:hAnsiTheme="majorHAnsi" w:cstheme="majorHAnsi"/>
          <w:i/>
          <w:sz w:val="16"/>
          <w:szCs w:val="16"/>
        </w:rPr>
        <w:t xml:space="preserve"> or </w:t>
      </w:r>
      <w:r w:rsidRPr="006F159A">
        <w:rPr>
          <w:rFonts w:asciiTheme="majorHAnsi" w:hAnsiTheme="majorHAnsi" w:cstheme="majorHAnsi"/>
          <w:i/>
          <w:sz w:val="16"/>
          <w:szCs w:val="16"/>
        </w:rPr>
        <w:t xml:space="preserve">strongly agreeing. </w:t>
      </w:r>
      <w:r w:rsidR="003E3DF4">
        <w:rPr>
          <w:rFonts w:asciiTheme="majorHAnsi" w:hAnsiTheme="majorHAnsi" w:cstheme="majorHAnsi"/>
          <w:i/>
          <w:sz w:val="16"/>
          <w:szCs w:val="16"/>
        </w:rPr>
        <w:t>Grey</w:t>
      </w:r>
      <w:r w:rsidRPr="006F159A">
        <w:rPr>
          <w:rFonts w:asciiTheme="majorHAnsi" w:hAnsiTheme="majorHAnsi" w:cstheme="majorHAnsi"/>
          <w:i/>
          <w:sz w:val="16"/>
          <w:szCs w:val="16"/>
        </w:rPr>
        <w:t xml:space="preserve"> cells are significantly below the mean</w:t>
      </w:r>
      <w:r w:rsidR="001E12CB">
        <w:rPr>
          <w:rFonts w:asciiTheme="majorHAnsi" w:hAnsiTheme="majorHAnsi" w:cstheme="majorHAnsi"/>
          <w:i/>
          <w:sz w:val="16"/>
          <w:szCs w:val="16"/>
        </w:rPr>
        <w:t xml:space="preserve"> (</w:t>
      </w:r>
      <w:r w:rsidR="00AD41B7">
        <w:rPr>
          <w:rFonts w:asciiTheme="majorHAnsi" w:hAnsiTheme="majorHAnsi" w:cstheme="majorHAnsi"/>
          <w:i/>
          <w:sz w:val="16"/>
          <w:szCs w:val="16"/>
        </w:rPr>
        <w:t>–</w:t>
      </w:r>
      <w:r w:rsidR="001E12CB">
        <w:rPr>
          <w:rFonts w:asciiTheme="majorHAnsi" w:hAnsiTheme="majorHAnsi" w:cstheme="majorHAnsi"/>
          <w:i/>
          <w:sz w:val="16"/>
          <w:szCs w:val="16"/>
        </w:rPr>
        <w:t>)</w:t>
      </w:r>
      <w:r w:rsidRPr="006F159A">
        <w:rPr>
          <w:rFonts w:asciiTheme="majorHAnsi" w:hAnsiTheme="majorHAnsi" w:cstheme="majorHAnsi"/>
          <w:i/>
          <w:sz w:val="16"/>
          <w:szCs w:val="16"/>
        </w:rPr>
        <w:t xml:space="preserve"> while green cells are significantly above the mean</w:t>
      </w:r>
      <w:r w:rsidR="001E12CB">
        <w:rPr>
          <w:rFonts w:asciiTheme="majorHAnsi" w:hAnsiTheme="majorHAnsi" w:cstheme="majorHAnsi"/>
          <w:i/>
          <w:sz w:val="16"/>
          <w:szCs w:val="16"/>
        </w:rPr>
        <w:t xml:space="preserve"> (+)</w:t>
      </w:r>
      <w:r w:rsidRPr="006F159A">
        <w:rPr>
          <w:rFonts w:asciiTheme="majorHAnsi" w:hAnsiTheme="majorHAnsi" w:cstheme="majorHAnsi"/>
          <w:i/>
          <w:sz w:val="16"/>
          <w:szCs w:val="16"/>
        </w:rPr>
        <w:t>, at the 95 per cent confidence level. Subgroups assigned on the basis of most recently completed project funded under the scheme. Table only includes participants with a completed project (n=2469); different numbers of survey participants responded to questions relating to research project characteristics.</w:t>
      </w:r>
    </w:p>
    <w:p w14:paraId="7A64009B" w14:textId="56DCC5FF" w:rsidR="006F159A" w:rsidRPr="006F159A" w:rsidRDefault="006F159A" w:rsidP="006F159A">
      <w:pPr>
        <w:spacing w:after="120"/>
        <w:rPr>
          <w:rFonts w:asciiTheme="majorHAnsi" w:hAnsiTheme="majorHAnsi" w:cstheme="majorHAnsi"/>
        </w:rPr>
      </w:pPr>
      <w:r w:rsidRPr="006F159A">
        <w:rPr>
          <w:rFonts w:asciiTheme="majorHAnsi" w:hAnsiTheme="majorHAnsi" w:cstheme="majorHAnsi"/>
        </w:rPr>
        <w:t xml:space="preserve">Researchers who had completed a project in the last three years were generally more positive about the scheme’s achievement of its objectives than those who had completed projects less recently. For instance, this group was more likely to agree or strongly agree that the scheme effectively </w:t>
      </w:r>
      <w:r w:rsidR="00AC1603" w:rsidRPr="006F159A">
        <w:rPr>
          <w:rFonts w:asciiTheme="majorHAnsi" w:hAnsiTheme="majorHAnsi" w:cstheme="majorHAnsi"/>
        </w:rPr>
        <w:t>support</w:t>
      </w:r>
      <w:r w:rsidR="00AC1603">
        <w:rPr>
          <w:rFonts w:asciiTheme="majorHAnsi" w:hAnsiTheme="majorHAnsi" w:cstheme="majorHAnsi"/>
        </w:rPr>
        <w:t>s</w:t>
      </w:r>
      <w:r w:rsidR="00AC1603" w:rsidRPr="006F159A">
        <w:rPr>
          <w:rFonts w:asciiTheme="majorHAnsi" w:hAnsiTheme="majorHAnsi" w:cstheme="majorHAnsi"/>
        </w:rPr>
        <w:t xml:space="preserve"> </w:t>
      </w:r>
      <w:r w:rsidRPr="006F159A">
        <w:rPr>
          <w:rFonts w:asciiTheme="majorHAnsi" w:hAnsiTheme="majorHAnsi" w:cstheme="majorHAnsi"/>
        </w:rPr>
        <w:t xml:space="preserve">basic research (75 per cent compared to 65 per cent), research training (71 per cent compared to 64 per cent) and international collaboration (67 per cent compared to 58 per cent). While this seems to indicate that stakeholders’ perceptions of the scheme’s effectiveness have become more positive over time, neither the feedback received nor an analysis of changes in the ARC’s implementation of the scheme support firm conclusions regarding specific elements that contributed to these results. </w:t>
      </w:r>
      <w:r w:rsidR="00732A5B">
        <w:rPr>
          <w:rFonts w:asciiTheme="majorHAnsi" w:hAnsiTheme="majorHAnsi" w:cstheme="majorHAnsi"/>
        </w:rPr>
        <w:t xml:space="preserve">It is </w:t>
      </w:r>
      <w:r w:rsidR="00223D0A">
        <w:rPr>
          <w:rFonts w:asciiTheme="majorHAnsi" w:hAnsiTheme="majorHAnsi" w:cstheme="majorHAnsi"/>
        </w:rPr>
        <w:t xml:space="preserve">also </w:t>
      </w:r>
      <w:r w:rsidR="00732A5B">
        <w:rPr>
          <w:rFonts w:asciiTheme="majorHAnsi" w:hAnsiTheme="majorHAnsi" w:cstheme="majorHAnsi"/>
        </w:rPr>
        <w:t>possible that t</w:t>
      </w:r>
      <w:r w:rsidR="005A0443">
        <w:rPr>
          <w:rFonts w:asciiTheme="majorHAnsi" w:hAnsiTheme="majorHAnsi" w:cstheme="majorHAnsi"/>
        </w:rPr>
        <w:t xml:space="preserve">he recency of the </w:t>
      </w:r>
      <w:r w:rsidR="006F1D95">
        <w:rPr>
          <w:rFonts w:asciiTheme="majorHAnsi" w:hAnsiTheme="majorHAnsi" w:cstheme="majorHAnsi"/>
        </w:rPr>
        <w:t xml:space="preserve">research and funding may </w:t>
      </w:r>
      <w:r w:rsidR="00732A5B">
        <w:rPr>
          <w:rFonts w:asciiTheme="majorHAnsi" w:hAnsiTheme="majorHAnsi" w:cstheme="majorHAnsi"/>
        </w:rPr>
        <w:t xml:space="preserve">have </w:t>
      </w:r>
      <w:r w:rsidR="006F5862">
        <w:rPr>
          <w:rFonts w:asciiTheme="majorHAnsi" w:hAnsiTheme="majorHAnsi" w:cstheme="majorHAnsi"/>
        </w:rPr>
        <w:t>influenced some</w:t>
      </w:r>
      <w:r w:rsidR="006F1D95">
        <w:rPr>
          <w:rFonts w:asciiTheme="majorHAnsi" w:hAnsiTheme="majorHAnsi" w:cstheme="majorHAnsi"/>
        </w:rPr>
        <w:t xml:space="preserve"> stakeholders’ perceptions </w:t>
      </w:r>
      <w:r w:rsidR="00375177">
        <w:rPr>
          <w:rFonts w:asciiTheme="majorHAnsi" w:hAnsiTheme="majorHAnsi" w:cstheme="majorHAnsi"/>
        </w:rPr>
        <w:t xml:space="preserve">and </w:t>
      </w:r>
      <w:r w:rsidR="004954AA">
        <w:rPr>
          <w:rFonts w:asciiTheme="majorHAnsi" w:hAnsiTheme="majorHAnsi" w:cstheme="majorHAnsi"/>
        </w:rPr>
        <w:t>recollections</w:t>
      </w:r>
      <w:r w:rsidR="006F1D95">
        <w:rPr>
          <w:rFonts w:asciiTheme="majorHAnsi" w:hAnsiTheme="majorHAnsi" w:cstheme="majorHAnsi"/>
        </w:rPr>
        <w:t>.</w:t>
      </w:r>
      <w:r w:rsidRPr="006F159A">
        <w:rPr>
          <w:rFonts w:asciiTheme="majorHAnsi" w:hAnsiTheme="majorHAnsi" w:cstheme="majorHAnsi"/>
        </w:rPr>
        <w:t xml:space="preserve"> There may be value in seeking more detailed stakeholder perspectives on this issue in future to inform improvements that may further strengthen the scheme’s effectiveness. </w:t>
      </w:r>
    </w:p>
    <w:p w14:paraId="69782108" w14:textId="456DCDE4" w:rsidR="006F159A" w:rsidRPr="006F159A" w:rsidRDefault="006F159A" w:rsidP="006F159A">
      <w:pPr>
        <w:spacing w:after="120"/>
        <w:rPr>
          <w:rFonts w:asciiTheme="majorHAnsi" w:hAnsiTheme="majorHAnsi" w:cstheme="majorHAnsi"/>
        </w:rPr>
      </w:pPr>
      <w:r w:rsidRPr="006F159A">
        <w:rPr>
          <w:rFonts w:asciiTheme="majorHAnsi" w:hAnsiTheme="majorHAnsi" w:cstheme="majorHAnsi"/>
        </w:rPr>
        <w:lastRenderedPageBreak/>
        <w:t xml:space="preserve">Researchers whose most recently completed project involved international collaboration were also more likely to agree that Discovery Projects effectively achieved its objectives. Compared to researchers not collaborating internationally, they more often agreed or strongly agreed that the scheme effectively supports basic research (72 per cent compared to 65 per cent), applied research (58 per cent compared to 51 per cent), research training (70 per cent compared to 63 per cent) and, as may be expected, international collaboration (69 per cent compared to 44 per cent). </w:t>
      </w:r>
    </w:p>
    <w:p w14:paraId="4098314F" w14:textId="1B1E53F8" w:rsidR="006F159A" w:rsidRPr="006F159A" w:rsidRDefault="006F159A" w:rsidP="006F159A">
      <w:pPr>
        <w:spacing w:after="120"/>
        <w:rPr>
          <w:rFonts w:asciiTheme="majorHAnsi" w:hAnsiTheme="majorHAnsi" w:cstheme="majorHAnsi"/>
        </w:rPr>
      </w:pPr>
      <w:r w:rsidRPr="006F159A">
        <w:rPr>
          <w:rFonts w:asciiTheme="majorHAnsi" w:hAnsiTheme="majorHAnsi" w:cstheme="majorHAnsi"/>
        </w:rPr>
        <w:t xml:space="preserve">There was also variability by disciplinary area. Compared to participants completing projects in HASS fields, researchers from STEM fields were more likely to agree that the scheme effectively supported basic research (72 per cent compared to 67 per cent) and research training (72 per cent compared to 62 per cent). Researchers from HASS fields, alternatively, were more likely to positively perceive the </w:t>
      </w:r>
      <w:r w:rsidRPr="00354F45">
        <w:rPr>
          <w:rFonts w:asciiTheme="majorHAnsi" w:hAnsiTheme="majorHAnsi" w:cstheme="majorHAnsi"/>
        </w:rPr>
        <w:t xml:space="preserve">scheme’s effectiveness in relation to national collaboration (74 per cent compared to 65 per cent) and research addressing Australian Government priority areas (65 per cent compared to 58 per cent). The latter finding </w:t>
      </w:r>
      <w:r w:rsidR="005C2AF3" w:rsidRPr="00354F45">
        <w:rPr>
          <w:rFonts w:asciiTheme="majorHAnsi" w:hAnsiTheme="majorHAnsi" w:cstheme="majorHAnsi"/>
        </w:rPr>
        <w:t>contrasts somewhat with</w:t>
      </w:r>
      <w:r w:rsidRPr="00354F45">
        <w:rPr>
          <w:rFonts w:asciiTheme="majorHAnsi" w:hAnsiTheme="majorHAnsi" w:cstheme="majorHAnsi"/>
        </w:rPr>
        <w:t xml:space="preserve"> stakeholder feedback expressing concerns that the National Science and Research Priorities disproportionately emphasise STEM-related themes (see</w:t>
      </w:r>
      <w:r w:rsidR="00354F45" w:rsidRPr="00354F45">
        <w:rPr>
          <w:rFonts w:asciiTheme="majorHAnsi" w:hAnsiTheme="majorHAnsi" w:cstheme="majorHAnsi"/>
        </w:rPr>
        <w:t xml:space="preserve"> </w:t>
      </w:r>
      <w:hyperlink w:anchor="_Qualitative_stakeholder_feedback—ap_1" w:history="1">
        <w:r w:rsidR="00354F45" w:rsidRPr="00281670">
          <w:rPr>
            <w:rStyle w:val="Hyperlink"/>
            <w:rFonts w:cstheme="majorHAnsi"/>
            <w:color w:val="auto"/>
            <w:sz w:val="22"/>
            <w:u w:val="none"/>
          </w:rPr>
          <w:t>Section 5.2.2</w:t>
        </w:r>
      </w:hyperlink>
      <w:r w:rsidR="00354F45" w:rsidRPr="00354F45">
        <w:rPr>
          <w:rFonts w:asciiTheme="majorHAnsi" w:hAnsiTheme="majorHAnsi" w:cstheme="majorHAnsi"/>
        </w:rPr>
        <w:t>).</w:t>
      </w:r>
    </w:p>
    <w:p w14:paraId="29A871C7" w14:textId="6337E18F" w:rsidR="006F159A" w:rsidRPr="006F159A" w:rsidRDefault="006F159A" w:rsidP="0068635B">
      <w:pPr>
        <w:pStyle w:val="Heading2"/>
      </w:pPr>
      <w:bookmarkStart w:id="381" w:name="_Supporting_excellent_basic"/>
      <w:bookmarkStart w:id="382" w:name="_Toc51918725"/>
      <w:bookmarkStart w:id="383" w:name="_Toc55544803"/>
      <w:bookmarkEnd w:id="381"/>
      <w:r w:rsidRPr="006F159A">
        <w:t>Supporting excellent basic and applied research by individuals and teams</w:t>
      </w:r>
      <w:bookmarkEnd w:id="382"/>
      <w:bookmarkEnd w:id="383"/>
    </w:p>
    <w:p w14:paraId="3E219D1C" w14:textId="2D2A9E63"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The fundamental principle underpinning the Discovery Projects scheme has been to support research on the basis of excellence, as assessed through a competitive peer review process. As noted in Part Two, </w:t>
      </w:r>
      <w:r w:rsidR="005C170E">
        <w:rPr>
          <w:rFonts w:asciiTheme="majorHAnsi" w:hAnsiTheme="majorHAnsi" w:cstheme="majorHAnsi"/>
        </w:rPr>
        <w:t xml:space="preserve">while Discovery Projects </w:t>
      </w:r>
      <w:r w:rsidR="006A6584">
        <w:rPr>
          <w:rFonts w:asciiTheme="majorHAnsi" w:hAnsiTheme="majorHAnsi" w:cstheme="majorHAnsi"/>
        </w:rPr>
        <w:t>is</w:t>
      </w:r>
      <w:r w:rsidRPr="006F159A">
        <w:rPr>
          <w:rFonts w:asciiTheme="majorHAnsi" w:hAnsiTheme="majorHAnsi" w:cstheme="majorHAnsi"/>
        </w:rPr>
        <w:t xml:space="preserve"> a pivotal component of the Australian Government’s support for basic research</w:t>
      </w:r>
      <w:r w:rsidR="00194B6D">
        <w:rPr>
          <w:rFonts w:asciiTheme="majorHAnsi" w:hAnsiTheme="majorHAnsi" w:cstheme="majorHAnsi"/>
        </w:rPr>
        <w:t xml:space="preserve">, </w:t>
      </w:r>
      <w:r w:rsidR="006A6584">
        <w:rPr>
          <w:rFonts w:asciiTheme="majorHAnsi" w:hAnsiTheme="majorHAnsi" w:cstheme="majorHAnsi"/>
        </w:rPr>
        <w:t>it</w:t>
      </w:r>
      <w:r w:rsidR="00067BE4">
        <w:rPr>
          <w:rFonts w:asciiTheme="majorHAnsi" w:hAnsiTheme="majorHAnsi" w:cstheme="majorHAnsi"/>
        </w:rPr>
        <w:t xml:space="preserve"> has also</w:t>
      </w:r>
      <w:r w:rsidRPr="006F159A">
        <w:rPr>
          <w:rFonts w:asciiTheme="majorHAnsi" w:hAnsiTheme="majorHAnsi" w:cstheme="majorHAnsi"/>
        </w:rPr>
        <w:t xml:space="preserve"> supported applied research since its inception</w:t>
      </w:r>
      <w:r w:rsidR="00067BE4">
        <w:rPr>
          <w:rFonts w:asciiTheme="majorHAnsi" w:hAnsiTheme="majorHAnsi" w:cstheme="majorHAnsi"/>
        </w:rPr>
        <w:t>. F</w:t>
      </w:r>
      <w:r w:rsidRPr="006F159A">
        <w:rPr>
          <w:rFonts w:asciiTheme="majorHAnsi" w:hAnsiTheme="majorHAnsi" w:cstheme="majorHAnsi"/>
        </w:rPr>
        <w:t>rom DP12 onwards, the scheme</w:t>
      </w:r>
      <w:r w:rsidR="00574C7E">
        <w:rPr>
          <w:rFonts w:asciiTheme="majorHAnsi" w:hAnsiTheme="majorHAnsi" w:cstheme="majorHAnsi"/>
        </w:rPr>
        <w:t>’s</w:t>
      </w:r>
      <w:r w:rsidRPr="006F159A">
        <w:rPr>
          <w:rFonts w:asciiTheme="majorHAnsi" w:hAnsiTheme="majorHAnsi" w:cstheme="majorHAnsi"/>
        </w:rPr>
        <w:t xml:space="preserve"> objectives were broadened to explicitly reference support for both basic and applied approaches. </w:t>
      </w:r>
    </w:p>
    <w:p w14:paraId="2A950F65" w14:textId="41082428" w:rsidR="006F159A" w:rsidRPr="006F159A" w:rsidRDefault="006F159A" w:rsidP="006F159A">
      <w:pPr>
        <w:rPr>
          <w:rFonts w:asciiTheme="majorHAnsi" w:hAnsiTheme="majorHAnsi" w:cstheme="majorHAnsi"/>
        </w:rPr>
      </w:pPr>
      <w:r w:rsidRPr="006F159A">
        <w:rPr>
          <w:rFonts w:asciiTheme="majorHAnsi" w:hAnsiTheme="majorHAnsi" w:cstheme="majorHAnsi"/>
        </w:rPr>
        <w:t>Elements of the current scheme design continue to reflect this particular balance of support</w:t>
      </w:r>
      <w:r w:rsidR="00E442B9">
        <w:rPr>
          <w:rFonts w:asciiTheme="majorHAnsi" w:hAnsiTheme="majorHAnsi" w:cstheme="majorHAnsi"/>
        </w:rPr>
        <w:t xml:space="preserve"> for basic and applied research</w:t>
      </w:r>
      <w:r w:rsidRPr="006F159A">
        <w:rPr>
          <w:rFonts w:asciiTheme="majorHAnsi" w:hAnsiTheme="majorHAnsi" w:cstheme="majorHAnsi"/>
        </w:rPr>
        <w:t xml:space="preserve">. For instance, compared to most schemes within the Linkage Program, current Discovery Projects assessment criteria place greater emphasis on fundamental research considerations such as ‘Investigator/Capability’ and ‘Project Quality and Innovation’, as opposed to ‘Benefit’, which may be difficult to anticipate within the context of basic research. Simultaneously, the scheme includes mechanisms to support applied research through opportunities to collaborate with research end users and </w:t>
      </w:r>
      <w:r w:rsidR="00810942">
        <w:rPr>
          <w:rFonts w:asciiTheme="majorHAnsi" w:hAnsiTheme="majorHAnsi" w:cstheme="majorHAnsi"/>
        </w:rPr>
        <w:t>assessment crit</w:t>
      </w:r>
      <w:r w:rsidRPr="006F159A">
        <w:rPr>
          <w:rFonts w:asciiTheme="majorHAnsi" w:hAnsiTheme="majorHAnsi" w:cstheme="majorHAnsi"/>
        </w:rPr>
        <w:t xml:space="preserve">eria relating to commercialisation. </w:t>
      </w:r>
    </w:p>
    <w:p w14:paraId="337C4F76" w14:textId="0C66E053" w:rsidR="006F159A" w:rsidRPr="006F159A" w:rsidRDefault="006F159A" w:rsidP="0068635B">
      <w:pPr>
        <w:pStyle w:val="Heading3"/>
      </w:pPr>
      <w:bookmarkStart w:id="384" w:name="_ARC_data—excellent_basic"/>
      <w:bookmarkStart w:id="385" w:name="_Toc50533605"/>
      <w:bookmarkStart w:id="386" w:name="_Toc50553755"/>
      <w:bookmarkStart w:id="387" w:name="_Toc50554990"/>
      <w:bookmarkStart w:id="388" w:name="_Toc50618124"/>
      <w:bookmarkStart w:id="389" w:name="_Toc50618405"/>
      <w:bookmarkStart w:id="390" w:name="_Toc51916999"/>
      <w:bookmarkStart w:id="391" w:name="_Toc51918839"/>
      <w:bookmarkStart w:id="392" w:name="_Toc53557228"/>
      <w:bookmarkStart w:id="393" w:name="_Toc54699270"/>
      <w:bookmarkStart w:id="394" w:name="_Toc55544804"/>
      <w:bookmarkEnd w:id="384"/>
      <w:r w:rsidRPr="006F159A">
        <w:t>ARC data—</w:t>
      </w:r>
      <w:r w:rsidR="00210FEE">
        <w:t xml:space="preserve">excellent </w:t>
      </w:r>
      <w:r w:rsidRPr="006F159A">
        <w:t>basic and applied research</w:t>
      </w:r>
      <w:bookmarkEnd w:id="385"/>
      <w:bookmarkEnd w:id="386"/>
      <w:bookmarkEnd w:id="387"/>
      <w:bookmarkEnd w:id="388"/>
      <w:bookmarkEnd w:id="389"/>
      <w:bookmarkEnd w:id="390"/>
      <w:bookmarkEnd w:id="391"/>
      <w:bookmarkEnd w:id="392"/>
      <w:bookmarkEnd w:id="393"/>
      <w:bookmarkEnd w:id="394"/>
    </w:p>
    <w:p w14:paraId="43013D6E" w14:textId="206210EF" w:rsidR="006F159A" w:rsidRPr="006F159A" w:rsidRDefault="006F159A" w:rsidP="004B32D9">
      <w:pPr>
        <w:rPr>
          <w:rFonts w:asciiTheme="majorHAnsi" w:hAnsiTheme="majorHAnsi" w:cstheme="majorHAnsi"/>
        </w:rPr>
      </w:pPr>
      <w:r w:rsidRPr="006F159A">
        <w:rPr>
          <w:rFonts w:asciiTheme="majorHAnsi" w:hAnsiTheme="majorHAnsi" w:cstheme="majorHAnsi"/>
        </w:rPr>
        <w:t xml:space="preserve">While the ARC does not directly categorise projects as basic or applied research, analysis of the </w:t>
      </w:r>
      <w:r w:rsidR="004B32D9">
        <w:rPr>
          <w:rFonts w:asciiTheme="majorHAnsi" w:hAnsiTheme="majorHAnsi" w:cstheme="majorHAnsi"/>
        </w:rPr>
        <w:t>ANZSRC</w:t>
      </w:r>
      <w:r w:rsidR="00791E39">
        <w:rPr>
          <w:rFonts w:asciiTheme="majorHAnsi" w:hAnsiTheme="majorHAnsi" w:cstheme="majorHAnsi"/>
        </w:rPr>
        <w:t xml:space="preserve"> </w:t>
      </w:r>
      <w:r w:rsidRPr="006F159A">
        <w:rPr>
          <w:rFonts w:asciiTheme="majorHAnsi" w:hAnsiTheme="majorHAnsi" w:cstheme="majorHAnsi"/>
        </w:rPr>
        <w:t>Socio-Economic Objective (SEO) codes assigned to Discovery Projects research provides insight into the balance of the scheme’s support for basic and applied approaches. SEO codes allow research ‘to be categorised according to […] intended purpose or outcome’, within five overarching ‘</w:t>
      </w:r>
      <w:r w:rsidRPr="006F159A" w:rsidDel="00487B15">
        <w:rPr>
          <w:rFonts w:asciiTheme="majorHAnsi" w:hAnsiTheme="majorHAnsi" w:cstheme="majorHAnsi"/>
        </w:rPr>
        <w:t>sectors</w:t>
      </w:r>
      <w:r w:rsidRPr="006F159A">
        <w:rPr>
          <w:rFonts w:asciiTheme="majorHAnsi" w:hAnsiTheme="majorHAnsi" w:cstheme="majorHAnsi"/>
        </w:rPr>
        <w:t>’:</w:t>
      </w:r>
      <w:r w:rsidRPr="006F159A" w:rsidDel="00487B15">
        <w:rPr>
          <w:rFonts w:asciiTheme="majorHAnsi" w:hAnsiTheme="majorHAnsi" w:cstheme="majorHAnsi"/>
        </w:rPr>
        <w:t xml:space="preserve"> Defence (A)</w:t>
      </w:r>
      <w:r w:rsidRPr="006F159A">
        <w:rPr>
          <w:rFonts w:asciiTheme="majorHAnsi" w:hAnsiTheme="majorHAnsi" w:cstheme="majorHAnsi"/>
        </w:rPr>
        <w:t>;</w:t>
      </w:r>
      <w:r w:rsidRPr="006F159A" w:rsidDel="00487B15">
        <w:rPr>
          <w:rFonts w:asciiTheme="majorHAnsi" w:hAnsiTheme="majorHAnsi" w:cstheme="majorHAnsi"/>
        </w:rPr>
        <w:t xml:space="preserve"> Economic Development (B)</w:t>
      </w:r>
      <w:r w:rsidRPr="006F159A">
        <w:rPr>
          <w:rFonts w:asciiTheme="majorHAnsi" w:hAnsiTheme="majorHAnsi" w:cstheme="majorHAnsi"/>
        </w:rPr>
        <w:t>;</w:t>
      </w:r>
      <w:r w:rsidRPr="006F159A" w:rsidDel="00487B15">
        <w:rPr>
          <w:rFonts w:asciiTheme="majorHAnsi" w:hAnsiTheme="majorHAnsi" w:cstheme="majorHAnsi"/>
        </w:rPr>
        <w:t xml:space="preserve"> Society (C)</w:t>
      </w:r>
      <w:r w:rsidRPr="006F159A">
        <w:rPr>
          <w:rFonts w:asciiTheme="majorHAnsi" w:hAnsiTheme="majorHAnsi" w:cstheme="majorHAnsi"/>
        </w:rPr>
        <w:t>;</w:t>
      </w:r>
      <w:r w:rsidRPr="006F159A" w:rsidDel="00487B15">
        <w:rPr>
          <w:rFonts w:asciiTheme="majorHAnsi" w:hAnsiTheme="majorHAnsi" w:cstheme="majorHAnsi"/>
        </w:rPr>
        <w:t xml:space="preserve"> Environment (D)</w:t>
      </w:r>
      <w:r w:rsidRPr="006F159A">
        <w:rPr>
          <w:rFonts w:asciiTheme="majorHAnsi" w:hAnsiTheme="majorHAnsi" w:cstheme="majorHAnsi"/>
        </w:rPr>
        <w:t>;</w:t>
      </w:r>
      <w:r w:rsidRPr="006F159A" w:rsidDel="00487B15">
        <w:rPr>
          <w:rFonts w:asciiTheme="majorHAnsi" w:hAnsiTheme="majorHAnsi" w:cstheme="majorHAnsi"/>
        </w:rPr>
        <w:t xml:space="preserve"> and Expanding Knowledge (E)</w:t>
      </w:r>
      <w:r w:rsidRPr="006F159A">
        <w:rPr>
          <w:rFonts w:asciiTheme="majorHAnsi" w:hAnsiTheme="majorHAnsi" w:cstheme="majorHAnsi"/>
        </w:rPr>
        <w:t>. More detailed SEO codes exist at 2-, 4- and 6-digit levels under these sectors.</w:t>
      </w:r>
      <w:r w:rsidRPr="006F159A">
        <w:rPr>
          <w:rFonts w:asciiTheme="majorHAnsi" w:hAnsiTheme="majorHAnsi" w:cstheme="majorHAnsi"/>
          <w:vertAlign w:val="superscript"/>
        </w:rPr>
        <w:footnoteReference w:id="36"/>
      </w:r>
      <w:r w:rsidRPr="006F159A">
        <w:rPr>
          <w:rFonts w:asciiTheme="majorHAnsi" w:hAnsiTheme="majorHAnsi" w:cstheme="majorHAnsi"/>
        </w:rPr>
        <w:t xml:space="preserve"> </w:t>
      </w:r>
    </w:p>
    <w:p w14:paraId="219E7D74" w14:textId="76EA486B" w:rsidR="006F159A" w:rsidRPr="006F159A" w:rsidRDefault="006F159A" w:rsidP="004B32D9">
      <w:pPr>
        <w:rPr>
          <w:rFonts w:asciiTheme="majorHAnsi" w:hAnsiTheme="majorHAnsi" w:cstheme="majorHAnsi"/>
        </w:rPr>
      </w:pPr>
      <w:r w:rsidRPr="006F159A">
        <w:rPr>
          <w:rFonts w:asciiTheme="majorHAnsi" w:hAnsiTheme="majorHAnsi" w:cstheme="majorHAnsi"/>
        </w:rPr>
        <w:t>In Discovery Projects application forms, researchers are asked to specify up to three 6-digit SEO codes for their proposed research, and to assign a weighting to each.</w:t>
      </w:r>
      <w:r w:rsidRPr="006F159A">
        <w:rPr>
          <w:rFonts w:asciiTheme="majorHAnsi" w:hAnsiTheme="majorHAnsi" w:cstheme="majorHAnsi"/>
          <w:vertAlign w:val="superscript"/>
        </w:rPr>
        <w:footnoteReference w:id="37"/>
      </w:r>
      <w:r w:rsidRPr="006F159A">
        <w:rPr>
          <w:rFonts w:asciiTheme="majorHAnsi" w:hAnsiTheme="majorHAnsi" w:cstheme="majorHAnsi"/>
        </w:rPr>
        <w:t xml:space="preserve"> The </w:t>
      </w:r>
      <w:r w:rsidR="009854D2">
        <w:rPr>
          <w:rFonts w:asciiTheme="majorHAnsi" w:hAnsiTheme="majorHAnsi" w:cstheme="majorHAnsi"/>
        </w:rPr>
        <w:t>following</w:t>
      </w:r>
      <w:r w:rsidR="009854D2" w:rsidRPr="006F159A">
        <w:rPr>
          <w:rFonts w:asciiTheme="majorHAnsi" w:hAnsiTheme="majorHAnsi" w:cstheme="majorHAnsi"/>
        </w:rPr>
        <w:t xml:space="preserve"> </w:t>
      </w:r>
      <w:r w:rsidRPr="006F159A">
        <w:rPr>
          <w:rFonts w:asciiTheme="majorHAnsi" w:hAnsiTheme="majorHAnsi" w:cstheme="majorHAnsi"/>
        </w:rPr>
        <w:t xml:space="preserve">analysis </w:t>
      </w:r>
      <w:r w:rsidR="004827D9">
        <w:rPr>
          <w:rFonts w:asciiTheme="majorHAnsi" w:hAnsiTheme="majorHAnsi" w:cstheme="majorHAnsi"/>
        </w:rPr>
        <w:t xml:space="preserve">aggregates </w:t>
      </w:r>
      <w:r w:rsidR="004827D9">
        <w:rPr>
          <w:rFonts w:asciiTheme="majorHAnsi" w:hAnsiTheme="majorHAnsi" w:cstheme="majorHAnsi"/>
        </w:rPr>
        <w:lastRenderedPageBreak/>
        <w:t>these 6-digit SEO codes</w:t>
      </w:r>
      <w:r w:rsidRPr="006F159A">
        <w:rPr>
          <w:rFonts w:asciiTheme="majorHAnsi" w:hAnsiTheme="majorHAnsi" w:cstheme="majorHAnsi"/>
        </w:rPr>
        <w:t xml:space="preserve"> within the</w:t>
      </w:r>
      <w:r w:rsidR="004827D9">
        <w:rPr>
          <w:rFonts w:asciiTheme="majorHAnsi" w:hAnsiTheme="majorHAnsi" w:cstheme="majorHAnsi"/>
        </w:rPr>
        <w:t>ir</w:t>
      </w:r>
      <w:r w:rsidRPr="006F159A">
        <w:rPr>
          <w:rFonts w:asciiTheme="majorHAnsi" w:hAnsiTheme="majorHAnsi" w:cstheme="majorHAnsi"/>
        </w:rPr>
        <w:t xml:space="preserve"> overarching primary sector.</w:t>
      </w:r>
      <w:r w:rsidRPr="006F159A">
        <w:rPr>
          <w:rFonts w:asciiTheme="majorHAnsi" w:hAnsiTheme="majorHAnsi" w:cstheme="majorHAnsi"/>
          <w:vertAlign w:val="superscript"/>
        </w:rPr>
        <w:footnoteReference w:id="38"/>
      </w:r>
      <w:r w:rsidRPr="006F159A">
        <w:rPr>
          <w:rFonts w:asciiTheme="majorHAnsi" w:hAnsiTheme="majorHAnsi" w:cstheme="majorHAnsi"/>
        </w:rPr>
        <w:t xml:space="preserve"> The analysis employs Expanding Knowledge as a proxy indicator for basic research, in accordance with the Australian Bureau of Statistics definition:</w:t>
      </w:r>
    </w:p>
    <w:p w14:paraId="583F9279" w14:textId="77777777" w:rsidR="006F159A" w:rsidRPr="006F159A" w:rsidRDefault="006F159A" w:rsidP="007057E6">
      <w:pPr>
        <w:spacing w:after="240"/>
        <w:ind w:left="425" w:right="663"/>
        <w:rPr>
          <w:rFonts w:asciiTheme="majorHAnsi" w:hAnsiTheme="majorHAnsi" w:cstheme="majorHAnsi"/>
        </w:rPr>
      </w:pPr>
      <w:r w:rsidRPr="004B69EF">
        <w:rPr>
          <w:rStyle w:val="QuoteChar"/>
        </w:rPr>
        <w:t>Expanding Knowledge is for the categorisation of R&amp;D which does not have an identifiable socio-economic objective. This is usually the case for pure basic research or strategic basic research. [...] Applied research and experimental development, by definition, have an identified socio-economic objective and therefore should not be categorised in this sect</w:t>
      </w:r>
      <w:r w:rsidRPr="006F159A">
        <w:rPr>
          <w:rFonts w:asciiTheme="majorHAnsi" w:eastAsia="SimSun" w:hAnsiTheme="majorHAnsi" w:cstheme="majorHAnsi"/>
          <w:i/>
          <w:iCs/>
          <w:lang w:eastAsia="en-AU"/>
        </w:rPr>
        <w:t>or</w:t>
      </w:r>
      <w:r w:rsidRPr="006F159A">
        <w:rPr>
          <w:rFonts w:asciiTheme="majorHAnsi" w:hAnsiTheme="majorHAnsi" w:cstheme="majorHAnsi"/>
          <w:i/>
        </w:rPr>
        <w:t>.</w:t>
      </w:r>
      <w:r w:rsidRPr="006F159A">
        <w:rPr>
          <w:rFonts w:asciiTheme="majorHAnsi" w:hAnsiTheme="majorHAnsi" w:cstheme="majorHAnsi"/>
          <w:i/>
          <w:vertAlign w:val="superscript"/>
        </w:rPr>
        <w:footnoteReference w:id="39"/>
      </w:r>
      <w:r w:rsidRPr="006F159A">
        <w:rPr>
          <w:rFonts w:asciiTheme="majorHAnsi" w:hAnsiTheme="majorHAnsi" w:cstheme="majorHAnsi"/>
          <w:vertAlign w:val="superscript"/>
        </w:rPr>
        <w:t xml:space="preserve"> </w:t>
      </w:r>
    </w:p>
    <w:p w14:paraId="19E302CD" w14:textId="1B64A0E3" w:rsidR="006F159A" w:rsidRPr="006F159A" w:rsidRDefault="006F159A" w:rsidP="006F159A">
      <w:pPr>
        <w:rPr>
          <w:rFonts w:asciiTheme="majorHAnsi" w:hAnsiTheme="majorHAnsi" w:cstheme="majorHAnsi"/>
          <w:vertAlign w:val="superscript"/>
        </w:rPr>
      </w:pPr>
      <w:r w:rsidRPr="006F159A">
        <w:rPr>
          <w:rFonts w:asciiTheme="majorHAnsi" w:hAnsiTheme="majorHAnsi" w:cstheme="majorHAnsi"/>
        </w:rPr>
        <w:t xml:space="preserve">It is important to note that Discovery Projects applicants frequently assign Expanding Knowledge to proposed research alongside other SEO sectors, </w:t>
      </w:r>
      <w:r w:rsidR="00C84056">
        <w:rPr>
          <w:rFonts w:asciiTheme="majorHAnsi" w:hAnsiTheme="majorHAnsi" w:cstheme="majorHAnsi"/>
        </w:rPr>
        <w:t>reflecting</w:t>
      </w:r>
      <w:r w:rsidR="00406631" w:rsidRPr="006F159A">
        <w:rPr>
          <w:rFonts w:asciiTheme="majorHAnsi" w:hAnsiTheme="majorHAnsi" w:cstheme="majorHAnsi"/>
        </w:rPr>
        <w:t xml:space="preserve"> </w:t>
      </w:r>
      <w:r w:rsidRPr="006F159A">
        <w:rPr>
          <w:rFonts w:asciiTheme="majorHAnsi" w:hAnsiTheme="majorHAnsi" w:cstheme="majorHAnsi"/>
        </w:rPr>
        <w:t xml:space="preserve">that basic and applied research are not mutually exclusive, and </w:t>
      </w:r>
      <w:r w:rsidR="001D10C3">
        <w:rPr>
          <w:rFonts w:asciiTheme="majorHAnsi" w:hAnsiTheme="majorHAnsi" w:cstheme="majorHAnsi"/>
        </w:rPr>
        <w:t xml:space="preserve">indicating </w:t>
      </w:r>
      <w:r w:rsidRPr="006F159A">
        <w:rPr>
          <w:rFonts w:asciiTheme="majorHAnsi" w:hAnsiTheme="majorHAnsi" w:cstheme="majorHAnsi"/>
        </w:rPr>
        <w:t xml:space="preserve">that the scheme supports projects combining elements of both. </w:t>
      </w:r>
    </w:p>
    <w:p w14:paraId="588F2A6B" w14:textId="261816DB" w:rsidR="006F159A" w:rsidRPr="00CF2C1C" w:rsidRDefault="006F159A" w:rsidP="006F159A">
      <w:pPr>
        <w:rPr>
          <w:rFonts w:asciiTheme="majorHAnsi" w:hAnsiTheme="majorHAnsi" w:cstheme="majorHAnsi"/>
          <w:color w:val="000000" w:themeColor="text1"/>
        </w:rPr>
      </w:pPr>
      <w:r w:rsidRPr="006F159A">
        <w:rPr>
          <w:rFonts w:asciiTheme="majorHAnsi" w:hAnsiTheme="majorHAnsi" w:cstheme="majorHAnsi"/>
          <w:color w:val="000000" w:themeColor="text1"/>
        </w:rPr>
        <w:t>The two figures below map the proportion of Discovery Projects applications (</w:t>
      </w:r>
      <w:r w:rsidR="00CF2C1C">
        <w:rPr>
          <w:rFonts w:asciiTheme="majorHAnsi" w:hAnsiTheme="majorHAnsi" w:cstheme="majorHAnsi"/>
          <w:color w:val="000000" w:themeColor="text1"/>
        </w:rPr>
        <w:fldChar w:fldCharType="begin"/>
      </w:r>
      <w:r w:rsidR="00CF2C1C">
        <w:rPr>
          <w:rFonts w:asciiTheme="majorHAnsi" w:hAnsiTheme="majorHAnsi" w:cstheme="majorHAnsi"/>
          <w:color w:val="000000" w:themeColor="text1"/>
        </w:rPr>
        <w:instrText xml:space="preserve"> REF _Ref51569004 \h  \* MERGEFORMAT </w:instrText>
      </w:r>
      <w:r w:rsidR="00CF2C1C">
        <w:rPr>
          <w:rFonts w:asciiTheme="majorHAnsi" w:hAnsiTheme="majorHAnsi" w:cstheme="majorHAnsi"/>
          <w:color w:val="000000" w:themeColor="text1"/>
        </w:rPr>
      </w:r>
      <w:r w:rsidR="00CF2C1C">
        <w:rPr>
          <w:rFonts w:asciiTheme="majorHAnsi" w:hAnsiTheme="majorHAnsi" w:cstheme="majorHAnsi"/>
          <w:color w:val="000000" w:themeColor="text1"/>
        </w:rPr>
        <w:fldChar w:fldCharType="separate"/>
      </w:r>
      <w:r w:rsidR="00AB03D7" w:rsidRPr="00AB03D7">
        <w:rPr>
          <w:rFonts w:asciiTheme="majorHAnsi" w:hAnsiTheme="majorHAnsi" w:cstheme="majorHAnsi"/>
          <w:color w:val="000000" w:themeColor="text1"/>
        </w:rPr>
        <w:t>Figure 18</w:t>
      </w:r>
      <w:r w:rsidR="00CF2C1C">
        <w:rPr>
          <w:rFonts w:asciiTheme="majorHAnsi" w:hAnsiTheme="majorHAnsi" w:cstheme="majorHAnsi"/>
          <w:color w:val="000000" w:themeColor="text1"/>
        </w:rPr>
        <w:fldChar w:fldCharType="end"/>
      </w:r>
      <w:r w:rsidRPr="006F159A">
        <w:rPr>
          <w:rFonts w:asciiTheme="majorHAnsi" w:hAnsiTheme="majorHAnsi" w:cstheme="majorHAnsi"/>
          <w:color w:val="000000" w:themeColor="text1"/>
        </w:rPr>
        <w:t>) and funded projects (</w:t>
      </w:r>
      <w:r w:rsidRPr="006F159A">
        <w:rPr>
          <w:rFonts w:asciiTheme="majorHAnsi" w:hAnsiTheme="majorHAnsi" w:cstheme="majorHAnsi"/>
          <w:color w:val="000000" w:themeColor="text1"/>
        </w:rPr>
        <w:fldChar w:fldCharType="begin"/>
      </w:r>
      <w:r w:rsidRPr="006F159A">
        <w:rPr>
          <w:rFonts w:asciiTheme="majorHAnsi" w:hAnsiTheme="majorHAnsi" w:cstheme="majorHAnsi"/>
          <w:color w:val="000000" w:themeColor="text1"/>
        </w:rPr>
        <w:instrText xml:space="preserve"> REF _Ref49842602 \h  \* MERGEFORMAT </w:instrText>
      </w:r>
      <w:r w:rsidRPr="006F159A">
        <w:rPr>
          <w:rFonts w:asciiTheme="majorHAnsi" w:hAnsiTheme="majorHAnsi" w:cstheme="majorHAnsi"/>
          <w:color w:val="000000" w:themeColor="text1"/>
        </w:rPr>
      </w:r>
      <w:r w:rsidRPr="006F159A">
        <w:rPr>
          <w:rFonts w:asciiTheme="majorHAnsi" w:hAnsiTheme="majorHAnsi" w:cstheme="majorHAnsi"/>
          <w:color w:val="000000" w:themeColor="text1"/>
        </w:rPr>
        <w:fldChar w:fldCharType="separate"/>
      </w:r>
      <w:r w:rsidR="00AB03D7" w:rsidRPr="00AB03D7">
        <w:rPr>
          <w:rFonts w:asciiTheme="majorHAnsi" w:hAnsiTheme="majorHAnsi" w:cstheme="majorHAnsi"/>
          <w:iCs/>
          <w:color w:val="000000" w:themeColor="text1"/>
        </w:rPr>
        <w:t>Figure 19</w:t>
      </w:r>
      <w:r w:rsidRPr="006F159A">
        <w:rPr>
          <w:rFonts w:asciiTheme="majorHAnsi" w:hAnsiTheme="majorHAnsi" w:cstheme="majorHAnsi"/>
          <w:color w:val="000000" w:themeColor="text1"/>
        </w:rPr>
        <w:fldChar w:fldCharType="end"/>
      </w:r>
      <w:r w:rsidRPr="006F159A">
        <w:rPr>
          <w:rFonts w:asciiTheme="majorHAnsi" w:hAnsiTheme="majorHAnsi" w:cstheme="majorHAnsi"/>
          <w:color w:val="000000" w:themeColor="text1"/>
        </w:rPr>
        <w:t>) by primary SEO sector between DP02 and DP20. Between DP04 and DP10, Economic Development, Society and Expanding Knowledge were each the primary SEO sectors for approximately 25–30 per cent of applications and funded projects. From DP11 onwards, the proportion of research identifying Expanding Knowledge as the primary SEO sector substantially increased, exceeding 50 per cent of applications and funded projects in DP19 and DP20.</w:t>
      </w:r>
      <w:r w:rsidR="00983F04">
        <w:rPr>
          <w:rFonts w:asciiTheme="majorHAnsi" w:hAnsiTheme="majorHAnsi" w:cstheme="majorHAnsi"/>
          <w:color w:val="000000" w:themeColor="text1"/>
        </w:rPr>
        <w:t xml:space="preserve"> </w:t>
      </w:r>
      <w:r w:rsidR="00295EEC" w:rsidRPr="00295EEC">
        <w:rPr>
          <w:rFonts w:asciiTheme="majorHAnsi" w:hAnsiTheme="majorHAnsi" w:cstheme="majorHAnsi"/>
          <w:color w:val="000000" w:themeColor="text1"/>
        </w:rPr>
        <w:t xml:space="preserve">Almost two-thirds of funded projects identified Expanding Knowledge as either </w:t>
      </w:r>
      <w:r w:rsidR="00295EEC">
        <w:rPr>
          <w:rFonts w:asciiTheme="majorHAnsi" w:hAnsiTheme="majorHAnsi" w:cstheme="majorHAnsi"/>
          <w:color w:val="000000" w:themeColor="text1"/>
        </w:rPr>
        <w:t>a</w:t>
      </w:r>
      <w:r w:rsidR="00295EEC" w:rsidRPr="00295EEC">
        <w:rPr>
          <w:rFonts w:asciiTheme="majorHAnsi" w:hAnsiTheme="majorHAnsi" w:cstheme="majorHAnsi"/>
          <w:color w:val="000000" w:themeColor="text1"/>
        </w:rPr>
        <w:t xml:space="preserve"> primary or non-primary SEO in DP19 and DP20.</w:t>
      </w:r>
      <w:r w:rsidR="00983F04">
        <w:rPr>
          <w:rFonts w:asciiTheme="majorHAnsi" w:hAnsiTheme="majorHAnsi" w:cstheme="majorHAnsi"/>
          <w:color w:val="000000" w:themeColor="text1"/>
        </w:rPr>
        <w:t xml:space="preserve"> </w:t>
      </w:r>
      <w:r w:rsidR="00295EEC">
        <w:rPr>
          <w:rFonts w:asciiTheme="majorHAnsi" w:hAnsiTheme="majorHAnsi" w:cstheme="majorHAnsi"/>
          <w:color w:val="000000" w:themeColor="text1"/>
        </w:rPr>
        <w:t xml:space="preserve">DP11–DP20 </w:t>
      </w:r>
      <w:r w:rsidRPr="006F159A">
        <w:rPr>
          <w:rFonts w:asciiTheme="majorHAnsi" w:hAnsiTheme="majorHAnsi" w:cstheme="majorHAnsi"/>
          <w:color w:val="000000" w:themeColor="text1"/>
        </w:rPr>
        <w:t>saw a relative decline in the Economic Development and Society</w:t>
      </w:r>
      <w:r w:rsidR="006B3E90">
        <w:rPr>
          <w:rFonts w:asciiTheme="majorHAnsi" w:hAnsiTheme="majorHAnsi" w:cstheme="majorHAnsi"/>
          <w:color w:val="000000" w:themeColor="text1"/>
        </w:rPr>
        <w:t xml:space="preserve"> primary</w:t>
      </w:r>
      <w:r w:rsidRPr="006F159A">
        <w:rPr>
          <w:rFonts w:asciiTheme="majorHAnsi" w:hAnsiTheme="majorHAnsi" w:cstheme="majorHAnsi"/>
          <w:color w:val="000000" w:themeColor="text1"/>
        </w:rPr>
        <w:t xml:space="preserve"> sectors. Projects associated with the Environment sector remained steady at approximately 7–10 per cent of applications and funded projects between DP02 and DP20. Research relating to the Defence sector was uncommon. These results suggest that, over time, an increasing proportion of applications and funded projects under the scheme have included a focus on basic research.</w:t>
      </w:r>
    </w:p>
    <w:p w14:paraId="7D228848" w14:textId="44743DE0" w:rsidR="00CF2C1C" w:rsidRPr="00CF2C1C" w:rsidRDefault="00CF2C1C" w:rsidP="00751469">
      <w:pPr>
        <w:pStyle w:val="FigureTitle"/>
      </w:pPr>
      <w:bookmarkStart w:id="395" w:name="_Ref51569004"/>
      <w:bookmarkStart w:id="396" w:name="_Ref51568999"/>
      <w:r w:rsidRPr="00CF2C1C">
        <w:t xml:space="preserve">Figure </w:t>
      </w:r>
      <w:r w:rsidR="00857467">
        <w:fldChar w:fldCharType="begin"/>
      </w:r>
      <w:r w:rsidR="00857467">
        <w:instrText xml:space="preserve"> </w:instrText>
      </w:r>
      <w:r w:rsidR="00857467">
        <w:instrText xml:space="preserve">SEQ Figure \* ARABIC </w:instrText>
      </w:r>
      <w:r w:rsidR="00857467">
        <w:fldChar w:fldCharType="separate"/>
      </w:r>
      <w:r w:rsidR="00AB03D7">
        <w:rPr>
          <w:noProof/>
        </w:rPr>
        <w:t>18</w:t>
      </w:r>
      <w:r w:rsidR="00857467">
        <w:rPr>
          <w:noProof/>
        </w:rPr>
        <w:fldChar w:fldCharType="end"/>
      </w:r>
      <w:bookmarkEnd w:id="395"/>
      <w:r w:rsidRPr="00CF2C1C">
        <w:t>: Proportion of applications by primary SEO sector, DP02–DP20</w:t>
      </w:r>
      <w:bookmarkEnd w:id="396"/>
    </w:p>
    <w:p w14:paraId="075B307A" w14:textId="4D0B820B" w:rsidR="006F159A" w:rsidRPr="006F159A" w:rsidRDefault="000E5749" w:rsidP="006F159A">
      <w:pPr>
        <w:rPr>
          <w:rFonts w:asciiTheme="majorHAnsi" w:hAnsiTheme="majorHAnsi" w:cstheme="majorHAnsi"/>
          <w:sz w:val="16"/>
          <w:szCs w:val="16"/>
        </w:rPr>
      </w:pPr>
      <w:r>
        <w:rPr>
          <w:rFonts w:asciiTheme="majorHAnsi" w:hAnsiTheme="majorHAnsi" w:cstheme="majorHAnsi"/>
          <w:noProof/>
          <w:sz w:val="16"/>
          <w:szCs w:val="16"/>
        </w:rPr>
        <w:drawing>
          <wp:inline distT="0" distB="0" distL="0" distR="0" wp14:anchorId="675A08E9" wp14:editId="21A824C9">
            <wp:extent cx="5730875" cy="2938780"/>
            <wp:effectExtent l="0" t="0" r="3175" b="0"/>
            <wp:docPr id="66" name="Picture 66" descr="Figure 18 is a graph depicting the proportion of applications under the Discovery Projects scheme associated with a primary Expanding Knowledge sector between DP02 and DP20. See above below the graph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18 is a graph depicting the proportion of applications under the Discovery Projects scheme associated with a primary Expanding Knowledge sector between DP02 and DP20. See above below the graph for further inform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938780"/>
                    </a:xfrm>
                    <a:prstGeom prst="rect">
                      <a:avLst/>
                    </a:prstGeom>
                    <a:noFill/>
                  </pic:spPr>
                </pic:pic>
              </a:graphicData>
            </a:graphic>
          </wp:inline>
        </w:drawing>
      </w:r>
      <w:r w:rsidR="006F159A" w:rsidRPr="006F159A">
        <w:rPr>
          <w:rFonts w:asciiTheme="majorHAnsi" w:hAnsiTheme="majorHAnsi" w:cstheme="majorHAnsi"/>
          <w:sz w:val="16"/>
          <w:szCs w:val="16"/>
        </w:rPr>
        <w:t xml:space="preserve"> </w:t>
      </w:r>
    </w:p>
    <w:p w14:paraId="27A310F6" w14:textId="3B8428C5" w:rsidR="004B69EF" w:rsidRPr="006F159A" w:rsidRDefault="006F159A" w:rsidP="006F159A">
      <w:pPr>
        <w:rPr>
          <w:rFonts w:asciiTheme="majorHAnsi" w:hAnsiTheme="majorHAnsi" w:cstheme="majorHAnsi"/>
          <w:i/>
          <w:sz w:val="16"/>
          <w:szCs w:val="16"/>
        </w:rPr>
      </w:pPr>
      <w:r w:rsidRPr="006F159A">
        <w:rPr>
          <w:rFonts w:asciiTheme="majorHAnsi" w:hAnsiTheme="majorHAnsi" w:cstheme="majorHAnsi"/>
          <w:sz w:val="16"/>
          <w:szCs w:val="16"/>
        </w:rPr>
        <w:t xml:space="preserve">Source: ARC administrative data. </w:t>
      </w:r>
      <w:r w:rsidRPr="006F159A">
        <w:rPr>
          <w:rFonts w:asciiTheme="majorHAnsi" w:hAnsiTheme="majorHAnsi" w:cstheme="majorHAnsi"/>
          <w:i/>
          <w:sz w:val="16"/>
          <w:szCs w:val="16"/>
        </w:rPr>
        <w:t xml:space="preserve">Note: Categories used reflect the 2008 ANZSRC. </w:t>
      </w:r>
      <w:bookmarkStart w:id="397" w:name="_Ref40075714"/>
    </w:p>
    <w:bookmarkEnd w:id="397"/>
    <w:p w14:paraId="7977AE9A" w14:textId="75BBA933" w:rsidR="006F159A" w:rsidRPr="006F159A" w:rsidRDefault="006F159A" w:rsidP="00751469">
      <w:pPr>
        <w:pStyle w:val="FigureTitle"/>
      </w:pPr>
      <w:r w:rsidRPr="006F159A">
        <w:rPr>
          <w:noProof/>
        </w:rPr>
        <w:lastRenderedPageBreak/>
        <w:t xml:space="preserve"> </w:t>
      </w:r>
      <w:bookmarkStart w:id="398" w:name="_Ref49842602"/>
      <w:r w:rsidRPr="006F159A">
        <w:t xml:space="preserve">Figure </w:t>
      </w:r>
      <w:r w:rsidR="00857467">
        <w:fldChar w:fldCharType="begin"/>
      </w:r>
      <w:r w:rsidR="00857467">
        <w:instrText xml:space="preserve"> SEQ Figure \* ARABIC </w:instrText>
      </w:r>
      <w:r w:rsidR="00857467">
        <w:fldChar w:fldCharType="separate"/>
      </w:r>
      <w:r w:rsidR="00AB03D7">
        <w:rPr>
          <w:noProof/>
        </w:rPr>
        <w:t>19</w:t>
      </w:r>
      <w:r w:rsidR="00857467">
        <w:rPr>
          <w:noProof/>
        </w:rPr>
        <w:fldChar w:fldCharType="end"/>
      </w:r>
      <w:bookmarkEnd w:id="398"/>
      <w:r w:rsidRPr="006F159A">
        <w:t>: Proportion of funded projects by primary SEO sector, DP02–DP20</w:t>
      </w:r>
    </w:p>
    <w:p w14:paraId="7F7252FC" w14:textId="16355766" w:rsidR="006F159A" w:rsidRPr="006F159A" w:rsidRDefault="000E5749" w:rsidP="006F159A">
      <w:pPr>
        <w:rPr>
          <w:rFonts w:asciiTheme="majorHAnsi" w:hAnsiTheme="majorHAnsi" w:cstheme="majorHAnsi"/>
        </w:rPr>
      </w:pPr>
      <w:r>
        <w:rPr>
          <w:rFonts w:asciiTheme="majorHAnsi" w:hAnsiTheme="majorHAnsi" w:cstheme="majorHAnsi"/>
          <w:noProof/>
        </w:rPr>
        <w:drawing>
          <wp:inline distT="0" distB="0" distL="0" distR="0" wp14:anchorId="3A3711AC" wp14:editId="12D1F952">
            <wp:extent cx="5730875" cy="3139440"/>
            <wp:effectExtent l="0" t="0" r="3175" b="3810"/>
            <wp:docPr id="67" name="Picture 67" descr="Figure 19 is a graph depicting the proportion of funded projects under the Discovery Projects scheme associated with a primary Expanding Knowledge sector between DP02 and DP20. See above below the graph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19 is a graph depicting the proportion of funded projects under the Discovery Projects scheme associated with a primary Expanding Knowledge sector between DP02 and DP20. See above below the graph for further inform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139440"/>
                    </a:xfrm>
                    <a:prstGeom prst="rect">
                      <a:avLst/>
                    </a:prstGeom>
                    <a:noFill/>
                  </pic:spPr>
                </pic:pic>
              </a:graphicData>
            </a:graphic>
          </wp:inline>
        </w:drawing>
      </w:r>
    </w:p>
    <w:p w14:paraId="5FE6964A" w14:textId="77777777" w:rsidR="006F159A" w:rsidRPr="006F159A" w:rsidRDefault="006F159A" w:rsidP="006F159A">
      <w:pPr>
        <w:rPr>
          <w:rFonts w:asciiTheme="majorHAnsi" w:hAnsiTheme="majorHAnsi" w:cstheme="majorHAnsi"/>
          <w:i/>
          <w:color w:val="000000" w:themeColor="text1"/>
          <w:sz w:val="16"/>
          <w:szCs w:val="16"/>
        </w:rPr>
      </w:pPr>
      <w:r w:rsidRPr="006F159A">
        <w:rPr>
          <w:rFonts w:asciiTheme="majorHAnsi" w:hAnsiTheme="majorHAnsi" w:cstheme="majorHAnsi"/>
          <w:color w:val="000000" w:themeColor="text1"/>
          <w:sz w:val="16"/>
          <w:szCs w:val="16"/>
        </w:rPr>
        <w:t xml:space="preserve">Source: ARC administrative data. </w:t>
      </w:r>
      <w:r w:rsidRPr="006F159A">
        <w:rPr>
          <w:rFonts w:asciiTheme="majorHAnsi" w:hAnsiTheme="majorHAnsi" w:cstheme="majorHAnsi"/>
          <w:i/>
          <w:color w:val="000000" w:themeColor="text1"/>
          <w:sz w:val="16"/>
          <w:szCs w:val="16"/>
        </w:rPr>
        <w:t>Note: Categories used reflect the 2008 ANZSRC.</w:t>
      </w:r>
    </w:p>
    <w:p w14:paraId="2C2081C1" w14:textId="4677F415" w:rsidR="006F159A" w:rsidRPr="006F159A" w:rsidRDefault="00D737B6" w:rsidP="006F159A">
      <w:pPr>
        <w:rPr>
          <w:rFonts w:asciiTheme="majorHAnsi" w:hAnsiTheme="majorHAnsi" w:cstheme="majorHAnsi"/>
        </w:rPr>
      </w:pPr>
      <w:r w:rsidRPr="007057E6">
        <w:rPr>
          <w:rFonts w:asciiTheme="majorHAnsi" w:hAnsiTheme="majorHAnsi" w:cstheme="majorHAnsi"/>
        </w:rPr>
        <w:fldChar w:fldCharType="begin"/>
      </w:r>
      <w:r w:rsidRPr="007057E6">
        <w:rPr>
          <w:rFonts w:asciiTheme="majorHAnsi" w:hAnsiTheme="majorHAnsi" w:cstheme="majorHAnsi"/>
        </w:rPr>
        <w:instrText xml:space="preserve"> REF _Ref52954014 \h </w:instrText>
      </w:r>
      <w:r>
        <w:rPr>
          <w:rFonts w:asciiTheme="majorHAnsi" w:hAnsiTheme="majorHAnsi" w:cstheme="majorHAnsi"/>
        </w:rPr>
        <w:instrText xml:space="preserve"> \* MERGEFORMAT </w:instrText>
      </w:r>
      <w:r w:rsidRPr="007057E6">
        <w:rPr>
          <w:rFonts w:asciiTheme="majorHAnsi" w:hAnsiTheme="majorHAnsi" w:cstheme="majorHAnsi"/>
        </w:rPr>
      </w:r>
      <w:r w:rsidRPr="007057E6">
        <w:rPr>
          <w:rFonts w:asciiTheme="majorHAnsi" w:hAnsiTheme="majorHAnsi" w:cstheme="majorHAnsi"/>
        </w:rPr>
        <w:fldChar w:fldCharType="separate"/>
      </w:r>
      <w:r w:rsidR="00AB03D7" w:rsidRPr="00AB03D7">
        <w:rPr>
          <w:rFonts w:asciiTheme="majorHAnsi" w:hAnsiTheme="majorHAnsi" w:cstheme="majorHAnsi"/>
        </w:rPr>
        <w:t>Figure 20</w:t>
      </w:r>
      <w:r w:rsidRPr="007057E6">
        <w:rPr>
          <w:rFonts w:asciiTheme="majorHAnsi" w:hAnsiTheme="majorHAnsi" w:cstheme="majorHAnsi"/>
        </w:rPr>
        <w:fldChar w:fldCharType="end"/>
      </w:r>
      <w:r w:rsidRPr="007057E6">
        <w:rPr>
          <w:rFonts w:asciiTheme="majorHAnsi" w:hAnsiTheme="majorHAnsi" w:cstheme="majorHAnsi"/>
        </w:rPr>
        <w:t xml:space="preserve"> </w:t>
      </w:r>
      <w:r w:rsidR="006F159A" w:rsidRPr="006F159A">
        <w:rPr>
          <w:rFonts w:asciiTheme="majorHAnsi" w:hAnsiTheme="majorHAnsi" w:cstheme="majorHAnsi"/>
        </w:rPr>
        <w:t>compares</w:t>
      </w:r>
      <w:r w:rsidR="008500F3">
        <w:rPr>
          <w:rFonts w:asciiTheme="majorHAnsi" w:hAnsiTheme="majorHAnsi" w:cstheme="majorHAnsi"/>
        </w:rPr>
        <w:t xml:space="preserve"> success and return rate</w:t>
      </w:r>
      <w:r w:rsidR="00D57059">
        <w:rPr>
          <w:rFonts w:asciiTheme="majorHAnsi" w:hAnsiTheme="majorHAnsi" w:cstheme="majorHAnsi"/>
        </w:rPr>
        <w:t xml:space="preserve"> results</w:t>
      </w:r>
      <w:r w:rsidR="008500F3">
        <w:rPr>
          <w:rFonts w:asciiTheme="majorHAnsi" w:hAnsiTheme="majorHAnsi" w:cstheme="majorHAnsi"/>
        </w:rPr>
        <w:t xml:space="preserve"> for</w:t>
      </w:r>
      <w:r w:rsidR="002E7E59">
        <w:rPr>
          <w:rFonts w:asciiTheme="majorHAnsi" w:hAnsiTheme="majorHAnsi" w:cstheme="majorHAnsi"/>
        </w:rPr>
        <w:t xml:space="preserve"> projects with a primary Expanding Knowledge sector, </w:t>
      </w:r>
      <w:r w:rsidR="00D57059">
        <w:rPr>
          <w:rFonts w:asciiTheme="majorHAnsi" w:hAnsiTheme="majorHAnsi" w:cstheme="majorHAnsi"/>
        </w:rPr>
        <w:t>and</w:t>
      </w:r>
      <w:r w:rsidR="002E7E59">
        <w:rPr>
          <w:rFonts w:asciiTheme="majorHAnsi" w:hAnsiTheme="majorHAnsi" w:cstheme="majorHAnsi"/>
        </w:rPr>
        <w:t xml:space="preserve"> projects </w:t>
      </w:r>
      <w:r w:rsidR="00D57059">
        <w:rPr>
          <w:rFonts w:asciiTheme="majorHAnsi" w:hAnsiTheme="majorHAnsi" w:cstheme="majorHAnsi"/>
        </w:rPr>
        <w:t>with any alternative primary SEO sector, to</w:t>
      </w:r>
      <w:r w:rsidR="00710A6C">
        <w:rPr>
          <w:rFonts w:asciiTheme="majorHAnsi" w:hAnsiTheme="majorHAnsi" w:cstheme="majorHAnsi"/>
        </w:rPr>
        <w:t xml:space="preserve"> examine </w:t>
      </w:r>
      <w:r w:rsidR="00D57059">
        <w:rPr>
          <w:rFonts w:asciiTheme="majorHAnsi" w:hAnsiTheme="majorHAnsi" w:cstheme="majorHAnsi"/>
        </w:rPr>
        <w:t>selection results associated with basic and applied research</w:t>
      </w:r>
      <w:r w:rsidR="00397F53">
        <w:rPr>
          <w:rFonts w:asciiTheme="majorHAnsi" w:hAnsiTheme="majorHAnsi" w:cstheme="majorHAnsi"/>
        </w:rPr>
        <w:t xml:space="preserve"> submitted under the Discovery Projects scheme</w:t>
      </w:r>
      <w:r w:rsidR="00665E34">
        <w:rPr>
          <w:rFonts w:asciiTheme="majorHAnsi" w:hAnsiTheme="majorHAnsi" w:cstheme="majorHAnsi"/>
        </w:rPr>
        <w:t>.</w:t>
      </w:r>
      <w:r w:rsidR="00553FB6">
        <w:rPr>
          <w:rFonts w:asciiTheme="majorHAnsi" w:hAnsiTheme="majorHAnsi" w:cstheme="majorHAnsi"/>
        </w:rPr>
        <w:t xml:space="preserve"> </w:t>
      </w:r>
      <w:r w:rsidR="006F159A" w:rsidRPr="006F159A">
        <w:rPr>
          <w:rFonts w:asciiTheme="majorHAnsi" w:hAnsiTheme="majorHAnsi" w:cstheme="majorHAnsi"/>
        </w:rPr>
        <w:t xml:space="preserve">The total success rate for </w:t>
      </w:r>
      <w:r w:rsidR="00553FB6">
        <w:rPr>
          <w:rFonts w:asciiTheme="majorHAnsi" w:hAnsiTheme="majorHAnsi" w:cstheme="majorHAnsi"/>
        </w:rPr>
        <w:t xml:space="preserve">basic research </w:t>
      </w:r>
      <w:r w:rsidR="006F159A" w:rsidRPr="006F159A">
        <w:rPr>
          <w:rFonts w:asciiTheme="majorHAnsi" w:hAnsiTheme="majorHAnsi" w:cstheme="majorHAnsi"/>
        </w:rPr>
        <w:t xml:space="preserve">(25.0 per cent) was higher than </w:t>
      </w:r>
      <w:r w:rsidR="00553FB6">
        <w:rPr>
          <w:rFonts w:asciiTheme="majorHAnsi" w:hAnsiTheme="majorHAnsi" w:cstheme="majorHAnsi"/>
        </w:rPr>
        <w:t>the</w:t>
      </w:r>
      <w:r w:rsidR="006F159A" w:rsidRPr="006F159A">
        <w:rPr>
          <w:rFonts w:asciiTheme="majorHAnsi" w:hAnsiTheme="majorHAnsi" w:cstheme="majorHAnsi"/>
        </w:rPr>
        <w:t xml:space="preserve"> success rate</w:t>
      </w:r>
      <w:r w:rsidR="00553FB6">
        <w:rPr>
          <w:rFonts w:asciiTheme="majorHAnsi" w:hAnsiTheme="majorHAnsi" w:cstheme="majorHAnsi"/>
        </w:rPr>
        <w:t xml:space="preserve"> for applied research</w:t>
      </w:r>
      <w:r w:rsidR="006F159A" w:rsidRPr="006F159A">
        <w:rPr>
          <w:rFonts w:asciiTheme="majorHAnsi" w:hAnsiTheme="majorHAnsi" w:cstheme="majorHAnsi"/>
        </w:rPr>
        <w:t xml:space="preserve"> (2</w:t>
      </w:r>
      <w:r w:rsidR="007D54ED">
        <w:rPr>
          <w:rFonts w:asciiTheme="majorHAnsi" w:hAnsiTheme="majorHAnsi" w:cstheme="majorHAnsi"/>
        </w:rPr>
        <w:t>0.3</w:t>
      </w:r>
      <w:r w:rsidR="006F159A" w:rsidRPr="006F159A">
        <w:rPr>
          <w:rFonts w:asciiTheme="majorHAnsi" w:hAnsiTheme="majorHAnsi" w:cstheme="majorHAnsi"/>
        </w:rPr>
        <w:t> per cent) between DP02 and DP20. Over this same time period, the</w:t>
      </w:r>
      <w:r w:rsidR="003978ED">
        <w:rPr>
          <w:rFonts w:asciiTheme="majorHAnsi" w:hAnsiTheme="majorHAnsi" w:cstheme="majorHAnsi"/>
        </w:rPr>
        <w:t xml:space="preserve"> total</w:t>
      </w:r>
      <w:r w:rsidR="006F159A" w:rsidRPr="006F159A">
        <w:rPr>
          <w:rFonts w:asciiTheme="majorHAnsi" w:hAnsiTheme="majorHAnsi" w:cstheme="majorHAnsi"/>
        </w:rPr>
        <w:t xml:space="preserve"> return rate for </w:t>
      </w:r>
      <w:r w:rsidR="007D54ED">
        <w:rPr>
          <w:rFonts w:asciiTheme="majorHAnsi" w:hAnsiTheme="majorHAnsi" w:cstheme="majorHAnsi"/>
        </w:rPr>
        <w:t>basic</w:t>
      </w:r>
      <w:r w:rsidR="00011B93">
        <w:rPr>
          <w:rFonts w:asciiTheme="majorHAnsi" w:hAnsiTheme="majorHAnsi" w:cstheme="majorHAnsi"/>
        </w:rPr>
        <w:t xml:space="preserve"> research closely paralleled results for </w:t>
      </w:r>
      <w:r w:rsidR="007D54ED">
        <w:rPr>
          <w:rFonts w:asciiTheme="majorHAnsi" w:hAnsiTheme="majorHAnsi" w:cstheme="majorHAnsi"/>
        </w:rPr>
        <w:t>applied research</w:t>
      </w:r>
      <w:r w:rsidR="006F159A" w:rsidRPr="006F159A">
        <w:rPr>
          <w:rFonts w:asciiTheme="majorHAnsi" w:hAnsiTheme="majorHAnsi" w:cstheme="majorHAnsi"/>
        </w:rPr>
        <w:t xml:space="preserve"> projects, with total return rates of 60.2 per cent and </w:t>
      </w:r>
      <w:r w:rsidR="00AC3276">
        <w:rPr>
          <w:rFonts w:asciiTheme="majorHAnsi" w:hAnsiTheme="majorHAnsi" w:cstheme="majorHAnsi"/>
        </w:rPr>
        <w:t xml:space="preserve">59.9 </w:t>
      </w:r>
      <w:r w:rsidR="006F159A" w:rsidRPr="006F159A">
        <w:rPr>
          <w:rFonts w:asciiTheme="majorHAnsi" w:hAnsiTheme="majorHAnsi" w:cstheme="majorHAnsi"/>
        </w:rPr>
        <w:t xml:space="preserve">per cent respectively. </w:t>
      </w:r>
    </w:p>
    <w:p w14:paraId="6A1240A2" w14:textId="79876E1A" w:rsidR="00D737B6" w:rsidRPr="007057E6" w:rsidRDefault="00D737B6" w:rsidP="00751469">
      <w:pPr>
        <w:pStyle w:val="FigureTitle"/>
      </w:pPr>
      <w:bookmarkStart w:id="399" w:name="_Ref52954014"/>
      <w:r w:rsidRPr="007057E6">
        <w:t xml:space="preserve">Figure </w:t>
      </w:r>
      <w:r w:rsidR="00857467">
        <w:fldChar w:fldCharType="begin"/>
      </w:r>
      <w:r w:rsidR="00857467">
        <w:instrText xml:space="preserve"> SEQ Figure \* ARABIC </w:instrText>
      </w:r>
      <w:r w:rsidR="00857467">
        <w:fldChar w:fldCharType="separate"/>
      </w:r>
      <w:r w:rsidR="00AB03D7">
        <w:rPr>
          <w:noProof/>
        </w:rPr>
        <w:t>20</w:t>
      </w:r>
      <w:r w:rsidR="00857467">
        <w:rPr>
          <w:noProof/>
        </w:rPr>
        <w:fldChar w:fldCharType="end"/>
      </w:r>
      <w:bookmarkEnd w:id="399"/>
      <w:r w:rsidRPr="007057E6">
        <w:t xml:space="preserve">: Success/return rates for </w:t>
      </w:r>
      <w:r w:rsidR="003978ED">
        <w:t>basic and applied research</w:t>
      </w:r>
      <w:r w:rsidRPr="007057E6">
        <w:t>, DP02–DP20</w:t>
      </w:r>
    </w:p>
    <w:p w14:paraId="0FEE215C" w14:textId="13C21D76" w:rsidR="006F159A" w:rsidRPr="006F159A" w:rsidRDefault="000E5749" w:rsidP="006F159A">
      <w:pPr>
        <w:rPr>
          <w:rFonts w:asciiTheme="majorHAnsi" w:hAnsiTheme="majorHAnsi" w:cstheme="majorHAnsi"/>
        </w:rPr>
      </w:pPr>
      <w:r>
        <w:rPr>
          <w:rFonts w:asciiTheme="majorHAnsi" w:hAnsiTheme="majorHAnsi" w:cstheme="majorHAnsi"/>
          <w:noProof/>
        </w:rPr>
        <w:drawing>
          <wp:inline distT="0" distB="0" distL="0" distR="0" wp14:anchorId="0D1D9ACD" wp14:editId="06C11FA2">
            <wp:extent cx="5712460" cy="2316480"/>
            <wp:effectExtent l="0" t="0" r="2540" b="7620"/>
            <wp:docPr id="68" name="Picture 68" descr="Figure 20 is a graph depicting success and return rate results for basic and applied research projects submitted under Discovery Projects between DP02 and DP20. See above the graph for further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20 is a graph depicting success and return rate results for basic and applied research projects submitted under Discovery Projects between DP02 and DP20. See above the graph for further informat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60" cy="2316480"/>
                    </a:xfrm>
                    <a:prstGeom prst="rect">
                      <a:avLst/>
                    </a:prstGeom>
                    <a:noFill/>
                  </pic:spPr>
                </pic:pic>
              </a:graphicData>
            </a:graphic>
          </wp:inline>
        </w:drawing>
      </w:r>
    </w:p>
    <w:p w14:paraId="3D8280CB" w14:textId="28CE9908" w:rsidR="006F159A" w:rsidRPr="006F159A" w:rsidRDefault="006F159A" w:rsidP="006F159A">
      <w:pPr>
        <w:rPr>
          <w:rFonts w:asciiTheme="majorHAnsi" w:hAnsiTheme="majorHAnsi" w:cstheme="majorHAnsi"/>
          <w:sz w:val="16"/>
          <w:szCs w:val="16"/>
        </w:rPr>
      </w:pPr>
      <w:r w:rsidRPr="006F159A">
        <w:rPr>
          <w:rFonts w:asciiTheme="majorHAnsi" w:hAnsiTheme="majorHAnsi" w:cstheme="majorHAnsi"/>
          <w:sz w:val="16"/>
          <w:szCs w:val="16"/>
        </w:rPr>
        <w:t xml:space="preserve">Source: ARC administrative data. </w:t>
      </w:r>
      <w:r w:rsidRPr="006F159A">
        <w:rPr>
          <w:rFonts w:asciiTheme="majorHAnsi" w:hAnsiTheme="majorHAnsi" w:cstheme="majorHAnsi"/>
          <w:i/>
          <w:sz w:val="16"/>
          <w:szCs w:val="16"/>
        </w:rPr>
        <w:t>Note: Categories used reflect the 2008 ANZSRC.</w:t>
      </w:r>
      <w:r w:rsidR="000D16E3">
        <w:rPr>
          <w:rFonts w:asciiTheme="majorHAnsi" w:hAnsiTheme="majorHAnsi" w:cstheme="majorHAnsi"/>
          <w:i/>
          <w:sz w:val="16"/>
          <w:szCs w:val="16"/>
        </w:rPr>
        <w:t xml:space="preserve"> </w:t>
      </w:r>
      <w:r w:rsidR="00F80FDE">
        <w:rPr>
          <w:rFonts w:asciiTheme="majorHAnsi" w:hAnsiTheme="majorHAnsi" w:cstheme="majorHAnsi"/>
          <w:i/>
          <w:sz w:val="16"/>
          <w:szCs w:val="16"/>
        </w:rPr>
        <w:t xml:space="preserve">‘Basic research’ includes projects with a primary Expanding Knowledge SEO sector; ‘Applied research’ includes projects with a primary </w:t>
      </w:r>
      <w:r w:rsidR="00417FC0">
        <w:rPr>
          <w:rFonts w:asciiTheme="majorHAnsi" w:hAnsiTheme="majorHAnsi" w:cstheme="majorHAnsi"/>
          <w:i/>
          <w:sz w:val="16"/>
          <w:szCs w:val="16"/>
        </w:rPr>
        <w:t>Defence, Economic Development, Society or Environment</w:t>
      </w:r>
      <w:r w:rsidR="003978ED">
        <w:rPr>
          <w:rFonts w:asciiTheme="majorHAnsi" w:hAnsiTheme="majorHAnsi" w:cstheme="majorHAnsi"/>
          <w:i/>
          <w:sz w:val="16"/>
          <w:szCs w:val="16"/>
        </w:rPr>
        <w:t xml:space="preserve"> SEO</w:t>
      </w:r>
      <w:r w:rsidR="00417FC0">
        <w:rPr>
          <w:rFonts w:asciiTheme="majorHAnsi" w:hAnsiTheme="majorHAnsi" w:cstheme="majorHAnsi"/>
          <w:i/>
          <w:sz w:val="16"/>
          <w:szCs w:val="16"/>
        </w:rPr>
        <w:t xml:space="preserve"> sector. </w:t>
      </w:r>
    </w:p>
    <w:p w14:paraId="5293B254" w14:textId="689210E9" w:rsidR="006F159A" w:rsidRPr="006F159A" w:rsidRDefault="006F159A" w:rsidP="009B0801">
      <w:pPr>
        <w:rPr>
          <w:rFonts w:asciiTheme="majorHAnsi" w:hAnsiTheme="majorHAnsi" w:cstheme="majorHAnsi"/>
        </w:rPr>
      </w:pPr>
      <w:r w:rsidRPr="006F159A">
        <w:rPr>
          <w:rFonts w:asciiTheme="majorHAnsi" w:hAnsiTheme="majorHAnsi" w:cstheme="majorHAnsi"/>
        </w:rPr>
        <w:t xml:space="preserve">These findings suggest that, in accordance with its objectives, Discovery Projects effectively supports a balance of basic and applied research, with the proportion of basic research (identified as projects with a primary Expanding Knowledge SEO </w:t>
      </w:r>
      <w:r w:rsidR="00302CE2">
        <w:rPr>
          <w:rFonts w:asciiTheme="majorHAnsi" w:hAnsiTheme="majorHAnsi" w:cstheme="majorHAnsi"/>
        </w:rPr>
        <w:t>sector</w:t>
      </w:r>
      <w:r w:rsidRPr="006F159A">
        <w:rPr>
          <w:rFonts w:asciiTheme="majorHAnsi" w:hAnsiTheme="majorHAnsi" w:cstheme="majorHAnsi"/>
        </w:rPr>
        <w:t xml:space="preserve">) increasing over time. Consistent with researcher </w:t>
      </w:r>
      <w:r w:rsidRPr="006F159A">
        <w:rPr>
          <w:rFonts w:asciiTheme="majorHAnsi" w:hAnsiTheme="majorHAnsi" w:cstheme="majorHAnsi"/>
        </w:rPr>
        <w:lastRenderedPageBreak/>
        <w:t xml:space="preserve">perceptions that the scheme supports basic research more effectively than applied research, applications associated with Expanding Knowledge have also had marginally higher success rates than </w:t>
      </w:r>
      <w:r w:rsidR="00F24078">
        <w:rPr>
          <w:rFonts w:asciiTheme="majorHAnsi" w:hAnsiTheme="majorHAnsi" w:cstheme="majorHAnsi"/>
        </w:rPr>
        <w:t>research with other primary SEO sectors</w:t>
      </w:r>
      <w:r w:rsidRPr="006F159A">
        <w:rPr>
          <w:rFonts w:asciiTheme="majorHAnsi" w:hAnsiTheme="majorHAnsi" w:cstheme="majorHAnsi"/>
        </w:rPr>
        <w:t>. The appropriateness of the scheme’s operation in these ways is discussed in Part 5.</w:t>
      </w:r>
    </w:p>
    <w:p w14:paraId="072D1E68" w14:textId="34DD0EF9" w:rsidR="006F159A" w:rsidRPr="006F159A" w:rsidRDefault="006F159A" w:rsidP="0068635B">
      <w:pPr>
        <w:pStyle w:val="Heading3"/>
      </w:pPr>
      <w:bookmarkStart w:id="400" w:name="_ARC_data—individuals_and"/>
      <w:bookmarkStart w:id="401" w:name="_Toc50533606"/>
      <w:bookmarkStart w:id="402" w:name="_Toc50553756"/>
      <w:bookmarkStart w:id="403" w:name="_Toc50554991"/>
      <w:bookmarkStart w:id="404" w:name="_Toc50618125"/>
      <w:bookmarkStart w:id="405" w:name="_Toc50618406"/>
      <w:bookmarkStart w:id="406" w:name="_Toc51917000"/>
      <w:bookmarkStart w:id="407" w:name="_Toc51918840"/>
      <w:bookmarkStart w:id="408" w:name="_Ref53148909"/>
      <w:bookmarkStart w:id="409" w:name="_Toc53557229"/>
      <w:bookmarkStart w:id="410" w:name="_Toc54699271"/>
      <w:bookmarkStart w:id="411" w:name="_Toc55544805"/>
      <w:bookmarkEnd w:id="400"/>
      <w:r w:rsidRPr="006F159A">
        <w:t>ARC data—individuals and teams</w:t>
      </w:r>
      <w:bookmarkEnd w:id="401"/>
      <w:bookmarkEnd w:id="402"/>
      <w:bookmarkEnd w:id="403"/>
      <w:bookmarkEnd w:id="404"/>
      <w:bookmarkEnd w:id="405"/>
      <w:bookmarkEnd w:id="406"/>
      <w:bookmarkEnd w:id="407"/>
      <w:bookmarkEnd w:id="408"/>
      <w:bookmarkEnd w:id="409"/>
      <w:bookmarkEnd w:id="410"/>
      <w:bookmarkEnd w:id="411"/>
    </w:p>
    <w:p w14:paraId="68F41FBF" w14:textId="77777777" w:rsidR="006F159A" w:rsidRPr="006F159A" w:rsidRDefault="006F159A" w:rsidP="0068635B">
      <w:pPr>
        <w:pStyle w:val="Heading4"/>
      </w:pPr>
      <w:r w:rsidRPr="006F159A">
        <w:t>Named researchers</w:t>
      </w:r>
    </w:p>
    <w:p w14:paraId="7872C36A" w14:textId="359B1C92" w:rsidR="006F159A" w:rsidRPr="006F159A" w:rsidRDefault="006F159A" w:rsidP="006F159A">
      <w:pPr>
        <w:rPr>
          <w:rFonts w:asciiTheme="majorHAnsi" w:hAnsiTheme="majorHAnsi" w:cstheme="majorHAnsi"/>
          <w:lang w:eastAsia="en-AU"/>
        </w:rPr>
      </w:pPr>
      <w:r w:rsidRPr="006F159A">
        <w:rPr>
          <w:rFonts w:asciiTheme="majorHAnsi" w:hAnsiTheme="majorHAnsi" w:cstheme="majorHAnsi"/>
          <w:lang w:eastAsia="en-AU"/>
        </w:rPr>
        <w:t>Between DP02 and DP11, the number of named researchers (including Chief Investigators, Partner Investigators</w:t>
      </w:r>
      <w:r w:rsidR="00E76A67">
        <w:rPr>
          <w:rFonts w:asciiTheme="majorHAnsi" w:hAnsiTheme="majorHAnsi" w:cstheme="majorHAnsi"/>
          <w:lang w:eastAsia="en-AU"/>
        </w:rPr>
        <w:t>, and award</w:t>
      </w:r>
      <w:r w:rsidRPr="006F159A">
        <w:rPr>
          <w:rFonts w:asciiTheme="majorHAnsi" w:hAnsiTheme="majorHAnsi" w:cstheme="majorHAnsi"/>
          <w:lang w:eastAsia="en-AU"/>
        </w:rPr>
        <w:t xml:space="preserve"> and fellowship recipients) on Discovery Projects applications grew steadily from 5951 to 10,106</w:t>
      </w:r>
      <w:r w:rsidR="009E70C7">
        <w:rPr>
          <w:rFonts w:asciiTheme="majorHAnsi" w:hAnsiTheme="majorHAnsi" w:cstheme="majorHAnsi"/>
          <w:lang w:eastAsia="en-AU"/>
        </w:rPr>
        <w:t xml:space="preserve">, as </w:t>
      </w:r>
      <w:r w:rsidR="009E70C7" w:rsidRPr="00832AAE">
        <w:rPr>
          <w:rFonts w:asciiTheme="majorHAnsi" w:hAnsiTheme="majorHAnsi" w:cstheme="majorHAnsi"/>
          <w:lang w:eastAsia="en-AU"/>
        </w:rPr>
        <w:t xml:space="preserve">shown </w:t>
      </w:r>
      <w:r w:rsidR="009E70C7" w:rsidRPr="0097188B">
        <w:rPr>
          <w:rFonts w:asciiTheme="majorHAnsi" w:hAnsiTheme="majorHAnsi" w:cstheme="majorHAnsi"/>
          <w:lang w:eastAsia="en-AU"/>
        </w:rPr>
        <w:t>in</w:t>
      </w:r>
      <w:r w:rsidR="00E942F8" w:rsidRPr="00E942F8">
        <w:rPr>
          <w:rFonts w:asciiTheme="majorHAnsi" w:hAnsiTheme="majorHAnsi" w:cstheme="majorHAnsi"/>
          <w:lang w:eastAsia="en-AU"/>
        </w:rPr>
        <w:t xml:space="preserve"> </w:t>
      </w:r>
      <w:r w:rsidR="00E942F8" w:rsidRPr="0097188B">
        <w:rPr>
          <w:rFonts w:asciiTheme="majorHAnsi" w:hAnsiTheme="majorHAnsi" w:cstheme="majorHAnsi"/>
          <w:lang w:eastAsia="en-AU"/>
        </w:rPr>
        <w:fldChar w:fldCharType="begin"/>
      </w:r>
      <w:r w:rsidR="00E942F8" w:rsidRPr="00E942F8">
        <w:rPr>
          <w:rFonts w:asciiTheme="majorHAnsi" w:hAnsiTheme="majorHAnsi" w:cstheme="majorHAnsi"/>
          <w:lang w:eastAsia="en-AU"/>
        </w:rPr>
        <w:instrText xml:space="preserve"> REF _Ref51921486 \h </w:instrText>
      </w:r>
      <w:r w:rsidR="00E942F8" w:rsidRPr="007057E6">
        <w:rPr>
          <w:rFonts w:asciiTheme="majorHAnsi" w:hAnsiTheme="majorHAnsi" w:cstheme="majorHAnsi"/>
          <w:lang w:eastAsia="en-AU"/>
        </w:rPr>
        <w:instrText xml:space="preserve"> \* MERGEFORMAT </w:instrText>
      </w:r>
      <w:r w:rsidR="00E942F8" w:rsidRPr="0097188B">
        <w:rPr>
          <w:rFonts w:asciiTheme="majorHAnsi" w:hAnsiTheme="majorHAnsi" w:cstheme="majorHAnsi"/>
          <w:lang w:eastAsia="en-AU"/>
        </w:rPr>
      </w:r>
      <w:r w:rsidR="00E942F8" w:rsidRPr="0097188B">
        <w:rPr>
          <w:rFonts w:asciiTheme="majorHAnsi" w:hAnsiTheme="majorHAnsi" w:cstheme="majorHAnsi"/>
          <w:lang w:eastAsia="en-AU"/>
        </w:rPr>
        <w:fldChar w:fldCharType="separate"/>
      </w:r>
      <w:r w:rsidR="00AB03D7" w:rsidRPr="00AB03D7">
        <w:rPr>
          <w:rFonts w:asciiTheme="majorHAnsi" w:hAnsiTheme="majorHAnsi" w:cstheme="majorHAnsi"/>
          <w:iCs/>
          <w:color w:val="000000" w:themeColor="text1"/>
        </w:rPr>
        <w:t xml:space="preserve">Figure </w:t>
      </w:r>
      <w:r w:rsidR="00AB03D7" w:rsidRPr="00AB03D7">
        <w:rPr>
          <w:rFonts w:asciiTheme="majorHAnsi" w:hAnsiTheme="majorHAnsi" w:cstheme="majorHAnsi"/>
          <w:iCs/>
          <w:noProof/>
          <w:color w:val="000000" w:themeColor="text1"/>
        </w:rPr>
        <w:t>21</w:t>
      </w:r>
      <w:r w:rsidR="00E942F8" w:rsidRPr="0097188B">
        <w:rPr>
          <w:rFonts w:asciiTheme="majorHAnsi" w:hAnsiTheme="majorHAnsi" w:cstheme="majorHAnsi"/>
          <w:lang w:eastAsia="en-AU"/>
        </w:rPr>
        <w:fldChar w:fldCharType="end"/>
      </w:r>
      <w:r w:rsidRPr="00832AAE">
        <w:rPr>
          <w:rFonts w:asciiTheme="majorHAnsi" w:hAnsiTheme="majorHAnsi" w:cstheme="majorHAnsi"/>
          <w:lang w:eastAsia="en-AU"/>
        </w:rPr>
        <w:t>.</w:t>
      </w:r>
      <w:r w:rsidRPr="00832AAE">
        <w:rPr>
          <w:rFonts w:asciiTheme="majorHAnsi" w:hAnsiTheme="majorHAnsi" w:cstheme="majorHAnsi"/>
          <w:vertAlign w:val="superscript"/>
          <w:lang w:eastAsia="en-AU"/>
        </w:rPr>
        <w:footnoteReference w:id="40"/>
      </w:r>
      <w:r w:rsidRPr="00832AAE">
        <w:rPr>
          <w:rFonts w:asciiTheme="majorHAnsi" w:hAnsiTheme="majorHAnsi" w:cstheme="majorHAnsi"/>
          <w:lang w:eastAsia="en-AU"/>
        </w:rPr>
        <w:t xml:space="preserve"> After</w:t>
      </w:r>
      <w:r w:rsidRPr="006F159A">
        <w:rPr>
          <w:rFonts w:asciiTheme="majorHAnsi" w:hAnsiTheme="majorHAnsi" w:cstheme="majorHAnsi"/>
          <w:lang w:eastAsia="en-AU"/>
        </w:rPr>
        <w:t xml:space="preserve"> briefly declining in DP12–DP13 (following the introduction of DECRA), the growth in named researcher participation on applications resumed, peaking in DP17 at 11,108. Over the past three announced funding rounds, however, this figure </w:t>
      </w:r>
      <w:r w:rsidR="00D706FC">
        <w:rPr>
          <w:rFonts w:asciiTheme="majorHAnsi" w:hAnsiTheme="majorHAnsi" w:cstheme="majorHAnsi"/>
          <w:lang w:eastAsia="en-AU"/>
        </w:rPr>
        <w:t>fell</w:t>
      </w:r>
      <w:r w:rsidRPr="006F159A">
        <w:rPr>
          <w:rFonts w:asciiTheme="majorHAnsi" w:hAnsiTheme="majorHAnsi" w:cstheme="majorHAnsi"/>
          <w:lang w:eastAsia="en-AU"/>
        </w:rPr>
        <w:t xml:space="preserve"> noticeably, reaching 9091 in DP20—the lowest number of named researchers on applications since DP07. This decline is likely to reflect the falling number of applications submitted in DP18–DP20. The number of named researchers on funded projects remained relatively static for most of the scheme’s history, hovering at close to 2000, albeit with a lower figure in DP02 (1644), spikes in DP05 (2314), DP10 (2357) and DP11 (2447)</w:t>
      </w:r>
      <w:r w:rsidR="00664ABD">
        <w:rPr>
          <w:rFonts w:asciiTheme="majorHAnsi" w:hAnsiTheme="majorHAnsi" w:cstheme="majorHAnsi"/>
          <w:lang w:eastAsia="en-AU"/>
        </w:rPr>
        <w:t xml:space="preserve">, and values above </w:t>
      </w:r>
      <w:r w:rsidR="00C01EEA">
        <w:rPr>
          <w:rFonts w:asciiTheme="majorHAnsi" w:hAnsiTheme="majorHAnsi" w:cstheme="majorHAnsi"/>
          <w:lang w:eastAsia="en-AU"/>
        </w:rPr>
        <w:t xml:space="preserve">2000 in </w:t>
      </w:r>
      <w:r w:rsidR="005B4AA3">
        <w:rPr>
          <w:rFonts w:asciiTheme="majorHAnsi" w:hAnsiTheme="majorHAnsi" w:cstheme="majorHAnsi"/>
          <w:lang w:eastAsia="en-AU"/>
        </w:rPr>
        <w:t xml:space="preserve">the two most recent rounds (2098 in </w:t>
      </w:r>
      <w:r w:rsidR="00C01EEA">
        <w:rPr>
          <w:rFonts w:asciiTheme="majorHAnsi" w:hAnsiTheme="majorHAnsi" w:cstheme="majorHAnsi"/>
          <w:lang w:eastAsia="en-AU"/>
        </w:rPr>
        <w:t xml:space="preserve">DP19 </w:t>
      </w:r>
      <w:r w:rsidR="005B4AA3">
        <w:rPr>
          <w:rFonts w:asciiTheme="majorHAnsi" w:hAnsiTheme="majorHAnsi" w:cstheme="majorHAnsi"/>
          <w:lang w:eastAsia="en-AU"/>
        </w:rPr>
        <w:t xml:space="preserve">and 2103 in </w:t>
      </w:r>
      <w:r w:rsidR="00C01EEA">
        <w:rPr>
          <w:rFonts w:asciiTheme="majorHAnsi" w:hAnsiTheme="majorHAnsi" w:cstheme="majorHAnsi"/>
          <w:lang w:eastAsia="en-AU"/>
        </w:rPr>
        <w:t>DP20</w:t>
      </w:r>
      <w:r w:rsidR="00A35A62">
        <w:rPr>
          <w:rFonts w:asciiTheme="majorHAnsi" w:hAnsiTheme="majorHAnsi" w:cstheme="majorHAnsi"/>
          <w:lang w:eastAsia="en-AU"/>
        </w:rPr>
        <w:t>)</w:t>
      </w:r>
      <w:r w:rsidRPr="006F159A">
        <w:rPr>
          <w:rFonts w:asciiTheme="majorHAnsi" w:hAnsiTheme="majorHAnsi" w:cstheme="majorHAnsi"/>
          <w:lang w:eastAsia="en-AU"/>
        </w:rPr>
        <w:t xml:space="preserve">. </w:t>
      </w:r>
    </w:p>
    <w:p w14:paraId="65BFC253" w14:textId="77777777" w:rsidR="006F159A" w:rsidRPr="006F159A" w:rsidRDefault="006F159A" w:rsidP="006F159A">
      <w:r w:rsidRPr="006F159A">
        <w:rPr>
          <w:rFonts w:asciiTheme="majorHAnsi" w:hAnsiTheme="majorHAnsi" w:cstheme="majorHAnsi"/>
          <w:lang w:eastAsia="en-AU"/>
        </w:rPr>
        <w:t xml:space="preserve">There has, however, been a sustained increase in the average number of named researchers per project. For applications, this figure grew from 1.9 to 3.2 named researchers between DP02 and DP20. For funded projects, the average number increased from 2.1 to 3.2 over the same time period. The proportion of funded projects involving more than one named researcher has also grown substantially, increasing from 53.5 per cent in DP02 to 86.8 per cent in DP20. These data suggest that, over time, Discovery Projects has been increasingly effective at fostering research involving team-based </w:t>
      </w:r>
      <w:r w:rsidRPr="008C1A34">
        <w:rPr>
          <w:rFonts w:asciiTheme="majorHAnsi" w:hAnsiTheme="majorHAnsi" w:cstheme="majorHAnsi"/>
          <w:lang w:eastAsia="en-AU"/>
        </w:rPr>
        <w:t>arrangements. It should be noted, however, that these figures underestimate the size of teams funded under the scheme, as ‘unnamed researchers’ (including research trainees, postdoctoral fellows and research assistants) are not captured.</w:t>
      </w:r>
    </w:p>
    <w:p w14:paraId="088EDE12" w14:textId="7D6C8497" w:rsidR="006F159A" w:rsidRPr="006F159A" w:rsidRDefault="006F159A" w:rsidP="00751469">
      <w:pPr>
        <w:pStyle w:val="FigureTitle"/>
      </w:pPr>
      <w:bookmarkStart w:id="412" w:name="_Ref51921486"/>
      <w:r w:rsidRPr="006F159A">
        <w:t xml:space="preserve">Figure </w:t>
      </w:r>
      <w:r w:rsidR="00857467">
        <w:fldChar w:fldCharType="begin"/>
      </w:r>
      <w:r w:rsidR="00857467">
        <w:instrText xml:space="preserve"> SEQ Figure \* ARABIC </w:instrText>
      </w:r>
      <w:r w:rsidR="00857467">
        <w:fldChar w:fldCharType="separate"/>
      </w:r>
      <w:r w:rsidR="00AB03D7">
        <w:rPr>
          <w:noProof/>
        </w:rPr>
        <w:t>21</w:t>
      </w:r>
      <w:r w:rsidR="00857467">
        <w:rPr>
          <w:noProof/>
        </w:rPr>
        <w:fldChar w:fldCharType="end"/>
      </w:r>
      <w:bookmarkEnd w:id="412"/>
      <w:r w:rsidRPr="006F159A">
        <w:t>: Total/average named researchers on applications and funded projects, DP02–DP20</w:t>
      </w:r>
    </w:p>
    <w:p w14:paraId="6BEA0BF0" w14:textId="6B53B837" w:rsidR="006F159A" w:rsidRPr="006F159A" w:rsidRDefault="000E5749" w:rsidP="006F159A">
      <w:pPr>
        <w:rPr>
          <w:rFonts w:asciiTheme="majorHAnsi" w:hAnsiTheme="majorHAnsi" w:cstheme="majorHAnsi"/>
          <w:lang w:eastAsia="en-AU"/>
        </w:rPr>
      </w:pPr>
      <w:r>
        <w:rPr>
          <w:rFonts w:asciiTheme="majorHAnsi" w:hAnsiTheme="majorHAnsi" w:cstheme="majorHAnsi"/>
          <w:noProof/>
          <w:lang w:eastAsia="en-AU"/>
        </w:rPr>
        <w:drawing>
          <wp:inline distT="0" distB="0" distL="0" distR="0" wp14:anchorId="1B2D8901" wp14:editId="39564244">
            <wp:extent cx="5718810" cy="2280285"/>
            <wp:effectExtent l="0" t="0" r="0" b="5715"/>
            <wp:docPr id="79" name="Picture 79" descr="Figure 21 is a graph showing the total and average number of named researchers on Discovery Projects applications and funded projects between DP02 and DP20. See text above graph for more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21 is a graph showing the total and average number of named researchers on Discovery Projects applications and funded projects between DP02 and DP20. See text above graph for more information.&#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8810" cy="2280285"/>
                    </a:xfrm>
                    <a:prstGeom prst="rect">
                      <a:avLst/>
                    </a:prstGeom>
                    <a:noFill/>
                  </pic:spPr>
                </pic:pic>
              </a:graphicData>
            </a:graphic>
          </wp:inline>
        </w:drawing>
      </w:r>
    </w:p>
    <w:p w14:paraId="0CD8E742" w14:textId="29C5F418" w:rsidR="006F159A" w:rsidRPr="006F159A" w:rsidRDefault="006F159A" w:rsidP="006F159A">
      <w:pPr>
        <w:rPr>
          <w:rFonts w:asciiTheme="majorHAnsi" w:hAnsiTheme="majorHAnsi" w:cstheme="majorHAnsi"/>
          <w:i/>
          <w:sz w:val="16"/>
          <w:szCs w:val="16"/>
          <w:lang w:eastAsia="en-AU"/>
        </w:rPr>
      </w:pPr>
      <w:r w:rsidRPr="006F159A">
        <w:rPr>
          <w:rFonts w:asciiTheme="majorHAnsi" w:hAnsiTheme="majorHAnsi" w:cstheme="majorHAnsi"/>
          <w:sz w:val="16"/>
          <w:szCs w:val="16"/>
          <w:lang w:eastAsia="en-AU"/>
        </w:rPr>
        <w:t xml:space="preserve">Source: ARC administrative data. </w:t>
      </w:r>
      <w:r w:rsidRPr="006F159A">
        <w:rPr>
          <w:rFonts w:asciiTheme="majorHAnsi" w:hAnsiTheme="majorHAnsi" w:cstheme="majorHAnsi"/>
          <w:i/>
          <w:sz w:val="16"/>
          <w:szCs w:val="16"/>
          <w:lang w:eastAsia="en-AU"/>
        </w:rPr>
        <w:t>Note: Data reflect number of named researchers identified within applications.</w:t>
      </w:r>
      <w:r w:rsidR="00A21A6C">
        <w:rPr>
          <w:rFonts w:asciiTheme="majorHAnsi" w:hAnsiTheme="majorHAnsi" w:cstheme="majorHAnsi"/>
          <w:i/>
          <w:sz w:val="16"/>
          <w:szCs w:val="16"/>
          <w:lang w:eastAsia="en-AU"/>
        </w:rPr>
        <w:t xml:space="preserve"> Named researchers </w:t>
      </w:r>
      <w:r w:rsidR="00A21A6C" w:rsidRPr="00A21A6C">
        <w:rPr>
          <w:rFonts w:asciiTheme="majorHAnsi" w:hAnsiTheme="majorHAnsi" w:cstheme="majorHAnsi"/>
          <w:i/>
          <w:sz w:val="16"/>
          <w:szCs w:val="16"/>
          <w:lang w:eastAsia="en-AU"/>
        </w:rPr>
        <w:t>includ</w:t>
      </w:r>
      <w:r w:rsidR="00A21A6C">
        <w:rPr>
          <w:rFonts w:asciiTheme="majorHAnsi" w:hAnsiTheme="majorHAnsi" w:cstheme="majorHAnsi"/>
          <w:i/>
          <w:sz w:val="16"/>
          <w:szCs w:val="16"/>
          <w:lang w:eastAsia="en-AU"/>
        </w:rPr>
        <w:t>e</w:t>
      </w:r>
      <w:r w:rsidR="00A21A6C" w:rsidRPr="00A21A6C">
        <w:rPr>
          <w:rFonts w:asciiTheme="majorHAnsi" w:hAnsiTheme="majorHAnsi" w:cstheme="majorHAnsi"/>
          <w:i/>
          <w:sz w:val="16"/>
          <w:szCs w:val="16"/>
          <w:lang w:eastAsia="en-AU"/>
        </w:rPr>
        <w:t xml:space="preserve"> Chief Investigators, Partner Investigators and fellowship recipients</w:t>
      </w:r>
      <w:r w:rsidR="00A21A6C">
        <w:rPr>
          <w:rFonts w:asciiTheme="majorHAnsi" w:hAnsiTheme="majorHAnsi" w:cstheme="majorHAnsi"/>
          <w:i/>
          <w:sz w:val="16"/>
          <w:szCs w:val="16"/>
          <w:lang w:eastAsia="en-AU"/>
        </w:rPr>
        <w:t>.</w:t>
      </w:r>
    </w:p>
    <w:p w14:paraId="782C8632" w14:textId="0B3B0ECB" w:rsidR="006F159A" w:rsidRPr="006F159A" w:rsidRDefault="006F159A" w:rsidP="0068635B">
      <w:pPr>
        <w:pStyle w:val="Heading4"/>
      </w:pPr>
      <w:r w:rsidRPr="006F159A">
        <w:lastRenderedPageBreak/>
        <w:t>Gender</w:t>
      </w:r>
      <w:r w:rsidRPr="006F159A">
        <w:rPr>
          <w:vertAlign w:val="superscript"/>
        </w:rPr>
        <w:footnoteReference w:id="41"/>
      </w:r>
    </w:p>
    <w:p w14:paraId="5F252758" w14:textId="2D4E3FFB" w:rsidR="006F159A" w:rsidRPr="006F159A" w:rsidRDefault="006F159A" w:rsidP="006F159A">
      <w:pPr>
        <w:rPr>
          <w:rFonts w:asciiTheme="majorHAnsi" w:hAnsiTheme="majorHAnsi" w:cstheme="majorHAnsi"/>
          <w:lang w:eastAsia="en-AU"/>
        </w:rPr>
      </w:pPr>
      <w:r w:rsidRPr="006F159A">
        <w:rPr>
          <w:rFonts w:asciiTheme="majorHAnsi" w:hAnsiTheme="majorHAnsi" w:cstheme="majorHAnsi"/>
          <w:lang w:eastAsia="en-AU"/>
        </w:rPr>
        <w:t xml:space="preserve">There was a steady increase in the average number of male named researchers on Discovery Projects applications (1.5 to 2.3) and funded projects (1.6 to 2.4) between DP02 and DP17, with a marginal fall over recent years. The average number of named female researchers </w:t>
      </w:r>
      <w:r w:rsidR="00D93648">
        <w:rPr>
          <w:rFonts w:asciiTheme="majorHAnsi" w:hAnsiTheme="majorHAnsi" w:cstheme="majorHAnsi"/>
          <w:lang w:eastAsia="en-AU"/>
        </w:rPr>
        <w:t>was</w:t>
      </w:r>
      <w:r w:rsidRPr="006F159A">
        <w:rPr>
          <w:rFonts w:asciiTheme="majorHAnsi" w:hAnsiTheme="majorHAnsi" w:cstheme="majorHAnsi"/>
          <w:lang w:eastAsia="en-AU"/>
        </w:rPr>
        <w:t xml:space="preserve"> significantly lower, but increased over time (from 0.4 to 0.8 on applications and from 0.4 to 0.9 on funded projects between DP02 and DP20). Males accounted for over 75 per cent of the total number of named researchers on funded projects between DP02 and DP20.</w:t>
      </w:r>
    </w:p>
    <w:p w14:paraId="2F634C7D" w14:textId="4C3449AB" w:rsidR="006F159A" w:rsidRPr="006F159A" w:rsidRDefault="006F159A" w:rsidP="00751469">
      <w:pPr>
        <w:pStyle w:val="FigureTitle"/>
      </w:pPr>
      <w:bookmarkStart w:id="413" w:name="_Ref45022347"/>
      <w:r w:rsidRPr="006F159A">
        <w:t xml:space="preserve">Figure </w:t>
      </w:r>
      <w:r w:rsidR="00857467">
        <w:fldChar w:fldCharType="begin"/>
      </w:r>
      <w:r w:rsidR="00857467">
        <w:instrText xml:space="preserve"> SEQ Figure \* ARABIC </w:instrText>
      </w:r>
      <w:r w:rsidR="00857467">
        <w:fldChar w:fldCharType="separate"/>
      </w:r>
      <w:r w:rsidR="00AB03D7">
        <w:rPr>
          <w:noProof/>
        </w:rPr>
        <w:t>22</w:t>
      </w:r>
      <w:r w:rsidR="00857467">
        <w:rPr>
          <w:noProof/>
        </w:rPr>
        <w:fldChar w:fldCharType="end"/>
      </w:r>
      <w:bookmarkEnd w:id="413"/>
      <w:r w:rsidRPr="006F159A">
        <w:t>: Average number of named researchers on applications/funded projects and success rates by gender, DP02–DP20</w:t>
      </w:r>
    </w:p>
    <w:p w14:paraId="0F7A1202" w14:textId="5364DB1C" w:rsidR="006F159A" w:rsidRPr="006F159A" w:rsidRDefault="000E5749" w:rsidP="006F159A">
      <w:pPr>
        <w:rPr>
          <w:rFonts w:asciiTheme="majorHAnsi" w:hAnsiTheme="majorHAnsi" w:cstheme="majorHAnsi"/>
          <w:lang w:eastAsia="en-AU"/>
        </w:rPr>
      </w:pPr>
      <w:r>
        <w:rPr>
          <w:rFonts w:asciiTheme="majorHAnsi" w:hAnsiTheme="majorHAnsi" w:cstheme="majorHAnsi"/>
          <w:noProof/>
          <w:lang w:eastAsia="en-AU"/>
        </w:rPr>
        <w:drawing>
          <wp:inline distT="0" distB="0" distL="0" distR="0" wp14:anchorId="762C860B" wp14:editId="7E9E982B">
            <wp:extent cx="5730875" cy="2493645"/>
            <wp:effectExtent l="0" t="0" r="3175" b="1905"/>
            <wp:docPr id="80" name="Picture 80" descr="Figure 22 is a graph showing the average number of named male and female researchers on Discovery Projects applications and funded projects, as well as success rates by gender, between DP02 and DP20.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22 is a graph showing the average number of named male and female researchers on Discovery Projects applications and funded projects, as well as success rates by gender, between DP02 and DP20. See text above and below graph for more inform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2493645"/>
                    </a:xfrm>
                    <a:prstGeom prst="rect">
                      <a:avLst/>
                    </a:prstGeom>
                    <a:noFill/>
                  </pic:spPr>
                </pic:pic>
              </a:graphicData>
            </a:graphic>
          </wp:inline>
        </w:drawing>
      </w:r>
    </w:p>
    <w:p w14:paraId="59118BD9" w14:textId="29F9465E" w:rsidR="006F159A" w:rsidRPr="006F159A" w:rsidRDefault="006F159A" w:rsidP="006F159A">
      <w:pPr>
        <w:rPr>
          <w:rFonts w:asciiTheme="majorHAnsi" w:hAnsiTheme="majorHAnsi" w:cstheme="majorHAnsi"/>
          <w:i/>
          <w:sz w:val="16"/>
          <w:szCs w:val="16"/>
          <w:lang w:eastAsia="en-AU"/>
        </w:rPr>
      </w:pPr>
      <w:r w:rsidRPr="006F159A">
        <w:rPr>
          <w:rFonts w:asciiTheme="majorHAnsi" w:hAnsiTheme="majorHAnsi" w:cstheme="majorHAnsi"/>
          <w:sz w:val="16"/>
          <w:szCs w:val="16"/>
          <w:lang w:eastAsia="en-AU"/>
        </w:rPr>
        <w:t xml:space="preserve">Source: ARC administrative data. </w:t>
      </w:r>
      <w:r w:rsidRPr="006F159A">
        <w:rPr>
          <w:rFonts w:asciiTheme="majorHAnsi" w:hAnsiTheme="majorHAnsi" w:cstheme="majorHAnsi"/>
          <w:i/>
          <w:sz w:val="16"/>
          <w:szCs w:val="16"/>
          <w:lang w:eastAsia="en-AU"/>
        </w:rPr>
        <w:t>Note: Indeterminate and unknown gender figures have not been included due to low numbers. Data reflect number of named researchers identified within applications.</w:t>
      </w:r>
      <w:r w:rsidR="00A21A6C">
        <w:rPr>
          <w:rFonts w:asciiTheme="majorHAnsi" w:hAnsiTheme="majorHAnsi" w:cstheme="majorHAnsi"/>
          <w:i/>
          <w:sz w:val="16"/>
          <w:szCs w:val="16"/>
          <w:lang w:eastAsia="en-AU"/>
        </w:rPr>
        <w:t xml:space="preserve"> Named researchers </w:t>
      </w:r>
      <w:r w:rsidR="00A21A6C" w:rsidRPr="00A21A6C">
        <w:rPr>
          <w:rFonts w:asciiTheme="majorHAnsi" w:hAnsiTheme="majorHAnsi" w:cstheme="majorHAnsi"/>
          <w:i/>
          <w:sz w:val="16"/>
          <w:szCs w:val="16"/>
          <w:lang w:eastAsia="en-AU"/>
        </w:rPr>
        <w:t>includ</w:t>
      </w:r>
      <w:r w:rsidR="00A21A6C">
        <w:rPr>
          <w:rFonts w:asciiTheme="majorHAnsi" w:hAnsiTheme="majorHAnsi" w:cstheme="majorHAnsi"/>
          <w:i/>
          <w:sz w:val="16"/>
          <w:szCs w:val="16"/>
          <w:lang w:eastAsia="en-AU"/>
        </w:rPr>
        <w:t>e</w:t>
      </w:r>
      <w:r w:rsidR="00A21A6C" w:rsidRPr="00A21A6C">
        <w:rPr>
          <w:rFonts w:asciiTheme="majorHAnsi" w:hAnsiTheme="majorHAnsi" w:cstheme="majorHAnsi"/>
          <w:i/>
          <w:sz w:val="16"/>
          <w:szCs w:val="16"/>
          <w:lang w:eastAsia="en-AU"/>
        </w:rPr>
        <w:t xml:space="preserve"> Chief Investigators, Partner Investigators and fellowship recipients</w:t>
      </w:r>
      <w:r w:rsidR="00A21A6C">
        <w:rPr>
          <w:rFonts w:asciiTheme="majorHAnsi" w:hAnsiTheme="majorHAnsi" w:cstheme="majorHAnsi"/>
          <w:i/>
          <w:sz w:val="16"/>
          <w:szCs w:val="16"/>
          <w:lang w:eastAsia="en-AU"/>
        </w:rPr>
        <w:t>.</w:t>
      </w:r>
    </w:p>
    <w:p w14:paraId="112EFBB8" w14:textId="6B9C80CC" w:rsidR="006F159A" w:rsidRDefault="006F159A" w:rsidP="006F159A">
      <w:pPr>
        <w:rPr>
          <w:rFonts w:asciiTheme="majorHAnsi" w:hAnsiTheme="majorHAnsi" w:cstheme="majorHAnsi"/>
          <w:lang w:eastAsia="en-AU"/>
        </w:rPr>
      </w:pPr>
      <w:r w:rsidRPr="006F159A">
        <w:rPr>
          <w:rFonts w:asciiTheme="majorHAnsi" w:hAnsiTheme="majorHAnsi" w:cstheme="majorHAnsi"/>
          <w:lang w:eastAsia="en-AU"/>
        </w:rPr>
        <w:t xml:space="preserve">Two factors should be taken into consideration when interpreting these data. Firstly, it is important to note that males continue to be overrepresented within the broader research workforce in Australia, as well as internationally. The ARC’s </w:t>
      </w:r>
      <w:r w:rsidRPr="006F159A">
        <w:rPr>
          <w:rFonts w:asciiTheme="majorHAnsi" w:hAnsiTheme="majorHAnsi" w:cstheme="majorHAnsi"/>
          <w:i/>
          <w:lang w:eastAsia="en-AU"/>
        </w:rPr>
        <w:t xml:space="preserve">Gender and the Research Workforce: Excellence in Research for Australia (ERA) 2018 </w:t>
      </w:r>
      <w:r w:rsidRPr="006F159A">
        <w:rPr>
          <w:rFonts w:asciiTheme="majorHAnsi" w:hAnsiTheme="majorHAnsi" w:cstheme="majorHAnsi"/>
          <w:lang w:eastAsia="en-AU"/>
        </w:rPr>
        <w:t>report, for instance, found that males constituted 56 per cent of Australian higher education research staff, compared to 44 per cent for females. This disparity becomes more pronounced at senior employment levels.</w:t>
      </w:r>
      <w:r w:rsidRPr="006F159A">
        <w:rPr>
          <w:rFonts w:asciiTheme="majorHAnsi" w:hAnsiTheme="majorHAnsi" w:cstheme="majorHAnsi"/>
          <w:vertAlign w:val="superscript"/>
          <w:lang w:eastAsia="en-AU"/>
        </w:rPr>
        <w:footnoteReference w:id="42"/>
      </w:r>
      <w:r w:rsidRPr="006F159A">
        <w:rPr>
          <w:rFonts w:asciiTheme="majorHAnsi" w:hAnsiTheme="majorHAnsi" w:cstheme="majorHAnsi"/>
          <w:lang w:eastAsia="en-AU"/>
        </w:rPr>
        <w:t xml:space="preserve"> Secondly, as indicated in </w:t>
      </w:r>
      <w:r w:rsidRPr="006F159A">
        <w:rPr>
          <w:rFonts w:asciiTheme="majorHAnsi" w:hAnsiTheme="majorHAnsi" w:cstheme="majorHAnsi"/>
          <w:lang w:eastAsia="en-AU"/>
        </w:rPr>
        <w:fldChar w:fldCharType="begin"/>
      </w:r>
      <w:r w:rsidRPr="006F159A">
        <w:rPr>
          <w:rFonts w:asciiTheme="majorHAnsi" w:hAnsiTheme="majorHAnsi" w:cstheme="majorHAnsi"/>
          <w:lang w:eastAsia="en-AU"/>
        </w:rPr>
        <w:instrText xml:space="preserve"> REF _Ref45022347 \h  \* MERGEFORMAT </w:instrText>
      </w:r>
      <w:r w:rsidRPr="006F159A">
        <w:rPr>
          <w:rFonts w:asciiTheme="majorHAnsi" w:hAnsiTheme="majorHAnsi" w:cstheme="majorHAnsi"/>
          <w:lang w:eastAsia="en-AU"/>
        </w:rPr>
      </w:r>
      <w:r w:rsidRPr="006F159A">
        <w:rPr>
          <w:rFonts w:asciiTheme="majorHAnsi" w:hAnsiTheme="majorHAnsi" w:cstheme="majorHAnsi"/>
          <w:lang w:eastAsia="en-AU"/>
        </w:rPr>
        <w:fldChar w:fldCharType="separate"/>
      </w:r>
      <w:r w:rsidR="00AB03D7" w:rsidRPr="00AB03D7">
        <w:rPr>
          <w:rFonts w:asciiTheme="majorHAnsi" w:hAnsiTheme="majorHAnsi" w:cstheme="majorHAnsi"/>
          <w:lang w:eastAsia="en-AU"/>
        </w:rPr>
        <w:t>Figure 22</w:t>
      </w:r>
      <w:r w:rsidRPr="006F159A">
        <w:rPr>
          <w:rFonts w:asciiTheme="majorHAnsi" w:hAnsiTheme="majorHAnsi" w:cstheme="majorHAnsi"/>
          <w:lang w:eastAsia="en-AU"/>
        </w:rPr>
        <w:fldChar w:fldCharType="end"/>
      </w:r>
      <w:r w:rsidRPr="006F159A">
        <w:rPr>
          <w:rFonts w:asciiTheme="majorHAnsi" w:hAnsiTheme="majorHAnsi" w:cstheme="majorHAnsi"/>
          <w:lang w:eastAsia="en-AU"/>
        </w:rPr>
        <w:t>, while male named researchers had consistently higher success rates than their female counterparts until DP13, this disparity largely disappeared in recent years and, over the past three announced funding rounds, female named researchers had a slightly higher success rate.</w:t>
      </w:r>
    </w:p>
    <w:p w14:paraId="3985C1C4" w14:textId="6A17663F" w:rsidR="00820C9A" w:rsidRPr="007057E6" w:rsidRDefault="00311176" w:rsidP="002462B5">
      <w:pPr>
        <w:pStyle w:val="Heading4"/>
        <w:rPr>
          <w:lang w:eastAsia="en-AU"/>
        </w:rPr>
      </w:pPr>
      <w:r>
        <w:rPr>
          <w:lang w:eastAsia="en-AU"/>
        </w:rPr>
        <w:t>Aboriginal and Torres Strait Islander researchers</w:t>
      </w:r>
    </w:p>
    <w:p w14:paraId="0AD182A9" w14:textId="758807CA" w:rsidR="003B4D5F" w:rsidRDefault="003B4D5F" w:rsidP="003B4D5F">
      <w:pPr>
        <w:rPr>
          <w:rFonts w:asciiTheme="majorHAnsi" w:hAnsiTheme="majorHAnsi" w:cstheme="majorBidi"/>
        </w:rPr>
      </w:pPr>
      <w:r w:rsidRPr="0275514A">
        <w:rPr>
          <w:rFonts w:asciiTheme="majorHAnsi" w:hAnsiTheme="majorHAnsi" w:cstheme="majorBidi"/>
        </w:rPr>
        <w:t>Between DP02 and DP20, approximately 0.2 per cent of all named researchers on Discovery Projects applications and funded projects identified as</w:t>
      </w:r>
      <w:r>
        <w:rPr>
          <w:rFonts w:asciiTheme="majorHAnsi" w:hAnsiTheme="majorHAnsi" w:cstheme="majorBidi"/>
        </w:rPr>
        <w:t xml:space="preserve"> having</w:t>
      </w:r>
      <w:r w:rsidRPr="0275514A">
        <w:rPr>
          <w:rFonts w:asciiTheme="majorHAnsi" w:hAnsiTheme="majorHAnsi" w:cstheme="majorBidi"/>
        </w:rPr>
        <w:t xml:space="preserve"> </w:t>
      </w:r>
      <w:r>
        <w:rPr>
          <w:rFonts w:asciiTheme="majorHAnsi" w:hAnsiTheme="majorHAnsi" w:cstheme="majorBidi"/>
        </w:rPr>
        <w:t>Aboriginal and/or Torres Strait Islander origin</w:t>
      </w:r>
      <w:r w:rsidRPr="0275514A">
        <w:rPr>
          <w:rFonts w:asciiTheme="majorHAnsi" w:hAnsiTheme="majorHAnsi" w:cstheme="majorBidi"/>
        </w:rPr>
        <w:t xml:space="preserve">. </w:t>
      </w:r>
      <w:r>
        <w:rPr>
          <w:rFonts w:asciiTheme="majorHAnsi" w:hAnsiTheme="majorHAnsi" w:cstheme="majorBidi"/>
        </w:rPr>
        <w:t>This proportion</w:t>
      </w:r>
      <w:r w:rsidRPr="0275514A">
        <w:rPr>
          <w:rFonts w:asciiTheme="majorHAnsi" w:hAnsiTheme="majorHAnsi" w:cstheme="majorBidi"/>
        </w:rPr>
        <w:t xml:space="preserve"> increase</w:t>
      </w:r>
      <w:r>
        <w:rPr>
          <w:rFonts w:asciiTheme="majorHAnsi" w:hAnsiTheme="majorHAnsi" w:cstheme="majorBidi"/>
        </w:rPr>
        <w:t>d marginally</w:t>
      </w:r>
      <w:r w:rsidRPr="0275514A">
        <w:rPr>
          <w:rFonts w:asciiTheme="majorHAnsi" w:hAnsiTheme="majorHAnsi" w:cstheme="majorBidi"/>
        </w:rPr>
        <w:t xml:space="preserve"> over time on both applications (reaching 0.3 per cent in DP19 </w:t>
      </w:r>
      <w:r w:rsidRPr="0275514A">
        <w:rPr>
          <w:rFonts w:asciiTheme="majorHAnsi" w:hAnsiTheme="majorHAnsi" w:cstheme="majorBidi"/>
        </w:rPr>
        <w:lastRenderedPageBreak/>
        <w:t>and DP20) and funded projects (reaching 0.3 per cent in DP19 and 0.5 per cent in DP20)</w:t>
      </w:r>
      <w:r>
        <w:rPr>
          <w:rFonts w:asciiTheme="majorHAnsi" w:hAnsiTheme="majorHAnsi" w:cstheme="majorBidi"/>
        </w:rPr>
        <w:t>,</w:t>
      </w:r>
      <w:r w:rsidRPr="0275514A">
        <w:rPr>
          <w:rStyle w:val="FootnoteReference"/>
          <w:rFonts w:asciiTheme="majorHAnsi" w:hAnsiTheme="majorHAnsi" w:cstheme="majorBidi"/>
        </w:rPr>
        <w:footnoteReference w:id="43"/>
      </w:r>
      <w:r w:rsidRPr="0275514A">
        <w:rPr>
          <w:rFonts w:asciiTheme="majorHAnsi" w:hAnsiTheme="majorHAnsi" w:cstheme="majorBidi"/>
        </w:rPr>
        <w:t xml:space="preserve"> </w:t>
      </w:r>
      <w:r>
        <w:rPr>
          <w:rFonts w:asciiTheme="majorHAnsi" w:hAnsiTheme="majorHAnsi" w:cstheme="majorBidi"/>
        </w:rPr>
        <w:t xml:space="preserve">but </w:t>
      </w:r>
      <w:r w:rsidRPr="0275514A">
        <w:rPr>
          <w:rFonts w:asciiTheme="majorHAnsi" w:hAnsiTheme="majorHAnsi" w:cstheme="majorBidi"/>
        </w:rPr>
        <w:t>remain</w:t>
      </w:r>
      <w:r>
        <w:rPr>
          <w:rFonts w:asciiTheme="majorHAnsi" w:hAnsiTheme="majorHAnsi" w:cstheme="majorBidi"/>
        </w:rPr>
        <w:t>s</w:t>
      </w:r>
      <w:r w:rsidRPr="0275514A">
        <w:rPr>
          <w:rFonts w:asciiTheme="majorHAnsi" w:hAnsiTheme="majorHAnsi" w:cstheme="majorBidi"/>
        </w:rPr>
        <w:t xml:space="preserve"> low compared to the proportion of Aboriginal and Torres Strait Islander </w:t>
      </w:r>
      <w:r>
        <w:rPr>
          <w:rFonts w:asciiTheme="majorHAnsi" w:hAnsiTheme="majorHAnsi" w:cstheme="majorBidi"/>
        </w:rPr>
        <w:t>researchers</w:t>
      </w:r>
      <w:r w:rsidRPr="0275514A">
        <w:rPr>
          <w:rFonts w:asciiTheme="majorHAnsi" w:hAnsiTheme="majorHAnsi" w:cstheme="majorBidi"/>
        </w:rPr>
        <w:t xml:space="preserve"> within the </w:t>
      </w:r>
      <w:r>
        <w:rPr>
          <w:rFonts w:asciiTheme="majorHAnsi" w:hAnsiTheme="majorHAnsi" w:cstheme="majorBidi"/>
        </w:rPr>
        <w:t xml:space="preserve">overall </w:t>
      </w:r>
      <w:r w:rsidRPr="0275514A">
        <w:rPr>
          <w:rFonts w:asciiTheme="majorHAnsi" w:hAnsiTheme="majorHAnsi" w:cstheme="majorBidi"/>
        </w:rPr>
        <w:t>Australian academic population (1.3 per cent on a</w:t>
      </w:r>
      <w:r w:rsidR="00F25699">
        <w:rPr>
          <w:rFonts w:asciiTheme="majorHAnsi" w:hAnsiTheme="majorHAnsi" w:cstheme="majorBidi"/>
        </w:rPr>
        <w:t xml:space="preserve"> Full</w:t>
      </w:r>
      <w:r w:rsidR="00207B80">
        <w:rPr>
          <w:rFonts w:asciiTheme="majorHAnsi" w:hAnsiTheme="majorHAnsi" w:cstheme="majorBidi"/>
        </w:rPr>
        <w:t>-</w:t>
      </w:r>
      <w:r w:rsidR="00F25699">
        <w:rPr>
          <w:rFonts w:asciiTheme="majorHAnsi" w:hAnsiTheme="majorHAnsi" w:cstheme="majorBidi"/>
        </w:rPr>
        <w:t>Time Equivalent [FTE]</w:t>
      </w:r>
      <w:r w:rsidRPr="0275514A">
        <w:rPr>
          <w:rFonts w:asciiTheme="majorHAnsi" w:hAnsiTheme="majorHAnsi" w:cstheme="majorBidi"/>
        </w:rPr>
        <w:t xml:space="preserve"> basis)</w:t>
      </w:r>
      <w:r>
        <w:rPr>
          <w:rFonts w:asciiTheme="majorHAnsi" w:hAnsiTheme="majorHAnsi" w:cstheme="majorBidi"/>
        </w:rPr>
        <w:t>.</w:t>
      </w:r>
      <w:r w:rsidRPr="0275514A">
        <w:rPr>
          <w:rStyle w:val="FootnoteReference"/>
          <w:rFonts w:asciiTheme="majorHAnsi" w:hAnsiTheme="majorHAnsi" w:cstheme="majorBidi"/>
        </w:rPr>
        <w:footnoteReference w:id="44"/>
      </w:r>
      <w:r w:rsidRPr="0275514A">
        <w:rPr>
          <w:rFonts w:asciiTheme="majorHAnsi" w:hAnsiTheme="majorHAnsi" w:cstheme="majorBidi"/>
        </w:rPr>
        <w:t xml:space="preserve"> </w:t>
      </w:r>
    </w:p>
    <w:p w14:paraId="228E36C2" w14:textId="306B6C51" w:rsidR="003B4D5F" w:rsidRPr="008179BE" w:rsidRDefault="003B4D5F" w:rsidP="00751469">
      <w:pPr>
        <w:pStyle w:val="FigureTitle"/>
      </w:pPr>
      <w:r w:rsidRPr="008179BE">
        <w:t xml:space="preserve">Figure </w:t>
      </w:r>
      <w:r w:rsidR="00857467">
        <w:fldChar w:fldCharType="begin"/>
      </w:r>
      <w:r w:rsidR="00857467">
        <w:instrText xml:space="preserve"> SEQ Figure \* ARABIC </w:instrText>
      </w:r>
      <w:r w:rsidR="00857467">
        <w:fldChar w:fldCharType="separate"/>
      </w:r>
      <w:r w:rsidR="00AB03D7">
        <w:rPr>
          <w:noProof/>
        </w:rPr>
        <w:t>23</w:t>
      </w:r>
      <w:r w:rsidR="00857467">
        <w:rPr>
          <w:noProof/>
        </w:rPr>
        <w:fldChar w:fldCharType="end"/>
      </w:r>
      <w:r w:rsidRPr="008179BE">
        <w:t>: Proportion of named</w:t>
      </w:r>
      <w:r>
        <w:t xml:space="preserve"> researchers identifying</w:t>
      </w:r>
      <w:r w:rsidRPr="008179BE">
        <w:t xml:space="preserve"> Aboriginal and</w:t>
      </w:r>
      <w:r>
        <w:t>/or</w:t>
      </w:r>
      <w:r w:rsidRPr="008179BE">
        <w:t xml:space="preserve"> Torres Strait Islander </w:t>
      </w:r>
      <w:r>
        <w:t>origin</w:t>
      </w:r>
      <w:r w:rsidRPr="008179BE">
        <w:t>, DP02–DP20</w:t>
      </w:r>
    </w:p>
    <w:p w14:paraId="44D76E25" w14:textId="499B833F" w:rsidR="003B4D5F" w:rsidRPr="009862F7" w:rsidRDefault="000E5749" w:rsidP="003B4D5F">
      <w:pPr>
        <w:rPr>
          <w:rFonts w:asciiTheme="majorHAnsi" w:hAnsiTheme="majorHAnsi" w:cstheme="majorBidi"/>
        </w:rPr>
      </w:pPr>
      <w:r>
        <w:rPr>
          <w:rFonts w:asciiTheme="majorHAnsi" w:hAnsiTheme="majorHAnsi" w:cstheme="majorBidi"/>
          <w:noProof/>
        </w:rPr>
        <w:drawing>
          <wp:inline distT="0" distB="0" distL="0" distR="0" wp14:anchorId="2E68577D" wp14:editId="016C008E">
            <wp:extent cx="5730875" cy="2749550"/>
            <wp:effectExtent l="0" t="0" r="3175" b="0"/>
            <wp:docPr id="81" name="Picture 81" descr="Figure 23 is a graph depicting the proportion of named researchers identifying Aboriginal and/or Torres Strait Islander origin between DP02 and DP20. See above the graph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igure 23 is a graph depicting the proportion of named researchers identifying Aboriginal and/or Torres Strait Islander origin between DP02 and DP20. See above the graph for further inform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749550"/>
                    </a:xfrm>
                    <a:prstGeom prst="rect">
                      <a:avLst/>
                    </a:prstGeom>
                    <a:noFill/>
                  </pic:spPr>
                </pic:pic>
              </a:graphicData>
            </a:graphic>
          </wp:inline>
        </w:drawing>
      </w:r>
    </w:p>
    <w:p w14:paraId="17A947BA" w14:textId="77777777" w:rsidR="003B4D5F" w:rsidRPr="008179BE" w:rsidRDefault="003B4D5F" w:rsidP="003B4D5F">
      <w:pPr>
        <w:rPr>
          <w:rFonts w:asciiTheme="majorHAnsi" w:hAnsiTheme="majorHAnsi" w:cstheme="majorHAnsi"/>
          <w:i/>
          <w:sz w:val="16"/>
          <w:szCs w:val="16"/>
          <w:lang w:eastAsia="en-AU"/>
        </w:rPr>
      </w:pPr>
      <w:r w:rsidRPr="006F159A">
        <w:rPr>
          <w:rFonts w:asciiTheme="majorHAnsi" w:hAnsiTheme="majorHAnsi" w:cstheme="majorHAnsi"/>
          <w:sz w:val="16"/>
          <w:szCs w:val="16"/>
          <w:lang w:eastAsia="en-AU"/>
        </w:rPr>
        <w:t xml:space="preserve">Source: ARC administrative data. </w:t>
      </w:r>
      <w:r w:rsidRPr="006F159A">
        <w:rPr>
          <w:rFonts w:asciiTheme="majorHAnsi" w:hAnsiTheme="majorHAnsi" w:cstheme="majorHAnsi"/>
          <w:i/>
          <w:sz w:val="16"/>
          <w:szCs w:val="16"/>
          <w:lang w:eastAsia="en-AU"/>
        </w:rPr>
        <w:t>Note: Data reflect number of named researchers identified within applications.</w:t>
      </w:r>
      <w:r>
        <w:rPr>
          <w:rFonts w:asciiTheme="majorHAnsi" w:hAnsiTheme="majorHAnsi" w:cstheme="majorHAnsi"/>
          <w:i/>
          <w:sz w:val="16"/>
          <w:szCs w:val="16"/>
          <w:lang w:eastAsia="en-AU"/>
        </w:rPr>
        <w:t xml:space="preserve"> Named researchers </w:t>
      </w:r>
      <w:r w:rsidRPr="00A21A6C">
        <w:rPr>
          <w:rFonts w:asciiTheme="majorHAnsi" w:hAnsiTheme="majorHAnsi" w:cstheme="majorHAnsi"/>
          <w:i/>
          <w:sz w:val="16"/>
          <w:szCs w:val="16"/>
          <w:lang w:eastAsia="en-AU"/>
        </w:rPr>
        <w:t>includ</w:t>
      </w:r>
      <w:r>
        <w:rPr>
          <w:rFonts w:asciiTheme="majorHAnsi" w:hAnsiTheme="majorHAnsi" w:cstheme="majorHAnsi"/>
          <w:i/>
          <w:sz w:val="16"/>
          <w:szCs w:val="16"/>
          <w:lang w:eastAsia="en-AU"/>
        </w:rPr>
        <w:t>e</w:t>
      </w:r>
      <w:r w:rsidRPr="00A21A6C">
        <w:rPr>
          <w:rFonts w:asciiTheme="majorHAnsi" w:hAnsiTheme="majorHAnsi" w:cstheme="majorHAnsi"/>
          <w:i/>
          <w:sz w:val="16"/>
          <w:szCs w:val="16"/>
          <w:lang w:eastAsia="en-AU"/>
        </w:rPr>
        <w:t xml:space="preserve"> Chief Investigators, Partner Investigators and fellowship recipients</w:t>
      </w:r>
      <w:r>
        <w:rPr>
          <w:rFonts w:asciiTheme="majorHAnsi" w:hAnsiTheme="majorHAnsi" w:cstheme="majorHAnsi"/>
          <w:i/>
          <w:sz w:val="16"/>
          <w:szCs w:val="16"/>
          <w:lang w:eastAsia="en-AU"/>
        </w:rPr>
        <w:t xml:space="preserve">. Aboriginal and Torres Strait Islander status data reflect researcher self-report. </w:t>
      </w:r>
    </w:p>
    <w:p w14:paraId="54316C95" w14:textId="30934FCB" w:rsidR="003B4D5F" w:rsidRPr="009862F7" w:rsidRDefault="003B4D5F" w:rsidP="003B4D5F">
      <w:pPr>
        <w:rPr>
          <w:rFonts w:asciiTheme="majorHAnsi" w:hAnsiTheme="majorHAnsi" w:cstheme="majorHAnsi"/>
        </w:rPr>
      </w:pPr>
      <w:r>
        <w:rPr>
          <w:rFonts w:asciiTheme="majorHAnsi" w:hAnsiTheme="majorHAnsi" w:cstheme="majorHAnsi"/>
        </w:rPr>
        <w:t>The total</w:t>
      </w:r>
      <w:r w:rsidRPr="009862F7">
        <w:rPr>
          <w:rFonts w:asciiTheme="majorHAnsi" w:hAnsiTheme="majorHAnsi" w:cstheme="majorHAnsi"/>
        </w:rPr>
        <w:t xml:space="preserve"> success rate </w:t>
      </w:r>
      <w:r>
        <w:rPr>
          <w:rFonts w:asciiTheme="majorHAnsi" w:hAnsiTheme="majorHAnsi" w:cstheme="majorHAnsi"/>
        </w:rPr>
        <w:t xml:space="preserve">for Aboriginal and Torres Strait Islander researchers named on Discovery Projects applications (28.2 per cent) </w:t>
      </w:r>
      <w:r w:rsidRPr="009862F7">
        <w:rPr>
          <w:rFonts w:asciiTheme="majorHAnsi" w:hAnsiTheme="majorHAnsi" w:cstheme="majorHAnsi"/>
        </w:rPr>
        <w:t xml:space="preserve">exceeded the </w:t>
      </w:r>
      <w:r>
        <w:rPr>
          <w:rFonts w:asciiTheme="majorHAnsi" w:hAnsiTheme="majorHAnsi" w:cstheme="majorHAnsi"/>
        </w:rPr>
        <w:t>total</w:t>
      </w:r>
      <w:r w:rsidRPr="009862F7">
        <w:rPr>
          <w:rFonts w:asciiTheme="majorHAnsi" w:hAnsiTheme="majorHAnsi" w:cstheme="majorHAnsi"/>
        </w:rPr>
        <w:t xml:space="preserve"> success rate for</w:t>
      </w:r>
      <w:r>
        <w:rPr>
          <w:rFonts w:asciiTheme="majorHAnsi" w:hAnsiTheme="majorHAnsi" w:cstheme="majorHAnsi"/>
        </w:rPr>
        <w:t xml:space="preserve"> all</w:t>
      </w:r>
      <w:r w:rsidRPr="009862F7">
        <w:rPr>
          <w:rFonts w:asciiTheme="majorHAnsi" w:hAnsiTheme="majorHAnsi" w:cstheme="majorHAnsi"/>
        </w:rPr>
        <w:t xml:space="preserve"> named researchers (22.2</w:t>
      </w:r>
      <w:r>
        <w:rPr>
          <w:rFonts w:asciiTheme="majorHAnsi" w:hAnsiTheme="majorHAnsi" w:cstheme="majorHAnsi"/>
        </w:rPr>
        <w:t> </w:t>
      </w:r>
      <w:r w:rsidRPr="009862F7">
        <w:rPr>
          <w:rFonts w:asciiTheme="majorHAnsi" w:hAnsiTheme="majorHAnsi" w:cstheme="majorHAnsi"/>
        </w:rPr>
        <w:t>per</w:t>
      </w:r>
      <w:r>
        <w:rPr>
          <w:rFonts w:asciiTheme="majorHAnsi" w:hAnsiTheme="majorHAnsi" w:cstheme="majorHAnsi"/>
        </w:rPr>
        <w:t xml:space="preserve"> </w:t>
      </w:r>
      <w:r w:rsidRPr="009862F7">
        <w:rPr>
          <w:rFonts w:asciiTheme="majorHAnsi" w:hAnsiTheme="majorHAnsi" w:cstheme="majorHAnsi"/>
        </w:rPr>
        <w:t>cent)</w:t>
      </w:r>
      <w:r>
        <w:rPr>
          <w:rFonts w:asciiTheme="majorHAnsi" w:hAnsiTheme="majorHAnsi" w:cstheme="majorHAnsi"/>
        </w:rPr>
        <w:t xml:space="preserve"> between DP02 and DP20</w:t>
      </w:r>
      <w:r w:rsidRPr="009862F7">
        <w:rPr>
          <w:rFonts w:asciiTheme="majorHAnsi" w:hAnsiTheme="majorHAnsi" w:cstheme="majorHAnsi"/>
        </w:rPr>
        <w:t xml:space="preserve">. </w:t>
      </w:r>
    </w:p>
    <w:p w14:paraId="071F6AF2" w14:textId="77777777" w:rsidR="003B4D5F" w:rsidRPr="00244C76" w:rsidRDefault="003B4D5F" w:rsidP="003B4D5F">
      <w:r>
        <w:rPr>
          <w:rFonts w:asciiTheme="majorHAnsi" w:hAnsiTheme="majorHAnsi" w:cstheme="majorBidi"/>
        </w:rPr>
        <w:t>It is important to note that</w:t>
      </w:r>
      <w:r w:rsidRPr="00275D74">
        <w:rPr>
          <w:rFonts w:asciiTheme="majorHAnsi" w:hAnsiTheme="majorHAnsi" w:cstheme="majorBidi"/>
        </w:rPr>
        <w:t xml:space="preserve"> </w:t>
      </w:r>
      <w:r>
        <w:rPr>
          <w:rFonts w:asciiTheme="majorHAnsi" w:hAnsiTheme="majorHAnsi" w:cstheme="majorBidi"/>
        </w:rPr>
        <w:t>less than</w:t>
      </w:r>
      <w:r w:rsidRPr="0275514A">
        <w:rPr>
          <w:rFonts w:asciiTheme="majorHAnsi" w:hAnsiTheme="majorHAnsi" w:cstheme="majorBidi"/>
        </w:rPr>
        <w:t xml:space="preserve"> 50 per cent of researchers named on Discovery Projects applications </w:t>
      </w:r>
      <w:r>
        <w:rPr>
          <w:rFonts w:asciiTheme="majorHAnsi" w:hAnsiTheme="majorHAnsi" w:cstheme="majorBidi"/>
        </w:rPr>
        <w:t>indicated whether they have</w:t>
      </w:r>
      <w:r w:rsidRPr="0275514A">
        <w:rPr>
          <w:rFonts w:asciiTheme="majorHAnsi" w:hAnsiTheme="majorHAnsi" w:cstheme="majorBidi"/>
        </w:rPr>
        <w:t xml:space="preserve"> Aboriginal and</w:t>
      </w:r>
      <w:r>
        <w:rPr>
          <w:rFonts w:asciiTheme="majorHAnsi" w:hAnsiTheme="majorHAnsi" w:cstheme="majorBidi"/>
        </w:rPr>
        <w:t>/or</w:t>
      </w:r>
      <w:r w:rsidRPr="0275514A">
        <w:rPr>
          <w:rFonts w:asciiTheme="majorHAnsi" w:hAnsiTheme="majorHAnsi" w:cstheme="majorBidi"/>
        </w:rPr>
        <w:t xml:space="preserve"> Torres Strait Islander </w:t>
      </w:r>
      <w:r>
        <w:rPr>
          <w:rFonts w:asciiTheme="majorHAnsi" w:hAnsiTheme="majorHAnsi" w:cstheme="majorBidi"/>
        </w:rPr>
        <w:t xml:space="preserve">origin. Further, due to the low numbers, both the proportion of named researchers and their success rates were volatile from round to round. Nonetheless, these indications of increasing, but still low representation in the scheme should be considered in informing broader </w:t>
      </w:r>
      <w:r>
        <w:rPr>
          <w:rFonts w:asciiTheme="majorHAnsi" w:hAnsiTheme="majorHAnsi" w:cstheme="majorHAnsi"/>
        </w:rPr>
        <w:t>ongoing</w:t>
      </w:r>
      <w:r w:rsidRPr="009862F7">
        <w:rPr>
          <w:rFonts w:asciiTheme="majorHAnsi" w:hAnsiTheme="majorHAnsi" w:cstheme="majorHAnsi"/>
        </w:rPr>
        <w:t xml:space="preserve"> mechanisms </w:t>
      </w:r>
      <w:r>
        <w:rPr>
          <w:rFonts w:asciiTheme="majorHAnsi" w:hAnsiTheme="majorHAnsi" w:cstheme="majorHAnsi"/>
        </w:rPr>
        <w:t>to</w:t>
      </w:r>
      <w:r w:rsidRPr="009862F7">
        <w:rPr>
          <w:rFonts w:asciiTheme="majorHAnsi" w:hAnsiTheme="majorHAnsi" w:cstheme="majorHAnsi"/>
        </w:rPr>
        <w:t xml:space="preserve"> support</w:t>
      </w:r>
      <w:r>
        <w:rPr>
          <w:rFonts w:asciiTheme="majorHAnsi" w:hAnsiTheme="majorHAnsi" w:cstheme="majorHAnsi"/>
        </w:rPr>
        <w:t xml:space="preserve"> Aboriginal and Torres Strait Islander researchers and research across the NCGP, under</w:t>
      </w:r>
      <w:r w:rsidRPr="009862F7">
        <w:rPr>
          <w:rFonts w:asciiTheme="majorHAnsi" w:hAnsiTheme="majorHAnsi" w:cstheme="majorHAnsi"/>
        </w:rPr>
        <w:t xml:space="preserve"> </w:t>
      </w:r>
      <w:r>
        <w:rPr>
          <w:rFonts w:asciiTheme="majorHAnsi" w:hAnsiTheme="majorHAnsi" w:cstheme="majorHAnsi"/>
        </w:rPr>
        <w:t xml:space="preserve">the </w:t>
      </w:r>
      <w:r w:rsidRPr="002543C9">
        <w:rPr>
          <w:rFonts w:asciiTheme="majorHAnsi" w:hAnsiTheme="majorHAnsi" w:cstheme="majorHAnsi"/>
        </w:rPr>
        <w:t>ARC Statement of Support and Action Pla</w:t>
      </w:r>
      <w:r>
        <w:rPr>
          <w:rFonts w:asciiTheme="majorHAnsi" w:hAnsiTheme="majorHAnsi" w:cstheme="majorHAnsi"/>
        </w:rPr>
        <w:t>n</w:t>
      </w:r>
      <w:r w:rsidRPr="00EB1033">
        <w:rPr>
          <w:rFonts w:asciiTheme="majorHAnsi" w:hAnsiTheme="majorHAnsi" w:cstheme="majorHAnsi"/>
        </w:rPr>
        <w:t>.</w:t>
      </w:r>
      <w:r w:rsidRPr="00EB1033">
        <w:rPr>
          <w:rStyle w:val="FootnoteReference"/>
          <w:rFonts w:asciiTheme="majorHAnsi" w:hAnsiTheme="majorHAnsi" w:cstheme="majorHAnsi"/>
        </w:rPr>
        <w:footnoteReference w:id="45"/>
      </w:r>
    </w:p>
    <w:p w14:paraId="527B8D4C" w14:textId="17DDD268" w:rsidR="006F159A" w:rsidRPr="006F159A" w:rsidRDefault="006F159A" w:rsidP="0068635B">
      <w:pPr>
        <w:pStyle w:val="Heading3"/>
      </w:pPr>
      <w:bookmarkStart w:id="414" w:name="_Qualitative_stakeholder_feedback_2"/>
      <w:bookmarkStart w:id="415" w:name="_Toc50533607"/>
      <w:bookmarkStart w:id="416" w:name="_Toc50553757"/>
      <w:bookmarkStart w:id="417" w:name="_Toc50554992"/>
      <w:bookmarkStart w:id="418" w:name="_Toc50618126"/>
      <w:bookmarkStart w:id="419" w:name="_Toc50618407"/>
      <w:bookmarkStart w:id="420" w:name="_Toc51917001"/>
      <w:bookmarkStart w:id="421" w:name="_Toc51918841"/>
      <w:bookmarkStart w:id="422" w:name="_Ref53148791"/>
      <w:bookmarkStart w:id="423" w:name="_Ref53148798"/>
      <w:bookmarkStart w:id="424" w:name="_Ref53148879"/>
      <w:bookmarkStart w:id="425" w:name="_Toc53557230"/>
      <w:bookmarkStart w:id="426" w:name="_Toc54699272"/>
      <w:bookmarkStart w:id="427" w:name="_Toc55544806"/>
      <w:bookmarkEnd w:id="414"/>
      <w:r w:rsidRPr="006F159A">
        <w:t>Qualitative stakeholder feedback on effectiveness</w:t>
      </w:r>
      <w:bookmarkEnd w:id="415"/>
      <w:bookmarkEnd w:id="416"/>
      <w:bookmarkEnd w:id="417"/>
      <w:bookmarkEnd w:id="418"/>
      <w:bookmarkEnd w:id="419"/>
      <w:bookmarkEnd w:id="420"/>
      <w:bookmarkEnd w:id="421"/>
      <w:bookmarkEnd w:id="422"/>
      <w:bookmarkEnd w:id="423"/>
      <w:bookmarkEnd w:id="424"/>
      <w:bookmarkEnd w:id="425"/>
      <w:bookmarkEnd w:id="426"/>
      <w:bookmarkEnd w:id="427"/>
    </w:p>
    <w:p w14:paraId="68E87313" w14:textId="69450D97" w:rsidR="006F159A" w:rsidRPr="006F159A" w:rsidRDefault="006F159A" w:rsidP="0068635B">
      <w:pPr>
        <w:pStyle w:val="Heading4"/>
        <w:rPr>
          <w:lang w:eastAsia="en-AU"/>
        </w:rPr>
      </w:pPr>
      <w:r w:rsidRPr="006F159A">
        <w:rPr>
          <w:lang w:eastAsia="en-AU"/>
        </w:rPr>
        <w:t xml:space="preserve">Supporting </w:t>
      </w:r>
      <w:r w:rsidR="000933B3">
        <w:rPr>
          <w:lang w:eastAsia="en-AU"/>
        </w:rPr>
        <w:t xml:space="preserve">excellent </w:t>
      </w:r>
      <w:r w:rsidR="00B42592">
        <w:rPr>
          <w:lang w:eastAsia="en-AU"/>
        </w:rPr>
        <w:t>researc</w:t>
      </w:r>
      <w:r w:rsidR="00604472">
        <w:rPr>
          <w:lang w:eastAsia="en-AU"/>
        </w:rPr>
        <w:t>h</w:t>
      </w:r>
    </w:p>
    <w:p w14:paraId="38939145" w14:textId="6EF5D290" w:rsidR="006F159A" w:rsidRPr="006F159A" w:rsidRDefault="006F159A" w:rsidP="006F159A">
      <w:pPr>
        <w:spacing w:after="240"/>
        <w:rPr>
          <w:rFonts w:asciiTheme="majorHAnsi" w:eastAsia="SimSun" w:hAnsiTheme="majorHAnsi" w:cstheme="majorHAnsi"/>
          <w:lang w:eastAsia="en-AU"/>
        </w:rPr>
      </w:pPr>
      <w:r w:rsidRPr="006F159A">
        <w:rPr>
          <w:rFonts w:asciiTheme="majorHAnsi" w:eastAsia="SimSun" w:hAnsiTheme="majorHAnsi" w:cstheme="majorHAnsi"/>
          <w:lang w:eastAsia="en-AU"/>
        </w:rPr>
        <w:t xml:space="preserve">Stakeholders regarded the effectiveness of Discovery Projects’ support for research </w:t>
      </w:r>
      <w:r w:rsidR="00604472">
        <w:rPr>
          <w:rFonts w:asciiTheme="majorHAnsi" w:eastAsia="SimSun" w:hAnsiTheme="majorHAnsi" w:cstheme="majorHAnsi"/>
          <w:lang w:eastAsia="en-AU"/>
        </w:rPr>
        <w:t>excellence</w:t>
      </w:r>
      <w:r w:rsidRPr="006F159A">
        <w:rPr>
          <w:rFonts w:asciiTheme="majorHAnsi" w:eastAsia="SimSun" w:hAnsiTheme="majorHAnsi" w:cstheme="majorHAnsi"/>
          <w:lang w:eastAsia="en-AU"/>
        </w:rPr>
        <w:t xml:space="preserve"> as being underpinned by the scheme’s </w:t>
      </w:r>
      <w:r w:rsidR="00AC4350">
        <w:rPr>
          <w:rFonts w:asciiTheme="majorHAnsi" w:eastAsia="SimSun" w:hAnsiTheme="majorHAnsi" w:cstheme="majorHAnsi"/>
          <w:lang w:eastAsia="en-AU"/>
        </w:rPr>
        <w:t xml:space="preserve">competitive processes, including the </w:t>
      </w:r>
      <w:r w:rsidRPr="006F159A">
        <w:rPr>
          <w:rFonts w:asciiTheme="majorHAnsi" w:eastAsia="SimSun" w:hAnsiTheme="majorHAnsi" w:cstheme="majorHAnsi"/>
          <w:lang w:eastAsia="en-AU"/>
        </w:rPr>
        <w:t>use of rigorous peer review</w:t>
      </w:r>
      <w:r w:rsidR="00AE44D0">
        <w:rPr>
          <w:rFonts w:asciiTheme="majorHAnsi" w:eastAsia="SimSun" w:hAnsiTheme="majorHAnsi" w:cstheme="majorHAnsi"/>
          <w:lang w:eastAsia="en-AU"/>
        </w:rPr>
        <w:t xml:space="preserve"> by disciplinary experts</w:t>
      </w:r>
      <w:r w:rsidRPr="006F159A">
        <w:rPr>
          <w:rFonts w:asciiTheme="majorHAnsi" w:eastAsia="SimSun" w:hAnsiTheme="majorHAnsi" w:cstheme="majorHAnsi"/>
          <w:lang w:eastAsia="en-AU"/>
        </w:rPr>
        <w:t xml:space="preserve"> to direct funding to the highest quality applications </w:t>
      </w:r>
      <w:r w:rsidR="00AC4350">
        <w:rPr>
          <w:rFonts w:asciiTheme="majorHAnsi" w:eastAsia="SimSun" w:hAnsiTheme="majorHAnsi" w:cstheme="majorHAnsi"/>
          <w:lang w:eastAsia="en-AU"/>
        </w:rPr>
        <w:t>in</w:t>
      </w:r>
      <w:r w:rsidR="00AC4350" w:rsidRPr="006F159A">
        <w:rPr>
          <w:rFonts w:asciiTheme="majorHAnsi" w:eastAsia="SimSun" w:hAnsiTheme="majorHAnsi" w:cstheme="majorHAnsi"/>
          <w:lang w:eastAsia="en-AU"/>
        </w:rPr>
        <w:t xml:space="preserve"> </w:t>
      </w:r>
      <w:r w:rsidRPr="006F159A">
        <w:rPr>
          <w:rFonts w:asciiTheme="majorHAnsi" w:eastAsia="SimSun" w:hAnsiTheme="majorHAnsi" w:cstheme="majorHAnsi"/>
          <w:lang w:eastAsia="en-AU"/>
        </w:rPr>
        <w:t xml:space="preserve">a ‘free market of ideas’. </w:t>
      </w:r>
    </w:p>
    <w:p w14:paraId="1038D717" w14:textId="77777777" w:rsidR="006F159A" w:rsidRPr="006F159A" w:rsidRDefault="006F159A" w:rsidP="004B69EF">
      <w:pPr>
        <w:pStyle w:val="Quote"/>
      </w:pPr>
      <w:r w:rsidRPr="006F159A">
        <w:lastRenderedPageBreak/>
        <w:t xml:space="preserve">(I)t is a very competitive environment, [but] we see [that] the </w:t>
      </w:r>
      <w:r w:rsidRPr="006F159A">
        <w:rPr>
          <w:bCs/>
        </w:rPr>
        <w:t xml:space="preserve">projects that get </w:t>
      </w:r>
      <w:r w:rsidRPr="006F159A">
        <w:t xml:space="preserve">funded are the projects that </w:t>
      </w:r>
      <w:r w:rsidRPr="006F159A">
        <w:rPr>
          <w:bCs/>
        </w:rPr>
        <w:t xml:space="preserve">deserve funding </w:t>
      </w:r>
      <w:r w:rsidRPr="00B72A74">
        <w:rPr>
          <w:bCs/>
          <w:i w:val="0"/>
          <w:iCs w:val="0"/>
        </w:rPr>
        <w:t xml:space="preserve">– </w:t>
      </w:r>
      <w:r w:rsidRPr="00B72A74">
        <w:rPr>
          <w:i w:val="0"/>
          <w:iCs w:val="0"/>
        </w:rPr>
        <w:t>(University Research Office)</w:t>
      </w:r>
    </w:p>
    <w:p w14:paraId="735F6BFA" w14:textId="77777777" w:rsidR="006F159A" w:rsidRPr="006F159A" w:rsidRDefault="006F159A" w:rsidP="004B69EF">
      <w:pPr>
        <w:pStyle w:val="Quote"/>
        <w:spacing w:after="240"/>
        <w:ind w:left="425" w:right="663"/>
      </w:pPr>
      <w:r w:rsidRPr="006F159A">
        <w:t xml:space="preserve">(I)n the actual administration of [the scheme], the peer review’s not perfect, but it is the best way of allocating scarce resources fairly that I’ve come across. There will always be, inherent in some, personal biases, but over a long period of time with change-over of personnel, it’s as good a process [as] we are going to get </w:t>
      </w:r>
      <w:r w:rsidRPr="00B72A74">
        <w:rPr>
          <w:i w:val="0"/>
          <w:iCs w:val="0"/>
        </w:rPr>
        <w:t>– (University Research Office)</w:t>
      </w:r>
    </w:p>
    <w:p w14:paraId="2EBE4ED5" w14:textId="2C5E4C00" w:rsidR="006F159A" w:rsidRPr="006F159A" w:rsidRDefault="006F159A" w:rsidP="006F159A">
      <w:pPr>
        <w:spacing w:after="240"/>
        <w:rPr>
          <w:rFonts w:asciiTheme="majorHAnsi" w:eastAsia="SimSun" w:hAnsiTheme="majorHAnsi" w:cstheme="majorHAnsi"/>
          <w:lang w:eastAsia="en-AU"/>
        </w:rPr>
      </w:pPr>
      <w:r w:rsidRPr="006F159A">
        <w:rPr>
          <w:rFonts w:asciiTheme="majorHAnsi" w:eastAsia="SimSun" w:hAnsiTheme="majorHAnsi" w:cstheme="majorHAnsi"/>
          <w:lang w:eastAsia="en-AU"/>
        </w:rPr>
        <w:t xml:space="preserve">While Discovery Projects’ approach to peer review was generally viewed as robust, and as effectively allocating funds on the basis of research excellence, some concerns were expressed. Stakeholders suggested that, within the context of an intensely competitive grant opportunity, peer reviewers’ capacity to consistently differentiate between applications of similar quality may be limited and could potentially be impacted by personal bias or ‘luck’. Researchers also expressed a desire for further feedback in relation to unsuccessful applications to support the development of higher quality future submissions, and for additional transparency in relation to Selection Advisory Committee </w:t>
      </w:r>
      <w:r w:rsidR="00FD7973">
        <w:rPr>
          <w:rFonts w:asciiTheme="majorHAnsi" w:eastAsia="SimSun" w:hAnsiTheme="majorHAnsi" w:cstheme="majorHAnsi"/>
          <w:lang w:eastAsia="en-AU"/>
        </w:rPr>
        <w:t>deliberations</w:t>
      </w:r>
      <w:r w:rsidRPr="006F159A">
        <w:rPr>
          <w:rFonts w:asciiTheme="majorHAnsi" w:eastAsia="SimSun" w:hAnsiTheme="majorHAnsi" w:cstheme="majorHAnsi"/>
          <w:lang w:eastAsia="en-AU"/>
        </w:rPr>
        <w:t>.</w:t>
      </w:r>
    </w:p>
    <w:p w14:paraId="55E30257" w14:textId="77777777" w:rsidR="006F159A" w:rsidRPr="006F159A" w:rsidRDefault="006F159A" w:rsidP="004B69EF">
      <w:pPr>
        <w:pStyle w:val="Quote"/>
      </w:pPr>
      <w:r w:rsidRPr="006F159A">
        <w:t xml:space="preserve">I wouldn’t call it luck; there’s variance on the margins </w:t>
      </w:r>
      <w:r w:rsidRPr="00B72A74">
        <w:rPr>
          <w:i w:val="0"/>
          <w:iCs w:val="0"/>
        </w:rPr>
        <w:t>– (University Research Office)</w:t>
      </w:r>
    </w:p>
    <w:p w14:paraId="00DDAFF5" w14:textId="77777777" w:rsidR="006F159A" w:rsidRPr="006F159A" w:rsidRDefault="006F159A" w:rsidP="004B69EF">
      <w:pPr>
        <w:pStyle w:val="Quote"/>
      </w:pPr>
      <w:r w:rsidRPr="006F159A">
        <w:t xml:space="preserve">Outcomes are somewhat capricious, depending on the luck of the reviewer draw </w:t>
      </w:r>
      <w:r w:rsidRPr="00B72A74">
        <w:rPr>
          <w:i w:val="0"/>
          <w:iCs w:val="0"/>
        </w:rPr>
        <w:t>– (Researcher)</w:t>
      </w:r>
    </w:p>
    <w:p w14:paraId="53B3F024" w14:textId="77777777" w:rsidR="006F159A" w:rsidRPr="006F159A" w:rsidRDefault="006F159A" w:rsidP="004B69EF">
      <w:pPr>
        <w:pStyle w:val="Quote"/>
        <w:spacing w:after="240"/>
        <w:ind w:left="425" w:right="663"/>
      </w:pPr>
      <w:r w:rsidRPr="006F159A">
        <w:rPr>
          <w:rFonts w:eastAsiaTheme="minorEastAsia"/>
        </w:rPr>
        <w:t>The ARC rejoinder process could be improved so that applicants get a greater sense</w:t>
      </w:r>
      <w:r w:rsidRPr="006F159A">
        <w:t xml:space="preserve"> </w:t>
      </w:r>
      <w:r w:rsidRPr="006F159A">
        <w:rPr>
          <w:rFonts w:eastAsiaTheme="minorEastAsia"/>
        </w:rPr>
        <w:t>of the assessment panel’s views as well</w:t>
      </w:r>
      <w:r w:rsidRPr="006F159A">
        <w:t>—</w:t>
      </w:r>
      <w:r w:rsidRPr="006F159A">
        <w:rPr>
          <w:rFonts w:eastAsiaTheme="minorEastAsia"/>
        </w:rPr>
        <w:t xml:space="preserve">mirroring the </w:t>
      </w:r>
      <w:r w:rsidRPr="006F159A">
        <w:t>National Health and Medical Research Council (NHMRC)</w:t>
      </w:r>
      <w:r w:rsidRPr="006F159A">
        <w:rPr>
          <w:rFonts w:eastAsiaTheme="minorEastAsia"/>
        </w:rPr>
        <w:t xml:space="preserve"> process where</w:t>
      </w:r>
      <w:r w:rsidRPr="006F159A">
        <w:t xml:space="preserve"> </w:t>
      </w:r>
      <w:r w:rsidRPr="006F159A">
        <w:rPr>
          <w:rFonts w:eastAsiaTheme="minorEastAsia"/>
        </w:rPr>
        <w:t xml:space="preserve">applicants receive reports from both expert assessors and the panel </w:t>
      </w:r>
      <w:r w:rsidRPr="00B72A74">
        <w:rPr>
          <w:rFonts w:eastAsiaTheme="minorEastAsia"/>
          <w:i w:val="0"/>
          <w:iCs w:val="0"/>
        </w:rPr>
        <w:t>– (Peak Body)</w:t>
      </w:r>
    </w:p>
    <w:p w14:paraId="39108061" w14:textId="47A8C4A7" w:rsidR="006F159A" w:rsidRPr="00B72A74" w:rsidRDefault="006F159A" w:rsidP="00B72A74">
      <w:pPr>
        <w:spacing w:after="240"/>
        <w:rPr>
          <w:rFonts w:asciiTheme="majorHAnsi" w:hAnsiTheme="majorHAnsi" w:cstheme="majorHAnsi"/>
        </w:rPr>
      </w:pPr>
      <w:r w:rsidRPr="00B72A74">
        <w:rPr>
          <w:rFonts w:asciiTheme="majorHAnsi" w:hAnsiTheme="majorHAnsi" w:cstheme="majorHAnsi"/>
        </w:rPr>
        <w:t>Stakeholders</w:t>
      </w:r>
      <w:r w:rsidR="00C60777">
        <w:rPr>
          <w:rFonts w:asciiTheme="majorHAnsi" w:hAnsiTheme="majorHAnsi" w:cstheme="majorHAnsi"/>
        </w:rPr>
        <w:t xml:space="preserve"> also</w:t>
      </w:r>
      <w:r w:rsidRPr="00B72A74">
        <w:rPr>
          <w:rFonts w:asciiTheme="majorHAnsi" w:hAnsiTheme="majorHAnsi" w:cstheme="majorHAnsi"/>
        </w:rPr>
        <w:t xml:space="preserve"> highlighted the significant administrative burden created by</w:t>
      </w:r>
      <w:r w:rsidR="00C60777">
        <w:rPr>
          <w:rFonts w:asciiTheme="majorHAnsi" w:hAnsiTheme="majorHAnsi" w:cstheme="majorHAnsi"/>
        </w:rPr>
        <w:t xml:space="preserve"> Discovery Projects’</w:t>
      </w:r>
      <w:r w:rsidR="00921C1A">
        <w:rPr>
          <w:rFonts w:asciiTheme="majorHAnsi" w:hAnsiTheme="majorHAnsi" w:cstheme="majorHAnsi"/>
        </w:rPr>
        <w:t xml:space="preserve"> selection</w:t>
      </w:r>
      <w:r w:rsidRPr="00B72A74">
        <w:rPr>
          <w:rFonts w:asciiTheme="majorHAnsi" w:hAnsiTheme="majorHAnsi" w:cstheme="majorHAnsi"/>
        </w:rPr>
        <w:t xml:space="preserve"> processes when submitting applications (for researchers) and administering grants (for research offices). Respondents identified substantial opportunity costs relating to time and labour involved in </w:t>
      </w:r>
      <w:r w:rsidR="00CD607A">
        <w:rPr>
          <w:rFonts w:asciiTheme="majorHAnsi" w:hAnsiTheme="majorHAnsi" w:cstheme="majorHAnsi"/>
        </w:rPr>
        <w:t>engaging</w:t>
      </w:r>
      <w:r w:rsidR="00CD607A" w:rsidRPr="00B72A74">
        <w:rPr>
          <w:rFonts w:asciiTheme="majorHAnsi" w:hAnsiTheme="majorHAnsi" w:cstheme="majorHAnsi"/>
        </w:rPr>
        <w:t xml:space="preserve"> </w:t>
      </w:r>
      <w:r w:rsidRPr="00B72A74">
        <w:rPr>
          <w:rFonts w:asciiTheme="majorHAnsi" w:hAnsiTheme="majorHAnsi" w:cstheme="majorHAnsi"/>
        </w:rPr>
        <w:t xml:space="preserve">with the scheme—particularly within the context of success rates that </w:t>
      </w:r>
      <w:r w:rsidR="00F160B0">
        <w:rPr>
          <w:rFonts w:asciiTheme="majorHAnsi" w:hAnsiTheme="majorHAnsi" w:cstheme="majorHAnsi"/>
        </w:rPr>
        <w:t>they</w:t>
      </w:r>
      <w:r w:rsidR="00F160B0" w:rsidRPr="00B72A74">
        <w:rPr>
          <w:rFonts w:asciiTheme="majorHAnsi" w:hAnsiTheme="majorHAnsi" w:cstheme="majorHAnsi"/>
        </w:rPr>
        <w:t xml:space="preserve"> </w:t>
      </w:r>
      <w:r w:rsidRPr="00B72A74">
        <w:rPr>
          <w:rFonts w:asciiTheme="majorHAnsi" w:hAnsiTheme="majorHAnsi" w:cstheme="majorHAnsi"/>
        </w:rPr>
        <w:t>regarded as low. These concerns were emphasised by research office representatives from smaller universities, who highlighted larger institutions’ greater capacity to support Discovery Projects applications due to their additional resourcing.</w:t>
      </w:r>
    </w:p>
    <w:p w14:paraId="4919CC60" w14:textId="77777777" w:rsidR="006F159A" w:rsidRPr="006F159A" w:rsidRDefault="006F159A" w:rsidP="004B69EF">
      <w:pPr>
        <w:pStyle w:val="Quote"/>
      </w:pPr>
      <w:r w:rsidRPr="006F159A">
        <w:t xml:space="preserve">That bureaucratic process is something that needs to be thought through because it is just ridiculous and </w:t>
      </w:r>
      <w:r w:rsidRPr="006F159A">
        <w:rPr>
          <w:bCs/>
        </w:rPr>
        <w:t xml:space="preserve">surely unnecessary </w:t>
      </w:r>
      <w:r w:rsidRPr="00B72A74">
        <w:rPr>
          <w:i w:val="0"/>
          <w:iCs w:val="0"/>
        </w:rPr>
        <w:t>– (University Research Office)</w:t>
      </w:r>
    </w:p>
    <w:p w14:paraId="7DC24F1F" w14:textId="77777777" w:rsidR="006F159A" w:rsidRPr="006F159A" w:rsidRDefault="006F159A" w:rsidP="004B69EF">
      <w:pPr>
        <w:pStyle w:val="Quote"/>
      </w:pPr>
      <w:r w:rsidRPr="006F159A">
        <w:t xml:space="preserve">It costs my organisation many thousands of dollars in time to put together a single application with low chances of success </w:t>
      </w:r>
      <w:r w:rsidRPr="00B72A74">
        <w:rPr>
          <w:i w:val="0"/>
          <w:iCs w:val="0"/>
        </w:rPr>
        <w:t xml:space="preserve">– (Researcher) </w:t>
      </w:r>
    </w:p>
    <w:p w14:paraId="226246B5" w14:textId="77777777" w:rsidR="006F159A" w:rsidRPr="006F159A" w:rsidRDefault="006F159A" w:rsidP="004B69EF">
      <w:pPr>
        <w:pStyle w:val="Quote"/>
      </w:pPr>
      <w:r w:rsidRPr="006F159A">
        <w:t xml:space="preserve">Do the maths: in any given round, all the unsuccessful grants together represent several hundred years of person-time, in their planning and writing and the many months of work gathering preliminary data </w:t>
      </w:r>
      <w:r w:rsidRPr="00B72A74">
        <w:rPr>
          <w:i w:val="0"/>
          <w:iCs w:val="0"/>
        </w:rPr>
        <w:t>– (Researcher)</w:t>
      </w:r>
    </w:p>
    <w:p w14:paraId="2F3F5DB4" w14:textId="77777777" w:rsidR="006F159A" w:rsidRPr="006F159A" w:rsidRDefault="006F159A" w:rsidP="004B69EF">
      <w:pPr>
        <w:pStyle w:val="Quote"/>
        <w:spacing w:after="240"/>
        <w:ind w:left="425" w:right="663"/>
      </w:pPr>
      <w:r w:rsidRPr="006F159A">
        <w:t xml:space="preserve">The amount of time people put in is enormous—with a 15 per cent success rate it is </w:t>
      </w:r>
      <w:r w:rsidRPr="006F159A">
        <w:rPr>
          <w:bCs/>
        </w:rPr>
        <w:t xml:space="preserve">a huge waste of effort </w:t>
      </w:r>
      <w:r w:rsidRPr="00B72A74">
        <w:rPr>
          <w:i w:val="0"/>
          <w:iCs w:val="0"/>
        </w:rPr>
        <w:t>– (University Research Office)</w:t>
      </w:r>
    </w:p>
    <w:p w14:paraId="2CFA94F7" w14:textId="6F7AFE5B" w:rsidR="006F159A" w:rsidRPr="006F159A" w:rsidRDefault="00F92630" w:rsidP="006F159A">
      <w:pPr>
        <w:rPr>
          <w:rFonts w:asciiTheme="majorHAnsi" w:eastAsiaTheme="minorEastAsia" w:hAnsiTheme="majorHAnsi" w:cstheme="majorHAnsi"/>
          <w:lang w:eastAsia="en-AU"/>
        </w:rPr>
      </w:pPr>
      <w:r>
        <w:rPr>
          <w:rFonts w:asciiTheme="majorHAnsi" w:eastAsiaTheme="minorEastAsia" w:hAnsiTheme="majorHAnsi" w:cstheme="majorHAnsi"/>
          <w:lang w:eastAsia="en-AU"/>
        </w:rPr>
        <w:t xml:space="preserve">These perspectives </w:t>
      </w:r>
      <w:r w:rsidRPr="006F159A">
        <w:rPr>
          <w:rFonts w:asciiTheme="majorHAnsi" w:eastAsiaTheme="minorEastAsia" w:hAnsiTheme="majorHAnsi" w:cstheme="majorHAnsi"/>
          <w:lang w:eastAsia="en-AU"/>
        </w:rPr>
        <w:t xml:space="preserve">are important to acknowledge as highlighting consequences </w:t>
      </w:r>
      <w:r>
        <w:rPr>
          <w:rFonts w:asciiTheme="majorHAnsi" w:eastAsiaTheme="minorEastAsia" w:hAnsiTheme="majorHAnsi" w:cstheme="majorHAnsi"/>
          <w:lang w:eastAsia="en-AU"/>
        </w:rPr>
        <w:t>of</w:t>
      </w:r>
      <w:r w:rsidRPr="006F159A">
        <w:rPr>
          <w:rFonts w:asciiTheme="majorHAnsi" w:eastAsiaTheme="minorEastAsia" w:hAnsiTheme="majorHAnsi" w:cstheme="majorHAnsi"/>
          <w:lang w:eastAsia="en-AU"/>
        </w:rPr>
        <w:t xml:space="preserve"> the rigour and complexity </w:t>
      </w:r>
      <w:r w:rsidR="008A4CFA">
        <w:rPr>
          <w:rFonts w:asciiTheme="majorHAnsi" w:eastAsiaTheme="minorEastAsia" w:hAnsiTheme="majorHAnsi" w:cstheme="majorHAnsi"/>
          <w:lang w:eastAsia="en-AU"/>
        </w:rPr>
        <w:t>involved in</w:t>
      </w:r>
      <w:r w:rsidRPr="006F159A">
        <w:rPr>
          <w:rFonts w:asciiTheme="majorHAnsi" w:eastAsiaTheme="minorEastAsia" w:hAnsiTheme="majorHAnsi" w:cstheme="majorHAnsi"/>
          <w:lang w:eastAsia="en-AU"/>
        </w:rPr>
        <w:t xml:space="preserve"> Discovery Projects’ selection processes.</w:t>
      </w:r>
      <w:r>
        <w:rPr>
          <w:rFonts w:asciiTheme="majorHAnsi" w:eastAsiaTheme="minorEastAsia" w:hAnsiTheme="majorHAnsi" w:cstheme="majorHAnsi"/>
          <w:lang w:eastAsia="en-AU"/>
        </w:rPr>
        <w:t xml:space="preserve"> However, s</w:t>
      </w:r>
      <w:r w:rsidR="006F159A" w:rsidRPr="006F159A">
        <w:rPr>
          <w:rFonts w:asciiTheme="majorHAnsi" w:eastAsiaTheme="minorEastAsia" w:hAnsiTheme="majorHAnsi" w:cstheme="majorHAnsi"/>
          <w:lang w:eastAsia="en-AU"/>
        </w:rPr>
        <w:t xml:space="preserve">imilar application and peer review processes are employed across the </w:t>
      </w:r>
      <w:r w:rsidR="00597604">
        <w:rPr>
          <w:rFonts w:asciiTheme="majorHAnsi" w:eastAsiaTheme="minorEastAsia" w:hAnsiTheme="majorHAnsi" w:cstheme="majorHAnsi"/>
          <w:lang w:eastAsia="en-AU"/>
        </w:rPr>
        <w:t>NCGP</w:t>
      </w:r>
      <w:r w:rsidR="00701D61">
        <w:rPr>
          <w:rFonts w:asciiTheme="majorHAnsi" w:eastAsiaTheme="minorEastAsia" w:hAnsiTheme="majorHAnsi" w:cstheme="majorHAnsi"/>
          <w:lang w:eastAsia="en-AU"/>
        </w:rPr>
        <w:t xml:space="preserve"> and</w:t>
      </w:r>
      <w:r w:rsidR="005B1ED6">
        <w:rPr>
          <w:rFonts w:asciiTheme="majorHAnsi" w:eastAsiaTheme="minorEastAsia" w:hAnsiTheme="majorHAnsi" w:cstheme="majorHAnsi"/>
          <w:lang w:eastAsia="en-AU"/>
        </w:rPr>
        <w:t xml:space="preserve">, as they are </w:t>
      </w:r>
      <w:r w:rsidR="00701D61">
        <w:rPr>
          <w:rFonts w:asciiTheme="majorHAnsi" w:eastAsiaTheme="minorEastAsia" w:hAnsiTheme="majorHAnsi" w:cstheme="majorHAnsi"/>
          <w:lang w:eastAsia="en-AU"/>
        </w:rPr>
        <w:t xml:space="preserve">in many ways not specific to </w:t>
      </w:r>
      <w:r w:rsidR="005B1ED6">
        <w:rPr>
          <w:rFonts w:asciiTheme="majorHAnsi" w:eastAsiaTheme="minorEastAsia" w:hAnsiTheme="majorHAnsi" w:cstheme="majorHAnsi"/>
          <w:lang w:eastAsia="en-AU"/>
        </w:rPr>
        <w:t>Discovery Projects</w:t>
      </w:r>
      <w:r w:rsidR="006F159A" w:rsidRPr="006F159A">
        <w:rPr>
          <w:rFonts w:asciiTheme="majorHAnsi" w:eastAsiaTheme="minorEastAsia" w:hAnsiTheme="majorHAnsi" w:cstheme="majorHAnsi"/>
          <w:lang w:eastAsia="en-AU"/>
        </w:rPr>
        <w:t xml:space="preserve">, </w:t>
      </w:r>
      <w:r w:rsidR="005B1ED6">
        <w:rPr>
          <w:rFonts w:asciiTheme="majorHAnsi" w:eastAsiaTheme="minorEastAsia" w:hAnsiTheme="majorHAnsi" w:cstheme="majorHAnsi"/>
          <w:lang w:eastAsia="en-AU"/>
        </w:rPr>
        <w:t>they</w:t>
      </w:r>
      <w:r w:rsidR="006F159A" w:rsidRPr="006F159A">
        <w:rPr>
          <w:rFonts w:asciiTheme="majorHAnsi" w:eastAsiaTheme="minorEastAsia" w:hAnsiTheme="majorHAnsi" w:cstheme="majorHAnsi"/>
          <w:lang w:eastAsia="en-AU"/>
        </w:rPr>
        <w:t xml:space="preserve"> are </w:t>
      </w:r>
      <w:r w:rsidR="000C2E99">
        <w:rPr>
          <w:rFonts w:asciiTheme="majorHAnsi" w:eastAsiaTheme="minorEastAsia" w:hAnsiTheme="majorHAnsi" w:cstheme="majorHAnsi"/>
          <w:lang w:eastAsia="en-AU"/>
        </w:rPr>
        <w:t xml:space="preserve">largely </w:t>
      </w:r>
      <w:r w:rsidR="006F159A" w:rsidRPr="006F159A">
        <w:rPr>
          <w:rFonts w:asciiTheme="majorHAnsi" w:eastAsiaTheme="minorEastAsia" w:hAnsiTheme="majorHAnsi" w:cstheme="majorHAnsi"/>
          <w:lang w:eastAsia="en-AU"/>
        </w:rPr>
        <w:t xml:space="preserve">beyond the scope of this evaluation. </w:t>
      </w:r>
      <w:r w:rsidR="00FC742D">
        <w:rPr>
          <w:rFonts w:asciiTheme="majorHAnsi" w:eastAsiaTheme="minorEastAsia" w:hAnsiTheme="majorHAnsi" w:cstheme="majorHAnsi"/>
          <w:lang w:eastAsia="en-AU"/>
        </w:rPr>
        <w:t xml:space="preserve">These </w:t>
      </w:r>
      <w:r w:rsidR="0090050B">
        <w:rPr>
          <w:rFonts w:asciiTheme="majorHAnsi" w:eastAsiaTheme="minorEastAsia" w:hAnsiTheme="majorHAnsi" w:cstheme="majorHAnsi"/>
          <w:lang w:eastAsia="en-AU"/>
        </w:rPr>
        <w:t xml:space="preserve">findings should be </w:t>
      </w:r>
      <w:r w:rsidR="0090050B">
        <w:rPr>
          <w:rFonts w:asciiTheme="majorHAnsi" w:eastAsiaTheme="minorEastAsia" w:hAnsiTheme="majorHAnsi" w:cstheme="majorHAnsi"/>
          <w:lang w:eastAsia="en-AU"/>
        </w:rPr>
        <w:lastRenderedPageBreak/>
        <w:t>considered</w:t>
      </w:r>
      <w:r w:rsidR="00845E51">
        <w:rPr>
          <w:rFonts w:asciiTheme="majorHAnsi" w:eastAsiaTheme="minorEastAsia" w:hAnsiTheme="majorHAnsi" w:cstheme="majorHAnsi"/>
          <w:lang w:eastAsia="en-AU"/>
        </w:rPr>
        <w:t xml:space="preserve"> and addressed</w:t>
      </w:r>
      <w:r w:rsidR="0090050B">
        <w:rPr>
          <w:rFonts w:asciiTheme="majorHAnsi" w:eastAsiaTheme="minorEastAsia" w:hAnsiTheme="majorHAnsi" w:cstheme="majorHAnsi"/>
          <w:lang w:eastAsia="en-AU"/>
        </w:rPr>
        <w:t xml:space="preserve"> </w:t>
      </w:r>
      <w:r w:rsidR="00214220">
        <w:rPr>
          <w:rFonts w:asciiTheme="majorHAnsi" w:eastAsiaTheme="minorEastAsia" w:hAnsiTheme="majorHAnsi" w:cstheme="majorHAnsi"/>
          <w:lang w:eastAsia="en-AU"/>
        </w:rPr>
        <w:t>in</w:t>
      </w:r>
      <w:r w:rsidR="0090050B">
        <w:rPr>
          <w:rFonts w:asciiTheme="majorHAnsi" w:eastAsiaTheme="minorEastAsia" w:hAnsiTheme="majorHAnsi" w:cstheme="majorHAnsi"/>
          <w:lang w:eastAsia="en-AU"/>
        </w:rPr>
        <w:t xml:space="preserve"> ongoing review</w:t>
      </w:r>
      <w:r w:rsidR="008A4104">
        <w:rPr>
          <w:rFonts w:asciiTheme="majorHAnsi" w:eastAsiaTheme="minorEastAsia" w:hAnsiTheme="majorHAnsi" w:cstheme="majorHAnsi"/>
          <w:lang w:eastAsia="en-AU"/>
        </w:rPr>
        <w:t>s</w:t>
      </w:r>
      <w:r w:rsidR="0090050B">
        <w:rPr>
          <w:rFonts w:asciiTheme="majorHAnsi" w:eastAsiaTheme="minorEastAsia" w:hAnsiTheme="majorHAnsi" w:cstheme="majorHAnsi"/>
          <w:lang w:eastAsia="en-AU"/>
        </w:rPr>
        <w:t xml:space="preserve"> of NCGP-wide administrative processes undertaken by the ARC. </w:t>
      </w:r>
    </w:p>
    <w:p w14:paraId="243181A7" w14:textId="77777777" w:rsidR="006F159A" w:rsidRPr="006F159A" w:rsidRDefault="006F159A" w:rsidP="0068635B">
      <w:pPr>
        <w:pStyle w:val="Heading4"/>
      </w:pPr>
      <w:bookmarkStart w:id="428" w:name="_Supporting_basic_and"/>
      <w:bookmarkEnd w:id="428"/>
      <w:r w:rsidRPr="006F159A">
        <w:t>Supporting basic and applied research</w:t>
      </w:r>
    </w:p>
    <w:p w14:paraId="1A47A6CE" w14:textId="5CA681D6" w:rsidR="006F159A" w:rsidRPr="006F159A" w:rsidRDefault="006F159A" w:rsidP="006F159A">
      <w:pPr>
        <w:spacing w:after="240"/>
        <w:rPr>
          <w:rFonts w:asciiTheme="majorHAnsi" w:eastAsia="SimSun" w:hAnsiTheme="majorHAnsi" w:cstheme="majorHAnsi"/>
          <w:lang w:eastAsia="en-AU"/>
        </w:rPr>
      </w:pPr>
      <w:r w:rsidRPr="006F159A">
        <w:rPr>
          <w:rFonts w:asciiTheme="majorHAnsi" w:eastAsia="SimSun" w:hAnsiTheme="majorHAnsi" w:cstheme="majorHAnsi"/>
          <w:lang w:eastAsia="en-AU"/>
        </w:rPr>
        <w:t xml:space="preserve">Consistent with the initial policy rationale underpinning the development of the Discovery Program, qualitative feedback highlighted the </w:t>
      </w:r>
      <w:r w:rsidR="006B7FE2">
        <w:rPr>
          <w:rFonts w:asciiTheme="majorHAnsi" w:eastAsia="SimSun" w:hAnsiTheme="majorHAnsi" w:cstheme="majorHAnsi"/>
          <w:lang w:eastAsia="en-AU"/>
        </w:rPr>
        <w:t>effectiveness of the scheme’s support for</w:t>
      </w:r>
      <w:r w:rsidRPr="006F159A">
        <w:rPr>
          <w:rFonts w:asciiTheme="majorHAnsi" w:eastAsia="SimSun" w:hAnsiTheme="majorHAnsi" w:cstheme="majorHAnsi"/>
          <w:lang w:eastAsia="en-AU"/>
        </w:rPr>
        <w:t xml:space="preserve"> investigator-led, curiosity-driven, blue sky research across broad disciplinary domains. </w:t>
      </w:r>
    </w:p>
    <w:p w14:paraId="49D6FD15" w14:textId="77777777" w:rsidR="006F159A" w:rsidRPr="006F159A" w:rsidRDefault="006F159A" w:rsidP="004B69EF">
      <w:pPr>
        <w:pStyle w:val="Quote"/>
      </w:pPr>
      <w:r w:rsidRPr="006F159A">
        <w:t xml:space="preserve">They tend to fund the best blue sky research that Australia does </w:t>
      </w:r>
      <w:r w:rsidRPr="00B72A74">
        <w:rPr>
          <w:i w:val="0"/>
          <w:iCs w:val="0"/>
        </w:rPr>
        <w:t>– (University Research Office)</w:t>
      </w:r>
    </w:p>
    <w:p w14:paraId="57B7FD12" w14:textId="77777777" w:rsidR="006F159A" w:rsidRPr="006F159A" w:rsidRDefault="006F159A" w:rsidP="004B69EF">
      <w:pPr>
        <w:pStyle w:val="Quote"/>
        <w:spacing w:after="240"/>
        <w:ind w:left="425" w:right="663"/>
      </w:pPr>
      <w:r w:rsidRPr="006F159A">
        <w:t xml:space="preserve">Discovery Projects are prestigious because of [their] historical significance, and when you win one, you really are pushing the frontiers of knowledge </w:t>
      </w:r>
      <w:r w:rsidRPr="00B72A74">
        <w:rPr>
          <w:i w:val="0"/>
          <w:iCs w:val="0"/>
        </w:rPr>
        <w:t>– (University Research Office)</w:t>
      </w:r>
    </w:p>
    <w:p w14:paraId="487491B3" w14:textId="34B8E307" w:rsidR="006F159A" w:rsidRPr="006F159A" w:rsidRDefault="005A0468" w:rsidP="006F159A">
      <w:pPr>
        <w:spacing w:after="240"/>
        <w:rPr>
          <w:rFonts w:asciiTheme="majorHAnsi" w:eastAsia="SimSun" w:hAnsiTheme="majorHAnsi" w:cstheme="majorHAnsi"/>
          <w:lang w:eastAsia="en-AU"/>
        </w:rPr>
      </w:pPr>
      <w:r w:rsidRPr="006F159A">
        <w:rPr>
          <w:rFonts w:asciiTheme="majorHAnsi" w:eastAsia="SimSun" w:hAnsiTheme="majorHAnsi" w:cstheme="majorHAnsi"/>
          <w:lang w:eastAsia="en-AU"/>
        </w:rPr>
        <w:t xml:space="preserve">Survey data on researchers’ most recently completed project funded under the scheme suggested </w:t>
      </w:r>
      <w:r>
        <w:rPr>
          <w:rFonts w:asciiTheme="majorHAnsi" w:eastAsia="SimSun" w:hAnsiTheme="majorHAnsi" w:cstheme="majorHAnsi"/>
          <w:lang w:eastAsia="en-AU"/>
        </w:rPr>
        <w:t>that more than half</w:t>
      </w:r>
      <w:r w:rsidRPr="006F159A">
        <w:rPr>
          <w:rFonts w:asciiTheme="majorHAnsi" w:eastAsia="SimSun" w:hAnsiTheme="majorHAnsi" w:cstheme="majorHAnsi"/>
          <w:lang w:eastAsia="en-AU"/>
        </w:rPr>
        <w:t xml:space="preserve"> of Discovery Projects</w:t>
      </w:r>
      <w:r>
        <w:rPr>
          <w:rFonts w:asciiTheme="majorHAnsi" w:eastAsia="SimSun" w:hAnsiTheme="majorHAnsi" w:cstheme="majorHAnsi"/>
          <w:lang w:eastAsia="en-AU"/>
        </w:rPr>
        <w:t xml:space="preserve"> activity</w:t>
      </w:r>
      <w:r w:rsidRPr="006F159A">
        <w:rPr>
          <w:rFonts w:asciiTheme="majorHAnsi" w:eastAsia="SimSun" w:hAnsiTheme="majorHAnsi" w:cstheme="majorHAnsi"/>
          <w:lang w:eastAsia="en-AU"/>
        </w:rPr>
        <w:t xml:space="preserve"> involved applied research (15 per cent) or a combination of basic and applied research (39 per cent)</w:t>
      </w:r>
      <w:r w:rsidR="00671CF4">
        <w:rPr>
          <w:rFonts w:asciiTheme="majorHAnsi" w:eastAsia="SimSun" w:hAnsiTheme="majorHAnsi" w:cstheme="majorHAnsi"/>
          <w:lang w:eastAsia="en-AU"/>
        </w:rPr>
        <w:t xml:space="preserve">. </w:t>
      </w:r>
      <w:r w:rsidR="002D49B0">
        <w:rPr>
          <w:rFonts w:asciiTheme="majorHAnsi" w:eastAsia="SimSun" w:hAnsiTheme="majorHAnsi" w:cstheme="majorHAnsi"/>
          <w:lang w:eastAsia="en-AU"/>
        </w:rPr>
        <w:t>As discussed above,</w:t>
      </w:r>
      <w:r w:rsidR="006F159A" w:rsidRPr="006F159A">
        <w:rPr>
          <w:rFonts w:asciiTheme="majorHAnsi" w:eastAsia="SimSun" w:hAnsiTheme="majorHAnsi" w:cstheme="majorHAnsi"/>
          <w:lang w:eastAsia="en-AU"/>
        </w:rPr>
        <w:t xml:space="preserve"> quantitative survey results </w:t>
      </w:r>
      <w:r w:rsidR="00FD6349">
        <w:rPr>
          <w:rFonts w:asciiTheme="majorHAnsi" w:eastAsia="SimSun" w:hAnsiTheme="majorHAnsi" w:cstheme="majorHAnsi"/>
          <w:lang w:eastAsia="en-AU"/>
        </w:rPr>
        <w:t>also</w:t>
      </w:r>
      <w:r w:rsidR="006F159A" w:rsidRPr="006F159A">
        <w:rPr>
          <w:rFonts w:asciiTheme="majorHAnsi" w:eastAsia="SimSun" w:hAnsiTheme="majorHAnsi" w:cstheme="majorHAnsi"/>
          <w:lang w:eastAsia="en-AU"/>
        </w:rPr>
        <w:t xml:space="preserve"> </w:t>
      </w:r>
      <w:r w:rsidR="002D49B0">
        <w:rPr>
          <w:rFonts w:asciiTheme="majorHAnsi" w:eastAsia="SimSun" w:hAnsiTheme="majorHAnsi" w:cstheme="majorHAnsi"/>
          <w:lang w:eastAsia="en-AU"/>
        </w:rPr>
        <w:t>affirmed</w:t>
      </w:r>
      <w:r w:rsidR="002D49B0" w:rsidRPr="006F159A">
        <w:rPr>
          <w:rFonts w:asciiTheme="majorHAnsi" w:eastAsia="SimSun" w:hAnsiTheme="majorHAnsi" w:cstheme="majorHAnsi"/>
          <w:lang w:eastAsia="en-AU"/>
        </w:rPr>
        <w:t xml:space="preserve"> </w:t>
      </w:r>
      <w:r w:rsidR="006F159A" w:rsidRPr="006F159A">
        <w:rPr>
          <w:rFonts w:asciiTheme="majorHAnsi" w:eastAsia="SimSun" w:hAnsiTheme="majorHAnsi" w:cstheme="majorHAnsi"/>
          <w:lang w:eastAsia="en-AU"/>
        </w:rPr>
        <w:t>the scheme’s efficacy in supporting applied research</w:t>
      </w:r>
      <w:r w:rsidR="003F7E95">
        <w:rPr>
          <w:rFonts w:asciiTheme="majorHAnsi" w:eastAsia="SimSun" w:hAnsiTheme="majorHAnsi" w:cstheme="majorHAnsi"/>
          <w:lang w:eastAsia="en-AU"/>
        </w:rPr>
        <w:t xml:space="preserve">, </w:t>
      </w:r>
      <w:r w:rsidR="000F5C4B">
        <w:rPr>
          <w:rFonts w:asciiTheme="majorHAnsi" w:eastAsia="SimSun" w:hAnsiTheme="majorHAnsi" w:cstheme="majorHAnsi"/>
          <w:lang w:eastAsia="en-AU"/>
        </w:rPr>
        <w:t xml:space="preserve">though with </w:t>
      </w:r>
      <w:r w:rsidR="003E13BB">
        <w:rPr>
          <w:rFonts w:asciiTheme="majorHAnsi" w:eastAsia="SimSun" w:hAnsiTheme="majorHAnsi" w:cstheme="majorHAnsi"/>
          <w:lang w:eastAsia="en-AU"/>
        </w:rPr>
        <w:t xml:space="preserve">a lower level of </w:t>
      </w:r>
      <w:r w:rsidR="000F67FF">
        <w:rPr>
          <w:rFonts w:asciiTheme="majorHAnsi" w:eastAsia="SimSun" w:hAnsiTheme="majorHAnsi" w:cstheme="majorHAnsi"/>
          <w:lang w:eastAsia="en-AU"/>
        </w:rPr>
        <w:t xml:space="preserve">participant </w:t>
      </w:r>
      <w:r w:rsidR="003E13BB">
        <w:rPr>
          <w:rFonts w:asciiTheme="majorHAnsi" w:eastAsia="SimSun" w:hAnsiTheme="majorHAnsi" w:cstheme="majorHAnsi"/>
          <w:lang w:eastAsia="en-AU"/>
        </w:rPr>
        <w:t>agreement than for basic research</w:t>
      </w:r>
      <w:r w:rsidR="006F159A" w:rsidRPr="006F159A">
        <w:rPr>
          <w:rFonts w:asciiTheme="majorHAnsi" w:eastAsia="SimSun" w:hAnsiTheme="majorHAnsi" w:cstheme="majorHAnsi"/>
          <w:lang w:eastAsia="en-AU"/>
        </w:rPr>
        <w:t xml:space="preserve"> (see </w:t>
      </w:r>
      <w:r w:rsidR="006F159A" w:rsidRPr="006F159A">
        <w:rPr>
          <w:rFonts w:asciiTheme="majorHAnsi" w:eastAsia="SimSun" w:hAnsiTheme="majorHAnsi" w:cstheme="majorHAnsi"/>
          <w:lang w:eastAsia="en-AU"/>
        </w:rPr>
        <w:fldChar w:fldCharType="begin"/>
      </w:r>
      <w:r w:rsidR="006F159A" w:rsidRPr="006F159A">
        <w:rPr>
          <w:rFonts w:asciiTheme="majorHAnsi" w:eastAsia="SimSun" w:hAnsiTheme="majorHAnsi" w:cstheme="majorHAnsi"/>
          <w:lang w:eastAsia="en-AU"/>
        </w:rPr>
        <w:instrText xml:space="preserve"> REF _Ref49848523 \h  \* MERGEFORMAT </w:instrText>
      </w:r>
      <w:r w:rsidR="006F159A" w:rsidRPr="006F159A">
        <w:rPr>
          <w:rFonts w:asciiTheme="majorHAnsi" w:eastAsia="SimSun" w:hAnsiTheme="majorHAnsi" w:cstheme="majorHAnsi"/>
          <w:lang w:eastAsia="en-AU"/>
        </w:rPr>
      </w:r>
      <w:r w:rsidR="006F159A" w:rsidRPr="006F159A">
        <w:rPr>
          <w:rFonts w:asciiTheme="majorHAnsi" w:eastAsia="SimSun" w:hAnsiTheme="majorHAnsi" w:cstheme="majorHAnsi"/>
          <w:lang w:eastAsia="en-AU"/>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17</w:t>
      </w:r>
      <w:r w:rsidR="006F159A" w:rsidRPr="006F159A">
        <w:rPr>
          <w:rFonts w:asciiTheme="majorHAnsi" w:eastAsia="SimSun" w:hAnsiTheme="majorHAnsi" w:cstheme="majorHAnsi"/>
          <w:lang w:eastAsia="en-AU"/>
        </w:rPr>
        <w:fldChar w:fldCharType="end"/>
      </w:r>
      <w:r w:rsidR="006F159A" w:rsidRPr="006F159A">
        <w:rPr>
          <w:rFonts w:asciiTheme="majorHAnsi" w:eastAsia="SimSun" w:hAnsiTheme="majorHAnsi" w:cstheme="majorHAnsi"/>
          <w:lang w:eastAsia="en-AU"/>
        </w:rPr>
        <w:t xml:space="preserve">). </w:t>
      </w:r>
      <w:r w:rsidR="006A49DE">
        <w:rPr>
          <w:rFonts w:asciiTheme="majorHAnsi" w:eastAsia="SimSun" w:hAnsiTheme="majorHAnsi" w:cstheme="majorHAnsi"/>
          <w:lang w:eastAsia="en-AU"/>
        </w:rPr>
        <w:t>Against this backdrop,</w:t>
      </w:r>
      <w:r w:rsidR="00671CF4">
        <w:rPr>
          <w:rFonts w:asciiTheme="majorHAnsi" w:eastAsia="SimSun" w:hAnsiTheme="majorHAnsi" w:cstheme="majorHAnsi"/>
          <w:lang w:eastAsia="en-AU"/>
        </w:rPr>
        <w:t xml:space="preserve"> qualitative </w:t>
      </w:r>
      <w:r w:rsidR="006F159A" w:rsidRPr="006F159A">
        <w:rPr>
          <w:rFonts w:asciiTheme="majorHAnsi" w:eastAsia="SimSun" w:hAnsiTheme="majorHAnsi" w:cstheme="majorHAnsi"/>
          <w:lang w:eastAsia="en-AU"/>
        </w:rPr>
        <w:t>stakeholder</w:t>
      </w:r>
      <w:r w:rsidR="006A49DE">
        <w:rPr>
          <w:rFonts w:asciiTheme="majorHAnsi" w:eastAsia="SimSun" w:hAnsiTheme="majorHAnsi" w:cstheme="majorHAnsi"/>
          <w:lang w:eastAsia="en-AU"/>
        </w:rPr>
        <w:t xml:space="preserve"> </w:t>
      </w:r>
      <w:r w:rsidR="00671CF4">
        <w:rPr>
          <w:rFonts w:asciiTheme="majorHAnsi" w:eastAsia="SimSun" w:hAnsiTheme="majorHAnsi" w:cstheme="majorHAnsi"/>
          <w:lang w:eastAsia="en-AU"/>
        </w:rPr>
        <w:t>responses</w:t>
      </w:r>
      <w:r w:rsidR="006F159A" w:rsidRPr="006F159A">
        <w:rPr>
          <w:rFonts w:asciiTheme="majorHAnsi" w:eastAsia="SimSun" w:hAnsiTheme="majorHAnsi" w:cstheme="majorHAnsi"/>
          <w:lang w:eastAsia="en-AU"/>
        </w:rPr>
        <w:t xml:space="preserve"> </w:t>
      </w:r>
      <w:r w:rsidR="006A49DE">
        <w:rPr>
          <w:rFonts w:asciiTheme="majorHAnsi" w:eastAsia="SimSun" w:hAnsiTheme="majorHAnsi" w:cstheme="majorHAnsi"/>
          <w:lang w:eastAsia="en-AU"/>
        </w:rPr>
        <w:t>noted</w:t>
      </w:r>
      <w:r w:rsidR="006F159A" w:rsidRPr="006F159A">
        <w:rPr>
          <w:rFonts w:asciiTheme="majorHAnsi" w:eastAsia="SimSun" w:hAnsiTheme="majorHAnsi" w:cstheme="majorHAnsi"/>
          <w:lang w:eastAsia="en-AU"/>
        </w:rPr>
        <w:t xml:space="preserve"> that the scheme’s </w:t>
      </w:r>
      <w:r w:rsidR="00250854">
        <w:rPr>
          <w:rFonts w:asciiTheme="majorHAnsi" w:eastAsia="SimSun" w:hAnsiTheme="majorHAnsi" w:cstheme="majorHAnsi"/>
          <w:lang w:eastAsia="en-AU"/>
        </w:rPr>
        <w:t>support for</w:t>
      </w:r>
      <w:r w:rsidR="006F159A" w:rsidRPr="006F159A">
        <w:rPr>
          <w:rFonts w:asciiTheme="majorHAnsi" w:eastAsia="SimSun" w:hAnsiTheme="majorHAnsi" w:cstheme="majorHAnsi"/>
          <w:lang w:eastAsia="en-AU"/>
        </w:rPr>
        <w:t xml:space="preserve"> basic research indirectly contributed to applied outcomes </w:t>
      </w:r>
      <w:r w:rsidR="0031420A">
        <w:rPr>
          <w:rFonts w:asciiTheme="majorHAnsi" w:eastAsia="SimSun" w:hAnsiTheme="majorHAnsi" w:cstheme="majorHAnsi"/>
          <w:lang w:eastAsia="en-AU"/>
        </w:rPr>
        <w:t>by expanding</w:t>
      </w:r>
      <w:r w:rsidR="006F159A" w:rsidRPr="006F159A">
        <w:rPr>
          <w:rFonts w:asciiTheme="majorHAnsi" w:eastAsia="SimSun" w:hAnsiTheme="majorHAnsi" w:cstheme="majorHAnsi"/>
          <w:lang w:eastAsia="en-AU"/>
        </w:rPr>
        <w:t xml:space="preserve"> the fundamental knowledge base.</w:t>
      </w:r>
    </w:p>
    <w:p w14:paraId="3B066B07" w14:textId="3A7BA58C" w:rsidR="006F159A" w:rsidRPr="006F159A" w:rsidRDefault="0024236A" w:rsidP="004B69EF">
      <w:pPr>
        <w:pStyle w:val="Quote"/>
      </w:pPr>
      <w:r w:rsidRPr="0024236A">
        <w:t>(T)</w:t>
      </w:r>
      <w:r w:rsidR="006F159A" w:rsidRPr="0024236A">
        <w:t>he</w:t>
      </w:r>
      <w:r w:rsidR="006F159A" w:rsidRPr="006F159A">
        <w:t xml:space="preserve"> great discoveries and advances in human society have usually come from basic research, or basic pure research </w:t>
      </w:r>
      <w:r w:rsidR="006F159A" w:rsidRPr="00B72A74">
        <w:rPr>
          <w:i w:val="0"/>
          <w:iCs w:val="0"/>
        </w:rPr>
        <w:t>– (University Research Office)</w:t>
      </w:r>
    </w:p>
    <w:p w14:paraId="0044ADB5" w14:textId="77777777" w:rsidR="006F159A" w:rsidRPr="006F159A" w:rsidRDefault="006F159A" w:rsidP="004B69EF">
      <w:pPr>
        <w:pStyle w:val="Quote"/>
        <w:spacing w:after="240"/>
        <w:ind w:left="425" w:right="663"/>
      </w:pPr>
      <w:r w:rsidRPr="006F159A">
        <w:t xml:space="preserve">Basic research is essential. It is the foundation for all other research and also for translation. The Discovery Projects scheme, and other ARC schemes, has sought to encourage and amplify translation, and my sense is that this is now something that recipients put a premium on </w:t>
      </w:r>
      <w:r w:rsidRPr="00B72A74">
        <w:rPr>
          <w:i w:val="0"/>
          <w:iCs w:val="0"/>
        </w:rPr>
        <w:t>– (Researcher)</w:t>
      </w:r>
    </w:p>
    <w:p w14:paraId="65C8BB23" w14:textId="7E9FC125" w:rsidR="006F159A" w:rsidRPr="006F159A" w:rsidRDefault="00F67459" w:rsidP="006F159A">
      <w:pPr>
        <w:spacing w:after="240"/>
        <w:rPr>
          <w:rFonts w:asciiTheme="majorHAnsi" w:eastAsia="SimSun" w:hAnsiTheme="majorHAnsi" w:cstheme="majorHAnsi"/>
          <w:lang w:eastAsia="en-AU"/>
        </w:rPr>
      </w:pPr>
      <w:r>
        <w:rPr>
          <w:rFonts w:asciiTheme="majorHAnsi" w:eastAsia="SimSun" w:hAnsiTheme="majorHAnsi" w:cstheme="majorHAnsi"/>
          <w:lang w:eastAsia="en-AU"/>
        </w:rPr>
        <w:t xml:space="preserve">Despite </w:t>
      </w:r>
      <w:r w:rsidR="00F11198">
        <w:rPr>
          <w:rFonts w:asciiTheme="majorHAnsi" w:eastAsia="SimSun" w:hAnsiTheme="majorHAnsi" w:cstheme="majorHAnsi"/>
          <w:lang w:eastAsia="en-AU"/>
        </w:rPr>
        <w:t xml:space="preserve">stakeholders’ </w:t>
      </w:r>
      <w:r w:rsidR="00524FE1">
        <w:rPr>
          <w:rFonts w:asciiTheme="majorHAnsi" w:eastAsia="SimSun" w:hAnsiTheme="majorHAnsi" w:cstheme="majorHAnsi"/>
          <w:lang w:eastAsia="en-AU"/>
        </w:rPr>
        <w:t>overall</w:t>
      </w:r>
      <w:r w:rsidR="00F11198">
        <w:rPr>
          <w:rFonts w:asciiTheme="majorHAnsi" w:eastAsia="SimSun" w:hAnsiTheme="majorHAnsi" w:cstheme="majorHAnsi"/>
          <w:lang w:eastAsia="en-AU"/>
        </w:rPr>
        <w:t xml:space="preserve"> emphasis on</w:t>
      </w:r>
      <w:r w:rsidR="00DD7DAB" w:rsidRPr="006F159A">
        <w:rPr>
          <w:rFonts w:asciiTheme="majorHAnsi" w:eastAsia="SimSun" w:hAnsiTheme="majorHAnsi" w:cstheme="majorHAnsi"/>
          <w:lang w:eastAsia="en-AU"/>
        </w:rPr>
        <w:t xml:space="preserve"> </w:t>
      </w:r>
      <w:r w:rsidR="006F159A" w:rsidRPr="006F159A">
        <w:rPr>
          <w:rFonts w:asciiTheme="majorHAnsi" w:eastAsia="SimSun" w:hAnsiTheme="majorHAnsi" w:cstheme="majorHAnsi"/>
          <w:lang w:eastAsia="en-AU"/>
        </w:rPr>
        <w:t xml:space="preserve">the effectiveness of Discovery Projects’ support for basic research, </w:t>
      </w:r>
      <w:r w:rsidR="00867707">
        <w:rPr>
          <w:rFonts w:asciiTheme="majorHAnsi" w:eastAsia="SimSun" w:hAnsiTheme="majorHAnsi" w:cstheme="majorHAnsi"/>
          <w:lang w:eastAsia="en-AU"/>
        </w:rPr>
        <w:t>qualitative</w:t>
      </w:r>
      <w:r w:rsidR="006F159A" w:rsidRPr="006F159A">
        <w:rPr>
          <w:rFonts w:asciiTheme="majorHAnsi" w:eastAsia="SimSun" w:hAnsiTheme="majorHAnsi" w:cstheme="majorHAnsi"/>
          <w:lang w:eastAsia="en-AU"/>
        </w:rPr>
        <w:t xml:space="preserve"> </w:t>
      </w:r>
      <w:r w:rsidR="0079679E">
        <w:rPr>
          <w:rFonts w:asciiTheme="majorHAnsi" w:eastAsia="SimSun" w:hAnsiTheme="majorHAnsi" w:cstheme="majorHAnsi"/>
          <w:lang w:eastAsia="en-AU"/>
        </w:rPr>
        <w:t xml:space="preserve">feedback included views that </w:t>
      </w:r>
      <w:r w:rsidR="006F159A" w:rsidRPr="006F159A">
        <w:rPr>
          <w:rFonts w:asciiTheme="majorHAnsi" w:eastAsia="SimSun" w:hAnsiTheme="majorHAnsi" w:cstheme="majorHAnsi"/>
          <w:lang w:eastAsia="en-AU"/>
        </w:rPr>
        <w:t>certain elements of the scheme’s design potentially imped</w:t>
      </w:r>
      <w:r w:rsidR="00680D4F">
        <w:rPr>
          <w:rFonts w:asciiTheme="majorHAnsi" w:eastAsia="SimSun" w:hAnsiTheme="majorHAnsi" w:cstheme="majorHAnsi"/>
          <w:lang w:eastAsia="en-AU"/>
        </w:rPr>
        <w:t>e</w:t>
      </w:r>
      <w:r w:rsidR="006F159A" w:rsidRPr="006F159A">
        <w:rPr>
          <w:rFonts w:asciiTheme="majorHAnsi" w:eastAsia="SimSun" w:hAnsiTheme="majorHAnsi" w:cstheme="majorHAnsi"/>
          <w:lang w:eastAsia="en-AU"/>
        </w:rPr>
        <w:t xml:space="preserve"> the provision of funding opportunities to innovative, ‘blue sky’ proposals. The</w:t>
      </w:r>
      <w:r w:rsidR="000D15DD">
        <w:rPr>
          <w:rFonts w:asciiTheme="majorHAnsi" w:eastAsia="SimSun" w:hAnsiTheme="majorHAnsi" w:cstheme="majorHAnsi"/>
          <w:lang w:eastAsia="en-AU"/>
        </w:rPr>
        <w:t xml:space="preserve"> perceived</w:t>
      </w:r>
      <w:r w:rsidR="006F159A" w:rsidRPr="006F159A">
        <w:rPr>
          <w:rFonts w:asciiTheme="majorHAnsi" w:eastAsia="SimSun" w:hAnsiTheme="majorHAnsi" w:cstheme="majorHAnsi"/>
          <w:lang w:eastAsia="en-AU"/>
        </w:rPr>
        <w:t xml:space="preserve"> importance of an established ‘track record’</w:t>
      </w:r>
      <w:r w:rsidR="00623971">
        <w:rPr>
          <w:rFonts w:asciiTheme="majorHAnsi" w:eastAsia="SimSun" w:hAnsiTheme="majorHAnsi" w:cstheme="majorHAnsi"/>
          <w:lang w:eastAsia="en-AU"/>
        </w:rPr>
        <w:t>,</w:t>
      </w:r>
      <w:r w:rsidR="006F159A" w:rsidRPr="006F159A">
        <w:rPr>
          <w:rFonts w:asciiTheme="majorHAnsi" w:eastAsia="SimSun" w:hAnsiTheme="majorHAnsi" w:cstheme="majorHAnsi"/>
          <w:vertAlign w:val="superscript"/>
          <w:lang w:eastAsia="en-AU"/>
        </w:rPr>
        <w:footnoteReference w:id="46"/>
      </w:r>
      <w:r w:rsidR="006F159A" w:rsidRPr="006F159A">
        <w:rPr>
          <w:rFonts w:asciiTheme="majorHAnsi" w:eastAsia="SimSun" w:hAnsiTheme="majorHAnsi" w:cstheme="majorHAnsi"/>
          <w:lang w:eastAsia="en-AU"/>
        </w:rPr>
        <w:t xml:space="preserve"> of grounding proposals in pre-existing bodies of knowledge</w:t>
      </w:r>
      <w:r w:rsidR="000758CB">
        <w:rPr>
          <w:rFonts w:asciiTheme="majorHAnsi" w:eastAsia="SimSun" w:hAnsiTheme="majorHAnsi" w:cstheme="majorHAnsi"/>
          <w:lang w:eastAsia="en-AU"/>
        </w:rPr>
        <w:t xml:space="preserve"> or </w:t>
      </w:r>
      <w:r w:rsidR="006F159A" w:rsidRPr="006F159A">
        <w:rPr>
          <w:rFonts w:asciiTheme="majorHAnsi" w:eastAsia="SimSun" w:hAnsiTheme="majorHAnsi" w:cstheme="majorHAnsi"/>
          <w:lang w:eastAsia="en-AU"/>
        </w:rPr>
        <w:t xml:space="preserve">evidence, and of demonstrating feasibility to ensure competitiveness within peer review processes were sometimes thought to favour more conservative applications. The scheme’s focus on delivering economic, commercial, environmental, social and cultural benefits, and addressing Australian Government research priorities, also raised concerns about its compatibility with unrestricted, fundamental </w:t>
      </w:r>
      <w:r w:rsidR="006F159A" w:rsidRPr="00880CE8">
        <w:rPr>
          <w:rFonts w:asciiTheme="majorHAnsi" w:eastAsia="SimSun" w:hAnsiTheme="majorHAnsi" w:cstheme="majorHAnsi"/>
          <w:lang w:eastAsia="en-AU"/>
        </w:rPr>
        <w:t xml:space="preserve">academic enquiry (see </w:t>
      </w:r>
      <w:hyperlink w:anchor="_Qualitative_stakeholder_feedback—ap_1" w:history="1">
        <w:r w:rsidR="00354F45" w:rsidRPr="00281670">
          <w:rPr>
            <w:rStyle w:val="Hyperlink"/>
            <w:rFonts w:eastAsia="SimSun" w:cstheme="majorHAnsi"/>
            <w:color w:val="auto"/>
            <w:sz w:val="22"/>
            <w:u w:val="none"/>
            <w:lang w:eastAsia="en-AU"/>
          </w:rPr>
          <w:t>Section 5.2.2</w:t>
        </w:r>
      </w:hyperlink>
      <w:r w:rsidR="00354F45" w:rsidRPr="00281670">
        <w:rPr>
          <w:rFonts w:asciiTheme="majorHAnsi" w:eastAsia="SimSun" w:hAnsiTheme="majorHAnsi" w:cstheme="majorHAnsi"/>
          <w:lang w:eastAsia="en-AU"/>
        </w:rPr>
        <w:t xml:space="preserve"> and </w:t>
      </w:r>
      <w:hyperlink w:anchor="_Qualitative_stakeholder_feedback—ap" w:history="1">
        <w:r w:rsidR="00354F45" w:rsidRPr="00281670">
          <w:rPr>
            <w:rStyle w:val="Hyperlink"/>
            <w:rFonts w:eastAsia="SimSun" w:cstheme="majorHAnsi"/>
            <w:color w:val="auto"/>
            <w:sz w:val="22"/>
            <w:u w:val="none"/>
            <w:lang w:eastAsia="en-AU"/>
          </w:rPr>
          <w:t>5.2.3</w:t>
        </w:r>
      </w:hyperlink>
      <w:r w:rsidR="006F159A" w:rsidRPr="00880CE8">
        <w:rPr>
          <w:rFonts w:asciiTheme="majorHAnsi" w:eastAsia="SimSun" w:hAnsiTheme="majorHAnsi" w:cstheme="majorHAnsi"/>
          <w:lang w:eastAsia="en-AU"/>
        </w:rPr>
        <w:t xml:space="preserve"> for further</w:t>
      </w:r>
      <w:r w:rsidR="006F159A" w:rsidRPr="00354F45">
        <w:rPr>
          <w:rFonts w:asciiTheme="majorHAnsi" w:eastAsia="SimSun" w:hAnsiTheme="majorHAnsi" w:cstheme="majorHAnsi"/>
          <w:lang w:eastAsia="en-AU"/>
        </w:rPr>
        <w:t xml:space="preserve"> </w:t>
      </w:r>
      <w:r w:rsidR="006F159A" w:rsidRPr="006F159A">
        <w:rPr>
          <w:rFonts w:asciiTheme="majorHAnsi" w:eastAsia="SimSun" w:hAnsiTheme="majorHAnsi" w:cstheme="majorHAnsi"/>
          <w:lang w:eastAsia="en-AU"/>
        </w:rPr>
        <w:t>discussion).</w:t>
      </w:r>
      <w:r w:rsidR="00442EB0">
        <w:rPr>
          <w:rStyle w:val="FootnoteReference"/>
          <w:rFonts w:asciiTheme="majorHAnsi" w:eastAsia="SimSun" w:hAnsiTheme="majorHAnsi" w:cstheme="majorHAnsi"/>
          <w:lang w:eastAsia="en-AU"/>
        </w:rPr>
        <w:footnoteReference w:id="47"/>
      </w:r>
      <w:r w:rsidR="006F159A" w:rsidRPr="006F159A">
        <w:rPr>
          <w:rFonts w:asciiTheme="majorHAnsi" w:eastAsia="SimSun" w:hAnsiTheme="majorHAnsi" w:cstheme="majorHAnsi"/>
          <w:lang w:eastAsia="en-AU"/>
        </w:rPr>
        <w:t xml:space="preserve"> </w:t>
      </w:r>
    </w:p>
    <w:p w14:paraId="60C02B5F" w14:textId="77777777" w:rsidR="006F159A" w:rsidRPr="006F159A" w:rsidRDefault="006F159A" w:rsidP="004B69EF">
      <w:pPr>
        <w:pStyle w:val="Quote"/>
      </w:pPr>
      <w:r w:rsidRPr="006F159A">
        <w:rPr>
          <w:lang w:val="en-US"/>
        </w:rPr>
        <w:t xml:space="preserve">High risk basic research is not supported. There is a clear expectation that the research will be applied within a few years. This is particularly evident in the 'benefit' section. An overhaul to shift the focus from incremental research to new fundamental basic research is needed. If this scheme is not going to support fundamental high risk research who in Australia is going to? </w:t>
      </w:r>
      <w:r w:rsidRPr="00B72A74">
        <w:rPr>
          <w:i w:val="0"/>
          <w:iCs w:val="0"/>
        </w:rPr>
        <w:t>– (Researcher)</w:t>
      </w:r>
    </w:p>
    <w:p w14:paraId="474CB4D3" w14:textId="77777777" w:rsidR="006F159A" w:rsidRPr="006F159A" w:rsidRDefault="006F159A" w:rsidP="004B69EF">
      <w:pPr>
        <w:pStyle w:val="Quote"/>
      </w:pPr>
      <w:r w:rsidRPr="006F159A">
        <w:t xml:space="preserve">The Discovery Projects scheme should support high risk, fundamental research much more strongly than it presently does. The problem is (a) the emphasis on National Priorities and </w:t>
      </w:r>
      <w:r w:rsidRPr="006F159A">
        <w:lastRenderedPageBreak/>
        <w:t xml:space="preserve">(b) the ‘feasibility’ and ‘benefit’ assessment criteria. Proposals focused on the most fundamental work (and that of the greatest potential for disruptive/game-changing ideas) can never rate highly against more derivative, yet applied work </w:t>
      </w:r>
      <w:r w:rsidRPr="00B72A74">
        <w:rPr>
          <w:i w:val="0"/>
          <w:iCs w:val="0"/>
        </w:rPr>
        <w:t>– (Researcher)</w:t>
      </w:r>
    </w:p>
    <w:p w14:paraId="64C1F045" w14:textId="77777777" w:rsidR="006F159A" w:rsidRPr="006F159A" w:rsidRDefault="006F159A" w:rsidP="004B69EF">
      <w:pPr>
        <w:pStyle w:val="Quote"/>
        <w:spacing w:after="240"/>
        <w:ind w:left="425" w:right="663"/>
      </w:pPr>
      <w:r w:rsidRPr="006F159A">
        <w:t xml:space="preserve">The relatively small overall pot of money means that grants are inevitably biased towards the most applied projects with the most visible chances of success, which also tends to favour establish(ed) researchers with substantial track records. This also means that innovative basic research is very rarely funded, with the result that ARC funding is seen as not available for basic research </w:t>
      </w:r>
      <w:r w:rsidRPr="003E0DE0">
        <w:rPr>
          <w:i w:val="0"/>
          <w:iCs w:val="0"/>
        </w:rPr>
        <w:t>– (Researcher)</w:t>
      </w:r>
    </w:p>
    <w:p w14:paraId="6EE343A5" w14:textId="49603746" w:rsidR="00F15559" w:rsidRDefault="00497E40" w:rsidP="009D016E">
      <w:pPr>
        <w:spacing w:after="120"/>
        <w:rPr>
          <w:rFonts w:asciiTheme="majorHAnsi" w:eastAsia="SimSun" w:hAnsiTheme="majorHAnsi" w:cstheme="majorHAnsi"/>
          <w:lang w:eastAsia="en-AU"/>
        </w:rPr>
      </w:pPr>
      <w:r>
        <w:rPr>
          <w:rFonts w:asciiTheme="majorHAnsi" w:eastAsia="SimSun" w:hAnsiTheme="majorHAnsi" w:cstheme="majorHAnsi"/>
          <w:lang w:eastAsia="en-AU"/>
        </w:rPr>
        <w:t>I</w:t>
      </w:r>
      <w:r w:rsidR="003D67BC">
        <w:rPr>
          <w:rFonts w:asciiTheme="majorHAnsi" w:eastAsia="SimSun" w:hAnsiTheme="majorHAnsi" w:cstheme="majorHAnsi"/>
          <w:lang w:eastAsia="en-AU"/>
        </w:rPr>
        <w:t xml:space="preserve">t is important to note that the current </w:t>
      </w:r>
      <w:r w:rsidR="009D016E" w:rsidRPr="006F159A">
        <w:rPr>
          <w:rFonts w:asciiTheme="majorHAnsi" w:eastAsia="SimSun" w:hAnsiTheme="majorHAnsi" w:cstheme="majorHAnsi"/>
          <w:lang w:eastAsia="en-AU"/>
        </w:rPr>
        <w:t xml:space="preserve">Project Quality and Innovation </w:t>
      </w:r>
      <w:r w:rsidR="009D016E">
        <w:rPr>
          <w:rFonts w:asciiTheme="majorHAnsi" w:eastAsia="SimSun" w:hAnsiTheme="majorHAnsi" w:cstheme="majorHAnsi"/>
          <w:lang w:eastAsia="en-AU"/>
        </w:rPr>
        <w:t>assessment</w:t>
      </w:r>
      <w:r w:rsidR="009D016E" w:rsidRPr="006F159A">
        <w:rPr>
          <w:rFonts w:asciiTheme="majorHAnsi" w:eastAsia="SimSun" w:hAnsiTheme="majorHAnsi" w:cstheme="majorHAnsi"/>
          <w:lang w:eastAsia="en-AU"/>
        </w:rPr>
        <w:t xml:space="preserve"> criterion </w:t>
      </w:r>
      <w:r w:rsidR="004B3C1C">
        <w:rPr>
          <w:rFonts w:asciiTheme="majorHAnsi" w:eastAsia="SimSun" w:hAnsiTheme="majorHAnsi" w:cstheme="majorHAnsi"/>
          <w:lang w:eastAsia="en-AU"/>
        </w:rPr>
        <w:t xml:space="preserve">requires </w:t>
      </w:r>
      <w:r w:rsidR="003D67BC">
        <w:rPr>
          <w:rFonts w:asciiTheme="majorHAnsi" w:eastAsia="SimSun" w:hAnsiTheme="majorHAnsi" w:cstheme="majorHAnsi"/>
          <w:lang w:eastAsia="en-AU"/>
        </w:rPr>
        <w:t xml:space="preserve">Discovery Projects </w:t>
      </w:r>
      <w:r w:rsidR="004B3C1C">
        <w:rPr>
          <w:rFonts w:asciiTheme="majorHAnsi" w:eastAsia="SimSun" w:hAnsiTheme="majorHAnsi" w:cstheme="majorHAnsi"/>
          <w:lang w:eastAsia="en-AU"/>
        </w:rPr>
        <w:t xml:space="preserve">peer reviewers to assess applications with respect </w:t>
      </w:r>
      <w:r w:rsidR="009D016E" w:rsidRPr="006F159A">
        <w:rPr>
          <w:rFonts w:asciiTheme="majorHAnsi" w:eastAsia="SimSun" w:hAnsiTheme="majorHAnsi" w:cstheme="majorHAnsi"/>
          <w:lang w:eastAsia="en-AU"/>
        </w:rPr>
        <w:t xml:space="preserve">to the </w:t>
      </w:r>
      <w:r w:rsidR="009D016E">
        <w:rPr>
          <w:rFonts w:asciiTheme="majorHAnsi" w:eastAsia="SimSun" w:hAnsiTheme="majorHAnsi" w:cstheme="majorHAnsi"/>
          <w:lang w:eastAsia="en-AU"/>
        </w:rPr>
        <w:t>‘</w:t>
      </w:r>
      <w:r w:rsidR="009D016E" w:rsidRPr="006F159A">
        <w:rPr>
          <w:rFonts w:asciiTheme="majorHAnsi" w:eastAsia="SimSun" w:hAnsiTheme="majorHAnsi" w:cstheme="majorHAnsi"/>
          <w:lang w:eastAsia="en-AU"/>
        </w:rPr>
        <w:t>novelty/originality and innovation of the proposed research</w:t>
      </w:r>
      <w:r w:rsidR="009D016E">
        <w:rPr>
          <w:rFonts w:asciiTheme="majorHAnsi" w:eastAsia="SimSun" w:hAnsiTheme="majorHAnsi" w:cstheme="majorHAnsi"/>
          <w:lang w:eastAsia="en-AU"/>
        </w:rPr>
        <w:t>’</w:t>
      </w:r>
      <w:r w:rsidR="009D016E" w:rsidRPr="006F159A">
        <w:rPr>
          <w:rFonts w:asciiTheme="majorHAnsi" w:eastAsia="SimSun" w:hAnsiTheme="majorHAnsi" w:cstheme="majorHAnsi"/>
          <w:lang w:eastAsia="en-AU"/>
        </w:rPr>
        <w:t>.</w:t>
      </w:r>
      <w:r w:rsidR="00267CFB">
        <w:rPr>
          <w:rFonts w:asciiTheme="majorHAnsi" w:eastAsia="SimSun" w:hAnsiTheme="majorHAnsi" w:cstheme="majorHAnsi"/>
          <w:lang w:eastAsia="en-AU"/>
        </w:rPr>
        <w:t xml:space="preserve"> </w:t>
      </w:r>
      <w:r w:rsidR="00F15559">
        <w:rPr>
          <w:rFonts w:asciiTheme="majorHAnsi" w:eastAsia="SimSun" w:hAnsiTheme="majorHAnsi" w:cstheme="majorHAnsi"/>
          <w:lang w:eastAsia="en-AU"/>
        </w:rPr>
        <w:t>It should also be</w:t>
      </w:r>
      <w:r w:rsidR="00F15559" w:rsidRPr="006F159A">
        <w:rPr>
          <w:rFonts w:asciiTheme="majorHAnsi" w:eastAsia="SimSun" w:hAnsiTheme="majorHAnsi" w:cstheme="majorHAnsi"/>
          <w:lang w:eastAsia="en-AU"/>
        </w:rPr>
        <w:t xml:space="preserve"> acknowledge</w:t>
      </w:r>
      <w:r w:rsidR="00F15559">
        <w:rPr>
          <w:rFonts w:asciiTheme="majorHAnsi" w:eastAsia="SimSun" w:hAnsiTheme="majorHAnsi" w:cstheme="majorHAnsi"/>
          <w:lang w:eastAsia="en-AU"/>
        </w:rPr>
        <w:t>d</w:t>
      </w:r>
      <w:r w:rsidR="00F15559" w:rsidRPr="006F159A">
        <w:rPr>
          <w:rFonts w:asciiTheme="majorHAnsi" w:eastAsia="SimSun" w:hAnsiTheme="majorHAnsi" w:cstheme="majorHAnsi"/>
          <w:lang w:eastAsia="en-AU"/>
        </w:rPr>
        <w:t xml:space="preserve"> that innovative research </w:t>
      </w:r>
      <w:r w:rsidR="00F15559">
        <w:rPr>
          <w:rFonts w:asciiTheme="majorHAnsi" w:eastAsia="SimSun" w:hAnsiTheme="majorHAnsi" w:cstheme="majorHAnsi"/>
          <w:lang w:eastAsia="en-AU"/>
        </w:rPr>
        <w:t>is</w:t>
      </w:r>
      <w:r w:rsidR="00F15559" w:rsidRPr="006F159A">
        <w:rPr>
          <w:rFonts w:asciiTheme="majorHAnsi" w:eastAsia="SimSun" w:hAnsiTheme="majorHAnsi" w:cstheme="majorHAnsi"/>
          <w:lang w:eastAsia="en-AU"/>
        </w:rPr>
        <w:t xml:space="preserve"> conducted by researchers across a range of career stages, and that elements of ‘risk’ may be characteristic of both basic and applied work. </w:t>
      </w:r>
    </w:p>
    <w:p w14:paraId="3B380AF3" w14:textId="51C1B6E1" w:rsidR="00AD7115" w:rsidRPr="006F159A" w:rsidRDefault="00B72277" w:rsidP="009D016E">
      <w:pPr>
        <w:spacing w:after="120"/>
        <w:rPr>
          <w:rFonts w:asciiTheme="majorHAnsi" w:eastAsia="SimSun" w:hAnsiTheme="majorHAnsi" w:cstheme="majorHAnsi"/>
          <w:lang w:eastAsia="en-AU"/>
        </w:rPr>
      </w:pPr>
      <w:r>
        <w:rPr>
          <w:rFonts w:asciiTheme="majorHAnsi" w:eastAsia="SimSun" w:hAnsiTheme="majorHAnsi" w:cstheme="majorHAnsi"/>
          <w:lang w:eastAsia="en-AU"/>
        </w:rPr>
        <w:t>Discovery Projects is</w:t>
      </w:r>
      <w:r w:rsidR="008E3B9F">
        <w:rPr>
          <w:rFonts w:asciiTheme="majorHAnsi" w:eastAsia="SimSun" w:hAnsiTheme="majorHAnsi" w:cstheme="majorHAnsi"/>
          <w:lang w:eastAsia="en-AU"/>
        </w:rPr>
        <w:t xml:space="preserve"> designed to</w:t>
      </w:r>
      <w:r w:rsidR="008E3B9F" w:rsidRPr="006F159A">
        <w:rPr>
          <w:rFonts w:asciiTheme="majorHAnsi" w:eastAsia="SimSun" w:hAnsiTheme="majorHAnsi" w:cstheme="majorHAnsi"/>
          <w:lang w:eastAsia="en-AU"/>
        </w:rPr>
        <w:t xml:space="preserve"> balance support for innovative research with mechanisms ensuring public funding is directed to excellen</w:t>
      </w:r>
      <w:r w:rsidR="008E3B9F">
        <w:rPr>
          <w:rFonts w:asciiTheme="majorHAnsi" w:eastAsia="SimSun" w:hAnsiTheme="majorHAnsi" w:cstheme="majorHAnsi"/>
          <w:lang w:eastAsia="en-AU"/>
        </w:rPr>
        <w:t>t research and researchers</w:t>
      </w:r>
      <w:r w:rsidR="008E3B9F" w:rsidRPr="006F159A">
        <w:rPr>
          <w:rFonts w:asciiTheme="majorHAnsi" w:eastAsia="SimSun" w:hAnsiTheme="majorHAnsi" w:cstheme="majorHAnsi"/>
          <w:lang w:eastAsia="en-AU"/>
        </w:rPr>
        <w:t>,</w:t>
      </w:r>
      <w:r w:rsidR="008E3B9F">
        <w:rPr>
          <w:rFonts w:asciiTheme="majorHAnsi" w:eastAsia="SimSun" w:hAnsiTheme="majorHAnsi" w:cstheme="majorHAnsi"/>
          <w:lang w:eastAsia="en-AU"/>
        </w:rPr>
        <w:t xml:space="preserve"> and to projects that will</w:t>
      </w:r>
      <w:r w:rsidR="008E3B9F" w:rsidRPr="006F159A">
        <w:rPr>
          <w:rFonts w:asciiTheme="majorHAnsi" w:eastAsia="SimSun" w:hAnsiTheme="majorHAnsi" w:cstheme="majorHAnsi"/>
          <w:lang w:eastAsia="en-AU"/>
        </w:rPr>
        <w:t xml:space="preserve"> deliver positive outcomes</w:t>
      </w:r>
      <w:r w:rsidR="00DE49DE">
        <w:rPr>
          <w:rFonts w:asciiTheme="majorHAnsi" w:eastAsia="SimSun" w:hAnsiTheme="majorHAnsi" w:cstheme="majorHAnsi"/>
          <w:lang w:eastAsia="en-AU"/>
        </w:rPr>
        <w:t xml:space="preserve"> within and beyond academia</w:t>
      </w:r>
      <w:r w:rsidR="008E3B9F" w:rsidRPr="006F159A">
        <w:rPr>
          <w:rFonts w:asciiTheme="majorHAnsi" w:eastAsia="SimSun" w:hAnsiTheme="majorHAnsi" w:cstheme="majorHAnsi"/>
          <w:lang w:eastAsia="en-AU"/>
        </w:rPr>
        <w:t>.</w:t>
      </w:r>
      <w:r w:rsidR="00F15559">
        <w:rPr>
          <w:rFonts w:asciiTheme="majorHAnsi" w:eastAsia="SimSun" w:hAnsiTheme="majorHAnsi" w:cstheme="majorHAnsi"/>
          <w:lang w:eastAsia="en-AU"/>
        </w:rPr>
        <w:t xml:space="preserve"> </w:t>
      </w:r>
      <w:r w:rsidR="009D016E">
        <w:rPr>
          <w:rFonts w:asciiTheme="majorHAnsi" w:eastAsia="SimSun" w:hAnsiTheme="majorHAnsi" w:cstheme="majorHAnsi"/>
          <w:lang w:eastAsia="en-AU"/>
        </w:rPr>
        <w:t>A</w:t>
      </w:r>
      <w:r w:rsidR="009D016E" w:rsidRPr="006F159A">
        <w:rPr>
          <w:rFonts w:asciiTheme="majorHAnsi" w:eastAsia="SimSun" w:hAnsiTheme="majorHAnsi" w:cstheme="majorHAnsi"/>
          <w:lang w:eastAsia="en-AU"/>
        </w:rPr>
        <w:t xml:space="preserve">s </w:t>
      </w:r>
      <w:r w:rsidR="009D016E" w:rsidRPr="00880CE8">
        <w:rPr>
          <w:rFonts w:asciiTheme="majorHAnsi" w:eastAsia="SimSun" w:hAnsiTheme="majorHAnsi" w:cstheme="majorHAnsi"/>
          <w:lang w:eastAsia="en-AU"/>
        </w:rPr>
        <w:t>demonstrated earlier</w:t>
      </w:r>
      <w:r w:rsidR="00B344B7" w:rsidRPr="00880CE8">
        <w:rPr>
          <w:rFonts w:asciiTheme="majorHAnsi" w:eastAsia="SimSun" w:hAnsiTheme="majorHAnsi" w:cstheme="majorHAnsi"/>
          <w:lang w:eastAsia="en-AU"/>
        </w:rPr>
        <w:t xml:space="preserve"> (</w:t>
      </w:r>
      <w:hyperlink w:anchor="_ARC_data—excellent_basic" w:history="1">
        <w:r w:rsidR="00354F45" w:rsidRPr="00281670">
          <w:rPr>
            <w:rStyle w:val="Hyperlink"/>
            <w:rFonts w:eastAsia="SimSun" w:cstheme="majorHAnsi"/>
            <w:color w:val="auto"/>
            <w:sz w:val="22"/>
            <w:u w:val="none"/>
            <w:lang w:eastAsia="en-AU"/>
          </w:rPr>
          <w:t>Section 3.2.1</w:t>
        </w:r>
      </w:hyperlink>
      <w:r w:rsidR="00B344B7" w:rsidRPr="00880CE8">
        <w:rPr>
          <w:rFonts w:asciiTheme="majorHAnsi" w:eastAsia="SimSun" w:hAnsiTheme="majorHAnsi" w:cstheme="majorHAnsi"/>
          <w:lang w:eastAsia="en-AU"/>
        </w:rPr>
        <w:t>)</w:t>
      </w:r>
      <w:r w:rsidR="009D016E" w:rsidRPr="00880CE8">
        <w:rPr>
          <w:rFonts w:asciiTheme="majorHAnsi" w:eastAsia="SimSun" w:hAnsiTheme="majorHAnsi" w:cstheme="majorHAnsi"/>
          <w:lang w:eastAsia="en-AU"/>
        </w:rPr>
        <w:t>, it appears</w:t>
      </w:r>
      <w:r w:rsidR="009D016E" w:rsidRPr="006F159A">
        <w:rPr>
          <w:rFonts w:asciiTheme="majorHAnsi" w:eastAsia="SimSun" w:hAnsiTheme="majorHAnsi" w:cstheme="majorHAnsi"/>
          <w:lang w:eastAsia="en-AU"/>
        </w:rPr>
        <w:t xml:space="preserve"> that the balance of Discovery Projects’ funding has been shifting towards basic research over recent funding rounds. </w:t>
      </w:r>
      <w:r w:rsidR="008579EF">
        <w:rPr>
          <w:rFonts w:asciiTheme="majorHAnsi" w:eastAsia="SimSun" w:hAnsiTheme="majorHAnsi" w:cstheme="majorHAnsi"/>
          <w:lang w:eastAsia="en-AU"/>
        </w:rPr>
        <w:t xml:space="preserve">The appropriateness of this is discussed further in Part </w:t>
      </w:r>
      <w:r w:rsidR="00860345">
        <w:rPr>
          <w:rFonts w:asciiTheme="majorHAnsi" w:eastAsia="SimSun" w:hAnsiTheme="majorHAnsi" w:cstheme="majorHAnsi"/>
          <w:lang w:eastAsia="en-AU"/>
        </w:rPr>
        <w:t xml:space="preserve">5, </w:t>
      </w:r>
      <w:r w:rsidR="008579EF">
        <w:rPr>
          <w:rFonts w:asciiTheme="majorHAnsi" w:eastAsia="SimSun" w:hAnsiTheme="majorHAnsi" w:cstheme="majorHAnsi"/>
          <w:lang w:eastAsia="en-AU"/>
        </w:rPr>
        <w:t>in the context of the scheme’s role</w:t>
      </w:r>
      <w:r w:rsidRPr="006F159A">
        <w:rPr>
          <w:rFonts w:asciiTheme="majorHAnsi" w:eastAsia="SimSun" w:hAnsiTheme="majorHAnsi" w:cstheme="majorHAnsi"/>
          <w:lang w:eastAsia="en-AU"/>
        </w:rPr>
        <w:t xml:space="preserve"> within the Australian Government’s </w:t>
      </w:r>
      <w:r>
        <w:rPr>
          <w:rFonts w:asciiTheme="majorHAnsi" w:eastAsia="SimSun" w:hAnsiTheme="majorHAnsi" w:cstheme="majorHAnsi"/>
          <w:lang w:eastAsia="en-AU"/>
        </w:rPr>
        <w:t xml:space="preserve">overall </w:t>
      </w:r>
      <w:r w:rsidRPr="006F159A">
        <w:rPr>
          <w:rFonts w:asciiTheme="majorHAnsi" w:eastAsia="SimSun" w:hAnsiTheme="majorHAnsi" w:cstheme="majorHAnsi"/>
          <w:lang w:eastAsia="en-AU"/>
        </w:rPr>
        <w:t>investment in research and development</w:t>
      </w:r>
      <w:r>
        <w:rPr>
          <w:rFonts w:asciiTheme="majorHAnsi" w:eastAsia="SimSun" w:hAnsiTheme="majorHAnsi" w:cstheme="majorHAnsi"/>
          <w:lang w:eastAsia="en-AU"/>
        </w:rPr>
        <w:t xml:space="preserve"> (R&amp;D</w:t>
      </w:r>
      <w:r w:rsidRPr="006F159A">
        <w:rPr>
          <w:rFonts w:asciiTheme="majorHAnsi" w:eastAsia="SimSun" w:hAnsiTheme="majorHAnsi" w:cstheme="majorHAnsi"/>
          <w:lang w:eastAsia="en-AU"/>
        </w:rPr>
        <w:t>)</w:t>
      </w:r>
      <w:r w:rsidR="009D016E" w:rsidRPr="006F159A">
        <w:rPr>
          <w:rFonts w:asciiTheme="majorHAnsi" w:eastAsia="SimSun" w:hAnsiTheme="majorHAnsi" w:cstheme="majorHAnsi"/>
          <w:lang w:eastAsia="en-AU"/>
        </w:rPr>
        <w:t xml:space="preserve">. Nevertheless, </w:t>
      </w:r>
      <w:r w:rsidR="005E4D71">
        <w:rPr>
          <w:rFonts w:asciiTheme="majorHAnsi" w:eastAsia="SimSun" w:hAnsiTheme="majorHAnsi" w:cstheme="majorHAnsi"/>
          <w:lang w:eastAsia="en-AU"/>
        </w:rPr>
        <w:t>in light of</w:t>
      </w:r>
      <w:r w:rsidR="009D016E" w:rsidRPr="006F159A">
        <w:rPr>
          <w:rFonts w:asciiTheme="majorHAnsi" w:eastAsia="SimSun" w:hAnsiTheme="majorHAnsi" w:cstheme="majorHAnsi"/>
          <w:lang w:eastAsia="en-AU"/>
        </w:rPr>
        <w:t xml:space="preserve"> concerns</w:t>
      </w:r>
      <w:r w:rsidR="004B3C1C">
        <w:rPr>
          <w:rFonts w:asciiTheme="majorHAnsi" w:eastAsia="SimSun" w:hAnsiTheme="majorHAnsi" w:cstheme="majorHAnsi"/>
          <w:lang w:eastAsia="en-AU"/>
        </w:rPr>
        <w:t xml:space="preserve"> expressed by stakeholders</w:t>
      </w:r>
      <w:r w:rsidR="009D016E" w:rsidRPr="006F159A">
        <w:rPr>
          <w:rFonts w:asciiTheme="majorHAnsi" w:eastAsia="SimSun" w:hAnsiTheme="majorHAnsi" w:cstheme="majorHAnsi"/>
          <w:lang w:eastAsia="en-AU"/>
        </w:rPr>
        <w:t>, it will be important for the ARC to continue to monitor the balance of the scheme’s support for basic and applied research</w:t>
      </w:r>
      <w:r w:rsidR="00B45FAA">
        <w:rPr>
          <w:rFonts w:asciiTheme="majorHAnsi" w:eastAsia="SimSun" w:hAnsiTheme="majorHAnsi" w:cstheme="majorHAnsi"/>
          <w:lang w:eastAsia="en-AU"/>
        </w:rPr>
        <w:t xml:space="preserve">, and </w:t>
      </w:r>
      <w:r w:rsidR="00FD4044">
        <w:rPr>
          <w:rFonts w:asciiTheme="majorHAnsi" w:eastAsia="SimSun" w:hAnsiTheme="majorHAnsi" w:cstheme="majorHAnsi"/>
          <w:lang w:eastAsia="en-AU"/>
        </w:rPr>
        <w:t xml:space="preserve">to </w:t>
      </w:r>
      <w:r w:rsidR="00B77F2C">
        <w:rPr>
          <w:rFonts w:asciiTheme="majorHAnsi" w:eastAsia="SimSun" w:hAnsiTheme="majorHAnsi" w:cstheme="majorHAnsi"/>
          <w:lang w:eastAsia="en-AU"/>
        </w:rPr>
        <w:t>re</w:t>
      </w:r>
      <w:r w:rsidR="001B4084">
        <w:rPr>
          <w:rFonts w:asciiTheme="majorHAnsi" w:eastAsia="SimSun" w:hAnsiTheme="majorHAnsi" w:cstheme="majorHAnsi"/>
          <w:lang w:eastAsia="en-AU"/>
        </w:rPr>
        <w:t>iterate</w:t>
      </w:r>
      <w:r w:rsidR="00FD4044">
        <w:rPr>
          <w:rFonts w:asciiTheme="majorHAnsi" w:eastAsia="SimSun" w:hAnsiTheme="majorHAnsi" w:cstheme="majorHAnsi"/>
          <w:lang w:eastAsia="en-AU"/>
        </w:rPr>
        <w:t xml:space="preserve"> that </w:t>
      </w:r>
      <w:r w:rsidR="00215BF5">
        <w:rPr>
          <w:rFonts w:asciiTheme="majorHAnsi" w:eastAsia="SimSun" w:hAnsiTheme="majorHAnsi" w:cstheme="majorHAnsi"/>
          <w:lang w:eastAsia="en-AU"/>
        </w:rPr>
        <w:t>due consideration should be given to innovative research in</w:t>
      </w:r>
      <w:r w:rsidR="0006718C">
        <w:rPr>
          <w:rFonts w:asciiTheme="majorHAnsi" w:eastAsia="SimSun" w:hAnsiTheme="majorHAnsi" w:cstheme="majorHAnsi"/>
          <w:lang w:eastAsia="en-AU"/>
        </w:rPr>
        <w:t xml:space="preserve"> assessment </w:t>
      </w:r>
      <w:r w:rsidR="00215BF5">
        <w:rPr>
          <w:rFonts w:asciiTheme="majorHAnsi" w:eastAsia="SimSun" w:hAnsiTheme="majorHAnsi" w:cstheme="majorHAnsi"/>
          <w:lang w:eastAsia="en-AU"/>
        </w:rPr>
        <w:t>processes</w:t>
      </w:r>
      <w:r w:rsidR="00C31B73">
        <w:rPr>
          <w:rFonts w:asciiTheme="majorHAnsi" w:eastAsia="SimSun" w:hAnsiTheme="majorHAnsi" w:cstheme="majorHAnsi"/>
          <w:lang w:eastAsia="en-AU"/>
        </w:rPr>
        <w:t>.</w:t>
      </w:r>
      <w:r w:rsidR="0006718C">
        <w:rPr>
          <w:rFonts w:asciiTheme="majorHAnsi" w:eastAsia="SimSun" w:hAnsiTheme="majorHAnsi" w:cstheme="majorHAnsi"/>
          <w:lang w:eastAsia="en-AU"/>
        </w:rPr>
        <w:t xml:space="preserve"> </w:t>
      </w:r>
    </w:p>
    <w:p w14:paraId="4CC5AFAA" w14:textId="77777777" w:rsidR="006F159A" w:rsidRPr="006F159A" w:rsidRDefault="006F159A" w:rsidP="0068635B">
      <w:pPr>
        <w:pStyle w:val="Heading4"/>
      </w:pPr>
      <w:r w:rsidRPr="006F159A">
        <w:t>Supporting individuals and teams of researchers</w:t>
      </w:r>
    </w:p>
    <w:p w14:paraId="56F0FCD9" w14:textId="6AC24775" w:rsidR="006F159A" w:rsidRPr="006F159A" w:rsidRDefault="00EE3C4D" w:rsidP="006F159A">
      <w:pPr>
        <w:spacing w:after="240"/>
        <w:rPr>
          <w:lang w:eastAsia="en-AU"/>
        </w:rPr>
      </w:pPr>
      <w:r>
        <w:rPr>
          <w:rFonts w:asciiTheme="majorHAnsi" w:eastAsia="SimSun" w:hAnsiTheme="majorHAnsi" w:cstheme="majorHAnsi"/>
          <w:lang w:eastAsia="en-AU"/>
        </w:rPr>
        <w:t>Qualitative s</w:t>
      </w:r>
      <w:r w:rsidR="006F159A" w:rsidRPr="006F159A">
        <w:rPr>
          <w:rFonts w:asciiTheme="majorHAnsi" w:eastAsia="SimSun" w:hAnsiTheme="majorHAnsi" w:cstheme="majorHAnsi"/>
          <w:lang w:eastAsia="en-AU"/>
        </w:rPr>
        <w:t>takeholder</w:t>
      </w:r>
      <w:r w:rsidR="003C2FED">
        <w:rPr>
          <w:rFonts w:asciiTheme="majorHAnsi" w:eastAsia="SimSun" w:hAnsiTheme="majorHAnsi" w:cstheme="majorHAnsi"/>
          <w:lang w:eastAsia="en-AU"/>
        </w:rPr>
        <w:t xml:space="preserve"> feedback </w:t>
      </w:r>
      <w:r w:rsidR="00EF37C6">
        <w:rPr>
          <w:rFonts w:asciiTheme="majorHAnsi" w:eastAsia="SimSun" w:hAnsiTheme="majorHAnsi" w:cstheme="majorHAnsi"/>
          <w:lang w:eastAsia="en-AU"/>
        </w:rPr>
        <w:t>was generally consistent with</w:t>
      </w:r>
      <w:r w:rsidR="003C2FED">
        <w:rPr>
          <w:rFonts w:asciiTheme="majorHAnsi" w:eastAsia="SimSun" w:hAnsiTheme="majorHAnsi" w:cstheme="majorHAnsi"/>
          <w:lang w:eastAsia="en-AU"/>
        </w:rPr>
        <w:t xml:space="preserve"> the view that</w:t>
      </w:r>
      <w:r w:rsidR="006F159A" w:rsidRPr="006F159A">
        <w:rPr>
          <w:rFonts w:asciiTheme="majorHAnsi" w:eastAsia="SimSun" w:hAnsiTheme="majorHAnsi" w:cstheme="majorHAnsi"/>
          <w:lang w:eastAsia="en-AU"/>
        </w:rPr>
        <w:t xml:space="preserve"> Discovery Projects </w:t>
      </w:r>
      <w:r w:rsidR="00FD7DA5">
        <w:rPr>
          <w:rFonts w:asciiTheme="majorHAnsi" w:eastAsia="SimSun" w:hAnsiTheme="majorHAnsi" w:cstheme="majorHAnsi"/>
          <w:lang w:eastAsia="en-AU"/>
        </w:rPr>
        <w:t>is</w:t>
      </w:r>
      <w:r w:rsidR="006F159A" w:rsidRPr="006F159A">
        <w:rPr>
          <w:rFonts w:asciiTheme="majorHAnsi" w:eastAsia="SimSun" w:hAnsiTheme="majorHAnsi" w:cstheme="majorHAnsi"/>
          <w:lang w:eastAsia="en-AU"/>
        </w:rPr>
        <w:t xml:space="preserve"> ‘enabling excellent researchers to conduct excellent research’—both as individuals and as teams—as assessed through peer review process</w:t>
      </w:r>
      <w:r w:rsidR="003A7E27">
        <w:rPr>
          <w:rFonts w:asciiTheme="majorHAnsi" w:eastAsia="SimSun" w:hAnsiTheme="majorHAnsi" w:cstheme="majorHAnsi"/>
          <w:lang w:eastAsia="en-AU"/>
        </w:rPr>
        <w:t>es</w:t>
      </w:r>
      <w:r w:rsidR="006F159A" w:rsidRPr="006F159A">
        <w:rPr>
          <w:rFonts w:asciiTheme="majorHAnsi" w:eastAsia="SimSun" w:hAnsiTheme="majorHAnsi" w:cstheme="majorHAnsi"/>
          <w:lang w:eastAsia="en-AU"/>
        </w:rPr>
        <w:t xml:space="preserve">. </w:t>
      </w:r>
    </w:p>
    <w:p w14:paraId="762106D7" w14:textId="77777777" w:rsidR="006F159A" w:rsidRPr="006F159A" w:rsidRDefault="006F159A" w:rsidP="004B69EF">
      <w:pPr>
        <w:pStyle w:val="Quote"/>
      </w:pPr>
      <w:r w:rsidRPr="006F159A">
        <w:t>The project drives the team to achieve a certain goal…you need the services of X, Y, Z, and these services may be overseas. The ARC wants to see the best research and the best possible team</w:t>
      </w:r>
      <w:r w:rsidRPr="006F159A">
        <w:rPr>
          <w:bCs/>
        </w:rPr>
        <w:t xml:space="preserve"> </w:t>
      </w:r>
      <w:r w:rsidRPr="003E0DE0">
        <w:rPr>
          <w:i w:val="0"/>
          <w:iCs w:val="0"/>
        </w:rPr>
        <w:t>– (University Research Office)</w:t>
      </w:r>
    </w:p>
    <w:p w14:paraId="6C106987" w14:textId="77777777" w:rsidR="006F159A" w:rsidRPr="006F159A" w:rsidRDefault="006F159A" w:rsidP="003E0DE0">
      <w:pPr>
        <w:pStyle w:val="Quote"/>
        <w:spacing w:after="240"/>
        <w:ind w:left="425" w:right="663"/>
      </w:pPr>
      <w:r w:rsidRPr="006F159A">
        <w:t xml:space="preserve">I have been lucky enough to have received multiple Discovery Grants. These grants have been instrumental in my career progression, but more importantly in building a world leading team in my field of research...and have enabled the establishment of a network of interdisciplinary researchers who are now working together </w:t>
      </w:r>
      <w:r w:rsidRPr="003E0DE0">
        <w:rPr>
          <w:i w:val="0"/>
          <w:iCs w:val="0"/>
        </w:rPr>
        <w:t>– (Researcher)</w:t>
      </w:r>
    </w:p>
    <w:p w14:paraId="4CAD50F6" w14:textId="0F91BB1F" w:rsidR="006F159A" w:rsidRPr="00880CE8" w:rsidRDefault="006F159A" w:rsidP="006F159A">
      <w:pPr>
        <w:rPr>
          <w:rFonts w:asciiTheme="majorHAnsi" w:eastAsia="SimSun" w:hAnsiTheme="majorHAnsi" w:cstheme="majorHAnsi"/>
          <w:lang w:eastAsia="en-AU"/>
        </w:rPr>
      </w:pPr>
      <w:r w:rsidRPr="006F159A">
        <w:rPr>
          <w:rFonts w:asciiTheme="majorHAnsi" w:eastAsia="SimSun" w:hAnsiTheme="majorHAnsi" w:cstheme="majorHAnsi"/>
          <w:lang w:eastAsia="en-AU"/>
        </w:rPr>
        <w:t xml:space="preserve">There were </w:t>
      </w:r>
      <w:r w:rsidRPr="00880CE8">
        <w:rPr>
          <w:rFonts w:asciiTheme="majorHAnsi" w:eastAsia="SimSun" w:hAnsiTheme="majorHAnsi" w:cstheme="majorHAnsi"/>
          <w:lang w:eastAsia="en-AU"/>
        </w:rPr>
        <w:t>some concerns raised about whether the scheme was discouraging</w:t>
      </w:r>
      <w:r w:rsidR="00857D22" w:rsidRPr="00880CE8">
        <w:rPr>
          <w:rFonts w:asciiTheme="majorHAnsi" w:eastAsia="SimSun" w:hAnsiTheme="majorHAnsi" w:cstheme="majorHAnsi"/>
          <w:lang w:eastAsia="en-AU"/>
        </w:rPr>
        <w:t xml:space="preserve"> excellent</w:t>
      </w:r>
      <w:r w:rsidRPr="00880CE8">
        <w:rPr>
          <w:rFonts w:asciiTheme="majorHAnsi" w:eastAsia="SimSun" w:hAnsiTheme="majorHAnsi" w:cstheme="majorHAnsi"/>
          <w:lang w:eastAsia="en-AU"/>
        </w:rPr>
        <w:t xml:space="preserve"> junior researchers from participating on funded projects by emphasising ‘track record’ considerations within selection processes. These views are addressed in more detail in </w:t>
      </w:r>
      <w:hyperlink w:anchor="_Qualitative_stakeholder_feedback" w:history="1">
        <w:r w:rsidRPr="00281670">
          <w:rPr>
            <w:rStyle w:val="Hyperlink"/>
            <w:rFonts w:eastAsia="SimSun" w:cstheme="majorHAnsi"/>
            <w:color w:val="auto"/>
            <w:sz w:val="22"/>
            <w:u w:val="none"/>
            <w:lang w:eastAsia="en-AU"/>
          </w:rPr>
          <w:t xml:space="preserve">Section </w:t>
        </w:r>
        <w:r w:rsidR="005E5027" w:rsidRPr="00281670">
          <w:rPr>
            <w:rStyle w:val="Hyperlink"/>
            <w:rFonts w:eastAsia="SimSun" w:cstheme="majorHAnsi"/>
            <w:color w:val="auto"/>
            <w:sz w:val="22"/>
            <w:u w:val="none"/>
            <w:lang w:eastAsia="en-AU"/>
          </w:rPr>
          <w:t>4.2.3</w:t>
        </w:r>
      </w:hyperlink>
      <w:r w:rsidRPr="00880CE8">
        <w:rPr>
          <w:rFonts w:asciiTheme="majorHAnsi" w:eastAsia="SimSun" w:hAnsiTheme="majorHAnsi" w:cstheme="majorHAnsi"/>
          <w:lang w:eastAsia="en-AU"/>
        </w:rPr>
        <w:t xml:space="preserve">. </w:t>
      </w:r>
    </w:p>
    <w:p w14:paraId="3007BD04" w14:textId="77777777" w:rsidR="006F159A" w:rsidRPr="00880CE8" w:rsidRDefault="006F159A" w:rsidP="0068635B">
      <w:pPr>
        <w:pStyle w:val="Heading4"/>
        <w:rPr>
          <w:lang w:eastAsia="en-AU"/>
        </w:rPr>
      </w:pPr>
      <w:bookmarkStart w:id="429" w:name="_Supporting_HASS_and"/>
      <w:bookmarkEnd w:id="429"/>
      <w:r w:rsidRPr="00880CE8">
        <w:rPr>
          <w:lang w:eastAsia="en-AU"/>
        </w:rPr>
        <w:t>Supporting HASS and STEM research</w:t>
      </w:r>
    </w:p>
    <w:p w14:paraId="33EB1F84" w14:textId="181588B8" w:rsidR="006F159A" w:rsidRPr="006F159A" w:rsidRDefault="00070C2C" w:rsidP="006F159A">
      <w:pPr>
        <w:spacing w:after="240"/>
        <w:rPr>
          <w:rFonts w:asciiTheme="majorHAnsi" w:eastAsia="SimSun" w:hAnsiTheme="majorHAnsi" w:cstheme="majorHAnsi"/>
          <w:lang w:eastAsia="en-AU"/>
        </w:rPr>
      </w:pPr>
      <w:r w:rsidRPr="00880CE8">
        <w:rPr>
          <w:rFonts w:asciiTheme="majorHAnsi" w:eastAsia="SimSun" w:hAnsiTheme="majorHAnsi" w:cstheme="majorHAnsi"/>
          <w:lang w:eastAsia="en-AU"/>
        </w:rPr>
        <w:t xml:space="preserve">As demonstrated in </w:t>
      </w:r>
      <w:hyperlink w:anchor="_Applications,_funded_projects" w:history="1">
        <w:r w:rsidRPr="00281670">
          <w:rPr>
            <w:rStyle w:val="Hyperlink"/>
            <w:rFonts w:eastAsia="SimSun" w:cstheme="majorHAnsi"/>
            <w:color w:val="auto"/>
            <w:sz w:val="22"/>
            <w:u w:val="none"/>
            <w:lang w:eastAsia="en-AU"/>
          </w:rPr>
          <w:t xml:space="preserve">Section </w:t>
        </w:r>
        <w:r w:rsidR="00A24F81" w:rsidRPr="00281670">
          <w:rPr>
            <w:rStyle w:val="Hyperlink"/>
            <w:rFonts w:eastAsia="SimSun" w:cstheme="majorHAnsi"/>
            <w:color w:val="auto"/>
            <w:sz w:val="22"/>
            <w:u w:val="none"/>
            <w:lang w:eastAsia="en-AU"/>
          </w:rPr>
          <w:t>2.8.1</w:t>
        </w:r>
      </w:hyperlink>
      <w:r w:rsidRPr="00880CE8">
        <w:rPr>
          <w:rFonts w:asciiTheme="majorHAnsi" w:eastAsia="SimSun" w:hAnsiTheme="majorHAnsi" w:cstheme="majorHAnsi"/>
          <w:lang w:eastAsia="en-AU"/>
        </w:rPr>
        <w:t>, Discovery Projects</w:t>
      </w:r>
      <w:r w:rsidR="00CD5AC3" w:rsidRPr="00880CE8">
        <w:rPr>
          <w:rFonts w:asciiTheme="majorHAnsi" w:eastAsia="SimSun" w:hAnsiTheme="majorHAnsi" w:cstheme="majorHAnsi"/>
          <w:lang w:eastAsia="en-AU"/>
        </w:rPr>
        <w:t xml:space="preserve"> </w:t>
      </w:r>
      <w:r w:rsidR="00CA7168" w:rsidRPr="00880CE8">
        <w:rPr>
          <w:rFonts w:asciiTheme="majorHAnsi" w:eastAsia="SimSun" w:hAnsiTheme="majorHAnsi" w:cstheme="majorHAnsi"/>
          <w:lang w:eastAsia="en-AU"/>
        </w:rPr>
        <w:t>supports</w:t>
      </w:r>
      <w:r w:rsidRPr="00880CE8">
        <w:rPr>
          <w:rFonts w:asciiTheme="majorHAnsi" w:eastAsia="SimSun" w:hAnsiTheme="majorHAnsi" w:cstheme="majorHAnsi"/>
          <w:lang w:eastAsia="en-AU"/>
        </w:rPr>
        <w:t xml:space="preserve"> research from a broad range of disciplines, with </w:t>
      </w:r>
      <w:r w:rsidR="00CD5AC3" w:rsidRPr="00880CE8">
        <w:rPr>
          <w:rFonts w:asciiTheme="majorHAnsi" w:eastAsia="SimSun" w:hAnsiTheme="majorHAnsi" w:cstheme="majorHAnsi"/>
          <w:lang w:eastAsia="en-AU"/>
        </w:rPr>
        <w:t>all</w:t>
      </w:r>
      <w:r w:rsidR="00FE3FF5" w:rsidRPr="00880CE8">
        <w:rPr>
          <w:rFonts w:asciiTheme="majorHAnsi" w:eastAsia="SimSun" w:hAnsiTheme="majorHAnsi" w:cstheme="majorHAnsi"/>
          <w:lang w:eastAsia="en-AU"/>
        </w:rPr>
        <w:t xml:space="preserve"> 22</w:t>
      </w:r>
      <w:r w:rsidR="00CD5AC3" w:rsidRPr="00880CE8">
        <w:rPr>
          <w:rFonts w:asciiTheme="majorHAnsi" w:eastAsia="SimSun" w:hAnsiTheme="majorHAnsi" w:cstheme="majorHAnsi"/>
          <w:lang w:eastAsia="en-AU"/>
        </w:rPr>
        <w:t xml:space="preserve"> </w:t>
      </w:r>
      <w:r w:rsidR="00FE3FF5" w:rsidRPr="00880CE8">
        <w:rPr>
          <w:rFonts w:asciiTheme="majorHAnsi" w:eastAsia="SimSun" w:hAnsiTheme="majorHAnsi" w:cstheme="majorHAnsi"/>
          <w:lang w:eastAsia="en-AU"/>
        </w:rPr>
        <w:t xml:space="preserve">2-digit </w:t>
      </w:r>
      <w:proofErr w:type="spellStart"/>
      <w:r w:rsidR="00FE3FF5" w:rsidRPr="00880CE8">
        <w:rPr>
          <w:rFonts w:asciiTheme="majorHAnsi" w:eastAsia="SimSun" w:hAnsiTheme="majorHAnsi" w:cstheme="majorHAnsi"/>
          <w:lang w:eastAsia="en-AU"/>
        </w:rPr>
        <w:t>FoR</w:t>
      </w:r>
      <w:proofErr w:type="spellEnd"/>
      <w:r w:rsidR="00FE3FF5" w:rsidRPr="00880CE8">
        <w:rPr>
          <w:rFonts w:asciiTheme="majorHAnsi" w:eastAsia="SimSun" w:hAnsiTheme="majorHAnsi" w:cstheme="majorHAnsi"/>
          <w:lang w:eastAsia="en-AU"/>
        </w:rPr>
        <w:t xml:space="preserve"> codes</w:t>
      </w:r>
      <w:r w:rsidR="00CA7168" w:rsidRPr="00880CE8">
        <w:rPr>
          <w:rFonts w:asciiTheme="majorHAnsi" w:eastAsia="SimSun" w:hAnsiTheme="majorHAnsi" w:cstheme="majorHAnsi"/>
          <w:lang w:eastAsia="en-AU"/>
        </w:rPr>
        <w:t xml:space="preserve"> being represented in funded projects </w:t>
      </w:r>
      <w:r w:rsidR="00EF0A76" w:rsidRPr="00880CE8">
        <w:rPr>
          <w:rFonts w:asciiTheme="majorHAnsi" w:eastAsia="SimSun" w:hAnsiTheme="majorHAnsi" w:cstheme="majorHAnsi"/>
          <w:lang w:eastAsia="en-AU"/>
        </w:rPr>
        <w:t xml:space="preserve">in </w:t>
      </w:r>
      <w:r w:rsidR="00CA7168" w:rsidRPr="00880CE8">
        <w:rPr>
          <w:rFonts w:asciiTheme="majorHAnsi" w:eastAsia="SimSun" w:hAnsiTheme="majorHAnsi" w:cstheme="majorHAnsi"/>
          <w:lang w:eastAsia="en-AU"/>
        </w:rPr>
        <w:t>every scheme round between DP02 and DP20</w:t>
      </w:r>
      <w:r w:rsidR="00FE3FF5" w:rsidRPr="00880CE8">
        <w:rPr>
          <w:rFonts w:asciiTheme="majorHAnsi" w:eastAsia="SimSun" w:hAnsiTheme="majorHAnsi" w:cstheme="majorHAnsi"/>
          <w:lang w:eastAsia="en-AU"/>
        </w:rPr>
        <w:t xml:space="preserve">. </w:t>
      </w:r>
      <w:r w:rsidR="00CA7168" w:rsidRPr="00880CE8">
        <w:rPr>
          <w:rFonts w:asciiTheme="majorHAnsi" w:eastAsia="SimSun" w:hAnsiTheme="majorHAnsi" w:cstheme="majorHAnsi"/>
          <w:lang w:eastAsia="en-AU"/>
        </w:rPr>
        <w:t>However, f</w:t>
      </w:r>
      <w:r w:rsidR="00085424" w:rsidRPr="00880CE8">
        <w:rPr>
          <w:rFonts w:asciiTheme="majorHAnsi" w:eastAsia="SimSun" w:hAnsiTheme="majorHAnsi" w:cstheme="majorHAnsi"/>
          <w:lang w:eastAsia="en-AU"/>
        </w:rPr>
        <w:t>eedback from s</w:t>
      </w:r>
      <w:r w:rsidR="006F159A" w:rsidRPr="00880CE8">
        <w:rPr>
          <w:rFonts w:asciiTheme="majorHAnsi" w:eastAsia="SimSun" w:hAnsiTheme="majorHAnsi" w:cstheme="majorHAnsi"/>
          <w:lang w:eastAsia="en-AU"/>
        </w:rPr>
        <w:t xml:space="preserve">takeholders </w:t>
      </w:r>
      <w:r w:rsidR="00085424" w:rsidRPr="00880CE8">
        <w:rPr>
          <w:rFonts w:asciiTheme="majorHAnsi" w:eastAsia="SimSun" w:hAnsiTheme="majorHAnsi" w:cstheme="majorHAnsi"/>
          <w:lang w:eastAsia="en-AU"/>
        </w:rPr>
        <w:t xml:space="preserve">included </w:t>
      </w:r>
      <w:r w:rsidR="006F159A" w:rsidRPr="00880CE8">
        <w:rPr>
          <w:rFonts w:asciiTheme="majorHAnsi" w:eastAsia="SimSun" w:hAnsiTheme="majorHAnsi" w:cstheme="majorHAnsi"/>
          <w:lang w:eastAsia="en-AU"/>
        </w:rPr>
        <w:t>concerns that the Discovery Projects scheme more effectively support</w:t>
      </w:r>
      <w:r w:rsidR="00085424" w:rsidRPr="00880CE8">
        <w:rPr>
          <w:rFonts w:asciiTheme="majorHAnsi" w:eastAsia="SimSun" w:hAnsiTheme="majorHAnsi" w:cstheme="majorHAnsi"/>
          <w:lang w:eastAsia="en-AU"/>
        </w:rPr>
        <w:t>s</w:t>
      </w:r>
      <w:r w:rsidR="006F159A" w:rsidRPr="00880CE8">
        <w:rPr>
          <w:rFonts w:asciiTheme="majorHAnsi" w:eastAsia="SimSun" w:hAnsiTheme="majorHAnsi" w:cstheme="majorHAnsi"/>
          <w:lang w:eastAsia="en-AU"/>
        </w:rPr>
        <w:t xml:space="preserve"> STEM research than HASS research</w:t>
      </w:r>
      <w:r w:rsidR="00A50DFA" w:rsidRPr="00880CE8">
        <w:rPr>
          <w:rFonts w:asciiTheme="majorHAnsi" w:eastAsia="SimSun" w:hAnsiTheme="majorHAnsi" w:cstheme="majorHAnsi"/>
          <w:lang w:eastAsia="en-AU"/>
        </w:rPr>
        <w:t xml:space="preserve">. These </w:t>
      </w:r>
      <w:r w:rsidR="00AD7635" w:rsidRPr="00880CE8">
        <w:rPr>
          <w:rFonts w:asciiTheme="majorHAnsi" w:eastAsia="SimSun" w:hAnsiTheme="majorHAnsi" w:cstheme="majorHAnsi"/>
          <w:lang w:eastAsia="en-AU"/>
        </w:rPr>
        <w:t>views</w:t>
      </w:r>
      <w:r w:rsidR="00A50DFA" w:rsidRPr="00880CE8">
        <w:rPr>
          <w:rFonts w:asciiTheme="majorHAnsi" w:eastAsia="SimSun" w:hAnsiTheme="majorHAnsi" w:cstheme="majorHAnsi"/>
          <w:lang w:eastAsia="en-AU"/>
        </w:rPr>
        <w:t xml:space="preserve"> are consistent with</w:t>
      </w:r>
      <w:r w:rsidR="00603B0D" w:rsidRPr="00880CE8">
        <w:rPr>
          <w:rFonts w:asciiTheme="majorHAnsi" w:eastAsia="SimSun" w:hAnsiTheme="majorHAnsi" w:cstheme="majorHAnsi"/>
          <w:lang w:eastAsia="en-AU"/>
        </w:rPr>
        <w:t xml:space="preserve"> the differences in disciplinary representation on applications and funded projects noted earlier (see </w:t>
      </w:r>
      <w:hyperlink w:anchor="_Applications,_funded_projects" w:history="1">
        <w:r w:rsidR="00313AA7" w:rsidRPr="00281670">
          <w:rPr>
            <w:rStyle w:val="Hyperlink"/>
            <w:rFonts w:eastAsia="SimSun" w:cstheme="majorHAnsi"/>
            <w:color w:val="auto"/>
            <w:sz w:val="22"/>
            <w:u w:val="none"/>
            <w:lang w:eastAsia="en-AU"/>
          </w:rPr>
          <w:t xml:space="preserve">Section </w:t>
        </w:r>
        <w:r w:rsidR="00714C91" w:rsidRPr="00281670">
          <w:rPr>
            <w:rStyle w:val="Hyperlink"/>
            <w:rFonts w:eastAsia="SimSun" w:cstheme="majorHAnsi"/>
            <w:color w:val="auto"/>
            <w:sz w:val="22"/>
            <w:u w:val="none"/>
            <w:lang w:eastAsia="en-AU"/>
          </w:rPr>
          <w:t>2.8.1</w:t>
        </w:r>
      </w:hyperlink>
      <w:r w:rsidR="00603B0D" w:rsidRPr="00880CE8">
        <w:rPr>
          <w:rFonts w:asciiTheme="majorHAnsi" w:eastAsia="SimSun" w:hAnsiTheme="majorHAnsi" w:cstheme="majorHAnsi"/>
          <w:lang w:eastAsia="en-AU"/>
        </w:rPr>
        <w:t>)</w:t>
      </w:r>
      <w:r w:rsidR="006F159A" w:rsidRPr="00880CE8">
        <w:rPr>
          <w:rFonts w:asciiTheme="majorHAnsi" w:eastAsia="SimSun" w:hAnsiTheme="majorHAnsi" w:cstheme="majorHAnsi"/>
          <w:lang w:eastAsia="en-AU"/>
        </w:rPr>
        <w:t>. Some</w:t>
      </w:r>
      <w:r w:rsidR="006F159A" w:rsidRPr="00714C91">
        <w:rPr>
          <w:rFonts w:asciiTheme="majorHAnsi" w:eastAsia="SimSun" w:hAnsiTheme="majorHAnsi" w:cstheme="majorHAnsi"/>
          <w:lang w:eastAsia="en-AU"/>
        </w:rPr>
        <w:t xml:space="preserve"> </w:t>
      </w:r>
      <w:r w:rsidR="004264B7" w:rsidRPr="00714C91">
        <w:rPr>
          <w:rFonts w:asciiTheme="majorHAnsi" w:eastAsia="SimSun" w:hAnsiTheme="majorHAnsi" w:cstheme="majorHAnsi"/>
          <w:lang w:eastAsia="en-AU"/>
        </w:rPr>
        <w:t xml:space="preserve">stakeholders </w:t>
      </w:r>
      <w:r w:rsidR="006F159A" w:rsidRPr="006F159A">
        <w:rPr>
          <w:rFonts w:asciiTheme="majorHAnsi" w:eastAsia="SimSun" w:hAnsiTheme="majorHAnsi" w:cstheme="majorHAnsi"/>
          <w:lang w:eastAsia="en-AU"/>
        </w:rPr>
        <w:t xml:space="preserve">believed that HASS research was undervalued </w:t>
      </w:r>
      <w:r w:rsidR="006F159A" w:rsidRPr="006F159A">
        <w:rPr>
          <w:rFonts w:asciiTheme="majorHAnsi" w:eastAsia="SimSun" w:hAnsiTheme="majorHAnsi" w:cstheme="majorHAnsi"/>
          <w:lang w:eastAsia="en-AU"/>
        </w:rPr>
        <w:lastRenderedPageBreak/>
        <w:t xml:space="preserve">within Discovery Projects selection processes, while others suggested that HASS scholars were not applying in sufficient numbers. </w:t>
      </w:r>
    </w:p>
    <w:p w14:paraId="5E24D55B" w14:textId="77777777" w:rsidR="006F159A" w:rsidRPr="006F159A" w:rsidRDefault="006F159A" w:rsidP="003E0DE0">
      <w:pPr>
        <w:pStyle w:val="Quote"/>
      </w:pPr>
      <w:r w:rsidRPr="006F159A">
        <w:t xml:space="preserve">And I think there is a perception, which I think is true, that the </w:t>
      </w:r>
      <w:r w:rsidRPr="006F159A">
        <w:rPr>
          <w:bCs/>
        </w:rPr>
        <w:t xml:space="preserve">support provided to the humanities and social sciences is not as strong as it could be </w:t>
      </w:r>
      <w:r w:rsidRPr="003E0DE0">
        <w:rPr>
          <w:i w:val="0"/>
          <w:iCs w:val="0"/>
        </w:rPr>
        <w:t>– (University Research Office)</w:t>
      </w:r>
    </w:p>
    <w:p w14:paraId="4619EC0F" w14:textId="77777777" w:rsidR="006F159A" w:rsidRPr="006F159A" w:rsidRDefault="006F159A" w:rsidP="009E2162">
      <w:pPr>
        <w:pStyle w:val="Quote"/>
        <w:spacing w:after="240"/>
        <w:ind w:left="425" w:right="663"/>
      </w:pPr>
      <w:r w:rsidRPr="006F159A">
        <w:t xml:space="preserve">These complaints are partially true, but the bigger problem is [HASS scholars] aren’t applying enough [relative to STEM scholars] and you can’t blame the ARC or the assessment panels for that </w:t>
      </w:r>
      <w:r w:rsidRPr="003E0DE0">
        <w:rPr>
          <w:i w:val="0"/>
          <w:iCs w:val="0"/>
        </w:rPr>
        <w:t>– (University Research Office)</w:t>
      </w:r>
    </w:p>
    <w:p w14:paraId="05F37792" w14:textId="4215057C" w:rsidR="006F159A" w:rsidRPr="006F159A" w:rsidRDefault="003010A0" w:rsidP="006F159A">
      <w:pPr>
        <w:spacing w:before="120" w:after="120"/>
        <w:rPr>
          <w:rFonts w:asciiTheme="majorHAnsi" w:eastAsia="SimSun" w:hAnsiTheme="majorHAnsi" w:cstheme="majorHAnsi"/>
          <w:lang w:eastAsia="en-AU"/>
        </w:rPr>
      </w:pPr>
      <w:r>
        <w:rPr>
          <w:rFonts w:asciiTheme="majorHAnsi" w:eastAsia="SimSun" w:hAnsiTheme="majorHAnsi" w:cstheme="majorHAnsi"/>
          <w:lang w:eastAsia="en-AU"/>
        </w:rPr>
        <w:t>Although</w:t>
      </w:r>
      <w:r w:rsidR="006F159A" w:rsidRPr="006F159A">
        <w:rPr>
          <w:rFonts w:asciiTheme="majorHAnsi" w:eastAsia="SimSun" w:hAnsiTheme="majorHAnsi" w:cstheme="majorHAnsi"/>
          <w:lang w:eastAsia="en-AU"/>
        </w:rPr>
        <w:t xml:space="preserve"> success rates have historically been essentially identical for HASS and STEM applications submitted under </w:t>
      </w:r>
      <w:r w:rsidR="006F159A" w:rsidRPr="00880CE8">
        <w:rPr>
          <w:rFonts w:asciiTheme="majorHAnsi" w:eastAsia="SimSun" w:hAnsiTheme="majorHAnsi" w:cstheme="majorHAnsi"/>
          <w:lang w:eastAsia="en-AU"/>
        </w:rPr>
        <w:t>Discovery Projects (</w:t>
      </w:r>
      <w:hyperlink w:anchor="_Success_and_return" w:history="1">
        <w:r w:rsidR="00B46636" w:rsidRPr="00281670">
          <w:rPr>
            <w:rStyle w:val="Hyperlink"/>
            <w:rFonts w:eastAsia="SimSun" w:cstheme="majorHAnsi"/>
            <w:color w:val="auto"/>
            <w:sz w:val="22"/>
            <w:u w:val="none"/>
            <w:lang w:eastAsia="en-AU"/>
          </w:rPr>
          <w:t>Section 2.8.2</w:t>
        </w:r>
      </w:hyperlink>
      <w:r w:rsidR="006F159A" w:rsidRPr="00880CE8">
        <w:rPr>
          <w:rFonts w:asciiTheme="majorHAnsi" w:eastAsia="SimSun" w:hAnsiTheme="majorHAnsi" w:cstheme="majorHAnsi"/>
          <w:lang w:eastAsia="en-AU"/>
        </w:rPr>
        <w:t>)</w:t>
      </w:r>
      <w:r w:rsidR="000301BE" w:rsidRPr="00880CE8">
        <w:rPr>
          <w:rFonts w:asciiTheme="majorHAnsi" w:eastAsia="SimSun" w:hAnsiTheme="majorHAnsi" w:cstheme="majorHAnsi"/>
          <w:lang w:eastAsia="en-AU"/>
        </w:rPr>
        <w:t xml:space="preserve">, </w:t>
      </w:r>
      <w:r w:rsidR="006F159A" w:rsidRPr="00880CE8">
        <w:rPr>
          <w:rFonts w:asciiTheme="majorHAnsi" w:eastAsia="SimSun" w:hAnsiTheme="majorHAnsi" w:cstheme="majorHAnsi"/>
          <w:lang w:eastAsia="en-AU"/>
        </w:rPr>
        <w:t>the perception</w:t>
      </w:r>
      <w:r w:rsidR="006F159A" w:rsidRPr="00B46636">
        <w:rPr>
          <w:rFonts w:asciiTheme="majorHAnsi" w:eastAsia="SimSun" w:hAnsiTheme="majorHAnsi" w:cstheme="majorHAnsi"/>
          <w:lang w:eastAsia="en-AU"/>
        </w:rPr>
        <w:t xml:space="preserve"> </w:t>
      </w:r>
      <w:r w:rsidR="006F159A" w:rsidRPr="006F159A">
        <w:rPr>
          <w:rFonts w:asciiTheme="majorHAnsi" w:eastAsia="SimSun" w:hAnsiTheme="majorHAnsi" w:cstheme="majorHAnsi"/>
          <w:lang w:eastAsia="en-AU"/>
        </w:rPr>
        <w:t>that STEM research is favoured within selection processes may potentially be discouraging HASS researchers from submitting applications. Stakeholder outreach and engagement activities highlighting the Discovery Projects scheme’s support for both HASS and STEM research may assist in redressing these concerns.</w:t>
      </w:r>
    </w:p>
    <w:p w14:paraId="683EC207" w14:textId="526001F7" w:rsidR="006F159A" w:rsidRPr="006F159A" w:rsidRDefault="006F159A" w:rsidP="0068635B">
      <w:pPr>
        <w:pStyle w:val="Heading2"/>
      </w:pPr>
      <w:bookmarkStart w:id="430" w:name="_Toc51918726"/>
      <w:bookmarkStart w:id="431" w:name="_Toc55544807"/>
      <w:r w:rsidRPr="006F159A">
        <w:t>Supporting excellent research training</w:t>
      </w:r>
      <w:bookmarkEnd w:id="430"/>
      <w:bookmarkEnd w:id="431"/>
    </w:p>
    <w:p w14:paraId="4AA663E7" w14:textId="08112552"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Between DP02 and DP17, Discovery Projects scheme objectives specifically included support for research training in ‘high-quality research environments’. </w:t>
      </w:r>
      <w:r w:rsidR="00942421">
        <w:rPr>
          <w:rFonts w:asciiTheme="majorHAnsi" w:hAnsiTheme="majorHAnsi" w:cstheme="majorHAnsi"/>
        </w:rPr>
        <w:t>Since</w:t>
      </w:r>
      <w:r w:rsidR="00942421" w:rsidRPr="006F159A">
        <w:rPr>
          <w:rFonts w:asciiTheme="majorHAnsi" w:hAnsiTheme="majorHAnsi" w:cstheme="majorHAnsi"/>
        </w:rPr>
        <w:t xml:space="preserve"> </w:t>
      </w:r>
      <w:r w:rsidRPr="006F159A">
        <w:rPr>
          <w:rFonts w:asciiTheme="majorHAnsi" w:hAnsiTheme="majorHAnsi" w:cstheme="majorHAnsi"/>
        </w:rPr>
        <w:t xml:space="preserve">DP18, training </w:t>
      </w:r>
      <w:r w:rsidR="00DE0BBB">
        <w:rPr>
          <w:rFonts w:asciiTheme="majorHAnsi" w:hAnsiTheme="majorHAnsi" w:cstheme="majorHAnsi"/>
        </w:rPr>
        <w:t>has been</w:t>
      </w:r>
      <w:r w:rsidRPr="006F159A">
        <w:rPr>
          <w:rFonts w:asciiTheme="majorHAnsi" w:hAnsiTheme="majorHAnsi" w:cstheme="majorHAnsi"/>
        </w:rPr>
        <w:t xml:space="preserve"> incorporated into </w:t>
      </w:r>
      <w:r w:rsidR="00EE7A53">
        <w:rPr>
          <w:rFonts w:asciiTheme="majorHAnsi" w:hAnsiTheme="majorHAnsi" w:cstheme="majorHAnsi"/>
        </w:rPr>
        <w:t xml:space="preserve">a </w:t>
      </w:r>
      <w:r w:rsidRPr="006F159A">
        <w:rPr>
          <w:rFonts w:asciiTheme="majorHAnsi" w:hAnsiTheme="majorHAnsi" w:cstheme="majorHAnsi"/>
        </w:rPr>
        <w:t xml:space="preserve">broader objective focusing on supporting </w:t>
      </w:r>
      <w:r w:rsidR="00DE0BBB">
        <w:rPr>
          <w:rFonts w:asciiTheme="majorHAnsi" w:hAnsiTheme="majorHAnsi" w:cstheme="majorHAnsi"/>
        </w:rPr>
        <w:t xml:space="preserve">excellent research and </w:t>
      </w:r>
      <w:r w:rsidR="008E38A8">
        <w:rPr>
          <w:rFonts w:asciiTheme="majorHAnsi" w:hAnsiTheme="majorHAnsi" w:cstheme="majorHAnsi"/>
        </w:rPr>
        <w:t xml:space="preserve">research </w:t>
      </w:r>
      <w:r w:rsidR="00DE0BBB">
        <w:rPr>
          <w:rFonts w:asciiTheme="majorHAnsi" w:hAnsiTheme="majorHAnsi" w:cstheme="majorHAnsi"/>
        </w:rPr>
        <w:t>training</w:t>
      </w:r>
      <w:r w:rsidR="00611B86">
        <w:rPr>
          <w:rFonts w:asciiTheme="majorHAnsi" w:hAnsiTheme="majorHAnsi" w:cstheme="majorHAnsi"/>
        </w:rPr>
        <w:t>.</w:t>
      </w:r>
      <w:r w:rsidRPr="006F159A">
        <w:rPr>
          <w:rFonts w:asciiTheme="majorHAnsi" w:hAnsiTheme="majorHAnsi" w:cstheme="majorHAnsi"/>
        </w:rPr>
        <w:t xml:space="preserve"> </w:t>
      </w:r>
      <w:r w:rsidR="00611B86">
        <w:rPr>
          <w:rFonts w:asciiTheme="majorHAnsi" w:hAnsiTheme="majorHAnsi" w:cstheme="majorHAnsi"/>
        </w:rPr>
        <w:t>T</w:t>
      </w:r>
      <w:r w:rsidRPr="006F159A">
        <w:rPr>
          <w:rFonts w:asciiTheme="majorHAnsi" w:hAnsiTheme="majorHAnsi" w:cstheme="majorHAnsi"/>
        </w:rPr>
        <w:t xml:space="preserve">he scheme’s </w:t>
      </w:r>
      <w:r w:rsidR="002627B5">
        <w:rPr>
          <w:rFonts w:asciiTheme="majorHAnsi" w:hAnsiTheme="majorHAnsi" w:cstheme="majorHAnsi"/>
        </w:rPr>
        <w:t>assessment</w:t>
      </w:r>
      <w:r w:rsidR="002627B5" w:rsidRPr="006F159A">
        <w:rPr>
          <w:rFonts w:asciiTheme="majorHAnsi" w:hAnsiTheme="majorHAnsi" w:cstheme="majorHAnsi"/>
        </w:rPr>
        <w:t xml:space="preserve"> </w:t>
      </w:r>
      <w:r w:rsidRPr="006F159A">
        <w:rPr>
          <w:rFonts w:asciiTheme="majorHAnsi" w:hAnsiTheme="majorHAnsi" w:cstheme="majorHAnsi"/>
        </w:rPr>
        <w:t>criteria continue to reference the high</w:t>
      </w:r>
      <w:r w:rsidR="00E67AAB">
        <w:rPr>
          <w:rFonts w:asciiTheme="majorHAnsi" w:hAnsiTheme="majorHAnsi" w:cstheme="majorHAnsi"/>
        </w:rPr>
        <w:t xml:space="preserve"> </w:t>
      </w:r>
      <w:r w:rsidRPr="006F159A">
        <w:rPr>
          <w:rFonts w:asciiTheme="majorHAnsi" w:hAnsiTheme="majorHAnsi" w:cstheme="majorHAnsi"/>
        </w:rPr>
        <w:t>quality</w:t>
      </w:r>
      <w:r w:rsidR="00E67AAB">
        <w:rPr>
          <w:rFonts w:asciiTheme="majorHAnsi" w:hAnsiTheme="majorHAnsi" w:cstheme="majorHAnsi"/>
        </w:rPr>
        <w:t xml:space="preserve"> and </w:t>
      </w:r>
      <w:r w:rsidRPr="006F159A">
        <w:rPr>
          <w:rFonts w:asciiTheme="majorHAnsi" w:hAnsiTheme="majorHAnsi" w:cstheme="majorHAnsi"/>
        </w:rPr>
        <w:t>suitability of the training environment.</w:t>
      </w:r>
      <w:r w:rsidR="00227324">
        <w:rPr>
          <w:rFonts w:asciiTheme="majorHAnsi" w:hAnsiTheme="majorHAnsi" w:cstheme="majorHAnsi"/>
        </w:rPr>
        <w:t xml:space="preserve"> </w:t>
      </w:r>
    </w:p>
    <w:p w14:paraId="1E23A077" w14:textId="167C8469" w:rsidR="00057A13" w:rsidRDefault="006F159A" w:rsidP="006F159A">
      <w:pPr>
        <w:rPr>
          <w:rFonts w:asciiTheme="majorHAnsi" w:hAnsiTheme="majorHAnsi" w:cstheme="majorHAnsi"/>
        </w:rPr>
      </w:pPr>
      <w:r w:rsidRPr="006F159A">
        <w:rPr>
          <w:rFonts w:asciiTheme="majorHAnsi" w:hAnsiTheme="majorHAnsi" w:cstheme="majorHAnsi"/>
        </w:rPr>
        <w:t xml:space="preserve">Discovery Projects application budgets may request </w:t>
      </w:r>
      <w:r w:rsidR="00520E91">
        <w:rPr>
          <w:rFonts w:asciiTheme="majorHAnsi" w:hAnsiTheme="majorHAnsi" w:cstheme="majorHAnsi"/>
        </w:rPr>
        <w:t>PhD</w:t>
      </w:r>
      <w:r w:rsidRPr="006F159A">
        <w:rPr>
          <w:rFonts w:asciiTheme="majorHAnsi" w:hAnsiTheme="majorHAnsi" w:cstheme="majorHAnsi"/>
        </w:rPr>
        <w:t xml:space="preserve"> and/or Master’s by Research degree stipends, up to a specified value, to support Australian and international HDR students to participate in funded projects. Funding may also be used to support research activities undertaken by PhD, Master’s and Honours students that are directly related to the funded project. This includes domestic and international travel, as well as essential field research activities, such as technical</w:t>
      </w:r>
      <w:r w:rsidR="00790337">
        <w:rPr>
          <w:rFonts w:asciiTheme="majorHAnsi" w:hAnsiTheme="majorHAnsi" w:cstheme="majorHAnsi"/>
        </w:rPr>
        <w:t xml:space="preserve"> or </w:t>
      </w:r>
      <w:r w:rsidRPr="006F159A">
        <w:rPr>
          <w:rFonts w:asciiTheme="majorHAnsi" w:hAnsiTheme="majorHAnsi" w:cstheme="majorHAnsi"/>
        </w:rPr>
        <w:t xml:space="preserve">logistical support, travel and accommodation costs. Funding is not </w:t>
      </w:r>
      <w:r w:rsidRPr="00D4162B">
        <w:rPr>
          <w:rFonts w:asciiTheme="majorHAnsi" w:hAnsiTheme="majorHAnsi" w:cstheme="majorHAnsi"/>
        </w:rPr>
        <w:t>available for HDR HECS</w:t>
      </w:r>
      <w:r w:rsidR="00790337">
        <w:rPr>
          <w:rFonts w:asciiTheme="majorHAnsi" w:hAnsiTheme="majorHAnsi" w:cstheme="majorHAnsi"/>
        </w:rPr>
        <w:t xml:space="preserve"> or </w:t>
      </w:r>
      <w:r w:rsidRPr="00D4162B">
        <w:rPr>
          <w:rFonts w:asciiTheme="majorHAnsi" w:hAnsiTheme="majorHAnsi" w:cstheme="majorHAnsi"/>
        </w:rPr>
        <w:t>HELP loan repayments, international student fees or professional development courses for research trainees.</w:t>
      </w:r>
      <w:r w:rsidRPr="006F159A">
        <w:rPr>
          <w:rFonts w:asciiTheme="majorHAnsi" w:hAnsiTheme="majorHAnsi" w:cstheme="majorHAnsi"/>
        </w:rPr>
        <w:t xml:space="preserve"> </w:t>
      </w:r>
    </w:p>
    <w:p w14:paraId="6C537B31" w14:textId="126DECD7" w:rsidR="006F159A" w:rsidRPr="006F159A" w:rsidRDefault="00057A13" w:rsidP="006F159A">
      <w:pPr>
        <w:rPr>
          <w:rFonts w:asciiTheme="majorHAnsi" w:hAnsiTheme="majorHAnsi" w:cstheme="majorHAnsi"/>
        </w:rPr>
      </w:pPr>
      <w:r w:rsidRPr="00227324">
        <w:rPr>
          <w:rFonts w:asciiTheme="majorHAnsi" w:hAnsiTheme="majorHAnsi" w:cstheme="majorHAnsi"/>
        </w:rPr>
        <w:t>Under the scheme’s Grant Guidelines, Chief Investigators may not undertake HDR study during the project activity period. The ARC integrates research training across the NCGP, rather than administering dedicated schemes within which HDR students may participate as Chief Investigators.</w:t>
      </w:r>
    </w:p>
    <w:p w14:paraId="59AA04AE" w14:textId="5C0CBDA0" w:rsidR="006F159A" w:rsidRPr="006F159A" w:rsidRDefault="006F159A" w:rsidP="0068635B">
      <w:pPr>
        <w:pStyle w:val="Heading3"/>
      </w:pPr>
      <w:bookmarkStart w:id="432" w:name="_ARC_data—Research_trainee"/>
      <w:bookmarkStart w:id="433" w:name="_Toc50533609"/>
      <w:bookmarkStart w:id="434" w:name="_Toc50553759"/>
      <w:bookmarkStart w:id="435" w:name="_Toc50554994"/>
      <w:bookmarkStart w:id="436" w:name="_Toc50618128"/>
      <w:bookmarkStart w:id="437" w:name="_Toc50618409"/>
      <w:bookmarkStart w:id="438" w:name="_Toc51917003"/>
      <w:bookmarkStart w:id="439" w:name="_Toc51918843"/>
      <w:bookmarkStart w:id="440" w:name="_Toc53557232"/>
      <w:bookmarkStart w:id="441" w:name="_Toc54699274"/>
      <w:bookmarkStart w:id="442" w:name="_Toc55544808"/>
      <w:bookmarkEnd w:id="432"/>
      <w:r w:rsidRPr="006F159A">
        <w:t>ARC data—Research trainee participation</w:t>
      </w:r>
      <w:bookmarkEnd w:id="433"/>
      <w:bookmarkEnd w:id="434"/>
      <w:bookmarkEnd w:id="435"/>
      <w:bookmarkEnd w:id="436"/>
      <w:bookmarkEnd w:id="437"/>
      <w:bookmarkEnd w:id="438"/>
      <w:bookmarkEnd w:id="439"/>
      <w:bookmarkEnd w:id="440"/>
      <w:bookmarkEnd w:id="441"/>
      <w:bookmarkEnd w:id="442"/>
    </w:p>
    <w:p w14:paraId="6A82670B" w14:textId="635C56B9"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Recent Discovery Projects application forms request information about the number of PhD, Master’s and Honours </w:t>
      </w:r>
      <w:r w:rsidR="0067640E">
        <w:rPr>
          <w:rFonts w:asciiTheme="majorHAnsi" w:hAnsiTheme="majorHAnsi" w:cstheme="majorHAnsi"/>
        </w:rPr>
        <w:t>FTE</w:t>
      </w:r>
      <w:r w:rsidRPr="006F159A">
        <w:rPr>
          <w:rFonts w:asciiTheme="majorHAnsi" w:hAnsiTheme="majorHAnsi" w:cstheme="majorHAnsi"/>
        </w:rPr>
        <w:t xml:space="preserve"> places that will be filled through proposed projects. </w:t>
      </w:r>
      <w:r w:rsidRPr="006F159A">
        <w:rPr>
          <w:rFonts w:asciiTheme="majorHAnsi" w:hAnsiTheme="majorHAnsi" w:cstheme="majorHAnsi"/>
        </w:rPr>
        <w:fldChar w:fldCharType="begin"/>
      </w:r>
      <w:r w:rsidRPr="006F159A">
        <w:rPr>
          <w:rFonts w:asciiTheme="majorHAnsi" w:hAnsiTheme="majorHAnsi" w:cstheme="majorHAnsi"/>
        </w:rPr>
        <w:instrText xml:space="preserve"> REF _Ref40075808 \h  \* MERGEFORMAT </w:instrText>
      </w:r>
      <w:r w:rsidRPr="006F159A">
        <w:rPr>
          <w:rFonts w:asciiTheme="majorHAnsi" w:hAnsiTheme="majorHAnsi" w:cstheme="majorHAnsi"/>
        </w:rPr>
      </w:r>
      <w:r w:rsidRPr="006F159A">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24</w:t>
      </w:r>
      <w:r w:rsidRPr="006F159A">
        <w:rPr>
          <w:rFonts w:asciiTheme="majorHAnsi" w:hAnsiTheme="majorHAnsi" w:cstheme="majorHAnsi"/>
        </w:rPr>
        <w:fldChar w:fldCharType="end"/>
      </w:r>
      <w:r w:rsidRPr="006F159A">
        <w:rPr>
          <w:rFonts w:asciiTheme="majorHAnsi" w:hAnsiTheme="majorHAnsi" w:cstheme="majorHAnsi"/>
        </w:rPr>
        <w:t xml:space="preserve"> presents data collected from this question for applications and funded projects between DP16 and DP20. Application forms do not clearly indicate whether figures provided should match the number of HDR stipends requested or the total number of students receiving project support. </w:t>
      </w:r>
    </w:p>
    <w:p w14:paraId="27B7F70D" w14:textId="0E4136D9" w:rsidR="006F159A" w:rsidRPr="006F159A" w:rsidRDefault="006F159A" w:rsidP="00751469">
      <w:pPr>
        <w:pStyle w:val="FigureTitle"/>
      </w:pPr>
      <w:bookmarkStart w:id="443" w:name="_Ref40075808"/>
      <w:r w:rsidRPr="006F159A">
        <w:lastRenderedPageBreak/>
        <w:t xml:space="preserve">Figure </w:t>
      </w:r>
      <w:r w:rsidR="00857467">
        <w:fldChar w:fldCharType="begin"/>
      </w:r>
      <w:r w:rsidR="00857467">
        <w:instrText xml:space="preserve"> SEQ Figure \* ARABIC </w:instrText>
      </w:r>
      <w:r w:rsidR="00857467">
        <w:fldChar w:fldCharType="separate"/>
      </w:r>
      <w:r w:rsidR="00AB03D7">
        <w:rPr>
          <w:noProof/>
        </w:rPr>
        <w:t>24</w:t>
      </w:r>
      <w:r w:rsidR="00857467">
        <w:rPr>
          <w:noProof/>
        </w:rPr>
        <w:fldChar w:fldCharType="end"/>
      </w:r>
      <w:bookmarkEnd w:id="443"/>
      <w:r w:rsidRPr="006F159A">
        <w:t>: Honours, Master’s and PhD FTE places on applications/funded projects, DP16–20</w:t>
      </w:r>
    </w:p>
    <w:p w14:paraId="578D7055" w14:textId="2097FD55" w:rsidR="006F159A" w:rsidRPr="006F159A" w:rsidRDefault="000E5749" w:rsidP="006F159A">
      <w:pPr>
        <w:rPr>
          <w:rFonts w:asciiTheme="majorHAnsi" w:hAnsiTheme="majorHAnsi" w:cstheme="majorHAnsi"/>
        </w:rPr>
      </w:pPr>
      <w:r>
        <w:rPr>
          <w:rFonts w:asciiTheme="majorHAnsi" w:hAnsiTheme="majorHAnsi" w:cstheme="majorHAnsi"/>
          <w:noProof/>
        </w:rPr>
        <w:drawing>
          <wp:inline distT="0" distB="0" distL="0" distR="0" wp14:anchorId="0243B823" wp14:editId="616B3091">
            <wp:extent cx="5730875" cy="2273935"/>
            <wp:effectExtent l="0" t="0" r="3175" b="0"/>
            <wp:docPr id="82" name="Picture 82" descr="Figure 24 is a graph showing the number of Honours, Master’s and PhD FTE trainee places indicated on Discovery Projects applications and funded projects from DP16 to DP20.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24 is a graph showing the number of Honours, Master’s and PhD FTE trainee places indicated on Discovery Projects applications and funded projects from DP16 to DP20. See text above and below graph for more inform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2273935"/>
                    </a:xfrm>
                    <a:prstGeom prst="rect">
                      <a:avLst/>
                    </a:prstGeom>
                    <a:noFill/>
                  </pic:spPr>
                </pic:pic>
              </a:graphicData>
            </a:graphic>
          </wp:inline>
        </w:drawing>
      </w:r>
    </w:p>
    <w:p w14:paraId="681B5913" w14:textId="77777777" w:rsidR="006F159A" w:rsidRPr="006F159A" w:rsidRDefault="006F159A" w:rsidP="006F159A">
      <w:pPr>
        <w:rPr>
          <w:rFonts w:asciiTheme="majorHAnsi" w:hAnsiTheme="majorHAnsi" w:cstheme="majorHAnsi"/>
          <w:sz w:val="16"/>
          <w:szCs w:val="16"/>
        </w:rPr>
      </w:pPr>
      <w:r w:rsidRPr="006F159A">
        <w:rPr>
          <w:rFonts w:asciiTheme="majorHAnsi" w:hAnsiTheme="majorHAnsi" w:cstheme="majorHAnsi"/>
          <w:sz w:val="16"/>
          <w:szCs w:val="16"/>
        </w:rPr>
        <w:t xml:space="preserve">Source: ARC administrative data. </w:t>
      </w:r>
      <w:r w:rsidRPr="006F159A">
        <w:rPr>
          <w:rFonts w:asciiTheme="majorHAnsi" w:hAnsiTheme="majorHAnsi" w:cstheme="majorHAnsi"/>
          <w:i/>
          <w:sz w:val="16"/>
          <w:szCs w:val="16"/>
        </w:rPr>
        <w:t>Note: Data reflect number of research trainee places identified within applications. Figures are provided on an FTE basis.</w:t>
      </w:r>
      <w:r w:rsidRPr="006F159A">
        <w:rPr>
          <w:rFonts w:asciiTheme="majorHAnsi" w:hAnsiTheme="majorHAnsi" w:cstheme="majorHAnsi"/>
          <w:sz w:val="16"/>
          <w:szCs w:val="16"/>
        </w:rPr>
        <w:t xml:space="preserve"> </w:t>
      </w:r>
      <w:r w:rsidRPr="006F159A">
        <w:rPr>
          <w:rFonts w:asciiTheme="majorHAnsi" w:hAnsiTheme="majorHAnsi" w:cstheme="majorHAnsi"/>
          <w:i/>
          <w:sz w:val="16"/>
          <w:szCs w:val="16"/>
        </w:rPr>
        <w:t>Structured research trainee application data not available prior to DP16.</w:t>
      </w:r>
    </w:p>
    <w:p w14:paraId="7C3512D4" w14:textId="4AA5ABA5"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An average of 11,943 </w:t>
      </w:r>
      <w:r w:rsidR="008B3A63">
        <w:rPr>
          <w:rFonts w:asciiTheme="majorHAnsi" w:hAnsiTheme="majorHAnsi" w:cstheme="majorHAnsi"/>
        </w:rPr>
        <w:t>FTE</w:t>
      </w:r>
      <w:r w:rsidRPr="006F159A">
        <w:rPr>
          <w:rFonts w:asciiTheme="majorHAnsi" w:hAnsiTheme="majorHAnsi" w:cstheme="majorHAnsi"/>
        </w:rPr>
        <w:t xml:space="preserve"> research trainee positions per funding round were specified on applications between DP16 and DP20—most of whom were either Honours students or PhD candidates. These outcomes are consistent with Department of Education, Skills and Employment data suggesting relatively low Master’s by Research enrolments in Australia.</w:t>
      </w:r>
      <w:r w:rsidRPr="006F159A">
        <w:rPr>
          <w:rFonts w:asciiTheme="majorHAnsi" w:hAnsiTheme="majorHAnsi" w:cstheme="majorHAnsi"/>
          <w:vertAlign w:val="superscript"/>
        </w:rPr>
        <w:footnoteReference w:id="48"/>
      </w:r>
      <w:r w:rsidRPr="006F159A">
        <w:rPr>
          <w:rFonts w:asciiTheme="majorHAnsi" w:hAnsiTheme="majorHAnsi" w:cstheme="majorHAnsi"/>
        </w:rPr>
        <w:t xml:space="preserve"> Total research trainee positions on applications declined by 7.4 per cent over the time data were available, from 12,488 in DP16 to 11,564 in DP20. This decline primarily occurred in Honours and PhD positions, with Master’s places marginally increasing. However, the average number of research trainees per application increased over the time period from 3.5 in DP16 to 4.0 in DP20. </w:t>
      </w:r>
    </w:p>
    <w:p w14:paraId="1B20428F" w14:textId="77777777"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Over the same funding rounds, an average of 2657 research trainees were identified on all successful applications, growing slightly from 2563 in DP16 to 2727 in DP20. The number of Honours students identified on funded projects remained relatively steady, while the number of Master’s students (245 to 340) and PhD candidates (1008 to 1159) increased. The average number of research trainee positions per funded project remained relatively stable at 4.0. </w:t>
      </w:r>
    </w:p>
    <w:p w14:paraId="3FA61F06" w14:textId="43254D5E" w:rsidR="006F159A" w:rsidRDefault="006F159A" w:rsidP="006F159A">
      <w:pPr>
        <w:rPr>
          <w:rFonts w:asciiTheme="majorHAnsi" w:hAnsiTheme="majorHAnsi" w:cstheme="majorHAnsi"/>
        </w:rPr>
      </w:pPr>
      <w:r w:rsidRPr="006F159A">
        <w:rPr>
          <w:rFonts w:asciiTheme="majorHAnsi" w:hAnsiTheme="majorHAnsi" w:cstheme="majorHAnsi"/>
        </w:rPr>
        <w:t xml:space="preserve">As the data provided have been derived from applications, they should be interpreted as indications of expected research trainee participation. Given disparities between funding requested and funding </w:t>
      </w:r>
      <w:r w:rsidRPr="00FC3E13">
        <w:rPr>
          <w:rFonts w:asciiTheme="majorHAnsi" w:hAnsiTheme="majorHAnsi" w:cstheme="majorHAnsi"/>
        </w:rPr>
        <w:t>awarded</w:t>
      </w:r>
      <w:r w:rsidR="003007BD" w:rsidRPr="00FC3E13">
        <w:rPr>
          <w:rFonts w:asciiTheme="majorHAnsi" w:hAnsiTheme="majorHAnsi" w:cstheme="majorHAnsi"/>
        </w:rPr>
        <w:t>,</w:t>
      </w:r>
      <w:r w:rsidRPr="00FC3E13">
        <w:rPr>
          <w:rFonts w:asciiTheme="majorHAnsi" w:hAnsiTheme="majorHAnsi" w:cstheme="majorHAnsi"/>
        </w:rPr>
        <w:t xml:space="preserve"> and difficulties recruiting</w:t>
      </w:r>
      <w:r w:rsidR="00834379" w:rsidRPr="00FC3E13">
        <w:rPr>
          <w:rFonts w:asciiTheme="majorHAnsi" w:hAnsiTheme="majorHAnsi" w:cstheme="majorHAnsi"/>
        </w:rPr>
        <w:t xml:space="preserve"> HDR</w:t>
      </w:r>
      <w:r w:rsidRPr="00FC3E13">
        <w:rPr>
          <w:rFonts w:asciiTheme="majorHAnsi" w:hAnsiTheme="majorHAnsi" w:cstheme="majorHAnsi"/>
        </w:rPr>
        <w:t xml:space="preserve"> students identified within final report data </w:t>
      </w:r>
      <w:r w:rsidR="00354392" w:rsidRPr="00FC3E13">
        <w:rPr>
          <w:rFonts w:asciiTheme="majorHAnsi" w:hAnsiTheme="majorHAnsi" w:cstheme="majorHAnsi"/>
        </w:rPr>
        <w:t xml:space="preserve">noted </w:t>
      </w:r>
      <w:r w:rsidRPr="00FC3E13">
        <w:rPr>
          <w:rFonts w:asciiTheme="majorHAnsi" w:hAnsiTheme="majorHAnsi" w:cstheme="majorHAnsi"/>
        </w:rPr>
        <w:t xml:space="preserve">previously (see </w:t>
      </w:r>
      <w:hyperlink w:anchor="_Factors_affecting_project" w:history="1">
        <w:r w:rsidRPr="00281670">
          <w:rPr>
            <w:rStyle w:val="Hyperlink"/>
            <w:rFonts w:cstheme="majorHAnsi"/>
            <w:color w:val="auto"/>
            <w:sz w:val="22"/>
            <w:u w:val="none"/>
          </w:rPr>
          <w:t xml:space="preserve">Section </w:t>
        </w:r>
        <w:r w:rsidR="00354392" w:rsidRPr="00281670">
          <w:rPr>
            <w:rStyle w:val="Hyperlink"/>
            <w:rFonts w:cstheme="majorHAnsi"/>
            <w:color w:val="auto"/>
            <w:sz w:val="22"/>
            <w:u w:val="none"/>
          </w:rPr>
          <w:t>2.10.2</w:t>
        </w:r>
      </w:hyperlink>
      <w:r w:rsidRPr="00FC3E13">
        <w:rPr>
          <w:rFonts w:asciiTheme="majorHAnsi" w:hAnsiTheme="majorHAnsi" w:cstheme="majorHAnsi"/>
        </w:rPr>
        <w:t>), the</w:t>
      </w:r>
      <w:r w:rsidRPr="00C02611">
        <w:rPr>
          <w:rFonts w:asciiTheme="majorHAnsi" w:hAnsiTheme="majorHAnsi" w:cstheme="majorHAnsi"/>
        </w:rPr>
        <w:t xml:space="preserve"> actual </w:t>
      </w:r>
      <w:r w:rsidRPr="006F159A">
        <w:rPr>
          <w:rFonts w:asciiTheme="majorHAnsi" w:hAnsiTheme="majorHAnsi" w:cstheme="majorHAnsi"/>
        </w:rPr>
        <w:t xml:space="preserve">scale of research training delivered may not align with application data. At present, </w:t>
      </w:r>
      <w:r w:rsidR="0042459F">
        <w:rPr>
          <w:rFonts w:asciiTheme="majorHAnsi" w:hAnsiTheme="majorHAnsi" w:cstheme="majorHAnsi"/>
        </w:rPr>
        <w:t>comparable</w:t>
      </w:r>
      <w:r w:rsidRPr="006F159A">
        <w:rPr>
          <w:rFonts w:asciiTheme="majorHAnsi" w:hAnsiTheme="majorHAnsi" w:cstheme="majorHAnsi"/>
        </w:rPr>
        <w:t xml:space="preserve"> research trainee data collected through final reports were only available from DP13 onwards.</w:t>
      </w:r>
      <w:r w:rsidRPr="006F159A">
        <w:rPr>
          <w:rFonts w:asciiTheme="majorHAnsi" w:hAnsiTheme="majorHAnsi" w:cstheme="majorHAnsi"/>
          <w:vertAlign w:val="superscript"/>
        </w:rPr>
        <w:footnoteReference w:id="49"/>
      </w:r>
      <w:r w:rsidRPr="006F159A">
        <w:rPr>
          <w:rFonts w:asciiTheme="majorHAnsi" w:hAnsiTheme="majorHAnsi" w:cstheme="majorHAnsi"/>
        </w:rPr>
        <w:t xml:space="preserve"> These reports collect the number of research trainees participating </w:t>
      </w:r>
      <w:r w:rsidR="009267E5">
        <w:rPr>
          <w:rFonts w:asciiTheme="majorHAnsi" w:hAnsiTheme="majorHAnsi" w:cstheme="majorHAnsi"/>
        </w:rPr>
        <w:t>by year</w:t>
      </w:r>
      <w:r w:rsidRPr="006F159A">
        <w:rPr>
          <w:rFonts w:asciiTheme="majorHAnsi" w:hAnsiTheme="majorHAnsi" w:cstheme="majorHAnsi"/>
        </w:rPr>
        <w:t>, which inhibits an assessment of</w:t>
      </w:r>
      <w:r w:rsidR="009267E5">
        <w:rPr>
          <w:rFonts w:asciiTheme="majorHAnsi" w:hAnsiTheme="majorHAnsi" w:cstheme="majorHAnsi"/>
        </w:rPr>
        <w:t xml:space="preserve"> total</w:t>
      </w:r>
      <w:r w:rsidRPr="006F159A">
        <w:rPr>
          <w:rFonts w:asciiTheme="majorHAnsi" w:hAnsiTheme="majorHAnsi" w:cstheme="majorHAnsi"/>
        </w:rPr>
        <w:t xml:space="preserve"> training participation</w:t>
      </w:r>
      <w:r w:rsidR="009267E5">
        <w:rPr>
          <w:rFonts w:asciiTheme="majorHAnsi" w:hAnsiTheme="majorHAnsi" w:cstheme="majorHAnsi"/>
        </w:rPr>
        <w:t xml:space="preserve"> on completed projects</w:t>
      </w:r>
      <w:r w:rsidRPr="006F159A">
        <w:rPr>
          <w:rFonts w:asciiTheme="majorHAnsi" w:hAnsiTheme="majorHAnsi" w:cstheme="majorHAnsi"/>
        </w:rPr>
        <w:t>. Capturing the total number of trainees supported over project life through final reports would allow for comparisons between anticipated research trainee participation on applications and actual outcomes achieved by completed projects, and</w:t>
      </w:r>
      <w:r w:rsidRPr="006F159A" w:rsidDel="00984095">
        <w:rPr>
          <w:rFonts w:asciiTheme="majorHAnsi" w:hAnsiTheme="majorHAnsi" w:cstheme="majorHAnsi"/>
        </w:rPr>
        <w:t xml:space="preserve"> </w:t>
      </w:r>
      <w:r w:rsidRPr="006F159A">
        <w:rPr>
          <w:rFonts w:asciiTheme="majorHAnsi" w:hAnsiTheme="majorHAnsi" w:cstheme="majorHAnsi"/>
        </w:rPr>
        <w:t xml:space="preserve">enable more accurate monitoring and future evaluation of the scale of research training supported by the scheme as a whole. </w:t>
      </w:r>
    </w:p>
    <w:p w14:paraId="23628967" w14:textId="77777777" w:rsidR="000E08BC" w:rsidRDefault="000E08BC" w:rsidP="006F159A">
      <w:pPr>
        <w:rPr>
          <w:rFonts w:asciiTheme="majorHAnsi" w:hAnsiTheme="majorHAnsi" w:cstheme="majorHAnsi"/>
        </w:rPr>
      </w:pPr>
    </w:p>
    <w:p w14:paraId="6300F00F" w14:textId="77777777" w:rsidR="006F159A" w:rsidRPr="006F159A" w:rsidRDefault="006F159A" w:rsidP="0068635B">
      <w:pPr>
        <w:pStyle w:val="Heading3"/>
      </w:pPr>
      <w:bookmarkStart w:id="444" w:name="_Toc51917004"/>
      <w:bookmarkStart w:id="445" w:name="_Toc51918844"/>
      <w:bookmarkStart w:id="446" w:name="_Toc50533610"/>
      <w:bookmarkStart w:id="447" w:name="_Toc50553760"/>
      <w:bookmarkStart w:id="448" w:name="_Toc50554995"/>
      <w:bookmarkStart w:id="449" w:name="_Toc50618129"/>
      <w:bookmarkStart w:id="450" w:name="_Toc50618410"/>
      <w:bookmarkStart w:id="451" w:name="_Toc51917005"/>
      <w:bookmarkStart w:id="452" w:name="_Toc51918845"/>
      <w:bookmarkStart w:id="453" w:name="_Toc53557233"/>
      <w:bookmarkStart w:id="454" w:name="_Toc54699275"/>
      <w:bookmarkStart w:id="455" w:name="_Toc55544809"/>
      <w:bookmarkEnd w:id="444"/>
      <w:bookmarkEnd w:id="445"/>
      <w:r w:rsidRPr="006F159A">
        <w:lastRenderedPageBreak/>
        <w:t>ARC data—HDR stipend funding</w:t>
      </w:r>
      <w:bookmarkEnd w:id="446"/>
      <w:bookmarkEnd w:id="447"/>
      <w:bookmarkEnd w:id="448"/>
      <w:bookmarkEnd w:id="449"/>
      <w:bookmarkEnd w:id="450"/>
      <w:bookmarkEnd w:id="451"/>
      <w:bookmarkEnd w:id="452"/>
      <w:bookmarkEnd w:id="453"/>
      <w:bookmarkEnd w:id="454"/>
      <w:bookmarkEnd w:id="455"/>
    </w:p>
    <w:p w14:paraId="36066935" w14:textId="1ED42B07"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The total amount of funding requested for HDR stipends on applications and funded projects provides further insight into the scale of Discovery Projects’ support for research training. </w:t>
      </w:r>
      <w:r w:rsidRPr="006F159A">
        <w:rPr>
          <w:rFonts w:asciiTheme="majorHAnsi" w:hAnsiTheme="majorHAnsi" w:cstheme="majorHAnsi"/>
          <w:highlight w:val="yellow"/>
        </w:rPr>
        <w:fldChar w:fldCharType="begin"/>
      </w:r>
      <w:r w:rsidRPr="006F159A">
        <w:rPr>
          <w:rFonts w:asciiTheme="majorHAnsi" w:hAnsiTheme="majorHAnsi" w:cstheme="majorHAnsi"/>
        </w:rPr>
        <w:instrText xml:space="preserve"> REF _Ref40075851 \h </w:instrText>
      </w:r>
      <w:r w:rsidRPr="006F159A">
        <w:rPr>
          <w:rFonts w:asciiTheme="majorHAnsi" w:hAnsiTheme="majorHAnsi" w:cstheme="majorHAnsi"/>
          <w:highlight w:val="yellow"/>
        </w:rPr>
        <w:instrText xml:space="preserve"> \* MERGEFORMAT </w:instrText>
      </w:r>
      <w:r w:rsidRPr="006F159A">
        <w:rPr>
          <w:rFonts w:asciiTheme="majorHAnsi" w:hAnsiTheme="majorHAnsi" w:cstheme="majorHAnsi"/>
          <w:highlight w:val="yellow"/>
        </w:rPr>
      </w:r>
      <w:r w:rsidRPr="006F159A">
        <w:rPr>
          <w:rFonts w:asciiTheme="majorHAnsi" w:hAnsiTheme="majorHAnsi" w:cstheme="majorHAnsi"/>
          <w:highlight w:val="yellow"/>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25</w:t>
      </w:r>
      <w:r w:rsidRPr="006F159A">
        <w:rPr>
          <w:rFonts w:asciiTheme="majorHAnsi" w:hAnsiTheme="majorHAnsi" w:cstheme="majorHAnsi"/>
          <w:highlight w:val="yellow"/>
        </w:rPr>
        <w:fldChar w:fldCharType="end"/>
      </w:r>
      <w:r w:rsidRPr="006F159A">
        <w:rPr>
          <w:rFonts w:asciiTheme="majorHAnsi" w:hAnsiTheme="majorHAnsi" w:cstheme="majorHAnsi"/>
        </w:rPr>
        <w:t xml:space="preserve"> shows that the amount requested on applications appears to have declined slightly from DP16; however, given the relatively short timeframe covered by the available data, and the noticeable increase in funding requested in DP20 applications, further monitoring will be needed to determine whether this reflects an ongoing trend. The value of requested HDR stipends on funded projects remained relatively stable for most of the time period covered (hovering around $35.5–$35.9 million between DP16–DP19) but grew substantially in the most recently announced funding round ($41.7 million in DP20). </w:t>
      </w:r>
    </w:p>
    <w:p w14:paraId="2EFEF677" w14:textId="1C77AA63" w:rsidR="006F159A" w:rsidRPr="006F159A" w:rsidRDefault="006F159A" w:rsidP="006F159A">
      <w:pPr>
        <w:rPr>
          <w:rFonts w:asciiTheme="majorHAnsi" w:hAnsiTheme="majorHAnsi" w:cstheme="majorHAnsi"/>
        </w:rPr>
      </w:pPr>
      <w:r w:rsidRPr="006F159A">
        <w:rPr>
          <w:rFonts w:asciiTheme="majorHAnsi" w:hAnsiTheme="majorHAnsi" w:cstheme="majorHAnsi"/>
        </w:rPr>
        <w:t>It is important to note that within ARC peer review processes, successful applications are allocated a one-line total budget, rather than being assigned funding amounts for specific items. This approach reflects the ARC’s desire to ensure flexibility in the utilisation of project funding. Subsequently, data on the amount of funding awarded for HDR stipends are not available.</w:t>
      </w:r>
      <w:r w:rsidR="00140103">
        <w:rPr>
          <w:rFonts w:asciiTheme="majorHAnsi" w:hAnsiTheme="majorHAnsi" w:cstheme="majorHAnsi"/>
        </w:rPr>
        <w:t xml:space="preserve"> </w:t>
      </w:r>
      <w:r w:rsidR="0016145F">
        <w:rPr>
          <w:rFonts w:asciiTheme="majorHAnsi" w:hAnsiTheme="majorHAnsi" w:cstheme="majorHAnsi"/>
        </w:rPr>
        <w:t>The ARC does not maintain rec</w:t>
      </w:r>
      <w:r w:rsidR="005A3CAD">
        <w:rPr>
          <w:rFonts w:asciiTheme="majorHAnsi" w:hAnsiTheme="majorHAnsi" w:cstheme="majorHAnsi"/>
        </w:rPr>
        <w:t>ords</w:t>
      </w:r>
      <w:r w:rsidR="0016145F">
        <w:rPr>
          <w:rFonts w:asciiTheme="majorHAnsi" w:hAnsiTheme="majorHAnsi" w:cstheme="majorHAnsi"/>
        </w:rPr>
        <w:t xml:space="preserve"> documenting actual expenditure</w:t>
      </w:r>
      <w:r w:rsidR="005A3CAD">
        <w:rPr>
          <w:rFonts w:asciiTheme="majorHAnsi" w:hAnsiTheme="majorHAnsi" w:cstheme="majorHAnsi"/>
        </w:rPr>
        <w:t xml:space="preserve"> from funded grants against specific budget items.</w:t>
      </w:r>
      <w:r w:rsidR="0019055C">
        <w:rPr>
          <w:rFonts w:asciiTheme="majorHAnsi" w:hAnsiTheme="majorHAnsi" w:cstheme="majorHAnsi"/>
        </w:rPr>
        <w:t xml:space="preserve"> </w:t>
      </w:r>
      <w:r w:rsidR="00C36F14">
        <w:rPr>
          <w:rFonts w:asciiTheme="majorHAnsi" w:hAnsiTheme="majorHAnsi" w:cstheme="majorHAnsi"/>
        </w:rPr>
        <w:t>Additionally</w:t>
      </w:r>
      <w:r w:rsidR="00140103">
        <w:rPr>
          <w:rFonts w:asciiTheme="majorHAnsi" w:hAnsiTheme="majorHAnsi" w:cstheme="majorHAnsi"/>
        </w:rPr>
        <w:t xml:space="preserve">, the </w:t>
      </w:r>
      <w:r w:rsidR="003F107C">
        <w:rPr>
          <w:rFonts w:asciiTheme="majorHAnsi" w:hAnsiTheme="majorHAnsi" w:cstheme="majorHAnsi"/>
        </w:rPr>
        <w:t xml:space="preserve">allowable stipend funding </w:t>
      </w:r>
      <w:r w:rsidR="005274F9">
        <w:rPr>
          <w:rFonts w:asciiTheme="majorHAnsi" w:hAnsiTheme="majorHAnsi" w:cstheme="majorHAnsi"/>
        </w:rPr>
        <w:t>specified within</w:t>
      </w:r>
      <w:r w:rsidR="003F107C">
        <w:rPr>
          <w:rFonts w:asciiTheme="majorHAnsi" w:hAnsiTheme="majorHAnsi" w:cstheme="majorHAnsi"/>
        </w:rPr>
        <w:t xml:space="preserve"> Discovery Projects </w:t>
      </w:r>
      <w:r w:rsidR="005274F9">
        <w:rPr>
          <w:rFonts w:asciiTheme="majorHAnsi" w:hAnsiTheme="majorHAnsi" w:cstheme="majorHAnsi"/>
        </w:rPr>
        <w:t>Grant Guidelines</w:t>
      </w:r>
      <w:r w:rsidR="003F107C">
        <w:rPr>
          <w:rFonts w:asciiTheme="majorHAnsi" w:hAnsiTheme="majorHAnsi" w:cstheme="majorHAnsi"/>
        </w:rPr>
        <w:t xml:space="preserve"> has increased over time</w:t>
      </w:r>
      <w:r w:rsidR="008F6416">
        <w:rPr>
          <w:rFonts w:asciiTheme="majorHAnsi" w:hAnsiTheme="majorHAnsi" w:cstheme="majorHAnsi"/>
        </w:rPr>
        <w:t>, whic</w:t>
      </w:r>
      <w:r w:rsidR="001206BF">
        <w:rPr>
          <w:rFonts w:asciiTheme="majorHAnsi" w:hAnsiTheme="majorHAnsi" w:cstheme="majorHAnsi"/>
        </w:rPr>
        <w:t xml:space="preserve">h may account for part of the </w:t>
      </w:r>
      <w:r w:rsidR="003A4A00">
        <w:rPr>
          <w:rFonts w:asciiTheme="majorHAnsi" w:hAnsiTheme="majorHAnsi" w:cstheme="majorHAnsi"/>
        </w:rPr>
        <w:t xml:space="preserve">overall growth in stipend </w:t>
      </w:r>
      <w:r w:rsidR="00C36F14">
        <w:rPr>
          <w:rFonts w:asciiTheme="majorHAnsi" w:hAnsiTheme="majorHAnsi" w:cstheme="majorHAnsi"/>
        </w:rPr>
        <w:t>requests</w:t>
      </w:r>
      <w:r w:rsidR="003A4A00">
        <w:rPr>
          <w:rFonts w:asciiTheme="majorHAnsi" w:hAnsiTheme="majorHAnsi" w:cstheme="majorHAnsi"/>
        </w:rPr>
        <w:t xml:space="preserve"> that occurred in DP20.</w:t>
      </w:r>
    </w:p>
    <w:p w14:paraId="0641EF67" w14:textId="5A30DCDC" w:rsidR="006F159A" w:rsidRPr="006F159A" w:rsidRDefault="006F159A" w:rsidP="00751469">
      <w:pPr>
        <w:pStyle w:val="FigureTitle"/>
      </w:pPr>
      <w:bookmarkStart w:id="456" w:name="_Ref40075851"/>
      <w:r w:rsidRPr="006F159A">
        <w:t xml:space="preserve">Figure </w:t>
      </w:r>
      <w:r w:rsidR="00857467">
        <w:fldChar w:fldCharType="begin"/>
      </w:r>
      <w:r w:rsidR="00857467">
        <w:instrText xml:space="preserve"> SEQ Figure \* ARABIC </w:instrText>
      </w:r>
      <w:r w:rsidR="00857467">
        <w:fldChar w:fldCharType="separate"/>
      </w:r>
      <w:r w:rsidR="00AB03D7">
        <w:rPr>
          <w:noProof/>
        </w:rPr>
        <w:t>25</w:t>
      </w:r>
      <w:r w:rsidR="00857467">
        <w:rPr>
          <w:noProof/>
        </w:rPr>
        <w:fldChar w:fldCharType="end"/>
      </w:r>
      <w:bookmarkEnd w:id="456"/>
      <w:r w:rsidRPr="006F159A">
        <w:t xml:space="preserve">: HDR stipend funding requested </w:t>
      </w:r>
      <w:r w:rsidR="0034030B">
        <w:t>within</w:t>
      </w:r>
      <w:r w:rsidRPr="006F159A">
        <w:t xml:space="preserve"> applications (A)</w:t>
      </w:r>
      <w:r w:rsidR="006B3004">
        <w:t xml:space="preserve"> and </w:t>
      </w:r>
      <w:r w:rsidRPr="006F159A">
        <w:t>funded projects (F), DP16–DP20</w:t>
      </w:r>
    </w:p>
    <w:p w14:paraId="2A89F06D" w14:textId="5AD74B67" w:rsidR="006F159A" w:rsidRPr="006F159A" w:rsidRDefault="000E5749" w:rsidP="006F159A">
      <w:pPr>
        <w:rPr>
          <w:rFonts w:asciiTheme="majorHAnsi" w:hAnsiTheme="majorHAnsi" w:cstheme="majorHAnsi"/>
        </w:rPr>
      </w:pPr>
      <w:r>
        <w:rPr>
          <w:rFonts w:asciiTheme="majorHAnsi" w:hAnsiTheme="majorHAnsi" w:cstheme="majorHAnsi"/>
          <w:noProof/>
        </w:rPr>
        <w:drawing>
          <wp:inline distT="0" distB="0" distL="0" distR="0" wp14:anchorId="780DA8F8" wp14:editId="6442AFD6">
            <wp:extent cx="5730875" cy="2974975"/>
            <wp:effectExtent l="0" t="0" r="3175" b="0"/>
            <wp:docPr id="83" name="Picture 83" descr="Figure 25 is a graph showing the value of HDR stipend funding requested on applications and funded projects between DP16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igure 25 is a graph showing the value of HDR stipend funding requested on applications and funded projects between DP16 and DP20. See text above graph for more inform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2974975"/>
                    </a:xfrm>
                    <a:prstGeom prst="rect">
                      <a:avLst/>
                    </a:prstGeom>
                    <a:noFill/>
                  </pic:spPr>
                </pic:pic>
              </a:graphicData>
            </a:graphic>
          </wp:inline>
        </w:drawing>
      </w:r>
    </w:p>
    <w:p w14:paraId="08D94D4F" w14:textId="5E111AE0" w:rsidR="006F159A" w:rsidRPr="006F159A" w:rsidRDefault="006F159A" w:rsidP="006F159A">
      <w:pPr>
        <w:rPr>
          <w:rFonts w:asciiTheme="majorHAnsi" w:hAnsiTheme="majorHAnsi" w:cstheme="majorHAnsi"/>
          <w:sz w:val="16"/>
          <w:szCs w:val="16"/>
        </w:rPr>
      </w:pPr>
      <w:r w:rsidRPr="006F159A">
        <w:rPr>
          <w:rFonts w:asciiTheme="majorHAnsi" w:hAnsiTheme="majorHAnsi" w:cstheme="majorHAnsi"/>
          <w:sz w:val="16"/>
          <w:szCs w:val="16"/>
        </w:rPr>
        <w:t xml:space="preserve">Source: ARC administrative data. </w:t>
      </w:r>
      <w:r w:rsidRPr="006F159A">
        <w:rPr>
          <w:rFonts w:asciiTheme="majorHAnsi" w:hAnsiTheme="majorHAnsi" w:cstheme="majorHAnsi"/>
          <w:i/>
          <w:sz w:val="16"/>
          <w:szCs w:val="16"/>
        </w:rPr>
        <w:t xml:space="preserve">Note: Data reflect amount of funding requested for stipends within all applications (A) and within applications from funded projects (F). </w:t>
      </w:r>
      <w:r w:rsidRPr="006F159A">
        <w:rPr>
          <w:rFonts w:asciiTheme="majorHAnsi" w:hAnsiTheme="majorHAnsi" w:cstheme="majorHAnsi"/>
          <w:i/>
          <w:sz w:val="16"/>
          <w:szCs w:val="16"/>
          <w:lang w:eastAsia="en-AU"/>
        </w:rPr>
        <w:t xml:space="preserve">Funding data </w:t>
      </w:r>
      <w:r w:rsidR="004A7D70">
        <w:rPr>
          <w:rFonts w:asciiTheme="majorHAnsi" w:hAnsiTheme="majorHAnsi" w:cstheme="majorHAnsi"/>
          <w:i/>
          <w:sz w:val="16"/>
          <w:szCs w:val="16"/>
          <w:lang w:eastAsia="en-AU"/>
        </w:rPr>
        <w:t>have not been adjusted for inflation</w:t>
      </w:r>
      <w:r w:rsidRPr="006F159A">
        <w:rPr>
          <w:rFonts w:asciiTheme="majorHAnsi" w:hAnsiTheme="majorHAnsi" w:cstheme="majorHAnsi"/>
          <w:i/>
          <w:sz w:val="16"/>
          <w:szCs w:val="16"/>
          <w:lang w:eastAsia="en-AU"/>
        </w:rPr>
        <w:t xml:space="preserve">. </w:t>
      </w:r>
      <w:r w:rsidRPr="006F159A">
        <w:rPr>
          <w:rFonts w:asciiTheme="majorHAnsi" w:hAnsiTheme="majorHAnsi" w:cstheme="majorHAnsi"/>
          <w:i/>
          <w:sz w:val="16"/>
          <w:szCs w:val="16"/>
        </w:rPr>
        <w:t>Structured HDR application data not available prior to DP16.</w:t>
      </w:r>
    </w:p>
    <w:p w14:paraId="13777CA9" w14:textId="205157B9" w:rsidR="006F159A" w:rsidRPr="006F159A" w:rsidRDefault="0007400B" w:rsidP="006F159A">
      <w:pPr>
        <w:rPr>
          <w:rFonts w:asciiTheme="majorHAnsi" w:hAnsiTheme="majorHAnsi" w:cstheme="majorHAnsi"/>
        </w:rPr>
      </w:pPr>
      <w:r>
        <w:rPr>
          <w:rFonts w:asciiTheme="majorHAnsi" w:hAnsiTheme="majorHAnsi" w:cstheme="majorHAnsi"/>
        </w:rPr>
        <w:t>Overall, ARC administrative data provide</w:t>
      </w:r>
      <w:r w:rsidR="006F159A" w:rsidRPr="006F159A">
        <w:rPr>
          <w:rFonts w:asciiTheme="majorHAnsi" w:hAnsiTheme="majorHAnsi" w:cstheme="majorHAnsi"/>
        </w:rPr>
        <w:t xml:space="preserve"> provisional evidence that, in terms of scale, Discovery Projects’ effectiveness in supporting research training has slightly increased over time</w:t>
      </w:r>
      <w:r w:rsidR="00EF355D">
        <w:rPr>
          <w:rFonts w:asciiTheme="majorHAnsi" w:hAnsiTheme="majorHAnsi" w:cstheme="majorHAnsi"/>
        </w:rPr>
        <w:t>, in terms of FTE positions and HDR stipend requests</w:t>
      </w:r>
      <w:r w:rsidR="006F159A" w:rsidRPr="006F159A">
        <w:rPr>
          <w:rFonts w:asciiTheme="majorHAnsi" w:hAnsiTheme="majorHAnsi" w:cstheme="majorHAnsi"/>
        </w:rPr>
        <w:t xml:space="preserve">. However, ongoing monitoring will be needed to confidently support this conclusion, given the short duration of available data, the marginal nature of potential trends identified and the limitations of current final report data. </w:t>
      </w:r>
    </w:p>
    <w:p w14:paraId="69F61245" w14:textId="66D644F2" w:rsidR="006F159A" w:rsidRPr="006F159A" w:rsidRDefault="006F159A" w:rsidP="0068635B">
      <w:pPr>
        <w:pStyle w:val="Heading3"/>
      </w:pPr>
      <w:bookmarkStart w:id="457" w:name="_Qualitative_stakeholder_feedback_1"/>
      <w:bookmarkStart w:id="458" w:name="_Toc50533611"/>
      <w:bookmarkStart w:id="459" w:name="_Toc50553761"/>
      <w:bookmarkStart w:id="460" w:name="_Toc50554996"/>
      <w:bookmarkStart w:id="461" w:name="_Toc50618130"/>
      <w:bookmarkStart w:id="462" w:name="_Toc50618411"/>
      <w:bookmarkStart w:id="463" w:name="_Toc51917006"/>
      <w:bookmarkStart w:id="464" w:name="_Toc51918846"/>
      <w:bookmarkStart w:id="465" w:name="_Toc53557234"/>
      <w:bookmarkStart w:id="466" w:name="_Toc54699276"/>
      <w:bookmarkStart w:id="467" w:name="_Toc55544810"/>
      <w:bookmarkEnd w:id="457"/>
      <w:r w:rsidRPr="006F159A">
        <w:t>Qualitative stakeholder feedback on effectiveness</w:t>
      </w:r>
      <w:bookmarkEnd w:id="458"/>
      <w:bookmarkEnd w:id="459"/>
      <w:bookmarkEnd w:id="460"/>
      <w:bookmarkEnd w:id="461"/>
      <w:bookmarkEnd w:id="462"/>
      <w:bookmarkEnd w:id="463"/>
      <w:bookmarkEnd w:id="464"/>
      <w:bookmarkEnd w:id="465"/>
      <w:bookmarkEnd w:id="466"/>
      <w:bookmarkEnd w:id="467"/>
    </w:p>
    <w:p w14:paraId="2027C7B8" w14:textId="2F3D38B8" w:rsidR="006F159A" w:rsidRPr="006F159A" w:rsidRDefault="006F159A" w:rsidP="006F159A">
      <w:pPr>
        <w:spacing w:before="120" w:after="240"/>
        <w:rPr>
          <w:rFonts w:asciiTheme="majorHAnsi" w:eastAsia="SimSun" w:hAnsiTheme="majorHAnsi" w:cstheme="majorHAnsi"/>
          <w:lang w:eastAsia="en-AU"/>
        </w:rPr>
      </w:pPr>
      <w:r w:rsidRPr="006F159A">
        <w:rPr>
          <w:rFonts w:asciiTheme="majorHAnsi" w:eastAsia="SimSun" w:hAnsiTheme="majorHAnsi" w:cstheme="majorHAnsi"/>
          <w:lang w:eastAsia="en-AU"/>
        </w:rPr>
        <w:t xml:space="preserve">Stakeholders regarded Discovery Projects as effectively supporting high quality research training. Research office representatives noted the alignment between this objective and outcomes being </w:t>
      </w:r>
      <w:r w:rsidRPr="006F159A">
        <w:rPr>
          <w:rFonts w:asciiTheme="majorHAnsi" w:eastAsia="SimSun" w:hAnsiTheme="majorHAnsi" w:cstheme="majorHAnsi"/>
          <w:lang w:eastAsia="en-AU"/>
        </w:rPr>
        <w:lastRenderedPageBreak/>
        <w:t xml:space="preserve">pursued by universities, and </w:t>
      </w:r>
      <w:r w:rsidR="00286B99">
        <w:rPr>
          <w:rFonts w:asciiTheme="majorHAnsi" w:eastAsia="SimSun" w:hAnsiTheme="majorHAnsi" w:cstheme="majorHAnsi"/>
          <w:lang w:eastAsia="en-AU"/>
        </w:rPr>
        <w:t xml:space="preserve">said they </w:t>
      </w:r>
      <w:r w:rsidRPr="006F159A">
        <w:rPr>
          <w:rFonts w:asciiTheme="majorHAnsi" w:eastAsia="SimSun" w:hAnsiTheme="majorHAnsi" w:cstheme="majorHAnsi"/>
          <w:lang w:eastAsia="en-AU"/>
        </w:rPr>
        <w:t xml:space="preserve">encouraged the inclusion of funding and support for HDR candidates on applications. </w:t>
      </w:r>
      <w:r w:rsidR="00C210BF">
        <w:rPr>
          <w:rFonts w:asciiTheme="majorHAnsi" w:eastAsia="SimSun" w:hAnsiTheme="majorHAnsi" w:cstheme="majorHAnsi"/>
          <w:lang w:eastAsia="en-AU"/>
        </w:rPr>
        <w:t>Qualitative feedback</w:t>
      </w:r>
      <w:r w:rsidR="002358C4">
        <w:rPr>
          <w:rFonts w:asciiTheme="majorHAnsi" w:eastAsia="SimSun" w:hAnsiTheme="majorHAnsi" w:cstheme="majorHAnsi"/>
          <w:lang w:eastAsia="en-AU"/>
        </w:rPr>
        <w:t xml:space="preserve"> highlighted </w:t>
      </w:r>
      <w:r w:rsidRPr="006F159A">
        <w:rPr>
          <w:rFonts w:asciiTheme="majorHAnsi" w:eastAsia="SimSun" w:hAnsiTheme="majorHAnsi" w:cstheme="majorHAnsi"/>
          <w:lang w:eastAsia="en-AU"/>
        </w:rPr>
        <w:t>Discovery Projects</w:t>
      </w:r>
      <w:r w:rsidR="00045DCB">
        <w:rPr>
          <w:rFonts w:asciiTheme="majorHAnsi" w:eastAsia="SimSun" w:hAnsiTheme="majorHAnsi" w:cstheme="majorHAnsi"/>
          <w:lang w:eastAsia="en-AU"/>
        </w:rPr>
        <w:t xml:space="preserve">’ contribution </w:t>
      </w:r>
      <w:r w:rsidRPr="006F159A">
        <w:rPr>
          <w:rFonts w:asciiTheme="majorHAnsi" w:eastAsia="SimSun" w:hAnsiTheme="majorHAnsi" w:cstheme="majorHAnsi"/>
          <w:lang w:eastAsia="en-AU"/>
        </w:rPr>
        <w:t xml:space="preserve">to the ongoing development of future generations of Australian researchers through opportunities to collaborate with more experienced, leading scholars. </w:t>
      </w:r>
      <w:r w:rsidR="00AE2AAB">
        <w:rPr>
          <w:rFonts w:asciiTheme="majorHAnsi" w:eastAsia="SimSun" w:hAnsiTheme="majorHAnsi" w:cstheme="majorHAnsi"/>
          <w:lang w:eastAsia="en-AU"/>
        </w:rPr>
        <w:t xml:space="preserve">The </w:t>
      </w:r>
      <w:r w:rsidR="005D0C3B">
        <w:rPr>
          <w:rFonts w:asciiTheme="majorHAnsi" w:eastAsia="SimSun" w:hAnsiTheme="majorHAnsi" w:cstheme="majorHAnsi"/>
          <w:lang w:eastAsia="en-AU"/>
        </w:rPr>
        <w:t xml:space="preserve">scheme’s </w:t>
      </w:r>
      <w:r w:rsidR="00AE2AAB">
        <w:rPr>
          <w:rFonts w:asciiTheme="majorHAnsi" w:eastAsia="SimSun" w:hAnsiTheme="majorHAnsi" w:cstheme="majorHAnsi"/>
          <w:lang w:eastAsia="en-AU"/>
        </w:rPr>
        <w:t>inclusion of</w:t>
      </w:r>
      <w:r w:rsidRPr="006F159A">
        <w:rPr>
          <w:rFonts w:asciiTheme="majorHAnsi" w:eastAsia="SimSun" w:hAnsiTheme="majorHAnsi" w:cstheme="majorHAnsi"/>
          <w:lang w:eastAsia="en-AU"/>
        </w:rPr>
        <w:t xml:space="preserve"> research trainees on significant projects was </w:t>
      </w:r>
      <w:r w:rsidR="005D0C3B">
        <w:rPr>
          <w:rFonts w:asciiTheme="majorHAnsi" w:eastAsia="SimSun" w:hAnsiTheme="majorHAnsi" w:cstheme="majorHAnsi"/>
          <w:lang w:eastAsia="en-AU"/>
        </w:rPr>
        <w:t>seen as</w:t>
      </w:r>
      <w:r w:rsidRPr="006F159A">
        <w:rPr>
          <w:rFonts w:asciiTheme="majorHAnsi" w:eastAsia="SimSun" w:hAnsiTheme="majorHAnsi" w:cstheme="majorHAnsi"/>
          <w:lang w:eastAsia="en-AU"/>
        </w:rPr>
        <w:t xml:space="preserve"> effectively contributing to future research workforce capacity, and reciprocally supporting the effective delivery of basic and applied research. </w:t>
      </w:r>
    </w:p>
    <w:p w14:paraId="3125B1D7" w14:textId="77777777" w:rsidR="006F159A" w:rsidRPr="006F159A" w:rsidRDefault="006F159A" w:rsidP="003E0DE0">
      <w:pPr>
        <w:pStyle w:val="Quote"/>
      </w:pPr>
      <w:r w:rsidRPr="006F159A">
        <w:t xml:space="preserve">Through that process [of including PhD students on Discovery Projects], people with more experience, or those who are more advanced in their careers, can </w:t>
      </w:r>
      <w:r w:rsidRPr="006F159A">
        <w:rPr>
          <w:bCs/>
        </w:rPr>
        <w:t xml:space="preserve">help younger people to come into the system </w:t>
      </w:r>
      <w:r w:rsidRPr="003E0DE0">
        <w:rPr>
          <w:i w:val="0"/>
          <w:iCs w:val="0"/>
        </w:rPr>
        <w:t>– (University Research Office)</w:t>
      </w:r>
    </w:p>
    <w:p w14:paraId="0E245056" w14:textId="77777777" w:rsidR="006F159A" w:rsidRPr="006F159A" w:rsidRDefault="006F159A" w:rsidP="003E0DE0">
      <w:pPr>
        <w:pStyle w:val="Quote"/>
        <w:spacing w:after="240"/>
        <w:ind w:left="425" w:right="663"/>
      </w:pPr>
      <w:r w:rsidRPr="006F159A">
        <w:t xml:space="preserve">I believe Discovery Projects are essential for the development of basic research and the training of researchers in Australia and I value the scheme very much </w:t>
      </w:r>
      <w:r w:rsidRPr="003E0DE0">
        <w:rPr>
          <w:i w:val="0"/>
          <w:iCs w:val="0"/>
        </w:rPr>
        <w:t>– (Researcher)</w:t>
      </w:r>
    </w:p>
    <w:p w14:paraId="222AB4CE" w14:textId="0915F129" w:rsidR="006F159A" w:rsidRPr="006F159A" w:rsidRDefault="006F159A" w:rsidP="006F159A">
      <w:pPr>
        <w:spacing w:before="120" w:after="240"/>
        <w:rPr>
          <w:rFonts w:asciiTheme="majorHAnsi" w:eastAsia="SimSun" w:hAnsiTheme="majorHAnsi" w:cstheme="majorHAnsi"/>
          <w:lang w:eastAsia="en-AU"/>
        </w:rPr>
      </w:pPr>
      <w:r w:rsidRPr="006F159A">
        <w:rPr>
          <w:rFonts w:asciiTheme="majorHAnsi" w:eastAsia="SimSun" w:hAnsiTheme="majorHAnsi" w:cstheme="majorHAnsi"/>
          <w:lang w:eastAsia="en-AU"/>
        </w:rPr>
        <w:t xml:space="preserve">Stakeholders also identified certain challenges. Firstly, reflecting on disparities between funding requested and awarded under Discovery Projects, some stakeholders noted that HDR stipends stipulated within applications may not eventuate. They </w:t>
      </w:r>
      <w:r w:rsidR="000C0277">
        <w:rPr>
          <w:rFonts w:asciiTheme="majorHAnsi" w:eastAsia="SimSun" w:hAnsiTheme="majorHAnsi" w:cstheme="majorHAnsi"/>
          <w:lang w:eastAsia="en-AU"/>
        </w:rPr>
        <w:t>believed</w:t>
      </w:r>
      <w:r w:rsidRPr="006F159A">
        <w:rPr>
          <w:rFonts w:asciiTheme="majorHAnsi" w:eastAsia="SimSun" w:hAnsiTheme="majorHAnsi" w:cstheme="majorHAnsi"/>
          <w:lang w:eastAsia="en-AU"/>
        </w:rPr>
        <w:t xml:space="preserve"> that HDR scholarships were</w:t>
      </w:r>
      <w:r w:rsidR="004C002E">
        <w:rPr>
          <w:rFonts w:asciiTheme="majorHAnsi" w:eastAsia="SimSun" w:hAnsiTheme="majorHAnsi" w:cstheme="majorHAnsi"/>
          <w:lang w:eastAsia="en-AU"/>
        </w:rPr>
        <w:t xml:space="preserve"> often</w:t>
      </w:r>
      <w:r w:rsidRPr="006F159A">
        <w:rPr>
          <w:rFonts w:asciiTheme="majorHAnsi" w:eastAsia="SimSun" w:hAnsiTheme="majorHAnsi" w:cstheme="majorHAnsi"/>
          <w:lang w:eastAsia="en-AU"/>
        </w:rPr>
        <w:t xml:space="preserve"> regarded as ‘easy’ cuts when re-evaluating proposed </w:t>
      </w:r>
      <w:r w:rsidRPr="00FC3E13">
        <w:rPr>
          <w:rFonts w:asciiTheme="majorHAnsi" w:eastAsia="SimSun" w:hAnsiTheme="majorHAnsi" w:cstheme="majorHAnsi"/>
          <w:lang w:eastAsia="en-AU"/>
        </w:rPr>
        <w:t xml:space="preserve">project budgets. However, given </w:t>
      </w:r>
      <w:r w:rsidR="00122B44" w:rsidRPr="00FC3E13">
        <w:rPr>
          <w:rFonts w:asciiTheme="majorHAnsi" w:eastAsia="SimSun" w:hAnsiTheme="majorHAnsi" w:cstheme="majorHAnsi"/>
          <w:lang w:eastAsia="en-AU"/>
        </w:rPr>
        <w:t>the</w:t>
      </w:r>
      <w:r w:rsidRPr="00FC3E13">
        <w:rPr>
          <w:rFonts w:asciiTheme="majorHAnsi" w:eastAsia="SimSun" w:hAnsiTheme="majorHAnsi" w:cstheme="majorHAnsi"/>
          <w:lang w:eastAsia="en-AU"/>
        </w:rPr>
        <w:t xml:space="preserve"> limitations in application and final report data relating to research trainees discussed above (</w:t>
      </w:r>
      <w:hyperlink w:anchor="_ARC_data—Research_trainee" w:history="1">
        <w:r w:rsidR="00D920EE" w:rsidRPr="00281670">
          <w:rPr>
            <w:rStyle w:val="Hyperlink"/>
            <w:rFonts w:eastAsia="SimSun" w:cstheme="majorHAnsi"/>
            <w:color w:val="auto"/>
            <w:sz w:val="22"/>
            <w:u w:val="none"/>
            <w:lang w:eastAsia="en-AU"/>
          </w:rPr>
          <w:t>Section 3.3.1</w:t>
        </w:r>
      </w:hyperlink>
      <w:r w:rsidRPr="00FC3E13">
        <w:rPr>
          <w:rFonts w:asciiTheme="majorHAnsi" w:eastAsia="SimSun" w:hAnsiTheme="majorHAnsi" w:cstheme="majorHAnsi"/>
          <w:lang w:eastAsia="en-AU"/>
        </w:rPr>
        <w:t xml:space="preserve">), it is difficult to assess the extent to which </w:t>
      </w:r>
      <w:r w:rsidR="007C1259" w:rsidRPr="00FC3E13">
        <w:rPr>
          <w:rFonts w:asciiTheme="majorHAnsi" w:eastAsia="SimSun" w:hAnsiTheme="majorHAnsi" w:cstheme="majorHAnsi"/>
          <w:lang w:eastAsia="en-AU"/>
        </w:rPr>
        <w:t xml:space="preserve">the scheme’s return rates impact the </w:t>
      </w:r>
      <w:r w:rsidR="00CD03A9" w:rsidRPr="00FC3E13">
        <w:rPr>
          <w:rFonts w:asciiTheme="majorHAnsi" w:eastAsia="SimSun" w:hAnsiTheme="majorHAnsi" w:cstheme="majorHAnsi"/>
          <w:lang w:eastAsia="en-AU"/>
        </w:rPr>
        <w:t>scale of research training delivered</w:t>
      </w:r>
      <w:r w:rsidRPr="00FC3E13">
        <w:rPr>
          <w:rFonts w:asciiTheme="majorHAnsi" w:eastAsia="SimSun" w:hAnsiTheme="majorHAnsi" w:cstheme="majorHAnsi"/>
          <w:lang w:eastAsia="en-AU"/>
        </w:rPr>
        <w:t>.</w:t>
      </w:r>
    </w:p>
    <w:p w14:paraId="5B671A33" w14:textId="77777777" w:rsidR="006F159A" w:rsidRPr="006F159A" w:rsidRDefault="006F159A" w:rsidP="003E0DE0">
      <w:pPr>
        <w:pStyle w:val="Quote"/>
      </w:pPr>
      <w:r w:rsidRPr="006F159A">
        <w:t xml:space="preserve">Refrain from trimming budgets—they're seriously planned, and research training almost always suffers when they are cut </w:t>
      </w:r>
      <w:r w:rsidRPr="003E0DE0">
        <w:rPr>
          <w:i w:val="0"/>
          <w:iCs w:val="0"/>
        </w:rPr>
        <w:t>– (Researcher)</w:t>
      </w:r>
    </w:p>
    <w:p w14:paraId="1D650ECA" w14:textId="77777777" w:rsidR="006F159A" w:rsidRPr="00FC3E13" w:rsidRDefault="006F159A" w:rsidP="003E0DE0">
      <w:pPr>
        <w:pStyle w:val="Quote"/>
        <w:spacing w:after="240"/>
        <w:ind w:left="425" w:right="663"/>
        <w:rPr>
          <w:i w:val="0"/>
          <w:iCs w:val="0"/>
        </w:rPr>
      </w:pPr>
      <w:r w:rsidRPr="006F159A">
        <w:t xml:space="preserve">The issue as far as I can see is that the ARC usually significantly cuts the requested budget, hindering the prospect of the project of making the desired impact. Similarly, the significantly cut budget generally leads to no HDR students being hired as part of the </w:t>
      </w:r>
      <w:r w:rsidRPr="00FC3E13">
        <w:t xml:space="preserve">project </w:t>
      </w:r>
      <w:r w:rsidRPr="00FC3E13">
        <w:rPr>
          <w:i w:val="0"/>
          <w:iCs w:val="0"/>
        </w:rPr>
        <w:t>– (Researcher)</w:t>
      </w:r>
      <w:r w:rsidRPr="00FC3E13">
        <w:rPr>
          <w:i w:val="0"/>
          <w:iCs w:val="0"/>
          <w:vertAlign w:val="superscript"/>
        </w:rPr>
        <w:t xml:space="preserve"> </w:t>
      </w:r>
      <w:r w:rsidRPr="00FC3E13">
        <w:rPr>
          <w:i w:val="0"/>
          <w:iCs w:val="0"/>
          <w:vertAlign w:val="superscript"/>
        </w:rPr>
        <w:footnoteReference w:id="50"/>
      </w:r>
    </w:p>
    <w:p w14:paraId="7A4E3E02" w14:textId="29D1557D" w:rsidR="00323F06" w:rsidRPr="006F159A" w:rsidRDefault="005C5C98" w:rsidP="00323F06">
      <w:pPr>
        <w:spacing w:before="120" w:after="240"/>
        <w:ind w:right="-45"/>
        <w:rPr>
          <w:rFonts w:asciiTheme="majorHAnsi" w:eastAsia="SimSun" w:hAnsiTheme="majorHAnsi" w:cstheme="majorHAnsi"/>
          <w:lang w:eastAsia="en-AU"/>
        </w:rPr>
      </w:pPr>
      <w:r w:rsidRPr="00FC3E13">
        <w:rPr>
          <w:rFonts w:asciiTheme="majorHAnsi" w:eastAsia="SimSun" w:hAnsiTheme="majorHAnsi" w:cstheme="majorHAnsi"/>
          <w:iCs/>
          <w:lang w:eastAsia="en-AU"/>
        </w:rPr>
        <w:t>Secondly, the tendency to fund successful Discovery Projects applications for three years (</w:t>
      </w:r>
      <w:hyperlink w:anchor="_Toc51917066" w:history="1">
        <w:r w:rsidR="00B46636" w:rsidRPr="00281670">
          <w:rPr>
            <w:rStyle w:val="Hyperlink"/>
            <w:rFonts w:eastAsia="SimSun" w:cstheme="majorHAnsi"/>
            <w:iCs/>
            <w:color w:val="auto"/>
            <w:sz w:val="22"/>
            <w:u w:val="none"/>
            <w:lang w:eastAsia="en-AU"/>
          </w:rPr>
          <w:t>Section 5.3.3</w:t>
        </w:r>
      </w:hyperlink>
      <w:r w:rsidRPr="00FC3E13">
        <w:rPr>
          <w:rFonts w:asciiTheme="majorHAnsi" w:eastAsia="SimSun" w:hAnsiTheme="majorHAnsi" w:cstheme="majorHAnsi"/>
          <w:iCs/>
          <w:lang w:eastAsia="en-AU"/>
        </w:rPr>
        <w:t>) was highlighted by some stakeholders as creating a tension with the typical PhD candidature length. Given the time involved in identifying suitable doctoral students, some stakeholders noted that it was not uncommon for projects to conclude prior to HDRs completing their studies.</w:t>
      </w:r>
      <w:r w:rsidR="00323F06" w:rsidRPr="00FC3E13">
        <w:rPr>
          <w:rFonts w:asciiTheme="majorHAnsi" w:eastAsia="SimSun" w:hAnsiTheme="majorHAnsi" w:cstheme="majorHAnsi"/>
          <w:iCs/>
          <w:lang w:eastAsia="en-AU"/>
        </w:rPr>
        <w:t xml:space="preserve"> </w:t>
      </w:r>
      <w:r w:rsidR="00323F06" w:rsidRPr="00FC3E13">
        <w:rPr>
          <w:rFonts w:asciiTheme="majorHAnsi" w:eastAsia="SimSun" w:hAnsiTheme="majorHAnsi" w:cstheme="majorHAnsi"/>
          <w:lang w:eastAsia="en-AU"/>
        </w:rPr>
        <w:t>Notwithstanding these comments, interview participants acknowledged that the scheme had generally been flexible in allowing for project extensions to support the completion of postgraduate study.</w:t>
      </w:r>
      <w:r w:rsidR="00323F06" w:rsidRPr="006F159A">
        <w:rPr>
          <w:rFonts w:asciiTheme="majorHAnsi" w:eastAsia="SimSun" w:hAnsiTheme="majorHAnsi" w:cstheme="majorHAnsi"/>
          <w:lang w:eastAsia="en-AU"/>
        </w:rPr>
        <w:t xml:space="preserve"> </w:t>
      </w:r>
    </w:p>
    <w:p w14:paraId="7AEE10F8" w14:textId="77777777" w:rsidR="005C5C98" w:rsidRPr="006F159A" w:rsidRDefault="005C5C98" w:rsidP="005C5C98">
      <w:pPr>
        <w:pStyle w:val="Quote"/>
      </w:pPr>
      <w:r w:rsidRPr="006F159A">
        <w:t xml:space="preserve">(The) provision of HDR stipends assists in research training and is very useful, but ARC funding rules for a three year Discovery Project do not align with postgraduate award conditions allowing for extension to 3.5 years </w:t>
      </w:r>
      <w:r w:rsidRPr="003E0DE0">
        <w:rPr>
          <w:i w:val="0"/>
          <w:iCs w:val="0"/>
        </w:rPr>
        <w:t>– (Researcher)</w:t>
      </w:r>
    </w:p>
    <w:p w14:paraId="1A0DEA44" w14:textId="77777777" w:rsidR="005C5C98" w:rsidRPr="006F159A" w:rsidRDefault="005C5C98" w:rsidP="005C5C98">
      <w:pPr>
        <w:pStyle w:val="Quote"/>
      </w:pPr>
      <w:r w:rsidRPr="006F159A">
        <w:t xml:space="preserve">Better support for HDR (students)—projects tend to (be) complete(d) before the student because of timelines! </w:t>
      </w:r>
      <w:r w:rsidRPr="003E0DE0">
        <w:rPr>
          <w:i w:val="0"/>
          <w:iCs w:val="0"/>
        </w:rPr>
        <w:t>– (Researcher)</w:t>
      </w:r>
    </w:p>
    <w:p w14:paraId="22E0E309" w14:textId="77777777" w:rsidR="005C5C98" w:rsidRPr="006F159A" w:rsidRDefault="005C5C98" w:rsidP="005C5C98">
      <w:pPr>
        <w:pStyle w:val="Quote"/>
        <w:spacing w:after="240"/>
        <w:ind w:left="425" w:right="663"/>
      </w:pPr>
      <w:r w:rsidRPr="006F159A">
        <w:t xml:space="preserve">I have applied for two grants to receive five years funding and both times it was reduced to three years. I would have liked to have known why on both occasions. I was grateful for </w:t>
      </w:r>
      <w:r w:rsidRPr="006F159A">
        <w:lastRenderedPageBreak/>
        <w:t xml:space="preserve">the funding but the two extra years would have helped with the PhD advertisement, selection, training and completion timeline </w:t>
      </w:r>
      <w:r w:rsidRPr="003E0DE0">
        <w:rPr>
          <w:i w:val="0"/>
          <w:iCs w:val="0"/>
        </w:rPr>
        <w:t>– (Researcher)</w:t>
      </w:r>
    </w:p>
    <w:p w14:paraId="48F52350" w14:textId="4E8D9DAE" w:rsidR="006F159A" w:rsidRPr="006F159A" w:rsidRDefault="006F159A" w:rsidP="006F159A">
      <w:pPr>
        <w:spacing w:before="120" w:after="240"/>
        <w:rPr>
          <w:rFonts w:asciiTheme="majorHAnsi" w:eastAsia="SimSun" w:hAnsiTheme="majorHAnsi" w:cstheme="majorHAnsi"/>
          <w:lang w:eastAsia="en-AU"/>
        </w:rPr>
      </w:pPr>
      <w:r w:rsidRPr="006F159A">
        <w:rPr>
          <w:rFonts w:asciiTheme="majorHAnsi" w:eastAsia="SimSun" w:hAnsiTheme="majorHAnsi" w:cstheme="majorHAnsi"/>
          <w:lang w:eastAsia="en-AU"/>
        </w:rPr>
        <w:t xml:space="preserve">A </w:t>
      </w:r>
      <w:r w:rsidR="005C5C98">
        <w:rPr>
          <w:rFonts w:asciiTheme="majorHAnsi" w:eastAsia="SimSun" w:hAnsiTheme="majorHAnsi" w:cstheme="majorHAnsi"/>
          <w:lang w:eastAsia="en-AU"/>
        </w:rPr>
        <w:t>third</w:t>
      </w:r>
      <w:r w:rsidRPr="006F159A">
        <w:rPr>
          <w:rFonts w:asciiTheme="majorHAnsi" w:eastAsia="SimSun" w:hAnsiTheme="majorHAnsi" w:cstheme="majorHAnsi"/>
          <w:lang w:eastAsia="en-AU"/>
        </w:rPr>
        <w:t xml:space="preserve"> concern expressed was that </w:t>
      </w:r>
      <w:r w:rsidR="00532617">
        <w:rPr>
          <w:rFonts w:asciiTheme="majorHAnsi" w:eastAsia="SimSun" w:hAnsiTheme="majorHAnsi" w:cstheme="majorHAnsi"/>
          <w:lang w:eastAsia="en-AU"/>
        </w:rPr>
        <w:t xml:space="preserve">disallowing </w:t>
      </w:r>
      <w:r w:rsidRPr="006F159A">
        <w:rPr>
          <w:rFonts w:asciiTheme="majorHAnsi" w:eastAsia="SimSun" w:hAnsiTheme="majorHAnsi" w:cstheme="majorHAnsi"/>
          <w:lang w:eastAsia="en-AU"/>
        </w:rPr>
        <w:t xml:space="preserve">expenses associated with participation in training programs </w:t>
      </w:r>
      <w:r w:rsidR="00F21F67">
        <w:rPr>
          <w:rFonts w:asciiTheme="majorHAnsi" w:eastAsia="SimSun" w:hAnsiTheme="majorHAnsi" w:cstheme="majorHAnsi"/>
          <w:lang w:eastAsia="en-AU"/>
        </w:rPr>
        <w:t>may</w:t>
      </w:r>
      <w:r w:rsidRPr="006F159A">
        <w:rPr>
          <w:rFonts w:asciiTheme="majorHAnsi" w:eastAsia="SimSun" w:hAnsiTheme="majorHAnsi" w:cstheme="majorHAnsi"/>
          <w:lang w:eastAsia="en-AU"/>
        </w:rPr>
        <w:t xml:space="preserve"> limit opportunities to foster the development of skills needed to implement funded project</w:t>
      </w:r>
      <w:r w:rsidR="00742BE8">
        <w:rPr>
          <w:rFonts w:asciiTheme="majorHAnsi" w:eastAsia="SimSun" w:hAnsiTheme="majorHAnsi" w:cstheme="majorHAnsi"/>
          <w:lang w:eastAsia="en-AU"/>
        </w:rPr>
        <w:t>s</w:t>
      </w:r>
      <w:r w:rsidRPr="006F159A">
        <w:rPr>
          <w:rFonts w:asciiTheme="majorHAnsi" w:eastAsia="SimSun" w:hAnsiTheme="majorHAnsi" w:cstheme="majorHAnsi"/>
          <w:lang w:eastAsia="en-AU"/>
        </w:rPr>
        <w:t>.</w:t>
      </w:r>
      <w:r w:rsidR="00532617">
        <w:rPr>
          <w:rFonts w:asciiTheme="majorHAnsi" w:eastAsia="SimSun" w:hAnsiTheme="majorHAnsi" w:cstheme="majorHAnsi"/>
          <w:lang w:eastAsia="en-AU"/>
        </w:rPr>
        <w:t xml:space="preserve"> </w:t>
      </w:r>
      <w:r w:rsidRPr="006F159A">
        <w:rPr>
          <w:rFonts w:asciiTheme="majorHAnsi" w:eastAsia="SimSun" w:hAnsiTheme="majorHAnsi" w:cstheme="majorHAnsi"/>
          <w:lang w:eastAsia="en-AU"/>
        </w:rPr>
        <w:t xml:space="preserve"> </w:t>
      </w:r>
    </w:p>
    <w:p w14:paraId="7F589C49" w14:textId="77777777" w:rsidR="006F159A" w:rsidRPr="006F159A" w:rsidRDefault="006F159A" w:rsidP="003E0DE0">
      <w:pPr>
        <w:pStyle w:val="Quote"/>
      </w:pPr>
      <w:r w:rsidRPr="006F159A">
        <w:t xml:space="preserve">Sometimes it is not possible to predict the expertise needed when starting a project. Opportunities arise that may need expertise additional to what is available from the research team. Upskilling team members from research funding should be permissible </w:t>
      </w:r>
      <w:r w:rsidRPr="003E0DE0">
        <w:rPr>
          <w:i w:val="0"/>
          <w:iCs w:val="0"/>
        </w:rPr>
        <w:t>– (Researcher)</w:t>
      </w:r>
      <w:r w:rsidRPr="006F159A">
        <w:t xml:space="preserve">  </w:t>
      </w:r>
    </w:p>
    <w:p w14:paraId="05708FC3" w14:textId="77777777" w:rsidR="006F159A" w:rsidRPr="006F159A" w:rsidRDefault="006F159A" w:rsidP="003E0DE0">
      <w:pPr>
        <w:pStyle w:val="Quote"/>
        <w:spacing w:after="240"/>
        <w:ind w:left="425" w:right="663"/>
      </w:pPr>
      <w:r w:rsidRPr="006F159A">
        <w:t xml:space="preserve">Research training in Discovery Projects seems to be ad hoc. While applicants are advised to include Early Career Researchers as part of the team, that does not mean that they get actual training—the award of a Discovery Project would seem to assume that Early Career Researchers have already reached a level at which they no longer need 'training', just new research experience of working on a major project </w:t>
      </w:r>
      <w:r w:rsidRPr="003E0DE0">
        <w:rPr>
          <w:i w:val="0"/>
          <w:iCs w:val="0"/>
        </w:rPr>
        <w:t>– (Researcher)</w:t>
      </w:r>
    </w:p>
    <w:p w14:paraId="4A47ED67" w14:textId="3FB42FAA" w:rsidR="006F159A" w:rsidRPr="006F159A" w:rsidRDefault="002B0435" w:rsidP="006F159A">
      <w:pPr>
        <w:spacing w:before="120" w:after="120"/>
        <w:rPr>
          <w:rFonts w:asciiTheme="majorHAnsi" w:eastAsia="SimSun" w:hAnsiTheme="majorHAnsi" w:cstheme="majorHAnsi"/>
          <w:iCs/>
          <w:lang w:eastAsia="en-AU"/>
        </w:rPr>
      </w:pPr>
      <w:r>
        <w:rPr>
          <w:rFonts w:asciiTheme="majorHAnsi" w:eastAsia="SimSun" w:hAnsiTheme="majorHAnsi" w:cstheme="majorHAnsi"/>
          <w:iCs/>
          <w:lang w:eastAsia="en-AU"/>
        </w:rPr>
        <w:t>It is important to note that, a</w:t>
      </w:r>
      <w:r w:rsidR="006F159A" w:rsidRPr="006F159A">
        <w:rPr>
          <w:rFonts w:asciiTheme="majorHAnsi" w:eastAsia="SimSun" w:hAnsiTheme="majorHAnsi" w:cstheme="majorHAnsi"/>
          <w:iCs/>
          <w:lang w:eastAsia="en-AU"/>
        </w:rPr>
        <w:t xml:space="preserve">s specified </w:t>
      </w:r>
      <w:r>
        <w:rPr>
          <w:rFonts w:asciiTheme="majorHAnsi" w:eastAsia="SimSun" w:hAnsiTheme="majorHAnsi" w:cstheme="majorHAnsi"/>
          <w:iCs/>
          <w:lang w:eastAsia="en-AU"/>
        </w:rPr>
        <w:t>in Discovery Projects</w:t>
      </w:r>
      <w:r w:rsidR="006F159A" w:rsidRPr="006F159A">
        <w:rPr>
          <w:rFonts w:asciiTheme="majorHAnsi" w:eastAsia="SimSun" w:hAnsiTheme="majorHAnsi" w:cstheme="majorHAnsi"/>
          <w:iCs/>
          <w:lang w:eastAsia="en-AU"/>
        </w:rPr>
        <w:t xml:space="preserve"> Grant Agreements, all project costs covered by ARC funding must directly relate to the completion of the funded project. Training activities may be supported if the researcher can clearly demonstrate that they are required for the purposes of project completion.</w:t>
      </w:r>
    </w:p>
    <w:p w14:paraId="469BC432" w14:textId="5EC95A99" w:rsidR="006F159A" w:rsidRPr="006F159A" w:rsidRDefault="006F159A" w:rsidP="006F159A">
      <w:pPr>
        <w:spacing w:before="120"/>
        <w:rPr>
          <w:rFonts w:asciiTheme="majorHAnsi" w:hAnsiTheme="majorHAnsi" w:cstheme="majorHAnsi"/>
        </w:rPr>
      </w:pPr>
      <w:r w:rsidRPr="006F159A">
        <w:rPr>
          <w:rFonts w:asciiTheme="majorHAnsi" w:hAnsiTheme="majorHAnsi" w:cstheme="majorHAnsi"/>
        </w:rPr>
        <w:t>Overall</w:t>
      </w:r>
      <w:r w:rsidR="008709D9">
        <w:rPr>
          <w:rFonts w:asciiTheme="majorHAnsi" w:hAnsiTheme="majorHAnsi" w:cstheme="majorHAnsi"/>
        </w:rPr>
        <w:t>, survey</w:t>
      </w:r>
      <w:r w:rsidR="008709D9" w:rsidRPr="006F159A">
        <w:rPr>
          <w:rFonts w:asciiTheme="majorHAnsi" w:hAnsiTheme="majorHAnsi" w:cstheme="majorHAnsi"/>
        </w:rPr>
        <w:t xml:space="preserve"> </w:t>
      </w:r>
      <w:r w:rsidRPr="006F159A">
        <w:rPr>
          <w:rFonts w:asciiTheme="majorHAnsi" w:hAnsiTheme="majorHAnsi" w:cstheme="majorHAnsi"/>
        </w:rPr>
        <w:t>data collected for this evaluation highlighted the effectiveness of Discovery Projects’ support for research train</w:t>
      </w:r>
      <w:r w:rsidR="005B2EB2">
        <w:rPr>
          <w:rFonts w:asciiTheme="majorHAnsi" w:hAnsiTheme="majorHAnsi" w:cstheme="majorHAnsi"/>
        </w:rPr>
        <w:t>ing</w:t>
      </w:r>
      <w:r w:rsidRPr="006F159A">
        <w:rPr>
          <w:rFonts w:asciiTheme="majorHAnsi" w:hAnsiTheme="majorHAnsi" w:cstheme="majorHAnsi"/>
        </w:rPr>
        <w:t xml:space="preserve">. </w:t>
      </w:r>
      <w:r w:rsidR="004E01E3">
        <w:rPr>
          <w:rFonts w:asciiTheme="majorHAnsi" w:hAnsiTheme="majorHAnsi" w:cstheme="majorHAnsi"/>
        </w:rPr>
        <w:t xml:space="preserve">The areas of stakeholder concern identified </w:t>
      </w:r>
      <w:r w:rsidRPr="006F159A">
        <w:rPr>
          <w:rFonts w:asciiTheme="majorHAnsi" w:hAnsiTheme="majorHAnsi" w:cstheme="majorHAnsi"/>
        </w:rPr>
        <w:t>within this section</w:t>
      </w:r>
      <w:r w:rsidR="008709D9">
        <w:rPr>
          <w:rFonts w:asciiTheme="majorHAnsi" w:hAnsiTheme="majorHAnsi" w:cstheme="majorHAnsi"/>
        </w:rPr>
        <w:t xml:space="preserve"> relating to </w:t>
      </w:r>
      <w:r w:rsidR="00026BF3">
        <w:rPr>
          <w:rFonts w:asciiTheme="majorHAnsi" w:hAnsiTheme="majorHAnsi" w:cstheme="majorHAnsi"/>
        </w:rPr>
        <w:t xml:space="preserve">grant duration, return rates and access to training </w:t>
      </w:r>
      <w:r w:rsidR="002A560A">
        <w:rPr>
          <w:rFonts w:asciiTheme="majorHAnsi" w:hAnsiTheme="majorHAnsi" w:cstheme="majorHAnsi"/>
        </w:rPr>
        <w:t>programs</w:t>
      </w:r>
      <w:r w:rsidRPr="006F159A">
        <w:rPr>
          <w:rFonts w:asciiTheme="majorHAnsi" w:hAnsiTheme="majorHAnsi" w:cstheme="majorHAnsi"/>
        </w:rPr>
        <w:t xml:space="preserve"> </w:t>
      </w:r>
      <w:r w:rsidR="00B040B1">
        <w:rPr>
          <w:rFonts w:asciiTheme="majorHAnsi" w:hAnsiTheme="majorHAnsi" w:cstheme="majorHAnsi"/>
        </w:rPr>
        <w:t>can</w:t>
      </w:r>
      <w:r w:rsidRPr="006F159A">
        <w:rPr>
          <w:rFonts w:asciiTheme="majorHAnsi" w:hAnsiTheme="majorHAnsi" w:cstheme="majorHAnsi"/>
        </w:rPr>
        <w:t xml:space="preserve">, however, </w:t>
      </w:r>
      <w:r w:rsidR="00B040B1">
        <w:rPr>
          <w:rFonts w:asciiTheme="majorHAnsi" w:hAnsiTheme="majorHAnsi" w:cstheme="majorHAnsi"/>
        </w:rPr>
        <w:t>usefully</w:t>
      </w:r>
      <w:r w:rsidRPr="006F159A">
        <w:rPr>
          <w:rFonts w:asciiTheme="majorHAnsi" w:hAnsiTheme="majorHAnsi" w:cstheme="majorHAnsi"/>
        </w:rPr>
        <w:t xml:space="preserve"> inform ongoing review and monitoring activities </w:t>
      </w:r>
      <w:r w:rsidRPr="00FC3E13">
        <w:rPr>
          <w:rFonts w:asciiTheme="majorHAnsi" w:hAnsiTheme="majorHAnsi" w:cstheme="majorHAnsi"/>
        </w:rPr>
        <w:t xml:space="preserve">undertaken by the ARC. </w:t>
      </w:r>
      <w:r w:rsidR="00DF0C72" w:rsidRPr="00FC3E13">
        <w:rPr>
          <w:rFonts w:asciiTheme="majorHAnsi" w:hAnsiTheme="majorHAnsi" w:cstheme="majorHAnsi"/>
        </w:rPr>
        <w:t xml:space="preserve">Enhancing the ARC’s data capabilities to </w:t>
      </w:r>
      <w:r w:rsidR="0095489B" w:rsidRPr="00FC3E13">
        <w:rPr>
          <w:rFonts w:asciiTheme="majorHAnsi" w:hAnsiTheme="majorHAnsi" w:cstheme="majorHAnsi"/>
        </w:rPr>
        <w:t xml:space="preserve">more </w:t>
      </w:r>
      <w:r w:rsidR="005B2EB2" w:rsidRPr="00FC3E13">
        <w:rPr>
          <w:rFonts w:asciiTheme="majorHAnsi" w:hAnsiTheme="majorHAnsi" w:cstheme="majorHAnsi"/>
        </w:rPr>
        <w:t>accurately</w:t>
      </w:r>
      <w:r w:rsidR="0095489B" w:rsidRPr="00FC3E13">
        <w:rPr>
          <w:rFonts w:asciiTheme="majorHAnsi" w:hAnsiTheme="majorHAnsi" w:cstheme="majorHAnsi"/>
        </w:rPr>
        <w:t xml:space="preserve"> </w:t>
      </w:r>
      <w:r w:rsidR="00227B14" w:rsidRPr="00FC3E13">
        <w:rPr>
          <w:rFonts w:asciiTheme="majorHAnsi" w:hAnsiTheme="majorHAnsi" w:cstheme="majorHAnsi"/>
        </w:rPr>
        <w:t xml:space="preserve">assess the scale of the scheme’s support for HDR students, and highlighting </w:t>
      </w:r>
      <w:r w:rsidR="0044312A" w:rsidRPr="00FC3E13">
        <w:rPr>
          <w:rFonts w:asciiTheme="majorHAnsi" w:hAnsiTheme="majorHAnsi" w:cstheme="majorHAnsi"/>
        </w:rPr>
        <w:t xml:space="preserve">the competitiveness of five year funding applications (see </w:t>
      </w:r>
      <w:hyperlink w:anchor="_Stakeholder_feedback—appropriatenes" w:history="1">
        <w:r w:rsidR="0044312A" w:rsidRPr="00281670">
          <w:rPr>
            <w:rStyle w:val="Hyperlink"/>
            <w:rFonts w:cstheme="majorHAnsi"/>
            <w:color w:val="auto"/>
            <w:sz w:val="22"/>
            <w:u w:val="none"/>
          </w:rPr>
          <w:t xml:space="preserve">Section </w:t>
        </w:r>
        <w:r w:rsidR="004B3A1B" w:rsidRPr="00281670">
          <w:rPr>
            <w:rStyle w:val="Hyperlink"/>
            <w:rFonts w:cstheme="majorHAnsi"/>
            <w:color w:val="auto"/>
            <w:sz w:val="22"/>
            <w:u w:val="none"/>
          </w:rPr>
          <w:t>5.3.4</w:t>
        </w:r>
      </w:hyperlink>
      <w:r w:rsidR="0044312A" w:rsidRPr="00FC3E13">
        <w:rPr>
          <w:rFonts w:asciiTheme="majorHAnsi" w:hAnsiTheme="majorHAnsi" w:cstheme="majorHAnsi"/>
        </w:rPr>
        <w:t xml:space="preserve">) within outreach and engagement activities, may </w:t>
      </w:r>
      <w:r w:rsidR="00A669B7" w:rsidRPr="00FC3E13">
        <w:rPr>
          <w:rFonts w:asciiTheme="majorHAnsi" w:hAnsiTheme="majorHAnsi" w:cstheme="majorHAnsi"/>
        </w:rPr>
        <w:t xml:space="preserve">offer </w:t>
      </w:r>
      <w:r w:rsidR="00E639FA" w:rsidRPr="00FC3E13">
        <w:rPr>
          <w:rFonts w:asciiTheme="majorHAnsi" w:hAnsiTheme="majorHAnsi" w:cstheme="majorHAnsi"/>
        </w:rPr>
        <w:t xml:space="preserve">avenues to </w:t>
      </w:r>
      <w:r w:rsidR="0005318C" w:rsidRPr="00FC3E13">
        <w:rPr>
          <w:rFonts w:asciiTheme="majorHAnsi" w:hAnsiTheme="majorHAnsi" w:cstheme="majorHAnsi"/>
        </w:rPr>
        <w:t>begin addressing</w:t>
      </w:r>
      <w:r w:rsidR="00E639FA" w:rsidRPr="00FC3E13">
        <w:rPr>
          <w:rFonts w:asciiTheme="majorHAnsi" w:hAnsiTheme="majorHAnsi" w:cstheme="majorHAnsi"/>
        </w:rPr>
        <w:t xml:space="preserve"> stakeholder concerns identified above.</w:t>
      </w:r>
      <w:r w:rsidR="00E639FA">
        <w:rPr>
          <w:rFonts w:asciiTheme="majorHAnsi" w:hAnsiTheme="majorHAnsi" w:cstheme="majorHAnsi"/>
        </w:rPr>
        <w:t xml:space="preserve"> </w:t>
      </w:r>
    </w:p>
    <w:p w14:paraId="60C27BAB" w14:textId="3D95B290" w:rsidR="006F159A" w:rsidRPr="006F159A" w:rsidRDefault="006F159A" w:rsidP="0068635B">
      <w:pPr>
        <w:pStyle w:val="Heading2"/>
      </w:pPr>
      <w:bookmarkStart w:id="468" w:name="_Toc51918727"/>
      <w:bookmarkStart w:id="469" w:name="_Toc55544811"/>
      <w:r w:rsidRPr="006F159A">
        <w:t>Supporting national and international research collaboration</w:t>
      </w:r>
      <w:bookmarkEnd w:id="468"/>
      <w:bookmarkEnd w:id="469"/>
    </w:p>
    <w:p w14:paraId="200F303B" w14:textId="6DA596A4" w:rsidR="006F159A" w:rsidRPr="006F159A" w:rsidRDefault="006F159A" w:rsidP="006F159A">
      <w:pPr>
        <w:rPr>
          <w:rFonts w:asciiTheme="majorHAnsi" w:hAnsiTheme="majorHAnsi" w:cstheme="majorHAnsi"/>
        </w:rPr>
      </w:pPr>
      <w:r w:rsidRPr="006F159A">
        <w:rPr>
          <w:rFonts w:asciiTheme="majorHAnsi" w:hAnsiTheme="majorHAnsi" w:cstheme="majorHAnsi"/>
        </w:rPr>
        <w:t>Discovery Projects supports research collaboration between Australian and international researchers and organisations. The scheme’s Grant Guidelines allow Administering Organisations to collaborate on funded projects with Other Eligible Organisations (generally Australian universities) and Other Organisations (including international universities, as well as business, industry, government, community and not-for-profit organisations). The ARC expects participating organisations in Discovery Projects research to consider making cash and/or in-kind contributions to projects where feasible. However</w:t>
      </w:r>
      <w:r w:rsidRPr="00C02611">
        <w:rPr>
          <w:rFonts w:asciiTheme="majorHAnsi" w:hAnsiTheme="majorHAnsi" w:cstheme="majorHAnsi"/>
        </w:rPr>
        <w:t>, unlike Linkage Program schemes that require partner organisation contributions, this is not mandato</w:t>
      </w:r>
      <w:r w:rsidRPr="00FC3E13">
        <w:rPr>
          <w:rFonts w:asciiTheme="majorHAnsi" w:hAnsiTheme="majorHAnsi" w:cstheme="majorHAnsi"/>
        </w:rPr>
        <w:t>ry</w:t>
      </w:r>
      <w:r w:rsidR="00E61F0F" w:rsidRPr="00FC3E13">
        <w:rPr>
          <w:rFonts w:asciiTheme="majorHAnsi" w:hAnsiTheme="majorHAnsi" w:cstheme="majorHAnsi"/>
        </w:rPr>
        <w:t xml:space="preserve"> (see </w:t>
      </w:r>
      <w:hyperlink w:anchor="_Participating_organisation_contribu" w:history="1">
        <w:r w:rsidR="00E61F0F" w:rsidRPr="00281670">
          <w:rPr>
            <w:rStyle w:val="Hyperlink"/>
            <w:rFonts w:cstheme="majorHAnsi"/>
            <w:color w:val="auto"/>
            <w:sz w:val="22"/>
            <w:u w:val="none"/>
          </w:rPr>
          <w:t xml:space="preserve">Section </w:t>
        </w:r>
        <w:r w:rsidR="00150354" w:rsidRPr="00281670">
          <w:rPr>
            <w:rStyle w:val="Hyperlink"/>
            <w:rFonts w:cstheme="majorHAnsi"/>
            <w:color w:val="auto"/>
            <w:sz w:val="22"/>
            <w:u w:val="none"/>
          </w:rPr>
          <w:t>2.7</w:t>
        </w:r>
      </w:hyperlink>
      <w:r w:rsidR="00E61F0F" w:rsidRPr="00FC3E13">
        <w:rPr>
          <w:rFonts w:asciiTheme="majorHAnsi" w:hAnsiTheme="majorHAnsi" w:cstheme="majorHAnsi"/>
        </w:rPr>
        <w:t>)</w:t>
      </w:r>
      <w:r w:rsidRPr="00FC3E13">
        <w:rPr>
          <w:rFonts w:asciiTheme="majorHAnsi" w:hAnsiTheme="majorHAnsi" w:cstheme="majorHAnsi"/>
        </w:rPr>
        <w:t>.</w:t>
      </w:r>
      <w:r w:rsidRPr="00FC3E13">
        <w:rPr>
          <w:rFonts w:asciiTheme="majorHAnsi" w:hAnsiTheme="majorHAnsi" w:cstheme="majorHAnsi"/>
          <w:vertAlign w:val="superscript"/>
        </w:rPr>
        <w:footnoteReference w:id="51"/>
      </w:r>
    </w:p>
    <w:p w14:paraId="4E96ACD6" w14:textId="26C5A632" w:rsidR="00244D9A" w:rsidRDefault="007B306A" w:rsidP="006F159A">
      <w:pPr>
        <w:rPr>
          <w:rFonts w:asciiTheme="majorHAnsi" w:hAnsiTheme="majorHAnsi" w:cstheme="majorHAnsi"/>
        </w:rPr>
      </w:pPr>
      <w:r w:rsidRPr="006F159A">
        <w:rPr>
          <w:rFonts w:asciiTheme="majorHAnsi" w:hAnsiTheme="majorHAnsi" w:cstheme="majorHAnsi"/>
        </w:rPr>
        <w:t xml:space="preserve">Discovery Projects employs a range of mechanisms to support international collaboration. </w:t>
      </w:r>
      <w:r w:rsidR="006F159A" w:rsidRPr="006F159A">
        <w:rPr>
          <w:rFonts w:asciiTheme="majorHAnsi" w:hAnsiTheme="majorHAnsi" w:cstheme="majorHAnsi"/>
        </w:rPr>
        <w:t xml:space="preserve">For instance, the scheme currently provides project funding for international travel, field research costs (which may be incurred overseas), and access to international research and infrastructure facilities. Between DP10 and DP20, Discovery Projects granted International Collaboration Awards (ICAs), later renamed Discovery International Awards (DIAs), which contributed to international travel and associated costs. These awards were originally offered after the discontinuation of the Linkage International scheme and reflected a commitment to encouraging international engagement </w:t>
      </w:r>
      <w:r w:rsidR="006F159A" w:rsidRPr="006F159A">
        <w:rPr>
          <w:rFonts w:asciiTheme="majorHAnsi" w:hAnsiTheme="majorHAnsi" w:cstheme="majorHAnsi"/>
        </w:rPr>
        <w:lastRenderedPageBreak/>
        <w:t xml:space="preserve">throughout the NCGP. DIAs were removed in DP21 as part of an ARC streamlining initiative, due to the presence of multiple eligible funding items supporting international travel. </w:t>
      </w:r>
      <w:r w:rsidR="00164034" w:rsidRPr="006F159A">
        <w:rPr>
          <w:rFonts w:asciiTheme="majorHAnsi" w:hAnsiTheme="majorHAnsi" w:cstheme="majorHAnsi"/>
        </w:rPr>
        <w:t>From DP02</w:t>
      </w:r>
      <w:r w:rsidR="00062697">
        <w:rPr>
          <w:rFonts w:asciiTheme="majorHAnsi" w:hAnsiTheme="majorHAnsi" w:cstheme="majorHAnsi"/>
        </w:rPr>
        <w:t xml:space="preserve"> to </w:t>
      </w:r>
      <w:r w:rsidR="00164034" w:rsidRPr="006F159A">
        <w:rPr>
          <w:rFonts w:asciiTheme="majorHAnsi" w:hAnsiTheme="majorHAnsi" w:cstheme="majorHAnsi"/>
        </w:rPr>
        <w:t>DP20, 63.8 per cent of successful applications indicated an intention to engage in some form of international collaboration.</w:t>
      </w:r>
    </w:p>
    <w:p w14:paraId="5931736A" w14:textId="0F735129" w:rsidR="006F159A" w:rsidRPr="006F159A" w:rsidRDefault="006F159A" w:rsidP="0068635B">
      <w:pPr>
        <w:pStyle w:val="Heading3"/>
      </w:pPr>
      <w:bookmarkStart w:id="470" w:name="_Toc50533613"/>
      <w:bookmarkStart w:id="471" w:name="_Toc50553763"/>
      <w:bookmarkStart w:id="472" w:name="_Toc50554998"/>
      <w:bookmarkStart w:id="473" w:name="_Toc50618132"/>
      <w:bookmarkStart w:id="474" w:name="_Toc50618413"/>
      <w:bookmarkStart w:id="475" w:name="_Toc51917008"/>
      <w:bookmarkStart w:id="476" w:name="_Toc51918848"/>
      <w:bookmarkStart w:id="477" w:name="_Toc53557236"/>
      <w:bookmarkStart w:id="478" w:name="_Toc54699278"/>
      <w:bookmarkStart w:id="479" w:name="_Toc55544812"/>
      <w:r w:rsidRPr="006F159A">
        <w:t>ARC data—researcher roles</w:t>
      </w:r>
      <w:bookmarkEnd w:id="470"/>
      <w:bookmarkEnd w:id="471"/>
      <w:bookmarkEnd w:id="472"/>
      <w:bookmarkEnd w:id="473"/>
      <w:bookmarkEnd w:id="474"/>
      <w:bookmarkEnd w:id="475"/>
      <w:bookmarkEnd w:id="476"/>
      <w:bookmarkEnd w:id="477"/>
      <w:bookmarkEnd w:id="478"/>
      <w:bookmarkEnd w:id="479"/>
    </w:p>
    <w:p w14:paraId="59259C13" w14:textId="33986ECE" w:rsidR="006F159A" w:rsidRPr="006F159A" w:rsidRDefault="006F159A" w:rsidP="006F159A">
      <w:pPr>
        <w:rPr>
          <w:rFonts w:asciiTheme="majorHAnsi" w:hAnsiTheme="majorHAnsi" w:cstheme="majorHAnsi"/>
          <w:lang w:eastAsia="en-AU"/>
        </w:rPr>
      </w:pPr>
      <w:r w:rsidRPr="006F159A">
        <w:rPr>
          <w:rFonts w:asciiTheme="majorHAnsi" w:hAnsiTheme="majorHAnsi" w:cstheme="majorHAnsi"/>
          <w:lang w:eastAsia="en-AU"/>
        </w:rPr>
        <w:t>Named researchers may participate in Discovery Projects as either Chief Investigators or Partner Investigators.</w:t>
      </w:r>
      <w:r w:rsidRPr="006F159A">
        <w:rPr>
          <w:rFonts w:asciiTheme="majorHAnsi" w:hAnsiTheme="majorHAnsi" w:cstheme="majorHAnsi"/>
          <w:vertAlign w:val="superscript"/>
          <w:lang w:eastAsia="en-AU"/>
        </w:rPr>
        <w:footnoteReference w:id="52"/>
      </w:r>
      <w:r w:rsidRPr="006F159A">
        <w:rPr>
          <w:rFonts w:asciiTheme="majorHAnsi" w:hAnsiTheme="majorHAnsi" w:cstheme="majorHAnsi"/>
          <w:lang w:eastAsia="en-AU"/>
        </w:rPr>
        <w:t xml:space="preserve"> The definitions of these roles have shifted slightly over time. </w:t>
      </w:r>
      <w:r w:rsidR="003D0359">
        <w:rPr>
          <w:rFonts w:asciiTheme="majorHAnsi" w:hAnsiTheme="majorHAnsi" w:cstheme="majorHAnsi"/>
          <w:lang w:eastAsia="en-AU"/>
        </w:rPr>
        <w:t>Both Chief Investigators and</w:t>
      </w:r>
      <w:r w:rsidR="003D0359" w:rsidRPr="006F159A">
        <w:rPr>
          <w:rFonts w:asciiTheme="majorHAnsi" w:hAnsiTheme="majorHAnsi" w:cstheme="majorHAnsi"/>
          <w:lang w:eastAsia="en-AU"/>
        </w:rPr>
        <w:t xml:space="preserve"> Partner Investigators </w:t>
      </w:r>
      <w:r w:rsidR="003D0359">
        <w:rPr>
          <w:rFonts w:asciiTheme="majorHAnsi" w:hAnsiTheme="majorHAnsi" w:cstheme="majorHAnsi"/>
          <w:lang w:eastAsia="en-AU"/>
        </w:rPr>
        <w:t xml:space="preserve">must </w:t>
      </w:r>
      <w:r w:rsidR="003D0359" w:rsidRPr="006F159A">
        <w:rPr>
          <w:rFonts w:asciiTheme="majorHAnsi" w:hAnsiTheme="majorHAnsi" w:cstheme="majorHAnsi"/>
          <w:lang w:eastAsia="en-AU"/>
        </w:rPr>
        <w:t xml:space="preserve">take significant intellectual responsibility for </w:t>
      </w:r>
      <w:r w:rsidR="00654FBE">
        <w:rPr>
          <w:rFonts w:asciiTheme="majorHAnsi" w:hAnsiTheme="majorHAnsi" w:cstheme="majorHAnsi"/>
          <w:lang w:eastAsia="en-AU"/>
        </w:rPr>
        <w:t>research</w:t>
      </w:r>
      <w:r w:rsidR="00703F07">
        <w:rPr>
          <w:rFonts w:asciiTheme="majorHAnsi" w:hAnsiTheme="majorHAnsi" w:cstheme="majorHAnsi"/>
          <w:lang w:eastAsia="en-AU"/>
        </w:rPr>
        <w:t xml:space="preserve"> funded under the scheme</w:t>
      </w:r>
      <w:r w:rsidR="003D0359">
        <w:rPr>
          <w:rFonts w:asciiTheme="majorHAnsi" w:hAnsiTheme="majorHAnsi" w:cstheme="majorHAnsi"/>
          <w:lang w:eastAsia="en-AU"/>
        </w:rPr>
        <w:t>.</w:t>
      </w:r>
      <w:r w:rsidR="003D0359" w:rsidRPr="006F159A">
        <w:rPr>
          <w:rFonts w:asciiTheme="majorHAnsi" w:hAnsiTheme="majorHAnsi" w:cstheme="majorHAnsi"/>
          <w:lang w:eastAsia="en-AU"/>
        </w:rPr>
        <w:t xml:space="preserve"> </w:t>
      </w:r>
      <w:r w:rsidRPr="006F159A">
        <w:rPr>
          <w:rFonts w:asciiTheme="majorHAnsi" w:hAnsiTheme="majorHAnsi" w:cstheme="majorHAnsi"/>
          <w:lang w:eastAsia="en-AU"/>
        </w:rPr>
        <w:t>In general, Chief Investigators are researchers who reside predominantly in Australia for the duration of the project and are employed by an Eligible Organisation (usually an Australian university).</w:t>
      </w:r>
      <w:r w:rsidR="00C7316F">
        <w:rPr>
          <w:rStyle w:val="FootnoteReference"/>
          <w:rFonts w:asciiTheme="majorHAnsi" w:hAnsiTheme="majorHAnsi" w:cstheme="majorHAnsi"/>
          <w:lang w:eastAsia="en-AU"/>
        </w:rPr>
        <w:footnoteReference w:id="53"/>
      </w:r>
      <w:r w:rsidR="003D0359">
        <w:rPr>
          <w:rFonts w:asciiTheme="majorHAnsi" w:hAnsiTheme="majorHAnsi" w:cstheme="majorHAnsi"/>
          <w:lang w:eastAsia="en-AU"/>
        </w:rPr>
        <w:t xml:space="preserve"> Partner Investigators are named researchers who do not meet the eligibility requirements to be a </w:t>
      </w:r>
      <w:r w:rsidRPr="006F159A">
        <w:rPr>
          <w:rFonts w:asciiTheme="majorHAnsi" w:hAnsiTheme="majorHAnsi" w:cstheme="majorHAnsi"/>
          <w:lang w:eastAsia="en-AU"/>
        </w:rPr>
        <w:t>Chief Investigator. Discovery Projects Partner Investigators are primarily academics associated with international universities, with a smaller number affiliated with Australian universities, business, government, community, not-for-profit and other national</w:t>
      </w:r>
      <w:r w:rsidR="00790337">
        <w:rPr>
          <w:rFonts w:asciiTheme="majorHAnsi" w:hAnsiTheme="majorHAnsi" w:cstheme="majorHAnsi"/>
          <w:lang w:eastAsia="en-AU"/>
        </w:rPr>
        <w:t xml:space="preserve"> or </w:t>
      </w:r>
      <w:r w:rsidRPr="006F159A">
        <w:rPr>
          <w:rFonts w:asciiTheme="majorHAnsi" w:hAnsiTheme="majorHAnsi" w:cstheme="majorHAnsi"/>
          <w:lang w:eastAsia="en-AU"/>
        </w:rPr>
        <w:t xml:space="preserve">international organisations. </w:t>
      </w:r>
    </w:p>
    <w:p w14:paraId="12E16B55" w14:textId="49EFEE2F" w:rsidR="006F159A" w:rsidRPr="006F159A" w:rsidRDefault="006F159A" w:rsidP="006F159A">
      <w:r w:rsidRPr="006F159A">
        <w:rPr>
          <w:rFonts w:asciiTheme="majorHAnsi" w:hAnsiTheme="majorHAnsi" w:cstheme="majorHAnsi"/>
          <w:lang w:eastAsia="en-AU"/>
        </w:rPr>
        <w:t>There has consistently been a substantially higher number of Chief Investigators than Partner Investigators participating in</w:t>
      </w:r>
      <w:r w:rsidR="009654FA">
        <w:rPr>
          <w:rFonts w:asciiTheme="majorHAnsi" w:hAnsiTheme="majorHAnsi" w:cstheme="majorHAnsi"/>
          <w:lang w:eastAsia="en-AU"/>
        </w:rPr>
        <w:t xml:space="preserve"> Discovery Projects</w:t>
      </w:r>
      <w:r w:rsidRPr="006F159A">
        <w:rPr>
          <w:rFonts w:asciiTheme="majorHAnsi" w:hAnsiTheme="majorHAnsi" w:cstheme="majorHAnsi"/>
          <w:lang w:eastAsia="en-AU"/>
        </w:rPr>
        <w:t xml:space="preserve">. The average number of Chief Investigators and Partner Investigators </w:t>
      </w:r>
      <w:r w:rsidR="009654FA">
        <w:rPr>
          <w:rFonts w:asciiTheme="majorHAnsi" w:hAnsiTheme="majorHAnsi" w:cstheme="majorHAnsi"/>
          <w:lang w:eastAsia="en-AU"/>
        </w:rPr>
        <w:t>on</w:t>
      </w:r>
      <w:r w:rsidRPr="006F159A">
        <w:rPr>
          <w:rFonts w:asciiTheme="majorHAnsi" w:hAnsiTheme="majorHAnsi" w:cstheme="majorHAnsi"/>
          <w:lang w:eastAsia="en-AU"/>
        </w:rPr>
        <w:t xml:space="preserve"> applications and funded projects</w:t>
      </w:r>
      <w:r w:rsidR="009654FA">
        <w:rPr>
          <w:rFonts w:asciiTheme="majorHAnsi" w:hAnsiTheme="majorHAnsi" w:cstheme="majorHAnsi"/>
          <w:lang w:eastAsia="en-AU"/>
        </w:rPr>
        <w:t xml:space="preserve"> </w:t>
      </w:r>
      <w:r w:rsidRPr="006F159A">
        <w:rPr>
          <w:rFonts w:asciiTheme="majorHAnsi" w:hAnsiTheme="majorHAnsi" w:cstheme="majorHAnsi"/>
          <w:lang w:eastAsia="en-AU"/>
        </w:rPr>
        <w:t>gradually increased over the course of the scheme’s history (albeit with a slight decline in the number of Partner Investigators in DP20). This steady increase potentially indicates that the scheme has been increasingly effective at</w:t>
      </w:r>
      <w:r w:rsidR="009D181B">
        <w:rPr>
          <w:rFonts w:asciiTheme="majorHAnsi" w:hAnsiTheme="majorHAnsi" w:cstheme="majorHAnsi"/>
          <w:lang w:eastAsia="en-AU"/>
        </w:rPr>
        <w:t xml:space="preserve"> enhancing the scale of</w:t>
      </w:r>
      <w:r w:rsidRPr="006F159A">
        <w:rPr>
          <w:rFonts w:asciiTheme="majorHAnsi" w:hAnsiTheme="majorHAnsi" w:cstheme="majorHAnsi"/>
          <w:lang w:eastAsia="en-AU"/>
        </w:rPr>
        <w:t xml:space="preserve"> collaboration between researchers over time.</w:t>
      </w:r>
    </w:p>
    <w:p w14:paraId="6CDF5AF7" w14:textId="6BDF22D0" w:rsidR="006F159A" w:rsidRPr="006F159A" w:rsidRDefault="006F159A" w:rsidP="00751469">
      <w:pPr>
        <w:pStyle w:val="FigureTitle"/>
      </w:pPr>
      <w:r w:rsidRPr="006F159A">
        <w:t xml:space="preserve">Figure </w:t>
      </w:r>
      <w:r w:rsidR="00857467">
        <w:fldChar w:fldCharType="begin"/>
      </w:r>
      <w:r w:rsidR="00857467">
        <w:instrText xml:space="preserve"> S</w:instrText>
      </w:r>
      <w:r w:rsidR="00857467">
        <w:instrText xml:space="preserve">EQ Figure \* ARABIC </w:instrText>
      </w:r>
      <w:r w:rsidR="00857467">
        <w:fldChar w:fldCharType="separate"/>
      </w:r>
      <w:r w:rsidR="00AB03D7">
        <w:rPr>
          <w:noProof/>
        </w:rPr>
        <w:t>26</w:t>
      </w:r>
      <w:r w:rsidR="00857467">
        <w:rPr>
          <w:noProof/>
        </w:rPr>
        <w:fldChar w:fldCharType="end"/>
      </w:r>
      <w:r w:rsidRPr="006F159A">
        <w:t>: Average number of named researchers on applications and funded projects by role, DP02–DP20</w:t>
      </w:r>
    </w:p>
    <w:p w14:paraId="4FB1B3AF" w14:textId="311AFEA3" w:rsidR="006F159A" w:rsidRPr="006F159A" w:rsidRDefault="000E5749" w:rsidP="006F159A">
      <w:pPr>
        <w:rPr>
          <w:rFonts w:asciiTheme="majorHAnsi" w:hAnsiTheme="majorHAnsi" w:cstheme="majorHAnsi"/>
          <w:lang w:eastAsia="en-AU"/>
        </w:rPr>
      </w:pPr>
      <w:r>
        <w:rPr>
          <w:rFonts w:asciiTheme="majorHAnsi" w:hAnsiTheme="majorHAnsi" w:cstheme="majorHAnsi"/>
          <w:noProof/>
          <w:lang w:eastAsia="en-AU"/>
        </w:rPr>
        <w:drawing>
          <wp:inline distT="0" distB="0" distL="0" distR="0" wp14:anchorId="469E86A8" wp14:editId="6E5A6656">
            <wp:extent cx="5749290" cy="2255520"/>
            <wp:effectExtent l="0" t="0" r="3810" b="0"/>
            <wp:docPr id="84" name="Picture 84" descr="Figure 26 is a graph showing the average number of named researchers on Discovery Projects applications and funded projects by Chief Investigator and Partner Investigator role category between DP02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26 is a graph showing the average number of named researchers on Discovery Projects applications and funded projects by Chief Investigator and Partner Investigator role category between DP02 and DP20. See text above graph for more inform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290" cy="2255520"/>
                    </a:xfrm>
                    <a:prstGeom prst="rect">
                      <a:avLst/>
                    </a:prstGeom>
                    <a:noFill/>
                  </pic:spPr>
                </pic:pic>
              </a:graphicData>
            </a:graphic>
          </wp:inline>
        </w:drawing>
      </w:r>
    </w:p>
    <w:p w14:paraId="6F472773" w14:textId="4832C1E6" w:rsidR="006F159A" w:rsidRPr="006F159A" w:rsidRDefault="006F159A" w:rsidP="006F159A">
      <w:pPr>
        <w:rPr>
          <w:rFonts w:asciiTheme="majorHAnsi" w:hAnsiTheme="majorHAnsi" w:cstheme="majorHAnsi"/>
          <w:i/>
          <w:sz w:val="16"/>
          <w:szCs w:val="16"/>
          <w:lang w:eastAsia="en-AU"/>
        </w:rPr>
      </w:pPr>
      <w:r w:rsidRPr="006F159A">
        <w:rPr>
          <w:rFonts w:asciiTheme="majorHAnsi" w:hAnsiTheme="majorHAnsi" w:cstheme="majorHAnsi"/>
          <w:sz w:val="16"/>
          <w:szCs w:val="16"/>
          <w:lang w:eastAsia="en-AU"/>
        </w:rPr>
        <w:t xml:space="preserve">Source: ARC administrative data. </w:t>
      </w:r>
      <w:r w:rsidRPr="006F159A">
        <w:rPr>
          <w:rFonts w:asciiTheme="majorHAnsi" w:hAnsiTheme="majorHAnsi" w:cstheme="majorHAnsi"/>
          <w:i/>
          <w:sz w:val="16"/>
          <w:szCs w:val="16"/>
          <w:lang w:eastAsia="en-AU"/>
        </w:rPr>
        <w:t>Note: Data reflect number of named researchers identified within applications.</w:t>
      </w:r>
      <w:r w:rsidR="00453267">
        <w:rPr>
          <w:rFonts w:asciiTheme="majorHAnsi" w:hAnsiTheme="majorHAnsi" w:cstheme="majorHAnsi"/>
          <w:i/>
          <w:sz w:val="16"/>
          <w:szCs w:val="16"/>
          <w:lang w:eastAsia="en-AU"/>
        </w:rPr>
        <w:t xml:space="preserve"> Named researchers </w:t>
      </w:r>
      <w:r w:rsidR="00453267" w:rsidRPr="00A21A6C">
        <w:rPr>
          <w:rFonts w:asciiTheme="majorHAnsi" w:hAnsiTheme="majorHAnsi" w:cstheme="majorHAnsi"/>
          <w:i/>
          <w:sz w:val="16"/>
          <w:szCs w:val="16"/>
          <w:lang w:eastAsia="en-AU"/>
        </w:rPr>
        <w:t>includ</w:t>
      </w:r>
      <w:r w:rsidR="00453267">
        <w:rPr>
          <w:rFonts w:asciiTheme="majorHAnsi" w:hAnsiTheme="majorHAnsi" w:cstheme="majorHAnsi"/>
          <w:i/>
          <w:sz w:val="16"/>
          <w:szCs w:val="16"/>
          <w:lang w:eastAsia="en-AU"/>
        </w:rPr>
        <w:t>e</w:t>
      </w:r>
      <w:r w:rsidR="00453267" w:rsidRPr="00A21A6C">
        <w:rPr>
          <w:rFonts w:asciiTheme="majorHAnsi" w:hAnsiTheme="majorHAnsi" w:cstheme="majorHAnsi"/>
          <w:i/>
          <w:sz w:val="16"/>
          <w:szCs w:val="16"/>
          <w:lang w:eastAsia="en-AU"/>
        </w:rPr>
        <w:t xml:space="preserve"> Chief Investigators, Partner Investigators and fellowship recipients</w:t>
      </w:r>
      <w:r w:rsidR="00453267">
        <w:rPr>
          <w:rFonts w:asciiTheme="majorHAnsi" w:hAnsiTheme="majorHAnsi" w:cstheme="majorHAnsi"/>
          <w:i/>
          <w:sz w:val="16"/>
          <w:szCs w:val="16"/>
          <w:lang w:eastAsia="en-AU"/>
        </w:rPr>
        <w:t>.</w:t>
      </w:r>
    </w:p>
    <w:p w14:paraId="17C14FAE" w14:textId="0748B928" w:rsidR="006F159A" w:rsidRPr="006F159A" w:rsidRDefault="006F159A" w:rsidP="0068635B">
      <w:pPr>
        <w:pStyle w:val="Heading3"/>
      </w:pPr>
      <w:bookmarkStart w:id="480" w:name="_ARC_data—participating_organisation"/>
      <w:bookmarkStart w:id="481" w:name="_Toc50533614"/>
      <w:bookmarkStart w:id="482" w:name="_Toc50553764"/>
      <w:bookmarkStart w:id="483" w:name="_Toc50554999"/>
      <w:bookmarkStart w:id="484" w:name="_Toc50618133"/>
      <w:bookmarkStart w:id="485" w:name="_Toc50618414"/>
      <w:bookmarkStart w:id="486" w:name="_Toc51917009"/>
      <w:bookmarkStart w:id="487" w:name="_Toc51918849"/>
      <w:bookmarkStart w:id="488" w:name="_Toc53557237"/>
      <w:bookmarkStart w:id="489" w:name="_Toc54699279"/>
      <w:bookmarkStart w:id="490" w:name="_Toc55544813"/>
      <w:bookmarkEnd w:id="480"/>
      <w:r w:rsidRPr="006F159A">
        <w:t>ARC data—participating organisations</w:t>
      </w:r>
      <w:bookmarkEnd w:id="481"/>
      <w:bookmarkEnd w:id="482"/>
      <w:bookmarkEnd w:id="483"/>
      <w:bookmarkEnd w:id="484"/>
      <w:bookmarkEnd w:id="485"/>
      <w:bookmarkEnd w:id="486"/>
      <w:bookmarkEnd w:id="487"/>
      <w:bookmarkEnd w:id="488"/>
      <w:bookmarkEnd w:id="489"/>
      <w:bookmarkEnd w:id="490"/>
    </w:p>
    <w:p w14:paraId="6E1A8513" w14:textId="5A9C3BAA"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In addition to supporting collaboration between researchers, Discovery Projects also facilitates engagement across organisations. </w:t>
      </w:r>
      <w:r w:rsidRPr="006F159A">
        <w:rPr>
          <w:rFonts w:asciiTheme="majorHAnsi" w:hAnsiTheme="majorHAnsi" w:cstheme="majorHAnsi"/>
        </w:rPr>
        <w:fldChar w:fldCharType="begin"/>
      </w:r>
      <w:r w:rsidRPr="006F159A">
        <w:rPr>
          <w:rFonts w:asciiTheme="majorHAnsi" w:hAnsiTheme="majorHAnsi" w:cstheme="majorHAnsi"/>
        </w:rPr>
        <w:instrText xml:space="preserve"> REF _Ref40075892 \h  \* MERGEFORMAT </w:instrText>
      </w:r>
      <w:r w:rsidRPr="006F159A">
        <w:rPr>
          <w:rFonts w:asciiTheme="majorHAnsi" w:hAnsiTheme="majorHAnsi" w:cstheme="majorHAnsi"/>
        </w:rPr>
      </w:r>
      <w:r w:rsidRPr="006F159A">
        <w:rPr>
          <w:rFonts w:asciiTheme="majorHAnsi" w:hAnsiTheme="majorHAnsi" w:cstheme="majorHAnsi"/>
        </w:rPr>
        <w:fldChar w:fldCharType="separate"/>
      </w:r>
      <w:r w:rsidR="00AB03D7" w:rsidRPr="00AB03D7">
        <w:rPr>
          <w:rFonts w:asciiTheme="majorHAnsi" w:hAnsiTheme="majorHAnsi" w:cstheme="majorHAnsi"/>
          <w:color w:val="000000" w:themeColor="text1"/>
        </w:rPr>
        <w:t>Figure 27</w:t>
      </w:r>
      <w:r w:rsidRPr="006F159A">
        <w:rPr>
          <w:rFonts w:asciiTheme="majorHAnsi" w:hAnsiTheme="majorHAnsi" w:cstheme="majorHAnsi"/>
        </w:rPr>
        <w:fldChar w:fldCharType="end"/>
      </w:r>
      <w:r w:rsidRPr="006F159A">
        <w:rPr>
          <w:rFonts w:asciiTheme="majorHAnsi" w:hAnsiTheme="majorHAnsi" w:cstheme="majorHAnsi"/>
        </w:rPr>
        <w:t xml:space="preserve"> outlines the total and average number of participating </w:t>
      </w:r>
      <w:r w:rsidRPr="006F159A">
        <w:rPr>
          <w:rFonts w:asciiTheme="majorHAnsi" w:hAnsiTheme="majorHAnsi" w:cstheme="majorHAnsi"/>
        </w:rPr>
        <w:lastRenderedPageBreak/>
        <w:t>organisations appearing on applications and funded projects between DP10 and DP20.</w:t>
      </w:r>
      <w:r w:rsidR="00954155" w:rsidRPr="006F159A">
        <w:rPr>
          <w:rFonts w:asciiTheme="majorHAnsi" w:hAnsiTheme="majorHAnsi" w:cstheme="majorHAnsi"/>
          <w:vertAlign w:val="superscript"/>
        </w:rPr>
        <w:footnoteReference w:id="54"/>
      </w:r>
      <w:r w:rsidRPr="006F159A">
        <w:rPr>
          <w:rFonts w:asciiTheme="majorHAnsi" w:hAnsiTheme="majorHAnsi" w:cstheme="majorHAnsi"/>
        </w:rPr>
        <w:t xml:space="preserve"> Total participating organisations identified within applications grew substantially over most of the time period (from 5832 in DP10 to 8011 in DP17), before declining over the following three funding rounds to 6450 in DP20—a fall of 19.5 per cent. Trends are less apparent within the context of funded projects, with participating organisation numbers fluctuating from approximately 1350 to 1550 over the time period (DP11 is an outlier at 1802). Trends in the average number of participating organisations per project have been more pronounced, with overall growth on both applications (1.4–2.3) and funded projects (1.5–2.4) between DP10 and DP19, before moderating slightly in DP20. This indicates that the scale of collaboration between participating organisations on individual projects has increased, and suggests that the scheme has been more effectively supporting the formation of research linkages between organisations over time. </w:t>
      </w:r>
    </w:p>
    <w:p w14:paraId="0A7012F5" w14:textId="7AE53824" w:rsidR="006F159A" w:rsidRPr="006F159A" w:rsidRDefault="006F159A" w:rsidP="00751469">
      <w:pPr>
        <w:pStyle w:val="FigureTitle"/>
      </w:pPr>
      <w:bookmarkStart w:id="491" w:name="_Ref49858232"/>
      <w:bookmarkStart w:id="492" w:name="_Ref40075892"/>
      <w:r w:rsidRPr="006F159A">
        <w:t xml:space="preserve">Figure </w:t>
      </w:r>
      <w:r w:rsidR="00857467">
        <w:fldChar w:fldCharType="begin"/>
      </w:r>
      <w:r w:rsidR="00857467">
        <w:instrText xml:space="preserve"> SEQ Figure \* ARABIC </w:instrText>
      </w:r>
      <w:r w:rsidR="00857467">
        <w:fldChar w:fldCharType="separate"/>
      </w:r>
      <w:r w:rsidR="00AB03D7">
        <w:rPr>
          <w:noProof/>
        </w:rPr>
        <w:t>27</w:t>
      </w:r>
      <w:r w:rsidR="00857467">
        <w:rPr>
          <w:noProof/>
        </w:rPr>
        <w:fldChar w:fldCharType="end"/>
      </w:r>
      <w:bookmarkEnd w:id="491"/>
      <w:bookmarkEnd w:id="492"/>
      <w:r w:rsidRPr="006F159A">
        <w:t>: Total/average number of participating organisations on applications/funded projects, DP10–DP20</w:t>
      </w:r>
    </w:p>
    <w:p w14:paraId="0893E798" w14:textId="4CFFF226" w:rsidR="006F159A" w:rsidRPr="006F159A" w:rsidRDefault="000E5749" w:rsidP="006F159A">
      <w:pPr>
        <w:rPr>
          <w:rFonts w:asciiTheme="majorHAnsi" w:hAnsiTheme="majorHAnsi" w:cstheme="majorHAnsi"/>
          <w:b/>
        </w:rPr>
      </w:pPr>
      <w:r>
        <w:rPr>
          <w:rFonts w:asciiTheme="majorHAnsi" w:hAnsiTheme="majorHAnsi" w:cstheme="majorHAnsi"/>
          <w:b/>
          <w:noProof/>
        </w:rPr>
        <w:drawing>
          <wp:inline distT="0" distB="0" distL="0" distR="0" wp14:anchorId="78F398F9" wp14:editId="5AF6E7F0">
            <wp:extent cx="5730875" cy="2170430"/>
            <wp:effectExtent l="0" t="0" r="3175" b="1270"/>
            <wp:docPr id="85" name="Picture 85" descr="Figure 27 is a graph showing the average number of participating organisations on Discovery Projects applications and funded projects between DP10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27 is a graph showing the average number of participating organisations on Discovery Projects applications and funded projects between DP10 and DP20. See text above graph for more inform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2170430"/>
                    </a:xfrm>
                    <a:prstGeom prst="rect">
                      <a:avLst/>
                    </a:prstGeom>
                    <a:noFill/>
                  </pic:spPr>
                </pic:pic>
              </a:graphicData>
            </a:graphic>
          </wp:inline>
        </w:drawing>
      </w:r>
    </w:p>
    <w:p w14:paraId="2D287A9A" w14:textId="77777777" w:rsidR="006F159A" w:rsidRPr="006F159A" w:rsidRDefault="006F159A" w:rsidP="006F159A">
      <w:pPr>
        <w:rPr>
          <w:rFonts w:asciiTheme="majorHAnsi" w:hAnsiTheme="majorHAnsi" w:cstheme="majorHAnsi"/>
          <w:i/>
          <w:sz w:val="16"/>
          <w:szCs w:val="16"/>
        </w:rPr>
      </w:pPr>
      <w:r w:rsidRPr="006F159A">
        <w:rPr>
          <w:rFonts w:asciiTheme="majorHAnsi" w:hAnsiTheme="majorHAnsi" w:cstheme="majorHAnsi"/>
          <w:sz w:val="16"/>
          <w:szCs w:val="16"/>
        </w:rPr>
        <w:t xml:space="preserve">Source: ARC administrative data. </w:t>
      </w:r>
      <w:r w:rsidRPr="006F159A">
        <w:rPr>
          <w:rFonts w:asciiTheme="majorHAnsi" w:hAnsiTheme="majorHAnsi" w:cstheme="majorHAnsi"/>
          <w:i/>
          <w:sz w:val="16"/>
          <w:szCs w:val="16"/>
        </w:rPr>
        <w:t>Note: Data include Administering Organisations, Other Eligible Organisations and Other Organisations, as defined within Discovery Program Grant Guidelines. Figures provided reflect planned participation in applications. Organisations appearing on more than one application per funding round have been counted multiple times. Data prior to DP10 not available.</w:t>
      </w:r>
    </w:p>
    <w:p w14:paraId="04F42B42" w14:textId="58E47571" w:rsidR="006F159A" w:rsidRPr="006F159A" w:rsidRDefault="006F159A" w:rsidP="006F159A">
      <w:pPr>
        <w:rPr>
          <w:rFonts w:asciiTheme="majorHAnsi" w:hAnsiTheme="majorHAnsi" w:cstheme="majorHAnsi"/>
        </w:rPr>
      </w:pPr>
      <w:r w:rsidRPr="006F159A">
        <w:rPr>
          <w:rFonts w:asciiTheme="majorHAnsi" w:hAnsiTheme="majorHAnsi" w:cstheme="majorHAnsi"/>
        </w:rPr>
        <w:fldChar w:fldCharType="begin"/>
      </w:r>
      <w:r w:rsidRPr="006F159A">
        <w:rPr>
          <w:rFonts w:asciiTheme="majorHAnsi" w:hAnsiTheme="majorHAnsi" w:cstheme="majorHAnsi"/>
        </w:rPr>
        <w:instrText xml:space="preserve"> REF _Ref40075923 \h  \* MERGEFORMAT </w:instrText>
      </w:r>
      <w:r w:rsidRPr="006F159A">
        <w:rPr>
          <w:rFonts w:asciiTheme="majorHAnsi" w:hAnsiTheme="majorHAnsi" w:cstheme="majorHAnsi"/>
        </w:rPr>
      </w:r>
      <w:r w:rsidRPr="006F159A">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28</w:t>
      </w:r>
      <w:r w:rsidRPr="006F159A">
        <w:rPr>
          <w:rFonts w:asciiTheme="majorHAnsi" w:hAnsiTheme="majorHAnsi" w:cstheme="majorHAnsi"/>
        </w:rPr>
        <w:fldChar w:fldCharType="end"/>
      </w:r>
      <w:r w:rsidRPr="006F159A">
        <w:rPr>
          <w:rFonts w:asciiTheme="majorHAnsi" w:hAnsiTheme="majorHAnsi" w:cstheme="majorHAnsi"/>
        </w:rPr>
        <w:t xml:space="preserve"> </w:t>
      </w:r>
      <w:r w:rsidR="000A264C">
        <w:rPr>
          <w:rFonts w:asciiTheme="majorHAnsi" w:hAnsiTheme="majorHAnsi" w:cstheme="majorHAnsi"/>
        </w:rPr>
        <w:t>provides one view of</w:t>
      </w:r>
      <w:r w:rsidRPr="006F159A">
        <w:rPr>
          <w:rFonts w:asciiTheme="majorHAnsi" w:hAnsiTheme="majorHAnsi" w:cstheme="majorHAnsi"/>
        </w:rPr>
        <w:t xml:space="preserve"> international collaboration supported under Discovery Projects by disaggregating total and proportional participating organisation data according to Australian</w:t>
      </w:r>
      <w:r w:rsidR="00790337">
        <w:rPr>
          <w:rFonts w:asciiTheme="majorHAnsi" w:hAnsiTheme="majorHAnsi" w:cstheme="majorHAnsi"/>
        </w:rPr>
        <w:t xml:space="preserve"> or </w:t>
      </w:r>
      <w:r w:rsidRPr="006F159A">
        <w:rPr>
          <w:rFonts w:asciiTheme="majorHAnsi" w:hAnsiTheme="majorHAnsi" w:cstheme="majorHAnsi"/>
        </w:rPr>
        <w:t>international entity status. Between DP11 and DP20, international participating organisations</w:t>
      </w:r>
      <w:r w:rsidR="0063050E">
        <w:rPr>
          <w:rFonts w:asciiTheme="majorHAnsi" w:hAnsiTheme="majorHAnsi" w:cstheme="majorHAnsi"/>
        </w:rPr>
        <w:t xml:space="preserve"> were</w:t>
      </w:r>
      <w:r w:rsidRPr="006F159A">
        <w:rPr>
          <w:rFonts w:asciiTheme="majorHAnsi" w:hAnsiTheme="majorHAnsi" w:cstheme="majorHAnsi"/>
        </w:rPr>
        <w:t xml:space="preserve"> most commonly </w:t>
      </w:r>
      <w:r w:rsidR="0063050E">
        <w:rPr>
          <w:rFonts w:asciiTheme="majorHAnsi" w:hAnsiTheme="majorHAnsi" w:cstheme="majorHAnsi"/>
        </w:rPr>
        <w:t>from</w:t>
      </w:r>
      <w:r w:rsidR="0063050E" w:rsidRPr="006F159A">
        <w:rPr>
          <w:rFonts w:asciiTheme="majorHAnsi" w:hAnsiTheme="majorHAnsi" w:cstheme="majorHAnsi"/>
        </w:rPr>
        <w:t xml:space="preserve"> </w:t>
      </w:r>
      <w:r w:rsidRPr="006F159A">
        <w:rPr>
          <w:rFonts w:asciiTheme="majorHAnsi" w:hAnsiTheme="majorHAnsi" w:cstheme="majorHAnsi"/>
        </w:rPr>
        <w:t>the United States of America (listed on 38.4 per cent of successful applications</w:t>
      </w:r>
      <w:r w:rsidR="00281132">
        <w:rPr>
          <w:rFonts w:asciiTheme="majorHAnsi" w:hAnsiTheme="majorHAnsi" w:cstheme="majorHAnsi"/>
        </w:rPr>
        <w:t xml:space="preserve"> involving at least one international organisation</w:t>
      </w:r>
      <w:r w:rsidRPr="006F159A">
        <w:rPr>
          <w:rFonts w:asciiTheme="majorHAnsi" w:hAnsiTheme="majorHAnsi" w:cstheme="majorHAnsi"/>
        </w:rPr>
        <w:t>), the United Kingdom (24.6</w:t>
      </w:r>
      <w:r w:rsidR="0018541A">
        <w:rPr>
          <w:rFonts w:asciiTheme="majorHAnsi" w:hAnsiTheme="majorHAnsi" w:cstheme="majorHAnsi"/>
        </w:rPr>
        <w:t> </w:t>
      </w:r>
      <w:r w:rsidRPr="006F159A">
        <w:rPr>
          <w:rFonts w:asciiTheme="majorHAnsi" w:hAnsiTheme="majorHAnsi" w:cstheme="majorHAnsi"/>
        </w:rPr>
        <w:t>per</w:t>
      </w:r>
      <w:r w:rsidR="0018541A">
        <w:rPr>
          <w:rFonts w:asciiTheme="majorHAnsi" w:hAnsiTheme="majorHAnsi" w:cstheme="majorHAnsi"/>
        </w:rPr>
        <w:t> </w:t>
      </w:r>
      <w:r w:rsidRPr="006F159A">
        <w:rPr>
          <w:rFonts w:asciiTheme="majorHAnsi" w:hAnsiTheme="majorHAnsi" w:cstheme="majorHAnsi"/>
        </w:rPr>
        <w:t xml:space="preserve">cent), Germany (10.1 per cent), Canada (7.7 per cent) and China (7.6 per cent). </w:t>
      </w:r>
    </w:p>
    <w:p w14:paraId="262C3721" w14:textId="73018582" w:rsidR="006F159A" w:rsidRPr="006F159A" w:rsidRDefault="006F159A" w:rsidP="00751469">
      <w:pPr>
        <w:pStyle w:val="FigureTitle"/>
      </w:pPr>
      <w:bookmarkStart w:id="493" w:name="_Ref40075923"/>
      <w:r w:rsidRPr="006F159A">
        <w:lastRenderedPageBreak/>
        <w:t xml:space="preserve">Figure </w:t>
      </w:r>
      <w:r w:rsidR="00857467">
        <w:fldChar w:fldCharType="begin"/>
      </w:r>
      <w:r w:rsidR="00857467">
        <w:instrText xml:space="preserve"> SEQ Figure \* ARABIC </w:instrText>
      </w:r>
      <w:r w:rsidR="00857467">
        <w:fldChar w:fldCharType="separate"/>
      </w:r>
      <w:r w:rsidR="00AB03D7">
        <w:rPr>
          <w:noProof/>
        </w:rPr>
        <w:t>28</w:t>
      </w:r>
      <w:r w:rsidR="00857467">
        <w:rPr>
          <w:noProof/>
        </w:rPr>
        <w:fldChar w:fldCharType="end"/>
      </w:r>
      <w:bookmarkEnd w:id="493"/>
      <w:r w:rsidRPr="006F159A">
        <w:t>: Australian/international participating organisations on applications/funded projects, DP11–DP20</w:t>
      </w:r>
    </w:p>
    <w:p w14:paraId="094BB0A7" w14:textId="58DD1402" w:rsidR="006F159A" w:rsidRPr="006F159A" w:rsidRDefault="000E5749" w:rsidP="006F159A">
      <w:pPr>
        <w:rPr>
          <w:rFonts w:asciiTheme="majorHAnsi" w:hAnsiTheme="majorHAnsi" w:cstheme="majorHAnsi"/>
          <w:b/>
        </w:rPr>
      </w:pPr>
      <w:r>
        <w:rPr>
          <w:rFonts w:asciiTheme="majorHAnsi" w:hAnsiTheme="majorHAnsi" w:cstheme="majorHAnsi"/>
          <w:b/>
          <w:noProof/>
        </w:rPr>
        <w:drawing>
          <wp:inline distT="0" distB="0" distL="0" distR="0" wp14:anchorId="536DF4EF" wp14:editId="12DB5245">
            <wp:extent cx="5730875" cy="2231390"/>
            <wp:effectExtent l="0" t="0" r="3175" b="0"/>
            <wp:docPr id="86" name="Picture 86" descr="Figure 28 is a graph showing the number and proportion of Australian/international participating organisations on Discovery Projects applications and funded projects between DP11 and DP20.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28 is a graph showing the number and proportion of Australian/international participating organisations on Discovery Projects applications and funded projects between DP11 and DP20. See text above and below graph for more inform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2231390"/>
                    </a:xfrm>
                    <a:prstGeom prst="rect">
                      <a:avLst/>
                    </a:prstGeom>
                    <a:noFill/>
                  </pic:spPr>
                </pic:pic>
              </a:graphicData>
            </a:graphic>
          </wp:inline>
        </w:drawing>
      </w:r>
    </w:p>
    <w:p w14:paraId="37C4AAF8" w14:textId="77777777" w:rsidR="006F159A" w:rsidRPr="006F159A" w:rsidRDefault="006F159A" w:rsidP="006F159A">
      <w:pPr>
        <w:rPr>
          <w:rFonts w:asciiTheme="majorHAnsi" w:hAnsiTheme="majorHAnsi" w:cstheme="majorHAnsi"/>
          <w:i/>
          <w:sz w:val="16"/>
          <w:szCs w:val="16"/>
        </w:rPr>
      </w:pPr>
      <w:r w:rsidRPr="006F159A">
        <w:rPr>
          <w:rFonts w:asciiTheme="majorHAnsi" w:hAnsiTheme="majorHAnsi" w:cstheme="majorHAnsi"/>
          <w:sz w:val="16"/>
          <w:szCs w:val="16"/>
        </w:rPr>
        <w:t xml:space="preserve">Source: ARC administrative data. </w:t>
      </w:r>
      <w:r w:rsidRPr="006F159A">
        <w:rPr>
          <w:rFonts w:asciiTheme="majorHAnsi" w:hAnsiTheme="majorHAnsi" w:cstheme="majorHAnsi"/>
          <w:i/>
          <w:sz w:val="16"/>
          <w:szCs w:val="16"/>
        </w:rPr>
        <w:t>Note: Data include Administering Organisations, Other Eligible Organisations and Other Organisations, as defined within the Discovery Program Grant Guidelines. Figures provided reflect planned participation in applications. Organisations appearing on more than one application per funding round have been counted multiple times. Data prior to DP11 not available.</w:t>
      </w:r>
    </w:p>
    <w:p w14:paraId="0EDFBDB2" w14:textId="6889B923" w:rsidR="006F159A" w:rsidRPr="006F159A" w:rsidRDefault="006F159A" w:rsidP="006F159A">
      <w:pPr>
        <w:rPr>
          <w:rFonts w:asciiTheme="majorHAnsi" w:hAnsiTheme="majorHAnsi" w:cstheme="majorHAnsi"/>
        </w:rPr>
      </w:pPr>
      <w:r w:rsidRPr="006F159A">
        <w:rPr>
          <w:rFonts w:asciiTheme="majorHAnsi" w:hAnsiTheme="majorHAnsi" w:cstheme="majorHAnsi"/>
        </w:rPr>
        <w:t>Four insights are apparent within the</w:t>
      </w:r>
      <w:r w:rsidR="00A7627A">
        <w:rPr>
          <w:rFonts w:asciiTheme="majorHAnsi" w:hAnsiTheme="majorHAnsi" w:cstheme="majorHAnsi"/>
        </w:rPr>
        <w:t>se</w:t>
      </w:r>
      <w:r w:rsidRPr="006F159A">
        <w:rPr>
          <w:rFonts w:asciiTheme="majorHAnsi" w:hAnsiTheme="majorHAnsi" w:cstheme="majorHAnsi"/>
        </w:rPr>
        <w:t xml:space="preserve"> data. Firstly, a significant majority of participating organisations appearing on both applications and funded projects were Australian; this result is understandable given the Australian entity status of Administering and Other Eligible Organisations.</w:t>
      </w:r>
      <w:r w:rsidR="00BA4E5A">
        <w:rPr>
          <w:rFonts w:asciiTheme="majorHAnsi" w:hAnsiTheme="majorHAnsi" w:cstheme="majorHAnsi"/>
        </w:rPr>
        <w:t xml:space="preserve"> However, secondly</w:t>
      </w:r>
      <w:r w:rsidR="00BA4E5A" w:rsidRPr="006F159A">
        <w:rPr>
          <w:rFonts w:asciiTheme="majorHAnsi" w:hAnsiTheme="majorHAnsi" w:cstheme="majorHAnsi"/>
        </w:rPr>
        <w:t xml:space="preserve">, there </w:t>
      </w:r>
      <w:r w:rsidR="00B052BA">
        <w:rPr>
          <w:rFonts w:asciiTheme="majorHAnsi" w:hAnsiTheme="majorHAnsi" w:cstheme="majorHAnsi"/>
        </w:rPr>
        <w:t>was</w:t>
      </w:r>
      <w:r w:rsidR="00BA4E5A" w:rsidRPr="006F159A">
        <w:rPr>
          <w:rFonts w:asciiTheme="majorHAnsi" w:hAnsiTheme="majorHAnsi" w:cstheme="majorHAnsi"/>
        </w:rPr>
        <w:t xml:space="preserve"> moderate growth in the proportiona</w:t>
      </w:r>
      <w:r w:rsidR="00105E58">
        <w:rPr>
          <w:rFonts w:asciiTheme="majorHAnsi" w:hAnsiTheme="majorHAnsi" w:cstheme="majorHAnsi"/>
        </w:rPr>
        <w:t>te</w:t>
      </w:r>
      <w:r w:rsidR="00BA4E5A" w:rsidRPr="006F159A">
        <w:rPr>
          <w:rFonts w:asciiTheme="majorHAnsi" w:hAnsiTheme="majorHAnsi" w:cstheme="majorHAnsi"/>
        </w:rPr>
        <w:t xml:space="preserve"> representation of international organisations over time. Between DP11 and DP20, the percentage of participating organisations classified as international grew from 25.5 per cent to 33.0 per cent on applications, and 30.0 per cent to 33.0 per cent on funded projects (peaking in DP18 and DP19 respectively). </w:t>
      </w:r>
      <w:r w:rsidR="00BA4E5A">
        <w:rPr>
          <w:rFonts w:asciiTheme="majorHAnsi" w:hAnsiTheme="majorHAnsi" w:cstheme="majorHAnsi"/>
        </w:rPr>
        <w:t>Thirdly</w:t>
      </w:r>
      <w:r w:rsidRPr="006F159A">
        <w:rPr>
          <w:rFonts w:asciiTheme="majorHAnsi" w:hAnsiTheme="majorHAnsi" w:cstheme="majorHAnsi"/>
        </w:rPr>
        <w:t>, the</w:t>
      </w:r>
      <w:r w:rsidR="00C34467">
        <w:rPr>
          <w:rFonts w:asciiTheme="majorHAnsi" w:hAnsiTheme="majorHAnsi" w:cstheme="majorHAnsi"/>
        </w:rPr>
        <w:t>re was a</w:t>
      </w:r>
      <w:r w:rsidRPr="006F159A">
        <w:rPr>
          <w:rFonts w:asciiTheme="majorHAnsi" w:hAnsiTheme="majorHAnsi" w:cstheme="majorHAnsi"/>
        </w:rPr>
        <w:t xml:space="preserve"> decline in participating organisations appearing on applications over the past three funding rounds</w:t>
      </w:r>
      <w:r w:rsidR="00C34467">
        <w:rPr>
          <w:rFonts w:asciiTheme="majorHAnsi" w:hAnsiTheme="majorHAnsi" w:cstheme="majorHAnsi"/>
        </w:rPr>
        <w:t>, which</w:t>
      </w:r>
      <w:r w:rsidRPr="006F159A">
        <w:rPr>
          <w:rFonts w:asciiTheme="majorHAnsi" w:hAnsiTheme="majorHAnsi" w:cstheme="majorHAnsi"/>
        </w:rPr>
        <w:t xml:space="preserve"> </w:t>
      </w:r>
      <w:r w:rsidR="000B0E78">
        <w:rPr>
          <w:rFonts w:asciiTheme="majorHAnsi" w:hAnsiTheme="majorHAnsi" w:cstheme="majorHAnsi"/>
        </w:rPr>
        <w:t>involved</w:t>
      </w:r>
      <w:r w:rsidR="000B0E78" w:rsidRPr="006F159A">
        <w:rPr>
          <w:rFonts w:asciiTheme="majorHAnsi" w:hAnsiTheme="majorHAnsi" w:cstheme="majorHAnsi"/>
        </w:rPr>
        <w:t xml:space="preserve"> </w:t>
      </w:r>
      <w:r w:rsidRPr="006F159A">
        <w:rPr>
          <w:rFonts w:asciiTheme="majorHAnsi" w:hAnsiTheme="majorHAnsi" w:cstheme="majorHAnsi"/>
        </w:rPr>
        <w:t>both Australian and international organisations.</w:t>
      </w:r>
      <w:r w:rsidR="00BA4E5A">
        <w:rPr>
          <w:rFonts w:asciiTheme="majorHAnsi" w:hAnsiTheme="majorHAnsi" w:cstheme="majorHAnsi"/>
        </w:rPr>
        <w:t xml:space="preserve"> Fourthly</w:t>
      </w:r>
      <w:r w:rsidR="00BA4E5A" w:rsidRPr="006F159A">
        <w:rPr>
          <w:rFonts w:asciiTheme="majorHAnsi" w:hAnsiTheme="majorHAnsi" w:cstheme="majorHAnsi"/>
        </w:rPr>
        <w:t>, after a slight decrease from DP11 to DP13, the total number of Australian and international participating organisations on funded projects generally remained stable up to DP20, fluctuating slightly over time without strong trends.</w:t>
      </w:r>
      <w:r w:rsidR="00BA4E5A">
        <w:rPr>
          <w:rFonts w:asciiTheme="majorHAnsi" w:hAnsiTheme="majorHAnsi" w:cstheme="majorHAnsi"/>
        </w:rPr>
        <w:t xml:space="preserve"> </w:t>
      </w:r>
    </w:p>
    <w:p w14:paraId="387D01B9" w14:textId="7CAF0100" w:rsidR="006F159A" w:rsidRPr="006F159A" w:rsidRDefault="006F159A" w:rsidP="006F159A">
      <w:pPr>
        <w:rPr>
          <w:rFonts w:asciiTheme="majorHAnsi" w:hAnsiTheme="majorHAnsi" w:cstheme="majorHAnsi"/>
        </w:rPr>
      </w:pPr>
      <w:r w:rsidRPr="006F159A">
        <w:rPr>
          <w:rFonts w:asciiTheme="majorHAnsi" w:hAnsiTheme="majorHAnsi" w:cstheme="majorHAnsi"/>
          <w:highlight w:val="yellow"/>
        </w:rPr>
        <w:fldChar w:fldCharType="begin"/>
      </w:r>
      <w:r w:rsidRPr="006F159A">
        <w:rPr>
          <w:rFonts w:asciiTheme="majorHAnsi" w:hAnsiTheme="majorHAnsi" w:cstheme="majorHAnsi"/>
        </w:rPr>
        <w:instrText xml:space="preserve"> REF _Ref40075956 \h </w:instrText>
      </w:r>
      <w:r w:rsidRPr="006F159A">
        <w:rPr>
          <w:rFonts w:asciiTheme="majorHAnsi" w:hAnsiTheme="majorHAnsi" w:cstheme="majorHAnsi"/>
          <w:highlight w:val="yellow"/>
        </w:rPr>
        <w:instrText xml:space="preserve"> \* MERGEFORMAT </w:instrText>
      </w:r>
      <w:r w:rsidRPr="006F159A">
        <w:rPr>
          <w:rFonts w:asciiTheme="majorHAnsi" w:hAnsiTheme="majorHAnsi" w:cstheme="majorHAnsi"/>
          <w:highlight w:val="yellow"/>
        </w:rPr>
      </w:r>
      <w:r w:rsidRPr="006F159A">
        <w:rPr>
          <w:rFonts w:asciiTheme="majorHAnsi" w:hAnsiTheme="majorHAnsi" w:cstheme="majorHAnsi"/>
          <w:highlight w:val="yellow"/>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29</w:t>
      </w:r>
      <w:r w:rsidRPr="006F159A">
        <w:rPr>
          <w:rFonts w:asciiTheme="majorHAnsi" w:hAnsiTheme="majorHAnsi" w:cstheme="majorHAnsi"/>
          <w:highlight w:val="yellow"/>
        </w:rPr>
        <w:fldChar w:fldCharType="end"/>
      </w:r>
      <w:r w:rsidRPr="006F159A">
        <w:rPr>
          <w:rFonts w:asciiTheme="majorHAnsi" w:hAnsiTheme="majorHAnsi" w:cstheme="majorHAnsi"/>
        </w:rPr>
        <w:t xml:space="preserve"> captures the spread of entity types participating as Other Organisations in projects funded </w:t>
      </w:r>
      <w:r w:rsidR="00515B55">
        <w:rPr>
          <w:rFonts w:asciiTheme="majorHAnsi" w:hAnsiTheme="majorHAnsi" w:cstheme="majorHAnsi"/>
        </w:rPr>
        <w:t>under</w:t>
      </w:r>
      <w:r w:rsidR="00515B55" w:rsidRPr="006F159A">
        <w:rPr>
          <w:rFonts w:asciiTheme="majorHAnsi" w:hAnsiTheme="majorHAnsi" w:cstheme="majorHAnsi"/>
        </w:rPr>
        <w:t xml:space="preserve"> </w:t>
      </w:r>
      <w:r w:rsidRPr="006F159A">
        <w:rPr>
          <w:rFonts w:asciiTheme="majorHAnsi" w:hAnsiTheme="majorHAnsi" w:cstheme="majorHAnsi"/>
        </w:rPr>
        <w:t xml:space="preserve">the scheme between DP11 and DP20.  </w:t>
      </w:r>
    </w:p>
    <w:p w14:paraId="2EB7E88E" w14:textId="1ADD9E69" w:rsidR="006F159A" w:rsidRPr="006F159A" w:rsidRDefault="006F159A" w:rsidP="00751469">
      <w:pPr>
        <w:pStyle w:val="FigureTitle"/>
      </w:pPr>
      <w:bookmarkStart w:id="494" w:name="_Ref52961683"/>
      <w:bookmarkStart w:id="495" w:name="_Ref40075956"/>
      <w:r w:rsidRPr="006F159A">
        <w:t xml:space="preserve">Figure </w:t>
      </w:r>
      <w:r w:rsidR="00857467">
        <w:fldChar w:fldCharType="begin"/>
      </w:r>
      <w:r w:rsidR="00857467">
        <w:instrText xml:space="preserve"> SEQ Figure \* ARABIC </w:instrText>
      </w:r>
      <w:r w:rsidR="00857467">
        <w:fldChar w:fldCharType="separate"/>
      </w:r>
      <w:r w:rsidR="00AB03D7">
        <w:rPr>
          <w:noProof/>
        </w:rPr>
        <w:t>29</w:t>
      </w:r>
      <w:r w:rsidR="00857467">
        <w:rPr>
          <w:noProof/>
        </w:rPr>
        <w:fldChar w:fldCharType="end"/>
      </w:r>
      <w:bookmarkEnd w:id="494"/>
      <w:bookmarkEnd w:id="495"/>
      <w:r w:rsidRPr="006F159A">
        <w:t>: Proportion of Other Organisations by entity type, DP11–DP20</w:t>
      </w:r>
    </w:p>
    <w:p w14:paraId="60615AF6" w14:textId="3AF818C4" w:rsidR="006F159A" w:rsidRPr="006F159A" w:rsidRDefault="000E5749" w:rsidP="006F159A">
      <w:pPr>
        <w:rPr>
          <w:rFonts w:asciiTheme="majorHAnsi" w:hAnsiTheme="majorHAnsi" w:cstheme="majorHAnsi"/>
          <w:b/>
        </w:rPr>
      </w:pPr>
      <w:r>
        <w:rPr>
          <w:rFonts w:asciiTheme="majorHAnsi" w:hAnsiTheme="majorHAnsi" w:cstheme="majorHAnsi"/>
          <w:b/>
          <w:noProof/>
        </w:rPr>
        <w:drawing>
          <wp:inline distT="0" distB="0" distL="0" distR="0" wp14:anchorId="5A8DC87A" wp14:editId="4D91F6B2">
            <wp:extent cx="5956300" cy="2487295"/>
            <wp:effectExtent l="0" t="0" r="6350" b="8255"/>
            <wp:docPr id="87" name="Picture 87" descr="Figure 29 is a graph showing the proportion of Other Organisations participating on Discovery Projects funded projects by entity type between DP11 and DP20. See text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29 is a graph showing the proportion of Other Organisations participating on Discovery Projects funded projects by entity type between DP11 and DP20. See text below graph for more inform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6300" cy="2487295"/>
                    </a:xfrm>
                    <a:prstGeom prst="rect">
                      <a:avLst/>
                    </a:prstGeom>
                    <a:noFill/>
                  </pic:spPr>
                </pic:pic>
              </a:graphicData>
            </a:graphic>
          </wp:inline>
        </w:drawing>
      </w:r>
    </w:p>
    <w:p w14:paraId="11EB853C" w14:textId="77777777" w:rsidR="006F159A" w:rsidRPr="006F159A" w:rsidRDefault="006F159A" w:rsidP="006F159A">
      <w:pPr>
        <w:rPr>
          <w:rFonts w:asciiTheme="majorHAnsi" w:hAnsiTheme="majorHAnsi" w:cstheme="majorHAnsi"/>
          <w:i/>
          <w:sz w:val="16"/>
          <w:szCs w:val="16"/>
        </w:rPr>
      </w:pPr>
      <w:r w:rsidRPr="006F159A">
        <w:rPr>
          <w:rFonts w:asciiTheme="majorHAnsi" w:hAnsiTheme="majorHAnsi" w:cstheme="majorHAnsi"/>
          <w:sz w:val="16"/>
          <w:szCs w:val="16"/>
        </w:rPr>
        <w:t xml:space="preserve">Source: ARC administrative data. </w:t>
      </w:r>
      <w:r w:rsidRPr="006F159A">
        <w:rPr>
          <w:rFonts w:asciiTheme="majorHAnsi" w:hAnsiTheme="majorHAnsi" w:cstheme="majorHAnsi"/>
          <w:i/>
          <w:sz w:val="16"/>
          <w:szCs w:val="16"/>
        </w:rPr>
        <w:t xml:space="preserve">Note: Higher Education Funding Act organisations (Australian Universities participating as Administering or Other Eligible Organisations) have been excluded. Figures provided reflect planned participation in applications. Organisations appearing on more than one application per funding round have been counted multiple times. Data prior to DP11 not available. </w:t>
      </w:r>
    </w:p>
    <w:p w14:paraId="1362F790" w14:textId="7A80DF3E" w:rsidR="006F159A" w:rsidRPr="006F159A" w:rsidRDefault="006F159A" w:rsidP="006F159A">
      <w:pPr>
        <w:rPr>
          <w:rFonts w:asciiTheme="majorHAnsi" w:hAnsiTheme="majorHAnsi" w:cstheme="majorHAnsi"/>
        </w:rPr>
      </w:pPr>
      <w:r w:rsidRPr="006F159A">
        <w:rPr>
          <w:rFonts w:asciiTheme="majorHAnsi" w:hAnsiTheme="majorHAnsi" w:cstheme="majorHAnsi"/>
        </w:rPr>
        <w:lastRenderedPageBreak/>
        <w:t xml:space="preserve">International higher education institutions were the most commonly represented entity type, constituting 70–80 per cent of Other Organisations in each funding round. Collectively, government organisations (Local, State, Commonwealth and International) represented the next highest proportion, at approximately 10–15 per cent </w:t>
      </w:r>
      <w:r w:rsidR="00572476">
        <w:rPr>
          <w:rFonts w:asciiTheme="majorHAnsi" w:hAnsiTheme="majorHAnsi" w:cstheme="majorHAnsi"/>
        </w:rPr>
        <w:t>in</w:t>
      </w:r>
      <w:r w:rsidR="00572476" w:rsidRPr="006F159A">
        <w:rPr>
          <w:rFonts w:asciiTheme="majorHAnsi" w:hAnsiTheme="majorHAnsi" w:cstheme="majorHAnsi"/>
        </w:rPr>
        <w:t xml:space="preserve"> </w:t>
      </w:r>
      <w:r w:rsidRPr="006F159A">
        <w:rPr>
          <w:rFonts w:asciiTheme="majorHAnsi" w:hAnsiTheme="majorHAnsi" w:cstheme="majorHAnsi"/>
        </w:rPr>
        <w:t xml:space="preserve">each round. </w:t>
      </w:r>
      <w:r w:rsidR="005030F9">
        <w:rPr>
          <w:rFonts w:asciiTheme="majorHAnsi" w:hAnsiTheme="majorHAnsi" w:cstheme="majorHAnsi"/>
        </w:rPr>
        <w:t xml:space="preserve">These data </w:t>
      </w:r>
      <w:r w:rsidRPr="006F159A">
        <w:rPr>
          <w:rFonts w:asciiTheme="majorHAnsi" w:hAnsiTheme="majorHAnsi" w:cstheme="majorHAnsi"/>
        </w:rPr>
        <w:t xml:space="preserve">suggest that Discovery Projects has been increasingly effective at fostering collaboration between Australian and international universities. However, it appears to have been supporting proportionally fewer engagements with government, </w:t>
      </w:r>
      <w:r w:rsidR="00494053">
        <w:rPr>
          <w:rFonts w:asciiTheme="majorHAnsi" w:hAnsiTheme="majorHAnsi" w:cstheme="majorHAnsi"/>
        </w:rPr>
        <w:t>business</w:t>
      </w:r>
      <w:r w:rsidR="00494053" w:rsidRPr="006F159A">
        <w:rPr>
          <w:rFonts w:asciiTheme="majorHAnsi" w:hAnsiTheme="majorHAnsi" w:cstheme="majorHAnsi"/>
        </w:rPr>
        <w:t xml:space="preserve"> </w:t>
      </w:r>
      <w:r w:rsidRPr="006F159A">
        <w:rPr>
          <w:rFonts w:asciiTheme="majorHAnsi" w:hAnsiTheme="majorHAnsi" w:cstheme="majorHAnsi"/>
        </w:rPr>
        <w:t xml:space="preserve">and non-profit stakeholders over time. </w:t>
      </w:r>
    </w:p>
    <w:p w14:paraId="56BFFB98" w14:textId="2AE16D1B" w:rsidR="006F159A" w:rsidRDefault="006F159A" w:rsidP="006F159A">
      <w:pPr>
        <w:rPr>
          <w:rFonts w:asciiTheme="majorHAnsi" w:hAnsiTheme="majorHAnsi" w:cstheme="majorHAnsi"/>
        </w:rPr>
      </w:pPr>
      <w:r w:rsidRPr="00833F2E">
        <w:rPr>
          <w:rFonts w:asciiTheme="majorHAnsi" w:hAnsiTheme="majorHAnsi" w:cstheme="majorHAnsi"/>
        </w:rPr>
        <w:t>Consistent with the scheme’s objective to support excellent basic and applied</w:t>
      </w:r>
      <w:r w:rsidRPr="003007BD">
        <w:rPr>
          <w:rFonts w:asciiTheme="majorHAnsi" w:hAnsiTheme="majorHAnsi" w:cstheme="majorHAnsi"/>
        </w:rPr>
        <w:t xml:space="preserve"> research, these data show that collaboration supported under D</w:t>
      </w:r>
      <w:r w:rsidRPr="006771AE">
        <w:rPr>
          <w:rFonts w:asciiTheme="majorHAnsi" w:hAnsiTheme="majorHAnsi" w:cstheme="majorHAnsi"/>
        </w:rPr>
        <w:t>iscovery Projects primarily involves university researchers and higher education institutions, rather than the non-academic end users emphasised in the applied research focus of Linkage Program schemes.</w:t>
      </w:r>
      <w:r w:rsidR="00595FA8" w:rsidRPr="006771AE">
        <w:rPr>
          <w:rFonts w:asciiTheme="majorHAnsi" w:hAnsiTheme="majorHAnsi" w:cstheme="majorHAnsi"/>
        </w:rPr>
        <w:t xml:space="preserve"> </w:t>
      </w:r>
      <w:r w:rsidR="006A3CD1" w:rsidRPr="006771AE">
        <w:rPr>
          <w:rFonts w:asciiTheme="majorHAnsi" w:hAnsiTheme="majorHAnsi" w:cstheme="majorHAnsi"/>
        </w:rPr>
        <w:t>Consistent with findings presente</w:t>
      </w:r>
      <w:r w:rsidR="006A3CD1" w:rsidRPr="00FC3E13">
        <w:rPr>
          <w:rFonts w:asciiTheme="majorHAnsi" w:hAnsiTheme="majorHAnsi" w:cstheme="majorHAnsi"/>
        </w:rPr>
        <w:t xml:space="preserve">d on </w:t>
      </w:r>
      <w:r w:rsidR="006A3CD1" w:rsidRPr="00281670">
        <w:rPr>
          <w:rFonts w:asciiTheme="majorHAnsi" w:hAnsiTheme="majorHAnsi" w:cstheme="majorHAnsi"/>
        </w:rPr>
        <w:t>p</w:t>
      </w:r>
      <w:r w:rsidR="00B46636" w:rsidRPr="00281670">
        <w:rPr>
          <w:rFonts w:asciiTheme="majorHAnsi" w:hAnsiTheme="majorHAnsi" w:cstheme="majorHAnsi"/>
        </w:rPr>
        <w:t>. 56</w:t>
      </w:r>
      <w:r w:rsidR="006A3CD1" w:rsidRPr="00FC3E13">
        <w:rPr>
          <w:rFonts w:asciiTheme="majorHAnsi" w:hAnsiTheme="majorHAnsi" w:cstheme="majorHAnsi"/>
        </w:rPr>
        <w:t xml:space="preserve">, </w:t>
      </w:r>
      <w:r w:rsidR="006771AE" w:rsidRPr="00281670">
        <w:rPr>
          <w:rFonts w:asciiTheme="majorHAnsi" w:hAnsiTheme="majorHAnsi" w:cstheme="majorHAnsi"/>
        </w:rPr>
        <w:fldChar w:fldCharType="begin"/>
      </w:r>
      <w:r w:rsidR="006771AE" w:rsidRPr="00FC3E13">
        <w:rPr>
          <w:rFonts w:asciiTheme="majorHAnsi" w:hAnsiTheme="majorHAnsi" w:cstheme="majorHAnsi"/>
        </w:rPr>
        <w:instrText xml:space="preserve"> REF _Ref52961683 \h  \* MERGEFORMAT </w:instrText>
      </w:r>
      <w:r w:rsidR="006771AE" w:rsidRPr="00281670">
        <w:rPr>
          <w:rFonts w:asciiTheme="majorHAnsi" w:hAnsiTheme="majorHAnsi" w:cstheme="majorHAnsi"/>
        </w:rPr>
      </w:r>
      <w:r w:rsidR="006771AE" w:rsidRPr="00281670">
        <w:rPr>
          <w:rFonts w:asciiTheme="majorHAnsi" w:hAnsiTheme="majorHAnsi" w:cstheme="majorHAnsi"/>
        </w:rPr>
        <w:fldChar w:fldCharType="separate"/>
      </w:r>
      <w:r w:rsidR="00AB03D7" w:rsidRPr="00AB03D7">
        <w:rPr>
          <w:rFonts w:asciiTheme="majorHAnsi" w:hAnsiTheme="majorHAnsi" w:cstheme="majorHAnsi"/>
          <w:iCs/>
          <w:color w:val="000000" w:themeColor="text1"/>
        </w:rPr>
        <w:t xml:space="preserve">Figure </w:t>
      </w:r>
      <w:r w:rsidR="00AB03D7" w:rsidRPr="00AB03D7">
        <w:rPr>
          <w:rFonts w:asciiTheme="majorHAnsi" w:hAnsiTheme="majorHAnsi" w:cstheme="majorHAnsi"/>
          <w:iCs/>
          <w:noProof/>
          <w:color w:val="000000" w:themeColor="text1"/>
        </w:rPr>
        <w:t>29</w:t>
      </w:r>
      <w:r w:rsidR="006771AE" w:rsidRPr="00281670">
        <w:rPr>
          <w:rFonts w:asciiTheme="majorHAnsi" w:hAnsiTheme="majorHAnsi" w:cstheme="majorHAnsi"/>
        </w:rPr>
        <w:fldChar w:fldCharType="end"/>
      </w:r>
      <w:r w:rsidR="006771AE" w:rsidRPr="00833F2E">
        <w:rPr>
          <w:rFonts w:asciiTheme="majorHAnsi" w:hAnsiTheme="majorHAnsi" w:cstheme="majorHAnsi"/>
        </w:rPr>
        <w:t xml:space="preserve"> also suggests there </w:t>
      </w:r>
      <w:r w:rsidR="006A3CD1" w:rsidRPr="003007BD">
        <w:rPr>
          <w:rFonts w:asciiTheme="majorHAnsi" w:hAnsiTheme="majorHAnsi" w:cstheme="majorHAnsi"/>
        </w:rPr>
        <w:t>ha</w:t>
      </w:r>
      <w:r w:rsidR="006771AE" w:rsidRPr="003007BD">
        <w:rPr>
          <w:rFonts w:asciiTheme="majorHAnsi" w:hAnsiTheme="majorHAnsi" w:cstheme="majorHAnsi"/>
        </w:rPr>
        <w:t>s</w:t>
      </w:r>
      <w:r w:rsidR="006A3CD1" w:rsidRPr="003007BD">
        <w:rPr>
          <w:rFonts w:asciiTheme="majorHAnsi" w:hAnsiTheme="majorHAnsi" w:cstheme="majorHAnsi"/>
        </w:rPr>
        <w:t xml:space="preserve"> been</w:t>
      </w:r>
      <w:r w:rsidR="006A3CD1" w:rsidRPr="006771AE">
        <w:rPr>
          <w:rFonts w:asciiTheme="majorHAnsi" w:hAnsiTheme="majorHAnsi" w:cstheme="majorHAnsi"/>
        </w:rPr>
        <w:t xml:space="preserve"> a slight increase in</w:t>
      </w:r>
      <w:r w:rsidR="007943FB">
        <w:rPr>
          <w:rFonts w:asciiTheme="majorHAnsi" w:hAnsiTheme="majorHAnsi" w:cstheme="majorHAnsi"/>
        </w:rPr>
        <w:t xml:space="preserve"> the proportion of</w:t>
      </w:r>
      <w:r w:rsidR="006A3CD1" w:rsidRPr="00833F2E">
        <w:rPr>
          <w:rFonts w:asciiTheme="majorHAnsi" w:hAnsiTheme="majorHAnsi" w:cstheme="majorHAnsi"/>
        </w:rPr>
        <w:t xml:space="preserve"> international participating organisation </w:t>
      </w:r>
      <w:r w:rsidR="007943FB">
        <w:rPr>
          <w:rFonts w:asciiTheme="majorHAnsi" w:hAnsiTheme="majorHAnsi" w:cstheme="majorHAnsi"/>
        </w:rPr>
        <w:t>on</w:t>
      </w:r>
      <w:r w:rsidR="006771AE" w:rsidRPr="00833F2E">
        <w:rPr>
          <w:rFonts w:asciiTheme="majorHAnsi" w:hAnsiTheme="majorHAnsi" w:cstheme="majorHAnsi"/>
        </w:rPr>
        <w:t xml:space="preserve"> funded projects over time. </w:t>
      </w:r>
      <w:r w:rsidRPr="003007BD">
        <w:rPr>
          <w:rFonts w:asciiTheme="majorHAnsi" w:hAnsiTheme="majorHAnsi" w:cstheme="majorHAnsi"/>
        </w:rPr>
        <w:t xml:space="preserve">  </w:t>
      </w:r>
    </w:p>
    <w:p w14:paraId="1E23DD79" w14:textId="34AD1B93" w:rsidR="006F159A" w:rsidRPr="006F159A" w:rsidRDefault="006F159A" w:rsidP="0068635B">
      <w:pPr>
        <w:pStyle w:val="Heading3"/>
      </w:pPr>
      <w:bookmarkStart w:id="496" w:name="_Toc50533615"/>
      <w:bookmarkStart w:id="497" w:name="_Toc50553765"/>
      <w:bookmarkStart w:id="498" w:name="_Toc50555000"/>
      <w:bookmarkStart w:id="499" w:name="_Toc50618134"/>
      <w:bookmarkStart w:id="500" w:name="_Toc50618415"/>
      <w:bookmarkStart w:id="501" w:name="_Toc51917010"/>
      <w:bookmarkStart w:id="502" w:name="_Toc51918850"/>
      <w:bookmarkStart w:id="503" w:name="_Toc53557238"/>
      <w:bookmarkStart w:id="504" w:name="_Toc54699280"/>
      <w:bookmarkStart w:id="505" w:name="_Toc55544814"/>
      <w:r w:rsidRPr="006F159A">
        <w:t>Qualitative stakeholder feedback on effectiveness</w:t>
      </w:r>
      <w:bookmarkEnd w:id="496"/>
      <w:bookmarkEnd w:id="497"/>
      <w:bookmarkEnd w:id="498"/>
      <w:bookmarkEnd w:id="499"/>
      <w:bookmarkEnd w:id="500"/>
      <w:bookmarkEnd w:id="501"/>
      <w:bookmarkEnd w:id="502"/>
      <w:bookmarkEnd w:id="503"/>
      <w:bookmarkEnd w:id="504"/>
      <w:bookmarkEnd w:id="505"/>
    </w:p>
    <w:p w14:paraId="60F429F8" w14:textId="73DD685E" w:rsidR="006F159A" w:rsidRPr="006F159A" w:rsidRDefault="006F159A" w:rsidP="00AE23E7">
      <w:pPr>
        <w:spacing w:after="240"/>
        <w:rPr>
          <w:rFonts w:asciiTheme="majorHAnsi" w:eastAsiaTheme="minorEastAsia" w:hAnsiTheme="majorHAnsi" w:cstheme="majorHAnsi"/>
          <w:lang w:eastAsia="en-AU"/>
        </w:rPr>
      </w:pPr>
      <w:r w:rsidRPr="006F159A">
        <w:rPr>
          <w:rFonts w:asciiTheme="majorHAnsi" w:eastAsiaTheme="minorEastAsia" w:hAnsiTheme="majorHAnsi" w:cstheme="majorHAnsi"/>
          <w:lang w:eastAsia="en-AU"/>
        </w:rPr>
        <w:t xml:space="preserve">As shown in </w:t>
      </w:r>
      <w:r w:rsidR="00AE23E7">
        <w:rPr>
          <w:rFonts w:asciiTheme="majorHAnsi" w:eastAsiaTheme="minorEastAsia" w:hAnsiTheme="majorHAnsi" w:cstheme="majorHAnsi"/>
          <w:lang w:eastAsia="en-AU"/>
        </w:rPr>
        <w:fldChar w:fldCharType="begin"/>
      </w:r>
      <w:r w:rsidR="00AE23E7">
        <w:rPr>
          <w:rFonts w:asciiTheme="majorHAnsi" w:eastAsiaTheme="minorEastAsia" w:hAnsiTheme="majorHAnsi" w:cstheme="majorHAnsi"/>
          <w:lang w:eastAsia="en-AU"/>
        </w:rPr>
        <w:instrText xml:space="preserve"> REF _Ref49848523 \h  \* MERGEFORMAT </w:instrText>
      </w:r>
      <w:r w:rsidR="00AE23E7">
        <w:rPr>
          <w:rFonts w:asciiTheme="majorHAnsi" w:eastAsiaTheme="minorEastAsia" w:hAnsiTheme="majorHAnsi" w:cstheme="majorHAnsi"/>
          <w:lang w:eastAsia="en-AU"/>
        </w:rPr>
      </w:r>
      <w:r w:rsidR="00AE23E7">
        <w:rPr>
          <w:rFonts w:asciiTheme="majorHAnsi" w:eastAsiaTheme="minorEastAsia" w:hAnsiTheme="majorHAnsi" w:cstheme="majorHAnsi"/>
          <w:lang w:eastAsia="en-AU"/>
        </w:rPr>
        <w:fldChar w:fldCharType="separate"/>
      </w:r>
      <w:r w:rsidR="00AB03D7" w:rsidRPr="00AB03D7">
        <w:rPr>
          <w:rFonts w:asciiTheme="majorHAnsi" w:eastAsiaTheme="minorEastAsia" w:hAnsiTheme="majorHAnsi" w:cstheme="majorHAnsi"/>
          <w:lang w:eastAsia="en-AU"/>
        </w:rPr>
        <w:t>Figure 17</w:t>
      </w:r>
      <w:r w:rsidR="00AE23E7">
        <w:rPr>
          <w:rFonts w:asciiTheme="majorHAnsi" w:eastAsiaTheme="minorEastAsia" w:hAnsiTheme="majorHAnsi" w:cstheme="majorHAnsi"/>
          <w:lang w:eastAsia="en-AU"/>
        </w:rPr>
        <w:fldChar w:fldCharType="end"/>
      </w:r>
      <w:r w:rsidRPr="006F159A">
        <w:rPr>
          <w:rFonts w:asciiTheme="majorHAnsi" w:eastAsiaTheme="minorEastAsia" w:hAnsiTheme="majorHAnsi" w:cstheme="majorHAnsi"/>
          <w:lang w:eastAsia="en-AU"/>
        </w:rPr>
        <w:t xml:space="preserve">, most stakeholders surveyed regarded Discovery Projects as effectively supporting national and international research collaboration. </w:t>
      </w:r>
      <w:r w:rsidR="00D61B0D">
        <w:rPr>
          <w:rFonts w:asciiTheme="majorHAnsi" w:eastAsiaTheme="minorEastAsia" w:hAnsiTheme="majorHAnsi" w:cstheme="majorHAnsi"/>
          <w:lang w:eastAsia="en-AU"/>
        </w:rPr>
        <w:t>Consistent with the fact</w:t>
      </w:r>
      <w:r w:rsidR="00D61B0D" w:rsidRPr="006F159A">
        <w:rPr>
          <w:rFonts w:asciiTheme="majorHAnsi" w:eastAsiaTheme="minorEastAsia" w:hAnsiTheme="majorHAnsi" w:cstheme="majorHAnsi"/>
          <w:lang w:eastAsia="en-AU"/>
        </w:rPr>
        <w:t xml:space="preserve"> </w:t>
      </w:r>
      <w:r w:rsidRPr="006F159A">
        <w:rPr>
          <w:rFonts w:asciiTheme="majorHAnsi" w:eastAsiaTheme="minorEastAsia" w:hAnsiTheme="majorHAnsi" w:cstheme="majorHAnsi"/>
          <w:lang w:eastAsia="en-AU"/>
        </w:rPr>
        <w:t>that the scheme does not prioritise end</w:t>
      </w:r>
      <w:r w:rsidR="00713FC4">
        <w:rPr>
          <w:rFonts w:asciiTheme="majorHAnsi" w:eastAsiaTheme="minorEastAsia" w:hAnsiTheme="majorHAnsi" w:cstheme="majorHAnsi"/>
          <w:lang w:eastAsia="en-AU"/>
        </w:rPr>
        <w:t xml:space="preserve"> </w:t>
      </w:r>
      <w:r w:rsidRPr="006F159A">
        <w:rPr>
          <w:rFonts w:asciiTheme="majorHAnsi" w:eastAsiaTheme="minorEastAsia" w:hAnsiTheme="majorHAnsi" w:cstheme="majorHAnsi"/>
          <w:lang w:eastAsia="en-AU"/>
        </w:rPr>
        <w:t>user collaboration as actively as the ARC’s Linkage Program, qualitative responses highlighted the contributions to knowledge and innovation facilitated by the scheme’s support for collaboration between researchers.</w:t>
      </w:r>
    </w:p>
    <w:p w14:paraId="11FB0615" w14:textId="77777777" w:rsidR="006F159A" w:rsidRPr="006F159A" w:rsidRDefault="006F159A" w:rsidP="003E0DE0">
      <w:pPr>
        <w:pStyle w:val="Quote"/>
        <w:spacing w:after="240"/>
        <w:ind w:left="425" w:right="663"/>
      </w:pPr>
      <w:r w:rsidRPr="006F159A">
        <w:t xml:space="preserve">In terms of national and internal collaboration you just have to (look at) the awarded grant proposals to see the amount of cross-institutional work undertaken. The bulk of our funded Discovery Projects will have international partners from overseas universities…It certainly achieves that </w:t>
      </w:r>
      <w:r w:rsidRPr="003E0DE0">
        <w:rPr>
          <w:i w:val="0"/>
          <w:iCs w:val="0"/>
        </w:rPr>
        <w:t>– (University Research Office)</w:t>
      </w:r>
    </w:p>
    <w:p w14:paraId="66251830" w14:textId="2652969A" w:rsidR="006F159A" w:rsidRPr="006F159A" w:rsidRDefault="006F159A" w:rsidP="006F159A">
      <w:pPr>
        <w:spacing w:after="240"/>
        <w:rPr>
          <w:rFonts w:asciiTheme="majorHAnsi" w:eastAsiaTheme="minorEastAsia" w:hAnsiTheme="majorHAnsi" w:cstheme="majorHAnsi"/>
          <w:lang w:eastAsia="en-AU"/>
        </w:rPr>
      </w:pPr>
      <w:r w:rsidRPr="006F159A">
        <w:rPr>
          <w:rFonts w:asciiTheme="majorHAnsi" w:eastAsiaTheme="minorEastAsia" w:hAnsiTheme="majorHAnsi" w:cstheme="majorHAnsi"/>
          <w:lang w:eastAsia="en-AU"/>
        </w:rPr>
        <w:t xml:space="preserve">However, participants also </w:t>
      </w:r>
      <w:r w:rsidR="00D75EE1">
        <w:rPr>
          <w:rFonts w:asciiTheme="majorHAnsi" w:eastAsiaTheme="minorEastAsia" w:hAnsiTheme="majorHAnsi" w:cstheme="majorHAnsi"/>
          <w:lang w:eastAsia="en-AU"/>
        </w:rPr>
        <w:t>discussed</w:t>
      </w:r>
      <w:r w:rsidR="00DF4189" w:rsidRPr="006F159A">
        <w:rPr>
          <w:rFonts w:asciiTheme="majorHAnsi" w:eastAsiaTheme="minorEastAsia" w:hAnsiTheme="majorHAnsi" w:cstheme="majorHAnsi"/>
          <w:lang w:eastAsia="en-AU"/>
        </w:rPr>
        <w:t xml:space="preserve"> </w:t>
      </w:r>
      <w:r w:rsidRPr="006F159A">
        <w:rPr>
          <w:rFonts w:asciiTheme="majorHAnsi" w:eastAsiaTheme="minorEastAsia" w:hAnsiTheme="majorHAnsi" w:cstheme="majorHAnsi"/>
          <w:lang w:eastAsia="en-AU"/>
        </w:rPr>
        <w:t>barriers to collaboration under the scheme. The ARC limits researchers to participating as Chief Investigators on up to two Discovery Projects grants at a time in order to ensure they invest sufficient time and resources in funded projects, to distribute opportunities to a variety of researchers, and to reduce administrative burden</w:t>
      </w:r>
      <w:r w:rsidR="00D75EE1">
        <w:rPr>
          <w:rFonts w:asciiTheme="majorHAnsi" w:eastAsiaTheme="minorEastAsia" w:hAnsiTheme="majorHAnsi" w:cstheme="majorHAnsi"/>
          <w:lang w:eastAsia="en-AU"/>
        </w:rPr>
        <w:t>s</w:t>
      </w:r>
      <w:r w:rsidRPr="006F159A">
        <w:rPr>
          <w:rFonts w:asciiTheme="majorHAnsi" w:eastAsiaTheme="minorEastAsia" w:hAnsiTheme="majorHAnsi" w:cstheme="majorHAnsi"/>
          <w:lang w:eastAsia="en-AU"/>
        </w:rPr>
        <w:t xml:space="preserve"> associated with submitting and processing a high number of applications.</w:t>
      </w:r>
      <w:r w:rsidRPr="006F159A">
        <w:rPr>
          <w:rFonts w:asciiTheme="majorHAnsi" w:eastAsiaTheme="minorEastAsia" w:hAnsiTheme="majorHAnsi" w:cstheme="majorHAnsi"/>
          <w:vertAlign w:val="superscript"/>
          <w:lang w:eastAsia="en-AU"/>
        </w:rPr>
        <w:footnoteReference w:id="55"/>
      </w:r>
      <w:r w:rsidRPr="006F159A">
        <w:rPr>
          <w:rFonts w:asciiTheme="majorHAnsi" w:eastAsiaTheme="minorEastAsia" w:hAnsiTheme="majorHAnsi" w:cstheme="majorHAnsi"/>
          <w:lang w:eastAsia="en-AU"/>
        </w:rPr>
        <w:t xml:space="preserve"> Stakeholder feedback identified this as </w:t>
      </w:r>
      <w:r w:rsidR="001F1518">
        <w:rPr>
          <w:rFonts w:asciiTheme="majorHAnsi" w:eastAsiaTheme="minorEastAsia" w:hAnsiTheme="majorHAnsi" w:cstheme="majorHAnsi"/>
          <w:lang w:eastAsia="en-AU"/>
        </w:rPr>
        <w:t xml:space="preserve">a disincentive </w:t>
      </w:r>
      <w:r w:rsidR="0007456F">
        <w:rPr>
          <w:rFonts w:asciiTheme="majorHAnsi" w:eastAsiaTheme="minorEastAsia" w:hAnsiTheme="majorHAnsi" w:cstheme="majorHAnsi"/>
          <w:lang w:eastAsia="en-AU"/>
        </w:rPr>
        <w:t>to</w:t>
      </w:r>
      <w:r w:rsidRPr="006F159A">
        <w:rPr>
          <w:rFonts w:asciiTheme="majorHAnsi" w:eastAsiaTheme="minorEastAsia" w:hAnsiTheme="majorHAnsi" w:cstheme="majorHAnsi"/>
          <w:lang w:eastAsia="en-AU"/>
        </w:rPr>
        <w:t xml:space="preserve"> Australian universities allowing their researchers to participate in non-lead Chief Investigator roles on collaborative projects involving another university as the Administering Organisation. They noted the preference of universities to appear as Administering Organisations on ARC projects in order to increase the total value of their competitive research grant income and, in turn, </w:t>
      </w:r>
      <w:r w:rsidR="00633DA3">
        <w:rPr>
          <w:rFonts w:asciiTheme="majorHAnsi" w:eastAsiaTheme="minorEastAsia" w:hAnsiTheme="majorHAnsi" w:cstheme="majorHAnsi"/>
          <w:lang w:eastAsia="en-AU"/>
        </w:rPr>
        <w:t>increase the proportion of funding they receive under</w:t>
      </w:r>
      <w:r w:rsidRPr="006F159A">
        <w:rPr>
          <w:rFonts w:asciiTheme="majorHAnsi" w:eastAsiaTheme="minorEastAsia" w:hAnsiTheme="majorHAnsi" w:cstheme="majorHAnsi"/>
          <w:lang w:eastAsia="en-AU"/>
        </w:rPr>
        <w:t xml:space="preserve"> Research Block Grant allocation formulae.</w:t>
      </w:r>
      <w:r w:rsidRPr="006F159A">
        <w:rPr>
          <w:rFonts w:asciiTheme="majorHAnsi" w:eastAsiaTheme="minorEastAsia" w:hAnsiTheme="majorHAnsi" w:cstheme="majorHAnsi"/>
          <w:vertAlign w:val="superscript"/>
          <w:lang w:eastAsia="en-AU"/>
        </w:rPr>
        <w:footnoteReference w:id="56"/>
      </w:r>
    </w:p>
    <w:p w14:paraId="381DCAFF" w14:textId="77777777" w:rsidR="006F159A" w:rsidRPr="006F159A" w:rsidRDefault="006F159A" w:rsidP="003E0DE0">
      <w:pPr>
        <w:pStyle w:val="Quote"/>
      </w:pPr>
      <w:r w:rsidRPr="006F159A">
        <w:t xml:space="preserve">There are some relatively arbitrary impediments to collaboration within Australia due to the identification of a single Administering Organisation. And given that all Australian </w:t>
      </w:r>
      <w:r w:rsidRPr="006F159A">
        <w:lastRenderedPageBreak/>
        <w:t xml:space="preserve">universities are in competition for portions of block grants, it becomes important for universities to see themselves as having a large pool of ARC studies that they are the Administering Organisation for </w:t>
      </w:r>
      <w:r w:rsidRPr="003E0DE0">
        <w:rPr>
          <w:i w:val="0"/>
          <w:iCs w:val="0"/>
        </w:rPr>
        <w:t>– (University Research Office)</w:t>
      </w:r>
    </w:p>
    <w:p w14:paraId="6A015F24" w14:textId="77777777" w:rsidR="006F159A" w:rsidRPr="006F159A" w:rsidRDefault="006F159A" w:rsidP="003E0DE0">
      <w:pPr>
        <w:pStyle w:val="Quote"/>
      </w:pPr>
      <w:r w:rsidRPr="006F159A">
        <w:t xml:space="preserve">I would suggest removing the two-bid limit (maybe make it two as Primary Chief Investigator). We are at a point now where university research offices require staff to lead bids and so I can't collaborate with others as they have the same rule. It's becoming a huge issue </w:t>
      </w:r>
      <w:r w:rsidRPr="003E0DE0">
        <w:rPr>
          <w:i w:val="0"/>
          <w:iCs w:val="0"/>
        </w:rPr>
        <w:t>– (Researcher)</w:t>
      </w:r>
    </w:p>
    <w:p w14:paraId="51ABE55C" w14:textId="77777777" w:rsidR="006F159A" w:rsidRPr="006F159A" w:rsidRDefault="006F159A" w:rsidP="003E0DE0">
      <w:pPr>
        <w:pStyle w:val="Quote"/>
        <w:spacing w:after="240"/>
        <w:ind w:left="425" w:right="663"/>
      </w:pPr>
      <w:r w:rsidRPr="006F159A">
        <w:t>There's a dilemma—which I'm unsure how to resolve—in terms of collaboration between universities when Chief Investigators are limited to two grants. Each university would prefer that they are the Administering Organisation and encourage researchers to lead grants rather than collaborate on applications led by other universities. That said, I also support limits on the number of grants held in order to more widely distribute grant opportunities</w:t>
      </w:r>
      <w:r w:rsidRPr="003E0DE0">
        <w:rPr>
          <w:i w:val="0"/>
          <w:iCs w:val="0"/>
        </w:rPr>
        <w:t xml:space="preserve"> – (Researcher)</w:t>
      </w:r>
    </w:p>
    <w:p w14:paraId="4A8AC8DF" w14:textId="4158A51A" w:rsidR="006F159A" w:rsidRPr="006F159A" w:rsidRDefault="006F159A" w:rsidP="006F159A">
      <w:pPr>
        <w:rPr>
          <w:rFonts w:asciiTheme="majorHAnsi" w:eastAsiaTheme="minorEastAsia" w:hAnsiTheme="majorHAnsi" w:cstheme="majorHAnsi"/>
          <w:lang w:eastAsia="en-AU"/>
        </w:rPr>
      </w:pPr>
      <w:r w:rsidRPr="006F159A">
        <w:rPr>
          <w:rFonts w:asciiTheme="majorHAnsi" w:eastAsiaTheme="minorEastAsia" w:hAnsiTheme="majorHAnsi" w:cstheme="majorHAnsi"/>
          <w:lang w:eastAsia="en-AU"/>
        </w:rPr>
        <w:t>It should be noted that eligibility limits on the number of Discovery Projects researchers may simultaneously participate on do not apply to</w:t>
      </w:r>
      <w:r w:rsidR="00AF0049">
        <w:rPr>
          <w:rFonts w:asciiTheme="majorHAnsi" w:eastAsiaTheme="minorEastAsia" w:hAnsiTheme="majorHAnsi" w:cstheme="majorHAnsi"/>
          <w:lang w:eastAsia="en-AU"/>
        </w:rPr>
        <w:t xml:space="preserve"> the</w:t>
      </w:r>
      <w:r w:rsidR="00750D95">
        <w:rPr>
          <w:rFonts w:asciiTheme="majorHAnsi" w:eastAsiaTheme="minorEastAsia" w:hAnsiTheme="majorHAnsi" w:cstheme="majorHAnsi"/>
          <w:lang w:eastAsia="en-AU"/>
        </w:rPr>
        <w:t xml:space="preserve"> Partner Investigator</w:t>
      </w:r>
      <w:r w:rsidR="00AF0049">
        <w:rPr>
          <w:rFonts w:asciiTheme="majorHAnsi" w:eastAsiaTheme="minorEastAsia" w:hAnsiTheme="majorHAnsi" w:cstheme="majorHAnsi"/>
          <w:lang w:eastAsia="en-AU"/>
        </w:rPr>
        <w:t xml:space="preserve"> role</w:t>
      </w:r>
      <w:r w:rsidR="00750D95">
        <w:rPr>
          <w:rFonts w:asciiTheme="majorHAnsi" w:eastAsiaTheme="minorEastAsia" w:hAnsiTheme="majorHAnsi" w:cstheme="majorHAnsi"/>
          <w:lang w:eastAsia="en-AU"/>
        </w:rPr>
        <w:t xml:space="preserve"> or to</w:t>
      </w:r>
      <w:r w:rsidR="00AF0049">
        <w:rPr>
          <w:rFonts w:asciiTheme="majorHAnsi" w:eastAsiaTheme="minorEastAsia" w:hAnsiTheme="majorHAnsi" w:cstheme="majorHAnsi"/>
          <w:lang w:eastAsia="en-AU"/>
        </w:rPr>
        <w:t xml:space="preserve"> participation as</w:t>
      </w:r>
      <w:r w:rsidR="00750D95">
        <w:rPr>
          <w:rFonts w:asciiTheme="majorHAnsi" w:eastAsiaTheme="minorEastAsia" w:hAnsiTheme="majorHAnsi" w:cstheme="majorHAnsi"/>
          <w:lang w:eastAsia="en-AU"/>
        </w:rPr>
        <w:t xml:space="preserve"> unnamed researchers</w:t>
      </w:r>
      <w:r w:rsidRPr="006F159A">
        <w:rPr>
          <w:rFonts w:asciiTheme="majorHAnsi" w:eastAsiaTheme="minorEastAsia" w:hAnsiTheme="majorHAnsi" w:cstheme="majorHAnsi"/>
          <w:lang w:eastAsia="en-AU"/>
        </w:rPr>
        <w:t>.</w:t>
      </w:r>
      <w:r w:rsidR="00812986">
        <w:rPr>
          <w:rFonts w:asciiTheme="majorHAnsi" w:eastAsiaTheme="minorEastAsia" w:hAnsiTheme="majorHAnsi" w:cstheme="majorHAnsi"/>
          <w:lang w:eastAsia="en-AU"/>
        </w:rPr>
        <w:t xml:space="preserve"> However, researchers</w:t>
      </w:r>
      <w:r w:rsidR="00AF0049">
        <w:rPr>
          <w:rFonts w:asciiTheme="majorHAnsi" w:eastAsiaTheme="minorEastAsia" w:hAnsiTheme="majorHAnsi" w:cstheme="majorHAnsi"/>
          <w:lang w:eastAsia="en-AU"/>
        </w:rPr>
        <w:t xml:space="preserve"> may not participate as Partner Investigators if they are eligible to be Chief Investigators.</w:t>
      </w:r>
    </w:p>
    <w:p w14:paraId="4948F3AB" w14:textId="00D37532" w:rsidR="006F159A" w:rsidRPr="006F159A" w:rsidRDefault="00542BF4" w:rsidP="006F159A">
      <w:pPr>
        <w:spacing w:after="240"/>
        <w:rPr>
          <w:rFonts w:asciiTheme="majorHAnsi" w:eastAsiaTheme="minorEastAsia" w:hAnsiTheme="majorHAnsi" w:cstheme="majorHAnsi"/>
          <w:lang w:eastAsia="en-AU"/>
        </w:rPr>
      </w:pPr>
      <w:r>
        <w:rPr>
          <w:rFonts w:asciiTheme="majorHAnsi" w:eastAsiaTheme="minorEastAsia" w:hAnsiTheme="majorHAnsi" w:cstheme="majorHAnsi"/>
          <w:lang w:eastAsia="en-AU"/>
        </w:rPr>
        <w:t>Qualitative feedback also included</w:t>
      </w:r>
      <w:r w:rsidR="006F159A" w:rsidRPr="006F159A">
        <w:rPr>
          <w:rFonts w:asciiTheme="majorHAnsi" w:eastAsiaTheme="minorEastAsia" w:hAnsiTheme="majorHAnsi" w:cstheme="majorHAnsi"/>
          <w:lang w:eastAsia="en-AU"/>
        </w:rPr>
        <w:t xml:space="preserve"> concerns about the potential for administrative barriers to impede collaboration with international researchers. Some obstacles were recognised as being beyond the ARC’s influence, such as Australian Government controls relating to export, defence and national security. However, </w:t>
      </w:r>
      <w:r>
        <w:rPr>
          <w:rFonts w:asciiTheme="majorHAnsi" w:eastAsiaTheme="minorEastAsia" w:hAnsiTheme="majorHAnsi" w:cstheme="majorHAnsi"/>
          <w:lang w:eastAsia="en-AU"/>
        </w:rPr>
        <w:t xml:space="preserve">some </w:t>
      </w:r>
      <w:r w:rsidR="00C45A42">
        <w:rPr>
          <w:rFonts w:asciiTheme="majorHAnsi" w:eastAsiaTheme="minorEastAsia" w:hAnsiTheme="majorHAnsi" w:cstheme="majorHAnsi"/>
          <w:lang w:eastAsia="en-AU"/>
        </w:rPr>
        <w:t>stakeholders expressed</w:t>
      </w:r>
      <w:r w:rsidR="006F159A" w:rsidRPr="006F159A">
        <w:rPr>
          <w:rFonts w:asciiTheme="majorHAnsi" w:eastAsiaTheme="minorEastAsia" w:hAnsiTheme="majorHAnsi" w:cstheme="majorHAnsi"/>
          <w:lang w:eastAsia="en-AU"/>
        </w:rPr>
        <w:t xml:space="preserve"> views that the complexity of Discovery Projects application forms and the burdens placed on researchers and research offices to facilitate collaboration were disincentives for international researchers. These concerns existed alongside comments about opportunities to support international Partner Investigators through Discovery Projects funding</w:t>
      </w:r>
      <w:r w:rsidR="00BD108D">
        <w:rPr>
          <w:rFonts w:asciiTheme="majorHAnsi" w:eastAsiaTheme="minorEastAsia" w:hAnsiTheme="majorHAnsi" w:cstheme="majorHAnsi"/>
          <w:lang w:eastAsia="en-AU"/>
        </w:rPr>
        <w:t xml:space="preserve"> being limited</w:t>
      </w:r>
      <w:r w:rsidR="006F159A" w:rsidRPr="006F159A">
        <w:rPr>
          <w:rFonts w:asciiTheme="majorHAnsi" w:eastAsiaTheme="minorEastAsia" w:hAnsiTheme="majorHAnsi" w:cstheme="majorHAnsi"/>
          <w:lang w:eastAsia="en-AU"/>
        </w:rPr>
        <w:t xml:space="preserve">. </w:t>
      </w:r>
    </w:p>
    <w:p w14:paraId="0EB8CD1A" w14:textId="77777777" w:rsidR="006F159A" w:rsidRPr="006F159A" w:rsidRDefault="006F159A" w:rsidP="003E0DE0">
      <w:pPr>
        <w:pStyle w:val="Quote"/>
      </w:pPr>
      <w:r w:rsidRPr="006F159A">
        <w:t xml:space="preserve">Please cut the red tape or it just won't be worth it for international partners to collaborate on these projects </w:t>
      </w:r>
      <w:r w:rsidRPr="003E0DE0">
        <w:rPr>
          <w:i w:val="0"/>
          <w:iCs w:val="0"/>
        </w:rPr>
        <w:t>– (Researcher)</w:t>
      </w:r>
    </w:p>
    <w:p w14:paraId="62A11A16" w14:textId="77777777" w:rsidR="006F159A" w:rsidRPr="006F159A" w:rsidRDefault="006F159A" w:rsidP="003E0DE0">
      <w:pPr>
        <w:pStyle w:val="Quote"/>
      </w:pPr>
      <w:r w:rsidRPr="006F159A">
        <w:t xml:space="preserve">Make it easier for overseas Partner Investigators to join projects. Currently collaborators have a lot of material to add to RMS which is disproportionate to the benefits most receive (minor support from the ARC). For university research offices to have to prepare contracts and budgets for low-level involvement by overseas Partner Investigators is not an efficient use of funds nor time </w:t>
      </w:r>
      <w:r w:rsidRPr="003E0DE0">
        <w:rPr>
          <w:i w:val="0"/>
          <w:iCs w:val="0"/>
        </w:rPr>
        <w:t>– (Researcher)</w:t>
      </w:r>
    </w:p>
    <w:p w14:paraId="5972AE4F" w14:textId="77777777" w:rsidR="006F159A" w:rsidRPr="006F159A" w:rsidRDefault="006F159A" w:rsidP="003E0DE0">
      <w:pPr>
        <w:pStyle w:val="Quote"/>
      </w:pPr>
      <w:r w:rsidRPr="006F159A">
        <w:t xml:space="preserve">At the moment we have to ask international Partner Investigators to collaborate with no hope of reward for their involvement </w:t>
      </w:r>
      <w:r w:rsidRPr="003E0DE0">
        <w:rPr>
          <w:i w:val="0"/>
          <w:iCs w:val="0"/>
        </w:rPr>
        <w:t>– (Researcher)</w:t>
      </w:r>
    </w:p>
    <w:p w14:paraId="1F95F141" w14:textId="77777777" w:rsidR="006F159A" w:rsidRPr="006F159A" w:rsidRDefault="006F159A" w:rsidP="003E0DE0">
      <w:pPr>
        <w:pStyle w:val="Quote"/>
        <w:spacing w:after="240"/>
        <w:ind w:left="425" w:right="663"/>
      </w:pPr>
      <w:r w:rsidRPr="006F159A">
        <w:t xml:space="preserve">(I)f researchers want to collaborate, the ARC doesn’t want Australian money to leave Australia—so you are collaborating with those who have funding from their own country…everyone’s got some funding in the game but there is no way of formalising that </w:t>
      </w:r>
      <w:r w:rsidRPr="003E0DE0">
        <w:rPr>
          <w:i w:val="0"/>
          <w:iCs w:val="0"/>
        </w:rPr>
        <w:t>– (University Research Office)</w:t>
      </w:r>
    </w:p>
    <w:p w14:paraId="56551B4F" w14:textId="2E4665D2" w:rsidR="006F159A" w:rsidRPr="006F159A" w:rsidRDefault="00EA2948" w:rsidP="006F159A">
      <w:pPr>
        <w:rPr>
          <w:rFonts w:asciiTheme="majorHAnsi" w:eastAsiaTheme="minorEastAsia" w:hAnsiTheme="majorHAnsi" w:cstheme="majorHAnsi"/>
          <w:highlight w:val="green"/>
          <w:lang w:eastAsia="en-AU"/>
        </w:rPr>
      </w:pPr>
      <w:r w:rsidRPr="0034178F">
        <w:rPr>
          <w:rFonts w:asciiTheme="majorHAnsi" w:eastAsiaTheme="minorEastAsia" w:hAnsiTheme="majorHAnsi" w:cstheme="majorHAnsi"/>
          <w:lang w:eastAsia="en-AU"/>
        </w:rPr>
        <w:t>Consistent with the practices of</w:t>
      </w:r>
      <w:r w:rsidRPr="00B838DF">
        <w:rPr>
          <w:rFonts w:asciiTheme="majorHAnsi" w:eastAsiaTheme="minorEastAsia" w:hAnsiTheme="majorHAnsi" w:cstheme="majorHAnsi"/>
          <w:lang w:eastAsia="en-AU"/>
        </w:rPr>
        <w:t xml:space="preserve"> </w:t>
      </w:r>
      <w:r w:rsidR="00136AD3" w:rsidRPr="007057E6">
        <w:rPr>
          <w:rFonts w:asciiTheme="majorHAnsi" w:eastAsiaTheme="minorEastAsia" w:hAnsiTheme="majorHAnsi" w:cstheme="majorHAnsi"/>
          <w:lang w:eastAsia="en-AU"/>
        </w:rPr>
        <w:t>comparable</w:t>
      </w:r>
      <w:r w:rsidRPr="0034178F">
        <w:rPr>
          <w:rFonts w:asciiTheme="majorHAnsi" w:eastAsiaTheme="minorEastAsia" w:hAnsiTheme="majorHAnsi" w:cstheme="majorHAnsi"/>
          <w:lang w:eastAsia="en-AU"/>
        </w:rPr>
        <w:t xml:space="preserve"> </w:t>
      </w:r>
      <w:r w:rsidRPr="00B838DF">
        <w:rPr>
          <w:rFonts w:asciiTheme="majorHAnsi" w:eastAsiaTheme="minorEastAsia" w:hAnsiTheme="majorHAnsi" w:cstheme="majorHAnsi"/>
          <w:lang w:eastAsia="en-AU"/>
        </w:rPr>
        <w:t>research funding agencies</w:t>
      </w:r>
      <w:r w:rsidRPr="0018541A">
        <w:rPr>
          <w:rFonts w:asciiTheme="majorHAnsi" w:eastAsiaTheme="minorEastAsia" w:hAnsiTheme="majorHAnsi" w:cstheme="majorHAnsi"/>
          <w:lang w:eastAsia="en-AU"/>
        </w:rPr>
        <w:t xml:space="preserve"> internationally</w:t>
      </w:r>
      <w:r w:rsidRPr="00651152">
        <w:rPr>
          <w:rFonts w:asciiTheme="majorHAnsi" w:eastAsiaTheme="minorEastAsia" w:hAnsiTheme="majorHAnsi" w:cstheme="majorHAnsi"/>
          <w:lang w:eastAsia="en-AU"/>
        </w:rPr>
        <w:t>,</w:t>
      </w:r>
      <w:r w:rsidR="006F159A" w:rsidRPr="006D0A03">
        <w:rPr>
          <w:rFonts w:asciiTheme="majorHAnsi" w:eastAsiaTheme="minorEastAsia" w:hAnsiTheme="majorHAnsi" w:cstheme="majorHAnsi"/>
          <w:lang w:eastAsia="en-AU"/>
        </w:rPr>
        <w:t xml:space="preserve"> </w:t>
      </w:r>
      <w:r w:rsidRPr="00137FB3">
        <w:rPr>
          <w:rFonts w:asciiTheme="majorHAnsi" w:eastAsiaTheme="minorEastAsia" w:hAnsiTheme="majorHAnsi" w:cstheme="majorHAnsi"/>
          <w:lang w:eastAsia="en-AU"/>
        </w:rPr>
        <w:t>the</w:t>
      </w:r>
      <w:r w:rsidR="006F159A" w:rsidRPr="006F159A">
        <w:rPr>
          <w:rFonts w:asciiTheme="majorHAnsi" w:eastAsiaTheme="minorEastAsia" w:hAnsiTheme="majorHAnsi" w:cstheme="majorHAnsi"/>
          <w:lang w:eastAsia="en-AU"/>
        </w:rPr>
        <w:t xml:space="preserve"> ARC only directly allocates funding to Australian Eligible Organisations, as specified within NCGP Grant Guidelines. </w:t>
      </w:r>
      <w:r w:rsidR="00683607">
        <w:rPr>
          <w:rFonts w:asciiTheme="majorHAnsi" w:eastAsiaTheme="minorEastAsia" w:hAnsiTheme="majorHAnsi" w:cstheme="majorHAnsi"/>
          <w:lang w:eastAsia="en-AU"/>
        </w:rPr>
        <w:t>U</w:t>
      </w:r>
      <w:r w:rsidR="00683607" w:rsidRPr="006F159A">
        <w:rPr>
          <w:rFonts w:asciiTheme="majorHAnsi" w:eastAsiaTheme="minorEastAsia" w:hAnsiTheme="majorHAnsi" w:cstheme="majorHAnsi"/>
          <w:lang w:eastAsia="en-AU"/>
        </w:rPr>
        <w:t>nder the Discovery Projects scheme</w:t>
      </w:r>
      <w:r w:rsidR="00683607">
        <w:rPr>
          <w:rFonts w:asciiTheme="majorHAnsi" w:eastAsiaTheme="minorEastAsia" w:hAnsiTheme="majorHAnsi" w:cstheme="majorHAnsi"/>
          <w:lang w:eastAsia="en-AU"/>
        </w:rPr>
        <w:t>, o</w:t>
      </w:r>
      <w:r w:rsidR="006F159A" w:rsidRPr="006F159A">
        <w:rPr>
          <w:rFonts w:asciiTheme="majorHAnsi" w:eastAsiaTheme="minorEastAsia" w:hAnsiTheme="majorHAnsi" w:cstheme="majorHAnsi"/>
          <w:lang w:eastAsia="en-AU"/>
        </w:rPr>
        <w:t>pportunities exist for Australian researchers to seek funding to travel overseas to meet international collaborators, or to bring overseas collaborators to Australia.</w:t>
      </w:r>
    </w:p>
    <w:p w14:paraId="1A059798" w14:textId="15335D03" w:rsidR="006F159A" w:rsidRPr="006F159A" w:rsidRDefault="00B60004" w:rsidP="006F159A">
      <w:pPr>
        <w:rPr>
          <w:rFonts w:asciiTheme="majorHAnsi" w:eastAsiaTheme="minorEastAsia" w:hAnsiTheme="majorHAnsi" w:cstheme="majorHAnsi"/>
          <w:lang w:eastAsia="en-AU"/>
        </w:rPr>
      </w:pPr>
      <w:r>
        <w:rPr>
          <w:rFonts w:asciiTheme="majorHAnsi" w:eastAsiaTheme="minorEastAsia" w:hAnsiTheme="majorHAnsi" w:cstheme="majorHAnsi"/>
          <w:lang w:eastAsia="en-AU"/>
        </w:rPr>
        <w:lastRenderedPageBreak/>
        <w:t xml:space="preserve">Overall, </w:t>
      </w:r>
      <w:r w:rsidR="006F159A" w:rsidRPr="006F159A">
        <w:rPr>
          <w:rFonts w:asciiTheme="majorHAnsi" w:eastAsiaTheme="minorEastAsia" w:hAnsiTheme="majorHAnsi" w:cstheme="majorHAnsi"/>
          <w:lang w:eastAsia="en-AU"/>
        </w:rPr>
        <w:t xml:space="preserve">Discovery Projects appears to effectively support </w:t>
      </w:r>
      <w:r w:rsidR="00C74119">
        <w:rPr>
          <w:rFonts w:asciiTheme="majorHAnsi" w:eastAsiaTheme="minorEastAsia" w:hAnsiTheme="majorHAnsi" w:cstheme="majorHAnsi"/>
          <w:lang w:eastAsia="en-AU"/>
        </w:rPr>
        <w:t xml:space="preserve">research </w:t>
      </w:r>
      <w:r w:rsidR="006F159A" w:rsidRPr="006F159A">
        <w:rPr>
          <w:rFonts w:asciiTheme="majorHAnsi" w:eastAsiaTheme="minorEastAsia" w:hAnsiTheme="majorHAnsi" w:cstheme="majorHAnsi"/>
          <w:lang w:eastAsia="en-AU"/>
        </w:rPr>
        <w:t>collaboration</w:t>
      </w:r>
      <w:r>
        <w:rPr>
          <w:rFonts w:asciiTheme="majorHAnsi" w:eastAsiaTheme="minorEastAsia" w:hAnsiTheme="majorHAnsi" w:cstheme="majorHAnsi"/>
          <w:lang w:eastAsia="en-AU"/>
        </w:rPr>
        <w:t>. A</w:t>
      </w:r>
      <w:r w:rsidR="006F159A" w:rsidRPr="006F159A">
        <w:rPr>
          <w:rFonts w:asciiTheme="majorHAnsi" w:eastAsiaTheme="minorEastAsia" w:hAnsiTheme="majorHAnsi" w:cstheme="majorHAnsi"/>
          <w:lang w:eastAsia="en-AU"/>
        </w:rPr>
        <w:t>ddressing barriers identified within this section may further enhance the scale and depth of national and international engagement facilitated by the scheme. It would be beneficial for outreach and engagement activities to further highlight opportunities provided by the scheme to support collaboration between researchers from Australian universities, without undermining the intent behind eligibility limits on the number of Chief Investigator roles that may simultaneously be held. The</w:t>
      </w:r>
      <w:r w:rsidR="00FA01EE">
        <w:rPr>
          <w:rFonts w:asciiTheme="majorHAnsi" w:eastAsiaTheme="minorEastAsia" w:hAnsiTheme="majorHAnsi" w:cstheme="majorHAnsi"/>
          <w:lang w:eastAsia="en-AU"/>
        </w:rPr>
        <w:t>re</w:t>
      </w:r>
      <w:r w:rsidR="006F159A" w:rsidRPr="006F159A">
        <w:rPr>
          <w:rFonts w:asciiTheme="majorHAnsi" w:eastAsiaTheme="minorEastAsia" w:hAnsiTheme="majorHAnsi" w:cstheme="majorHAnsi"/>
          <w:lang w:eastAsia="en-AU"/>
        </w:rPr>
        <w:t xml:space="preserve"> </w:t>
      </w:r>
      <w:r w:rsidR="00FA01EE">
        <w:rPr>
          <w:rFonts w:asciiTheme="majorHAnsi" w:eastAsiaTheme="minorEastAsia" w:hAnsiTheme="majorHAnsi" w:cstheme="majorHAnsi"/>
          <w:lang w:eastAsia="en-AU"/>
        </w:rPr>
        <w:t>may also be</w:t>
      </w:r>
      <w:r w:rsidR="006F159A" w:rsidRPr="006F159A">
        <w:rPr>
          <w:rFonts w:asciiTheme="majorHAnsi" w:eastAsiaTheme="minorEastAsia" w:hAnsiTheme="majorHAnsi" w:cstheme="majorHAnsi"/>
          <w:lang w:eastAsia="en-AU"/>
        </w:rPr>
        <w:t xml:space="preserve"> opportunities to reduce the administrative burden confronted by international Partner Investigators</w:t>
      </w:r>
      <w:r w:rsidR="00187632">
        <w:rPr>
          <w:rFonts w:asciiTheme="majorHAnsi" w:eastAsiaTheme="minorEastAsia" w:hAnsiTheme="majorHAnsi" w:cstheme="majorHAnsi"/>
          <w:lang w:eastAsia="en-AU"/>
        </w:rPr>
        <w:t xml:space="preserve"> by reducing the ROPE component of Discovery Projects application forms for this group</w:t>
      </w:r>
      <w:r w:rsidR="00C93980">
        <w:rPr>
          <w:rFonts w:asciiTheme="majorHAnsi" w:eastAsiaTheme="minorEastAsia" w:hAnsiTheme="majorHAnsi" w:cstheme="majorHAnsi"/>
          <w:lang w:eastAsia="en-AU"/>
        </w:rPr>
        <w:t xml:space="preserve"> </w:t>
      </w:r>
      <w:r w:rsidR="00FD3531">
        <w:rPr>
          <w:rFonts w:asciiTheme="majorHAnsi" w:eastAsiaTheme="minorEastAsia" w:hAnsiTheme="majorHAnsi" w:cstheme="majorHAnsi"/>
          <w:lang w:eastAsia="en-AU"/>
        </w:rPr>
        <w:t>to a two page</w:t>
      </w:r>
      <w:r w:rsidR="00951495">
        <w:rPr>
          <w:rFonts w:asciiTheme="majorHAnsi" w:eastAsiaTheme="minorEastAsia" w:hAnsiTheme="majorHAnsi" w:cstheme="majorHAnsi"/>
          <w:lang w:eastAsia="en-AU"/>
        </w:rPr>
        <w:t xml:space="preserve"> Curriculum Vitae</w:t>
      </w:r>
      <w:r w:rsidR="0069765D">
        <w:rPr>
          <w:rFonts w:asciiTheme="majorHAnsi" w:eastAsiaTheme="minorEastAsia" w:hAnsiTheme="majorHAnsi" w:cstheme="majorHAnsi"/>
          <w:lang w:eastAsia="en-AU"/>
        </w:rPr>
        <w:t xml:space="preserve"> with specific content requirements</w:t>
      </w:r>
      <w:r w:rsidR="006F159A" w:rsidRPr="006F159A">
        <w:rPr>
          <w:rFonts w:asciiTheme="majorHAnsi" w:eastAsiaTheme="minorEastAsia" w:hAnsiTheme="majorHAnsi" w:cstheme="majorHAnsi"/>
          <w:lang w:eastAsia="en-AU"/>
        </w:rPr>
        <w:t xml:space="preserve">. </w:t>
      </w:r>
    </w:p>
    <w:p w14:paraId="6395594A" w14:textId="5FB23345" w:rsidR="006F159A" w:rsidRPr="006F159A" w:rsidRDefault="006F159A" w:rsidP="0068635B">
      <w:pPr>
        <w:pStyle w:val="Heading2"/>
      </w:pPr>
      <w:bookmarkStart w:id="506" w:name="_Enhancing_the_scale"/>
      <w:bookmarkStart w:id="507" w:name="_Toc51918728"/>
      <w:bookmarkStart w:id="508" w:name="_Toc55544815"/>
      <w:bookmarkEnd w:id="506"/>
      <w:r w:rsidRPr="006F159A">
        <w:t>Enhancing the scale and focus of research in Australian Government priority areas</w:t>
      </w:r>
      <w:bookmarkEnd w:id="507"/>
      <w:bookmarkEnd w:id="508"/>
    </w:p>
    <w:p w14:paraId="738F5920" w14:textId="6361637B"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Discovery Projects scheme objectives specified an intent to enhance the scale and focus of research relating to the National Research Priorities from DP04 to DP14; the Strategic Research Priorities from DP15 to DP16; and the National Science and Research Priorities from DP18 to DP20. The specific priorities associated with each of these periods are summarised in </w:t>
      </w:r>
      <w:r w:rsidRPr="006F159A">
        <w:rPr>
          <w:rFonts w:asciiTheme="majorHAnsi" w:hAnsiTheme="majorHAnsi" w:cstheme="majorHAnsi"/>
        </w:rPr>
        <w:fldChar w:fldCharType="begin"/>
      </w:r>
      <w:r w:rsidRPr="006F159A">
        <w:rPr>
          <w:rFonts w:asciiTheme="majorHAnsi" w:hAnsiTheme="majorHAnsi" w:cstheme="majorHAnsi"/>
        </w:rPr>
        <w:instrText xml:space="preserve"> REF _Ref40076110 \h  \* MERGEFORMAT </w:instrText>
      </w:r>
      <w:r w:rsidRPr="006F159A">
        <w:rPr>
          <w:rFonts w:asciiTheme="majorHAnsi" w:hAnsiTheme="majorHAnsi" w:cstheme="majorHAnsi"/>
        </w:rPr>
      </w:r>
      <w:r w:rsidRPr="006F159A">
        <w:rPr>
          <w:rFonts w:asciiTheme="majorHAnsi" w:hAnsiTheme="majorHAnsi" w:cstheme="majorHAnsi"/>
        </w:rPr>
        <w:fldChar w:fldCharType="separate"/>
      </w:r>
      <w:r w:rsidR="00AB03D7" w:rsidRPr="00AB03D7">
        <w:rPr>
          <w:rFonts w:asciiTheme="majorHAnsi" w:hAnsiTheme="majorHAnsi" w:cstheme="majorHAnsi"/>
          <w:color w:val="000000" w:themeColor="text1"/>
        </w:rPr>
        <w:t>Table 2</w:t>
      </w:r>
      <w:r w:rsidRPr="006F159A">
        <w:rPr>
          <w:rFonts w:asciiTheme="majorHAnsi" w:hAnsiTheme="majorHAnsi" w:cstheme="majorHAnsi"/>
        </w:rPr>
        <w:fldChar w:fldCharType="end"/>
      </w:r>
      <w:r w:rsidRPr="006F159A">
        <w:rPr>
          <w:rFonts w:asciiTheme="majorHAnsi" w:hAnsiTheme="majorHAnsi" w:cstheme="majorHAnsi"/>
        </w:rPr>
        <w:t>. Discovery Projects does not include dedicated funding streams or targets for priority-related research, and addressing a priority has never been an eligibility requirement. This reflects the principles underlying the formation of the scheme, and the NCGP as a whole, which prioritise the allocation of funding to investigator-led research on the basis of peer-reviewed excellence.</w:t>
      </w:r>
      <w:r w:rsidRPr="006F159A">
        <w:rPr>
          <w:rFonts w:asciiTheme="majorHAnsi" w:hAnsiTheme="majorHAnsi" w:cstheme="majorHAnsi"/>
          <w:vertAlign w:val="superscript"/>
        </w:rPr>
        <w:footnoteReference w:id="57"/>
      </w:r>
    </w:p>
    <w:p w14:paraId="5D5B1A62" w14:textId="3019C537" w:rsidR="006F159A" w:rsidRPr="006F159A" w:rsidRDefault="006F159A" w:rsidP="00672942">
      <w:pPr>
        <w:pStyle w:val="TableTitle"/>
      </w:pPr>
      <w:bookmarkStart w:id="509" w:name="_Ref40076110"/>
      <w:r w:rsidRPr="006F159A">
        <w:t xml:space="preserve">Table </w:t>
      </w:r>
      <w:r w:rsidR="00857467">
        <w:fldChar w:fldCharType="begin"/>
      </w:r>
      <w:r w:rsidR="00857467">
        <w:instrText xml:space="preserve"> SEQ Table \* ARABIC </w:instrText>
      </w:r>
      <w:r w:rsidR="00857467">
        <w:fldChar w:fldCharType="separate"/>
      </w:r>
      <w:r w:rsidR="00AB03D7">
        <w:rPr>
          <w:noProof/>
        </w:rPr>
        <w:t>2</w:t>
      </w:r>
      <w:r w:rsidR="00857467">
        <w:rPr>
          <w:noProof/>
        </w:rPr>
        <w:fldChar w:fldCharType="end"/>
      </w:r>
      <w:bookmarkEnd w:id="509"/>
      <w:r w:rsidRPr="006F159A">
        <w:t>: Discovery Projects research priorities, DP04–DP20</w:t>
      </w:r>
    </w:p>
    <w:tbl>
      <w:tblPr>
        <w:tblStyle w:val="TableGrid1"/>
        <w:tblW w:w="8903" w:type="dxa"/>
        <w:tblLook w:val="04A0" w:firstRow="1" w:lastRow="0" w:firstColumn="1" w:lastColumn="0" w:noHBand="0" w:noVBand="1"/>
        <w:tblCaption w:val="Table 2: Discovery Projects research priorities, DP04–DP20"/>
        <w:tblDescription w:val="Table 2 lists the specific priority areas associated with the National Research Priorities, the Strategic Research Priorities and the National Science and Research Priorities. See text above table for more information.&#10;"/>
      </w:tblPr>
      <w:tblGrid>
        <w:gridCol w:w="3530"/>
        <w:gridCol w:w="5373"/>
      </w:tblGrid>
      <w:tr w:rsidR="006F159A" w:rsidRPr="006F159A" w14:paraId="2BF9F832" w14:textId="77777777" w:rsidTr="00907139">
        <w:trPr>
          <w:trHeight w:val="382"/>
        </w:trPr>
        <w:tc>
          <w:tcPr>
            <w:tcW w:w="3530" w:type="dxa"/>
            <w:shd w:val="clear" w:color="auto" w:fill="DEEAF6" w:themeFill="accent1" w:themeFillTint="33"/>
          </w:tcPr>
          <w:p w14:paraId="0B1001E3" w14:textId="77777777" w:rsidR="006F159A" w:rsidRPr="006F159A" w:rsidRDefault="006F159A" w:rsidP="006F159A">
            <w:pPr>
              <w:keepNext/>
              <w:spacing w:after="200"/>
              <w:rPr>
                <w:rFonts w:asciiTheme="majorHAnsi" w:hAnsiTheme="majorHAnsi" w:cstheme="majorHAnsi"/>
                <w:b/>
                <w:iCs/>
                <w:color w:val="000000" w:themeColor="text1"/>
                <w:sz w:val="18"/>
                <w:szCs w:val="18"/>
              </w:rPr>
            </w:pPr>
            <w:r w:rsidRPr="006F159A">
              <w:rPr>
                <w:rFonts w:asciiTheme="majorHAnsi" w:hAnsiTheme="majorHAnsi" w:cstheme="majorHAnsi"/>
                <w:b/>
                <w:iCs/>
                <w:color w:val="000000" w:themeColor="text1"/>
                <w:sz w:val="18"/>
                <w:szCs w:val="18"/>
              </w:rPr>
              <w:t>Title and timing of priorities</w:t>
            </w:r>
          </w:p>
        </w:tc>
        <w:tc>
          <w:tcPr>
            <w:tcW w:w="5373" w:type="dxa"/>
            <w:shd w:val="clear" w:color="auto" w:fill="DEEAF6" w:themeFill="accent1" w:themeFillTint="33"/>
          </w:tcPr>
          <w:p w14:paraId="0025249B" w14:textId="77777777" w:rsidR="006F159A" w:rsidRPr="006F159A" w:rsidRDefault="006F159A" w:rsidP="006F159A">
            <w:pPr>
              <w:keepNext/>
              <w:spacing w:after="200"/>
              <w:rPr>
                <w:rFonts w:asciiTheme="majorHAnsi" w:hAnsiTheme="majorHAnsi" w:cstheme="majorHAnsi"/>
                <w:b/>
                <w:iCs/>
                <w:color w:val="000000" w:themeColor="text1"/>
                <w:sz w:val="18"/>
                <w:szCs w:val="18"/>
              </w:rPr>
            </w:pPr>
            <w:r w:rsidRPr="006F159A">
              <w:rPr>
                <w:rFonts w:asciiTheme="majorHAnsi" w:hAnsiTheme="majorHAnsi" w:cstheme="majorHAnsi"/>
                <w:b/>
                <w:iCs/>
                <w:color w:val="000000" w:themeColor="text1"/>
                <w:sz w:val="18"/>
                <w:szCs w:val="18"/>
              </w:rPr>
              <w:t>Priority areas</w:t>
            </w:r>
          </w:p>
        </w:tc>
      </w:tr>
      <w:tr w:rsidR="006F159A" w:rsidRPr="006F159A" w14:paraId="7660D183" w14:textId="77777777" w:rsidTr="00907139">
        <w:trPr>
          <w:trHeight w:val="975"/>
        </w:trPr>
        <w:tc>
          <w:tcPr>
            <w:tcW w:w="3530" w:type="dxa"/>
          </w:tcPr>
          <w:p w14:paraId="2FB35E3F" w14:textId="77777777" w:rsidR="006F159A" w:rsidRPr="006F159A" w:rsidRDefault="006F159A" w:rsidP="006F159A">
            <w:pPr>
              <w:keepNext/>
              <w:spacing w:after="20"/>
              <w:rPr>
                <w:rFonts w:asciiTheme="majorHAnsi" w:hAnsiTheme="majorHAnsi" w:cstheme="majorHAnsi"/>
                <w:b/>
                <w:iCs/>
                <w:color w:val="000000" w:themeColor="text1"/>
                <w:sz w:val="18"/>
                <w:szCs w:val="18"/>
              </w:rPr>
            </w:pPr>
            <w:r w:rsidRPr="006F159A">
              <w:rPr>
                <w:rFonts w:asciiTheme="majorHAnsi" w:hAnsiTheme="majorHAnsi" w:cstheme="majorHAnsi"/>
                <w:b/>
                <w:iCs/>
                <w:color w:val="000000" w:themeColor="text1"/>
                <w:sz w:val="18"/>
                <w:szCs w:val="18"/>
              </w:rPr>
              <w:t xml:space="preserve">National Research Priorities </w:t>
            </w:r>
          </w:p>
          <w:p w14:paraId="0F337513" w14:textId="77777777" w:rsidR="006F159A" w:rsidRPr="006F159A" w:rsidRDefault="006F159A" w:rsidP="006F159A">
            <w:pPr>
              <w:keepNext/>
              <w:spacing w:after="20"/>
              <w:rPr>
                <w:rFonts w:asciiTheme="majorHAnsi" w:hAnsiTheme="majorHAnsi" w:cstheme="majorHAnsi"/>
                <w:b/>
                <w:iCs/>
                <w:color w:val="000000" w:themeColor="text1"/>
                <w:sz w:val="18"/>
                <w:szCs w:val="18"/>
              </w:rPr>
            </w:pPr>
            <w:r w:rsidRPr="006F159A">
              <w:rPr>
                <w:rFonts w:asciiTheme="majorHAnsi" w:hAnsiTheme="majorHAnsi" w:cstheme="majorHAnsi"/>
                <w:b/>
                <w:iCs/>
                <w:color w:val="000000" w:themeColor="text1"/>
                <w:sz w:val="18"/>
                <w:szCs w:val="18"/>
              </w:rPr>
              <w:t>(DP04–DP14)</w:t>
            </w:r>
          </w:p>
        </w:tc>
        <w:tc>
          <w:tcPr>
            <w:tcW w:w="5373" w:type="dxa"/>
          </w:tcPr>
          <w:p w14:paraId="441F19BE"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An environmentally sustainable Australia </w:t>
            </w:r>
          </w:p>
          <w:p w14:paraId="782B5E91"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Promoting and maintaining good health</w:t>
            </w:r>
          </w:p>
          <w:p w14:paraId="32D7EAFF"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Frontier technologies for building and transforming Australian industries</w:t>
            </w:r>
          </w:p>
          <w:p w14:paraId="205EF81A" w14:textId="77777777" w:rsidR="006F159A" w:rsidRPr="006F159A" w:rsidRDefault="006F159A" w:rsidP="006F159A">
            <w:pPr>
              <w:keepNext/>
              <w:spacing w:after="20"/>
              <w:rPr>
                <w:rFonts w:asciiTheme="majorHAnsi" w:hAnsiTheme="majorHAnsi" w:cstheme="majorHAnsi"/>
                <w:b/>
                <w:iCs/>
                <w:color w:val="000000" w:themeColor="text1"/>
                <w:sz w:val="18"/>
                <w:szCs w:val="18"/>
              </w:rPr>
            </w:pPr>
            <w:r w:rsidRPr="006F159A">
              <w:rPr>
                <w:rFonts w:asciiTheme="majorHAnsi" w:hAnsiTheme="majorHAnsi" w:cstheme="majorHAnsi"/>
                <w:iCs/>
                <w:color w:val="000000" w:themeColor="text1"/>
                <w:sz w:val="18"/>
                <w:szCs w:val="18"/>
              </w:rPr>
              <w:t>Safeguarding Australia</w:t>
            </w:r>
          </w:p>
        </w:tc>
      </w:tr>
      <w:tr w:rsidR="006F159A" w:rsidRPr="006F159A" w14:paraId="3582A60A" w14:textId="77777777" w:rsidTr="00907139">
        <w:trPr>
          <w:trHeight w:val="1242"/>
        </w:trPr>
        <w:tc>
          <w:tcPr>
            <w:tcW w:w="3530" w:type="dxa"/>
          </w:tcPr>
          <w:p w14:paraId="7B528725" w14:textId="77777777" w:rsidR="006F159A" w:rsidRPr="006F159A" w:rsidRDefault="006F159A" w:rsidP="006F159A">
            <w:pPr>
              <w:keepNext/>
              <w:spacing w:after="20"/>
              <w:rPr>
                <w:rFonts w:asciiTheme="majorHAnsi" w:hAnsiTheme="majorHAnsi" w:cstheme="majorHAnsi"/>
                <w:b/>
                <w:iCs/>
                <w:color w:val="000000" w:themeColor="text1"/>
                <w:sz w:val="18"/>
                <w:szCs w:val="18"/>
              </w:rPr>
            </w:pPr>
            <w:r w:rsidRPr="006F159A">
              <w:rPr>
                <w:rFonts w:asciiTheme="majorHAnsi" w:hAnsiTheme="majorHAnsi" w:cstheme="majorHAnsi"/>
                <w:b/>
                <w:iCs/>
                <w:color w:val="000000" w:themeColor="text1"/>
                <w:sz w:val="18"/>
                <w:szCs w:val="18"/>
              </w:rPr>
              <w:t xml:space="preserve">Strategic Research Priorities </w:t>
            </w:r>
          </w:p>
          <w:p w14:paraId="2817A0B0" w14:textId="77777777" w:rsidR="006F159A" w:rsidRPr="006F159A" w:rsidRDefault="006F159A" w:rsidP="006F159A">
            <w:pPr>
              <w:keepNext/>
              <w:spacing w:after="20"/>
              <w:rPr>
                <w:rFonts w:asciiTheme="majorHAnsi" w:hAnsiTheme="majorHAnsi" w:cstheme="majorHAnsi"/>
                <w:b/>
                <w:iCs/>
                <w:color w:val="000000" w:themeColor="text1"/>
                <w:sz w:val="18"/>
                <w:szCs w:val="18"/>
              </w:rPr>
            </w:pPr>
            <w:r w:rsidRPr="006F159A">
              <w:rPr>
                <w:rFonts w:asciiTheme="majorHAnsi" w:hAnsiTheme="majorHAnsi" w:cstheme="majorHAnsi"/>
                <w:b/>
                <w:iCs/>
                <w:color w:val="000000" w:themeColor="text1"/>
                <w:sz w:val="18"/>
                <w:szCs w:val="18"/>
              </w:rPr>
              <w:t>(DP15–DP16)</w:t>
            </w:r>
          </w:p>
        </w:tc>
        <w:tc>
          <w:tcPr>
            <w:tcW w:w="5373" w:type="dxa"/>
          </w:tcPr>
          <w:p w14:paraId="2D7C385C"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Living with a changing environment </w:t>
            </w:r>
          </w:p>
          <w:p w14:paraId="118AF2A6"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Promoting population health and wellbeing </w:t>
            </w:r>
          </w:p>
          <w:p w14:paraId="1A8B79E3"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Managing our food and water assets </w:t>
            </w:r>
          </w:p>
          <w:p w14:paraId="73CFBA0D"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Securing Australia’s place in a changing world </w:t>
            </w:r>
          </w:p>
          <w:p w14:paraId="03217498"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Lifting productivity and economic growth</w:t>
            </w:r>
          </w:p>
        </w:tc>
      </w:tr>
      <w:tr w:rsidR="006F159A" w:rsidRPr="006F159A" w14:paraId="1A921F0F" w14:textId="77777777" w:rsidTr="00907139">
        <w:trPr>
          <w:trHeight w:val="1734"/>
        </w:trPr>
        <w:tc>
          <w:tcPr>
            <w:tcW w:w="3530" w:type="dxa"/>
          </w:tcPr>
          <w:p w14:paraId="702897A9" w14:textId="77777777" w:rsidR="006F159A" w:rsidRPr="006F159A" w:rsidRDefault="006F159A" w:rsidP="006F159A">
            <w:pPr>
              <w:keepNext/>
              <w:spacing w:after="20"/>
              <w:rPr>
                <w:rFonts w:asciiTheme="majorHAnsi" w:hAnsiTheme="majorHAnsi" w:cstheme="majorHAnsi"/>
                <w:b/>
                <w:iCs/>
                <w:color w:val="000000" w:themeColor="text1"/>
                <w:sz w:val="18"/>
                <w:szCs w:val="18"/>
              </w:rPr>
            </w:pPr>
            <w:r w:rsidRPr="006F159A">
              <w:rPr>
                <w:rFonts w:asciiTheme="majorHAnsi" w:hAnsiTheme="majorHAnsi" w:cstheme="majorHAnsi"/>
                <w:b/>
                <w:iCs/>
                <w:color w:val="000000" w:themeColor="text1"/>
                <w:sz w:val="18"/>
                <w:szCs w:val="18"/>
              </w:rPr>
              <w:t xml:space="preserve">National Science and Research Priorities </w:t>
            </w:r>
          </w:p>
          <w:p w14:paraId="604F30EB" w14:textId="77777777" w:rsidR="006F159A" w:rsidRPr="006F159A" w:rsidRDefault="006F159A" w:rsidP="006F159A">
            <w:pPr>
              <w:keepNext/>
              <w:spacing w:after="20"/>
              <w:rPr>
                <w:rFonts w:asciiTheme="majorHAnsi" w:hAnsiTheme="majorHAnsi" w:cstheme="majorHAnsi"/>
                <w:b/>
                <w:iCs/>
                <w:color w:val="000000" w:themeColor="text1"/>
                <w:sz w:val="18"/>
                <w:szCs w:val="18"/>
              </w:rPr>
            </w:pPr>
            <w:r w:rsidRPr="006F159A">
              <w:rPr>
                <w:rFonts w:asciiTheme="majorHAnsi" w:hAnsiTheme="majorHAnsi" w:cstheme="majorHAnsi"/>
                <w:b/>
                <w:iCs/>
                <w:color w:val="000000" w:themeColor="text1"/>
                <w:sz w:val="18"/>
                <w:szCs w:val="18"/>
              </w:rPr>
              <w:t>(DP17–DP20)</w:t>
            </w:r>
          </w:p>
        </w:tc>
        <w:tc>
          <w:tcPr>
            <w:tcW w:w="5373" w:type="dxa"/>
          </w:tcPr>
          <w:p w14:paraId="59149165"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Food</w:t>
            </w:r>
          </w:p>
          <w:p w14:paraId="051AAA5C"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Soil and water </w:t>
            </w:r>
          </w:p>
          <w:p w14:paraId="6B0636A7"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Transport</w:t>
            </w:r>
          </w:p>
          <w:p w14:paraId="686B9D73"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Cybersecurity </w:t>
            </w:r>
          </w:p>
          <w:p w14:paraId="03843D7E"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Energy </w:t>
            </w:r>
          </w:p>
          <w:p w14:paraId="0337AFCB"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Resources </w:t>
            </w:r>
          </w:p>
          <w:p w14:paraId="0A5FA7E3"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Advanced manufacturing </w:t>
            </w:r>
          </w:p>
          <w:p w14:paraId="12B8583B"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 xml:space="preserve">Environmental change </w:t>
            </w:r>
          </w:p>
          <w:p w14:paraId="451D92B6" w14:textId="77777777" w:rsidR="006F159A" w:rsidRPr="006F159A" w:rsidRDefault="006F159A" w:rsidP="006F159A">
            <w:pPr>
              <w:keepNext/>
              <w:spacing w:after="20"/>
              <w:rPr>
                <w:rFonts w:asciiTheme="majorHAnsi" w:hAnsiTheme="majorHAnsi" w:cstheme="majorHAnsi"/>
                <w:iCs/>
                <w:color w:val="000000" w:themeColor="text1"/>
                <w:sz w:val="18"/>
                <w:szCs w:val="18"/>
              </w:rPr>
            </w:pPr>
            <w:r w:rsidRPr="006F159A">
              <w:rPr>
                <w:rFonts w:asciiTheme="majorHAnsi" w:hAnsiTheme="majorHAnsi" w:cstheme="majorHAnsi"/>
                <w:iCs/>
                <w:color w:val="000000" w:themeColor="text1"/>
                <w:sz w:val="18"/>
                <w:szCs w:val="18"/>
              </w:rPr>
              <w:t>Health</w:t>
            </w:r>
          </w:p>
        </w:tc>
      </w:tr>
    </w:tbl>
    <w:p w14:paraId="72BE3074" w14:textId="77777777" w:rsidR="006F159A" w:rsidRPr="006F159A" w:rsidRDefault="006F159A" w:rsidP="006F159A">
      <w:pPr>
        <w:rPr>
          <w:rFonts w:asciiTheme="majorHAnsi" w:hAnsiTheme="majorHAnsi" w:cstheme="majorHAnsi"/>
        </w:rPr>
      </w:pPr>
    </w:p>
    <w:p w14:paraId="0555C037" w14:textId="59368091" w:rsidR="006F159A" w:rsidRPr="006F159A" w:rsidRDefault="006F159A" w:rsidP="006F159A">
      <w:pPr>
        <w:rPr>
          <w:rFonts w:asciiTheme="majorHAnsi" w:hAnsiTheme="majorHAnsi" w:cstheme="majorHAnsi"/>
        </w:rPr>
      </w:pPr>
      <w:r w:rsidRPr="006F159A">
        <w:rPr>
          <w:rFonts w:asciiTheme="majorHAnsi" w:hAnsiTheme="majorHAnsi" w:cstheme="majorHAnsi"/>
        </w:rPr>
        <w:t>In DP21, this scheme objective was reframed to reference ‘Australian Government priority areas’ more broadly. This change was introduced to acknowledge the breadth and diversity of research priorities identified by the Australian Government.</w:t>
      </w:r>
      <w:r w:rsidRPr="006F159A">
        <w:rPr>
          <w:rFonts w:asciiTheme="majorHAnsi" w:hAnsiTheme="majorHAnsi" w:cstheme="majorHAnsi"/>
          <w:vertAlign w:val="superscript"/>
        </w:rPr>
        <w:footnoteReference w:id="58"/>
      </w:r>
      <w:r w:rsidRPr="006F159A">
        <w:rPr>
          <w:rFonts w:asciiTheme="majorHAnsi" w:hAnsiTheme="majorHAnsi" w:cstheme="majorHAnsi"/>
        </w:rPr>
        <w:t xml:space="preserve"> However, at present, the National Science and </w:t>
      </w:r>
      <w:r w:rsidRPr="006F159A">
        <w:rPr>
          <w:rFonts w:asciiTheme="majorHAnsi" w:hAnsiTheme="majorHAnsi" w:cstheme="majorHAnsi"/>
        </w:rPr>
        <w:lastRenderedPageBreak/>
        <w:t xml:space="preserve">Research Priorities are the only priorities directly referenced within Discovery Projects </w:t>
      </w:r>
      <w:r w:rsidR="00810942">
        <w:rPr>
          <w:rFonts w:asciiTheme="majorHAnsi" w:hAnsiTheme="majorHAnsi" w:cstheme="majorHAnsi"/>
        </w:rPr>
        <w:t>assessment crit</w:t>
      </w:r>
      <w:r w:rsidRPr="006F159A">
        <w:rPr>
          <w:rFonts w:asciiTheme="majorHAnsi" w:hAnsiTheme="majorHAnsi" w:cstheme="majorHAnsi"/>
        </w:rPr>
        <w:t xml:space="preserve">eria. </w:t>
      </w:r>
    </w:p>
    <w:p w14:paraId="45BBAB03" w14:textId="6B9674E5"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DP21 application forms request an indication of whether proposed research falls within one of the National Science and Research Priorities; researchers may elect to not select a priority. Discovery Projects assessors are directed to consider whether the proposed research reflects a ‘potential contribution to capacity in the Australian Government’s National Science and Research Priorities and other priorities identified by Government’. This is currently a component of the ‘Benefit’ category within the scheme’s assessment criteria, which may also be addressed by demonstrating potential for the development of new or advanced knowledge, and/or the delivery of economic, commercial, environmental, social or cultural benefits </w:t>
      </w:r>
      <w:r w:rsidR="00A63979">
        <w:rPr>
          <w:rFonts w:asciiTheme="majorHAnsi" w:hAnsiTheme="majorHAnsi" w:cstheme="majorHAnsi"/>
        </w:rPr>
        <w:t>for</w:t>
      </w:r>
      <w:r w:rsidRPr="006F159A">
        <w:rPr>
          <w:rFonts w:asciiTheme="majorHAnsi" w:hAnsiTheme="majorHAnsi" w:cstheme="majorHAnsi"/>
        </w:rPr>
        <w:t xml:space="preserve"> Australian</w:t>
      </w:r>
      <w:r w:rsidR="00A63979">
        <w:rPr>
          <w:rFonts w:asciiTheme="majorHAnsi" w:hAnsiTheme="majorHAnsi" w:cstheme="majorHAnsi"/>
        </w:rPr>
        <w:t xml:space="preserve"> and </w:t>
      </w:r>
      <w:r w:rsidRPr="006F159A">
        <w:rPr>
          <w:rFonts w:asciiTheme="majorHAnsi" w:hAnsiTheme="majorHAnsi" w:cstheme="majorHAnsi"/>
        </w:rPr>
        <w:t>international communit</w:t>
      </w:r>
      <w:r w:rsidR="00A83DDE">
        <w:rPr>
          <w:rFonts w:asciiTheme="majorHAnsi" w:hAnsiTheme="majorHAnsi" w:cstheme="majorHAnsi"/>
        </w:rPr>
        <w:t>ies</w:t>
      </w:r>
      <w:r w:rsidRPr="006F159A">
        <w:rPr>
          <w:rFonts w:asciiTheme="majorHAnsi" w:hAnsiTheme="majorHAnsi" w:cstheme="majorHAnsi"/>
        </w:rPr>
        <w:t>.</w:t>
      </w:r>
      <w:r w:rsidRPr="006F159A">
        <w:rPr>
          <w:rFonts w:asciiTheme="majorHAnsi" w:hAnsiTheme="majorHAnsi" w:cstheme="majorHAnsi"/>
          <w:vertAlign w:val="superscript"/>
        </w:rPr>
        <w:footnoteReference w:id="59"/>
      </w:r>
      <w:r w:rsidRPr="006F159A">
        <w:rPr>
          <w:rFonts w:asciiTheme="majorHAnsi" w:hAnsiTheme="majorHAnsi" w:cstheme="majorHAnsi"/>
        </w:rPr>
        <w:t xml:space="preserve"> </w:t>
      </w:r>
    </w:p>
    <w:p w14:paraId="4B9C724C" w14:textId="4DED5476" w:rsidR="006F159A" w:rsidRPr="006F159A" w:rsidRDefault="006F159A" w:rsidP="0068635B">
      <w:pPr>
        <w:pStyle w:val="Heading3"/>
      </w:pPr>
      <w:bookmarkStart w:id="510" w:name="_Toc50533617"/>
      <w:bookmarkStart w:id="511" w:name="_Toc50553767"/>
      <w:bookmarkStart w:id="512" w:name="_Toc50555002"/>
      <w:bookmarkStart w:id="513" w:name="_Toc50618136"/>
      <w:bookmarkStart w:id="514" w:name="_Toc50618417"/>
      <w:bookmarkStart w:id="515" w:name="_Toc51917012"/>
      <w:bookmarkStart w:id="516" w:name="_Toc51918852"/>
      <w:bookmarkStart w:id="517" w:name="_Toc53557240"/>
      <w:bookmarkStart w:id="518" w:name="_Toc54699282"/>
      <w:bookmarkStart w:id="519" w:name="_Toc55544816"/>
      <w:r w:rsidRPr="006F159A">
        <w:t>ARC data—Australian Government research priorities</w:t>
      </w:r>
      <w:bookmarkEnd w:id="510"/>
      <w:bookmarkEnd w:id="511"/>
      <w:bookmarkEnd w:id="512"/>
      <w:bookmarkEnd w:id="513"/>
      <w:bookmarkEnd w:id="514"/>
      <w:bookmarkEnd w:id="515"/>
      <w:bookmarkEnd w:id="516"/>
      <w:bookmarkEnd w:id="517"/>
      <w:bookmarkEnd w:id="518"/>
      <w:bookmarkEnd w:id="519"/>
    </w:p>
    <w:p w14:paraId="4BD9B024" w14:textId="732AC931" w:rsidR="006F159A" w:rsidRPr="006F159A" w:rsidRDefault="006F159A" w:rsidP="006F159A">
      <w:r w:rsidRPr="006F159A">
        <w:rPr>
          <w:rFonts w:asciiTheme="majorHAnsi" w:hAnsiTheme="majorHAnsi" w:cstheme="majorHAnsi"/>
        </w:rPr>
        <w:fldChar w:fldCharType="begin"/>
      </w:r>
      <w:r w:rsidRPr="006F159A">
        <w:rPr>
          <w:rFonts w:asciiTheme="majorHAnsi" w:hAnsiTheme="majorHAnsi" w:cstheme="majorHAnsi"/>
        </w:rPr>
        <w:instrText xml:space="preserve"> REF _Ref40076145 \h  \* MERGEFORMAT </w:instrText>
      </w:r>
      <w:r w:rsidRPr="006F159A">
        <w:rPr>
          <w:rFonts w:asciiTheme="majorHAnsi" w:hAnsiTheme="majorHAnsi" w:cstheme="majorHAnsi"/>
        </w:rPr>
      </w:r>
      <w:r w:rsidRPr="006F159A">
        <w:rPr>
          <w:rFonts w:asciiTheme="majorHAnsi" w:hAnsiTheme="majorHAnsi" w:cstheme="majorHAnsi"/>
        </w:rPr>
        <w:fldChar w:fldCharType="separate"/>
      </w:r>
      <w:r w:rsidR="00AB03D7" w:rsidRPr="00AB03D7">
        <w:rPr>
          <w:rFonts w:asciiTheme="majorHAnsi" w:hAnsiTheme="majorHAnsi" w:cstheme="majorHAnsi"/>
          <w:color w:val="000000" w:themeColor="text1"/>
        </w:rPr>
        <w:t>Figure 30</w:t>
      </w:r>
      <w:r w:rsidRPr="006F159A">
        <w:rPr>
          <w:rFonts w:asciiTheme="majorHAnsi" w:hAnsiTheme="majorHAnsi" w:cstheme="majorHAnsi"/>
        </w:rPr>
        <w:fldChar w:fldCharType="end"/>
      </w:r>
      <w:r w:rsidRPr="006F159A">
        <w:rPr>
          <w:rFonts w:asciiTheme="majorHAnsi" w:hAnsiTheme="majorHAnsi" w:cstheme="majorHAnsi"/>
        </w:rPr>
        <w:t xml:space="preserve"> depicts the number and proportion of projects funded under the Discovery Projects scheme addressing at least one Australian Government priority from DP04 to DP20. The number of projects addressing a priority </w:t>
      </w:r>
      <w:r w:rsidR="00290398">
        <w:rPr>
          <w:rFonts w:asciiTheme="majorHAnsi" w:hAnsiTheme="majorHAnsi" w:cstheme="majorHAnsi"/>
        </w:rPr>
        <w:t>was</w:t>
      </w:r>
      <w:r w:rsidRPr="006F159A">
        <w:rPr>
          <w:rFonts w:asciiTheme="majorHAnsi" w:hAnsiTheme="majorHAnsi" w:cstheme="majorHAnsi"/>
        </w:rPr>
        <w:t xml:space="preserve"> somewhat shaped by the total number of projects funded under the scheme </w:t>
      </w:r>
      <w:r w:rsidRPr="00FC3E13">
        <w:rPr>
          <w:rFonts w:asciiTheme="majorHAnsi" w:hAnsiTheme="majorHAnsi" w:cstheme="majorHAnsi"/>
        </w:rPr>
        <w:t xml:space="preserve">(see </w:t>
      </w:r>
      <w:hyperlink w:anchor="_Applications_and_funded" w:history="1">
        <w:r w:rsidRPr="00281670">
          <w:rPr>
            <w:rStyle w:val="Hyperlink"/>
            <w:rFonts w:cstheme="majorHAnsi"/>
            <w:color w:val="auto"/>
            <w:sz w:val="22"/>
            <w:u w:val="none"/>
          </w:rPr>
          <w:t xml:space="preserve">Section </w:t>
        </w:r>
        <w:r w:rsidR="00150354" w:rsidRPr="00281670">
          <w:rPr>
            <w:rStyle w:val="Hyperlink"/>
            <w:rFonts w:cstheme="majorHAnsi"/>
            <w:color w:val="auto"/>
            <w:sz w:val="22"/>
            <w:u w:val="none"/>
          </w:rPr>
          <w:t>2.3</w:t>
        </w:r>
      </w:hyperlink>
      <w:r w:rsidRPr="00FC3E13">
        <w:rPr>
          <w:rFonts w:asciiTheme="majorHAnsi" w:hAnsiTheme="majorHAnsi" w:cstheme="majorHAnsi"/>
        </w:rPr>
        <w:t>). A</w:t>
      </w:r>
      <w:r w:rsidRPr="00C02611">
        <w:rPr>
          <w:rFonts w:asciiTheme="majorHAnsi" w:hAnsiTheme="majorHAnsi" w:cstheme="majorHAnsi"/>
        </w:rPr>
        <w:t xml:space="preserve"> period of growth </w:t>
      </w:r>
      <w:r w:rsidRPr="006F159A">
        <w:rPr>
          <w:rFonts w:asciiTheme="majorHAnsi" w:hAnsiTheme="majorHAnsi" w:cstheme="majorHAnsi"/>
        </w:rPr>
        <w:t xml:space="preserve">from DP04 to DP11 (from 515 to 842 funded projects) was followed by a decline from DP12 to DP20 (from 684 to 397 funded projects, reaching a low of 331 in DP18). </w:t>
      </w:r>
    </w:p>
    <w:p w14:paraId="79472972" w14:textId="6B42BA46" w:rsidR="006F159A" w:rsidRPr="006F159A" w:rsidRDefault="006F159A" w:rsidP="00751469">
      <w:pPr>
        <w:pStyle w:val="FigureTitle"/>
      </w:pPr>
      <w:bookmarkStart w:id="520" w:name="_Ref40076145"/>
      <w:r w:rsidRPr="006F159A">
        <w:t xml:space="preserve">Figure </w:t>
      </w:r>
      <w:r w:rsidR="00857467">
        <w:fldChar w:fldCharType="begin"/>
      </w:r>
      <w:r w:rsidR="00857467">
        <w:instrText xml:space="preserve"> SEQ Figure \* ARABIC </w:instrText>
      </w:r>
      <w:r w:rsidR="00857467">
        <w:fldChar w:fldCharType="separate"/>
      </w:r>
      <w:r w:rsidR="00AB03D7">
        <w:rPr>
          <w:noProof/>
        </w:rPr>
        <w:t>30</w:t>
      </w:r>
      <w:r w:rsidR="00857467">
        <w:rPr>
          <w:noProof/>
        </w:rPr>
        <w:fldChar w:fldCharType="end"/>
      </w:r>
      <w:bookmarkEnd w:id="520"/>
      <w:r w:rsidRPr="006F159A">
        <w:t>: Funded projects addressing a research priority area, DP04–DP20</w:t>
      </w:r>
    </w:p>
    <w:p w14:paraId="3A0DE87C" w14:textId="61E88109" w:rsidR="006F159A" w:rsidRPr="006F159A" w:rsidRDefault="000E5749" w:rsidP="006F159A">
      <w:pPr>
        <w:rPr>
          <w:rFonts w:asciiTheme="majorHAnsi" w:hAnsiTheme="majorHAnsi" w:cstheme="majorHAnsi"/>
        </w:rPr>
      </w:pPr>
      <w:r>
        <w:rPr>
          <w:rFonts w:asciiTheme="majorHAnsi" w:hAnsiTheme="majorHAnsi" w:cstheme="majorHAnsi"/>
          <w:noProof/>
        </w:rPr>
        <w:drawing>
          <wp:inline distT="0" distB="0" distL="0" distR="0" wp14:anchorId="1C095406" wp14:editId="39153867">
            <wp:extent cx="5730875" cy="3096895"/>
            <wp:effectExtent l="0" t="0" r="3175" b="8255"/>
            <wp:docPr id="88" name="Picture 88" descr="Figure 30 is a graph showing the number and proportion of Discovery Projects funded projects addressing at least one Australian Government priority area between DP04 and DP20.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30 is a graph showing the number and proportion of Discovery Projects funded projects addressing at least one Australian Government priority area between DP04 and DP20. See text above and below graph for more 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3096895"/>
                    </a:xfrm>
                    <a:prstGeom prst="rect">
                      <a:avLst/>
                    </a:prstGeom>
                    <a:noFill/>
                  </pic:spPr>
                </pic:pic>
              </a:graphicData>
            </a:graphic>
          </wp:inline>
        </w:drawing>
      </w:r>
    </w:p>
    <w:p w14:paraId="429CB071" w14:textId="77777777" w:rsidR="006F159A" w:rsidRPr="006F159A" w:rsidRDefault="006F159A" w:rsidP="006F159A">
      <w:pPr>
        <w:rPr>
          <w:rFonts w:asciiTheme="majorHAnsi" w:hAnsiTheme="majorHAnsi" w:cstheme="majorHAnsi"/>
          <w:i/>
          <w:sz w:val="16"/>
          <w:szCs w:val="16"/>
        </w:rPr>
      </w:pPr>
      <w:r w:rsidRPr="006F159A">
        <w:rPr>
          <w:rFonts w:asciiTheme="majorHAnsi" w:hAnsiTheme="majorHAnsi" w:cstheme="majorHAnsi"/>
          <w:sz w:val="16"/>
          <w:szCs w:val="16"/>
        </w:rPr>
        <w:t xml:space="preserve">Source: ARC administrative data. </w:t>
      </w:r>
      <w:r w:rsidRPr="006F159A">
        <w:rPr>
          <w:rFonts w:asciiTheme="majorHAnsi" w:hAnsiTheme="majorHAnsi" w:cstheme="majorHAnsi"/>
          <w:i/>
          <w:sz w:val="16"/>
          <w:szCs w:val="16"/>
        </w:rPr>
        <w:t xml:space="preserve">Note: Projects addressing one or more research priority are included within data. </w:t>
      </w:r>
    </w:p>
    <w:p w14:paraId="1029BF43" w14:textId="4C585209" w:rsidR="006F159A" w:rsidRPr="006F159A" w:rsidRDefault="006F159A" w:rsidP="006F159A">
      <w:pPr>
        <w:rPr>
          <w:rFonts w:asciiTheme="majorHAnsi" w:hAnsiTheme="majorHAnsi" w:cstheme="majorHAnsi"/>
        </w:rPr>
      </w:pPr>
      <w:r w:rsidRPr="006F159A">
        <w:rPr>
          <w:rFonts w:asciiTheme="majorHAnsi" w:hAnsiTheme="majorHAnsi" w:cstheme="majorHAnsi"/>
        </w:rPr>
        <w:t xml:space="preserve">These figures </w:t>
      </w:r>
      <w:r w:rsidR="00290398">
        <w:rPr>
          <w:rFonts w:asciiTheme="majorHAnsi" w:hAnsiTheme="majorHAnsi" w:cstheme="majorHAnsi"/>
        </w:rPr>
        <w:t>were</w:t>
      </w:r>
      <w:r w:rsidR="00290398" w:rsidRPr="006F159A">
        <w:rPr>
          <w:rFonts w:asciiTheme="majorHAnsi" w:hAnsiTheme="majorHAnsi" w:cstheme="majorHAnsi"/>
        </w:rPr>
        <w:t xml:space="preserve"> </w:t>
      </w:r>
      <w:r w:rsidRPr="006F159A">
        <w:rPr>
          <w:rFonts w:asciiTheme="majorHAnsi" w:hAnsiTheme="majorHAnsi" w:cstheme="majorHAnsi"/>
        </w:rPr>
        <w:t>also influenced by changes in the relative frequency with which funded projects have addressed research priorit</w:t>
      </w:r>
      <w:r w:rsidR="00290398">
        <w:rPr>
          <w:rFonts w:asciiTheme="majorHAnsi" w:hAnsiTheme="majorHAnsi" w:cstheme="majorHAnsi"/>
        </w:rPr>
        <w:t>ies</w:t>
      </w:r>
      <w:r w:rsidRPr="006F159A">
        <w:rPr>
          <w:rFonts w:asciiTheme="majorHAnsi" w:hAnsiTheme="majorHAnsi" w:cstheme="majorHAnsi"/>
        </w:rPr>
        <w:t xml:space="preserve">. Between DP06 and DP16—a period traversing the National Research Priorities and Strategic Research Priorities—the proportion of funded projects addressing at least one priority fluctuated from slightly below 80 per cent to slightly above 90 per cent. The proportion of funded projects addressing the National Science and Research Priorities has been noticeably lower. From DP17 to DP20, 56–60 per cent of funded projects related to at least one of these priorities. This is likely to reflect the nature of the current priorities, which highlight specific </w:t>
      </w:r>
      <w:r w:rsidRPr="006F159A">
        <w:rPr>
          <w:rFonts w:asciiTheme="majorHAnsi" w:hAnsiTheme="majorHAnsi" w:cstheme="majorHAnsi"/>
        </w:rPr>
        <w:lastRenderedPageBreak/>
        <w:t>thematic focuses. The National Research Priorities and Strategic Research Priorities were, alternatively, characterised by greater thematic breadth and generality. Changes in the number, nature and scope of priorities over time make longitudinal analysis of Discovery Projects’ effectiveness against this objective challenging.</w:t>
      </w:r>
    </w:p>
    <w:p w14:paraId="2C9B2982" w14:textId="3FC17E53" w:rsidR="006F159A" w:rsidRPr="006F159A" w:rsidRDefault="006F159A" w:rsidP="006F159A">
      <w:pPr>
        <w:rPr>
          <w:rFonts w:asciiTheme="majorHAnsi" w:hAnsiTheme="majorHAnsi" w:cstheme="majorHAnsi"/>
        </w:rPr>
      </w:pPr>
      <w:r w:rsidRPr="006F159A">
        <w:rPr>
          <w:rFonts w:asciiTheme="majorHAnsi" w:hAnsiTheme="majorHAnsi" w:cstheme="majorHAnsi"/>
        </w:rPr>
        <w:fldChar w:fldCharType="begin"/>
      </w:r>
      <w:r w:rsidRPr="006F159A">
        <w:rPr>
          <w:rFonts w:asciiTheme="majorHAnsi" w:hAnsiTheme="majorHAnsi" w:cstheme="majorHAnsi"/>
        </w:rPr>
        <w:instrText xml:space="preserve"> REF _Ref49151757 \h  \* MERGEFORMAT </w:instrText>
      </w:r>
      <w:r w:rsidRPr="006F159A">
        <w:rPr>
          <w:rFonts w:asciiTheme="majorHAnsi" w:hAnsiTheme="majorHAnsi" w:cstheme="majorHAnsi"/>
        </w:rPr>
      </w:r>
      <w:r w:rsidRPr="006F159A">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31</w:t>
      </w:r>
      <w:r w:rsidRPr="006F159A">
        <w:rPr>
          <w:rFonts w:asciiTheme="majorHAnsi" w:hAnsiTheme="majorHAnsi" w:cstheme="majorHAnsi"/>
        </w:rPr>
        <w:fldChar w:fldCharType="end"/>
      </w:r>
      <w:r w:rsidRPr="006F159A">
        <w:rPr>
          <w:rFonts w:asciiTheme="majorHAnsi" w:hAnsiTheme="majorHAnsi" w:cstheme="majorHAnsi"/>
        </w:rPr>
        <w:t xml:space="preserve"> depicts the proportionate representation of </w:t>
      </w:r>
      <w:r w:rsidR="00D45E15">
        <w:rPr>
          <w:rFonts w:asciiTheme="majorHAnsi" w:hAnsiTheme="majorHAnsi" w:cstheme="majorHAnsi"/>
        </w:rPr>
        <w:t xml:space="preserve">the </w:t>
      </w:r>
      <w:r w:rsidRPr="006F159A">
        <w:rPr>
          <w:rFonts w:asciiTheme="majorHAnsi" w:hAnsiTheme="majorHAnsi" w:cstheme="majorHAnsi"/>
        </w:rPr>
        <w:t xml:space="preserve">National Science </w:t>
      </w:r>
      <w:r w:rsidR="00F544B5">
        <w:rPr>
          <w:rFonts w:asciiTheme="majorHAnsi" w:hAnsiTheme="majorHAnsi" w:cstheme="majorHAnsi"/>
        </w:rPr>
        <w:t xml:space="preserve">and </w:t>
      </w:r>
      <w:r w:rsidRPr="006F159A">
        <w:rPr>
          <w:rFonts w:asciiTheme="majorHAnsi" w:hAnsiTheme="majorHAnsi" w:cstheme="majorHAnsi"/>
        </w:rPr>
        <w:t xml:space="preserve">Research Priorities </w:t>
      </w:r>
      <w:r w:rsidR="00D45E15">
        <w:rPr>
          <w:rFonts w:asciiTheme="majorHAnsi" w:hAnsiTheme="majorHAnsi" w:cstheme="majorHAnsi"/>
        </w:rPr>
        <w:t>in</w:t>
      </w:r>
      <w:r w:rsidR="00D45E15" w:rsidRPr="006F159A">
        <w:rPr>
          <w:rFonts w:asciiTheme="majorHAnsi" w:hAnsiTheme="majorHAnsi" w:cstheme="majorHAnsi"/>
        </w:rPr>
        <w:t xml:space="preserve"> </w:t>
      </w:r>
      <w:r w:rsidRPr="006F159A">
        <w:rPr>
          <w:rFonts w:asciiTheme="majorHAnsi" w:hAnsiTheme="majorHAnsi" w:cstheme="majorHAnsi"/>
        </w:rPr>
        <w:t>funded projects from DP17</w:t>
      </w:r>
      <w:r w:rsidR="00D45E15">
        <w:rPr>
          <w:rFonts w:asciiTheme="majorHAnsi" w:hAnsiTheme="majorHAnsi" w:cstheme="majorHAnsi"/>
        </w:rPr>
        <w:t xml:space="preserve"> to </w:t>
      </w:r>
      <w:r w:rsidRPr="006F159A">
        <w:rPr>
          <w:rFonts w:asciiTheme="majorHAnsi" w:hAnsiTheme="majorHAnsi" w:cstheme="majorHAnsi"/>
        </w:rPr>
        <w:t xml:space="preserve">DP20, excluding funded projects making no selection. Advanced Manufacturing </w:t>
      </w:r>
      <w:r w:rsidR="00D45E15">
        <w:rPr>
          <w:rFonts w:asciiTheme="majorHAnsi" w:hAnsiTheme="majorHAnsi" w:cstheme="majorHAnsi"/>
        </w:rPr>
        <w:t>was</w:t>
      </w:r>
      <w:r w:rsidRPr="006F159A">
        <w:rPr>
          <w:rFonts w:asciiTheme="majorHAnsi" w:hAnsiTheme="majorHAnsi" w:cstheme="majorHAnsi"/>
        </w:rPr>
        <w:t xml:space="preserve"> the most commonly selected area, accounting for approximately 28 per cent of priorities identified between DP17 and DP20. This may reflect the frequency with which the Advanced Manufacturing priority is addressed through Engineering research,</w:t>
      </w:r>
      <w:r w:rsidRPr="006F159A">
        <w:rPr>
          <w:rFonts w:asciiTheme="majorHAnsi" w:hAnsiTheme="majorHAnsi" w:cstheme="majorHAnsi"/>
          <w:vertAlign w:val="superscript"/>
        </w:rPr>
        <w:footnoteReference w:id="60"/>
      </w:r>
      <w:r w:rsidRPr="006F159A">
        <w:rPr>
          <w:rFonts w:asciiTheme="majorHAnsi" w:hAnsiTheme="majorHAnsi" w:cstheme="majorHAnsi"/>
        </w:rPr>
        <w:t xml:space="preserve"> which, as noted in Part Two, has been a dominant </w:t>
      </w:r>
      <w:proofErr w:type="spellStart"/>
      <w:r w:rsidRPr="006F159A">
        <w:rPr>
          <w:rFonts w:asciiTheme="majorHAnsi" w:hAnsiTheme="majorHAnsi" w:cstheme="majorHAnsi"/>
        </w:rPr>
        <w:t>FoR</w:t>
      </w:r>
      <w:proofErr w:type="spellEnd"/>
      <w:r w:rsidRPr="006F159A">
        <w:rPr>
          <w:rFonts w:asciiTheme="majorHAnsi" w:hAnsiTheme="majorHAnsi" w:cstheme="majorHAnsi"/>
        </w:rPr>
        <w:t xml:space="preserve"> category within Discovery Projects. Environmental Change and Health </w:t>
      </w:r>
      <w:r w:rsidR="00E5034E">
        <w:rPr>
          <w:rFonts w:asciiTheme="majorHAnsi" w:hAnsiTheme="majorHAnsi" w:cstheme="majorHAnsi"/>
        </w:rPr>
        <w:t>were</w:t>
      </w:r>
      <w:r w:rsidR="00E5034E" w:rsidRPr="006F159A">
        <w:rPr>
          <w:rFonts w:asciiTheme="majorHAnsi" w:hAnsiTheme="majorHAnsi" w:cstheme="majorHAnsi"/>
        </w:rPr>
        <w:t xml:space="preserve"> </w:t>
      </w:r>
      <w:r w:rsidRPr="006F159A">
        <w:rPr>
          <w:rFonts w:asciiTheme="majorHAnsi" w:hAnsiTheme="majorHAnsi" w:cstheme="majorHAnsi"/>
        </w:rPr>
        <w:t xml:space="preserve">also strongly supported. Food, Resources, Soil and Water and Transport </w:t>
      </w:r>
      <w:r w:rsidR="00E5034E">
        <w:rPr>
          <w:rFonts w:asciiTheme="majorHAnsi" w:hAnsiTheme="majorHAnsi" w:cstheme="majorHAnsi"/>
        </w:rPr>
        <w:t>were</w:t>
      </w:r>
      <w:r w:rsidRPr="006F159A">
        <w:rPr>
          <w:rFonts w:asciiTheme="majorHAnsi" w:hAnsiTheme="majorHAnsi" w:cstheme="majorHAnsi"/>
        </w:rPr>
        <w:t xml:space="preserve"> the least represented </w:t>
      </w:r>
      <w:r w:rsidR="0009793D">
        <w:rPr>
          <w:rFonts w:asciiTheme="majorHAnsi" w:hAnsiTheme="majorHAnsi" w:cstheme="majorHAnsi"/>
        </w:rPr>
        <w:t>priorities</w:t>
      </w:r>
      <w:r w:rsidRPr="006F159A">
        <w:rPr>
          <w:rFonts w:asciiTheme="majorHAnsi" w:hAnsiTheme="majorHAnsi" w:cstheme="majorHAnsi"/>
        </w:rPr>
        <w:t xml:space="preserve">. </w:t>
      </w:r>
    </w:p>
    <w:p w14:paraId="57943498" w14:textId="6648894F" w:rsidR="006F159A" w:rsidRPr="00997364" w:rsidRDefault="006F159A" w:rsidP="00751469">
      <w:pPr>
        <w:pStyle w:val="FigureTitle"/>
        <w:rPr>
          <w:color w:val="E03CE4"/>
        </w:rPr>
      </w:pPr>
      <w:bookmarkStart w:id="521" w:name="_Ref49151757"/>
      <w:r w:rsidRPr="006F159A">
        <w:t xml:space="preserve">Figure </w:t>
      </w:r>
      <w:r w:rsidR="00857467">
        <w:fldChar w:fldCharType="begin"/>
      </w:r>
      <w:r w:rsidR="00857467">
        <w:instrText xml:space="preserve"> SEQ Figure \* ARABIC </w:instrText>
      </w:r>
      <w:r w:rsidR="00857467">
        <w:fldChar w:fldCharType="separate"/>
      </w:r>
      <w:r w:rsidR="00AB03D7">
        <w:rPr>
          <w:noProof/>
        </w:rPr>
        <w:t>31</w:t>
      </w:r>
      <w:r w:rsidR="00857467">
        <w:rPr>
          <w:noProof/>
        </w:rPr>
        <w:fldChar w:fldCharType="end"/>
      </w:r>
      <w:bookmarkEnd w:id="521"/>
      <w:r w:rsidRPr="006F159A">
        <w:t>: National Science and Research Priorities addressed within funded projects, DP17–DP20</w:t>
      </w:r>
    </w:p>
    <w:p w14:paraId="6BB29949" w14:textId="423B34BF" w:rsidR="006F159A" w:rsidRPr="006F159A" w:rsidRDefault="000E5749" w:rsidP="006F159A">
      <w:pPr>
        <w:rPr>
          <w:rFonts w:asciiTheme="majorHAnsi" w:hAnsiTheme="majorHAnsi" w:cstheme="majorHAnsi"/>
        </w:rPr>
      </w:pPr>
      <w:r>
        <w:rPr>
          <w:rFonts w:asciiTheme="majorHAnsi" w:hAnsiTheme="majorHAnsi" w:cstheme="majorHAnsi"/>
          <w:noProof/>
        </w:rPr>
        <w:drawing>
          <wp:inline distT="0" distB="0" distL="0" distR="0" wp14:anchorId="727D1CEC" wp14:editId="4455B5D8">
            <wp:extent cx="5730875" cy="2121535"/>
            <wp:effectExtent l="0" t="0" r="3175" b="0"/>
            <wp:docPr id="89" name="Picture 89" descr="Figure 31 is a graph showing the distribution of National Science and Research Priorities being addressed within Discovery Projects funded projects between DP17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igure 31 is a graph showing the distribution of National Science and Research Priorities being addressed within Discovery Projects funded projects between DP17 and DP20. See text above graph for more inform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2121535"/>
                    </a:xfrm>
                    <a:prstGeom prst="rect">
                      <a:avLst/>
                    </a:prstGeom>
                    <a:noFill/>
                  </pic:spPr>
                </pic:pic>
              </a:graphicData>
            </a:graphic>
          </wp:inline>
        </w:drawing>
      </w:r>
    </w:p>
    <w:p w14:paraId="3DAF7F34" w14:textId="77777777" w:rsidR="006F159A" w:rsidRPr="006F159A" w:rsidRDefault="006F159A" w:rsidP="006F159A">
      <w:pPr>
        <w:rPr>
          <w:rFonts w:asciiTheme="majorHAnsi" w:hAnsiTheme="majorHAnsi" w:cstheme="majorHAnsi"/>
        </w:rPr>
      </w:pPr>
      <w:r w:rsidRPr="006F159A">
        <w:rPr>
          <w:rFonts w:asciiTheme="majorHAnsi" w:hAnsiTheme="majorHAnsi" w:cstheme="majorHAnsi"/>
          <w:sz w:val="16"/>
          <w:szCs w:val="16"/>
        </w:rPr>
        <w:t>Source: ARC administrative data.</w:t>
      </w:r>
    </w:p>
    <w:p w14:paraId="10AFC722" w14:textId="098A1C63" w:rsidR="006F159A" w:rsidRPr="006F159A" w:rsidRDefault="006F159A" w:rsidP="006F159A">
      <w:pPr>
        <w:keepNext/>
        <w:rPr>
          <w:rFonts w:asciiTheme="majorHAnsi" w:hAnsiTheme="majorHAnsi" w:cstheme="majorHAnsi"/>
          <w:i/>
          <w:iCs/>
          <w:color w:val="44546A" w:themeColor="text2"/>
          <w:sz w:val="18"/>
          <w:szCs w:val="18"/>
        </w:rPr>
      </w:pPr>
      <w:bookmarkStart w:id="522" w:name="_Ref53149018"/>
      <w:r w:rsidRPr="006F159A">
        <w:rPr>
          <w:rFonts w:asciiTheme="majorHAnsi" w:hAnsiTheme="majorHAnsi" w:cstheme="majorHAnsi"/>
        </w:rPr>
        <w:t xml:space="preserve">As the National Science and Research Priorities were </w:t>
      </w:r>
      <w:r w:rsidR="00C33A4C">
        <w:rPr>
          <w:rFonts w:asciiTheme="majorHAnsi" w:hAnsiTheme="majorHAnsi" w:cstheme="majorHAnsi"/>
        </w:rPr>
        <w:t>only</w:t>
      </w:r>
      <w:r w:rsidRPr="006F159A">
        <w:rPr>
          <w:rFonts w:asciiTheme="majorHAnsi" w:hAnsiTheme="majorHAnsi" w:cstheme="majorHAnsi"/>
        </w:rPr>
        <w:t xml:space="preserve"> introduced in DP17, it is too early to assess outcomes or impacts arising from funded projects addressing these priorities. Similarly, there are not yet relevant data available to assess the effect of alterations to DP21 scheme objectives and </w:t>
      </w:r>
      <w:r w:rsidR="00810942">
        <w:rPr>
          <w:rFonts w:asciiTheme="majorHAnsi" w:hAnsiTheme="majorHAnsi" w:cstheme="majorHAnsi"/>
        </w:rPr>
        <w:t>assessment crit</w:t>
      </w:r>
      <w:r w:rsidRPr="006F159A">
        <w:rPr>
          <w:rFonts w:asciiTheme="majorHAnsi" w:hAnsiTheme="majorHAnsi" w:cstheme="majorHAnsi"/>
        </w:rPr>
        <w:t>eria on Discovery Projects’ support for Australian Government priorities.</w:t>
      </w:r>
      <w:bookmarkEnd w:id="522"/>
    </w:p>
    <w:p w14:paraId="427723A4" w14:textId="1D89EF91" w:rsidR="006F159A" w:rsidRPr="006F159A" w:rsidRDefault="006F159A" w:rsidP="0068635B">
      <w:pPr>
        <w:pStyle w:val="Heading3"/>
      </w:pPr>
      <w:bookmarkStart w:id="523" w:name="_Qualitative_stakeholder_feedback_3"/>
      <w:bookmarkStart w:id="524" w:name="_Toc50533618"/>
      <w:bookmarkStart w:id="525" w:name="_Toc50553768"/>
      <w:bookmarkStart w:id="526" w:name="_Toc50555003"/>
      <w:bookmarkStart w:id="527" w:name="_Toc50618137"/>
      <w:bookmarkStart w:id="528" w:name="_Toc50618418"/>
      <w:bookmarkStart w:id="529" w:name="_Toc51917013"/>
      <w:bookmarkStart w:id="530" w:name="_Toc51918853"/>
      <w:bookmarkStart w:id="531" w:name="_Ref53148993"/>
      <w:bookmarkStart w:id="532" w:name="_Ref53149026"/>
      <w:bookmarkStart w:id="533" w:name="_Toc53557241"/>
      <w:bookmarkStart w:id="534" w:name="_Toc54699283"/>
      <w:bookmarkStart w:id="535" w:name="_Toc55544817"/>
      <w:bookmarkEnd w:id="523"/>
      <w:r w:rsidRPr="006F159A">
        <w:t>Qualitative stakeholder feedback on effectiveness</w:t>
      </w:r>
      <w:bookmarkEnd w:id="524"/>
      <w:bookmarkEnd w:id="525"/>
      <w:bookmarkEnd w:id="526"/>
      <w:bookmarkEnd w:id="527"/>
      <w:bookmarkEnd w:id="528"/>
      <w:bookmarkEnd w:id="529"/>
      <w:bookmarkEnd w:id="530"/>
      <w:bookmarkEnd w:id="531"/>
      <w:bookmarkEnd w:id="532"/>
      <w:bookmarkEnd w:id="533"/>
      <w:bookmarkEnd w:id="534"/>
      <w:bookmarkEnd w:id="535"/>
    </w:p>
    <w:p w14:paraId="6F9F1E92" w14:textId="0ADAA6A9" w:rsidR="006F159A" w:rsidRPr="006F159A" w:rsidRDefault="006F159A" w:rsidP="006F159A">
      <w:pPr>
        <w:spacing w:after="240"/>
        <w:contextualSpacing/>
        <w:rPr>
          <w:rFonts w:asciiTheme="majorHAnsi" w:eastAsiaTheme="minorEastAsia" w:hAnsiTheme="majorHAnsi" w:cstheme="majorHAnsi"/>
          <w:lang w:eastAsia="en-AU"/>
        </w:rPr>
      </w:pPr>
      <w:r w:rsidRPr="006F159A">
        <w:rPr>
          <w:rFonts w:asciiTheme="majorHAnsi" w:eastAsiaTheme="minorEastAsia" w:hAnsiTheme="majorHAnsi" w:cstheme="majorHAnsi"/>
          <w:lang w:eastAsia="en-AU"/>
        </w:rPr>
        <w:t xml:space="preserve">Discovery Projects was regarded by the majority of stakeholders as effectively enhancing priority-related </w:t>
      </w:r>
      <w:r w:rsidRPr="00452B61">
        <w:rPr>
          <w:rFonts w:asciiTheme="majorHAnsi" w:eastAsiaTheme="minorEastAsia" w:hAnsiTheme="majorHAnsi" w:cstheme="majorHAnsi"/>
          <w:lang w:eastAsia="en-AU"/>
        </w:rPr>
        <w:t xml:space="preserve">research, as shown in </w:t>
      </w:r>
      <w:r w:rsidR="00452B61" w:rsidRPr="00452B61">
        <w:rPr>
          <w:rFonts w:asciiTheme="majorHAnsi" w:eastAsiaTheme="minorEastAsia" w:hAnsiTheme="majorHAnsi" w:cstheme="majorHAnsi"/>
          <w:lang w:eastAsia="en-AU"/>
        </w:rPr>
        <w:fldChar w:fldCharType="begin"/>
      </w:r>
      <w:r w:rsidR="00452B61" w:rsidRPr="00452B61">
        <w:rPr>
          <w:rFonts w:asciiTheme="majorHAnsi" w:eastAsiaTheme="minorEastAsia" w:hAnsiTheme="majorHAnsi" w:cstheme="majorHAnsi"/>
          <w:lang w:eastAsia="en-AU"/>
        </w:rPr>
        <w:instrText xml:space="preserve"> REF _Ref49848523 \h  \* MERGEFORMAT </w:instrText>
      </w:r>
      <w:r w:rsidR="00452B61" w:rsidRPr="00452B61">
        <w:rPr>
          <w:rFonts w:asciiTheme="majorHAnsi" w:eastAsiaTheme="minorEastAsia" w:hAnsiTheme="majorHAnsi" w:cstheme="majorHAnsi"/>
          <w:lang w:eastAsia="en-AU"/>
        </w:rPr>
      </w:r>
      <w:r w:rsidR="00452B61" w:rsidRPr="00452B61">
        <w:rPr>
          <w:rFonts w:asciiTheme="majorHAnsi" w:eastAsiaTheme="minorEastAsia" w:hAnsiTheme="majorHAnsi" w:cstheme="majorHAnsi"/>
          <w:lang w:eastAsia="en-AU"/>
        </w:rPr>
        <w:fldChar w:fldCharType="separate"/>
      </w:r>
      <w:r w:rsidR="00AB03D7" w:rsidRPr="00AB03D7">
        <w:rPr>
          <w:rFonts w:asciiTheme="majorHAnsi" w:eastAsiaTheme="minorEastAsia" w:hAnsiTheme="majorHAnsi" w:cstheme="majorHAnsi"/>
          <w:lang w:eastAsia="en-AU"/>
        </w:rPr>
        <w:t>Figure 17</w:t>
      </w:r>
      <w:r w:rsidR="00452B61" w:rsidRPr="00452B61">
        <w:rPr>
          <w:rFonts w:asciiTheme="majorHAnsi" w:eastAsiaTheme="minorEastAsia" w:hAnsiTheme="majorHAnsi" w:cstheme="majorHAnsi"/>
          <w:lang w:eastAsia="en-AU"/>
        </w:rPr>
        <w:fldChar w:fldCharType="end"/>
      </w:r>
      <w:r w:rsidRPr="00452B61">
        <w:rPr>
          <w:rFonts w:asciiTheme="majorHAnsi" w:eastAsiaTheme="minorEastAsia" w:hAnsiTheme="majorHAnsi" w:cstheme="majorHAnsi"/>
          <w:lang w:eastAsia="en-AU"/>
        </w:rPr>
        <w:t>. Qualitative</w:t>
      </w:r>
      <w:r w:rsidRPr="006F159A">
        <w:rPr>
          <w:rFonts w:asciiTheme="majorHAnsi" w:eastAsiaTheme="minorEastAsia" w:hAnsiTheme="majorHAnsi" w:cstheme="majorHAnsi"/>
          <w:lang w:eastAsia="en-AU"/>
        </w:rPr>
        <w:t xml:space="preserve"> responses indicated that stakeholders understood Discovery Projects to be effectively balancing support for Australian Government priorities with the provision of opportunities for researcher-led project</w:t>
      </w:r>
      <w:r w:rsidR="00EB5FF8">
        <w:rPr>
          <w:rFonts w:asciiTheme="majorHAnsi" w:eastAsiaTheme="minorEastAsia" w:hAnsiTheme="majorHAnsi" w:cstheme="majorHAnsi"/>
          <w:lang w:eastAsia="en-AU"/>
        </w:rPr>
        <w:t>s</w:t>
      </w:r>
      <w:r w:rsidRPr="006F159A">
        <w:rPr>
          <w:rFonts w:asciiTheme="majorHAnsi" w:eastAsiaTheme="minorEastAsia" w:hAnsiTheme="majorHAnsi" w:cstheme="majorHAnsi"/>
          <w:lang w:eastAsia="en-AU"/>
        </w:rPr>
        <w:t xml:space="preserve">. While the DP21 scheme objectives and </w:t>
      </w:r>
      <w:r w:rsidR="00810942">
        <w:rPr>
          <w:rFonts w:asciiTheme="majorHAnsi" w:eastAsiaTheme="minorEastAsia" w:hAnsiTheme="majorHAnsi" w:cstheme="majorHAnsi"/>
          <w:lang w:eastAsia="en-AU"/>
        </w:rPr>
        <w:t>assessment crit</w:t>
      </w:r>
      <w:r w:rsidRPr="006F159A">
        <w:rPr>
          <w:rFonts w:asciiTheme="majorHAnsi" w:eastAsiaTheme="minorEastAsia" w:hAnsiTheme="majorHAnsi" w:cstheme="majorHAnsi"/>
          <w:lang w:eastAsia="en-AU"/>
        </w:rPr>
        <w:t>eria reference Australian Government priorit</w:t>
      </w:r>
      <w:r w:rsidR="005E6E25">
        <w:rPr>
          <w:rFonts w:asciiTheme="majorHAnsi" w:eastAsiaTheme="minorEastAsia" w:hAnsiTheme="majorHAnsi" w:cstheme="majorHAnsi"/>
          <w:lang w:eastAsia="en-AU"/>
        </w:rPr>
        <w:t>ies</w:t>
      </w:r>
      <w:r w:rsidRPr="006F159A">
        <w:rPr>
          <w:rFonts w:asciiTheme="majorHAnsi" w:eastAsiaTheme="minorEastAsia" w:hAnsiTheme="majorHAnsi" w:cstheme="majorHAnsi"/>
          <w:lang w:eastAsia="en-AU"/>
        </w:rPr>
        <w:t xml:space="preserve"> more broadly, </w:t>
      </w:r>
      <w:r w:rsidR="002B607E">
        <w:rPr>
          <w:rFonts w:asciiTheme="majorHAnsi" w:eastAsiaTheme="minorEastAsia" w:hAnsiTheme="majorHAnsi" w:cstheme="majorHAnsi"/>
          <w:lang w:eastAsia="en-AU"/>
        </w:rPr>
        <w:t xml:space="preserve">survey and interview </w:t>
      </w:r>
      <w:r w:rsidRPr="006F159A">
        <w:rPr>
          <w:rFonts w:asciiTheme="majorHAnsi" w:eastAsiaTheme="minorEastAsia" w:hAnsiTheme="majorHAnsi" w:cstheme="majorHAnsi"/>
          <w:lang w:eastAsia="en-AU"/>
        </w:rPr>
        <w:t>participants focused on the National Science and Research Priorities. Some interview participants contended that the scheme’s reference to priorit</w:t>
      </w:r>
      <w:r w:rsidR="005A5FB2">
        <w:rPr>
          <w:rFonts w:asciiTheme="majorHAnsi" w:eastAsiaTheme="minorEastAsia" w:hAnsiTheme="majorHAnsi" w:cstheme="majorHAnsi"/>
          <w:lang w:eastAsia="en-AU"/>
        </w:rPr>
        <w:t>ies</w:t>
      </w:r>
      <w:r w:rsidRPr="006F159A">
        <w:rPr>
          <w:rFonts w:asciiTheme="majorHAnsi" w:eastAsiaTheme="minorEastAsia" w:hAnsiTheme="majorHAnsi" w:cstheme="majorHAnsi"/>
          <w:lang w:eastAsia="en-AU"/>
        </w:rPr>
        <w:t xml:space="preserve"> established a framework that encouraged researchers to develop applications addressing significant issues facing Australia. </w:t>
      </w:r>
    </w:p>
    <w:p w14:paraId="4664B8A1" w14:textId="77777777" w:rsidR="006F159A" w:rsidRPr="006F159A" w:rsidRDefault="006F159A" w:rsidP="003E0DE0">
      <w:pPr>
        <w:pStyle w:val="Quote"/>
        <w:spacing w:after="240"/>
        <w:ind w:left="425" w:right="663"/>
      </w:pPr>
      <w:r w:rsidRPr="006F159A">
        <w:lastRenderedPageBreak/>
        <w:t xml:space="preserve">As an applied researcher…I was surprised at how willing and enthusiastic researchers are to do the right thing according to government priorities </w:t>
      </w:r>
      <w:r w:rsidRPr="003E0DE0">
        <w:rPr>
          <w:i w:val="0"/>
          <w:iCs w:val="0"/>
        </w:rPr>
        <w:t>– (University Research Office)</w:t>
      </w:r>
    </w:p>
    <w:p w14:paraId="210BE06B" w14:textId="272B0B10" w:rsidR="006F159A" w:rsidRPr="006F159A" w:rsidRDefault="006F159A" w:rsidP="006F159A">
      <w:pPr>
        <w:spacing w:after="240"/>
        <w:rPr>
          <w:rFonts w:asciiTheme="majorHAnsi" w:eastAsiaTheme="minorEastAsia" w:hAnsiTheme="majorHAnsi" w:cstheme="majorHAnsi"/>
          <w:bCs/>
          <w:iCs/>
          <w:lang w:eastAsia="en-AU"/>
        </w:rPr>
      </w:pPr>
      <w:r w:rsidRPr="006F159A">
        <w:rPr>
          <w:rFonts w:asciiTheme="majorHAnsi" w:eastAsiaTheme="minorEastAsia" w:hAnsiTheme="majorHAnsi" w:cstheme="majorHAnsi"/>
          <w:bCs/>
          <w:iCs/>
          <w:lang w:eastAsia="en-AU"/>
        </w:rPr>
        <w:t xml:space="preserve">Concerns expressed </w:t>
      </w:r>
      <w:r w:rsidRPr="00B46636">
        <w:rPr>
          <w:rFonts w:asciiTheme="majorHAnsi" w:eastAsiaTheme="minorEastAsia" w:hAnsiTheme="majorHAnsi" w:cstheme="majorHAnsi"/>
          <w:bCs/>
          <w:iCs/>
          <w:lang w:eastAsia="en-AU"/>
        </w:rPr>
        <w:t xml:space="preserve">by stakeholders primarily related to the appropriateness of this objective, rather than the effectiveness of its implementation (see </w:t>
      </w:r>
      <w:hyperlink w:anchor="_Qualitative_stakeholder_feedback—ap_1" w:history="1">
        <w:r w:rsidR="00B46636" w:rsidRPr="00281670">
          <w:rPr>
            <w:rStyle w:val="Hyperlink"/>
            <w:rFonts w:eastAsiaTheme="minorEastAsia" w:cstheme="majorHAnsi"/>
            <w:bCs/>
            <w:iCs/>
            <w:color w:val="auto"/>
            <w:sz w:val="22"/>
            <w:u w:val="none"/>
            <w:lang w:eastAsia="en-AU"/>
          </w:rPr>
          <w:t>Section 5.2.2</w:t>
        </w:r>
      </w:hyperlink>
      <w:r w:rsidRPr="00B46636">
        <w:rPr>
          <w:rFonts w:asciiTheme="majorHAnsi" w:eastAsiaTheme="minorEastAsia" w:hAnsiTheme="majorHAnsi" w:cstheme="majorHAnsi"/>
          <w:bCs/>
          <w:iCs/>
          <w:lang w:eastAsia="en-AU"/>
        </w:rPr>
        <w:t xml:space="preserve">). </w:t>
      </w:r>
      <w:r w:rsidR="005857E1" w:rsidRPr="00B46636">
        <w:rPr>
          <w:rFonts w:asciiTheme="majorHAnsi" w:eastAsiaTheme="minorEastAsia" w:hAnsiTheme="majorHAnsi" w:cstheme="majorHAnsi"/>
          <w:bCs/>
          <w:iCs/>
          <w:lang w:eastAsia="en-AU"/>
        </w:rPr>
        <w:t xml:space="preserve">However, in </w:t>
      </w:r>
      <w:r w:rsidR="001A309A" w:rsidRPr="00B46636">
        <w:rPr>
          <w:rFonts w:asciiTheme="majorHAnsi" w:eastAsiaTheme="minorEastAsia" w:hAnsiTheme="majorHAnsi" w:cstheme="majorHAnsi"/>
          <w:bCs/>
          <w:iCs/>
          <w:lang w:eastAsia="en-AU"/>
        </w:rPr>
        <w:t>relation</w:t>
      </w:r>
      <w:r w:rsidR="001A309A">
        <w:rPr>
          <w:rFonts w:asciiTheme="majorHAnsi" w:eastAsiaTheme="minorEastAsia" w:hAnsiTheme="majorHAnsi" w:cstheme="majorHAnsi"/>
          <w:bCs/>
          <w:iCs/>
          <w:lang w:eastAsia="en-AU"/>
        </w:rPr>
        <w:t xml:space="preserve"> to the ARC’s implementation </w:t>
      </w:r>
      <w:r w:rsidR="00EB61C0">
        <w:rPr>
          <w:rFonts w:asciiTheme="majorHAnsi" w:eastAsiaTheme="minorEastAsia" w:hAnsiTheme="majorHAnsi" w:cstheme="majorHAnsi"/>
          <w:bCs/>
          <w:iCs/>
          <w:lang w:eastAsia="en-AU"/>
        </w:rPr>
        <w:t xml:space="preserve">of </w:t>
      </w:r>
      <w:r w:rsidR="00783BDB">
        <w:rPr>
          <w:rFonts w:asciiTheme="majorHAnsi" w:eastAsiaTheme="minorEastAsia" w:hAnsiTheme="majorHAnsi" w:cstheme="majorHAnsi"/>
          <w:bCs/>
          <w:iCs/>
          <w:lang w:eastAsia="en-AU"/>
        </w:rPr>
        <w:t>Discovery Projects</w:t>
      </w:r>
      <w:r w:rsidR="00EB61C0">
        <w:rPr>
          <w:rFonts w:asciiTheme="majorHAnsi" w:eastAsiaTheme="minorEastAsia" w:hAnsiTheme="majorHAnsi" w:cstheme="majorHAnsi"/>
          <w:bCs/>
          <w:iCs/>
          <w:lang w:eastAsia="en-AU"/>
        </w:rPr>
        <w:t>, s</w:t>
      </w:r>
      <w:r w:rsidRPr="006F159A">
        <w:rPr>
          <w:rFonts w:asciiTheme="majorHAnsi" w:eastAsiaTheme="minorEastAsia" w:hAnsiTheme="majorHAnsi" w:cstheme="majorHAnsi"/>
          <w:bCs/>
          <w:iCs/>
          <w:lang w:eastAsia="en-AU"/>
        </w:rPr>
        <w:t xml:space="preserve">ome stakeholders expressed a lack of </w:t>
      </w:r>
      <w:r w:rsidRPr="006F159A">
        <w:rPr>
          <w:rFonts w:asciiTheme="majorHAnsi" w:eastAsiaTheme="minorEastAsia" w:hAnsiTheme="majorHAnsi" w:cstheme="majorHAnsi"/>
          <w:lang w:eastAsia="en-AU"/>
        </w:rPr>
        <w:t xml:space="preserve">certainty about the status of the National Science and Research Priorities within </w:t>
      </w:r>
      <w:r w:rsidR="00E400CB">
        <w:rPr>
          <w:rFonts w:asciiTheme="majorHAnsi" w:eastAsiaTheme="minorEastAsia" w:hAnsiTheme="majorHAnsi" w:cstheme="majorHAnsi"/>
          <w:lang w:eastAsia="en-AU"/>
        </w:rPr>
        <w:t>the scheme’s</w:t>
      </w:r>
      <w:r w:rsidRPr="006F159A">
        <w:rPr>
          <w:rFonts w:asciiTheme="majorHAnsi" w:eastAsiaTheme="minorEastAsia" w:hAnsiTheme="majorHAnsi" w:cstheme="majorHAnsi"/>
          <w:lang w:eastAsia="en-AU"/>
        </w:rPr>
        <w:t xml:space="preserve"> selection processes. Several questioned whether addressing these priorities was an eligibility requirement to receive funding under the scheme.</w:t>
      </w:r>
    </w:p>
    <w:p w14:paraId="5FAD19DF" w14:textId="77777777" w:rsidR="006F159A" w:rsidRPr="001220A3" w:rsidRDefault="006F159A" w:rsidP="001220A3">
      <w:pPr>
        <w:pStyle w:val="Quote"/>
      </w:pPr>
      <w:r w:rsidRPr="001220A3">
        <w:t xml:space="preserve">It is unclear how the priority research areas are taken into consideration to judge if the grant will be awarded or not. Do grants have to fall within one of the priority research areas to be awarded that year? This seems not to be the case </w:t>
      </w:r>
      <w:r w:rsidRPr="003E0DE0">
        <w:rPr>
          <w:i w:val="0"/>
          <w:iCs w:val="0"/>
        </w:rPr>
        <w:t>– (Researcher)</w:t>
      </w:r>
    </w:p>
    <w:p w14:paraId="0EC67846" w14:textId="77777777" w:rsidR="006F159A" w:rsidRPr="006F159A" w:rsidRDefault="006F159A" w:rsidP="006F159A">
      <w:pPr>
        <w:spacing w:before="120" w:after="120"/>
        <w:ind w:left="426" w:right="662"/>
        <w:rPr>
          <w:rFonts w:asciiTheme="majorHAnsi" w:eastAsia="SimSun" w:hAnsiTheme="majorHAnsi" w:cstheme="majorHAnsi"/>
          <w:i/>
          <w:iCs/>
          <w:lang w:eastAsia="en-AU"/>
        </w:rPr>
      </w:pPr>
      <w:r w:rsidRPr="006F159A">
        <w:rPr>
          <w:rFonts w:asciiTheme="majorHAnsi" w:eastAsia="SimSun" w:hAnsiTheme="majorHAnsi" w:cstheme="majorHAnsi"/>
          <w:i/>
          <w:iCs/>
          <w:lang w:eastAsia="en-AU"/>
        </w:rPr>
        <w:t xml:space="preserve">Be clear in defining priority areas so applicants don't waste time applying when they won’t have a chance </w:t>
      </w:r>
      <w:r w:rsidRPr="006F159A">
        <w:rPr>
          <w:rFonts w:asciiTheme="majorHAnsi" w:eastAsia="SimSun" w:hAnsiTheme="majorHAnsi" w:cstheme="majorHAnsi"/>
          <w:lang w:eastAsia="en-AU"/>
        </w:rPr>
        <w:t>– (Researcher)</w:t>
      </w:r>
    </w:p>
    <w:p w14:paraId="6F00DD5C" w14:textId="77777777" w:rsidR="006F159A" w:rsidRPr="006F159A" w:rsidRDefault="006F159A" w:rsidP="006F159A">
      <w:pPr>
        <w:spacing w:before="120" w:after="240"/>
        <w:ind w:left="426" w:right="662"/>
        <w:rPr>
          <w:rFonts w:asciiTheme="majorHAnsi" w:eastAsia="SimSun" w:hAnsiTheme="majorHAnsi" w:cstheme="majorHAnsi"/>
          <w:i/>
          <w:iCs/>
          <w:lang w:eastAsia="en-AU"/>
        </w:rPr>
      </w:pPr>
      <w:r w:rsidRPr="006F159A">
        <w:rPr>
          <w:rFonts w:asciiTheme="majorHAnsi" w:eastAsia="SimSun" w:hAnsiTheme="majorHAnsi" w:cstheme="majorHAnsi"/>
          <w:i/>
          <w:iCs/>
          <w:lang w:eastAsia="en-AU"/>
        </w:rPr>
        <w:t xml:space="preserve">If pushing the Government's research priorities, then the ARC needs to say that upfront so that those not in those research priorities can save themselves the effort of applying </w:t>
      </w:r>
      <w:r w:rsidRPr="006F159A">
        <w:rPr>
          <w:rFonts w:asciiTheme="majorHAnsi" w:eastAsia="SimSun" w:hAnsiTheme="majorHAnsi" w:cstheme="majorHAnsi"/>
          <w:lang w:eastAsia="en-AU"/>
        </w:rPr>
        <w:t>– (Researcher)</w:t>
      </w:r>
    </w:p>
    <w:p w14:paraId="0F38FAA7" w14:textId="66E2213C" w:rsidR="006F159A" w:rsidRPr="006F159A" w:rsidRDefault="006F159A" w:rsidP="006F159A">
      <w:pPr>
        <w:spacing w:after="240"/>
        <w:rPr>
          <w:rFonts w:asciiTheme="majorHAnsi" w:eastAsiaTheme="minorEastAsia" w:hAnsiTheme="majorHAnsi" w:cstheme="majorHAnsi"/>
          <w:lang w:eastAsia="en-AU"/>
        </w:rPr>
      </w:pPr>
      <w:r w:rsidRPr="006F159A">
        <w:rPr>
          <w:rFonts w:asciiTheme="majorHAnsi" w:eastAsiaTheme="minorEastAsia" w:hAnsiTheme="majorHAnsi" w:cstheme="majorHAnsi"/>
          <w:lang w:eastAsia="en-AU"/>
        </w:rPr>
        <w:t xml:space="preserve">Some stakeholders suggested that a lack of certainty about the role of </w:t>
      </w:r>
      <w:r w:rsidR="00D3270B">
        <w:rPr>
          <w:rFonts w:asciiTheme="majorHAnsi" w:eastAsiaTheme="minorEastAsia" w:hAnsiTheme="majorHAnsi" w:cstheme="majorHAnsi"/>
          <w:lang w:eastAsia="en-AU"/>
        </w:rPr>
        <w:t xml:space="preserve">the </w:t>
      </w:r>
      <w:r w:rsidRPr="006F159A">
        <w:rPr>
          <w:rFonts w:asciiTheme="majorHAnsi" w:eastAsiaTheme="minorEastAsia" w:hAnsiTheme="majorHAnsi" w:cstheme="majorHAnsi"/>
          <w:lang w:eastAsia="en-AU"/>
        </w:rPr>
        <w:t>priorit</w:t>
      </w:r>
      <w:r w:rsidR="00FA4F68">
        <w:rPr>
          <w:rFonts w:asciiTheme="majorHAnsi" w:eastAsiaTheme="minorEastAsia" w:hAnsiTheme="majorHAnsi" w:cstheme="majorHAnsi"/>
          <w:lang w:eastAsia="en-AU"/>
        </w:rPr>
        <w:t>ies</w:t>
      </w:r>
      <w:r w:rsidRPr="006F159A">
        <w:rPr>
          <w:rFonts w:asciiTheme="majorHAnsi" w:eastAsiaTheme="minorEastAsia" w:hAnsiTheme="majorHAnsi" w:cstheme="majorHAnsi"/>
          <w:lang w:eastAsia="en-AU"/>
        </w:rPr>
        <w:t xml:space="preserve"> within Discovery Projects assessment processes may compel researchers to make a case </w:t>
      </w:r>
      <w:r w:rsidR="005461C0">
        <w:rPr>
          <w:rFonts w:asciiTheme="majorHAnsi" w:eastAsiaTheme="minorEastAsia" w:hAnsiTheme="majorHAnsi" w:cstheme="majorHAnsi"/>
          <w:lang w:eastAsia="en-AU"/>
        </w:rPr>
        <w:t xml:space="preserve">that their </w:t>
      </w:r>
      <w:r w:rsidR="00CF0FCD">
        <w:rPr>
          <w:rFonts w:asciiTheme="majorHAnsi" w:eastAsiaTheme="minorEastAsia" w:hAnsiTheme="majorHAnsi" w:cstheme="majorHAnsi"/>
          <w:lang w:eastAsia="en-AU"/>
        </w:rPr>
        <w:t xml:space="preserve">proposed </w:t>
      </w:r>
      <w:r w:rsidR="00995CD0">
        <w:rPr>
          <w:rFonts w:asciiTheme="majorHAnsi" w:eastAsiaTheme="minorEastAsia" w:hAnsiTheme="majorHAnsi" w:cstheme="majorHAnsi"/>
          <w:lang w:eastAsia="en-AU"/>
        </w:rPr>
        <w:t>research addres</w:t>
      </w:r>
      <w:r w:rsidR="00311B2E">
        <w:rPr>
          <w:rFonts w:asciiTheme="majorHAnsi" w:eastAsiaTheme="minorEastAsia" w:hAnsiTheme="majorHAnsi" w:cstheme="majorHAnsi"/>
          <w:lang w:eastAsia="en-AU"/>
        </w:rPr>
        <w:t>s</w:t>
      </w:r>
      <w:r w:rsidR="00995CD0">
        <w:rPr>
          <w:rFonts w:asciiTheme="majorHAnsi" w:eastAsiaTheme="minorEastAsia" w:hAnsiTheme="majorHAnsi" w:cstheme="majorHAnsi"/>
          <w:lang w:eastAsia="en-AU"/>
        </w:rPr>
        <w:t>es</w:t>
      </w:r>
      <w:r w:rsidRPr="006F159A">
        <w:rPr>
          <w:rFonts w:asciiTheme="majorHAnsi" w:eastAsiaTheme="minorEastAsia" w:hAnsiTheme="majorHAnsi" w:cstheme="majorHAnsi"/>
          <w:lang w:eastAsia="en-AU"/>
        </w:rPr>
        <w:t xml:space="preserve"> the priorities, which may be questionable and/or tangential. These practices have the potential to undermine both the meaningfulness of the scheme’s support for Australian Government priorities</w:t>
      </w:r>
      <w:r w:rsidR="00732D05">
        <w:rPr>
          <w:rFonts w:asciiTheme="majorHAnsi" w:eastAsiaTheme="minorEastAsia" w:hAnsiTheme="majorHAnsi" w:cstheme="majorHAnsi"/>
          <w:lang w:eastAsia="en-AU"/>
        </w:rPr>
        <w:t xml:space="preserve"> </w:t>
      </w:r>
      <w:r w:rsidR="00592BC3">
        <w:rPr>
          <w:rFonts w:asciiTheme="majorHAnsi" w:eastAsiaTheme="minorEastAsia" w:hAnsiTheme="majorHAnsi" w:cstheme="majorHAnsi"/>
          <w:lang w:eastAsia="en-AU"/>
        </w:rPr>
        <w:t>and</w:t>
      </w:r>
      <w:r w:rsidRPr="006F159A">
        <w:rPr>
          <w:rFonts w:asciiTheme="majorHAnsi" w:eastAsiaTheme="minorEastAsia" w:hAnsiTheme="majorHAnsi" w:cstheme="majorHAnsi"/>
          <w:lang w:eastAsia="en-AU"/>
        </w:rPr>
        <w:t xml:space="preserve"> the data collected by the ARC to measure the scale of its contribution in these areas. </w:t>
      </w:r>
    </w:p>
    <w:p w14:paraId="17F47F42" w14:textId="77777777" w:rsidR="006F159A" w:rsidRPr="006F159A" w:rsidRDefault="006F159A" w:rsidP="003E0DE0">
      <w:pPr>
        <w:pStyle w:val="Quote"/>
      </w:pPr>
      <w:r w:rsidRPr="006F159A">
        <w:t xml:space="preserve">I think it makes [applications] quite generic…It’s easy to make a case and people who are successful know how to write an argument [that will win funding] </w:t>
      </w:r>
      <w:r w:rsidRPr="003E0DE0">
        <w:rPr>
          <w:i w:val="0"/>
          <w:iCs w:val="0"/>
        </w:rPr>
        <w:t>– (University Research Office)</w:t>
      </w:r>
    </w:p>
    <w:p w14:paraId="19C2CF5C" w14:textId="77777777" w:rsidR="006F159A" w:rsidRPr="006F159A" w:rsidRDefault="006F159A" w:rsidP="003E0DE0">
      <w:pPr>
        <w:pStyle w:val="Quote"/>
      </w:pPr>
      <w:r w:rsidRPr="006F159A">
        <w:t xml:space="preserve">Overall, I would suggest that the objective of addressing the Australian Government's research priorities is of secondary consideration during the assessment process […] almost anything can be tailored to meet them. I do not think that this is a bad thing, given my primary interest in the ARC's support for excellence in basic research in all disciplines </w:t>
      </w:r>
      <w:r w:rsidRPr="003E0DE0">
        <w:rPr>
          <w:i w:val="0"/>
          <w:iCs w:val="0"/>
        </w:rPr>
        <w:t>– (Researcher)</w:t>
      </w:r>
    </w:p>
    <w:p w14:paraId="6199C1BB" w14:textId="77777777" w:rsidR="006F159A" w:rsidRPr="006F159A" w:rsidRDefault="006F159A" w:rsidP="003E0DE0">
      <w:pPr>
        <w:pStyle w:val="Quote"/>
        <w:spacing w:after="240"/>
        <w:ind w:left="425" w:right="663"/>
      </w:pPr>
      <w:r w:rsidRPr="006F159A">
        <w:t xml:space="preserve">Applicants either distort the focus of their research or are dissuaded from applying because they think they won't fit </w:t>
      </w:r>
      <w:r w:rsidRPr="003E0DE0">
        <w:rPr>
          <w:i w:val="0"/>
          <w:iCs w:val="0"/>
        </w:rPr>
        <w:t>– (Researcher)</w:t>
      </w:r>
    </w:p>
    <w:p w14:paraId="62A9FD72" w14:textId="38CF7802" w:rsidR="006F159A" w:rsidRPr="006F159A" w:rsidRDefault="006F159A" w:rsidP="006F159A">
      <w:pPr>
        <w:spacing w:after="360"/>
        <w:rPr>
          <w:rFonts w:asciiTheme="majorHAnsi" w:eastAsiaTheme="minorEastAsia" w:hAnsiTheme="majorHAnsi" w:cstheme="majorHAnsi"/>
          <w:lang w:eastAsia="en-AU"/>
        </w:rPr>
      </w:pPr>
      <w:r w:rsidRPr="006F159A">
        <w:rPr>
          <w:rFonts w:asciiTheme="majorHAnsi" w:eastAsiaTheme="minorEastAsia" w:hAnsiTheme="majorHAnsi" w:cstheme="majorHAnsi"/>
          <w:lang w:eastAsia="en-AU"/>
        </w:rPr>
        <w:t>Researchers and research office representatives expressed a desire for greater clarity from the ARC about the role of Australian Government priorities</w:t>
      </w:r>
      <w:r w:rsidR="00E94F2A">
        <w:rPr>
          <w:rFonts w:asciiTheme="majorHAnsi" w:eastAsiaTheme="minorEastAsia" w:hAnsiTheme="majorHAnsi" w:cstheme="majorHAnsi"/>
          <w:lang w:eastAsia="en-AU"/>
        </w:rPr>
        <w:t xml:space="preserve"> in Discovery Projects processes,</w:t>
      </w:r>
      <w:r w:rsidRPr="006F159A">
        <w:rPr>
          <w:rFonts w:asciiTheme="majorHAnsi" w:eastAsiaTheme="minorEastAsia" w:hAnsiTheme="majorHAnsi" w:cstheme="majorHAnsi"/>
          <w:lang w:eastAsia="en-AU"/>
        </w:rPr>
        <w:t xml:space="preserve"> in order to enhance confidence that the effort associated with submitting applications in non-priority aligned research was not wasted. Providing further targeted information through scheme documentation and ARC outreach activities may be valuable in addressing </w:t>
      </w:r>
      <w:r w:rsidR="00316C14">
        <w:rPr>
          <w:rFonts w:asciiTheme="majorHAnsi" w:eastAsiaTheme="minorEastAsia" w:hAnsiTheme="majorHAnsi" w:cstheme="majorHAnsi"/>
          <w:lang w:eastAsia="en-AU"/>
        </w:rPr>
        <w:t>these</w:t>
      </w:r>
      <w:r w:rsidR="00316C14" w:rsidRPr="006F159A">
        <w:rPr>
          <w:rFonts w:asciiTheme="majorHAnsi" w:eastAsiaTheme="minorEastAsia" w:hAnsiTheme="majorHAnsi" w:cstheme="majorHAnsi"/>
          <w:lang w:eastAsia="en-AU"/>
        </w:rPr>
        <w:t xml:space="preserve"> </w:t>
      </w:r>
      <w:r w:rsidRPr="006F159A">
        <w:rPr>
          <w:rFonts w:asciiTheme="majorHAnsi" w:eastAsiaTheme="minorEastAsia" w:hAnsiTheme="majorHAnsi" w:cstheme="majorHAnsi"/>
          <w:lang w:eastAsia="en-AU"/>
        </w:rPr>
        <w:t>concerns.</w:t>
      </w:r>
    </w:p>
    <w:p w14:paraId="46CD3488" w14:textId="77777777" w:rsidR="006620DC" w:rsidRDefault="006620DC">
      <w:pPr>
        <w:rPr>
          <w:rFonts w:asciiTheme="majorHAnsi" w:eastAsia="Times New Roman" w:hAnsiTheme="majorHAnsi" w:cstheme="majorHAnsi"/>
          <w:b/>
          <w:sz w:val="28"/>
          <w:szCs w:val="28"/>
        </w:rPr>
      </w:pPr>
      <w:r>
        <w:br w:type="page"/>
      </w:r>
    </w:p>
    <w:p w14:paraId="62E1C0CD" w14:textId="4FDCC114" w:rsidR="003639AF" w:rsidRDefault="003639AF" w:rsidP="0068635B">
      <w:pPr>
        <w:pStyle w:val="Heading1"/>
        <w:numPr>
          <w:ilvl w:val="0"/>
          <w:numId w:val="0"/>
        </w:numPr>
        <w:spacing w:after="480"/>
        <w:ind w:left="432" w:hanging="432"/>
      </w:pPr>
      <w:bookmarkStart w:id="536" w:name="_Toc51918729"/>
      <w:bookmarkStart w:id="537" w:name="_Toc55544818"/>
      <w:r>
        <w:lastRenderedPageBreak/>
        <w:t>Part Four</w:t>
      </w:r>
      <w:r w:rsidRPr="00F20CB2">
        <w:t xml:space="preserve">: </w:t>
      </w:r>
      <w:r>
        <w:t>Effectiveness—Discovery Projects scheme intended outcomes</w:t>
      </w:r>
      <w:bookmarkEnd w:id="536"/>
      <w:bookmarkEnd w:id="537"/>
    </w:p>
    <w:p w14:paraId="69C66AA0" w14:textId="77777777" w:rsidR="005D554D" w:rsidRPr="0068635B" w:rsidRDefault="005D554D" w:rsidP="005D554D">
      <w:pPr>
        <w:spacing w:after="120"/>
        <w:rPr>
          <w:rFonts w:asciiTheme="majorHAnsi" w:hAnsiTheme="majorHAnsi" w:cstheme="majorHAnsi"/>
          <w:color w:val="000000" w:themeColor="text1"/>
        </w:rPr>
      </w:pPr>
      <w:r>
        <w:rPr>
          <w:rFonts w:asciiTheme="majorHAnsi" w:hAnsiTheme="majorHAnsi" w:cstheme="majorHAnsi"/>
        </w:rPr>
        <w:t xml:space="preserve">Part Four evaluates the effectiveness of the Discovery Projects scheme in achieving its intended outcomes, as stated in the DP21 Grant Guidelines. It begins with an analysis of stakeholder perceptions of Discovery Projects’ overall effectiveness in achieving its intended outcomes, before </w:t>
      </w:r>
      <w:r w:rsidRPr="0068635B">
        <w:rPr>
          <w:rFonts w:asciiTheme="majorHAnsi" w:hAnsiTheme="majorHAnsi" w:cstheme="majorHAnsi"/>
          <w:color w:val="000000" w:themeColor="text1"/>
        </w:rPr>
        <w:t>providing a more detailed assessment of the scheme’s performance against the following:</w:t>
      </w:r>
    </w:p>
    <w:p w14:paraId="7BF574FB" w14:textId="77777777" w:rsidR="005D554D" w:rsidRPr="0068635B" w:rsidRDefault="005D554D" w:rsidP="005D554D">
      <w:pPr>
        <w:pStyle w:val="ListParagraph"/>
        <w:numPr>
          <w:ilvl w:val="0"/>
          <w:numId w:val="16"/>
        </w:numPr>
        <w:spacing w:before="60" w:after="60" w:line="259" w:lineRule="auto"/>
        <w:rPr>
          <w:rFonts w:asciiTheme="majorHAnsi" w:hAnsiTheme="majorHAnsi" w:cstheme="majorHAnsi"/>
          <w:color w:val="000000" w:themeColor="text1"/>
          <w:sz w:val="22"/>
        </w:rPr>
      </w:pPr>
      <w:r w:rsidRPr="0068635B">
        <w:rPr>
          <w:rFonts w:asciiTheme="majorHAnsi" w:hAnsiTheme="majorHAnsi" w:cstheme="majorHAnsi"/>
          <w:color w:val="000000" w:themeColor="text1"/>
          <w:sz w:val="22"/>
        </w:rPr>
        <w:t>expanded knowledge base and research capacity in Australia</w:t>
      </w:r>
    </w:p>
    <w:p w14:paraId="1295C0DD" w14:textId="77777777" w:rsidR="005D554D" w:rsidRPr="0068635B" w:rsidRDefault="005D554D" w:rsidP="005D554D">
      <w:pPr>
        <w:pStyle w:val="ListParagraph"/>
        <w:numPr>
          <w:ilvl w:val="0"/>
          <w:numId w:val="16"/>
        </w:numPr>
        <w:spacing w:before="60" w:after="120" w:line="259" w:lineRule="auto"/>
        <w:ind w:left="714" w:hanging="357"/>
        <w:rPr>
          <w:rFonts w:asciiTheme="majorHAnsi" w:hAnsiTheme="majorHAnsi" w:cstheme="majorHAnsi"/>
          <w:color w:val="000000" w:themeColor="text1"/>
          <w:sz w:val="22"/>
        </w:rPr>
      </w:pPr>
      <w:r w:rsidRPr="0068635B">
        <w:rPr>
          <w:rFonts w:asciiTheme="majorHAnsi" w:hAnsiTheme="majorHAnsi" w:cstheme="majorHAnsi"/>
          <w:color w:val="000000" w:themeColor="text1"/>
          <w:sz w:val="22"/>
        </w:rPr>
        <w:t>economic, commercial, environmental, social and/or cultural benefits for Australia.</w:t>
      </w:r>
    </w:p>
    <w:p w14:paraId="1614A58B" w14:textId="2881ADEC" w:rsidR="005D554D" w:rsidRDefault="005D554D" w:rsidP="005D554D">
      <w:pPr>
        <w:rPr>
          <w:rFonts w:asciiTheme="majorHAnsi" w:hAnsiTheme="majorHAnsi" w:cstheme="majorHAnsi"/>
        </w:rPr>
      </w:pPr>
      <w:r>
        <w:rPr>
          <w:rFonts w:asciiTheme="majorHAnsi" w:hAnsiTheme="majorHAnsi" w:cstheme="majorHAnsi"/>
          <w:bCs/>
        </w:rPr>
        <w:t xml:space="preserve">Both </w:t>
      </w:r>
      <w:r w:rsidRPr="00363287">
        <w:rPr>
          <w:rFonts w:asciiTheme="majorHAnsi" w:hAnsiTheme="majorHAnsi" w:cstheme="majorHAnsi"/>
        </w:rPr>
        <w:t>section</w:t>
      </w:r>
      <w:r>
        <w:rPr>
          <w:rFonts w:asciiTheme="majorHAnsi" w:hAnsiTheme="majorHAnsi" w:cstheme="majorHAnsi"/>
        </w:rPr>
        <w:t>s</w:t>
      </w:r>
      <w:r w:rsidRPr="00363287">
        <w:rPr>
          <w:rFonts w:asciiTheme="majorHAnsi" w:hAnsiTheme="majorHAnsi" w:cstheme="majorHAnsi"/>
        </w:rPr>
        <w:t xml:space="preserve"> include a</w:t>
      </w:r>
      <w:r>
        <w:rPr>
          <w:rFonts w:asciiTheme="majorHAnsi" w:hAnsiTheme="majorHAnsi" w:cstheme="majorHAnsi"/>
        </w:rPr>
        <w:t>n account</w:t>
      </w:r>
      <w:r w:rsidRPr="00363287">
        <w:rPr>
          <w:rFonts w:asciiTheme="majorHAnsi" w:hAnsiTheme="majorHAnsi" w:cstheme="majorHAnsi"/>
        </w:rPr>
        <w:t xml:space="preserve"> of the approach Discovery Projects employs to </w:t>
      </w:r>
      <w:r>
        <w:rPr>
          <w:rFonts w:asciiTheme="majorHAnsi" w:hAnsiTheme="majorHAnsi" w:cstheme="majorHAnsi"/>
        </w:rPr>
        <w:t>achieve</w:t>
      </w:r>
      <w:r w:rsidRPr="00363287">
        <w:rPr>
          <w:rFonts w:asciiTheme="majorHAnsi" w:hAnsiTheme="majorHAnsi" w:cstheme="majorHAnsi"/>
        </w:rPr>
        <w:t xml:space="preserve"> t</w:t>
      </w:r>
      <w:r>
        <w:rPr>
          <w:rFonts w:asciiTheme="majorHAnsi" w:hAnsiTheme="majorHAnsi" w:cstheme="majorHAnsi"/>
        </w:rPr>
        <w:t>he intended outcome</w:t>
      </w:r>
      <w:r w:rsidRPr="00363287">
        <w:rPr>
          <w:rFonts w:asciiTheme="majorHAnsi" w:hAnsiTheme="majorHAnsi" w:cstheme="majorHAnsi"/>
        </w:rPr>
        <w:t xml:space="preserve">, </w:t>
      </w:r>
      <w:r>
        <w:rPr>
          <w:rFonts w:asciiTheme="majorHAnsi" w:hAnsiTheme="majorHAnsi" w:cstheme="majorHAnsi"/>
        </w:rPr>
        <w:t>a discussion</w:t>
      </w:r>
      <w:r w:rsidRPr="00363287">
        <w:rPr>
          <w:rFonts w:asciiTheme="majorHAnsi" w:hAnsiTheme="majorHAnsi" w:cstheme="majorHAnsi"/>
        </w:rPr>
        <w:t xml:space="preserve"> of </w:t>
      </w:r>
      <w:r>
        <w:rPr>
          <w:rFonts w:asciiTheme="majorHAnsi" w:hAnsiTheme="majorHAnsi" w:cstheme="majorHAnsi"/>
        </w:rPr>
        <w:t xml:space="preserve">relevant </w:t>
      </w:r>
      <w:r w:rsidRPr="00363287">
        <w:rPr>
          <w:rFonts w:asciiTheme="majorHAnsi" w:hAnsiTheme="majorHAnsi" w:cstheme="majorHAnsi"/>
        </w:rPr>
        <w:t xml:space="preserve">internal </w:t>
      </w:r>
      <w:r>
        <w:rPr>
          <w:rFonts w:asciiTheme="majorHAnsi" w:hAnsiTheme="majorHAnsi" w:cstheme="majorHAnsi"/>
        </w:rPr>
        <w:t>ARC</w:t>
      </w:r>
      <w:r w:rsidRPr="00363287">
        <w:rPr>
          <w:rFonts w:asciiTheme="majorHAnsi" w:hAnsiTheme="majorHAnsi" w:cstheme="majorHAnsi"/>
        </w:rPr>
        <w:t xml:space="preserve"> </w:t>
      </w:r>
      <w:r>
        <w:rPr>
          <w:rFonts w:asciiTheme="majorHAnsi" w:hAnsiTheme="majorHAnsi" w:cstheme="majorHAnsi"/>
        </w:rPr>
        <w:t>administrative</w:t>
      </w:r>
      <w:r w:rsidRPr="00363287">
        <w:rPr>
          <w:rFonts w:asciiTheme="majorHAnsi" w:hAnsiTheme="majorHAnsi" w:cstheme="majorHAnsi"/>
        </w:rPr>
        <w:t xml:space="preserve"> data, and</w:t>
      </w:r>
      <w:r>
        <w:rPr>
          <w:rFonts w:asciiTheme="majorHAnsi" w:hAnsiTheme="majorHAnsi" w:cstheme="majorHAnsi"/>
        </w:rPr>
        <w:t xml:space="preserve"> an analysis of feedback collected</w:t>
      </w:r>
      <w:r w:rsidRPr="00363287">
        <w:rPr>
          <w:rFonts w:asciiTheme="majorHAnsi" w:hAnsiTheme="majorHAnsi" w:cstheme="majorHAnsi"/>
        </w:rPr>
        <w:t xml:space="preserve"> from surveys and interviews with stakeholders.</w:t>
      </w:r>
      <w:r>
        <w:rPr>
          <w:rFonts w:asciiTheme="majorHAnsi" w:hAnsiTheme="majorHAnsi" w:cstheme="majorHAnsi"/>
        </w:rPr>
        <w:t xml:space="preserve"> Part Four concludes with a brief description of areas for potential improvement highlighted by stakeholders within qualitative survey responses.</w:t>
      </w:r>
    </w:p>
    <w:p w14:paraId="311F955F" w14:textId="74696622" w:rsidR="005D554D" w:rsidRPr="002638D7" w:rsidRDefault="005D554D" w:rsidP="005D554D">
      <w:pPr>
        <w:spacing w:after="120"/>
      </w:pPr>
      <w:r>
        <w:rPr>
          <w:rFonts w:asciiTheme="majorHAnsi" w:hAnsiTheme="majorHAnsi" w:cstheme="majorHAnsi"/>
        </w:rPr>
        <w:t>Assessing</w:t>
      </w:r>
      <w:r w:rsidRPr="004F5637">
        <w:rPr>
          <w:rFonts w:asciiTheme="majorHAnsi" w:hAnsiTheme="majorHAnsi" w:cstheme="majorHAnsi"/>
        </w:rPr>
        <w:t xml:space="preserve"> the </w:t>
      </w:r>
      <w:r>
        <w:rPr>
          <w:rFonts w:asciiTheme="majorHAnsi" w:hAnsiTheme="majorHAnsi" w:cstheme="majorHAnsi"/>
        </w:rPr>
        <w:t>effectiveness</w:t>
      </w:r>
      <w:r w:rsidRPr="004F5637">
        <w:rPr>
          <w:rFonts w:asciiTheme="majorHAnsi" w:hAnsiTheme="majorHAnsi" w:cstheme="majorHAnsi"/>
        </w:rPr>
        <w:t xml:space="preserve"> of Discovery Projects against its intended outcomes </w:t>
      </w:r>
      <w:r>
        <w:rPr>
          <w:rFonts w:asciiTheme="majorHAnsi" w:hAnsiTheme="majorHAnsi" w:cstheme="majorHAnsi"/>
        </w:rPr>
        <w:t>involves</w:t>
      </w:r>
      <w:r w:rsidRPr="004F5637">
        <w:rPr>
          <w:rFonts w:asciiTheme="majorHAnsi" w:hAnsiTheme="majorHAnsi" w:cstheme="majorHAnsi"/>
        </w:rPr>
        <w:t xml:space="preserve"> </w:t>
      </w:r>
      <w:r w:rsidRPr="004F5637" w:rsidDel="00970BF3">
        <w:rPr>
          <w:rFonts w:asciiTheme="majorHAnsi" w:hAnsiTheme="majorHAnsi" w:cstheme="majorHAnsi"/>
        </w:rPr>
        <w:t xml:space="preserve">significant </w:t>
      </w:r>
      <w:r w:rsidRPr="004F5637">
        <w:rPr>
          <w:rFonts w:asciiTheme="majorHAnsi" w:hAnsiTheme="majorHAnsi" w:cstheme="majorHAnsi"/>
        </w:rPr>
        <w:t>methodological complexity</w:t>
      </w:r>
      <w:r>
        <w:rPr>
          <w:rFonts w:asciiTheme="majorHAnsi" w:hAnsiTheme="majorHAnsi" w:cstheme="majorHAnsi"/>
        </w:rPr>
        <w:t>, particularly given the scheme’s support for a diverse range of investigator-led basic</w:t>
      </w:r>
      <w:r w:rsidR="00CF42B4">
        <w:rPr>
          <w:rFonts w:asciiTheme="majorHAnsi" w:hAnsiTheme="majorHAnsi" w:cstheme="majorHAnsi"/>
        </w:rPr>
        <w:t xml:space="preserve"> and applied</w:t>
      </w:r>
      <w:r>
        <w:rPr>
          <w:rFonts w:asciiTheme="majorHAnsi" w:hAnsiTheme="majorHAnsi" w:cstheme="majorHAnsi"/>
        </w:rPr>
        <w:t xml:space="preserve"> research</w:t>
      </w:r>
      <w:r w:rsidRPr="004F5637">
        <w:rPr>
          <w:rFonts w:asciiTheme="majorHAnsi" w:hAnsiTheme="majorHAnsi" w:cstheme="majorHAnsi"/>
        </w:rPr>
        <w:t>. These outcomes are inherently broader and more disparate than the scheme’s objectives</w:t>
      </w:r>
      <w:r>
        <w:rPr>
          <w:rFonts w:asciiTheme="majorHAnsi" w:hAnsiTheme="majorHAnsi" w:cstheme="majorHAnsi"/>
        </w:rPr>
        <w:t>,</w:t>
      </w:r>
      <w:r w:rsidRPr="004F5637">
        <w:rPr>
          <w:rFonts w:asciiTheme="majorHAnsi" w:hAnsiTheme="majorHAnsi" w:cstheme="majorHAnsi"/>
        </w:rPr>
        <w:t xml:space="preserve"> </w:t>
      </w:r>
      <w:r>
        <w:rPr>
          <w:rFonts w:asciiTheme="majorHAnsi" w:hAnsiTheme="majorHAnsi" w:cstheme="majorHAnsi"/>
        </w:rPr>
        <w:t>and</w:t>
      </w:r>
      <w:r w:rsidRPr="004F5637">
        <w:rPr>
          <w:rFonts w:asciiTheme="majorHAnsi" w:hAnsiTheme="majorHAnsi" w:cstheme="majorHAnsi"/>
        </w:rPr>
        <w:t xml:space="preserve"> extend </w:t>
      </w:r>
      <w:r w:rsidRPr="004F5637" w:rsidDel="00624EA3">
        <w:rPr>
          <w:rFonts w:asciiTheme="majorHAnsi" w:hAnsiTheme="majorHAnsi" w:cstheme="majorHAnsi"/>
        </w:rPr>
        <w:t xml:space="preserve">well </w:t>
      </w:r>
      <w:r w:rsidRPr="004F5637">
        <w:rPr>
          <w:rFonts w:asciiTheme="majorHAnsi" w:hAnsiTheme="majorHAnsi" w:cstheme="majorHAnsi"/>
        </w:rPr>
        <w:t xml:space="preserve">beyond the context of </w:t>
      </w:r>
      <w:r>
        <w:rPr>
          <w:rFonts w:asciiTheme="majorHAnsi" w:hAnsiTheme="majorHAnsi" w:cstheme="majorHAnsi"/>
        </w:rPr>
        <w:t>academic benefits</w:t>
      </w:r>
      <w:r w:rsidRPr="004F5637">
        <w:rPr>
          <w:rFonts w:asciiTheme="majorHAnsi" w:hAnsiTheme="majorHAnsi" w:cstheme="majorHAnsi"/>
        </w:rPr>
        <w:t>. Intended outcomes may accumulate long after funding associated with a specific grant has ended</w:t>
      </w:r>
      <w:r>
        <w:rPr>
          <w:rFonts w:asciiTheme="majorHAnsi" w:hAnsiTheme="majorHAnsi" w:cstheme="majorHAnsi"/>
        </w:rPr>
        <w:t xml:space="preserve"> and, f</w:t>
      </w:r>
      <w:r w:rsidRPr="004F5637">
        <w:rPr>
          <w:rFonts w:asciiTheme="majorHAnsi" w:hAnsiTheme="majorHAnsi" w:cstheme="majorHAnsi"/>
        </w:rPr>
        <w:t xml:space="preserve">urther, </w:t>
      </w:r>
      <w:r>
        <w:rPr>
          <w:rFonts w:asciiTheme="majorHAnsi" w:hAnsiTheme="majorHAnsi" w:cstheme="majorHAnsi"/>
        </w:rPr>
        <w:t>impacts</w:t>
      </w:r>
      <w:r w:rsidRPr="004F5637">
        <w:rPr>
          <w:rFonts w:asciiTheme="majorHAnsi" w:hAnsiTheme="majorHAnsi" w:cstheme="majorHAnsi"/>
        </w:rPr>
        <w:t xml:space="preserve"> are </w:t>
      </w:r>
      <w:r>
        <w:rPr>
          <w:rFonts w:asciiTheme="majorHAnsi" w:hAnsiTheme="majorHAnsi" w:cstheme="majorHAnsi"/>
        </w:rPr>
        <w:t>commonly</w:t>
      </w:r>
      <w:r w:rsidRPr="004F5637">
        <w:rPr>
          <w:rFonts w:asciiTheme="majorHAnsi" w:hAnsiTheme="majorHAnsi" w:cstheme="majorHAnsi"/>
        </w:rPr>
        <w:t xml:space="preserve"> generated through interactions between multiple stakeholders and </w:t>
      </w:r>
      <w:r>
        <w:rPr>
          <w:rFonts w:asciiTheme="majorHAnsi" w:hAnsiTheme="majorHAnsi" w:cstheme="majorHAnsi"/>
        </w:rPr>
        <w:t>organisations</w:t>
      </w:r>
      <w:r w:rsidRPr="004F5637">
        <w:rPr>
          <w:rFonts w:asciiTheme="majorHAnsi" w:hAnsiTheme="majorHAnsi" w:cstheme="majorHAnsi"/>
        </w:rPr>
        <w:t xml:space="preserve">, rather than stemming </w:t>
      </w:r>
      <w:r>
        <w:rPr>
          <w:rFonts w:asciiTheme="majorHAnsi" w:hAnsiTheme="majorHAnsi" w:cstheme="majorHAnsi"/>
        </w:rPr>
        <w:t xml:space="preserve">immediately or directly </w:t>
      </w:r>
      <w:r w:rsidRPr="004F5637">
        <w:rPr>
          <w:rFonts w:asciiTheme="majorHAnsi" w:hAnsiTheme="majorHAnsi" w:cstheme="majorHAnsi"/>
        </w:rPr>
        <w:t xml:space="preserve">from individual </w:t>
      </w:r>
      <w:r>
        <w:rPr>
          <w:rFonts w:asciiTheme="majorHAnsi" w:hAnsiTheme="majorHAnsi" w:cstheme="majorHAnsi"/>
        </w:rPr>
        <w:t xml:space="preserve">research </w:t>
      </w:r>
      <w:r w:rsidRPr="004F5637">
        <w:rPr>
          <w:rFonts w:asciiTheme="majorHAnsi" w:hAnsiTheme="majorHAnsi" w:cstheme="majorHAnsi"/>
        </w:rPr>
        <w:t xml:space="preserve">projects. </w:t>
      </w:r>
      <w:r>
        <w:rPr>
          <w:rFonts w:asciiTheme="majorHAnsi" w:hAnsiTheme="majorHAnsi" w:cstheme="majorHAnsi"/>
        </w:rPr>
        <w:t>These potential m</w:t>
      </w:r>
      <w:r w:rsidRPr="004F5637">
        <w:rPr>
          <w:rFonts w:asciiTheme="majorHAnsi" w:hAnsiTheme="majorHAnsi" w:cstheme="majorHAnsi"/>
        </w:rPr>
        <w:t xml:space="preserve">ethodological limitations </w:t>
      </w:r>
      <w:r>
        <w:rPr>
          <w:rFonts w:asciiTheme="majorHAnsi" w:hAnsiTheme="majorHAnsi" w:cstheme="majorHAnsi"/>
        </w:rPr>
        <w:t>are</w:t>
      </w:r>
      <w:r w:rsidRPr="004F5637">
        <w:rPr>
          <w:rFonts w:asciiTheme="majorHAnsi" w:hAnsiTheme="majorHAnsi" w:cstheme="majorHAnsi"/>
        </w:rPr>
        <w:t xml:space="preserve"> addressed </w:t>
      </w:r>
      <w:r>
        <w:rPr>
          <w:rFonts w:asciiTheme="majorHAnsi" w:hAnsiTheme="majorHAnsi" w:cstheme="majorHAnsi"/>
        </w:rPr>
        <w:t>where they arise throughout the analysis</w:t>
      </w:r>
      <w:r w:rsidRPr="004F5637">
        <w:rPr>
          <w:rFonts w:asciiTheme="majorHAnsi" w:hAnsiTheme="majorHAnsi" w:cstheme="majorHAnsi"/>
        </w:rPr>
        <w:t>.</w:t>
      </w:r>
    </w:p>
    <w:p w14:paraId="0BBC0AC3" w14:textId="60127941" w:rsidR="00E93781" w:rsidRPr="00363287" w:rsidRDefault="00E93781" w:rsidP="007057E6">
      <w:pPr>
        <w:pStyle w:val="Heading2"/>
        <w:numPr>
          <w:ilvl w:val="0"/>
          <w:numId w:val="0"/>
        </w:numPr>
        <w:shd w:val="clear" w:color="auto" w:fill="DEEAF6" w:themeFill="accent1" w:themeFillTint="33"/>
      </w:pPr>
      <w:bookmarkStart w:id="538" w:name="_Toc51917015"/>
      <w:bookmarkStart w:id="539" w:name="_Toc51918855"/>
      <w:bookmarkStart w:id="540" w:name="_Toc51918730"/>
      <w:bookmarkStart w:id="541" w:name="_Toc53557243"/>
      <w:bookmarkStart w:id="542" w:name="_Toc54699285"/>
      <w:bookmarkStart w:id="543" w:name="_Toc55544819"/>
      <w:r>
        <w:t>Summary of findings</w:t>
      </w:r>
      <w:bookmarkEnd w:id="538"/>
      <w:bookmarkEnd w:id="539"/>
      <w:bookmarkEnd w:id="540"/>
      <w:bookmarkEnd w:id="541"/>
      <w:bookmarkEnd w:id="542"/>
      <w:bookmarkEnd w:id="543"/>
      <w:r w:rsidRPr="006051C8" w:rsidDel="006051C8">
        <w:t xml:space="preserve"> </w:t>
      </w:r>
    </w:p>
    <w:p w14:paraId="47F59A4E" w14:textId="0E747AF1" w:rsidR="00E93781" w:rsidRDefault="00E93781" w:rsidP="00E93781">
      <w:pPr>
        <w:numPr>
          <w:ilvl w:val="0"/>
          <w:numId w:val="44"/>
        </w:numPr>
        <w:shd w:val="clear" w:color="auto" w:fill="DEEAF6" w:themeFill="accent1" w:themeFillTint="33"/>
        <w:spacing w:after="60"/>
        <w:ind w:left="567" w:hanging="567"/>
        <w:rPr>
          <w:rFonts w:ascii="Calibri Light" w:eastAsia="Calibri" w:hAnsi="Calibri Light" w:cs="Calibri Light"/>
        </w:rPr>
      </w:pPr>
      <w:r>
        <w:rPr>
          <w:rFonts w:ascii="Calibri Light" w:eastAsia="Calibri" w:hAnsi="Calibri Light" w:cs="Calibri Light"/>
        </w:rPr>
        <w:t xml:space="preserve">Overall, stakeholders </w:t>
      </w:r>
      <w:r w:rsidR="008D2266">
        <w:rPr>
          <w:rFonts w:ascii="Calibri Light" w:eastAsia="Calibri" w:hAnsi="Calibri Light" w:cs="Calibri Light"/>
        </w:rPr>
        <w:t>agreed that</w:t>
      </w:r>
      <w:r>
        <w:rPr>
          <w:rFonts w:ascii="Calibri Light" w:eastAsia="Calibri" w:hAnsi="Calibri Light" w:cs="Calibri Light"/>
        </w:rPr>
        <w:t xml:space="preserve"> </w:t>
      </w:r>
      <w:r w:rsidRPr="00363287">
        <w:rPr>
          <w:rFonts w:ascii="Calibri Light" w:eastAsia="Calibri" w:hAnsi="Calibri Light" w:cs="Calibri Light"/>
        </w:rPr>
        <w:t xml:space="preserve">Discovery Projects </w:t>
      </w:r>
      <w:r w:rsidR="004627D7">
        <w:rPr>
          <w:rFonts w:ascii="Calibri Light" w:eastAsia="Calibri" w:hAnsi="Calibri Light" w:cs="Calibri Light"/>
        </w:rPr>
        <w:t xml:space="preserve">is </w:t>
      </w:r>
      <w:r w:rsidRPr="00363287">
        <w:rPr>
          <w:rFonts w:ascii="Calibri Light" w:eastAsia="Calibri" w:hAnsi="Calibri Light" w:cs="Calibri Light"/>
        </w:rPr>
        <w:t>effective</w:t>
      </w:r>
      <w:r w:rsidR="004627D7">
        <w:rPr>
          <w:rFonts w:ascii="Calibri Light" w:eastAsia="Calibri" w:hAnsi="Calibri Light" w:cs="Calibri Light"/>
        </w:rPr>
        <w:t xml:space="preserve"> in</w:t>
      </w:r>
      <w:r w:rsidRPr="00363287">
        <w:rPr>
          <w:rFonts w:ascii="Calibri Light" w:eastAsia="Calibri" w:hAnsi="Calibri Light" w:cs="Calibri Light"/>
        </w:rPr>
        <w:t xml:space="preserve"> </w:t>
      </w:r>
      <w:r w:rsidR="008D2266">
        <w:rPr>
          <w:rFonts w:ascii="Calibri Light" w:eastAsia="Calibri" w:hAnsi="Calibri Light" w:cs="Calibri Light"/>
        </w:rPr>
        <w:t>achiev</w:t>
      </w:r>
      <w:r w:rsidR="004627D7">
        <w:rPr>
          <w:rFonts w:ascii="Calibri Light" w:eastAsia="Calibri" w:hAnsi="Calibri Light" w:cs="Calibri Light"/>
        </w:rPr>
        <w:t>ing</w:t>
      </w:r>
      <w:r w:rsidR="008D2266">
        <w:rPr>
          <w:rFonts w:ascii="Calibri Light" w:eastAsia="Calibri" w:hAnsi="Calibri Light" w:cs="Calibri Light"/>
        </w:rPr>
        <w:t xml:space="preserve"> its</w:t>
      </w:r>
      <w:r w:rsidRPr="00363287">
        <w:rPr>
          <w:rFonts w:ascii="Calibri Light" w:eastAsia="Calibri" w:hAnsi="Calibri Light" w:cs="Calibri Light"/>
        </w:rPr>
        <w:t xml:space="preserve"> intended outcomes</w:t>
      </w:r>
      <w:r>
        <w:rPr>
          <w:rFonts w:ascii="Calibri Light" w:eastAsia="Calibri" w:hAnsi="Calibri Light" w:cs="Calibri Light"/>
        </w:rPr>
        <w:t xml:space="preserve">. They more strongly </w:t>
      </w:r>
      <w:r w:rsidR="006D0FB5">
        <w:rPr>
          <w:rFonts w:ascii="Calibri Light" w:eastAsia="Calibri" w:hAnsi="Calibri Light" w:cs="Calibri Light"/>
        </w:rPr>
        <w:t xml:space="preserve">agreed </w:t>
      </w:r>
      <w:r w:rsidR="001B6E25">
        <w:rPr>
          <w:rFonts w:ascii="Calibri Light" w:eastAsia="Calibri" w:hAnsi="Calibri Light" w:cs="Calibri Light"/>
        </w:rPr>
        <w:t>that it delivered</w:t>
      </w:r>
      <w:r w:rsidR="003421E6">
        <w:rPr>
          <w:rFonts w:ascii="Calibri Light" w:eastAsia="Calibri" w:hAnsi="Calibri Light" w:cs="Calibri Light"/>
        </w:rPr>
        <w:t xml:space="preserve"> an</w:t>
      </w:r>
      <w:r w:rsidR="001B6E25">
        <w:rPr>
          <w:rFonts w:ascii="Calibri Light" w:eastAsia="Calibri" w:hAnsi="Calibri Light" w:cs="Calibri Light"/>
        </w:rPr>
        <w:t xml:space="preserve"> expanded</w:t>
      </w:r>
      <w:r w:rsidRPr="00363287">
        <w:rPr>
          <w:rFonts w:ascii="Calibri Light" w:eastAsia="Calibri" w:hAnsi="Calibri Light" w:cs="Calibri Light"/>
        </w:rPr>
        <w:t xml:space="preserve"> knowledge base and research capacity</w:t>
      </w:r>
      <w:r w:rsidR="001B6E25">
        <w:rPr>
          <w:rFonts w:ascii="Calibri Light" w:eastAsia="Calibri" w:hAnsi="Calibri Light" w:cs="Calibri Light"/>
        </w:rPr>
        <w:t xml:space="preserve"> </w:t>
      </w:r>
      <w:r>
        <w:rPr>
          <w:rFonts w:ascii="Calibri Light" w:eastAsia="Calibri" w:hAnsi="Calibri Light" w:cs="Calibri Light"/>
        </w:rPr>
        <w:t>than</w:t>
      </w:r>
      <w:r w:rsidR="006D0FB5">
        <w:rPr>
          <w:rFonts w:ascii="Calibri Light" w:eastAsia="Calibri" w:hAnsi="Calibri Light" w:cs="Calibri Light"/>
        </w:rPr>
        <w:t xml:space="preserve"> </w:t>
      </w:r>
      <w:r w:rsidRPr="00363287">
        <w:rPr>
          <w:rFonts w:ascii="Calibri Light" w:eastAsia="Calibri" w:hAnsi="Calibri Light" w:cs="Calibri Light"/>
        </w:rPr>
        <w:t>economic, commercial, environmental, social and cultural benefits.</w:t>
      </w:r>
    </w:p>
    <w:p w14:paraId="6D3ECD76" w14:textId="7210B36D" w:rsidR="00D42C20" w:rsidRPr="00373F11" w:rsidRDefault="00190C01">
      <w:pPr>
        <w:numPr>
          <w:ilvl w:val="0"/>
          <w:numId w:val="44"/>
        </w:numPr>
        <w:shd w:val="clear" w:color="auto" w:fill="DEEAF6" w:themeFill="accent1" w:themeFillTint="33"/>
        <w:spacing w:after="60"/>
        <w:ind w:left="567" w:hanging="567"/>
        <w:rPr>
          <w:rFonts w:ascii="Calibri Light" w:eastAsia="Calibri" w:hAnsi="Calibri Light" w:cs="Calibri Light"/>
        </w:rPr>
      </w:pPr>
      <w:r>
        <w:rPr>
          <w:rFonts w:ascii="Calibri Light" w:eastAsia="Calibri" w:hAnsi="Calibri Light" w:cs="Calibri Light"/>
        </w:rPr>
        <w:t xml:space="preserve">Researchers </w:t>
      </w:r>
      <w:r w:rsidR="00801283">
        <w:rPr>
          <w:rFonts w:ascii="Calibri Light" w:eastAsia="Calibri" w:hAnsi="Calibri Light" w:cs="Calibri Light"/>
        </w:rPr>
        <w:t xml:space="preserve">whose </w:t>
      </w:r>
      <w:r w:rsidR="00DB3A73">
        <w:rPr>
          <w:rFonts w:ascii="Calibri Light" w:eastAsia="Calibri" w:hAnsi="Calibri Light" w:cs="Calibri Light"/>
        </w:rPr>
        <w:t>last completed</w:t>
      </w:r>
      <w:r w:rsidR="00801283">
        <w:rPr>
          <w:rFonts w:ascii="Calibri Light" w:eastAsia="Calibri" w:hAnsi="Calibri Light" w:cs="Calibri Light"/>
        </w:rPr>
        <w:t xml:space="preserve"> project was </w:t>
      </w:r>
      <w:r w:rsidR="00DB3A73">
        <w:rPr>
          <w:rFonts w:ascii="Calibri Light" w:eastAsia="Calibri" w:hAnsi="Calibri Light" w:cs="Calibri Light"/>
        </w:rPr>
        <w:t>finalised</w:t>
      </w:r>
      <w:r w:rsidR="00801283">
        <w:rPr>
          <w:rFonts w:ascii="Calibri Light" w:eastAsia="Calibri" w:hAnsi="Calibri Light" w:cs="Calibri Light"/>
        </w:rPr>
        <w:t xml:space="preserve"> </w:t>
      </w:r>
      <w:r w:rsidR="006F2A95">
        <w:rPr>
          <w:rFonts w:ascii="Calibri Light" w:eastAsia="Calibri" w:hAnsi="Calibri Light" w:cs="Calibri Light"/>
        </w:rPr>
        <w:t>recently (</w:t>
      </w:r>
      <w:r>
        <w:rPr>
          <w:rFonts w:ascii="Calibri Light" w:eastAsia="Calibri" w:hAnsi="Calibri Light" w:cs="Calibri Light"/>
        </w:rPr>
        <w:t>2018 or later</w:t>
      </w:r>
      <w:r w:rsidR="006F2A95">
        <w:rPr>
          <w:rFonts w:ascii="Calibri Light" w:eastAsia="Calibri" w:hAnsi="Calibri Light" w:cs="Calibri Light"/>
        </w:rPr>
        <w:t>)</w:t>
      </w:r>
      <w:r>
        <w:rPr>
          <w:rFonts w:ascii="Calibri Light" w:eastAsia="Calibri" w:hAnsi="Calibri Light" w:cs="Calibri Light"/>
        </w:rPr>
        <w:t>,</w:t>
      </w:r>
      <w:r w:rsidRPr="006D7380">
        <w:rPr>
          <w:rFonts w:ascii="Calibri Light" w:eastAsia="Calibri" w:hAnsi="Calibri Light" w:cs="Calibri Light"/>
        </w:rPr>
        <w:t xml:space="preserve"> or</w:t>
      </w:r>
      <w:r>
        <w:rPr>
          <w:rFonts w:ascii="Calibri Light" w:eastAsia="Calibri" w:hAnsi="Calibri Light" w:cs="Calibri Light"/>
        </w:rPr>
        <w:t xml:space="preserve"> </w:t>
      </w:r>
      <w:r w:rsidRPr="006D7380">
        <w:rPr>
          <w:rFonts w:ascii="Calibri Light" w:eastAsia="Calibri" w:hAnsi="Calibri Light" w:cs="Calibri Light"/>
        </w:rPr>
        <w:t>involved international collaboration</w:t>
      </w:r>
      <w:r>
        <w:rPr>
          <w:rFonts w:ascii="Calibri Light" w:eastAsia="Calibri" w:hAnsi="Calibri Light" w:cs="Calibri Light"/>
        </w:rPr>
        <w:t xml:space="preserve">, </w:t>
      </w:r>
      <w:r w:rsidR="006F2A95">
        <w:rPr>
          <w:rFonts w:ascii="Calibri Light" w:eastAsia="Calibri" w:hAnsi="Calibri Light" w:cs="Calibri Light"/>
        </w:rPr>
        <w:t xml:space="preserve">tended to be </w:t>
      </w:r>
      <w:r>
        <w:rPr>
          <w:rFonts w:ascii="Calibri Light" w:eastAsia="Calibri" w:hAnsi="Calibri Light" w:cs="Calibri Light"/>
        </w:rPr>
        <w:t xml:space="preserve">more positive </w:t>
      </w:r>
      <w:r w:rsidR="004E4B3A">
        <w:rPr>
          <w:rFonts w:ascii="Calibri Light" w:eastAsia="Calibri" w:hAnsi="Calibri Light" w:cs="Calibri Light"/>
        </w:rPr>
        <w:t xml:space="preserve">in relation </w:t>
      </w:r>
      <w:r w:rsidR="002D21EA">
        <w:rPr>
          <w:rFonts w:ascii="Calibri Light" w:eastAsia="Calibri" w:hAnsi="Calibri Light" w:cs="Calibri Light"/>
        </w:rPr>
        <w:t>to both intended outcomes</w:t>
      </w:r>
      <w:r>
        <w:rPr>
          <w:rFonts w:ascii="Calibri Light" w:eastAsia="Calibri" w:hAnsi="Calibri Light" w:cs="Calibri Light"/>
        </w:rPr>
        <w:t>.</w:t>
      </w:r>
      <w:r w:rsidR="005B3AF5">
        <w:rPr>
          <w:rFonts w:ascii="Calibri Light" w:eastAsia="Calibri" w:hAnsi="Calibri Light" w:cs="Calibri Light"/>
        </w:rPr>
        <w:t xml:space="preserve"> Those whose </w:t>
      </w:r>
      <w:r w:rsidR="00B54B42">
        <w:rPr>
          <w:rFonts w:ascii="Calibri Light" w:eastAsia="Calibri" w:hAnsi="Calibri Light" w:cs="Calibri Light"/>
        </w:rPr>
        <w:t xml:space="preserve">projects involved HASS research </w:t>
      </w:r>
      <w:r w:rsidR="00B07B06">
        <w:rPr>
          <w:rFonts w:ascii="Calibri Light" w:eastAsia="Calibri" w:hAnsi="Calibri Light" w:cs="Calibri Light"/>
        </w:rPr>
        <w:t>tend</w:t>
      </w:r>
      <w:r w:rsidR="00724BD5">
        <w:rPr>
          <w:rFonts w:ascii="Calibri Light" w:eastAsia="Calibri" w:hAnsi="Calibri Light" w:cs="Calibri Light"/>
        </w:rPr>
        <w:t>ed</w:t>
      </w:r>
      <w:r w:rsidR="00B07B06">
        <w:rPr>
          <w:rFonts w:ascii="Calibri Light" w:eastAsia="Calibri" w:hAnsi="Calibri Light" w:cs="Calibri Light"/>
        </w:rPr>
        <w:t xml:space="preserve"> to agree more strongly that </w:t>
      </w:r>
      <w:r w:rsidR="00B54B42">
        <w:rPr>
          <w:rFonts w:ascii="Calibri Light" w:eastAsia="Calibri" w:hAnsi="Calibri Light" w:cs="Calibri Light"/>
        </w:rPr>
        <w:t>the schem</w:t>
      </w:r>
      <w:r w:rsidR="00B07B06">
        <w:rPr>
          <w:rFonts w:ascii="Calibri Light" w:eastAsia="Calibri" w:hAnsi="Calibri Light" w:cs="Calibri Light"/>
        </w:rPr>
        <w:t>e</w:t>
      </w:r>
      <w:r w:rsidR="00B54B42">
        <w:rPr>
          <w:rFonts w:ascii="Calibri Light" w:eastAsia="Calibri" w:hAnsi="Calibri Light" w:cs="Calibri Light"/>
        </w:rPr>
        <w:t xml:space="preserve"> delive</w:t>
      </w:r>
      <w:r w:rsidR="00C04BCE">
        <w:rPr>
          <w:rFonts w:ascii="Calibri Light" w:eastAsia="Calibri" w:hAnsi="Calibri Light" w:cs="Calibri Light"/>
        </w:rPr>
        <w:t>red</w:t>
      </w:r>
      <w:r w:rsidR="00B54B42">
        <w:rPr>
          <w:rFonts w:ascii="Calibri Light" w:eastAsia="Calibri" w:hAnsi="Calibri Light" w:cs="Calibri Light"/>
        </w:rPr>
        <w:t xml:space="preserve"> translational benefits than those </w:t>
      </w:r>
      <w:r w:rsidR="005641B1">
        <w:rPr>
          <w:rFonts w:ascii="Calibri Light" w:eastAsia="Calibri" w:hAnsi="Calibri Light" w:cs="Calibri Light"/>
        </w:rPr>
        <w:t>whose projects involved STEM research.</w:t>
      </w:r>
    </w:p>
    <w:p w14:paraId="342D7668" w14:textId="77777777" w:rsidR="00E93781" w:rsidRPr="00363287" w:rsidRDefault="00E93781" w:rsidP="00E93781">
      <w:pPr>
        <w:pStyle w:val="Heading4"/>
        <w:shd w:val="clear" w:color="auto" w:fill="DEEAF6" w:themeFill="accent1" w:themeFillTint="33"/>
        <w:spacing w:before="120" w:after="120"/>
        <w:ind w:left="567" w:hanging="567"/>
        <w:contextualSpacing/>
      </w:pPr>
      <w:r w:rsidRPr="00363287">
        <w:t>Expanding Australia’s knowledge base and research capacity</w:t>
      </w:r>
    </w:p>
    <w:p w14:paraId="50D0AE62" w14:textId="039532A9" w:rsidR="005C49EF" w:rsidRPr="00BE3539" w:rsidRDefault="005C49EF" w:rsidP="005C49EF">
      <w:pPr>
        <w:numPr>
          <w:ilvl w:val="0"/>
          <w:numId w:val="45"/>
        </w:numPr>
        <w:shd w:val="clear" w:color="auto" w:fill="DEEAF6" w:themeFill="accent1" w:themeFillTint="33"/>
        <w:spacing w:after="60"/>
        <w:ind w:left="567" w:hanging="567"/>
        <w:rPr>
          <w:rFonts w:ascii="Calibri Light" w:eastAsia="Calibri" w:hAnsi="Calibri Light" w:cs="Calibri Light"/>
        </w:rPr>
      </w:pPr>
      <w:r w:rsidRPr="00BE3539">
        <w:rPr>
          <w:rFonts w:ascii="Calibri Light" w:eastAsia="Calibri" w:hAnsi="Calibri Light" w:cs="Calibri Light"/>
        </w:rPr>
        <w:t>The average number of research outputs per completed project</w:t>
      </w:r>
      <w:r w:rsidR="00082F0B" w:rsidRPr="00BE3539">
        <w:rPr>
          <w:rFonts w:ascii="Calibri Light" w:eastAsia="Calibri" w:hAnsi="Calibri Light" w:cs="Calibri Light"/>
        </w:rPr>
        <w:t xml:space="preserve"> under the scheme</w:t>
      </w:r>
      <w:r w:rsidRPr="00BE3539">
        <w:rPr>
          <w:rFonts w:ascii="Calibri Light" w:eastAsia="Calibri" w:hAnsi="Calibri Light" w:cs="Calibri Light"/>
        </w:rPr>
        <w:t xml:space="preserve"> declined between DP02 and DP14. This is likely to reflect broader changes within the university sector.</w:t>
      </w:r>
    </w:p>
    <w:p w14:paraId="3D9D6BA0" w14:textId="6FB2AC1F" w:rsidR="00E93781" w:rsidRPr="00190C01" w:rsidRDefault="00155E2C">
      <w:pPr>
        <w:numPr>
          <w:ilvl w:val="0"/>
          <w:numId w:val="45"/>
        </w:numPr>
        <w:shd w:val="clear" w:color="auto" w:fill="DEEAF6" w:themeFill="accent1" w:themeFillTint="33"/>
        <w:spacing w:after="60"/>
        <w:ind w:left="567" w:hanging="567"/>
        <w:rPr>
          <w:rFonts w:ascii="Calibri Light" w:eastAsia="Calibri" w:hAnsi="Calibri Light" w:cs="Calibri Light"/>
        </w:rPr>
      </w:pPr>
      <w:r>
        <w:rPr>
          <w:rFonts w:ascii="Calibri Light" w:eastAsia="Calibri" w:hAnsi="Calibri Light" w:cs="Calibri Light"/>
        </w:rPr>
        <w:t>In recent years, o</w:t>
      </w:r>
      <w:r w:rsidR="00F64F10" w:rsidRPr="00190C01">
        <w:rPr>
          <w:rFonts w:ascii="Calibri Light" w:eastAsia="Calibri" w:hAnsi="Calibri Light" w:cs="Calibri Light"/>
        </w:rPr>
        <w:t xml:space="preserve">ver </w:t>
      </w:r>
      <w:r w:rsidR="005C49EF">
        <w:rPr>
          <w:rFonts w:ascii="Calibri Light" w:eastAsia="Calibri" w:hAnsi="Calibri Light" w:cs="Calibri Light"/>
        </w:rPr>
        <w:t>85</w:t>
      </w:r>
      <w:r w:rsidR="00F64F10" w:rsidRPr="00190C01">
        <w:rPr>
          <w:rFonts w:ascii="Calibri Light" w:eastAsia="Calibri" w:hAnsi="Calibri Light" w:cs="Calibri Light"/>
        </w:rPr>
        <w:t xml:space="preserve"> per cent of </w:t>
      </w:r>
      <w:r w:rsidR="00E93781" w:rsidRPr="00190C01">
        <w:rPr>
          <w:rFonts w:ascii="Calibri Light" w:eastAsia="Calibri" w:hAnsi="Calibri Light" w:cs="Calibri Light"/>
        </w:rPr>
        <w:t xml:space="preserve">research outputs supported by Discovery Projects </w:t>
      </w:r>
      <w:r w:rsidR="00635BAE">
        <w:rPr>
          <w:rFonts w:ascii="Calibri Light" w:eastAsia="Calibri" w:hAnsi="Calibri Light" w:cs="Calibri Light"/>
        </w:rPr>
        <w:t xml:space="preserve">have been </w:t>
      </w:r>
      <w:r w:rsidR="00E93781" w:rsidRPr="00190C01">
        <w:rPr>
          <w:rFonts w:ascii="Calibri Light" w:eastAsia="Calibri" w:hAnsi="Calibri Light" w:cs="Calibri Light"/>
        </w:rPr>
        <w:t xml:space="preserve">made openly accessible. </w:t>
      </w:r>
    </w:p>
    <w:p w14:paraId="13F4FA33" w14:textId="67A1D74B" w:rsidR="00D06A81" w:rsidRPr="00BB1A9A" w:rsidRDefault="009E73BD">
      <w:pPr>
        <w:numPr>
          <w:ilvl w:val="0"/>
          <w:numId w:val="45"/>
        </w:numPr>
        <w:shd w:val="clear" w:color="auto" w:fill="DEEAF6" w:themeFill="accent1" w:themeFillTint="33"/>
        <w:spacing w:after="60"/>
        <w:ind w:left="567" w:hanging="567"/>
        <w:rPr>
          <w:rFonts w:ascii="Calibri Light" w:eastAsia="Calibri" w:hAnsi="Calibri Light" w:cs="Calibri Light"/>
        </w:rPr>
      </w:pPr>
      <w:r w:rsidRPr="00BB1A9A">
        <w:rPr>
          <w:rFonts w:ascii="Calibri Light" w:eastAsia="Calibri" w:hAnsi="Calibri Light" w:cs="Calibri Light"/>
        </w:rPr>
        <w:t xml:space="preserve">ARC data </w:t>
      </w:r>
      <w:r w:rsidR="00915B78" w:rsidRPr="00BB1A9A">
        <w:rPr>
          <w:rFonts w:ascii="Calibri Light" w:eastAsia="Calibri" w:hAnsi="Calibri Light" w:cs="Calibri Light"/>
        </w:rPr>
        <w:t>show</w:t>
      </w:r>
      <w:r w:rsidRPr="00BB1A9A">
        <w:rPr>
          <w:rFonts w:ascii="Calibri Light" w:eastAsia="Calibri" w:hAnsi="Calibri Light" w:cs="Calibri Light"/>
        </w:rPr>
        <w:t xml:space="preserve"> that the</w:t>
      </w:r>
      <w:r w:rsidR="0002546B" w:rsidRPr="00BB1A9A">
        <w:rPr>
          <w:rFonts w:ascii="Calibri Light" w:eastAsia="Calibri" w:hAnsi="Calibri Light" w:cs="Calibri Light"/>
        </w:rPr>
        <w:t xml:space="preserve"> scheme has supported </w:t>
      </w:r>
      <w:r w:rsidRPr="00BB1A9A">
        <w:rPr>
          <w:rFonts w:ascii="Calibri Light" w:eastAsia="Calibri" w:hAnsi="Calibri Light" w:cs="Calibri Light"/>
        </w:rPr>
        <w:t xml:space="preserve">researchers across diverse career stages, </w:t>
      </w:r>
      <w:r w:rsidR="00986E8F" w:rsidRPr="00BB1A9A">
        <w:rPr>
          <w:rFonts w:ascii="Calibri Light" w:eastAsia="Calibri" w:hAnsi="Calibri Light" w:cs="Calibri Light"/>
        </w:rPr>
        <w:t xml:space="preserve">with changes </w:t>
      </w:r>
      <w:r w:rsidR="00FA2DA5" w:rsidRPr="00BB1A9A">
        <w:rPr>
          <w:rFonts w:ascii="Calibri Light" w:eastAsia="Calibri" w:hAnsi="Calibri Light" w:cs="Calibri Light"/>
        </w:rPr>
        <w:t xml:space="preserve">in composition </w:t>
      </w:r>
      <w:r w:rsidR="00986E8F" w:rsidRPr="00BB1A9A">
        <w:rPr>
          <w:rFonts w:ascii="Calibri Light" w:eastAsia="Calibri" w:hAnsi="Calibri Light" w:cs="Calibri Light"/>
        </w:rPr>
        <w:t xml:space="preserve">over </w:t>
      </w:r>
      <w:r w:rsidR="00915B78" w:rsidRPr="00BB1A9A">
        <w:rPr>
          <w:rFonts w:ascii="Calibri Light" w:eastAsia="Calibri" w:hAnsi="Calibri Light" w:cs="Calibri Light"/>
        </w:rPr>
        <w:t>time.</w:t>
      </w:r>
      <w:r w:rsidRPr="00BB1A9A">
        <w:rPr>
          <w:rFonts w:ascii="Calibri Light" w:eastAsia="Calibri" w:hAnsi="Calibri Light" w:cs="Calibri Light"/>
        </w:rPr>
        <w:t xml:space="preserve"> </w:t>
      </w:r>
      <w:r w:rsidR="00A04154" w:rsidRPr="00BB1A9A">
        <w:rPr>
          <w:rFonts w:ascii="Calibri Light" w:eastAsia="Calibri" w:hAnsi="Calibri Light" w:cs="Calibri Light"/>
        </w:rPr>
        <w:t xml:space="preserve">Between DP12 and DP20, </w:t>
      </w:r>
      <w:r w:rsidR="00D06A81" w:rsidRPr="248BC76E">
        <w:rPr>
          <w:rFonts w:asciiTheme="majorHAnsi" w:hAnsiTheme="majorHAnsi" w:cstheme="majorBidi"/>
        </w:rPr>
        <w:t xml:space="preserve">the </w:t>
      </w:r>
      <w:r w:rsidR="00A17858" w:rsidRPr="248BC76E">
        <w:rPr>
          <w:rFonts w:asciiTheme="majorHAnsi" w:hAnsiTheme="majorHAnsi" w:cstheme="majorBidi"/>
        </w:rPr>
        <w:t>representation of Early Career Researchers</w:t>
      </w:r>
      <w:r w:rsidR="00930CD4" w:rsidRPr="248BC76E">
        <w:rPr>
          <w:rFonts w:asciiTheme="majorHAnsi" w:hAnsiTheme="majorHAnsi" w:cstheme="majorBidi"/>
        </w:rPr>
        <w:t xml:space="preserve"> declined</w:t>
      </w:r>
      <w:r w:rsidR="00A17858" w:rsidRPr="248BC76E">
        <w:rPr>
          <w:rFonts w:asciiTheme="majorHAnsi" w:hAnsiTheme="majorHAnsi" w:cstheme="majorBidi"/>
        </w:rPr>
        <w:t xml:space="preserve"> </w:t>
      </w:r>
      <w:r w:rsidR="00D06A81" w:rsidRPr="248BC76E">
        <w:rPr>
          <w:rFonts w:asciiTheme="majorHAnsi" w:hAnsiTheme="majorHAnsi" w:cstheme="majorBidi"/>
        </w:rPr>
        <w:t xml:space="preserve">on applications </w:t>
      </w:r>
      <w:r w:rsidR="001A64AE" w:rsidRPr="248BC76E">
        <w:rPr>
          <w:rFonts w:asciiTheme="majorHAnsi" w:hAnsiTheme="majorHAnsi" w:cstheme="majorBidi"/>
        </w:rPr>
        <w:t>and funded projects</w:t>
      </w:r>
      <w:r w:rsidR="00B954BC" w:rsidRPr="248BC76E">
        <w:rPr>
          <w:rFonts w:asciiTheme="majorHAnsi" w:hAnsiTheme="majorHAnsi" w:cstheme="majorBidi"/>
        </w:rPr>
        <w:t>, while t</w:t>
      </w:r>
      <w:r w:rsidR="00E72535" w:rsidRPr="248BC76E">
        <w:rPr>
          <w:rFonts w:asciiTheme="majorHAnsi" w:hAnsiTheme="majorHAnsi" w:cstheme="majorBidi"/>
        </w:rPr>
        <w:t xml:space="preserve">he </w:t>
      </w:r>
      <w:r w:rsidR="005B7778" w:rsidRPr="248BC76E">
        <w:rPr>
          <w:rFonts w:asciiTheme="majorHAnsi" w:hAnsiTheme="majorHAnsi" w:cstheme="majorBidi"/>
        </w:rPr>
        <w:t xml:space="preserve">representation </w:t>
      </w:r>
      <w:r w:rsidR="00E72535" w:rsidRPr="248BC76E">
        <w:rPr>
          <w:rFonts w:asciiTheme="majorHAnsi" w:hAnsiTheme="majorHAnsi" w:cstheme="majorBidi"/>
        </w:rPr>
        <w:t>of Mid-Career Researcher</w:t>
      </w:r>
      <w:r w:rsidR="004E070A" w:rsidRPr="248BC76E">
        <w:rPr>
          <w:rFonts w:asciiTheme="majorHAnsi" w:hAnsiTheme="majorHAnsi" w:cstheme="majorBidi"/>
        </w:rPr>
        <w:t>s</w:t>
      </w:r>
      <w:r w:rsidR="00E72535" w:rsidRPr="248BC76E">
        <w:rPr>
          <w:rFonts w:asciiTheme="majorHAnsi" w:hAnsiTheme="majorHAnsi" w:cstheme="majorBidi"/>
        </w:rPr>
        <w:t xml:space="preserve"> fell on applications</w:t>
      </w:r>
      <w:r w:rsidR="00FA2DA5" w:rsidRPr="248BC76E">
        <w:rPr>
          <w:rFonts w:asciiTheme="majorHAnsi" w:hAnsiTheme="majorHAnsi" w:cstheme="majorBidi"/>
        </w:rPr>
        <w:t xml:space="preserve"> </w:t>
      </w:r>
      <w:r w:rsidR="00274828" w:rsidRPr="248BC76E">
        <w:rPr>
          <w:rFonts w:asciiTheme="majorHAnsi" w:hAnsiTheme="majorHAnsi" w:cstheme="majorBidi"/>
        </w:rPr>
        <w:t>but remained</w:t>
      </w:r>
      <w:r w:rsidR="00E72535" w:rsidRPr="248BC76E">
        <w:rPr>
          <w:rFonts w:asciiTheme="majorHAnsi" w:hAnsiTheme="majorHAnsi" w:cstheme="majorBidi"/>
        </w:rPr>
        <w:t xml:space="preserve"> relatively stable on funded projects.</w:t>
      </w:r>
      <w:r w:rsidR="00FA2DA5" w:rsidRPr="248BC76E">
        <w:rPr>
          <w:rFonts w:asciiTheme="majorHAnsi" w:hAnsiTheme="majorHAnsi" w:cstheme="majorBidi"/>
        </w:rPr>
        <w:t xml:space="preserve"> </w:t>
      </w:r>
      <w:r w:rsidR="00C05DC5" w:rsidRPr="248BC76E">
        <w:rPr>
          <w:rFonts w:asciiTheme="majorHAnsi" w:hAnsiTheme="majorHAnsi" w:cstheme="majorBidi"/>
        </w:rPr>
        <w:t xml:space="preserve">However, success rates for both groups were similar to </w:t>
      </w:r>
      <w:r w:rsidR="009B24EE" w:rsidRPr="248BC76E">
        <w:rPr>
          <w:rFonts w:asciiTheme="majorHAnsi" w:hAnsiTheme="majorHAnsi" w:cstheme="majorBidi"/>
        </w:rPr>
        <w:t>overall scheme rates</w:t>
      </w:r>
      <w:r w:rsidR="00C05DC5" w:rsidRPr="248BC76E">
        <w:rPr>
          <w:rFonts w:asciiTheme="majorHAnsi" w:hAnsiTheme="majorHAnsi" w:cstheme="majorBidi"/>
        </w:rPr>
        <w:t xml:space="preserve"> in recent rounds</w:t>
      </w:r>
      <w:r w:rsidR="715C91DC" w:rsidRPr="7EC8C7D0">
        <w:rPr>
          <w:rFonts w:asciiTheme="majorHAnsi" w:hAnsiTheme="majorHAnsi" w:cstheme="majorBidi"/>
        </w:rPr>
        <w:t xml:space="preserve">, </w:t>
      </w:r>
      <w:r w:rsidR="3FD8511F" w:rsidRPr="09EA6FE5">
        <w:rPr>
          <w:rFonts w:asciiTheme="majorHAnsi" w:hAnsiTheme="majorHAnsi" w:cstheme="majorBidi"/>
        </w:rPr>
        <w:t>except for</w:t>
      </w:r>
      <w:r w:rsidR="715C91DC" w:rsidRPr="7EC8C7D0">
        <w:rPr>
          <w:rFonts w:asciiTheme="majorHAnsi" w:hAnsiTheme="majorHAnsi" w:cstheme="majorBidi"/>
        </w:rPr>
        <w:t xml:space="preserve"> Early Career Researchers in lead Chief Investigator roles</w:t>
      </w:r>
      <w:r w:rsidR="00C05DC5" w:rsidRPr="7EC8C7D0">
        <w:rPr>
          <w:rFonts w:asciiTheme="majorHAnsi" w:hAnsiTheme="majorHAnsi" w:cstheme="majorBidi"/>
        </w:rPr>
        <w:t>.</w:t>
      </w:r>
    </w:p>
    <w:p w14:paraId="3F8D7D36" w14:textId="19E22CBC" w:rsidR="005C6DEF" w:rsidRDefault="005C6DEF" w:rsidP="005C6DEF">
      <w:pPr>
        <w:numPr>
          <w:ilvl w:val="0"/>
          <w:numId w:val="45"/>
        </w:numPr>
        <w:shd w:val="clear" w:color="auto" w:fill="DEEAF6" w:themeFill="accent1" w:themeFillTint="33"/>
        <w:spacing w:after="60"/>
        <w:ind w:left="567" w:hanging="567"/>
        <w:rPr>
          <w:rFonts w:ascii="Calibri Light" w:eastAsia="Calibri" w:hAnsi="Calibri Light" w:cs="Calibri Light"/>
        </w:rPr>
      </w:pPr>
      <w:r w:rsidRPr="00363287">
        <w:rPr>
          <w:rFonts w:ascii="Calibri Light" w:eastAsia="Calibri" w:hAnsi="Calibri Light" w:cs="Calibri Light"/>
        </w:rPr>
        <w:t xml:space="preserve">Stakeholders </w:t>
      </w:r>
      <w:r>
        <w:rPr>
          <w:rFonts w:ascii="Calibri Light" w:eastAsia="Calibri" w:hAnsi="Calibri Light" w:cs="Calibri Light"/>
        </w:rPr>
        <w:t>commented that</w:t>
      </w:r>
      <w:r w:rsidRPr="00363287">
        <w:rPr>
          <w:rFonts w:ascii="Calibri Light" w:eastAsia="Calibri" w:hAnsi="Calibri Light" w:cs="Calibri Light"/>
        </w:rPr>
        <w:t xml:space="preserve"> Discovery Projects’ support for investigator-led basic and applied research effectively support</w:t>
      </w:r>
      <w:r>
        <w:rPr>
          <w:rFonts w:ascii="Calibri Light" w:eastAsia="Calibri" w:hAnsi="Calibri Light" w:cs="Calibri Light"/>
        </w:rPr>
        <w:t>ed</w:t>
      </w:r>
      <w:r w:rsidRPr="00363287">
        <w:rPr>
          <w:rFonts w:ascii="Calibri Light" w:eastAsia="Calibri" w:hAnsi="Calibri Light" w:cs="Calibri Light"/>
        </w:rPr>
        <w:t xml:space="preserve"> the expansion of Australia’s knowledge base.</w:t>
      </w:r>
      <w:r w:rsidR="002D089A">
        <w:rPr>
          <w:rFonts w:ascii="Calibri Light" w:eastAsia="Calibri" w:hAnsi="Calibri Light" w:cs="Calibri Light"/>
        </w:rPr>
        <w:t xml:space="preserve"> </w:t>
      </w:r>
      <w:r w:rsidR="009B24EE">
        <w:rPr>
          <w:rFonts w:ascii="Calibri Light" w:eastAsia="Calibri" w:hAnsi="Calibri Light" w:cs="Calibri Light"/>
        </w:rPr>
        <w:t xml:space="preserve">Comments also </w:t>
      </w:r>
      <w:r w:rsidR="00DC780B">
        <w:rPr>
          <w:rFonts w:ascii="Calibri Light" w:eastAsia="Calibri" w:hAnsi="Calibri Light" w:cs="Calibri Light"/>
        </w:rPr>
        <w:t>highlighted</w:t>
      </w:r>
      <w:r w:rsidR="0090112F">
        <w:rPr>
          <w:rFonts w:ascii="Calibri Light" w:eastAsia="Calibri" w:hAnsi="Calibri Light" w:cs="Calibri Light"/>
        </w:rPr>
        <w:t xml:space="preserve"> the </w:t>
      </w:r>
      <w:r w:rsidR="002D089A" w:rsidRPr="000D7FD7">
        <w:rPr>
          <w:rFonts w:asciiTheme="majorHAnsi" w:hAnsiTheme="majorHAnsi" w:cstheme="majorHAnsi"/>
        </w:rPr>
        <w:t xml:space="preserve">knowledge, </w:t>
      </w:r>
      <w:r w:rsidR="002D089A">
        <w:rPr>
          <w:rFonts w:asciiTheme="majorHAnsi" w:hAnsiTheme="majorHAnsi" w:cstheme="majorHAnsi"/>
        </w:rPr>
        <w:t xml:space="preserve">research </w:t>
      </w:r>
      <w:r w:rsidR="002D089A" w:rsidRPr="000D7FD7">
        <w:rPr>
          <w:rFonts w:asciiTheme="majorHAnsi" w:hAnsiTheme="majorHAnsi" w:cstheme="majorHAnsi"/>
        </w:rPr>
        <w:t xml:space="preserve">training and </w:t>
      </w:r>
      <w:r w:rsidR="002D089A">
        <w:rPr>
          <w:rFonts w:asciiTheme="majorHAnsi" w:hAnsiTheme="majorHAnsi" w:cstheme="majorHAnsi"/>
        </w:rPr>
        <w:t>equipment</w:t>
      </w:r>
      <w:r w:rsidR="002D089A" w:rsidRPr="000D7FD7">
        <w:rPr>
          <w:rFonts w:asciiTheme="majorHAnsi" w:hAnsiTheme="majorHAnsi" w:cstheme="majorHAnsi"/>
        </w:rPr>
        <w:t xml:space="preserve"> supported through</w:t>
      </w:r>
      <w:r w:rsidR="002D089A">
        <w:rPr>
          <w:rFonts w:asciiTheme="majorHAnsi" w:hAnsiTheme="majorHAnsi" w:cstheme="majorHAnsi"/>
        </w:rPr>
        <w:t xml:space="preserve"> </w:t>
      </w:r>
      <w:r w:rsidR="0090112F">
        <w:rPr>
          <w:rFonts w:asciiTheme="majorHAnsi" w:hAnsiTheme="majorHAnsi" w:cstheme="majorHAnsi"/>
        </w:rPr>
        <w:t>the</w:t>
      </w:r>
      <w:r w:rsidR="00436729">
        <w:rPr>
          <w:rFonts w:asciiTheme="majorHAnsi" w:hAnsiTheme="majorHAnsi" w:cstheme="majorHAnsi"/>
        </w:rPr>
        <w:t xml:space="preserve"> </w:t>
      </w:r>
      <w:r w:rsidR="0090112F">
        <w:rPr>
          <w:rFonts w:asciiTheme="majorHAnsi" w:hAnsiTheme="majorHAnsi" w:cstheme="majorHAnsi"/>
        </w:rPr>
        <w:t>s</w:t>
      </w:r>
      <w:r w:rsidR="00436729">
        <w:rPr>
          <w:rFonts w:asciiTheme="majorHAnsi" w:hAnsiTheme="majorHAnsi" w:cstheme="majorHAnsi"/>
        </w:rPr>
        <w:t>chem</w:t>
      </w:r>
      <w:r w:rsidR="0090112F">
        <w:rPr>
          <w:rFonts w:asciiTheme="majorHAnsi" w:hAnsiTheme="majorHAnsi" w:cstheme="majorHAnsi"/>
        </w:rPr>
        <w:t>e</w:t>
      </w:r>
      <w:r w:rsidR="002D089A">
        <w:rPr>
          <w:rFonts w:asciiTheme="majorHAnsi" w:hAnsiTheme="majorHAnsi" w:cstheme="majorHAnsi"/>
        </w:rPr>
        <w:t xml:space="preserve"> as important contributions to expanding </w:t>
      </w:r>
      <w:r w:rsidR="0090112F">
        <w:rPr>
          <w:rFonts w:asciiTheme="majorHAnsi" w:hAnsiTheme="majorHAnsi" w:cstheme="majorHAnsi"/>
        </w:rPr>
        <w:t xml:space="preserve">Australia’s </w:t>
      </w:r>
      <w:r w:rsidR="002D089A">
        <w:rPr>
          <w:rFonts w:asciiTheme="majorHAnsi" w:hAnsiTheme="majorHAnsi" w:cstheme="majorHAnsi"/>
        </w:rPr>
        <w:t>research capacity</w:t>
      </w:r>
      <w:r w:rsidR="0090112F">
        <w:rPr>
          <w:rFonts w:asciiTheme="majorHAnsi" w:hAnsiTheme="majorHAnsi" w:cstheme="majorHAnsi"/>
        </w:rPr>
        <w:t>.</w:t>
      </w:r>
    </w:p>
    <w:p w14:paraId="1F7CD6DF" w14:textId="03287B99" w:rsidR="00E93781" w:rsidRPr="00E72535" w:rsidRDefault="00436729" w:rsidP="00E72535">
      <w:pPr>
        <w:numPr>
          <w:ilvl w:val="0"/>
          <w:numId w:val="45"/>
        </w:numPr>
        <w:shd w:val="clear" w:color="auto" w:fill="DEEAF6" w:themeFill="accent1" w:themeFillTint="33"/>
        <w:spacing w:after="60"/>
        <w:ind w:left="567" w:hanging="567"/>
        <w:rPr>
          <w:rFonts w:ascii="Calibri Light" w:eastAsia="Calibri" w:hAnsi="Calibri Light" w:cs="Calibri Light"/>
        </w:rPr>
      </w:pPr>
      <w:r>
        <w:rPr>
          <w:rFonts w:ascii="Calibri Light" w:eastAsia="Calibri" w:hAnsi="Calibri Light" w:cs="Calibri Light"/>
        </w:rPr>
        <w:lastRenderedPageBreak/>
        <w:t>Stakeholder feedback included p</w:t>
      </w:r>
      <w:r w:rsidR="00FD417D">
        <w:rPr>
          <w:rFonts w:ascii="Calibri Light" w:eastAsia="Calibri" w:hAnsi="Calibri Light" w:cs="Calibri Light"/>
        </w:rPr>
        <w:t>erceptions</w:t>
      </w:r>
      <w:r w:rsidR="00D33616">
        <w:rPr>
          <w:rFonts w:ascii="Calibri Light" w:eastAsia="Calibri" w:hAnsi="Calibri Light" w:cs="Calibri Light"/>
        </w:rPr>
        <w:t xml:space="preserve"> that </w:t>
      </w:r>
      <w:r w:rsidR="001B408F">
        <w:rPr>
          <w:rFonts w:ascii="Calibri Light" w:eastAsia="Calibri" w:hAnsi="Calibri Light" w:cs="Calibri Light"/>
        </w:rPr>
        <w:t xml:space="preserve">Discovery Projects </w:t>
      </w:r>
      <w:r w:rsidR="00901F2C" w:rsidRPr="0413B632">
        <w:rPr>
          <w:rFonts w:asciiTheme="majorHAnsi" w:hAnsiTheme="majorHAnsi" w:cstheme="majorBidi"/>
        </w:rPr>
        <w:t>assessment processes</w:t>
      </w:r>
      <w:r w:rsidR="00B954BC" w:rsidRPr="0413B632">
        <w:rPr>
          <w:rFonts w:asciiTheme="majorHAnsi" w:hAnsiTheme="majorHAnsi" w:cstheme="majorBidi"/>
        </w:rPr>
        <w:t xml:space="preserve"> </w:t>
      </w:r>
      <w:r w:rsidR="00901F2C" w:rsidRPr="0413B632">
        <w:rPr>
          <w:rFonts w:asciiTheme="majorHAnsi" w:hAnsiTheme="majorHAnsi" w:cstheme="majorBidi"/>
        </w:rPr>
        <w:t>may favour applicants with established academic careers and extensive track records</w:t>
      </w:r>
      <w:r w:rsidR="00901F2C">
        <w:rPr>
          <w:rFonts w:ascii="Calibri Light" w:eastAsia="Calibri" w:hAnsi="Calibri Light" w:cs="Calibri Light"/>
        </w:rPr>
        <w:t xml:space="preserve">, and </w:t>
      </w:r>
      <w:r w:rsidR="001C2A30">
        <w:rPr>
          <w:rFonts w:ascii="Calibri Light" w:eastAsia="Calibri" w:hAnsi="Calibri Light" w:cs="Calibri Light"/>
        </w:rPr>
        <w:t xml:space="preserve">disadvantage </w:t>
      </w:r>
      <w:r w:rsidR="00E93781" w:rsidRPr="00E72535">
        <w:rPr>
          <w:rFonts w:ascii="Calibri Light" w:eastAsia="Calibri" w:hAnsi="Calibri Light" w:cs="Calibri Light"/>
        </w:rPr>
        <w:t xml:space="preserve">Early and Mid-Career </w:t>
      </w:r>
      <w:r w:rsidR="00D33616">
        <w:rPr>
          <w:rFonts w:ascii="Calibri Light" w:eastAsia="Calibri" w:hAnsi="Calibri Light" w:cs="Calibri Light"/>
        </w:rPr>
        <w:t>R</w:t>
      </w:r>
      <w:r w:rsidR="00E93781" w:rsidRPr="00E72535">
        <w:rPr>
          <w:rFonts w:ascii="Calibri Light" w:eastAsia="Calibri" w:hAnsi="Calibri Light" w:cs="Calibri Light"/>
        </w:rPr>
        <w:t>esearchers</w:t>
      </w:r>
      <w:r w:rsidR="002D089A">
        <w:rPr>
          <w:rFonts w:ascii="Calibri Light" w:eastAsia="Calibri" w:hAnsi="Calibri Light" w:cs="Calibri Light"/>
        </w:rPr>
        <w:t>.</w:t>
      </w:r>
      <w:r w:rsidR="00E93781" w:rsidRPr="00E72535">
        <w:rPr>
          <w:rFonts w:ascii="Calibri Light" w:eastAsia="Calibri" w:hAnsi="Calibri Light" w:cs="Calibri Light"/>
        </w:rPr>
        <w:t xml:space="preserve"> </w:t>
      </w:r>
    </w:p>
    <w:p w14:paraId="134BECC0" w14:textId="77777777" w:rsidR="00E93781" w:rsidRPr="00363287" w:rsidRDefault="00E93781" w:rsidP="00E93781">
      <w:pPr>
        <w:pStyle w:val="Heading4"/>
        <w:shd w:val="clear" w:color="auto" w:fill="DEEAF6" w:themeFill="accent1" w:themeFillTint="33"/>
        <w:spacing w:before="120" w:after="120"/>
        <w:ind w:left="567" w:hanging="567"/>
        <w:contextualSpacing/>
      </w:pPr>
      <w:r w:rsidRPr="00363287">
        <w:t>Delivering economic, commercial, environmental, social and cultural benefits to Australia</w:t>
      </w:r>
    </w:p>
    <w:p w14:paraId="0AD3E4DB" w14:textId="1C13BE97" w:rsidR="00042473" w:rsidRPr="00460C53" w:rsidRDefault="00045A41">
      <w:pPr>
        <w:numPr>
          <w:ilvl w:val="0"/>
          <w:numId w:val="46"/>
        </w:numPr>
        <w:shd w:val="clear" w:color="auto" w:fill="DEEAF6" w:themeFill="accent1" w:themeFillTint="33"/>
        <w:spacing w:after="60"/>
        <w:ind w:left="567" w:hanging="567"/>
        <w:rPr>
          <w:rFonts w:ascii="Calibri Light" w:eastAsia="Calibri" w:hAnsi="Calibri Light" w:cs="Calibri Light"/>
        </w:rPr>
      </w:pPr>
      <w:r>
        <w:rPr>
          <w:rFonts w:ascii="Calibri Light" w:eastAsia="Calibri" w:hAnsi="Calibri Light" w:cs="Calibri Light"/>
        </w:rPr>
        <w:t xml:space="preserve">ARC data </w:t>
      </w:r>
      <w:r w:rsidR="00771251">
        <w:rPr>
          <w:rFonts w:ascii="Calibri Light" w:eastAsia="Calibri" w:hAnsi="Calibri Light" w:cs="Calibri Light"/>
        </w:rPr>
        <w:t>and survey responses indicated that</w:t>
      </w:r>
      <w:r w:rsidR="001A14D7">
        <w:rPr>
          <w:rFonts w:ascii="Calibri Light" w:eastAsia="Calibri" w:hAnsi="Calibri Light" w:cs="Calibri Light"/>
        </w:rPr>
        <w:t xml:space="preserve"> r</w:t>
      </w:r>
      <w:r w:rsidR="001A14D7" w:rsidRPr="001A14D7">
        <w:rPr>
          <w:rFonts w:ascii="Calibri Light" w:eastAsia="Calibri" w:hAnsi="Calibri Light" w:cs="Calibri Light"/>
        </w:rPr>
        <w:t xml:space="preserve">esearch funded under Discovery Projects delivered </w:t>
      </w:r>
      <w:r>
        <w:rPr>
          <w:rFonts w:ascii="Calibri Light" w:eastAsia="Calibri" w:hAnsi="Calibri Light" w:cs="Calibri Light"/>
        </w:rPr>
        <w:t xml:space="preserve">a </w:t>
      </w:r>
      <w:r w:rsidR="001A14D7">
        <w:rPr>
          <w:rFonts w:ascii="Calibri Light" w:eastAsia="Calibri" w:hAnsi="Calibri Light" w:cs="Calibri Light"/>
        </w:rPr>
        <w:t xml:space="preserve">wide </w:t>
      </w:r>
      <w:r w:rsidR="00771251">
        <w:rPr>
          <w:rFonts w:ascii="Calibri Light" w:eastAsia="Calibri" w:hAnsi="Calibri Light" w:cs="Calibri Light"/>
        </w:rPr>
        <w:t>variety of translational</w:t>
      </w:r>
      <w:r w:rsidR="009375CF">
        <w:rPr>
          <w:rFonts w:ascii="Calibri Light" w:eastAsia="Calibri" w:hAnsi="Calibri Light" w:cs="Calibri Light"/>
        </w:rPr>
        <w:t xml:space="preserve"> </w:t>
      </w:r>
      <w:r w:rsidR="00990264">
        <w:rPr>
          <w:rFonts w:ascii="Calibri Light" w:eastAsia="Calibri" w:hAnsi="Calibri Light" w:cs="Calibri Light"/>
        </w:rPr>
        <w:t>benefits</w:t>
      </w:r>
      <w:r w:rsidRPr="00363287">
        <w:rPr>
          <w:rFonts w:ascii="Calibri Light" w:eastAsia="Calibri" w:hAnsi="Calibri Light" w:cs="Calibri Light"/>
        </w:rPr>
        <w:t>.</w:t>
      </w:r>
      <w:r w:rsidR="005420D5">
        <w:rPr>
          <w:rFonts w:ascii="Calibri Light" w:eastAsia="Calibri" w:hAnsi="Calibri Light" w:cs="Calibri Light"/>
        </w:rPr>
        <w:t xml:space="preserve"> </w:t>
      </w:r>
      <w:r w:rsidR="005420D5" w:rsidRPr="00460C53">
        <w:rPr>
          <w:rFonts w:asciiTheme="majorHAnsi" w:hAnsiTheme="majorHAnsi" w:cstheme="majorHAnsi"/>
          <w:iCs/>
        </w:rPr>
        <w:t>Qualitative</w:t>
      </w:r>
      <w:r w:rsidR="00042473" w:rsidRPr="00460C53">
        <w:rPr>
          <w:rFonts w:asciiTheme="majorHAnsi" w:hAnsiTheme="majorHAnsi" w:cstheme="majorHAnsi"/>
          <w:iCs/>
        </w:rPr>
        <w:t xml:space="preserve"> feedback included views that </w:t>
      </w:r>
      <w:r w:rsidR="00990264" w:rsidRPr="00460C53">
        <w:rPr>
          <w:rFonts w:asciiTheme="majorHAnsi" w:hAnsiTheme="majorHAnsi" w:cstheme="majorHAnsi"/>
          <w:iCs/>
        </w:rPr>
        <w:t>the scheme’s</w:t>
      </w:r>
      <w:r w:rsidR="00042473" w:rsidRPr="00460C53">
        <w:rPr>
          <w:rFonts w:asciiTheme="majorHAnsi" w:hAnsiTheme="majorHAnsi" w:cstheme="majorHAnsi"/>
          <w:iCs/>
        </w:rPr>
        <w:t xml:space="preserve"> support for excellent basic research, an expanded knowledge base and research capacity effectively </w:t>
      </w:r>
      <w:r w:rsidR="00D41053" w:rsidRPr="00460C53">
        <w:rPr>
          <w:rFonts w:asciiTheme="majorHAnsi" w:hAnsiTheme="majorHAnsi" w:cstheme="majorHAnsi"/>
          <w:iCs/>
        </w:rPr>
        <w:t>contribute</w:t>
      </w:r>
      <w:r w:rsidR="00460C53">
        <w:rPr>
          <w:rFonts w:asciiTheme="majorHAnsi" w:hAnsiTheme="majorHAnsi" w:cstheme="majorHAnsi"/>
          <w:iCs/>
        </w:rPr>
        <w:t>d</w:t>
      </w:r>
      <w:r w:rsidR="00D41053" w:rsidRPr="00460C53">
        <w:rPr>
          <w:rFonts w:asciiTheme="majorHAnsi" w:hAnsiTheme="majorHAnsi" w:cstheme="majorHAnsi"/>
          <w:iCs/>
        </w:rPr>
        <w:t xml:space="preserve"> to</w:t>
      </w:r>
      <w:r w:rsidR="00042473" w:rsidRPr="00460C53">
        <w:rPr>
          <w:rFonts w:asciiTheme="majorHAnsi" w:hAnsiTheme="majorHAnsi" w:cstheme="majorHAnsi"/>
          <w:iCs/>
        </w:rPr>
        <w:t xml:space="preserve"> the delivery of </w:t>
      </w:r>
      <w:r w:rsidR="00460C53">
        <w:rPr>
          <w:rFonts w:asciiTheme="majorHAnsi" w:hAnsiTheme="majorHAnsi" w:cstheme="majorHAnsi"/>
          <w:iCs/>
        </w:rPr>
        <w:t>such</w:t>
      </w:r>
      <w:r w:rsidR="00042473" w:rsidRPr="00460C53">
        <w:rPr>
          <w:rFonts w:asciiTheme="majorHAnsi" w:hAnsiTheme="majorHAnsi" w:cstheme="majorHAnsi"/>
          <w:iCs/>
        </w:rPr>
        <w:t xml:space="preserve"> </w:t>
      </w:r>
      <w:r w:rsidR="00460C53">
        <w:rPr>
          <w:rFonts w:asciiTheme="majorHAnsi" w:hAnsiTheme="majorHAnsi" w:cstheme="majorHAnsi"/>
          <w:iCs/>
        </w:rPr>
        <w:t>benefits</w:t>
      </w:r>
      <w:r w:rsidR="00042473" w:rsidRPr="00460C53">
        <w:rPr>
          <w:rFonts w:asciiTheme="majorHAnsi" w:hAnsiTheme="majorHAnsi" w:cstheme="majorHAnsi"/>
          <w:iCs/>
        </w:rPr>
        <w:t xml:space="preserve">. </w:t>
      </w:r>
    </w:p>
    <w:p w14:paraId="6A1FB64A" w14:textId="00B08D44" w:rsidR="00E93781" w:rsidRPr="00517B40" w:rsidRDefault="00430406">
      <w:pPr>
        <w:numPr>
          <w:ilvl w:val="0"/>
          <w:numId w:val="46"/>
        </w:numPr>
        <w:shd w:val="clear" w:color="auto" w:fill="DEEAF6" w:themeFill="accent1" w:themeFillTint="33"/>
        <w:spacing w:after="60"/>
        <w:ind w:left="567" w:hanging="567"/>
        <w:rPr>
          <w:rFonts w:ascii="Calibri Light" w:eastAsia="Calibri" w:hAnsi="Calibri Light" w:cs="Calibri Light"/>
        </w:rPr>
      </w:pPr>
      <w:r>
        <w:rPr>
          <w:rFonts w:ascii="Calibri Light" w:eastAsia="Calibri" w:hAnsi="Calibri Light" w:cs="Calibri Light"/>
        </w:rPr>
        <w:t xml:space="preserve">Survey </w:t>
      </w:r>
      <w:r w:rsidR="000838C2">
        <w:rPr>
          <w:rFonts w:ascii="Calibri Light" w:eastAsia="Calibri" w:hAnsi="Calibri Light" w:cs="Calibri Light"/>
        </w:rPr>
        <w:t xml:space="preserve">participants </w:t>
      </w:r>
      <w:r w:rsidR="00663099">
        <w:rPr>
          <w:rFonts w:ascii="Calibri Light" w:eastAsia="Calibri" w:hAnsi="Calibri Light" w:cs="Calibri Light"/>
        </w:rPr>
        <w:t>identified social and cultural</w:t>
      </w:r>
      <w:r w:rsidR="00320102">
        <w:rPr>
          <w:rFonts w:ascii="Calibri Light" w:eastAsia="Calibri" w:hAnsi="Calibri Light" w:cs="Calibri Light"/>
        </w:rPr>
        <w:t xml:space="preserve"> benefits</w:t>
      </w:r>
      <w:r w:rsidR="00CC4CF5">
        <w:rPr>
          <w:rFonts w:ascii="Calibri Light" w:eastAsia="Calibri" w:hAnsi="Calibri Light" w:cs="Calibri Light"/>
        </w:rPr>
        <w:t xml:space="preserve"> </w:t>
      </w:r>
      <w:r w:rsidR="0072792B">
        <w:rPr>
          <w:rFonts w:ascii="Calibri Light" w:eastAsia="Calibri" w:hAnsi="Calibri Light" w:cs="Calibri Light"/>
        </w:rPr>
        <w:t xml:space="preserve">more frequently than economic outcomes </w:t>
      </w:r>
      <w:r w:rsidR="00A34987">
        <w:rPr>
          <w:rFonts w:ascii="Calibri Light" w:eastAsia="Calibri" w:hAnsi="Calibri Light" w:cs="Calibri Light"/>
        </w:rPr>
        <w:t>arising from their most recently completed project under the scheme</w:t>
      </w:r>
      <w:r w:rsidR="00CC4CF5">
        <w:rPr>
          <w:rFonts w:ascii="Calibri Light" w:eastAsia="Calibri" w:hAnsi="Calibri Light" w:cs="Calibri Light"/>
        </w:rPr>
        <w:t xml:space="preserve">. This conflicted with </w:t>
      </w:r>
      <w:r w:rsidR="000838C2">
        <w:rPr>
          <w:rFonts w:ascii="Calibri Light" w:eastAsia="Calibri" w:hAnsi="Calibri Light" w:cs="Calibri Light"/>
        </w:rPr>
        <w:t>ARC final report data, which</w:t>
      </w:r>
      <w:bookmarkStart w:id="544" w:name="_Hlk53421434"/>
      <w:r w:rsidR="004F43F0">
        <w:rPr>
          <w:rFonts w:ascii="Calibri Light" w:eastAsia="Calibri" w:hAnsi="Calibri Light" w:cs="Calibri Light"/>
        </w:rPr>
        <w:t xml:space="preserve"> </w:t>
      </w:r>
      <w:bookmarkEnd w:id="544"/>
      <w:r w:rsidR="00EE33D0">
        <w:rPr>
          <w:rFonts w:ascii="Calibri Light" w:eastAsia="Calibri" w:hAnsi="Calibri Light" w:cs="Calibri Light"/>
        </w:rPr>
        <w:t xml:space="preserve">suggested a </w:t>
      </w:r>
      <w:r w:rsidR="000838C2">
        <w:rPr>
          <w:rFonts w:ascii="Calibri Light" w:eastAsia="Calibri" w:hAnsi="Calibri Light" w:cs="Calibri Light"/>
        </w:rPr>
        <w:t>more common focus</w:t>
      </w:r>
      <w:r w:rsidR="00EE33D0">
        <w:rPr>
          <w:rFonts w:ascii="Calibri Light" w:eastAsia="Calibri" w:hAnsi="Calibri Light" w:cs="Calibri Light"/>
        </w:rPr>
        <w:t xml:space="preserve"> on</w:t>
      </w:r>
      <w:r w:rsidR="00B00383">
        <w:rPr>
          <w:rFonts w:ascii="Calibri Light" w:eastAsia="Calibri" w:hAnsi="Calibri Light" w:cs="Calibri Light"/>
        </w:rPr>
        <w:t xml:space="preserve"> </w:t>
      </w:r>
      <w:r w:rsidR="00E45651">
        <w:rPr>
          <w:rFonts w:ascii="Calibri Light" w:eastAsia="Calibri" w:hAnsi="Calibri Light" w:cs="Calibri Light"/>
        </w:rPr>
        <w:t>economic benefits</w:t>
      </w:r>
      <w:r w:rsidR="00E93781">
        <w:rPr>
          <w:rFonts w:ascii="Calibri Light" w:eastAsia="Calibri" w:hAnsi="Calibri Light" w:cs="Calibri Light"/>
        </w:rPr>
        <w:t xml:space="preserve">. </w:t>
      </w:r>
      <w:r w:rsidR="00517B40" w:rsidRPr="009514C1">
        <w:rPr>
          <w:rFonts w:ascii="Calibri Light" w:eastAsia="Calibri" w:hAnsi="Calibri Light" w:cs="Calibri Light"/>
        </w:rPr>
        <w:t>Qualitative stakeholder feedback included concerns that Discovery Projects assessment processes undervalued social and cultural outcomes.</w:t>
      </w:r>
    </w:p>
    <w:p w14:paraId="6B6701B2" w14:textId="13914642" w:rsidR="009A352B" w:rsidRPr="00E33956" w:rsidRDefault="00F50306">
      <w:pPr>
        <w:numPr>
          <w:ilvl w:val="0"/>
          <w:numId w:val="46"/>
        </w:numPr>
        <w:shd w:val="clear" w:color="auto" w:fill="DEEAF6" w:themeFill="accent1" w:themeFillTint="33"/>
        <w:spacing w:after="60"/>
        <w:ind w:left="567" w:hanging="567"/>
        <w:rPr>
          <w:rFonts w:ascii="Calibri Light" w:eastAsia="Calibri" w:hAnsi="Calibri Light" w:cs="Calibri Light"/>
        </w:rPr>
      </w:pPr>
      <w:r>
        <w:rPr>
          <w:rFonts w:asciiTheme="majorHAnsi" w:hAnsiTheme="majorHAnsi" w:cstheme="majorHAnsi"/>
          <w:iCs/>
        </w:rPr>
        <w:t>S</w:t>
      </w:r>
      <w:r w:rsidR="002D3C0C" w:rsidRPr="00E33956">
        <w:rPr>
          <w:rFonts w:asciiTheme="majorHAnsi" w:hAnsiTheme="majorHAnsi" w:cstheme="majorHAnsi"/>
          <w:iCs/>
        </w:rPr>
        <w:t xml:space="preserve">ome </w:t>
      </w:r>
      <w:r w:rsidR="00C86CC2">
        <w:rPr>
          <w:rFonts w:asciiTheme="majorHAnsi" w:hAnsiTheme="majorHAnsi" w:cstheme="majorHAnsi"/>
          <w:iCs/>
        </w:rPr>
        <w:t>stakeholders</w:t>
      </w:r>
      <w:r>
        <w:rPr>
          <w:rFonts w:asciiTheme="majorHAnsi" w:hAnsiTheme="majorHAnsi" w:cstheme="majorHAnsi"/>
          <w:iCs/>
        </w:rPr>
        <w:t xml:space="preserve"> </w:t>
      </w:r>
      <w:r w:rsidR="002D3C0C" w:rsidRPr="00E33956">
        <w:rPr>
          <w:rFonts w:ascii="Calibri Light" w:eastAsia="Calibri" w:hAnsi="Calibri Light" w:cs="Calibri Light"/>
        </w:rPr>
        <w:t>identified</w:t>
      </w:r>
      <w:r w:rsidR="009A352B" w:rsidRPr="00E33956">
        <w:rPr>
          <w:rFonts w:ascii="Calibri Light" w:eastAsia="Calibri" w:hAnsi="Calibri Light" w:cs="Calibri Light"/>
        </w:rPr>
        <w:t xml:space="preserve"> difficulties in addressing benefits in application and reporting processes, particularly in predicting outcomes arising from basic research, </w:t>
      </w:r>
      <w:r w:rsidR="001D3849">
        <w:rPr>
          <w:rFonts w:ascii="Calibri Light" w:eastAsia="Calibri" w:hAnsi="Calibri Light" w:cs="Calibri Light"/>
        </w:rPr>
        <w:t xml:space="preserve">as well as </w:t>
      </w:r>
      <w:r w:rsidR="009A352B" w:rsidRPr="00E33956">
        <w:rPr>
          <w:rFonts w:ascii="Calibri Light" w:eastAsia="Calibri" w:hAnsi="Calibri Light" w:cs="Calibri Light"/>
        </w:rPr>
        <w:t>long-term benefits that may not be apparent at the time of project completion.</w:t>
      </w:r>
    </w:p>
    <w:p w14:paraId="3047AC5A" w14:textId="77777777" w:rsidR="003639AF" w:rsidRPr="0040787B" w:rsidRDefault="003639AF" w:rsidP="00254D36">
      <w:pPr>
        <w:pStyle w:val="ListParagraph"/>
        <w:numPr>
          <w:ilvl w:val="0"/>
          <w:numId w:val="17"/>
        </w:numPr>
        <w:spacing w:after="160" w:line="259" w:lineRule="auto"/>
        <w:contextualSpacing w:val="0"/>
        <w:jc w:val="both"/>
        <w:outlineLvl w:val="0"/>
        <w:rPr>
          <w:rFonts w:asciiTheme="majorHAnsi" w:hAnsiTheme="majorHAnsi" w:cstheme="majorHAnsi"/>
          <w:b/>
          <w:vanish/>
          <w:sz w:val="28"/>
          <w:szCs w:val="28"/>
        </w:rPr>
      </w:pPr>
      <w:bookmarkStart w:id="545" w:name="_Toc51917016"/>
      <w:bookmarkStart w:id="546" w:name="_Toc51918856"/>
      <w:bookmarkStart w:id="547" w:name="_Toc51918731"/>
      <w:bookmarkStart w:id="548" w:name="_Toc51917017"/>
      <w:bookmarkStart w:id="549" w:name="_Toc51918857"/>
      <w:bookmarkStart w:id="550" w:name="_Toc51918732"/>
      <w:bookmarkStart w:id="551" w:name="_Toc51917018"/>
      <w:bookmarkStart w:id="552" w:name="_Toc51918858"/>
      <w:bookmarkStart w:id="553" w:name="_Toc51918733"/>
      <w:bookmarkStart w:id="554" w:name="_Toc51917019"/>
      <w:bookmarkStart w:id="555" w:name="_Toc51918859"/>
      <w:bookmarkStart w:id="556" w:name="_Toc51918734"/>
      <w:bookmarkStart w:id="557" w:name="_Toc51917020"/>
      <w:bookmarkStart w:id="558" w:name="_Toc51918860"/>
      <w:bookmarkStart w:id="559" w:name="_Toc51918735"/>
      <w:bookmarkStart w:id="560" w:name="_Toc50533620"/>
      <w:bookmarkStart w:id="561" w:name="_Toc50553770"/>
      <w:bookmarkStart w:id="562" w:name="_Toc50555006"/>
      <w:bookmarkStart w:id="563" w:name="_Toc50618140"/>
      <w:bookmarkStart w:id="564" w:name="_Toc50618421"/>
      <w:bookmarkStart w:id="565" w:name="_Toc51917021"/>
      <w:bookmarkStart w:id="566" w:name="_Toc51918861"/>
      <w:bookmarkStart w:id="567" w:name="_Toc51918736"/>
      <w:bookmarkStart w:id="568" w:name="_Toc53557244"/>
      <w:bookmarkStart w:id="569" w:name="_Toc54699286"/>
      <w:bookmarkStart w:id="570" w:name="_Toc55544820"/>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8ABB490" w14:textId="77777777" w:rsidR="003639AF" w:rsidRPr="0040787B" w:rsidRDefault="003639AF" w:rsidP="00254D36">
      <w:pPr>
        <w:pStyle w:val="ListParagraph"/>
        <w:numPr>
          <w:ilvl w:val="0"/>
          <w:numId w:val="17"/>
        </w:numPr>
        <w:spacing w:after="160" w:line="259" w:lineRule="auto"/>
        <w:contextualSpacing w:val="0"/>
        <w:jc w:val="both"/>
        <w:outlineLvl w:val="0"/>
        <w:rPr>
          <w:rFonts w:asciiTheme="majorHAnsi" w:hAnsiTheme="majorHAnsi" w:cstheme="majorHAnsi"/>
          <w:b/>
          <w:vanish/>
          <w:sz w:val="28"/>
          <w:szCs w:val="28"/>
        </w:rPr>
      </w:pPr>
      <w:bookmarkStart w:id="571" w:name="_Toc50533621"/>
      <w:bookmarkStart w:id="572" w:name="_Toc50553771"/>
      <w:bookmarkStart w:id="573" w:name="_Toc50555007"/>
      <w:bookmarkStart w:id="574" w:name="_Toc50618141"/>
      <w:bookmarkStart w:id="575" w:name="_Toc50618422"/>
      <w:bookmarkStart w:id="576" w:name="_Toc51917022"/>
      <w:bookmarkStart w:id="577" w:name="_Toc51918862"/>
      <w:bookmarkStart w:id="578" w:name="_Toc51918737"/>
      <w:bookmarkStart w:id="579" w:name="_Toc53557245"/>
      <w:bookmarkStart w:id="580" w:name="_Toc54699287"/>
      <w:bookmarkStart w:id="581" w:name="_Toc55544821"/>
      <w:bookmarkEnd w:id="571"/>
      <w:bookmarkEnd w:id="572"/>
      <w:bookmarkEnd w:id="573"/>
      <w:bookmarkEnd w:id="574"/>
      <w:bookmarkEnd w:id="575"/>
      <w:bookmarkEnd w:id="576"/>
      <w:bookmarkEnd w:id="577"/>
      <w:bookmarkEnd w:id="578"/>
      <w:bookmarkEnd w:id="579"/>
      <w:bookmarkEnd w:id="580"/>
      <w:bookmarkEnd w:id="581"/>
    </w:p>
    <w:p w14:paraId="7E3AD72B" w14:textId="77777777" w:rsidR="003639AF" w:rsidRPr="0040787B" w:rsidRDefault="003639AF" w:rsidP="00254D36">
      <w:pPr>
        <w:pStyle w:val="ListParagraph"/>
        <w:numPr>
          <w:ilvl w:val="0"/>
          <w:numId w:val="17"/>
        </w:numPr>
        <w:spacing w:after="160" w:line="259" w:lineRule="auto"/>
        <w:contextualSpacing w:val="0"/>
        <w:jc w:val="both"/>
        <w:outlineLvl w:val="0"/>
        <w:rPr>
          <w:rFonts w:asciiTheme="majorHAnsi" w:hAnsiTheme="majorHAnsi" w:cstheme="majorHAnsi"/>
          <w:b/>
          <w:vanish/>
          <w:sz w:val="28"/>
          <w:szCs w:val="28"/>
        </w:rPr>
      </w:pPr>
      <w:bookmarkStart w:id="582" w:name="_Toc50533622"/>
      <w:bookmarkStart w:id="583" w:name="_Toc50553772"/>
      <w:bookmarkStart w:id="584" w:name="_Toc50555008"/>
      <w:bookmarkStart w:id="585" w:name="_Toc50618142"/>
      <w:bookmarkStart w:id="586" w:name="_Toc50618423"/>
      <w:bookmarkStart w:id="587" w:name="_Toc51917023"/>
      <w:bookmarkStart w:id="588" w:name="_Toc51918863"/>
      <w:bookmarkStart w:id="589" w:name="_Toc51918738"/>
      <w:bookmarkStart w:id="590" w:name="_Toc53557246"/>
      <w:bookmarkStart w:id="591" w:name="_Toc54699288"/>
      <w:bookmarkStart w:id="592" w:name="_Toc55544822"/>
      <w:bookmarkEnd w:id="582"/>
      <w:bookmarkEnd w:id="583"/>
      <w:bookmarkEnd w:id="584"/>
      <w:bookmarkEnd w:id="585"/>
      <w:bookmarkEnd w:id="586"/>
      <w:bookmarkEnd w:id="587"/>
      <w:bookmarkEnd w:id="588"/>
      <w:bookmarkEnd w:id="589"/>
      <w:bookmarkEnd w:id="590"/>
      <w:bookmarkEnd w:id="591"/>
      <w:bookmarkEnd w:id="592"/>
    </w:p>
    <w:p w14:paraId="325D8B2D" w14:textId="77777777" w:rsidR="003639AF" w:rsidRPr="0040787B" w:rsidRDefault="003639AF" w:rsidP="00254D36">
      <w:pPr>
        <w:pStyle w:val="ListParagraph"/>
        <w:numPr>
          <w:ilvl w:val="0"/>
          <w:numId w:val="17"/>
        </w:numPr>
        <w:spacing w:after="160" w:line="259" w:lineRule="auto"/>
        <w:contextualSpacing w:val="0"/>
        <w:jc w:val="both"/>
        <w:outlineLvl w:val="0"/>
        <w:rPr>
          <w:rFonts w:asciiTheme="majorHAnsi" w:hAnsiTheme="majorHAnsi" w:cstheme="majorHAnsi"/>
          <w:b/>
          <w:vanish/>
          <w:sz w:val="28"/>
          <w:szCs w:val="28"/>
        </w:rPr>
      </w:pPr>
      <w:bookmarkStart w:id="593" w:name="_Toc50533623"/>
      <w:bookmarkStart w:id="594" w:name="_Toc50553773"/>
      <w:bookmarkStart w:id="595" w:name="_Toc50555009"/>
      <w:bookmarkStart w:id="596" w:name="_Toc50618143"/>
      <w:bookmarkStart w:id="597" w:name="_Toc50618424"/>
      <w:bookmarkStart w:id="598" w:name="_Toc51917024"/>
      <w:bookmarkStart w:id="599" w:name="_Toc51918864"/>
      <w:bookmarkStart w:id="600" w:name="_Toc51918739"/>
      <w:bookmarkStart w:id="601" w:name="_Toc53557247"/>
      <w:bookmarkStart w:id="602" w:name="_Toc54699289"/>
      <w:bookmarkStart w:id="603" w:name="_Toc55544823"/>
      <w:bookmarkEnd w:id="593"/>
      <w:bookmarkEnd w:id="594"/>
      <w:bookmarkEnd w:id="595"/>
      <w:bookmarkEnd w:id="596"/>
      <w:bookmarkEnd w:id="597"/>
      <w:bookmarkEnd w:id="598"/>
      <w:bookmarkEnd w:id="599"/>
      <w:bookmarkEnd w:id="600"/>
      <w:bookmarkEnd w:id="601"/>
      <w:bookmarkEnd w:id="602"/>
      <w:bookmarkEnd w:id="603"/>
    </w:p>
    <w:p w14:paraId="49B10F3E" w14:textId="267DB584" w:rsidR="003639AF" w:rsidRDefault="003639AF" w:rsidP="007057E6">
      <w:pPr>
        <w:pStyle w:val="Heading2"/>
        <w:keepNext w:val="0"/>
        <w:keepLines w:val="0"/>
        <w:numPr>
          <w:ilvl w:val="1"/>
          <w:numId w:val="17"/>
        </w:numPr>
        <w:shd w:val="clear" w:color="auto" w:fill="auto"/>
        <w:spacing w:before="240" w:line="259" w:lineRule="auto"/>
        <w:ind w:left="578" w:hanging="578"/>
        <w:jc w:val="both"/>
      </w:pPr>
      <w:bookmarkStart w:id="604" w:name="_Quantitative_stakeholder_views_1"/>
      <w:bookmarkStart w:id="605" w:name="_Toc51918740"/>
      <w:bookmarkStart w:id="606" w:name="_Ref53148841"/>
      <w:bookmarkStart w:id="607" w:name="_Toc55544824"/>
      <w:bookmarkEnd w:id="604"/>
      <w:r>
        <w:t>Quantitative stakeholder views on effectiveness—</w:t>
      </w:r>
      <w:r w:rsidR="00D53750">
        <w:t>o</w:t>
      </w:r>
      <w:r>
        <w:t>verall scheme intended outcomes</w:t>
      </w:r>
      <w:bookmarkEnd w:id="605"/>
      <w:bookmarkEnd w:id="606"/>
      <w:bookmarkEnd w:id="607"/>
    </w:p>
    <w:p w14:paraId="28A2ABD2" w14:textId="26602B57" w:rsidR="003639AF" w:rsidRPr="00036841" w:rsidRDefault="003639AF" w:rsidP="003639AF">
      <w:pPr>
        <w:spacing w:after="120"/>
        <w:rPr>
          <w:rFonts w:asciiTheme="majorHAnsi" w:hAnsiTheme="majorHAnsi" w:cstheme="majorHAnsi"/>
        </w:rPr>
      </w:pPr>
      <w:r>
        <w:rPr>
          <w:rFonts w:asciiTheme="majorHAnsi" w:hAnsiTheme="majorHAnsi" w:cstheme="majorHAnsi"/>
        </w:rPr>
        <w:t xml:space="preserve">As </w:t>
      </w:r>
      <w:r w:rsidRPr="00416DE8">
        <w:rPr>
          <w:rFonts w:asciiTheme="majorHAnsi" w:hAnsiTheme="majorHAnsi" w:cstheme="majorHAnsi"/>
        </w:rPr>
        <w:t xml:space="preserve">documented in </w:t>
      </w:r>
      <w:r w:rsidRPr="00416DE8">
        <w:rPr>
          <w:rFonts w:asciiTheme="majorHAnsi" w:hAnsiTheme="majorHAnsi" w:cstheme="majorHAnsi"/>
        </w:rPr>
        <w:fldChar w:fldCharType="begin"/>
      </w:r>
      <w:r w:rsidRPr="00416DE8">
        <w:rPr>
          <w:rFonts w:asciiTheme="majorHAnsi" w:hAnsiTheme="majorHAnsi" w:cstheme="majorHAnsi"/>
        </w:rPr>
        <w:instrText xml:space="preserve"> REF _Ref46125906 \h  \* MERGEFORMAT </w:instrText>
      </w:r>
      <w:r w:rsidRPr="00416DE8">
        <w:rPr>
          <w:rFonts w:asciiTheme="majorHAnsi" w:hAnsiTheme="majorHAnsi" w:cstheme="majorHAnsi"/>
        </w:rPr>
      </w:r>
      <w:r w:rsidRPr="00416DE8">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32</w:t>
      </w:r>
      <w:r w:rsidRPr="00416DE8">
        <w:rPr>
          <w:rFonts w:asciiTheme="majorHAnsi" w:hAnsiTheme="majorHAnsi" w:cstheme="majorHAnsi"/>
        </w:rPr>
        <w:fldChar w:fldCharType="end"/>
      </w:r>
      <w:r w:rsidRPr="00416DE8">
        <w:rPr>
          <w:rFonts w:asciiTheme="majorHAnsi" w:hAnsiTheme="majorHAnsi" w:cstheme="majorHAnsi"/>
        </w:rPr>
        <w:t>, researchers</w:t>
      </w:r>
      <w:r w:rsidRPr="00036841">
        <w:rPr>
          <w:rFonts w:asciiTheme="majorHAnsi" w:hAnsiTheme="majorHAnsi" w:cstheme="majorHAnsi"/>
        </w:rPr>
        <w:t xml:space="preserve"> surveyed</w:t>
      </w:r>
      <w:r>
        <w:rPr>
          <w:rFonts w:asciiTheme="majorHAnsi" w:hAnsiTheme="majorHAnsi" w:cstheme="majorHAnsi"/>
        </w:rPr>
        <w:t xml:space="preserve"> generally</w:t>
      </w:r>
      <w:r w:rsidRPr="00036841">
        <w:rPr>
          <w:rFonts w:asciiTheme="majorHAnsi" w:hAnsiTheme="majorHAnsi" w:cstheme="majorHAnsi"/>
        </w:rPr>
        <w:t xml:space="preserve"> agreed or strongly agreed that the </w:t>
      </w:r>
      <w:r>
        <w:rPr>
          <w:rFonts w:asciiTheme="majorHAnsi" w:hAnsiTheme="majorHAnsi" w:cstheme="majorHAnsi"/>
        </w:rPr>
        <w:t xml:space="preserve">ARC’s implementation of the </w:t>
      </w:r>
      <w:r w:rsidRPr="00036841">
        <w:rPr>
          <w:rFonts w:asciiTheme="majorHAnsi" w:hAnsiTheme="majorHAnsi" w:cstheme="majorHAnsi"/>
        </w:rPr>
        <w:t xml:space="preserve">Discovery Projects scheme </w:t>
      </w:r>
      <w:r>
        <w:rPr>
          <w:rFonts w:asciiTheme="majorHAnsi" w:hAnsiTheme="majorHAnsi" w:cstheme="majorHAnsi"/>
        </w:rPr>
        <w:t>effectively supports</w:t>
      </w:r>
      <w:r w:rsidRPr="00036841">
        <w:rPr>
          <w:rFonts w:asciiTheme="majorHAnsi" w:hAnsiTheme="majorHAnsi" w:cstheme="majorHAnsi"/>
        </w:rPr>
        <w:t xml:space="preserve"> both an expanded Australian knowledge base and research capacity (81</w:t>
      </w:r>
      <w:r w:rsidR="00881630">
        <w:rPr>
          <w:rFonts w:asciiTheme="majorHAnsi" w:hAnsiTheme="majorHAnsi" w:cstheme="majorHAnsi"/>
        </w:rPr>
        <w:t xml:space="preserve"> per cent</w:t>
      </w:r>
      <w:r w:rsidRPr="00036841">
        <w:rPr>
          <w:rFonts w:asciiTheme="majorHAnsi" w:hAnsiTheme="majorHAnsi" w:cstheme="majorHAnsi"/>
        </w:rPr>
        <w:t xml:space="preserve">), </w:t>
      </w:r>
      <w:r>
        <w:rPr>
          <w:rFonts w:asciiTheme="majorHAnsi" w:hAnsiTheme="majorHAnsi" w:cstheme="majorHAnsi"/>
        </w:rPr>
        <w:t>and</w:t>
      </w:r>
      <w:r w:rsidRPr="00036841">
        <w:rPr>
          <w:rFonts w:asciiTheme="majorHAnsi" w:hAnsiTheme="majorHAnsi" w:cstheme="majorHAnsi"/>
        </w:rPr>
        <w:t xml:space="preserve"> economic, commercial, environmental, social and</w:t>
      </w:r>
      <w:r>
        <w:rPr>
          <w:rFonts w:asciiTheme="majorHAnsi" w:hAnsiTheme="majorHAnsi" w:cstheme="majorHAnsi"/>
        </w:rPr>
        <w:t>/or</w:t>
      </w:r>
      <w:r w:rsidRPr="00036841">
        <w:rPr>
          <w:rFonts w:asciiTheme="majorHAnsi" w:hAnsiTheme="majorHAnsi" w:cstheme="majorHAnsi"/>
        </w:rPr>
        <w:t xml:space="preserve"> cultural benefits (67</w:t>
      </w:r>
      <w:r w:rsidR="00881630">
        <w:rPr>
          <w:rFonts w:asciiTheme="majorHAnsi" w:hAnsiTheme="majorHAnsi" w:cstheme="majorHAnsi"/>
        </w:rPr>
        <w:t xml:space="preserve"> per cent</w:t>
      </w:r>
      <w:r w:rsidRPr="00036841">
        <w:rPr>
          <w:rFonts w:asciiTheme="majorHAnsi" w:hAnsiTheme="majorHAnsi" w:cstheme="majorHAnsi"/>
        </w:rPr>
        <w:t xml:space="preserve">). The stronger perception of effectiveness in relation to expanding Australia’s knowledge base and research capacity is likely to reflect </w:t>
      </w:r>
      <w:r>
        <w:rPr>
          <w:rFonts w:asciiTheme="majorHAnsi" w:hAnsiTheme="majorHAnsi" w:cstheme="majorHAnsi"/>
        </w:rPr>
        <w:t>the scheme’s</w:t>
      </w:r>
      <w:r w:rsidRPr="00036841">
        <w:rPr>
          <w:rFonts w:asciiTheme="majorHAnsi" w:hAnsiTheme="majorHAnsi" w:cstheme="majorHAnsi"/>
        </w:rPr>
        <w:t xml:space="preserve"> </w:t>
      </w:r>
      <w:r>
        <w:rPr>
          <w:rFonts w:asciiTheme="majorHAnsi" w:hAnsiTheme="majorHAnsi" w:cstheme="majorHAnsi"/>
        </w:rPr>
        <w:t xml:space="preserve">significant focus </w:t>
      </w:r>
      <w:r w:rsidRPr="00036841">
        <w:rPr>
          <w:rFonts w:asciiTheme="majorHAnsi" w:hAnsiTheme="majorHAnsi" w:cstheme="majorHAnsi"/>
        </w:rPr>
        <w:t>on su</w:t>
      </w:r>
      <w:r>
        <w:rPr>
          <w:rFonts w:asciiTheme="majorHAnsi" w:hAnsiTheme="majorHAnsi" w:cstheme="majorHAnsi"/>
        </w:rPr>
        <w:t xml:space="preserve">pporting basic </w:t>
      </w:r>
      <w:r w:rsidRPr="00FC3E13">
        <w:rPr>
          <w:rFonts w:asciiTheme="majorHAnsi" w:hAnsiTheme="majorHAnsi" w:cstheme="majorHAnsi"/>
        </w:rPr>
        <w:t xml:space="preserve">research (see </w:t>
      </w:r>
      <w:hyperlink w:anchor="_ARC_data—excellent_basic" w:history="1">
        <w:r w:rsidRPr="00281670">
          <w:rPr>
            <w:rStyle w:val="Hyperlink"/>
            <w:rFonts w:cstheme="majorHAnsi"/>
            <w:color w:val="auto"/>
            <w:sz w:val="22"/>
            <w:u w:val="none"/>
          </w:rPr>
          <w:t xml:space="preserve">Section </w:t>
        </w:r>
        <w:r w:rsidR="00786487" w:rsidRPr="00281670">
          <w:rPr>
            <w:rStyle w:val="Hyperlink"/>
            <w:rFonts w:cstheme="majorHAnsi"/>
            <w:color w:val="auto"/>
            <w:sz w:val="22"/>
            <w:u w:val="none"/>
          </w:rPr>
          <w:t>3.2.1</w:t>
        </w:r>
      </w:hyperlink>
      <w:r w:rsidRPr="00FC3E13">
        <w:rPr>
          <w:rFonts w:asciiTheme="majorHAnsi" w:hAnsiTheme="majorHAnsi" w:cstheme="majorHAnsi"/>
        </w:rPr>
        <w:t>).</w:t>
      </w:r>
      <w:r w:rsidRPr="002A3268" w:rsidDel="00F35402">
        <w:rPr>
          <w:rFonts w:asciiTheme="majorHAnsi" w:hAnsiTheme="majorHAnsi" w:cstheme="majorHAnsi"/>
        </w:rPr>
        <w:t xml:space="preserve"> </w:t>
      </w:r>
    </w:p>
    <w:p w14:paraId="03A65928" w14:textId="09C413F5" w:rsidR="003639AF" w:rsidRPr="00036841" w:rsidRDefault="003639AF" w:rsidP="00751469">
      <w:pPr>
        <w:pStyle w:val="FigureTitle"/>
        <w:rPr>
          <w:i/>
        </w:rPr>
      </w:pPr>
      <w:bookmarkStart w:id="608" w:name="_Ref46125906"/>
      <w:r w:rsidRPr="00036841">
        <w:t xml:space="preserve">Figure </w:t>
      </w:r>
      <w:r w:rsidR="00857467">
        <w:fldChar w:fldCharType="begin"/>
      </w:r>
      <w:r w:rsidR="00857467">
        <w:instrText xml:space="preserve"> SEQ Figure \* ARABIC </w:instrText>
      </w:r>
      <w:r w:rsidR="00857467">
        <w:fldChar w:fldCharType="separate"/>
      </w:r>
      <w:r w:rsidR="00AB03D7">
        <w:rPr>
          <w:noProof/>
        </w:rPr>
        <w:t>32</w:t>
      </w:r>
      <w:r w:rsidR="00857467">
        <w:rPr>
          <w:noProof/>
        </w:rPr>
        <w:fldChar w:fldCharType="end"/>
      </w:r>
      <w:bookmarkEnd w:id="608"/>
      <w:r w:rsidRPr="00036841">
        <w:t xml:space="preserve">: Level of agreement that </w:t>
      </w:r>
      <w:r>
        <w:t xml:space="preserve">ARC implementation of </w:t>
      </w:r>
      <w:r w:rsidRPr="00036841">
        <w:t xml:space="preserve">Discovery </w:t>
      </w:r>
      <w:r>
        <w:t>Projects effectively supports scheme intended outcomes</w:t>
      </w:r>
    </w:p>
    <w:p w14:paraId="1FB6FA0C" w14:textId="71E39532" w:rsidR="003639AF" w:rsidRPr="00036841" w:rsidRDefault="000E5749" w:rsidP="003639AF">
      <w:r>
        <w:rPr>
          <w:noProof/>
        </w:rPr>
        <w:drawing>
          <wp:inline distT="0" distB="0" distL="0" distR="0" wp14:anchorId="5DE67F6E" wp14:editId="5978C79E">
            <wp:extent cx="5730875" cy="1993265"/>
            <wp:effectExtent l="0" t="0" r="3175" b="6985"/>
            <wp:docPr id="90" name="Picture 90" descr="Figure 32 is a graph showing the level of agreement among researchers surveyed that the Discovery Projects scheme is effectively achieving its intended outcomes.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32 is a graph showing the level of agreement among researchers surveyed that the Discovery Projects scheme is effectively achieving its intended outcomes. See text above graph for more inform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1993265"/>
                    </a:xfrm>
                    <a:prstGeom prst="rect">
                      <a:avLst/>
                    </a:prstGeom>
                    <a:noFill/>
                  </pic:spPr>
                </pic:pic>
              </a:graphicData>
            </a:graphic>
          </wp:inline>
        </w:drawing>
      </w:r>
    </w:p>
    <w:p w14:paraId="49A35FC6" w14:textId="77777777" w:rsidR="003639AF" w:rsidRPr="008E216D" w:rsidRDefault="003639AF" w:rsidP="003639AF">
      <w:pPr>
        <w:spacing w:after="120"/>
        <w:rPr>
          <w:rFonts w:asciiTheme="majorHAnsi" w:hAnsiTheme="majorHAnsi" w:cstheme="majorHAnsi"/>
          <w:sz w:val="16"/>
          <w:szCs w:val="16"/>
        </w:rPr>
      </w:pPr>
      <w:r>
        <w:rPr>
          <w:rFonts w:asciiTheme="majorHAnsi" w:hAnsiTheme="majorHAnsi" w:cstheme="majorHAnsi"/>
          <w:sz w:val="16"/>
          <w:szCs w:val="16"/>
        </w:rPr>
        <w:t xml:space="preserve">Source: Kantar, Public Division. </w:t>
      </w:r>
      <w:r>
        <w:rPr>
          <w:rFonts w:asciiTheme="majorHAnsi" w:hAnsiTheme="majorHAnsi" w:cstheme="majorHAnsi"/>
          <w:i/>
          <w:sz w:val="16"/>
          <w:szCs w:val="16"/>
        </w:rPr>
        <w:t xml:space="preserve">Note: </w:t>
      </w:r>
      <w:r w:rsidRPr="009A11FB">
        <w:rPr>
          <w:rFonts w:asciiTheme="majorHAnsi" w:hAnsiTheme="majorHAnsi" w:cstheme="majorHAnsi"/>
          <w:i/>
          <w:sz w:val="16"/>
          <w:szCs w:val="16"/>
        </w:rPr>
        <w:t>(n=3</w:t>
      </w:r>
      <w:r>
        <w:rPr>
          <w:rFonts w:asciiTheme="majorHAnsi" w:hAnsiTheme="majorHAnsi" w:cstheme="majorHAnsi"/>
          <w:i/>
          <w:sz w:val="16"/>
          <w:szCs w:val="16"/>
        </w:rPr>
        <w:t>030</w:t>
      </w:r>
      <w:r w:rsidRPr="008E216D">
        <w:rPr>
          <w:rFonts w:asciiTheme="majorHAnsi" w:hAnsiTheme="majorHAnsi" w:cstheme="majorHAnsi"/>
          <w:i/>
          <w:sz w:val="16"/>
          <w:szCs w:val="16"/>
        </w:rPr>
        <w:t>).</w:t>
      </w:r>
    </w:p>
    <w:p w14:paraId="164DBB90" w14:textId="3AD00034" w:rsidR="003639AF" w:rsidRPr="00B33D27" w:rsidRDefault="004B23FC" w:rsidP="007057E6">
      <w:pPr>
        <w:rPr>
          <w:rFonts w:asciiTheme="majorHAnsi" w:hAnsiTheme="majorHAnsi" w:cstheme="majorHAnsi"/>
          <w:b/>
          <w:color w:val="000000" w:themeColor="text1"/>
        </w:rPr>
      </w:pPr>
      <w:r w:rsidRPr="007E2F6C">
        <w:rPr>
          <w:rFonts w:asciiTheme="majorHAnsi" w:hAnsiTheme="majorHAnsi" w:cstheme="majorHAnsi"/>
        </w:rPr>
        <w:fldChar w:fldCharType="begin"/>
      </w:r>
      <w:r w:rsidRPr="004B23FC">
        <w:rPr>
          <w:rFonts w:asciiTheme="majorHAnsi" w:hAnsiTheme="majorHAnsi" w:cstheme="majorHAnsi"/>
        </w:rPr>
        <w:instrText xml:space="preserve"> REF _Ref52283022 \h </w:instrText>
      </w:r>
      <w:r w:rsidRPr="007057E6">
        <w:rPr>
          <w:rFonts w:asciiTheme="majorHAnsi" w:hAnsiTheme="majorHAnsi" w:cstheme="majorHAnsi"/>
        </w:rPr>
        <w:instrText xml:space="preserve"> \* MERGEFORMAT </w:instrText>
      </w:r>
      <w:r w:rsidRPr="007E2F6C">
        <w:rPr>
          <w:rFonts w:asciiTheme="majorHAnsi" w:hAnsiTheme="majorHAnsi" w:cstheme="majorHAnsi"/>
        </w:rPr>
      </w:r>
      <w:r w:rsidRPr="007E2F6C">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Table </w:t>
      </w:r>
      <w:r w:rsidR="00AB03D7" w:rsidRPr="00AB03D7">
        <w:rPr>
          <w:rFonts w:asciiTheme="majorHAnsi" w:hAnsiTheme="majorHAnsi" w:cstheme="majorHAnsi"/>
          <w:noProof/>
          <w:color w:val="000000" w:themeColor="text1"/>
        </w:rPr>
        <w:t>3</w:t>
      </w:r>
      <w:r w:rsidRPr="007E2F6C">
        <w:rPr>
          <w:rFonts w:asciiTheme="majorHAnsi" w:hAnsiTheme="majorHAnsi" w:cstheme="majorHAnsi"/>
        </w:rPr>
        <w:fldChar w:fldCharType="end"/>
      </w:r>
      <w:r w:rsidRPr="00EF767A">
        <w:rPr>
          <w:rFonts w:asciiTheme="majorHAnsi" w:hAnsiTheme="majorHAnsi" w:cstheme="majorHAnsi"/>
        </w:rPr>
        <w:t xml:space="preserve"> </w:t>
      </w:r>
      <w:r w:rsidR="003639AF" w:rsidRPr="004B23FC">
        <w:rPr>
          <w:rFonts w:asciiTheme="majorHAnsi" w:hAnsiTheme="majorHAnsi" w:cstheme="majorHAnsi"/>
        </w:rPr>
        <w:t>represents</w:t>
      </w:r>
      <w:r w:rsidR="003639AF" w:rsidRPr="00A345DF">
        <w:rPr>
          <w:rFonts w:asciiTheme="majorHAnsi" w:hAnsiTheme="majorHAnsi" w:cstheme="majorHAnsi"/>
        </w:rPr>
        <w:t xml:space="preserve"> the percentage of researcher</w:t>
      </w:r>
      <w:r w:rsidR="003639AF">
        <w:rPr>
          <w:rFonts w:asciiTheme="majorHAnsi" w:hAnsiTheme="majorHAnsi" w:cstheme="majorHAnsi"/>
        </w:rPr>
        <w:t xml:space="preserve">s—grouped according to the characteristics of their most recently completed project under the scheme—who </w:t>
      </w:r>
      <w:r w:rsidR="003639AF" w:rsidRPr="00A345DF">
        <w:rPr>
          <w:rFonts w:asciiTheme="majorHAnsi" w:hAnsiTheme="majorHAnsi" w:cstheme="majorHAnsi"/>
        </w:rPr>
        <w:t>agree</w:t>
      </w:r>
      <w:r w:rsidR="003639AF">
        <w:rPr>
          <w:rFonts w:asciiTheme="majorHAnsi" w:hAnsiTheme="majorHAnsi" w:cstheme="majorHAnsi"/>
        </w:rPr>
        <w:t>d</w:t>
      </w:r>
      <w:r w:rsidR="003639AF" w:rsidRPr="00A345DF">
        <w:rPr>
          <w:rFonts w:asciiTheme="majorHAnsi" w:hAnsiTheme="majorHAnsi" w:cstheme="majorHAnsi"/>
        </w:rPr>
        <w:t xml:space="preserve"> or strongly agree</w:t>
      </w:r>
      <w:r w:rsidR="003639AF">
        <w:rPr>
          <w:rFonts w:asciiTheme="majorHAnsi" w:hAnsiTheme="majorHAnsi" w:cstheme="majorHAnsi"/>
        </w:rPr>
        <w:t>d</w:t>
      </w:r>
      <w:r w:rsidR="003639AF" w:rsidRPr="00A345DF">
        <w:rPr>
          <w:rFonts w:asciiTheme="majorHAnsi" w:hAnsiTheme="majorHAnsi" w:cstheme="majorHAnsi"/>
        </w:rPr>
        <w:t xml:space="preserve"> that </w:t>
      </w:r>
      <w:r w:rsidR="003639AF">
        <w:rPr>
          <w:rFonts w:asciiTheme="majorHAnsi" w:hAnsiTheme="majorHAnsi" w:cstheme="majorHAnsi"/>
        </w:rPr>
        <w:t xml:space="preserve">the ARC’s implementation of </w:t>
      </w:r>
      <w:r w:rsidR="003639AF" w:rsidRPr="00A345DF">
        <w:rPr>
          <w:rFonts w:asciiTheme="majorHAnsi" w:hAnsiTheme="majorHAnsi" w:cstheme="majorHAnsi"/>
        </w:rPr>
        <w:t xml:space="preserve">Discovery Projects effectively supports the achievement of scheme </w:t>
      </w:r>
      <w:r w:rsidR="003639AF">
        <w:rPr>
          <w:rFonts w:asciiTheme="majorHAnsi" w:hAnsiTheme="majorHAnsi" w:cstheme="majorHAnsi"/>
        </w:rPr>
        <w:t xml:space="preserve">intended outcomes. </w:t>
      </w:r>
    </w:p>
    <w:p w14:paraId="6BF56BCE" w14:textId="79596D41" w:rsidR="0067384D" w:rsidRPr="0067384D" w:rsidRDefault="0067384D" w:rsidP="00672942">
      <w:pPr>
        <w:pStyle w:val="TableTitle"/>
        <w:rPr>
          <w:i/>
        </w:rPr>
      </w:pPr>
      <w:bookmarkStart w:id="609" w:name="_Ref52283022"/>
      <w:r w:rsidRPr="0067384D">
        <w:lastRenderedPageBreak/>
        <w:t xml:space="preserve">Table </w:t>
      </w:r>
      <w:r w:rsidR="00857467">
        <w:fldChar w:fldCharType="begin"/>
      </w:r>
      <w:r w:rsidR="00857467">
        <w:instrText xml:space="preserve"> SEQ Table \* ARABIC </w:instrText>
      </w:r>
      <w:r w:rsidR="00857467">
        <w:fldChar w:fldCharType="separate"/>
      </w:r>
      <w:r w:rsidR="00AB03D7">
        <w:rPr>
          <w:noProof/>
        </w:rPr>
        <w:t>3</w:t>
      </w:r>
      <w:r w:rsidR="00857467">
        <w:rPr>
          <w:noProof/>
        </w:rPr>
        <w:fldChar w:fldCharType="end"/>
      </w:r>
      <w:bookmarkEnd w:id="609"/>
      <w:r w:rsidRPr="0067384D">
        <w:t>: Proportion of researchers agreeing that ARC implementation of Discovery Projects effectively supports the achievement of scheme intended outcomes, by most recently completed Discovery Projects research characteristics</w:t>
      </w:r>
    </w:p>
    <w:tbl>
      <w:tblPr>
        <w:tblStyle w:val="GridTable41"/>
        <w:tblW w:w="9209" w:type="dxa"/>
        <w:tblLayout w:type="fixed"/>
        <w:tblLook w:val="04A0" w:firstRow="1" w:lastRow="0" w:firstColumn="1" w:lastColumn="0" w:noHBand="0" w:noVBand="1"/>
        <w:tblCaption w:val="Table 3: Proportion of researchers agreeing that ARC implementation of Discovery Projects effectively supports the achievement of scheme intended outcomes, by most recently completed Discovery Projects research characteristics"/>
        <w:tblDescription w:val="Table 3 indicates the proportion of researchers surveyed agreeing or strongly agreeing that ARC implementation of Discovery Projects effectively supports the achievement of scheme intended outcomes. Researchers have been subcategorised according to information from their most recently completed Discovery Project. See text below table for more information.&#10;"/>
      </w:tblPr>
      <w:tblGrid>
        <w:gridCol w:w="1413"/>
        <w:gridCol w:w="567"/>
        <w:gridCol w:w="566"/>
        <w:gridCol w:w="851"/>
        <w:gridCol w:w="851"/>
        <w:gridCol w:w="851"/>
        <w:gridCol w:w="709"/>
        <w:gridCol w:w="721"/>
        <w:gridCol w:w="850"/>
        <w:gridCol w:w="851"/>
        <w:gridCol w:w="979"/>
      </w:tblGrid>
      <w:tr w:rsidR="0067384D" w:rsidRPr="008E216D" w14:paraId="09687CB9" w14:textId="77777777" w:rsidTr="00AC60D6">
        <w:trPr>
          <w:cnfStyle w:val="100000000000" w:firstRow="1" w:lastRow="0" w:firstColumn="0" w:lastColumn="0" w:oddVBand="0" w:evenVBand="0" w:oddHBand="0" w:evenHBand="0" w:firstRowFirstColumn="0" w:firstRowLastColumn="0" w:lastRowFirstColumn="0" w:lastRowLastColumn="0"/>
          <w:cantSplit/>
          <w:trHeight w:val="383"/>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262626"/>
            <w:vAlign w:val="bottom"/>
          </w:tcPr>
          <w:p w14:paraId="3F214A7F" w14:textId="77777777" w:rsidR="0067384D" w:rsidRPr="008E216D" w:rsidRDefault="0067384D" w:rsidP="00AC60D6">
            <w:pPr>
              <w:spacing w:before="120" w:after="120"/>
              <w:rPr>
                <w:rFonts w:cstheme="minorHAnsi"/>
                <w:sz w:val="15"/>
                <w:szCs w:val="15"/>
              </w:rPr>
            </w:pPr>
          </w:p>
        </w:tc>
        <w:tc>
          <w:tcPr>
            <w:tcW w:w="7796" w:type="dxa"/>
            <w:gridSpan w:val="10"/>
            <w:tcBorders>
              <w:top w:val="single" w:sz="4" w:space="0" w:color="262626"/>
              <w:left w:val="single" w:sz="4" w:space="0" w:color="262626"/>
              <w:bottom w:val="single" w:sz="4" w:space="0" w:color="262626"/>
              <w:right w:val="single" w:sz="4" w:space="0" w:color="262626"/>
            </w:tcBorders>
            <w:shd w:val="clear" w:color="auto" w:fill="262626"/>
          </w:tcPr>
          <w:p w14:paraId="7B33B30A" w14:textId="77777777" w:rsidR="0067384D" w:rsidRPr="002D4EFF" w:rsidRDefault="0067384D" w:rsidP="00AC60D6">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rPr>
              <w:t>Research Project Characteristics</w:t>
            </w:r>
          </w:p>
        </w:tc>
      </w:tr>
      <w:tr w:rsidR="0067384D" w:rsidRPr="008E216D" w14:paraId="32DBCE8E" w14:textId="77777777" w:rsidTr="00353F27">
        <w:trPr>
          <w:cnfStyle w:val="000000100000" w:firstRow="0" w:lastRow="0" w:firstColumn="0" w:lastColumn="0" w:oddVBand="0" w:evenVBand="0" w:oddHBand="1" w:evenHBand="0" w:firstRowFirstColumn="0" w:firstRowLastColumn="0" w:lastRowFirstColumn="0" w:lastRowLastColumn="0"/>
          <w:cantSplit/>
          <w:trHeight w:val="132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262626"/>
            <w:vAlign w:val="bottom"/>
          </w:tcPr>
          <w:p w14:paraId="088582E0" w14:textId="77777777" w:rsidR="0067384D" w:rsidRPr="0020780E" w:rsidRDefault="0067384D" w:rsidP="00AC60D6">
            <w:pPr>
              <w:spacing w:before="120" w:after="120"/>
              <w:rPr>
                <w:rFonts w:cstheme="minorHAnsi"/>
                <w:color w:val="FFFFFF"/>
                <w:sz w:val="16"/>
                <w:szCs w:val="16"/>
              </w:rPr>
            </w:pPr>
            <w:r w:rsidRPr="0020780E">
              <w:rPr>
                <w:rFonts w:cstheme="minorHAnsi"/>
                <w:color w:val="FFFFFF"/>
                <w:sz w:val="16"/>
                <w:szCs w:val="16"/>
              </w:rPr>
              <w:t>Intended outcome</w:t>
            </w:r>
          </w:p>
        </w:tc>
        <w:tc>
          <w:tcPr>
            <w:tcW w:w="567"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04FA91A9" w14:textId="77777777"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STEM</w:t>
            </w:r>
          </w:p>
        </w:tc>
        <w:tc>
          <w:tcPr>
            <w:tcW w:w="566"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1BB2C269" w14:textId="77777777"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HASS</w:t>
            </w:r>
          </w:p>
        </w:tc>
        <w:tc>
          <w:tcPr>
            <w:tcW w:w="851"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33D8EA98" w14:textId="4CED7316"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 xml:space="preserve">Completed </w:t>
            </w:r>
            <w:r>
              <w:rPr>
                <w:rFonts w:cstheme="minorHAnsi"/>
                <w:b/>
                <w:color w:val="FFFFFF"/>
                <w:sz w:val="16"/>
                <w:szCs w:val="16"/>
              </w:rPr>
              <w:t xml:space="preserve">Project </w:t>
            </w:r>
            <w:r w:rsidRPr="008E216D">
              <w:rPr>
                <w:rFonts w:cstheme="minorHAnsi"/>
                <w:b/>
                <w:color w:val="FFFFFF"/>
                <w:sz w:val="16"/>
                <w:szCs w:val="16"/>
              </w:rPr>
              <w:t>2018 or later</w:t>
            </w:r>
          </w:p>
        </w:tc>
        <w:tc>
          <w:tcPr>
            <w:tcW w:w="851"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23ACA8C1" w14:textId="0F7BDADD"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 xml:space="preserve">Completed </w:t>
            </w:r>
            <w:r>
              <w:rPr>
                <w:rFonts w:cstheme="minorHAnsi"/>
                <w:b/>
                <w:color w:val="FFFFFF"/>
                <w:sz w:val="16"/>
                <w:szCs w:val="16"/>
              </w:rPr>
              <w:t xml:space="preserve">Project </w:t>
            </w:r>
            <w:r w:rsidRPr="008E216D">
              <w:rPr>
                <w:rFonts w:cstheme="minorHAnsi"/>
                <w:b/>
                <w:color w:val="FFFFFF"/>
                <w:sz w:val="16"/>
                <w:szCs w:val="16"/>
              </w:rPr>
              <w:t>2011– 2017</w:t>
            </w:r>
          </w:p>
        </w:tc>
        <w:tc>
          <w:tcPr>
            <w:tcW w:w="851"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31D2BE4B" w14:textId="6D0982F4"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 xml:space="preserve">Completed </w:t>
            </w:r>
            <w:r>
              <w:rPr>
                <w:rFonts w:cstheme="minorHAnsi"/>
                <w:b/>
                <w:color w:val="FFFFFF"/>
                <w:sz w:val="16"/>
                <w:szCs w:val="16"/>
              </w:rPr>
              <w:t xml:space="preserve">Project </w:t>
            </w:r>
            <w:r w:rsidRPr="008E216D">
              <w:rPr>
                <w:rFonts w:cstheme="minorHAnsi"/>
                <w:b/>
                <w:color w:val="FFFFFF"/>
                <w:sz w:val="16"/>
                <w:szCs w:val="16"/>
              </w:rPr>
              <w:t>2010 or earlier</w:t>
            </w:r>
          </w:p>
        </w:tc>
        <w:tc>
          <w:tcPr>
            <w:tcW w:w="709"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7CDB1657" w14:textId="77777777"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Basic</w:t>
            </w:r>
          </w:p>
        </w:tc>
        <w:tc>
          <w:tcPr>
            <w:tcW w:w="721"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7BF4F24D" w14:textId="77777777"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Applied</w:t>
            </w:r>
          </w:p>
        </w:tc>
        <w:tc>
          <w:tcPr>
            <w:tcW w:w="850"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7F0066FC" w14:textId="77777777"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Basic and Applied Combined</w:t>
            </w:r>
          </w:p>
        </w:tc>
        <w:tc>
          <w:tcPr>
            <w:tcW w:w="851"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4D7BCADB" w14:textId="77777777"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International Collaboration</w:t>
            </w:r>
          </w:p>
        </w:tc>
        <w:tc>
          <w:tcPr>
            <w:tcW w:w="979"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21221066" w14:textId="77777777" w:rsidR="0067384D" w:rsidRPr="008E216D" w:rsidRDefault="0067384D"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8E216D">
              <w:rPr>
                <w:rFonts w:cstheme="minorHAnsi"/>
                <w:b/>
                <w:color w:val="FFFFFF"/>
                <w:sz w:val="16"/>
                <w:szCs w:val="16"/>
              </w:rPr>
              <w:t>No International Collaboration</w:t>
            </w:r>
          </w:p>
        </w:tc>
      </w:tr>
      <w:tr w:rsidR="0067384D" w:rsidRPr="008E216D" w14:paraId="2C9712C7" w14:textId="77777777" w:rsidTr="00353F27">
        <w:trPr>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tcPr>
          <w:p w14:paraId="358FEB96" w14:textId="77777777" w:rsidR="0067384D" w:rsidRPr="008E216D" w:rsidRDefault="0067384D" w:rsidP="00AC60D6">
            <w:pPr>
              <w:spacing w:before="120" w:after="120"/>
              <w:rPr>
                <w:rFonts w:cstheme="minorHAnsi"/>
                <w:sz w:val="16"/>
                <w:szCs w:val="16"/>
              </w:rPr>
            </w:pPr>
            <w:r w:rsidRPr="008972E6">
              <w:rPr>
                <w:sz w:val="16"/>
              </w:rPr>
              <w:t>An expanded knowledge base and research capacity in Australia</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D4DB6B3" w14:textId="77777777" w:rsidR="0067384D" w:rsidRPr="00050744"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50744">
              <w:rPr>
                <w:sz w:val="18"/>
                <w:szCs w:val="18"/>
              </w:rPr>
              <w:t>81%</w:t>
            </w:r>
          </w:p>
        </w:tc>
        <w:tc>
          <w:tcPr>
            <w:tcW w:w="56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966EFBB" w14:textId="77777777" w:rsidR="0067384D" w:rsidRPr="00050744"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50744">
              <w:rPr>
                <w:sz w:val="18"/>
                <w:szCs w:val="18"/>
              </w:rPr>
              <w:t>81%</w:t>
            </w:r>
          </w:p>
        </w:tc>
        <w:tc>
          <w:tcPr>
            <w:tcW w:w="851"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31C9226F" w14:textId="77777777" w:rsidR="0067384D"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050744">
              <w:rPr>
                <w:sz w:val="18"/>
                <w:szCs w:val="18"/>
              </w:rPr>
              <w:t>85%</w:t>
            </w:r>
          </w:p>
          <w:p w14:paraId="5D07B8C4" w14:textId="0C3ACEAD" w:rsidR="007B0C39" w:rsidRPr="00050744" w:rsidRDefault="007B0C3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C481D42" w14:textId="77777777" w:rsidR="0067384D" w:rsidRPr="00050744"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50744">
              <w:rPr>
                <w:sz w:val="18"/>
                <w:szCs w:val="18"/>
              </w:rPr>
              <w:t>78%</w:t>
            </w:r>
          </w:p>
        </w:tc>
        <w:tc>
          <w:tcPr>
            <w:tcW w:w="851"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77C53D99" w14:textId="77777777" w:rsidR="0067384D"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050744">
              <w:rPr>
                <w:sz w:val="18"/>
                <w:szCs w:val="18"/>
              </w:rPr>
              <w:t>72%</w:t>
            </w:r>
          </w:p>
          <w:p w14:paraId="45972F96" w14:textId="64D91A74" w:rsidR="007B0C39" w:rsidRPr="00050744" w:rsidRDefault="007B0C3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0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40979B0" w14:textId="77777777" w:rsidR="0067384D" w:rsidRPr="00050744"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50744">
              <w:rPr>
                <w:sz w:val="18"/>
                <w:szCs w:val="18"/>
              </w:rPr>
              <w:t>79%</w:t>
            </w:r>
          </w:p>
        </w:tc>
        <w:tc>
          <w:tcPr>
            <w:tcW w:w="72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A8E39DF" w14:textId="77777777" w:rsidR="0067384D" w:rsidRPr="00050744"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50744">
              <w:rPr>
                <w:sz w:val="18"/>
                <w:szCs w:val="18"/>
              </w:rPr>
              <w:t>82%</w:t>
            </w:r>
          </w:p>
        </w:tc>
        <w:tc>
          <w:tcPr>
            <w:tcW w:w="850"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D4EC6D4" w14:textId="77777777" w:rsidR="0067384D" w:rsidRPr="00050744"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50744">
              <w:rPr>
                <w:sz w:val="18"/>
                <w:szCs w:val="18"/>
              </w:rPr>
              <w:t>82%</w:t>
            </w:r>
          </w:p>
        </w:tc>
        <w:tc>
          <w:tcPr>
            <w:tcW w:w="851"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291A6269" w14:textId="77777777" w:rsidR="0067384D"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050744">
              <w:rPr>
                <w:sz w:val="18"/>
                <w:szCs w:val="18"/>
              </w:rPr>
              <w:t>82%</w:t>
            </w:r>
          </w:p>
          <w:p w14:paraId="222E69F1" w14:textId="743E1947" w:rsidR="007B0C39" w:rsidRPr="00050744" w:rsidRDefault="007B0C3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979"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64CF4B48" w14:textId="77777777" w:rsidR="0067384D" w:rsidRDefault="0067384D" w:rsidP="00AC60D6">
            <w:pPr>
              <w:spacing w:before="120" w:after="120"/>
              <w:jc w:val="center"/>
              <w:cnfStyle w:val="000000000000" w:firstRow="0" w:lastRow="0" w:firstColumn="0" w:lastColumn="0" w:oddVBand="0" w:evenVBand="0" w:oddHBand="0" w:evenHBand="0" w:firstRowFirstColumn="0" w:firstRowLastColumn="0" w:lastRowFirstColumn="0" w:lastRowLastColumn="0"/>
              <w:rPr>
                <w:sz w:val="18"/>
                <w:szCs w:val="18"/>
              </w:rPr>
            </w:pPr>
            <w:r w:rsidRPr="00050744">
              <w:rPr>
                <w:sz w:val="18"/>
                <w:szCs w:val="18"/>
              </w:rPr>
              <w:t>77%</w:t>
            </w:r>
          </w:p>
          <w:p w14:paraId="69A2FB7E" w14:textId="7F87F9D8" w:rsidR="007B0C39" w:rsidRPr="00050744" w:rsidRDefault="007B0C39"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r>
      <w:tr w:rsidR="0067384D" w:rsidRPr="008E216D" w14:paraId="44517CED" w14:textId="77777777" w:rsidTr="00353F27">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tcPr>
          <w:p w14:paraId="3AB81564" w14:textId="77777777" w:rsidR="0067384D" w:rsidRPr="008E216D" w:rsidRDefault="0067384D" w:rsidP="00AC60D6">
            <w:pPr>
              <w:spacing w:before="120" w:after="120"/>
              <w:rPr>
                <w:rFonts w:cstheme="minorHAnsi"/>
                <w:sz w:val="16"/>
                <w:szCs w:val="16"/>
              </w:rPr>
            </w:pPr>
            <w:r w:rsidRPr="008972E6">
              <w:rPr>
                <w:sz w:val="16"/>
              </w:rPr>
              <w:t>Economic, commercial, environmental, social and/or cultural benefits for Australia</w:t>
            </w:r>
          </w:p>
        </w:tc>
        <w:tc>
          <w:tcPr>
            <w:tcW w:w="56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11B690DB" w14:textId="77777777" w:rsidR="0067384D"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050744">
              <w:rPr>
                <w:sz w:val="18"/>
                <w:szCs w:val="18"/>
              </w:rPr>
              <w:t>63%</w:t>
            </w:r>
          </w:p>
          <w:p w14:paraId="4319608A" w14:textId="59605552" w:rsidR="007B0C39" w:rsidRPr="00050744" w:rsidRDefault="007B0C3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566"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2634CA0F" w14:textId="77777777" w:rsidR="0067384D"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050744">
              <w:rPr>
                <w:sz w:val="18"/>
                <w:szCs w:val="18"/>
              </w:rPr>
              <w:t>72%</w:t>
            </w:r>
          </w:p>
          <w:p w14:paraId="3F99655A" w14:textId="52387166" w:rsidR="007B0C39" w:rsidRPr="00050744" w:rsidRDefault="007B0C3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67F858C8" w14:textId="77777777" w:rsidR="0067384D"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050744">
              <w:rPr>
                <w:sz w:val="18"/>
                <w:szCs w:val="18"/>
              </w:rPr>
              <w:t>72%</w:t>
            </w:r>
          </w:p>
          <w:p w14:paraId="7AD1F1A7" w14:textId="3D72E625" w:rsidR="007B0C39" w:rsidRPr="00050744" w:rsidRDefault="007B0C3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3308A34" w14:textId="77777777" w:rsidR="0067384D" w:rsidRPr="00050744"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50744">
              <w:rPr>
                <w:sz w:val="18"/>
                <w:szCs w:val="18"/>
              </w:rPr>
              <w:t>64%</w:t>
            </w:r>
          </w:p>
        </w:tc>
        <w:tc>
          <w:tcPr>
            <w:tcW w:w="851"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528B1A55" w14:textId="77777777" w:rsidR="0067384D"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050744">
              <w:rPr>
                <w:sz w:val="18"/>
                <w:szCs w:val="18"/>
              </w:rPr>
              <w:t>57%</w:t>
            </w:r>
          </w:p>
          <w:p w14:paraId="5832D484" w14:textId="3D7E0F9D" w:rsidR="007B0C39" w:rsidRPr="00050744" w:rsidRDefault="007B0C3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0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10FADD0" w14:textId="77777777" w:rsidR="0067384D" w:rsidRPr="00050744"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50744">
              <w:rPr>
                <w:sz w:val="18"/>
                <w:szCs w:val="18"/>
              </w:rPr>
              <w:t>65%</w:t>
            </w:r>
          </w:p>
        </w:tc>
        <w:tc>
          <w:tcPr>
            <w:tcW w:w="72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18BC095" w14:textId="77777777" w:rsidR="0067384D" w:rsidRPr="00050744"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50744">
              <w:rPr>
                <w:sz w:val="18"/>
                <w:szCs w:val="18"/>
              </w:rPr>
              <w:t>66%</w:t>
            </w:r>
          </w:p>
        </w:tc>
        <w:tc>
          <w:tcPr>
            <w:tcW w:w="850"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967DA90" w14:textId="77777777" w:rsidR="0067384D" w:rsidRPr="00050744"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50744">
              <w:rPr>
                <w:sz w:val="18"/>
                <w:szCs w:val="18"/>
              </w:rPr>
              <w:t>68%</w:t>
            </w:r>
          </w:p>
        </w:tc>
        <w:tc>
          <w:tcPr>
            <w:tcW w:w="851"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37C1F0F0" w14:textId="77777777" w:rsidR="0067384D"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sz w:val="18"/>
                <w:szCs w:val="18"/>
              </w:rPr>
            </w:pPr>
            <w:r w:rsidRPr="00050744">
              <w:rPr>
                <w:sz w:val="18"/>
                <w:szCs w:val="18"/>
              </w:rPr>
              <w:t>68%</w:t>
            </w:r>
          </w:p>
          <w:p w14:paraId="10389644" w14:textId="2644FDF5" w:rsidR="007B0C39" w:rsidRPr="00050744" w:rsidRDefault="007B0C39"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97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5E95AE9" w14:textId="77777777" w:rsidR="0067384D" w:rsidRPr="00050744" w:rsidRDefault="0067384D"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50744">
              <w:rPr>
                <w:sz w:val="18"/>
                <w:szCs w:val="18"/>
              </w:rPr>
              <w:t>63%</w:t>
            </w:r>
          </w:p>
        </w:tc>
      </w:tr>
    </w:tbl>
    <w:p w14:paraId="0532799A" w14:textId="0BF5658A" w:rsidR="003639AF" w:rsidRPr="00E40DC1" w:rsidRDefault="003639AF" w:rsidP="003639AF">
      <w:pPr>
        <w:spacing w:before="120" w:after="120"/>
        <w:rPr>
          <w:rFonts w:asciiTheme="majorHAnsi" w:hAnsiTheme="majorHAnsi" w:cstheme="majorHAnsi"/>
          <w:sz w:val="16"/>
          <w:szCs w:val="16"/>
        </w:rPr>
      </w:pPr>
      <w:r>
        <w:rPr>
          <w:rFonts w:asciiTheme="majorHAnsi" w:hAnsiTheme="majorHAnsi" w:cstheme="majorHAnsi"/>
          <w:sz w:val="16"/>
          <w:szCs w:val="16"/>
        </w:rPr>
        <w:t xml:space="preserve">Source: Kantar, Public Division. </w:t>
      </w:r>
      <w:r>
        <w:rPr>
          <w:rFonts w:asciiTheme="majorHAnsi" w:hAnsiTheme="majorHAnsi" w:cstheme="majorHAnsi"/>
          <w:i/>
          <w:sz w:val="16"/>
          <w:szCs w:val="16"/>
        </w:rPr>
        <w:t>Note: Percentage of survey respondents</w:t>
      </w:r>
      <w:r w:rsidRPr="00D8794E">
        <w:rPr>
          <w:rFonts w:asciiTheme="majorHAnsi" w:hAnsiTheme="majorHAnsi" w:cstheme="majorHAnsi"/>
          <w:i/>
          <w:sz w:val="16"/>
          <w:szCs w:val="16"/>
        </w:rPr>
        <w:t xml:space="preserve"> agree</w:t>
      </w:r>
      <w:r>
        <w:rPr>
          <w:rFonts w:asciiTheme="majorHAnsi" w:hAnsiTheme="majorHAnsi" w:cstheme="majorHAnsi"/>
          <w:i/>
          <w:sz w:val="16"/>
          <w:szCs w:val="16"/>
        </w:rPr>
        <w:t>ing</w:t>
      </w:r>
      <w:r w:rsidR="00A12F14">
        <w:rPr>
          <w:rFonts w:asciiTheme="majorHAnsi" w:hAnsiTheme="majorHAnsi" w:cstheme="majorHAnsi"/>
          <w:i/>
          <w:sz w:val="16"/>
          <w:szCs w:val="16"/>
        </w:rPr>
        <w:t xml:space="preserve"> or </w:t>
      </w:r>
      <w:r w:rsidRPr="00D8794E">
        <w:rPr>
          <w:rFonts w:asciiTheme="majorHAnsi" w:hAnsiTheme="majorHAnsi" w:cstheme="majorHAnsi"/>
          <w:i/>
          <w:sz w:val="16"/>
          <w:szCs w:val="16"/>
        </w:rPr>
        <w:t>strongly agree</w:t>
      </w:r>
      <w:r>
        <w:rPr>
          <w:rFonts w:asciiTheme="majorHAnsi" w:hAnsiTheme="majorHAnsi" w:cstheme="majorHAnsi"/>
          <w:i/>
          <w:sz w:val="16"/>
          <w:szCs w:val="16"/>
        </w:rPr>
        <w:t xml:space="preserve">ing. </w:t>
      </w:r>
      <w:r w:rsidR="003E3DF4">
        <w:rPr>
          <w:rFonts w:asciiTheme="majorHAnsi" w:hAnsiTheme="majorHAnsi" w:cstheme="majorHAnsi"/>
          <w:i/>
          <w:sz w:val="16"/>
          <w:szCs w:val="16"/>
        </w:rPr>
        <w:t>Grey</w:t>
      </w:r>
      <w:r w:rsidRPr="00D8794E">
        <w:rPr>
          <w:rFonts w:asciiTheme="majorHAnsi" w:hAnsiTheme="majorHAnsi" w:cstheme="majorHAnsi"/>
          <w:i/>
          <w:sz w:val="16"/>
          <w:szCs w:val="16"/>
        </w:rPr>
        <w:t xml:space="preserve"> cells are significantly below the mean</w:t>
      </w:r>
      <w:r w:rsidR="007B0C39">
        <w:rPr>
          <w:rFonts w:asciiTheme="majorHAnsi" w:hAnsiTheme="majorHAnsi" w:cstheme="majorHAnsi"/>
          <w:i/>
          <w:sz w:val="16"/>
          <w:szCs w:val="16"/>
        </w:rPr>
        <w:t xml:space="preserve"> (–)</w:t>
      </w:r>
      <w:r w:rsidRPr="00D8794E">
        <w:rPr>
          <w:rFonts w:asciiTheme="majorHAnsi" w:hAnsiTheme="majorHAnsi" w:cstheme="majorHAnsi"/>
          <w:i/>
          <w:sz w:val="16"/>
          <w:szCs w:val="16"/>
        </w:rPr>
        <w:t xml:space="preserve"> while green cells are signifi</w:t>
      </w:r>
      <w:r>
        <w:rPr>
          <w:rFonts w:asciiTheme="majorHAnsi" w:hAnsiTheme="majorHAnsi" w:cstheme="majorHAnsi"/>
          <w:i/>
          <w:sz w:val="16"/>
          <w:szCs w:val="16"/>
        </w:rPr>
        <w:t>cantly above the mean</w:t>
      </w:r>
      <w:r w:rsidR="007B0C39">
        <w:rPr>
          <w:rFonts w:asciiTheme="majorHAnsi" w:hAnsiTheme="majorHAnsi" w:cstheme="majorHAnsi"/>
          <w:i/>
          <w:sz w:val="16"/>
          <w:szCs w:val="16"/>
        </w:rPr>
        <w:t xml:space="preserve"> (+)</w:t>
      </w:r>
      <w:r>
        <w:rPr>
          <w:rFonts w:asciiTheme="majorHAnsi" w:hAnsiTheme="majorHAnsi" w:cstheme="majorHAnsi"/>
          <w:i/>
          <w:sz w:val="16"/>
          <w:szCs w:val="16"/>
        </w:rPr>
        <w:t xml:space="preserve"> at the 95 per cent confidence level. Researcher subgroups assigned on the basis of most recently completed project funded under the scheme. Table only includes participants with a completed project (n=2469); different numbers of survey participants responded to questions relating to research project characteristics.</w:t>
      </w:r>
    </w:p>
    <w:p w14:paraId="7C6FB2D4" w14:textId="567D5B1A" w:rsidR="003639AF" w:rsidRDefault="003639AF" w:rsidP="003639AF">
      <w:pPr>
        <w:spacing w:after="120"/>
        <w:rPr>
          <w:rFonts w:asciiTheme="majorHAnsi" w:hAnsiTheme="majorHAnsi" w:cstheme="majorHAnsi"/>
        </w:rPr>
      </w:pPr>
      <w:r>
        <w:rPr>
          <w:rFonts w:asciiTheme="majorHAnsi" w:hAnsiTheme="majorHAnsi" w:cstheme="majorHAnsi"/>
        </w:rPr>
        <w:t xml:space="preserve">Perceptions </w:t>
      </w:r>
      <w:r w:rsidRPr="00B33D27">
        <w:rPr>
          <w:rFonts w:asciiTheme="majorHAnsi" w:hAnsiTheme="majorHAnsi" w:cstheme="majorHAnsi"/>
        </w:rPr>
        <w:t>were generally consistent between researcher groupings</w:t>
      </w:r>
      <w:r>
        <w:rPr>
          <w:rFonts w:asciiTheme="majorHAnsi" w:hAnsiTheme="majorHAnsi" w:cstheme="majorHAnsi"/>
        </w:rPr>
        <w:t xml:space="preserve">, </w:t>
      </w:r>
      <w:r w:rsidR="00D55585">
        <w:rPr>
          <w:rFonts w:asciiTheme="majorHAnsi" w:hAnsiTheme="majorHAnsi" w:cstheme="majorHAnsi"/>
        </w:rPr>
        <w:t xml:space="preserve">although </w:t>
      </w:r>
      <w:r w:rsidR="00840080">
        <w:rPr>
          <w:rFonts w:asciiTheme="majorHAnsi" w:hAnsiTheme="majorHAnsi" w:cstheme="majorHAnsi"/>
        </w:rPr>
        <w:t>there were</w:t>
      </w:r>
      <w:r w:rsidR="00D55585">
        <w:rPr>
          <w:rFonts w:asciiTheme="majorHAnsi" w:hAnsiTheme="majorHAnsi" w:cstheme="majorHAnsi"/>
        </w:rPr>
        <w:t xml:space="preserve"> variances</w:t>
      </w:r>
      <w:r>
        <w:rPr>
          <w:rFonts w:asciiTheme="majorHAnsi" w:hAnsiTheme="majorHAnsi" w:cstheme="majorHAnsi"/>
        </w:rPr>
        <w:t>.</w:t>
      </w:r>
      <w:r w:rsidRPr="00B33D27">
        <w:rPr>
          <w:rFonts w:asciiTheme="majorHAnsi" w:hAnsiTheme="majorHAnsi" w:cstheme="majorHAnsi"/>
        </w:rPr>
        <w:t xml:space="preserve"> Researchers completing a project in the past 3 years (85 per cent, compared to 77 per cent for earlier completions) and those engaging in international collaboration (82 per cent, compared to 77 per cent for those not collaborating internationally) were particularly likely to agree or strongly agree that the scheme was effective in </w:t>
      </w:r>
      <w:r>
        <w:rPr>
          <w:rFonts w:asciiTheme="majorHAnsi" w:hAnsiTheme="majorHAnsi" w:cstheme="majorHAnsi"/>
        </w:rPr>
        <w:t>expanding</w:t>
      </w:r>
      <w:r w:rsidRPr="00B33D27">
        <w:rPr>
          <w:rFonts w:asciiTheme="majorHAnsi" w:hAnsiTheme="majorHAnsi" w:cstheme="majorHAnsi"/>
        </w:rPr>
        <w:t xml:space="preserve"> Australia’s knowledge base and research capacity. </w:t>
      </w:r>
    </w:p>
    <w:p w14:paraId="642C5D75" w14:textId="278854E8" w:rsidR="003639AF" w:rsidRDefault="003639AF" w:rsidP="003639AF">
      <w:pPr>
        <w:spacing w:after="120"/>
        <w:rPr>
          <w:rFonts w:asciiTheme="majorHAnsi" w:hAnsiTheme="majorHAnsi" w:cstheme="majorHAnsi"/>
        </w:rPr>
      </w:pPr>
      <w:r w:rsidRPr="00B33D27">
        <w:rPr>
          <w:rFonts w:asciiTheme="majorHAnsi" w:hAnsiTheme="majorHAnsi" w:cstheme="majorHAnsi"/>
        </w:rPr>
        <w:t>These same groups were also more likely to highlight the effectiven</w:t>
      </w:r>
      <w:r>
        <w:rPr>
          <w:rFonts w:asciiTheme="majorHAnsi" w:hAnsiTheme="majorHAnsi" w:cstheme="majorHAnsi"/>
        </w:rPr>
        <w:t>ess of the scheme in</w:t>
      </w:r>
      <w:r w:rsidRPr="00B33D27">
        <w:rPr>
          <w:rFonts w:asciiTheme="majorHAnsi" w:hAnsiTheme="majorHAnsi" w:cstheme="majorHAnsi"/>
        </w:rPr>
        <w:t xml:space="preserve"> delivering translational benefits (72 per cent for those completing their research recently, compared to 62</w:t>
      </w:r>
      <w:r>
        <w:rPr>
          <w:rFonts w:asciiTheme="majorHAnsi" w:hAnsiTheme="majorHAnsi" w:cstheme="majorHAnsi"/>
        </w:rPr>
        <w:t> </w:t>
      </w:r>
      <w:r w:rsidRPr="00B33D27">
        <w:rPr>
          <w:rFonts w:asciiTheme="majorHAnsi" w:hAnsiTheme="majorHAnsi" w:cstheme="majorHAnsi"/>
        </w:rPr>
        <w:t>per</w:t>
      </w:r>
      <w:r>
        <w:rPr>
          <w:rFonts w:asciiTheme="majorHAnsi" w:hAnsiTheme="majorHAnsi" w:cstheme="majorHAnsi"/>
        </w:rPr>
        <w:t> </w:t>
      </w:r>
      <w:r w:rsidRPr="00B33D27">
        <w:rPr>
          <w:rFonts w:asciiTheme="majorHAnsi" w:hAnsiTheme="majorHAnsi" w:cstheme="majorHAnsi"/>
        </w:rPr>
        <w:t xml:space="preserve">cent completing earlier; and 68 per cent for </w:t>
      </w:r>
      <w:r w:rsidR="00C739B6">
        <w:rPr>
          <w:rFonts w:asciiTheme="majorHAnsi" w:hAnsiTheme="majorHAnsi" w:cstheme="majorHAnsi"/>
        </w:rPr>
        <w:t xml:space="preserve">researchers </w:t>
      </w:r>
      <w:r w:rsidRPr="00B33D27">
        <w:rPr>
          <w:rFonts w:asciiTheme="majorHAnsi" w:hAnsiTheme="majorHAnsi" w:cstheme="majorHAnsi"/>
        </w:rPr>
        <w:t>collaborat</w:t>
      </w:r>
      <w:r w:rsidR="00A826FD">
        <w:rPr>
          <w:rFonts w:asciiTheme="majorHAnsi" w:hAnsiTheme="majorHAnsi" w:cstheme="majorHAnsi"/>
        </w:rPr>
        <w:t>ing internationally</w:t>
      </w:r>
      <w:r w:rsidRPr="00B33D27">
        <w:rPr>
          <w:rFonts w:asciiTheme="majorHAnsi" w:hAnsiTheme="majorHAnsi" w:cstheme="majorHAnsi"/>
        </w:rPr>
        <w:t>, compared to 63</w:t>
      </w:r>
      <w:r>
        <w:rPr>
          <w:rFonts w:asciiTheme="majorHAnsi" w:hAnsiTheme="majorHAnsi" w:cstheme="majorHAnsi"/>
        </w:rPr>
        <w:t> </w:t>
      </w:r>
      <w:r w:rsidRPr="00B33D27">
        <w:rPr>
          <w:rFonts w:asciiTheme="majorHAnsi" w:hAnsiTheme="majorHAnsi" w:cstheme="majorHAnsi"/>
        </w:rPr>
        <w:t>per</w:t>
      </w:r>
      <w:r>
        <w:rPr>
          <w:rFonts w:asciiTheme="majorHAnsi" w:hAnsiTheme="majorHAnsi" w:cstheme="majorHAnsi"/>
        </w:rPr>
        <w:t> </w:t>
      </w:r>
      <w:r w:rsidRPr="00B33D27">
        <w:rPr>
          <w:rFonts w:asciiTheme="majorHAnsi" w:hAnsiTheme="majorHAnsi" w:cstheme="majorHAnsi"/>
        </w:rPr>
        <w:t xml:space="preserve">cent </w:t>
      </w:r>
      <w:r w:rsidR="00D44FB6">
        <w:rPr>
          <w:rFonts w:asciiTheme="majorHAnsi" w:hAnsiTheme="majorHAnsi" w:cstheme="majorHAnsi"/>
        </w:rPr>
        <w:t xml:space="preserve">for those </w:t>
      </w:r>
      <w:r w:rsidRPr="00B33D27">
        <w:rPr>
          <w:rFonts w:asciiTheme="majorHAnsi" w:hAnsiTheme="majorHAnsi" w:cstheme="majorHAnsi"/>
        </w:rPr>
        <w:t>not</w:t>
      </w:r>
      <w:r>
        <w:rPr>
          <w:rFonts w:asciiTheme="majorHAnsi" w:hAnsiTheme="majorHAnsi" w:cstheme="majorHAnsi"/>
        </w:rPr>
        <w:t xml:space="preserve"> collaborating internationally). T</w:t>
      </w:r>
      <w:r w:rsidRPr="00B33D27">
        <w:rPr>
          <w:rFonts w:asciiTheme="majorHAnsi" w:hAnsiTheme="majorHAnsi" w:cstheme="majorHAnsi"/>
        </w:rPr>
        <w:t xml:space="preserve">his was also the case for </w:t>
      </w:r>
      <w:r>
        <w:rPr>
          <w:rFonts w:asciiTheme="majorHAnsi" w:hAnsiTheme="majorHAnsi" w:cstheme="majorHAnsi"/>
        </w:rPr>
        <w:t>HASS</w:t>
      </w:r>
      <w:r w:rsidRPr="00B33D27">
        <w:rPr>
          <w:rFonts w:asciiTheme="majorHAnsi" w:hAnsiTheme="majorHAnsi" w:cstheme="majorHAnsi"/>
        </w:rPr>
        <w:t xml:space="preserve"> researchers (72 per cent</w:t>
      </w:r>
      <w:r>
        <w:rPr>
          <w:rFonts w:asciiTheme="majorHAnsi" w:hAnsiTheme="majorHAnsi" w:cstheme="majorHAnsi"/>
        </w:rPr>
        <w:t>,</w:t>
      </w:r>
      <w:r w:rsidRPr="00B33D27">
        <w:rPr>
          <w:rFonts w:asciiTheme="majorHAnsi" w:hAnsiTheme="majorHAnsi" w:cstheme="majorHAnsi"/>
        </w:rPr>
        <w:t xml:space="preserve"> compared to 63 per cent for </w:t>
      </w:r>
      <w:r>
        <w:rPr>
          <w:rFonts w:asciiTheme="majorHAnsi" w:hAnsiTheme="majorHAnsi" w:cstheme="majorHAnsi"/>
        </w:rPr>
        <w:t xml:space="preserve">STEM </w:t>
      </w:r>
      <w:r w:rsidRPr="00B33D27">
        <w:rPr>
          <w:rFonts w:asciiTheme="majorHAnsi" w:hAnsiTheme="majorHAnsi" w:cstheme="majorHAnsi"/>
        </w:rPr>
        <w:t xml:space="preserve">researchers). </w:t>
      </w:r>
    </w:p>
    <w:p w14:paraId="150A47D2" w14:textId="27EA9C96" w:rsidR="003639AF" w:rsidRDefault="003639AF" w:rsidP="003639AF">
      <w:pPr>
        <w:spacing w:after="120"/>
        <w:rPr>
          <w:rFonts w:asciiTheme="majorHAnsi" w:hAnsiTheme="majorHAnsi" w:cstheme="majorHAnsi"/>
        </w:rPr>
      </w:pPr>
      <w:r>
        <w:rPr>
          <w:rFonts w:asciiTheme="majorHAnsi" w:hAnsiTheme="majorHAnsi" w:cstheme="majorHAnsi"/>
        </w:rPr>
        <w:t xml:space="preserve">The more positive perceptions of researchers who had recently completed projects </w:t>
      </w:r>
      <w:r w:rsidR="00C243D0">
        <w:rPr>
          <w:rFonts w:asciiTheme="majorHAnsi" w:hAnsiTheme="majorHAnsi" w:cstheme="majorHAnsi"/>
        </w:rPr>
        <w:t>or</w:t>
      </w:r>
      <w:r w:rsidR="006B7079">
        <w:rPr>
          <w:rFonts w:asciiTheme="majorHAnsi" w:hAnsiTheme="majorHAnsi" w:cstheme="majorHAnsi"/>
        </w:rPr>
        <w:t xml:space="preserve"> engaged </w:t>
      </w:r>
      <w:r>
        <w:rPr>
          <w:rFonts w:asciiTheme="majorHAnsi" w:hAnsiTheme="majorHAnsi" w:cstheme="majorHAnsi"/>
        </w:rPr>
        <w:t xml:space="preserve">in international collaboration are </w:t>
      </w:r>
      <w:r w:rsidRPr="002A3268">
        <w:rPr>
          <w:rFonts w:asciiTheme="majorHAnsi" w:hAnsiTheme="majorHAnsi" w:cstheme="majorHAnsi"/>
        </w:rPr>
        <w:t xml:space="preserve">consistent with findings on Discovery Projects scheme objectives </w:t>
      </w:r>
      <w:r w:rsidRPr="00FC3E13">
        <w:rPr>
          <w:rFonts w:asciiTheme="majorHAnsi" w:hAnsiTheme="majorHAnsi" w:cstheme="majorHAnsi"/>
        </w:rPr>
        <w:t xml:space="preserve">presented in </w:t>
      </w:r>
      <w:hyperlink w:anchor="_Quantitative_stakeholder_views" w:history="1">
        <w:r w:rsidRPr="00281670">
          <w:rPr>
            <w:rStyle w:val="Hyperlink"/>
            <w:rFonts w:cstheme="majorHAnsi"/>
            <w:color w:val="auto"/>
            <w:sz w:val="22"/>
            <w:u w:val="none"/>
          </w:rPr>
          <w:t xml:space="preserve">Section </w:t>
        </w:r>
        <w:r w:rsidR="002372AE" w:rsidRPr="00281670">
          <w:rPr>
            <w:rStyle w:val="Hyperlink"/>
            <w:rFonts w:cstheme="majorHAnsi"/>
            <w:color w:val="auto"/>
            <w:sz w:val="22"/>
            <w:u w:val="none"/>
          </w:rPr>
          <w:t>3.1</w:t>
        </w:r>
      </w:hyperlink>
      <w:r w:rsidRPr="00FC3E13">
        <w:rPr>
          <w:rFonts w:asciiTheme="majorHAnsi" w:hAnsiTheme="majorHAnsi" w:cstheme="majorHAnsi"/>
        </w:rPr>
        <w:t>. As stated</w:t>
      </w:r>
      <w:r w:rsidRPr="002A3268">
        <w:rPr>
          <w:rFonts w:asciiTheme="majorHAnsi" w:hAnsiTheme="majorHAnsi" w:cstheme="majorHAnsi"/>
        </w:rPr>
        <w:t xml:space="preserve"> previously, these results may reflect improvements to scheme implementation </w:t>
      </w:r>
      <w:r>
        <w:rPr>
          <w:rFonts w:asciiTheme="majorHAnsi" w:hAnsiTheme="majorHAnsi" w:cstheme="majorHAnsi"/>
        </w:rPr>
        <w:t>over time</w:t>
      </w:r>
      <w:r w:rsidR="00EB2E6C">
        <w:rPr>
          <w:rFonts w:asciiTheme="majorHAnsi" w:hAnsiTheme="majorHAnsi" w:cstheme="majorHAnsi"/>
        </w:rPr>
        <w:t xml:space="preserve">, although </w:t>
      </w:r>
      <w:r w:rsidR="001B6C3A">
        <w:rPr>
          <w:rFonts w:asciiTheme="majorHAnsi" w:hAnsiTheme="majorHAnsi" w:cstheme="majorHAnsi"/>
        </w:rPr>
        <w:t>further</w:t>
      </w:r>
      <w:r>
        <w:rPr>
          <w:rFonts w:asciiTheme="majorHAnsi" w:hAnsiTheme="majorHAnsi" w:cstheme="majorHAnsi"/>
        </w:rPr>
        <w:t xml:space="preserve"> detailed stakeholder feedback </w:t>
      </w:r>
      <w:r w:rsidR="002B5217">
        <w:rPr>
          <w:rFonts w:asciiTheme="majorHAnsi" w:hAnsiTheme="majorHAnsi" w:cstheme="majorHAnsi"/>
        </w:rPr>
        <w:t xml:space="preserve">would be needed </w:t>
      </w:r>
      <w:r>
        <w:rPr>
          <w:rFonts w:asciiTheme="majorHAnsi" w:hAnsiTheme="majorHAnsi" w:cstheme="majorHAnsi"/>
        </w:rPr>
        <w:t xml:space="preserve">in future </w:t>
      </w:r>
      <w:r w:rsidR="002B5217">
        <w:rPr>
          <w:rFonts w:asciiTheme="majorHAnsi" w:hAnsiTheme="majorHAnsi" w:cstheme="majorHAnsi"/>
        </w:rPr>
        <w:t xml:space="preserve">to </w:t>
      </w:r>
      <w:r w:rsidR="008C37E0">
        <w:rPr>
          <w:rFonts w:asciiTheme="majorHAnsi" w:hAnsiTheme="majorHAnsi" w:cstheme="majorHAnsi"/>
        </w:rPr>
        <w:t xml:space="preserve">gain </w:t>
      </w:r>
      <w:r>
        <w:rPr>
          <w:rFonts w:asciiTheme="majorHAnsi" w:hAnsiTheme="majorHAnsi" w:cstheme="majorHAnsi"/>
        </w:rPr>
        <w:t xml:space="preserve">further insight into </w:t>
      </w:r>
      <w:r w:rsidR="00096707">
        <w:rPr>
          <w:rFonts w:asciiTheme="majorHAnsi" w:hAnsiTheme="majorHAnsi" w:cstheme="majorHAnsi"/>
        </w:rPr>
        <w:t>the</w:t>
      </w:r>
      <w:r w:rsidR="001B6C3A">
        <w:rPr>
          <w:rFonts w:asciiTheme="majorHAnsi" w:hAnsiTheme="majorHAnsi" w:cstheme="majorHAnsi"/>
        </w:rPr>
        <w:t xml:space="preserve"> </w:t>
      </w:r>
      <w:r>
        <w:rPr>
          <w:rFonts w:asciiTheme="majorHAnsi" w:hAnsiTheme="majorHAnsi" w:cstheme="majorHAnsi"/>
        </w:rPr>
        <w:t>factors contributing to</w:t>
      </w:r>
      <w:r w:rsidR="00096707">
        <w:rPr>
          <w:rFonts w:asciiTheme="majorHAnsi" w:hAnsiTheme="majorHAnsi" w:cstheme="majorHAnsi"/>
        </w:rPr>
        <w:t xml:space="preserve"> these</w:t>
      </w:r>
      <w:r>
        <w:rPr>
          <w:rFonts w:asciiTheme="majorHAnsi" w:hAnsiTheme="majorHAnsi" w:cstheme="majorHAnsi"/>
        </w:rPr>
        <w:t xml:space="preserve"> more positive views. The</w:t>
      </w:r>
      <w:r w:rsidR="00310DF3">
        <w:rPr>
          <w:rFonts w:asciiTheme="majorHAnsi" w:hAnsiTheme="majorHAnsi" w:cstheme="majorHAnsi"/>
        </w:rPr>
        <w:t xml:space="preserve"> results</w:t>
      </w:r>
      <w:r>
        <w:rPr>
          <w:rFonts w:asciiTheme="majorHAnsi" w:hAnsiTheme="majorHAnsi" w:cstheme="majorHAnsi"/>
        </w:rPr>
        <w:t xml:space="preserve"> may also </w:t>
      </w:r>
      <w:r w:rsidR="000629F6">
        <w:rPr>
          <w:rFonts w:asciiTheme="majorHAnsi" w:hAnsiTheme="majorHAnsi" w:cstheme="majorHAnsi"/>
        </w:rPr>
        <w:t>suggest that</w:t>
      </w:r>
      <w:r w:rsidR="00D621F5">
        <w:rPr>
          <w:rFonts w:asciiTheme="majorHAnsi" w:hAnsiTheme="majorHAnsi" w:cstheme="majorHAnsi"/>
        </w:rPr>
        <w:t xml:space="preserve"> </w:t>
      </w:r>
      <w:r>
        <w:rPr>
          <w:rFonts w:asciiTheme="majorHAnsi" w:hAnsiTheme="majorHAnsi" w:cstheme="majorHAnsi"/>
        </w:rPr>
        <w:t xml:space="preserve">the benefits of international collaboration contribute more broadly to the achievement of the scheme’s objectives and intended outcomes. </w:t>
      </w:r>
    </w:p>
    <w:p w14:paraId="4671EF7F" w14:textId="0E0E3D8A" w:rsidR="003639AF" w:rsidRDefault="003639AF" w:rsidP="003639AF">
      <w:pPr>
        <w:spacing w:after="120"/>
        <w:rPr>
          <w:rFonts w:asciiTheme="majorHAnsi" w:hAnsiTheme="majorHAnsi" w:cstheme="majorHAnsi"/>
        </w:rPr>
      </w:pPr>
      <w:r>
        <w:rPr>
          <w:rFonts w:asciiTheme="majorHAnsi" w:hAnsiTheme="majorHAnsi" w:cstheme="majorHAnsi"/>
        </w:rPr>
        <w:t xml:space="preserve">To further evaluate the extent to which Discovery Projects is effective in delivering its intended outcomes, survey respondents were asked to select up to three areas in which their most recently completed project under the scheme delivered the most substantial outcomes and/or benefits. Those who had ongoing projects, and had not completed a previous </w:t>
      </w:r>
      <w:r w:rsidR="00377E11">
        <w:rPr>
          <w:rFonts w:asciiTheme="majorHAnsi" w:hAnsiTheme="majorHAnsi" w:cstheme="majorHAnsi"/>
        </w:rPr>
        <w:t>project under the scheme</w:t>
      </w:r>
      <w:r>
        <w:rPr>
          <w:rFonts w:asciiTheme="majorHAnsi" w:hAnsiTheme="majorHAnsi" w:cstheme="majorHAnsi"/>
        </w:rPr>
        <w:t xml:space="preserve">, were excluded from this question (approximately 20 per cent of survey participants). </w:t>
      </w:r>
      <w:r w:rsidRPr="003322D5">
        <w:rPr>
          <w:rFonts w:asciiTheme="majorHAnsi" w:hAnsiTheme="majorHAnsi" w:cstheme="majorHAnsi"/>
          <w:highlight w:val="yellow"/>
        </w:rPr>
        <w:fldChar w:fldCharType="begin"/>
      </w:r>
      <w:r w:rsidRPr="003322D5">
        <w:rPr>
          <w:rFonts w:asciiTheme="majorHAnsi" w:hAnsiTheme="majorHAnsi" w:cstheme="majorHAnsi"/>
        </w:rPr>
        <w:instrText xml:space="preserve"> REF _Ref49153981 \h </w:instrText>
      </w:r>
      <w:r w:rsidRPr="003322D5">
        <w:rPr>
          <w:rFonts w:asciiTheme="majorHAnsi" w:hAnsiTheme="majorHAnsi" w:cstheme="majorHAnsi"/>
          <w:highlight w:val="yellow"/>
        </w:rPr>
        <w:instrText xml:space="preserve"> \* MERGEFORMAT </w:instrText>
      </w:r>
      <w:r w:rsidRPr="003322D5">
        <w:rPr>
          <w:rFonts w:asciiTheme="majorHAnsi" w:hAnsiTheme="majorHAnsi" w:cstheme="majorHAnsi"/>
          <w:highlight w:val="yellow"/>
        </w:rPr>
      </w:r>
      <w:r w:rsidRPr="003322D5">
        <w:rPr>
          <w:rFonts w:asciiTheme="majorHAnsi" w:hAnsiTheme="majorHAnsi" w:cstheme="majorHAnsi"/>
          <w:highlight w:val="yellow"/>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33</w:t>
      </w:r>
      <w:r w:rsidRPr="003322D5">
        <w:rPr>
          <w:rFonts w:asciiTheme="majorHAnsi" w:hAnsiTheme="majorHAnsi" w:cstheme="majorHAnsi"/>
          <w:highlight w:val="yellow"/>
        </w:rPr>
        <w:fldChar w:fldCharType="end"/>
      </w:r>
      <w:r>
        <w:rPr>
          <w:rFonts w:asciiTheme="majorHAnsi" w:hAnsiTheme="majorHAnsi" w:cstheme="majorHAnsi"/>
        </w:rPr>
        <w:t xml:space="preserve"> presents participants’ responses</w:t>
      </w:r>
      <w:r w:rsidRPr="00416DE8">
        <w:rPr>
          <w:rFonts w:asciiTheme="majorHAnsi" w:hAnsiTheme="majorHAnsi" w:cstheme="majorHAnsi"/>
        </w:rPr>
        <w:t>. Most</w:t>
      </w:r>
      <w:r w:rsidRPr="00B33D27">
        <w:rPr>
          <w:rFonts w:asciiTheme="majorHAnsi" w:hAnsiTheme="majorHAnsi" w:cstheme="majorHAnsi"/>
        </w:rPr>
        <w:t xml:space="preserve"> researchers (80 per cent) selected an expanded k</w:t>
      </w:r>
      <w:r>
        <w:rPr>
          <w:rFonts w:asciiTheme="majorHAnsi" w:hAnsiTheme="majorHAnsi" w:cstheme="majorHAnsi"/>
        </w:rPr>
        <w:t>nowledge base</w:t>
      </w:r>
      <w:r w:rsidRPr="00B33D27">
        <w:rPr>
          <w:rFonts w:asciiTheme="majorHAnsi" w:hAnsiTheme="majorHAnsi" w:cstheme="majorHAnsi"/>
        </w:rPr>
        <w:t>, followed by expanded research capacity (50 per cen</w:t>
      </w:r>
      <w:r>
        <w:rPr>
          <w:rFonts w:asciiTheme="majorHAnsi" w:hAnsiTheme="majorHAnsi" w:cstheme="majorHAnsi"/>
        </w:rPr>
        <w:t>t). S</w:t>
      </w:r>
      <w:r w:rsidRPr="00B33D27">
        <w:rPr>
          <w:rFonts w:asciiTheme="majorHAnsi" w:hAnsiTheme="majorHAnsi" w:cstheme="majorHAnsi"/>
        </w:rPr>
        <w:t>maller proportion</w:t>
      </w:r>
      <w:r>
        <w:rPr>
          <w:rFonts w:asciiTheme="majorHAnsi" w:hAnsiTheme="majorHAnsi" w:cstheme="majorHAnsi"/>
        </w:rPr>
        <w:t>s</w:t>
      </w:r>
      <w:r w:rsidRPr="00B33D27">
        <w:rPr>
          <w:rFonts w:asciiTheme="majorHAnsi" w:hAnsiTheme="majorHAnsi" w:cstheme="majorHAnsi"/>
        </w:rPr>
        <w:t xml:space="preserve"> of respondents identified social (19 per cent), cultural (13 per cent), environmental (12 per cent), economic (9 per cent) or commercial (4 per cent) benefits </w:t>
      </w:r>
      <w:r>
        <w:rPr>
          <w:rFonts w:asciiTheme="majorHAnsi" w:hAnsiTheme="majorHAnsi" w:cstheme="majorHAnsi"/>
        </w:rPr>
        <w:t>arising</w:t>
      </w:r>
      <w:r w:rsidRPr="00B33D27">
        <w:rPr>
          <w:rFonts w:asciiTheme="majorHAnsi" w:hAnsiTheme="majorHAnsi" w:cstheme="majorHAnsi"/>
        </w:rPr>
        <w:t xml:space="preserve"> from their research. </w:t>
      </w:r>
    </w:p>
    <w:p w14:paraId="1BFDBB6C" w14:textId="242A20A9" w:rsidR="003639AF" w:rsidRPr="00B33D27" w:rsidRDefault="003639AF" w:rsidP="00751469">
      <w:pPr>
        <w:pStyle w:val="FigureTitle"/>
        <w:rPr>
          <w:i/>
        </w:rPr>
      </w:pPr>
      <w:bookmarkStart w:id="610" w:name="_Ref49153981"/>
      <w:r w:rsidRPr="00B33D27">
        <w:lastRenderedPageBreak/>
        <w:t xml:space="preserve">Figure </w:t>
      </w:r>
      <w:r w:rsidR="00857467">
        <w:fldChar w:fldCharType="begin"/>
      </w:r>
      <w:r w:rsidR="00857467">
        <w:instrText xml:space="preserve"> SEQ Figure \* ARABIC </w:instrText>
      </w:r>
      <w:r w:rsidR="00857467">
        <w:fldChar w:fldCharType="separate"/>
      </w:r>
      <w:r w:rsidR="00AB03D7">
        <w:rPr>
          <w:noProof/>
        </w:rPr>
        <w:t>33</w:t>
      </w:r>
      <w:r w:rsidR="00857467">
        <w:rPr>
          <w:noProof/>
        </w:rPr>
        <w:fldChar w:fldCharType="end"/>
      </w:r>
      <w:bookmarkEnd w:id="610"/>
      <w:r w:rsidRPr="00B33D27">
        <w:t>: Most substantial outcomes/benefits delivered from most recent</w:t>
      </w:r>
      <w:r>
        <w:t>ly completed project under Discovery Projects</w:t>
      </w:r>
    </w:p>
    <w:p w14:paraId="700BE15E" w14:textId="171A9E27" w:rsidR="003639AF" w:rsidRPr="00B33D27" w:rsidRDefault="000E5749" w:rsidP="003639AF">
      <w:pPr>
        <w:spacing w:after="120"/>
        <w:rPr>
          <w:rFonts w:asciiTheme="majorHAnsi" w:hAnsiTheme="majorHAnsi" w:cstheme="majorHAnsi"/>
        </w:rPr>
      </w:pPr>
      <w:r>
        <w:rPr>
          <w:rFonts w:asciiTheme="majorHAnsi" w:hAnsiTheme="majorHAnsi" w:cstheme="majorHAnsi"/>
          <w:noProof/>
        </w:rPr>
        <w:drawing>
          <wp:inline distT="0" distB="0" distL="0" distR="0" wp14:anchorId="6D186DC0" wp14:editId="47E6AB5D">
            <wp:extent cx="5871210" cy="1962785"/>
            <wp:effectExtent l="0" t="0" r="0" b="0"/>
            <wp:docPr id="91" name="Picture 91" descr="Figure 33 is a graph showing the proportion of survey respondents indicating that their most recently completed project funded under the Discovery Projects scheme delivered different kinds of outcomes/benefits.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33 is a graph showing the proportion of survey respondents indicating that their most recently completed project funded under the Discovery Projects scheme delivered different kinds of outcomes/benefits. See text above and below graph for more inform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1210" cy="1962785"/>
                    </a:xfrm>
                    <a:prstGeom prst="rect">
                      <a:avLst/>
                    </a:prstGeom>
                    <a:noFill/>
                  </pic:spPr>
                </pic:pic>
              </a:graphicData>
            </a:graphic>
          </wp:inline>
        </w:drawing>
      </w:r>
    </w:p>
    <w:p w14:paraId="12D1C9C3" w14:textId="77777777" w:rsidR="003639AF" w:rsidRPr="008E216D" w:rsidRDefault="003639AF" w:rsidP="003639AF">
      <w:pPr>
        <w:spacing w:after="120"/>
        <w:rPr>
          <w:rFonts w:asciiTheme="majorHAnsi" w:hAnsiTheme="majorHAnsi" w:cstheme="majorHAnsi"/>
          <w:sz w:val="16"/>
          <w:szCs w:val="16"/>
        </w:rPr>
      </w:pPr>
      <w:r>
        <w:rPr>
          <w:rFonts w:asciiTheme="majorHAnsi" w:hAnsiTheme="majorHAnsi" w:cstheme="majorHAnsi"/>
          <w:sz w:val="16"/>
          <w:szCs w:val="16"/>
        </w:rPr>
        <w:t xml:space="preserve">Source: Kantar, Public Division. </w:t>
      </w:r>
      <w:r>
        <w:rPr>
          <w:rFonts w:asciiTheme="majorHAnsi" w:hAnsiTheme="majorHAnsi" w:cstheme="majorHAnsi"/>
          <w:i/>
          <w:sz w:val="16"/>
          <w:szCs w:val="16"/>
        </w:rPr>
        <w:t xml:space="preserve">Note: Data include </w:t>
      </w:r>
      <w:r w:rsidRPr="00030B10">
        <w:rPr>
          <w:rFonts w:asciiTheme="majorHAnsi" w:hAnsiTheme="majorHAnsi" w:cstheme="majorHAnsi"/>
          <w:i/>
          <w:sz w:val="16"/>
          <w:szCs w:val="16"/>
        </w:rPr>
        <w:t>th</w:t>
      </w:r>
      <w:r w:rsidRPr="00B33D27">
        <w:rPr>
          <w:rFonts w:asciiTheme="majorHAnsi" w:hAnsiTheme="majorHAnsi" w:cstheme="majorHAnsi"/>
          <w:i/>
          <w:sz w:val="16"/>
          <w:szCs w:val="16"/>
        </w:rPr>
        <w:t>ose who ha</w:t>
      </w:r>
      <w:r>
        <w:rPr>
          <w:rFonts w:asciiTheme="majorHAnsi" w:hAnsiTheme="majorHAnsi" w:cstheme="majorHAnsi"/>
          <w:i/>
          <w:sz w:val="16"/>
          <w:szCs w:val="16"/>
        </w:rPr>
        <w:t>d</w:t>
      </w:r>
      <w:r w:rsidRPr="00B33D27">
        <w:rPr>
          <w:rFonts w:asciiTheme="majorHAnsi" w:hAnsiTheme="majorHAnsi" w:cstheme="majorHAnsi"/>
          <w:i/>
          <w:sz w:val="16"/>
          <w:szCs w:val="16"/>
        </w:rPr>
        <w:t xml:space="preserve"> been named a researcher on a completed Discovery Project</w:t>
      </w:r>
      <w:r>
        <w:rPr>
          <w:rFonts w:asciiTheme="majorHAnsi" w:hAnsiTheme="majorHAnsi" w:cstheme="majorHAnsi"/>
          <w:i/>
          <w:sz w:val="16"/>
          <w:szCs w:val="16"/>
        </w:rPr>
        <w:t xml:space="preserve"> and provided a response (n=2</w:t>
      </w:r>
      <w:r w:rsidRPr="00B33D27">
        <w:rPr>
          <w:rFonts w:asciiTheme="majorHAnsi" w:hAnsiTheme="majorHAnsi" w:cstheme="majorHAnsi"/>
          <w:i/>
          <w:sz w:val="16"/>
          <w:szCs w:val="16"/>
        </w:rPr>
        <w:t>404).</w:t>
      </w:r>
      <w:r>
        <w:rPr>
          <w:rFonts w:asciiTheme="majorHAnsi" w:hAnsiTheme="majorHAnsi" w:cstheme="majorHAnsi"/>
          <w:i/>
          <w:sz w:val="16"/>
          <w:szCs w:val="16"/>
        </w:rPr>
        <w:t xml:space="preserve"> P</w:t>
      </w:r>
      <w:r w:rsidRPr="00B33D27">
        <w:rPr>
          <w:rFonts w:asciiTheme="majorHAnsi" w:hAnsiTheme="majorHAnsi" w:cstheme="majorHAnsi"/>
          <w:i/>
          <w:sz w:val="16"/>
          <w:szCs w:val="16"/>
        </w:rPr>
        <w:t>articipants had the option to select up to three items</w:t>
      </w:r>
      <w:r>
        <w:rPr>
          <w:rFonts w:asciiTheme="majorHAnsi" w:hAnsiTheme="majorHAnsi" w:cstheme="majorHAnsi"/>
          <w:i/>
          <w:sz w:val="16"/>
          <w:szCs w:val="16"/>
        </w:rPr>
        <w:t>.</w:t>
      </w:r>
    </w:p>
    <w:p w14:paraId="15360600" w14:textId="5E4C4FA1" w:rsidR="003639AF" w:rsidRDefault="003639AF" w:rsidP="003639AF">
      <w:pPr>
        <w:spacing w:after="120"/>
        <w:rPr>
          <w:rFonts w:asciiTheme="majorHAnsi" w:hAnsiTheme="majorHAnsi" w:cstheme="majorHAnsi"/>
        </w:rPr>
      </w:pPr>
      <w:r>
        <w:rPr>
          <w:rFonts w:asciiTheme="majorHAnsi" w:hAnsiTheme="majorHAnsi" w:cstheme="majorHAnsi"/>
        </w:rPr>
        <w:t>As suggested in Part 3, Discovery Projects allocates funding to basic and applied research on the basis of research excellence</w:t>
      </w:r>
      <w:r w:rsidR="00843948">
        <w:rPr>
          <w:rFonts w:asciiTheme="majorHAnsi" w:hAnsiTheme="majorHAnsi" w:cstheme="majorHAnsi"/>
        </w:rPr>
        <w:t>.</w:t>
      </w:r>
      <w:r>
        <w:rPr>
          <w:rFonts w:asciiTheme="majorHAnsi" w:hAnsiTheme="majorHAnsi" w:cstheme="majorHAnsi"/>
        </w:rPr>
        <w:t xml:space="preserve"> These survey results, emphasising positive academic outcomes more strongly than translational benefits, are consistent with </w:t>
      </w:r>
      <w:r w:rsidR="00DB5BDC">
        <w:rPr>
          <w:rFonts w:asciiTheme="majorHAnsi" w:hAnsiTheme="majorHAnsi" w:cstheme="majorHAnsi"/>
        </w:rPr>
        <w:t>the balance of</w:t>
      </w:r>
      <w:r>
        <w:rPr>
          <w:rFonts w:asciiTheme="majorHAnsi" w:hAnsiTheme="majorHAnsi" w:cstheme="majorHAnsi"/>
        </w:rPr>
        <w:t xml:space="preserve"> Discovery Projects’ support towards basic </w:t>
      </w:r>
      <w:r w:rsidRPr="00316809">
        <w:rPr>
          <w:rFonts w:asciiTheme="majorHAnsi" w:hAnsiTheme="majorHAnsi" w:cstheme="majorHAnsi"/>
        </w:rPr>
        <w:t>research</w:t>
      </w:r>
      <w:r w:rsidR="00843948" w:rsidRPr="00316809">
        <w:rPr>
          <w:rFonts w:asciiTheme="majorHAnsi" w:hAnsiTheme="majorHAnsi" w:cstheme="majorHAnsi"/>
        </w:rPr>
        <w:t xml:space="preserve"> (</w:t>
      </w:r>
      <w:r w:rsidR="00843948" w:rsidRPr="00FC3E13">
        <w:rPr>
          <w:rFonts w:asciiTheme="majorHAnsi" w:hAnsiTheme="majorHAnsi" w:cstheme="majorHAnsi"/>
        </w:rPr>
        <w:t>see</w:t>
      </w:r>
      <w:r w:rsidR="00316809" w:rsidRPr="00FC3E13">
        <w:rPr>
          <w:rFonts w:asciiTheme="majorHAnsi" w:hAnsiTheme="majorHAnsi" w:cstheme="majorHAnsi"/>
        </w:rPr>
        <w:t xml:space="preserve"> </w:t>
      </w:r>
      <w:hyperlink w:anchor="_ARC_data—excellent_basic" w:history="1">
        <w:r w:rsidR="00316809" w:rsidRPr="00281670">
          <w:rPr>
            <w:rStyle w:val="Hyperlink"/>
            <w:color w:val="auto"/>
            <w:sz w:val="22"/>
            <w:u w:val="none"/>
          </w:rPr>
          <w:t>Section 3.2.1</w:t>
        </w:r>
      </w:hyperlink>
      <w:r w:rsidR="00843948" w:rsidRPr="00FC3E13">
        <w:rPr>
          <w:rFonts w:asciiTheme="majorHAnsi" w:hAnsiTheme="majorHAnsi" w:cstheme="majorHAnsi"/>
        </w:rPr>
        <w:t>)</w:t>
      </w:r>
      <w:r w:rsidRPr="00FC3E13">
        <w:rPr>
          <w:rFonts w:asciiTheme="majorHAnsi" w:hAnsiTheme="majorHAnsi" w:cstheme="majorHAnsi"/>
        </w:rPr>
        <w:t xml:space="preserve">. </w:t>
      </w:r>
      <w:r w:rsidR="000A3163" w:rsidRPr="00FC3E13">
        <w:rPr>
          <w:rFonts w:asciiTheme="majorHAnsi" w:hAnsiTheme="majorHAnsi" w:cstheme="majorHAnsi"/>
        </w:rPr>
        <w:t>I</w:t>
      </w:r>
      <w:r w:rsidRPr="00FC3E13">
        <w:rPr>
          <w:rFonts w:asciiTheme="majorHAnsi" w:hAnsiTheme="majorHAnsi" w:cstheme="majorHAnsi"/>
        </w:rPr>
        <w:t>n evaluating</w:t>
      </w:r>
      <w:r w:rsidRPr="00316809">
        <w:rPr>
          <w:rFonts w:asciiTheme="majorHAnsi" w:hAnsiTheme="majorHAnsi" w:cstheme="majorHAnsi"/>
        </w:rPr>
        <w:t xml:space="preserve"> the scheme’s </w:t>
      </w:r>
      <w:r>
        <w:rPr>
          <w:rFonts w:asciiTheme="majorHAnsi" w:hAnsiTheme="majorHAnsi" w:cstheme="majorHAnsi"/>
        </w:rPr>
        <w:t>overall support for translational benefits, several qualifications are important</w:t>
      </w:r>
      <w:r w:rsidRPr="00B33D27">
        <w:rPr>
          <w:rFonts w:asciiTheme="majorHAnsi" w:hAnsiTheme="majorHAnsi" w:cstheme="majorHAnsi"/>
        </w:rPr>
        <w:t xml:space="preserve">. Firstly, while </w:t>
      </w:r>
      <w:r w:rsidR="00810942">
        <w:rPr>
          <w:rFonts w:asciiTheme="majorHAnsi" w:hAnsiTheme="majorHAnsi" w:cstheme="majorHAnsi"/>
        </w:rPr>
        <w:t>assessment crit</w:t>
      </w:r>
      <w:r w:rsidRPr="00B33D27">
        <w:rPr>
          <w:rFonts w:asciiTheme="majorHAnsi" w:hAnsiTheme="majorHAnsi" w:cstheme="majorHAnsi"/>
        </w:rPr>
        <w:t>eria relating to the delivery of benefits to Australia</w:t>
      </w:r>
      <w:r>
        <w:rPr>
          <w:rFonts w:asciiTheme="majorHAnsi" w:hAnsiTheme="majorHAnsi" w:cstheme="majorHAnsi"/>
        </w:rPr>
        <w:t xml:space="preserve"> </w:t>
      </w:r>
      <w:r w:rsidRPr="00B33D27">
        <w:rPr>
          <w:rFonts w:asciiTheme="majorHAnsi" w:hAnsiTheme="majorHAnsi" w:cstheme="majorHAnsi"/>
        </w:rPr>
        <w:t>have been present throughout the history of the scheme, this intended outcom</w:t>
      </w:r>
      <w:r>
        <w:rPr>
          <w:rFonts w:asciiTheme="majorHAnsi" w:hAnsiTheme="majorHAnsi" w:cstheme="majorHAnsi"/>
        </w:rPr>
        <w:t>e was only introduced in DP21. There are, as such, methodological problems involved in evaluating benefits delivered against the current intended outcome. Further, it is still too early to assess the extent to which the introduction of this intended outcome will shape benefits</w:t>
      </w:r>
      <w:r w:rsidR="00587024">
        <w:rPr>
          <w:rFonts w:asciiTheme="majorHAnsi" w:hAnsiTheme="majorHAnsi" w:cstheme="majorHAnsi"/>
        </w:rPr>
        <w:t xml:space="preserve"> and </w:t>
      </w:r>
      <w:r>
        <w:rPr>
          <w:rFonts w:asciiTheme="majorHAnsi" w:hAnsiTheme="majorHAnsi" w:cstheme="majorHAnsi"/>
        </w:rPr>
        <w:t>outcomes from research funded under Discovery Projects. S</w:t>
      </w:r>
      <w:r w:rsidRPr="00B33D27">
        <w:rPr>
          <w:rFonts w:asciiTheme="majorHAnsi" w:hAnsiTheme="majorHAnsi" w:cstheme="majorHAnsi"/>
        </w:rPr>
        <w:t>econdly, the research</w:t>
      </w:r>
      <w:r>
        <w:rPr>
          <w:rFonts w:asciiTheme="majorHAnsi" w:hAnsiTheme="majorHAnsi" w:cstheme="majorHAnsi"/>
        </w:rPr>
        <w:t>er</w:t>
      </w:r>
      <w:r w:rsidRPr="00B33D27">
        <w:rPr>
          <w:rFonts w:asciiTheme="majorHAnsi" w:hAnsiTheme="majorHAnsi" w:cstheme="majorHAnsi"/>
        </w:rPr>
        <w:t xml:space="preserve"> survey divided the second</w:t>
      </w:r>
      <w:r>
        <w:rPr>
          <w:rFonts w:asciiTheme="majorHAnsi" w:hAnsiTheme="majorHAnsi" w:cstheme="majorHAnsi"/>
        </w:rPr>
        <w:t xml:space="preserve"> intended</w:t>
      </w:r>
      <w:r w:rsidRPr="00B33D27">
        <w:rPr>
          <w:rFonts w:asciiTheme="majorHAnsi" w:hAnsiTheme="majorHAnsi" w:cstheme="majorHAnsi"/>
        </w:rPr>
        <w:t xml:space="preserve"> outcome into fiv</w:t>
      </w:r>
      <w:r>
        <w:rPr>
          <w:rFonts w:asciiTheme="majorHAnsi" w:hAnsiTheme="majorHAnsi" w:cstheme="majorHAnsi"/>
        </w:rPr>
        <w:t xml:space="preserve">e distinct response categories, </w:t>
      </w:r>
      <w:r w:rsidRPr="00B33D27">
        <w:rPr>
          <w:rFonts w:asciiTheme="majorHAnsi" w:hAnsiTheme="majorHAnsi" w:cstheme="majorHAnsi"/>
        </w:rPr>
        <w:t>compared to two</w:t>
      </w:r>
      <w:r>
        <w:rPr>
          <w:rFonts w:asciiTheme="majorHAnsi" w:hAnsiTheme="majorHAnsi" w:cstheme="majorHAnsi"/>
        </w:rPr>
        <w:t xml:space="preserve"> for the first intended outcome</w:t>
      </w:r>
      <w:r w:rsidRPr="00B33D27">
        <w:rPr>
          <w:rFonts w:asciiTheme="majorHAnsi" w:hAnsiTheme="majorHAnsi" w:cstheme="majorHAnsi"/>
        </w:rPr>
        <w:t>, which is likely to have reduced the proportion of respondents associating their res</w:t>
      </w:r>
      <w:r>
        <w:rPr>
          <w:rFonts w:asciiTheme="majorHAnsi" w:hAnsiTheme="majorHAnsi" w:cstheme="majorHAnsi"/>
        </w:rPr>
        <w:t>earch with each benefit area. Forty-seven</w:t>
      </w:r>
      <w:r w:rsidRPr="00B33D27">
        <w:rPr>
          <w:rFonts w:asciiTheme="majorHAnsi" w:hAnsiTheme="majorHAnsi" w:cstheme="majorHAnsi"/>
        </w:rPr>
        <w:t xml:space="preserve"> per cent of respondents identified at least one translational ben</w:t>
      </w:r>
      <w:r>
        <w:rPr>
          <w:rFonts w:asciiTheme="majorHAnsi" w:hAnsiTheme="majorHAnsi" w:cstheme="majorHAnsi"/>
        </w:rPr>
        <w:t>efit category</w:t>
      </w:r>
      <w:r w:rsidRPr="00B33D27">
        <w:rPr>
          <w:rFonts w:asciiTheme="majorHAnsi" w:hAnsiTheme="majorHAnsi" w:cstheme="majorHAnsi"/>
        </w:rPr>
        <w:t>.</w:t>
      </w:r>
      <w:r>
        <w:rPr>
          <w:rStyle w:val="FootnoteReference"/>
          <w:rFonts w:asciiTheme="majorHAnsi" w:hAnsiTheme="majorHAnsi" w:cstheme="majorHAnsi"/>
        </w:rPr>
        <w:footnoteReference w:id="61"/>
      </w:r>
      <w:r w:rsidRPr="00B33D27">
        <w:rPr>
          <w:rFonts w:asciiTheme="majorHAnsi" w:hAnsiTheme="majorHAnsi" w:cstheme="majorHAnsi"/>
        </w:rPr>
        <w:t xml:space="preserve"> Thirdly, these benefits</w:t>
      </w:r>
      <w:r>
        <w:rPr>
          <w:rFonts w:asciiTheme="majorHAnsi" w:hAnsiTheme="majorHAnsi" w:cstheme="majorHAnsi"/>
        </w:rPr>
        <w:t xml:space="preserve"> and </w:t>
      </w:r>
      <w:r w:rsidRPr="00B33D27">
        <w:rPr>
          <w:rFonts w:asciiTheme="majorHAnsi" w:hAnsiTheme="majorHAnsi" w:cstheme="majorHAnsi"/>
        </w:rPr>
        <w:t xml:space="preserve">outcomes reflect researcher self-perception and </w:t>
      </w:r>
      <w:r>
        <w:rPr>
          <w:rFonts w:asciiTheme="majorHAnsi" w:hAnsiTheme="majorHAnsi" w:cstheme="majorHAnsi"/>
        </w:rPr>
        <w:t>cannot be verified due to the survey responses being non-identifiable</w:t>
      </w:r>
      <w:r w:rsidRPr="00B33D27">
        <w:rPr>
          <w:rFonts w:asciiTheme="majorHAnsi" w:hAnsiTheme="majorHAnsi" w:cstheme="majorHAnsi"/>
        </w:rPr>
        <w:t xml:space="preserve">. </w:t>
      </w:r>
      <w:r>
        <w:rPr>
          <w:rFonts w:asciiTheme="majorHAnsi" w:hAnsiTheme="majorHAnsi" w:cstheme="majorHAnsi"/>
        </w:rPr>
        <w:t xml:space="preserve">Further, the perceptions of benefit that informed participants’ responses </w:t>
      </w:r>
      <w:r w:rsidRPr="00B33D27">
        <w:rPr>
          <w:rFonts w:asciiTheme="majorHAnsi" w:hAnsiTheme="majorHAnsi" w:cstheme="majorHAnsi"/>
        </w:rPr>
        <w:t>may not have been entirely consistent. For instance, open</w:t>
      </w:r>
      <w:r>
        <w:rPr>
          <w:rFonts w:asciiTheme="majorHAnsi" w:hAnsiTheme="majorHAnsi" w:cstheme="majorHAnsi"/>
        </w:rPr>
        <w:t xml:space="preserve"> </w:t>
      </w:r>
      <w:r w:rsidRPr="00B33D27">
        <w:rPr>
          <w:rFonts w:asciiTheme="majorHAnsi" w:hAnsiTheme="majorHAnsi" w:cstheme="majorHAnsi"/>
        </w:rPr>
        <w:t xml:space="preserve">text responses </w:t>
      </w:r>
      <w:r>
        <w:rPr>
          <w:rFonts w:asciiTheme="majorHAnsi" w:hAnsiTheme="majorHAnsi" w:cstheme="majorHAnsi"/>
        </w:rPr>
        <w:t xml:space="preserve">indicated variability in participants’ association of </w:t>
      </w:r>
      <w:r w:rsidRPr="00B33D27">
        <w:rPr>
          <w:rFonts w:asciiTheme="majorHAnsi" w:hAnsiTheme="majorHAnsi" w:cstheme="majorHAnsi"/>
        </w:rPr>
        <w:t>intellectual property outcomes such as patents with economic or commercial benefits.</w:t>
      </w:r>
    </w:p>
    <w:p w14:paraId="5490DE67" w14:textId="4AD5F7A4" w:rsidR="003639AF" w:rsidRDefault="003639AF" w:rsidP="003639AF">
      <w:pPr>
        <w:spacing w:after="120"/>
        <w:rPr>
          <w:rFonts w:asciiTheme="majorHAnsi" w:hAnsiTheme="majorHAnsi" w:cstheme="majorHAnsi"/>
        </w:rPr>
      </w:pPr>
      <w:r w:rsidRPr="003322D5">
        <w:rPr>
          <w:rFonts w:asciiTheme="majorHAnsi" w:hAnsiTheme="majorHAnsi" w:cstheme="majorHAnsi"/>
          <w:highlight w:val="yellow"/>
        </w:rPr>
        <w:fldChar w:fldCharType="begin"/>
      </w:r>
      <w:r w:rsidRPr="003322D5">
        <w:rPr>
          <w:rFonts w:asciiTheme="majorHAnsi" w:hAnsiTheme="majorHAnsi" w:cstheme="majorHAnsi"/>
        </w:rPr>
        <w:instrText xml:space="preserve"> REF _Ref49154031 \h </w:instrText>
      </w:r>
      <w:r w:rsidRPr="003322D5">
        <w:rPr>
          <w:rFonts w:asciiTheme="majorHAnsi" w:hAnsiTheme="majorHAnsi" w:cstheme="majorHAnsi"/>
          <w:highlight w:val="yellow"/>
        </w:rPr>
        <w:instrText xml:space="preserve"> \* MERGEFORMAT </w:instrText>
      </w:r>
      <w:r w:rsidRPr="003322D5">
        <w:rPr>
          <w:rFonts w:asciiTheme="majorHAnsi" w:hAnsiTheme="majorHAnsi" w:cstheme="majorHAnsi"/>
          <w:highlight w:val="yellow"/>
        </w:rPr>
      </w:r>
      <w:r w:rsidRPr="003322D5">
        <w:rPr>
          <w:rFonts w:asciiTheme="majorHAnsi" w:hAnsiTheme="majorHAnsi" w:cstheme="majorHAnsi"/>
          <w:highlight w:val="yellow"/>
        </w:rPr>
        <w:fldChar w:fldCharType="separate"/>
      </w:r>
      <w:r w:rsidR="00AB03D7" w:rsidRPr="00AB03D7">
        <w:rPr>
          <w:rFonts w:asciiTheme="majorHAnsi" w:hAnsiTheme="majorHAnsi" w:cstheme="majorHAnsi"/>
          <w:color w:val="000000" w:themeColor="text1"/>
        </w:rPr>
        <w:t xml:space="preserve">Table </w:t>
      </w:r>
      <w:r w:rsidR="00AB03D7" w:rsidRPr="00AB03D7">
        <w:rPr>
          <w:rFonts w:asciiTheme="majorHAnsi" w:hAnsiTheme="majorHAnsi" w:cstheme="majorHAnsi"/>
          <w:noProof/>
          <w:color w:val="000000" w:themeColor="text1"/>
        </w:rPr>
        <w:t>4</w:t>
      </w:r>
      <w:r w:rsidRPr="003322D5">
        <w:rPr>
          <w:rFonts w:asciiTheme="majorHAnsi" w:hAnsiTheme="majorHAnsi" w:cstheme="majorHAnsi"/>
          <w:highlight w:val="yellow"/>
        </w:rPr>
        <w:fldChar w:fldCharType="end"/>
      </w:r>
      <w:r w:rsidRPr="003322D5">
        <w:rPr>
          <w:rFonts w:asciiTheme="majorHAnsi" w:hAnsiTheme="majorHAnsi" w:cstheme="majorHAnsi"/>
        </w:rPr>
        <w:t xml:space="preserve"> </w:t>
      </w:r>
      <w:r>
        <w:rPr>
          <w:rFonts w:asciiTheme="majorHAnsi" w:hAnsiTheme="majorHAnsi" w:cstheme="majorHAnsi"/>
        </w:rPr>
        <w:t>presents</w:t>
      </w:r>
      <w:r w:rsidRPr="003322D5">
        <w:rPr>
          <w:rFonts w:asciiTheme="majorHAnsi" w:hAnsiTheme="majorHAnsi" w:cstheme="majorHAnsi"/>
        </w:rPr>
        <w:t xml:space="preserve"> the proportion of research</w:t>
      </w:r>
      <w:r>
        <w:rPr>
          <w:rFonts w:asciiTheme="majorHAnsi" w:hAnsiTheme="majorHAnsi" w:cstheme="majorHAnsi"/>
        </w:rPr>
        <w:t>ers—again, grouped according to the characteristics of their most recently completed project under the scheme—</w:t>
      </w:r>
      <w:r w:rsidRPr="003322D5">
        <w:rPr>
          <w:rFonts w:asciiTheme="majorHAnsi" w:hAnsiTheme="majorHAnsi" w:cstheme="majorHAnsi"/>
        </w:rPr>
        <w:t xml:space="preserve">identifying each of the </w:t>
      </w:r>
      <w:r w:rsidR="009E2809">
        <w:rPr>
          <w:rFonts w:asciiTheme="majorHAnsi" w:hAnsiTheme="majorHAnsi" w:cstheme="majorHAnsi"/>
        </w:rPr>
        <w:t xml:space="preserve">most substantial </w:t>
      </w:r>
      <w:r w:rsidRPr="003322D5">
        <w:rPr>
          <w:rFonts w:asciiTheme="majorHAnsi" w:hAnsiTheme="majorHAnsi" w:cstheme="majorHAnsi"/>
        </w:rPr>
        <w:t>outcome</w:t>
      </w:r>
      <w:r w:rsidR="00587024">
        <w:rPr>
          <w:rFonts w:asciiTheme="majorHAnsi" w:hAnsiTheme="majorHAnsi" w:cstheme="majorHAnsi"/>
        </w:rPr>
        <w:t xml:space="preserve"> and </w:t>
      </w:r>
      <w:r w:rsidRPr="003322D5">
        <w:rPr>
          <w:rFonts w:asciiTheme="majorHAnsi" w:hAnsiTheme="majorHAnsi" w:cstheme="majorHAnsi"/>
        </w:rPr>
        <w:t>benefit</w:t>
      </w:r>
      <w:r>
        <w:rPr>
          <w:rFonts w:asciiTheme="majorHAnsi" w:hAnsiTheme="majorHAnsi" w:cstheme="majorHAnsi"/>
        </w:rPr>
        <w:t xml:space="preserve"> areas</w:t>
      </w:r>
      <w:r w:rsidRPr="003322D5">
        <w:rPr>
          <w:rFonts w:asciiTheme="majorHAnsi" w:hAnsiTheme="majorHAnsi" w:cstheme="majorHAnsi"/>
        </w:rPr>
        <w:t xml:space="preserve"> specified in </w:t>
      </w:r>
      <w:r w:rsidRPr="003322D5">
        <w:rPr>
          <w:rFonts w:asciiTheme="majorHAnsi" w:hAnsiTheme="majorHAnsi" w:cstheme="majorHAnsi"/>
        </w:rPr>
        <w:fldChar w:fldCharType="begin"/>
      </w:r>
      <w:r w:rsidRPr="003322D5">
        <w:rPr>
          <w:rFonts w:asciiTheme="majorHAnsi" w:hAnsiTheme="majorHAnsi" w:cstheme="majorHAnsi"/>
        </w:rPr>
        <w:instrText xml:space="preserve"> REF _Ref49153981 \h  \* MERGEFORMAT </w:instrText>
      </w:r>
      <w:r w:rsidRPr="003322D5">
        <w:rPr>
          <w:rFonts w:asciiTheme="majorHAnsi" w:hAnsiTheme="majorHAnsi" w:cstheme="majorHAnsi"/>
        </w:rPr>
      </w:r>
      <w:r w:rsidRPr="003322D5">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33</w:t>
      </w:r>
      <w:r w:rsidRPr="003322D5">
        <w:rPr>
          <w:rFonts w:asciiTheme="majorHAnsi" w:hAnsiTheme="majorHAnsi" w:cstheme="majorHAnsi"/>
        </w:rPr>
        <w:fldChar w:fldCharType="end"/>
      </w:r>
      <w:r>
        <w:rPr>
          <w:rFonts w:asciiTheme="majorHAnsi" w:hAnsiTheme="majorHAnsi" w:cstheme="majorHAnsi"/>
        </w:rPr>
        <w:t>.</w:t>
      </w:r>
    </w:p>
    <w:p w14:paraId="06B96E3C" w14:textId="6DC5AE14" w:rsidR="0060427F" w:rsidRDefault="0060427F" w:rsidP="003639AF">
      <w:pPr>
        <w:spacing w:after="120"/>
        <w:rPr>
          <w:rFonts w:asciiTheme="majorHAnsi" w:hAnsiTheme="majorHAnsi" w:cstheme="majorHAnsi"/>
        </w:rPr>
      </w:pPr>
    </w:p>
    <w:p w14:paraId="53B415B3" w14:textId="77777777" w:rsidR="005B19FE" w:rsidRDefault="005B19FE" w:rsidP="003639AF">
      <w:pPr>
        <w:spacing w:after="120"/>
        <w:rPr>
          <w:rFonts w:asciiTheme="majorHAnsi" w:hAnsiTheme="majorHAnsi" w:cstheme="majorHAnsi"/>
        </w:rPr>
      </w:pPr>
    </w:p>
    <w:p w14:paraId="424739CE" w14:textId="77777777" w:rsidR="004F37EC" w:rsidRDefault="004F37EC" w:rsidP="003639AF">
      <w:pPr>
        <w:spacing w:after="120"/>
        <w:rPr>
          <w:rFonts w:asciiTheme="majorHAnsi" w:hAnsiTheme="majorHAnsi" w:cstheme="majorHAnsi"/>
        </w:rPr>
      </w:pPr>
    </w:p>
    <w:p w14:paraId="1D0BBB04" w14:textId="77777777" w:rsidR="004F37EC" w:rsidRDefault="004F37EC" w:rsidP="003639AF">
      <w:pPr>
        <w:spacing w:after="120"/>
        <w:rPr>
          <w:rFonts w:asciiTheme="majorHAnsi" w:hAnsiTheme="majorHAnsi" w:cstheme="majorHAnsi"/>
        </w:rPr>
      </w:pPr>
    </w:p>
    <w:p w14:paraId="5B2B0C6E" w14:textId="77777777" w:rsidR="0060427F" w:rsidRDefault="0060427F" w:rsidP="003639AF">
      <w:pPr>
        <w:spacing w:after="120"/>
        <w:rPr>
          <w:rFonts w:asciiTheme="majorHAnsi" w:hAnsiTheme="majorHAnsi" w:cstheme="majorHAnsi"/>
        </w:rPr>
      </w:pPr>
    </w:p>
    <w:p w14:paraId="54B0FC4B" w14:textId="15A21C1E" w:rsidR="003639AF" w:rsidRPr="00030B10" w:rsidRDefault="003639AF" w:rsidP="00672942">
      <w:pPr>
        <w:pStyle w:val="TableTitle"/>
        <w:rPr>
          <w:i/>
        </w:rPr>
      </w:pPr>
      <w:bookmarkStart w:id="611" w:name="_Ref49154031"/>
      <w:r w:rsidRPr="00030B10">
        <w:lastRenderedPageBreak/>
        <w:t xml:space="preserve">Table </w:t>
      </w:r>
      <w:r w:rsidR="00857467">
        <w:fldChar w:fldCharType="begin"/>
      </w:r>
      <w:r w:rsidR="00857467">
        <w:instrText xml:space="preserve"> SEQ Table \* ARABIC </w:instrText>
      </w:r>
      <w:r w:rsidR="00857467">
        <w:fldChar w:fldCharType="separate"/>
      </w:r>
      <w:r w:rsidR="00AB03D7">
        <w:rPr>
          <w:noProof/>
        </w:rPr>
        <w:t>4</w:t>
      </w:r>
      <w:r w:rsidR="00857467">
        <w:rPr>
          <w:noProof/>
        </w:rPr>
        <w:fldChar w:fldCharType="end"/>
      </w:r>
      <w:bookmarkEnd w:id="611"/>
      <w:r w:rsidRPr="00030B10">
        <w:t xml:space="preserve">: </w:t>
      </w:r>
      <w:r>
        <w:t>Proportion of researchers identifying</w:t>
      </w:r>
      <w:r w:rsidRPr="00030B10">
        <w:t xml:space="preserve"> </w:t>
      </w:r>
      <w:r w:rsidR="009E2809">
        <w:t xml:space="preserve">most substantial </w:t>
      </w:r>
      <w:r>
        <w:t>outcome</w:t>
      </w:r>
      <w:r w:rsidR="003C3059">
        <w:t xml:space="preserve"> and </w:t>
      </w:r>
      <w:r>
        <w:t xml:space="preserve">benefit areas delivered, </w:t>
      </w:r>
      <w:r>
        <w:rPr>
          <w:color w:val="auto"/>
        </w:rPr>
        <w:t xml:space="preserve">by </w:t>
      </w:r>
      <w:r w:rsidRPr="00F90B58">
        <w:rPr>
          <w:color w:val="auto"/>
        </w:rPr>
        <w:t>most recently completed Discovery Project</w:t>
      </w:r>
      <w:r>
        <w:rPr>
          <w:color w:val="auto"/>
        </w:rPr>
        <w:t>s research</w:t>
      </w:r>
      <w:r w:rsidRPr="00F90B58">
        <w:rPr>
          <w:color w:val="auto"/>
        </w:rPr>
        <w:t xml:space="preserve"> characteristics</w:t>
      </w:r>
      <w:r>
        <w:t xml:space="preserve"> </w:t>
      </w:r>
    </w:p>
    <w:tbl>
      <w:tblPr>
        <w:tblStyle w:val="GridTable412"/>
        <w:tblW w:w="920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4A0" w:firstRow="1" w:lastRow="0" w:firstColumn="1" w:lastColumn="0" w:noHBand="0" w:noVBand="1"/>
        <w:tblCaption w:val="Table 4: Proportion of researchers identifying outcome/benefit areas delivered by most recently completed Discovery Projects research characteristics "/>
        <w:tblDescription w:val="Table 4 indicates the proportion of researchers surveyed identifying outcomes/benefits arising from their most recently completed Discovery Project. Researchers have been subcategorised according to information from their most recently completed Discovery Project. See text below table for more information.&#10;"/>
      </w:tblPr>
      <w:tblGrid>
        <w:gridCol w:w="1413"/>
        <w:gridCol w:w="567"/>
        <w:gridCol w:w="566"/>
        <w:gridCol w:w="851"/>
        <w:gridCol w:w="851"/>
        <w:gridCol w:w="851"/>
        <w:gridCol w:w="709"/>
        <w:gridCol w:w="721"/>
        <w:gridCol w:w="850"/>
        <w:gridCol w:w="851"/>
        <w:gridCol w:w="979"/>
      </w:tblGrid>
      <w:tr w:rsidR="003639AF" w:rsidRPr="00064698" w14:paraId="41D1FB2C" w14:textId="77777777" w:rsidTr="007057E6">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dxa"/>
            <w:shd w:val="clear" w:color="auto" w:fill="262626"/>
          </w:tcPr>
          <w:p w14:paraId="24CBB226" w14:textId="77777777" w:rsidR="003639AF" w:rsidRPr="00064698" w:rsidRDefault="003639AF" w:rsidP="00907139">
            <w:pPr>
              <w:spacing w:before="120" w:after="120"/>
              <w:rPr>
                <w:rFonts w:cstheme="minorHAnsi"/>
                <w:sz w:val="16"/>
                <w:szCs w:val="16"/>
              </w:rPr>
            </w:pPr>
          </w:p>
        </w:tc>
        <w:tc>
          <w:tcPr>
            <w:tcW w:w="7796" w:type="dxa"/>
            <w:gridSpan w:val="10"/>
            <w:shd w:val="clear" w:color="auto" w:fill="262626"/>
          </w:tcPr>
          <w:p w14:paraId="357E1AAC" w14:textId="77777777" w:rsidR="003639AF" w:rsidRPr="002D4EFF" w:rsidRDefault="003639AF" w:rsidP="00907139">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Research Project Characteristics</w:t>
            </w:r>
            <w:r w:rsidRPr="002D4EFF">
              <w:rPr>
                <w:rFonts w:cstheme="minorHAnsi"/>
              </w:rPr>
              <w:t xml:space="preserve"> </w:t>
            </w:r>
          </w:p>
        </w:tc>
      </w:tr>
      <w:tr w:rsidR="00B07A53" w:rsidRPr="00064698" w14:paraId="06DB660D" w14:textId="77777777" w:rsidTr="00712141">
        <w:trPr>
          <w:cnfStyle w:val="000000100000" w:firstRow="0" w:lastRow="0" w:firstColumn="0" w:lastColumn="0" w:oddVBand="0" w:evenVBand="0" w:oddHBand="1" w:evenHBand="0" w:firstRowFirstColumn="0" w:firstRowLastColumn="0" w:lastRowFirstColumn="0" w:lastRowLastColumn="0"/>
          <w:cantSplit/>
          <w:trHeight w:val="1329"/>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44546A" w:themeColor="text2"/>
            </w:tcBorders>
            <w:shd w:val="clear" w:color="auto" w:fill="262626"/>
            <w:vAlign w:val="bottom"/>
          </w:tcPr>
          <w:p w14:paraId="2F9D93CA" w14:textId="77777777" w:rsidR="003639AF" w:rsidRPr="0020780E" w:rsidRDefault="003639AF" w:rsidP="00907139">
            <w:pPr>
              <w:spacing w:before="120" w:after="120"/>
              <w:rPr>
                <w:rFonts w:cstheme="minorHAnsi"/>
                <w:color w:val="FFFFFF"/>
                <w:sz w:val="16"/>
                <w:szCs w:val="16"/>
              </w:rPr>
            </w:pPr>
            <w:r w:rsidRPr="0020780E">
              <w:rPr>
                <w:rFonts w:cstheme="minorHAnsi"/>
                <w:color w:val="FFFFFF"/>
                <w:sz w:val="16"/>
                <w:szCs w:val="16"/>
              </w:rPr>
              <w:t>Outcome/benefit area</w:t>
            </w:r>
          </w:p>
        </w:tc>
        <w:tc>
          <w:tcPr>
            <w:tcW w:w="0" w:type="dxa"/>
            <w:tcBorders>
              <w:bottom w:val="single" w:sz="4" w:space="0" w:color="44546A" w:themeColor="text2"/>
            </w:tcBorders>
            <w:shd w:val="clear" w:color="auto" w:fill="262626"/>
            <w:textDirection w:val="btLr"/>
            <w:vAlign w:val="bottom"/>
          </w:tcPr>
          <w:p w14:paraId="4B3B66D4" w14:textId="77777777"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STEM</w:t>
            </w:r>
          </w:p>
        </w:tc>
        <w:tc>
          <w:tcPr>
            <w:tcW w:w="0" w:type="dxa"/>
            <w:tcBorders>
              <w:bottom w:val="single" w:sz="4" w:space="0" w:color="44546A" w:themeColor="text2"/>
            </w:tcBorders>
            <w:shd w:val="clear" w:color="auto" w:fill="262626"/>
            <w:textDirection w:val="btLr"/>
            <w:vAlign w:val="bottom"/>
          </w:tcPr>
          <w:p w14:paraId="40E4A091" w14:textId="77777777"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HASS</w:t>
            </w:r>
          </w:p>
        </w:tc>
        <w:tc>
          <w:tcPr>
            <w:tcW w:w="0" w:type="dxa"/>
            <w:tcBorders>
              <w:bottom w:val="single" w:sz="4" w:space="0" w:color="44546A" w:themeColor="text2"/>
            </w:tcBorders>
            <w:shd w:val="clear" w:color="auto" w:fill="262626"/>
            <w:textDirection w:val="btLr"/>
            <w:vAlign w:val="bottom"/>
          </w:tcPr>
          <w:p w14:paraId="1DF0B471" w14:textId="0830B52E"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 xml:space="preserve">Completed </w:t>
            </w:r>
            <w:r w:rsidR="00634781">
              <w:rPr>
                <w:rFonts w:cstheme="minorHAnsi"/>
                <w:b/>
                <w:color w:val="FFFFFF"/>
                <w:sz w:val="16"/>
                <w:szCs w:val="16"/>
              </w:rPr>
              <w:t>Project</w:t>
            </w:r>
            <w:r w:rsidRPr="00064698">
              <w:rPr>
                <w:rFonts w:cstheme="minorHAnsi"/>
                <w:b/>
                <w:color w:val="FFFFFF"/>
                <w:sz w:val="16"/>
                <w:szCs w:val="16"/>
              </w:rPr>
              <w:t xml:space="preserve"> 2018 or later</w:t>
            </w:r>
          </w:p>
        </w:tc>
        <w:tc>
          <w:tcPr>
            <w:tcW w:w="0" w:type="dxa"/>
            <w:tcBorders>
              <w:bottom w:val="single" w:sz="4" w:space="0" w:color="44546A" w:themeColor="text2"/>
            </w:tcBorders>
            <w:shd w:val="clear" w:color="auto" w:fill="262626"/>
            <w:textDirection w:val="btLr"/>
            <w:vAlign w:val="bottom"/>
          </w:tcPr>
          <w:p w14:paraId="36471DC1" w14:textId="60915E87"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 xml:space="preserve">Completed </w:t>
            </w:r>
            <w:r w:rsidR="00634781">
              <w:rPr>
                <w:rFonts w:cstheme="minorHAnsi"/>
                <w:b/>
                <w:color w:val="FFFFFF"/>
                <w:sz w:val="16"/>
                <w:szCs w:val="16"/>
              </w:rPr>
              <w:t xml:space="preserve">Project </w:t>
            </w:r>
            <w:r w:rsidRPr="00064698">
              <w:rPr>
                <w:rFonts w:cstheme="minorHAnsi"/>
                <w:b/>
                <w:color w:val="FFFFFF"/>
                <w:sz w:val="16"/>
                <w:szCs w:val="16"/>
              </w:rPr>
              <w:t>2011– 2017</w:t>
            </w:r>
          </w:p>
        </w:tc>
        <w:tc>
          <w:tcPr>
            <w:tcW w:w="0" w:type="dxa"/>
            <w:tcBorders>
              <w:bottom w:val="single" w:sz="4" w:space="0" w:color="44546A" w:themeColor="text2"/>
            </w:tcBorders>
            <w:shd w:val="clear" w:color="auto" w:fill="262626"/>
            <w:textDirection w:val="btLr"/>
            <w:vAlign w:val="bottom"/>
          </w:tcPr>
          <w:p w14:paraId="614D529F" w14:textId="60C09145"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 xml:space="preserve">Completed </w:t>
            </w:r>
            <w:r w:rsidR="00634781">
              <w:rPr>
                <w:rFonts w:cstheme="minorHAnsi"/>
                <w:b/>
                <w:color w:val="FFFFFF"/>
                <w:sz w:val="16"/>
                <w:szCs w:val="16"/>
              </w:rPr>
              <w:t xml:space="preserve">Project </w:t>
            </w:r>
            <w:r w:rsidRPr="00064698">
              <w:rPr>
                <w:rFonts w:cstheme="minorHAnsi"/>
                <w:b/>
                <w:color w:val="FFFFFF"/>
                <w:sz w:val="16"/>
                <w:szCs w:val="16"/>
              </w:rPr>
              <w:t>2010 or earlier</w:t>
            </w:r>
          </w:p>
        </w:tc>
        <w:tc>
          <w:tcPr>
            <w:tcW w:w="0" w:type="dxa"/>
            <w:tcBorders>
              <w:bottom w:val="single" w:sz="4" w:space="0" w:color="44546A" w:themeColor="text2"/>
            </w:tcBorders>
            <w:shd w:val="clear" w:color="auto" w:fill="262626"/>
            <w:textDirection w:val="btLr"/>
            <w:vAlign w:val="bottom"/>
          </w:tcPr>
          <w:p w14:paraId="6E6791F9" w14:textId="77777777"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Basic</w:t>
            </w:r>
          </w:p>
        </w:tc>
        <w:tc>
          <w:tcPr>
            <w:tcW w:w="0" w:type="dxa"/>
            <w:tcBorders>
              <w:bottom w:val="single" w:sz="4" w:space="0" w:color="44546A" w:themeColor="text2"/>
            </w:tcBorders>
            <w:shd w:val="clear" w:color="auto" w:fill="262626"/>
            <w:textDirection w:val="btLr"/>
            <w:vAlign w:val="bottom"/>
          </w:tcPr>
          <w:p w14:paraId="1657F319" w14:textId="77777777"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Applied</w:t>
            </w:r>
          </w:p>
        </w:tc>
        <w:tc>
          <w:tcPr>
            <w:tcW w:w="0" w:type="dxa"/>
            <w:tcBorders>
              <w:bottom w:val="single" w:sz="4" w:space="0" w:color="44546A" w:themeColor="text2"/>
            </w:tcBorders>
            <w:shd w:val="clear" w:color="auto" w:fill="262626"/>
            <w:textDirection w:val="btLr"/>
            <w:vAlign w:val="bottom"/>
          </w:tcPr>
          <w:p w14:paraId="4715C073" w14:textId="77777777"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Basic and Applied Combined</w:t>
            </w:r>
          </w:p>
        </w:tc>
        <w:tc>
          <w:tcPr>
            <w:tcW w:w="0" w:type="dxa"/>
            <w:tcBorders>
              <w:bottom w:val="single" w:sz="4" w:space="0" w:color="44546A" w:themeColor="text2"/>
            </w:tcBorders>
            <w:shd w:val="clear" w:color="auto" w:fill="262626"/>
            <w:textDirection w:val="btLr"/>
            <w:vAlign w:val="bottom"/>
          </w:tcPr>
          <w:p w14:paraId="2884E8BA" w14:textId="77777777"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International Collaboration</w:t>
            </w:r>
          </w:p>
        </w:tc>
        <w:tc>
          <w:tcPr>
            <w:tcW w:w="979" w:type="dxa"/>
            <w:tcBorders>
              <w:bottom w:val="single" w:sz="4" w:space="0" w:color="44546A" w:themeColor="text2"/>
            </w:tcBorders>
            <w:shd w:val="clear" w:color="auto" w:fill="262626"/>
            <w:textDirection w:val="btLr"/>
            <w:vAlign w:val="bottom"/>
          </w:tcPr>
          <w:p w14:paraId="0DE0DF18" w14:textId="77777777" w:rsidR="003639AF" w:rsidRPr="00064698" w:rsidRDefault="003639AF" w:rsidP="00907139">
            <w:pPr>
              <w:spacing w:before="120" w:after="120"/>
              <w:ind w:left="113" w:right="113"/>
              <w:cnfStyle w:val="000000100000" w:firstRow="0" w:lastRow="0" w:firstColumn="0" w:lastColumn="0" w:oddVBand="0" w:evenVBand="0" w:oddHBand="1" w:evenHBand="0" w:firstRowFirstColumn="0" w:firstRowLastColumn="0" w:lastRowFirstColumn="0" w:lastRowLastColumn="0"/>
              <w:rPr>
                <w:rFonts w:cstheme="minorHAnsi"/>
                <w:b/>
                <w:color w:val="FFFFFF"/>
                <w:sz w:val="16"/>
                <w:szCs w:val="16"/>
              </w:rPr>
            </w:pPr>
            <w:r w:rsidRPr="00064698">
              <w:rPr>
                <w:rFonts w:cstheme="minorHAnsi"/>
                <w:b/>
                <w:color w:val="FFFFFF"/>
                <w:sz w:val="16"/>
                <w:szCs w:val="16"/>
              </w:rPr>
              <w:t>No International Collaboration</w:t>
            </w:r>
          </w:p>
        </w:tc>
      </w:tr>
      <w:tr w:rsidR="00B07A53" w:rsidRPr="00B77D5A" w14:paraId="327BF62E" w14:textId="77777777" w:rsidTr="00712141">
        <w:trPr>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29E6BB65" w14:textId="77777777" w:rsidR="003639AF" w:rsidRPr="00064698" w:rsidRDefault="003639AF" w:rsidP="00907139">
            <w:pPr>
              <w:spacing w:before="120" w:after="120"/>
              <w:rPr>
                <w:rFonts w:cstheme="minorHAnsi"/>
                <w:sz w:val="16"/>
                <w:szCs w:val="16"/>
              </w:rPr>
            </w:pPr>
            <w:r>
              <w:rPr>
                <w:rFonts w:cs="Arial"/>
                <w:color w:val="000000"/>
                <w:sz w:val="16"/>
                <w:szCs w:val="16"/>
              </w:rPr>
              <w:t>Expanded k</w:t>
            </w:r>
            <w:r w:rsidRPr="005B3A15">
              <w:rPr>
                <w:rFonts w:cs="Arial"/>
                <w:color w:val="000000"/>
                <w:sz w:val="16"/>
                <w:szCs w:val="16"/>
              </w:rPr>
              <w:t xml:space="preserve">nowledge </w:t>
            </w:r>
            <w:r>
              <w:rPr>
                <w:rFonts w:cs="Arial"/>
                <w:color w:val="000000"/>
                <w:sz w:val="16"/>
                <w:szCs w:val="16"/>
              </w:rPr>
              <w:t>b</w:t>
            </w:r>
            <w:r w:rsidRPr="005B3A15">
              <w:rPr>
                <w:rFonts w:cs="Arial"/>
                <w:color w:val="000000"/>
                <w:sz w:val="16"/>
                <w:szCs w:val="16"/>
              </w:rPr>
              <w:t>ase</w:t>
            </w:r>
          </w:p>
        </w:tc>
        <w:tc>
          <w:tcPr>
            <w:tcW w:w="56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69843B64"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82%</w:t>
            </w:r>
          </w:p>
          <w:p w14:paraId="13AFCDC9" w14:textId="03647A7F"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56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3CC2D92A"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76%</w:t>
            </w:r>
          </w:p>
          <w:p w14:paraId="5A76656B" w14:textId="1A11F30E"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11BCC037"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83%</w:t>
            </w:r>
          </w:p>
          <w:p w14:paraId="0B1DAC11" w14:textId="1126B235"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741C4904"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78%</w:t>
            </w:r>
          </w:p>
          <w:p w14:paraId="0C5EB4C3" w14:textId="7C2A1609"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093F156F"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75%</w:t>
            </w:r>
          </w:p>
          <w:p w14:paraId="2849533D" w14:textId="5425ED82"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0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5C4465A4"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87%</w:t>
            </w:r>
          </w:p>
          <w:p w14:paraId="200B200E" w14:textId="46FC3CEA"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2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17AE35A3"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66%</w:t>
            </w:r>
          </w:p>
          <w:p w14:paraId="65D98B35" w14:textId="114C6FC8"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5BE4D17"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78%</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6DF10D04"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82%</w:t>
            </w:r>
          </w:p>
          <w:p w14:paraId="50A04738" w14:textId="538D4D09"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9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67D30262"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77%</w:t>
            </w:r>
          </w:p>
          <w:p w14:paraId="2FD8FD58" w14:textId="21E019C3"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r>
      <w:tr w:rsidR="00B07A53" w:rsidRPr="00B77D5A" w14:paraId="0D14669B" w14:textId="77777777" w:rsidTr="00712141">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58A01B0D" w14:textId="77777777" w:rsidR="003639AF" w:rsidRPr="00064698" w:rsidRDefault="003639AF" w:rsidP="00907139">
            <w:pPr>
              <w:spacing w:before="120" w:after="120"/>
              <w:rPr>
                <w:rFonts w:cstheme="minorHAnsi"/>
                <w:sz w:val="16"/>
                <w:szCs w:val="16"/>
              </w:rPr>
            </w:pPr>
            <w:r>
              <w:rPr>
                <w:rFonts w:cs="Arial"/>
                <w:color w:val="000000"/>
                <w:sz w:val="16"/>
                <w:szCs w:val="16"/>
              </w:rPr>
              <w:t>Expanded research c</w:t>
            </w:r>
            <w:r w:rsidRPr="005B3A15">
              <w:rPr>
                <w:rFonts w:cs="Arial"/>
                <w:color w:val="000000"/>
                <w:sz w:val="16"/>
                <w:szCs w:val="16"/>
              </w:rPr>
              <w:t>apacity</w:t>
            </w:r>
          </w:p>
        </w:tc>
        <w:tc>
          <w:tcPr>
            <w:tcW w:w="56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30C4C9A9"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55%</w:t>
            </w:r>
          </w:p>
          <w:p w14:paraId="113AA17C" w14:textId="08791444"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56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2B627DC8"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41%</w:t>
            </w:r>
          </w:p>
          <w:p w14:paraId="1151CAC5" w14:textId="7C803306"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1EEC61AF"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54%</w:t>
            </w:r>
          </w:p>
          <w:p w14:paraId="09DCAE4D" w14:textId="6D6C3A75"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7217856E"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48%</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28B06264"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40%</w:t>
            </w:r>
          </w:p>
          <w:p w14:paraId="0B66B56A" w14:textId="11BB5C77"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0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7E4A5F13"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51%</w:t>
            </w:r>
          </w:p>
        </w:tc>
        <w:tc>
          <w:tcPr>
            <w:tcW w:w="72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057EA4EF"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41%</w:t>
            </w:r>
          </w:p>
          <w:p w14:paraId="062E4541" w14:textId="668A251C"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38239113"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51%</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6A8774FA"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54%</w:t>
            </w:r>
          </w:p>
          <w:p w14:paraId="47816429" w14:textId="699F99D2"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9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7B378447"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42%</w:t>
            </w:r>
          </w:p>
          <w:p w14:paraId="49EC6611" w14:textId="1BDA7FB9"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r>
      <w:tr w:rsidR="00B07A53" w:rsidRPr="00B77D5A" w14:paraId="4D90E230" w14:textId="77777777" w:rsidTr="00712141">
        <w:trPr>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2B10646" w14:textId="77777777" w:rsidR="003639AF" w:rsidRPr="00064698" w:rsidRDefault="003639AF" w:rsidP="00907139">
            <w:pPr>
              <w:spacing w:before="120" w:after="120"/>
              <w:rPr>
                <w:rFonts w:cstheme="minorHAnsi"/>
                <w:sz w:val="16"/>
                <w:szCs w:val="16"/>
              </w:rPr>
            </w:pPr>
            <w:r>
              <w:rPr>
                <w:rFonts w:cs="Arial"/>
                <w:color w:val="000000"/>
                <w:sz w:val="16"/>
                <w:szCs w:val="16"/>
              </w:rPr>
              <w:t>Social b</w:t>
            </w:r>
            <w:r w:rsidRPr="005B3A15">
              <w:rPr>
                <w:rFonts w:cs="Arial"/>
                <w:color w:val="000000"/>
                <w:sz w:val="16"/>
                <w:szCs w:val="16"/>
              </w:rPr>
              <w:t>enefits</w:t>
            </w:r>
          </w:p>
        </w:tc>
        <w:tc>
          <w:tcPr>
            <w:tcW w:w="56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576B9F60"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9%</w:t>
            </w:r>
          </w:p>
          <w:p w14:paraId="3C4A8D96" w14:textId="1171B6B7"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56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2AE315F5"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38%</w:t>
            </w:r>
          </w:p>
          <w:p w14:paraId="13268B63" w14:textId="64CE281A"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48BE0AEA"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19%</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3DB58475"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20%</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77A740FC"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19%</w:t>
            </w:r>
          </w:p>
        </w:tc>
        <w:tc>
          <w:tcPr>
            <w:tcW w:w="70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608D9464"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11%</w:t>
            </w:r>
          </w:p>
          <w:p w14:paraId="6675047F" w14:textId="32829F1D"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2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2D6910FC"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34%</w:t>
            </w:r>
          </w:p>
          <w:p w14:paraId="323A6D34" w14:textId="32BD6F8F"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2A6C229E"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23%</w:t>
            </w:r>
          </w:p>
          <w:p w14:paraId="067C4168" w14:textId="1178E271"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22B1B14B"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17%</w:t>
            </w:r>
          </w:p>
          <w:p w14:paraId="67E5DA44" w14:textId="15EB522E"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9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7CAC1455"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24%</w:t>
            </w:r>
          </w:p>
          <w:p w14:paraId="77F35856" w14:textId="7094EF78"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r>
      <w:tr w:rsidR="00712141" w:rsidRPr="00B77D5A" w14:paraId="168287FA" w14:textId="77777777" w:rsidTr="00712141">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4A422A85" w14:textId="77777777" w:rsidR="003639AF" w:rsidRPr="00064698" w:rsidRDefault="003639AF" w:rsidP="00907139">
            <w:pPr>
              <w:spacing w:before="120" w:after="120"/>
              <w:rPr>
                <w:rFonts w:cstheme="minorHAnsi"/>
                <w:sz w:val="16"/>
                <w:szCs w:val="16"/>
              </w:rPr>
            </w:pPr>
            <w:r>
              <w:rPr>
                <w:rFonts w:cs="Arial"/>
                <w:color w:val="000000"/>
                <w:sz w:val="16"/>
                <w:szCs w:val="16"/>
              </w:rPr>
              <w:t>Cultural b</w:t>
            </w:r>
            <w:r w:rsidRPr="005B3A15">
              <w:rPr>
                <w:rFonts w:cs="Arial"/>
                <w:color w:val="000000"/>
                <w:sz w:val="16"/>
                <w:szCs w:val="16"/>
              </w:rPr>
              <w:t>enefits</w:t>
            </w:r>
          </w:p>
        </w:tc>
        <w:tc>
          <w:tcPr>
            <w:tcW w:w="56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5EE4BC14"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3%</w:t>
            </w:r>
          </w:p>
          <w:p w14:paraId="67661D69" w14:textId="081026FB"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56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7788184B"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32%</w:t>
            </w:r>
          </w:p>
          <w:p w14:paraId="538330F7" w14:textId="3B18F779"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AFA5C2E"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13%</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21AF327F"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14%</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5930E742"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13%</w:t>
            </w:r>
          </w:p>
        </w:tc>
        <w:tc>
          <w:tcPr>
            <w:tcW w:w="70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4F04C763"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16%</w:t>
            </w:r>
          </w:p>
          <w:p w14:paraId="4424C6DD" w14:textId="0561EE38"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2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0F52AAD6"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8%</w:t>
            </w:r>
          </w:p>
          <w:p w14:paraId="51EDD7BD" w14:textId="71708950"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2C7A4421"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12%</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99470FD"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13%</w:t>
            </w:r>
          </w:p>
        </w:tc>
        <w:tc>
          <w:tcPr>
            <w:tcW w:w="9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7EBF934A"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14%</w:t>
            </w:r>
          </w:p>
        </w:tc>
      </w:tr>
      <w:tr w:rsidR="00712141" w:rsidRPr="00B77D5A" w14:paraId="5F63EFB4" w14:textId="77777777" w:rsidTr="00712141">
        <w:trPr>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28A752AB" w14:textId="77777777" w:rsidR="003639AF" w:rsidRPr="00064698" w:rsidRDefault="003639AF" w:rsidP="00907139">
            <w:pPr>
              <w:spacing w:before="120" w:after="120"/>
              <w:rPr>
                <w:rFonts w:cstheme="minorHAnsi"/>
                <w:sz w:val="16"/>
                <w:szCs w:val="16"/>
              </w:rPr>
            </w:pPr>
            <w:r>
              <w:rPr>
                <w:rFonts w:cs="Arial"/>
                <w:color w:val="000000"/>
                <w:sz w:val="16"/>
                <w:szCs w:val="16"/>
              </w:rPr>
              <w:t>Environmental b</w:t>
            </w:r>
            <w:r w:rsidRPr="005B3A15">
              <w:rPr>
                <w:rFonts w:cs="Arial"/>
                <w:color w:val="000000"/>
                <w:sz w:val="16"/>
                <w:szCs w:val="16"/>
              </w:rPr>
              <w:t>enefits</w:t>
            </w:r>
          </w:p>
        </w:tc>
        <w:tc>
          <w:tcPr>
            <w:tcW w:w="56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4FD1D5B8"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16%</w:t>
            </w:r>
          </w:p>
          <w:p w14:paraId="361B4396" w14:textId="4000C5AA"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56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10EBF558"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6%</w:t>
            </w:r>
          </w:p>
          <w:p w14:paraId="4EFCA6AF" w14:textId="472FE259"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4D937592"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13%</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2D122E64"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11%</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2D8A8FB1"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11%</w:t>
            </w:r>
          </w:p>
        </w:tc>
        <w:tc>
          <w:tcPr>
            <w:tcW w:w="70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356DA46C"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9%</w:t>
            </w:r>
          </w:p>
          <w:p w14:paraId="37B73937" w14:textId="4A4983D2"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2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0B1ACA80"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12%</w:t>
            </w:r>
          </w:p>
        </w:tc>
        <w:tc>
          <w:tcPr>
            <w:tcW w:w="8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131621BC"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16%</w:t>
            </w:r>
          </w:p>
          <w:p w14:paraId="1DD749F9" w14:textId="5318DF52"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73D9525"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13%</w:t>
            </w:r>
          </w:p>
        </w:tc>
        <w:tc>
          <w:tcPr>
            <w:tcW w:w="9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408F956B"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10%</w:t>
            </w:r>
          </w:p>
        </w:tc>
      </w:tr>
      <w:tr w:rsidR="00712141" w:rsidRPr="00B77D5A" w14:paraId="0B2E8DD6" w14:textId="77777777" w:rsidTr="00712141">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17EFB152" w14:textId="77777777" w:rsidR="003639AF" w:rsidRPr="00064698" w:rsidRDefault="003639AF" w:rsidP="00907139">
            <w:pPr>
              <w:spacing w:before="120" w:after="120"/>
              <w:rPr>
                <w:rFonts w:cstheme="minorHAnsi"/>
                <w:sz w:val="16"/>
                <w:szCs w:val="16"/>
              </w:rPr>
            </w:pPr>
            <w:r w:rsidRPr="005B3A15">
              <w:rPr>
                <w:rFonts w:cs="Arial"/>
                <w:color w:val="000000"/>
                <w:sz w:val="16"/>
                <w:szCs w:val="16"/>
              </w:rPr>
              <w:t>Economic benefits</w:t>
            </w:r>
          </w:p>
        </w:tc>
        <w:tc>
          <w:tcPr>
            <w:tcW w:w="56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17263F7"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8%</w:t>
            </w:r>
          </w:p>
        </w:tc>
        <w:tc>
          <w:tcPr>
            <w:tcW w:w="56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0AEAA0AF"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12%</w:t>
            </w:r>
          </w:p>
          <w:p w14:paraId="7C71D803" w14:textId="6623081A"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3678F0C3"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10%</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58B9447A"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8%</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5684DBC7"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6%</w:t>
            </w:r>
          </w:p>
        </w:tc>
        <w:tc>
          <w:tcPr>
            <w:tcW w:w="70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681382A3"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3%</w:t>
            </w:r>
          </w:p>
          <w:p w14:paraId="41F04ADE" w14:textId="4F8790A4"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2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10288570"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16%</w:t>
            </w:r>
          </w:p>
          <w:p w14:paraId="3A74FDDE" w14:textId="7D93CC69"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72691FD2" w14:textId="77777777" w:rsidR="003639AF"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407F83">
              <w:rPr>
                <w:rFonts w:cs="Arial"/>
                <w:sz w:val="18"/>
                <w:szCs w:val="18"/>
              </w:rPr>
              <w:t>12%</w:t>
            </w:r>
          </w:p>
          <w:p w14:paraId="353BF19C" w14:textId="45F6AFCD" w:rsidR="007B0C39" w:rsidRPr="00407F83" w:rsidRDefault="007B0C39"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57B0BDD8"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9%</w:t>
            </w:r>
          </w:p>
        </w:tc>
        <w:tc>
          <w:tcPr>
            <w:tcW w:w="9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326FEEF2"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9%</w:t>
            </w:r>
          </w:p>
        </w:tc>
      </w:tr>
      <w:tr w:rsidR="00712141" w:rsidRPr="00B77D5A" w14:paraId="538A04E3" w14:textId="77777777" w:rsidTr="00712141">
        <w:trPr>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14040F01" w14:textId="77777777" w:rsidR="003639AF" w:rsidRPr="00064698" w:rsidRDefault="003639AF" w:rsidP="00907139">
            <w:pPr>
              <w:spacing w:before="120" w:after="120"/>
              <w:rPr>
                <w:rFonts w:cstheme="minorHAnsi"/>
                <w:sz w:val="16"/>
                <w:szCs w:val="16"/>
              </w:rPr>
            </w:pPr>
            <w:r>
              <w:rPr>
                <w:rFonts w:cs="Arial"/>
                <w:color w:val="000000"/>
                <w:sz w:val="16"/>
                <w:szCs w:val="16"/>
              </w:rPr>
              <w:t>Commercial b</w:t>
            </w:r>
            <w:r w:rsidRPr="005B3A15">
              <w:rPr>
                <w:rFonts w:cs="Arial"/>
                <w:color w:val="000000"/>
                <w:sz w:val="16"/>
                <w:szCs w:val="16"/>
              </w:rPr>
              <w:t>enefits</w:t>
            </w:r>
          </w:p>
        </w:tc>
        <w:tc>
          <w:tcPr>
            <w:tcW w:w="56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7772FBF9"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6%</w:t>
            </w:r>
          </w:p>
          <w:p w14:paraId="7AC05F0B" w14:textId="1139727A"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56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31717F72"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2%</w:t>
            </w:r>
          </w:p>
          <w:p w14:paraId="410B265A" w14:textId="6A32FC26"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3CB2030"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4%</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029EB4F2"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5%</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1D9063C9"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6%</w:t>
            </w:r>
          </w:p>
        </w:tc>
        <w:tc>
          <w:tcPr>
            <w:tcW w:w="70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E7E6E6" w:themeFill="background2"/>
            <w:vAlign w:val="center"/>
          </w:tcPr>
          <w:p w14:paraId="7BE00C55"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2%</w:t>
            </w:r>
          </w:p>
          <w:p w14:paraId="4750CE85" w14:textId="5D462452"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72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020F8D27"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7%</w:t>
            </w:r>
          </w:p>
        </w:tc>
        <w:tc>
          <w:tcPr>
            <w:tcW w:w="8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C5E0B3" w:themeFill="accent6" w:themeFillTint="66"/>
            <w:vAlign w:val="center"/>
          </w:tcPr>
          <w:p w14:paraId="22EE81F2" w14:textId="77777777" w:rsidR="003639AF"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407F83">
              <w:rPr>
                <w:rFonts w:cs="Arial"/>
                <w:sz w:val="18"/>
                <w:szCs w:val="18"/>
              </w:rPr>
              <w:t>7%</w:t>
            </w:r>
          </w:p>
          <w:p w14:paraId="29A6B390" w14:textId="32FBEB65" w:rsidR="007B0C39" w:rsidRPr="00407F83" w:rsidRDefault="007B0C39"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color w:val="000000" w:themeColor="text1"/>
                <w:sz w:val="18"/>
                <w:szCs w:val="18"/>
              </w:rPr>
              <w:t>(+)</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7B435D19"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4%</w:t>
            </w:r>
          </w:p>
        </w:tc>
        <w:tc>
          <w:tcPr>
            <w:tcW w:w="9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2578B5B" w14:textId="77777777" w:rsidR="003639AF" w:rsidRPr="00407F83" w:rsidRDefault="003639AF" w:rsidP="00907139">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7F83">
              <w:rPr>
                <w:rFonts w:cs="Arial"/>
                <w:sz w:val="18"/>
                <w:szCs w:val="18"/>
              </w:rPr>
              <w:t>5%</w:t>
            </w:r>
          </w:p>
        </w:tc>
      </w:tr>
      <w:tr w:rsidR="00B07A53" w:rsidRPr="00B77D5A" w14:paraId="118FEEA2" w14:textId="77777777" w:rsidTr="00712141">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70EA68B4" w14:textId="77777777" w:rsidR="003639AF" w:rsidRPr="00064698" w:rsidRDefault="003639AF" w:rsidP="00907139">
            <w:pPr>
              <w:spacing w:before="120" w:after="120"/>
              <w:rPr>
                <w:rFonts w:cstheme="minorHAnsi"/>
                <w:sz w:val="16"/>
                <w:szCs w:val="16"/>
              </w:rPr>
            </w:pPr>
            <w:r w:rsidRPr="005B3A15">
              <w:rPr>
                <w:rFonts w:cs="Arial"/>
                <w:color w:val="000000"/>
                <w:sz w:val="16"/>
                <w:szCs w:val="16"/>
              </w:rPr>
              <w:t>None</w:t>
            </w:r>
          </w:p>
        </w:tc>
        <w:tc>
          <w:tcPr>
            <w:tcW w:w="567"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BBFC556"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w:t>
            </w:r>
          </w:p>
        </w:tc>
        <w:tc>
          <w:tcPr>
            <w:tcW w:w="566"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37026F80"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w:t>
            </w:r>
          </w:p>
        </w:tc>
        <w:tc>
          <w:tcPr>
            <w:tcW w:w="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737C53B2"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w:t>
            </w:r>
          </w:p>
        </w:tc>
        <w:tc>
          <w:tcPr>
            <w:tcW w:w="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03A3B779"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3AC24E56"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w:t>
            </w:r>
          </w:p>
        </w:tc>
        <w:tc>
          <w:tcPr>
            <w:tcW w:w="70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4B44079E"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w:t>
            </w:r>
          </w:p>
        </w:tc>
        <w:tc>
          <w:tcPr>
            <w:tcW w:w="72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0BE51217"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2%</w:t>
            </w:r>
          </w:p>
        </w:tc>
        <w:tc>
          <w:tcPr>
            <w:tcW w:w="85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DF3C017"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w:t>
            </w:r>
          </w:p>
        </w:tc>
        <w:tc>
          <w:tcPr>
            <w:tcW w:w="851"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3B1D13FD"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w:t>
            </w:r>
          </w:p>
        </w:tc>
        <w:tc>
          <w:tcPr>
            <w:tcW w:w="9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14:paraId="65949E75" w14:textId="77777777" w:rsidR="003639AF" w:rsidRPr="00407F83" w:rsidRDefault="003639AF" w:rsidP="00907139">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07F83">
              <w:rPr>
                <w:rFonts w:cs="Arial"/>
                <w:sz w:val="18"/>
                <w:szCs w:val="18"/>
              </w:rPr>
              <w:t>1%</w:t>
            </w:r>
          </w:p>
        </w:tc>
      </w:tr>
    </w:tbl>
    <w:p w14:paraId="59C2878E" w14:textId="7DC4F84B" w:rsidR="003639AF" w:rsidRPr="00E40DC1" w:rsidRDefault="003639AF" w:rsidP="003639AF">
      <w:pPr>
        <w:spacing w:before="120" w:after="120"/>
        <w:rPr>
          <w:rFonts w:asciiTheme="majorHAnsi" w:hAnsiTheme="majorHAnsi" w:cstheme="majorHAnsi"/>
          <w:sz w:val="16"/>
          <w:szCs w:val="16"/>
        </w:rPr>
      </w:pPr>
      <w:r>
        <w:rPr>
          <w:rFonts w:asciiTheme="majorHAnsi" w:hAnsiTheme="majorHAnsi" w:cstheme="majorHAnsi"/>
          <w:sz w:val="16"/>
          <w:szCs w:val="16"/>
        </w:rPr>
        <w:t xml:space="preserve">Source: Kantar, Public Division. </w:t>
      </w:r>
      <w:r>
        <w:rPr>
          <w:rFonts w:asciiTheme="majorHAnsi" w:hAnsiTheme="majorHAnsi" w:cstheme="majorHAnsi"/>
          <w:i/>
          <w:sz w:val="16"/>
          <w:szCs w:val="16"/>
        </w:rPr>
        <w:t>Note: Percentage of survey respondents</w:t>
      </w:r>
      <w:r w:rsidRPr="00D8794E">
        <w:rPr>
          <w:rFonts w:asciiTheme="majorHAnsi" w:hAnsiTheme="majorHAnsi" w:cstheme="majorHAnsi"/>
          <w:i/>
          <w:sz w:val="16"/>
          <w:szCs w:val="16"/>
        </w:rPr>
        <w:t xml:space="preserve"> agree</w:t>
      </w:r>
      <w:r>
        <w:rPr>
          <w:rFonts w:asciiTheme="majorHAnsi" w:hAnsiTheme="majorHAnsi" w:cstheme="majorHAnsi"/>
          <w:i/>
          <w:sz w:val="16"/>
          <w:szCs w:val="16"/>
        </w:rPr>
        <w:t>ing</w:t>
      </w:r>
      <w:r w:rsidR="003C3059">
        <w:rPr>
          <w:rFonts w:asciiTheme="majorHAnsi" w:hAnsiTheme="majorHAnsi" w:cstheme="majorHAnsi"/>
          <w:i/>
          <w:sz w:val="16"/>
          <w:szCs w:val="16"/>
        </w:rPr>
        <w:t xml:space="preserve"> or </w:t>
      </w:r>
      <w:r w:rsidRPr="00D8794E">
        <w:rPr>
          <w:rFonts w:asciiTheme="majorHAnsi" w:hAnsiTheme="majorHAnsi" w:cstheme="majorHAnsi"/>
          <w:i/>
          <w:sz w:val="16"/>
          <w:szCs w:val="16"/>
        </w:rPr>
        <w:t>strongly agree</w:t>
      </w:r>
      <w:r>
        <w:rPr>
          <w:rFonts w:asciiTheme="majorHAnsi" w:hAnsiTheme="majorHAnsi" w:cstheme="majorHAnsi"/>
          <w:i/>
          <w:sz w:val="16"/>
          <w:szCs w:val="16"/>
        </w:rPr>
        <w:t xml:space="preserve">ing. </w:t>
      </w:r>
      <w:r w:rsidR="003E3DF4">
        <w:rPr>
          <w:rFonts w:asciiTheme="majorHAnsi" w:hAnsiTheme="majorHAnsi" w:cstheme="majorHAnsi"/>
          <w:i/>
          <w:sz w:val="16"/>
          <w:szCs w:val="16"/>
        </w:rPr>
        <w:t>Grey</w:t>
      </w:r>
      <w:r w:rsidRPr="00D8794E">
        <w:rPr>
          <w:rFonts w:asciiTheme="majorHAnsi" w:hAnsiTheme="majorHAnsi" w:cstheme="majorHAnsi"/>
          <w:i/>
          <w:sz w:val="16"/>
          <w:szCs w:val="16"/>
        </w:rPr>
        <w:t xml:space="preserve"> cells are significantly below the mean</w:t>
      </w:r>
      <w:r w:rsidR="007B0C39">
        <w:rPr>
          <w:rFonts w:asciiTheme="majorHAnsi" w:hAnsiTheme="majorHAnsi" w:cstheme="majorHAnsi"/>
          <w:i/>
          <w:sz w:val="16"/>
          <w:szCs w:val="16"/>
        </w:rPr>
        <w:t xml:space="preserve"> (–)</w:t>
      </w:r>
      <w:r w:rsidRPr="00D8794E">
        <w:rPr>
          <w:rFonts w:asciiTheme="majorHAnsi" w:hAnsiTheme="majorHAnsi" w:cstheme="majorHAnsi"/>
          <w:i/>
          <w:sz w:val="16"/>
          <w:szCs w:val="16"/>
        </w:rPr>
        <w:t xml:space="preserve"> while green cells are signifi</w:t>
      </w:r>
      <w:r>
        <w:rPr>
          <w:rFonts w:asciiTheme="majorHAnsi" w:hAnsiTheme="majorHAnsi" w:cstheme="majorHAnsi"/>
          <w:i/>
          <w:sz w:val="16"/>
          <w:szCs w:val="16"/>
        </w:rPr>
        <w:t>cantly above the mean</w:t>
      </w:r>
      <w:r w:rsidR="007B0C39">
        <w:rPr>
          <w:rFonts w:asciiTheme="majorHAnsi" w:hAnsiTheme="majorHAnsi" w:cstheme="majorHAnsi"/>
          <w:i/>
          <w:sz w:val="16"/>
          <w:szCs w:val="16"/>
        </w:rPr>
        <w:t xml:space="preserve"> (+)</w:t>
      </w:r>
      <w:r>
        <w:rPr>
          <w:rFonts w:asciiTheme="majorHAnsi" w:hAnsiTheme="majorHAnsi" w:cstheme="majorHAnsi"/>
          <w:i/>
          <w:sz w:val="16"/>
          <w:szCs w:val="16"/>
        </w:rPr>
        <w:t xml:space="preserve"> at the 95 per cent confidence level. Researcher subgroups assigned on the basis of most recently completed project funded under the scheme. Table only includes participants with a completed project (n=2469); different numbers of survey participants responded to questions relating to research project characteristics.</w:t>
      </w:r>
    </w:p>
    <w:p w14:paraId="16D73019" w14:textId="5A183F24" w:rsidR="003639AF" w:rsidRDefault="003639AF" w:rsidP="003639AF">
      <w:pPr>
        <w:spacing w:after="120"/>
        <w:rPr>
          <w:rFonts w:asciiTheme="majorHAnsi" w:hAnsiTheme="majorHAnsi" w:cstheme="majorHAnsi"/>
        </w:rPr>
      </w:pPr>
      <w:r>
        <w:rPr>
          <w:rFonts w:asciiTheme="majorHAnsi" w:hAnsiTheme="majorHAnsi" w:cstheme="majorHAnsi"/>
        </w:rPr>
        <w:t>A</w:t>
      </w:r>
      <w:r w:rsidRPr="005735FA">
        <w:rPr>
          <w:rFonts w:asciiTheme="majorHAnsi" w:hAnsiTheme="majorHAnsi" w:cstheme="majorHAnsi"/>
        </w:rPr>
        <w:t xml:space="preserve"> degree of variability</w:t>
      </w:r>
      <w:r>
        <w:rPr>
          <w:rFonts w:asciiTheme="majorHAnsi" w:hAnsiTheme="majorHAnsi" w:cstheme="majorHAnsi"/>
        </w:rPr>
        <w:t xml:space="preserve"> emerged between researchers with different project characteristics, particularly in relation to delivering outcomes in the areas of expanding Australia’s </w:t>
      </w:r>
      <w:r w:rsidRPr="005735FA">
        <w:rPr>
          <w:rFonts w:asciiTheme="majorHAnsi" w:hAnsiTheme="majorHAnsi" w:cstheme="majorHAnsi"/>
        </w:rPr>
        <w:t>knowl</w:t>
      </w:r>
      <w:r>
        <w:rPr>
          <w:rFonts w:asciiTheme="majorHAnsi" w:hAnsiTheme="majorHAnsi" w:cstheme="majorHAnsi"/>
        </w:rPr>
        <w:t>edge base and research capacity</w:t>
      </w:r>
      <w:r w:rsidRPr="005735FA">
        <w:rPr>
          <w:rFonts w:asciiTheme="majorHAnsi" w:hAnsiTheme="majorHAnsi" w:cstheme="majorHAnsi"/>
        </w:rPr>
        <w:t xml:space="preserve">. As may be anticipated, researchers whose projects focused on basic research </w:t>
      </w:r>
      <w:r>
        <w:rPr>
          <w:rFonts w:asciiTheme="majorHAnsi" w:hAnsiTheme="majorHAnsi" w:cstheme="majorHAnsi"/>
        </w:rPr>
        <w:t>more frequently selected</w:t>
      </w:r>
      <w:r w:rsidRPr="005735FA">
        <w:rPr>
          <w:rFonts w:asciiTheme="majorHAnsi" w:hAnsiTheme="majorHAnsi" w:cstheme="majorHAnsi"/>
        </w:rPr>
        <w:t xml:space="preserve"> </w:t>
      </w:r>
      <w:r>
        <w:rPr>
          <w:rFonts w:asciiTheme="majorHAnsi" w:hAnsiTheme="majorHAnsi" w:cstheme="majorHAnsi"/>
        </w:rPr>
        <w:t>options relating to the first scheme intended outcome</w:t>
      </w:r>
      <w:r w:rsidRPr="005735FA">
        <w:rPr>
          <w:rFonts w:asciiTheme="majorHAnsi" w:hAnsiTheme="majorHAnsi" w:cstheme="majorHAnsi"/>
        </w:rPr>
        <w:t xml:space="preserve"> (87 per cent for expanded </w:t>
      </w:r>
      <w:r w:rsidR="00ED12D4">
        <w:rPr>
          <w:rFonts w:asciiTheme="majorHAnsi" w:hAnsiTheme="majorHAnsi" w:cstheme="majorHAnsi"/>
        </w:rPr>
        <w:t>knowledge</w:t>
      </w:r>
      <w:r w:rsidR="00ED12D4" w:rsidRPr="005735FA">
        <w:rPr>
          <w:rFonts w:asciiTheme="majorHAnsi" w:hAnsiTheme="majorHAnsi" w:cstheme="majorHAnsi"/>
        </w:rPr>
        <w:t xml:space="preserve"> </w:t>
      </w:r>
      <w:r w:rsidRPr="005735FA">
        <w:rPr>
          <w:rFonts w:asciiTheme="majorHAnsi" w:hAnsiTheme="majorHAnsi" w:cstheme="majorHAnsi"/>
        </w:rPr>
        <w:t xml:space="preserve">base and 51 per cent for expanded research capacity, compared to 66 per cent and 41 per cent respectively for researchers whose projects focused on applied research). These categories were also more commonly identified by </w:t>
      </w:r>
      <w:r>
        <w:rPr>
          <w:rFonts w:asciiTheme="majorHAnsi" w:hAnsiTheme="majorHAnsi" w:cstheme="majorHAnsi"/>
        </w:rPr>
        <w:t xml:space="preserve">researchers whose projects were in </w:t>
      </w:r>
      <w:r w:rsidRPr="005735FA">
        <w:rPr>
          <w:rFonts w:asciiTheme="majorHAnsi" w:hAnsiTheme="majorHAnsi" w:cstheme="majorHAnsi"/>
        </w:rPr>
        <w:t>STEM</w:t>
      </w:r>
      <w:r>
        <w:rPr>
          <w:rFonts w:asciiTheme="majorHAnsi" w:hAnsiTheme="majorHAnsi" w:cstheme="majorHAnsi"/>
        </w:rPr>
        <w:t xml:space="preserve"> disciplines </w:t>
      </w:r>
      <w:r w:rsidRPr="005735FA">
        <w:rPr>
          <w:rFonts w:asciiTheme="majorHAnsi" w:hAnsiTheme="majorHAnsi" w:cstheme="majorHAnsi"/>
        </w:rPr>
        <w:t>(82 per cent for expanded knowledge base and 55</w:t>
      </w:r>
      <w:r>
        <w:rPr>
          <w:rFonts w:asciiTheme="majorHAnsi" w:hAnsiTheme="majorHAnsi" w:cstheme="majorHAnsi"/>
        </w:rPr>
        <w:t> </w:t>
      </w:r>
      <w:r w:rsidRPr="005735FA">
        <w:rPr>
          <w:rFonts w:asciiTheme="majorHAnsi" w:hAnsiTheme="majorHAnsi" w:cstheme="majorHAnsi"/>
        </w:rPr>
        <w:t xml:space="preserve">per cent for expanded research capacity, compared to 76 per cent and 41 per cent </w:t>
      </w:r>
      <w:r>
        <w:rPr>
          <w:rFonts w:asciiTheme="majorHAnsi" w:hAnsiTheme="majorHAnsi" w:cstheme="majorHAnsi"/>
        </w:rPr>
        <w:t xml:space="preserve">respectively </w:t>
      </w:r>
      <w:r w:rsidRPr="005735FA">
        <w:rPr>
          <w:rFonts w:asciiTheme="majorHAnsi" w:hAnsiTheme="majorHAnsi" w:cstheme="majorHAnsi"/>
        </w:rPr>
        <w:t xml:space="preserve">for </w:t>
      </w:r>
      <w:r>
        <w:rPr>
          <w:rFonts w:asciiTheme="majorHAnsi" w:hAnsiTheme="majorHAnsi" w:cstheme="majorHAnsi"/>
        </w:rPr>
        <w:t xml:space="preserve">those completing </w:t>
      </w:r>
      <w:r w:rsidRPr="005735FA">
        <w:rPr>
          <w:rFonts w:asciiTheme="majorHAnsi" w:hAnsiTheme="majorHAnsi" w:cstheme="majorHAnsi"/>
        </w:rPr>
        <w:t>HASS</w:t>
      </w:r>
      <w:r>
        <w:rPr>
          <w:rFonts w:asciiTheme="majorHAnsi" w:hAnsiTheme="majorHAnsi" w:cstheme="majorHAnsi"/>
        </w:rPr>
        <w:t xml:space="preserve"> research</w:t>
      </w:r>
      <w:r w:rsidRPr="005735FA">
        <w:rPr>
          <w:rFonts w:asciiTheme="majorHAnsi" w:hAnsiTheme="majorHAnsi" w:cstheme="majorHAnsi"/>
        </w:rPr>
        <w:t>), researchers who had collaborated with international stakeholders (82</w:t>
      </w:r>
      <w:r>
        <w:rPr>
          <w:rFonts w:asciiTheme="majorHAnsi" w:hAnsiTheme="majorHAnsi" w:cstheme="majorHAnsi"/>
        </w:rPr>
        <w:t> </w:t>
      </w:r>
      <w:r w:rsidRPr="005735FA">
        <w:rPr>
          <w:rFonts w:asciiTheme="majorHAnsi" w:hAnsiTheme="majorHAnsi" w:cstheme="majorHAnsi"/>
        </w:rPr>
        <w:t>per</w:t>
      </w:r>
      <w:r>
        <w:rPr>
          <w:rFonts w:asciiTheme="majorHAnsi" w:hAnsiTheme="majorHAnsi" w:cstheme="majorHAnsi"/>
        </w:rPr>
        <w:t> </w:t>
      </w:r>
      <w:r w:rsidRPr="005735FA">
        <w:rPr>
          <w:rFonts w:asciiTheme="majorHAnsi" w:hAnsiTheme="majorHAnsi" w:cstheme="majorHAnsi"/>
        </w:rPr>
        <w:t>cent for expanded knowledge base and 54 per cent for expanded research capacity, compared to 77</w:t>
      </w:r>
      <w:r>
        <w:rPr>
          <w:rFonts w:asciiTheme="majorHAnsi" w:hAnsiTheme="majorHAnsi" w:cstheme="majorHAnsi"/>
        </w:rPr>
        <w:t> </w:t>
      </w:r>
      <w:r w:rsidRPr="005735FA">
        <w:rPr>
          <w:rFonts w:asciiTheme="majorHAnsi" w:hAnsiTheme="majorHAnsi" w:cstheme="majorHAnsi"/>
        </w:rPr>
        <w:t>per</w:t>
      </w:r>
      <w:r>
        <w:rPr>
          <w:rFonts w:asciiTheme="majorHAnsi" w:hAnsiTheme="majorHAnsi" w:cstheme="majorHAnsi"/>
        </w:rPr>
        <w:t> </w:t>
      </w:r>
      <w:r w:rsidRPr="005735FA">
        <w:rPr>
          <w:rFonts w:asciiTheme="majorHAnsi" w:hAnsiTheme="majorHAnsi" w:cstheme="majorHAnsi"/>
        </w:rPr>
        <w:t>cent and 42 per cent for those who did</w:t>
      </w:r>
      <w:r w:rsidR="00235C77">
        <w:rPr>
          <w:rFonts w:asciiTheme="majorHAnsi" w:hAnsiTheme="majorHAnsi" w:cstheme="majorHAnsi"/>
        </w:rPr>
        <w:t xml:space="preserve"> not</w:t>
      </w:r>
      <w:r w:rsidRPr="005735FA">
        <w:rPr>
          <w:rFonts w:asciiTheme="majorHAnsi" w:hAnsiTheme="majorHAnsi" w:cstheme="majorHAnsi"/>
        </w:rPr>
        <w:t xml:space="preserve"> collaborate internationally), and those who had completed their research in the past three years (83</w:t>
      </w:r>
      <w:r>
        <w:rPr>
          <w:rFonts w:asciiTheme="majorHAnsi" w:hAnsiTheme="majorHAnsi" w:cstheme="majorHAnsi"/>
        </w:rPr>
        <w:t> </w:t>
      </w:r>
      <w:r w:rsidRPr="005735FA">
        <w:rPr>
          <w:rFonts w:asciiTheme="majorHAnsi" w:hAnsiTheme="majorHAnsi" w:cstheme="majorHAnsi"/>
        </w:rPr>
        <w:t>per</w:t>
      </w:r>
      <w:r>
        <w:rPr>
          <w:rFonts w:asciiTheme="majorHAnsi" w:hAnsiTheme="majorHAnsi" w:cstheme="majorHAnsi"/>
        </w:rPr>
        <w:t> </w:t>
      </w:r>
      <w:r w:rsidRPr="005735FA">
        <w:rPr>
          <w:rFonts w:asciiTheme="majorHAnsi" w:hAnsiTheme="majorHAnsi" w:cstheme="majorHAnsi"/>
        </w:rPr>
        <w:t xml:space="preserve">cent for expanded knowledge base and 54 per cent for expanded </w:t>
      </w:r>
      <w:r w:rsidRPr="005735FA">
        <w:rPr>
          <w:rFonts w:asciiTheme="majorHAnsi" w:hAnsiTheme="majorHAnsi" w:cstheme="majorHAnsi"/>
        </w:rPr>
        <w:lastRenderedPageBreak/>
        <w:t>research capacity, compared to 77 per cent and 46 per cent for those completing their projects less recently).</w:t>
      </w:r>
    </w:p>
    <w:p w14:paraId="585CFCEE" w14:textId="772D5A28" w:rsidR="003639AF" w:rsidRDefault="00854CD2" w:rsidP="003639AF">
      <w:pPr>
        <w:spacing w:after="120"/>
        <w:rPr>
          <w:rFonts w:asciiTheme="majorHAnsi" w:hAnsiTheme="majorHAnsi" w:cstheme="majorHAnsi"/>
        </w:rPr>
      </w:pPr>
      <w:r>
        <w:rPr>
          <w:rFonts w:asciiTheme="majorHAnsi" w:hAnsiTheme="majorHAnsi" w:cstheme="majorHAnsi"/>
        </w:rPr>
        <w:t>T</w:t>
      </w:r>
      <w:r w:rsidR="003639AF" w:rsidRPr="00F65E46">
        <w:rPr>
          <w:rFonts w:asciiTheme="majorHAnsi" w:hAnsiTheme="majorHAnsi" w:cstheme="majorHAnsi"/>
        </w:rPr>
        <w:t>he</w:t>
      </w:r>
      <w:r w:rsidR="003639AF">
        <w:rPr>
          <w:rFonts w:asciiTheme="majorHAnsi" w:hAnsiTheme="majorHAnsi" w:cstheme="majorHAnsi"/>
        </w:rPr>
        <w:t xml:space="preserve"> </w:t>
      </w:r>
      <w:r w:rsidR="003639AF" w:rsidRPr="00F65E46">
        <w:rPr>
          <w:rFonts w:asciiTheme="majorHAnsi" w:hAnsiTheme="majorHAnsi" w:cstheme="majorHAnsi"/>
        </w:rPr>
        <w:t xml:space="preserve">translational </w:t>
      </w:r>
      <w:r w:rsidR="003639AF">
        <w:rPr>
          <w:rFonts w:asciiTheme="majorHAnsi" w:hAnsiTheme="majorHAnsi" w:cstheme="majorHAnsi"/>
        </w:rPr>
        <w:t xml:space="preserve">benefits selected by different researcher subgroups also </w:t>
      </w:r>
      <w:r>
        <w:rPr>
          <w:rFonts w:asciiTheme="majorHAnsi" w:hAnsiTheme="majorHAnsi" w:cstheme="majorHAnsi"/>
        </w:rPr>
        <w:t>varied</w:t>
      </w:r>
      <w:r w:rsidR="003639AF" w:rsidRPr="00F65E46">
        <w:rPr>
          <w:rFonts w:asciiTheme="majorHAnsi" w:hAnsiTheme="majorHAnsi" w:cstheme="majorHAnsi"/>
        </w:rPr>
        <w:t xml:space="preserve">. </w:t>
      </w:r>
      <w:r w:rsidR="003639AF">
        <w:rPr>
          <w:rFonts w:asciiTheme="majorHAnsi" w:hAnsiTheme="majorHAnsi" w:cstheme="majorHAnsi"/>
        </w:rPr>
        <w:t>R</w:t>
      </w:r>
      <w:r w:rsidR="003639AF" w:rsidRPr="00F65E46">
        <w:rPr>
          <w:rFonts w:asciiTheme="majorHAnsi" w:hAnsiTheme="majorHAnsi" w:cstheme="majorHAnsi"/>
        </w:rPr>
        <w:t>esearchers</w:t>
      </w:r>
      <w:r w:rsidR="003639AF">
        <w:rPr>
          <w:rFonts w:asciiTheme="majorHAnsi" w:hAnsiTheme="majorHAnsi" w:cstheme="majorHAnsi"/>
        </w:rPr>
        <w:t xml:space="preserve"> completing HASS projects</w:t>
      </w:r>
      <w:r w:rsidR="003639AF" w:rsidRPr="00F65E46">
        <w:rPr>
          <w:rFonts w:asciiTheme="majorHAnsi" w:hAnsiTheme="majorHAnsi" w:cstheme="majorHAnsi"/>
        </w:rPr>
        <w:t xml:space="preserve"> were more likely to identify social, cultural and economic outcomes arising from their work, while </w:t>
      </w:r>
      <w:r w:rsidR="003639AF">
        <w:rPr>
          <w:rFonts w:asciiTheme="majorHAnsi" w:hAnsiTheme="majorHAnsi" w:cstheme="majorHAnsi"/>
        </w:rPr>
        <w:t xml:space="preserve">those in </w:t>
      </w:r>
      <w:r w:rsidR="003639AF" w:rsidRPr="00F65E46">
        <w:rPr>
          <w:rFonts w:asciiTheme="majorHAnsi" w:hAnsiTheme="majorHAnsi" w:cstheme="majorHAnsi"/>
        </w:rPr>
        <w:t>STEM align</w:t>
      </w:r>
      <w:r w:rsidR="003639AF">
        <w:rPr>
          <w:rFonts w:asciiTheme="majorHAnsi" w:hAnsiTheme="majorHAnsi" w:cstheme="majorHAnsi"/>
        </w:rPr>
        <w:t>ed more strongly</w:t>
      </w:r>
      <w:r w:rsidR="003639AF" w:rsidRPr="00F65E46">
        <w:rPr>
          <w:rFonts w:asciiTheme="majorHAnsi" w:hAnsiTheme="majorHAnsi" w:cstheme="majorHAnsi"/>
        </w:rPr>
        <w:t xml:space="preserve"> with commer</w:t>
      </w:r>
      <w:r w:rsidR="003639AF">
        <w:rPr>
          <w:rFonts w:asciiTheme="majorHAnsi" w:hAnsiTheme="majorHAnsi" w:cstheme="majorHAnsi"/>
        </w:rPr>
        <w:t>cial and environmental benefits. This finding may reflect that, to an extent, certain disciplines may be more likely to produce specific kinds of benefits</w:t>
      </w:r>
      <w:r w:rsidR="003639AF" w:rsidRPr="00F65E46">
        <w:rPr>
          <w:rFonts w:asciiTheme="majorHAnsi" w:hAnsiTheme="majorHAnsi" w:cstheme="majorHAnsi"/>
        </w:rPr>
        <w:t>.</w:t>
      </w:r>
      <w:r w:rsidR="003639AF">
        <w:rPr>
          <w:rFonts w:asciiTheme="majorHAnsi" w:hAnsiTheme="majorHAnsi" w:cstheme="majorHAnsi"/>
        </w:rPr>
        <w:t xml:space="preserve"> Further variations were apparent in relation to type </w:t>
      </w:r>
      <w:r w:rsidR="003639AF" w:rsidRPr="00656DC6">
        <w:rPr>
          <w:rFonts w:asciiTheme="majorHAnsi" w:hAnsiTheme="majorHAnsi" w:cstheme="majorHAnsi"/>
        </w:rPr>
        <w:t>of research.</w:t>
      </w:r>
      <w:r w:rsidR="003639AF" w:rsidRPr="00BC4444">
        <w:rPr>
          <w:rFonts w:asciiTheme="majorHAnsi" w:hAnsiTheme="majorHAnsi" w:cstheme="majorHAnsi"/>
        </w:rPr>
        <w:t xml:space="preserve"> Cultural benefits were</w:t>
      </w:r>
      <w:r w:rsidR="003639AF">
        <w:rPr>
          <w:rFonts w:asciiTheme="majorHAnsi" w:hAnsiTheme="majorHAnsi" w:cstheme="majorHAnsi"/>
        </w:rPr>
        <w:t xml:space="preserve"> associated with b</w:t>
      </w:r>
      <w:r w:rsidR="003639AF" w:rsidRPr="00F65E46">
        <w:rPr>
          <w:rFonts w:asciiTheme="majorHAnsi" w:hAnsiTheme="majorHAnsi" w:cstheme="majorHAnsi"/>
        </w:rPr>
        <w:t>asic research</w:t>
      </w:r>
      <w:r w:rsidR="003639AF">
        <w:rPr>
          <w:rFonts w:asciiTheme="majorHAnsi" w:hAnsiTheme="majorHAnsi" w:cstheme="majorHAnsi"/>
        </w:rPr>
        <w:t xml:space="preserve"> more frequently than applied research</w:t>
      </w:r>
      <w:r w:rsidR="003639AF" w:rsidRPr="00F65E46">
        <w:rPr>
          <w:rFonts w:asciiTheme="majorHAnsi" w:hAnsiTheme="majorHAnsi" w:cstheme="majorHAnsi"/>
        </w:rPr>
        <w:t xml:space="preserve">, whereas positive commercial, economic, environmental and social outcomes </w:t>
      </w:r>
      <w:r w:rsidR="003639AF">
        <w:rPr>
          <w:rFonts w:asciiTheme="majorHAnsi" w:hAnsiTheme="majorHAnsi" w:cstheme="majorHAnsi"/>
        </w:rPr>
        <w:t>were reported</w:t>
      </w:r>
      <w:r w:rsidR="003639AF" w:rsidRPr="00F65E46">
        <w:rPr>
          <w:rFonts w:asciiTheme="majorHAnsi" w:hAnsiTheme="majorHAnsi" w:cstheme="majorHAnsi"/>
        </w:rPr>
        <w:t xml:space="preserve"> to arise more frequently from applied research. </w:t>
      </w:r>
      <w:r w:rsidR="003639AF">
        <w:rPr>
          <w:rFonts w:asciiTheme="majorHAnsi" w:hAnsiTheme="majorHAnsi" w:cstheme="majorHAnsi"/>
        </w:rPr>
        <w:t>Researchers working on interdisciplinary projects</w:t>
      </w:r>
      <w:r w:rsidR="003639AF" w:rsidRPr="00F65E46">
        <w:rPr>
          <w:rFonts w:asciiTheme="majorHAnsi" w:hAnsiTheme="majorHAnsi" w:cstheme="majorHAnsi"/>
        </w:rPr>
        <w:t xml:space="preserve"> tended to select social and cultural benefits more frequently than non-interdisciplinary researchers.</w:t>
      </w:r>
    </w:p>
    <w:p w14:paraId="02602C1A" w14:textId="182EF54A" w:rsidR="003639AF" w:rsidRDefault="003639AF" w:rsidP="00254D36">
      <w:pPr>
        <w:pStyle w:val="Heading2"/>
        <w:keepNext w:val="0"/>
        <w:keepLines w:val="0"/>
        <w:numPr>
          <w:ilvl w:val="1"/>
          <w:numId w:val="17"/>
        </w:numPr>
        <w:shd w:val="clear" w:color="auto" w:fill="auto"/>
        <w:spacing w:line="259" w:lineRule="auto"/>
      </w:pPr>
      <w:bookmarkStart w:id="612" w:name="_Toc51918741"/>
      <w:bookmarkStart w:id="613" w:name="_Toc55544825"/>
      <w:r>
        <w:t>Expanding Australia’s knowledge base and research capacity</w:t>
      </w:r>
      <w:bookmarkEnd w:id="612"/>
      <w:bookmarkEnd w:id="613"/>
    </w:p>
    <w:p w14:paraId="3E889BAA" w14:textId="27EB28F4" w:rsidR="003639AF" w:rsidRPr="00B71338" w:rsidRDefault="003639AF" w:rsidP="003639AF">
      <w:pPr>
        <w:rPr>
          <w:rFonts w:asciiTheme="majorHAnsi" w:hAnsiTheme="majorHAnsi" w:cstheme="majorHAnsi"/>
        </w:rPr>
      </w:pPr>
      <w:r w:rsidRPr="00B71338">
        <w:rPr>
          <w:rFonts w:asciiTheme="majorHAnsi" w:hAnsiTheme="majorHAnsi" w:cstheme="majorHAnsi"/>
        </w:rPr>
        <w:t xml:space="preserve">Discovery Projects has consistently used </w:t>
      </w:r>
      <w:r w:rsidR="00810942">
        <w:rPr>
          <w:rFonts w:asciiTheme="majorHAnsi" w:hAnsiTheme="majorHAnsi" w:cstheme="majorHAnsi"/>
        </w:rPr>
        <w:t>assessment crit</w:t>
      </w:r>
      <w:r w:rsidRPr="00B71338">
        <w:rPr>
          <w:rFonts w:asciiTheme="majorHAnsi" w:hAnsiTheme="majorHAnsi" w:cstheme="majorHAnsi"/>
        </w:rPr>
        <w:t xml:space="preserve">eria relating to the advancement of knowledge and </w:t>
      </w:r>
      <w:r>
        <w:rPr>
          <w:rFonts w:asciiTheme="majorHAnsi" w:hAnsiTheme="majorHAnsi" w:cstheme="majorHAnsi"/>
        </w:rPr>
        <w:t>innovative research</w:t>
      </w:r>
      <w:r w:rsidRPr="00B71338">
        <w:rPr>
          <w:rFonts w:asciiTheme="majorHAnsi" w:hAnsiTheme="majorHAnsi" w:cstheme="majorHAnsi"/>
        </w:rPr>
        <w:t xml:space="preserve"> </w:t>
      </w:r>
      <w:r>
        <w:rPr>
          <w:rFonts w:asciiTheme="majorHAnsi" w:hAnsiTheme="majorHAnsi" w:cstheme="majorHAnsi"/>
        </w:rPr>
        <w:t xml:space="preserve">in order </w:t>
      </w:r>
      <w:r w:rsidRPr="00B71338">
        <w:rPr>
          <w:rFonts w:asciiTheme="majorHAnsi" w:hAnsiTheme="majorHAnsi" w:cstheme="majorHAnsi"/>
        </w:rPr>
        <w:t xml:space="preserve">to </w:t>
      </w:r>
      <w:r>
        <w:rPr>
          <w:rFonts w:asciiTheme="majorHAnsi" w:hAnsiTheme="majorHAnsi" w:cstheme="majorHAnsi"/>
        </w:rPr>
        <w:t>direct</w:t>
      </w:r>
      <w:r w:rsidR="007A2126">
        <w:rPr>
          <w:rFonts w:asciiTheme="majorHAnsi" w:hAnsiTheme="majorHAnsi" w:cstheme="majorHAnsi"/>
        </w:rPr>
        <w:t>ly</w:t>
      </w:r>
      <w:r>
        <w:rPr>
          <w:rFonts w:asciiTheme="majorHAnsi" w:hAnsiTheme="majorHAnsi" w:cstheme="majorHAnsi"/>
        </w:rPr>
        <w:t xml:space="preserve"> </w:t>
      </w:r>
      <w:r w:rsidRPr="00B71338">
        <w:rPr>
          <w:rFonts w:asciiTheme="majorHAnsi" w:hAnsiTheme="majorHAnsi" w:cstheme="majorHAnsi"/>
        </w:rPr>
        <w:t>support applications demonstrating a capacity to grow Australia’s knowledge base. The</w:t>
      </w:r>
      <w:r>
        <w:rPr>
          <w:rFonts w:asciiTheme="majorHAnsi" w:hAnsiTheme="majorHAnsi" w:cstheme="majorHAnsi"/>
        </w:rPr>
        <w:t> </w:t>
      </w:r>
      <w:r w:rsidRPr="00B71338">
        <w:rPr>
          <w:rFonts w:asciiTheme="majorHAnsi" w:hAnsiTheme="majorHAnsi" w:cstheme="majorHAnsi"/>
          <w:i/>
        </w:rPr>
        <w:t>ARC Open Access Policy</w:t>
      </w:r>
      <w:r w:rsidR="00D448FE">
        <w:rPr>
          <w:rFonts w:asciiTheme="majorHAnsi" w:hAnsiTheme="majorHAnsi" w:cstheme="majorHAnsi"/>
          <w:iCs/>
        </w:rPr>
        <w:t xml:space="preserve">, which applies to the Discovery Projects scheme, and the </w:t>
      </w:r>
      <w:r w:rsidR="00DF0A47">
        <w:rPr>
          <w:rFonts w:asciiTheme="majorHAnsi" w:hAnsiTheme="majorHAnsi" w:cstheme="majorHAnsi"/>
          <w:iCs/>
        </w:rPr>
        <w:t>NCGP</w:t>
      </w:r>
      <w:r w:rsidR="00D448FE">
        <w:rPr>
          <w:rFonts w:asciiTheme="majorHAnsi" w:hAnsiTheme="majorHAnsi" w:cstheme="majorHAnsi"/>
          <w:iCs/>
        </w:rPr>
        <w:t xml:space="preserve"> more broadly,</w:t>
      </w:r>
      <w:r>
        <w:rPr>
          <w:rFonts w:asciiTheme="majorHAnsi" w:hAnsiTheme="majorHAnsi" w:cstheme="majorHAnsi"/>
        </w:rPr>
        <w:t xml:space="preserve"> </w:t>
      </w:r>
      <w:r>
        <w:rPr>
          <w:rFonts w:asciiTheme="majorHAnsi" w:hAnsiTheme="majorHAnsi" w:cstheme="majorHAnsi"/>
          <w:iCs/>
        </w:rPr>
        <w:t xml:space="preserve">is a mechanism </w:t>
      </w:r>
      <w:r w:rsidR="00DF0A47">
        <w:rPr>
          <w:rFonts w:asciiTheme="majorHAnsi" w:hAnsiTheme="majorHAnsi" w:cstheme="majorHAnsi"/>
          <w:iCs/>
        </w:rPr>
        <w:t>employed by the ARC to further</w:t>
      </w:r>
      <w:r>
        <w:rPr>
          <w:rFonts w:asciiTheme="majorHAnsi" w:hAnsiTheme="majorHAnsi" w:cstheme="majorHAnsi"/>
          <w:iCs/>
        </w:rPr>
        <w:t xml:space="preserve"> foster</w:t>
      </w:r>
      <w:r w:rsidR="00AF00AC">
        <w:rPr>
          <w:rFonts w:asciiTheme="majorHAnsi" w:hAnsiTheme="majorHAnsi" w:cstheme="majorHAnsi"/>
          <w:iCs/>
        </w:rPr>
        <w:t xml:space="preserve"> this outcome</w:t>
      </w:r>
      <w:r>
        <w:rPr>
          <w:rFonts w:asciiTheme="majorHAnsi" w:hAnsiTheme="majorHAnsi" w:cstheme="majorHAnsi"/>
          <w:iCs/>
        </w:rPr>
        <w:t>. Th</w:t>
      </w:r>
      <w:r w:rsidR="00E04A81">
        <w:rPr>
          <w:rFonts w:asciiTheme="majorHAnsi" w:hAnsiTheme="majorHAnsi" w:cstheme="majorHAnsi"/>
          <w:iCs/>
        </w:rPr>
        <w:t>e</w:t>
      </w:r>
      <w:r>
        <w:rPr>
          <w:rFonts w:asciiTheme="majorHAnsi" w:hAnsiTheme="majorHAnsi" w:cstheme="majorHAnsi"/>
          <w:iCs/>
        </w:rPr>
        <w:t xml:space="preserve"> policy</w:t>
      </w:r>
      <w:r w:rsidRPr="00B71338">
        <w:rPr>
          <w:rFonts w:asciiTheme="majorHAnsi" w:hAnsiTheme="majorHAnsi" w:cstheme="majorHAnsi"/>
        </w:rPr>
        <w:t xml:space="preserve"> generally requires research output</w:t>
      </w:r>
      <w:r>
        <w:rPr>
          <w:rFonts w:asciiTheme="majorHAnsi" w:hAnsiTheme="majorHAnsi" w:cstheme="majorHAnsi"/>
        </w:rPr>
        <w:t>s</w:t>
      </w:r>
      <w:r w:rsidRPr="00B71338">
        <w:rPr>
          <w:rFonts w:asciiTheme="majorHAnsi" w:hAnsiTheme="majorHAnsi" w:cstheme="majorHAnsi"/>
        </w:rPr>
        <w:t xml:space="preserve"> to be ‘made openly accessible within a twelve</w:t>
      </w:r>
      <w:r w:rsidR="00863F0A">
        <w:rPr>
          <w:rFonts w:asciiTheme="majorHAnsi" w:hAnsiTheme="majorHAnsi" w:cstheme="majorHAnsi"/>
        </w:rPr>
        <w:t>-</w:t>
      </w:r>
      <w:r w:rsidRPr="00B71338">
        <w:rPr>
          <w:rFonts w:asciiTheme="majorHAnsi" w:hAnsiTheme="majorHAnsi" w:cstheme="majorHAnsi"/>
        </w:rPr>
        <w:t>month period from the date of publication’, to ensure knowledge arising from this work is disseminated to other researchers and the broader community.</w:t>
      </w:r>
      <w:r w:rsidRPr="00B71338">
        <w:rPr>
          <w:rStyle w:val="FootnoteReference"/>
          <w:rFonts w:asciiTheme="majorHAnsi" w:hAnsiTheme="majorHAnsi" w:cstheme="majorHAnsi"/>
        </w:rPr>
        <w:footnoteReference w:id="62"/>
      </w:r>
      <w:r w:rsidRPr="00B71338">
        <w:rPr>
          <w:rFonts w:asciiTheme="majorHAnsi" w:hAnsiTheme="majorHAnsi" w:cstheme="majorHAnsi"/>
        </w:rPr>
        <w:t xml:space="preserve"> </w:t>
      </w:r>
    </w:p>
    <w:p w14:paraId="19C8A7C6" w14:textId="77777777" w:rsidR="003639AF" w:rsidRDefault="003639AF" w:rsidP="003639AF">
      <w:pPr>
        <w:rPr>
          <w:rFonts w:asciiTheme="majorHAnsi" w:hAnsiTheme="majorHAnsi" w:cstheme="majorHAnsi"/>
        </w:rPr>
      </w:pPr>
      <w:r w:rsidRPr="00B71338">
        <w:rPr>
          <w:rFonts w:asciiTheme="majorHAnsi" w:hAnsiTheme="majorHAnsi" w:cstheme="majorHAnsi"/>
        </w:rPr>
        <w:t xml:space="preserve">The ARC does not specifically define the term ‘research capacity’; however, this phrase has been </w:t>
      </w:r>
      <w:r>
        <w:rPr>
          <w:rFonts w:asciiTheme="majorHAnsi" w:hAnsiTheme="majorHAnsi" w:cstheme="majorHAnsi"/>
        </w:rPr>
        <w:t>employed</w:t>
      </w:r>
      <w:r w:rsidRPr="00B71338">
        <w:rPr>
          <w:rFonts w:asciiTheme="majorHAnsi" w:hAnsiTheme="majorHAnsi" w:cstheme="majorHAnsi"/>
        </w:rPr>
        <w:t xml:space="preserve"> elsewhere </w:t>
      </w:r>
      <w:r>
        <w:rPr>
          <w:rFonts w:asciiTheme="majorHAnsi" w:hAnsiTheme="majorHAnsi" w:cstheme="majorHAnsi"/>
        </w:rPr>
        <w:t>to refer to</w:t>
      </w:r>
      <w:r w:rsidRPr="00B71338">
        <w:rPr>
          <w:rFonts w:asciiTheme="majorHAnsi" w:hAnsiTheme="majorHAnsi" w:cstheme="majorHAnsi"/>
        </w:rPr>
        <w:t xml:space="preserve"> ‘a process of developing sustainable abilities and skills enabling individuals and organisations to perform high quality research’.</w:t>
      </w:r>
      <w:r w:rsidRPr="00B71338">
        <w:rPr>
          <w:rStyle w:val="FootnoteReference"/>
          <w:rFonts w:asciiTheme="majorHAnsi" w:hAnsiTheme="majorHAnsi" w:cstheme="majorHAnsi"/>
        </w:rPr>
        <w:footnoteReference w:id="63"/>
      </w:r>
      <w:r w:rsidRPr="00B71338">
        <w:rPr>
          <w:rFonts w:asciiTheme="majorHAnsi" w:hAnsiTheme="majorHAnsi" w:cstheme="majorHAnsi"/>
        </w:rPr>
        <w:t xml:space="preserve"> Due to</w:t>
      </w:r>
      <w:r>
        <w:rPr>
          <w:rFonts w:asciiTheme="majorHAnsi" w:hAnsiTheme="majorHAnsi" w:cstheme="majorHAnsi"/>
        </w:rPr>
        <w:t xml:space="preserve"> the scheme’s size and centrality within the NCGP, the breadth of its support for Australian university researchers and trainees, and its significance within the national research funding landscape (see Part </w:t>
      </w:r>
      <w:r w:rsidRPr="00B71338">
        <w:rPr>
          <w:rFonts w:asciiTheme="majorHAnsi" w:hAnsiTheme="majorHAnsi" w:cstheme="majorHAnsi"/>
        </w:rPr>
        <w:t xml:space="preserve">Five), Discovery Projects contributes to Australia’s research capacity in diverse ways. It </w:t>
      </w:r>
      <w:r>
        <w:rPr>
          <w:rFonts w:asciiTheme="majorHAnsi" w:hAnsiTheme="majorHAnsi" w:cstheme="majorHAnsi"/>
        </w:rPr>
        <w:t>contributes to the resources invested in Australian research</w:t>
      </w:r>
      <w:r w:rsidRPr="00B71338">
        <w:rPr>
          <w:rFonts w:asciiTheme="majorHAnsi" w:hAnsiTheme="majorHAnsi" w:cstheme="majorHAnsi"/>
        </w:rPr>
        <w:t xml:space="preserve">, </w:t>
      </w:r>
      <w:r>
        <w:rPr>
          <w:rFonts w:asciiTheme="majorHAnsi" w:hAnsiTheme="majorHAnsi" w:cstheme="majorHAnsi"/>
        </w:rPr>
        <w:t>shaping the quantity of projects undertaken, the scale of the research possible, and the breadth of disciplinary activity. The scheme also contributes to the pipeline of opportunities available to Australian researchers at diverse career stages, and the subsequent composition of the national research workforce.</w:t>
      </w:r>
    </w:p>
    <w:p w14:paraId="41D90755" w14:textId="7FB8D27E" w:rsidR="003639AF" w:rsidRPr="00757BB5" w:rsidRDefault="003639AF" w:rsidP="00254D36">
      <w:pPr>
        <w:pStyle w:val="Heading3"/>
        <w:numPr>
          <w:ilvl w:val="2"/>
          <w:numId w:val="17"/>
        </w:numPr>
        <w:shd w:val="clear" w:color="auto" w:fill="auto"/>
      </w:pPr>
      <w:bookmarkStart w:id="614" w:name="_Toc50533626"/>
      <w:bookmarkStart w:id="615" w:name="_Toc50553776"/>
      <w:bookmarkStart w:id="616" w:name="_Toc50555012"/>
      <w:bookmarkStart w:id="617" w:name="_Toc50618146"/>
      <w:bookmarkStart w:id="618" w:name="_Toc50618427"/>
      <w:bookmarkStart w:id="619" w:name="_Toc51917027"/>
      <w:bookmarkStart w:id="620" w:name="_Toc51918867"/>
      <w:bookmarkStart w:id="621" w:name="_Toc53557250"/>
      <w:bookmarkStart w:id="622" w:name="_Toc54699292"/>
      <w:bookmarkStart w:id="623" w:name="_Toc55544826"/>
      <w:r>
        <w:t>ARC data—research outputs</w:t>
      </w:r>
      <w:bookmarkEnd w:id="614"/>
      <w:bookmarkEnd w:id="615"/>
      <w:bookmarkEnd w:id="616"/>
      <w:bookmarkEnd w:id="617"/>
      <w:bookmarkEnd w:id="618"/>
      <w:bookmarkEnd w:id="619"/>
      <w:bookmarkEnd w:id="620"/>
      <w:bookmarkEnd w:id="621"/>
      <w:bookmarkEnd w:id="622"/>
      <w:bookmarkEnd w:id="623"/>
    </w:p>
    <w:p w14:paraId="3DFB2EC2" w14:textId="1B1A90E3" w:rsidR="003639AF" w:rsidRDefault="003639AF" w:rsidP="003639AF">
      <w:pPr>
        <w:rPr>
          <w:rFonts w:asciiTheme="majorHAnsi" w:hAnsiTheme="majorHAnsi" w:cstheme="majorHAnsi"/>
        </w:rPr>
      </w:pPr>
      <w:r>
        <w:rPr>
          <w:rFonts w:asciiTheme="majorHAnsi" w:hAnsiTheme="majorHAnsi" w:cstheme="majorHAnsi"/>
        </w:rPr>
        <w:t xml:space="preserve">Research outputs arising from projects funded under Discovery Projects provide an </w:t>
      </w:r>
      <w:r w:rsidR="00540539">
        <w:rPr>
          <w:rFonts w:asciiTheme="majorHAnsi" w:hAnsiTheme="majorHAnsi" w:cstheme="majorHAnsi"/>
        </w:rPr>
        <w:t xml:space="preserve">indicative measure </w:t>
      </w:r>
      <w:r>
        <w:rPr>
          <w:rFonts w:asciiTheme="majorHAnsi" w:hAnsiTheme="majorHAnsi" w:cstheme="majorHAnsi"/>
        </w:rPr>
        <w:t xml:space="preserve">of the scheme’s contribution to expanding Australia’s knowledge base. The ARC adopts a broad definition of research outputs in its policies, assessment and reporting processes. </w:t>
      </w:r>
      <w:r w:rsidDel="00D940A3">
        <w:rPr>
          <w:rFonts w:asciiTheme="majorHAnsi" w:hAnsiTheme="majorHAnsi" w:cstheme="majorHAnsi"/>
        </w:rPr>
        <w:t>This spans</w:t>
      </w:r>
      <w:r w:rsidDel="00226473">
        <w:rPr>
          <w:rFonts w:asciiTheme="majorHAnsi" w:hAnsiTheme="majorHAnsi" w:cstheme="majorHAnsi"/>
        </w:rPr>
        <w:t xml:space="preserve"> </w:t>
      </w:r>
      <w:r>
        <w:rPr>
          <w:rFonts w:asciiTheme="majorHAnsi" w:hAnsiTheme="majorHAnsi" w:cstheme="majorHAnsi"/>
        </w:rPr>
        <w:t xml:space="preserve">peer reviewed books, chapters, journal articles and conference presentations, </w:t>
      </w:r>
      <w:r w:rsidR="008E01C7">
        <w:rPr>
          <w:rFonts w:asciiTheme="majorHAnsi" w:hAnsiTheme="majorHAnsi" w:cstheme="majorHAnsi"/>
        </w:rPr>
        <w:t>as well as</w:t>
      </w:r>
      <w:r>
        <w:rPr>
          <w:rFonts w:asciiTheme="majorHAnsi" w:hAnsiTheme="majorHAnsi" w:cstheme="majorHAnsi"/>
        </w:rPr>
        <w:t xml:space="preserve"> non-traditional</w:t>
      </w:r>
      <w:r w:rsidR="006E07BF">
        <w:rPr>
          <w:rFonts w:asciiTheme="majorHAnsi" w:hAnsiTheme="majorHAnsi" w:cstheme="majorHAnsi"/>
        </w:rPr>
        <w:t xml:space="preserve"> research</w:t>
      </w:r>
      <w:r>
        <w:rPr>
          <w:rFonts w:asciiTheme="majorHAnsi" w:hAnsiTheme="majorHAnsi" w:cstheme="majorHAnsi"/>
        </w:rPr>
        <w:t xml:space="preserve"> outputs, such as museum exhibitions, designs and creative works.</w:t>
      </w:r>
      <w:r>
        <w:rPr>
          <w:rStyle w:val="FootnoteReference"/>
          <w:rFonts w:asciiTheme="majorHAnsi" w:hAnsiTheme="majorHAnsi" w:cstheme="majorHAnsi"/>
        </w:rPr>
        <w:footnoteReference w:id="64"/>
      </w:r>
      <w:r>
        <w:rPr>
          <w:rFonts w:asciiTheme="majorHAnsi" w:hAnsiTheme="majorHAnsi" w:cstheme="majorHAnsi"/>
        </w:rPr>
        <w:t xml:space="preserve"> </w:t>
      </w:r>
    </w:p>
    <w:p w14:paraId="7E742706" w14:textId="797D2B80" w:rsidR="00281E8D" w:rsidRPr="00CF0359" w:rsidRDefault="003639AF" w:rsidP="003639AF">
      <w:pPr>
        <w:rPr>
          <w:rFonts w:asciiTheme="majorHAnsi" w:hAnsiTheme="majorHAnsi" w:cstheme="majorHAnsi"/>
        </w:rPr>
      </w:pPr>
      <w:r w:rsidRPr="00AD5C0B">
        <w:rPr>
          <w:rFonts w:asciiTheme="majorHAnsi" w:hAnsiTheme="majorHAnsi" w:cstheme="majorHAnsi"/>
        </w:rPr>
        <w:fldChar w:fldCharType="begin"/>
      </w:r>
      <w:r w:rsidRPr="00B020D4">
        <w:rPr>
          <w:rFonts w:asciiTheme="majorHAnsi" w:hAnsiTheme="majorHAnsi" w:cstheme="majorHAnsi"/>
        </w:rPr>
        <w:instrText xml:space="preserve"> REF _Ref45537573 \h </w:instrText>
      </w:r>
      <w:r w:rsidRPr="00C43EA4">
        <w:rPr>
          <w:rFonts w:asciiTheme="majorHAnsi" w:hAnsiTheme="majorHAnsi" w:cstheme="majorHAnsi"/>
        </w:rPr>
        <w:instrText xml:space="preserve"> \* MERGEFORMAT </w:instrText>
      </w:r>
      <w:r w:rsidRPr="00AD5C0B">
        <w:rPr>
          <w:rFonts w:asciiTheme="majorHAnsi" w:hAnsiTheme="majorHAnsi" w:cstheme="majorHAnsi"/>
        </w:rPr>
      </w:r>
      <w:r w:rsidRPr="00AD5C0B">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Table </w:t>
      </w:r>
      <w:r w:rsidR="00AB03D7" w:rsidRPr="00AB03D7">
        <w:rPr>
          <w:rFonts w:asciiTheme="majorHAnsi" w:hAnsiTheme="majorHAnsi" w:cstheme="majorHAnsi"/>
          <w:noProof/>
          <w:color w:val="000000" w:themeColor="text1"/>
        </w:rPr>
        <w:t>5</w:t>
      </w:r>
      <w:r w:rsidRPr="00AD5C0B">
        <w:rPr>
          <w:rFonts w:asciiTheme="majorHAnsi" w:hAnsiTheme="majorHAnsi" w:cstheme="majorHAnsi"/>
        </w:rPr>
        <w:fldChar w:fldCharType="end"/>
      </w:r>
      <w:r w:rsidRPr="00AD5C0B">
        <w:rPr>
          <w:rFonts w:asciiTheme="majorHAnsi" w:hAnsiTheme="majorHAnsi" w:cstheme="majorHAnsi"/>
        </w:rPr>
        <w:t xml:space="preserve"> </w:t>
      </w:r>
      <w:r w:rsidRPr="00B020D4">
        <w:rPr>
          <w:rFonts w:asciiTheme="majorHAnsi" w:hAnsiTheme="majorHAnsi" w:cstheme="majorHAnsi"/>
        </w:rPr>
        <w:t>presents</w:t>
      </w:r>
      <w:r>
        <w:rPr>
          <w:rFonts w:asciiTheme="majorHAnsi" w:hAnsiTheme="majorHAnsi" w:cstheme="majorHAnsi"/>
        </w:rPr>
        <w:t xml:space="preserve"> total research output numbers identified within Discovery Projects final reports between DP02 and DP14. For peer reviewed</w:t>
      </w:r>
      <w:r w:rsidR="0064328A">
        <w:rPr>
          <w:rFonts w:asciiTheme="majorHAnsi" w:hAnsiTheme="majorHAnsi" w:cstheme="majorHAnsi"/>
        </w:rPr>
        <w:t xml:space="preserve">, </w:t>
      </w:r>
      <w:r>
        <w:rPr>
          <w:rFonts w:asciiTheme="majorHAnsi" w:hAnsiTheme="majorHAnsi" w:cstheme="majorHAnsi"/>
        </w:rPr>
        <w:t xml:space="preserve">published outputs, these figures include those that have been published or are in press, but not those that are forthcoming or submitted for consideration. </w:t>
      </w:r>
      <w:r w:rsidR="00C66E85">
        <w:rPr>
          <w:rFonts w:asciiTheme="majorHAnsi" w:hAnsiTheme="majorHAnsi" w:cstheme="majorHAnsi"/>
        </w:rPr>
        <w:lastRenderedPageBreak/>
        <w:t>Due to data limitations, t</w:t>
      </w:r>
      <w:r>
        <w:rPr>
          <w:rFonts w:asciiTheme="majorHAnsi" w:hAnsiTheme="majorHAnsi" w:cstheme="majorHAnsi"/>
        </w:rPr>
        <w:t>he figures provided should be interpreted as a broad approximation of total outputs.</w:t>
      </w:r>
      <w:r>
        <w:rPr>
          <w:rStyle w:val="FootnoteReference"/>
          <w:rFonts w:asciiTheme="majorHAnsi" w:hAnsiTheme="majorHAnsi" w:cstheme="majorHAnsi"/>
        </w:rPr>
        <w:footnoteReference w:id="65"/>
      </w:r>
      <w:r>
        <w:rPr>
          <w:rFonts w:asciiTheme="majorHAnsi" w:hAnsiTheme="majorHAnsi" w:cstheme="majorHAnsi"/>
        </w:rPr>
        <w:t xml:space="preserve"> </w:t>
      </w:r>
    </w:p>
    <w:p w14:paraId="1C0AD752" w14:textId="3CDED154" w:rsidR="003639AF" w:rsidRDefault="003639AF" w:rsidP="00672942">
      <w:pPr>
        <w:pStyle w:val="TableTitle"/>
        <w:rPr>
          <w:i/>
        </w:rPr>
      </w:pPr>
      <w:bookmarkStart w:id="624" w:name="_Ref45537573"/>
      <w:r w:rsidRPr="00EA11BB">
        <w:t xml:space="preserve">Table </w:t>
      </w:r>
      <w:r w:rsidR="00857467">
        <w:fldChar w:fldCharType="begin"/>
      </w:r>
      <w:r w:rsidR="00857467">
        <w:instrText xml:space="preserve"> SEQ Table \* ARABIC </w:instrText>
      </w:r>
      <w:r w:rsidR="00857467">
        <w:fldChar w:fldCharType="separate"/>
      </w:r>
      <w:r w:rsidR="00AB03D7">
        <w:rPr>
          <w:noProof/>
        </w:rPr>
        <w:t>5</w:t>
      </w:r>
      <w:r w:rsidR="00857467">
        <w:rPr>
          <w:noProof/>
        </w:rPr>
        <w:fldChar w:fldCharType="end"/>
      </w:r>
      <w:bookmarkEnd w:id="624"/>
      <w:r w:rsidRPr="00EA11BB">
        <w:t xml:space="preserve">: </w:t>
      </w:r>
      <w:r>
        <w:t xml:space="preserve">Total number of </w:t>
      </w:r>
      <w:r w:rsidRPr="00EA11BB">
        <w:t>Discovery Proj</w:t>
      </w:r>
      <w:r>
        <w:t>ects research outputs by type, DP02–DP14</w:t>
      </w:r>
    </w:p>
    <w:tbl>
      <w:tblPr>
        <w:tblW w:w="6528"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Caption w:val="Table 5: Total number of Discovery Projects research outputs by type, DP02–DP14"/>
        <w:tblDescription w:val="Table 5 lists the total number of research outputs indicated on Discovery Projects final reports by research output type, between DP02 and DP14. See text above table for more information.&#10;"/>
      </w:tblPr>
      <w:tblGrid>
        <w:gridCol w:w="3126"/>
        <w:gridCol w:w="1701"/>
        <w:gridCol w:w="1701"/>
      </w:tblGrid>
      <w:tr w:rsidR="00B05772" w:rsidRPr="00927B61" w14:paraId="11716E18" w14:textId="77777777" w:rsidTr="00907139">
        <w:trPr>
          <w:trHeight w:val="315"/>
        </w:trPr>
        <w:tc>
          <w:tcPr>
            <w:tcW w:w="3126" w:type="dxa"/>
            <w:shd w:val="clear" w:color="000000" w:fill="DDEBF7"/>
            <w:noWrap/>
            <w:vAlign w:val="center"/>
            <w:hideMark/>
          </w:tcPr>
          <w:p w14:paraId="66F32779" w14:textId="40325106" w:rsidR="003639AF" w:rsidRPr="00F05297" w:rsidRDefault="00951866" w:rsidP="00907139">
            <w:pPr>
              <w:spacing w:after="0" w:line="240" w:lineRule="auto"/>
              <w:rPr>
                <w:rFonts w:ascii="Calibri Light" w:eastAsia="Times New Roman" w:hAnsi="Calibri Light" w:cs="Calibri Light"/>
                <w:b/>
                <w:bCs/>
                <w:color w:val="000000"/>
                <w:sz w:val="18"/>
                <w:szCs w:val="18"/>
                <w:lang w:eastAsia="en-AU"/>
              </w:rPr>
            </w:pPr>
            <w:r>
              <w:rPr>
                <w:rFonts w:ascii="Calibri Light" w:eastAsia="Times New Roman" w:hAnsi="Calibri Light" w:cs="Calibri Light"/>
                <w:b/>
                <w:bCs/>
                <w:color w:val="000000"/>
                <w:sz w:val="18"/>
                <w:szCs w:val="18"/>
                <w:lang w:eastAsia="en-AU"/>
              </w:rPr>
              <w:t>Output</w:t>
            </w:r>
            <w:r w:rsidR="003639AF" w:rsidRPr="00F05297">
              <w:rPr>
                <w:rFonts w:ascii="Calibri Light" w:eastAsia="Times New Roman" w:hAnsi="Calibri Light" w:cs="Calibri Light"/>
                <w:b/>
                <w:bCs/>
                <w:color w:val="000000"/>
                <w:sz w:val="18"/>
                <w:szCs w:val="18"/>
                <w:lang w:eastAsia="en-AU"/>
              </w:rPr>
              <w:t xml:space="preserve"> type</w:t>
            </w:r>
          </w:p>
        </w:tc>
        <w:tc>
          <w:tcPr>
            <w:tcW w:w="1701" w:type="dxa"/>
            <w:shd w:val="clear" w:color="000000" w:fill="DEEAF6"/>
            <w:noWrap/>
            <w:vAlign w:val="center"/>
            <w:hideMark/>
          </w:tcPr>
          <w:p w14:paraId="193E4020" w14:textId="77777777" w:rsidR="003639AF" w:rsidRPr="00F05297" w:rsidRDefault="003639AF" w:rsidP="007057E6">
            <w:pPr>
              <w:spacing w:after="0" w:line="240" w:lineRule="auto"/>
              <w:jc w:val="right"/>
              <w:rPr>
                <w:rFonts w:asciiTheme="majorHAnsi" w:eastAsia="Times New Roman" w:hAnsiTheme="majorHAnsi" w:cstheme="majorHAnsi"/>
                <w:b/>
                <w:bCs/>
                <w:color w:val="000000"/>
                <w:sz w:val="18"/>
                <w:szCs w:val="18"/>
                <w:lang w:eastAsia="en-AU"/>
              </w:rPr>
            </w:pPr>
            <w:r w:rsidRPr="00F05297">
              <w:rPr>
                <w:rFonts w:asciiTheme="majorHAnsi" w:eastAsia="Times New Roman" w:hAnsiTheme="majorHAnsi" w:cstheme="majorHAnsi"/>
                <w:b/>
                <w:bCs/>
                <w:color w:val="000000"/>
                <w:sz w:val="18"/>
                <w:szCs w:val="18"/>
                <w:lang w:eastAsia="en-AU"/>
              </w:rPr>
              <w:t>Total</w:t>
            </w:r>
          </w:p>
        </w:tc>
        <w:tc>
          <w:tcPr>
            <w:tcW w:w="1701" w:type="dxa"/>
            <w:shd w:val="clear" w:color="000000" w:fill="DEEAF6"/>
            <w:vAlign w:val="center"/>
          </w:tcPr>
          <w:p w14:paraId="042EC613" w14:textId="77777777" w:rsidR="003639AF" w:rsidRPr="00F05297" w:rsidRDefault="003639AF" w:rsidP="007057E6">
            <w:pPr>
              <w:spacing w:after="0" w:line="240" w:lineRule="auto"/>
              <w:jc w:val="right"/>
              <w:rPr>
                <w:rFonts w:asciiTheme="majorHAnsi" w:eastAsia="Times New Roman" w:hAnsiTheme="majorHAnsi" w:cstheme="majorHAnsi"/>
                <w:b/>
                <w:bCs/>
                <w:color w:val="000000"/>
                <w:sz w:val="18"/>
                <w:szCs w:val="18"/>
                <w:lang w:eastAsia="en-AU"/>
              </w:rPr>
            </w:pPr>
            <w:r w:rsidRPr="00F05297">
              <w:rPr>
                <w:rFonts w:asciiTheme="majorHAnsi" w:eastAsia="Times New Roman" w:hAnsiTheme="majorHAnsi" w:cstheme="majorHAnsi"/>
                <w:b/>
                <w:bCs/>
                <w:color w:val="000000"/>
                <w:sz w:val="18"/>
                <w:szCs w:val="18"/>
                <w:lang w:eastAsia="en-AU"/>
              </w:rPr>
              <w:t>Proportion</w:t>
            </w:r>
          </w:p>
        </w:tc>
      </w:tr>
      <w:tr w:rsidR="00F31AED" w:rsidRPr="00927B61" w14:paraId="5BCC465F" w14:textId="77777777" w:rsidTr="00907139">
        <w:trPr>
          <w:trHeight w:val="397"/>
        </w:trPr>
        <w:tc>
          <w:tcPr>
            <w:tcW w:w="3126" w:type="dxa"/>
            <w:shd w:val="clear" w:color="auto" w:fill="auto"/>
            <w:noWrap/>
            <w:hideMark/>
          </w:tcPr>
          <w:p w14:paraId="4799421F"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Journal articles</w:t>
            </w:r>
          </w:p>
        </w:tc>
        <w:tc>
          <w:tcPr>
            <w:tcW w:w="1701" w:type="dxa"/>
            <w:shd w:val="clear" w:color="auto" w:fill="auto"/>
            <w:noWrap/>
          </w:tcPr>
          <w:p w14:paraId="5D8A69F7" w14:textId="77777777" w:rsidR="003639AF" w:rsidRPr="00F05297" w:rsidRDefault="003639AF" w:rsidP="00907139">
            <w:pPr>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98,059</w:t>
            </w:r>
          </w:p>
        </w:tc>
        <w:tc>
          <w:tcPr>
            <w:tcW w:w="1701" w:type="dxa"/>
          </w:tcPr>
          <w:p w14:paraId="2210063E" w14:textId="77777777" w:rsidR="003639AF" w:rsidRPr="00F05297" w:rsidRDefault="003639AF" w:rsidP="00907139">
            <w:pPr>
              <w:spacing w:after="0" w:line="240" w:lineRule="auto"/>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50.1%</w:t>
            </w:r>
          </w:p>
        </w:tc>
      </w:tr>
      <w:tr w:rsidR="00F31AED" w:rsidRPr="00927B61" w14:paraId="54E05C95" w14:textId="77777777" w:rsidTr="00907139">
        <w:trPr>
          <w:trHeight w:val="397"/>
        </w:trPr>
        <w:tc>
          <w:tcPr>
            <w:tcW w:w="3126" w:type="dxa"/>
            <w:shd w:val="clear" w:color="auto" w:fill="auto"/>
            <w:noWrap/>
            <w:hideMark/>
          </w:tcPr>
          <w:p w14:paraId="46B4A026"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Conference proceedings</w:t>
            </w:r>
          </w:p>
        </w:tc>
        <w:tc>
          <w:tcPr>
            <w:tcW w:w="1701" w:type="dxa"/>
            <w:shd w:val="clear" w:color="auto" w:fill="auto"/>
            <w:noWrap/>
          </w:tcPr>
          <w:p w14:paraId="1A70B264" w14:textId="77777777" w:rsidR="003639AF" w:rsidRPr="00F05297" w:rsidRDefault="003639AF" w:rsidP="00907139">
            <w:pPr>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65,807</w:t>
            </w:r>
          </w:p>
        </w:tc>
        <w:tc>
          <w:tcPr>
            <w:tcW w:w="1701" w:type="dxa"/>
          </w:tcPr>
          <w:p w14:paraId="70785EF9" w14:textId="77777777" w:rsidR="003639AF" w:rsidRPr="00F05297" w:rsidRDefault="003639AF" w:rsidP="00907139">
            <w:pPr>
              <w:spacing w:after="0" w:line="240" w:lineRule="auto"/>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33.6%</w:t>
            </w:r>
          </w:p>
        </w:tc>
      </w:tr>
      <w:tr w:rsidR="00F31AED" w:rsidRPr="00927B61" w14:paraId="3D9AB977" w14:textId="77777777" w:rsidTr="00907139">
        <w:trPr>
          <w:trHeight w:val="397"/>
        </w:trPr>
        <w:tc>
          <w:tcPr>
            <w:tcW w:w="3126" w:type="dxa"/>
            <w:shd w:val="clear" w:color="auto" w:fill="auto"/>
            <w:noWrap/>
            <w:hideMark/>
          </w:tcPr>
          <w:p w14:paraId="3E4CB026"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Book chapters</w:t>
            </w:r>
          </w:p>
        </w:tc>
        <w:tc>
          <w:tcPr>
            <w:tcW w:w="1701" w:type="dxa"/>
            <w:shd w:val="clear" w:color="auto" w:fill="auto"/>
            <w:noWrap/>
          </w:tcPr>
          <w:p w14:paraId="1F0E6A7D" w14:textId="77777777" w:rsidR="003639AF" w:rsidRPr="00F05297" w:rsidRDefault="003639AF" w:rsidP="00907139">
            <w:pPr>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14,889</w:t>
            </w:r>
          </w:p>
        </w:tc>
        <w:tc>
          <w:tcPr>
            <w:tcW w:w="1701" w:type="dxa"/>
          </w:tcPr>
          <w:p w14:paraId="0717F83C" w14:textId="77777777" w:rsidR="003639AF" w:rsidRPr="00F05297" w:rsidRDefault="003639AF" w:rsidP="00907139">
            <w:pPr>
              <w:spacing w:after="0" w:line="240" w:lineRule="auto"/>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7.6%</w:t>
            </w:r>
          </w:p>
        </w:tc>
      </w:tr>
      <w:tr w:rsidR="00F31AED" w:rsidRPr="00927B61" w14:paraId="17E207BB" w14:textId="77777777" w:rsidTr="00907139">
        <w:trPr>
          <w:trHeight w:val="397"/>
        </w:trPr>
        <w:tc>
          <w:tcPr>
            <w:tcW w:w="3126" w:type="dxa"/>
            <w:shd w:val="clear" w:color="auto" w:fill="auto"/>
            <w:noWrap/>
            <w:hideMark/>
          </w:tcPr>
          <w:p w14:paraId="73C9CF63"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Other academic outputs</w:t>
            </w:r>
          </w:p>
        </w:tc>
        <w:tc>
          <w:tcPr>
            <w:tcW w:w="1701" w:type="dxa"/>
            <w:shd w:val="clear" w:color="auto" w:fill="auto"/>
            <w:noWrap/>
          </w:tcPr>
          <w:p w14:paraId="2025FBE8" w14:textId="77777777" w:rsidR="003639AF" w:rsidRPr="00F05297" w:rsidRDefault="003639AF" w:rsidP="00907139">
            <w:pPr>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8999</w:t>
            </w:r>
          </w:p>
        </w:tc>
        <w:tc>
          <w:tcPr>
            <w:tcW w:w="1701" w:type="dxa"/>
          </w:tcPr>
          <w:p w14:paraId="6C3DBF55" w14:textId="77777777" w:rsidR="003639AF" w:rsidRPr="00F05297" w:rsidRDefault="003639AF" w:rsidP="00907139">
            <w:pPr>
              <w:spacing w:after="0" w:line="240" w:lineRule="auto"/>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4.6%</w:t>
            </w:r>
          </w:p>
        </w:tc>
      </w:tr>
      <w:tr w:rsidR="00F31AED" w:rsidRPr="00927B61" w14:paraId="3C602853" w14:textId="77777777" w:rsidTr="00907139">
        <w:trPr>
          <w:trHeight w:val="397"/>
        </w:trPr>
        <w:tc>
          <w:tcPr>
            <w:tcW w:w="3126" w:type="dxa"/>
            <w:shd w:val="clear" w:color="auto" w:fill="auto"/>
            <w:noWrap/>
            <w:hideMark/>
          </w:tcPr>
          <w:p w14:paraId="554F617B"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Books</w:t>
            </w:r>
          </w:p>
        </w:tc>
        <w:tc>
          <w:tcPr>
            <w:tcW w:w="1701" w:type="dxa"/>
            <w:shd w:val="clear" w:color="auto" w:fill="auto"/>
            <w:noWrap/>
          </w:tcPr>
          <w:p w14:paraId="615B8FA3" w14:textId="77777777" w:rsidR="003639AF" w:rsidRPr="00F05297" w:rsidRDefault="003639AF" w:rsidP="00907139">
            <w:pPr>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4372</w:t>
            </w:r>
          </w:p>
        </w:tc>
        <w:tc>
          <w:tcPr>
            <w:tcW w:w="1701" w:type="dxa"/>
          </w:tcPr>
          <w:p w14:paraId="10A245E5" w14:textId="77777777" w:rsidR="003639AF" w:rsidRPr="00F05297" w:rsidRDefault="003639AF" w:rsidP="00907139">
            <w:pPr>
              <w:spacing w:after="0" w:line="240" w:lineRule="auto"/>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2.2%</w:t>
            </w:r>
          </w:p>
        </w:tc>
      </w:tr>
      <w:tr w:rsidR="00F31AED" w:rsidRPr="00927B61" w14:paraId="18CF4743" w14:textId="77777777" w:rsidTr="00907139">
        <w:trPr>
          <w:trHeight w:val="397"/>
        </w:trPr>
        <w:tc>
          <w:tcPr>
            <w:tcW w:w="3126" w:type="dxa"/>
            <w:shd w:val="clear" w:color="auto" w:fill="auto"/>
            <w:noWrap/>
            <w:hideMark/>
          </w:tcPr>
          <w:p w14:paraId="4FF7D297"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Major reviews</w:t>
            </w:r>
          </w:p>
        </w:tc>
        <w:tc>
          <w:tcPr>
            <w:tcW w:w="1701" w:type="dxa"/>
            <w:shd w:val="clear" w:color="auto" w:fill="auto"/>
            <w:noWrap/>
          </w:tcPr>
          <w:p w14:paraId="7156CDE8" w14:textId="77777777" w:rsidR="003639AF" w:rsidRPr="00F05297" w:rsidRDefault="003639AF" w:rsidP="00907139">
            <w:pPr>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1645</w:t>
            </w:r>
          </w:p>
        </w:tc>
        <w:tc>
          <w:tcPr>
            <w:tcW w:w="1701" w:type="dxa"/>
          </w:tcPr>
          <w:p w14:paraId="2A26426E" w14:textId="77777777" w:rsidR="003639AF" w:rsidRPr="00F05297" w:rsidRDefault="003639AF" w:rsidP="00907139">
            <w:pPr>
              <w:spacing w:after="0" w:line="240" w:lineRule="auto"/>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0.8%</w:t>
            </w:r>
          </w:p>
        </w:tc>
      </w:tr>
      <w:tr w:rsidR="00F31AED" w:rsidRPr="00927B61" w14:paraId="6F3007FE" w14:textId="77777777" w:rsidTr="00907139">
        <w:trPr>
          <w:trHeight w:val="397"/>
        </w:trPr>
        <w:tc>
          <w:tcPr>
            <w:tcW w:w="3126" w:type="dxa"/>
            <w:shd w:val="clear" w:color="auto" w:fill="auto"/>
            <w:noWrap/>
            <w:hideMark/>
          </w:tcPr>
          <w:p w14:paraId="62ED8BE3"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Computer software</w:t>
            </w:r>
          </w:p>
        </w:tc>
        <w:tc>
          <w:tcPr>
            <w:tcW w:w="1701" w:type="dxa"/>
            <w:shd w:val="clear" w:color="auto" w:fill="auto"/>
            <w:noWrap/>
          </w:tcPr>
          <w:p w14:paraId="4E1C664B" w14:textId="77777777" w:rsidR="003639AF" w:rsidRPr="00F05297" w:rsidRDefault="003639AF" w:rsidP="00907139">
            <w:pPr>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804</w:t>
            </w:r>
          </w:p>
        </w:tc>
        <w:tc>
          <w:tcPr>
            <w:tcW w:w="1701" w:type="dxa"/>
          </w:tcPr>
          <w:p w14:paraId="328D3B7D" w14:textId="77777777" w:rsidR="003639AF" w:rsidRPr="00F05297" w:rsidRDefault="003639AF" w:rsidP="00907139">
            <w:pPr>
              <w:spacing w:after="0" w:line="240" w:lineRule="auto"/>
              <w:jc w:val="right"/>
              <w:rPr>
                <w:rFonts w:ascii="Calibri Light" w:eastAsia="Times New Roman" w:hAnsi="Calibri Light" w:cs="Calibri Light"/>
                <w:color w:val="000000"/>
                <w:sz w:val="18"/>
                <w:szCs w:val="18"/>
                <w:lang w:eastAsia="en-AU"/>
              </w:rPr>
            </w:pPr>
            <w:r w:rsidRPr="00F05297">
              <w:rPr>
                <w:rFonts w:ascii="Calibri Light" w:eastAsia="Times New Roman" w:hAnsi="Calibri Light" w:cs="Calibri Light"/>
                <w:color w:val="000000"/>
                <w:sz w:val="18"/>
                <w:szCs w:val="18"/>
                <w:lang w:eastAsia="en-AU"/>
              </w:rPr>
              <w:t>0.4%</w:t>
            </w:r>
          </w:p>
        </w:tc>
      </w:tr>
      <w:tr w:rsidR="00F31AED" w:rsidRPr="00927B61" w14:paraId="2BA79766" w14:textId="77777777" w:rsidTr="00907139">
        <w:trPr>
          <w:trHeight w:val="397"/>
        </w:trPr>
        <w:tc>
          <w:tcPr>
            <w:tcW w:w="3126" w:type="dxa"/>
            <w:shd w:val="clear" w:color="auto" w:fill="auto"/>
            <w:hideMark/>
          </w:tcPr>
          <w:p w14:paraId="20AF9675"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 xml:space="preserve">Creative works </w:t>
            </w:r>
          </w:p>
        </w:tc>
        <w:tc>
          <w:tcPr>
            <w:tcW w:w="1701" w:type="dxa"/>
            <w:shd w:val="clear" w:color="auto" w:fill="auto"/>
            <w:noWrap/>
          </w:tcPr>
          <w:p w14:paraId="0B2BD1A9" w14:textId="77777777" w:rsidR="003639AF" w:rsidRPr="00F05297" w:rsidRDefault="003639AF" w:rsidP="00907139">
            <w:pPr>
              <w:spacing w:after="0" w:line="240" w:lineRule="auto"/>
              <w:jc w:val="right"/>
              <w:rPr>
                <w:rFonts w:asciiTheme="majorHAnsi" w:eastAsia="Times New Roman" w:hAnsiTheme="majorHAnsi" w:cstheme="majorHAnsi"/>
                <w:color w:val="000000"/>
                <w:sz w:val="18"/>
                <w:szCs w:val="18"/>
                <w:lang w:eastAsia="en-AU"/>
              </w:rPr>
            </w:pPr>
            <w:r w:rsidRPr="00F05297">
              <w:rPr>
                <w:rFonts w:asciiTheme="majorHAnsi" w:eastAsia="Times New Roman" w:hAnsiTheme="majorHAnsi" w:cstheme="majorHAnsi"/>
                <w:color w:val="000000"/>
                <w:sz w:val="18"/>
                <w:szCs w:val="18"/>
                <w:lang w:eastAsia="en-AU"/>
              </w:rPr>
              <w:t>541</w:t>
            </w:r>
          </w:p>
        </w:tc>
        <w:tc>
          <w:tcPr>
            <w:tcW w:w="1701" w:type="dxa"/>
          </w:tcPr>
          <w:p w14:paraId="2B16FAFD" w14:textId="77777777" w:rsidR="003639AF" w:rsidRPr="00F05297" w:rsidRDefault="003639AF" w:rsidP="00907139">
            <w:pPr>
              <w:spacing w:after="0" w:line="240" w:lineRule="auto"/>
              <w:jc w:val="right"/>
              <w:rPr>
                <w:rFonts w:asciiTheme="majorHAnsi" w:hAnsiTheme="majorHAnsi" w:cstheme="majorHAnsi"/>
                <w:sz w:val="18"/>
                <w:szCs w:val="18"/>
              </w:rPr>
            </w:pPr>
            <w:r w:rsidRPr="00F05297">
              <w:rPr>
                <w:rFonts w:asciiTheme="majorHAnsi" w:hAnsiTheme="majorHAnsi" w:cstheme="majorHAnsi"/>
                <w:sz w:val="18"/>
                <w:szCs w:val="18"/>
              </w:rPr>
              <w:t>0.3%</w:t>
            </w:r>
          </w:p>
        </w:tc>
      </w:tr>
      <w:tr w:rsidR="00F31AED" w:rsidRPr="00927B61" w14:paraId="5B385290" w14:textId="77777777" w:rsidTr="00907139">
        <w:trPr>
          <w:trHeight w:val="397"/>
        </w:trPr>
        <w:tc>
          <w:tcPr>
            <w:tcW w:w="3126" w:type="dxa"/>
            <w:shd w:val="clear" w:color="auto" w:fill="auto"/>
            <w:noWrap/>
            <w:hideMark/>
          </w:tcPr>
          <w:p w14:paraId="5767F593"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Audio-visual recordings</w:t>
            </w:r>
          </w:p>
        </w:tc>
        <w:tc>
          <w:tcPr>
            <w:tcW w:w="1701" w:type="dxa"/>
            <w:shd w:val="clear" w:color="auto" w:fill="auto"/>
            <w:noWrap/>
          </w:tcPr>
          <w:p w14:paraId="4A44FA38" w14:textId="77777777" w:rsidR="003639AF" w:rsidRPr="00F05297" w:rsidRDefault="003639AF" w:rsidP="00907139">
            <w:pPr>
              <w:spacing w:after="0" w:line="240" w:lineRule="auto"/>
              <w:jc w:val="right"/>
              <w:rPr>
                <w:rFonts w:asciiTheme="majorHAnsi" w:eastAsia="Times New Roman" w:hAnsiTheme="majorHAnsi" w:cstheme="majorHAnsi"/>
                <w:color w:val="000000"/>
                <w:sz w:val="18"/>
                <w:szCs w:val="18"/>
                <w:lang w:eastAsia="en-AU"/>
              </w:rPr>
            </w:pPr>
            <w:r w:rsidRPr="00F05297">
              <w:rPr>
                <w:rFonts w:asciiTheme="majorHAnsi" w:eastAsia="Times New Roman" w:hAnsiTheme="majorHAnsi" w:cstheme="majorHAnsi"/>
                <w:color w:val="000000"/>
                <w:sz w:val="18"/>
                <w:szCs w:val="18"/>
                <w:lang w:eastAsia="en-AU"/>
              </w:rPr>
              <w:t>521</w:t>
            </w:r>
          </w:p>
        </w:tc>
        <w:tc>
          <w:tcPr>
            <w:tcW w:w="1701" w:type="dxa"/>
          </w:tcPr>
          <w:p w14:paraId="53400CCF" w14:textId="77777777" w:rsidR="003639AF" w:rsidRPr="00F05297" w:rsidRDefault="003639AF" w:rsidP="00907139">
            <w:pPr>
              <w:spacing w:after="0" w:line="240" w:lineRule="auto"/>
              <w:jc w:val="right"/>
              <w:rPr>
                <w:rFonts w:asciiTheme="majorHAnsi" w:hAnsiTheme="majorHAnsi" w:cstheme="majorHAnsi"/>
                <w:sz w:val="18"/>
                <w:szCs w:val="18"/>
              </w:rPr>
            </w:pPr>
            <w:r w:rsidRPr="00F05297">
              <w:rPr>
                <w:rFonts w:asciiTheme="majorHAnsi" w:hAnsiTheme="majorHAnsi" w:cstheme="majorHAnsi"/>
                <w:sz w:val="18"/>
                <w:szCs w:val="18"/>
              </w:rPr>
              <w:t>0.3%</w:t>
            </w:r>
          </w:p>
        </w:tc>
      </w:tr>
      <w:tr w:rsidR="00F31AED" w:rsidRPr="00927B61" w14:paraId="3085B1E1" w14:textId="77777777" w:rsidTr="00907139">
        <w:trPr>
          <w:trHeight w:val="397"/>
        </w:trPr>
        <w:tc>
          <w:tcPr>
            <w:tcW w:w="3126" w:type="dxa"/>
            <w:shd w:val="clear" w:color="auto" w:fill="auto"/>
            <w:noWrap/>
            <w:hideMark/>
          </w:tcPr>
          <w:p w14:paraId="1AC457B3"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 xml:space="preserve">Exhibition </w:t>
            </w:r>
            <w:proofErr w:type="spellStart"/>
            <w:r w:rsidRPr="00F05297">
              <w:rPr>
                <w:rFonts w:ascii="Calibri Light" w:eastAsia="Times New Roman" w:hAnsi="Calibri Light" w:cs="Calibri Light"/>
                <w:b/>
                <w:color w:val="000000"/>
                <w:sz w:val="18"/>
                <w:szCs w:val="18"/>
                <w:lang w:eastAsia="en-AU"/>
              </w:rPr>
              <w:t>curatorships</w:t>
            </w:r>
            <w:proofErr w:type="spellEnd"/>
          </w:p>
        </w:tc>
        <w:tc>
          <w:tcPr>
            <w:tcW w:w="1701" w:type="dxa"/>
            <w:shd w:val="clear" w:color="auto" w:fill="auto"/>
            <w:noWrap/>
          </w:tcPr>
          <w:p w14:paraId="79652B64" w14:textId="77777777" w:rsidR="003639AF" w:rsidRPr="00F05297" w:rsidRDefault="003639AF" w:rsidP="00907139">
            <w:pPr>
              <w:spacing w:after="0" w:line="240" w:lineRule="auto"/>
              <w:jc w:val="right"/>
              <w:rPr>
                <w:rFonts w:asciiTheme="majorHAnsi" w:eastAsia="Times New Roman" w:hAnsiTheme="majorHAnsi" w:cstheme="majorHAnsi"/>
                <w:color w:val="000000"/>
                <w:sz w:val="18"/>
                <w:szCs w:val="18"/>
                <w:lang w:eastAsia="en-AU"/>
              </w:rPr>
            </w:pPr>
            <w:r w:rsidRPr="00F05297">
              <w:rPr>
                <w:rFonts w:asciiTheme="majorHAnsi" w:eastAsia="Times New Roman" w:hAnsiTheme="majorHAnsi" w:cstheme="majorHAnsi"/>
                <w:color w:val="000000"/>
                <w:sz w:val="18"/>
                <w:szCs w:val="18"/>
                <w:lang w:eastAsia="en-AU"/>
              </w:rPr>
              <w:t>103</w:t>
            </w:r>
          </w:p>
        </w:tc>
        <w:tc>
          <w:tcPr>
            <w:tcW w:w="1701" w:type="dxa"/>
          </w:tcPr>
          <w:p w14:paraId="393E9277" w14:textId="77777777" w:rsidR="003639AF" w:rsidRPr="00F05297" w:rsidRDefault="003639AF" w:rsidP="00907139">
            <w:pPr>
              <w:spacing w:after="0" w:line="240" w:lineRule="auto"/>
              <w:jc w:val="right"/>
              <w:rPr>
                <w:rFonts w:asciiTheme="majorHAnsi" w:hAnsiTheme="majorHAnsi" w:cstheme="majorHAnsi"/>
                <w:sz w:val="18"/>
                <w:szCs w:val="18"/>
              </w:rPr>
            </w:pPr>
            <w:r w:rsidRPr="00F05297">
              <w:rPr>
                <w:rFonts w:asciiTheme="majorHAnsi" w:hAnsiTheme="majorHAnsi" w:cstheme="majorHAnsi"/>
                <w:sz w:val="18"/>
                <w:szCs w:val="18"/>
              </w:rPr>
              <w:t>0.1%</w:t>
            </w:r>
          </w:p>
        </w:tc>
      </w:tr>
      <w:tr w:rsidR="00F31AED" w:rsidRPr="00927B61" w14:paraId="69E5E0F8" w14:textId="77777777" w:rsidTr="00907139">
        <w:trPr>
          <w:trHeight w:val="397"/>
        </w:trPr>
        <w:tc>
          <w:tcPr>
            <w:tcW w:w="3126" w:type="dxa"/>
            <w:shd w:val="clear" w:color="auto" w:fill="auto"/>
            <w:noWrap/>
            <w:hideMark/>
          </w:tcPr>
          <w:p w14:paraId="1405C5A1" w14:textId="77777777" w:rsidR="003639AF" w:rsidRPr="00F05297" w:rsidRDefault="003639AF" w:rsidP="00907139">
            <w:pPr>
              <w:spacing w:after="0" w:line="240" w:lineRule="auto"/>
              <w:rPr>
                <w:rFonts w:ascii="Calibri Light" w:eastAsia="Times New Roman" w:hAnsi="Calibri Light" w:cs="Calibri Light"/>
                <w:b/>
                <w:color w:val="000000"/>
                <w:sz w:val="18"/>
                <w:szCs w:val="18"/>
                <w:lang w:eastAsia="en-AU"/>
              </w:rPr>
            </w:pPr>
            <w:r w:rsidRPr="00F05297">
              <w:rPr>
                <w:rFonts w:ascii="Calibri Light" w:eastAsia="Times New Roman" w:hAnsi="Calibri Light" w:cs="Calibri Light"/>
                <w:b/>
                <w:color w:val="000000"/>
                <w:sz w:val="18"/>
                <w:szCs w:val="18"/>
                <w:lang w:eastAsia="en-AU"/>
              </w:rPr>
              <w:t>Designs</w:t>
            </w:r>
          </w:p>
        </w:tc>
        <w:tc>
          <w:tcPr>
            <w:tcW w:w="1701" w:type="dxa"/>
            <w:shd w:val="clear" w:color="auto" w:fill="auto"/>
            <w:noWrap/>
          </w:tcPr>
          <w:p w14:paraId="3C7B7081" w14:textId="77777777" w:rsidR="003639AF" w:rsidRPr="00F05297" w:rsidRDefault="003639AF" w:rsidP="00907139">
            <w:pPr>
              <w:spacing w:after="0" w:line="240" w:lineRule="auto"/>
              <w:jc w:val="right"/>
              <w:rPr>
                <w:rFonts w:asciiTheme="majorHAnsi" w:eastAsia="Times New Roman" w:hAnsiTheme="majorHAnsi" w:cstheme="majorHAnsi"/>
                <w:color w:val="000000"/>
                <w:sz w:val="18"/>
                <w:szCs w:val="18"/>
                <w:lang w:eastAsia="en-AU"/>
              </w:rPr>
            </w:pPr>
            <w:r w:rsidRPr="00F05297">
              <w:rPr>
                <w:rFonts w:asciiTheme="majorHAnsi" w:eastAsia="Times New Roman" w:hAnsiTheme="majorHAnsi" w:cstheme="majorHAnsi"/>
                <w:color w:val="000000"/>
                <w:sz w:val="18"/>
                <w:szCs w:val="18"/>
                <w:lang w:eastAsia="en-AU"/>
              </w:rPr>
              <w:t>85</w:t>
            </w:r>
          </w:p>
        </w:tc>
        <w:tc>
          <w:tcPr>
            <w:tcW w:w="1701" w:type="dxa"/>
          </w:tcPr>
          <w:p w14:paraId="6697D57C" w14:textId="77777777" w:rsidR="003639AF" w:rsidRPr="00F05297" w:rsidRDefault="003639AF" w:rsidP="00907139">
            <w:pPr>
              <w:spacing w:after="0" w:line="240" w:lineRule="auto"/>
              <w:jc w:val="right"/>
              <w:rPr>
                <w:rFonts w:asciiTheme="majorHAnsi" w:hAnsiTheme="majorHAnsi" w:cstheme="majorHAnsi"/>
                <w:sz w:val="18"/>
                <w:szCs w:val="18"/>
              </w:rPr>
            </w:pPr>
            <w:r w:rsidRPr="00F05297">
              <w:rPr>
                <w:rFonts w:asciiTheme="majorHAnsi" w:hAnsiTheme="majorHAnsi" w:cstheme="majorHAnsi"/>
                <w:sz w:val="18"/>
                <w:szCs w:val="18"/>
              </w:rPr>
              <w:t>0.04%</w:t>
            </w:r>
          </w:p>
        </w:tc>
      </w:tr>
    </w:tbl>
    <w:p w14:paraId="32F46BA7" w14:textId="6CCC1A8B" w:rsidR="003639AF" w:rsidRPr="003A10A2" w:rsidRDefault="003639AF" w:rsidP="003639AF">
      <w:pPr>
        <w:spacing w:before="120"/>
        <w:rPr>
          <w:rFonts w:asciiTheme="majorHAnsi" w:hAnsiTheme="majorHAnsi" w:cstheme="majorHAnsi"/>
          <w:i/>
          <w:sz w:val="18"/>
          <w:szCs w:val="18"/>
        </w:rPr>
      </w:pPr>
      <w:r>
        <w:rPr>
          <w:rFonts w:asciiTheme="majorHAnsi" w:hAnsiTheme="majorHAnsi" w:cstheme="majorHAnsi"/>
          <w:sz w:val="18"/>
          <w:szCs w:val="18"/>
        </w:rPr>
        <w:t xml:space="preserve">Data source: ARC administrative data. </w:t>
      </w:r>
      <w:r>
        <w:rPr>
          <w:rFonts w:asciiTheme="majorHAnsi" w:hAnsiTheme="majorHAnsi" w:cstheme="majorHAnsi"/>
          <w:i/>
          <w:sz w:val="18"/>
          <w:szCs w:val="18"/>
        </w:rPr>
        <w:t xml:space="preserve">Note: Data from previous and current final report templates have been </w:t>
      </w:r>
      <w:proofErr w:type="spellStart"/>
      <w:r>
        <w:rPr>
          <w:rFonts w:asciiTheme="majorHAnsi" w:hAnsiTheme="majorHAnsi" w:cstheme="majorHAnsi"/>
          <w:i/>
          <w:sz w:val="18"/>
          <w:szCs w:val="18"/>
        </w:rPr>
        <w:t>recategorised</w:t>
      </w:r>
      <w:proofErr w:type="spellEnd"/>
      <w:r>
        <w:rPr>
          <w:rFonts w:asciiTheme="majorHAnsi" w:hAnsiTheme="majorHAnsi" w:cstheme="majorHAnsi"/>
          <w:i/>
          <w:sz w:val="18"/>
          <w:szCs w:val="18"/>
        </w:rPr>
        <w:t xml:space="preserve"> to allow for comparison.</w:t>
      </w:r>
      <w:r w:rsidR="00EC65A3">
        <w:rPr>
          <w:rFonts w:asciiTheme="majorHAnsi" w:hAnsiTheme="majorHAnsi" w:cstheme="majorHAnsi"/>
          <w:i/>
          <w:sz w:val="18"/>
          <w:szCs w:val="18"/>
        </w:rPr>
        <w:t xml:space="preserve"> Data on major reviews not collected after DP10.</w:t>
      </w:r>
    </w:p>
    <w:p w14:paraId="38E20D26" w14:textId="1156603D" w:rsidR="00DE3B65" w:rsidRDefault="003639AF" w:rsidP="003639AF">
      <w:pPr>
        <w:rPr>
          <w:rFonts w:asciiTheme="majorHAnsi" w:hAnsiTheme="majorHAnsi" w:cstheme="majorHAnsi"/>
        </w:rPr>
      </w:pPr>
      <w:r>
        <w:rPr>
          <w:rFonts w:asciiTheme="majorHAnsi" w:hAnsiTheme="majorHAnsi" w:cstheme="majorHAnsi"/>
        </w:rPr>
        <w:t xml:space="preserve">Overall, journal articles (98,059) and conference presentations (65,807) were the most common outputs arising from research funded under the Discovery Projects scheme from DP02 to DP14. </w:t>
      </w:r>
      <w:r w:rsidRPr="007809EB">
        <w:rPr>
          <w:rFonts w:asciiTheme="majorHAnsi" w:hAnsiTheme="majorHAnsi" w:cstheme="majorHAnsi"/>
        </w:rPr>
        <w:t>A</w:t>
      </w:r>
      <w:r w:rsidRPr="00F66DFE">
        <w:rPr>
          <w:rFonts w:asciiTheme="majorHAnsi" w:hAnsiTheme="majorHAnsi" w:cstheme="majorHAnsi"/>
        </w:rPr>
        <w:t> </w:t>
      </w:r>
      <w:r w:rsidRPr="0014560A">
        <w:rPr>
          <w:rFonts w:asciiTheme="majorHAnsi" w:hAnsiTheme="majorHAnsi" w:cstheme="majorHAnsi"/>
        </w:rPr>
        <w:t xml:space="preserve">substantial number of book chapters (14,889) and books (4372) were also identified. Over this period, the average number of journal articles produced per project remained relatively stable, at approximately 8.4–10.4 articles. However, the average number of all research outputs per completed project appears to have declined—most noticeably in relation to conference presentations. </w:t>
      </w:r>
    </w:p>
    <w:p w14:paraId="71E11C61" w14:textId="541D302C" w:rsidR="00DE3B65" w:rsidRDefault="000E5D15" w:rsidP="003639AF">
      <w:pPr>
        <w:rPr>
          <w:rFonts w:asciiTheme="majorHAnsi" w:hAnsiTheme="majorHAnsi" w:cstheme="majorHAnsi"/>
        </w:rPr>
      </w:pPr>
      <w:r>
        <w:rPr>
          <w:rFonts w:asciiTheme="majorHAnsi" w:hAnsiTheme="majorHAnsi" w:cstheme="majorHAnsi"/>
        </w:rPr>
        <w:t>When</w:t>
      </w:r>
      <w:r w:rsidR="00BD02FC">
        <w:rPr>
          <w:rFonts w:asciiTheme="majorHAnsi" w:hAnsiTheme="majorHAnsi" w:cstheme="majorHAnsi"/>
        </w:rPr>
        <w:t xml:space="preserve"> interpreting these </w:t>
      </w:r>
      <w:r>
        <w:rPr>
          <w:rFonts w:asciiTheme="majorHAnsi" w:hAnsiTheme="majorHAnsi" w:cstheme="majorHAnsi"/>
        </w:rPr>
        <w:t>findings</w:t>
      </w:r>
      <w:r w:rsidR="00BD02FC">
        <w:rPr>
          <w:rFonts w:asciiTheme="majorHAnsi" w:hAnsiTheme="majorHAnsi" w:cstheme="majorHAnsi"/>
        </w:rPr>
        <w:t xml:space="preserve">, </w:t>
      </w:r>
      <w:r w:rsidR="00AB2D96">
        <w:rPr>
          <w:rFonts w:asciiTheme="majorHAnsi" w:hAnsiTheme="majorHAnsi" w:cstheme="majorHAnsi"/>
        </w:rPr>
        <w:t>it</w:t>
      </w:r>
      <w:r w:rsidR="00AB2D96" w:rsidRPr="00E3247F">
        <w:rPr>
          <w:rFonts w:asciiTheme="majorHAnsi" w:hAnsiTheme="majorHAnsi" w:cstheme="majorHAnsi"/>
        </w:rPr>
        <w:t xml:space="preserve"> should</w:t>
      </w:r>
      <w:r w:rsidR="00AB2D96">
        <w:rPr>
          <w:rFonts w:asciiTheme="majorHAnsi" w:hAnsiTheme="majorHAnsi" w:cstheme="majorHAnsi"/>
        </w:rPr>
        <w:t xml:space="preserve"> </w:t>
      </w:r>
      <w:r w:rsidR="00AB2D96" w:rsidRPr="00E3247F">
        <w:rPr>
          <w:rFonts w:asciiTheme="majorHAnsi" w:hAnsiTheme="majorHAnsi" w:cstheme="majorHAnsi"/>
        </w:rPr>
        <w:t xml:space="preserve">be noted that final report data may be less complete </w:t>
      </w:r>
      <w:r w:rsidR="00AB2D96">
        <w:rPr>
          <w:rFonts w:asciiTheme="majorHAnsi" w:hAnsiTheme="majorHAnsi" w:cstheme="majorHAnsi"/>
        </w:rPr>
        <w:t>in</w:t>
      </w:r>
      <w:r w:rsidR="00AB2D96" w:rsidRPr="00E3247F">
        <w:rPr>
          <w:rFonts w:asciiTheme="majorHAnsi" w:hAnsiTheme="majorHAnsi" w:cstheme="majorHAnsi"/>
        </w:rPr>
        <w:t xml:space="preserve"> more recent funding rounds, rendering longitudinal comparison challenging</w:t>
      </w:r>
      <w:r w:rsidR="00AB2D96">
        <w:rPr>
          <w:rFonts w:asciiTheme="majorHAnsi" w:hAnsiTheme="majorHAnsi" w:cstheme="majorHAnsi"/>
        </w:rPr>
        <w:t>. I</w:t>
      </w:r>
      <w:r w:rsidR="00BD02FC">
        <w:rPr>
          <w:rFonts w:asciiTheme="majorHAnsi" w:hAnsiTheme="majorHAnsi" w:cstheme="majorHAnsi"/>
        </w:rPr>
        <w:t>t is</w:t>
      </w:r>
      <w:r w:rsidR="00AB2D96">
        <w:rPr>
          <w:rFonts w:asciiTheme="majorHAnsi" w:hAnsiTheme="majorHAnsi" w:cstheme="majorHAnsi"/>
        </w:rPr>
        <w:t xml:space="preserve"> also</w:t>
      </w:r>
      <w:r w:rsidR="00BD02FC">
        <w:rPr>
          <w:rFonts w:asciiTheme="majorHAnsi" w:hAnsiTheme="majorHAnsi" w:cstheme="majorHAnsi"/>
        </w:rPr>
        <w:t xml:space="preserve"> </w:t>
      </w:r>
      <w:r w:rsidR="00E3247F" w:rsidRPr="00E3247F">
        <w:rPr>
          <w:rFonts w:asciiTheme="majorHAnsi" w:hAnsiTheme="majorHAnsi" w:cstheme="majorHAnsi"/>
        </w:rPr>
        <w:t xml:space="preserve">important to </w:t>
      </w:r>
      <w:r w:rsidR="00BD02FC">
        <w:rPr>
          <w:rFonts w:asciiTheme="majorHAnsi" w:hAnsiTheme="majorHAnsi" w:cstheme="majorHAnsi"/>
        </w:rPr>
        <w:t>acknowledge</w:t>
      </w:r>
      <w:r w:rsidR="00E3247F" w:rsidRPr="00E3247F">
        <w:rPr>
          <w:rFonts w:asciiTheme="majorHAnsi" w:hAnsiTheme="majorHAnsi" w:cstheme="majorHAnsi"/>
        </w:rPr>
        <w:t xml:space="preserve"> </w:t>
      </w:r>
      <w:r w:rsidR="00074711">
        <w:rPr>
          <w:rFonts w:asciiTheme="majorHAnsi" w:hAnsiTheme="majorHAnsi" w:cstheme="majorHAnsi"/>
        </w:rPr>
        <w:t xml:space="preserve">that </w:t>
      </w:r>
      <w:r w:rsidR="00E21D5E">
        <w:rPr>
          <w:rFonts w:asciiTheme="majorHAnsi" w:hAnsiTheme="majorHAnsi" w:cstheme="majorHAnsi"/>
        </w:rPr>
        <w:t>common</w:t>
      </w:r>
      <w:r w:rsidR="00AE25C5">
        <w:rPr>
          <w:rFonts w:asciiTheme="majorHAnsi" w:hAnsiTheme="majorHAnsi" w:cstheme="majorHAnsi"/>
        </w:rPr>
        <w:t xml:space="preserve"> </w:t>
      </w:r>
      <w:r>
        <w:rPr>
          <w:rFonts w:asciiTheme="majorHAnsi" w:hAnsiTheme="majorHAnsi" w:cstheme="majorHAnsi"/>
        </w:rPr>
        <w:t xml:space="preserve">research </w:t>
      </w:r>
      <w:r w:rsidR="00DF584E">
        <w:rPr>
          <w:rFonts w:asciiTheme="majorHAnsi" w:hAnsiTheme="majorHAnsi" w:cstheme="majorHAnsi"/>
        </w:rPr>
        <w:t>output</w:t>
      </w:r>
      <w:r w:rsidR="00E3247F" w:rsidRPr="00E3247F">
        <w:rPr>
          <w:rFonts w:asciiTheme="majorHAnsi" w:hAnsiTheme="majorHAnsi" w:cstheme="majorHAnsi"/>
        </w:rPr>
        <w:t xml:space="preserve"> </w:t>
      </w:r>
      <w:r>
        <w:rPr>
          <w:rFonts w:asciiTheme="majorHAnsi" w:hAnsiTheme="majorHAnsi" w:cstheme="majorHAnsi"/>
        </w:rPr>
        <w:t>type</w:t>
      </w:r>
      <w:r w:rsidR="00AE25C5">
        <w:rPr>
          <w:rFonts w:asciiTheme="majorHAnsi" w:hAnsiTheme="majorHAnsi" w:cstheme="majorHAnsi"/>
        </w:rPr>
        <w:t>s</w:t>
      </w:r>
      <w:r w:rsidR="00A249A0">
        <w:rPr>
          <w:rFonts w:asciiTheme="majorHAnsi" w:hAnsiTheme="majorHAnsi" w:cstheme="majorHAnsi"/>
        </w:rPr>
        <w:t xml:space="preserve"> </w:t>
      </w:r>
      <w:r w:rsidR="001045CA">
        <w:rPr>
          <w:rFonts w:asciiTheme="majorHAnsi" w:hAnsiTheme="majorHAnsi" w:cstheme="majorHAnsi"/>
        </w:rPr>
        <w:t xml:space="preserve">vary between disciplines, and </w:t>
      </w:r>
      <w:r w:rsidR="002B4D0E">
        <w:rPr>
          <w:rFonts w:asciiTheme="majorHAnsi" w:hAnsiTheme="majorHAnsi" w:cstheme="majorHAnsi"/>
        </w:rPr>
        <w:t xml:space="preserve">may </w:t>
      </w:r>
      <w:r w:rsidR="00F51036">
        <w:rPr>
          <w:rFonts w:asciiTheme="majorHAnsi" w:hAnsiTheme="majorHAnsi" w:cstheme="majorHAnsi"/>
        </w:rPr>
        <w:t>change over time</w:t>
      </w:r>
      <w:r w:rsidR="00E3247F" w:rsidRPr="00E3247F">
        <w:rPr>
          <w:rFonts w:asciiTheme="majorHAnsi" w:hAnsiTheme="majorHAnsi" w:cstheme="majorHAnsi"/>
        </w:rPr>
        <w:t>.</w:t>
      </w:r>
      <w:r w:rsidR="00DD4971">
        <w:rPr>
          <w:rFonts w:asciiTheme="majorHAnsi" w:hAnsiTheme="majorHAnsi" w:cstheme="majorHAnsi"/>
        </w:rPr>
        <w:t xml:space="preserve"> For instance</w:t>
      </w:r>
      <w:r w:rsidR="009A51C1">
        <w:rPr>
          <w:rFonts w:asciiTheme="majorHAnsi" w:hAnsiTheme="majorHAnsi" w:cstheme="majorHAnsi"/>
        </w:rPr>
        <w:t>,</w:t>
      </w:r>
      <w:r w:rsidR="00E3247F" w:rsidRPr="00E3247F">
        <w:rPr>
          <w:rFonts w:asciiTheme="majorHAnsi" w:hAnsiTheme="majorHAnsi" w:cstheme="majorHAnsi"/>
        </w:rPr>
        <w:t xml:space="preserve"> conference papers were</w:t>
      </w:r>
      <w:r w:rsidR="00DD4971">
        <w:rPr>
          <w:rFonts w:asciiTheme="majorHAnsi" w:hAnsiTheme="majorHAnsi" w:cstheme="majorHAnsi"/>
        </w:rPr>
        <w:t xml:space="preserve"> historically</w:t>
      </w:r>
      <w:r w:rsidR="00E3247F" w:rsidRPr="00E3247F">
        <w:rPr>
          <w:rFonts w:asciiTheme="majorHAnsi" w:hAnsiTheme="majorHAnsi" w:cstheme="majorHAnsi"/>
        </w:rPr>
        <w:t xml:space="preserve"> a commonly accepted means of communication for researchers</w:t>
      </w:r>
      <w:r w:rsidR="00CE6DB9">
        <w:rPr>
          <w:rFonts w:asciiTheme="majorHAnsi" w:hAnsiTheme="majorHAnsi" w:cstheme="majorHAnsi"/>
        </w:rPr>
        <w:t xml:space="preserve"> within certain disciplines (</w:t>
      </w:r>
      <w:r w:rsidR="001C7730">
        <w:rPr>
          <w:rFonts w:asciiTheme="majorHAnsi" w:hAnsiTheme="majorHAnsi" w:cstheme="majorHAnsi"/>
        </w:rPr>
        <w:t>for example,</w:t>
      </w:r>
      <w:r w:rsidR="00CE6DB9">
        <w:rPr>
          <w:rFonts w:asciiTheme="majorHAnsi" w:hAnsiTheme="majorHAnsi" w:cstheme="majorHAnsi"/>
        </w:rPr>
        <w:t xml:space="preserve"> engineering)</w:t>
      </w:r>
      <w:r w:rsidR="00E3247F" w:rsidRPr="00E3247F">
        <w:rPr>
          <w:rFonts w:asciiTheme="majorHAnsi" w:hAnsiTheme="majorHAnsi" w:cstheme="majorHAnsi"/>
        </w:rPr>
        <w:t xml:space="preserve">. </w:t>
      </w:r>
      <w:r w:rsidR="00951AD0">
        <w:rPr>
          <w:rFonts w:asciiTheme="majorHAnsi" w:hAnsiTheme="majorHAnsi" w:cstheme="majorHAnsi"/>
        </w:rPr>
        <w:t>T</w:t>
      </w:r>
      <w:r w:rsidR="003768D4">
        <w:rPr>
          <w:rFonts w:asciiTheme="majorHAnsi" w:hAnsiTheme="majorHAnsi" w:cstheme="majorHAnsi"/>
        </w:rPr>
        <w:t xml:space="preserve">his </w:t>
      </w:r>
      <w:r w:rsidR="009B1888">
        <w:rPr>
          <w:rFonts w:asciiTheme="majorHAnsi" w:hAnsiTheme="majorHAnsi" w:cstheme="majorHAnsi"/>
        </w:rPr>
        <w:t>appears to</w:t>
      </w:r>
      <w:r w:rsidR="00E3247F" w:rsidRPr="00E3247F">
        <w:rPr>
          <w:rFonts w:asciiTheme="majorHAnsi" w:hAnsiTheme="majorHAnsi" w:cstheme="majorHAnsi"/>
        </w:rPr>
        <w:t xml:space="preserve"> be changing over time</w:t>
      </w:r>
      <w:r w:rsidR="00214750">
        <w:rPr>
          <w:rFonts w:asciiTheme="majorHAnsi" w:hAnsiTheme="majorHAnsi" w:cstheme="majorHAnsi"/>
        </w:rPr>
        <w:t xml:space="preserve">, with </w:t>
      </w:r>
      <w:r w:rsidR="00652B16">
        <w:rPr>
          <w:rFonts w:asciiTheme="majorHAnsi" w:hAnsiTheme="majorHAnsi" w:cstheme="majorHAnsi"/>
        </w:rPr>
        <w:t xml:space="preserve">a growing focus on </w:t>
      </w:r>
      <w:r w:rsidR="004127FE">
        <w:rPr>
          <w:rFonts w:asciiTheme="majorHAnsi" w:hAnsiTheme="majorHAnsi" w:cstheme="majorHAnsi"/>
        </w:rPr>
        <w:t>other</w:t>
      </w:r>
      <w:r w:rsidR="00214750">
        <w:rPr>
          <w:rFonts w:asciiTheme="majorHAnsi" w:hAnsiTheme="majorHAnsi" w:cstheme="majorHAnsi"/>
        </w:rPr>
        <w:t xml:space="preserve"> research output</w:t>
      </w:r>
      <w:r w:rsidR="004127FE">
        <w:rPr>
          <w:rFonts w:asciiTheme="majorHAnsi" w:hAnsiTheme="majorHAnsi" w:cstheme="majorHAnsi"/>
        </w:rPr>
        <w:t xml:space="preserve"> </w:t>
      </w:r>
      <w:r w:rsidR="007E01A8">
        <w:rPr>
          <w:rFonts w:asciiTheme="majorHAnsi" w:hAnsiTheme="majorHAnsi" w:cstheme="majorHAnsi"/>
        </w:rPr>
        <w:t>types</w:t>
      </w:r>
      <w:r w:rsidR="00951AD0" w:rsidRPr="00E3247F">
        <w:rPr>
          <w:rFonts w:asciiTheme="majorHAnsi" w:hAnsiTheme="majorHAnsi" w:cstheme="majorHAnsi"/>
        </w:rPr>
        <w:t xml:space="preserve">. </w:t>
      </w:r>
      <w:r w:rsidR="00E3247F" w:rsidRPr="00E3247F">
        <w:rPr>
          <w:rFonts w:asciiTheme="majorHAnsi" w:hAnsiTheme="majorHAnsi" w:cstheme="majorHAnsi"/>
        </w:rPr>
        <w:t xml:space="preserve">The decline in average </w:t>
      </w:r>
      <w:r w:rsidR="00015ED7">
        <w:rPr>
          <w:rFonts w:asciiTheme="majorHAnsi" w:hAnsiTheme="majorHAnsi" w:cstheme="majorHAnsi"/>
        </w:rPr>
        <w:t>research output</w:t>
      </w:r>
      <w:r w:rsidR="00015ED7" w:rsidRPr="00E3247F">
        <w:rPr>
          <w:rFonts w:asciiTheme="majorHAnsi" w:hAnsiTheme="majorHAnsi" w:cstheme="majorHAnsi"/>
        </w:rPr>
        <w:t xml:space="preserve"> </w:t>
      </w:r>
      <w:r w:rsidR="00E3247F" w:rsidRPr="00E3247F">
        <w:rPr>
          <w:rFonts w:asciiTheme="majorHAnsi" w:hAnsiTheme="majorHAnsi" w:cstheme="majorHAnsi"/>
        </w:rPr>
        <w:t xml:space="preserve">numbers may, as such, reflect broader changes in researcher behaviour, rather than the effectiveness of the Discovery Projects scheme. </w:t>
      </w:r>
      <w:r w:rsidR="00EC6DB6">
        <w:rPr>
          <w:rFonts w:asciiTheme="majorHAnsi" w:hAnsiTheme="majorHAnsi" w:cstheme="majorHAnsi"/>
        </w:rPr>
        <w:t>Further, t</w:t>
      </w:r>
      <w:r w:rsidR="00E3247F" w:rsidRPr="00E3247F">
        <w:rPr>
          <w:rFonts w:asciiTheme="majorHAnsi" w:hAnsiTheme="majorHAnsi" w:cstheme="majorHAnsi"/>
        </w:rPr>
        <w:t>he introduction of ERA has seen a significant increase in the quality of research conducted in Australian universities</w:t>
      </w:r>
      <w:r w:rsidR="008A3EFB">
        <w:rPr>
          <w:rFonts w:asciiTheme="majorHAnsi" w:hAnsiTheme="majorHAnsi" w:cstheme="majorHAnsi"/>
        </w:rPr>
        <w:t>.</w:t>
      </w:r>
      <w:r w:rsidR="006F6B28">
        <w:rPr>
          <w:rStyle w:val="FootnoteReference"/>
          <w:rFonts w:asciiTheme="majorHAnsi" w:hAnsiTheme="majorHAnsi" w:cstheme="majorHAnsi"/>
        </w:rPr>
        <w:footnoteReference w:id="66"/>
      </w:r>
      <w:r w:rsidR="006E1666">
        <w:rPr>
          <w:rFonts w:asciiTheme="majorHAnsi" w:hAnsiTheme="majorHAnsi" w:cstheme="majorHAnsi"/>
        </w:rPr>
        <w:t xml:space="preserve"> </w:t>
      </w:r>
      <w:r w:rsidR="009D3EFE">
        <w:rPr>
          <w:rFonts w:asciiTheme="majorHAnsi" w:hAnsiTheme="majorHAnsi" w:cstheme="majorHAnsi"/>
        </w:rPr>
        <w:t>ERA</w:t>
      </w:r>
      <w:r w:rsidR="001C5F0C">
        <w:rPr>
          <w:rFonts w:asciiTheme="majorHAnsi" w:hAnsiTheme="majorHAnsi" w:cstheme="majorHAnsi"/>
        </w:rPr>
        <w:t xml:space="preserve"> </w:t>
      </w:r>
      <w:r w:rsidR="00112B7B">
        <w:rPr>
          <w:rFonts w:asciiTheme="majorHAnsi" w:hAnsiTheme="majorHAnsi" w:cstheme="majorHAnsi"/>
        </w:rPr>
        <w:t xml:space="preserve">processes </w:t>
      </w:r>
      <w:r w:rsidR="006C23F7">
        <w:rPr>
          <w:rFonts w:asciiTheme="majorHAnsi" w:hAnsiTheme="majorHAnsi" w:cstheme="majorHAnsi"/>
        </w:rPr>
        <w:t>emphasise that universit</w:t>
      </w:r>
      <w:r w:rsidR="00A24EE0">
        <w:rPr>
          <w:rFonts w:asciiTheme="majorHAnsi" w:hAnsiTheme="majorHAnsi" w:cstheme="majorHAnsi"/>
        </w:rPr>
        <w:t>i</w:t>
      </w:r>
      <w:r w:rsidR="006C23F7">
        <w:rPr>
          <w:rFonts w:asciiTheme="majorHAnsi" w:hAnsiTheme="majorHAnsi" w:cstheme="majorHAnsi"/>
        </w:rPr>
        <w:t xml:space="preserve">es should focus on the </w:t>
      </w:r>
      <w:r w:rsidR="00E20487">
        <w:rPr>
          <w:rFonts w:asciiTheme="majorHAnsi" w:hAnsiTheme="majorHAnsi" w:cstheme="majorHAnsi"/>
        </w:rPr>
        <w:t>quality</w:t>
      </w:r>
      <w:r w:rsidR="006C23F7">
        <w:rPr>
          <w:rFonts w:asciiTheme="majorHAnsi" w:hAnsiTheme="majorHAnsi" w:cstheme="majorHAnsi"/>
        </w:rPr>
        <w:t xml:space="preserve"> </w:t>
      </w:r>
      <w:r w:rsidR="00E20487">
        <w:rPr>
          <w:rFonts w:asciiTheme="majorHAnsi" w:hAnsiTheme="majorHAnsi" w:cstheme="majorHAnsi"/>
        </w:rPr>
        <w:t xml:space="preserve">of research outputs </w:t>
      </w:r>
      <w:r w:rsidR="00180822">
        <w:rPr>
          <w:rFonts w:asciiTheme="majorHAnsi" w:hAnsiTheme="majorHAnsi" w:cstheme="majorHAnsi"/>
        </w:rPr>
        <w:t>reported. A</w:t>
      </w:r>
      <w:r w:rsidR="006E1666">
        <w:rPr>
          <w:rFonts w:asciiTheme="majorHAnsi" w:hAnsiTheme="majorHAnsi" w:cstheme="majorHAnsi"/>
        </w:rPr>
        <w:t>long with</w:t>
      </w:r>
      <w:r w:rsidR="00C262B4">
        <w:rPr>
          <w:rFonts w:asciiTheme="majorHAnsi" w:hAnsiTheme="majorHAnsi" w:cstheme="majorHAnsi"/>
        </w:rPr>
        <w:t xml:space="preserve"> </w:t>
      </w:r>
      <w:r w:rsidR="000078AE">
        <w:rPr>
          <w:rFonts w:asciiTheme="majorHAnsi" w:hAnsiTheme="majorHAnsi" w:cstheme="majorHAnsi"/>
        </w:rPr>
        <w:t>the removal of research publications data from</w:t>
      </w:r>
      <w:r w:rsidR="00C262B4">
        <w:rPr>
          <w:rFonts w:asciiTheme="majorHAnsi" w:hAnsiTheme="majorHAnsi" w:cstheme="majorHAnsi"/>
        </w:rPr>
        <w:t xml:space="preserve"> </w:t>
      </w:r>
      <w:r w:rsidR="00E3247F" w:rsidRPr="00E3247F">
        <w:rPr>
          <w:rFonts w:asciiTheme="majorHAnsi" w:hAnsiTheme="majorHAnsi" w:cstheme="majorHAnsi"/>
        </w:rPr>
        <w:t>the</w:t>
      </w:r>
      <w:r w:rsidR="00C262B4">
        <w:rPr>
          <w:rFonts w:asciiTheme="majorHAnsi" w:hAnsiTheme="majorHAnsi" w:cstheme="majorHAnsi"/>
        </w:rPr>
        <w:t xml:space="preserve"> </w:t>
      </w:r>
      <w:r w:rsidR="00D107E5">
        <w:rPr>
          <w:rFonts w:asciiTheme="majorHAnsi" w:hAnsiTheme="majorHAnsi" w:cstheme="majorHAnsi"/>
        </w:rPr>
        <w:t>Higher Education Research Data Collection (HERDC)</w:t>
      </w:r>
      <w:r w:rsidR="00C626BF">
        <w:rPr>
          <w:rFonts w:asciiTheme="majorHAnsi" w:hAnsiTheme="majorHAnsi" w:cstheme="majorHAnsi"/>
        </w:rPr>
        <w:t xml:space="preserve"> in 2016</w:t>
      </w:r>
      <w:r w:rsidR="00D107E5">
        <w:rPr>
          <w:rFonts w:asciiTheme="majorHAnsi" w:hAnsiTheme="majorHAnsi" w:cstheme="majorHAnsi"/>
        </w:rPr>
        <w:t>,</w:t>
      </w:r>
      <w:r w:rsidR="000078AE">
        <w:rPr>
          <w:rStyle w:val="FootnoteReference"/>
          <w:rFonts w:asciiTheme="majorHAnsi" w:hAnsiTheme="majorHAnsi" w:cstheme="majorHAnsi"/>
        </w:rPr>
        <w:footnoteReference w:id="67"/>
      </w:r>
      <w:r w:rsidR="00E3247F" w:rsidRPr="00E3247F">
        <w:rPr>
          <w:rFonts w:asciiTheme="majorHAnsi" w:hAnsiTheme="majorHAnsi" w:cstheme="majorHAnsi"/>
        </w:rPr>
        <w:t xml:space="preserve"> </w:t>
      </w:r>
      <w:r w:rsidR="00180822">
        <w:rPr>
          <w:rFonts w:asciiTheme="majorHAnsi" w:hAnsiTheme="majorHAnsi" w:cstheme="majorHAnsi"/>
        </w:rPr>
        <w:t>th</w:t>
      </w:r>
      <w:r w:rsidR="00D852A7">
        <w:rPr>
          <w:rFonts w:asciiTheme="majorHAnsi" w:hAnsiTheme="majorHAnsi" w:cstheme="majorHAnsi"/>
        </w:rPr>
        <w:t>is</w:t>
      </w:r>
      <w:r w:rsidR="00180822">
        <w:rPr>
          <w:rFonts w:asciiTheme="majorHAnsi" w:hAnsiTheme="majorHAnsi" w:cstheme="majorHAnsi"/>
        </w:rPr>
        <w:t xml:space="preserve"> </w:t>
      </w:r>
      <w:r w:rsidR="00B92394">
        <w:rPr>
          <w:rFonts w:asciiTheme="majorHAnsi" w:hAnsiTheme="majorHAnsi" w:cstheme="majorHAnsi"/>
        </w:rPr>
        <w:t>ha</w:t>
      </w:r>
      <w:r w:rsidR="00391E5A">
        <w:rPr>
          <w:rFonts w:asciiTheme="majorHAnsi" w:hAnsiTheme="majorHAnsi" w:cstheme="majorHAnsi"/>
        </w:rPr>
        <w:t>s</w:t>
      </w:r>
      <w:r w:rsidR="00B92394">
        <w:rPr>
          <w:rFonts w:asciiTheme="majorHAnsi" w:hAnsiTheme="majorHAnsi" w:cstheme="majorHAnsi"/>
        </w:rPr>
        <w:t xml:space="preserve"> </w:t>
      </w:r>
      <w:r w:rsidR="00D852A7">
        <w:rPr>
          <w:rFonts w:asciiTheme="majorHAnsi" w:hAnsiTheme="majorHAnsi" w:cstheme="majorHAnsi"/>
        </w:rPr>
        <w:t xml:space="preserve">somewhat </w:t>
      </w:r>
      <w:r w:rsidR="00B5570B">
        <w:rPr>
          <w:rFonts w:asciiTheme="majorHAnsi" w:hAnsiTheme="majorHAnsi" w:cstheme="majorHAnsi"/>
        </w:rPr>
        <w:t>shifted the focus away from r</w:t>
      </w:r>
      <w:r w:rsidR="001C6180">
        <w:rPr>
          <w:rFonts w:asciiTheme="majorHAnsi" w:hAnsiTheme="majorHAnsi" w:cstheme="majorHAnsi"/>
        </w:rPr>
        <w:t>esearch output</w:t>
      </w:r>
      <w:r w:rsidR="000C3497">
        <w:rPr>
          <w:rFonts w:asciiTheme="majorHAnsi" w:hAnsiTheme="majorHAnsi" w:cstheme="majorHAnsi"/>
        </w:rPr>
        <w:t xml:space="preserve"> </w:t>
      </w:r>
      <w:r w:rsidR="00B92394">
        <w:rPr>
          <w:rFonts w:asciiTheme="majorHAnsi" w:hAnsiTheme="majorHAnsi" w:cstheme="majorHAnsi"/>
        </w:rPr>
        <w:t>quantity</w:t>
      </w:r>
      <w:r w:rsidR="006E1666">
        <w:rPr>
          <w:rFonts w:asciiTheme="majorHAnsi" w:hAnsiTheme="majorHAnsi" w:cstheme="majorHAnsi"/>
        </w:rPr>
        <w:t>.</w:t>
      </w:r>
    </w:p>
    <w:p w14:paraId="5E241143" w14:textId="6F27C878" w:rsidR="003A0219" w:rsidRPr="003A0219" w:rsidRDefault="003639AF" w:rsidP="003A0219">
      <w:pPr>
        <w:spacing w:before="120"/>
        <w:rPr>
          <w:rFonts w:asciiTheme="majorHAnsi" w:hAnsiTheme="majorHAnsi" w:cstheme="majorHAnsi"/>
        </w:rPr>
      </w:pPr>
      <w:r>
        <w:rPr>
          <w:rFonts w:asciiTheme="majorHAnsi" w:hAnsiTheme="majorHAnsi" w:cstheme="majorHAnsi"/>
        </w:rPr>
        <w:lastRenderedPageBreak/>
        <w:t>Using project output quantities to assess the effectiveness of Discovery Projects in expanding Australia’s knowledge base is a limited methodology. The categories used</w:t>
      </w:r>
      <w:r w:rsidRPr="00AD5C0B">
        <w:rPr>
          <w:rFonts w:asciiTheme="majorHAnsi" w:hAnsiTheme="majorHAnsi" w:cstheme="majorHAnsi"/>
        </w:rPr>
        <w:t xml:space="preserve"> in </w:t>
      </w:r>
      <w:r w:rsidRPr="00AD5C0B">
        <w:rPr>
          <w:rFonts w:asciiTheme="majorHAnsi" w:hAnsiTheme="majorHAnsi" w:cstheme="majorHAnsi"/>
          <w:highlight w:val="yellow"/>
        </w:rPr>
        <w:fldChar w:fldCharType="begin"/>
      </w:r>
      <w:r w:rsidRPr="00114C74">
        <w:rPr>
          <w:rFonts w:asciiTheme="majorHAnsi" w:hAnsiTheme="majorHAnsi" w:cstheme="majorHAnsi"/>
        </w:rPr>
        <w:instrText xml:space="preserve"> REF _Ref45537573 \h </w:instrText>
      </w:r>
      <w:r w:rsidRPr="00C43EA4">
        <w:rPr>
          <w:rFonts w:asciiTheme="majorHAnsi" w:hAnsiTheme="majorHAnsi" w:cstheme="majorHAnsi"/>
          <w:highlight w:val="yellow"/>
        </w:rPr>
        <w:instrText xml:space="preserve"> \* MERGEFORMAT </w:instrText>
      </w:r>
      <w:r w:rsidRPr="00AD5C0B">
        <w:rPr>
          <w:rFonts w:asciiTheme="majorHAnsi" w:hAnsiTheme="majorHAnsi" w:cstheme="majorHAnsi"/>
          <w:highlight w:val="yellow"/>
        </w:rPr>
      </w:r>
      <w:r w:rsidRPr="00AD5C0B">
        <w:rPr>
          <w:rFonts w:asciiTheme="majorHAnsi" w:hAnsiTheme="majorHAnsi" w:cstheme="majorHAnsi"/>
          <w:highlight w:val="yellow"/>
        </w:rPr>
        <w:fldChar w:fldCharType="separate"/>
      </w:r>
      <w:r w:rsidR="00AB03D7" w:rsidRPr="00AB03D7">
        <w:rPr>
          <w:rFonts w:asciiTheme="majorHAnsi" w:hAnsiTheme="majorHAnsi" w:cstheme="majorHAnsi"/>
          <w:color w:val="000000" w:themeColor="text1"/>
        </w:rPr>
        <w:t xml:space="preserve">Table </w:t>
      </w:r>
      <w:r w:rsidR="00AB03D7" w:rsidRPr="00AB03D7">
        <w:rPr>
          <w:rFonts w:asciiTheme="majorHAnsi" w:hAnsiTheme="majorHAnsi" w:cstheme="majorHAnsi"/>
          <w:noProof/>
          <w:color w:val="000000" w:themeColor="text1"/>
        </w:rPr>
        <w:t>5</w:t>
      </w:r>
      <w:r w:rsidRPr="00AD5C0B">
        <w:rPr>
          <w:rFonts w:asciiTheme="majorHAnsi" w:hAnsiTheme="majorHAnsi" w:cstheme="majorHAnsi"/>
          <w:highlight w:val="yellow"/>
        </w:rPr>
        <w:fldChar w:fldCharType="end"/>
      </w:r>
      <w:r w:rsidDel="00487444">
        <w:rPr>
          <w:rFonts w:asciiTheme="majorHAnsi" w:hAnsiTheme="majorHAnsi" w:cstheme="majorHAnsi"/>
        </w:rPr>
        <w:t xml:space="preserve"> </w:t>
      </w:r>
      <w:r>
        <w:rPr>
          <w:rFonts w:asciiTheme="majorHAnsi" w:hAnsiTheme="majorHAnsi" w:cstheme="majorHAnsi"/>
        </w:rPr>
        <w:t xml:space="preserve">include research outputs of differing scale, quality and impact, which cannot be assessed meaningfully on the basis of a quantitative </w:t>
      </w:r>
      <w:r w:rsidRPr="002A3268">
        <w:rPr>
          <w:rFonts w:asciiTheme="majorHAnsi" w:hAnsiTheme="majorHAnsi" w:cstheme="majorHAnsi"/>
        </w:rPr>
        <w:t xml:space="preserve">count. </w:t>
      </w:r>
      <w:r w:rsidR="00DD4EB8">
        <w:rPr>
          <w:rFonts w:asciiTheme="majorHAnsi" w:hAnsiTheme="majorHAnsi" w:cstheme="majorHAnsi"/>
        </w:rPr>
        <w:t>Nonetheless</w:t>
      </w:r>
      <w:r>
        <w:rPr>
          <w:rFonts w:asciiTheme="majorHAnsi" w:hAnsiTheme="majorHAnsi" w:cstheme="majorHAnsi"/>
        </w:rPr>
        <w:t xml:space="preserve">, the numbers </w:t>
      </w:r>
      <w:r w:rsidR="0068050F">
        <w:rPr>
          <w:rFonts w:asciiTheme="majorHAnsi" w:hAnsiTheme="majorHAnsi" w:cstheme="majorHAnsi"/>
        </w:rPr>
        <w:t xml:space="preserve">indicate </w:t>
      </w:r>
      <w:r>
        <w:rPr>
          <w:rFonts w:asciiTheme="majorHAnsi" w:hAnsiTheme="majorHAnsi" w:cstheme="majorHAnsi"/>
        </w:rPr>
        <w:t xml:space="preserve">the sizeable scale and diversity of the research outputs supported </w:t>
      </w:r>
      <w:r w:rsidR="00E17A81">
        <w:rPr>
          <w:rFonts w:asciiTheme="majorHAnsi" w:hAnsiTheme="majorHAnsi" w:cstheme="majorHAnsi"/>
        </w:rPr>
        <w:t xml:space="preserve">by </w:t>
      </w:r>
      <w:r w:rsidR="00970F6F">
        <w:rPr>
          <w:rFonts w:asciiTheme="majorHAnsi" w:hAnsiTheme="majorHAnsi" w:cstheme="majorHAnsi"/>
        </w:rPr>
        <w:t>Discovery Projects</w:t>
      </w:r>
      <w:r>
        <w:rPr>
          <w:rFonts w:asciiTheme="majorHAnsi" w:hAnsiTheme="majorHAnsi" w:cstheme="majorHAnsi"/>
        </w:rPr>
        <w:t>.</w:t>
      </w:r>
    </w:p>
    <w:p w14:paraId="3D9530A8" w14:textId="5BC7045E" w:rsidR="00B86529" w:rsidRPr="00B24BF8" w:rsidRDefault="0074699B" w:rsidP="007057E6">
      <w:pPr>
        <w:rPr>
          <w:rFonts w:asciiTheme="majorHAnsi" w:hAnsiTheme="majorHAnsi" w:cstheme="majorHAnsi"/>
        </w:rPr>
      </w:pPr>
      <w:r>
        <w:rPr>
          <w:rFonts w:asciiTheme="majorHAnsi" w:hAnsiTheme="majorHAnsi" w:cstheme="majorHAnsi"/>
        </w:rPr>
        <w:t>A</w:t>
      </w:r>
      <w:r w:rsidR="00B86529" w:rsidRPr="00B24BF8">
        <w:rPr>
          <w:rFonts w:asciiTheme="majorHAnsi" w:hAnsiTheme="majorHAnsi" w:cstheme="majorHAnsi"/>
        </w:rPr>
        <w:t xml:space="preserve">nalysis of approved Discovery Projects final reports </w:t>
      </w:r>
      <w:r w:rsidR="00BC1DCF" w:rsidRPr="00B24BF8">
        <w:rPr>
          <w:rFonts w:asciiTheme="majorHAnsi" w:hAnsiTheme="majorHAnsi" w:cstheme="majorHAnsi"/>
        </w:rPr>
        <w:t xml:space="preserve">submitted </w:t>
      </w:r>
      <w:r w:rsidR="003C093D" w:rsidRPr="00B24BF8">
        <w:rPr>
          <w:rFonts w:asciiTheme="majorHAnsi" w:hAnsiTheme="majorHAnsi" w:cstheme="majorHAnsi"/>
        </w:rPr>
        <w:t>between</w:t>
      </w:r>
      <w:r w:rsidR="00BC1DCF" w:rsidRPr="00B24BF8">
        <w:rPr>
          <w:rFonts w:asciiTheme="majorHAnsi" w:hAnsiTheme="majorHAnsi" w:cstheme="majorHAnsi"/>
        </w:rPr>
        <w:t xml:space="preserve"> November 2017 and February 2020 </w:t>
      </w:r>
      <w:r w:rsidR="00072753" w:rsidRPr="00B24BF8">
        <w:rPr>
          <w:rFonts w:asciiTheme="majorHAnsi" w:hAnsiTheme="majorHAnsi" w:cstheme="majorHAnsi"/>
        </w:rPr>
        <w:t>revealed</w:t>
      </w:r>
      <w:r w:rsidR="00B86529" w:rsidRPr="00B24BF8">
        <w:rPr>
          <w:rFonts w:asciiTheme="majorHAnsi" w:hAnsiTheme="majorHAnsi" w:cstheme="majorHAnsi"/>
        </w:rPr>
        <w:t xml:space="preserve"> that 85.5 per cent of research outputs supported by the scheme were reported</w:t>
      </w:r>
      <w:r w:rsidR="008B77B6" w:rsidRPr="00B24BF8">
        <w:rPr>
          <w:rFonts w:asciiTheme="majorHAnsi" w:hAnsiTheme="majorHAnsi" w:cstheme="majorHAnsi"/>
        </w:rPr>
        <w:t xml:space="preserve"> by researchers</w:t>
      </w:r>
      <w:r w:rsidR="00B86529" w:rsidRPr="00B24BF8">
        <w:rPr>
          <w:rFonts w:asciiTheme="majorHAnsi" w:hAnsiTheme="majorHAnsi" w:cstheme="majorHAnsi"/>
        </w:rPr>
        <w:t xml:space="preserve"> as being openly accessible</w:t>
      </w:r>
      <w:r w:rsidR="00636BE4" w:rsidRPr="00B24BF8">
        <w:rPr>
          <w:rFonts w:asciiTheme="majorHAnsi" w:hAnsiTheme="majorHAnsi" w:cstheme="majorHAnsi"/>
        </w:rPr>
        <w:t xml:space="preserve"> at the time of project completion</w:t>
      </w:r>
      <w:r w:rsidR="00B86529" w:rsidRPr="00B24BF8">
        <w:rPr>
          <w:rFonts w:asciiTheme="majorHAnsi" w:hAnsiTheme="majorHAnsi" w:cstheme="majorHAnsi"/>
        </w:rPr>
        <w:t>.</w:t>
      </w:r>
      <w:r w:rsidR="003C093D" w:rsidRPr="00B24BF8">
        <w:rPr>
          <w:rStyle w:val="FootnoteReference"/>
          <w:rFonts w:asciiTheme="majorHAnsi" w:hAnsiTheme="majorHAnsi" w:cstheme="majorHAnsi"/>
        </w:rPr>
        <w:footnoteReference w:id="68"/>
      </w:r>
      <w:r w:rsidR="00B86529" w:rsidRPr="00B24BF8">
        <w:rPr>
          <w:rFonts w:asciiTheme="majorHAnsi" w:hAnsiTheme="majorHAnsi" w:cstheme="majorHAnsi"/>
        </w:rPr>
        <w:t xml:space="preserve"> This suggests that</w:t>
      </w:r>
      <w:r w:rsidR="003F5B63" w:rsidRPr="00B24BF8">
        <w:rPr>
          <w:rFonts w:asciiTheme="majorHAnsi" w:hAnsiTheme="majorHAnsi" w:cstheme="majorHAnsi"/>
        </w:rPr>
        <w:t>,</w:t>
      </w:r>
      <w:r w:rsidR="00AE160C" w:rsidRPr="00B24BF8">
        <w:rPr>
          <w:rFonts w:asciiTheme="majorHAnsi" w:hAnsiTheme="majorHAnsi" w:cstheme="majorHAnsi"/>
        </w:rPr>
        <w:t xml:space="preserve"> in addition to</w:t>
      </w:r>
      <w:r w:rsidR="00B86529" w:rsidRPr="00B24BF8">
        <w:rPr>
          <w:rFonts w:asciiTheme="majorHAnsi" w:hAnsiTheme="majorHAnsi" w:cstheme="majorHAnsi"/>
        </w:rPr>
        <w:t xml:space="preserve"> fostering a substantial number of outputs,</w:t>
      </w:r>
      <w:r w:rsidR="00AE160C" w:rsidRPr="00B24BF8">
        <w:rPr>
          <w:rFonts w:asciiTheme="majorHAnsi" w:hAnsiTheme="majorHAnsi" w:cstheme="majorHAnsi"/>
        </w:rPr>
        <w:t xml:space="preserve"> the scheme </w:t>
      </w:r>
      <w:r w:rsidR="0056621A" w:rsidRPr="00B24BF8">
        <w:rPr>
          <w:rFonts w:asciiTheme="majorHAnsi" w:hAnsiTheme="majorHAnsi" w:cstheme="majorHAnsi"/>
        </w:rPr>
        <w:t>contributes to Australia’s knowledge base through</w:t>
      </w:r>
      <w:r w:rsidR="00B86529" w:rsidRPr="00B24BF8">
        <w:rPr>
          <w:rFonts w:asciiTheme="majorHAnsi" w:hAnsiTheme="majorHAnsi" w:cstheme="majorHAnsi"/>
        </w:rPr>
        <w:t xml:space="preserve"> </w:t>
      </w:r>
      <w:r w:rsidR="008E1FE8" w:rsidRPr="00B24BF8">
        <w:rPr>
          <w:rFonts w:asciiTheme="majorHAnsi" w:hAnsiTheme="majorHAnsi" w:cstheme="majorHAnsi"/>
        </w:rPr>
        <w:t xml:space="preserve">the wide availability of </w:t>
      </w:r>
      <w:r w:rsidR="00B86529" w:rsidRPr="00B24BF8">
        <w:rPr>
          <w:rFonts w:asciiTheme="majorHAnsi" w:hAnsiTheme="majorHAnsi" w:cstheme="majorHAnsi"/>
        </w:rPr>
        <w:t xml:space="preserve">these </w:t>
      </w:r>
      <w:r w:rsidR="003F5B63" w:rsidRPr="00B24BF8">
        <w:rPr>
          <w:rFonts w:asciiTheme="majorHAnsi" w:hAnsiTheme="majorHAnsi" w:cstheme="majorHAnsi"/>
        </w:rPr>
        <w:t>outputs</w:t>
      </w:r>
      <w:r w:rsidR="00B86529" w:rsidRPr="00B24BF8">
        <w:rPr>
          <w:rFonts w:asciiTheme="majorHAnsi" w:hAnsiTheme="majorHAnsi" w:cstheme="majorHAnsi"/>
        </w:rPr>
        <w:t xml:space="preserve">. </w:t>
      </w:r>
    </w:p>
    <w:p w14:paraId="28B72C28" w14:textId="677E4611" w:rsidR="003639AF" w:rsidRPr="00363287" w:rsidRDefault="003639AF" w:rsidP="00254D36">
      <w:pPr>
        <w:pStyle w:val="Heading3"/>
        <w:numPr>
          <w:ilvl w:val="2"/>
          <w:numId w:val="17"/>
        </w:numPr>
        <w:shd w:val="clear" w:color="auto" w:fill="auto"/>
      </w:pPr>
      <w:bookmarkStart w:id="625" w:name="_ARC_data—career_age"/>
      <w:bookmarkStart w:id="626" w:name="_Toc50533627"/>
      <w:bookmarkStart w:id="627" w:name="_Toc50553777"/>
      <w:bookmarkStart w:id="628" w:name="_Toc50555013"/>
      <w:bookmarkStart w:id="629" w:name="_Toc50618147"/>
      <w:bookmarkStart w:id="630" w:name="_Toc50618428"/>
      <w:bookmarkStart w:id="631" w:name="_Toc51917028"/>
      <w:bookmarkStart w:id="632" w:name="_Toc51918868"/>
      <w:bookmarkStart w:id="633" w:name="_Ref53148894"/>
      <w:bookmarkStart w:id="634" w:name="_Toc53557251"/>
      <w:bookmarkStart w:id="635" w:name="_Toc54699293"/>
      <w:bookmarkStart w:id="636" w:name="_Toc55544827"/>
      <w:bookmarkEnd w:id="625"/>
      <w:r>
        <w:t>ARC data—career age</w:t>
      </w:r>
      <w:bookmarkEnd w:id="626"/>
      <w:bookmarkEnd w:id="627"/>
      <w:bookmarkEnd w:id="628"/>
      <w:bookmarkEnd w:id="629"/>
      <w:bookmarkEnd w:id="630"/>
      <w:bookmarkEnd w:id="631"/>
      <w:bookmarkEnd w:id="632"/>
      <w:bookmarkEnd w:id="633"/>
      <w:bookmarkEnd w:id="634"/>
      <w:bookmarkEnd w:id="635"/>
      <w:bookmarkEnd w:id="636"/>
    </w:p>
    <w:p w14:paraId="1625B4D4" w14:textId="5727D409" w:rsidR="003639AF" w:rsidRDefault="003639AF" w:rsidP="003639AF">
      <w:pPr>
        <w:rPr>
          <w:rFonts w:asciiTheme="majorHAnsi" w:hAnsiTheme="majorHAnsi" w:cstheme="majorHAnsi"/>
        </w:rPr>
      </w:pPr>
      <w:r>
        <w:rPr>
          <w:rFonts w:asciiTheme="majorHAnsi" w:hAnsiTheme="majorHAnsi" w:cstheme="majorHAnsi"/>
        </w:rPr>
        <w:t>The distribution of Chief Investigators by career age provides a useful metric to assess the extent to which Discovery Projects contributes to expanding Australia’s research capacity by supporting researchers across diverse career stages. Career age is defined as the length of time between the conferral of a researcher’s first</w:t>
      </w:r>
      <w:r w:rsidR="008E698B">
        <w:rPr>
          <w:rFonts w:asciiTheme="majorHAnsi" w:hAnsiTheme="majorHAnsi" w:cstheme="majorHAnsi"/>
        </w:rPr>
        <w:t xml:space="preserve"> </w:t>
      </w:r>
      <w:r>
        <w:rPr>
          <w:rFonts w:asciiTheme="majorHAnsi" w:hAnsiTheme="majorHAnsi" w:cstheme="majorHAnsi"/>
        </w:rPr>
        <w:t xml:space="preserve">PhD and the </w:t>
      </w:r>
      <w:r w:rsidR="00C76A60">
        <w:rPr>
          <w:rFonts w:asciiTheme="majorHAnsi" w:hAnsiTheme="majorHAnsi" w:cstheme="majorHAnsi"/>
        </w:rPr>
        <w:t xml:space="preserve">application </w:t>
      </w:r>
      <w:r>
        <w:rPr>
          <w:rFonts w:asciiTheme="majorHAnsi" w:hAnsiTheme="majorHAnsi" w:cstheme="majorHAnsi"/>
        </w:rPr>
        <w:t xml:space="preserve">closing date for the funding round. </w:t>
      </w:r>
      <w:r w:rsidRPr="007E2D62">
        <w:rPr>
          <w:rFonts w:asciiTheme="majorHAnsi" w:hAnsiTheme="majorHAnsi" w:cstheme="majorHAnsi"/>
        </w:rPr>
        <w:fldChar w:fldCharType="begin"/>
      </w:r>
      <w:r w:rsidRPr="007E2D62">
        <w:rPr>
          <w:rFonts w:asciiTheme="majorHAnsi" w:hAnsiTheme="majorHAnsi" w:cstheme="majorHAnsi"/>
        </w:rPr>
        <w:instrText xml:space="preserve"> REF _Ref49170109 \h </w:instrText>
      </w:r>
      <w:r w:rsidRPr="0020780E">
        <w:rPr>
          <w:rFonts w:asciiTheme="majorHAnsi" w:hAnsiTheme="majorHAnsi" w:cstheme="majorHAnsi"/>
        </w:rPr>
        <w:instrText xml:space="preserve"> \* MERGEFORMAT </w:instrText>
      </w:r>
      <w:r w:rsidRPr="007E2D62">
        <w:rPr>
          <w:rFonts w:asciiTheme="majorHAnsi" w:hAnsiTheme="majorHAnsi" w:cstheme="majorHAnsi"/>
        </w:rPr>
      </w:r>
      <w:r w:rsidRPr="007E2D62">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34</w:t>
      </w:r>
      <w:r w:rsidRPr="007E2D62">
        <w:rPr>
          <w:rFonts w:asciiTheme="majorHAnsi" w:hAnsiTheme="majorHAnsi" w:cstheme="majorHAnsi"/>
        </w:rPr>
        <w:fldChar w:fldCharType="end"/>
      </w:r>
      <w:r w:rsidRPr="007E2D62">
        <w:rPr>
          <w:rFonts w:asciiTheme="majorHAnsi" w:hAnsiTheme="majorHAnsi" w:cstheme="majorHAnsi"/>
        </w:rPr>
        <w:t xml:space="preserve"> and </w:t>
      </w:r>
      <w:r w:rsidRPr="007E2D62">
        <w:rPr>
          <w:rFonts w:asciiTheme="majorHAnsi" w:hAnsiTheme="majorHAnsi" w:cstheme="majorHAnsi"/>
        </w:rPr>
        <w:fldChar w:fldCharType="begin"/>
      </w:r>
      <w:r w:rsidRPr="007E2D62">
        <w:rPr>
          <w:rFonts w:asciiTheme="majorHAnsi" w:hAnsiTheme="majorHAnsi" w:cstheme="majorHAnsi"/>
        </w:rPr>
        <w:instrText xml:space="preserve"> REF _Ref49170118 \h </w:instrText>
      </w:r>
      <w:r w:rsidRPr="0020780E">
        <w:rPr>
          <w:rFonts w:asciiTheme="majorHAnsi" w:hAnsiTheme="majorHAnsi" w:cstheme="majorHAnsi"/>
        </w:rPr>
        <w:instrText xml:space="preserve"> \* MERGEFORMAT </w:instrText>
      </w:r>
      <w:r w:rsidRPr="007E2D62">
        <w:rPr>
          <w:rFonts w:asciiTheme="majorHAnsi" w:hAnsiTheme="majorHAnsi" w:cstheme="majorHAnsi"/>
        </w:rPr>
      </w:r>
      <w:r w:rsidRPr="007E2D62">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35</w:t>
      </w:r>
      <w:r w:rsidRPr="007E2D62">
        <w:rPr>
          <w:rFonts w:asciiTheme="majorHAnsi" w:hAnsiTheme="majorHAnsi" w:cstheme="majorHAnsi"/>
        </w:rPr>
        <w:fldChar w:fldCharType="end"/>
      </w:r>
      <w:r w:rsidRPr="007E2D62">
        <w:rPr>
          <w:rFonts w:asciiTheme="majorHAnsi" w:hAnsiTheme="majorHAnsi" w:cstheme="majorHAnsi"/>
        </w:rPr>
        <w:t xml:space="preserve">, below, </w:t>
      </w:r>
      <w:r w:rsidRPr="000B08D7">
        <w:rPr>
          <w:rFonts w:asciiTheme="majorHAnsi" w:hAnsiTheme="majorHAnsi" w:cstheme="majorHAnsi"/>
        </w:rPr>
        <w:t>present the proportion of Chief Investigators on applications and funded projects</w:t>
      </w:r>
      <w:r>
        <w:rPr>
          <w:rFonts w:asciiTheme="majorHAnsi" w:hAnsiTheme="majorHAnsi" w:cstheme="majorHAnsi"/>
        </w:rPr>
        <w:t xml:space="preserve"> respectively</w:t>
      </w:r>
      <w:r w:rsidRPr="000B08D7">
        <w:rPr>
          <w:rFonts w:asciiTheme="majorHAnsi" w:hAnsiTheme="majorHAnsi" w:cstheme="majorHAnsi"/>
        </w:rPr>
        <w:t xml:space="preserve"> by career age</w:t>
      </w:r>
      <w:r>
        <w:rPr>
          <w:rFonts w:asciiTheme="majorHAnsi" w:hAnsiTheme="majorHAnsi" w:cstheme="majorHAnsi"/>
        </w:rPr>
        <w:t xml:space="preserve"> from DP11 to DP20.</w:t>
      </w:r>
      <w:r>
        <w:rPr>
          <w:rStyle w:val="FootnoteReference"/>
          <w:rFonts w:asciiTheme="majorHAnsi" w:hAnsiTheme="majorHAnsi" w:cstheme="majorHAnsi"/>
        </w:rPr>
        <w:footnoteReference w:id="69"/>
      </w:r>
      <w:r w:rsidR="003C042D">
        <w:rPr>
          <w:rFonts w:asciiTheme="majorHAnsi" w:hAnsiTheme="majorHAnsi" w:cstheme="majorHAnsi"/>
        </w:rPr>
        <w:t xml:space="preserve"> Overall, they </w:t>
      </w:r>
      <w:r w:rsidR="00807974">
        <w:rPr>
          <w:rFonts w:asciiTheme="majorHAnsi" w:hAnsiTheme="majorHAnsi" w:cstheme="majorHAnsi"/>
        </w:rPr>
        <w:t>show</w:t>
      </w:r>
      <w:r w:rsidR="003C042D">
        <w:rPr>
          <w:rFonts w:asciiTheme="majorHAnsi" w:hAnsiTheme="majorHAnsi" w:cstheme="majorHAnsi"/>
        </w:rPr>
        <w:t xml:space="preserve"> </w:t>
      </w:r>
      <w:r w:rsidR="00807974">
        <w:rPr>
          <w:rFonts w:asciiTheme="majorHAnsi" w:hAnsiTheme="majorHAnsi" w:cstheme="majorHAnsi"/>
        </w:rPr>
        <w:t xml:space="preserve">that the scheme supported researchers at </w:t>
      </w:r>
      <w:r w:rsidR="001246F4">
        <w:rPr>
          <w:rFonts w:asciiTheme="majorHAnsi" w:hAnsiTheme="majorHAnsi" w:cstheme="majorHAnsi"/>
        </w:rPr>
        <w:t xml:space="preserve">a variety of career stages, with </w:t>
      </w:r>
      <w:r w:rsidR="00CF5165">
        <w:rPr>
          <w:rFonts w:asciiTheme="majorHAnsi" w:hAnsiTheme="majorHAnsi" w:cstheme="majorHAnsi"/>
        </w:rPr>
        <w:t xml:space="preserve">notable </w:t>
      </w:r>
      <w:r w:rsidR="001246F4">
        <w:rPr>
          <w:rFonts w:asciiTheme="majorHAnsi" w:hAnsiTheme="majorHAnsi" w:cstheme="majorHAnsi"/>
        </w:rPr>
        <w:t>changes</w:t>
      </w:r>
      <w:r w:rsidR="008728FD">
        <w:rPr>
          <w:rFonts w:asciiTheme="majorHAnsi" w:hAnsiTheme="majorHAnsi" w:cstheme="majorHAnsi"/>
        </w:rPr>
        <w:t xml:space="preserve"> </w:t>
      </w:r>
      <w:r w:rsidR="00986E8F">
        <w:rPr>
          <w:rFonts w:asciiTheme="majorHAnsi" w:hAnsiTheme="majorHAnsi" w:cstheme="majorHAnsi"/>
        </w:rPr>
        <w:t xml:space="preserve">in composition </w:t>
      </w:r>
      <w:r w:rsidR="001246F4">
        <w:rPr>
          <w:rFonts w:asciiTheme="majorHAnsi" w:hAnsiTheme="majorHAnsi" w:cstheme="majorHAnsi"/>
        </w:rPr>
        <w:t>over time.</w:t>
      </w:r>
    </w:p>
    <w:p w14:paraId="3F96E8A1" w14:textId="52A7657F" w:rsidR="003639AF" w:rsidRPr="004B3990" w:rsidRDefault="003639AF" w:rsidP="00751469">
      <w:pPr>
        <w:pStyle w:val="FigureTitle"/>
        <w:rPr>
          <w:i/>
        </w:rPr>
      </w:pPr>
      <w:bookmarkStart w:id="637" w:name="_Ref49170109"/>
      <w:r w:rsidRPr="004B3990">
        <w:t xml:space="preserve">Figure </w:t>
      </w:r>
      <w:r w:rsidR="00857467">
        <w:fldChar w:fldCharType="begin"/>
      </w:r>
      <w:r w:rsidR="00857467">
        <w:instrText xml:space="preserve"> SEQ Figure \* ARABIC </w:instrText>
      </w:r>
      <w:r w:rsidR="00857467">
        <w:fldChar w:fldCharType="separate"/>
      </w:r>
      <w:r w:rsidR="00AB03D7">
        <w:rPr>
          <w:noProof/>
        </w:rPr>
        <w:t>34</w:t>
      </w:r>
      <w:r w:rsidR="00857467">
        <w:rPr>
          <w:noProof/>
        </w:rPr>
        <w:fldChar w:fldCharType="end"/>
      </w:r>
      <w:bookmarkEnd w:id="637"/>
      <w:r w:rsidRPr="004B3990">
        <w:t xml:space="preserve">: Proportion of </w:t>
      </w:r>
      <w:r>
        <w:t>Chief Investigators</w:t>
      </w:r>
      <w:r w:rsidRPr="004B3990">
        <w:t xml:space="preserve"> on applications by career age</w:t>
      </w:r>
      <w:r>
        <w:t xml:space="preserve"> (years)</w:t>
      </w:r>
      <w:r w:rsidRPr="004B3990">
        <w:t>, DP11–DP20</w:t>
      </w:r>
    </w:p>
    <w:p w14:paraId="1B674A7F" w14:textId="6B96AF6F" w:rsidR="003639AF" w:rsidRDefault="000E5749" w:rsidP="003639AF">
      <w:pPr>
        <w:rPr>
          <w:rFonts w:asciiTheme="majorHAnsi" w:hAnsiTheme="majorHAnsi" w:cstheme="majorHAnsi"/>
        </w:rPr>
      </w:pPr>
      <w:r>
        <w:rPr>
          <w:rFonts w:asciiTheme="majorHAnsi" w:hAnsiTheme="majorHAnsi" w:cstheme="majorHAnsi"/>
          <w:noProof/>
        </w:rPr>
        <w:drawing>
          <wp:inline distT="0" distB="0" distL="0" distR="0" wp14:anchorId="4F5E8F6E" wp14:editId="724983E3">
            <wp:extent cx="5761355" cy="3279775"/>
            <wp:effectExtent l="0" t="0" r="0" b="0"/>
            <wp:docPr id="92" name="Picture 92" descr="Figure 34 is a graph showing the proportion of Chief Investigators on Discovery Projects applications by career age, between DP11 and DP20. See text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34 is a graph showing the proportion of Chief Investigators on Discovery Projects applications by career age, between DP11 and DP20. See text below graph for more inform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3279775"/>
                    </a:xfrm>
                    <a:prstGeom prst="rect">
                      <a:avLst/>
                    </a:prstGeom>
                    <a:noFill/>
                  </pic:spPr>
                </pic:pic>
              </a:graphicData>
            </a:graphic>
          </wp:inline>
        </w:drawing>
      </w:r>
    </w:p>
    <w:p w14:paraId="64A1B417" w14:textId="77777777" w:rsidR="003639AF" w:rsidRPr="006E2A95" w:rsidRDefault="003639AF" w:rsidP="003639AF">
      <w:pPr>
        <w:rPr>
          <w:rFonts w:asciiTheme="majorHAnsi" w:hAnsiTheme="majorHAnsi" w:cstheme="majorHAnsi"/>
          <w:sz w:val="18"/>
          <w:szCs w:val="18"/>
        </w:rPr>
      </w:pPr>
      <w:r w:rsidRPr="006E2A95">
        <w:rPr>
          <w:rFonts w:asciiTheme="majorHAnsi" w:hAnsiTheme="majorHAnsi" w:cstheme="majorHAnsi"/>
          <w:sz w:val="18"/>
          <w:szCs w:val="18"/>
        </w:rPr>
        <w:t xml:space="preserve">Source: ARC administrative data. </w:t>
      </w:r>
      <w:r w:rsidRPr="006E2A95">
        <w:rPr>
          <w:rFonts w:asciiTheme="majorHAnsi" w:hAnsiTheme="majorHAnsi" w:cstheme="majorHAnsi"/>
          <w:i/>
          <w:sz w:val="18"/>
          <w:szCs w:val="18"/>
          <w:lang w:eastAsia="en-AU"/>
        </w:rPr>
        <w:t xml:space="preserve">Note: </w:t>
      </w:r>
      <w:r>
        <w:rPr>
          <w:rFonts w:asciiTheme="majorHAnsi" w:hAnsiTheme="majorHAnsi" w:cstheme="majorHAnsi"/>
          <w:i/>
          <w:sz w:val="18"/>
          <w:szCs w:val="18"/>
          <w:lang w:eastAsia="en-AU"/>
        </w:rPr>
        <w:t xml:space="preserve">Data reflect number of Chief Investigators </w:t>
      </w:r>
      <w:r w:rsidRPr="006E2A95">
        <w:rPr>
          <w:rFonts w:asciiTheme="majorHAnsi" w:hAnsiTheme="majorHAnsi" w:cstheme="majorHAnsi"/>
          <w:i/>
          <w:sz w:val="18"/>
          <w:szCs w:val="18"/>
          <w:lang w:eastAsia="en-AU"/>
        </w:rPr>
        <w:t>identified within applications; figures do not take variations</w:t>
      </w:r>
      <w:r>
        <w:rPr>
          <w:rFonts w:asciiTheme="majorHAnsi" w:hAnsiTheme="majorHAnsi" w:cstheme="majorHAnsi"/>
          <w:i/>
          <w:sz w:val="18"/>
          <w:szCs w:val="18"/>
          <w:lang w:eastAsia="en-AU"/>
        </w:rPr>
        <w:t xml:space="preserve"> to project teams into account.</w:t>
      </w:r>
      <w:r w:rsidRPr="006E2A95">
        <w:rPr>
          <w:rFonts w:asciiTheme="majorHAnsi" w:hAnsiTheme="majorHAnsi" w:cstheme="majorHAnsi"/>
          <w:i/>
          <w:sz w:val="18"/>
          <w:szCs w:val="18"/>
          <w:lang w:eastAsia="en-AU"/>
        </w:rPr>
        <w:t xml:space="preserve"> Data presented in person participation terms—researchers </w:t>
      </w:r>
      <w:r>
        <w:rPr>
          <w:rFonts w:asciiTheme="majorHAnsi" w:hAnsiTheme="majorHAnsi" w:cstheme="majorHAnsi"/>
          <w:i/>
          <w:sz w:val="18"/>
          <w:szCs w:val="18"/>
          <w:lang w:eastAsia="en-AU"/>
        </w:rPr>
        <w:t>named</w:t>
      </w:r>
      <w:r w:rsidRPr="006E2A95">
        <w:rPr>
          <w:rFonts w:asciiTheme="majorHAnsi" w:hAnsiTheme="majorHAnsi" w:cstheme="majorHAnsi"/>
          <w:i/>
          <w:sz w:val="18"/>
          <w:szCs w:val="18"/>
          <w:lang w:eastAsia="en-AU"/>
        </w:rPr>
        <w:t xml:space="preserve"> on multiple applications will appear </w:t>
      </w:r>
      <w:r>
        <w:rPr>
          <w:rFonts w:asciiTheme="majorHAnsi" w:hAnsiTheme="majorHAnsi" w:cstheme="majorHAnsi"/>
          <w:i/>
          <w:sz w:val="18"/>
          <w:szCs w:val="18"/>
          <w:lang w:eastAsia="en-AU"/>
        </w:rPr>
        <w:t>more than once</w:t>
      </w:r>
      <w:r w:rsidRPr="006E2A95">
        <w:rPr>
          <w:rFonts w:asciiTheme="majorHAnsi" w:hAnsiTheme="majorHAnsi" w:cstheme="majorHAnsi"/>
          <w:i/>
          <w:sz w:val="18"/>
          <w:szCs w:val="18"/>
          <w:lang w:eastAsia="en-AU"/>
        </w:rPr>
        <w:t>.</w:t>
      </w:r>
      <w:r>
        <w:rPr>
          <w:rFonts w:asciiTheme="majorHAnsi" w:hAnsiTheme="majorHAnsi" w:cstheme="majorHAnsi"/>
          <w:i/>
          <w:sz w:val="18"/>
          <w:szCs w:val="18"/>
          <w:lang w:eastAsia="en-AU"/>
        </w:rPr>
        <w:t xml:space="preserve"> Those with an exact career age of a factor of five appear in the higher bracket.</w:t>
      </w:r>
      <w:r w:rsidRPr="006E2A95">
        <w:rPr>
          <w:rFonts w:asciiTheme="majorHAnsi" w:hAnsiTheme="majorHAnsi" w:cstheme="majorHAnsi"/>
          <w:i/>
          <w:sz w:val="18"/>
          <w:szCs w:val="18"/>
          <w:lang w:eastAsia="en-AU"/>
        </w:rPr>
        <w:t xml:space="preserve"> </w:t>
      </w:r>
      <w:r>
        <w:rPr>
          <w:rFonts w:asciiTheme="majorHAnsi" w:hAnsiTheme="majorHAnsi" w:cstheme="majorHAnsi"/>
          <w:i/>
          <w:sz w:val="18"/>
          <w:szCs w:val="18"/>
          <w:lang w:eastAsia="en-AU"/>
        </w:rPr>
        <w:t xml:space="preserve">Chief Investigators without a PhD not included within data. ‘Unknown’ career ages relate to researchers not specifying PhD conferral dates. Career ages have not been adjusted to reflect career interruptions. Data not available prior to DP11. </w:t>
      </w:r>
    </w:p>
    <w:p w14:paraId="324CF47F" w14:textId="36653AF5" w:rsidR="003639AF" w:rsidRDefault="003639AF" w:rsidP="00751469">
      <w:pPr>
        <w:pStyle w:val="FigureTitle"/>
      </w:pPr>
      <w:bookmarkStart w:id="638" w:name="_Ref49170118"/>
      <w:r w:rsidRPr="004B3990">
        <w:lastRenderedPageBreak/>
        <w:t xml:space="preserve">Figure </w:t>
      </w:r>
      <w:r w:rsidR="00857467">
        <w:fldChar w:fldCharType="begin"/>
      </w:r>
      <w:r w:rsidR="00857467">
        <w:instrText xml:space="preserve"> SEQ Figure \* ARABIC </w:instrText>
      </w:r>
      <w:r w:rsidR="00857467">
        <w:fldChar w:fldCharType="separate"/>
      </w:r>
      <w:r w:rsidR="00AB03D7">
        <w:rPr>
          <w:noProof/>
        </w:rPr>
        <w:t>35</w:t>
      </w:r>
      <w:r w:rsidR="00857467">
        <w:rPr>
          <w:noProof/>
        </w:rPr>
        <w:fldChar w:fldCharType="end"/>
      </w:r>
      <w:bookmarkEnd w:id="638"/>
      <w:r w:rsidRPr="004B3990">
        <w:t>:</w:t>
      </w:r>
      <w:r>
        <w:t xml:space="preserve"> Proportion of Chief Investigators</w:t>
      </w:r>
      <w:r w:rsidRPr="004B3990">
        <w:t xml:space="preserve"> on funded projects by career age</w:t>
      </w:r>
      <w:r>
        <w:t xml:space="preserve"> (years)</w:t>
      </w:r>
      <w:r w:rsidRPr="004B3990">
        <w:t>, DP11–DP20</w:t>
      </w:r>
    </w:p>
    <w:p w14:paraId="4D4C8992" w14:textId="3B450F07" w:rsidR="003639AF" w:rsidRDefault="000E5749" w:rsidP="003639AF">
      <w:pPr>
        <w:rPr>
          <w:rFonts w:asciiTheme="majorHAnsi" w:hAnsiTheme="majorHAnsi" w:cstheme="majorHAnsi"/>
        </w:rPr>
      </w:pPr>
      <w:r>
        <w:rPr>
          <w:rFonts w:asciiTheme="majorHAnsi" w:hAnsiTheme="majorHAnsi" w:cstheme="majorHAnsi"/>
          <w:noProof/>
        </w:rPr>
        <w:drawing>
          <wp:inline distT="0" distB="0" distL="0" distR="0" wp14:anchorId="6A89A4F5" wp14:editId="0EC5FB51">
            <wp:extent cx="5694045" cy="3450590"/>
            <wp:effectExtent l="0" t="0" r="1905" b="0"/>
            <wp:docPr id="93" name="Picture 93" descr="Figure 35 is a graph showing the proportion of Chief Investigators on Discovery Projects funded projects by career age, between DP11 and DP20.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gure 35 is a graph showing the proportion of Chief Investigators on Discovery Projects funded projects by career age, between DP11 and DP20. See text above and below graph for more inform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4045" cy="3450590"/>
                    </a:xfrm>
                    <a:prstGeom prst="rect">
                      <a:avLst/>
                    </a:prstGeom>
                    <a:noFill/>
                  </pic:spPr>
                </pic:pic>
              </a:graphicData>
            </a:graphic>
          </wp:inline>
        </w:drawing>
      </w:r>
    </w:p>
    <w:p w14:paraId="0C46934A" w14:textId="77777777" w:rsidR="003639AF" w:rsidRPr="006E2A95" w:rsidRDefault="003639AF" w:rsidP="003639AF">
      <w:pPr>
        <w:rPr>
          <w:rFonts w:asciiTheme="majorHAnsi" w:hAnsiTheme="majorHAnsi" w:cstheme="majorHAnsi"/>
          <w:sz w:val="18"/>
          <w:szCs w:val="18"/>
        </w:rPr>
      </w:pPr>
      <w:r w:rsidRPr="006E2A95">
        <w:rPr>
          <w:rFonts w:asciiTheme="majorHAnsi" w:hAnsiTheme="majorHAnsi" w:cstheme="majorHAnsi"/>
          <w:sz w:val="18"/>
          <w:szCs w:val="18"/>
        </w:rPr>
        <w:t xml:space="preserve">Source: ARC administrative data. </w:t>
      </w:r>
      <w:r w:rsidRPr="006E2A95">
        <w:rPr>
          <w:rFonts w:asciiTheme="majorHAnsi" w:hAnsiTheme="majorHAnsi" w:cstheme="majorHAnsi"/>
          <w:i/>
          <w:sz w:val="18"/>
          <w:szCs w:val="18"/>
          <w:lang w:eastAsia="en-AU"/>
        </w:rPr>
        <w:t xml:space="preserve">Note: </w:t>
      </w:r>
      <w:r>
        <w:rPr>
          <w:rFonts w:asciiTheme="majorHAnsi" w:hAnsiTheme="majorHAnsi" w:cstheme="majorHAnsi"/>
          <w:i/>
          <w:sz w:val="18"/>
          <w:szCs w:val="18"/>
          <w:lang w:eastAsia="en-AU"/>
        </w:rPr>
        <w:t xml:space="preserve">Data reflect number of Chief Investigators </w:t>
      </w:r>
      <w:r w:rsidRPr="006E2A95">
        <w:rPr>
          <w:rFonts w:asciiTheme="majorHAnsi" w:hAnsiTheme="majorHAnsi" w:cstheme="majorHAnsi"/>
          <w:i/>
          <w:sz w:val="18"/>
          <w:szCs w:val="18"/>
          <w:lang w:eastAsia="en-AU"/>
        </w:rPr>
        <w:t xml:space="preserve">identified within applications; figures do not take variations to project teams into account. Data presented in person participation terms—researchers </w:t>
      </w:r>
      <w:r>
        <w:rPr>
          <w:rFonts w:asciiTheme="majorHAnsi" w:hAnsiTheme="majorHAnsi" w:cstheme="majorHAnsi"/>
          <w:i/>
          <w:sz w:val="18"/>
          <w:szCs w:val="18"/>
          <w:lang w:eastAsia="en-AU"/>
        </w:rPr>
        <w:t>named</w:t>
      </w:r>
      <w:r w:rsidRPr="006E2A95">
        <w:rPr>
          <w:rFonts w:asciiTheme="majorHAnsi" w:hAnsiTheme="majorHAnsi" w:cstheme="majorHAnsi"/>
          <w:i/>
          <w:sz w:val="18"/>
          <w:szCs w:val="18"/>
          <w:lang w:eastAsia="en-AU"/>
        </w:rPr>
        <w:t xml:space="preserve"> on multiple applications will appear </w:t>
      </w:r>
      <w:r>
        <w:rPr>
          <w:rFonts w:asciiTheme="majorHAnsi" w:hAnsiTheme="majorHAnsi" w:cstheme="majorHAnsi"/>
          <w:i/>
          <w:sz w:val="18"/>
          <w:szCs w:val="18"/>
          <w:lang w:eastAsia="en-AU"/>
        </w:rPr>
        <w:t>more than once</w:t>
      </w:r>
      <w:r w:rsidRPr="006E2A95">
        <w:rPr>
          <w:rFonts w:asciiTheme="majorHAnsi" w:hAnsiTheme="majorHAnsi" w:cstheme="majorHAnsi"/>
          <w:i/>
          <w:sz w:val="18"/>
          <w:szCs w:val="18"/>
          <w:lang w:eastAsia="en-AU"/>
        </w:rPr>
        <w:t>.</w:t>
      </w:r>
      <w:r>
        <w:rPr>
          <w:rFonts w:asciiTheme="majorHAnsi" w:hAnsiTheme="majorHAnsi" w:cstheme="majorHAnsi"/>
          <w:i/>
          <w:sz w:val="18"/>
          <w:szCs w:val="18"/>
          <w:lang w:eastAsia="en-AU"/>
        </w:rPr>
        <w:t xml:space="preserve"> Those with an exact career age of a factor of five appear in the higher bracket. Chief Investigators without a PhD not included within data.</w:t>
      </w:r>
      <w:r w:rsidRPr="006E2A95">
        <w:rPr>
          <w:rFonts w:asciiTheme="majorHAnsi" w:hAnsiTheme="majorHAnsi" w:cstheme="majorHAnsi"/>
          <w:i/>
          <w:sz w:val="18"/>
          <w:szCs w:val="18"/>
          <w:lang w:eastAsia="en-AU"/>
        </w:rPr>
        <w:t xml:space="preserve"> </w:t>
      </w:r>
      <w:r>
        <w:rPr>
          <w:rFonts w:asciiTheme="majorHAnsi" w:hAnsiTheme="majorHAnsi" w:cstheme="majorHAnsi"/>
          <w:i/>
          <w:sz w:val="18"/>
          <w:szCs w:val="18"/>
          <w:lang w:eastAsia="en-AU"/>
        </w:rPr>
        <w:t xml:space="preserve">‘Unknown’ career ages relate to researchers not specifying PhD conferral dates. Career ages have not been adjusted to reflect career interruptions. Data not available prior to DP11. </w:t>
      </w:r>
    </w:p>
    <w:p w14:paraId="12792E3E" w14:textId="77777777" w:rsidR="005B7541" w:rsidRDefault="005B7541" w:rsidP="005B7541">
      <w:pPr>
        <w:rPr>
          <w:rFonts w:asciiTheme="majorHAnsi" w:hAnsiTheme="majorHAnsi" w:cstheme="majorHAnsi"/>
        </w:rPr>
      </w:pPr>
      <w:r>
        <w:rPr>
          <w:rFonts w:asciiTheme="majorHAnsi" w:hAnsiTheme="majorHAnsi" w:cstheme="majorHAnsi"/>
        </w:rPr>
        <w:t>The proportion of Early Career Researchers (with a career age of less than or equal to five years</w:t>
      </w:r>
      <w:r>
        <w:rPr>
          <w:rStyle w:val="FootnoteReference"/>
          <w:rFonts w:asciiTheme="majorHAnsi" w:hAnsiTheme="majorHAnsi" w:cstheme="majorHAnsi"/>
        </w:rPr>
        <w:footnoteReference w:id="70"/>
      </w:r>
      <w:r>
        <w:rPr>
          <w:rFonts w:asciiTheme="majorHAnsi" w:hAnsiTheme="majorHAnsi" w:cstheme="majorHAnsi"/>
        </w:rPr>
        <w:t xml:space="preserve">) on Discovery Projects applications and funded projects approximately halved between DP11 and DP12. This fall occurred alongside the introduction of the DECRA scheme. However, on applications from DP12 onwards, the proportion of Early Career Researchers continued to decline from 12.9 per cent to 7.1 per cent in DP20; and from 11.3 per cent to 7.3 per cent for funded projects over the same period.  </w:t>
      </w:r>
    </w:p>
    <w:p w14:paraId="4DEFAF6E" w14:textId="41042CF4" w:rsidR="005B7541" w:rsidRDefault="005B7541" w:rsidP="005B7541">
      <w:pPr>
        <w:rPr>
          <w:rFonts w:asciiTheme="majorHAnsi" w:hAnsiTheme="majorHAnsi" w:cstheme="majorHAnsi"/>
        </w:rPr>
      </w:pPr>
      <w:r w:rsidRPr="007809EB">
        <w:rPr>
          <w:rFonts w:asciiTheme="majorHAnsi" w:hAnsiTheme="majorHAnsi" w:cstheme="majorHAnsi"/>
        </w:rPr>
        <w:t>Between DP12 and DP20, the p</w:t>
      </w:r>
      <w:r w:rsidRPr="00F66DFE">
        <w:rPr>
          <w:rFonts w:asciiTheme="majorHAnsi" w:hAnsiTheme="majorHAnsi" w:cstheme="majorHAnsi"/>
        </w:rPr>
        <w:t xml:space="preserve">roportion of Chief Investigators defined as Mid-Career Researchers (with career ages of between five and </w:t>
      </w:r>
      <w:r w:rsidRPr="00514FD7">
        <w:rPr>
          <w:rFonts w:asciiTheme="majorHAnsi" w:hAnsiTheme="majorHAnsi" w:cstheme="majorHAnsi"/>
        </w:rPr>
        <w:t xml:space="preserve">fifteen years) fell </w:t>
      </w:r>
      <w:r>
        <w:rPr>
          <w:rFonts w:asciiTheme="majorHAnsi" w:hAnsiTheme="majorHAnsi" w:cstheme="majorHAnsi"/>
        </w:rPr>
        <w:t xml:space="preserve">gradually </w:t>
      </w:r>
      <w:r w:rsidRPr="00514FD7">
        <w:rPr>
          <w:rFonts w:asciiTheme="majorHAnsi" w:hAnsiTheme="majorHAnsi" w:cstheme="majorHAnsi"/>
        </w:rPr>
        <w:t xml:space="preserve">on applications (from approximately </w:t>
      </w:r>
      <w:r w:rsidRPr="0020780E">
        <w:rPr>
          <w:rFonts w:asciiTheme="majorHAnsi" w:hAnsiTheme="majorHAnsi" w:cstheme="majorHAnsi"/>
        </w:rPr>
        <w:t>44.0</w:t>
      </w:r>
      <w:r w:rsidRPr="00514FD7">
        <w:rPr>
          <w:rFonts w:asciiTheme="majorHAnsi" w:hAnsiTheme="majorHAnsi" w:cstheme="majorHAnsi"/>
        </w:rPr>
        <w:t xml:space="preserve"> per cent to </w:t>
      </w:r>
      <w:r w:rsidRPr="0020780E">
        <w:rPr>
          <w:rFonts w:asciiTheme="majorHAnsi" w:hAnsiTheme="majorHAnsi" w:cstheme="majorHAnsi"/>
        </w:rPr>
        <w:t>39.7</w:t>
      </w:r>
      <w:r w:rsidRPr="00514FD7">
        <w:rPr>
          <w:rFonts w:asciiTheme="majorHAnsi" w:hAnsiTheme="majorHAnsi" w:cstheme="majorHAnsi"/>
        </w:rPr>
        <w:t xml:space="preserve"> per cent), while remaining relatively stable on funded projects (</w:t>
      </w:r>
      <w:r>
        <w:rPr>
          <w:rFonts w:asciiTheme="majorHAnsi" w:hAnsiTheme="majorHAnsi" w:cstheme="majorHAnsi"/>
        </w:rPr>
        <w:t>fluctuating between</w:t>
      </w:r>
      <w:r w:rsidRPr="00514FD7">
        <w:rPr>
          <w:rFonts w:asciiTheme="majorHAnsi" w:hAnsiTheme="majorHAnsi" w:cstheme="majorHAnsi"/>
        </w:rPr>
        <w:t xml:space="preserve"> </w:t>
      </w:r>
      <w:r w:rsidR="00371EBD">
        <w:rPr>
          <w:rFonts w:asciiTheme="majorHAnsi" w:hAnsiTheme="majorHAnsi" w:cstheme="majorHAnsi"/>
        </w:rPr>
        <w:t>36.9</w:t>
      </w:r>
      <w:r>
        <w:rPr>
          <w:rFonts w:asciiTheme="majorHAnsi" w:hAnsiTheme="majorHAnsi" w:cstheme="majorHAnsi"/>
        </w:rPr>
        <w:t xml:space="preserve"> and 39.9</w:t>
      </w:r>
      <w:r w:rsidRPr="00514FD7">
        <w:rPr>
          <w:rFonts w:asciiTheme="majorHAnsi" w:hAnsiTheme="majorHAnsi" w:cstheme="majorHAnsi"/>
        </w:rPr>
        <w:t xml:space="preserve"> per cent). Over the same period, there was growth in the proportionate representation of Chief Investigators with a career age of 15–30 years</w:t>
      </w:r>
      <w:r w:rsidR="004D5B3D">
        <w:rPr>
          <w:rFonts w:asciiTheme="majorHAnsi" w:hAnsiTheme="majorHAnsi" w:cstheme="majorHAnsi"/>
        </w:rPr>
        <w:t xml:space="preserve">, </w:t>
      </w:r>
      <w:r w:rsidRPr="00514FD7">
        <w:rPr>
          <w:rFonts w:asciiTheme="majorHAnsi" w:hAnsiTheme="majorHAnsi" w:cstheme="majorHAnsi"/>
        </w:rPr>
        <w:t>particularly on applications</w:t>
      </w:r>
      <w:r>
        <w:rPr>
          <w:rFonts w:asciiTheme="majorHAnsi" w:hAnsiTheme="majorHAnsi" w:cstheme="majorHAnsi"/>
        </w:rPr>
        <w:t xml:space="preserve"> (</w:t>
      </w:r>
      <w:r w:rsidR="00544D5B">
        <w:rPr>
          <w:rFonts w:asciiTheme="majorHAnsi" w:hAnsiTheme="majorHAnsi" w:cstheme="majorHAnsi"/>
        </w:rPr>
        <w:t xml:space="preserve">from </w:t>
      </w:r>
      <w:r>
        <w:rPr>
          <w:rFonts w:asciiTheme="majorHAnsi" w:hAnsiTheme="majorHAnsi" w:cstheme="majorHAnsi"/>
        </w:rPr>
        <w:t>31.5</w:t>
      </w:r>
      <w:r w:rsidR="00544D5B">
        <w:rPr>
          <w:rFonts w:asciiTheme="majorHAnsi" w:hAnsiTheme="majorHAnsi" w:cstheme="majorHAnsi"/>
        </w:rPr>
        <w:t xml:space="preserve"> per cent to </w:t>
      </w:r>
      <w:r>
        <w:rPr>
          <w:rFonts w:asciiTheme="majorHAnsi" w:hAnsiTheme="majorHAnsi" w:cstheme="majorHAnsi"/>
        </w:rPr>
        <w:t>40.8 per cent)</w:t>
      </w:r>
      <w:r w:rsidRPr="00514FD7">
        <w:rPr>
          <w:rFonts w:asciiTheme="majorHAnsi" w:hAnsiTheme="majorHAnsi" w:cstheme="majorHAnsi"/>
        </w:rPr>
        <w:t>, but also on funded projects</w:t>
      </w:r>
      <w:r>
        <w:rPr>
          <w:rFonts w:asciiTheme="majorHAnsi" w:hAnsiTheme="majorHAnsi" w:cstheme="majorHAnsi"/>
        </w:rPr>
        <w:t xml:space="preserve"> (</w:t>
      </w:r>
      <w:r w:rsidR="00544D5B">
        <w:rPr>
          <w:rFonts w:asciiTheme="majorHAnsi" w:hAnsiTheme="majorHAnsi" w:cstheme="majorHAnsi"/>
        </w:rPr>
        <w:t xml:space="preserve">from </w:t>
      </w:r>
      <w:r>
        <w:rPr>
          <w:rFonts w:asciiTheme="majorHAnsi" w:hAnsiTheme="majorHAnsi" w:cstheme="majorHAnsi"/>
        </w:rPr>
        <w:t>34.5</w:t>
      </w:r>
      <w:r w:rsidR="00544D5B">
        <w:rPr>
          <w:rFonts w:asciiTheme="majorHAnsi" w:hAnsiTheme="majorHAnsi" w:cstheme="majorHAnsi"/>
        </w:rPr>
        <w:t xml:space="preserve"> per cent to </w:t>
      </w:r>
      <w:r>
        <w:rPr>
          <w:rFonts w:asciiTheme="majorHAnsi" w:hAnsiTheme="majorHAnsi" w:cstheme="majorHAnsi"/>
        </w:rPr>
        <w:t>40.1 per cent)</w:t>
      </w:r>
      <w:r w:rsidRPr="00514FD7">
        <w:rPr>
          <w:rFonts w:asciiTheme="majorHAnsi" w:hAnsiTheme="majorHAnsi" w:cstheme="majorHAnsi"/>
        </w:rPr>
        <w:t>.</w:t>
      </w:r>
      <w:r>
        <w:rPr>
          <w:rFonts w:asciiTheme="majorHAnsi" w:hAnsiTheme="majorHAnsi" w:cstheme="majorHAnsi"/>
        </w:rPr>
        <w:t xml:space="preserve"> </w:t>
      </w:r>
    </w:p>
    <w:p w14:paraId="5C20D076" w14:textId="2B661C36" w:rsidR="00694A8D" w:rsidRDefault="003639AF" w:rsidP="003639AF">
      <w:pPr>
        <w:rPr>
          <w:rFonts w:asciiTheme="majorHAnsi" w:hAnsiTheme="majorHAnsi" w:cstheme="majorHAnsi"/>
        </w:rPr>
      </w:pPr>
      <w:r>
        <w:rPr>
          <w:rFonts w:asciiTheme="majorHAnsi" w:hAnsiTheme="majorHAnsi" w:cstheme="majorHAnsi"/>
        </w:rPr>
        <w:t xml:space="preserve">For both Early and Mid-Career Researchers, representation on applications </w:t>
      </w:r>
      <w:r w:rsidR="00325697">
        <w:rPr>
          <w:rFonts w:asciiTheme="majorHAnsi" w:hAnsiTheme="majorHAnsi" w:cstheme="majorHAnsi"/>
        </w:rPr>
        <w:t xml:space="preserve">was </w:t>
      </w:r>
      <w:r>
        <w:rPr>
          <w:rFonts w:asciiTheme="majorHAnsi" w:hAnsiTheme="majorHAnsi" w:cstheme="majorHAnsi"/>
        </w:rPr>
        <w:t xml:space="preserve">generally higher than on funded projects. This </w:t>
      </w:r>
      <w:r w:rsidR="00325697">
        <w:rPr>
          <w:rFonts w:asciiTheme="majorHAnsi" w:hAnsiTheme="majorHAnsi" w:cstheme="majorHAnsi"/>
        </w:rPr>
        <w:t>was</w:t>
      </w:r>
      <w:r>
        <w:rPr>
          <w:rFonts w:asciiTheme="majorHAnsi" w:hAnsiTheme="majorHAnsi" w:cstheme="majorHAnsi"/>
        </w:rPr>
        <w:t xml:space="preserve"> reflected in Early and Mid-Career Researchers having lower total success rates than the scheme-wide success rate throughout the DP12–20 time period (18.5 per cent and 17</w:t>
      </w:r>
      <w:r w:rsidRPr="007809EB">
        <w:rPr>
          <w:rFonts w:asciiTheme="majorHAnsi" w:hAnsiTheme="majorHAnsi" w:cstheme="majorHAnsi"/>
        </w:rPr>
        <w:t>.9 per c</w:t>
      </w:r>
      <w:r w:rsidRPr="00F66DFE">
        <w:rPr>
          <w:rFonts w:asciiTheme="majorHAnsi" w:hAnsiTheme="majorHAnsi" w:cstheme="majorHAnsi"/>
        </w:rPr>
        <w:t>ent respectively</w:t>
      </w:r>
      <w:r w:rsidRPr="00B42277">
        <w:rPr>
          <w:rFonts w:asciiTheme="majorHAnsi" w:hAnsiTheme="majorHAnsi" w:cstheme="majorHAnsi"/>
        </w:rPr>
        <w:t>,</w:t>
      </w:r>
      <w:r>
        <w:rPr>
          <w:rFonts w:asciiTheme="majorHAnsi" w:hAnsiTheme="majorHAnsi" w:cstheme="majorHAnsi"/>
        </w:rPr>
        <w:t xml:space="preserve"> compared to 20.0 for the scheme as a whole). However, in recent funding rounds, success rates for Early Career Researchers (21.6 per cent in DP19 and 23.7 per cent in DP20) </w:t>
      </w:r>
      <w:r>
        <w:rPr>
          <w:rFonts w:asciiTheme="majorHAnsi" w:hAnsiTheme="majorHAnsi" w:cstheme="majorHAnsi"/>
        </w:rPr>
        <w:lastRenderedPageBreak/>
        <w:t xml:space="preserve">and Mid-Career Researchers (22.1 per cent in DP19 and 23.3 per cent in DP20), </w:t>
      </w:r>
      <w:r w:rsidR="00B72CE1">
        <w:rPr>
          <w:rFonts w:asciiTheme="majorHAnsi" w:hAnsiTheme="majorHAnsi" w:cstheme="majorHAnsi"/>
        </w:rPr>
        <w:t>were</w:t>
      </w:r>
      <w:r>
        <w:rPr>
          <w:rFonts w:asciiTheme="majorHAnsi" w:hAnsiTheme="majorHAnsi" w:cstheme="majorHAnsi"/>
        </w:rPr>
        <w:t xml:space="preserve"> similar to overall scheme success rates (22.4 per cent in DP19 and 23.0 per cent in DP20)</w:t>
      </w:r>
      <w:r w:rsidR="00C57398">
        <w:rPr>
          <w:rFonts w:asciiTheme="majorHAnsi" w:hAnsiTheme="majorHAnsi" w:cstheme="majorHAnsi"/>
        </w:rPr>
        <w:t>—and slightly higher</w:t>
      </w:r>
      <w:r w:rsidR="001164AA">
        <w:rPr>
          <w:rFonts w:asciiTheme="majorHAnsi" w:hAnsiTheme="majorHAnsi" w:cstheme="majorHAnsi"/>
        </w:rPr>
        <w:t xml:space="preserve"> in </w:t>
      </w:r>
      <w:r w:rsidR="00C57398">
        <w:rPr>
          <w:rFonts w:asciiTheme="majorHAnsi" w:hAnsiTheme="majorHAnsi" w:cstheme="majorHAnsi"/>
        </w:rPr>
        <w:t>DP20</w:t>
      </w:r>
      <w:r>
        <w:rPr>
          <w:rFonts w:asciiTheme="majorHAnsi" w:hAnsiTheme="majorHAnsi" w:cstheme="majorHAnsi"/>
        </w:rPr>
        <w:t>.</w:t>
      </w:r>
      <w:r w:rsidR="00D148D2">
        <w:rPr>
          <w:rFonts w:asciiTheme="majorHAnsi" w:hAnsiTheme="majorHAnsi" w:cstheme="majorHAnsi"/>
        </w:rPr>
        <w:t xml:space="preserve"> </w:t>
      </w:r>
      <w:r w:rsidR="6AD9B665" w:rsidRPr="7B6B2DF5">
        <w:rPr>
          <w:rFonts w:asciiTheme="majorHAnsi" w:hAnsiTheme="majorHAnsi" w:cstheme="majorBidi"/>
        </w:rPr>
        <w:t>Conversely, it</w:t>
      </w:r>
      <w:r w:rsidR="6AD9B665" w:rsidRPr="7783C510">
        <w:rPr>
          <w:rFonts w:asciiTheme="majorHAnsi" w:hAnsiTheme="majorHAnsi" w:cstheme="majorBidi"/>
        </w:rPr>
        <w:t xml:space="preserve"> is important to acknowledge that success rates for applications with Early Career Researchers as the </w:t>
      </w:r>
      <w:r w:rsidR="6AD9B665" w:rsidRPr="7B6B2DF5">
        <w:rPr>
          <w:rFonts w:asciiTheme="majorHAnsi" w:hAnsiTheme="majorHAnsi" w:cstheme="majorBidi"/>
        </w:rPr>
        <w:t>lead</w:t>
      </w:r>
      <w:r w:rsidR="6AD9B665" w:rsidRPr="7783C510">
        <w:rPr>
          <w:rFonts w:asciiTheme="majorHAnsi" w:hAnsiTheme="majorHAnsi" w:cstheme="majorBidi"/>
        </w:rPr>
        <w:t xml:space="preserve"> Chief Investigator were lower than the scheme average in DP19 (16.3 per cent) and DP20 (13.9 per cent).</w:t>
      </w:r>
    </w:p>
    <w:p w14:paraId="0A8D2AEB" w14:textId="701C172B" w:rsidR="003639AF" w:rsidRDefault="61D34E0C" w:rsidP="003639AF">
      <w:pPr>
        <w:rPr>
          <w:rFonts w:asciiTheme="majorHAnsi" w:hAnsiTheme="majorHAnsi" w:cstheme="majorBidi"/>
        </w:rPr>
      </w:pPr>
      <w:r w:rsidRPr="747444D1">
        <w:rPr>
          <w:rFonts w:asciiTheme="majorHAnsi" w:hAnsiTheme="majorHAnsi" w:cstheme="majorBidi"/>
        </w:rPr>
        <w:t>T</w:t>
      </w:r>
      <w:r w:rsidR="003639AF" w:rsidRPr="747444D1">
        <w:rPr>
          <w:rFonts w:asciiTheme="majorHAnsi" w:hAnsiTheme="majorHAnsi" w:cstheme="majorBidi"/>
        </w:rPr>
        <w:t>he</w:t>
      </w:r>
      <w:r w:rsidR="003639AF" w:rsidRPr="33C5E63D">
        <w:rPr>
          <w:rFonts w:asciiTheme="majorHAnsi" w:hAnsiTheme="majorHAnsi" w:cstheme="majorBidi"/>
        </w:rPr>
        <w:t xml:space="preserve"> </w:t>
      </w:r>
      <w:r w:rsidR="2AA04592" w:rsidRPr="33C5E63D">
        <w:rPr>
          <w:rFonts w:asciiTheme="majorHAnsi" w:hAnsiTheme="majorHAnsi" w:cstheme="majorBidi"/>
        </w:rPr>
        <w:t>overall</w:t>
      </w:r>
      <w:r w:rsidR="003639AF" w:rsidRPr="1B6D4527">
        <w:rPr>
          <w:rFonts w:asciiTheme="majorHAnsi" w:hAnsiTheme="majorHAnsi" w:cstheme="majorBidi"/>
        </w:rPr>
        <w:t xml:space="preserve"> decline in the proportion of Early Career Researchers on funded projects in recent years appears to primarily reflect their declining proportionate representation as Chief Investigators on applications. This may suggest that the ARC’s </w:t>
      </w:r>
      <w:r w:rsidR="0B794DA1" w:rsidRPr="4BBBAF4A">
        <w:rPr>
          <w:rFonts w:asciiTheme="majorHAnsi" w:hAnsiTheme="majorHAnsi" w:cstheme="majorBidi"/>
        </w:rPr>
        <w:t xml:space="preserve">implementation </w:t>
      </w:r>
      <w:r w:rsidR="003639AF" w:rsidRPr="1B6D4527">
        <w:rPr>
          <w:rFonts w:asciiTheme="majorHAnsi" w:hAnsiTheme="majorHAnsi" w:cstheme="majorBidi"/>
        </w:rPr>
        <w:t xml:space="preserve">of </w:t>
      </w:r>
      <w:r w:rsidR="00635751" w:rsidRPr="1B6D4527">
        <w:rPr>
          <w:rFonts w:asciiTheme="majorHAnsi" w:hAnsiTheme="majorHAnsi" w:cstheme="majorBidi"/>
        </w:rPr>
        <w:t xml:space="preserve">the </w:t>
      </w:r>
      <w:r w:rsidR="00691A8B" w:rsidRPr="1B6D4527">
        <w:rPr>
          <w:rFonts w:asciiTheme="majorHAnsi" w:hAnsiTheme="majorHAnsi" w:cstheme="majorBidi"/>
        </w:rPr>
        <w:t>ROPE</w:t>
      </w:r>
      <w:r w:rsidR="00635751" w:rsidRPr="1B6D4527">
        <w:rPr>
          <w:rFonts w:asciiTheme="majorHAnsi" w:hAnsiTheme="majorHAnsi" w:cstheme="majorBidi"/>
        </w:rPr>
        <w:t xml:space="preserve"> policy</w:t>
      </w:r>
      <w:r w:rsidR="003639AF" w:rsidRPr="1B6D4527">
        <w:rPr>
          <w:rFonts w:asciiTheme="majorHAnsi" w:hAnsiTheme="majorHAnsi" w:cstheme="majorBidi"/>
        </w:rPr>
        <w:t xml:space="preserve"> </w:t>
      </w:r>
      <w:r w:rsidR="73E6A152" w:rsidRPr="4BBBAF4A">
        <w:rPr>
          <w:rFonts w:asciiTheme="majorHAnsi" w:hAnsiTheme="majorHAnsi" w:cstheme="majorBidi"/>
        </w:rPr>
        <w:t xml:space="preserve">since </w:t>
      </w:r>
      <w:r w:rsidR="00A43E25" w:rsidRPr="1B6D4527">
        <w:rPr>
          <w:rFonts w:asciiTheme="majorHAnsi" w:hAnsiTheme="majorHAnsi" w:cstheme="majorBidi"/>
        </w:rPr>
        <w:t>2014</w:t>
      </w:r>
      <w:r w:rsidR="003639AF" w:rsidRPr="1B6D4527">
        <w:rPr>
          <w:rFonts w:asciiTheme="majorHAnsi" w:hAnsiTheme="majorHAnsi" w:cstheme="majorBidi"/>
        </w:rPr>
        <w:t xml:space="preserve"> </w:t>
      </w:r>
      <w:r w:rsidR="00691A8B" w:rsidRPr="1B6D4527">
        <w:rPr>
          <w:rFonts w:asciiTheme="majorHAnsi" w:hAnsiTheme="majorHAnsi" w:cstheme="majorBidi"/>
        </w:rPr>
        <w:t>has,</w:t>
      </w:r>
      <w:r w:rsidR="003639AF" w:rsidRPr="1B6D4527">
        <w:rPr>
          <w:rFonts w:asciiTheme="majorHAnsi" w:hAnsiTheme="majorHAnsi" w:cstheme="majorBidi"/>
        </w:rPr>
        <w:t xml:space="preserve"> </w:t>
      </w:r>
      <w:r w:rsidR="324F58A9" w:rsidRPr="6AB417E6">
        <w:rPr>
          <w:rFonts w:asciiTheme="majorHAnsi" w:hAnsiTheme="majorHAnsi" w:cstheme="majorBidi"/>
        </w:rPr>
        <w:t xml:space="preserve">in some respects, </w:t>
      </w:r>
      <w:r w:rsidR="003639AF" w:rsidRPr="1B6D4527">
        <w:rPr>
          <w:rFonts w:asciiTheme="majorHAnsi" w:hAnsiTheme="majorHAnsi" w:cstheme="majorBidi"/>
        </w:rPr>
        <w:t>support</w:t>
      </w:r>
      <w:r w:rsidR="00691A8B" w:rsidRPr="1B6D4527">
        <w:rPr>
          <w:rFonts w:asciiTheme="majorHAnsi" w:hAnsiTheme="majorHAnsi" w:cstheme="majorBidi"/>
        </w:rPr>
        <w:t>ed</w:t>
      </w:r>
      <w:r w:rsidR="003639AF" w:rsidRPr="1B6D4527">
        <w:rPr>
          <w:rFonts w:asciiTheme="majorHAnsi" w:hAnsiTheme="majorHAnsi" w:cstheme="majorBidi"/>
        </w:rPr>
        <w:t xml:space="preserve"> the scheme to effectively contribute to</w:t>
      </w:r>
      <w:r w:rsidR="00691A8B" w:rsidRPr="1B6D4527">
        <w:rPr>
          <w:rFonts w:asciiTheme="majorHAnsi" w:hAnsiTheme="majorHAnsi" w:cstheme="majorBidi"/>
        </w:rPr>
        <w:t xml:space="preserve"> </w:t>
      </w:r>
      <w:r w:rsidR="00910A8F" w:rsidRPr="1B6D4527">
        <w:rPr>
          <w:rFonts w:asciiTheme="majorHAnsi" w:hAnsiTheme="majorHAnsi" w:cstheme="majorBidi"/>
        </w:rPr>
        <w:t>the</w:t>
      </w:r>
      <w:r w:rsidR="003639AF" w:rsidRPr="1B6D4527">
        <w:rPr>
          <w:rFonts w:asciiTheme="majorHAnsi" w:hAnsiTheme="majorHAnsi" w:cstheme="majorBidi"/>
        </w:rPr>
        <w:t xml:space="preserve"> expan</w:t>
      </w:r>
      <w:r w:rsidR="00910A8F" w:rsidRPr="1B6D4527">
        <w:rPr>
          <w:rFonts w:asciiTheme="majorHAnsi" w:hAnsiTheme="majorHAnsi" w:cstheme="majorBidi"/>
        </w:rPr>
        <w:t>sion of Australia’s</w:t>
      </w:r>
      <w:r w:rsidR="003639AF" w:rsidRPr="1B6D4527">
        <w:rPr>
          <w:rFonts w:asciiTheme="majorHAnsi" w:hAnsiTheme="majorHAnsi" w:cstheme="majorBidi"/>
        </w:rPr>
        <w:t xml:space="preserve"> research capacity by ensuring opportunities are provided to those with less research experience</w:t>
      </w:r>
      <w:r w:rsidR="003639AF" w:rsidRPr="33C5E63D">
        <w:rPr>
          <w:rFonts w:asciiTheme="majorHAnsi" w:hAnsiTheme="majorHAnsi" w:cstheme="majorBidi"/>
        </w:rPr>
        <w:t>.</w:t>
      </w:r>
      <w:r w:rsidR="008810C9" w:rsidRPr="1B6D4527">
        <w:rPr>
          <w:rFonts w:asciiTheme="majorHAnsi" w:hAnsiTheme="majorHAnsi" w:cstheme="majorBidi"/>
        </w:rPr>
        <w:t xml:space="preserve"> </w:t>
      </w:r>
      <w:r w:rsidR="5B58DCFF" w:rsidRPr="4BBBAF4A">
        <w:rPr>
          <w:rFonts w:asciiTheme="majorHAnsi" w:hAnsiTheme="majorHAnsi" w:cstheme="majorBidi"/>
        </w:rPr>
        <w:t xml:space="preserve"> </w:t>
      </w:r>
      <w:r w:rsidR="5B58DCFF" w:rsidRPr="4CEDDD67">
        <w:rPr>
          <w:rFonts w:asciiTheme="majorHAnsi" w:hAnsiTheme="majorHAnsi" w:cstheme="majorBidi"/>
        </w:rPr>
        <w:t>However</w:t>
      </w:r>
      <w:r w:rsidR="5B58DCFF" w:rsidRPr="4BBBAF4A">
        <w:rPr>
          <w:rFonts w:asciiTheme="majorHAnsi" w:hAnsiTheme="majorHAnsi" w:cstheme="majorBidi"/>
        </w:rPr>
        <w:t>, to address lower success rates for lead Chief Investigator Early Career Researchers, there may be value in reinforcing ROPE in advice to Discovery Projects assessors.</w:t>
      </w:r>
    </w:p>
    <w:p w14:paraId="64B43337" w14:textId="39D84FE6" w:rsidR="003639AF" w:rsidRDefault="003639AF" w:rsidP="003639AF">
      <w:pPr>
        <w:rPr>
          <w:rFonts w:asciiTheme="majorHAnsi" w:hAnsiTheme="majorHAnsi" w:cstheme="majorBidi"/>
        </w:rPr>
      </w:pPr>
      <w:r w:rsidRPr="110B16CB">
        <w:rPr>
          <w:rFonts w:asciiTheme="majorHAnsi" w:hAnsiTheme="majorHAnsi" w:cstheme="majorBidi"/>
        </w:rPr>
        <w:t>These findings should be interpreted in light of broader changes to the composition of the Australian research workforce over time. For instance, recent growth in the number of postgraduate research completions at Australian universities</w:t>
      </w:r>
      <w:r w:rsidRPr="110B16CB">
        <w:rPr>
          <w:rStyle w:val="FootnoteReference"/>
          <w:rFonts w:asciiTheme="majorHAnsi" w:hAnsiTheme="majorHAnsi" w:cstheme="majorBidi"/>
        </w:rPr>
        <w:footnoteReference w:id="71"/>
      </w:r>
      <w:r w:rsidRPr="110B16CB">
        <w:rPr>
          <w:rFonts w:asciiTheme="majorHAnsi" w:hAnsiTheme="majorHAnsi" w:cstheme="majorBidi"/>
        </w:rPr>
        <w:t xml:space="preserve"> is likely to mean that a greater proportion of the contemporary university research workforce would currently meet the ARC’s definition of Early or Mid-Career Researcher, compared to a decade ago. This </w:t>
      </w:r>
      <w:r w:rsidR="00807CB7" w:rsidRPr="110B16CB">
        <w:rPr>
          <w:rFonts w:asciiTheme="majorHAnsi" w:hAnsiTheme="majorHAnsi" w:cstheme="majorBidi"/>
        </w:rPr>
        <w:t xml:space="preserve">growth </w:t>
      </w:r>
      <w:r w:rsidRPr="110B16CB">
        <w:rPr>
          <w:rFonts w:asciiTheme="majorHAnsi" w:hAnsiTheme="majorHAnsi" w:cstheme="majorBidi"/>
        </w:rPr>
        <w:t xml:space="preserve">has occurred alongside the decline in the representation of these groups appearing on applications and funded projects under the Discovery Projects scheme. </w:t>
      </w:r>
      <w:r w:rsidR="00807CB7" w:rsidRPr="110B16CB">
        <w:rPr>
          <w:rFonts w:asciiTheme="majorHAnsi" w:hAnsiTheme="majorHAnsi" w:cstheme="majorBidi"/>
        </w:rPr>
        <w:t xml:space="preserve">Ongoing monitoring of participation and success rates by career age will be important </w:t>
      </w:r>
      <w:r w:rsidR="00E407FE" w:rsidRPr="110B16CB">
        <w:rPr>
          <w:rFonts w:asciiTheme="majorHAnsi" w:hAnsiTheme="majorHAnsi" w:cstheme="majorBidi"/>
        </w:rPr>
        <w:t xml:space="preserve">to </w:t>
      </w:r>
      <w:r w:rsidR="00807CB7" w:rsidRPr="110B16CB">
        <w:rPr>
          <w:rFonts w:asciiTheme="majorHAnsi" w:hAnsiTheme="majorHAnsi" w:cstheme="majorBidi"/>
        </w:rPr>
        <w:t>identify</w:t>
      </w:r>
      <w:r w:rsidR="00E407FE" w:rsidRPr="110B16CB">
        <w:rPr>
          <w:rFonts w:asciiTheme="majorHAnsi" w:hAnsiTheme="majorHAnsi" w:cstheme="majorBidi"/>
        </w:rPr>
        <w:t xml:space="preserve"> </w:t>
      </w:r>
      <w:r w:rsidR="00807CB7" w:rsidRPr="110B16CB">
        <w:rPr>
          <w:rFonts w:asciiTheme="majorHAnsi" w:hAnsiTheme="majorHAnsi" w:cstheme="majorBidi"/>
        </w:rPr>
        <w:t xml:space="preserve">longer term trends and inform the effective implementation of the ROPE policy into the future. </w:t>
      </w:r>
    </w:p>
    <w:p w14:paraId="701DA782" w14:textId="2F9C8653" w:rsidR="003639AF" w:rsidRDefault="003639AF" w:rsidP="00254D36">
      <w:pPr>
        <w:pStyle w:val="Heading3"/>
        <w:numPr>
          <w:ilvl w:val="2"/>
          <w:numId w:val="17"/>
        </w:numPr>
        <w:shd w:val="clear" w:color="auto" w:fill="auto"/>
      </w:pPr>
      <w:bookmarkStart w:id="639" w:name="_Qualitative_stakeholder_feedback"/>
      <w:bookmarkStart w:id="640" w:name="_Toc50533628"/>
      <w:bookmarkStart w:id="641" w:name="_Toc50553778"/>
      <w:bookmarkStart w:id="642" w:name="_Toc50555014"/>
      <w:bookmarkStart w:id="643" w:name="_Toc50618148"/>
      <w:bookmarkStart w:id="644" w:name="_Toc50618429"/>
      <w:bookmarkStart w:id="645" w:name="_Toc51917029"/>
      <w:bookmarkStart w:id="646" w:name="_Toc51918869"/>
      <w:bookmarkStart w:id="647" w:name="_Toc53557252"/>
      <w:bookmarkStart w:id="648" w:name="_Toc54699294"/>
      <w:bookmarkStart w:id="649" w:name="_Toc55544828"/>
      <w:bookmarkEnd w:id="639"/>
      <w:r>
        <w:t>Qualitative s</w:t>
      </w:r>
      <w:r w:rsidRPr="0065452B">
        <w:t xml:space="preserve">takeholder </w:t>
      </w:r>
      <w:r>
        <w:t>feedback on effectiveness</w:t>
      </w:r>
      <w:bookmarkEnd w:id="640"/>
      <w:bookmarkEnd w:id="641"/>
      <w:bookmarkEnd w:id="642"/>
      <w:bookmarkEnd w:id="643"/>
      <w:bookmarkEnd w:id="644"/>
      <w:bookmarkEnd w:id="645"/>
      <w:bookmarkEnd w:id="646"/>
      <w:bookmarkEnd w:id="647"/>
      <w:bookmarkEnd w:id="648"/>
      <w:bookmarkEnd w:id="649"/>
    </w:p>
    <w:p w14:paraId="3CB020F6" w14:textId="5544D5CB" w:rsidR="003639AF" w:rsidRPr="00B33D27" w:rsidRDefault="003639AF" w:rsidP="003639AF">
      <w:pPr>
        <w:pStyle w:val="Mainbodytext"/>
        <w:spacing w:before="0" w:after="240" w:line="259" w:lineRule="auto"/>
        <w:rPr>
          <w:rFonts w:asciiTheme="majorHAnsi" w:hAnsiTheme="majorHAnsi" w:cstheme="majorHAnsi"/>
          <w:sz w:val="22"/>
        </w:rPr>
      </w:pPr>
      <w:r>
        <w:rPr>
          <w:rFonts w:asciiTheme="majorHAnsi" w:hAnsiTheme="majorHAnsi" w:cstheme="majorHAnsi"/>
          <w:sz w:val="22"/>
        </w:rPr>
        <w:t xml:space="preserve">Qualitative feedback indicated that stakeholders perceived </w:t>
      </w:r>
      <w:r w:rsidR="000664E8">
        <w:rPr>
          <w:rFonts w:asciiTheme="majorHAnsi" w:hAnsiTheme="majorHAnsi" w:cstheme="majorHAnsi"/>
          <w:sz w:val="22"/>
        </w:rPr>
        <w:t xml:space="preserve">Discovery Projects’ </w:t>
      </w:r>
      <w:r>
        <w:rPr>
          <w:rFonts w:asciiTheme="majorHAnsi" w:hAnsiTheme="majorHAnsi" w:cstheme="majorHAnsi"/>
          <w:sz w:val="22"/>
        </w:rPr>
        <w:t>effectiveness in expanding Australia’s knowledge base and research capacity</w:t>
      </w:r>
      <w:r w:rsidRPr="00B33D27">
        <w:rPr>
          <w:rFonts w:asciiTheme="majorHAnsi" w:hAnsiTheme="majorHAnsi" w:cstheme="majorHAnsi"/>
          <w:sz w:val="22"/>
        </w:rPr>
        <w:t xml:space="preserve"> to be </w:t>
      </w:r>
      <w:r>
        <w:rPr>
          <w:rFonts w:asciiTheme="majorHAnsi" w:hAnsiTheme="majorHAnsi" w:cstheme="majorHAnsi"/>
          <w:sz w:val="22"/>
        </w:rPr>
        <w:t>underpinned by its support for</w:t>
      </w:r>
      <w:r w:rsidRPr="00B33D27">
        <w:rPr>
          <w:rFonts w:asciiTheme="majorHAnsi" w:hAnsiTheme="majorHAnsi" w:cstheme="majorHAnsi"/>
          <w:sz w:val="22"/>
        </w:rPr>
        <w:t xml:space="preserve"> research </w:t>
      </w:r>
      <w:r w:rsidR="00185288">
        <w:rPr>
          <w:rFonts w:asciiTheme="majorHAnsi" w:hAnsiTheme="majorHAnsi" w:cstheme="majorHAnsi"/>
          <w:sz w:val="22"/>
        </w:rPr>
        <w:t xml:space="preserve">excellence </w:t>
      </w:r>
      <w:r w:rsidRPr="00B33D27">
        <w:rPr>
          <w:rFonts w:asciiTheme="majorHAnsi" w:hAnsiTheme="majorHAnsi" w:cstheme="majorHAnsi"/>
          <w:sz w:val="22"/>
        </w:rPr>
        <w:t xml:space="preserve">across diverse disciplinary domains. The ‘investigator-led’ nature of </w:t>
      </w:r>
      <w:r w:rsidR="000664E8">
        <w:rPr>
          <w:rFonts w:asciiTheme="majorHAnsi" w:hAnsiTheme="majorHAnsi" w:cstheme="majorHAnsi"/>
          <w:sz w:val="22"/>
        </w:rPr>
        <w:t>the scheme</w:t>
      </w:r>
      <w:r w:rsidRPr="00B33D27">
        <w:rPr>
          <w:rFonts w:asciiTheme="majorHAnsi" w:hAnsiTheme="majorHAnsi" w:cstheme="majorHAnsi"/>
          <w:sz w:val="22"/>
        </w:rPr>
        <w:t xml:space="preserve"> was regarded as effectively </w:t>
      </w:r>
      <w:r w:rsidR="00811216">
        <w:rPr>
          <w:rFonts w:asciiTheme="majorHAnsi" w:hAnsiTheme="majorHAnsi" w:cstheme="majorHAnsi"/>
          <w:sz w:val="22"/>
        </w:rPr>
        <w:t>fostering</w:t>
      </w:r>
      <w:r w:rsidRPr="00B33D27">
        <w:rPr>
          <w:rFonts w:asciiTheme="majorHAnsi" w:hAnsiTheme="majorHAnsi" w:cstheme="majorHAnsi"/>
          <w:sz w:val="22"/>
        </w:rPr>
        <w:t xml:space="preserve"> outcomes unlikely to have arisen via industry or philanthropic-supported research.</w:t>
      </w:r>
      <w:r w:rsidRPr="00093E86">
        <w:rPr>
          <w:rFonts w:asciiTheme="majorHAnsi" w:hAnsiTheme="majorHAnsi" w:cstheme="majorHAnsi"/>
          <w:sz w:val="22"/>
        </w:rPr>
        <w:t xml:space="preserve"> </w:t>
      </w:r>
      <w:r>
        <w:rPr>
          <w:rFonts w:asciiTheme="majorHAnsi" w:hAnsiTheme="majorHAnsi" w:cstheme="majorHAnsi"/>
          <w:sz w:val="22"/>
        </w:rPr>
        <w:t xml:space="preserve">While some </w:t>
      </w:r>
      <w:r w:rsidRPr="00132AA0">
        <w:rPr>
          <w:rFonts w:asciiTheme="majorHAnsi" w:hAnsiTheme="majorHAnsi" w:cstheme="majorHAnsi"/>
          <w:sz w:val="22"/>
        </w:rPr>
        <w:t xml:space="preserve">suggested that </w:t>
      </w:r>
      <w:r w:rsidR="00782DAD">
        <w:rPr>
          <w:rFonts w:asciiTheme="majorHAnsi" w:hAnsiTheme="majorHAnsi" w:cstheme="majorHAnsi"/>
          <w:sz w:val="22"/>
        </w:rPr>
        <w:t xml:space="preserve">the </w:t>
      </w:r>
      <w:r w:rsidR="00F1392B">
        <w:rPr>
          <w:rFonts w:asciiTheme="majorHAnsi" w:hAnsiTheme="majorHAnsi" w:cstheme="majorHAnsi"/>
          <w:sz w:val="22"/>
        </w:rPr>
        <w:t>scheme</w:t>
      </w:r>
      <w:r w:rsidR="00782DAD">
        <w:rPr>
          <w:rFonts w:asciiTheme="majorHAnsi" w:hAnsiTheme="majorHAnsi" w:cstheme="majorHAnsi"/>
          <w:sz w:val="22"/>
        </w:rPr>
        <w:t>’s</w:t>
      </w:r>
      <w:r w:rsidR="00F1392B">
        <w:rPr>
          <w:rFonts w:asciiTheme="majorHAnsi" w:hAnsiTheme="majorHAnsi" w:cstheme="majorHAnsi"/>
          <w:sz w:val="22"/>
        </w:rPr>
        <w:t xml:space="preserve"> performance</w:t>
      </w:r>
      <w:r w:rsidR="00E54AC7">
        <w:rPr>
          <w:rFonts w:asciiTheme="majorHAnsi" w:hAnsiTheme="majorHAnsi" w:cstheme="majorHAnsi"/>
          <w:sz w:val="22"/>
        </w:rPr>
        <w:t xml:space="preserve"> in this regard</w:t>
      </w:r>
      <w:r w:rsidR="00F1392B">
        <w:rPr>
          <w:rFonts w:asciiTheme="majorHAnsi" w:hAnsiTheme="majorHAnsi" w:cstheme="majorHAnsi"/>
          <w:sz w:val="22"/>
        </w:rPr>
        <w:t xml:space="preserve"> </w:t>
      </w:r>
      <w:r w:rsidRPr="00132AA0">
        <w:rPr>
          <w:rFonts w:asciiTheme="majorHAnsi" w:hAnsiTheme="majorHAnsi" w:cstheme="majorHAnsi"/>
          <w:sz w:val="22"/>
        </w:rPr>
        <w:t>could be further enhanced through greater resourcing</w:t>
      </w:r>
      <w:r>
        <w:rPr>
          <w:rFonts w:asciiTheme="majorHAnsi" w:hAnsiTheme="majorHAnsi" w:cstheme="majorHAnsi"/>
          <w:sz w:val="22"/>
        </w:rPr>
        <w:t>, it is important to note that</w:t>
      </w:r>
      <w:r w:rsidRPr="00132AA0">
        <w:rPr>
          <w:rFonts w:asciiTheme="majorHAnsi" w:hAnsiTheme="majorHAnsi" w:cstheme="majorHAnsi"/>
          <w:sz w:val="22"/>
        </w:rPr>
        <w:t xml:space="preserve"> </w:t>
      </w:r>
      <w:r>
        <w:rPr>
          <w:rFonts w:asciiTheme="majorHAnsi" w:hAnsiTheme="majorHAnsi" w:cstheme="majorHAnsi"/>
          <w:sz w:val="22"/>
        </w:rPr>
        <w:t xml:space="preserve">overall NCGP </w:t>
      </w:r>
      <w:r w:rsidRPr="00132AA0">
        <w:rPr>
          <w:rFonts w:asciiTheme="majorHAnsi" w:hAnsiTheme="majorHAnsi" w:cstheme="majorHAnsi"/>
          <w:sz w:val="22"/>
        </w:rPr>
        <w:t xml:space="preserve">funding is primarily determined through Australian Government </w:t>
      </w:r>
      <w:r>
        <w:rPr>
          <w:rFonts w:asciiTheme="majorHAnsi" w:hAnsiTheme="majorHAnsi" w:cstheme="majorHAnsi"/>
          <w:sz w:val="22"/>
        </w:rPr>
        <w:t>Budget</w:t>
      </w:r>
      <w:r w:rsidRPr="00132AA0">
        <w:rPr>
          <w:rFonts w:asciiTheme="majorHAnsi" w:hAnsiTheme="majorHAnsi" w:cstheme="majorHAnsi"/>
          <w:sz w:val="22"/>
        </w:rPr>
        <w:t xml:space="preserve"> processes and is beyond the scope of this evaluation</w:t>
      </w:r>
      <w:r w:rsidRPr="00132AA0" w:rsidDel="00387B32">
        <w:rPr>
          <w:rFonts w:asciiTheme="majorHAnsi" w:hAnsiTheme="majorHAnsi" w:cstheme="majorHAnsi"/>
          <w:sz w:val="22"/>
        </w:rPr>
        <w:t>.</w:t>
      </w:r>
    </w:p>
    <w:p w14:paraId="4BED4539" w14:textId="77777777" w:rsidR="003639AF" w:rsidRPr="003A7A62" w:rsidRDefault="003639AF" w:rsidP="001220A3">
      <w:pPr>
        <w:pStyle w:val="Quote"/>
      </w:pPr>
      <w:r w:rsidRPr="00CB29FC">
        <w:t xml:space="preserve">The ARC is </w:t>
      </w:r>
      <w:r w:rsidRPr="003A7A62">
        <w:t>critical to expanding our knowledge base—</w:t>
      </w:r>
      <w:r w:rsidRPr="00CB29FC">
        <w:t xml:space="preserve">it is about doing free form research in important areas that are going to be important in the future—so we need to keep resourcing that effectively </w:t>
      </w:r>
      <w:r w:rsidRPr="003E0DE0">
        <w:rPr>
          <w:i w:val="0"/>
          <w:iCs w:val="0"/>
        </w:rPr>
        <w:t>– (University Research Office)</w:t>
      </w:r>
    </w:p>
    <w:p w14:paraId="68857CF6" w14:textId="77777777" w:rsidR="003639AF" w:rsidRPr="003A7A62" w:rsidRDefault="003639AF" w:rsidP="003E0DE0">
      <w:pPr>
        <w:pStyle w:val="Quote"/>
        <w:spacing w:after="240"/>
        <w:ind w:left="425" w:right="663"/>
      </w:pPr>
      <w:r w:rsidRPr="00CB29FC">
        <w:t xml:space="preserve">I feel the scheme achieves this [intended outcome] well, but </w:t>
      </w:r>
      <w:r w:rsidRPr="003A7A62">
        <w:t xml:space="preserve">outcomes would be improved with greater funding </w:t>
      </w:r>
      <w:r w:rsidRPr="003E0DE0">
        <w:rPr>
          <w:i w:val="0"/>
          <w:iCs w:val="0"/>
        </w:rPr>
        <w:t>– (University Research Office)</w:t>
      </w:r>
    </w:p>
    <w:p w14:paraId="6417E0BA" w14:textId="77777777" w:rsidR="003639AF" w:rsidRPr="000D7FD7" w:rsidRDefault="003639AF" w:rsidP="003639AF">
      <w:pPr>
        <w:pStyle w:val="Mainbodytext"/>
        <w:spacing w:before="0" w:after="240" w:line="259" w:lineRule="auto"/>
        <w:rPr>
          <w:rFonts w:asciiTheme="majorHAnsi" w:hAnsiTheme="majorHAnsi" w:cstheme="majorHAnsi"/>
          <w:sz w:val="22"/>
        </w:rPr>
      </w:pPr>
      <w:r>
        <w:rPr>
          <w:rFonts w:asciiTheme="majorHAnsi" w:hAnsiTheme="majorHAnsi" w:cstheme="majorHAnsi"/>
          <w:sz w:val="22"/>
        </w:rPr>
        <w:t>S</w:t>
      </w:r>
      <w:r w:rsidRPr="000D7FD7">
        <w:rPr>
          <w:rFonts w:asciiTheme="majorHAnsi" w:hAnsiTheme="majorHAnsi" w:cstheme="majorHAnsi"/>
          <w:sz w:val="22"/>
        </w:rPr>
        <w:t xml:space="preserve">ome participants </w:t>
      </w:r>
      <w:r>
        <w:rPr>
          <w:rFonts w:asciiTheme="majorHAnsi" w:hAnsiTheme="majorHAnsi" w:cstheme="majorHAnsi"/>
          <w:sz w:val="22"/>
        </w:rPr>
        <w:t>highlighted</w:t>
      </w:r>
      <w:r w:rsidRPr="000D7FD7">
        <w:rPr>
          <w:rFonts w:asciiTheme="majorHAnsi" w:hAnsiTheme="majorHAnsi" w:cstheme="majorHAnsi"/>
          <w:sz w:val="22"/>
        </w:rPr>
        <w:t xml:space="preserve"> the knowledge, </w:t>
      </w:r>
      <w:r>
        <w:rPr>
          <w:rFonts w:asciiTheme="majorHAnsi" w:hAnsiTheme="majorHAnsi" w:cstheme="majorHAnsi"/>
          <w:sz w:val="22"/>
        </w:rPr>
        <w:t xml:space="preserve">research </w:t>
      </w:r>
      <w:r w:rsidRPr="000D7FD7">
        <w:rPr>
          <w:rFonts w:asciiTheme="majorHAnsi" w:hAnsiTheme="majorHAnsi" w:cstheme="majorHAnsi"/>
          <w:sz w:val="22"/>
        </w:rPr>
        <w:t xml:space="preserve">training and </w:t>
      </w:r>
      <w:r>
        <w:rPr>
          <w:rFonts w:asciiTheme="majorHAnsi" w:hAnsiTheme="majorHAnsi" w:cstheme="majorHAnsi"/>
          <w:sz w:val="22"/>
        </w:rPr>
        <w:t>equipment</w:t>
      </w:r>
      <w:r w:rsidRPr="000D7FD7">
        <w:rPr>
          <w:rFonts w:asciiTheme="majorHAnsi" w:hAnsiTheme="majorHAnsi" w:cstheme="majorHAnsi"/>
          <w:sz w:val="22"/>
        </w:rPr>
        <w:t xml:space="preserve"> supported through</w:t>
      </w:r>
      <w:r>
        <w:rPr>
          <w:rFonts w:asciiTheme="majorHAnsi" w:hAnsiTheme="majorHAnsi" w:cstheme="majorHAnsi"/>
          <w:sz w:val="22"/>
        </w:rPr>
        <w:t xml:space="preserve"> Discovery Projects as important contributions to expanding research capacity within higher education institutions, and other sectors more broadly.</w:t>
      </w:r>
    </w:p>
    <w:p w14:paraId="031526FA" w14:textId="77777777" w:rsidR="003639AF" w:rsidRPr="000D7FD7" w:rsidRDefault="003639AF" w:rsidP="003E0DE0">
      <w:pPr>
        <w:pStyle w:val="Quote"/>
        <w:spacing w:after="240"/>
        <w:ind w:left="425" w:right="663"/>
      </w:pPr>
      <w:r w:rsidRPr="00A37DBA">
        <w:t xml:space="preserve">This includes through the research training it provides, the knowledge that (it) supports (and) the research infrastructure that is often critical for industry partners or users, and </w:t>
      </w:r>
      <w:r w:rsidRPr="00A37DBA">
        <w:lastRenderedPageBreak/>
        <w:t>that it provides bases on which businesses and other end users can engage with universities and their research</w:t>
      </w:r>
      <w:r w:rsidRPr="00CB29FC">
        <w:t xml:space="preserve"> </w:t>
      </w:r>
      <w:r w:rsidRPr="003E0DE0">
        <w:rPr>
          <w:i w:val="0"/>
          <w:iCs w:val="0"/>
        </w:rPr>
        <w:t>– (Peak Body)</w:t>
      </w:r>
    </w:p>
    <w:p w14:paraId="5D84EB68" w14:textId="7DBE73DD" w:rsidR="003639AF" w:rsidRPr="000D7FD7" w:rsidRDefault="00FE5327" w:rsidP="003639AF">
      <w:pPr>
        <w:spacing w:after="240"/>
        <w:rPr>
          <w:rFonts w:asciiTheme="majorHAnsi" w:hAnsiTheme="majorHAnsi" w:cstheme="majorHAnsi"/>
        </w:rPr>
      </w:pPr>
      <w:r>
        <w:rPr>
          <w:rFonts w:asciiTheme="majorHAnsi" w:hAnsiTheme="majorHAnsi" w:cstheme="majorHAnsi"/>
          <w:iCs/>
        </w:rPr>
        <w:t>S</w:t>
      </w:r>
      <w:r w:rsidR="003639AF">
        <w:rPr>
          <w:rFonts w:asciiTheme="majorHAnsi" w:hAnsiTheme="majorHAnsi" w:cstheme="majorHAnsi"/>
          <w:iCs/>
        </w:rPr>
        <w:t xml:space="preserve">takeholder feedback </w:t>
      </w:r>
      <w:r w:rsidR="00461E6D">
        <w:rPr>
          <w:rFonts w:asciiTheme="majorHAnsi" w:hAnsiTheme="majorHAnsi" w:cstheme="majorHAnsi"/>
          <w:iCs/>
        </w:rPr>
        <w:t xml:space="preserve">included </w:t>
      </w:r>
      <w:r w:rsidR="003639AF">
        <w:rPr>
          <w:rFonts w:asciiTheme="majorHAnsi" w:hAnsiTheme="majorHAnsi" w:cstheme="majorHAnsi"/>
          <w:iCs/>
        </w:rPr>
        <w:t>concern</w:t>
      </w:r>
      <w:r w:rsidR="00461E6D">
        <w:rPr>
          <w:rFonts w:asciiTheme="majorHAnsi" w:hAnsiTheme="majorHAnsi" w:cstheme="majorHAnsi"/>
          <w:iCs/>
        </w:rPr>
        <w:t>s</w:t>
      </w:r>
      <w:r w:rsidR="003639AF" w:rsidRPr="00B33D27">
        <w:rPr>
          <w:rFonts w:asciiTheme="majorHAnsi" w:hAnsiTheme="majorHAnsi" w:cstheme="majorHAnsi"/>
          <w:iCs/>
        </w:rPr>
        <w:t xml:space="preserve"> that</w:t>
      </w:r>
      <w:r w:rsidR="003639AF">
        <w:rPr>
          <w:rFonts w:asciiTheme="majorHAnsi" w:hAnsiTheme="majorHAnsi" w:cstheme="majorHAnsi"/>
          <w:iCs/>
        </w:rPr>
        <w:t>, despite the presence of ROPE,</w:t>
      </w:r>
      <w:r w:rsidR="003639AF" w:rsidRPr="00B33D27">
        <w:rPr>
          <w:rFonts w:asciiTheme="majorHAnsi" w:hAnsiTheme="majorHAnsi" w:cstheme="majorHAnsi"/>
          <w:iCs/>
        </w:rPr>
        <w:t xml:space="preserve"> Discovery Projects </w:t>
      </w:r>
      <w:r w:rsidR="00AA74EB">
        <w:rPr>
          <w:rFonts w:asciiTheme="majorHAnsi" w:hAnsiTheme="majorHAnsi" w:cstheme="majorHAnsi"/>
          <w:iCs/>
        </w:rPr>
        <w:t>assessment</w:t>
      </w:r>
      <w:r w:rsidR="00AA74EB" w:rsidRPr="00B33D27">
        <w:rPr>
          <w:rFonts w:asciiTheme="majorHAnsi" w:hAnsiTheme="majorHAnsi" w:cstheme="majorHAnsi"/>
          <w:iCs/>
        </w:rPr>
        <w:t xml:space="preserve"> </w:t>
      </w:r>
      <w:r w:rsidR="003639AF" w:rsidRPr="00B33D27">
        <w:rPr>
          <w:rFonts w:asciiTheme="majorHAnsi" w:hAnsiTheme="majorHAnsi" w:cstheme="majorHAnsi"/>
          <w:iCs/>
        </w:rPr>
        <w:t>processes may favour applicants with</w:t>
      </w:r>
      <w:r w:rsidR="003639AF">
        <w:rPr>
          <w:rFonts w:asciiTheme="majorHAnsi" w:hAnsiTheme="majorHAnsi" w:cstheme="majorHAnsi"/>
          <w:iCs/>
        </w:rPr>
        <w:t xml:space="preserve"> established academic careers and</w:t>
      </w:r>
      <w:r w:rsidR="003639AF" w:rsidRPr="00B33D27">
        <w:rPr>
          <w:rFonts w:asciiTheme="majorHAnsi" w:hAnsiTheme="majorHAnsi" w:cstheme="majorHAnsi"/>
          <w:iCs/>
        </w:rPr>
        <w:t xml:space="preserve"> extensive track</w:t>
      </w:r>
      <w:r w:rsidR="003639AF">
        <w:rPr>
          <w:rFonts w:asciiTheme="majorHAnsi" w:hAnsiTheme="majorHAnsi" w:cstheme="majorHAnsi"/>
          <w:iCs/>
        </w:rPr>
        <w:t xml:space="preserve"> records. Among the feedback were perceptions that only </w:t>
      </w:r>
      <w:r w:rsidR="003639AF" w:rsidRPr="00B33D27">
        <w:rPr>
          <w:rFonts w:asciiTheme="majorHAnsi" w:hAnsiTheme="majorHAnsi" w:cstheme="majorHAnsi"/>
          <w:iCs/>
        </w:rPr>
        <w:t>the</w:t>
      </w:r>
      <w:r w:rsidR="003639AF" w:rsidRPr="00B33D27">
        <w:rPr>
          <w:rFonts w:asciiTheme="majorHAnsi" w:hAnsiTheme="majorHAnsi" w:cstheme="majorHAnsi"/>
        </w:rPr>
        <w:t xml:space="preserve"> most expe</w:t>
      </w:r>
      <w:r w:rsidR="003639AF">
        <w:rPr>
          <w:rFonts w:asciiTheme="majorHAnsi" w:hAnsiTheme="majorHAnsi" w:cstheme="majorHAnsi"/>
        </w:rPr>
        <w:t xml:space="preserve">rienced researchers win grants, potentially </w:t>
      </w:r>
      <w:r w:rsidR="003639AF" w:rsidRPr="00B33D27">
        <w:rPr>
          <w:rFonts w:asciiTheme="majorHAnsi" w:hAnsiTheme="majorHAnsi" w:cstheme="majorHAnsi"/>
          <w:iCs/>
        </w:rPr>
        <w:t xml:space="preserve">undermining the breadth of support for Australia’s </w:t>
      </w:r>
      <w:r w:rsidR="003639AF">
        <w:rPr>
          <w:rFonts w:asciiTheme="majorHAnsi" w:hAnsiTheme="majorHAnsi" w:cstheme="majorHAnsi"/>
          <w:iCs/>
        </w:rPr>
        <w:t xml:space="preserve">broader </w:t>
      </w:r>
      <w:r w:rsidR="003639AF" w:rsidRPr="00B33D27">
        <w:rPr>
          <w:rFonts w:asciiTheme="majorHAnsi" w:hAnsiTheme="majorHAnsi" w:cstheme="majorHAnsi"/>
          <w:iCs/>
        </w:rPr>
        <w:t>resear</w:t>
      </w:r>
      <w:r w:rsidR="003639AF">
        <w:rPr>
          <w:rFonts w:asciiTheme="majorHAnsi" w:hAnsiTheme="majorHAnsi" w:cstheme="majorHAnsi"/>
          <w:iCs/>
        </w:rPr>
        <w:t>ch workforce, and perpetuating</w:t>
      </w:r>
      <w:r w:rsidR="003639AF" w:rsidRPr="00B33D27">
        <w:rPr>
          <w:rFonts w:asciiTheme="majorHAnsi" w:hAnsiTheme="majorHAnsi" w:cstheme="majorHAnsi"/>
        </w:rPr>
        <w:t xml:space="preserve"> a cycle within which the ‘winners keep winning’</w:t>
      </w:r>
      <w:r w:rsidR="003639AF">
        <w:rPr>
          <w:rFonts w:asciiTheme="majorHAnsi" w:hAnsiTheme="majorHAnsi" w:cstheme="majorHAnsi"/>
        </w:rPr>
        <w:t xml:space="preserve"> Discovery Projects funding</w:t>
      </w:r>
      <w:r w:rsidR="003639AF" w:rsidRPr="00B33D27">
        <w:rPr>
          <w:rFonts w:asciiTheme="majorHAnsi" w:hAnsiTheme="majorHAnsi" w:cstheme="majorHAnsi"/>
        </w:rPr>
        <w:t>.</w:t>
      </w:r>
      <w:r w:rsidR="00760D6A" w:rsidRPr="00760D6A">
        <w:rPr>
          <w:rFonts w:asciiTheme="majorHAnsi" w:hAnsiTheme="majorHAnsi" w:cstheme="majorHAnsi"/>
        </w:rPr>
        <w:t xml:space="preserve"> </w:t>
      </w:r>
      <w:r w:rsidR="00760D6A">
        <w:rPr>
          <w:rFonts w:asciiTheme="majorHAnsi" w:hAnsiTheme="majorHAnsi" w:cstheme="majorHAnsi"/>
        </w:rPr>
        <w:t xml:space="preserve">Research offices suggested that </w:t>
      </w:r>
      <w:r w:rsidR="007B19D3">
        <w:rPr>
          <w:rFonts w:asciiTheme="majorHAnsi" w:hAnsiTheme="majorHAnsi" w:cstheme="majorHAnsi"/>
        </w:rPr>
        <w:t xml:space="preserve">such </w:t>
      </w:r>
      <w:r w:rsidR="00760D6A">
        <w:rPr>
          <w:rFonts w:asciiTheme="majorHAnsi" w:hAnsiTheme="majorHAnsi" w:cstheme="majorHAnsi"/>
        </w:rPr>
        <w:t>perceptions may discourage the inclusion of junior scholars on applications.</w:t>
      </w:r>
    </w:p>
    <w:p w14:paraId="4F47E387" w14:textId="77777777" w:rsidR="003639AF" w:rsidRDefault="003639AF" w:rsidP="001220A3">
      <w:pPr>
        <w:pStyle w:val="Quote"/>
      </w:pPr>
      <w:r w:rsidRPr="000D7FD7">
        <w:t xml:space="preserve">Early career researchers may be involved in writing the grant and activities associated in the grant; however (they) </w:t>
      </w:r>
      <w:r w:rsidRPr="000D7FD7">
        <w:rPr>
          <w:bCs/>
        </w:rPr>
        <w:t>may not be named due to the years of experience required to get the grant</w:t>
      </w:r>
      <w:r w:rsidRPr="003E0DE0">
        <w:rPr>
          <w:bCs/>
          <w:i w:val="0"/>
          <w:iCs w:val="0"/>
        </w:rPr>
        <w:t xml:space="preserve"> </w:t>
      </w:r>
      <w:r w:rsidRPr="003E0DE0">
        <w:rPr>
          <w:i w:val="0"/>
          <w:iCs w:val="0"/>
        </w:rPr>
        <w:t>– (University Research Office)</w:t>
      </w:r>
    </w:p>
    <w:p w14:paraId="13F08E5C" w14:textId="77777777" w:rsidR="003639AF" w:rsidRDefault="003639AF" w:rsidP="00DF617B">
      <w:pPr>
        <w:pStyle w:val="Quote"/>
        <w:spacing w:after="240"/>
        <w:ind w:left="425" w:right="663"/>
      </w:pPr>
      <w:r w:rsidRPr="009E5B02">
        <w:t>Mechanisms could be introduced to allow more opportunity for more junior researcher</w:t>
      </w:r>
      <w:r>
        <w:t xml:space="preserve">s to be brought into the scheme </w:t>
      </w:r>
      <w:r w:rsidRPr="003E0DE0">
        <w:rPr>
          <w:i w:val="0"/>
          <w:iCs w:val="0"/>
        </w:rPr>
        <w:t>– (Researcher)</w:t>
      </w:r>
    </w:p>
    <w:p w14:paraId="13A9E1B7" w14:textId="0A8C7763" w:rsidR="003639AF" w:rsidRPr="00B33D27" w:rsidRDefault="008037D0" w:rsidP="003639AF">
      <w:pPr>
        <w:pStyle w:val="Mainbodytext"/>
        <w:spacing w:before="0" w:after="240" w:line="259" w:lineRule="auto"/>
        <w:rPr>
          <w:rFonts w:asciiTheme="majorHAnsi" w:hAnsiTheme="majorHAnsi" w:cstheme="majorHAnsi"/>
          <w:sz w:val="22"/>
        </w:rPr>
      </w:pPr>
      <w:r>
        <w:rPr>
          <w:rFonts w:asciiTheme="majorHAnsi" w:hAnsiTheme="majorHAnsi" w:cstheme="majorHAnsi"/>
          <w:sz w:val="22"/>
        </w:rPr>
        <w:t>To address these concerns, s</w:t>
      </w:r>
      <w:r w:rsidR="003639AF">
        <w:rPr>
          <w:rFonts w:asciiTheme="majorHAnsi" w:hAnsiTheme="majorHAnsi" w:cstheme="majorHAnsi"/>
          <w:sz w:val="22"/>
        </w:rPr>
        <w:t xml:space="preserve">ome participants expressed a desire for the scheme’s assessment criteria to more strongly </w:t>
      </w:r>
      <w:r w:rsidR="001F1018">
        <w:rPr>
          <w:rFonts w:asciiTheme="majorHAnsi" w:hAnsiTheme="majorHAnsi" w:cstheme="majorHAnsi"/>
          <w:sz w:val="22"/>
        </w:rPr>
        <w:t xml:space="preserve">prioritise </w:t>
      </w:r>
      <w:r w:rsidR="003639AF">
        <w:rPr>
          <w:rFonts w:asciiTheme="majorHAnsi" w:hAnsiTheme="majorHAnsi" w:cstheme="majorHAnsi"/>
          <w:sz w:val="22"/>
        </w:rPr>
        <w:t xml:space="preserve">project quality over investigator capability. </w:t>
      </w:r>
    </w:p>
    <w:p w14:paraId="7744DDB4" w14:textId="77777777" w:rsidR="003639AF" w:rsidRPr="000D7FD7" w:rsidRDefault="003639AF" w:rsidP="001220A3">
      <w:pPr>
        <w:pStyle w:val="Quote"/>
      </w:pPr>
      <w:r w:rsidRPr="000D7FD7">
        <w:t xml:space="preserve">The weighting is too heavily skewed to track record and not enough to the project. Older successful researchers are funded for second rate projects and junior researchers with less track record are unable to obtain support for excellent projects </w:t>
      </w:r>
      <w:r w:rsidRPr="003E0DE0">
        <w:rPr>
          <w:i w:val="0"/>
          <w:iCs w:val="0"/>
        </w:rPr>
        <w:t>– (Researcher)</w:t>
      </w:r>
    </w:p>
    <w:p w14:paraId="27FA3362" w14:textId="0315F51A" w:rsidR="003639AF" w:rsidRDefault="003639AF" w:rsidP="001220A3">
      <w:pPr>
        <w:pStyle w:val="Quote"/>
      </w:pPr>
      <w:r w:rsidRPr="000D7FD7">
        <w:t>The scheme is inherently too focused on rewarding 'successful' professors who have long publication records and high citations</w:t>
      </w:r>
      <w:r w:rsidR="0053309B">
        <w:rPr>
          <w:i w:val="0"/>
          <w:iCs w:val="0"/>
        </w:rPr>
        <w:t xml:space="preserve"> </w:t>
      </w:r>
      <w:r w:rsidRPr="003E0DE0">
        <w:rPr>
          <w:i w:val="0"/>
          <w:iCs w:val="0"/>
        </w:rPr>
        <w:t>– (Researcher)</w:t>
      </w:r>
    </w:p>
    <w:p w14:paraId="44920D25" w14:textId="77777777" w:rsidR="003639AF" w:rsidRPr="008E6B86" w:rsidRDefault="003639AF" w:rsidP="003E0DE0">
      <w:pPr>
        <w:pStyle w:val="Quote"/>
        <w:spacing w:after="240"/>
        <w:ind w:left="425" w:right="663"/>
      </w:pPr>
      <w:r w:rsidRPr="00FB0BEB">
        <w:t>Less of an emphasis on track record of researchers and more emphasis on quality</w:t>
      </w:r>
      <w:r>
        <w:t>,</w:t>
      </w:r>
      <w:r w:rsidRPr="00FB0BEB">
        <w:t xml:space="preserve"> value and significance of </w:t>
      </w:r>
      <w:r w:rsidRPr="008E6B86">
        <w:t xml:space="preserve">the research project </w:t>
      </w:r>
      <w:r w:rsidRPr="008E6B86">
        <w:rPr>
          <w:i w:val="0"/>
          <w:iCs w:val="0"/>
        </w:rPr>
        <w:t>– (Researcher)</w:t>
      </w:r>
    </w:p>
    <w:p w14:paraId="320F166A" w14:textId="3C4CC151" w:rsidR="003639AF" w:rsidRDefault="003639AF" w:rsidP="003639AF">
      <w:pPr>
        <w:pStyle w:val="Mainbodytext"/>
        <w:spacing w:before="0" w:after="160" w:line="259" w:lineRule="auto"/>
        <w:rPr>
          <w:rFonts w:asciiTheme="majorHAnsi" w:hAnsiTheme="majorHAnsi" w:cstheme="majorHAnsi"/>
          <w:sz w:val="22"/>
        </w:rPr>
      </w:pPr>
      <w:r w:rsidRPr="008E6B86">
        <w:rPr>
          <w:rFonts w:asciiTheme="majorHAnsi" w:hAnsiTheme="majorHAnsi" w:cstheme="majorHAnsi"/>
          <w:sz w:val="22"/>
        </w:rPr>
        <w:t xml:space="preserve">These </w:t>
      </w:r>
      <w:r w:rsidR="00CF2353" w:rsidRPr="008E6B86">
        <w:rPr>
          <w:rFonts w:asciiTheme="majorHAnsi" w:hAnsiTheme="majorHAnsi" w:cstheme="majorHAnsi"/>
          <w:sz w:val="22"/>
        </w:rPr>
        <w:t xml:space="preserve">comments </w:t>
      </w:r>
      <w:r w:rsidRPr="008E6B86">
        <w:rPr>
          <w:rFonts w:asciiTheme="majorHAnsi" w:hAnsiTheme="majorHAnsi" w:cstheme="majorHAnsi"/>
          <w:sz w:val="22"/>
        </w:rPr>
        <w:t xml:space="preserve">contrast with data presented in </w:t>
      </w:r>
      <w:hyperlink w:anchor="_ARC_data—career_age" w:history="1">
        <w:r w:rsidRPr="00281670">
          <w:rPr>
            <w:rStyle w:val="Hyperlink"/>
            <w:rFonts w:cstheme="majorHAnsi"/>
            <w:color w:val="auto"/>
            <w:sz w:val="22"/>
            <w:u w:val="none"/>
          </w:rPr>
          <w:t xml:space="preserve">Section </w:t>
        </w:r>
        <w:r w:rsidR="003A5EF2" w:rsidRPr="00281670">
          <w:rPr>
            <w:rStyle w:val="Hyperlink"/>
            <w:rFonts w:cstheme="majorHAnsi"/>
            <w:color w:val="auto"/>
            <w:sz w:val="22"/>
            <w:u w:val="none"/>
          </w:rPr>
          <w:t>4.2.2</w:t>
        </w:r>
      </w:hyperlink>
      <w:r w:rsidR="007100D6" w:rsidRPr="008E6B86">
        <w:rPr>
          <w:rFonts w:asciiTheme="majorHAnsi" w:hAnsiTheme="majorHAnsi" w:cstheme="majorHAnsi"/>
          <w:sz w:val="22"/>
        </w:rPr>
        <w:t>, which</w:t>
      </w:r>
      <w:r w:rsidRPr="00326A52">
        <w:rPr>
          <w:rFonts w:asciiTheme="majorHAnsi" w:hAnsiTheme="majorHAnsi" w:cstheme="majorHAnsi"/>
          <w:sz w:val="22"/>
        </w:rPr>
        <w:t xml:space="preserve"> </w:t>
      </w:r>
      <w:r>
        <w:rPr>
          <w:rFonts w:asciiTheme="majorHAnsi" w:hAnsiTheme="majorHAnsi" w:cstheme="majorHAnsi"/>
          <w:sz w:val="22"/>
        </w:rPr>
        <w:t>suggest that Early and Mid</w:t>
      </w:r>
      <w:r>
        <w:rPr>
          <w:rFonts w:asciiTheme="majorHAnsi" w:hAnsiTheme="majorHAnsi" w:cstheme="majorHAnsi"/>
          <w:sz w:val="22"/>
        </w:rPr>
        <w:noBreakHyphen/>
        <w:t>Career Researchers</w:t>
      </w:r>
      <w:r w:rsidR="00C8549A">
        <w:rPr>
          <w:rFonts w:asciiTheme="majorHAnsi" w:hAnsiTheme="majorHAnsi" w:cstheme="majorHAnsi"/>
          <w:sz w:val="22"/>
        </w:rPr>
        <w:t>’</w:t>
      </w:r>
      <w:r>
        <w:rPr>
          <w:rFonts w:asciiTheme="majorHAnsi" w:hAnsiTheme="majorHAnsi" w:cstheme="majorHAnsi"/>
          <w:sz w:val="22"/>
        </w:rPr>
        <w:t xml:space="preserve"> success rates in recent Discovery Projects funding rounds</w:t>
      </w:r>
      <w:r w:rsidR="00C8549A">
        <w:rPr>
          <w:rFonts w:asciiTheme="majorHAnsi" w:hAnsiTheme="majorHAnsi" w:cstheme="majorHAnsi"/>
          <w:sz w:val="22"/>
        </w:rPr>
        <w:t xml:space="preserve"> were competitive</w:t>
      </w:r>
      <w:r>
        <w:rPr>
          <w:rFonts w:asciiTheme="majorHAnsi" w:hAnsiTheme="majorHAnsi" w:cstheme="majorHAnsi"/>
          <w:sz w:val="22"/>
        </w:rPr>
        <w:t xml:space="preserve">. Some of the feedback may reflect experiences with the scheme in earlier funding rounds and/or a lack of stakeholder awareness about recent improvements </w:t>
      </w:r>
      <w:r w:rsidR="0098697A">
        <w:rPr>
          <w:rFonts w:asciiTheme="majorHAnsi" w:hAnsiTheme="majorHAnsi" w:cstheme="majorHAnsi"/>
          <w:sz w:val="22"/>
        </w:rPr>
        <w:t xml:space="preserve">in </w:t>
      </w:r>
      <w:r>
        <w:rPr>
          <w:rFonts w:asciiTheme="majorHAnsi" w:hAnsiTheme="majorHAnsi" w:cstheme="majorHAnsi"/>
          <w:sz w:val="22"/>
        </w:rPr>
        <w:t xml:space="preserve">success rates. </w:t>
      </w:r>
      <w:r w:rsidR="000C5150">
        <w:rPr>
          <w:rFonts w:asciiTheme="majorHAnsi" w:hAnsiTheme="majorHAnsi" w:cstheme="majorHAnsi"/>
          <w:sz w:val="22"/>
        </w:rPr>
        <w:t xml:space="preserve">Further </w:t>
      </w:r>
      <w:r>
        <w:rPr>
          <w:rFonts w:asciiTheme="majorHAnsi" w:hAnsiTheme="majorHAnsi" w:cstheme="majorHAnsi"/>
          <w:sz w:val="22"/>
        </w:rPr>
        <w:t xml:space="preserve">outreach and engagement </w:t>
      </w:r>
      <w:r w:rsidR="000C5150">
        <w:rPr>
          <w:rFonts w:asciiTheme="majorHAnsi" w:hAnsiTheme="majorHAnsi" w:cstheme="majorHAnsi"/>
          <w:sz w:val="22"/>
        </w:rPr>
        <w:t xml:space="preserve">highlighting the </w:t>
      </w:r>
      <w:r w:rsidR="00393F46">
        <w:rPr>
          <w:rFonts w:asciiTheme="majorHAnsi" w:hAnsiTheme="majorHAnsi" w:cstheme="majorHAnsi"/>
          <w:sz w:val="22"/>
        </w:rPr>
        <w:t xml:space="preserve">opportunities presented to Early and Mid-Career Researchers under the scheme, </w:t>
      </w:r>
      <w:r w:rsidR="000F798F">
        <w:rPr>
          <w:rFonts w:asciiTheme="majorHAnsi" w:hAnsiTheme="majorHAnsi" w:cstheme="majorHAnsi"/>
          <w:sz w:val="22"/>
        </w:rPr>
        <w:t>and the</w:t>
      </w:r>
      <w:r w:rsidR="007103BD">
        <w:rPr>
          <w:rFonts w:asciiTheme="majorHAnsi" w:hAnsiTheme="majorHAnsi" w:cstheme="majorHAnsi"/>
          <w:sz w:val="22"/>
        </w:rPr>
        <w:t>ir rece</w:t>
      </w:r>
      <w:r w:rsidR="000C5150">
        <w:rPr>
          <w:rFonts w:asciiTheme="majorHAnsi" w:hAnsiTheme="majorHAnsi" w:cstheme="majorHAnsi"/>
          <w:sz w:val="22"/>
        </w:rPr>
        <w:t xml:space="preserve">nt success </w:t>
      </w:r>
      <w:r w:rsidR="007103BD">
        <w:rPr>
          <w:rFonts w:asciiTheme="majorHAnsi" w:hAnsiTheme="majorHAnsi" w:cstheme="majorHAnsi"/>
          <w:sz w:val="22"/>
        </w:rPr>
        <w:t xml:space="preserve">in </w:t>
      </w:r>
      <w:r w:rsidR="000C5150">
        <w:rPr>
          <w:rFonts w:asciiTheme="majorHAnsi" w:hAnsiTheme="majorHAnsi" w:cstheme="majorHAnsi"/>
          <w:sz w:val="22"/>
        </w:rPr>
        <w:t>selection processes</w:t>
      </w:r>
      <w:r w:rsidR="00920E88">
        <w:rPr>
          <w:rFonts w:asciiTheme="majorHAnsi" w:hAnsiTheme="majorHAnsi" w:cstheme="majorHAnsi"/>
          <w:sz w:val="22"/>
        </w:rPr>
        <w:t>,</w:t>
      </w:r>
      <w:r w:rsidR="000C5150">
        <w:rPr>
          <w:rFonts w:asciiTheme="majorHAnsi" w:hAnsiTheme="majorHAnsi" w:cstheme="majorHAnsi"/>
          <w:sz w:val="22"/>
        </w:rPr>
        <w:t xml:space="preserve"> </w:t>
      </w:r>
      <w:r>
        <w:rPr>
          <w:rFonts w:asciiTheme="majorHAnsi" w:hAnsiTheme="majorHAnsi" w:cstheme="majorHAnsi"/>
          <w:sz w:val="22"/>
        </w:rPr>
        <w:t>may be beneficial to</w:t>
      </w:r>
      <w:r w:rsidR="000E2693">
        <w:rPr>
          <w:rFonts w:asciiTheme="majorHAnsi" w:hAnsiTheme="majorHAnsi" w:cstheme="majorHAnsi"/>
          <w:sz w:val="22"/>
        </w:rPr>
        <w:t xml:space="preserve"> </w:t>
      </w:r>
      <w:r w:rsidR="003E4EA9">
        <w:rPr>
          <w:rFonts w:asciiTheme="majorHAnsi" w:hAnsiTheme="majorHAnsi" w:cstheme="majorHAnsi"/>
          <w:sz w:val="22"/>
        </w:rPr>
        <w:t xml:space="preserve">address </w:t>
      </w:r>
      <w:r w:rsidR="0069641B">
        <w:rPr>
          <w:rFonts w:asciiTheme="majorHAnsi" w:hAnsiTheme="majorHAnsi" w:cstheme="majorHAnsi"/>
          <w:sz w:val="22"/>
        </w:rPr>
        <w:t>stakeholders’</w:t>
      </w:r>
      <w:r w:rsidR="003E4EA9">
        <w:rPr>
          <w:rFonts w:asciiTheme="majorHAnsi" w:hAnsiTheme="majorHAnsi" w:cstheme="majorHAnsi"/>
          <w:sz w:val="22"/>
        </w:rPr>
        <w:t xml:space="preserve"> perceptions</w:t>
      </w:r>
      <w:r w:rsidR="005C7032">
        <w:rPr>
          <w:rFonts w:asciiTheme="majorHAnsi" w:hAnsiTheme="majorHAnsi" w:cstheme="majorHAnsi"/>
          <w:sz w:val="22"/>
        </w:rPr>
        <w:t xml:space="preserve"> </w:t>
      </w:r>
      <w:r>
        <w:rPr>
          <w:rFonts w:asciiTheme="majorHAnsi" w:hAnsiTheme="majorHAnsi" w:cstheme="majorHAnsi"/>
          <w:sz w:val="22"/>
        </w:rPr>
        <w:t xml:space="preserve">and encourage greater </w:t>
      </w:r>
      <w:r w:rsidR="0089533B">
        <w:rPr>
          <w:rFonts w:asciiTheme="majorHAnsi" w:hAnsiTheme="majorHAnsi" w:cstheme="majorHAnsi"/>
          <w:sz w:val="22"/>
        </w:rPr>
        <w:t>participation</w:t>
      </w:r>
      <w:r w:rsidR="000C5150">
        <w:rPr>
          <w:rFonts w:asciiTheme="majorHAnsi" w:hAnsiTheme="majorHAnsi" w:cstheme="majorHAnsi"/>
          <w:sz w:val="22"/>
        </w:rPr>
        <w:t xml:space="preserve"> by these gr</w:t>
      </w:r>
      <w:r w:rsidR="000E2693">
        <w:rPr>
          <w:rFonts w:asciiTheme="majorHAnsi" w:hAnsiTheme="majorHAnsi" w:cstheme="majorHAnsi"/>
          <w:sz w:val="22"/>
        </w:rPr>
        <w:t>oups</w:t>
      </w:r>
      <w:r>
        <w:rPr>
          <w:rFonts w:asciiTheme="majorHAnsi" w:hAnsiTheme="majorHAnsi" w:cstheme="majorHAnsi"/>
          <w:sz w:val="22"/>
        </w:rPr>
        <w:t xml:space="preserve">.  </w:t>
      </w:r>
    </w:p>
    <w:p w14:paraId="07DBAF69" w14:textId="28BB3AD1" w:rsidR="003639AF" w:rsidRPr="007E4C19" w:rsidRDefault="003639AF" w:rsidP="00254D36">
      <w:pPr>
        <w:pStyle w:val="Heading2"/>
        <w:keepNext w:val="0"/>
        <w:keepLines w:val="0"/>
        <w:numPr>
          <w:ilvl w:val="1"/>
          <w:numId w:val="17"/>
        </w:numPr>
        <w:shd w:val="clear" w:color="auto" w:fill="auto"/>
        <w:spacing w:line="259" w:lineRule="auto"/>
      </w:pPr>
      <w:bookmarkStart w:id="650" w:name="_Delivering_economic,_commercial,"/>
      <w:bookmarkStart w:id="651" w:name="_Toc51918742"/>
      <w:bookmarkStart w:id="652" w:name="_Ref53148844"/>
      <w:bookmarkStart w:id="653" w:name="_Toc55544829"/>
      <w:bookmarkEnd w:id="650"/>
      <w:r w:rsidRPr="007E4C19">
        <w:t xml:space="preserve">Delivering economic, commercial, environmental, social and </w:t>
      </w:r>
      <w:r>
        <w:t>cultural benefits for Australia</w:t>
      </w:r>
      <w:bookmarkEnd w:id="651"/>
      <w:bookmarkEnd w:id="652"/>
      <w:bookmarkEnd w:id="653"/>
    </w:p>
    <w:p w14:paraId="11E50CE3" w14:textId="67A10D9A" w:rsidR="003639AF" w:rsidRDefault="003639AF" w:rsidP="003639AF">
      <w:pPr>
        <w:tabs>
          <w:tab w:val="center" w:pos="4513"/>
          <w:tab w:val="left" w:pos="4915"/>
        </w:tabs>
        <w:autoSpaceDE w:val="0"/>
        <w:autoSpaceDN w:val="0"/>
        <w:adjustRightInd w:val="0"/>
        <w:spacing w:after="120"/>
        <w:rPr>
          <w:rFonts w:asciiTheme="majorHAnsi" w:hAnsiTheme="majorHAnsi" w:cstheme="majorHAnsi"/>
        </w:rPr>
      </w:pPr>
      <w:r>
        <w:rPr>
          <w:rFonts w:asciiTheme="majorHAnsi" w:hAnsiTheme="majorHAnsi" w:cstheme="majorHAnsi"/>
        </w:rPr>
        <w:t xml:space="preserve">Prior to DP21, Discovery Projects did not have a scheme objective explicitly relating to the delivery of benefits to Australia. However, much of the activity historically supported by </w:t>
      </w:r>
      <w:r w:rsidR="00B05046">
        <w:rPr>
          <w:rFonts w:asciiTheme="majorHAnsi" w:hAnsiTheme="majorHAnsi" w:cstheme="majorHAnsi"/>
        </w:rPr>
        <w:t>the scheme</w:t>
      </w:r>
      <w:r>
        <w:rPr>
          <w:rFonts w:asciiTheme="majorHAnsi" w:hAnsiTheme="majorHAnsi" w:cstheme="majorHAnsi"/>
        </w:rPr>
        <w:t xml:space="preserve"> has been driven by the underlying imperative to deliver benefit through research</w:t>
      </w:r>
      <w:r w:rsidR="000021B5">
        <w:rPr>
          <w:rFonts w:asciiTheme="majorHAnsi" w:hAnsiTheme="majorHAnsi" w:cstheme="majorHAnsi"/>
        </w:rPr>
        <w:t xml:space="preserve"> excellence</w:t>
      </w:r>
      <w:r>
        <w:rPr>
          <w:rFonts w:asciiTheme="majorHAnsi" w:hAnsiTheme="majorHAnsi" w:cstheme="majorHAnsi"/>
        </w:rPr>
        <w:t xml:space="preserve">. Further, the capacity to deliver benefits to the Australian and/or international community has been a component of the </w:t>
      </w:r>
      <w:r w:rsidR="00810942">
        <w:rPr>
          <w:rFonts w:asciiTheme="majorHAnsi" w:hAnsiTheme="majorHAnsi" w:cstheme="majorHAnsi"/>
        </w:rPr>
        <w:t>assessment crit</w:t>
      </w:r>
      <w:r>
        <w:rPr>
          <w:rFonts w:asciiTheme="majorHAnsi" w:hAnsiTheme="majorHAnsi" w:cstheme="majorHAnsi"/>
        </w:rPr>
        <w:t>eria for all Discovery Projects scheme rounds. The scheme currently allocates a weighting of 15 per cent to the ‘Benefit’ assessment criterion. The DP21 Grant Guidelines note that this may be addressed by demonstrating</w:t>
      </w:r>
      <w:r w:rsidDel="009820F9">
        <w:rPr>
          <w:rFonts w:asciiTheme="majorHAnsi" w:hAnsiTheme="majorHAnsi" w:cstheme="majorHAnsi"/>
        </w:rPr>
        <w:t xml:space="preserve"> </w:t>
      </w:r>
      <w:r>
        <w:rPr>
          <w:rFonts w:asciiTheme="majorHAnsi" w:hAnsiTheme="majorHAnsi" w:cstheme="majorHAnsi"/>
        </w:rPr>
        <w:t>potential for new or advanced knowledge, a focus on Australian Government priorit</w:t>
      </w:r>
      <w:r w:rsidR="00BD6ED4">
        <w:rPr>
          <w:rFonts w:asciiTheme="majorHAnsi" w:hAnsiTheme="majorHAnsi" w:cstheme="majorHAnsi"/>
        </w:rPr>
        <w:t xml:space="preserve">ies </w:t>
      </w:r>
      <w:r>
        <w:rPr>
          <w:rFonts w:asciiTheme="majorHAnsi" w:hAnsiTheme="majorHAnsi" w:cstheme="majorHAnsi"/>
        </w:rPr>
        <w:t xml:space="preserve">(as </w:t>
      </w:r>
      <w:r w:rsidRPr="008E6B86">
        <w:rPr>
          <w:rFonts w:asciiTheme="majorHAnsi" w:hAnsiTheme="majorHAnsi" w:cstheme="majorHAnsi"/>
        </w:rPr>
        <w:t xml:space="preserve">noted in </w:t>
      </w:r>
      <w:hyperlink w:anchor="_Enhancing_the_scale" w:history="1">
        <w:r w:rsidRPr="00281670">
          <w:rPr>
            <w:rStyle w:val="Hyperlink"/>
            <w:rFonts w:cstheme="majorHAnsi"/>
            <w:color w:val="auto"/>
            <w:sz w:val="22"/>
            <w:u w:val="none"/>
          </w:rPr>
          <w:t xml:space="preserve">Section </w:t>
        </w:r>
        <w:r w:rsidR="003A5EF2" w:rsidRPr="00281670">
          <w:rPr>
            <w:rStyle w:val="Hyperlink"/>
            <w:rFonts w:cstheme="majorHAnsi"/>
            <w:color w:val="auto"/>
            <w:sz w:val="22"/>
            <w:u w:val="none"/>
          </w:rPr>
          <w:t>3.5</w:t>
        </w:r>
      </w:hyperlink>
      <w:r w:rsidRPr="008E6B86">
        <w:rPr>
          <w:rFonts w:asciiTheme="majorHAnsi" w:hAnsiTheme="majorHAnsi" w:cstheme="majorHAnsi"/>
        </w:rPr>
        <w:t>), and</w:t>
      </w:r>
      <w:r w:rsidRPr="00326A52">
        <w:rPr>
          <w:rFonts w:asciiTheme="majorHAnsi" w:hAnsiTheme="majorHAnsi" w:cstheme="majorHAnsi"/>
        </w:rPr>
        <w:t xml:space="preserve">/or </w:t>
      </w:r>
      <w:r>
        <w:rPr>
          <w:rFonts w:asciiTheme="majorHAnsi" w:hAnsiTheme="majorHAnsi" w:cstheme="majorHAnsi"/>
        </w:rPr>
        <w:t xml:space="preserve">the delivery of economic, commercial, environmental, social and cultural benefits. </w:t>
      </w:r>
    </w:p>
    <w:p w14:paraId="1B2C2DB8" w14:textId="6399CE3D" w:rsidR="003639AF" w:rsidRDefault="003639AF" w:rsidP="003639AF">
      <w:pPr>
        <w:spacing w:after="120"/>
        <w:rPr>
          <w:rFonts w:asciiTheme="majorHAnsi" w:hAnsiTheme="majorHAnsi" w:cstheme="majorHAnsi"/>
        </w:rPr>
      </w:pPr>
      <w:r>
        <w:rPr>
          <w:rFonts w:asciiTheme="majorHAnsi" w:hAnsiTheme="majorHAnsi" w:cstheme="majorHAnsi"/>
        </w:rPr>
        <w:lastRenderedPageBreak/>
        <w:t xml:space="preserve">The National Interest Test was announced by the Australian Government in October 2018, requiring </w:t>
      </w:r>
      <w:r w:rsidRPr="00C06AB5">
        <w:rPr>
          <w:rFonts w:asciiTheme="majorHAnsi" w:hAnsiTheme="majorHAnsi" w:cstheme="majorHAnsi"/>
        </w:rPr>
        <w:t xml:space="preserve">applicants </w:t>
      </w:r>
      <w:r>
        <w:rPr>
          <w:rFonts w:asciiTheme="majorHAnsi" w:hAnsiTheme="majorHAnsi" w:cstheme="majorHAnsi"/>
        </w:rPr>
        <w:t>to</w:t>
      </w:r>
      <w:r w:rsidRPr="00C06AB5">
        <w:rPr>
          <w:rFonts w:asciiTheme="majorHAnsi" w:hAnsiTheme="majorHAnsi" w:cstheme="majorHAnsi"/>
        </w:rPr>
        <w:t xml:space="preserve"> outline the extent to which the</w:t>
      </w:r>
      <w:r>
        <w:rPr>
          <w:rFonts w:asciiTheme="majorHAnsi" w:hAnsiTheme="majorHAnsi" w:cstheme="majorHAnsi"/>
        </w:rPr>
        <w:t>ir</w:t>
      </w:r>
      <w:r w:rsidRPr="00C06AB5">
        <w:rPr>
          <w:rFonts w:asciiTheme="majorHAnsi" w:hAnsiTheme="majorHAnsi" w:cstheme="majorHAnsi"/>
        </w:rPr>
        <w:t xml:space="preserve"> research</w:t>
      </w:r>
      <w:r>
        <w:rPr>
          <w:rFonts w:asciiTheme="majorHAnsi" w:hAnsiTheme="majorHAnsi" w:cstheme="majorHAnsi"/>
        </w:rPr>
        <w:t xml:space="preserve"> will</w:t>
      </w:r>
      <w:r w:rsidRPr="00C06AB5">
        <w:rPr>
          <w:rFonts w:asciiTheme="majorHAnsi" w:hAnsiTheme="majorHAnsi" w:cstheme="majorHAnsi"/>
        </w:rPr>
        <w:t xml:space="preserve"> contribute to Australia’s national interest</w:t>
      </w:r>
      <w:r>
        <w:rPr>
          <w:rFonts w:asciiTheme="majorHAnsi" w:hAnsiTheme="majorHAnsi" w:cstheme="majorHAnsi"/>
        </w:rPr>
        <w:t xml:space="preserve">. All projects recommended for funding by the ARC in DP20 were assessed as satisfying the National Interest Test. While </w:t>
      </w:r>
      <w:r w:rsidR="005B72D0">
        <w:rPr>
          <w:rFonts w:asciiTheme="majorHAnsi" w:hAnsiTheme="majorHAnsi" w:cstheme="majorHAnsi"/>
        </w:rPr>
        <w:t>it</w:t>
      </w:r>
      <w:r w:rsidR="006E5780">
        <w:rPr>
          <w:rFonts w:asciiTheme="majorHAnsi" w:hAnsiTheme="majorHAnsi" w:cstheme="majorHAnsi"/>
        </w:rPr>
        <w:t xml:space="preserve"> is</w:t>
      </w:r>
      <w:r w:rsidR="005B72D0">
        <w:rPr>
          <w:rFonts w:asciiTheme="majorHAnsi" w:hAnsiTheme="majorHAnsi" w:cstheme="majorHAnsi"/>
        </w:rPr>
        <w:t xml:space="preserve"> </w:t>
      </w:r>
      <w:r>
        <w:rPr>
          <w:rFonts w:asciiTheme="majorHAnsi" w:hAnsiTheme="majorHAnsi" w:cstheme="majorHAnsi"/>
        </w:rPr>
        <w:t xml:space="preserve">relevant </w:t>
      </w:r>
      <w:r w:rsidR="006E5780">
        <w:rPr>
          <w:rFonts w:asciiTheme="majorHAnsi" w:hAnsiTheme="majorHAnsi" w:cstheme="majorHAnsi"/>
        </w:rPr>
        <w:t xml:space="preserve">in the </w:t>
      </w:r>
      <w:r>
        <w:rPr>
          <w:rFonts w:asciiTheme="majorHAnsi" w:hAnsiTheme="majorHAnsi" w:cstheme="majorHAnsi"/>
        </w:rPr>
        <w:t>context</w:t>
      </w:r>
      <w:r w:rsidR="006E5780">
        <w:rPr>
          <w:rFonts w:asciiTheme="majorHAnsi" w:hAnsiTheme="majorHAnsi" w:cstheme="majorHAnsi"/>
        </w:rPr>
        <w:t xml:space="preserve"> of stakeholder feedback discussed below</w:t>
      </w:r>
      <w:r>
        <w:rPr>
          <w:rFonts w:asciiTheme="majorHAnsi" w:hAnsiTheme="majorHAnsi" w:cstheme="majorHAnsi"/>
        </w:rPr>
        <w:t xml:space="preserve">, the National Interest Test is beyond the scope of this </w:t>
      </w:r>
      <w:r w:rsidR="00AA56D0">
        <w:rPr>
          <w:rFonts w:asciiTheme="majorHAnsi" w:hAnsiTheme="majorHAnsi" w:cstheme="majorHAnsi"/>
        </w:rPr>
        <w:t>evaluation</w:t>
      </w:r>
      <w:r>
        <w:rPr>
          <w:rFonts w:asciiTheme="majorHAnsi" w:hAnsiTheme="majorHAnsi" w:cstheme="majorHAnsi"/>
        </w:rPr>
        <w:t xml:space="preserve"> as it applies to all NCGP schemes.  </w:t>
      </w:r>
    </w:p>
    <w:p w14:paraId="08E2A9BD" w14:textId="3C35FD47" w:rsidR="003639AF" w:rsidRDefault="003639AF" w:rsidP="00254D36">
      <w:pPr>
        <w:pStyle w:val="Heading3"/>
        <w:numPr>
          <w:ilvl w:val="2"/>
          <w:numId w:val="17"/>
        </w:numPr>
        <w:shd w:val="clear" w:color="auto" w:fill="auto"/>
      </w:pPr>
      <w:bookmarkStart w:id="654" w:name="_ARC_data—benefits_delivered"/>
      <w:bookmarkStart w:id="655" w:name="_Toc50533630"/>
      <w:bookmarkStart w:id="656" w:name="_Toc50553780"/>
      <w:bookmarkStart w:id="657" w:name="_Toc50555016"/>
      <w:bookmarkStart w:id="658" w:name="_Toc50618150"/>
      <w:bookmarkStart w:id="659" w:name="_Toc50618431"/>
      <w:bookmarkStart w:id="660" w:name="_Toc51917031"/>
      <w:bookmarkStart w:id="661" w:name="_Toc51918871"/>
      <w:bookmarkStart w:id="662" w:name="_Toc53557254"/>
      <w:bookmarkStart w:id="663" w:name="_Toc54699296"/>
      <w:bookmarkStart w:id="664" w:name="_Toc55544830"/>
      <w:bookmarkEnd w:id="654"/>
      <w:r>
        <w:t>ARC data—benefits delivered by Discovery Projects</w:t>
      </w:r>
      <w:bookmarkEnd w:id="655"/>
      <w:bookmarkEnd w:id="656"/>
      <w:bookmarkEnd w:id="657"/>
      <w:bookmarkEnd w:id="658"/>
      <w:bookmarkEnd w:id="659"/>
      <w:bookmarkEnd w:id="660"/>
      <w:bookmarkEnd w:id="661"/>
      <w:bookmarkEnd w:id="662"/>
      <w:bookmarkEnd w:id="663"/>
      <w:bookmarkEnd w:id="664"/>
    </w:p>
    <w:p w14:paraId="7A966C7B" w14:textId="2A62C0FB" w:rsidR="003639AF" w:rsidRDefault="003639AF" w:rsidP="003639AF">
      <w:pPr>
        <w:spacing w:after="120"/>
        <w:rPr>
          <w:rFonts w:asciiTheme="majorHAnsi" w:hAnsiTheme="majorHAnsi" w:cstheme="majorHAnsi"/>
        </w:rPr>
      </w:pPr>
      <w:r>
        <w:rPr>
          <w:rFonts w:asciiTheme="majorHAnsi" w:hAnsiTheme="majorHAnsi" w:cstheme="majorHAnsi"/>
        </w:rPr>
        <w:t xml:space="preserve">While </w:t>
      </w:r>
      <w:r w:rsidR="00E7190B">
        <w:rPr>
          <w:rFonts w:asciiTheme="majorHAnsi" w:hAnsiTheme="majorHAnsi" w:cstheme="majorHAnsi"/>
        </w:rPr>
        <w:t xml:space="preserve">Discovery Projects </w:t>
      </w:r>
      <w:r>
        <w:rPr>
          <w:rFonts w:asciiTheme="majorHAnsi" w:hAnsiTheme="majorHAnsi" w:cstheme="majorHAnsi"/>
        </w:rPr>
        <w:t xml:space="preserve">final reports have consistently included questions about benefits delivered through completed research, the specific information requested has changed over time. </w:t>
      </w:r>
    </w:p>
    <w:p w14:paraId="77CCAD0E" w14:textId="328F0A09" w:rsidR="003639AF" w:rsidRPr="00E22542" w:rsidRDefault="003639AF" w:rsidP="003639AF">
      <w:pPr>
        <w:spacing w:after="120"/>
      </w:pPr>
      <w:r>
        <w:rPr>
          <w:rFonts w:asciiTheme="majorHAnsi" w:hAnsiTheme="majorHAnsi" w:cstheme="majorHAnsi"/>
        </w:rPr>
        <w:t>In early Discovery Projects final reports (DP02–DP13), researchers were asked whether there were ‘identifiable national benefits’, including ‘econo</w:t>
      </w:r>
      <w:r w:rsidRPr="005D488F">
        <w:rPr>
          <w:rFonts w:asciiTheme="majorHAnsi" w:hAnsiTheme="majorHAnsi" w:cstheme="majorHAnsi"/>
        </w:rPr>
        <w:t xml:space="preserve">mic, social, cultural and/or environmental contributions’, arising from their projects. </w:t>
      </w:r>
      <w:r>
        <w:rPr>
          <w:rFonts w:asciiTheme="majorHAnsi" w:hAnsiTheme="majorHAnsi" w:cstheme="majorHAnsi"/>
        </w:rPr>
        <w:t>R</w:t>
      </w:r>
      <w:r w:rsidRPr="005D488F">
        <w:rPr>
          <w:rFonts w:asciiTheme="majorHAnsi" w:hAnsiTheme="majorHAnsi" w:cstheme="majorHAnsi"/>
        </w:rPr>
        <w:t>esponses to this</w:t>
      </w:r>
      <w:r>
        <w:rPr>
          <w:rFonts w:asciiTheme="majorHAnsi" w:hAnsiTheme="majorHAnsi" w:cstheme="majorHAnsi"/>
        </w:rPr>
        <w:t xml:space="preserve"> question were consistent between DP02 and DP13, with approximately 85 per cent of final reports recording affirmative answers (within a narrow range from around 83–87 per cent in each round).</w:t>
      </w:r>
      <w:r>
        <w:rPr>
          <w:rStyle w:val="FootnoteReference"/>
          <w:rFonts w:asciiTheme="majorHAnsi" w:hAnsiTheme="majorHAnsi" w:cstheme="majorHAnsi"/>
        </w:rPr>
        <w:footnoteReference w:id="72"/>
      </w:r>
      <w:r>
        <w:rPr>
          <w:rFonts w:asciiTheme="majorHAnsi" w:hAnsiTheme="majorHAnsi" w:cstheme="majorHAnsi"/>
        </w:rPr>
        <w:t xml:space="preserve"> </w:t>
      </w:r>
      <w:r w:rsidR="00815CFF">
        <w:rPr>
          <w:rFonts w:asciiTheme="majorHAnsi" w:hAnsiTheme="majorHAnsi" w:cstheme="majorHAnsi"/>
        </w:rPr>
        <w:t xml:space="preserve">This indicates </w:t>
      </w:r>
      <w:r>
        <w:rPr>
          <w:rFonts w:asciiTheme="majorHAnsi" w:hAnsiTheme="majorHAnsi" w:cstheme="majorHAnsi"/>
        </w:rPr>
        <w:t xml:space="preserve">that a substantial majority of research funded through the scheme over this period </w:t>
      </w:r>
      <w:r w:rsidR="00A65F2F">
        <w:rPr>
          <w:rFonts w:asciiTheme="majorHAnsi" w:hAnsiTheme="majorHAnsi" w:cstheme="majorHAnsi"/>
        </w:rPr>
        <w:t>delivered</w:t>
      </w:r>
      <w:r>
        <w:rPr>
          <w:rFonts w:asciiTheme="majorHAnsi" w:hAnsiTheme="majorHAnsi" w:cstheme="majorHAnsi"/>
        </w:rPr>
        <w:t xml:space="preserve"> some form of translational benefit. </w:t>
      </w:r>
    </w:p>
    <w:p w14:paraId="0217F464" w14:textId="3895B42C" w:rsidR="003639AF" w:rsidRDefault="00815CFF" w:rsidP="003639AF">
      <w:pPr>
        <w:spacing w:after="120"/>
        <w:rPr>
          <w:rFonts w:asciiTheme="majorHAnsi" w:hAnsiTheme="majorHAnsi" w:cstheme="majorHAnsi"/>
        </w:rPr>
      </w:pPr>
      <w:r>
        <w:rPr>
          <w:rFonts w:asciiTheme="majorHAnsi" w:hAnsiTheme="majorHAnsi" w:cstheme="majorHAnsi"/>
        </w:rPr>
        <w:t xml:space="preserve">Prior to </w:t>
      </w:r>
      <w:r w:rsidR="003639AF">
        <w:rPr>
          <w:rFonts w:asciiTheme="majorHAnsi" w:hAnsiTheme="majorHAnsi" w:cstheme="majorHAnsi"/>
        </w:rPr>
        <w:t xml:space="preserve">DP14, final report forms </w:t>
      </w:r>
      <w:r w:rsidR="000C382B">
        <w:rPr>
          <w:rFonts w:asciiTheme="majorHAnsi" w:hAnsiTheme="majorHAnsi" w:cstheme="majorHAnsi"/>
        </w:rPr>
        <w:t>did not request</w:t>
      </w:r>
      <w:r w:rsidR="003639AF">
        <w:rPr>
          <w:rFonts w:asciiTheme="majorHAnsi" w:hAnsiTheme="majorHAnsi" w:cstheme="majorHAnsi"/>
        </w:rPr>
        <w:t xml:space="preserve"> information about </w:t>
      </w:r>
      <w:r w:rsidR="00FE2484">
        <w:rPr>
          <w:rFonts w:asciiTheme="majorHAnsi" w:hAnsiTheme="majorHAnsi" w:cstheme="majorHAnsi"/>
        </w:rPr>
        <w:t>the</w:t>
      </w:r>
      <w:r w:rsidR="003639AF">
        <w:rPr>
          <w:rFonts w:asciiTheme="majorHAnsi" w:hAnsiTheme="majorHAnsi" w:cstheme="majorHAnsi"/>
        </w:rPr>
        <w:t xml:space="preserve"> specific benefits arising from projects. </w:t>
      </w:r>
      <w:r w:rsidR="009A5C60">
        <w:rPr>
          <w:rFonts w:asciiTheme="majorHAnsi" w:hAnsiTheme="majorHAnsi" w:cstheme="majorHAnsi"/>
        </w:rPr>
        <w:t>Since</w:t>
      </w:r>
      <w:r w:rsidR="0080288A">
        <w:rPr>
          <w:rFonts w:asciiTheme="majorHAnsi" w:hAnsiTheme="majorHAnsi" w:cstheme="majorHAnsi"/>
        </w:rPr>
        <w:t xml:space="preserve"> </w:t>
      </w:r>
      <w:r w:rsidR="000C382B">
        <w:rPr>
          <w:rFonts w:asciiTheme="majorHAnsi" w:hAnsiTheme="majorHAnsi" w:cstheme="majorHAnsi"/>
        </w:rPr>
        <w:t>DP14</w:t>
      </w:r>
      <w:r w:rsidR="009A5C60">
        <w:rPr>
          <w:rFonts w:asciiTheme="majorHAnsi" w:hAnsiTheme="majorHAnsi" w:cstheme="majorHAnsi"/>
        </w:rPr>
        <w:t>,</w:t>
      </w:r>
      <w:r w:rsidR="000C382B">
        <w:rPr>
          <w:rFonts w:asciiTheme="majorHAnsi" w:hAnsiTheme="majorHAnsi" w:cstheme="majorHAnsi"/>
        </w:rPr>
        <w:t xml:space="preserve"> they have</w:t>
      </w:r>
      <w:r w:rsidR="003639AF" w:rsidDel="00D93B32">
        <w:rPr>
          <w:rFonts w:asciiTheme="majorHAnsi" w:hAnsiTheme="majorHAnsi" w:cstheme="majorHAnsi"/>
        </w:rPr>
        <w:t xml:space="preserve"> </w:t>
      </w:r>
      <w:r w:rsidR="003639AF">
        <w:rPr>
          <w:rFonts w:asciiTheme="majorHAnsi" w:hAnsiTheme="majorHAnsi" w:cstheme="majorHAnsi"/>
        </w:rPr>
        <w:t>include</w:t>
      </w:r>
      <w:r w:rsidR="000C382B">
        <w:rPr>
          <w:rFonts w:asciiTheme="majorHAnsi" w:hAnsiTheme="majorHAnsi" w:cstheme="majorHAnsi"/>
        </w:rPr>
        <w:t>d</w:t>
      </w:r>
      <w:r w:rsidR="003639AF">
        <w:rPr>
          <w:rFonts w:asciiTheme="majorHAnsi" w:hAnsiTheme="majorHAnsi" w:cstheme="majorHAnsi"/>
        </w:rPr>
        <w:t xml:space="preserve"> a question asking whether the research ‘has produced or is likely to result in or lead to’ the following benefits: economic, social, cultural, enviro</w:t>
      </w:r>
      <w:r w:rsidR="003639AF" w:rsidRPr="005D488F">
        <w:rPr>
          <w:rFonts w:asciiTheme="majorHAnsi" w:hAnsiTheme="majorHAnsi" w:cstheme="majorHAnsi"/>
        </w:rPr>
        <w:t xml:space="preserve">nmental or increased research capacity. </w:t>
      </w:r>
      <w:r w:rsidR="003639AF">
        <w:rPr>
          <w:rFonts w:asciiTheme="majorHAnsi" w:hAnsiTheme="majorHAnsi" w:cstheme="majorHAnsi"/>
        </w:rPr>
        <w:t>Respondents may select as many options as applicable</w:t>
      </w:r>
      <w:r w:rsidR="003639AF" w:rsidRPr="005D488F">
        <w:rPr>
          <w:rFonts w:asciiTheme="majorHAnsi" w:hAnsiTheme="majorHAnsi" w:cstheme="majorHAnsi"/>
        </w:rPr>
        <w:t xml:space="preserve">. </w:t>
      </w:r>
      <w:r w:rsidR="003639AF" w:rsidRPr="005D488F">
        <w:rPr>
          <w:rFonts w:asciiTheme="majorHAnsi" w:hAnsiTheme="majorHAnsi" w:cstheme="majorHAnsi"/>
          <w:highlight w:val="yellow"/>
        </w:rPr>
        <w:fldChar w:fldCharType="begin"/>
      </w:r>
      <w:r w:rsidR="003639AF" w:rsidRPr="005D488F">
        <w:rPr>
          <w:rFonts w:asciiTheme="majorHAnsi" w:hAnsiTheme="majorHAnsi" w:cstheme="majorHAnsi"/>
        </w:rPr>
        <w:instrText xml:space="preserve"> REF _Ref45545528 \h </w:instrText>
      </w:r>
      <w:r w:rsidR="003639AF" w:rsidRPr="00C43EA4">
        <w:rPr>
          <w:rFonts w:asciiTheme="majorHAnsi" w:hAnsiTheme="majorHAnsi" w:cstheme="majorHAnsi"/>
          <w:highlight w:val="yellow"/>
        </w:rPr>
        <w:instrText xml:space="preserve"> \* MERGEFORMAT </w:instrText>
      </w:r>
      <w:r w:rsidR="003639AF" w:rsidRPr="005D488F">
        <w:rPr>
          <w:rFonts w:asciiTheme="majorHAnsi" w:hAnsiTheme="majorHAnsi" w:cstheme="majorHAnsi"/>
          <w:highlight w:val="yellow"/>
        </w:rPr>
      </w:r>
      <w:r w:rsidR="003639AF" w:rsidRPr="005D488F">
        <w:rPr>
          <w:rFonts w:asciiTheme="majorHAnsi" w:hAnsiTheme="majorHAnsi" w:cstheme="majorHAnsi"/>
          <w:highlight w:val="yellow"/>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36</w:t>
      </w:r>
      <w:r w:rsidR="003639AF" w:rsidRPr="005D488F">
        <w:rPr>
          <w:rFonts w:asciiTheme="majorHAnsi" w:hAnsiTheme="majorHAnsi" w:cstheme="majorHAnsi"/>
          <w:highlight w:val="yellow"/>
        </w:rPr>
        <w:fldChar w:fldCharType="end"/>
      </w:r>
      <w:r w:rsidR="003639AF" w:rsidRPr="005D488F">
        <w:rPr>
          <w:rFonts w:asciiTheme="majorHAnsi" w:hAnsiTheme="majorHAnsi" w:cstheme="majorHAnsi"/>
        </w:rPr>
        <w:t xml:space="preserve"> presents</w:t>
      </w:r>
      <w:r w:rsidR="003639AF">
        <w:rPr>
          <w:rFonts w:asciiTheme="majorHAnsi" w:hAnsiTheme="majorHAnsi" w:cstheme="majorHAnsi"/>
        </w:rPr>
        <w:t xml:space="preserve"> the relative frequency with which final reports indicated each benefit between DP14 and DP16, as a proportion of the total number of benefits selected within each funding round. It is difficult to compare these </w:t>
      </w:r>
      <w:r w:rsidR="00B07630">
        <w:rPr>
          <w:rFonts w:asciiTheme="majorHAnsi" w:hAnsiTheme="majorHAnsi" w:cstheme="majorHAnsi"/>
        </w:rPr>
        <w:t xml:space="preserve">results </w:t>
      </w:r>
      <w:r w:rsidR="003639AF">
        <w:rPr>
          <w:rFonts w:asciiTheme="majorHAnsi" w:hAnsiTheme="majorHAnsi" w:cstheme="majorHAnsi"/>
        </w:rPr>
        <w:t xml:space="preserve">with final report </w:t>
      </w:r>
      <w:r w:rsidR="00B07630">
        <w:rPr>
          <w:rFonts w:asciiTheme="majorHAnsi" w:hAnsiTheme="majorHAnsi" w:cstheme="majorHAnsi"/>
        </w:rPr>
        <w:t>data from DP02 to DP13</w:t>
      </w:r>
      <w:r w:rsidR="003639AF">
        <w:rPr>
          <w:rFonts w:asciiTheme="majorHAnsi" w:hAnsiTheme="majorHAnsi" w:cstheme="majorHAnsi"/>
        </w:rPr>
        <w:t xml:space="preserve"> as current report templates do not allow researchers to </w:t>
      </w:r>
      <w:r w:rsidR="00BA5659">
        <w:rPr>
          <w:rFonts w:asciiTheme="majorHAnsi" w:hAnsiTheme="majorHAnsi" w:cstheme="majorHAnsi"/>
        </w:rPr>
        <w:t xml:space="preserve">indicate that </w:t>
      </w:r>
      <w:r w:rsidR="003639AF">
        <w:rPr>
          <w:rFonts w:asciiTheme="majorHAnsi" w:hAnsiTheme="majorHAnsi" w:cstheme="majorHAnsi"/>
        </w:rPr>
        <w:t>their projects delivered no benefits.</w:t>
      </w:r>
    </w:p>
    <w:p w14:paraId="6C074F02" w14:textId="7700F3D3" w:rsidR="003639AF" w:rsidRPr="00AA14CC" w:rsidRDefault="003639AF" w:rsidP="00751469">
      <w:pPr>
        <w:pStyle w:val="FigureTitle"/>
        <w:rPr>
          <w:i/>
        </w:rPr>
      </w:pPr>
      <w:bookmarkStart w:id="665" w:name="_Ref45545528"/>
      <w:r w:rsidRPr="00AA14CC">
        <w:t xml:space="preserve">Figure </w:t>
      </w:r>
      <w:r w:rsidR="00857467">
        <w:fldChar w:fldCharType="begin"/>
      </w:r>
      <w:r w:rsidR="00857467">
        <w:instrText xml:space="preserve"> SEQ Figure \* ARABIC </w:instrText>
      </w:r>
      <w:r w:rsidR="00857467">
        <w:fldChar w:fldCharType="separate"/>
      </w:r>
      <w:r w:rsidR="00AB03D7">
        <w:rPr>
          <w:noProof/>
        </w:rPr>
        <w:t>36</w:t>
      </w:r>
      <w:r w:rsidR="00857467">
        <w:rPr>
          <w:noProof/>
        </w:rPr>
        <w:fldChar w:fldCharType="end"/>
      </w:r>
      <w:bookmarkEnd w:id="665"/>
      <w:r w:rsidRPr="00AA14CC">
        <w:t>: 'My research has produced or is likely to result in or lead to ...', DP14–DP16</w:t>
      </w:r>
    </w:p>
    <w:p w14:paraId="6F6EDFC9" w14:textId="20405E07" w:rsidR="003639AF" w:rsidRDefault="000E5749" w:rsidP="003639AF">
      <w:pPr>
        <w:spacing w:after="120"/>
        <w:rPr>
          <w:rFonts w:asciiTheme="majorHAnsi" w:hAnsiTheme="majorHAnsi" w:cstheme="majorHAnsi"/>
        </w:rPr>
      </w:pPr>
      <w:r>
        <w:rPr>
          <w:rFonts w:asciiTheme="majorHAnsi" w:hAnsiTheme="majorHAnsi" w:cstheme="majorHAnsi"/>
          <w:noProof/>
        </w:rPr>
        <w:drawing>
          <wp:inline distT="0" distB="0" distL="0" distR="0" wp14:anchorId="1B72E4FF" wp14:editId="3EE5D31C">
            <wp:extent cx="5730875" cy="1957070"/>
            <wp:effectExtent l="0" t="0" r="3175" b="5080"/>
            <wp:docPr id="94" name="Picture 94" descr="Figure 36 is a graph showing the proportion of Discovery Projects final reports indicating that the associated research delivered economic, social, cultural, environmental or research capacity benefits.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36 is a graph showing the proportion of Discovery Projects final reports indicating that the associated research delivered economic, social, cultural, environmental or research capacity benefits. See text above and below graph for more inform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1957070"/>
                    </a:xfrm>
                    <a:prstGeom prst="rect">
                      <a:avLst/>
                    </a:prstGeom>
                    <a:noFill/>
                  </pic:spPr>
                </pic:pic>
              </a:graphicData>
            </a:graphic>
          </wp:inline>
        </w:drawing>
      </w:r>
    </w:p>
    <w:p w14:paraId="0B8C0DB2" w14:textId="612472F9" w:rsidR="003639AF" w:rsidRPr="00E22542" w:rsidRDefault="003639AF" w:rsidP="003639AF">
      <w:pPr>
        <w:spacing w:after="120"/>
        <w:rPr>
          <w:rFonts w:asciiTheme="majorHAnsi" w:hAnsiTheme="majorHAnsi" w:cstheme="majorHAnsi"/>
          <w:i/>
          <w:sz w:val="18"/>
          <w:szCs w:val="18"/>
        </w:rPr>
      </w:pPr>
      <w:r>
        <w:rPr>
          <w:rFonts w:asciiTheme="majorHAnsi" w:hAnsiTheme="majorHAnsi" w:cstheme="majorHAnsi"/>
          <w:sz w:val="18"/>
          <w:szCs w:val="18"/>
        </w:rPr>
        <w:t xml:space="preserve">Source: ARC administrative data. </w:t>
      </w:r>
      <w:r>
        <w:rPr>
          <w:rFonts w:asciiTheme="majorHAnsi" w:hAnsiTheme="majorHAnsi" w:cstheme="majorHAnsi"/>
          <w:i/>
          <w:sz w:val="18"/>
          <w:szCs w:val="18"/>
        </w:rPr>
        <w:t>Note: Final reports have not been submitted for all funded projects. Data not available prior to DP14.</w:t>
      </w:r>
      <w:r w:rsidR="00536C1C">
        <w:rPr>
          <w:rFonts w:asciiTheme="majorHAnsi" w:hAnsiTheme="majorHAnsi" w:cstheme="majorHAnsi"/>
          <w:i/>
          <w:sz w:val="18"/>
          <w:szCs w:val="18"/>
        </w:rPr>
        <w:t xml:space="preserve"> Data from DP17 onwards have not been included</w:t>
      </w:r>
      <w:r w:rsidR="009B5B1B">
        <w:rPr>
          <w:rFonts w:asciiTheme="majorHAnsi" w:hAnsiTheme="majorHAnsi" w:cstheme="majorHAnsi"/>
          <w:i/>
          <w:sz w:val="18"/>
          <w:szCs w:val="18"/>
        </w:rPr>
        <w:t xml:space="preserve"> due to the limited number of final reports submitted.</w:t>
      </w:r>
    </w:p>
    <w:p w14:paraId="16F619E4" w14:textId="2EF27F08" w:rsidR="003639AF" w:rsidRDefault="003639AF" w:rsidP="003639AF">
      <w:pPr>
        <w:spacing w:after="120"/>
        <w:rPr>
          <w:rFonts w:asciiTheme="majorHAnsi" w:hAnsiTheme="majorHAnsi" w:cstheme="majorHAnsi"/>
        </w:rPr>
      </w:pPr>
      <w:r>
        <w:rPr>
          <w:rFonts w:asciiTheme="majorHAnsi" w:hAnsiTheme="majorHAnsi" w:cstheme="majorHAnsi"/>
        </w:rPr>
        <w:t>Between DP14 and DP16, 40–50 per cent of benefits selected related to increased research capacity; significantly more than the other categories. Of the remaining options, economic benefits were most common, increasing slightly from 21.4 per cent (DP14) to 25.5 per cent (DP16) of selections. Social and cultural benefits were identified less frequently over time, together accounting for 25.4 per cent of benefits selected in DP14 final reports, but only 14.1 per</w:t>
      </w:r>
      <w:r w:rsidR="00BA23DE">
        <w:rPr>
          <w:rFonts w:asciiTheme="majorHAnsi" w:hAnsiTheme="majorHAnsi" w:cstheme="majorHAnsi"/>
        </w:rPr>
        <w:t xml:space="preserve"> </w:t>
      </w:r>
      <w:r>
        <w:rPr>
          <w:rFonts w:asciiTheme="majorHAnsi" w:hAnsiTheme="majorHAnsi" w:cstheme="majorHAnsi"/>
        </w:rPr>
        <w:t xml:space="preserve">cent in DP16 final reports. The proportion of responses </w:t>
      </w:r>
      <w:r w:rsidR="00E44BB9">
        <w:rPr>
          <w:rFonts w:asciiTheme="majorHAnsi" w:hAnsiTheme="majorHAnsi" w:cstheme="majorHAnsi"/>
        </w:rPr>
        <w:t>identifying</w:t>
      </w:r>
      <w:r>
        <w:rPr>
          <w:rFonts w:asciiTheme="majorHAnsi" w:hAnsiTheme="majorHAnsi" w:cstheme="majorHAnsi"/>
        </w:rPr>
        <w:t xml:space="preserve"> environmental benefits remained relatively static in a range from 12.3 per </w:t>
      </w:r>
      <w:r>
        <w:rPr>
          <w:rFonts w:asciiTheme="majorHAnsi" w:hAnsiTheme="majorHAnsi" w:cstheme="majorHAnsi"/>
        </w:rPr>
        <w:lastRenderedPageBreak/>
        <w:t xml:space="preserve">cent (DP14) to 14.7 per cent (DP15). Given the brevity of the period covered by the available data set, these findings should be interpreted as </w:t>
      </w:r>
      <w:r w:rsidDel="00E8005F">
        <w:rPr>
          <w:rFonts w:asciiTheme="majorHAnsi" w:hAnsiTheme="majorHAnsi" w:cstheme="majorHAnsi"/>
        </w:rPr>
        <w:t>indicative</w:t>
      </w:r>
      <w:r w:rsidDel="00AF70B0">
        <w:rPr>
          <w:rFonts w:asciiTheme="majorHAnsi" w:hAnsiTheme="majorHAnsi" w:cstheme="majorHAnsi"/>
        </w:rPr>
        <w:t>.</w:t>
      </w:r>
    </w:p>
    <w:p w14:paraId="7A4C0A74" w14:textId="1B1B848D" w:rsidR="003639AF" w:rsidRDefault="00E44653" w:rsidP="003639AF">
      <w:pPr>
        <w:spacing w:after="120"/>
      </w:pPr>
      <w:r>
        <w:rPr>
          <w:rFonts w:asciiTheme="majorHAnsi" w:hAnsiTheme="majorHAnsi" w:cstheme="majorHAnsi"/>
        </w:rPr>
        <w:t xml:space="preserve">Since DP14, </w:t>
      </w:r>
      <w:r w:rsidR="003639AF">
        <w:rPr>
          <w:rFonts w:asciiTheme="majorHAnsi" w:hAnsiTheme="majorHAnsi" w:cstheme="majorHAnsi"/>
        </w:rPr>
        <w:t xml:space="preserve">final reports </w:t>
      </w:r>
      <w:r>
        <w:rPr>
          <w:rFonts w:asciiTheme="majorHAnsi" w:hAnsiTheme="majorHAnsi" w:cstheme="majorHAnsi"/>
        </w:rPr>
        <w:t xml:space="preserve">have </w:t>
      </w:r>
      <w:r w:rsidR="003639AF">
        <w:rPr>
          <w:rFonts w:asciiTheme="majorHAnsi" w:hAnsiTheme="majorHAnsi" w:cstheme="majorHAnsi"/>
        </w:rPr>
        <w:t>also request</w:t>
      </w:r>
      <w:r>
        <w:rPr>
          <w:rFonts w:asciiTheme="majorHAnsi" w:hAnsiTheme="majorHAnsi" w:cstheme="majorHAnsi"/>
        </w:rPr>
        <w:t>ed</w:t>
      </w:r>
      <w:r w:rsidR="003639AF">
        <w:rPr>
          <w:rFonts w:asciiTheme="majorHAnsi" w:hAnsiTheme="majorHAnsi" w:cstheme="majorHAnsi"/>
        </w:rPr>
        <w:t xml:space="preserve"> additional detail about the nature of actual or potential benefits arising from completed projects. The </w:t>
      </w:r>
      <w:r w:rsidR="004F6959">
        <w:rPr>
          <w:rFonts w:asciiTheme="majorHAnsi" w:hAnsiTheme="majorHAnsi" w:cstheme="majorHAnsi"/>
        </w:rPr>
        <w:t xml:space="preserve">available </w:t>
      </w:r>
      <w:r w:rsidR="00E83050">
        <w:rPr>
          <w:rFonts w:asciiTheme="majorHAnsi" w:hAnsiTheme="majorHAnsi" w:cstheme="majorHAnsi"/>
        </w:rPr>
        <w:t>response</w:t>
      </w:r>
      <w:r>
        <w:rPr>
          <w:rFonts w:asciiTheme="majorHAnsi" w:hAnsiTheme="majorHAnsi" w:cstheme="majorHAnsi"/>
        </w:rPr>
        <w:t xml:space="preserve"> </w:t>
      </w:r>
      <w:r w:rsidR="003639AF">
        <w:rPr>
          <w:rFonts w:asciiTheme="majorHAnsi" w:hAnsiTheme="majorHAnsi" w:cstheme="majorHAnsi"/>
        </w:rPr>
        <w:t>options are categorised under the broader categories in</w:t>
      </w:r>
      <w:r w:rsidR="003639AF" w:rsidRPr="00314FB0">
        <w:rPr>
          <w:rFonts w:asciiTheme="majorHAnsi" w:hAnsiTheme="majorHAnsi" w:cstheme="majorHAnsi"/>
        </w:rPr>
        <w:t xml:space="preserve"> </w:t>
      </w:r>
      <w:r w:rsidR="003639AF" w:rsidRPr="005D488F">
        <w:rPr>
          <w:rFonts w:asciiTheme="majorHAnsi" w:hAnsiTheme="majorHAnsi" w:cstheme="majorHAnsi"/>
        </w:rPr>
        <w:fldChar w:fldCharType="begin"/>
      </w:r>
      <w:r w:rsidR="003639AF" w:rsidRPr="00314FB0">
        <w:rPr>
          <w:rFonts w:asciiTheme="majorHAnsi" w:hAnsiTheme="majorHAnsi" w:cstheme="majorHAnsi"/>
        </w:rPr>
        <w:instrText xml:space="preserve"> REF _Ref45545528 \h </w:instrText>
      </w:r>
      <w:r w:rsidR="003639AF" w:rsidRPr="00C43EA4">
        <w:rPr>
          <w:rFonts w:asciiTheme="majorHAnsi" w:hAnsiTheme="majorHAnsi" w:cstheme="majorHAnsi"/>
        </w:rPr>
        <w:instrText xml:space="preserve"> \* MERGEFORMAT </w:instrText>
      </w:r>
      <w:r w:rsidR="003639AF" w:rsidRPr="005D488F">
        <w:rPr>
          <w:rFonts w:asciiTheme="majorHAnsi" w:hAnsiTheme="majorHAnsi" w:cstheme="majorHAnsi"/>
        </w:rPr>
      </w:r>
      <w:r w:rsidR="003639AF" w:rsidRPr="005D488F">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36</w:t>
      </w:r>
      <w:r w:rsidR="003639AF" w:rsidRPr="005D488F">
        <w:rPr>
          <w:rFonts w:asciiTheme="majorHAnsi" w:hAnsiTheme="majorHAnsi" w:cstheme="majorHAnsi"/>
        </w:rPr>
        <w:fldChar w:fldCharType="end"/>
      </w:r>
      <w:r w:rsidR="003639AF" w:rsidRPr="00314FB0">
        <w:rPr>
          <w:rFonts w:asciiTheme="majorHAnsi" w:hAnsiTheme="majorHAnsi" w:cstheme="majorHAnsi"/>
        </w:rPr>
        <w:t xml:space="preserve">. </w:t>
      </w:r>
      <w:r w:rsidR="003639AF">
        <w:rPr>
          <w:rFonts w:asciiTheme="majorHAnsi" w:hAnsiTheme="majorHAnsi" w:cstheme="majorHAnsi"/>
        </w:rPr>
        <w:t xml:space="preserve">One or </w:t>
      </w:r>
      <w:r w:rsidR="003639AF" w:rsidRPr="00142681">
        <w:rPr>
          <w:rFonts w:asciiTheme="majorHAnsi" w:hAnsiTheme="majorHAnsi" w:cstheme="majorHAnsi"/>
        </w:rPr>
        <w:t>more options</w:t>
      </w:r>
      <w:r w:rsidR="003639AF">
        <w:rPr>
          <w:rFonts w:asciiTheme="majorHAnsi" w:hAnsiTheme="majorHAnsi" w:cstheme="majorHAnsi"/>
        </w:rPr>
        <w:t xml:space="preserve"> can be selected</w:t>
      </w:r>
      <w:r w:rsidR="003639AF" w:rsidRPr="00142681">
        <w:rPr>
          <w:rFonts w:asciiTheme="majorHAnsi" w:hAnsiTheme="majorHAnsi" w:cstheme="majorHAnsi"/>
        </w:rPr>
        <w:t xml:space="preserve">. </w:t>
      </w:r>
      <w:r w:rsidR="003639AF" w:rsidRPr="00363287">
        <w:rPr>
          <w:rFonts w:asciiTheme="majorHAnsi" w:hAnsiTheme="majorHAnsi" w:cstheme="majorHAnsi"/>
        </w:rPr>
        <w:fldChar w:fldCharType="begin"/>
      </w:r>
      <w:r w:rsidR="003639AF" w:rsidRPr="00142681">
        <w:rPr>
          <w:rFonts w:asciiTheme="majorHAnsi" w:hAnsiTheme="majorHAnsi" w:cstheme="majorHAnsi"/>
        </w:rPr>
        <w:instrText xml:space="preserve"> REF _Ref48548690 \h </w:instrText>
      </w:r>
      <w:r w:rsidR="003639AF" w:rsidRPr="00363287">
        <w:rPr>
          <w:rFonts w:asciiTheme="majorHAnsi" w:hAnsiTheme="majorHAnsi" w:cstheme="majorHAnsi"/>
        </w:rPr>
        <w:instrText xml:space="preserve"> \* MERGEFORMAT </w:instrText>
      </w:r>
      <w:r w:rsidR="003639AF" w:rsidRPr="00363287">
        <w:rPr>
          <w:rFonts w:asciiTheme="majorHAnsi" w:hAnsiTheme="majorHAnsi" w:cstheme="majorHAnsi"/>
        </w:rPr>
      </w:r>
      <w:r w:rsidR="003639AF" w:rsidRPr="00363287">
        <w:rPr>
          <w:rFonts w:asciiTheme="majorHAnsi" w:hAnsiTheme="majorHAnsi" w:cstheme="majorHAnsi"/>
        </w:rPr>
        <w:fldChar w:fldCharType="separate"/>
      </w:r>
      <w:r w:rsidR="00AB03D7" w:rsidRPr="00AB03D7">
        <w:rPr>
          <w:rFonts w:asciiTheme="majorHAnsi" w:hAnsiTheme="majorHAnsi" w:cstheme="majorHAnsi"/>
          <w:color w:val="000000" w:themeColor="text1"/>
        </w:rPr>
        <w:t>Figure 37</w:t>
      </w:r>
      <w:r w:rsidR="003639AF" w:rsidRPr="00363287">
        <w:rPr>
          <w:rFonts w:asciiTheme="majorHAnsi" w:hAnsiTheme="majorHAnsi" w:cstheme="majorHAnsi"/>
        </w:rPr>
        <w:fldChar w:fldCharType="end"/>
      </w:r>
      <w:r w:rsidR="003639AF" w:rsidRPr="00142681">
        <w:rPr>
          <w:rFonts w:asciiTheme="majorHAnsi" w:hAnsiTheme="majorHAnsi" w:cstheme="majorHAnsi"/>
        </w:rPr>
        <w:t xml:space="preserve"> presents the </w:t>
      </w:r>
      <w:r w:rsidR="00EA43E1">
        <w:rPr>
          <w:rFonts w:asciiTheme="majorHAnsi" w:hAnsiTheme="majorHAnsi" w:cstheme="majorHAnsi"/>
        </w:rPr>
        <w:t>representation</w:t>
      </w:r>
      <w:r w:rsidR="003639AF">
        <w:rPr>
          <w:rFonts w:asciiTheme="majorHAnsi" w:hAnsiTheme="majorHAnsi" w:cstheme="majorHAnsi"/>
        </w:rPr>
        <w:t xml:space="preserve"> of each of these </w:t>
      </w:r>
      <w:r w:rsidR="00227C51">
        <w:rPr>
          <w:rFonts w:asciiTheme="majorHAnsi" w:hAnsiTheme="majorHAnsi" w:cstheme="majorHAnsi"/>
        </w:rPr>
        <w:t xml:space="preserve">more detailed </w:t>
      </w:r>
      <w:r w:rsidR="003639AF">
        <w:rPr>
          <w:rFonts w:asciiTheme="majorHAnsi" w:hAnsiTheme="majorHAnsi" w:cstheme="majorHAnsi"/>
        </w:rPr>
        <w:t>benefits</w:t>
      </w:r>
      <w:r w:rsidR="00096C6B">
        <w:rPr>
          <w:rFonts w:asciiTheme="majorHAnsi" w:hAnsiTheme="majorHAnsi" w:cstheme="majorHAnsi"/>
        </w:rPr>
        <w:t xml:space="preserve"> </w:t>
      </w:r>
      <w:r w:rsidR="004F3C91">
        <w:rPr>
          <w:rFonts w:asciiTheme="majorHAnsi" w:hAnsiTheme="majorHAnsi" w:cstheme="majorHAnsi"/>
        </w:rPr>
        <w:t>as a proportion of</w:t>
      </w:r>
      <w:r w:rsidR="00096C6B">
        <w:rPr>
          <w:rFonts w:asciiTheme="majorHAnsi" w:hAnsiTheme="majorHAnsi" w:cstheme="majorHAnsi"/>
        </w:rPr>
        <w:t xml:space="preserve"> all responses</w:t>
      </w:r>
      <w:r w:rsidR="00764386">
        <w:rPr>
          <w:rFonts w:asciiTheme="majorHAnsi" w:hAnsiTheme="majorHAnsi" w:cstheme="majorHAnsi"/>
        </w:rPr>
        <w:t xml:space="preserve"> in final reports from DP</w:t>
      </w:r>
      <w:r w:rsidR="00D0231C">
        <w:rPr>
          <w:rFonts w:asciiTheme="majorHAnsi" w:hAnsiTheme="majorHAnsi" w:cstheme="majorHAnsi"/>
        </w:rPr>
        <w:t>14 to DP16</w:t>
      </w:r>
      <w:r w:rsidR="003639AF">
        <w:rPr>
          <w:rFonts w:asciiTheme="majorHAnsi" w:hAnsiTheme="majorHAnsi" w:cstheme="majorHAnsi"/>
        </w:rPr>
        <w:t>.</w:t>
      </w:r>
    </w:p>
    <w:p w14:paraId="523A010C" w14:textId="1FE3E716" w:rsidR="003639AF" w:rsidRPr="00363287" w:rsidRDefault="003639AF" w:rsidP="00751469">
      <w:pPr>
        <w:pStyle w:val="FigureTitle"/>
        <w:rPr>
          <w:i/>
        </w:rPr>
      </w:pPr>
      <w:bookmarkStart w:id="666" w:name="_Ref48548690"/>
      <w:r w:rsidRPr="00363287">
        <w:t xml:space="preserve">Figure </w:t>
      </w:r>
      <w:r w:rsidR="00857467">
        <w:fldChar w:fldCharType="begin"/>
      </w:r>
      <w:r w:rsidR="00857467">
        <w:instrText xml:space="preserve"> SEQ Figure \* ARABIC </w:instrText>
      </w:r>
      <w:r w:rsidR="00857467">
        <w:fldChar w:fldCharType="separate"/>
      </w:r>
      <w:r w:rsidR="00AB03D7">
        <w:rPr>
          <w:noProof/>
        </w:rPr>
        <w:t>37</w:t>
      </w:r>
      <w:r w:rsidR="00857467">
        <w:rPr>
          <w:noProof/>
        </w:rPr>
        <w:fldChar w:fldCharType="end"/>
      </w:r>
      <w:bookmarkEnd w:id="666"/>
      <w:r w:rsidRPr="00363287">
        <w:t>: 'In more detail, my research has produced or is likely to result in or lead to ...', DP14–DP16</w:t>
      </w:r>
    </w:p>
    <w:p w14:paraId="1646FB69" w14:textId="33E4E0F0" w:rsidR="003639AF" w:rsidRDefault="004402C6" w:rsidP="003639AF">
      <w:pPr>
        <w:spacing w:after="120"/>
        <w:rPr>
          <w:rFonts w:asciiTheme="majorHAnsi" w:hAnsiTheme="majorHAnsi" w:cstheme="majorHAnsi"/>
        </w:rPr>
      </w:pPr>
      <w:r>
        <w:rPr>
          <w:noProof/>
        </w:rPr>
        <w:drawing>
          <wp:inline distT="0" distB="0" distL="0" distR="0" wp14:anchorId="6E962BEE" wp14:editId="24B51164">
            <wp:extent cx="5629275" cy="3390900"/>
            <wp:effectExtent l="0" t="0" r="9525" b="0"/>
            <wp:docPr id="13" name="Picture 13" descr="Figure 37 is a graph showing the proportion of Discovery Projects final reports indicating that the research delivered specific kinds of benefits.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7 is a graph showing the proportion of Discovery Projects final reports indicating that the research delivered specific kinds of benefits. See text above and below graph for more information."/>
                    <pic:cNvPicPr/>
                  </pic:nvPicPr>
                  <pic:blipFill>
                    <a:blip r:embed="rId45"/>
                    <a:stretch>
                      <a:fillRect/>
                    </a:stretch>
                  </pic:blipFill>
                  <pic:spPr>
                    <a:xfrm>
                      <a:off x="0" y="0"/>
                      <a:ext cx="5629275" cy="3390900"/>
                    </a:xfrm>
                    <a:prstGeom prst="rect">
                      <a:avLst/>
                    </a:prstGeom>
                  </pic:spPr>
                </pic:pic>
              </a:graphicData>
            </a:graphic>
          </wp:inline>
        </w:drawing>
      </w:r>
    </w:p>
    <w:p w14:paraId="3C279AA6" w14:textId="77777777" w:rsidR="003639AF" w:rsidRPr="00E22542" w:rsidRDefault="003639AF" w:rsidP="003639AF">
      <w:pPr>
        <w:spacing w:after="120"/>
        <w:rPr>
          <w:rFonts w:asciiTheme="majorHAnsi" w:hAnsiTheme="majorHAnsi" w:cstheme="majorHAnsi"/>
          <w:i/>
          <w:sz w:val="18"/>
          <w:szCs w:val="18"/>
        </w:rPr>
      </w:pPr>
      <w:r>
        <w:rPr>
          <w:rFonts w:asciiTheme="majorHAnsi" w:hAnsiTheme="majorHAnsi" w:cstheme="majorHAnsi"/>
          <w:sz w:val="18"/>
          <w:szCs w:val="18"/>
        </w:rPr>
        <w:t xml:space="preserve">Source: ARC administrative data. </w:t>
      </w:r>
      <w:r>
        <w:rPr>
          <w:rFonts w:asciiTheme="majorHAnsi" w:hAnsiTheme="majorHAnsi" w:cstheme="majorHAnsi"/>
          <w:i/>
          <w:sz w:val="18"/>
          <w:szCs w:val="18"/>
        </w:rPr>
        <w:t xml:space="preserve">Note: Final reports have not been submitted for all funded projects. Data not available prior to DP14. Researchers are not able to indicate that completed projects delivered no benefits. </w:t>
      </w:r>
    </w:p>
    <w:p w14:paraId="278E5A31" w14:textId="6A0284A0" w:rsidR="00DA78E2" w:rsidRDefault="003639AF" w:rsidP="003639AF">
      <w:pPr>
        <w:spacing w:after="120"/>
        <w:rPr>
          <w:rFonts w:asciiTheme="majorHAnsi" w:hAnsiTheme="majorHAnsi" w:cstheme="majorHAnsi"/>
        </w:rPr>
      </w:pPr>
      <w:r>
        <w:rPr>
          <w:rFonts w:asciiTheme="majorHAnsi" w:hAnsiTheme="majorHAnsi" w:cstheme="majorHAnsi"/>
        </w:rPr>
        <w:t xml:space="preserve">The three most commonly selected options </w:t>
      </w:r>
      <w:r w:rsidRPr="00314FB0">
        <w:rPr>
          <w:rFonts w:asciiTheme="majorHAnsi" w:hAnsiTheme="majorHAnsi" w:cstheme="majorHAnsi"/>
        </w:rPr>
        <w:t>relate</w:t>
      </w:r>
      <w:r w:rsidR="00A962C9">
        <w:rPr>
          <w:rFonts w:asciiTheme="majorHAnsi" w:hAnsiTheme="majorHAnsi" w:cstheme="majorHAnsi"/>
        </w:rPr>
        <w:t>d</w:t>
      </w:r>
      <w:r>
        <w:rPr>
          <w:rFonts w:asciiTheme="majorHAnsi" w:hAnsiTheme="majorHAnsi" w:cstheme="majorHAnsi"/>
        </w:rPr>
        <w:t xml:space="preserve"> to building research capacity</w:t>
      </w:r>
      <w:r w:rsidR="006314D2">
        <w:rPr>
          <w:rFonts w:asciiTheme="majorHAnsi" w:hAnsiTheme="majorHAnsi" w:cstheme="majorHAnsi"/>
        </w:rPr>
        <w:t>;</w:t>
      </w:r>
      <w:r>
        <w:rPr>
          <w:rFonts w:asciiTheme="majorHAnsi" w:hAnsiTheme="majorHAnsi" w:cstheme="majorHAnsi"/>
        </w:rPr>
        <w:t xml:space="preserve"> </w:t>
      </w:r>
      <w:r w:rsidR="00B443F9">
        <w:rPr>
          <w:rFonts w:asciiTheme="majorHAnsi" w:hAnsiTheme="majorHAnsi" w:cstheme="majorHAnsi"/>
        </w:rPr>
        <w:t xml:space="preserve">most frequently </w:t>
      </w:r>
      <w:r>
        <w:rPr>
          <w:rFonts w:asciiTheme="majorHAnsi" w:hAnsiTheme="majorHAnsi" w:cstheme="majorHAnsi"/>
        </w:rPr>
        <w:t xml:space="preserve">the development of ‘new research directions’, which </w:t>
      </w:r>
      <w:r w:rsidR="00B443F9">
        <w:rPr>
          <w:rFonts w:asciiTheme="majorHAnsi" w:hAnsiTheme="majorHAnsi" w:cstheme="majorHAnsi"/>
        </w:rPr>
        <w:t>wa</w:t>
      </w:r>
      <w:r>
        <w:rPr>
          <w:rFonts w:asciiTheme="majorHAnsi" w:hAnsiTheme="majorHAnsi" w:cstheme="majorHAnsi"/>
        </w:rPr>
        <w:t xml:space="preserve">s closely followed by ‘research training’ and the formation of ‘new partnerships’. In relation to economic benefits, </w:t>
      </w:r>
      <w:r w:rsidR="00A849C2">
        <w:rPr>
          <w:rFonts w:asciiTheme="majorHAnsi" w:hAnsiTheme="majorHAnsi" w:cstheme="majorHAnsi"/>
        </w:rPr>
        <w:t xml:space="preserve">‘increasing productivity’ was </w:t>
      </w:r>
      <w:r>
        <w:rPr>
          <w:rFonts w:asciiTheme="majorHAnsi" w:hAnsiTheme="majorHAnsi" w:cstheme="majorHAnsi"/>
        </w:rPr>
        <w:t>selected most often</w:t>
      </w:r>
      <w:r w:rsidR="00EA2794">
        <w:rPr>
          <w:rFonts w:asciiTheme="majorHAnsi" w:hAnsiTheme="majorHAnsi" w:cstheme="majorHAnsi"/>
        </w:rPr>
        <w:t xml:space="preserve">. </w:t>
      </w:r>
      <w:r>
        <w:rPr>
          <w:rFonts w:asciiTheme="majorHAnsi" w:hAnsiTheme="majorHAnsi" w:cstheme="majorHAnsi"/>
        </w:rPr>
        <w:t>‘</w:t>
      </w:r>
      <w:r w:rsidR="00EA2794">
        <w:rPr>
          <w:rFonts w:asciiTheme="majorHAnsi" w:hAnsiTheme="majorHAnsi" w:cstheme="majorHAnsi"/>
        </w:rPr>
        <w:t>I</w:t>
      </w:r>
      <w:r>
        <w:rPr>
          <w:rFonts w:asciiTheme="majorHAnsi" w:hAnsiTheme="majorHAnsi" w:cstheme="majorHAnsi"/>
        </w:rPr>
        <w:t>mproved health and well-being’ was the most frequent</w:t>
      </w:r>
      <w:r w:rsidR="0086473A">
        <w:rPr>
          <w:rFonts w:asciiTheme="majorHAnsi" w:hAnsiTheme="majorHAnsi" w:cstheme="majorHAnsi"/>
        </w:rPr>
        <w:t xml:space="preserve"> response</w:t>
      </w:r>
      <w:r>
        <w:rPr>
          <w:rFonts w:asciiTheme="majorHAnsi" w:hAnsiTheme="majorHAnsi" w:cstheme="majorHAnsi"/>
        </w:rPr>
        <w:t xml:space="preserve"> </w:t>
      </w:r>
      <w:r w:rsidR="0086473A">
        <w:rPr>
          <w:rFonts w:asciiTheme="majorHAnsi" w:hAnsiTheme="majorHAnsi" w:cstheme="majorHAnsi"/>
        </w:rPr>
        <w:t>in</w:t>
      </w:r>
      <w:r w:rsidR="00461699">
        <w:rPr>
          <w:rFonts w:asciiTheme="majorHAnsi" w:hAnsiTheme="majorHAnsi" w:cstheme="majorHAnsi"/>
        </w:rPr>
        <w:t xml:space="preserve"> </w:t>
      </w:r>
      <w:r>
        <w:rPr>
          <w:rFonts w:asciiTheme="majorHAnsi" w:hAnsiTheme="majorHAnsi" w:cstheme="majorHAnsi"/>
        </w:rPr>
        <w:t xml:space="preserve">the social </w:t>
      </w:r>
      <w:r w:rsidR="00461699">
        <w:rPr>
          <w:rFonts w:asciiTheme="majorHAnsi" w:hAnsiTheme="majorHAnsi" w:cstheme="majorHAnsi"/>
        </w:rPr>
        <w:t xml:space="preserve">benefit </w:t>
      </w:r>
      <w:r>
        <w:rPr>
          <w:rFonts w:asciiTheme="majorHAnsi" w:hAnsiTheme="majorHAnsi" w:cstheme="majorHAnsi"/>
        </w:rPr>
        <w:t>categor</w:t>
      </w:r>
      <w:r w:rsidR="00461699">
        <w:rPr>
          <w:rFonts w:asciiTheme="majorHAnsi" w:hAnsiTheme="majorHAnsi" w:cstheme="majorHAnsi"/>
        </w:rPr>
        <w:t>y</w:t>
      </w:r>
      <w:r w:rsidR="00F85436">
        <w:rPr>
          <w:rFonts w:asciiTheme="majorHAnsi" w:hAnsiTheme="majorHAnsi" w:cstheme="majorHAnsi"/>
        </w:rPr>
        <w:t xml:space="preserve"> and </w:t>
      </w:r>
      <w:r>
        <w:rPr>
          <w:rFonts w:asciiTheme="majorHAnsi" w:hAnsiTheme="majorHAnsi" w:cstheme="majorHAnsi"/>
        </w:rPr>
        <w:t>‘cultural understanding’ was</w:t>
      </w:r>
      <w:r w:rsidR="00DA5D3C">
        <w:rPr>
          <w:rFonts w:asciiTheme="majorHAnsi" w:hAnsiTheme="majorHAnsi" w:cstheme="majorHAnsi"/>
        </w:rPr>
        <w:t xml:space="preserve"> the most </w:t>
      </w:r>
      <w:r w:rsidR="00BF38E0">
        <w:rPr>
          <w:rFonts w:asciiTheme="majorHAnsi" w:hAnsiTheme="majorHAnsi" w:cstheme="majorHAnsi"/>
        </w:rPr>
        <w:t>common</w:t>
      </w:r>
      <w:r w:rsidR="00DA5D3C">
        <w:rPr>
          <w:rFonts w:asciiTheme="majorHAnsi" w:hAnsiTheme="majorHAnsi" w:cstheme="majorHAnsi"/>
        </w:rPr>
        <w:t xml:space="preserve"> cultural benefit</w:t>
      </w:r>
      <w:r>
        <w:rPr>
          <w:rFonts w:asciiTheme="majorHAnsi" w:hAnsiTheme="majorHAnsi" w:cstheme="majorHAnsi"/>
        </w:rPr>
        <w:t xml:space="preserve">. ‘Better natural resource management’ and ‘reduced damage to environment’ were the </w:t>
      </w:r>
      <w:r w:rsidR="00BF38E0">
        <w:rPr>
          <w:rFonts w:asciiTheme="majorHAnsi" w:hAnsiTheme="majorHAnsi" w:cstheme="majorHAnsi"/>
        </w:rPr>
        <w:t>most frequently selected</w:t>
      </w:r>
      <w:r>
        <w:rPr>
          <w:rFonts w:asciiTheme="majorHAnsi" w:hAnsiTheme="majorHAnsi" w:cstheme="majorHAnsi"/>
        </w:rPr>
        <w:t xml:space="preserve"> environmental benefits. </w:t>
      </w:r>
    </w:p>
    <w:p w14:paraId="5664B249" w14:textId="43F678BE" w:rsidR="003639AF" w:rsidRDefault="009B5B1B" w:rsidP="003639AF">
      <w:pPr>
        <w:spacing w:after="120"/>
        <w:rPr>
          <w:rFonts w:asciiTheme="majorHAnsi" w:hAnsiTheme="majorHAnsi" w:cstheme="majorHAnsi"/>
        </w:rPr>
      </w:pPr>
      <w:r>
        <w:rPr>
          <w:rFonts w:asciiTheme="majorHAnsi" w:hAnsiTheme="majorHAnsi" w:cstheme="majorHAnsi"/>
        </w:rPr>
        <w:t>Th</w:t>
      </w:r>
      <w:r w:rsidR="00DA78E2">
        <w:rPr>
          <w:rFonts w:asciiTheme="majorHAnsi" w:hAnsiTheme="majorHAnsi" w:cstheme="majorHAnsi"/>
        </w:rPr>
        <w:t>e s</w:t>
      </w:r>
      <w:r w:rsidR="008C31BC">
        <w:rPr>
          <w:rFonts w:asciiTheme="majorHAnsi" w:hAnsiTheme="majorHAnsi" w:cstheme="majorHAnsi"/>
        </w:rPr>
        <w:t xml:space="preserve">trong representation of benefits relating to </w:t>
      </w:r>
      <w:r w:rsidR="000C69F2">
        <w:rPr>
          <w:rFonts w:asciiTheme="majorHAnsi" w:hAnsiTheme="majorHAnsi" w:cstheme="majorHAnsi"/>
        </w:rPr>
        <w:t>‘research capacity’</w:t>
      </w:r>
      <w:r>
        <w:rPr>
          <w:rFonts w:asciiTheme="majorHAnsi" w:hAnsiTheme="majorHAnsi" w:cstheme="majorHAnsi"/>
        </w:rPr>
        <w:t xml:space="preserve"> </w:t>
      </w:r>
      <w:r w:rsidR="000C69F2">
        <w:rPr>
          <w:rFonts w:asciiTheme="majorHAnsi" w:hAnsiTheme="majorHAnsi" w:cstheme="majorHAnsi"/>
        </w:rPr>
        <w:t>is consistent with</w:t>
      </w:r>
      <w:r w:rsidR="006A2BDB">
        <w:rPr>
          <w:rFonts w:asciiTheme="majorHAnsi" w:hAnsiTheme="majorHAnsi" w:cstheme="majorHAnsi"/>
        </w:rPr>
        <w:t xml:space="preserve"> Discovery Projects’ </w:t>
      </w:r>
      <w:r w:rsidR="00440A26">
        <w:rPr>
          <w:rFonts w:asciiTheme="majorHAnsi" w:hAnsiTheme="majorHAnsi" w:cstheme="majorHAnsi"/>
        </w:rPr>
        <w:t>allocation of funding on the basis of</w:t>
      </w:r>
      <w:r w:rsidR="006A2BDB">
        <w:rPr>
          <w:rFonts w:asciiTheme="majorHAnsi" w:hAnsiTheme="majorHAnsi" w:cstheme="majorHAnsi"/>
        </w:rPr>
        <w:t xml:space="preserve"> research </w:t>
      </w:r>
      <w:r w:rsidR="006A2BDB" w:rsidRPr="0073709D">
        <w:rPr>
          <w:rFonts w:asciiTheme="majorHAnsi" w:hAnsiTheme="majorHAnsi" w:cstheme="majorHAnsi"/>
        </w:rPr>
        <w:t xml:space="preserve">excellence, and </w:t>
      </w:r>
      <w:r w:rsidR="00B70011" w:rsidRPr="0073709D">
        <w:rPr>
          <w:rFonts w:asciiTheme="majorHAnsi" w:hAnsiTheme="majorHAnsi" w:cstheme="majorHAnsi"/>
        </w:rPr>
        <w:t>its</w:t>
      </w:r>
      <w:r w:rsidR="000C69F2" w:rsidRPr="0073709D">
        <w:rPr>
          <w:rFonts w:asciiTheme="majorHAnsi" w:hAnsiTheme="majorHAnsi" w:cstheme="majorHAnsi"/>
        </w:rPr>
        <w:t xml:space="preserve"> unique </w:t>
      </w:r>
      <w:r w:rsidR="00B70011" w:rsidRPr="0073709D">
        <w:rPr>
          <w:rFonts w:asciiTheme="majorHAnsi" w:hAnsiTheme="majorHAnsi" w:cstheme="majorHAnsi"/>
        </w:rPr>
        <w:t>role in supporting</w:t>
      </w:r>
      <w:r w:rsidR="006A2BDB" w:rsidRPr="0073709D">
        <w:rPr>
          <w:rFonts w:asciiTheme="majorHAnsi" w:hAnsiTheme="majorHAnsi" w:cstheme="majorHAnsi"/>
        </w:rPr>
        <w:t xml:space="preserve"> </w:t>
      </w:r>
      <w:r w:rsidR="000C69F2" w:rsidRPr="0073709D">
        <w:rPr>
          <w:rFonts w:asciiTheme="majorHAnsi" w:hAnsiTheme="majorHAnsi" w:cstheme="majorHAnsi"/>
        </w:rPr>
        <w:t>basic research</w:t>
      </w:r>
      <w:r w:rsidR="006A2BDB" w:rsidRPr="0073709D">
        <w:rPr>
          <w:rFonts w:asciiTheme="majorHAnsi" w:hAnsiTheme="majorHAnsi" w:cstheme="majorHAnsi"/>
        </w:rPr>
        <w:t xml:space="preserve"> within Australia’s research funding landscape (</w:t>
      </w:r>
      <w:r w:rsidR="000C69F2" w:rsidRPr="0073709D">
        <w:rPr>
          <w:rFonts w:asciiTheme="majorHAnsi" w:hAnsiTheme="majorHAnsi" w:cstheme="majorHAnsi"/>
        </w:rPr>
        <w:t>see</w:t>
      </w:r>
      <w:r w:rsidR="00316809" w:rsidRPr="0073709D">
        <w:rPr>
          <w:rFonts w:asciiTheme="majorHAnsi" w:hAnsiTheme="majorHAnsi" w:cstheme="majorHAnsi"/>
        </w:rPr>
        <w:t xml:space="preserve"> </w:t>
      </w:r>
      <w:hyperlink w:anchor="_Quantitative_stakeholder_views—appr" w:history="1">
        <w:r w:rsidR="00316809" w:rsidRPr="00281670">
          <w:rPr>
            <w:rStyle w:val="Hyperlink"/>
            <w:color w:val="auto"/>
            <w:sz w:val="22"/>
            <w:u w:val="none"/>
          </w:rPr>
          <w:t xml:space="preserve">Section </w:t>
        </w:r>
        <w:r w:rsidR="0073709D" w:rsidRPr="00281670">
          <w:rPr>
            <w:rStyle w:val="Hyperlink"/>
            <w:color w:val="auto"/>
            <w:sz w:val="22"/>
            <w:u w:val="none"/>
          </w:rPr>
          <w:t>5.1.1</w:t>
        </w:r>
      </w:hyperlink>
      <w:r w:rsidR="000C69F2" w:rsidRPr="008E6B86">
        <w:rPr>
          <w:rFonts w:asciiTheme="majorHAnsi" w:hAnsiTheme="majorHAnsi" w:cstheme="majorHAnsi"/>
        </w:rPr>
        <w:t>).</w:t>
      </w:r>
      <w:r w:rsidR="00833F2E" w:rsidRPr="008E6B86">
        <w:rPr>
          <w:rFonts w:asciiTheme="majorHAnsi" w:hAnsiTheme="majorHAnsi" w:cstheme="majorHAnsi"/>
        </w:rPr>
        <w:t xml:space="preserve"> However</w:t>
      </w:r>
      <w:r w:rsidR="00833F2E">
        <w:rPr>
          <w:rFonts w:asciiTheme="majorHAnsi" w:hAnsiTheme="majorHAnsi" w:cstheme="majorHAnsi"/>
        </w:rPr>
        <w:t>, these results also highlight the diverse translational benefits</w:t>
      </w:r>
      <w:r w:rsidR="008C31BC">
        <w:rPr>
          <w:rFonts w:asciiTheme="majorHAnsi" w:hAnsiTheme="majorHAnsi" w:cstheme="majorHAnsi"/>
        </w:rPr>
        <w:t xml:space="preserve"> </w:t>
      </w:r>
      <w:r w:rsidR="00833F2E">
        <w:rPr>
          <w:rFonts w:asciiTheme="majorHAnsi" w:hAnsiTheme="majorHAnsi" w:cstheme="majorHAnsi"/>
        </w:rPr>
        <w:t xml:space="preserve">supported by the scheme. </w:t>
      </w:r>
      <w:r w:rsidR="000C69F2">
        <w:rPr>
          <w:rFonts w:asciiTheme="majorHAnsi" w:hAnsiTheme="majorHAnsi" w:cstheme="majorHAnsi"/>
        </w:rPr>
        <w:t xml:space="preserve"> </w:t>
      </w:r>
    </w:p>
    <w:p w14:paraId="70188E82" w14:textId="17BE89F5" w:rsidR="003639AF" w:rsidRDefault="003639AF" w:rsidP="00254D36">
      <w:pPr>
        <w:pStyle w:val="Heading3"/>
        <w:numPr>
          <w:ilvl w:val="2"/>
          <w:numId w:val="17"/>
        </w:numPr>
        <w:shd w:val="clear" w:color="auto" w:fill="auto"/>
      </w:pPr>
      <w:bookmarkStart w:id="667" w:name="_Qualitative_stakeholder_feedback_4"/>
      <w:bookmarkStart w:id="668" w:name="_Toc50533631"/>
      <w:bookmarkStart w:id="669" w:name="_Toc50553781"/>
      <w:bookmarkStart w:id="670" w:name="_Toc50555017"/>
      <w:bookmarkStart w:id="671" w:name="_Toc50618151"/>
      <w:bookmarkStart w:id="672" w:name="_Toc50618432"/>
      <w:bookmarkStart w:id="673" w:name="_Toc51917032"/>
      <w:bookmarkStart w:id="674" w:name="_Toc51918872"/>
      <w:bookmarkStart w:id="675" w:name="_Ref53148819"/>
      <w:bookmarkStart w:id="676" w:name="_Ref53148831"/>
      <w:bookmarkStart w:id="677" w:name="_Toc53557255"/>
      <w:bookmarkStart w:id="678" w:name="_Toc54699297"/>
      <w:bookmarkStart w:id="679" w:name="_Toc55544831"/>
      <w:bookmarkEnd w:id="667"/>
      <w:r>
        <w:t>Qualitative s</w:t>
      </w:r>
      <w:r w:rsidRPr="0065452B">
        <w:t xml:space="preserve">takeholder </w:t>
      </w:r>
      <w:r>
        <w:t>feedback on effectiveness</w:t>
      </w:r>
      <w:bookmarkEnd w:id="668"/>
      <w:bookmarkEnd w:id="669"/>
      <w:bookmarkEnd w:id="670"/>
      <w:bookmarkEnd w:id="671"/>
      <w:bookmarkEnd w:id="672"/>
      <w:bookmarkEnd w:id="673"/>
      <w:bookmarkEnd w:id="674"/>
      <w:bookmarkEnd w:id="675"/>
      <w:bookmarkEnd w:id="676"/>
      <w:bookmarkEnd w:id="677"/>
      <w:bookmarkEnd w:id="678"/>
      <w:bookmarkEnd w:id="679"/>
    </w:p>
    <w:p w14:paraId="791FF1F5" w14:textId="30AC3A34" w:rsidR="003639AF" w:rsidRPr="00B33D27" w:rsidRDefault="003639AF" w:rsidP="003639AF">
      <w:pPr>
        <w:spacing w:after="240"/>
        <w:rPr>
          <w:rFonts w:asciiTheme="majorHAnsi" w:hAnsiTheme="majorHAnsi" w:cstheme="majorHAnsi"/>
        </w:rPr>
      </w:pPr>
      <w:r w:rsidRPr="00B33D27">
        <w:rPr>
          <w:rFonts w:asciiTheme="majorHAnsi" w:hAnsiTheme="majorHAnsi" w:cstheme="majorHAnsi"/>
        </w:rPr>
        <w:t>Survey and interview partici</w:t>
      </w:r>
      <w:r>
        <w:rPr>
          <w:rFonts w:asciiTheme="majorHAnsi" w:hAnsiTheme="majorHAnsi" w:cstheme="majorHAnsi"/>
        </w:rPr>
        <w:t>pants identified benefits arising from Discovery Projects research</w:t>
      </w:r>
      <w:r w:rsidRPr="00B33D27">
        <w:rPr>
          <w:rFonts w:asciiTheme="majorHAnsi" w:hAnsiTheme="majorHAnsi" w:cstheme="majorHAnsi"/>
        </w:rPr>
        <w:t xml:space="preserve"> across a variety of nati</w:t>
      </w:r>
      <w:r>
        <w:rPr>
          <w:rFonts w:asciiTheme="majorHAnsi" w:hAnsiTheme="majorHAnsi" w:cstheme="majorHAnsi"/>
        </w:rPr>
        <w:t xml:space="preserve">onal and international </w:t>
      </w:r>
      <w:r w:rsidRPr="00B33D27">
        <w:rPr>
          <w:rFonts w:asciiTheme="majorHAnsi" w:hAnsiTheme="majorHAnsi" w:cstheme="majorHAnsi"/>
        </w:rPr>
        <w:t>domains.</w:t>
      </w:r>
      <w:r>
        <w:rPr>
          <w:rFonts w:asciiTheme="majorHAnsi" w:hAnsiTheme="majorHAnsi" w:cstheme="majorHAnsi"/>
        </w:rPr>
        <w:t xml:space="preserve"> A sample of the benefits reported from survey participants’ most recently completed Discovery Projects grant is </w:t>
      </w:r>
      <w:r w:rsidRPr="00CC2533">
        <w:rPr>
          <w:rFonts w:asciiTheme="majorHAnsi" w:hAnsiTheme="majorHAnsi" w:cstheme="majorHAnsi"/>
        </w:rPr>
        <w:t xml:space="preserve">outlined in </w:t>
      </w:r>
      <w:hyperlink w:anchor="_Appendix_E:_Translational" w:history="1">
        <w:r w:rsidRPr="00CC2533">
          <w:rPr>
            <w:rFonts w:asciiTheme="majorHAnsi" w:hAnsiTheme="majorHAnsi" w:cstheme="majorHAnsi"/>
          </w:rPr>
          <w:t xml:space="preserve">Appendix </w:t>
        </w:r>
        <w:r w:rsidR="004750BF" w:rsidRPr="00CC2533">
          <w:rPr>
            <w:rFonts w:asciiTheme="majorHAnsi" w:hAnsiTheme="majorHAnsi" w:cstheme="majorHAnsi"/>
          </w:rPr>
          <w:t>E</w:t>
        </w:r>
      </w:hyperlink>
      <w:r w:rsidRPr="00CC2533">
        <w:rPr>
          <w:rFonts w:asciiTheme="majorHAnsi" w:hAnsiTheme="majorHAnsi" w:cstheme="majorHAnsi"/>
        </w:rPr>
        <w:t>. Interview</w:t>
      </w:r>
      <w:r>
        <w:rPr>
          <w:rFonts w:asciiTheme="majorHAnsi" w:hAnsiTheme="majorHAnsi" w:cstheme="majorHAnsi"/>
        </w:rPr>
        <w:t xml:space="preserve"> participants discussed the effectiveness of the scheme in deliver</w:t>
      </w:r>
      <w:r w:rsidR="005574F8">
        <w:rPr>
          <w:rFonts w:asciiTheme="majorHAnsi" w:hAnsiTheme="majorHAnsi" w:cstheme="majorHAnsi"/>
        </w:rPr>
        <w:t>ing</w:t>
      </w:r>
      <w:r>
        <w:rPr>
          <w:rFonts w:asciiTheme="majorHAnsi" w:hAnsiTheme="majorHAnsi" w:cstheme="majorHAnsi"/>
        </w:rPr>
        <w:t xml:space="preserve"> </w:t>
      </w:r>
      <w:r w:rsidRPr="00B33D27">
        <w:rPr>
          <w:rFonts w:asciiTheme="majorHAnsi" w:hAnsiTheme="majorHAnsi" w:cstheme="majorHAnsi"/>
        </w:rPr>
        <w:t xml:space="preserve">translational </w:t>
      </w:r>
      <w:r w:rsidR="00765AD0">
        <w:rPr>
          <w:rFonts w:asciiTheme="majorHAnsi" w:hAnsiTheme="majorHAnsi" w:cstheme="majorHAnsi"/>
        </w:rPr>
        <w:t>outcomes</w:t>
      </w:r>
      <w:r w:rsidR="005574F8">
        <w:rPr>
          <w:rFonts w:asciiTheme="majorHAnsi" w:hAnsiTheme="majorHAnsi" w:cstheme="majorHAnsi"/>
        </w:rPr>
        <w:t xml:space="preserve">, and </w:t>
      </w:r>
      <w:r w:rsidR="00D93A26">
        <w:rPr>
          <w:rFonts w:asciiTheme="majorHAnsi" w:hAnsiTheme="majorHAnsi" w:cstheme="majorHAnsi"/>
        </w:rPr>
        <w:lastRenderedPageBreak/>
        <w:t>highlighted</w:t>
      </w:r>
      <w:r w:rsidR="00765AD0">
        <w:rPr>
          <w:rFonts w:asciiTheme="majorHAnsi" w:hAnsiTheme="majorHAnsi" w:cstheme="majorHAnsi"/>
        </w:rPr>
        <w:t xml:space="preserve"> interrelationships between these benefits</w:t>
      </w:r>
      <w:r w:rsidR="005574F8">
        <w:rPr>
          <w:rFonts w:asciiTheme="majorHAnsi" w:hAnsiTheme="majorHAnsi" w:cstheme="majorHAnsi"/>
        </w:rPr>
        <w:t xml:space="preserve"> </w:t>
      </w:r>
      <w:r w:rsidR="00765AD0">
        <w:rPr>
          <w:rFonts w:asciiTheme="majorHAnsi" w:hAnsiTheme="majorHAnsi" w:cstheme="majorHAnsi"/>
        </w:rPr>
        <w:t>and</w:t>
      </w:r>
      <w:r w:rsidR="005574F8">
        <w:rPr>
          <w:rFonts w:asciiTheme="majorHAnsi" w:hAnsiTheme="majorHAnsi" w:cstheme="majorHAnsi"/>
        </w:rPr>
        <w:t xml:space="preserve"> the expansion of </w:t>
      </w:r>
      <w:r w:rsidR="005574F8" w:rsidRPr="00B33D27">
        <w:rPr>
          <w:rFonts w:asciiTheme="majorHAnsi" w:hAnsiTheme="majorHAnsi" w:cstheme="majorHAnsi"/>
        </w:rPr>
        <w:t>Australia’s knowledge base and research</w:t>
      </w:r>
      <w:r w:rsidR="005574F8">
        <w:rPr>
          <w:rFonts w:asciiTheme="majorHAnsi" w:hAnsiTheme="majorHAnsi" w:cstheme="majorHAnsi"/>
        </w:rPr>
        <w:t xml:space="preserve"> capacity</w:t>
      </w:r>
      <w:r w:rsidRPr="00B33D27">
        <w:rPr>
          <w:rFonts w:asciiTheme="majorHAnsi" w:hAnsiTheme="majorHAnsi" w:cstheme="majorHAnsi"/>
        </w:rPr>
        <w:t>.</w:t>
      </w:r>
    </w:p>
    <w:p w14:paraId="59923106" w14:textId="77777777" w:rsidR="003639AF" w:rsidRDefault="003639AF" w:rsidP="001220A3">
      <w:pPr>
        <w:pStyle w:val="Quote"/>
      </w:pPr>
      <w:r w:rsidRPr="000D7FD7">
        <w:t>If I look at the start-up companies coming out of the university—</w:t>
      </w:r>
      <w:r w:rsidRPr="000D7FD7">
        <w:rPr>
          <w:bCs/>
        </w:rPr>
        <w:t xml:space="preserve">vast majority of those come from our Discovery Projects </w:t>
      </w:r>
      <w:r w:rsidRPr="003E0DE0">
        <w:rPr>
          <w:i w:val="0"/>
          <w:iCs w:val="0"/>
        </w:rPr>
        <w:t>– (University Research Office)</w:t>
      </w:r>
    </w:p>
    <w:p w14:paraId="586F981B" w14:textId="77777777" w:rsidR="003639AF" w:rsidRPr="00363287" w:rsidRDefault="003639AF" w:rsidP="001220A3">
      <w:pPr>
        <w:pStyle w:val="Quote"/>
        <w:rPr>
          <w:u w:val="single"/>
        </w:rPr>
      </w:pPr>
      <w:r w:rsidRPr="003A7A62">
        <w:t>It supports</w:t>
      </w:r>
      <w:r>
        <w:t xml:space="preserve"> the continuum of translation—</w:t>
      </w:r>
      <w:r w:rsidRPr="003A7A62">
        <w:t>and it is certainly e</w:t>
      </w:r>
      <w:r>
        <w:t>xcellent at</w:t>
      </w:r>
      <w:r w:rsidRPr="003A7A62">
        <w:t xml:space="preserve"> translation from the perspective of acad</w:t>
      </w:r>
      <w:r>
        <w:t xml:space="preserve">emic discovery or knowledge </w:t>
      </w:r>
      <w:r w:rsidRPr="003E0DE0">
        <w:rPr>
          <w:i w:val="0"/>
          <w:iCs w:val="0"/>
        </w:rPr>
        <w:t>– (University Research Office)</w:t>
      </w:r>
    </w:p>
    <w:p w14:paraId="4C2B3759" w14:textId="77777777" w:rsidR="003639AF" w:rsidRPr="000D7FD7" w:rsidRDefault="003639AF" w:rsidP="003E0DE0">
      <w:pPr>
        <w:pStyle w:val="Quote"/>
        <w:spacing w:after="240"/>
        <w:ind w:left="425" w:right="663"/>
      </w:pPr>
      <w:r w:rsidRPr="000D7FD7">
        <w:rPr>
          <w:bCs/>
        </w:rPr>
        <w:t>It c</w:t>
      </w:r>
      <w:r w:rsidRPr="000D7FD7">
        <w:t xml:space="preserve">an </w:t>
      </w:r>
      <w:r w:rsidRPr="000D7FD7">
        <w:rPr>
          <w:bCs/>
        </w:rPr>
        <w:t>support areas that are really important, but not as economically attractive</w:t>
      </w:r>
      <w:r w:rsidRPr="000D7FD7">
        <w:t>. I think that’s where the ARC scheme is really important because it looks at humanities, social sciences and areas that don’t obviously lead to tangible economic benefits</w:t>
      </w:r>
      <w:r w:rsidRPr="00363287">
        <w:t xml:space="preserve"> </w:t>
      </w:r>
      <w:r w:rsidRPr="003E0DE0">
        <w:rPr>
          <w:i w:val="0"/>
          <w:iCs w:val="0"/>
        </w:rPr>
        <w:t>– (University Research Office)</w:t>
      </w:r>
    </w:p>
    <w:p w14:paraId="30F72E9E" w14:textId="785263AC" w:rsidR="003639AF" w:rsidRPr="00B33D27" w:rsidRDefault="003639AF" w:rsidP="003639AF">
      <w:pPr>
        <w:spacing w:after="240"/>
        <w:rPr>
          <w:rFonts w:asciiTheme="majorHAnsi" w:hAnsiTheme="majorHAnsi" w:cstheme="majorHAnsi"/>
        </w:rPr>
      </w:pPr>
      <w:r>
        <w:rPr>
          <w:rFonts w:asciiTheme="majorHAnsi" w:hAnsiTheme="majorHAnsi" w:cstheme="majorHAnsi"/>
          <w:iCs/>
        </w:rPr>
        <w:t>Stakeholder feedback included views that Discovery Projects’ contribution to expanding Australia’s knowledge base ha</w:t>
      </w:r>
      <w:r w:rsidR="00CF7CD9">
        <w:rPr>
          <w:rFonts w:asciiTheme="majorHAnsi" w:hAnsiTheme="majorHAnsi" w:cstheme="majorHAnsi"/>
          <w:iCs/>
        </w:rPr>
        <w:t>d</w:t>
      </w:r>
      <w:r>
        <w:rPr>
          <w:rFonts w:asciiTheme="majorHAnsi" w:hAnsiTheme="majorHAnsi" w:cstheme="majorHAnsi"/>
          <w:iCs/>
        </w:rPr>
        <w:t xml:space="preserve"> the potential to deliver </w:t>
      </w:r>
      <w:r w:rsidR="00CF7CD9">
        <w:rPr>
          <w:rFonts w:asciiTheme="majorHAnsi" w:hAnsiTheme="majorHAnsi" w:cstheme="majorHAnsi"/>
          <w:iCs/>
        </w:rPr>
        <w:t>transformative, innovative benefits</w:t>
      </w:r>
      <w:r>
        <w:rPr>
          <w:rFonts w:asciiTheme="majorHAnsi" w:hAnsiTheme="majorHAnsi" w:cstheme="majorHAnsi"/>
          <w:iCs/>
        </w:rPr>
        <w:t xml:space="preserve">. However, with respect to the scheme’s support for basic research, some feedback </w:t>
      </w:r>
      <w:r w:rsidR="00CF7CD9">
        <w:rPr>
          <w:rFonts w:asciiTheme="majorHAnsi" w:hAnsiTheme="majorHAnsi" w:cstheme="majorHAnsi"/>
          <w:iCs/>
        </w:rPr>
        <w:t>noted</w:t>
      </w:r>
      <w:r>
        <w:rPr>
          <w:rFonts w:asciiTheme="majorHAnsi" w:hAnsiTheme="majorHAnsi" w:cstheme="majorHAnsi"/>
          <w:iCs/>
        </w:rPr>
        <w:t xml:space="preserve"> that outcomes and benefits were often somewhat unpredictable, and frequently aro</w:t>
      </w:r>
      <w:r w:rsidRPr="00B33D27">
        <w:rPr>
          <w:rFonts w:asciiTheme="majorHAnsi" w:hAnsiTheme="majorHAnsi" w:cstheme="majorHAnsi"/>
          <w:iCs/>
        </w:rPr>
        <w:t xml:space="preserve">se over extended time periods. </w:t>
      </w:r>
      <w:r>
        <w:rPr>
          <w:rFonts w:asciiTheme="majorHAnsi" w:hAnsiTheme="majorHAnsi" w:cstheme="majorHAnsi"/>
        </w:rPr>
        <w:t>Several</w:t>
      </w:r>
      <w:r w:rsidRPr="00B33D27">
        <w:rPr>
          <w:rFonts w:asciiTheme="majorHAnsi" w:hAnsiTheme="majorHAnsi" w:cstheme="majorHAnsi"/>
        </w:rPr>
        <w:t xml:space="preserve"> stakeholders e</w:t>
      </w:r>
      <w:r>
        <w:rPr>
          <w:rFonts w:asciiTheme="majorHAnsi" w:hAnsiTheme="majorHAnsi" w:cstheme="majorHAnsi"/>
        </w:rPr>
        <w:t xml:space="preserve">xpressed </w:t>
      </w:r>
      <w:r w:rsidRPr="00B33D27">
        <w:rPr>
          <w:rFonts w:asciiTheme="majorHAnsi" w:hAnsiTheme="majorHAnsi" w:cstheme="majorHAnsi"/>
        </w:rPr>
        <w:t>difficultie</w:t>
      </w:r>
      <w:r>
        <w:rPr>
          <w:rFonts w:asciiTheme="majorHAnsi" w:hAnsiTheme="majorHAnsi" w:cstheme="majorHAnsi"/>
        </w:rPr>
        <w:t>s anticipating benefit at the application stage.</w:t>
      </w:r>
      <w:r w:rsidDel="00B6169E">
        <w:rPr>
          <w:rFonts w:asciiTheme="majorHAnsi" w:hAnsiTheme="majorHAnsi" w:cstheme="majorHAnsi"/>
        </w:rPr>
        <w:t xml:space="preserve"> </w:t>
      </w:r>
      <w:r>
        <w:rPr>
          <w:rFonts w:asciiTheme="majorHAnsi" w:hAnsiTheme="majorHAnsi" w:cstheme="majorHAnsi"/>
        </w:rPr>
        <w:t xml:space="preserve">Others </w:t>
      </w:r>
      <w:r w:rsidR="00CD7B51">
        <w:rPr>
          <w:rFonts w:asciiTheme="majorHAnsi" w:hAnsiTheme="majorHAnsi" w:cstheme="majorHAnsi"/>
        </w:rPr>
        <w:t xml:space="preserve">suggested </w:t>
      </w:r>
      <w:r w:rsidRPr="00B33D27">
        <w:rPr>
          <w:rFonts w:asciiTheme="majorHAnsi" w:hAnsiTheme="majorHAnsi" w:cstheme="majorHAnsi"/>
        </w:rPr>
        <w:t>that the extended ti</w:t>
      </w:r>
      <w:r>
        <w:rPr>
          <w:rFonts w:asciiTheme="majorHAnsi" w:hAnsiTheme="majorHAnsi" w:cstheme="majorHAnsi"/>
        </w:rPr>
        <w:t xml:space="preserve">mescale over which benefits </w:t>
      </w:r>
      <w:r w:rsidRPr="00B33D27">
        <w:rPr>
          <w:rFonts w:asciiTheme="majorHAnsi" w:hAnsiTheme="majorHAnsi" w:cstheme="majorHAnsi"/>
        </w:rPr>
        <w:t>accrue</w:t>
      </w:r>
      <w:r>
        <w:rPr>
          <w:rFonts w:asciiTheme="majorHAnsi" w:hAnsiTheme="majorHAnsi" w:cstheme="majorHAnsi"/>
        </w:rPr>
        <w:t>d</w:t>
      </w:r>
      <w:r w:rsidRPr="00B33D27">
        <w:rPr>
          <w:rFonts w:asciiTheme="majorHAnsi" w:hAnsiTheme="majorHAnsi" w:cstheme="majorHAnsi"/>
        </w:rPr>
        <w:t xml:space="preserve"> could mean that impac</w:t>
      </w:r>
      <w:r>
        <w:rPr>
          <w:rFonts w:asciiTheme="majorHAnsi" w:hAnsiTheme="majorHAnsi" w:cstheme="majorHAnsi"/>
        </w:rPr>
        <w:t xml:space="preserve">t was difficult to meaningfully assess </w:t>
      </w:r>
      <w:r w:rsidRPr="00B33D27">
        <w:rPr>
          <w:rFonts w:asciiTheme="majorHAnsi" w:hAnsiTheme="majorHAnsi" w:cstheme="majorHAnsi"/>
        </w:rPr>
        <w:t>at the time of project completion</w:t>
      </w:r>
      <w:r>
        <w:rPr>
          <w:rFonts w:asciiTheme="majorHAnsi" w:hAnsiTheme="majorHAnsi" w:cstheme="majorHAnsi"/>
        </w:rPr>
        <w:t xml:space="preserve"> (or final reporting), and that the ARC lacked mechanisms to track and acknowledge positive research outcomes arising after funding had ended. </w:t>
      </w:r>
    </w:p>
    <w:p w14:paraId="15C442B6" w14:textId="77777777" w:rsidR="003639AF" w:rsidRPr="00BA05EF" w:rsidRDefault="003639AF" w:rsidP="001220A3">
      <w:pPr>
        <w:pStyle w:val="Quote"/>
      </w:pPr>
      <w:r w:rsidRPr="00555859">
        <w:t xml:space="preserve">Expected outcomes are too narrowly defined in terms of benefits to Australian society. Yes, in principle a good idea, but in practice such benefits cannot easily be identified before a project starts, and stated benefits could be overblown </w:t>
      </w:r>
      <w:r w:rsidRPr="003E0DE0">
        <w:rPr>
          <w:i w:val="0"/>
          <w:iCs w:val="0"/>
        </w:rPr>
        <w:t>– (Researcher)</w:t>
      </w:r>
    </w:p>
    <w:p w14:paraId="253FF565" w14:textId="77777777" w:rsidR="003639AF" w:rsidRPr="000D7FD7" w:rsidRDefault="003639AF" w:rsidP="001220A3">
      <w:pPr>
        <w:pStyle w:val="Quote"/>
      </w:pPr>
      <w:r w:rsidRPr="006112A0">
        <w:t>I have little doubt it delivers great practical benefit, but if you are funding pure basic research, you are not going to immediately see the benefit</w:t>
      </w:r>
      <w:r>
        <w:t xml:space="preserve"> in terms of economic or social outcomes in year four—what you’ll see in year four are</w:t>
      </w:r>
      <w:r w:rsidRPr="006112A0">
        <w:t xml:space="preserve"> academi</w:t>
      </w:r>
      <w:r>
        <w:t>c outputs which are</w:t>
      </w:r>
      <w:r w:rsidRPr="006112A0">
        <w:t xml:space="preserve"> increasing knowledge</w:t>
      </w:r>
      <w:r>
        <w:t>,</w:t>
      </w:r>
      <w:r w:rsidRPr="006112A0">
        <w:t xml:space="preserve"> wh</w:t>
      </w:r>
      <w:r>
        <w:t>ich will lead to that benefit…S</w:t>
      </w:r>
      <w:r w:rsidRPr="006112A0">
        <w:t>o I can say I truly believe it is occurring, but if you ask for a specific example then I will find that hard to do</w:t>
      </w:r>
      <w:r w:rsidRPr="006112A0" w:rsidDel="006112A0">
        <w:t xml:space="preserve"> </w:t>
      </w:r>
      <w:r w:rsidRPr="003E0DE0">
        <w:rPr>
          <w:i w:val="0"/>
          <w:iCs w:val="0"/>
        </w:rPr>
        <w:t>– (University Research Office)</w:t>
      </w:r>
    </w:p>
    <w:p w14:paraId="21B5DCCA" w14:textId="76C0A3C2" w:rsidR="003639AF" w:rsidRPr="000D7FD7" w:rsidRDefault="003639AF" w:rsidP="003E0DE0">
      <w:pPr>
        <w:pStyle w:val="Quote"/>
        <w:spacing w:after="240"/>
        <w:ind w:left="425" w:right="663"/>
      </w:pPr>
      <w:r w:rsidRPr="001E36C9">
        <w:t>The benefits of the research, at least of the type of research that I pursue (a combination of basic and applied research), usually materialise beyond the completion of the final report</w:t>
      </w:r>
      <w:r w:rsidR="00A46D86">
        <w:t xml:space="preserve"> </w:t>
      </w:r>
      <w:r w:rsidRPr="003E0DE0">
        <w:rPr>
          <w:i w:val="0"/>
          <w:iCs w:val="0"/>
        </w:rPr>
        <w:t>– (Researcher)</w:t>
      </w:r>
    </w:p>
    <w:p w14:paraId="58E3F498" w14:textId="3F83190B" w:rsidR="003639AF" w:rsidRDefault="003639AF" w:rsidP="003639AF">
      <w:pPr>
        <w:spacing w:after="120"/>
        <w:rPr>
          <w:rFonts w:asciiTheme="majorHAnsi" w:hAnsiTheme="majorHAnsi" w:cstheme="majorHAnsi"/>
        </w:rPr>
      </w:pPr>
      <w:r>
        <w:rPr>
          <w:rFonts w:asciiTheme="majorHAnsi" w:hAnsiTheme="majorHAnsi" w:cstheme="majorHAnsi"/>
        </w:rPr>
        <w:t xml:space="preserve">Under current Discovery Projects processes, the ARC requests descriptions of ‘potential’ benefit in response to scheme </w:t>
      </w:r>
      <w:r w:rsidR="00810942">
        <w:rPr>
          <w:rFonts w:asciiTheme="majorHAnsi" w:hAnsiTheme="majorHAnsi" w:cstheme="majorHAnsi"/>
        </w:rPr>
        <w:t>assessment crit</w:t>
      </w:r>
      <w:r>
        <w:rPr>
          <w:rFonts w:asciiTheme="majorHAnsi" w:hAnsiTheme="majorHAnsi" w:cstheme="majorHAnsi"/>
        </w:rPr>
        <w:t>eria, and asks for information in final reports about the benefits</w:t>
      </w:r>
      <w:r w:rsidR="003B47AB">
        <w:rPr>
          <w:rFonts w:asciiTheme="majorHAnsi" w:hAnsiTheme="majorHAnsi" w:cstheme="majorHAnsi"/>
        </w:rPr>
        <w:t xml:space="preserve"> </w:t>
      </w:r>
      <w:r w:rsidR="004A0201">
        <w:rPr>
          <w:rFonts w:asciiTheme="majorHAnsi" w:hAnsiTheme="majorHAnsi" w:cstheme="majorHAnsi"/>
        </w:rPr>
        <w:t>completed research</w:t>
      </w:r>
      <w:r>
        <w:rPr>
          <w:rFonts w:asciiTheme="majorHAnsi" w:hAnsiTheme="majorHAnsi" w:cstheme="majorHAnsi"/>
        </w:rPr>
        <w:t xml:space="preserve"> ‘</w:t>
      </w:r>
      <w:r w:rsidR="004A0201">
        <w:rPr>
          <w:rFonts w:asciiTheme="majorHAnsi" w:hAnsiTheme="majorHAnsi" w:cstheme="majorHAnsi"/>
        </w:rPr>
        <w:t xml:space="preserve">has produced or is </w:t>
      </w:r>
      <w:r>
        <w:rPr>
          <w:rFonts w:asciiTheme="majorHAnsi" w:hAnsiTheme="majorHAnsi" w:cstheme="majorHAnsi"/>
        </w:rPr>
        <w:t>likely</w:t>
      </w:r>
      <w:r w:rsidR="004A0201">
        <w:rPr>
          <w:rFonts w:asciiTheme="majorHAnsi" w:hAnsiTheme="majorHAnsi" w:cstheme="majorHAnsi"/>
        </w:rPr>
        <w:t xml:space="preserve"> to result in or lead to</w:t>
      </w:r>
      <w:r>
        <w:rPr>
          <w:rFonts w:asciiTheme="majorHAnsi" w:hAnsiTheme="majorHAnsi" w:cstheme="majorHAnsi"/>
        </w:rPr>
        <w:t xml:space="preserve">’. </w:t>
      </w:r>
      <w:r w:rsidR="0054153B">
        <w:rPr>
          <w:rFonts w:asciiTheme="majorHAnsi" w:hAnsiTheme="majorHAnsi" w:cstheme="majorHAnsi"/>
        </w:rPr>
        <w:t xml:space="preserve">While these </w:t>
      </w:r>
      <w:r>
        <w:rPr>
          <w:rFonts w:asciiTheme="majorHAnsi" w:hAnsiTheme="majorHAnsi" w:cstheme="majorHAnsi"/>
        </w:rPr>
        <w:t xml:space="preserve">questions recognise the difficulties in anticipating and documenting research benefits, they are unlikely to capture the full breadth and scale of positive outcomes </w:t>
      </w:r>
      <w:r w:rsidR="00BD43C8">
        <w:rPr>
          <w:rFonts w:asciiTheme="majorHAnsi" w:hAnsiTheme="majorHAnsi" w:cstheme="majorHAnsi"/>
        </w:rPr>
        <w:t xml:space="preserve">actually </w:t>
      </w:r>
      <w:r>
        <w:rPr>
          <w:rFonts w:asciiTheme="majorHAnsi" w:hAnsiTheme="majorHAnsi" w:cstheme="majorHAnsi"/>
        </w:rPr>
        <w:t>delivered</w:t>
      </w:r>
      <w:r w:rsidR="000A2ACC">
        <w:rPr>
          <w:rFonts w:asciiTheme="majorHAnsi" w:hAnsiTheme="majorHAnsi" w:cstheme="majorHAnsi"/>
        </w:rPr>
        <w:t xml:space="preserve"> as </w:t>
      </w:r>
      <w:r w:rsidR="00B43DDA">
        <w:rPr>
          <w:rFonts w:asciiTheme="majorHAnsi" w:hAnsiTheme="majorHAnsi" w:cstheme="majorHAnsi"/>
        </w:rPr>
        <w:t>they</w:t>
      </w:r>
      <w:r w:rsidR="00967740">
        <w:rPr>
          <w:rFonts w:asciiTheme="majorHAnsi" w:hAnsiTheme="majorHAnsi" w:cstheme="majorHAnsi"/>
        </w:rPr>
        <w:t xml:space="preserve"> rely</w:t>
      </w:r>
      <w:r w:rsidR="007973EB">
        <w:rPr>
          <w:rFonts w:asciiTheme="majorHAnsi" w:hAnsiTheme="majorHAnsi" w:cstheme="majorHAnsi"/>
        </w:rPr>
        <w:t>, at least in part,</w:t>
      </w:r>
      <w:r w:rsidR="00967740">
        <w:rPr>
          <w:rFonts w:asciiTheme="majorHAnsi" w:hAnsiTheme="majorHAnsi" w:cstheme="majorHAnsi"/>
        </w:rPr>
        <w:t xml:space="preserve"> on researchers’ expectations about the future.</w:t>
      </w:r>
      <w:r w:rsidR="003D250C">
        <w:rPr>
          <w:rFonts w:asciiTheme="majorHAnsi" w:hAnsiTheme="majorHAnsi" w:cstheme="majorHAnsi"/>
        </w:rPr>
        <w:t xml:space="preserve"> </w:t>
      </w:r>
      <w:r w:rsidR="00002481">
        <w:rPr>
          <w:rFonts w:asciiTheme="majorHAnsi" w:hAnsiTheme="majorHAnsi" w:cstheme="majorHAnsi"/>
        </w:rPr>
        <w:t>Because</w:t>
      </w:r>
      <w:r w:rsidR="003D250C">
        <w:rPr>
          <w:rFonts w:asciiTheme="majorHAnsi" w:hAnsiTheme="majorHAnsi" w:cstheme="majorHAnsi"/>
        </w:rPr>
        <w:t xml:space="preserve"> the data</w:t>
      </w:r>
      <w:r>
        <w:rPr>
          <w:rFonts w:asciiTheme="majorHAnsi" w:hAnsiTheme="majorHAnsi" w:cstheme="majorHAnsi"/>
        </w:rPr>
        <w:t xml:space="preserve"> presented </w:t>
      </w:r>
      <w:r w:rsidRPr="00C13CC5">
        <w:rPr>
          <w:rFonts w:asciiTheme="majorHAnsi" w:hAnsiTheme="majorHAnsi" w:cstheme="majorHAnsi"/>
        </w:rPr>
        <w:t xml:space="preserve">in </w:t>
      </w:r>
      <w:r w:rsidRPr="007A2649">
        <w:rPr>
          <w:rFonts w:asciiTheme="majorHAnsi" w:hAnsiTheme="majorHAnsi" w:cstheme="majorHAnsi"/>
        </w:rPr>
        <w:fldChar w:fldCharType="begin"/>
      </w:r>
      <w:r w:rsidRPr="006F4D70">
        <w:rPr>
          <w:rFonts w:asciiTheme="majorHAnsi" w:hAnsiTheme="majorHAnsi" w:cstheme="majorHAnsi"/>
        </w:rPr>
        <w:instrText xml:space="preserve"> REF _Ref45545528 \h </w:instrText>
      </w:r>
      <w:r w:rsidRPr="0020780E">
        <w:rPr>
          <w:rFonts w:asciiTheme="majorHAnsi" w:hAnsiTheme="majorHAnsi" w:cstheme="majorHAnsi"/>
        </w:rPr>
        <w:instrText xml:space="preserve"> \* MERGEFORMAT </w:instrText>
      </w:r>
      <w:r w:rsidRPr="007A2649">
        <w:rPr>
          <w:rFonts w:asciiTheme="majorHAnsi" w:hAnsiTheme="majorHAnsi" w:cstheme="majorHAnsi"/>
        </w:rPr>
      </w:r>
      <w:r w:rsidRPr="007A2649">
        <w:rPr>
          <w:rFonts w:asciiTheme="majorHAnsi" w:hAnsiTheme="majorHAnsi" w:cstheme="majorHAnsi"/>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36</w:t>
      </w:r>
      <w:r w:rsidRPr="007A2649">
        <w:rPr>
          <w:rFonts w:asciiTheme="majorHAnsi" w:hAnsiTheme="majorHAnsi" w:cstheme="majorHAnsi"/>
        </w:rPr>
        <w:fldChar w:fldCharType="end"/>
      </w:r>
      <w:r w:rsidRPr="00C13CC5">
        <w:rPr>
          <w:rFonts w:asciiTheme="majorHAnsi" w:hAnsiTheme="majorHAnsi" w:cstheme="majorHAnsi"/>
        </w:rPr>
        <w:t xml:space="preserve"> and </w:t>
      </w:r>
      <w:r w:rsidRPr="00281670">
        <w:rPr>
          <w:rFonts w:asciiTheme="majorHAnsi" w:hAnsiTheme="majorHAnsi" w:cstheme="majorHAnsi"/>
        </w:rPr>
        <w:fldChar w:fldCharType="begin"/>
      </w:r>
      <w:r w:rsidRPr="008E6B86">
        <w:rPr>
          <w:rFonts w:asciiTheme="majorHAnsi" w:hAnsiTheme="majorHAnsi" w:cstheme="majorHAnsi"/>
        </w:rPr>
        <w:instrText xml:space="preserve"> REF _Ref48548690 \h  \* MERGEFORMAT </w:instrText>
      </w:r>
      <w:r w:rsidRPr="00281670">
        <w:rPr>
          <w:rFonts w:asciiTheme="majorHAnsi" w:hAnsiTheme="majorHAnsi" w:cstheme="majorHAnsi"/>
        </w:rPr>
      </w:r>
      <w:r w:rsidRPr="00281670">
        <w:rPr>
          <w:rFonts w:asciiTheme="majorHAnsi" w:hAnsiTheme="majorHAnsi" w:cstheme="majorHAnsi"/>
        </w:rPr>
        <w:fldChar w:fldCharType="separate"/>
      </w:r>
      <w:r w:rsidR="00AB03D7" w:rsidRPr="00AB03D7">
        <w:rPr>
          <w:rFonts w:asciiTheme="majorHAnsi" w:hAnsiTheme="majorHAnsi" w:cstheme="majorHAnsi"/>
          <w:color w:val="000000" w:themeColor="text1"/>
        </w:rPr>
        <w:t>Figure 37</w:t>
      </w:r>
      <w:r w:rsidRPr="00281670">
        <w:rPr>
          <w:rFonts w:asciiTheme="majorHAnsi" w:hAnsiTheme="majorHAnsi" w:cstheme="majorHAnsi"/>
        </w:rPr>
        <w:fldChar w:fldCharType="end"/>
      </w:r>
      <w:r w:rsidR="00047238" w:rsidRPr="008E6B86">
        <w:rPr>
          <w:rFonts w:asciiTheme="majorHAnsi" w:hAnsiTheme="majorHAnsi" w:cstheme="majorHAnsi"/>
        </w:rPr>
        <w:t xml:space="preserve"> (</w:t>
      </w:r>
      <w:r w:rsidR="00047238" w:rsidRPr="00281670">
        <w:rPr>
          <w:rFonts w:asciiTheme="majorHAnsi" w:hAnsiTheme="majorHAnsi" w:cstheme="majorHAnsi"/>
        </w:rPr>
        <w:t>p</w:t>
      </w:r>
      <w:r w:rsidR="0073709D" w:rsidRPr="00281670">
        <w:rPr>
          <w:rFonts w:asciiTheme="majorHAnsi" w:hAnsiTheme="majorHAnsi" w:cstheme="majorHAnsi"/>
        </w:rPr>
        <w:t>p. 74–75</w:t>
      </w:r>
      <w:r w:rsidR="00047238" w:rsidRPr="008E6B86">
        <w:rPr>
          <w:rFonts w:asciiTheme="majorHAnsi" w:hAnsiTheme="majorHAnsi" w:cstheme="majorHAnsi"/>
        </w:rPr>
        <w:t>) are</w:t>
      </w:r>
      <w:r w:rsidR="00047238">
        <w:rPr>
          <w:rFonts w:asciiTheme="majorHAnsi" w:hAnsiTheme="majorHAnsi" w:cstheme="majorHAnsi"/>
        </w:rPr>
        <w:t xml:space="preserve"> drawn from</w:t>
      </w:r>
      <w:r w:rsidR="00002481">
        <w:rPr>
          <w:rFonts w:asciiTheme="majorHAnsi" w:hAnsiTheme="majorHAnsi" w:cstheme="majorHAnsi"/>
        </w:rPr>
        <w:t xml:space="preserve"> final reports, they are also limited in this regard as</w:t>
      </w:r>
      <w:r>
        <w:rPr>
          <w:rFonts w:asciiTheme="majorHAnsi" w:hAnsiTheme="majorHAnsi" w:cstheme="majorHAnsi"/>
        </w:rPr>
        <w:t xml:space="preserve"> </w:t>
      </w:r>
      <w:r w:rsidR="00915970">
        <w:rPr>
          <w:rFonts w:asciiTheme="majorHAnsi" w:hAnsiTheme="majorHAnsi" w:cstheme="majorHAnsi"/>
        </w:rPr>
        <w:t xml:space="preserve">they </w:t>
      </w:r>
      <w:r>
        <w:rPr>
          <w:rFonts w:asciiTheme="majorHAnsi" w:hAnsiTheme="majorHAnsi" w:cstheme="majorHAnsi"/>
        </w:rPr>
        <w:t>combine</w:t>
      </w:r>
      <w:r w:rsidR="003D250C">
        <w:rPr>
          <w:rFonts w:asciiTheme="majorHAnsi" w:hAnsiTheme="majorHAnsi" w:cstheme="majorHAnsi"/>
        </w:rPr>
        <w:t xml:space="preserve"> both</w:t>
      </w:r>
      <w:r>
        <w:rPr>
          <w:rFonts w:asciiTheme="majorHAnsi" w:hAnsiTheme="majorHAnsi" w:cstheme="majorHAnsi"/>
        </w:rPr>
        <w:t xml:space="preserve"> realised and</w:t>
      </w:r>
      <w:r w:rsidR="00002481">
        <w:rPr>
          <w:rFonts w:asciiTheme="majorHAnsi" w:hAnsiTheme="majorHAnsi" w:cstheme="majorHAnsi"/>
        </w:rPr>
        <w:t xml:space="preserve"> anticipated</w:t>
      </w:r>
      <w:r>
        <w:rPr>
          <w:rFonts w:asciiTheme="majorHAnsi" w:hAnsiTheme="majorHAnsi" w:cstheme="majorHAnsi"/>
        </w:rPr>
        <w:t xml:space="preserve"> benefits.</w:t>
      </w:r>
    </w:p>
    <w:p w14:paraId="3C2B4270" w14:textId="31E3671A" w:rsidR="003639AF" w:rsidRPr="000D7FD7" w:rsidRDefault="003639AF" w:rsidP="003639AF">
      <w:pPr>
        <w:spacing w:after="240"/>
        <w:rPr>
          <w:rFonts w:asciiTheme="majorHAnsi" w:hAnsiTheme="majorHAnsi" w:cstheme="majorHAnsi"/>
        </w:rPr>
      </w:pPr>
      <w:r>
        <w:rPr>
          <w:rFonts w:asciiTheme="majorHAnsi" w:hAnsiTheme="majorHAnsi" w:cstheme="majorHAnsi"/>
        </w:rPr>
        <w:t>S</w:t>
      </w:r>
      <w:r w:rsidRPr="00B33D27">
        <w:rPr>
          <w:rFonts w:asciiTheme="majorHAnsi" w:hAnsiTheme="majorHAnsi" w:cstheme="majorHAnsi"/>
        </w:rPr>
        <w:t>ome stakeholders</w:t>
      </w:r>
      <w:r>
        <w:rPr>
          <w:rFonts w:asciiTheme="majorHAnsi" w:hAnsiTheme="majorHAnsi" w:cstheme="majorHAnsi"/>
        </w:rPr>
        <w:t xml:space="preserve"> expressed the belief </w:t>
      </w:r>
      <w:r w:rsidRPr="00B33D27">
        <w:rPr>
          <w:rFonts w:asciiTheme="majorHAnsi" w:hAnsiTheme="majorHAnsi" w:cstheme="majorHAnsi"/>
        </w:rPr>
        <w:t xml:space="preserve">that Discovery Projects was </w:t>
      </w:r>
      <w:r>
        <w:rPr>
          <w:rFonts w:asciiTheme="majorHAnsi" w:hAnsiTheme="majorHAnsi" w:cstheme="majorHAnsi"/>
        </w:rPr>
        <w:t>acknowledging certain research outcomes more effectively than others</w:t>
      </w:r>
      <w:r w:rsidRPr="000D7FD7">
        <w:rPr>
          <w:rFonts w:asciiTheme="majorHAnsi" w:hAnsiTheme="majorHAnsi" w:cstheme="majorHAnsi"/>
        </w:rPr>
        <w:t xml:space="preserve">. </w:t>
      </w:r>
      <w:r>
        <w:rPr>
          <w:rFonts w:asciiTheme="majorHAnsi" w:hAnsiTheme="majorHAnsi" w:cstheme="majorHAnsi"/>
        </w:rPr>
        <w:t xml:space="preserve">It was suggested that the ARC’s administration of the scheme implicitly preferenced tangible, immediate benefits, particularly within economic or commercial domains, and undervalued positive social or cultural outcomes. </w:t>
      </w:r>
      <w:r w:rsidRPr="00B33D27">
        <w:rPr>
          <w:rFonts w:asciiTheme="majorHAnsi" w:hAnsiTheme="majorHAnsi" w:cstheme="majorHAnsi"/>
        </w:rPr>
        <w:t>Pa</w:t>
      </w:r>
      <w:r>
        <w:rPr>
          <w:rFonts w:asciiTheme="majorHAnsi" w:hAnsiTheme="majorHAnsi" w:cstheme="majorHAnsi"/>
        </w:rPr>
        <w:t xml:space="preserve">rticipants noted difficulties </w:t>
      </w:r>
      <w:r>
        <w:rPr>
          <w:rFonts w:asciiTheme="majorHAnsi" w:hAnsiTheme="majorHAnsi" w:cstheme="majorHAnsi"/>
        </w:rPr>
        <w:lastRenderedPageBreak/>
        <w:t>demonstrating</w:t>
      </w:r>
      <w:r w:rsidRPr="00B33D27">
        <w:rPr>
          <w:rFonts w:asciiTheme="majorHAnsi" w:hAnsiTheme="majorHAnsi" w:cstheme="majorHAnsi"/>
        </w:rPr>
        <w:t xml:space="preserve"> an immediate ‘r</w:t>
      </w:r>
      <w:r>
        <w:rPr>
          <w:rFonts w:asciiTheme="majorHAnsi" w:hAnsiTheme="majorHAnsi" w:cstheme="majorHAnsi"/>
        </w:rPr>
        <w:t xml:space="preserve">eturn on investment’ </w:t>
      </w:r>
      <w:r w:rsidRPr="00B33D27">
        <w:rPr>
          <w:rFonts w:asciiTheme="majorHAnsi" w:hAnsiTheme="majorHAnsi" w:cstheme="majorHAnsi"/>
        </w:rPr>
        <w:t xml:space="preserve">within </w:t>
      </w:r>
      <w:r>
        <w:rPr>
          <w:rFonts w:asciiTheme="majorHAnsi" w:hAnsiTheme="majorHAnsi" w:cstheme="majorHAnsi"/>
        </w:rPr>
        <w:t>the context of research more closely aligned with the delivery of social</w:t>
      </w:r>
      <w:r w:rsidR="00A33552">
        <w:rPr>
          <w:rFonts w:asciiTheme="majorHAnsi" w:hAnsiTheme="majorHAnsi" w:cstheme="majorHAnsi"/>
        </w:rPr>
        <w:t xml:space="preserve"> and </w:t>
      </w:r>
      <w:r>
        <w:rPr>
          <w:rFonts w:asciiTheme="majorHAnsi" w:hAnsiTheme="majorHAnsi" w:cstheme="majorHAnsi"/>
        </w:rPr>
        <w:t>cultural benefits.</w:t>
      </w:r>
    </w:p>
    <w:p w14:paraId="62A086A5" w14:textId="77777777" w:rsidR="003639AF" w:rsidRPr="000D7FD7" w:rsidRDefault="003639AF" w:rsidP="001220A3">
      <w:pPr>
        <w:pStyle w:val="Quote"/>
      </w:pPr>
      <w:r w:rsidRPr="000D7FD7">
        <w:t xml:space="preserve">There should be more value placed on cultural and social outcomes </w:t>
      </w:r>
      <w:r w:rsidRPr="003E0DE0">
        <w:rPr>
          <w:i w:val="0"/>
          <w:iCs w:val="0"/>
        </w:rPr>
        <w:t>– (Researcher)</w:t>
      </w:r>
    </w:p>
    <w:p w14:paraId="435A5E7A" w14:textId="77777777" w:rsidR="003639AF" w:rsidRPr="000D7FD7" w:rsidRDefault="003639AF" w:rsidP="001220A3">
      <w:pPr>
        <w:pStyle w:val="Quote"/>
      </w:pPr>
      <w:r>
        <w:t xml:space="preserve">The </w:t>
      </w:r>
      <w:r w:rsidRPr="000D7FD7">
        <w:t xml:space="preserve">ARC may need to give a higher weighting for benefit for particular areas of funding. </w:t>
      </w:r>
      <w:r>
        <w:t>E.g.</w:t>
      </w:r>
      <w:r w:rsidRPr="000D7FD7">
        <w:t xml:space="preserve"> an educational project is unlikely to lead to short-term economic benefits and indeed benefits may be almost impossible to be made tangible. It doesn't make the research any less valuable to society or the individual involved </w:t>
      </w:r>
      <w:r w:rsidRPr="003E0DE0">
        <w:rPr>
          <w:i w:val="0"/>
          <w:iCs w:val="0"/>
        </w:rPr>
        <w:t>– (Researcher)</w:t>
      </w:r>
    </w:p>
    <w:p w14:paraId="7CE755CB" w14:textId="77777777" w:rsidR="003639AF" w:rsidRPr="000D7FD7" w:rsidRDefault="003639AF" w:rsidP="003E0DE0">
      <w:pPr>
        <w:pStyle w:val="Quote"/>
        <w:spacing w:after="240"/>
        <w:ind w:left="425" w:right="663"/>
      </w:pPr>
      <w:r w:rsidRPr="000D7FD7">
        <w:t>Creative thinking about benefits, especially intangible social and cultural benefits, will help to realise the value of human</w:t>
      </w:r>
      <w:r>
        <w:t>ities and social sciences</w:t>
      </w:r>
      <w:r w:rsidRPr="000D7FD7">
        <w:t xml:space="preserve"> research </w:t>
      </w:r>
      <w:r w:rsidRPr="003E0DE0">
        <w:rPr>
          <w:i w:val="0"/>
          <w:iCs w:val="0"/>
        </w:rPr>
        <w:t>– (Researcher)</w:t>
      </w:r>
    </w:p>
    <w:p w14:paraId="155F1042" w14:textId="2CC545A1" w:rsidR="00322F1A" w:rsidRDefault="003639AF" w:rsidP="003639AF">
      <w:pPr>
        <w:spacing w:after="120"/>
        <w:rPr>
          <w:rFonts w:asciiTheme="majorHAnsi" w:hAnsiTheme="majorHAnsi" w:cstheme="majorHAnsi"/>
        </w:rPr>
      </w:pPr>
      <w:r w:rsidRPr="008E6B86">
        <w:rPr>
          <w:rFonts w:asciiTheme="majorHAnsi" w:hAnsiTheme="majorHAnsi" w:cstheme="majorHAnsi"/>
        </w:rPr>
        <w:t xml:space="preserve">These perspectives somewhat align with final report data indicating that </w:t>
      </w:r>
      <w:r w:rsidR="006E1ECE" w:rsidRPr="008E6B86">
        <w:rPr>
          <w:rFonts w:asciiTheme="majorHAnsi" w:hAnsiTheme="majorHAnsi" w:cstheme="majorHAnsi"/>
        </w:rPr>
        <w:t>projects produced or were</w:t>
      </w:r>
      <w:r w:rsidR="00CD6295" w:rsidRPr="008E6B86">
        <w:rPr>
          <w:rFonts w:asciiTheme="majorHAnsi" w:hAnsiTheme="majorHAnsi" w:cstheme="majorHAnsi"/>
        </w:rPr>
        <w:t xml:space="preserve"> more</w:t>
      </w:r>
      <w:r w:rsidR="006E1ECE" w:rsidRPr="008E6B86">
        <w:rPr>
          <w:rFonts w:asciiTheme="majorHAnsi" w:hAnsiTheme="majorHAnsi" w:cstheme="majorHAnsi"/>
        </w:rPr>
        <w:t xml:space="preserve"> likely to produce</w:t>
      </w:r>
      <w:r w:rsidRPr="008E6B86">
        <w:rPr>
          <w:rFonts w:asciiTheme="majorHAnsi" w:hAnsiTheme="majorHAnsi" w:cstheme="majorHAnsi"/>
        </w:rPr>
        <w:t xml:space="preserve"> economic</w:t>
      </w:r>
      <w:r w:rsidR="00C06DA0" w:rsidRPr="008E6B86">
        <w:rPr>
          <w:rFonts w:asciiTheme="majorHAnsi" w:hAnsiTheme="majorHAnsi" w:cstheme="majorHAnsi"/>
        </w:rPr>
        <w:t xml:space="preserve"> benefits</w:t>
      </w:r>
      <w:r w:rsidR="00011AA5" w:rsidRPr="008E6B86">
        <w:rPr>
          <w:rFonts w:asciiTheme="majorHAnsi" w:hAnsiTheme="majorHAnsi" w:cstheme="majorHAnsi"/>
        </w:rPr>
        <w:t xml:space="preserve"> </w:t>
      </w:r>
      <w:r w:rsidRPr="008E6B86">
        <w:rPr>
          <w:rFonts w:asciiTheme="majorHAnsi" w:hAnsiTheme="majorHAnsi" w:cstheme="majorHAnsi"/>
        </w:rPr>
        <w:t>than social</w:t>
      </w:r>
      <w:r w:rsidR="00A33552" w:rsidRPr="008E6B86">
        <w:rPr>
          <w:rFonts w:asciiTheme="majorHAnsi" w:hAnsiTheme="majorHAnsi" w:cstheme="majorHAnsi"/>
        </w:rPr>
        <w:t xml:space="preserve"> and </w:t>
      </w:r>
      <w:r w:rsidRPr="008E6B86">
        <w:rPr>
          <w:rFonts w:asciiTheme="majorHAnsi" w:hAnsiTheme="majorHAnsi" w:cstheme="majorHAnsi"/>
        </w:rPr>
        <w:t>cultural benefits</w:t>
      </w:r>
      <w:r w:rsidR="0078422E" w:rsidRPr="008E6B86">
        <w:rPr>
          <w:rFonts w:asciiTheme="majorHAnsi" w:hAnsiTheme="majorHAnsi" w:cstheme="majorHAnsi"/>
        </w:rPr>
        <w:t xml:space="preserve"> (</w:t>
      </w:r>
      <w:hyperlink w:anchor="_ARC_data—benefits_delivered" w:history="1">
        <w:r w:rsidR="0073709D" w:rsidRPr="00281670">
          <w:rPr>
            <w:rStyle w:val="Hyperlink"/>
            <w:rFonts w:cstheme="majorHAnsi"/>
            <w:color w:val="auto"/>
            <w:sz w:val="22"/>
            <w:u w:val="none"/>
          </w:rPr>
          <w:t>Section 4.3.1</w:t>
        </w:r>
      </w:hyperlink>
      <w:r w:rsidR="0078422E" w:rsidRPr="008E6B86">
        <w:rPr>
          <w:rFonts w:asciiTheme="majorHAnsi" w:hAnsiTheme="majorHAnsi" w:cstheme="majorHAnsi"/>
        </w:rPr>
        <w:t>)</w:t>
      </w:r>
      <w:r w:rsidRPr="008E6B86">
        <w:rPr>
          <w:rFonts w:asciiTheme="majorHAnsi" w:hAnsiTheme="majorHAnsi" w:cstheme="majorHAnsi"/>
        </w:rPr>
        <w:t xml:space="preserve">. However, they contrast with </w:t>
      </w:r>
      <w:r w:rsidR="00CC157C" w:rsidRPr="008E6B86">
        <w:rPr>
          <w:rFonts w:asciiTheme="majorHAnsi" w:hAnsiTheme="majorHAnsi" w:cstheme="majorHAnsi"/>
        </w:rPr>
        <w:t xml:space="preserve">quantitative </w:t>
      </w:r>
      <w:r w:rsidR="009519FD" w:rsidRPr="008E6B86">
        <w:rPr>
          <w:rFonts w:asciiTheme="majorHAnsi" w:hAnsiTheme="majorHAnsi" w:cstheme="majorHAnsi"/>
        </w:rPr>
        <w:t xml:space="preserve">survey </w:t>
      </w:r>
      <w:r w:rsidR="00F52A42" w:rsidRPr="008E6B86">
        <w:rPr>
          <w:rFonts w:asciiTheme="majorHAnsi" w:hAnsiTheme="majorHAnsi" w:cstheme="majorHAnsi"/>
        </w:rPr>
        <w:t xml:space="preserve">responses in which </w:t>
      </w:r>
      <w:r w:rsidR="009519FD" w:rsidRPr="008E6B86">
        <w:rPr>
          <w:rFonts w:asciiTheme="majorHAnsi" w:hAnsiTheme="majorHAnsi" w:cstheme="majorHAnsi"/>
        </w:rPr>
        <w:t>researchers</w:t>
      </w:r>
      <w:r w:rsidR="00F1099C" w:rsidRPr="008E6B86">
        <w:rPr>
          <w:rFonts w:asciiTheme="majorHAnsi" w:hAnsiTheme="majorHAnsi" w:cstheme="majorHAnsi"/>
        </w:rPr>
        <w:t xml:space="preserve"> </w:t>
      </w:r>
      <w:r w:rsidR="00D656D9" w:rsidRPr="008E6B86">
        <w:rPr>
          <w:rFonts w:asciiTheme="majorHAnsi" w:hAnsiTheme="majorHAnsi" w:cstheme="majorHAnsi"/>
        </w:rPr>
        <w:t xml:space="preserve">more commonly </w:t>
      </w:r>
      <w:r w:rsidR="00F1099C" w:rsidRPr="008E6B86">
        <w:rPr>
          <w:rFonts w:asciiTheme="majorHAnsi" w:hAnsiTheme="majorHAnsi" w:cstheme="majorHAnsi"/>
        </w:rPr>
        <w:t xml:space="preserve">identified social and cultural benefits </w:t>
      </w:r>
      <w:r w:rsidR="00D656D9" w:rsidRPr="008E6B86">
        <w:rPr>
          <w:rFonts w:asciiTheme="majorHAnsi" w:hAnsiTheme="majorHAnsi" w:cstheme="majorHAnsi"/>
        </w:rPr>
        <w:t>among</w:t>
      </w:r>
      <w:r w:rsidR="00F1099C" w:rsidRPr="008E6B86">
        <w:rPr>
          <w:rFonts w:asciiTheme="majorHAnsi" w:hAnsiTheme="majorHAnsi" w:cstheme="majorHAnsi"/>
        </w:rPr>
        <w:t xml:space="preserve"> the most substantial</w:t>
      </w:r>
      <w:r w:rsidR="00CA3EE4" w:rsidRPr="008E6B86">
        <w:rPr>
          <w:rFonts w:asciiTheme="majorHAnsi" w:hAnsiTheme="majorHAnsi" w:cstheme="majorHAnsi"/>
        </w:rPr>
        <w:t xml:space="preserve"> positive </w:t>
      </w:r>
      <w:r w:rsidR="003E2AE0" w:rsidRPr="008E6B86">
        <w:rPr>
          <w:rFonts w:asciiTheme="majorHAnsi" w:hAnsiTheme="majorHAnsi" w:cstheme="majorHAnsi"/>
        </w:rPr>
        <w:t>outcomes</w:t>
      </w:r>
      <w:r w:rsidR="00F1099C" w:rsidRPr="008E6B86">
        <w:rPr>
          <w:rFonts w:asciiTheme="majorHAnsi" w:hAnsiTheme="majorHAnsi" w:cstheme="majorHAnsi"/>
        </w:rPr>
        <w:t xml:space="preserve"> arising from </w:t>
      </w:r>
      <w:r w:rsidR="009519FD" w:rsidRPr="008E6B86">
        <w:rPr>
          <w:rFonts w:asciiTheme="majorHAnsi" w:hAnsiTheme="majorHAnsi" w:cstheme="majorHAnsi"/>
        </w:rPr>
        <w:t>their</w:t>
      </w:r>
      <w:r w:rsidR="00D656D9" w:rsidRPr="008E6B86">
        <w:rPr>
          <w:rFonts w:asciiTheme="majorHAnsi" w:hAnsiTheme="majorHAnsi" w:cstheme="majorHAnsi"/>
        </w:rPr>
        <w:t xml:space="preserve"> most recently completed project</w:t>
      </w:r>
      <w:r w:rsidR="005A0BF2" w:rsidRPr="008E6B86">
        <w:rPr>
          <w:rFonts w:asciiTheme="majorHAnsi" w:hAnsiTheme="majorHAnsi" w:cstheme="majorHAnsi"/>
        </w:rPr>
        <w:t xml:space="preserve"> under the scheme</w:t>
      </w:r>
      <w:r w:rsidR="00EF7B7B" w:rsidRPr="008E6B86">
        <w:rPr>
          <w:rFonts w:asciiTheme="majorHAnsi" w:hAnsiTheme="majorHAnsi" w:cstheme="majorHAnsi"/>
        </w:rPr>
        <w:t xml:space="preserve"> </w:t>
      </w:r>
      <w:r w:rsidR="005A0BF2" w:rsidRPr="008E6B86">
        <w:rPr>
          <w:rFonts w:asciiTheme="majorHAnsi" w:hAnsiTheme="majorHAnsi" w:cstheme="majorHAnsi"/>
        </w:rPr>
        <w:t>(</w:t>
      </w:r>
      <w:hyperlink w:anchor="_Quantitative_stakeholder_views_1" w:history="1">
        <w:r w:rsidR="0073709D" w:rsidRPr="00281670">
          <w:rPr>
            <w:rStyle w:val="Hyperlink"/>
            <w:rFonts w:cstheme="majorHAnsi"/>
            <w:color w:val="auto"/>
            <w:sz w:val="22"/>
            <w:u w:val="none"/>
          </w:rPr>
          <w:t>Section 4.1</w:t>
        </w:r>
      </w:hyperlink>
      <w:r w:rsidR="005A0BF2" w:rsidRPr="008E6B86">
        <w:rPr>
          <w:rFonts w:asciiTheme="majorHAnsi" w:hAnsiTheme="majorHAnsi" w:cstheme="majorHAnsi"/>
        </w:rPr>
        <w:t>)</w:t>
      </w:r>
      <w:r w:rsidRPr="008E6B86">
        <w:rPr>
          <w:rFonts w:asciiTheme="majorHAnsi" w:hAnsiTheme="majorHAnsi" w:cstheme="majorHAnsi"/>
        </w:rPr>
        <w:t>.</w:t>
      </w:r>
      <w:r w:rsidRPr="00B77F44">
        <w:rPr>
          <w:rFonts w:asciiTheme="majorHAnsi" w:hAnsiTheme="majorHAnsi" w:cstheme="majorHAnsi"/>
        </w:rPr>
        <w:t xml:space="preserve"> </w:t>
      </w:r>
    </w:p>
    <w:p w14:paraId="17316FA6" w14:textId="781E7AF0" w:rsidR="00B1370D" w:rsidRDefault="00834076" w:rsidP="003639AF">
      <w:pPr>
        <w:spacing w:after="120"/>
        <w:rPr>
          <w:rFonts w:asciiTheme="majorHAnsi" w:hAnsiTheme="majorHAnsi" w:cstheme="majorHAnsi"/>
        </w:rPr>
      </w:pPr>
      <w:r>
        <w:rPr>
          <w:rFonts w:asciiTheme="majorHAnsi" w:hAnsiTheme="majorHAnsi" w:cstheme="majorHAnsi"/>
        </w:rPr>
        <w:t>D</w:t>
      </w:r>
      <w:r w:rsidR="00990290">
        <w:rPr>
          <w:rFonts w:asciiTheme="majorHAnsi" w:hAnsiTheme="majorHAnsi" w:cstheme="majorHAnsi"/>
        </w:rPr>
        <w:t xml:space="preserve">ivergent findings </w:t>
      </w:r>
      <w:r w:rsidR="001E6DBE">
        <w:rPr>
          <w:rFonts w:asciiTheme="majorHAnsi" w:hAnsiTheme="majorHAnsi" w:cstheme="majorHAnsi"/>
        </w:rPr>
        <w:t xml:space="preserve">about the benefits </w:t>
      </w:r>
      <w:r w:rsidR="00E21DA6">
        <w:rPr>
          <w:rFonts w:asciiTheme="majorHAnsi" w:hAnsiTheme="majorHAnsi" w:cstheme="majorHAnsi"/>
        </w:rPr>
        <w:t>delivered through</w:t>
      </w:r>
      <w:r w:rsidR="001E6DBE">
        <w:rPr>
          <w:rFonts w:asciiTheme="majorHAnsi" w:hAnsiTheme="majorHAnsi" w:cstheme="majorHAnsi"/>
        </w:rPr>
        <w:t xml:space="preserve"> Discovery Projects</w:t>
      </w:r>
      <w:r w:rsidR="00E21DA6">
        <w:rPr>
          <w:rFonts w:asciiTheme="majorHAnsi" w:hAnsiTheme="majorHAnsi" w:cstheme="majorHAnsi"/>
        </w:rPr>
        <w:t xml:space="preserve"> from</w:t>
      </w:r>
      <w:r w:rsidR="001E6DBE">
        <w:rPr>
          <w:rFonts w:asciiTheme="majorHAnsi" w:hAnsiTheme="majorHAnsi" w:cstheme="majorHAnsi"/>
        </w:rPr>
        <w:t xml:space="preserve"> final reports and survey responses </w:t>
      </w:r>
      <w:r w:rsidR="009958CF">
        <w:rPr>
          <w:rFonts w:asciiTheme="majorHAnsi" w:hAnsiTheme="majorHAnsi" w:cstheme="majorHAnsi"/>
        </w:rPr>
        <w:t>potentially</w:t>
      </w:r>
      <w:r w:rsidR="003639AF">
        <w:rPr>
          <w:rFonts w:asciiTheme="majorHAnsi" w:hAnsiTheme="majorHAnsi" w:cstheme="majorHAnsi"/>
        </w:rPr>
        <w:t xml:space="preserve"> reflect </w:t>
      </w:r>
      <w:r w:rsidR="00CB4716">
        <w:rPr>
          <w:rFonts w:asciiTheme="majorHAnsi" w:hAnsiTheme="majorHAnsi" w:cstheme="majorHAnsi"/>
        </w:rPr>
        <w:t>multiple methodological considerations</w:t>
      </w:r>
      <w:r w:rsidR="00B1370D">
        <w:rPr>
          <w:rFonts w:asciiTheme="majorHAnsi" w:hAnsiTheme="majorHAnsi" w:cstheme="majorHAnsi"/>
        </w:rPr>
        <w:t xml:space="preserve">. For instance, whereas final reports are generally submitted within 12 months of project completion, </w:t>
      </w:r>
      <w:r w:rsidR="00EB2AAF">
        <w:rPr>
          <w:rFonts w:asciiTheme="majorHAnsi" w:hAnsiTheme="majorHAnsi" w:cstheme="majorHAnsi"/>
        </w:rPr>
        <w:t>survey responses may have been provided several years after grant funding ceased.</w:t>
      </w:r>
      <w:r w:rsidR="001C749C">
        <w:rPr>
          <w:rFonts w:asciiTheme="majorHAnsi" w:hAnsiTheme="majorHAnsi" w:cstheme="majorHAnsi"/>
        </w:rPr>
        <w:t xml:space="preserve"> These differing timescales</w:t>
      </w:r>
      <w:r w:rsidR="003C0AC7">
        <w:rPr>
          <w:rFonts w:asciiTheme="majorHAnsi" w:hAnsiTheme="majorHAnsi" w:cstheme="majorHAnsi"/>
        </w:rPr>
        <w:t xml:space="preserve"> </w:t>
      </w:r>
      <w:r w:rsidR="00322F1A">
        <w:rPr>
          <w:rFonts w:asciiTheme="majorHAnsi" w:hAnsiTheme="majorHAnsi" w:cstheme="majorHAnsi"/>
        </w:rPr>
        <w:t>have potentially</w:t>
      </w:r>
      <w:r w:rsidR="003C0AC7">
        <w:rPr>
          <w:rFonts w:asciiTheme="majorHAnsi" w:hAnsiTheme="majorHAnsi" w:cstheme="majorHAnsi"/>
        </w:rPr>
        <w:t xml:space="preserve"> shaped</w:t>
      </w:r>
      <w:r w:rsidR="00CB4716">
        <w:rPr>
          <w:rFonts w:asciiTheme="majorHAnsi" w:hAnsiTheme="majorHAnsi" w:cstheme="majorHAnsi"/>
        </w:rPr>
        <w:t xml:space="preserve"> both</w:t>
      </w:r>
      <w:r w:rsidR="003C0AC7">
        <w:rPr>
          <w:rFonts w:asciiTheme="majorHAnsi" w:hAnsiTheme="majorHAnsi" w:cstheme="majorHAnsi"/>
        </w:rPr>
        <w:t xml:space="preserve"> the</w:t>
      </w:r>
      <w:r w:rsidR="00CD6295">
        <w:rPr>
          <w:rFonts w:asciiTheme="majorHAnsi" w:hAnsiTheme="majorHAnsi" w:cstheme="majorHAnsi"/>
        </w:rPr>
        <w:t xml:space="preserve"> opportunity for particular kinds of benefits to have arisen, as well as researchers’ perspectives on the outcomes of their </w:t>
      </w:r>
      <w:r w:rsidR="008A16F4">
        <w:rPr>
          <w:rFonts w:asciiTheme="majorHAnsi" w:hAnsiTheme="majorHAnsi" w:cstheme="majorHAnsi"/>
        </w:rPr>
        <w:t xml:space="preserve">work. </w:t>
      </w:r>
      <w:r w:rsidR="00322F1A">
        <w:rPr>
          <w:rFonts w:asciiTheme="majorHAnsi" w:hAnsiTheme="majorHAnsi" w:cstheme="majorHAnsi"/>
        </w:rPr>
        <w:t xml:space="preserve">There were, further, differences in the categories used to arrange data relating to </w:t>
      </w:r>
      <w:r w:rsidR="009E5CE7">
        <w:rPr>
          <w:rFonts w:asciiTheme="majorHAnsi" w:hAnsiTheme="majorHAnsi" w:cstheme="majorHAnsi"/>
        </w:rPr>
        <w:t>outcomes/</w:t>
      </w:r>
      <w:r w:rsidR="00322F1A">
        <w:rPr>
          <w:rFonts w:asciiTheme="majorHAnsi" w:hAnsiTheme="majorHAnsi" w:cstheme="majorHAnsi"/>
        </w:rPr>
        <w:t>benefits</w:t>
      </w:r>
      <w:r w:rsidR="00DB7D31">
        <w:rPr>
          <w:rFonts w:asciiTheme="majorHAnsi" w:hAnsiTheme="majorHAnsi" w:cstheme="majorHAnsi"/>
        </w:rPr>
        <w:t>.</w:t>
      </w:r>
      <w:r w:rsidR="00EB2AAF">
        <w:rPr>
          <w:rFonts w:asciiTheme="majorHAnsi" w:hAnsiTheme="majorHAnsi" w:cstheme="majorHAnsi"/>
        </w:rPr>
        <w:t xml:space="preserve"> </w:t>
      </w:r>
      <w:r w:rsidR="00F62775">
        <w:rPr>
          <w:rFonts w:asciiTheme="majorHAnsi" w:hAnsiTheme="majorHAnsi" w:cstheme="majorHAnsi"/>
        </w:rPr>
        <w:t xml:space="preserve">‘Commercial Benefits’ and </w:t>
      </w:r>
      <w:r w:rsidR="00EB2AAF" w:rsidRPr="00EB2AAF">
        <w:rPr>
          <w:rFonts w:asciiTheme="majorHAnsi" w:hAnsiTheme="majorHAnsi" w:cstheme="majorHAnsi"/>
        </w:rPr>
        <w:t>‘Expanding Knowledge’</w:t>
      </w:r>
      <w:r w:rsidR="00F62775">
        <w:rPr>
          <w:rFonts w:asciiTheme="majorHAnsi" w:hAnsiTheme="majorHAnsi" w:cstheme="majorHAnsi"/>
        </w:rPr>
        <w:t xml:space="preserve"> (</w:t>
      </w:r>
      <w:r w:rsidR="00EB2AAF">
        <w:rPr>
          <w:rFonts w:asciiTheme="majorHAnsi" w:hAnsiTheme="majorHAnsi" w:cstheme="majorHAnsi"/>
        </w:rPr>
        <w:t xml:space="preserve">which was selected by an overwhelming majority of survey participants when reflecting on their most recently completed </w:t>
      </w:r>
      <w:r w:rsidR="00EB2AAF" w:rsidRPr="0095088F">
        <w:rPr>
          <w:rFonts w:asciiTheme="majorHAnsi" w:hAnsiTheme="majorHAnsi" w:cstheme="majorHAnsi"/>
        </w:rPr>
        <w:t xml:space="preserve">project </w:t>
      </w:r>
      <w:r w:rsidR="0095088F" w:rsidRPr="0095088F">
        <w:rPr>
          <w:rFonts w:asciiTheme="majorHAnsi" w:hAnsiTheme="majorHAnsi" w:cstheme="majorHAnsi"/>
        </w:rPr>
        <w:t>[</w:t>
      </w:r>
      <w:r w:rsidR="0095088F" w:rsidRPr="0095088F">
        <w:rPr>
          <w:rFonts w:asciiTheme="majorHAnsi" w:hAnsiTheme="majorHAnsi" w:cstheme="majorHAnsi"/>
        </w:rPr>
        <w:fldChar w:fldCharType="begin"/>
      </w:r>
      <w:r w:rsidR="0095088F" w:rsidRPr="0095088F">
        <w:rPr>
          <w:rFonts w:asciiTheme="majorHAnsi" w:hAnsiTheme="majorHAnsi" w:cstheme="majorHAnsi"/>
        </w:rPr>
        <w:instrText xml:space="preserve"> REF _Ref49153981 \h  \* MERGEFORMAT </w:instrText>
      </w:r>
      <w:r w:rsidR="0095088F" w:rsidRPr="0095088F">
        <w:rPr>
          <w:rFonts w:asciiTheme="majorHAnsi" w:hAnsiTheme="majorHAnsi" w:cstheme="majorHAnsi"/>
        </w:rPr>
      </w:r>
      <w:r w:rsidR="0095088F" w:rsidRPr="0095088F">
        <w:rPr>
          <w:rFonts w:asciiTheme="majorHAnsi" w:hAnsiTheme="majorHAnsi" w:cstheme="majorHAnsi"/>
        </w:rPr>
        <w:fldChar w:fldCharType="separate"/>
      </w:r>
      <w:r w:rsidR="00AB03D7" w:rsidRPr="00AB03D7">
        <w:rPr>
          <w:rFonts w:asciiTheme="majorHAnsi" w:hAnsiTheme="majorHAnsi" w:cstheme="majorHAnsi"/>
        </w:rPr>
        <w:t>Figure 33</w:t>
      </w:r>
      <w:r w:rsidR="0095088F" w:rsidRPr="0095088F">
        <w:rPr>
          <w:rFonts w:asciiTheme="majorHAnsi" w:hAnsiTheme="majorHAnsi" w:cstheme="majorHAnsi"/>
        </w:rPr>
        <w:fldChar w:fldCharType="end"/>
      </w:r>
      <w:r w:rsidR="0095088F" w:rsidRPr="0095088F">
        <w:rPr>
          <w:rFonts w:asciiTheme="majorHAnsi" w:hAnsiTheme="majorHAnsi" w:cstheme="majorHAnsi"/>
        </w:rPr>
        <w:t>])</w:t>
      </w:r>
      <w:r w:rsidR="00EB2AAF" w:rsidRPr="0095088F">
        <w:rPr>
          <w:rFonts w:asciiTheme="majorHAnsi" w:hAnsiTheme="majorHAnsi" w:cstheme="majorHAnsi"/>
        </w:rPr>
        <w:t xml:space="preserve">, </w:t>
      </w:r>
      <w:r w:rsidR="008A16F4" w:rsidRPr="0095088F">
        <w:rPr>
          <w:rFonts w:asciiTheme="majorHAnsi" w:hAnsiTheme="majorHAnsi" w:cstheme="majorHAnsi"/>
        </w:rPr>
        <w:t>were</w:t>
      </w:r>
      <w:r w:rsidR="001C749C">
        <w:rPr>
          <w:rFonts w:asciiTheme="majorHAnsi" w:hAnsiTheme="majorHAnsi" w:cstheme="majorHAnsi"/>
        </w:rPr>
        <w:t xml:space="preserve"> not</w:t>
      </w:r>
      <w:r w:rsidR="00EB2AAF">
        <w:rPr>
          <w:rFonts w:asciiTheme="majorHAnsi" w:hAnsiTheme="majorHAnsi" w:cstheme="majorHAnsi"/>
        </w:rPr>
        <w:t xml:space="preserve"> option</w:t>
      </w:r>
      <w:r w:rsidR="001C749C">
        <w:rPr>
          <w:rFonts w:asciiTheme="majorHAnsi" w:hAnsiTheme="majorHAnsi" w:cstheme="majorHAnsi"/>
        </w:rPr>
        <w:t>s</w:t>
      </w:r>
      <w:r w:rsidR="00EB2AAF">
        <w:rPr>
          <w:rFonts w:asciiTheme="majorHAnsi" w:hAnsiTheme="majorHAnsi" w:cstheme="majorHAnsi"/>
        </w:rPr>
        <w:t xml:space="preserve"> provided within final reports.</w:t>
      </w:r>
      <w:r w:rsidR="008A16F4">
        <w:rPr>
          <w:rFonts w:asciiTheme="majorHAnsi" w:hAnsiTheme="majorHAnsi" w:cstheme="majorHAnsi"/>
        </w:rPr>
        <w:t xml:space="preserve"> </w:t>
      </w:r>
      <w:r w:rsidR="00322F1A">
        <w:rPr>
          <w:rFonts w:asciiTheme="majorHAnsi" w:hAnsiTheme="majorHAnsi" w:cstheme="majorHAnsi"/>
        </w:rPr>
        <w:t>Finally,</w:t>
      </w:r>
      <w:r>
        <w:rPr>
          <w:rFonts w:asciiTheme="majorHAnsi" w:hAnsiTheme="majorHAnsi" w:cstheme="majorHAnsi"/>
        </w:rPr>
        <w:t xml:space="preserve"> significant</w:t>
      </w:r>
      <w:r w:rsidR="009E5CE7">
        <w:rPr>
          <w:rFonts w:asciiTheme="majorHAnsi" w:hAnsiTheme="majorHAnsi" w:cstheme="majorHAnsi"/>
        </w:rPr>
        <w:t xml:space="preserve"> differences</w:t>
      </w:r>
      <w:r w:rsidR="004331B5">
        <w:rPr>
          <w:rFonts w:asciiTheme="majorHAnsi" w:hAnsiTheme="majorHAnsi" w:cstheme="majorHAnsi"/>
        </w:rPr>
        <w:t xml:space="preserve"> in the nature of the samples</w:t>
      </w:r>
      <w:r w:rsidR="00322F1A">
        <w:rPr>
          <w:rFonts w:asciiTheme="majorHAnsi" w:hAnsiTheme="majorHAnsi" w:cstheme="majorHAnsi"/>
        </w:rPr>
        <w:t xml:space="preserve"> </w:t>
      </w:r>
      <w:r w:rsidR="00990290">
        <w:rPr>
          <w:rFonts w:asciiTheme="majorHAnsi" w:hAnsiTheme="majorHAnsi" w:cstheme="majorHAnsi"/>
        </w:rPr>
        <w:t>arising from final reports and the evaluation survey</w:t>
      </w:r>
      <w:r w:rsidR="00E21DA6">
        <w:rPr>
          <w:rFonts w:asciiTheme="majorHAnsi" w:hAnsiTheme="majorHAnsi" w:cstheme="majorHAnsi"/>
        </w:rPr>
        <w:t xml:space="preserve"> should be acknowledged</w:t>
      </w:r>
      <w:r w:rsidR="00BB248E">
        <w:rPr>
          <w:rFonts w:asciiTheme="majorHAnsi" w:hAnsiTheme="majorHAnsi" w:cstheme="majorHAnsi"/>
        </w:rPr>
        <w:t>. Only one final report is submitted per</w:t>
      </w:r>
      <w:r w:rsidR="00FE2045">
        <w:rPr>
          <w:rFonts w:asciiTheme="majorHAnsi" w:hAnsiTheme="majorHAnsi" w:cstheme="majorHAnsi"/>
        </w:rPr>
        <w:t xml:space="preserve"> completed</w:t>
      </w:r>
      <w:r w:rsidR="00BB248E">
        <w:rPr>
          <w:rFonts w:asciiTheme="majorHAnsi" w:hAnsiTheme="majorHAnsi" w:cstheme="majorHAnsi"/>
        </w:rPr>
        <w:t xml:space="preserve"> project</w:t>
      </w:r>
      <w:r w:rsidR="00990290">
        <w:rPr>
          <w:rFonts w:asciiTheme="majorHAnsi" w:hAnsiTheme="majorHAnsi" w:cstheme="majorHAnsi"/>
        </w:rPr>
        <w:t>. T</w:t>
      </w:r>
      <w:r w:rsidR="00BB248E">
        <w:rPr>
          <w:rFonts w:asciiTheme="majorHAnsi" w:hAnsiTheme="majorHAnsi" w:cstheme="majorHAnsi"/>
        </w:rPr>
        <w:t>he survey</w:t>
      </w:r>
      <w:r w:rsidR="00990290">
        <w:rPr>
          <w:rFonts w:asciiTheme="majorHAnsi" w:hAnsiTheme="majorHAnsi" w:cstheme="majorHAnsi"/>
        </w:rPr>
        <w:t>, alternatively,</w:t>
      </w:r>
      <w:r w:rsidR="00BB248E">
        <w:rPr>
          <w:rFonts w:asciiTheme="majorHAnsi" w:hAnsiTheme="majorHAnsi" w:cstheme="majorHAnsi"/>
        </w:rPr>
        <w:t xml:space="preserve"> was distributed to named researchers </w:t>
      </w:r>
      <w:r w:rsidR="00990290">
        <w:rPr>
          <w:rFonts w:asciiTheme="majorHAnsi" w:hAnsiTheme="majorHAnsi" w:cstheme="majorHAnsi"/>
        </w:rPr>
        <w:t>funded under the scheme</w:t>
      </w:r>
      <w:r w:rsidR="00BB248E">
        <w:rPr>
          <w:rFonts w:asciiTheme="majorHAnsi" w:hAnsiTheme="majorHAnsi" w:cstheme="majorHAnsi"/>
        </w:rPr>
        <w:t xml:space="preserve">, meaning that some projects may be represented more than once within survey </w:t>
      </w:r>
      <w:r w:rsidR="00990290">
        <w:rPr>
          <w:rFonts w:asciiTheme="majorHAnsi" w:hAnsiTheme="majorHAnsi" w:cstheme="majorHAnsi"/>
        </w:rPr>
        <w:t>findings</w:t>
      </w:r>
      <w:r w:rsidR="00BB248E">
        <w:rPr>
          <w:rFonts w:asciiTheme="majorHAnsi" w:hAnsiTheme="majorHAnsi" w:cstheme="majorHAnsi"/>
        </w:rPr>
        <w:t>.</w:t>
      </w:r>
      <w:r w:rsidR="00FE2045">
        <w:rPr>
          <w:rFonts w:asciiTheme="majorHAnsi" w:hAnsiTheme="majorHAnsi" w:cstheme="majorHAnsi"/>
        </w:rPr>
        <w:t xml:space="preserve"> Wh</w:t>
      </w:r>
      <w:r w:rsidR="009734AA">
        <w:rPr>
          <w:rFonts w:asciiTheme="majorHAnsi" w:hAnsiTheme="majorHAnsi" w:cstheme="majorHAnsi"/>
        </w:rPr>
        <w:t xml:space="preserve">ile </w:t>
      </w:r>
      <w:r w:rsidR="00FE2045">
        <w:rPr>
          <w:rFonts w:asciiTheme="majorHAnsi" w:hAnsiTheme="majorHAnsi" w:cstheme="majorHAnsi"/>
        </w:rPr>
        <w:t xml:space="preserve">the vast majority of </w:t>
      </w:r>
      <w:r w:rsidR="009734AA">
        <w:rPr>
          <w:rFonts w:asciiTheme="majorHAnsi" w:hAnsiTheme="majorHAnsi" w:cstheme="majorHAnsi"/>
        </w:rPr>
        <w:t>completed</w:t>
      </w:r>
      <w:r w:rsidR="00FE2045">
        <w:rPr>
          <w:rFonts w:asciiTheme="majorHAnsi" w:hAnsiTheme="majorHAnsi" w:cstheme="majorHAnsi"/>
        </w:rPr>
        <w:t xml:space="preserve"> projects </w:t>
      </w:r>
      <w:r w:rsidR="009734AA">
        <w:rPr>
          <w:rFonts w:asciiTheme="majorHAnsi" w:hAnsiTheme="majorHAnsi" w:cstheme="majorHAnsi"/>
        </w:rPr>
        <w:t xml:space="preserve">are represented within final report data, </w:t>
      </w:r>
      <w:r w:rsidR="00E21DA6">
        <w:rPr>
          <w:rFonts w:asciiTheme="majorHAnsi" w:hAnsiTheme="majorHAnsi" w:cstheme="majorHAnsi"/>
        </w:rPr>
        <w:t xml:space="preserve">only 16 per cent of </w:t>
      </w:r>
      <w:r w:rsidR="007B4CD5">
        <w:rPr>
          <w:rFonts w:asciiTheme="majorHAnsi" w:hAnsiTheme="majorHAnsi" w:cstheme="majorHAnsi"/>
        </w:rPr>
        <w:t>the named researchers surveyed responded to the questio</w:t>
      </w:r>
      <w:r w:rsidR="00501808">
        <w:rPr>
          <w:rFonts w:asciiTheme="majorHAnsi" w:hAnsiTheme="majorHAnsi" w:cstheme="majorHAnsi"/>
        </w:rPr>
        <w:t>n</w:t>
      </w:r>
      <w:r w:rsidR="007B4CD5">
        <w:rPr>
          <w:rFonts w:asciiTheme="majorHAnsi" w:hAnsiTheme="majorHAnsi" w:cstheme="majorHAnsi"/>
        </w:rPr>
        <w:t>naire</w:t>
      </w:r>
      <w:r>
        <w:rPr>
          <w:rFonts w:asciiTheme="majorHAnsi" w:hAnsiTheme="majorHAnsi" w:cstheme="majorHAnsi"/>
        </w:rPr>
        <w:t>.</w:t>
      </w:r>
      <w:r w:rsidR="007B4CD5">
        <w:rPr>
          <w:rFonts w:asciiTheme="majorHAnsi" w:hAnsiTheme="majorHAnsi" w:cstheme="majorHAnsi"/>
        </w:rPr>
        <w:t xml:space="preserve"> </w:t>
      </w:r>
      <w:r>
        <w:rPr>
          <w:rFonts w:asciiTheme="majorHAnsi" w:hAnsiTheme="majorHAnsi" w:cstheme="majorHAnsi"/>
        </w:rPr>
        <w:t xml:space="preserve"> </w:t>
      </w:r>
    </w:p>
    <w:p w14:paraId="5224D89F" w14:textId="0512FF47" w:rsidR="00613611" w:rsidRPr="002117E5" w:rsidRDefault="003639AF" w:rsidP="00613611">
      <w:pPr>
        <w:spacing w:after="120"/>
        <w:rPr>
          <w:rFonts w:asciiTheme="majorHAnsi" w:hAnsiTheme="majorHAnsi" w:cstheme="majorHAnsi"/>
        </w:rPr>
      </w:pPr>
      <w:r>
        <w:rPr>
          <w:rFonts w:asciiTheme="majorHAnsi" w:hAnsiTheme="majorHAnsi" w:cstheme="majorHAnsi"/>
        </w:rPr>
        <w:t xml:space="preserve">Given these inconsistencies, no definitive conclusion can be drawn about the balance of the kinds of translational benefits delivered by the scheme. </w:t>
      </w:r>
      <w:r w:rsidR="00A63768">
        <w:rPr>
          <w:rFonts w:asciiTheme="majorHAnsi" w:hAnsiTheme="majorHAnsi" w:cstheme="majorHAnsi"/>
        </w:rPr>
        <w:t xml:space="preserve">These issues should be </w:t>
      </w:r>
      <w:r w:rsidR="00DF6DF7">
        <w:rPr>
          <w:rFonts w:asciiTheme="majorHAnsi" w:hAnsiTheme="majorHAnsi" w:cstheme="majorHAnsi"/>
        </w:rPr>
        <w:t>revisited</w:t>
      </w:r>
      <w:r w:rsidR="00A63768">
        <w:rPr>
          <w:rFonts w:asciiTheme="majorHAnsi" w:hAnsiTheme="majorHAnsi" w:cstheme="majorHAnsi"/>
        </w:rPr>
        <w:t xml:space="preserve"> in </w:t>
      </w:r>
      <w:r>
        <w:rPr>
          <w:rFonts w:asciiTheme="majorHAnsi" w:hAnsiTheme="majorHAnsi" w:cstheme="majorHAnsi"/>
        </w:rPr>
        <w:t xml:space="preserve">future </w:t>
      </w:r>
      <w:r w:rsidR="001B3CE2">
        <w:rPr>
          <w:rFonts w:asciiTheme="majorHAnsi" w:hAnsiTheme="majorHAnsi" w:cstheme="majorHAnsi"/>
        </w:rPr>
        <w:t xml:space="preserve">monitoring and </w:t>
      </w:r>
      <w:r>
        <w:rPr>
          <w:rFonts w:asciiTheme="majorHAnsi" w:hAnsiTheme="majorHAnsi" w:cstheme="majorHAnsi"/>
        </w:rPr>
        <w:t xml:space="preserve">evaluation of Discovery Projects </w:t>
      </w:r>
      <w:r w:rsidR="001B3CE2">
        <w:rPr>
          <w:rFonts w:asciiTheme="majorHAnsi" w:hAnsiTheme="majorHAnsi" w:cstheme="majorHAnsi"/>
        </w:rPr>
        <w:t>when additional</w:t>
      </w:r>
      <w:r>
        <w:rPr>
          <w:rFonts w:asciiTheme="majorHAnsi" w:hAnsiTheme="majorHAnsi" w:cstheme="majorHAnsi"/>
        </w:rPr>
        <w:t xml:space="preserve"> final report data over longer timescales</w:t>
      </w:r>
      <w:r w:rsidR="001B3CE2">
        <w:rPr>
          <w:rFonts w:asciiTheme="majorHAnsi" w:hAnsiTheme="majorHAnsi" w:cstheme="majorHAnsi"/>
        </w:rPr>
        <w:t xml:space="preserve"> are available</w:t>
      </w:r>
      <w:r>
        <w:rPr>
          <w:rFonts w:asciiTheme="majorHAnsi" w:hAnsiTheme="majorHAnsi" w:cstheme="majorHAnsi"/>
        </w:rPr>
        <w:t>.</w:t>
      </w:r>
      <w:r w:rsidR="00613611">
        <w:rPr>
          <w:rFonts w:asciiTheme="majorHAnsi" w:hAnsiTheme="majorHAnsi" w:cstheme="majorHAnsi"/>
        </w:rPr>
        <w:t xml:space="preserve"> To address stakeholder perceptions that social and cultural benefits are undervalued within Discovery Projects assessment processes, it </w:t>
      </w:r>
      <w:r w:rsidR="0099185E">
        <w:rPr>
          <w:rFonts w:asciiTheme="majorHAnsi" w:hAnsiTheme="majorHAnsi" w:cstheme="majorHAnsi"/>
        </w:rPr>
        <w:t>may</w:t>
      </w:r>
      <w:r w:rsidR="00613611">
        <w:rPr>
          <w:rFonts w:asciiTheme="majorHAnsi" w:hAnsiTheme="majorHAnsi" w:cstheme="majorHAnsi"/>
        </w:rPr>
        <w:t xml:space="preserve"> be beneficial for </w:t>
      </w:r>
      <w:r w:rsidR="0099185E">
        <w:rPr>
          <w:rFonts w:asciiTheme="majorHAnsi" w:hAnsiTheme="majorHAnsi" w:cstheme="majorHAnsi"/>
        </w:rPr>
        <w:t xml:space="preserve">ARC </w:t>
      </w:r>
      <w:r w:rsidR="00B0431E">
        <w:rPr>
          <w:rFonts w:asciiTheme="majorHAnsi" w:hAnsiTheme="majorHAnsi" w:cstheme="majorHAnsi"/>
        </w:rPr>
        <w:t xml:space="preserve">advice, </w:t>
      </w:r>
      <w:r w:rsidR="00613611">
        <w:rPr>
          <w:rFonts w:asciiTheme="majorHAnsi" w:hAnsiTheme="majorHAnsi" w:cstheme="majorHAnsi"/>
        </w:rPr>
        <w:t xml:space="preserve">outreach and engagement, including with Discovery Projects peer reviewers, to </w:t>
      </w:r>
      <w:r w:rsidR="0099185E">
        <w:rPr>
          <w:rFonts w:asciiTheme="majorHAnsi" w:hAnsiTheme="majorHAnsi" w:cstheme="majorHAnsi"/>
        </w:rPr>
        <w:t>clarify</w:t>
      </w:r>
      <w:r w:rsidR="00613611">
        <w:rPr>
          <w:rFonts w:asciiTheme="majorHAnsi" w:hAnsiTheme="majorHAnsi" w:cstheme="majorHAnsi"/>
        </w:rPr>
        <w:t xml:space="preserve"> that there is no hierarchy of benefits in the design or implementation of the scheme. </w:t>
      </w:r>
    </w:p>
    <w:p w14:paraId="5B859302" w14:textId="08AE1FD8" w:rsidR="007B4CD5" w:rsidRDefault="00623819" w:rsidP="003639AF">
      <w:pPr>
        <w:spacing w:after="120"/>
        <w:rPr>
          <w:rFonts w:asciiTheme="majorHAnsi" w:hAnsiTheme="majorHAnsi" w:cstheme="majorHAnsi"/>
        </w:rPr>
      </w:pPr>
      <w:r>
        <w:rPr>
          <w:rFonts w:asciiTheme="majorHAnsi" w:hAnsiTheme="majorHAnsi" w:cstheme="majorHAnsi"/>
        </w:rPr>
        <w:t>Stakeholder</w:t>
      </w:r>
      <w:r w:rsidR="00A06B5C">
        <w:rPr>
          <w:rFonts w:asciiTheme="majorHAnsi" w:hAnsiTheme="majorHAnsi" w:cstheme="majorHAnsi"/>
        </w:rPr>
        <w:t>s’</w:t>
      </w:r>
      <w:r>
        <w:rPr>
          <w:rFonts w:asciiTheme="majorHAnsi" w:hAnsiTheme="majorHAnsi" w:cstheme="majorHAnsi"/>
        </w:rPr>
        <w:t xml:space="preserve"> </w:t>
      </w:r>
      <w:r w:rsidR="00416A93">
        <w:rPr>
          <w:rFonts w:asciiTheme="majorHAnsi" w:hAnsiTheme="majorHAnsi" w:cstheme="majorHAnsi"/>
        </w:rPr>
        <w:t>comments</w:t>
      </w:r>
      <w:r>
        <w:rPr>
          <w:rFonts w:asciiTheme="majorHAnsi" w:hAnsiTheme="majorHAnsi" w:cstheme="majorHAnsi"/>
        </w:rPr>
        <w:t xml:space="preserve"> </w:t>
      </w:r>
      <w:r w:rsidR="00F10F6D">
        <w:rPr>
          <w:rFonts w:asciiTheme="majorHAnsi" w:hAnsiTheme="majorHAnsi" w:cstheme="majorHAnsi"/>
        </w:rPr>
        <w:t>regarding</w:t>
      </w:r>
      <w:r w:rsidR="008136F9">
        <w:rPr>
          <w:rFonts w:asciiTheme="majorHAnsi" w:hAnsiTheme="majorHAnsi" w:cstheme="majorHAnsi"/>
        </w:rPr>
        <w:t xml:space="preserve"> </w:t>
      </w:r>
      <w:r w:rsidR="00F10F6D">
        <w:rPr>
          <w:rFonts w:asciiTheme="majorHAnsi" w:hAnsiTheme="majorHAnsi" w:cstheme="majorHAnsi"/>
        </w:rPr>
        <w:t xml:space="preserve">the </w:t>
      </w:r>
      <w:r w:rsidR="008136F9">
        <w:rPr>
          <w:rFonts w:asciiTheme="majorHAnsi" w:hAnsiTheme="majorHAnsi" w:cstheme="majorHAnsi"/>
        </w:rPr>
        <w:t>c</w:t>
      </w:r>
      <w:r w:rsidR="00E83923">
        <w:rPr>
          <w:rFonts w:asciiTheme="majorHAnsi" w:hAnsiTheme="majorHAnsi" w:cstheme="majorHAnsi"/>
        </w:rPr>
        <w:t xml:space="preserve">hallenges </w:t>
      </w:r>
      <w:r w:rsidR="00A71F68">
        <w:rPr>
          <w:rFonts w:asciiTheme="majorHAnsi" w:hAnsiTheme="majorHAnsi" w:cstheme="majorHAnsi"/>
        </w:rPr>
        <w:t xml:space="preserve">involved </w:t>
      </w:r>
      <w:r w:rsidR="009D5DE2">
        <w:rPr>
          <w:rFonts w:asciiTheme="majorHAnsi" w:hAnsiTheme="majorHAnsi" w:cstheme="majorHAnsi"/>
        </w:rPr>
        <w:t>in</w:t>
      </w:r>
      <w:r w:rsidR="00A71F68">
        <w:rPr>
          <w:rFonts w:asciiTheme="majorHAnsi" w:hAnsiTheme="majorHAnsi" w:cstheme="majorHAnsi"/>
        </w:rPr>
        <w:t xml:space="preserve"> </w:t>
      </w:r>
      <w:r w:rsidR="00F10F6D">
        <w:rPr>
          <w:rFonts w:asciiTheme="majorHAnsi" w:hAnsiTheme="majorHAnsi" w:cstheme="majorHAnsi"/>
        </w:rPr>
        <w:t>assessing</w:t>
      </w:r>
      <w:r w:rsidR="009D5DE2">
        <w:rPr>
          <w:rFonts w:asciiTheme="majorHAnsi" w:hAnsiTheme="majorHAnsi" w:cstheme="majorHAnsi"/>
        </w:rPr>
        <w:t xml:space="preserve"> </w:t>
      </w:r>
      <w:r w:rsidR="007B4CD5">
        <w:rPr>
          <w:rFonts w:asciiTheme="majorHAnsi" w:hAnsiTheme="majorHAnsi" w:cstheme="majorHAnsi"/>
        </w:rPr>
        <w:t xml:space="preserve">research </w:t>
      </w:r>
      <w:r w:rsidR="00A71F68">
        <w:rPr>
          <w:rFonts w:asciiTheme="majorHAnsi" w:hAnsiTheme="majorHAnsi" w:cstheme="majorHAnsi"/>
        </w:rPr>
        <w:t xml:space="preserve">benefits </w:t>
      </w:r>
      <w:r w:rsidR="00416A93">
        <w:rPr>
          <w:rFonts w:asciiTheme="majorHAnsi" w:hAnsiTheme="majorHAnsi" w:cstheme="majorHAnsi"/>
        </w:rPr>
        <w:t>are</w:t>
      </w:r>
      <w:r w:rsidR="00E83923">
        <w:rPr>
          <w:rFonts w:asciiTheme="majorHAnsi" w:hAnsiTheme="majorHAnsi" w:cstheme="majorHAnsi"/>
        </w:rPr>
        <w:t xml:space="preserve"> relevant </w:t>
      </w:r>
      <w:r w:rsidR="00F720DE">
        <w:rPr>
          <w:rFonts w:asciiTheme="majorHAnsi" w:hAnsiTheme="majorHAnsi" w:cstheme="majorHAnsi"/>
        </w:rPr>
        <w:t xml:space="preserve">across the </w:t>
      </w:r>
      <w:r w:rsidR="005C20F1">
        <w:rPr>
          <w:rFonts w:asciiTheme="majorHAnsi" w:hAnsiTheme="majorHAnsi" w:cstheme="majorHAnsi"/>
        </w:rPr>
        <w:t>NCGP</w:t>
      </w:r>
      <w:r w:rsidR="0062344B">
        <w:rPr>
          <w:rFonts w:asciiTheme="majorHAnsi" w:hAnsiTheme="majorHAnsi" w:cstheme="majorHAnsi"/>
        </w:rPr>
        <w:t xml:space="preserve"> </w:t>
      </w:r>
      <w:r w:rsidR="00A71F68">
        <w:rPr>
          <w:rFonts w:asciiTheme="majorHAnsi" w:hAnsiTheme="majorHAnsi" w:cstheme="majorHAnsi"/>
        </w:rPr>
        <w:t>and</w:t>
      </w:r>
      <w:r w:rsidR="005517E3">
        <w:rPr>
          <w:rFonts w:asciiTheme="majorHAnsi" w:hAnsiTheme="majorHAnsi" w:cstheme="majorHAnsi"/>
        </w:rPr>
        <w:t xml:space="preserve"> </w:t>
      </w:r>
      <w:r w:rsidR="00A71F68">
        <w:rPr>
          <w:rFonts w:asciiTheme="majorHAnsi" w:hAnsiTheme="majorHAnsi" w:cstheme="majorHAnsi"/>
        </w:rPr>
        <w:t xml:space="preserve">may </w:t>
      </w:r>
      <w:r w:rsidR="00910CAA">
        <w:rPr>
          <w:rFonts w:asciiTheme="majorHAnsi" w:hAnsiTheme="majorHAnsi" w:cstheme="majorHAnsi"/>
        </w:rPr>
        <w:t xml:space="preserve">also </w:t>
      </w:r>
      <w:r w:rsidR="00A71F68">
        <w:rPr>
          <w:rFonts w:asciiTheme="majorHAnsi" w:hAnsiTheme="majorHAnsi" w:cstheme="majorHAnsi"/>
        </w:rPr>
        <w:t>usefully inform</w:t>
      </w:r>
      <w:r w:rsidR="00D34F5B">
        <w:rPr>
          <w:rFonts w:asciiTheme="majorHAnsi" w:hAnsiTheme="majorHAnsi" w:cstheme="majorHAnsi"/>
        </w:rPr>
        <w:t xml:space="preserve"> </w:t>
      </w:r>
      <w:r w:rsidR="005517E3">
        <w:rPr>
          <w:rFonts w:asciiTheme="majorHAnsi" w:hAnsiTheme="majorHAnsi" w:cstheme="majorHAnsi"/>
        </w:rPr>
        <w:t xml:space="preserve">further </w:t>
      </w:r>
      <w:r w:rsidR="00A06B5C">
        <w:rPr>
          <w:rFonts w:asciiTheme="majorHAnsi" w:hAnsiTheme="majorHAnsi" w:cstheme="majorHAnsi"/>
        </w:rPr>
        <w:t>consideration</w:t>
      </w:r>
      <w:r w:rsidR="005517E3">
        <w:rPr>
          <w:rFonts w:asciiTheme="majorHAnsi" w:hAnsiTheme="majorHAnsi" w:cstheme="majorHAnsi"/>
        </w:rPr>
        <w:t xml:space="preserve">, beyond the scope of this evaluation, </w:t>
      </w:r>
      <w:r w:rsidR="00A06B5C">
        <w:rPr>
          <w:rFonts w:asciiTheme="majorHAnsi" w:hAnsiTheme="majorHAnsi" w:cstheme="majorHAnsi"/>
        </w:rPr>
        <w:t>of</w:t>
      </w:r>
      <w:r w:rsidR="003A1171">
        <w:rPr>
          <w:rFonts w:asciiTheme="majorHAnsi" w:hAnsiTheme="majorHAnsi" w:cstheme="majorHAnsi"/>
        </w:rPr>
        <w:t xml:space="preserve"> the ARC’s </w:t>
      </w:r>
      <w:r w:rsidR="00D34F5B">
        <w:rPr>
          <w:rFonts w:asciiTheme="majorHAnsi" w:hAnsiTheme="majorHAnsi" w:cstheme="majorHAnsi"/>
        </w:rPr>
        <w:t xml:space="preserve">broader </w:t>
      </w:r>
      <w:r w:rsidR="003A1171">
        <w:rPr>
          <w:rFonts w:asciiTheme="majorHAnsi" w:hAnsiTheme="majorHAnsi" w:cstheme="majorHAnsi"/>
        </w:rPr>
        <w:t>approach</w:t>
      </w:r>
      <w:r w:rsidR="00D70618">
        <w:rPr>
          <w:rFonts w:asciiTheme="majorHAnsi" w:hAnsiTheme="majorHAnsi" w:cstheme="majorHAnsi"/>
        </w:rPr>
        <w:t>es</w:t>
      </w:r>
      <w:r w:rsidR="003A1171">
        <w:rPr>
          <w:rFonts w:asciiTheme="majorHAnsi" w:hAnsiTheme="majorHAnsi" w:cstheme="majorHAnsi"/>
        </w:rPr>
        <w:t xml:space="preserve"> to </w:t>
      </w:r>
      <w:r w:rsidR="00EB219D">
        <w:rPr>
          <w:rFonts w:asciiTheme="majorHAnsi" w:hAnsiTheme="majorHAnsi" w:cstheme="majorHAnsi"/>
        </w:rPr>
        <w:t>support</w:t>
      </w:r>
      <w:r w:rsidR="00D34F5B">
        <w:rPr>
          <w:rFonts w:asciiTheme="majorHAnsi" w:hAnsiTheme="majorHAnsi" w:cstheme="majorHAnsi"/>
        </w:rPr>
        <w:t>ing</w:t>
      </w:r>
      <w:r w:rsidR="00681634">
        <w:rPr>
          <w:rFonts w:asciiTheme="majorHAnsi" w:hAnsiTheme="majorHAnsi" w:cstheme="majorHAnsi"/>
        </w:rPr>
        <w:t xml:space="preserve"> research impact. </w:t>
      </w:r>
    </w:p>
    <w:p w14:paraId="351DB14E" w14:textId="32EEDBDD" w:rsidR="003639AF" w:rsidRDefault="003639AF" w:rsidP="00254D36">
      <w:pPr>
        <w:pStyle w:val="Heading2"/>
        <w:keepNext w:val="0"/>
        <w:keepLines w:val="0"/>
        <w:numPr>
          <w:ilvl w:val="1"/>
          <w:numId w:val="17"/>
        </w:numPr>
        <w:shd w:val="clear" w:color="auto" w:fill="auto"/>
        <w:spacing w:line="259" w:lineRule="auto"/>
      </w:pPr>
      <w:bookmarkStart w:id="680" w:name="_Toc51918743"/>
      <w:bookmarkStart w:id="681" w:name="_Toc55544832"/>
      <w:r>
        <w:t>Stakeholder feedback on potential improvements</w:t>
      </w:r>
      <w:bookmarkEnd w:id="680"/>
      <w:bookmarkEnd w:id="681"/>
      <w:r>
        <w:t xml:space="preserve"> </w:t>
      </w:r>
    </w:p>
    <w:p w14:paraId="4F27D454" w14:textId="05CB3CF3" w:rsidR="003639AF" w:rsidRDefault="003639AF" w:rsidP="003639AF">
      <w:pPr>
        <w:spacing w:before="120" w:after="120"/>
        <w:rPr>
          <w:rFonts w:asciiTheme="majorHAnsi" w:hAnsiTheme="majorHAnsi" w:cstheme="majorHAnsi"/>
        </w:rPr>
      </w:pPr>
      <w:r>
        <w:rPr>
          <w:rFonts w:asciiTheme="majorHAnsi" w:hAnsiTheme="majorHAnsi" w:cstheme="majorHAnsi"/>
        </w:rPr>
        <w:t>Survey participants</w:t>
      </w:r>
      <w:r w:rsidRPr="00A65076">
        <w:rPr>
          <w:rFonts w:asciiTheme="majorHAnsi" w:hAnsiTheme="majorHAnsi" w:cstheme="majorHAnsi"/>
        </w:rPr>
        <w:t xml:space="preserve"> were asked </w:t>
      </w:r>
      <w:r w:rsidR="00CE704F">
        <w:rPr>
          <w:rFonts w:asciiTheme="majorHAnsi" w:hAnsiTheme="majorHAnsi" w:cstheme="majorHAnsi"/>
        </w:rPr>
        <w:t>to identify</w:t>
      </w:r>
      <w:r w:rsidR="00CE704F" w:rsidRPr="00A65076">
        <w:rPr>
          <w:rFonts w:asciiTheme="majorHAnsi" w:hAnsiTheme="majorHAnsi" w:cstheme="majorHAnsi"/>
        </w:rPr>
        <w:t xml:space="preserve"> </w:t>
      </w:r>
      <w:r w:rsidRPr="00A65076">
        <w:rPr>
          <w:rFonts w:asciiTheme="majorHAnsi" w:hAnsiTheme="majorHAnsi" w:cstheme="majorHAnsi"/>
        </w:rPr>
        <w:t>aspects of</w:t>
      </w:r>
      <w:r>
        <w:rPr>
          <w:rFonts w:asciiTheme="majorHAnsi" w:hAnsiTheme="majorHAnsi" w:cstheme="majorHAnsi"/>
        </w:rPr>
        <w:t xml:space="preserve"> the ARC’s implementation of</w:t>
      </w:r>
      <w:r w:rsidRPr="00A65076">
        <w:rPr>
          <w:rFonts w:asciiTheme="majorHAnsi" w:hAnsiTheme="majorHAnsi" w:cstheme="majorHAnsi"/>
        </w:rPr>
        <w:t xml:space="preserve"> Discovery Projects </w:t>
      </w:r>
      <w:r w:rsidR="00CE704F">
        <w:rPr>
          <w:rFonts w:asciiTheme="majorHAnsi" w:hAnsiTheme="majorHAnsi" w:cstheme="majorHAnsi"/>
        </w:rPr>
        <w:t>that</w:t>
      </w:r>
      <w:r w:rsidRPr="00A65076">
        <w:rPr>
          <w:rFonts w:asciiTheme="majorHAnsi" w:hAnsiTheme="majorHAnsi" w:cstheme="majorHAnsi"/>
        </w:rPr>
        <w:t xml:space="preserve"> could be improved to more effectively support the achievement of</w:t>
      </w:r>
      <w:r>
        <w:rPr>
          <w:rFonts w:asciiTheme="majorHAnsi" w:hAnsiTheme="majorHAnsi" w:cstheme="majorHAnsi"/>
        </w:rPr>
        <w:t xml:space="preserve"> the</w:t>
      </w:r>
      <w:r w:rsidRPr="00A65076">
        <w:rPr>
          <w:rFonts w:asciiTheme="majorHAnsi" w:hAnsiTheme="majorHAnsi" w:cstheme="majorHAnsi"/>
        </w:rPr>
        <w:t xml:space="preserve"> scheme</w:t>
      </w:r>
      <w:r>
        <w:rPr>
          <w:rFonts w:asciiTheme="majorHAnsi" w:hAnsiTheme="majorHAnsi" w:cstheme="majorHAnsi"/>
        </w:rPr>
        <w:t>’s</w:t>
      </w:r>
      <w:r w:rsidRPr="00A65076">
        <w:rPr>
          <w:rFonts w:asciiTheme="majorHAnsi" w:hAnsiTheme="majorHAnsi" w:cstheme="majorHAnsi"/>
        </w:rPr>
        <w:t xml:space="preserve"> intended </w:t>
      </w:r>
      <w:r>
        <w:rPr>
          <w:rFonts w:asciiTheme="majorHAnsi" w:hAnsiTheme="majorHAnsi" w:cstheme="majorHAnsi"/>
        </w:rPr>
        <w:t>outcomes. Researchers expressed a</w:t>
      </w:r>
      <w:r w:rsidRPr="00A65076">
        <w:rPr>
          <w:rFonts w:asciiTheme="majorHAnsi" w:hAnsiTheme="majorHAnsi" w:cstheme="majorHAnsi"/>
        </w:rPr>
        <w:t xml:space="preserve"> </w:t>
      </w:r>
      <w:r w:rsidRPr="00F06E6E">
        <w:rPr>
          <w:rFonts w:asciiTheme="majorHAnsi" w:hAnsiTheme="majorHAnsi" w:cstheme="majorHAnsi"/>
        </w:rPr>
        <w:t>variety of suggestions for improvement</w:t>
      </w:r>
      <w:r>
        <w:rPr>
          <w:rFonts w:asciiTheme="majorHAnsi" w:hAnsiTheme="majorHAnsi" w:cstheme="majorHAnsi"/>
        </w:rPr>
        <w:t>.</w:t>
      </w:r>
      <w:r w:rsidRPr="00F06E6E">
        <w:rPr>
          <w:rFonts w:asciiTheme="majorHAnsi" w:hAnsiTheme="majorHAnsi" w:cstheme="majorHAnsi"/>
        </w:rPr>
        <w:t xml:space="preserve"> </w:t>
      </w:r>
      <w:r>
        <w:rPr>
          <w:rFonts w:asciiTheme="majorHAnsi" w:hAnsiTheme="majorHAnsi" w:cstheme="majorHAnsi"/>
        </w:rPr>
        <w:t>While</w:t>
      </w:r>
      <w:r w:rsidRPr="00F06E6E">
        <w:rPr>
          <w:rFonts w:asciiTheme="majorHAnsi" w:hAnsiTheme="majorHAnsi" w:cstheme="majorHAnsi"/>
        </w:rPr>
        <w:t xml:space="preserve"> it appear</w:t>
      </w:r>
      <w:r>
        <w:rPr>
          <w:rFonts w:asciiTheme="majorHAnsi" w:hAnsiTheme="majorHAnsi" w:cstheme="majorHAnsi"/>
        </w:rPr>
        <w:t>s</w:t>
      </w:r>
      <w:r w:rsidRPr="00F06E6E">
        <w:rPr>
          <w:rFonts w:asciiTheme="majorHAnsi" w:hAnsiTheme="majorHAnsi" w:cstheme="majorHAnsi"/>
        </w:rPr>
        <w:t xml:space="preserve"> that many</w:t>
      </w:r>
      <w:r>
        <w:rPr>
          <w:rFonts w:asciiTheme="majorHAnsi" w:hAnsiTheme="majorHAnsi" w:cstheme="majorHAnsi"/>
        </w:rPr>
        <w:t xml:space="preserve"> participants</w:t>
      </w:r>
      <w:r w:rsidRPr="00F06E6E">
        <w:rPr>
          <w:rFonts w:asciiTheme="majorHAnsi" w:hAnsiTheme="majorHAnsi" w:cstheme="majorHAnsi"/>
        </w:rPr>
        <w:t xml:space="preserve"> reflected on the outcomes pursued by their individual project</w:t>
      </w:r>
      <w:r>
        <w:rPr>
          <w:rFonts w:asciiTheme="majorHAnsi" w:hAnsiTheme="majorHAnsi" w:cstheme="majorHAnsi"/>
        </w:rPr>
        <w:t xml:space="preserve">, their collective </w:t>
      </w:r>
      <w:r>
        <w:rPr>
          <w:rFonts w:asciiTheme="majorHAnsi" w:hAnsiTheme="majorHAnsi" w:cstheme="majorHAnsi"/>
        </w:rPr>
        <w:lastRenderedPageBreak/>
        <w:t xml:space="preserve">feedback provides important insights </w:t>
      </w:r>
      <w:r w:rsidR="005521AA">
        <w:rPr>
          <w:rFonts w:asciiTheme="majorHAnsi" w:hAnsiTheme="majorHAnsi" w:cstheme="majorHAnsi"/>
        </w:rPr>
        <w:t>relevant to the scheme as a whole</w:t>
      </w:r>
      <w:r>
        <w:rPr>
          <w:rFonts w:asciiTheme="majorHAnsi" w:hAnsiTheme="majorHAnsi" w:cstheme="majorHAnsi"/>
        </w:rPr>
        <w:t xml:space="preserve">. </w:t>
      </w:r>
      <w:r>
        <w:rPr>
          <w:rFonts w:asciiTheme="majorHAnsi" w:hAnsiTheme="majorHAnsi" w:cstheme="majorHAnsi"/>
        </w:rPr>
        <w:fldChar w:fldCharType="begin"/>
      </w:r>
      <w:r>
        <w:rPr>
          <w:rFonts w:asciiTheme="majorHAnsi" w:hAnsiTheme="majorHAnsi" w:cstheme="majorHAnsi"/>
        </w:rPr>
        <w:instrText xml:space="preserve"> REF _Ref46126222 \h  \* MERGEFORMAT </w:instrText>
      </w:r>
      <w:r>
        <w:rPr>
          <w:rFonts w:asciiTheme="majorHAnsi" w:hAnsiTheme="majorHAnsi" w:cstheme="majorHAnsi"/>
        </w:rPr>
      </w:r>
      <w:r>
        <w:rPr>
          <w:rFonts w:asciiTheme="majorHAnsi" w:hAnsiTheme="majorHAnsi" w:cstheme="majorHAnsi"/>
        </w:rPr>
        <w:fldChar w:fldCharType="separate"/>
      </w:r>
      <w:r w:rsidR="00AB03D7" w:rsidRPr="00AB03D7">
        <w:rPr>
          <w:rFonts w:asciiTheme="majorHAnsi" w:hAnsiTheme="majorHAnsi" w:cstheme="majorHAnsi"/>
        </w:rPr>
        <w:t>Figure 38</w:t>
      </w:r>
      <w:r>
        <w:rPr>
          <w:rFonts w:asciiTheme="majorHAnsi" w:hAnsiTheme="majorHAnsi" w:cstheme="majorHAnsi"/>
        </w:rPr>
        <w:fldChar w:fldCharType="end"/>
      </w:r>
      <w:r>
        <w:rPr>
          <w:rFonts w:asciiTheme="majorHAnsi" w:hAnsiTheme="majorHAnsi" w:cstheme="majorHAnsi"/>
        </w:rPr>
        <w:t xml:space="preserve"> provides a high-level summary of themes emerging from the coding of a representative sample of 1012 responses to this question.</w:t>
      </w:r>
      <w:r w:rsidR="00EF1AB4">
        <w:rPr>
          <w:rStyle w:val="FootnoteReference"/>
          <w:rFonts w:asciiTheme="majorHAnsi" w:hAnsiTheme="majorHAnsi" w:cstheme="majorHAnsi"/>
        </w:rPr>
        <w:footnoteReference w:id="73"/>
      </w:r>
      <w:r>
        <w:rPr>
          <w:rFonts w:asciiTheme="majorHAnsi" w:hAnsiTheme="majorHAnsi" w:cstheme="majorHAnsi"/>
        </w:rPr>
        <w:t xml:space="preserve"> </w:t>
      </w:r>
    </w:p>
    <w:p w14:paraId="46096FEF" w14:textId="6DDBA268" w:rsidR="003639AF" w:rsidRPr="000D14B3" w:rsidRDefault="003639AF" w:rsidP="00751469">
      <w:pPr>
        <w:pStyle w:val="FigureTitle"/>
        <w:rPr>
          <w:i/>
        </w:rPr>
      </w:pPr>
      <w:bookmarkStart w:id="682" w:name="_Ref46126222"/>
      <w:r w:rsidRPr="000D14B3">
        <w:t xml:space="preserve">Figure </w:t>
      </w:r>
      <w:r w:rsidR="00857467">
        <w:fldChar w:fldCharType="begin"/>
      </w:r>
      <w:r w:rsidR="00857467">
        <w:instrText xml:space="preserve"> SEQ Figure \* ARABIC </w:instrText>
      </w:r>
      <w:r w:rsidR="00857467">
        <w:fldChar w:fldCharType="separate"/>
      </w:r>
      <w:r w:rsidR="00AB03D7">
        <w:rPr>
          <w:noProof/>
        </w:rPr>
        <w:t>38</w:t>
      </w:r>
      <w:r w:rsidR="00857467">
        <w:rPr>
          <w:noProof/>
        </w:rPr>
        <w:fldChar w:fldCharType="end"/>
      </w:r>
      <w:bookmarkEnd w:id="682"/>
      <w:r w:rsidRPr="000D14B3">
        <w:t>: Po</w:t>
      </w:r>
      <w:r>
        <w:t xml:space="preserve">tential areas of improvement to support </w:t>
      </w:r>
      <w:r w:rsidRPr="000D14B3">
        <w:t>the delivery of intended outcomes</w:t>
      </w:r>
    </w:p>
    <w:p w14:paraId="7318005C" w14:textId="46635476" w:rsidR="003639AF" w:rsidRDefault="000E5749" w:rsidP="003639AF">
      <w:pPr>
        <w:spacing w:after="120"/>
        <w:rPr>
          <w:rFonts w:asciiTheme="majorHAnsi" w:hAnsiTheme="majorHAnsi" w:cstheme="majorHAnsi"/>
        </w:rPr>
      </w:pPr>
      <w:r>
        <w:rPr>
          <w:rFonts w:asciiTheme="majorHAnsi" w:hAnsiTheme="majorHAnsi" w:cstheme="majorHAnsi"/>
          <w:noProof/>
        </w:rPr>
        <w:drawing>
          <wp:inline distT="0" distB="0" distL="0" distR="0" wp14:anchorId="600BB301" wp14:editId="090D4A5F">
            <wp:extent cx="5730875" cy="1987550"/>
            <wp:effectExtent l="0" t="0" r="3175" b="0"/>
            <wp:docPr id="95" name="Picture 95" descr="Figure 38 is a graph showing the proportion of researcher survey respondents identifying particular improvements that could be made to Discovery Projects to support the delivery of the scheme’s intended outcomes.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38 is a graph showing the proportion of researcher survey respondents identifying particular improvements that could be made to Discovery Projects to support the delivery of the scheme’s intended outcomes. See text above and below graph for more inform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1987550"/>
                    </a:xfrm>
                    <a:prstGeom prst="rect">
                      <a:avLst/>
                    </a:prstGeom>
                    <a:noFill/>
                  </pic:spPr>
                </pic:pic>
              </a:graphicData>
            </a:graphic>
          </wp:inline>
        </w:drawing>
      </w:r>
    </w:p>
    <w:p w14:paraId="7AD2AFC5" w14:textId="77777777" w:rsidR="003639AF" w:rsidRDefault="003639AF" w:rsidP="003639AF">
      <w:pPr>
        <w:spacing w:after="120"/>
        <w:rPr>
          <w:rFonts w:asciiTheme="majorHAnsi" w:hAnsiTheme="majorHAnsi" w:cstheme="majorHAnsi"/>
          <w:i/>
          <w:sz w:val="16"/>
          <w:szCs w:val="16"/>
        </w:rPr>
      </w:pPr>
      <w:r>
        <w:rPr>
          <w:rFonts w:asciiTheme="majorHAnsi" w:hAnsiTheme="majorHAnsi" w:cstheme="majorHAnsi"/>
          <w:sz w:val="16"/>
          <w:szCs w:val="16"/>
        </w:rPr>
        <w:t xml:space="preserve">Source: Kantar, Public Division. </w:t>
      </w:r>
      <w:r>
        <w:rPr>
          <w:rFonts w:asciiTheme="majorHAnsi" w:hAnsiTheme="majorHAnsi" w:cstheme="majorHAnsi"/>
          <w:i/>
          <w:sz w:val="16"/>
          <w:szCs w:val="16"/>
        </w:rPr>
        <w:t xml:space="preserve">Note: A representative subsample of n=1012 survey responses to this question were coded. </w:t>
      </w:r>
    </w:p>
    <w:p w14:paraId="7FAE1D90" w14:textId="7F6F5259" w:rsidR="003639AF" w:rsidRDefault="003639AF" w:rsidP="003639AF">
      <w:pPr>
        <w:spacing w:after="120"/>
        <w:rPr>
          <w:rFonts w:asciiTheme="majorHAnsi" w:hAnsiTheme="majorHAnsi" w:cstheme="majorHAnsi"/>
        </w:rPr>
      </w:pPr>
      <w:r>
        <w:rPr>
          <w:rFonts w:asciiTheme="majorHAnsi" w:hAnsiTheme="majorHAnsi" w:cstheme="majorHAnsi"/>
        </w:rPr>
        <w:t>Participants most commonly raised</w:t>
      </w:r>
      <w:r w:rsidRPr="00A65076">
        <w:rPr>
          <w:rFonts w:asciiTheme="majorHAnsi" w:hAnsiTheme="majorHAnsi" w:cstheme="majorHAnsi"/>
        </w:rPr>
        <w:t xml:space="preserve"> issues relat</w:t>
      </w:r>
      <w:r w:rsidR="00C372E3">
        <w:rPr>
          <w:rFonts w:asciiTheme="majorHAnsi" w:hAnsiTheme="majorHAnsi" w:cstheme="majorHAnsi"/>
        </w:rPr>
        <w:t>ed</w:t>
      </w:r>
      <w:r w:rsidRPr="00A65076">
        <w:rPr>
          <w:rFonts w:asciiTheme="majorHAnsi" w:hAnsiTheme="majorHAnsi" w:cstheme="majorHAnsi"/>
        </w:rPr>
        <w:t xml:space="preserve"> to funding (28 per cent), such as increasing the amount of funding available and/or </w:t>
      </w:r>
      <w:r>
        <w:rPr>
          <w:rFonts w:asciiTheme="majorHAnsi" w:hAnsiTheme="majorHAnsi" w:cstheme="majorHAnsi"/>
        </w:rPr>
        <w:t xml:space="preserve">implementing an ‘improved funding framework’. </w:t>
      </w:r>
      <w:r w:rsidR="00C372E3">
        <w:rPr>
          <w:rFonts w:asciiTheme="majorHAnsi" w:hAnsiTheme="majorHAnsi" w:cstheme="majorHAnsi"/>
        </w:rPr>
        <w:t>They</w:t>
      </w:r>
      <w:r>
        <w:rPr>
          <w:rFonts w:asciiTheme="majorHAnsi" w:hAnsiTheme="majorHAnsi" w:cstheme="majorHAnsi"/>
        </w:rPr>
        <w:t xml:space="preserve"> also frequently expressed</w:t>
      </w:r>
      <w:r w:rsidRPr="00A65076">
        <w:rPr>
          <w:rFonts w:asciiTheme="majorHAnsi" w:hAnsiTheme="majorHAnsi" w:cstheme="majorHAnsi"/>
        </w:rPr>
        <w:t xml:space="preserve"> support for a simplified, fairer and more efficient applicat</w:t>
      </w:r>
      <w:r>
        <w:rPr>
          <w:rFonts w:asciiTheme="majorHAnsi" w:hAnsiTheme="majorHAnsi" w:cstheme="majorHAnsi"/>
        </w:rPr>
        <w:t>ion process (23 per cent), as well as</w:t>
      </w:r>
      <w:r w:rsidRPr="00A65076">
        <w:rPr>
          <w:rFonts w:asciiTheme="majorHAnsi" w:hAnsiTheme="majorHAnsi" w:cstheme="majorHAnsi"/>
        </w:rPr>
        <w:t xml:space="preserve"> potential improvements to</w:t>
      </w:r>
      <w:r>
        <w:rPr>
          <w:rFonts w:asciiTheme="majorHAnsi" w:hAnsiTheme="majorHAnsi" w:cstheme="majorHAnsi"/>
        </w:rPr>
        <w:t xml:space="preserve"> Discovery Projects’ approach to peer review </w:t>
      </w:r>
      <w:r w:rsidRPr="00A65076">
        <w:rPr>
          <w:rFonts w:asciiTheme="majorHAnsi" w:hAnsiTheme="majorHAnsi" w:cstheme="majorHAnsi"/>
        </w:rPr>
        <w:t>(15</w:t>
      </w:r>
      <w:r>
        <w:rPr>
          <w:rFonts w:asciiTheme="majorHAnsi" w:hAnsiTheme="majorHAnsi" w:cstheme="majorHAnsi"/>
        </w:rPr>
        <w:t> </w:t>
      </w:r>
      <w:r w:rsidRPr="00A65076">
        <w:rPr>
          <w:rFonts w:asciiTheme="majorHAnsi" w:hAnsiTheme="majorHAnsi" w:cstheme="majorHAnsi"/>
        </w:rPr>
        <w:t>per</w:t>
      </w:r>
      <w:r>
        <w:rPr>
          <w:rFonts w:asciiTheme="majorHAnsi" w:hAnsiTheme="majorHAnsi" w:cstheme="majorHAnsi"/>
        </w:rPr>
        <w:t> </w:t>
      </w:r>
      <w:r w:rsidRPr="00A65076">
        <w:rPr>
          <w:rFonts w:asciiTheme="majorHAnsi" w:hAnsiTheme="majorHAnsi" w:cstheme="majorHAnsi"/>
        </w:rPr>
        <w:t xml:space="preserve">cent). </w:t>
      </w:r>
      <w:r>
        <w:rPr>
          <w:rFonts w:asciiTheme="majorHAnsi" w:hAnsiTheme="majorHAnsi" w:cstheme="majorHAnsi"/>
        </w:rPr>
        <w:t>Fourteen</w:t>
      </w:r>
      <w:r w:rsidRPr="00A65076">
        <w:rPr>
          <w:rFonts w:asciiTheme="majorHAnsi" w:hAnsiTheme="majorHAnsi" w:cstheme="majorHAnsi"/>
        </w:rPr>
        <w:t xml:space="preserve"> per cent of r</w:t>
      </w:r>
      <w:r>
        <w:rPr>
          <w:rFonts w:asciiTheme="majorHAnsi" w:hAnsiTheme="majorHAnsi" w:cstheme="majorHAnsi"/>
        </w:rPr>
        <w:t>esearchers described a desire for</w:t>
      </w:r>
      <w:r w:rsidRPr="00A65076">
        <w:rPr>
          <w:rFonts w:asciiTheme="majorHAnsi" w:hAnsiTheme="majorHAnsi" w:cstheme="majorHAnsi"/>
        </w:rPr>
        <w:t xml:space="preserve"> </w:t>
      </w:r>
      <w:r>
        <w:rPr>
          <w:rFonts w:asciiTheme="majorHAnsi" w:hAnsiTheme="majorHAnsi" w:cstheme="majorHAnsi"/>
        </w:rPr>
        <w:t xml:space="preserve">additional </w:t>
      </w:r>
      <w:r w:rsidRPr="00A65076">
        <w:rPr>
          <w:rFonts w:asciiTheme="majorHAnsi" w:hAnsiTheme="majorHAnsi" w:cstheme="majorHAnsi"/>
        </w:rPr>
        <w:t>support</w:t>
      </w:r>
      <w:r>
        <w:rPr>
          <w:rFonts w:asciiTheme="majorHAnsi" w:hAnsiTheme="majorHAnsi" w:cstheme="majorHAnsi"/>
        </w:rPr>
        <w:t xml:space="preserve"> for</w:t>
      </w:r>
      <w:r w:rsidRPr="00A65076">
        <w:rPr>
          <w:rFonts w:asciiTheme="majorHAnsi" w:hAnsiTheme="majorHAnsi" w:cstheme="majorHAnsi"/>
        </w:rPr>
        <w:t xml:space="preserve"> a </w:t>
      </w:r>
      <w:r>
        <w:rPr>
          <w:rFonts w:asciiTheme="majorHAnsi" w:hAnsiTheme="majorHAnsi" w:cstheme="majorHAnsi"/>
        </w:rPr>
        <w:t>greater diversity of researchers (</w:t>
      </w:r>
      <w:r w:rsidRPr="00A65076">
        <w:rPr>
          <w:rFonts w:asciiTheme="majorHAnsi" w:hAnsiTheme="majorHAnsi" w:cstheme="majorHAnsi"/>
        </w:rPr>
        <w:t>includi</w:t>
      </w:r>
      <w:r>
        <w:rPr>
          <w:rFonts w:asciiTheme="majorHAnsi" w:hAnsiTheme="majorHAnsi" w:cstheme="majorHAnsi"/>
        </w:rPr>
        <w:t xml:space="preserve">ng </w:t>
      </w:r>
      <w:r w:rsidRPr="00A65076">
        <w:rPr>
          <w:rFonts w:asciiTheme="majorHAnsi" w:hAnsiTheme="majorHAnsi" w:cstheme="majorHAnsi"/>
        </w:rPr>
        <w:t>junior researchers</w:t>
      </w:r>
      <w:r>
        <w:rPr>
          <w:rFonts w:asciiTheme="majorHAnsi" w:hAnsiTheme="majorHAnsi" w:cstheme="majorHAnsi"/>
        </w:rPr>
        <w:t>)</w:t>
      </w:r>
      <w:r w:rsidRPr="00A65076">
        <w:rPr>
          <w:rFonts w:asciiTheme="majorHAnsi" w:hAnsiTheme="majorHAnsi" w:cstheme="majorHAnsi"/>
        </w:rPr>
        <w:t>, along with encouraging m</w:t>
      </w:r>
      <w:r>
        <w:rPr>
          <w:rFonts w:asciiTheme="majorHAnsi" w:hAnsiTheme="majorHAnsi" w:cstheme="majorHAnsi"/>
        </w:rPr>
        <w:t xml:space="preserve">ore collaboration. Finally, 10 per cent of participants mentioned </w:t>
      </w:r>
      <w:r w:rsidRPr="00A65076">
        <w:rPr>
          <w:rFonts w:asciiTheme="majorHAnsi" w:hAnsiTheme="majorHAnsi" w:cstheme="majorHAnsi"/>
        </w:rPr>
        <w:t>supporting new areas of research, offering more grants and providing smaller grant options.</w:t>
      </w:r>
    </w:p>
    <w:p w14:paraId="55B10709" w14:textId="270D0243" w:rsidR="003639AF" w:rsidRDefault="003639AF" w:rsidP="003639AF">
      <w:pPr>
        <w:spacing w:after="120"/>
        <w:rPr>
          <w:rFonts w:asciiTheme="majorHAnsi" w:hAnsiTheme="majorHAnsi" w:cstheme="majorHAnsi"/>
        </w:rPr>
      </w:pPr>
      <w:r>
        <w:rPr>
          <w:rFonts w:asciiTheme="majorHAnsi" w:hAnsiTheme="majorHAnsi" w:cstheme="majorHAnsi"/>
        </w:rPr>
        <w:t xml:space="preserve">A number of these categories are beyond the scope of this evaluation as they relate to NCGP-wide </w:t>
      </w:r>
      <w:r w:rsidRPr="00C716B6">
        <w:rPr>
          <w:rFonts w:asciiTheme="majorHAnsi" w:hAnsiTheme="majorHAnsi" w:cstheme="majorHAnsi"/>
        </w:rPr>
        <w:t>matters (such as the application and peer review process</w:t>
      </w:r>
      <w:r w:rsidR="00610D06">
        <w:rPr>
          <w:rFonts w:asciiTheme="majorHAnsi" w:hAnsiTheme="majorHAnsi" w:cstheme="majorHAnsi"/>
        </w:rPr>
        <w:t>es</w:t>
      </w:r>
      <w:r w:rsidRPr="00C716B6">
        <w:rPr>
          <w:rFonts w:asciiTheme="majorHAnsi" w:hAnsiTheme="majorHAnsi" w:cstheme="majorHAnsi"/>
        </w:rPr>
        <w:t xml:space="preserve">). However, these results </w:t>
      </w:r>
      <w:r w:rsidR="00145F8C">
        <w:rPr>
          <w:rFonts w:asciiTheme="majorHAnsi" w:hAnsiTheme="majorHAnsi" w:cstheme="majorHAnsi"/>
        </w:rPr>
        <w:t>echo</w:t>
      </w:r>
      <w:r w:rsidRPr="00C716B6">
        <w:rPr>
          <w:rFonts w:asciiTheme="majorHAnsi" w:hAnsiTheme="majorHAnsi" w:cstheme="majorHAnsi"/>
        </w:rPr>
        <w:t xml:space="preserve"> findings elsewhere in the report highlighting the role of collaboration in </w:t>
      </w:r>
      <w:r>
        <w:rPr>
          <w:rFonts w:asciiTheme="majorHAnsi" w:hAnsiTheme="majorHAnsi" w:cstheme="majorHAnsi"/>
        </w:rPr>
        <w:t>the generation of</w:t>
      </w:r>
      <w:r w:rsidRPr="00C716B6">
        <w:rPr>
          <w:rFonts w:asciiTheme="majorHAnsi" w:hAnsiTheme="majorHAnsi" w:cstheme="majorHAnsi"/>
        </w:rPr>
        <w:t xml:space="preserve"> positive outcomes</w:t>
      </w:r>
      <w:r w:rsidR="00B74BC1">
        <w:rPr>
          <w:rFonts w:asciiTheme="majorHAnsi" w:hAnsiTheme="majorHAnsi" w:cstheme="majorHAnsi"/>
        </w:rPr>
        <w:t xml:space="preserve">, including </w:t>
      </w:r>
      <w:r w:rsidRPr="00C716B6">
        <w:rPr>
          <w:rFonts w:asciiTheme="majorHAnsi" w:hAnsiTheme="majorHAnsi" w:cstheme="majorHAnsi"/>
        </w:rPr>
        <w:t xml:space="preserve">the </w:t>
      </w:r>
      <w:r w:rsidR="00A8452E">
        <w:rPr>
          <w:rFonts w:asciiTheme="majorHAnsi" w:hAnsiTheme="majorHAnsi" w:cstheme="majorHAnsi"/>
        </w:rPr>
        <w:t xml:space="preserve">particular </w:t>
      </w:r>
      <w:r w:rsidRPr="00C716B6">
        <w:rPr>
          <w:rFonts w:asciiTheme="majorHAnsi" w:hAnsiTheme="majorHAnsi" w:cstheme="majorHAnsi"/>
        </w:rPr>
        <w:t>significance of international collaboration</w:t>
      </w:r>
      <w:r w:rsidRPr="00006C9E">
        <w:rPr>
          <w:rFonts w:asciiTheme="majorHAnsi" w:hAnsiTheme="majorHAnsi" w:cstheme="majorHAnsi"/>
        </w:rPr>
        <w:t xml:space="preserve">. </w:t>
      </w:r>
      <w:r w:rsidR="007A64F5" w:rsidRPr="001D3E16">
        <w:rPr>
          <w:rFonts w:asciiTheme="majorHAnsi" w:hAnsiTheme="majorHAnsi" w:cstheme="majorHAnsi"/>
        </w:rPr>
        <w:t xml:space="preserve">They </w:t>
      </w:r>
      <w:r w:rsidRPr="001D3E16">
        <w:rPr>
          <w:rFonts w:asciiTheme="majorHAnsi" w:hAnsiTheme="majorHAnsi" w:cstheme="majorHAnsi"/>
        </w:rPr>
        <w:t xml:space="preserve">also </w:t>
      </w:r>
      <w:r w:rsidR="007A64F5" w:rsidRPr="001D3E16">
        <w:rPr>
          <w:rFonts w:asciiTheme="majorHAnsi" w:hAnsiTheme="majorHAnsi" w:cstheme="majorHAnsi"/>
        </w:rPr>
        <w:t xml:space="preserve">reflect </w:t>
      </w:r>
      <w:r w:rsidRPr="001D3E16">
        <w:rPr>
          <w:rFonts w:asciiTheme="majorHAnsi" w:hAnsiTheme="majorHAnsi" w:cstheme="majorHAnsi"/>
        </w:rPr>
        <w:t>a degree of stakeholder interest in smaller grant options</w:t>
      </w:r>
      <w:r w:rsidR="007A64F5" w:rsidRPr="001D3E16">
        <w:rPr>
          <w:rFonts w:asciiTheme="majorHAnsi" w:hAnsiTheme="majorHAnsi" w:cstheme="majorHAnsi"/>
        </w:rPr>
        <w:t xml:space="preserve">, which is discussed </w:t>
      </w:r>
      <w:r w:rsidR="000F2794" w:rsidRPr="001D3E16">
        <w:rPr>
          <w:rFonts w:asciiTheme="majorHAnsi" w:hAnsiTheme="majorHAnsi" w:cstheme="majorHAnsi"/>
        </w:rPr>
        <w:t xml:space="preserve">further in </w:t>
      </w:r>
      <w:hyperlink w:anchor="_Stakeholder_feedback—appropriatenes_1" w:history="1">
        <w:r w:rsidRPr="00281670">
          <w:rPr>
            <w:rStyle w:val="Hyperlink"/>
            <w:rFonts w:cstheme="majorHAnsi"/>
            <w:color w:val="auto"/>
            <w:sz w:val="22"/>
            <w:u w:val="none"/>
          </w:rPr>
          <w:t xml:space="preserve">Section </w:t>
        </w:r>
        <w:r w:rsidR="00324A74" w:rsidRPr="00281670">
          <w:rPr>
            <w:rStyle w:val="Hyperlink"/>
            <w:rFonts w:cstheme="majorHAnsi"/>
            <w:color w:val="auto"/>
            <w:sz w:val="22"/>
            <w:u w:val="none"/>
          </w:rPr>
          <w:t>5.3.2</w:t>
        </w:r>
      </w:hyperlink>
      <w:r w:rsidRPr="001D3E16">
        <w:rPr>
          <w:rFonts w:asciiTheme="majorHAnsi" w:hAnsiTheme="majorHAnsi" w:cstheme="majorHAnsi"/>
        </w:rPr>
        <w:t>.</w:t>
      </w:r>
      <w:r w:rsidRPr="00324A74">
        <w:rPr>
          <w:rFonts w:asciiTheme="majorHAnsi" w:hAnsiTheme="majorHAnsi" w:cstheme="majorHAnsi"/>
        </w:rPr>
        <w:t xml:space="preserve"> </w:t>
      </w:r>
    </w:p>
    <w:p w14:paraId="0367C980" w14:textId="77777777" w:rsidR="003639AF" w:rsidRDefault="003639AF" w:rsidP="003639AF">
      <w:pPr>
        <w:spacing w:after="120"/>
        <w:rPr>
          <w:rFonts w:asciiTheme="majorHAnsi" w:hAnsiTheme="majorHAnsi" w:cstheme="majorHAnsi"/>
        </w:rPr>
      </w:pPr>
    </w:p>
    <w:p w14:paraId="0D8282D4" w14:textId="505AFFE0" w:rsidR="00DC4B07" w:rsidRDefault="00DC4B07">
      <w:pPr>
        <w:rPr>
          <w:rFonts w:asciiTheme="majorHAnsi" w:hAnsiTheme="majorHAnsi" w:cstheme="majorHAnsi"/>
        </w:rPr>
      </w:pPr>
      <w:r>
        <w:rPr>
          <w:rFonts w:asciiTheme="majorHAnsi" w:hAnsiTheme="majorHAnsi" w:cstheme="majorHAnsi"/>
        </w:rPr>
        <w:br w:type="page"/>
      </w:r>
    </w:p>
    <w:p w14:paraId="08ECAF81" w14:textId="2D9161F6" w:rsidR="00B77EBE" w:rsidRPr="00B77EBE" w:rsidRDefault="00B77EBE" w:rsidP="0057652C">
      <w:pPr>
        <w:pStyle w:val="Heading1"/>
        <w:numPr>
          <w:ilvl w:val="0"/>
          <w:numId w:val="0"/>
        </w:numPr>
        <w:spacing w:after="480"/>
        <w:ind w:left="431" w:hanging="431"/>
      </w:pPr>
      <w:bookmarkStart w:id="683" w:name="_Toc51918744"/>
      <w:bookmarkStart w:id="684" w:name="_Toc55544833"/>
      <w:r w:rsidRPr="00B77EBE">
        <w:lastRenderedPageBreak/>
        <w:t>Part Five: Appropriateness of the Discovery Projects scheme</w:t>
      </w:r>
      <w:bookmarkEnd w:id="683"/>
      <w:bookmarkEnd w:id="684"/>
      <w:r w:rsidRPr="00B77EBE">
        <w:t xml:space="preserve"> </w:t>
      </w:r>
    </w:p>
    <w:p w14:paraId="5741E927" w14:textId="512F8533" w:rsidR="005D554D" w:rsidRPr="00B77EBE" w:rsidRDefault="005D554D" w:rsidP="005D554D">
      <w:pPr>
        <w:spacing w:after="120"/>
        <w:rPr>
          <w:rFonts w:asciiTheme="majorHAnsi" w:hAnsiTheme="majorHAnsi" w:cstheme="majorHAnsi"/>
        </w:rPr>
      </w:pPr>
      <w:r w:rsidRPr="00B77EBE">
        <w:rPr>
          <w:rFonts w:asciiTheme="majorHAnsi" w:hAnsiTheme="majorHAnsi" w:cstheme="majorHAnsi"/>
        </w:rPr>
        <w:t>Part Five examines the appropriateness of Discovery Projects.</w:t>
      </w:r>
      <w:r w:rsidR="00D77F07">
        <w:rPr>
          <w:rFonts w:asciiTheme="majorHAnsi" w:hAnsiTheme="majorHAnsi" w:cstheme="majorHAnsi"/>
        </w:rPr>
        <w:t xml:space="preserve"> </w:t>
      </w:r>
      <w:r w:rsidR="006754F6">
        <w:rPr>
          <w:rFonts w:asciiTheme="majorHAnsi" w:hAnsiTheme="majorHAnsi" w:cstheme="majorHAnsi"/>
        </w:rPr>
        <w:t>It considers the</w:t>
      </w:r>
      <w:r w:rsidR="00313EB8" w:rsidRPr="00B77EBE">
        <w:rPr>
          <w:rFonts w:asciiTheme="majorHAnsi" w:hAnsiTheme="majorHAnsi" w:cstheme="majorHAnsi"/>
        </w:rPr>
        <w:t xml:space="preserve"> continued relevance and </w:t>
      </w:r>
      <w:r w:rsidR="001A5DF4">
        <w:rPr>
          <w:rFonts w:asciiTheme="majorHAnsi" w:hAnsiTheme="majorHAnsi" w:cstheme="majorHAnsi"/>
        </w:rPr>
        <w:t>importance</w:t>
      </w:r>
      <w:r w:rsidR="00313EB8" w:rsidRPr="00B77EBE">
        <w:rPr>
          <w:rFonts w:asciiTheme="majorHAnsi" w:hAnsiTheme="majorHAnsi" w:cstheme="majorHAnsi"/>
        </w:rPr>
        <w:t xml:space="preserve"> of </w:t>
      </w:r>
      <w:r w:rsidR="00D07FDC">
        <w:rPr>
          <w:rFonts w:asciiTheme="majorHAnsi" w:hAnsiTheme="majorHAnsi" w:cstheme="majorHAnsi"/>
        </w:rPr>
        <w:t>the scheme</w:t>
      </w:r>
      <w:r w:rsidR="00313EB8" w:rsidRPr="00B77EBE">
        <w:rPr>
          <w:rFonts w:asciiTheme="majorHAnsi" w:hAnsiTheme="majorHAnsi" w:cstheme="majorHAnsi"/>
        </w:rPr>
        <w:t xml:space="preserve"> in light of </w:t>
      </w:r>
      <w:r w:rsidR="008B5428">
        <w:rPr>
          <w:rFonts w:asciiTheme="majorHAnsi" w:hAnsiTheme="majorHAnsi" w:cstheme="majorHAnsi"/>
        </w:rPr>
        <w:t xml:space="preserve">the </w:t>
      </w:r>
      <w:r w:rsidR="00313EB8" w:rsidRPr="00B77EBE">
        <w:rPr>
          <w:rFonts w:asciiTheme="majorHAnsi" w:hAnsiTheme="majorHAnsi" w:cstheme="majorHAnsi"/>
        </w:rPr>
        <w:t xml:space="preserve">current </w:t>
      </w:r>
      <w:r w:rsidR="000D188B">
        <w:rPr>
          <w:rFonts w:asciiTheme="majorHAnsi" w:hAnsiTheme="majorHAnsi" w:cstheme="majorHAnsi"/>
        </w:rPr>
        <w:t>Australian Government policy context</w:t>
      </w:r>
      <w:r w:rsidR="00876641">
        <w:rPr>
          <w:rFonts w:asciiTheme="majorHAnsi" w:hAnsiTheme="majorHAnsi" w:cstheme="majorHAnsi"/>
        </w:rPr>
        <w:t xml:space="preserve">, </w:t>
      </w:r>
      <w:r w:rsidR="00C774C6">
        <w:rPr>
          <w:rFonts w:asciiTheme="majorHAnsi" w:hAnsiTheme="majorHAnsi" w:cstheme="majorHAnsi"/>
        </w:rPr>
        <w:t xml:space="preserve">the </w:t>
      </w:r>
      <w:r w:rsidR="000D188B">
        <w:rPr>
          <w:rFonts w:asciiTheme="majorHAnsi" w:hAnsiTheme="majorHAnsi" w:cstheme="majorHAnsi"/>
        </w:rPr>
        <w:t>research funding landscape</w:t>
      </w:r>
      <w:r w:rsidR="00313EB8" w:rsidRPr="00B77EBE">
        <w:rPr>
          <w:rFonts w:asciiTheme="majorHAnsi" w:hAnsiTheme="majorHAnsi" w:cstheme="majorHAnsi"/>
        </w:rPr>
        <w:t xml:space="preserve">, </w:t>
      </w:r>
      <w:r w:rsidR="00876641">
        <w:rPr>
          <w:rFonts w:asciiTheme="majorHAnsi" w:hAnsiTheme="majorHAnsi" w:cstheme="majorHAnsi"/>
        </w:rPr>
        <w:t>and</w:t>
      </w:r>
      <w:r w:rsidR="00313EB8" w:rsidRPr="00B77EBE">
        <w:rPr>
          <w:rFonts w:asciiTheme="majorHAnsi" w:hAnsiTheme="majorHAnsi" w:cstheme="majorHAnsi"/>
        </w:rPr>
        <w:t xml:space="preserve"> the suitability of </w:t>
      </w:r>
      <w:r w:rsidR="009C7709">
        <w:rPr>
          <w:rFonts w:asciiTheme="majorHAnsi" w:hAnsiTheme="majorHAnsi" w:cstheme="majorHAnsi"/>
        </w:rPr>
        <w:t>the scheme’s</w:t>
      </w:r>
      <w:r w:rsidR="00313EB8" w:rsidRPr="00B77EBE">
        <w:rPr>
          <w:rFonts w:asciiTheme="majorHAnsi" w:hAnsiTheme="majorHAnsi" w:cstheme="majorHAnsi"/>
        </w:rPr>
        <w:t xml:space="preserve"> design in response to identified needs.</w:t>
      </w:r>
      <w:r w:rsidR="00313EB8" w:rsidRPr="00B77EBE">
        <w:rPr>
          <w:rFonts w:asciiTheme="majorHAnsi" w:hAnsiTheme="majorHAnsi" w:cstheme="majorHAnsi"/>
          <w:vertAlign w:val="superscript"/>
        </w:rPr>
        <w:footnoteReference w:id="74"/>
      </w:r>
      <w:r w:rsidR="00313EB8" w:rsidRPr="00B77EBE">
        <w:rPr>
          <w:rFonts w:asciiTheme="majorHAnsi" w:hAnsiTheme="majorHAnsi" w:cstheme="majorHAnsi"/>
        </w:rPr>
        <w:t xml:space="preserve"> </w:t>
      </w:r>
    </w:p>
    <w:p w14:paraId="169A673B" w14:textId="77777777" w:rsidR="005D554D" w:rsidRPr="00B77EBE" w:rsidRDefault="005D554D" w:rsidP="005D554D">
      <w:pPr>
        <w:spacing w:after="120"/>
        <w:rPr>
          <w:rFonts w:asciiTheme="majorHAnsi" w:hAnsiTheme="majorHAnsi" w:cstheme="majorHAnsi"/>
        </w:rPr>
      </w:pPr>
      <w:r w:rsidRPr="00B77EBE">
        <w:rPr>
          <w:rFonts w:asciiTheme="majorHAnsi" w:hAnsiTheme="majorHAnsi" w:cstheme="majorHAnsi"/>
        </w:rPr>
        <w:t>In evaluating the appropriateness of Discovery Projects, Part Five examines the scheme’s:</w:t>
      </w:r>
    </w:p>
    <w:p w14:paraId="3C770D5D" w14:textId="77777777" w:rsidR="005D554D" w:rsidRPr="00B77EBE" w:rsidRDefault="005D554D" w:rsidP="005D554D">
      <w:pPr>
        <w:numPr>
          <w:ilvl w:val="0"/>
          <w:numId w:val="18"/>
        </w:numPr>
        <w:spacing w:before="60" w:after="60"/>
        <w:ind w:left="714" w:hanging="357"/>
        <w:contextualSpacing/>
        <w:rPr>
          <w:rFonts w:asciiTheme="majorHAnsi" w:hAnsiTheme="majorHAnsi" w:cstheme="majorHAnsi"/>
        </w:rPr>
      </w:pPr>
      <w:r w:rsidRPr="00B77EBE">
        <w:rPr>
          <w:rFonts w:asciiTheme="majorHAnsi" w:hAnsiTheme="majorHAnsi" w:cstheme="majorHAnsi"/>
        </w:rPr>
        <w:t>position, role and importance within Australia’s research funding landscape</w:t>
      </w:r>
    </w:p>
    <w:p w14:paraId="3E4874D6" w14:textId="77777777" w:rsidR="005D554D" w:rsidRPr="00B77EBE" w:rsidRDefault="005D554D" w:rsidP="005D554D">
      <w:pPr>
        <w:numPr>
          <w:ilvl w:val="0"/>
          <w:numId w:val="18"/>
        </w:numPr>
        <w:spacing w:before="60" w:after="60"/>
        <w:ind w:left="714" w:hanging="357"/>
        <w:contextualSpacing/>
        <w:rPr>
          <w:rFonts w:asciiTheme="majorHAnsi" w:hAnsiTheme="majorHAnsi" w:cstheme="majorHAnsi"/>
        </w:rPr>
      </w:pPr>
      <w:r w:rsidRPr="00B77EBE">
        <w:rPr>
          <w:rFonts w:asciiTheme="majorHAnsi" w:hAnsiTheme="majorHAnsi" w:cstheme="majorHAnsi"/>
        </w:rPr>
        <w:t>design, including objectives and intended outcomes, as well as its approach to supporting translational benefits through basic research funding</w:t>
      </w:r>
    </w:p>
    <w:p w14:paraId="7CB71D97" w14:textId="1C2B743B" w:rsidR="005D554D" w:rsidRPr="00B77EBE" w:rsidRDefault="005D554D" w:rsidP="005D554D">
      <w:pPr>
        <w:numPr>
          <w:ilvl w:val="0"/>
          <w:numId w:val="18"/>
        </w:numPr>
        <w:spacing w:before="60" w:after="240"/>
        <w:ind w:left="714" w:hanging="357"/>
        <w:contextualSpacing/>
        <w:rPr>
          <w:rFonts w:asciiTheme="majorHAnsi" w:hAnsiTheme="majorHAnsi" w:cstheme="majorHAnsi"/>
        </w:rPr>
      </w:pPr>
      <w:r w:rsidRPr="00B77EBE">
        <w:rPr>
          <w:rFonts w:asciiTheme="majorHAnsi" w:hAnsiTheme="majorHAnsi" w:cstheme="majorHAnsi"/>
        </w:rPr>
        <w:t>available funding amount and duration.</w:t>
      </w:r>
    </w:p>
    <w:p w14:paraId="074D28CC" w14:textId="47D5A02A" w:rsidR="00330FE4" w:rsidRPr="00B77EBE" w:rsidRDefault="00330FE4" w:rsidP="00330FE4">
      <w:pPr>
        <w:pStyle w:val="Heading2"/>
        <w:numPr>
          <w:ilvl w:val="0"/>
          <w:numId w:val="0"/>
        </w:numPr>
        <w:shd w:val="clear" w:color="auto" w:fill="DEEAF6" w:themeFill="accent1" w:themeFillTint="33"/>
        <w:ind w:left="576" w:hanging="576"/>
      </w:pPr>
      <w:bookmarkStart w:id="685" w:name="_Toc51917035"/>
      <w:bookmarkStart w:id="686" w:name="_Toc51918875"/>
      <w:bookmarkStart w:id="687" w:name="_Toc51918745"/>
      <w:bookmarkStart w:id="688" w:name="_Toc53557258"/>
      <w:bookmarkStart w:id="689" w:name="_Toc54699300"/>
      <w:bookmarkStart w:id="690" w:name="_Toc55544834"/>
      <w:r>
        <w:t>Summary of findings</w:t>
      </w:r>
      <w:bookmarkEnd w:id="685"/>
      <w:bookmarkEnd w:id="686"/>
      <w:bookmarkEnd w:id="687"/>
      <w:bookmarkEnd w:id="688"/>
      <w:bookmarkEnd w:id="689"/>
      <w:bookmarkEnd w:id="690"/>
    </w:p>
    <w:p w14:paraId="3622CF62" w14:textId="2117DFA6" w:rsidR="00330FE4" w:rsidRDefault="00330FE4" w:rsidP="00330FE4">
      <w:pPr>
        <w:numPr>
          <w:ilvl w:val="0"/>
          <w:numId w:val="47"/>
        </w:numPr>
        <w:shd w:val="clear" w:color="auto" w:fill="DEEAF6" w:themeFill="accent1" w:themeFillTint="33"/>
        <w:spacing w:after="60"/>
        <w:ind w:left="426" w:hanging="426"/>
        <w:rPr>
          <w:rFonts w:ascii="Calibri Light" w:eastAsia="Calibri" w:hAnsi="Calibri Light" w:cs="Calibri Light"/>
        </w:rPr>
      </w:pPr>
      <w:r w:rsidRPr="00142227">
        <w:rPr>
          <w:rFonts w:ascii="Calibri Light" w:eastAsia="Calibri" w:hAnsi="Calibri Light" w:cs="Calibri Light"/>
        </w:rPr>
        <w:t>Overall, stakeholders considered Discovery Projects’ role within the Australian research funding landscape</w:t>
      </w:r>
      <w:r w:rsidR="00385964">
        <w:rPr>
          <w:rFonts w:ascii="Calibri Light" w:eastAsia="Calibri" w:hAnsi="Calibri Light" w:cs="Calibri Light"/>
        </w:rPr>
        <w:t>,</w:t>
      </w:r>
      <w:r w:rsidRPr="00142227">
        <w:rPr>
          <w:rFonts w:ascii="Calibri Light" w:eastAsia="Calibri" w:hAnsi="Calibri Light" w:cs="Calibri Light"/>
        </w:rPr>
        <w:t xml:space="preserve"> </w:t>
      </w:r>
      <w:r w:rsidR="004D4888">
        <w:rPr>
          <w:rFonts w:ascii="Calibri Light" w:eastAsia="Calibri" w:hAnsi="Calibri Light" w:cs="Calibri Light"/>
        </w:rPr>
        <w:t>the</w:t>
      </w:r>
      <w:r w:rsidRPr="00142227">
        <w:rPr>
          <w:rFonts w:ascii="Calibri Light" w:eastAsia="Calibri" w:hAnsi="Calibri Light" w:cs="Calibri Light"/>
        </w:rPr>
        <w:t xml:space="preserve"> scheme</w:t>
      </w:r>
      <w:r w:rsidR="004D4888">
        <w:rPr>
          <w:rFonts w:ascii="Calibri Light" w:eastAsia="Calibri" w:hAnsi="Calibri Light" w:cs="Calibri Light"/>
        </w:rPr>
        <w:t>’s</w:t>
      </w:r>
      <w:r w:rsidRPr="00142227">
        <w:rPr>
          <w:rFonts w:ascii="Calibri Light" w:eastAsia="Calibri" w:hAnsi="Calibri Light" w:cs="Calibri Light"/>
        </w:rPr>
        <w:t xml:space="preserve"> design</w:t>
      </w:r>
      <w:r w:rsidR="004D4888">
        <w:rPr>
          <w:rFonts w:ascii="Calibri Light" w:eastAsia="Calibri" w:hAnsi="Calibri Light" w:cs="Calibri Light"/>
        </w:rPr>
        <w:t xml:space="preserve">, </w:t>
      </w:r>
      <w:r w:rsidRPr="00142227">
        <w:rPr>
          <w:rFonts w:ascii="Calibri Light" w:eastAsia="Calibri" w:hAnsi="Calibri Light" w:cs="Calibri Light"/>
        </w:rPr>
        <w:t xml:space="preserve">and </w:t>
      </w:r>
      <w:r w:rsidR="004D4888">
        <w:rPr>
          <w:rFonts w:ascii="Calibri Light" w:eastAsia="Calibri" w:hAnsi="Calibri Light" w:cs="Calibri Light"/>
        </w:rPr>
        <w:t>the</w:t>
      </w:r>
      <w:r w:rsidRPr="00142227">
        <w:rPr>
          <w:rFonts w:ascii="Calibri Light" w:eastAsia="Calibri" w:hAnsi="Calibri Light" w:cs="Calibri Light"/>
        </w:rPr>
        <w:t xml:space="preserve"> available funding amount and duration to be appropriate. </w:t>
      </w:r>
    </w:p>
    <w:p w14:paraId="707AC20F" w14:textId="77777777" w:rsidR="00330FE4" w:rsidRPr="00B77EBE" w:rsidRDefault="00330FE4" w:rsidP="00330FE4">
      <w:pPr>
        <w:shd w:val="clear" w:color="auto" w:fill="DEEAF6" w:themeFill="accent1" w:themeFillTint="33"/>
        <w:spacing w:before="120" w:after="120"/>
        <w:ind w:left="567" w:hanging="567"/>
        <w:outlineLvl w:val="3"/>
        <w:rPr>
          <w:rFonts w:asciiTheme="majorHAnsi" w:hAnsiTheme="majorHAnsi" w:cstheme="majorHAnsi"/>
          <w:bCs/>
          <w:i/>
          <w:lang w:val="en-US"/>
        </w:rPr>
      </w:pPr>
      <w:r w:rsidRPr="00B77EBE">
        <w:rPr>
          <w:rFonts w:asciiTheme="majorHAnsi" w:hAnsiTheme="majorHAnsi" w:cstheme="majorHAnsi"/>
          <w:bCs/>
          <w:i/>
          <w:lang w:val="en-US"/>
        </w:rPr>
        <w:t>Appropriateness of role within research funding landscape</w:t>
      </w:r>
    </w:p>
    <w:p w14:paraId="5B854F30" w14:textId="20EC7692" w:rsidR="00EA443D" w:rsidRDefault="00330FE4" w:rsidP="00330FE4">
      <w:pPr>
        <w:numPr>
          <w:ilvl w:val="0"/>
          <w:numId w:val="48"/>
        </w:numPr>
        <w:shd w:val="clear" w:color="auto" w:fill="DEEAF6" w:themeFill="accent1" w:themeFillTint="33"/>
        <w:spacing w:after="60"/>
        <w:ind w:left="426" w:hanging="426"/>
        <w:rPr>
          <w:rFonts w:ascii="Calibri Light" w:eastAsia="Calibri" w:hAnsi="Calibri Light" w:cs="Calibri Light"/>
        </w:rPr>
      </w:pPr>
      <w:r w:rsidRPr="00142227">
        <w:rPr>
          <w:rFonts w:ascii="Calibri Light" w:eastAsia="Calibri" w:hAnsi="Calibri Light" w:cs="Calibri Light"/>
        </w:rPr>
        <w:t xml:space="preserve">Stakeholders </w:t>
      </w:r>
      <w:r w:rsidR="00764E50">
        <w:rPr>
          <w:rFonts w:ascii="Calibri Light" w:eastAsia="Calibri" w:hAnsi="Calibri Light" w:cs="Calibri Light"/>
        </w:rPr>
        <w:t xml:space="preserve">predominantly agreed that </w:t>
      </w:r>
      <w:r w:rsidRPr="00142227">
        <w:rPr>
          <w:rFonts w:ascii="Calibri Light" w:eastAsia="Calibri" w:hAnsi="Calibri Light" w:cs="Calibri Light"/>
        </w:rPr>
        <w:t xml:space="preserve">Discovery Projects </w:t>
      </w:r>
      <w:r w:rsidR="00764E50">
        <w:rPr>
          <w:rFonts w:ascii="Calibri Light" w:eastAsia="Calibri" w:hAnsi="Calibri Light" w:cs="Calibri Light"/>
        </w:rPr>
        <w:t>was</w:t>
      </w:r>
      <w:r w:rsidRPr="00142227">
        <w:rPr>
          <w:rFonts w:ascii="Calibri Light" w:eastAsia="Calibri" w:hAnsi="Calibri Light" w:cs="Calibri Light"/>
        </w:rPr>
        <w:t xml:space="preserve"> a unique component of </w:t>
      </w:r>
      <w:r w:rsidR="00764E50">
        <w:rPr>
          <w:rFonts w:ascii="Calibri Light" w:eastAsia="Calibri" w:hAnsi="Calibri Light" w:cs="Calibri Light"/>
        </w:rPr>
        <w:t xml:space="preserve">both </w:t>
      </w:r>
      <w:r w:rsidRPr="00142227">
        <w:rPr>
          <w:rFonts w:ascii="Calibri Light" w:eastAsia="Calibri" w:hAnsi="Calibri Light" w:cs="Calibri Light"/>
        </w:rPr>
        <w:t>the Australian research funding landscape</w:t>
      </w:r>
      <w:r w:rsidR="00764E50">
        <w:rPr>
          <w:rFonts w:ascii="Calibri Light" w:eastAsia="Calibri" w:hAnsi="Calibri Light" w:cs="Calibri Light"/>
        </w:rPr>
        <w:t xml:space="preserve"> and the broader NCGP, and that it complemented</w:t>
      </w:r>
      <w:r w:rsidRPr="00142227">
        <w:rPr>
          <w:rFonts w:ascii="Calibri Light" w:eastAsia="Calibri" w:hAnsi="Calibri Light" w:cs="Calibri Light"/>
        </w:rPr>
        <w:t xml:space="preserve"> other sources of research funding. </w:t>
      </w:r>
    </w:p>
    <w:p w14:paraId="647F025E" w14:textId="7FEF7E7A" w:rsidR="00EA443D" w:rsidRDefault="00EA443D" w:rsidP="00330FE4">
      <w:pPr>
        <w:numPr>
          <w:ilvl w:val="0"/>
          <w:numId w:val="48"/>
        </w:numPr>
        <w:shd w:val="clear" w:color="auto" w:fill="DEEAF6" w:themeFill="accent1" w:themeFillTint="33"/>
        <w:spacing w:after="60"/>
        <w:ind w:left="426" w:hanging="426"/>
        <w:rPr>
          <w:rFonts w:ascii="Calibri Light" w:eastAsia="Calibri" w:hAnsi="Calibri Light" w:cs="Calibri Light"/>
        </w:rPr>
      </w:pPr>
      <w:r w:rsidRPr="00632941">
        <w:rPr>
          <w:rFonts w:ascii="Calibri Light" w:eastAsia="Calibri" w:hAnsi="Calibri Light" w:cs="Calibri Light"/>
        </w:rPr>
        <w:t xml:space="preserve">Researchers whose last completed project was finalised recently (2018 or later) tended to be more positive about the </w:t>
      </w:r>
      <w:r w:rsidR="00824041">
        <w:rPr>
          <w:rFonts w:ascii="Calibri Light" w:eastAsia="Calibri" w:hAnsi="Calibri Light" w:cs="Calibri Light"/>
        </w:rPr>
        <w:t xml:space="preserve">appropriateness of the </w:t>
      </w:r>
      <w:r w:rsidRPr="00632941">
        <w:rPr>
          <w:rFonts w:ascii="Calibri Light" w:eastAsia="Calibri" w:hAnsi="Calibri Light" w:cs="Calibri Light"/>
        </w:rPr>
        <w:t xml:space="preserve">scheme’s </w:t>
      </w:r>
      <w:r w:rsidR="00824041">
        <w:rPr>
          <w:rFonts w:ascii="Calibri Light" w:eastAsia="Calibri" w:hAnsi="Calibri Light" w:cs="Calibri Light"/>
        </w:rPr>
        <w:t>role</w:t>
      </w:r>
      <w:r w:rsidRPr="00632941">
        <w:rPr>
          <w:rFonts w:ascii="Calibri Light" w:eastAsia="Calibri" w:hAnsi="Calibri Light" w:cs="Calibri Light"/>
        </w:rPr>
        <w:t>.</w:t>
      </w:r>
    </w:p>
    <w:p w14:paraId="2D2063B8" w14:textId="49FF0A7B" w:rsidR="009A6AB2" w:rsidRDefault="00090D03" w:rsidP="00330FE4">
      <w:pPr>
        <w:numPr>
          <w:ilvl w:val="0"/>
          <w:numId w:val="48"/>
        </w:numPr>
        <w:shd w:val="clear" w:color="auto" w:fill="DEEAF6" w:themeFill="accent1" w:themeFillTint="33"/>
        <w:spacing w:after="60"/>
        <w:ind w:left="426" w:hanging="426"/>
        <w:rPr>
          <w:rFonts w:ascii="Calibri Light" w:eastAsia="Calibri" w:hAnsi="Calibri Light" w:cs="Calibri Light"/>
        </w:rPr>
      </w:pPr>
      <w:r>
        <w:rPr>
          <w:rFonts w:ascii="Calibri Light" w:eastAsia="Calibri" w:hAnsi="Calibri Light" w:cs="Calibri Light"/>
        </w:rPr>
        <w:t xml:space="preserve">Qualitative </w:t>
      </w:r>
      <w:r w:rsidR="00B60CC4">
        <w:rPr>
          <w:rFonts w:ascii="Calibri Light" w:eastAsia="Calibri" w:hAnsi="Calibri Light" w:cs="Calibri Light"/>
        </w:rPr>
        <w:t xml:space="preserve">feedback included views </w:t>
      </w:r>
      <w:r w:rsidR="00753FC4">
        <w:rPr>
          <w:rFonts w:ascii="Calibri Light" w:eastAsia="Calibri" w:hAnsi="Calibri Light" w:cs="Calibri Light"/>
        </w:rPr>
        <w:t xml:space="preserve">that the scheme overlapped with </w:t>
      </w:r>
      <w:r w:rsidR="00B60CC4">
        <w:rPr>
          <w:rFonts w:ascii="Calibri Light" w:eastAsia="Calibri" w:hAnsi="Calibri Light" w:cs="Calibri Light"/>
        </w:rPr>
        <w:t xml:space="preserve">other funding sources in </w:t>
      </w:r>
      <w:r w:rsidR="00E0497E">
        <w:rPr>
          <w:rFonts w:ascii="Calibri Light" w:eastAsia="Calibri" w:hAnsi="Calibri Light" w:cs="Calibri Light"/>
        </w:rPr>
        <w:t>its</w:t>
      </w:r>
      <w:r w:rsidR="00B60CC4">
        <w:rPr>
          <w:rFonts w:ascii="Calibri Light" w:eastAsia="Calibri" w:hAnsi="Calibri Light" w:cs="Calibri Light"/>
        </w:rPr>
        <w:t xml:space="preserve"> support for </w:t>
      </w:r>
      <w:r w:rsidR="009A6AB2" w:rsidRPr="009A6AB2">
        <w:rPr>
          <w:rFonts w:ascii="Calibri Light" w:eastAsia="Calibri" w:hAnsi="Calibri Light" w:cs="Calibri Light"/>
        </w:rPr>
        <w:t>applied research</w:t>
      </w:r>
      <w:r w:rsidR="009A6AB2">
        <w:rPr>
          <w:rFonts w:ascii="Calibri Light" w:eastAsia="Calibri" w:hAnsi="Calibri Light" w:cs="Calibri Light"/>
        </w:rPr>
        <w:t xml:space="preserve"> and research</w:t>
      </w:r>
      <w:r w:rsidR="009A6AB2" w:rsidRPr="009A6AB2">
        <w:rPr>
          <w:rFonts w:ascii="Calibri Light" w:eastAsia="Calibri" w:hAnsi="Calibri Light" w:cs="Calibri Light"/>
        </w:rPr>
        <w:t xml:space="preserve"> collaboration</w:t>
      </w:r>
      <w:r w:rsidR="00B60CC4">
        <w:rPr>
          <w:rFonts w:ascii="Calibri Light" w:eastAsia="Calibri" w:hAnsi="Calibri Light" w:cs="Calibri Light"/>
        </w:rPr>
        <w:t>.</w:t>
      </w:r>
    </w:p>
    <w:p w14:paraId="3073A306" w14:textId="7BAA7282" w:rsidR="00330FE4" w:rsidRPr="00142227" w:rsidRDefault="00390E3F" w:rsidP="00330FE4">
      <w:pPr>
        <w:numPr>
          <w:ilvl w:val="0"/>
          <w:numId w:val="48"/>
        </w:numPr>
        <w:shd w:val="clear" w:color="auto" w:fill="DEEAF6" w:themeFill="accent1" w:themeFillTint="33"/>
        <w:spacing w:after="60"/>
        <w:ind w:left="426" w:hanging="426"/>
        <w:rPr>
          <w:rFonts w:ascii="Calibri Light" w:eastAsia="Calibri" w:hAnsi="Calibri Light" w:cs="Calibri Light"/>
        </w:rPr>
      </w:pPr>
      <w:r>
        <w:rPr>
          <w:rFonts w:ascii="Calibri Light" w:eastAsia="Calibri" w:hAnsi="Calibri Light" w:cs="Calibri Light"/>
        </w:rPr>
        <w:t xml:space="preserve">Survey participants identified </w:t>
      </w:r>
      <w:r w:rsidR="000B5452">
        <w:rPr>
          <w:rFonts w:ascii="Calibri Light" w:eastAsia="Calibri" w:hAnsi="Calibri Light" w:cs="Calibri Light"/>
        </w:rPr>
        <w:t xml:space="preserve">the scheme’s </w:t>
      </w:r>
      <w:r>
        <w:rPr>
          <w:rFonts w:ascii="Calibri Light" w:eastAsia="Calibri" w:hAnsi="Calibri Light" w:cs="Calibri Light"/>
        </w:rPr>
        <w:t xml:space="preserve">support for basic research </w:t>
      </w:r>
      <w:r w:rsidR="00F92E69">
        <w:rPr>
          <w:rFonts w:ascii="Calibri Light" w:eastAsia="Calibri" w:hAnsi="Calibri Light" w:cs="Calibri Light"/>
        </w:rPr>
        <w:t xml:space="preserve">as </w:t>
      </w:r>
      <w:r w:rsidR="000B5452">
        <w:rPr>
          <w:rFonts w:ascii="Calibri Light" w:eastAsia="Calibri" w:hAnsi="Calibri Light" w:cs="Calibri Light"/>
        </w:rPr>
        <w:t xml:space="preserve">its </w:t>
      </w:r>
      <w:r w:rsidR="00F92E69">
        <w:rPr>
          <w:rFonts w:ascii="Calibri Light" w:eastAsia="Calibri" w:hAnsi="Calibri Light" w:cs="Calibri Light"/>
        </w:rPr>
        <w:t>most important contribution.</w:t>
      </w:r>
    </w:p>
    <w:p w14:paraId="5F41F478" w14:textId="00ECDD9A" w:rsidR="00330FE4" w:rsidRPr="00142227" w:rsidRDefault="00E556D2" w:rsidP="00330FE4">
      <w:pPr>
        <w:numPr>
          <w:ilvl w:val="0"/>
          <w:numId w:val="48"/>
        </w:numPr>
        <w:shd w:val="clear" w:color="auto" w:fill="DEEAF6" w:themeFill="accent1" w:themeFillTint="33"/>
        <w:spacing w:after="60"/>
        <w:ind w:left="426" w:hanging="426"/>
        <w:rPr>
          <w:rFonts w:ascii="Calibri Light" w:eastAsia="Calibri" w:hAnsi="Calibri Light" w:cs="Calibri Light"/>
        </w:rPr>
      </w:pPr>
      <w:r>
        <w:rPr>
          <w:rFonts w:ascii="Calibri Light" w:eastAsia="Calibri" w:hAnsi="Calibri Light" w:cs="Calibri Light"/>
        </w:rPr>
        <w:t>A</w:t>
      </w:r>
      <w:r w:rsidR="00330FE4" w:rsidRPr="00142227">
        <w:rPr>
          <w:rFonts w:ascii="Calibri Light" w:eastAsia="Calibri" w:hAnsi="Calibri Light" w:cs="Calibri Light"/>
        </w:rPr>
        <w:t xml:space="preserve">lternative funding opportunities </w:t>
      </w:r>
      <w:r w:rsidR="00B714F4">
        <w:rPr>
          <w:rFonts w:ascii="Calibri Light" w:eastAsia="Calibri" w:hAnsi="Calibri Light" w:cs="Calibri Light"/>
        </w:rPr>
        <w:t>were</w:t>
      </w:r>
      <w:r w:rsidR="00330FE4" w:rsidRPr="00142227">
        <w:rPr>
          <w:rFonts w:ascii="Calibri Light" w:eastAsia="Calibri" w:hAnsi="Calibri Light" w:cs="Calibri Light"/>
        </w:rPr>
        <w:t xml:space="preserve"> limited for many researchers</w:t>
      </w:r>
      <w:r>
        <w:rPr>
          <w:rFonts w:ascii="Calibri Light" w:eastAsia="Calibri" w:hAnsi="Calibri Light" w:cs="Calibri Light"/>
        </w:rPr>
        <w:t xml:space="preserve"> who had been unsuccessful </w:t>
      </w:r>
      <w:r w:rsidR="00B714F4">
        <w:rPr>
          <w:rFonts w:ascii="Calibri Light" w:eastAsia="Calibri" w:hAnsi="Calibri Light" w:cs="Calibri Light"/>
        </w:rPr>
        <w:t>in a Discovery Projects grant</w:t>
      </w:r>
      <w:r w:rsidR="00230D38">
        <w:rPr>
          <w:rFonts w:ascii="Calibri Light" w:eastAsia="Calibri" w:hAnsi="Calibri Light" w:cs="Calibri Light"/>
        </w:rPr>
        <w:t xml:space="preserve"> round</w:t>
      </w:r>
      <w:r w:rsidR="00B714F4">
        <w:rPr>
          <w:rFonts w:ascii="Calibri Light" w:eastAsia="Calibri" w:hAnsi="Calibri Light" w:cs="Calibri Light"/>
        </w:rPr>
        <w:t>, highlighting the u</w:t>
      </w:r>
      <w:r w:rsidR="00330FE4" w:rsidRPr="00142227">
        <w:rPr>
          <w:rFonts w:ascii="Calibri Light" w:eastAsia="Calibri" w:hAnsi="Calibri Light" w:cs="Calibri Light"/>
        </w:rPr>
        <w:t xml:space="preserve">niqueness and importance of the scheme. </w:t>
      </w:r>
    </w:p>
    <w:p w14:paraId="004C90E4" w14:textId="77777777" w:rsidR="00330FE4" w:rsidRPr="00B77EBE" w:rsidRDefault="00330FE4" w:rsidP="00330FE4">
      <w:pPr>
        <w:shd w:val="clear" w:color="auto" w:fill="DEEAF6" w:themeFill="accent1" w:themeFillTint="33"/>
        <w:spacing w:before="120" w:after="120"/>
        <w:outlineLvl w:val="3"/>
        <w:rPr>
          <w:rFonts w:asciiTheme="majorHAnsi" w:hAnsiTheme="majorHAnsi" w:cstheme="majorHAnsi"/>
          <w:bCs/>
          <w:i/>
          <w:lang w:val="en-US"/>
        </w:rPr>
      </w:pPr>
      <w:r w:rsidRPr="00B77EBE">
        <w:rPr>
          <w:rFonts w:asciiTheme="majorHAnsi" w:hAnsiTheme="majorHAnsi" w:cstheme="majorHAnsi"/>
          <w:bCs/>
          <w:i/>
          <w:lang w:val="en-US"/>
        </w:rPr>
        <w:t>Appropriateness of scheme design</w:t>
      </w:r>
    </w:p>
    <w:p w14:paraId="145F2085" w14:textId="61FDE839" w:rsidR="00330FE4" w:rsidRDefault="00C82F7C" w:rsidP="00330FE4">
      <w:pPr>
        <w:numPr>
          <w:ilvl w:val="0"/>
          <w:numId w:val="49"/>
        </w:numPr>
        <w:shd w:val="clear" w:color="auto" w:fill="DEEAF6" w:themeFill="accent1" w:themeFillTint="33"/>
        <w:spacing w:after="60"/>
        <w:ind w:left="426" w:hanging="426"/>
        <w:rPr>
          <w:rFonts w:ascii="Calibri Light" w:eastAsia="Calibri" w:hAnsi="Calibri Light" w:cs="Calibri Light"/>
        </w:rPr>
      </w:pPr>
      <w:r>
        <w:rPr>
          <w:rFonts w:ascii="Calibri Light" w:eastAsia="Calibri" w:hAnsi="Calibri Light" w:cs="Calibri Light"/>
        </w:rPr>
        <w:t>Over t</w:t>
      </w:r>
      <w:r w:rsidR="008905C1">
        <w:rPr>
          <w:rFonts w:ascii="Calibri Light" w:eastAsia="Calibri" w:hAnsi="Calibri Light" w:cs="Calibri Light"/>
        </w:rPr>
        <w:t>wo</w:t>
      </w:r>
      <w:r w:rsidR="0053363D">
        <w:rPr>
          <w:rFonts w:ascii="Calibri Light" w:eastAsia="Calibri" w:hAnsi="Calibri Light" w:cs="Calibri Light"/>
        </w:rPr>
        <w:t>-</w:t>
      </w:r>
      <w:r w:rsidR="008905C1">
        <w:rPr>
          <w:rFonts w:ascii="Calibri Light" w:eastAsia="Calibri" w:hAnsi="Calibri Light" w:cs="Calibri Light"/>
        </w:rPr>
        <w:t xml:space="preserve">thirds of survey participants agreed </w:t>
      </w:r>
      <w:r w:rsidR="0001453C" w:rsidRPr="0001453C">
        <w:rPr>
          <w:rFonts w:ascii="Calibri Light" w:eastAsia="Calibri" w:hAnsi="Calibri Light" w:cs="Calibri Light"/>
        </w:rPr>
        <w:t xml:space="preserve">that Discovery Projects’ objectives and intended outcomes </w:t>
      </w:r>
      <w:r>
        <w:rPr>
          <w:rFonts w:ascii="Calibri Light" w:eastAsia="Calibri" w:hAnsi="Calibri Light" w:cs="Calibri Light"/>
        </w:rPr>
        <w:t>were</w:t>
      </w:r>
      <w:r w:rsidR="0001453C" w:rsidRPr="0001453C">
        <w:rPr>
          <w:rFonts w:ascii="Calibri Light" w:eastAsia="Calibri" w:hAnsi="Calibri Light" w:cs="Calibri Light"/>
        </w:rPr>
        <w:t xml:space="preserve"> appropriate</w:t>
      </w:r>
      <w:r w:rsidR="008905C1">
        <w:rPr>
          <w:rFonts w:ascii="Calibri Light" w:eastAsia="Calibri" w:hAnsi="Calibri Light" w:cs="Calibri Light"/>
        </w:rPr>
        <w:t>, and more tha</w:t>
      </w:r>
      <w:r w:rsidR="00F82F94">
        <w:rPr>
          <w:rFonts w:ascii="Calibri Light" w:eastAsia="Calibri" w:hAnsi="Calibri Light" w:cs="Calibri Light"/>
        </w:rPr>
        <w:t>n</w:t>
      </w:r>
      <w:r w:rsidR="008905C1">
        <w:rPr>
          <w:rFonts w:ascii="Calibri Light" w:eastAsia="Calibri" w:hAnsi="Calibri Light" w:cs="Calibri Light"/>
        </w:rPr>
        <w:t xml:space="preserve"> hal</w:t>
      </w:r>
      <w:r>
        <w:rPr>
          <w:rFonts w:ascii="Calibri Light" w:eastAsia="Calibri" w:hAnsi="Calibri Light" w:cs="Calibri Light"/>
        </w:rPr>
        <w:t>f agreed that its approach to supporting translation</w:t>
      </w:r>
      <w:r w:rsidR="006754F6">
        <w:rPr>
          <w:rFonts w:ascii="Calibri Light" w:eastAsia="Calibri" w:hAnsi="Calibri Light" w:cs="Calibri Light"/>
        </w:rPr>
        <w:t>al</w:t>
      </w:r>
      <w:r>
        <w:rPr>
          <w:rFonts w:ascii="Calibri Light" w:eastAsia="Calibri" w:hAnsi="Calibri Light" w:cs="Calibri Light"/>
        </w:rPr>
        <w:t xml:space="preserve"> benefits through basic research funding was appropriate. </w:t>
      </w:r>
    </w:p>
    <w:p w14:paraId="372B76FC" w14:textId="49065FA4" w:rsidR="00824041" w:rsidRPr="00142227" w:rsidRDefault="00824041" w:rsidP="00330FE4">
      <w:pPr>
        <w:numPr>
          <w:ilvl w:val="0"/>
          <w:numId w:val="49"/>
        </w:numPr>
        <w:shd w:val="clear" w:color="auto" w:fill="DEEAF6" w:themeFill="accent1" w:themeFillTint="33"/>
        <w:spacing w:after="60"/>
        <w:ind w:left="426" w:hanging="426"/>
        <w:rPr>
          <w:rFonts w:ascii="Calibri Light" w:eastAsia="Calibri" w:hAnsi="Calibri Light" w:cs="Calibri Light"/>
        </w:rPr>
      </w:pPr>
      <w:r w:rsidRPr="00632941">
        <w:rPr>
          <w:rFonts w:ascii="Calibri Light" w:eastAsia="Calibri" w:hAnsi="Calibri Light" w:cs="Calibri Light"/>
        </w:rPr>
        <w:t>Researchers whose last completed project was finalised recently (2018 or later)</w:t>
      </w:r>
      <w:r w:rsidR="008C37E1">
        <w:rPr>
          <w:rFonts w:ascii="Calibri Light" w:eastAsia="Calibri" w:hAnsi="Calibri Light" w:cs="Calibri Light"/>
        </w:rPr>
        <w:t xml:space="preserve"> or involved international collaboration</w:t>
      </w:r>
      <w:r w:rsidRPr="00632941">
        <w:rPr>
          <w:rFonts w:ascii="Calibri Light" w:eastAsia="Calibri" w:hAnsi="Calibri Light" w:cs="Calibri Light"/>
        </w:rPr>
        <w:t xml:space="preserve"> tended to be more positive about the </w:t>
      </w:r>
      <w:r>
        <w:rPr>
          <w:rFonts w:ascii="Calibri Light" w:eastAsia="Calibri" w:hAnsi="Calibri Light" w:cs="Calibri Light"/>
        </w:rPr>
        <w:t xml:space="preserve">appropriateness of the </w:t>
      </w:r>
      <w:r w:rsidRPr="00632941">
        <w:rPr>
          <w:rFonts w:ascii="Calibri Light" w:eastAsia="Calibri" w:hAnsi="Calibri Light" w:cs="Calibri Light"/>
        </w:rPr>
        <w:t xml:space="preserve">scheme’s </w:t>
      </w:r>
      <w:r w:rsidR="008C37E1">
        <w:rPr>
          <w:rFonts w:ascii="Calibri Light" w:eastAsia="Calibri" w:hAnsi="Calibri Light" w:cs="Calibri Light"/>
        </w:rPr>
        <w:t>design</w:t>
      </w:r>
      <w:r w:rsidRPr="00632941">
        <w:rPr>
          <w:rFonts w:ascii="Calibri Light" w:eastAsia="Calibri" w:hAnsi="Calibri Light" w:cs="Calibri Light"/>
        </w:rPr>
        <w:t>.</w:t>
      </w:r>
    </w:p>
    <w:p w14:paraId="69557099" w14:textId="68212609" w:rsidR="00330FE4" w:rsidRDefault="008819AD">
      <w:pPr>
        <w:numPr>
          <w:ilvl w:val="0"/>
          <w:numId w:val="49"/>
        </w:numPr>
        <w:shd w:val="clear" w:color="auto" w:fill="DEEAF6" w:themeFill="accent1" w:themeFillTint="33"/>
        <w:spacing w:after="60"/>
        <w:ind w:left="426" w:hanging="426"/>
        <w:rPr>
          <w:rFonts w:ascii="Calibri Light" w:eastAsia="Calibri" w:hAnsi="Calibri Light" w:cs="Calibri Light"/>
        </w:rPr>
      </w:pPr>
      <w:r w:rsidRPr="004179CA">
        <w:rPr>
          <w:rFonts w:ascii="Calibri Light" w:eastAsia="Calibri" w:hAnsi="Calibri Light" w:cs="Calibri Light"/>
        </w:rPr>
        <w:t>While</w:t>
      </w:r>
      <w:r w:rsidR="004179CA" w:rsidRPr="004179CA">
        <w:rPr>
          <w:rFonts w:ascii="Calibri Light" w:eastAsia="Calibri" w:hAnsi="Calibri Light" w:cs="Calibri Light"/>
        </w:rPr>
        <w:t xml:space="preserve"> some s</w:t>
      </w:r>
      <w:r w:rsidR="00CC790F" w:rsidRPr="004179CA">
        <w:rPr>
          <w:rFonts w:ascii="Calibri Light" w:eastAsia="Calibri" w:hAnsi="Calibri Light" w:cs="Calibri Light"/>
        </w:rPr>
        <w:t>takeholder</w:t>
      </w:r>
      <w:r w:rsidR="004179CA">
        <w:rPr>
          <w:rFonts w:ascii="Calibri Light" w:eastAsia="Calibri" w:hAnsi="Calibri Light" w:cs="Calibri Light"/>
        </w:rPr>
        <w:t xml:space="preserve">s commented on </w:t>
      </w:r>
      <w:r w:rsidRPr="004179CA">
        <w:rPr>
          <w:rFonts w:ascii="Calibri Light" w:eastAsia="Calibri" w:hAnsi="Calibri Light" w:cs="Calibri Light"/>
        </w:rPr>
        <w:t xml:space="preserve">the importance of the </w:t>
      </w:r>
      <w:r w:rsidR="00D95415">
        <w:rPr>
          <w:rFonts w:ascii="Calibri Light" w:eastAsia="Calibri" w:hAnsi="Calibri Light" w:cs="Calibri Light"/>
        </w:rPr>
        <w:t>scheme’s contribution to</w:t>
      </w:r>
      <w:r w:rsidRPr="004179CA">
        <w:rPr>
          <w:rFonts w:ascii="Calibri Light" w:eastAsia="Calibri" w:hAnsi="Calibri Light" w:cs="Calibri Light"/>
        </w:rPr>
        <w:t xml:space="preserve"> </w:t>
      </w:r>
      <w:r w:rsidR="005B233B">
        <w:rPr>
          <w:rFonts w:ascii="Calibri Light" w:eastAsia="Calibri" w:hAnsi="Calibri Light" w:cs="Calibri Light"/>
        </w:rPr>
        <w:t>the fundamental knowledge base</w:t>
      </w:r>
      <w:r w:rsidR="00330FE4" w:rsidRPr="004179CA">
        <w:rPr>
          <w:rFonts w:ascii="Calibri Light" w:eastAsia="Calibri" w:hAnsi="Calibri Light" w:cs="Calibri Light"/>
        </w:rPr>
        <w:t xml:space="preserve"> </w:t>
      </w:r>
      <w:r w:rsidRPr="004179CA">
        <w:rPr>
          <w:rFonts w:ascii="Calibri Light" w:eastAsia="Calibri" w:hAnsi="Calibri Light" w:cs="Calibri Light"/>
        </w:rPr>
        <w:t xml:space="preserve">in </w:t>
      </w:r>
      <w:r w:rsidR="00D95415">
        <w:rPr>
          <w:rFonts w:ascii="Calibri Light" w:eastAsia="Calibri" w:hAnsi="Calibri Light" w:cs="Calibri Light"/>
        </w:rPr>
        <w:t>laying the</w:t>
      </w:r>
      <w:r w:rsidR="008E7F5A" w:rsidRPr="004179CA">
        <w:rPr>
          <w:rFonts w:ascii="Calibri Light" w:eastAsia="Calibri" w:hAnsi="Calibri Light" w:cs="Calibri Light"/>
        </w:rPr>
        <w:t xml:space="preserve"> </w:t>
      </w:r>
      <w:r w:rsidR="00333325" w:rsidRPr="004179CA">
        <w:rPr>
          <w:rFonts w:ascii="Calibri Light" w:eastAsia="Calibri" w:hAnsi="Calibri Light" w:cs="Calibri Light"/>
        </w:rPr>
        <w:t>intellectual foundation</w:t>
      </w:r>
      <w:r w:rsidR="00276FAA" w:rsidRPr="004179CA">
        <w:rPr>
          <w:rFonts w:ascii="Calibri Light" w:eastAsia="Calibri" w:hAnsi="Calibri Light" w:cs="Calibri Light"/>
        </w:rPr>
        <w:t>s</w:t>
      </w:r>
      <w:r w:rsidR="00333325" w:rsidRPr="004179CA">
        <w:rPr>
          <w:rFonts w:ascii="Calibri Light" w:eastAsia="Calibri" w:hAnsi="Calibri Light" w:cs="Calibri Light"/>
        </w:rPr>
        <w:t xml:space="preserve"> for</w:t>
      </w:r>
      <w:r w:rsidR="00330FE4" w:rsidRPr="004179CA">
        <w:rPr>
          <w:rFonts w:ascii="Calibri Light" w:eastAsia="Calibri" w:hAnsi="Calibri Light" w:cs="Calibri Light"/>
        </w:rPr>
        <w:t xml:space="preserve"> applied research and</w:t>
      </w:r>
      <w:r w:rsidR="00276FAA" w:rsidRPr="004179CA">
        <w:rPr>
          <w:rFonts w:ascii="Calibri Light" w:eastAsia="Calibri" w:hAnsi="Calibri Light" w:cs="Calibri Light"/>
        </w:rPr>
        <w:t xml:space="preserve"> </w:t>
      </w:r>
      <w:r w:rsidRPr="004179CA">
        <w:rPr>
          <w:rFonts w:ascii="Calibri Light" w:eastAsia="Calibri" w:hAnsi="Calibri Light" w:cs="Calibri Light"/>
        </w:rPr>
        <w:t>translational</w:t>
      </w:r>
      <w:r w:rsidR="004179CA" w:rsidRPr="004179CA">
        <w:rPr>
          <w:rFonts w:ascii="Calibri Light" w:eastAsia="Calibri" w:hAnsi="Calibri Light" w:cs="Calibri Light"/>
        </w:rPr>
        <w:t xml:space="preserve"> </w:t>
      </w:r>
      <w:r w:rsidR="00AC4878">
        <w:rPr>
          <w:rFonts w:ascii="Calibri Light" w:eastAsia="Calibri" w:hAnsi="Calibri Light" w:cs="Calibri Light"/>
        </w:rPr>
        <w:t>benefits</w:t>
      </w:r>
      <w:r w:rsidR="004179CA" w:rsidRPr="004179CA">
        <w:rPr>
          <w:rFonts w:ascii="Calibri Light" w:eastAsia="Calibri" w:hAnsi="Calibri Light" w:cs="Calibri Light"/>
        </w:rPr>
        <w:t xml:space="preserve">, others </w:t>
      </w:r>
      <w:r w:rsidR="00330FE4" w:rsidRPr="004179CA">
        <w:rPr>
          <w:rFonts w:ascii="Calibri Light" w:eastAsia="Calibri" w:hAnsi="Calibri Light" w:cs="Calibri Light"/>
        </w:rPr>
        <w:t>perceived tensions between</w:t>
      </w:r>
      <w:r w:rsidR="00C37B0B">
        <w:rPr>
          <w:rFonts w:ascii="Calibri Light" w:eastAsia="Calibri" w:hAnsi="Calibri Light" w:cs="Calibri Light"/>
        </w:rPr>
        <w:t xml:space="preserve"> its</w:t>
      </w:r>
      <w:r w:rsidR="00D95415">
        <w:rPr>
          <w:rFonts w:ascii="Calibri Light" w:eastAsia="Calibri" w:hAnsi="Calibri Light" w:cs="Calibri Light"/>
        </w:rPr>
        <w:t xml:space="preserve"> support</w:t>
      </w:r>
      <w:r w:rsidR="00C37B0B">
        <w:rPr>
          <w:rFonts w:ascii="Calibri Light" w:eastAsia="Calibri" w:hAnsi="Calibri Light" w:cs="Calibri Light"/>
        </w:rPr>
        <w:t xml:space="preserve"> for</w:t>
      </w:r>
      <w:r w:rsidR="00E92D08">
        <w:rPr>
          <w:rFonts w:ascii="Calibri Light" w:eastAsia="Calibri" w:hAnsi="Calibri Light" w:cs="Calibri Light"/>
        </w:rPr>
        <w:t xml:space="preserve"> </w:t>
      </w:r>
      <w:r w:rsidR="00330FE4" w:rsidRPr="004179CA">
        <w:rPr>
          <w:rFonts w:ascii="Calibri Light" w:eastAsia="Calibri" w:hAnsi="Calibri Light" w:cs="Calibri Light"/>
        </w:rPr>
        <w:t xml:space="preserve">basic research and </w:t>
      </w:r>
      <w:r w:rsidR="00AC4878">
        <w:rPr>
          <w:rFonts w:ascii="Calibri Light" w:eastAsia="Calibri" w:hAnsi="Calibri Light" w:cs="Calibri Light"/>
        </w:rPr>
        <w:t>its</w:t>
      </w:r>
      <w:r w:rsidR="00E92D08">
        <w:rPr>
          <w:rFonts w:ascii="Calibri Light" w:eastAsia="Calibri" w:hAnsi="Calibri Light" w:cs="Calibri Light"/>
        </w:rPr>
        <w:t xml:space="preserve"> focus on </w:t>
      </w:r>
      <w:r w:rsidR="00330FE4" w:rsidRPr="004179CA">
        <w:rPr>
          <w:rFonts w:ascii="Calibri Light" w:eastAsia="Calibri" w:hAnsi="Calibri Light" w:cs="Calibri Light"/>
        </w:rPr>
        <w:t xml:space="preserve">both Australian Government priorities and </w:t>
      </w:r>
      <w:r w:rsidR="00517E98">
        <w:rPr>
          <w:rFonts w:ascii="Calibri Light" w:eastAsia="Calibri" w:hAnsi="Calibri Light" w:cs="Calibri Light"/>
        </w:rPr>
        <w:t>the delivery of</w:t>
      </w:r>
      <w:r w:rsidR="00330FE4" w:rsidRPr="004179CA">
        <w:rPr>
          <w:rFonts w:ascii="Calibri Light" w:eastAsia="Calibri" w:hAnsi="Calibri Light" w:cs="Calibri Light"/>
        </w:rPr>
        <w:t xml:space="preserve"> translational benefits.</w:t>
      </w:r>
    </w:p>
    <w:p w14:paraId="0DCD9D0A" w14:textId="77777777" w:rsidR="00330FE4" w:rsidRPr="00B77EBE" w:rsidRDefault="00330FE4" w:rsidP="00330FE4">
      <w:pPr>
        <w:shd w:val="clear" w:color="auto" w:fill="DEEAF6" w:themeFill="accent1" w:themeFillTint="33"/>
        <w:spacing w:before="120" w:after="120"/>
        <w:ind w:left="567" w:hanging="567"/>
        <w:outlineLvl w:val="3"/>
        <w:rPr>
          <w:rFonts w:asciiTheme="majorHAnsi" w:hAnsiTheme="majorHAnsi" w:cstheme="majorHAnsi"/>
          <w:i/>
          <w:lang w:val="en-US"/>
        </w:rPr>
      </w:pPr>
      <w:r w:rsidRPr="00B77EBE">
        <w:rPr>
          <w:rFonts w:asciiTheme="majorHAnsi" w:hAnsiTheme="majorHAnsi" w:cstheme="majorHAnsi"/>
          <w:i/>
          <w:lang w:val="en-US"/>
        </w:rPr>
        <w:lastRenderedPageBreak/>
        <w:t>Appropriateness of funding amount and duration</w:t>
      </w:r>
    </w:p>
    <w:p w14:paraId="240E3AFD" w14:textId="4753F30B" w:rsidR="00330FE4" w:rsidRPr="00142227" w:rsidRDefault="00330FE4" w:rsidP="00330FE4">
      <w:pPr>
        <w:numPr>
          <w:ilvl w:val="0"/>
          <w:numId w:val="50"/>
        </w:numPr>
        <w:shd w:val="clear" w:color="auto" w:fill="DEEAF6" w:themeFill="accent1" w:themeFillTint="33"/>
        <w:spacing w:after="60"/>
        <w:ind w:left="426" w:hanging="426"/>
        <w:rPr>
          <w:rFonts w:ascii="Calibri Light" w:eastAsia="Calibri" w:hAnsi="Calibri Light" w:cs="Calibri Light"/>
        </w:rPr>
      </w:pPr>
      <w:r w:rsidRPr="00142227">
        <w:rPr>
          <w:rFonts w:ascii="Calibri Light" w:eastAsia="Calibri" w:hAnsi="Calibri Light" w:cs="Calibri Light"/>
        </w:rPr>
        <w:t xml:space="preserve">Between DP02 and DP20, the average amount of funding requested and awarded per project </w:t>
      </w:r>
      <w:r w:rsidR="0028048D">
        <w:rPr>
          <w:rFonts w:ascii="Calibri Light" w:eastAsia="Calibri" w:hAnsi="Calibri Light" w:cs="Calibri Light"/>
        </w:rPr>
        <w:t>grew steadily</w:t>
      </w:r>
      <w:r w:rsidRPr="00142227">
        <w:rPr>
          <w:rFonts w:ascii="Calibri Light" w:eastAsia="Calibri" w:hAnsi="Calibri Light" w:cs="Calibri Light"/>
        </w:rPr>
        <w:t xml:space="preserve">. </w:t>
      </w:r>
    </w:p>
    <w:p w14:paraId="50F9B1C8" w14:textId="2E3F061D" w:rsidR="00330FE4" w:rsidRPr="00142227" w:rsidRDefault="000E18CE" w:rsidP="00330FE4">
      <w:pPr>
        <w:numPr>
          <w:ilvl w:val="0"/>
          <w:numId w:val="50"/>
        </w:numPr>
        <w:shd w:val="clear" w:color="auto" w:fill="DEEAF6" w:themeFill="accent1" w:themeFillTint="33"/>
        <w:spacing w:after="60"/>
        <w:ind w:left="426" w:hanging="426"/>
        <w:rPr>
          <w:rFonts w:ascii="Calibri Light" w:eastAsia="Calibri" w:hAnsi="Calibri Light" w:cs="Calibri Light"/>
        </w:rPr>
      </w:pPr>
      <w:r>
        <w:rPr>
          <w:rFonts w:ascii="Calibri Light" w:eastAsia="Calibri" w:hAnsi="Calibri Light" w:cs="Calibri Light"/>
        </w:rPr>
        <w:t>Most s</w:t>
      </w:r>
      <w:r w:rsidR="00330FE4" w:rsidRPr="00142227">
        <w:rPr>
          <w:rFonts w:ascii="Calibri Light" w:eastAsia="Calibri" w:hAnsi="Calibri Light" w:cs="Calibri Light"/>
        </w:rPr>
        <w:t xml:space="preserve">takeholders affirmed the appropriateness of the scheme’s current funding range of $30,000–$500,000 per annum, although </w:t>
      </w:r>
      <w:r w:rsidR="005401B5" w:rsidRPr="00142227">
        <w:rPr>
          <w:rFonts w:ascii="Calibri Light" w:eastAsia="Calibri" w:hAnsi="Calibri Light" w:cs="Calibri Light"/>
        </w:rPr>
        <w:t xml:space="preserve">qualitative stakeholder feedback </w:t>
      </w:r>
      <w:r w:rsidR="005401B5">
        <w:rPr>
          <w:rFonts w:ascii="Calibri Light" w:eastAsia="Calibri" w:hAnsi="Calibri Light" w:cs="Calibri Light"/>
        </w:rPr>
        <w:t xml:space="preserve">included </w:t>
      </w:r>
      <w:r w:rsidR="00330FE4" w:rsidRPr="00142227">
        <w:rPr>
          <w:rFonts w:ascii="Calibri Light" w:eastAsia="Calibri" w:hAnsi="Calibri Light" w:cs="Calibri Light"/>
        </w:rPr>
        <w:t>arguments for lowering the minimum funding threshold.</w:t>
      </w:r>
    </w:p>
    <w:p w14:paraId="1F22CB41" w14:textId="77777777" w:rsidR="000E18CE" w:rsidRDefault="00330FE4">
      <w:pPr>
        <w:numPr>
          <w:ilvl w:val="0"/>
          <w:numId w:val="50"/>
        </w:numPr>
        <w:shd w:val="clear" w:color="auto" w:fill="DEEAF6" w:themeFill="accent1" w:themeFillTint="33"/>
        <w:spacing w:after="60"/>
        <w:ind w:left="426" w:hanging="426"/>
        <w:rPr>
          <w:rFonts w:ascii="Calibri Light" w:eastAsia="Calibri" w:hAnsi="Calibri Light" w:cs="Calibri Light"/>
        </w:rPr>
      </w:pPr>
      <w:r w:rsidRPr="00142227">
        <w:rPr>
          <w:rFonts w:ascii="Calibri Light" w:eastAsia="Calibri" w:hAnsi="Calibri Light" w:cs="Calibri Light"/>
        </w:rPr>
        <w:t xml:space="preserve">The majority of Discovery Projects grants have been funded for three years in all scheme rounds. </w:t>
      </w:r>
    </w:p>
    <w:p w14:paraId="166264AA" w14:textId="6124BC2E" w:rsidR="00330FE4" w:rsidRPr="007057E6" w:rsidRDefault="00A06795" w:rsidP="007057E6">
      <w:pPr>
        <w:numPr>
          <w:ilvl w:val="0"/>
          <w:numId w:val="50"/>
        </w:numPr>
        <w:shd w:val="clear" w:color="auto" w:fill="DEEAF6" w:themeFill="accent1" w:themeFillTint="33"/>
        <w:spacing w:after="60"/>
        <w:ind w:left="426" w:hanging="426"/>
        <w:rPr>
          <w:rFonts w:ascii="Calibri Light" w:eastAsia="Calibri" w:hAnsi="Calibri Light" w:cs="Calibri Light"/>
        </w:rPr>
      </w:pPr>
      <w:r>
        <w:rPr>
          <w:rFonts w:ascii="Calibri Light" w:eastAsia="Calibri" w:hAnsi="Calibri Light" w:cs="Calibri Light"/>
        </w:rPr>
        <w:t xml:space="preserve">While </w:t>
      </w:r>
      <w:r w:rsidRPr="00142227">
        <w:rPr>
          <w:rFonts w:ascii="Calibri Light" w:eastAsia="Calibri" w:hAnsi="Calibri Light" w:cs="Calibri Light"/>
        </w:rPr>
        <w:t xml:space="preserve">ARC administrative data </w:t>
      </w:r>
      <w:r>
        <w:rPr>
          <w:rFonts w:ascii="Calibri Light" w:eastAsia="Calibri" w:hAnsi="Calibri Light" w:cs="Calibri Light"/>
        </w:rPr>
        <w:t>indicated</w:t>
      </w:r>
      <w:r w:rsidRPr="00142227">
        <w:rPr>
          <w:rFonts w:ascii="Calibri Light" w:eastAsia="Calibri" w:hAnsi="Calibri Light" w:cs="Calibri Light"/>
        </w:rPr>
        <w:t xml:space="preserve"> that applications seeking more than three years of funding generally had competitive success and return rate</w:t>
      </w:r>
      <w:r>
        <w:rPr>
          <w:rFonts w:ascii="Calibri Light" w:eastAsia="Calibri" w:hAnsi="Calibri Light" w:cs="Calibri Light"/>
        </w:rPr>
        <w:t>s, s</w:t>
      </w:r>
      <w:r w:rsidR="000E18CE">
        <w:rPr>
          <w:rFonts w:ascii="Calibri Light" w:eastAsia="Calibri" w:hAnsi="Calibri Light" w:cs="Calibri Light"/>
        </w:rPr>
        <w:t>takeholder comments revealed a perception</w:t>
      </w:r>
      <w:r w:rsidR="00330FE4" w:rsidRPr="00142227">
        <w:rPr>
          <w:rFonts w:ascii="Calibri Light" w:eastAsia="Calibri" w:hAnsi="Calibri Light" w:cs="Calibri Light"/>
        </w:rPr>
        <w:t xml:space="preserve"> that longer projects would be subject to greater scrutiny during peer review.</w:t>
      </w:r>
    </w:p>
    <w:p w14:paraId="195C8C4E" w14:textId="77777777" w:rsidR="00B77EBE" w:rsidRPr="00B77EBE" w:rsidRDefault="00B77EBE" w:rsidP="00254D36">
      <w:pPr>
        <w:numPr>
          <w:ilvl w:val="0"/>
          <w:numId w:val="20"/>
        </w:numPr>
        <w:outlineLvl w:val="0"/>
        <w:rPr>
          <w:rFonts w:asciiTheme="majorHAnsi" w:hAnsiTheme="majorHAnsi" w:cstheme="majorHAnsi"/>
          <w:b/>
          <w:vanish/>
          <w:sz w:val="28"/>
          <w:szCs w:val="28"/>
          <w:lang w:val="en-US"/>
        </w:rPr>
      </w:pPr>
      <w:bookmarkStart w:id="691" w:name="_Toc51917036"/>
      <w:bookmarkStart w:id="692" w:name="_Toc51918876"/>
      <w:bookmarkStart w:id="693" w:name="_Toc51918746"/>
      <w:bookmarkStart w:id="694" w:name="_Toc51917037"/>
      <w:bookmarkStart w:id="695" w:name="_Toc51918877"/>
      <w:bookmarkStart w:id="696" w:name="_Toc51918747"/>
      <w:bookmarkStart w:id="697" w:name="_Toc51917038"/>
      <w:bookmarkStart w:id="698" w:name="_Toc51918878"/>
      <w:bookmarkStart w:id="699" w:name="_Toc51918748"/>
      <w:bookmarkStart w:id="700" w:name="_Toc51917039"/>
      <w:bookmarkStart w:id="701" w:name="_Toc51918879"/>
      <w:bookmarkStart w:id="702" w:name="_Toc51918749"/>
      <w:bookmarkStart w:id="703" w:name="_Toc51917040"/>
      <w:bookmarkStart w:id="704" w:name="_Toc51918880"/>
      <w:bookmarkStart w:id="705" w:name="_Toc51918750"/>
      <w:bookmarkStart w:id="706" w:name="_Toc51917041"/>
      <w:bookmarkStart w:id="707" w:name="_Toc51918881"/>
      <w:bookmarkStart w:id="708" w:name="_Toc51918751"/>
      <w:bookmarkStart w:id="709" w:name="_Toc50533634"/>
      <w:bookmarkStart w:id="710" w:name="_Toc50553784"/>
      <w:bookmarkStart w:id="711" w:name="_Toc50555021"/>
      <w:bookmarkStart w:id="712" w:name="_Toc50618155"/>
      <w:bookmarkStart w:id="713" w:name="_Toc50618436"/>
      <w:bookmarkStart w:id="714" w:name="_Toc51917042"/>
      <w:bookmarkStart w:id="715" w:name="_Toc51918882"/>
      <w:bookmarkStart w:id="716" w:name="_Toc51918752"/>
      <w:bookmarkStart w:id="717" w:name="_Toc53557259"/>
      <w:bookmarkStart w:id="718" w:name="_Toc54699301"/>
      <w:bookmarkStart w:id="719" w:name="_Toc55544835"/>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0E7F456F" w14:textId="77777777" w:rsidR="00B77EBE" w:rsidRPr="00B77EBE" w:rsidRDefault="00B77EBE" w:rsidP="00254D36">
      <w:pPr>
        <w:numPr>
          <w:ilvl w:val="0"/>
          <w:numId w:val="20"/>
        </w:numPr>
        <w:outlineLvl w:val="0"/>
        <w:rPr>
          <w:rFonts w:asciiTheme="majorHAnsi" w:hAnsiTheme="majorHAnsi" w:cstheme="majorHAnsi"/>
          <w:b/>
          <w:vanish/>
          <w:sz w:val="28"/>
          <w:szCs w:val="28"/>
          <w:lang w:val="en-US"/>
        </w:rPr>
      </w:pPr>
      <w:bookmarkStart w:id="720" w:name="_Toc50533635"/>
      <w:bookmarkStart w:id="721" w:name="_Toc50553785"/>
      <w:bookmarkStart w:id="722" w:name="_Toc50555022"/>
      <w:bookmarkStart w:id="723" w:name="_Toc50618156"/>
      <w:bookmarkStart w:id="724" w:name="_Toc50618437"/>
      <w:bookmarkStart w:id="725" w:name="_Toc51917043"/>
      <w:bookmarkStart w:id="726" w:name="_Toc51918883"/>
      <w:bookmarkStart w:id="727" w:name="_Toc51918753"/>
      <w:bookmarkStart w:id="728" w:name="_Toc53557260"/>
      <w:bookmarkStart w:id="729" w:name="_Toc54699302"/>
      <w:bookmarkStart w:id="730" w:name="_Toc55544836"/>
      <w:bookmarkEnd w:id="720"/>
      <w:bookmarkEnd w:id="721"/>
      <w:bookmarkEnd w:id="722"/>
      <w:bookmarkEnd w:id="723"/>
      <w:bookmarkEnd w:id="724"/>
      <w:bookmarkEnd w:id="725"/>
      <w:bookmarkEnd w:id="726"/>
      <w:bookmarkEnd w:id="727"/>
      <w:bookmarkEnd w:id="728"/>
      <w:bookmarkEnd w:id="729"/>
      <w:bookmarkEnd w:id="730"/>
    </w:p>
    <w:p w14:paraId="43977689" w14:textId="77777777" w:rsidR="00B77EBE" w:rsidRPr="00B77EBE" w:rsidRDefault="00B77EBE" w:rsidP="00254D36">
      <w:pPr>
        <w:numPr>
          <w:ilvl w:val="0"/>
          <w:numId w:val="20"/>
        </w:numPr>
        <w:outlineLvl w:val="0"/>
        <w:rPr>
          <w:rFonts w:asciiTheme="majorHAnsi" w:hAnsiTheme="majorHAnsi" w:cstheme="majorHAnsi"/>
          <w:b/>
          <w:vanish/>
          <w:sz w:val="28"/>
          <w:szCs w:val="28"/>
          <w:lang w:val="en-US"/>
        </w:rPr>
      </w:pPr>
      <w:bookmarkStart w:id="731" w:name="_Toc50533636"/>
      <w:bookmarkStart w:id="732" w:name="_Toc50553786"/>
      <w:bookmarkStart w:id="733" w:name="_Toc50555023"/>
      <w:bookmarkStart w:id="734" w:name="_Toc50618157"/>
      <w:bookmarkStart w:id="735" w:name="_Toc50618438"/>
      <w:bookmarkStart w:id="736" w:name="_Toc51917044"/>
      <w:bookmarkStart w:id="737" w:name="_Toc51918884"/>
      <w:bookmarkStart w:id="738" w:name="_Toc51918754"/>
      <w:bookmarkStart w:id="739" w:name="_Toc53557261"/>
      <w:bookmarkStart w:id="740" w:name="_Toc54699303"/>
      <w:bookmarkStart w:id="741" w:name="_Toc55544837"/>
      <w:bookmarkEnd w:id="731"/>
      <w:bookmarkEnd w:id="732"/>
      <w:bookmarkEnd w:id="733"/>
      <w:bookmarkEnd w:id="734"/>
      <w:bookmarkEnd w:id="735"/>
      <w:bookmarkEnd w:id="736"/>
      <w:bookmarkEnd w:id="737"/>
      <w:bookmarkEnd w:id="738"/>
      <w:bookmarkEnd w:id="739"/>
      <w:bookmarkEnd w:id="740"/>
      <w:bookmarkEnd w:id="741"/>
    </w:p>
    <w:p w14:paraId="24AB3CFD" w14:textId="77777777" w:rsidR="00B77EBE" w:rsidRPr="00B77EBE" w:rsidRDefault="00B77EBE" w:rsidP="00254D36">
      <w:pPr>
        <w:numPr>
          <w:ilvl w:val="0"/>
          <w:numId w:val="20"/>
        </w:numPr>
        <w:outlineLvl w:val="0"/>
        <w:rPr>
          <w:rFonts w:asciiTheme="majorHAnsi" w:hAnsiTheme="majorHAnsi" w:cstheme="majorHAnsi"/>
          <w:b/>
          <w:vanish/>
          <w:sz w:val="28"/>
          <w:szCs w:val="28"/>
          <w:lang w:val="en-US"/>
        </w:rPr>
      </w:pPr>
      <w:bookmarkStart w:id="742" w:name="_Toc50533637"/>
      <w:bookmarkStart w:id="743" w:name="_Toc50553787"/>
      <w:bookmarkStart w:id="744" w:name="_Toc50555024"/>
      <w:bookmarkStart w:id="745" w:name="_Toc50618158"/>
      <w:bookmarkStart w:id="746" w:name="_Toc50618439"/>
      <w:bookmarkStart w:id="747" w:name="_Toc51917045"/>
      <w:bookmarkStart w:id="748" w:name="_Toc51918885"/>
      <w:bookmarkStart w:id="749" w:name="_Toc51918755"/>
      <w:bookmarkStart w:id="750" w:name="_Toc53557262"/>
      <w:bookmarkStart w:id="751" w:name="_Toc54699304"/>
      <w:bookmarkStart w:id="752" w:name="_Toc55544838"/>
      <w:bookmarkEnd w:id="742"/>
      <w:bookmarkEnd w:id="743"/>
      <w:bookmarkEnd w:id="744"/>
      <w:bookmarkEnd w:id="745"/>
      <w:bookmarkEnd w:id="746"/>
      <w:bookmarkEnd w:id="747"/>
      <w:bookmarkEnd w:id="748"/>
      <w:bookmarkEnd w:id="749"/>
      <w:bookmarkEnd w:id="750"/>
      <w:bookmarkEnd w:id="751"/>
      <w:bookmarkEnd w:id="752"/>
    </w:p>
    <w:p w14:paraId="584F79DE" w14:textId="77777777" w:rsidR="00B77EBE" w:rsidRPr="00B77EBE" w:rsidRDefault="00B77EBE" w:rsidP="00254D36">
      <w:pPr>
        <w:numPr>
          <w:ilvl w:val="0"/>
          <w:numId w:val="20"/>
        </w:numPr>
        <w:outlineLvl w:val="0"/>
        <w:rPr>
          <w:rFonts w:asciiTheme="majorHAnsi" w:hAnsiTheme="majorHAnsi" w:cstheme="majorHAnsi"/>
          <w:b/>
          <w:vanish/>
          <w:sz w:val="28"/>
          <w:szCs w:val="28"/>
          <w:lang w:val="en-US"/>
        </w:rPr>
      </w:pPr>
      <w:bookmarkStart w:id="753" w:name="_Toc50533638"/>
      <w:bookmarkStart w:id="754" w:name="_Toc50553788"/>
      <w:bookmarkStart w:id="755" w:name="_Toc50555025"/>
      <w:bookmarkStart w:id="756" w:name="_Toc50618159"/>
      <w:bookmarkStart w:id="757" w:name="_Toc50618440"/>
      <w:bookmarkStart w:id="758" w:name="_Toc51917046"/>
      <w:bookmarkStart w:id="759" w:name="_Toc51918886"/>
      <w:bookmarkStart w:id="760" w:name="_Toc51918756"/>
      <w:bookmarkStart w:id="761" w:name="_Toc53557263"/>
      <w:bookmarkStart w:id="762" w:name="_Toc54699305"/>
      <w:bookmarkStart w:id="763" w:name="_Toc55544839"/>
      <w:bookmarkEnd w:id="753"/>
      <w:bookmarkEnd w:id="754"/>
      <w:bookmarkEnd w:id="755"/>
      <w:bookmarkEnd w:id="756"/>
      <w:bookmarkEnd w:id="757"/>
      <w:bookmarkEnd w:id="758"/>
      <w:bookmarkEnd w:id="759"/>
      <w:bookmarkEnd w:id="760"/>
      <w:bookmarkEnd w:id="761"/>
      <w:bookmarkEnd w:id="762"/>
      <w:bookmarkEnd w:id="763"/>
    </w:p>
    <w:p w14:paraId="101329DD" w14:textId="77777777" w:rsidR="00212CE3" w:rsidRPr="00212CE3" w:rsidRDefault="00212CE3" w:rsidP="00212CE3">
      <w:pPr>
        <w:pStyle w:val="ListParagraph"/>
        <w:keepNext/>
        <w:keepLines/>
        <w:numPr>
          <w:ilvl w:val="0"/>
          <w:numId w:val="17"/>
        </w:numPr>
        <w:shd w:val="clear" w:color="auto" w:fill="FFFFFF" w:themeFill="background1"/>
        <w:spacing w:after="160" w:line="264" w:lineRule="auto"/>
        <w:contextualSpacing w:val="0"/>
        <w:outlineLvl w:val="1"/>
        <w:rPr>
          <w:rFonts w:asciiTheme="majorHAnsi" w:hAnsiTheme="majorHAnsi" w:cstheme="majorHAnsi"/>
          <w:b/>
          <w:vanish/>
          <w:color w:val="auto"/>
          <w:lang w:val="en-US"/>
        </w:rPr>
      </w:pPr>
      <w:bookmarkStart w:id="764" w:name="_Toc50533639"/>
      <w:bookmarkStart w:id="765" w:name="_Toc50553789"/>
      <w:bookmarkStart w:id="766" w:name="_Toc50555026"/>
      <w:bookmarkStart w:id="767" w:name="_Toc50618160"/>
      <w:bookmarkStart w:id="768" w:name="_Toc50618441"/>
      <w:bookmarkStart w:id="769" w:name="_Toc51917047"/>
      <w:bookmarkStart w:id="770" w:name="_Toc51918887"/>
      <w:bookmarkStart w:id="771" w:name="_Toc51918757"/>
      <w:bookmarkStart w:id="772" w:name="_Toc53557264"/>
      <w:bookmarkStart w:id="773" w:name="_Toc54699306"/>
      <w:bookmarkStart w:id="774" w:name="_Toc55544840"/>
      <w:bookmarkEnd w:id="764"/>
      <w:bookmarkEnd w:id="765"/>
      <w:bookmarkEnd w:id="766"/>
      <w:bookmarkEnd w:id="767"/>
      <w:bookmarkEnd w:id="768"/>
      <w:bookmarkEnd w:id="769"/>
      <w:bookmarkEnd w:id="770"/>
      <w:bookmarkEnd w:id="771"/>
      <w:bookmarkEnd w:id="772"/>
      <w:bookmarkEnd w:id="773"/>
      <w:bookmarkEnd w:id="774"/>
    </w:p>
    <w:p w14:paraId="7C03302F" w14:textId="44809F81" w:rsidR="00B77EBE" w:rsidRPr="00B77EBE" w:rsidRDefault="00B77EBE" w:rsidP="007057E6">
      <w:pPr>
        <w:pStyle w:val="Heading2"/>
        <w:numPr>
          <w:ilvl w:val="1"/>
          <w:numId w:val="17"/>
        </w:numPr>
        <w:spacing w:before="240"/>
        <w:ind w:left="578" w:hanging="578"/>
        <w:rPr>
          <w:lang w:val="en-US"/>
        </w:rPr>
      </w:pPr>
      <w:bookmarkStart w:id="775" w:name="_Discovery_Projects’_role"/>
      <w:bookmarkStart w:id="776" w:name="_Toc51918758"/>
      <w:bookmarkStart w:id="777" w:name="_Toc55544841"/>
      <w:bookmarkEnd w:id="775"/>
      <w:r w:rsidRPr="00B77EBE">
        <w:rPr>
          <w:lang w:val="en-US"/>
        </w:rPr>
        <w:t>Discovery Projects’ role within Australia’s research funding landscape</w:t>
      </w:r>
      <w:bookmarkEnd w:id="776"/>
      <w:bookmarkEnd w:id="777"/>
    </w:p>
    <w:p w14:paraId="2D34EDD0" w14:textId="77777777" w:rsidR="008B39F1" w:rsidRPr="008B39F1" w:rsidRDefault="008B39F1">
      <w:pPr>
        <w:pStyle w:val="ListParagraph"/>
        <w:keepNext/>
        <w:keepLines/>
        <w:numPr>
          <w:ilvl w:val="0"/>
          <w:numId w:val="21"/>
        </w:numPr>
        <w:shd w:val="clear" w:color="auto" w:fill="FFFFFF" w:themeFill="background1"/>
        <w:spacing w:before="480" w:after="60" w:line="264" w:lineRule="auto"/>
        <w:contextualSpacing w:val="0"/>
        <w:outlineLvl w:val="0"/>
        <w:rPr>
          <w:rFonts w:asciiTheme="majorHAnsi" w:eastAsia="Times New Roman" w:hAnsiTheme="majorHAnsi" w:cstheme="majorHAnsi"/>
          <w:b/>
          <w:vanish/>
          <w:color w:val="auto"/>
          <w:sz w:val="28"/>
          <w:szCs w:val="28"/>
        </w:rPr>
      </w:pPr>
      <w:bookmarkStart w:id="778" w:name="_Toc51917049"/>
      <w:bookmarkStart w:id="779" w:name="_Toc51918889"/>
      <w:bookmarkStart w:id="780" w:name="_Toc51918759"/>
      <w:bookmarkStart w:id="781" w:name="_Toc53557266"/>
      <w:bookmarkStart w:id="782" w:name="_Toc54699308"/>
      <w:bookmarkStart w:id="783" w:name="_Toc55544842"/>
      <w:bookmarkEnd w:id="778"/>
      <w:bookmarkEnd w:id="779"/>
      <w:bookmarkEnd w:id="780"/>
      <w:bookmarkEnd w:id="781"/>
      <w:bookmarkEnd w:id="782"/>
      <w:bookmarkEnd w:id="783"/>
    </w:p>
    <w:p w14:paraId="636594DF" w14:textId="77777777" w:rsidR="008B39F1" w:rsidRPr="008B39F1" w:rsidRDefault="008B39F1">
      <w:pPr>
        <w:pStyle w:val="ListParagraph"/>
        <w:keepNext/>
        <w:keepLines/>
        <w:numPr>
          <w:ilvl w:val="0"/>
          <w:numId w:val="21"/>
        </w:numPr>
        <w:shd w:val="clear" w:color="auto" w:fill="FFFFFF" w:themeFill="background1"/>
        <w:spacing w:before="480" w:after="60" w:line="264" w:lineRule="auto"/>
        <w:contextualSpacing w:val="0"/>
        <w:outlineLvl w:val="0"/>
        <w:rPr>
          <w:rFonts w:asciiTheme="majorHAnsi" w:eastAsia="Times New Roman" w:hAnsiTheme="majorHAnsi" w:cstheme="majorHAnsi"/>
          <w:b/>
          <w:vanish/>
          <w:color w:val="auto"/>
          <w:sz w:val="28"/>
          <w:szCs w:val="28"/>
        </w:rPr>
      </w:pPr>
      <w:bookmarkStart w:id="784" w:name="_Toc53557267"/>
      <w:bookmarkStart w:id="785" w:name="_Toc54699309"/>
      <w:bookmarkStart w:id="786" w:name="_Toc55544843"/>
      <w:bookmarkEnd w:id="784"/>
      <w:bookmarkEnd w:id="785"/>
      <w:bookmarkEnd w:id="786"/>
    </w:p>
    <w:p w14:paraId="413206C5" w14:textId="77777777" w:rsidR="008B39F1" w:rsidRPr="009A41E4" w:rsidRDefault="008B39F1" w:rsidP="007057E6">
      <w:pPr>
        <w:pStyle w:val="ListParagraph"/>
        <w:keepNext/>
        <w:keepLines/>
        <w:numPr>
          <w:ilvl w:val="0"/>
          <w:numId w:val="21"/>
        </w:numPr>
        <w:shd w:val="clear" w:color="auto" w:fill="FFFFFF" w:themeFill="background1"/>
        <w:spacing w:before="480" w:after="60" w:line="264" w:lineRule="auto"/>
        <w:contextualSpacing w:val="0"/>
        <w:outlineLvl w:val="0"/>
        <w:rPr>
          <w:rFonts w:asciiTheme="majorHAnsi" w:eastAsia="Times New Roman" w:hAnsiTheme="majorHAnsi" w:cstheme="majorHAnsi"/>
          <w:b/>
          <w:vanish/>
          <w:color w:val="auto"/>
          <w:sz w:val="28"/>
          <w:szCs w:val="28"/>
        </w:rPr>
      </w:pPr>
      <w:bookmarkStart w:id="787" w:name="_Toc53557268"/>
      <w:bookmarkStart w:id="788" w:name="_Toc54699310"/>
      <w:bookmarkStart w:id="789" w:name="_Toc55544844"/>
      <w:bookmarkEnd w:id="787"/>
      <w:bookmarkEnd w:id="788"/>
      <w:bookmarkEnd w:id="789"/>
    </w:p>
    <w:p w14:paraId="5340EC3E" w14:textId="77777777" w:rsidR="009A41E4" w:rsidRPr="009A41E4" w:rsidRDefault="009A41E4" w:rsidP="009A41E4">
      <w:pPr>
        <w:pStyle w:val="ListParagraph"/>
        <w:keepNext/>
        <w:keepLines/>
        <w:numPr>
          <w:ilvl w:val="1"/>
          <w:numId w:val="21"/>
        </w:numPr>
        <w:shd w:val="clear" w:color="auto" w:fill="FFFFFF" w:themeFill="background1"/>
        <w:spacing w:after="160" w:line="264" w:lineRule="auto"/>
        <w:contextualSpacing w:val="0"/>
        <w:outlineLvl w:val="1"/>
        <w:rPr>
          <w:rFonts w:asciiTheme="majorHAnsi" w:hAnsiTheme="majorHAnsi" w:cstheme="majorHAnsi"/>
          <w:b/>
          <w:vanish/>
          <w:color w:val="auto"/>
        </w:rPr>
      </w:pPr>
      <w:bookmarkStart w:id="790" w:name="_Toc53557269"/>
      <w:bookmarkStart w:id="791" w:name="_Toc54699311"/>
      <w:bookmarkStart w:id="792" w:name="_Toc55544845"/>
      <w:bookmarkStart w:id="793" w:name="_Toc51917052"/>
      <w:bookmarkStart w:id="794" w:name="_Toc51918892"/>
      <w:bookmarkEnd w:id="790"/>
      <w:bookmarkEnd w:id="791"/>
      <w:bookmarkEnd w:id="792"/>
    </w:p>
    <w:bookmarkEnd w:id="793"/>
    <w:bookmarkEnd w:id="794"/>
    <w:p w14:paraId="3EBAAE44" w14:textId="391C96D6" w:rsidR="00F45DC3" w:rsidRPr="007057E6" w:rsidRDefault="00F45DC3" w:rsidP="007057E6">
      <w:r>
        <w:rPr>
          <w:rFonts w:asciiTheme="majorHAnsi" w:hAnsiTheme="majorHAnsi" w:cstheme="majorHAnsi"/>
        </w:rPr>
        <w:t xml:space="preserve">The </w:t>
      </w:r>
      <w:r w:rsidR="00F32328">
        <w:rPr>
          <w:rFonts w:asciiTheme="majorHAnsi" w:hAnsiTheme="majorHAnsi" w:cstheme="majorHAnsi"/>
        </w:rPr>
        <w:t>NCGP</w:t>
      </w:r>
      <w:r>
        <w:rPr>
          <w:rFonts w:asciiTheme="majorHAnsi" w:hAnsiTheme="majorHAnsi" w:cstheme="majorHAnsi"/>
        </w:rPr>
        <w:t xml:space="preserve"> constitutes approximately eight per cent of the Australian Government’s investment in R&amp;D. </w:t>
      </w:r>
      <w:r w:rsidR="007D1B4B" w:rsidRPr="00B77EBE">
        <w:rPr>
          <w:rFonts w:asciiTheme="majorHAnsi" w:hAnsiTheme="majorHAnsi" w:cstheme="majorHAnsi"/>
        </w:rPr>
        <w:t>Discovery Projects is the ARC’s largest scheme, constituting almost 40 per cent of all NCGP funding announced since 2002.</w:t>
      </w:r>
      <w:r w:rsidR="007D1B4B">
        <w:rPr>
          <w:rFonts w:asciiTheme="majorHAnsi" w:hAnsiTheme="majorHAnsi" w:cstheme="majorHAnsi"/>
        </w:rPr>
        <w:t xml:space="preserve"> </w:t>
      </w:r>
      <w:r w:rsidR="003358DF">
        <w:rPr>
          <w:rFonts w:asciiTheme="majorHAnsi" w:hAnsiTheme="majorHAnsi" w:cstheme="majorHAnsi"/>
        </w:rPr>
        <w:t xml:space="preserve">As discussed </w:t>
      </w:r>
      <w:r w:rsidR="00E03817">
        <w:rPr>
          <w:rFonts w:asciiTheme="majorHAnsi" w:hAnsiTheme="majorHAnsi" w:cstheme="majorHAnsi"/>
        </w:rPr>
        <w:t xml:space="preserve">throughout this report, the scheme </w:t>
      </w:r>
      <w:r w:rsidR="00B902A8">
        <w:rPr>
          <w:rFonts w:asciiTheme="majorHAnsi" w:hAnsiTheme="majorHAnsi" w:cstheme="majorHAnsi"/>
        </w:rPr>
        <w:t xml:space="preserve">has </w:t>
      </w:r>
      <w:r w:rsidR="00343091">
        <w:rPr>
          <w:rFonts w:asciiTheme="majorHAnsi" w:hAnsiTheme="majorHAnsi" w:cstheme="majorHAnsi"/>
        </w:rPr>
        <w:t>provided support</w:t>
      </w:r>
      <w:r w:rsidR="00E03817">
        <w:rPr>
          <w:rFonts w:asciiTheme="majorHAnsi" w:hAnsiTheme="majorHAnsi" w:cstheme="majorHAnsi"/>
        </w:rPr>
        <w:t xml:space="preserve"> </w:t>
      </w:r>
      <w:r w:rsidR="00B902A8">
        <w:rPr>
          <w:rFonts w:asciiTheme="majorHAnsi" w:hAnsiTheme="majorHAnsi" w:cstheme="majorHAnsi"/>
        </w:rPr>
        <w:t xml:space="preserve">for </w:t>
      </w:r>
      <w:r w:rsidR="00E03817">
        <w:rPr>
          <w:rFonts w:asciiTheme="majorHAnsi" w:hAnsiTheme="majorHAnsi" w:cstheme="majorHAnsi"/>
        </w:rPr>
        <w:t xml:space="preserve">both basic and applied research </w:t>
      </w:r>
      <w:r w:rsidR="00B902A8">
        <w:rPr>
          <w:rFonts w:asciiTheme="majorHAnsi" w:hAnsiTheme="majorHAnsi" w:cstheme="majorHAnsi"/>
        </w:rPr>
        <w:t xml:space="preserve">since its inception </w:t>
      </w:r>
      <w:r w:rsidR="00E03817">
        <w:rPr>
          <w:rFonts w:asciiTheme="majorHAnsi" w:hAnsiTheme="majorHAnsi" w:cstheme="majorHAnsi"/>
        </w:rPr>
        <w:t>and, a</w:t>
      </w:r>
      <w:r w:rsidR="0093784B">
        <w:rPr>
          <w:rFonts w:asciiTheme="majorHAnsi" w:hAnsiTheme="majorHAnsi" w:cstheme="majorHAnsi"/>
        </w:rPr>
        <w:t xml:space="preserve">s </w:t>
      </w:r>
      <w:r w:rsidR="0093784B" w:rsidRPr="001D3E16">
        <w:rPr>
          <w:rFonts w:asciiTheme="majorHAnsi" w:hAnsiTheme="majorHAnsi" w:cstheme="majorHAnsi"/>
        </w:rPr>
        <w:t xml:space="preserve">noted in </w:t>
      </w:r>
      <w:hyperlink w:anchor="_ARC_data—excellent_basic" w:history="1">
        <w:r w:rsidR="0093784B" w:rsidRPr="00281670">
          <w:rPr>
            <w:rStyle w:val="Hyperlink"/>
            <w:rFonts w:cstheme="majorHAnsi"/>
            <w:color w:val="auto"/>
            <w:sz w:val="22"/>
            <w:u w:val="none"/>
          </w:rPr>
          <w:t xml:space="preserve">Section </w:t>
        </w:r>
        <w:r w:rsidR="00BC1A29" w:rsidRPr="00281670">
          <w:rPr>
            <w:rStyle w:val="Hyperlink"/>
            <w:rFonts w:cstheme="majorHAnsi"/>
            <w:color w:val="auto"/>
            <w:sz w:val="22"/>
            <w:u w:val="none"/>
          </w:rPr>
          <w:t>3.2.1</w:t>
        </w:r>
      </w:hyperlink>
      <w:r w:rsidR="0093784B" w:rsidRPr="001D3E16">
        <w:rPr>
          <w:rFonts w:asciiTheme="majorHAnsi" w:hAnsiTheme="majorHAnsi" w:cstheme="majorHAnsi"/>
        </w:rPr>
        <w:t>, has</w:t>
      </w:r>
      <w:r w:rsidR="0093784B" w:rsidRPr="001B214A">
        <w:rPr>
          <w:rFonts w:asciiTheme="majorHAnsi" w:hAnsiTheme="majorHAnsi" w:cstheme="majorHAnsi"/>
        </w:rPr>
        <w:t xml:space="preserve"> </w:t>
      </w:r>
      <w:r w:rsidR="0093784B">
        <w:rPr>
          <w:rFonts w:asciiTheme="majorHAnsi" w:hAnsiTheme="majorHAnsi" w:cstheme="majorHAnsi"/>
        </w:rPr>
        <w:t xml:space="preserve">supported an increasing proportion of basic research over time. </w:t>
      </w:r>
      <w:r w:rsidR="00AC7657">
        <w:rPr>
          <w:rFonts w:asciiTheme="majorHAnsi" w:hAnsiTheme="majorHAnsi" w:cstheme="majorHAnsi"/>
        </w:rPr>
        <w:t xml:space="preserve">In this way, </w:t>
      </w:r>
      <w:r w:rsidR="00EA522E">
        <w:rPr>
          <w:rFonts w:asciiTheme="majorHAnsi" w:hAnsiTheme="majorHAnsi" w:cstheme="majorHAnsi"/>
        </w:rPr>
        <w:t>Discovery Projects</w:t>
      </w:r>
      <w:r w:rsidR="00AC7657">
        <w:rPr>
          <w:rFonts w:asciiTheme="majorHAnsi" w:hAnsiTheme="majorHAnsi" w:cstheme="majorHAnsi"/>
        </w:rPr>
        <w:t xml:space="preserve"> plays a distinct role</w:t>
      </w:r>
      <w:r w:rsidR="00343091">
        <w:rPr>
          <w:rFonts w:asciiTheme="majorHAnsi" w:hAnsiTheme="majorHAnsi" w:cstheme="majorHAnsi"/>
        </w:rPr>
        <w:t xml:space="preserve"> with</w:t>
      </w:r>
      <w:r w:rsidR="00AC7657">
        <w:rPr>
          <w:rFonts w:asciiTheme="majorHAnsi" w:hAnsiTheme="majorHAnsi" w:cstheme="majorHAnsi"/>
        </w:rPr>
        <w:t>in</w:t>
      </w:r>
      <w:r w:rsidR="00343091">
        <w:rPr>
          <w:rFonts w:asciiTheme="majorHAnsi" w:hAnsiTheme="majorHAnsi" w:cstheme="majorHAnsi"/>
        </w:rPr>
        <w:t xml:space="preserve"> </w:t>
      </w:r>
      <w:r w:rsidRPr="00B77EBE">
        <w:rPr>
          <w:rFonts w:asciiTheme="majorHAnsi" w:hAnsiTheme="majorHAnsi" w:cstheme="majorHAnsi"/>
        </w:rPr>
        <w:t xml:space="preserve">Australia’s broader </w:t>
      </w:r>
      <w:r w:rsidR="0092515D">
        <w:rPr>
          <w:rFonts w:asciiTheme="majorHAnsi" w:hAnsiTheme="majorHAnsi" w:cstheme="majorHAnsi"/>
        </w:rPr>
        <w:t>R&amp;D</w:t>
      </w:r>
      <w:r w:rsidRPr="00B77EBE">
        <w:rPr>
          <w:rFonts w:asciiTheme="majorHAnsi" w:hAnsiTheme="majorHAnsi" w:cstheme="majorHAnsi"/>
        </w:rPr>
        <w:t xml:space="preserve"> effort</w:t>
      </w:r>
      <w:r w:rsidR="00343091">
        <w:rPr>
          <w:rFonts w:asciiTheme="majorHAnsi" w:hAnsiTheme="majorHAnsi" w:cstheme="majorHAnsi"/>
        </w:rPr>
        <w:t>, which</w:t>
      </w:r>
      <w:r w:rsidR="008616AF">
        <w:rPr>
          <w:rFonts w:asciiTheme="majorHAnsi" w:hAnsiTheme="majorHAnsi" w:cstheme="majorHAnsi"/>
        </w:rPr>
        <w:t xml:space="preserve"> is</w:t>
      </w:r>
      <w:r w:rsidR="00E73A7B">
        <w:rPr>
          <w:rFonts w:asciiTheme="majorHAnsi" w:hAnsiTheme="majorHAnsi" w:cstheme="majorHAnsi"/>
        </w:rPr>
        <w:t xml:space="preserve"> </w:t>
      </w:r>
      <w:r w:rsidR="0008362F">
        <w:rPr>
          <w:rFonts w:asciiTheme="majorHAnsi" w:hAnsiTheme="majorHAnsi" w:cstheme="majorHAnsi"/>
        </w:rPr>
        <w:t>substantially weighted towards</w:t>
      </w:r>
      <w:r w:rsidR="00E73A7B">
        <w:rPr>
          <w:rFonts w:asciiTheme="majorHAnsi" w:hAnsiTheme="majorHAnsi" w:cstheme="majorHAnsi"/>
        </w:rPr>
        <w:t xml:space="preserve"> applied research</w:t>
      </w:r>
      <w:r w:rsidRPr="00B77EBE">
        <w:rPr>
          <w:rFonts w:asciiTheme="majorHAnsi" w:hAnsiTheme="majorHAnsi" w:cstheme="majorHAnsi"/>
        </w:rPr>
        <w:t xml:space="preserve">, in </w:t>
      </w:r>
      <w:r w:rsidR="000549D9">
        <w:rPr>
          <w:rFonts w:asciiTheme="majorHAnsi" w:hAnsiTheme="majorHAnsi" w:cstheme="majorHAnsi"/>
        </w:rPr>
        <w:t>terms of</w:t>
      </w:r>
      <w:r w:rsidRPr="00B77EBE">
        <w:rPr>
          <w:rFonts w:asciiTheme="majorHAnsi" w:hAnsiTheme="majorHAnsi" w:cstheme="majorHAnsi"/>
        </w:rPr>
        <w:t xml:space="preserve"> </w:t>
      </w:r>
      <w:r w:rsidR="0092515D">
        <w:rPr>
          <w:rFonts w:asciiTheme="majorHAnsi" w:hAnsiTheme="majorHAnsi" w:cstheme="majorHAnsi"/>
        </w:rPr>
        <w:t>both</w:t>
      </w:r>
      <w:r w:rsidRPr="00B77EBE">
        <w:rPr>
          <w:rFonts w:asciiTheme="majorHAnsi" w:hAnsiTheme="majorHAnsi" w:cstheme="majorHAnsi"/>
        </w:rPr>
        <w:t xml:space="preserve"> government </w:t>
      </w:r>
      <w:r w:rsidR="00276A7C">
        <w:rPr>
          <w:rFonts w:asciiTheme="majorHAnsi" w:hAnsiTheme="majorHAnsi" w:cstheme="majorHAnsi"/>
        </w:rPr>
        <w:t xml:space="preserve">funding </w:t>
      </w:r>
      <w:r w:rsidRPr="00B77EBE">
        <w:rPr>
          <w:rFonts w:asciiTheme="majorHAnsi" w:hAnsiTheme="majorHAnsi" w:cstheme="majorHAnsi"/>
        </w:rPr>
        <w:t xml:space="preserve">sources and economy-wide R&amp;D </w:t>
      </w:r>
      <w:r w:rsidR="007C6A2D">
        <w:rPr>
          <w:rFonts w:asciiTheme="majorHAnsi" w:hAnsiTheme="majorHAnsi" w:cstheme="majorHAnsi"/>
        </w:rPr>
        <w:t>expenditure</w:t>
      </w:r>
      <w:r w:rsidRPr="00B77EBE">
        <w:rPr>
          <w:rFonts w:asciiTheme="majorHAnsi" w:hAnsiTheme="majorHAnsi" w:cstheme="majorHAnsi"/>
        </w:rPr>
        <w:t xml:space="preserve">. </w:t>
      </w:r>
      <w:r>
        <w:rPr>
          <w:rFonts w:asciiTheme="majorHAnsi" w:hAnsiTheme="majorHAnsi" w:cstheme="majorHAnsi"/>
        </w:rPr>
        <w:t>The proportion of higher education R&amp;D expenditure directed to pure and strategic basic research has declined over time</w:t>
      </w:r>
      <w:r w:rsidR="00270D43">
        <w:rPr>
          <w:rFonts w:asciiTheme="majorHAnsi" w:hAnsiTheme="majorHAnsi" w:cstheme="majorHAnsi"/>
        </w:rPr>
        <w:t>, and</w:t>
      </w:r>
      <w:r w:rsidR="00E73A7B">
        <w:rPr>
          <w:rFonts w:asciiTheme="majorHAnsi" w:hAnsiTheme="majorHAnsi" w:cstheme="majorHAnsi"/>
        </w:rPr>
        <w:t xml:space="preserve"> </w:t>
      </w:r>
      <w:r w:rsidR="00270D43">
        <w:rPr>
          <w:rFonts w:asciiTheme="majorHAnsi" w:hAnsiTheme="majorHAnsi" w:cstheme="majorHAnsi"/>
        </w:rPr>
        <w:t>l</w:t>
      </w:r>
      <w:r w:rsidR="00E73A7B">
        <w:rPr>
          <w:rFonts w:asciiTheme="majorHAnsi" w:hAnsiTheme="majorHAnsi" w:cstheme="majorHAnsi"/>
        </w:rPr>
        <w:t xml:space="preserve">imited pure basic research occurs outside of </w:t>
      </w:r>
      <w:r w:rsidR="00270D43">
        <w:rPr>
          <w:rFonts w:asciiTheme="majorHAnsi" w:hAnsiTheme="majorHAnsi" w:cstheme="majorHAnsi"/>
        </w:rPr>
        <w:t>university</w:t>
      </w:r>
      <w:r w:rsidR="00E73A7B">
        <w:rPr>
          <w:rFonts w:asciiTheme="majorHAnsi" w:hAnsiTheme="majorHAnsi" w:cstheme="majorHAnsi"/>
        </w:rPr>
        <w:t xml:space="preserve"> contexts </w:t>
      </w:r>
      <w:r w:rsidR="007D1B4B">
        <w:rPr>
          <w:rFonts w:asciiTheme="majorHAnsi" w:hAnsiTheme="majorHAnsi" w:cstheme="majorHAnsi"/>
        </w:rPr>
        <w:t>in Australia.</w:t>
      </w:r>
      <w:r w:rsidR="0074695C" w:rsidDel="0093784B">
        <w:rPr>
          <w:rFonts w:asciiTheme="majorHAnsi" w:hAnsiTheme="majorHAnsi" w:cstheme="majorHAnsi"/>
        </w:rPr>
        <w:t xml:space="preserve"> </w:t>
      </w:r>
      <w:r w:rsidR="0074695C">
        <w:rPr>
          <w:rFonts w:asciiTheme="majorHAnsi" w:hAnsiTheme="majorHAnsi" w:cstheme="majorHAnsi"/>
        </w:rPr>
        <w:t xml:space="preserve">Further detail on Australia’s research funding landscape is provided in </w:t>
      </w:r>
      <w:hyperlink w:anchor="_Appendix_F:_Research" w:history="1">
        <w:r w:rsidR="0074695C" w:rsidRPr="00CC2533">
          <w:rPr>
            <w:rFonts w:asciiTheme="majorHAnsi" w:hAnsiTheme="majorHAnsi" w:cstheme="majorHAnsi"/>
          </w:rPr>
          <w:t xml:space="preserve">Appendix </w:t>
        </w:r>
        <w:r w:rsidR="004750BF" w:rsidRPr="00CC2533">
          <w:rPr>
            <w:rFonts w:asciiTheme="majorHAnsi" w:hAnsiTheme="majorHAnsi" w:cstheme="majorHAnsi"/>
          </w:rPr>
          <w:t>F</w:t>
        </w:r>
      </w:hyperlink>
      <w:r w:rsidR="0074695C">
        <w:rPr>
          <w:rFonts w:asciiTheme="majorHAnsi" w:hAnsiTheme="majorHAnsi" w:cstheme="majorHAnsi"/>
        </w:rPr>
        <w:t xml:space="preserve">. </w:t>
      </w:r>
    </w:p>
    <w:p w14:paraId="3FA1D406" w14:textId="69A303AC" w:rsidR="00B77EBE" w:rsidRPr="00B77EBE" w:rsidRDefault="00B77EBE" w:rsidP="003007BD">
      <w:pPr>
        <w:pStyle w:val="Heading3"/>
        <w:numPr>
          <w:ilvl w:val="2"/>
          <w:numId w:val="17"/>
        </w:numPr>
      </w:pPr>
      <w:bookmarkStart w:id="795" w:name="_Toc51917053"/>
      <w:bookmarkStart w:id="796" w:name="_Toc51918893"/>
      <w:bookmarkStart w:id="797" w:name="_Quantitative_stakeholder_views—appr"/>
      <w:bookmarkStart w:id="798" w:name="_Toc50533644"/>
      <w:bookmarkStart w:id="799" w:name="_Toc50553794"/>
      <w:bookmarkStart w:id="800" w:name="_Toc50555031"/>
      <w:bookmarkStart w:id="801" w:name="_Toc50618165"/>
      <w:bookmarkStart w:id="802" w:name="_Toc50618445"/>
      <w:bookmarkStart w:id="803" w:name="_Toc51917054"/>
      <w:bookmarkStart w:id="804" w:name="_Toc51918894"/>
      <w:bookmarkStart w:id="805" w:name="_Toc53557270"/>
      <w:bookmarkStart w:id="806" w:name="_Toc54699312"/>
      <w:bookmarkStart w:id="807" w:name="_Toc55544846"/>
      <w:bookmarkEnd w:id="795"/>
      <w:bookmarkEnd w:id="796"/>
      <w:bookmarkEnd w:id="797"/>
      <w:r w:rsidRPr="00B77EBE">
        <w:t>Quantitative stakeholder views—appropriateness of Discovery Projects’ role</w:t>
      </w:r>
      <w:bookmarkEnd w:id="798"/>
      <w:bookmarkEnd w:id="799"/>
      <w:bookmarkEnd w:id="800"/>
      <w:bookmarkEnd w:id="801"/>
      <w:bookmarkEnd w:id="802"/>
      <w:bookmarkEnd w:id="803"/>
      <w:bookmarkEnd w:id="804"/>
      <w:bookmarkEnd w:id="805"/>
      <w:bookmarkEnd w:id="806"/>
      <w:bookmarkEnd w:id="807"/>
    </w:p>
    <w:p w14:paraId="3E4FB15D" w14:textId="76817F37" w:rsidR="00B77EBE" w:rsidRPr="00B77EBE" w:rsidRDefault="00B77EBE" w:rsidP="00B77EBE">
      <w:pPr>
        <w:rPr>
          <w:rFonts w:asciiTheme="majorHAnsi" w:hAnsiTheme="majorHAnsi" w:cstheme="majorHAnsi"/>
        </w:rPr>
      </w:pPr>
      <w:r w:rsidRPr="00B77EBE">
        <w:rPr>
          <w:rFonts w:asciiTheme="majorHAnsi" w:hAnsiTheme="majorHAnsi" w:cstheme="majorHAnsi"/>
        </w:rPr>
        <w:t xml:space="preserve">Survey participants </w:t>
      </w:r>
      <w:r w:rsidR="007D7838">
        <w:rPr>
          <w:rFonts w:asciiTheme="majorHAnsi" w:hAnsiTheme="majorHAnsi" w:cstheme="majorHAnsi"/>
        </w:rPr>
        <w:t xml:space="preserve">predominantly </w:t>
      </w:r>
      <w:r w:rsidR="00FA203C">
        <w:rPr>
          <w:rFonts w:asciiTheme="majorHAnsi" w:hAnsiTheme="majorHAnsi" w:cstheme="majorHAnsi"/>
        </w:rPr>
        <w:t>agreed that</w:t>
      </w:r>
      <w:r w:rsidRPr="00B77EBE">
        <w:rPr>
          <w:rFonts w:asciiTheme="majorHAnsi" w:hAnsiTheme="majorHAnsi" w:cstheme="majorHAnsi"/>
        </w:rPr>
        <w:t xml:space="preserve"> the Discovery Projects scheme’s role within the Australian research funding landscape</w:t>
      </w:r>
      <w:r w:rsidR="00FA203C">
        <w:rPr>
          <w:rFonts w:asciiTheme="majorHAnsi" w:hAnsiTheme="majorHAnsi" w:cstheme="majorHAnsi"/>
        </w:rPr>
        <w:t xml:space="preserve"> </w:t>
      </w:r>
      <w:r w:rsidR="007D7838">
        <w:rPr>
          <w:rFonts w:asciiTheme="majorHAnsi" w:hAnsiTheme="majorHAnsi" w:cstheme="majorHAnsi"/>
        </w:rPr>
        <w:t>w</w:t>
      </w:r>
      <w:r w:rsidR="00FA203C">
        <w:rPr>
          <w:rFonts w:asciiTheme="majorHAnsi" w:hAnsiTheme="majorHAnsi" w:cstheme="majorHAnsi"/>
        </w:rPr>
        <w:t>as appropriate</w:t>
      </w:r>
      <w:r w:rsidRPr="00B77EBE">
        <w:rPr>
          <w:rFonts w:asciiTheme="majorHAnsi" w:hAnsiTheme="majorHAnsi" w:cstheme="majorHAnsi"/>
        </w:rPr>
        <w:t xml:space="preserve">. As shown in </w:t>
      </w:r>
      <w:r w:rsidRPr="00B77EBE">
        <w:rPr>
          <w:rFonts w:asciiTheme="majorHAnsi" w:hAnsiTheme="majorHAnsi" w:cstheme="majorHAnsi"/>
        </w:rPr>
        <w:fldChar w:fldCharType="begin"/>
      </w:r>
      <w:r w:rsidRPr="00B77EBE">
        <w:rPr>
          <w:rFonts w:asciiTheme="majorHAnsi" w:hAnsiTheme="majorHAnsi" w:cstheme="majorHAnsi"/>
        </w:rPr>
        <w:instrText xml:space="preserve"> REF _Ref48200135 \h  \* MERGEFORMAT </w:instrText>
      </w:r>
      <w:r w:rsidRPr="00B77EBE">
        <w:rPr>
          <w:rFonts w:asciiTheme="majorHAnsi" w:hAnsiTheme="majorHAnsi" w:cstheme="majorHAnsi"/>
        </w:rPr>
      </w:r>
      <w:r w:rsidRPr="00B77EBE">
        <w:rPr>
          <w:rFonts w:asciiTheme="majorHAnsi" w:hAnsiTheme="majorHAnsi" w:cstheme="majorHAnsi"/>
        </w:rPr>
        <w:fldChar w:fldCharType="separate"/>
      </w:r>
      <w:r w:rsidR="00AB03D7" w:rsidRPr="00AB03D7">
        <w:rPr>
          <w:rFonts w:asciiTheme="majorHAnsi" w:hAnsiTheme="majorHAnsi" w:cstheme="majorHAnsi"/>
        </w:rPr>
        <w:t xml:space="preserve">Figure </w:t>
      </w:r>
      <w:r w:rsidR="00AB03D7" w:rsidRPr="00AB03D7">
        <w:rPr>
          <w:rFonts w:asciiTheme="majorHAnsi" w:hAnsiTheme="majorHAnsi" w:cstheme="majorHAnsi"/>
          <w:noProof/>
        </w:rPr>
        <w:t>39</w:t>
      </w:r>
      <w:r w:rsidRPr="00B77EBE">
        <w:rPr>
          <w:rFonts w:asciiTheme="majorHAnsi" w:hAnsiTheme="majorHAnsi" w:cstheme="majorHAnsi"/>
        </w:rPr>
        <w:fldChar w:fldCharType="end"/>
      </w:r>
      <w:r w:rsidRPr="00B77EBE">
        <w:rPr>
          <w:rFonts w:asciiTheme="majorHAnsi" w:hAnsiTheme="majorHAnsi" w:cstheme="majorHAnsi"/>
        </w:rPr>
        <w:t xml:space="preserve">, approximately two-thirds of researchers believed that the scheme was unique compared to both other NCGP schemes (68 per cent) and within the broader funding landscape (64 per cent). Similar proportions agreed that Discovery Projects complemented other ARC schemes (69 per cent), and other available sources of research funding (64 per cent). </w:t>
      </w:r>
    </w:p>
    <w:p w14:paraId="125405B2" w14:textId="1DAAC7A3" w:rsidR="00B77EBE" w:rsidRPr="00B77EBE" w:rsidRDefault="00B77EBE" w:rsidP="00751469">
      <w:pPr>
        <w:pStyle w:val="FigureTitle"/>
      </w:pPr>
      <w:bookmarkStart w:id="808" w:name="_Ref48200135"/>
      <w:r w:rsidRPr="00B77EBE">
        <w:t xml:space="preserve">Figure </w:t>
      </w:r>
      <w:r w:rsidR="00857467">
        <w:fldChar w:fldCharType="begin"/>
      </w:r>
      <w:r w:rsidR="00857467">
        <w:instrText xml:space="preserve"> SEQ Figure \* ARABIC </w:instrText>
      </w:r>
      <w:r w:rsidR="00857467">
        <w:fldChar w:fldCharType="separate"/>
      </w:r>
      <w:r w:rsidR="00AB03D7">
        <w:rPr>
          <w:noProof/>
        </w:rPr>
        <w:t>39</w:t>
      </w:r>
      <w:r w:rsidR="00857467">
        <w:rPr>
          <w:noProof/>
        </w:rPr>
        <w:fldChar w:fldCharType="end"/>
      </w:r>
      <w:bookmarkEnd w:id="808"/>
      <w:r w:rsidRPr="00B77EBE">
        <w:t>: Position of Discovery Projects within the broader research funding landscape</w:t>
      </w:r>
    </w:p>
    <w:p w14:paraId="3C6B2706" w14:textId="4445829F" w:rsidR="00B77EBE" w:rsidRPr="00B77EBE" w:rsidRDefault="000E5749" w:rsidP="00B77EBE">
      <w:pPr>
        <w:rPr>
          <w:rFonts w:asciiTheme="majorHAnsi" w:hAnsiTheme="majorHAnsi" w:cstheme="majorHAnsi"/>
        </w:rPr>
      </w:pPr>
      <w:r>
        <w:rPr>
          <w:rFonts w:asciiTheme="majorHAnsi" w:hAnsiTheme="majorHAnsi" w:cstheme="majorHAnsi"/>
          <w:noProof/>
        </w:rPr>
        <w:drawing>
          <wp:inline distT="0" distB="0" distL="0" distR="0" wp14:anchorId="1B12CB51" wp14:editId="2FA8A5F0">
            <wp:extent cx="5730875" cy="2329180"/>
            <wp:effectExtent l="0" t="0" r="3175" b="0"/>
            <wp:docPr id="96" name="Picture 96" descr="Figure 39 is a graph showing the level of agreement among survey respondents about the uniqueness, complementarity and overlap of Discovery Projects with other sources of NCGP funding, and other sources of funding within the broader research funding landscape. See text above and below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39 is a graph showing the level of agreement among survey respondents about the uniqueness, complementarity and overlap of Discovery Projects with other sources of NCGP funding, and other sources of funding within the broader research funding landscape. See text above and below graph for more inform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875" cy="2329180"/>
                    </a:xfrm>
                    <a:prstGeom prst="rect">
                      <a:avLst/>
                    </a:prstGeom>
                    <a:noFill/>
                  </pic:spPr>
                </pic:pic>
              </a:graphicData>
            </a:graphic>
          </wp:inline>
        </w:drawing>
      </w:r>
    </w:p>
    <w:p w14:paraId="75C4F535" w14:textId="77777777" w:rsidR="00B77EBE" w:rsidRPr="00B77EBE" w:rsidRDefault="00B77EBE" w:rsidP="00B77EBE">
      <w:pPr>
        <w:spacing w:after="120"/>
        <w:rPr>
          <w:rFonts w:asciiTheme="majorHAnsi" w:hAnsiTheme="majorHAnsi" w:cstheme="majorHAnsi"/>
          <w:sz w:val="16"/>
          <w:szCs w:val="16"/>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Note: (n=2992–3055).</w:t>
      </w:r>
    </w:p>
    <w:p w14:paraId="1FFFDEE7" w14:textId="269817F2" w:rsidR="00B77EBE" w:rsidRPr="00B77EBE" w:rsidRDefault="009B3F57" w:rsidP="00B77EBE">
      <w:pPr>
        <w:rPr>
          <w:rFonts w:asciiTheme="majorHAnsi" w:hAnsiTheme="majorHAnsi" w:cstheme="majorHAnsi"/>
        </w:rPr>
      </w:pPr>
      <w:r>
        <w:rPr>
          <w:rFonts w:asciiTheme="majorHAnsi" w:hAnsiTheme="majorHAnsi" w:cstheme="majorHAnsi"/>
        </w:rPr>
        <w:lastRenderedPageBreak/>
        <w:t>Conversely</w:t>
      </w:r>
      <w:r w:rsidR="00B77EBE" w:rsidRPr="00B77EBE">
        <w:rPr>
          <w:rFonts w:asciiTheme="majorHAnsi" w:hAnsiTheme="majorHAnsi" w:cstheme="majorHAnsi"/>
        </w:rPr>
        <w:t xml:space="preserve">, approximately one-fifth (19 per cent) of survey participants agreed or strongly agreed that Discovery Projects overlapped with other ARC schemes and 17 per cent believed that it overlapped with other non-ARC funding sources. Qualitative responses provided some indication of the </w:t>
      </w:r>
      <w:r w:rsidR="00631F3E">
        <w:rPr>
          <w:rFonts w:asciiTheme="majorHAnsi" w:hAnsiTheme="majorHAnsi" w:cstheme="majorHAnsi"/>
        </w:rPr>
        <w:t>nature</w:t>
      </w:r>
      <w:r w:rsidR="00631F3E" w:rsidRPr="00B77EBE">
        <w:rPr>
          <w:rFonts w:asciiTheme="majorHAnsi" w:hAnsiTheme="majorHAnsi" w:cstheme="majorHAnsi"/>
        </w:rPr>
        <w:t xml:space="preserve"> </w:t>
      </w:r>
      <w:r w:rsidR="00B77EBE" w:rsidRPr="00B77EBE">
        <w:rPr>
          <w:rFonts w:asciiTheme="majorHAnsi" w:hAnsiTheme="majorHAnsi" w:cstheme="majorHAnsi"/>
        </w:rPr>
        <w:t xml:space="preserve">of perceived overlaps, including elements within both the broader NCGP and non-ARC funding sources </w:t>
      </w:r>
      <w:r w:rsidR="004B04CD">
        <w:rPr>
          <w:rFonts w:asciiTheme="majorHAnsi" w:hAnsiTheme="majorHAnsi" w:cstheme="majorHAnsi"/>
        </w:rPr>
        <w:t xml:space="preserve">supporting </w:t>
      </w:r>
      <w:bookmarkStart w:id="809" w:name="_Hlk53474702"/>
      <w:r w:rsidR="00B77EBE" w:rsidRPr="00B77EBE">
        <w:rPr>
          <w:rFonts w:asciiTheme="majorHAnsi" w:hAnsiTheme="majorHAnsi" w:cstheme="majorHAnsi"/>
        </w:rPr>
        <w:t>applied research, collaboration</w:t>
      </w:r>
      <w:bookmarkEnd w:id="809"/>
      <w:r w:rsidR="001213B3">
        <w:rPr>
          <w:rFonts w:asciiTheme="majorHAnsi" w:hAnsiTheme="majorHAnsi" w:cstheme="majorHAnsi"/>
        </w:rPr>
        <w:t>,</w:t>
      </w:r>
      <w:r w:rsidR="00B77EBE" w:rsidRPr="00B77EBE">
        <w:rPr>
          <w:rFonts w:asciiTheme="majorHAnsi" w:hAnsiTheme="majorHAnsi" w:cstheme="majorHAnsi"/>
        </w:rPr>
        <w:t xml:space="preserve"> and the expansion of Australia’s </w:t>
      </w:r>
      <w:r w:rsidR="00832AAE">
        <w:rPr>
          <w:rFonts w:asciiTheme="majorHAnsi" w:hAnsiTheme="majorHAnsi" w:cstheme="majorHAnsi"/>
        </w:rPr>
        <w:t xml:space="preserve">knowledge base and </w:t>
      </w:r>
      <w:r w:rsidR="00B77EBE" w:rsidRPr="00B77EBE">
        <w:rPr>
          <w:rFonts w:asciiTheme="majorHAnsi" w:hAnsiTheme="majorHAnsi" w:cstheme="majorHAnsi"/>
        </w:rPr>
        <w:t>research capacity.</w:t>
      </w:r>
    </w:p>
    <w:p w14:paraId="2C511604" w14:textId="593D7160" w:rsidR="002B4243" w:rsidRDefault="00D01694" w:rsidP="007057E6">
      <w:r w:rsidRPr="00F40329">
        <w:rPr>
          <w:rFonts w:asciiTheme="majorHAnsi" w:hAnsiTheme="majorHAnsi" w:cstheme="majorHAnsi"/>
        </w:rPr>
        <w:fldChar w:fldCharType="begin"/>
      </w:r>
      <w:r w:rsidRPr="00D01694">
        <w:rPr>
          <w:rFonts w:asciiTheme="majorHAnsi" w:hAnsiTheme="majorHAnsi" w:cstheme="majorHAnsi"/>
        </w:rPr>
        <w:instrText xml:space="preserve"> REF _Ref52354423 \h </w:instrText>
      </w:r>
      <w:r w:rsidRPr="007057E6">
        <w:rPr>
          <w:rFonts w:asciiTheme="majorHAnsi" w:hAnsiTheme="majorHAnsi" w:cstheme="majorHAnsi"/>
        </w:rPr>
        <w:instrText xml:space="preserve"> \* MERGEFORMAT </w:instrText>
      </w:r>
      <w:r w:rsidRPr="00F40329">
        <w:rPr>
          <w:rFonts w:asciiTheme="majorHAnsi" w:hAnsiTheme="majorHAnsi" w:cstheme="majorHAnsi"/>
        </w:rPr>
      </w:r>
      <w:r w:rsidRPr="00F40329">
        <w:rPr>
          <w:rFonts w:asciiTheme="majorHAnsi" w:hAnsiTheme="majorHAnsi" w:cstheme="majorHAnsi"/>
        </w:rPr>
        <w:fldChar w:fldCharType="separate"/>
      </w:r>
      <w:r w:rsidR="00AB03D7" w:rsidRPr="00AB03D7">
        <w:rPr>
          <w:rFonts w:asciiTheme="majorHAnsi" w:hAnsiTheme="majorHAnsi" w:cstheme="majorHAnsi"/>
        </w:rPr>
        <w:t>Table 6</w:t>
      </w:r>
      <w:r w:rsidRPr="00F40329">
        <w:rPr>
          <w:rFonts w:asciiTheme="majorHAnsi" w:hAnsiTheme="majorHAnsi" w:cstheme="majorHAnsi"/>
        </w:rPr>
        <w:fldChar w:fldCharType="end"/>
      </w:r>
      <w:r w:rsidRPr="00D01694">
        <w:rPr>
          <w:rFonts w:asciiTheme="majorHAnsi" w:hAnsiTheme="majorHAnsi" w:cstheme="majorHAnsi"/>
        </w:rPr>
        <w:t xml:space="preserve"> </w:t>
      </w:r>
      <w:r w:rsidR="00B77EBE" w:rsidRPr="00D01694">
        <w:rPr>
          <w:rFonts w:asciiTheme="majorHAnsi" w:hAnsiTheme="majorHAnsi" w:cstheme="majorHAnsi"/>
        </w:rPr>
        <w:t>presents</w:t>
      </w:r>
      <w:r w:rsidR="00B77EBE" w:rsidRPr="00B77EBE">
        <w:rPr>
          <w:rFonts w:asciiTheme="majorHAnsi" w:hAnsiTheme="majorHAnsi" w:cstheme="majorHAnsi"/>
        </w:rPr>
        <w:t xml:space="preserve"> the views of survey participants—grouped according to the characteristics of their most recently completed project under the scheme—on Discovery Projects’ position within the research funding landscape. Researchers who had completed their projects within the past three years were more likely to view the scheme’s role as unique in relation to both the NCGP (75 per cent, compared to 69 per cent of those completing less recently) and non-ARC funding sources (71 per cent, compared to 63 per cent of those completing less recently). Those completing a project in the past three years were also more likely to agree that Discovery Projects complements other ARC schemes (77 per cent, compared to 67 per cent of those completing less recently) and other available research funding sources (71 per cent, compared to 60 per cent of those completing less recently). </w:t>
      </w:r>
    </w:p>
    <w:p w14:paraId="4FA8B3AD" w14:textId="616F9C95" w:rsidR="00D01694" w:rsidRPr="007057E6" w:rsidRDefault="00D01694" w:rsidP="00672942">
      <w:pPr>
        <w:pStyle w:val="TableTitle"/>
      </w:pPr>
      <w:bookmarkStart w:id="810" w:name="_Ref52354423"/>
      <w:r w:rsidRPr="007057E6">
        <w:t xml:space="preserve">Table </w:t>
      </w:r>
      <w:r w:rsidR="00857467">
        <w:fldChar w:fldCharType="begin"/>
      </w:r>
      <w:r w:rsidR="00857467">
        <w:instrText xml:space="preserve"> SEQ Table \* ARABIC </w:instrText>
      </w:r>
      <w:r w:rsidR="00857467">
        <w:fldChar w:fldCharType="separate"/>
      </w:r>
      <w:r w:rsidR="00AB03D7">
        <w:rPr>
          <w:noProof/>
        </w:rPr>
        <w:t>6</w:t>
      </w:r>
      <w:r w:rsidR="00857467">
        <w:rPr>
          <w:noProof/>
        </w:rPr>
        <w:fldChar w:fldCharType="end"/>
      </w:r>
      <w:bookmarkEnd w:id="810"/>
      <w:r w:rsidRPr="007057E6">
        <w:t>: Proportion of researchers agreeing about the position of Discovery Projects within the research funding landscape, by most recently completed Discovery Project characteristics</w:t>
      </w:r>
    </w:p>
    <w:tbl>
      <w:tblPr>
        <w:tblStyle w:val="GridTable413"/>
        <w:tblW w:w="9209" w:type="dxa"/>
        <w:tblLayout w:type="fixed"/>
        <w:tblLook w:val="04A0" w:firstRow="1" w:lastRow="0" w:firstColumn="1" w:lastColumn="0" w:noHBand="0" w:noVBand="1"/>
        <w:tblCaption w:val="Table 6: Proportion of researchers agreeing about the position of Discovery Projects within the research funding landscape, by most recently completed Discovery Project characteristics"/>
        <w:tblDescription w:val="Table 6 indicates the proportion of researchers surveyed agreeing about the uniqueness, complementarity and overlap of Discovery Projects with other NCGP schemes and within the broader research funding landscape. Researchers have been subcategorised according to information from their most recently completed Discovery Project. See text above table for more information.&#10;"/>
      </w:tblPr>
      <w:tblGrid>
        <w:gridCol w:w="1439"/>
        <w:gridCol w:w="683"/>
        <w:gridCol w:w="708"/>
        <w:gridCol w:w="952"/>
        <w:gridCol w:w="829"/>
        <w:gridCol w:w="839"/>
        <w:gridCol w:w="544"/>
        <w:gridCol w:w="566"/>
        <w:gridCol w:w="981"/>
        <w:gridCol w:w="676"/>
        <w:gridCol w:w="992"/>
      </w:tblGrid>
      <w:tr w:rsidR="00D228B7" w:rsidRPr="00B77EBE" w14:paraId="6858E37C" w14:textId="77777777" w:rsidTr="00CA1E0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39" w:type="dxa"/>
            <w:tcBorders>
              <w:bottom w:val="single" w:sz="4" w:space="0" w:color="262626"/>
            </w:tcBorders>
            <w:shd w:val="clear" w:color="auto" w:fill="262626"/>
          </w:tcPr>
          <w:p w14:paraId="602D1F31" w14:textId="77777777" w:rsidR="00D01694" w:rsidRPr="00B77EBE" w:rsidRDefault="00D01694" w:rsidP="008C3D07">
            <w:pPr>
              <w:spacing w:before="120" w:after="120"/>
              <w:rPr>
                <w:rFonts w:asciiTheme="majorHAnsi" w:hAnsiTheme="majorHAnsi" w:cstheme="majorHAnsi"/>
                <w:sz w:val="16"/>
                <w:szCs w:val="16"/>
              </w:rPr>
            </w:pPr>
          </w:p>
        </w:tc>
        <w:tc>
          <w:tcPr>
            <w:tcW w:w="7770" w:type="dxa"/>
            <w:gridSpan w:val="10"/>
            <w:tcBorders>
              <w:top w:val="nil"/>
              <w:bottom w:val="nil"/>
              <w:right w:val="nil"/>
            </w:tcBorders>
            <w:shd w:val="clear" w:color="auto" w:fill="262626"/>
          </w:tcPr>
          <w:p w14:paraId="3E128A85" w14:textId="77777777" w:rsidR="00D01694" w:rsidRPr="00B77EBE" w:rsidRDefault="00D01694" w:rsidP="008C3D0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B77EBE">
              <w:rPr>
                <w:rFonts w:asciiTheme="majorHAnsi" w:hAnsiTheme="majorHAnsi" w:cstheme="majorHAnsi"/>
              </w:rPr>
              <w:t xml:space="preserve">Research Project Characteristics  </w:t>
            </w:r>
          </w:p>
        </w:tc>
      </w:tr>
      <w:tr w:rsidR="00CA1E00" w:rsidRPr="00B77EBE" w14:paraId="2545390D" w14:textId="77777777" w:rsidTr="00353F27">
        <w:trPr>
          <w:cnfStyle w:val="000000100000" w:firstRow="0" w:lastRow="0" w:firstColumn="0" w:lastColumn="0" w:oddVBand="0" w:evenVBand="0" w:oddHBand="1" w:evenHBand="0" w:firstRowFirstColumn="0" w:firstRowLastColumn="0" w:lastRowFirstColumn="0" w:lastRowLastColumn="0"/>
          <w:cantSplit/>
          <w:trHeight w:val="1329"/>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262626"/>
              <w:left w:val="single" w:sz="4" w:space="0" w:color="262626"/>
              <w:bottom w:val="single" w:sz="4" w:space="0" w:color="262626"/>
              <w:right w:val="single" w:sz="4" w:space="0" w:color="262626"/>
            </w:tcBorders>
            <w:shd w:val="clear" w:color="auto" w:fill="262626"/>
            <w:vAlign w:val="bottom"/>
          </w:tcPr>
          <w:p w14:paraId="351BFDB7" w14:textId="77777777" w:rsidR="00D01694" w:rsidRPr="00B77EBE" w:rsidRDefault="00D01694" w:rsidP="008C3D07">
            <w:pPr>
              <w:spacing w:before="120" w:after="120"/>
              <w:rPr>
                <w:rFonts w:asciiTheme="majorHAnsi" w:hAnsiTheme="majorHAnsi" w:cstheme="majorHAnsi"/>
                <w:color w:val="FFFFFF"/>
                <w:sz w:val="16"/>
                <w:szCs w:val="16"/>
              </w:rPr>
            </w:pPr>
            <w:r w:rsidRPr="00B77EBE">
              <w:rPr>
                <w:rFonts w:asciiTheme="majorHAnsi" w:hAnsiTheme="majorHAnsi" w:cstheme="majorHAnsi"/>
                <w:color w:val="FFFFFF"/>
                <w:sz w:val="16"/>
                <w:szCs w:val="16"/>
              </w:rPr>
              <w:t>Position within funding landscape</w:t>
            </w:r>
          </w:p>
        </w:tc>
        <w:tc>
          <w:tcPr>
            <w:tcW w:w="683"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0DE11E04" w14:textId="77777777"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STEM</w:t>
            </w:r>
          </w:p>
        </w:tc>
        <w:tc>
          <w:tcPr>
            <w:tcW w:w="708"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10492C57" w14:textId="77777777"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HASS</w:t>
            </w:r>
          </w:p>
        </w:tc>
        <w:tc>
          <w:tcPr>
            <w:tcW w:w="952"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6236B183" w14:textId="7018C9C4"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 xml:space="preserve">Completed </w:t>
            </w:r>
            <w:r>
              <w:rPr>
                <w:rFonts w:asciiTheme="majorHAnsi" w:hAnsiTheme="majorHAnsi" w:cstheme="majorHAnsi"/>
                <w:b/>
                <w:color w:val="FFFFFF"/>
                <w:sz w:val="16"/>
                <w:szCs w:val="16"/>
              </w:rPr>
              <w:t xml:space="preserve">Project </w:t>
            </w:r>
            <w:r w:rsidRPr="00B77EBE">
              <w:rPr>
                <w:rFonts w:asciiTheme="majorHAnsi" w:hAnsiTheme="majorHAnsi" w:cstheme="majorHAnsi"/>
                <w:b/>
                <w:color w:val="FFFFFF"/>
                <w:sz w:val="16"/>
                <w:szCs w:val="16"/>
              </w:rPr>
              <w:t>2018 or later</w:t>
            </w:r>
          </w:p>
        </w:tc>
        <w:tc>
          <w:tcPr>
            <w:tcW w:w="829"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6744D95C" w14:textId="77777777"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 xml:space="preserve">Completed </w:t>
            </w:r>
            <w:r>
              <w:rPr>
                <w:rFonts w:asciiTheme="majorHAnsi" w:hAnsiTheme="majorHAnsi" w:cstheme="majorHAnsi"/>
                <w:b/>
                <w:color w:val="FFFFFF"/>
                <w:sz w:val="16"/>
                <w:szCs w:val="16"/>
              </w:rPr>
              <w:t xml:space="preserve">Project </w:t>
            </w:r>
            <w:r w:rsidRPr="00B77EBE">
              <w:rPr>
                <w:rFonts w:asciiTheme="majorHAnsi" w:hAnsiTheme="majorHAnsi" w:cstheme="majorHAnsi"/>
                <w:b/>
                <w:color w:val="FFFFFF"/>
                <w:sz w:val="16"/>
                <w:szCs w:val="16"/>
              </w:rPr>
              <w:t>2011– 2017</w:t>
            </w:r>
          </w:p>
        </w:tc>
        <w:tc>
          <w:tcPr>
            <w:tcW w:w="839"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57539867" w14:textId="77777777"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 xml:space="preserve">Completed </w:t>
            </w:r>
            <w:r>
              <w:rPr>
                <w:rFonts w:asciiTheme="majorHAnsi" w:hAnsiTheme="majorHAnsi" w:cstheme="majorHAnsi"/>
                <w:b/>
                <w:color w:val="FFFFFF"/>
                <w:sz w:val="16"/>
                <w:szCs w:val="16"/>
              </w:rPr>
              <w:t xml:space="preserve"> Project </w:t>
            </w:r>
            <w:r w:rsidRPr="00B77EBE">
              <w:rPr>
                <w:rFonts w:asciiTheme="majorHAnsi" w:hAnsiTheme="majorHAnsi" w:cstheme="majorHAnsi"/>
                <w:b/>
                <w:color w:val="FFFFFF"/>
                <w:sz w:val="16"/>
                <w:szCs w:val="16"/>
              </w:rPr>
              <w:t>2010 or earlier</w:t>
            </w:r>
          </w:p>
        </w:tc>
        <w:tc>
          <w:tcPr>
            <w:tcW w:w="544"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3D0A9C88" w14:textId="77777777"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Basic</w:t>
            </w:r>
          </w:p>
        </w:tc>
        <w:tc>
          <w:tcPr>
            <w:tcW w:w="566"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5B23E393" w14:textId="77777777"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Applied</w:t>
            </w:r>
          </w:p>
        </w:tc>
        <w:tc>
          <w:tcPr>
            <w:tcW w:w="981"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0ADE53E6" w14:textId="77777777"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Basic and Applied Combined</w:t>
            </w:r>
          </w:p>
        </w:tc>
        <w:tc>
          <w:tcPr>
            <w:tcW w:w="676"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0E455BB3" w14:textId="77777777"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International Collaboration</w:t>
            </w:r>
          </w:p>
        </w:tc>
        <w:tc>
          <w:tcPr>
            <w:tcW w:w="992"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15DB9DE6" w14:textId="77777777" w:rsidR="00D01694" w:rsidRPr="00B77EBE" w:rsidRDefault="00D01694" w:rsidP="008C3D07">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No International Collaboration</w:t>
            </w:r>
          </w:p>
        </w:tc>
      </w:tr>
      <w:tr w:rsidR="00CC561E" w:rsidRPr="00B77EBE" w14:paraId="09B9C030" w14:textId="77777777" w:rsidTr="00353F27">
        <w:trPr>
          <w:trHeight w:val="577"/>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BAA7FE9" w14:textId="77777777" w:rsidR="00D01694" w:rsidRPr="00B77EBE" w:rsidRDefault="00D01694" w:rsidP="008C3D07">
            <w:pPr>
              <w:spacing w:before="120" w:after="120"/>
              <w:rPr>
                <w:rFonts w:asciiTheme="majorHAnsi" w:hAnsiTheme="majorHAnsi" w:cstheme="majorHAnsi"/>
                <w:sz w:val="16"/>
                <w:szCs w:val="16"/>
              </w:rPr>
            </w:pPr>
            <w:r w:rsidRPr="00B77EBE">
              <w:rPr>
                <w:rFonts w:asciiTheme="majorHAnsi" w:hAnsiTheme="majorHAnsi" w:cstheme="majorHAnsi"/>
                <w:color w:val="000000"/>
                <w:sz w:val="16"/>
                <w:szCs w:val="16"/>
              </w:rPr>
              <w:t>Is unique among ARC schemes</w:t>
            </w:r>
          </w:p>
        </w:tc>
        <w:tc>
          <w:tcPr>
            <w:tcW w:w="68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6FA05D5"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73%</w:t>
            </w:r>
          </w:p>
        </w:tc>
        <w:tc>
          <w:tcPr>
            <w:tcW w:w="708"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0BE7D58"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70%</w:t>
            </w:r>
          </w:p>
        </w:tc>
        <w:tc>
          <w:tcPr>
            <w:tcW w:w="952"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1B25AFC3" w14:textId="77777777" w:rsidR="00D01694"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75%</w:t>
            </w:r>
          </w:p>
          <w:p w14:paraId="66DB5EF3" w14:textId="4B73D159" w:rsidR="005D05F7" w:rsidRPr="00B77EBE" w:rsidRDefault="005D05F7"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2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8D68325"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72%</w:t>
            </w:r>
          </w:p>
        </w:tc>
        <w:tc>
          <w:tcPr>
            <w:tcW w:w="839"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5C6D4614" w14:textId="77777777" w:rsidR="00D01694"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57%</w:t>
            </w:r>
          </w:p>
          <w:p w14:paraId="2871E761" w14:textId="5BB62FDD" w:rsidR="005D05F7" w:rsidRPr="00B77EBE" w:rsidRDefault="005D05F7"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54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4C62BE9"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72%</w:t>
            </w:r>
          </w:p>
        </w:tc>
        <w:tc>
          <w:tcPr>
            <w:tcW w:w="566"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546A1807" w14:textId="77777777" w:rsidR="00D01694"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64%</w:t>
            </w:r>
          </w:p>
          <w:p w14:paraId="318F61E9" w14:textId="0528A01C" w:rsidR="005D05F7" w:rsidRPr="00B77EBE" w:rsidRDefault="005D05F7"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98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4AC006F"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73%</w:t>
            </w:r>
          </w:p>
        </w:tc>
        <w:tc>
          <w:tcPr>
            <w:tcW w:w="67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5998588"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72%</w:t>
            </w:r>
          </w:p>
        </w:tc>
        <w:tc>
          <w:tcPr>
            <w:tcW w:w="99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DA478C3"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69%</w:t>
            </w:r>
          </w:p>
        </w:tc>
      </w:tr>
      <w:tr w:rsidR="00CC561E" w:rsidRPr="00B77EBE" w14:paraId="142AD99C" w14:textId="77777777" w:rsidTr="00353F27">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60EA1C4" w14:textId="77777777" w:rsidR="00D01694" w:rsidRPr="00B77EBE" w:rsidRDefault="00D01694" w:rsidP="008C3D07">
            <w:pPr>
              <w:spacing w:before="120" w:after="120"/>
              <w:rPr>
                <w:rFonts w:asciiTheme="majorHAnsi" w:hAnsiTheme="majorHAnsi" w:cstheme="majorHAnsi"/>
                <w:sz w:val="16"/>
                <w:szCs w:val="16"/>
              </w:rPr>
            </w:pPr>
            <w:r w:rsidRPr="00B77EBE">
              <w:rPr>
                <w:rFonts w:asciiTheme="majorHAnsi" w:hAnsiTheme="majorHAnsi" w:cstheme="majorHAnsi"/>
                <w:color w:val="000000"/>
                <w:sz w:val="16"/>
                <w:szCs w:val="16"/>
              </w:rPr>
              <w:t>Is unique among other available research funding sources</w:t>
            </w:r>
          </w:p>
        </w:tc>
        <w:tc>
          <w:tcPr>
            <w:tcW w:w="68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A60BC1C"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68%</w:t>
            </w:r>
          </w:p>
        </w:tc>
        <w:tc>
          <w:tcPr>
            <w:tcW w:w="708"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C1D6B32"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67%</w:t>
            </w:r>
          </w:p>
        </w:tc>
        <w:tc>
          <w:tcPr>
            <w:tcW w:w="952"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08376D07" w14:textId="77777777" w:rsidR="00D01694"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71%</w:t>
            </w:r>
          </w:p>
          <w:p w14:paraId="2FA61BA8" w14:textId="0420A400" w:rsidR="005D05F7" w:rsidRPr="00B77EBE" w:rsidRDefault="005D05F7"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2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27FC23E"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66%</w:t>
            </w:r>
          </w:p>
        </w:tc>
        <w:tc>
          <w:tcPr>
            <w:tcW w:w="839"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439F7120" w14:textId="77777777" w:rsidR="00D01694"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51%</w:t>
            </w:r>
          </w:p>
          <w:p w14:paraId="4A4B7F91" w14:textId="56C3A67A" w:rsidR="005D05F7" w:rsidRPr="00B77EBE" w:rsidRDefault="005D05F7"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54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D69BC9C"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67%</w:t>
            </w:r>
          </w:p>
        </w:tc>
        <w:tc>
          <w:tcPr>
            <w:tcW w:w="566"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5D18C54E" w14:textId="77777777" w:rsidR="00D01694"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60%</w:t>
            </w:r>
          </w:p>
          <w:p w14:paraId="6C758BD4" w14:textId="1A56182F" w:rsidR="005D05F7" w:rsidRPr="00B77EBE" w:rsidRDefault="005D05F7"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98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4823814"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70%</w:t>
            </w:r>
          </w:p>
        </w:tc>
        <w:tc>
          <w:tcPr>
            <w:tcW w:w="67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2AE3F0B"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67%</w:t>
            </w:r>
          </w:p>
        </w:tc>
        <w:tc>
          <w:tcPr>
            <w:tcW w:w="99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1B55280"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66%</w:t>
            </w:r>
          </w:p>
        </w:tc>
      </w:tr>
      <w:tr w:rsidR="00CC561E" w:rsidRPr="00B77EBE" w14:paraId="0C170CE6" w14:textId="77777777" w:rsidTr="00353F27">
        <w:trPr>
          <w:trHeight w:val="698"/>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AEAF8BB" w14:textId="77777777" w:rsidR="00D01694" w:rsidRPr="00B77EBE" w:rsidRDefault="00D01694" w:rsidP="008C3D07">
            <w:pPr>
              <w:spacing w:before="120" w:after="120"/>
              <w:rPr>
                <w:rFonts w:asciiTheme="majorHAnsi" w:hAnsiTheme="majorHAnsi" w:cstheme="majorHAnsi"/>
                <w:sz w:val="16"/>
                <w:szCs w:val="16"/>
              </w:rPr>
            </w:pPr>
            <w:r w:rsidRPr="00B77EBE">
              <w:rPr>
                <w:rFonts w:asciiTheme="majorHAnsi" w:hAnsiTheme="majorHAnsi" w:cstheme="majorHAnsi"/>
                <w:color w:val="000000"/>
                <w:sz w:val="16"/>
                <w:szCs w:val="16"/>
              </w:rPr>
              <w:t>Complements other ARC schemes</w:t>
            </w:r>
          </w:p>
        </w:tc>
        <w:tc>
          <w:tcPr>
            <w:tcW w:w="68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3550D94"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72%</w:t>
            </w:r>
          </w:p>
        </w:tc>
        <w:tc>
          <w:tcPr>
            <w:tcW w:w="708"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0F6B2F7"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72%</w:t>
            </w:r>
          </w:p>
        </w:tc>
        <w:tc>
          <w:tcPr>
            <w:tcW w:w="952"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05F70E7E" w14:textId="77777777" w:rsidR="00D01694"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77%</w:t>
            </w:r>
          </w:p>
          <w:p w14:paraId="733CA384" w14:textId="063691D2" w:rsidR="005D05F7" w:rsidRPr="00B77EBE" w:rsidRDefault="005D05F7"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2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859ED78"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69%</w:t>
            </w:r>
          </w:p>
        </w:tc>
        <w:tc>
          <w:tcPr>
            <w:tcW w:w="839"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0176D11A" w14:textId="77777777" w:rsidR="00D01694"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59%</w:t>
            </w:r>
          </w:p>
          <w:p w14:paraId="2CF811CD" w14:textId="46408BEA" w:rsidR="005D05F7" w:rsidRPr="00B77EBE" w:rsidRDefault="005D05F7"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54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3CFAD07"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71%</w:t>
            </w:r>
          </w:p>
        </w:tc>
        <w:tc>
          <w:tcPr>
            <w:tcW w:w="56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12DD14B"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69%</w:t>
            </w:r>
          </w:p>
        </w:tc>
        <w:tc>
          <w:tcPr>
            <w:tcW w:w="98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5C2E55E"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72%</w:t>
            </w:r>
          </w:p>
        </w:tc>
        <w:tc>
          <w:tcPr>
            <w:tcW w:w="67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0E606B0"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72%</w:t>
            </w:r>
          </w:p>
        </w:tc>
        <w:tc>
          <w:tcPr>
            <w:tcW w:w="99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39B68F9"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69%</w:t>
            </w:r>
          </w:p>
        </w:tc>
      </w:tr>
      <w:tr w:rsidR="00CC561E" w:rsidRPr="00B77EBE" w14:paraId="39CFF79C" w14:textId="77777777" w:rsidTr="00353F27">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B56915E" w14:textId="77777777" w:rsidR="00D01694" w:rsidRPr="00B77EBE" w:rsidRDefault="00D01694" w:rsidP="008C3D07">
            <w:pPr>
              <w:spacing w:before="120" w:after="120"/>
              <w:rPr>
                <w:rFonts w:asciiTheme="majorHAnsi" w:hAnsiTheme="majorHAnsi" w:cstheme="majorHAnsi"/>
                <w:sz w:val="16"/>
                <w:szCs w:val="16"/>
              </w:rPr>
            </w:pPr>
            <w:r w:rsidRPr="00B77EBE">
              <w:rPr>
                <w:rFonts w:asciiTheme="majorHAnsi" w:hAnsiTheme="majorHAnsi" w:cstheme="majorHAnsi"/>
                <w:color w:val="000000"/>
                <w:sz w:val="16"/>
                <w:szCs w:val="16"/>
              </w:rPr>
              <w:t>Complements other available research funding sources</w:t>
            </w:r>
          </w:p>
        </w:tc>
        <w:tc>
          <w:tcPr>
            <w:tcW w:w="68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313BDBA"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67%</w:t>
            </w:r>
          </w:p>
        </w:tc>
        <w:tc>
          <w:tcPr>
            <w:tcW w:w="708"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7628F11"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64%</w:t>
            </w:r>
          </w:p>
        </w:tc>
        <w:tc>
          <w:tcPr>
            <w:tcW w:w="952"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619687B6" w14:textId="77777777" w:rsidR="00D01694"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71%</w:t>
            </w:r>
          </w:p>
          <w:p w14:paraId="7B175ACF" w14:textId="5A6E1EEC" w:rsidR="005D05F7" w:rsidRPr="00B77EBE" w:rsidRDefault="005D05F7"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2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A03BD05"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62%</w:t>
            </w:r>
          </w:p>
        </w:tc>
        <w:tc>
          <w:tcPr>
            <w:tcW w:w="839"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1E7211E4" w14:textId="77777777" w:rsidR="00D01694"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52%</w:t>
            </w:r>
          </w:p>
          <w:p w14:paraId="0C77528B" w14:textId="192515A6" w:rsidR="005D05F7" w:rsidRPr="00B77EBE" w:rsidRDefault="005D05F7"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54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8A65D49"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65%</w:t>
            </w:r>
          </w:p>
        </w:tc>
        <w:tc>
          <w:tcPr>
            <w:tcW w:w="56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1559B9B"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63%</w:t>
            </w:r>
          </w:p>
        </w:tc>
        <w:tc>
          <w:tcPr>
            <w:tcW w:w="98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C3F33DE"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66%</w:t>
            </w:r>
          </w:p>
        </w:tc>
        <w:tc>
          <w:tcPr>
            <w:tcW w:w="67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FB5AC15"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68%</w:t>
            </w:r>
          </w:p>
        </w:tc>
        <w:tc>
          <w:tcPr>
            <w:tcW w:w="99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7977E2A"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60%</w:t>
            </w:r>
          </w:p>
        </w:tc>
      </w:tr>
      <w:tr w:rsidR="00CC561E" w:rsidRPr="00B77EBE" w14:paraId="4B2BE99D" w14:textId="77777777" w:rsidTr="00353F27">
        <w:trPr>
          <w:trHeight w:val="1212"/>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A5AFA27" w14:textId="77777777" w:rsidR="00D01694" w:rsidRPr="00B77EBE" w:rsidRDefault="00D01694" w:rsidP="008C3D07">
            <w:pPr>
              <w:spacing w:before="120" w:after="120"/>
              <w:rPr>
                <w:rFonts w:asciiTheme="majorHAnsi" w:hAnsiTheme="majorHAnsi" w:cstheme="majorHAnsi"/>
                <w:sz w:val="16"/>
                <w:szCs w:val="16"/>
              </w:rPr>
            </w:pPr>
            <w:r w:rsidRPr="00B77EBE">
              <w:rPr>
                <w:rFonts w:asciiTheme="majorHAnsi" w:hAnsiTheme="majorHAnsi" w:cstheme="majorHAnsi"/>
                <w:color w:val="000000"/>
                <w:sz w:val="16"/>
                <w:szCs w:val="16"/>
              </w:rPr>
              <w:t>Overlaps with other ARC schemes</w:t>
            </w:r>
          </w:p>
        </w:tc>
        <w:tc>
          <w:tcPr>
            <w:tcW w:w="68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F3BAC3F"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20%</w:t>
            </w:r>
          </w:p>
        </w:tc>
        <w:tc>
          <w:tcPr>
            <w:tcW w:w="708"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F4BACF2"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22%</w:t>
            </w:r>
          </w:p>
        </w:tc>
        <w:tc>
          <w:tcPr>
            <w:tcW w:w="9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536CBBC"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20%</w:t>
            </w:r>
          </w:p>
        </w:tc>
        <w:tc>
          <w:tcPr>
            <w:tcW w:w="82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2329CAC"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23%</w:t>
            </w:r>
          </w:p>
        </w:tc>
        <w:tc>
          <w:tcPr>
            <w:tcW w:w="83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AB1673A"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tc>
        <w:tc>
          <w:tcPr>
            <w:tcW w:w="54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2D1CF8C"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20%</w:t>
            </w:r>
          </w:p>
        </w:tc>
        <w:tc>
          <w:tcPr>
            <w:tcW w:w="56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613FF87"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24%</w:t>
            </w:r>
          </w:p>
        </w:tc>
        <w:tc>
          <w:tcPr>
            <w:tcW w:w="98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83EDDCC"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21%</w:t>
            </w:r>
          </w:p>
        </w:tc>
        <w:tc>
          <w:tcPr>
            <w:tcW w:w="67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ECFA956"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21%</w:t>
            </w:r>
          </w:p>
        </w:tc>
        <w:tc>
          <w:tcPr>
            <w:tcW w:w="99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FA013FE" w14:textId="77777777" w:rsidR="00D01694" w:rsidRPr="00B77EBE" w:rsidRDefault="00D01694" w:rsidP="008C3D0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22%</w:t>
            </w:r>
          </w:p>
        </w:tc>
      </w:tr>
      <w:tr w:rsidR="00CC561E" w:rsidRPr="00B77EBE" w14:paraId="63DC8EE0" w14:textId="77777777" w:rsidTr="00353F27">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EAE0CEA" w14:textId="77777777" w:rsidR="00D01694" w:rsidRPr="00B77EBE" w:rsidRDefault="00D01694" w:rsidP="008C3D07">
            <w:pPr>
              <w:spacing w:before="120" w:after="120"/>
              <w:rPr>
                <w:rFonts w:asciiTheme="majorHAnsi" w:hAnsiTheme="majorHAnsi" w:cstheme="majorHAnsi"/>
                <w:sz w:val="16"/>
                <w:szCs w:val="16"/>
              </w:rPr>
            </w:pPr>
            <w:r w:rsidRPr="00B77EBE">
              <w:rPr>
                <w:rFonts w:asciiTheme="majorHAnsi" w:hAnsiTheme="majorHAnsi" w:cstheme="majorHAnsi"/>
                <w:color w:val="000000"/>
                <w:sz w:val="16"/>
                <w:szCs w:val="16"/>
              </w:rPr>
              <w:t>Overlaps with other available research funding sources</w:t>
            </w:r>
          </w:p>
        </w:tc>
        <w:tc>
          <w:tcPr>
            <w:tcW w:w="68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63267E4"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18%</w:t>
            </w:r>
          </w:p>
        </w:tc>
        <w:tc>
          <w:tcPr>
            <w:tcW w:w="708"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6C86B78"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tc>
        <w:tc>
          <w:tcPr>
            <w:tcW w:w="9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1CFCC0A"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17%</w:t>
            </w:r>
          </w:p>
        </w:tc>
        <w:tc>
          <w:tcPr>
            <w:tcW w:w="82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BD34F69"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tc>
        <w:tc>
          <w:tcPr>
            <w:tcW w:w="83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49A3655"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tc>
        <w:tc>
          <w:tcPr>
            <w:tcW w:w="54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B23146C"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17%</w:t>
            </w:r>
          </w:p>
        </w:tc>
        <w:tc>
          <w:tcPr>
            <w:tcW w:w="56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BD36042"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22%</w:t>
            </w:r>
          </w:p>
        </w:tc>
        <w:tc>
          <w:tcPr>
            <w:tcW w:w="98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720828B"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17%</w:t>
            </w:r>
          </w:p>
        </w:tc>
        <w:tc>
          <w:tcPr>
            <w:tcW w:w="67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53CDBAC"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17%</w:t>
            </w:r>
          </w:p>
        </w:tc>
        <w:tc>
          <w:tcPr>
            <w:tcW w:w="99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AC432C5" w14:textId="77777777" w:rsidR="00D01694" w:rsidRPr="00B77EBE" w:rsidRDefault="00D01694" w:rsidP="008C3D0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tc>
      </w:tr>
    </w:tbl>
    <w:p w14:paraId="236CB0B0" w14:textId="29A92E8C" w:rsidR="00B77EBE" w:rsidRPr="00B77EBE" w:rsidRDefault="00B77EBE" w:rsidP="00B77EBE">
      <w:pPr>
        <w:spacing w:before="120" w:after="120"/>
        <w:rPr>
          <w:rFonts w:asciiTheme="majorHAnsi" w:hAnsiTheme="majorHAnsi" w:cstheme="majorHAnsi"/>
          <w:sz w:val="16"/>
          <w:szCs w:val="16"/>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Note: Percentage of survey respondents agreeing</w:t>
      </w:r>
      <w:r w:rsidR="00885144">
        <w:rPr>
          <w:rFonts w:asciiTheme="majorHAnsi" w:hAnsiTheme="majorHAnsi" w:cstheme="majorHAnsi"/>
          <w:i/>
          <w:sz w:val="16"/>
          <w:szCs w:val="16"/>
        </w:rPr>
        <w:t xml:space="preserve"> or </w:t>
      </w:r>
      <w:r w:rsidRPr="00B77EBE">
        <w:rPr>
          <w:rFonts w:asciiTheme="majorHAnsi" w:hAnsiTheme="majorHAnsi" w:cstheme="majorHAnsi"/>
          <w:i/>
          <w:sz w:val="16"/>
          <w:szCs w:val="16"/>
        </w:rPr>
        <w:t xml:space="preserve">strongly agreeing. </w:t>
      </w:r>
      <w:r w:rsidR="003E3DF4">
        <w:rPr>
          <w:rFonts w:asciiTheme="majorHAnsi" w:hAnsiTheme="majorHAnsi" w:cstheme="majorHAnsi"/>
          <w:i/>
          <w:sz w:val="16"/>
          <w:szCs w:val="16"/>
        </w:rPr>
        <w:t>Grey</w:t>
      </w:r>
      <w:r w:rsidRPr="00B77EBE">
        <w:rPr>
          <w:rFonts w:asciiTheme="majorHAnsi" w:hAnsiTheme="majorHAnsi" w:cstheme="majorHAnsi"/>
          <w:i/>
          <w:sz w:val="16"/>
          <w:szCs w:val="16"/>
        </w:rPr>
        <w:t xml:space="preserve"> cells are significantly below the mean while green cells are significantly above the mean at the 95 per cent confidence level. Researcher subgroups assigned on the basis of most recently completed project funded under the scheme. Table only includes participants with a completed project (n=2469); different numbers of survey participants responded to questions relating to research project characteristics.</w:t>
      </w:r>
    </w:p>
    <w:p w14:paraId="1BC30F84" w14:textId="5A6B7FD5" w:rsidR="00B77EBE" w:rsidRPr="00B77EBE" w:rsidRDefault="00B77EBE" w:rsidP="00B77EBE">
      <w:pPr>
        <w:rPr>
          <w:rFonts w:asciiTheme="majorHAnsi" w:hAnsiTheme="majorHAnsi" w:cstheme="majorHAnsi"/>
        </w:rPr>
      </w:pPr>
      <w:r w:rsidRPr="00B77EBE">
        <w:rPr>
          <w:rFonts w:asciiTheme="majorHAnsi" w:hAnsiTheme="majorHAnsi" w:cstheme="majorHAnsi"/>
        </w:rPr>
        <w:lastRenderedPageBreak/>
        <w:t xml:space="preserve">Researchers whose most recently completed project involved basic research were more likely to agree that the scheme was unique (72 per cent compared to 64 per cent of those engaging in applied research), and 67 per cent regarded it as unique in relation to non-ARC funding sources (compared to 60 per cent of those engaging in applied research). These results </w:t>
      </w:r>
      <w:r w:rsidR="000139B8">
        <w:rPr>
          <w:rFonts w:asciiTheme="majorHAnsi" w:hAnsiTheme="majorHAnsi" w:cstheme="majorHAnsi"/>
        </w:rPr>
        <w:t>reflect</w:t>
      </w:r>
      <w:r w:rsidRPr="00B77EBE">
        <w:rPr>
          <w:rFonts w:asciiTheme="majorHAnsi" w:hAnsiTheme="majorHAnsi" w:cstheme="majorHAnsi"/>
        </w:rPr>
        <w:t xml:space="preserve"> the distinctive role Discovery Projects plays in providing support for basic research (alongside applied research) within Australia’s research funding landscape. </w:t>
      </w:r>
    </w:p>
    <w:p w14:paraId="2537064C" w14:textId="1E59C703" w:rsidR="00B77EBE" w:rsidRPr="00B77EBE" w:rsidRDefault="00B77EBE" w:rsidP="003C12B2">
      <w:pPr>
        <w:pStyle w:val="Heading3"/>
        <w:numPr>
          <w:ilvl w:val="2"/>
          <w:numId w:val="17"/>
        </w:numPr>
      </w:pPr>
      <w:bookmarkStart w:id="811" w:name="_Quantitative_stakeholder_views—Disc"/>
      <w:bookmarkStart w:id="812" w:name="_Toc50533645"/>
      <w:bookmarkStart w:id="813" w:name="_Toc50553795"/>
      <w:bookmarkStart w:id="814" w:name="_Toc50555032"/>
      <w:bookmarkStart w:id="815" w:name="_Toc50618166"/>
      <w:bookmarkStart w:id="816" w:name="_Toc50618446"/>
      <w:bookmarkStart w:id="817" w:name="_Toc51917055"/>
      <w:bookmarkStart w:id="818" w:name="_Toc51918895"/>
      <w:bookmarkStart w:id="819" w:name="_Toc53557271"/>
      <w:bookmarkStart w:id="820" w:name="_Toc54699313"/>
      <w:bookmarkStart w:id="821" w:name="_Toc55544847"/>
      <w:bookmarkEnd w:id="811"/>
      <w:r w:rsidRPr="00B77EBE">
        <w:t>Quantitative stakeholder views—Discovery Projects’ most important contributions</w:t>
      </w:r>
      <w:bookmarkEnd w:id="812"/>
      <w:bookmarkEnd w:id="813"/>
      <w:bookmarkEnd w:id="814"/>
      <w:bookmarkEnd w:id="815"/>
      <w:bookmarkEnd w:id="816"/>
      <w:bookmarkEnd w:id="817"/>
      <w:bookmarkEnd w:id="818"/>
      <w:bookmarkEnd w:id="819"/>
      <w:bookmarkEnd w:id="820"/>
      <w:bookmarkEnd w:id="821"/>
    </w:p>
    <w:p w14:paraId="4AF94A71" w14:textId="47AE4FE2" w:rsidR="00B77EBE" w:rsidRPr="00B77EBE" w:rsidRDefault="00B77EBE" w:rsidP="00B77EBE">
      <w:pPr>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 xml:space="preserve">From a list of options, survey participants were asked to identify what they regarded as Discovery Projects’ most important contributions to the national research funding landscape, with the opportunity to select up to three responses. </w:t>
      </w:r>
      <w:r w:rsidRPr="00B77EBE">
        <w:rPr>
          <w:rFonts w:asciiTheme="majorHAnsi" w:eastAsiaTheme="minorEastAsia" w:hAnsiTheme="majorHAnsi" w:cstheme="majorHAnsi"/>
          <w:lang w:eastAsia="en-AU"/>
        </w:rPr>
        <w:fldChar w:fldCharType="begin"/>
      </w:r>
      <w:r w:rsidRPr="00B77EBE">
        <w:rPr>
          <w:rFonts w:asciiTheme="majorHAnsi" w:eastAsiaTheme="minorEastAsia" w:hAnsiTheme="majorHAnsi" w:cstheme="majorHAnsi"/>
          <w:lang w:eastAsia="en-AU"/>
        </w:rPr>
        <w:instrText xml:space="preserve"> REF _Ref48564492 \h  \* MERGEFORMAT </w:instrText>
      </w:r>
      <w:r w:rsidRPr="00B77EBE">
        <w:rPr>
          <w:rFonts w:asciiTheme="majorHAnsi" w:eastAsiaTheme="minorEastAsia" w:hAnsiTheme="majorHAnsi" w:cstheme="majorHAnsi"/>
          <w:lang w:eastAsia="en-AU"/>
        </w:rPr>
      </w:r>
      <w:r w:rsidRPr="00B77EBE">
        <w:rPr>
          <w:rFonts w:asciiTheme="majorHAnsi" w:eastAsiaTheme="minorEastAsia" w:hAnsiTheme="majorHAnsi" w:cstheme="majorHAnsi"/>
          <w:lang w:eastAsia="en-AU"/>
        </w:rPr>
        <w:fldChar w:fldCharType="separate"/>
      </w:r>
      <w:r w:rsidR="00AB03D7" w:rsidRPr="00AB03D7">
        <w:rPr>
          <w:rFonts w:asciiTheme="majorHAnsi" w:eastAsiaTheme="minorEastAsia" w:hAnsiTheme="majorHAnsi" w:cstheme="majorHAnsi"/>
          <w:lang w:eastAsia="en-AU"/>
        </w:rPr>
        <w:t xml:space="preserve">Figure </w:t>
      </w:r>
      <w:r w:rsidR="00AB03D7" w:rsidRPr="00AB03D7">
        <w:rPr>
          <w:rFonts w:asciiTheme="majorHAnsi" w:eastAsiaTheme="minorEastAsia" w:hAnsiTheme="majorHAnsi" w:cstheme="majorHAnsi"/>
          <w:noProof/>
          <w:lang w:eastAsia="en-AU"/>
        </w:rPr>
        <w:t>40</w:t>
      </w:r>
      <w:r w:rsidRPr="00B77EBE">
        <w:rPr>
          <w:rFonts w:asciiTheme="majorHAnsi" w:eastAsiaTheme="minorEastAsia" w:hAnsiTheme="majorHAnsi" w:cstheme="majorHAnsi"/>
          <w:lang w:eastAsia="en-AU"/>
        </w:rPr>
        <w:fldChar w:fldCharType="end"/>
      </w:r>
      <w:r w:rsidRPr="00B77EBE">
        <w:rPr>
          <w:rFonts w:asciiTheme="majorHAnsi" w:eastAsiaTheme="minorEastAsia" w:hAnsiTheme="majorHAnsi" w:cstheme="majorHAnsi"/>
          <w:lang w:eastAsia="en-AU"/>
        </w:rPr>
        <w:t xml:space="preserve"> shows that, while stakeholders recognised the significance of the scheme’s support for a broad range of scholarship, its contribution to basic research was regarded as especially important, being selected by more than half (55 per cent) of researchers surveyed. Participants were much less likely to select applied research (17 per cent). </w:t>
      </w:r>
    </w:p>
    <w:p w14:paraId="58A9B56B" w14:textId="46DEF603" w:rsidR="00B77EBE" w:rsidRPr="00B77EBE" w:rsidRDefault="00B77EBE" w:rsidP="00751469">
      <w:pPr>
        <w:pStyle w:val="FigureTitle"/>
      </w:pPr>
      <w:bookmarkStart w:id="822" w:name="_Ref48564492"/>
      <w:r w:rsidRPr="00B77EBE">
        <w:t xml:space="preserve">Figure </w:t>
      </w:r>
      <w:r w:rsidR="00857467">
        <w:fldChar w:fldCharType="begin"/>
      </w:r>
      <w:r w:rsidR="00857467">
        <w:instrText xml:space="preserve"> SEQ Figure \* ARABIC </w:instrText>
      </w:r>
      <w:r w:rsidR="00857467">
        <w:fldChar w:fldCharType="separate"/>
      </w:r>
      <w:r w:rsidR="00AB03D7">
        <w:rPr>
          <w:noProof/>
        </w:rPr>
        <w:t>40</w:t>
      </w:r>
      <w:r w:rsidR="00857467">
        <w:rPr>
          <w:noProof/>
        </w:rPr>
        <w:fldChar w:fldCharType="end"/>
      </w:r>
      <w:bookmarkEnd w:id="822"/>
      <w:r w:rsidRPr="00B77EBE">
        <w:t>: Discovery Projects' most important contributions to the Australian research funding landscape</w:t>
      </w:r>
    </w:p>
    <w:p w14:paraId="01A19C4C" w14:textId="51CA933F" w:rsidR="00B77EBE" w:rsidRPr="00B77EBE" w:rsidRDefault="000E5749" w:rsidP="00B77EBE">
      <w:pPr>
        <w:rPr>
          <w:rFonts w:asciiTheme="majorHAnsi" w:hAnsiTheme="majorHAnsi" w:cstheme="majorHAnsi"/>
        </w:rPr>
      </w:pPr>
      <w:r>
        <w:rPr>
          <w:rFonts w:asciiTheme="majorHAnsi" w:hAnsiTheme="majorHAnsi" w:cstheme="majorHAnsi"/>
          <w:noProof/>
        </w:rPr>
        <w:drawing>
          <wp:inline distT="0" distB="0" distL="0" distR="0" wp14:anchorId="0946934C" wp14:editId="7468C5D9">
            <wp:extent cx="5730875" cy="2212975"/>
            <wp:effectExtent l="0" t="0" r="3175" b="0"/>
            <wp:docPr id="97" name="Picture 97" descr="Figure 40 is a graph showing the proportion of researcher survey respondents indicating what they regard as Discovery Projects’ most important contributions to the Australian research funding landscape.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40 is a graph showing the proportion of researcher survey respondents indicating what they regard as Discovery Projects’ most important contributions to the Australian research funding landscape. See text above graph for more inform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875" cy="2212975"/>
                    </a:xfrm>
                    <a:prstGeom prst="rect">
                      <a:avLst/>
                    </a:prstGeom>
                    <a:noFill/>
                  </pic:spPr>
                </pic:pic>
              </a:graphicData>
            </a:graphic>
          </wp:inline>
        </w:drawing>
      </w:r>
    </w:p>
    <w:p w14:paraId="2FF5BB98" w14:textId="77777777" w:rsidR="00B77EBE" w:rsidRPr="00B77EBE" w:rsidRDefault="00B77EBE" w:rsidP="00B77EBE">
      <w:pPr>
        <w:spacing w:after="120"/>
        <w:rPr>
          <w:rFonts w:asciiTheme="majorHAnsi" w:hAnsiTheme="majorHAnsi" w:cstheme="majorHAnsi"/>
          <w:sz w:val="16"/>
          <w:szCs w:val="16"/>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 xml:space="preserve">Note: (n=2827). Respondents able to select up to three options. </w:t>
      </w:r>
    </w:p>
    <w:p w14:paraId="6CBECCCA" w14:textId="4D1B5C0A" w:rsidR="002B7119" w:rsidRPr="00B77EBE" w:rsidRDefault="00B77EBE" w:rsidP="002B7119">
      <w:pPr>
        <w:rPr>
          <w:rFonts w:asciiTheme="majorHAnsi" w:hAnsiTheme="majorHAnsi" w:cstheme="majorHAnsi"/>
        </w:rPr>
      </w:pPr>
      <w:r w:rsidRPr="00B77EBE">
        <w:rPr>
          <w:rFonts w:asciiTheme="majorHAnsi" w:hAnsiTheme="majorHAnsi" w:cstheme="majorHAnsi"/>
        </w:rPr>
        <w:t xml:space="preserve">Disaggregating these survey findings according to the characteristics of survey participants’ most recently completed project under the scheme </w:t>
      </w:r>
      <w:r w:rsidR="004101B0">
        <w:rPr>
          <w:rFonts w:asciiTheme="majorHAnsi" w:hAnsiTheme="majorHAnsi" w:cstheme="majorHAnsi"/>
        </w:rPr>
        <w:t>revealed</w:t>
      </w:r>
      <w:r w:rsidR="004101B0" w:rsidRPr="00B77EBE">
        <w:rPr>
          <w:rFonts w:asciiTheme="majorHAnsi" w:hAnsiTheme="majorHAnsi" w:cstheme="majorHAnsi"/>
        </w:rPr>
        <w:t xml:space="preserve"> </w:t>
      </w:r>
      <w:r w:rsidRPr="00B77EBE">
        <w:rPr>
          <w:rFonts w:asciiTheme="majorHAnsi" w:hAnsiTheme="majorHAnsi" w:cstheme="majorHAnsi"/>
        </w:rPr>
        <w:t xml:space="preserve">notable </w:t>
      </w:r>
      <w:r w:rsidR="00F714E1">
        <w:rPr>
          <w:rFonts w:asciiTheme="majorHAnsi" w:hAnsiTheme="majorHAnsi" w:cstheme="majorHAnsi"/>
        </w:rPr>
        <w:t>variations</w:t>
      </w:r>
      <w:r w:rsidRPr="00AD7115">
        <w:rPr>
          <w:rFonts w:asciiTheme="majorHAnsi" w:hAnsiTheme="majorHAnsi" w:cstheme="majorHAnsi"/>
        </w:rPr>
        <w:t xml:space="preserve"> (</w:t>
      </w:r>
      <w:r w:rsidR="008E1125">
        <w:rPr>
          <w:rFonts w:asciiTheme="majorHAnsi" w:hAnsiTheme="majorHAnsi" w:cstheme="majorHAnsi"/>
        </w:rPr>
        <w:fldChar w:fldCharType="begin"/>
      </w:r>
      <w:r w:rsidR="008E1125">
        <w:rPr>
          <w:rFonts w:asciiTheme="majorHAnsi" w:hAnsiTheme="majorHAnsi" w:cstheme="majorHAnsi"/>
        </w:rPr>
        <w:instrText xml:space="preserve"> REF _Ref52355079 \h  \* MERGEFORMAT </w:instrText>
      </w:r>
      <w:r w:rsidR="008E1125">
        <w:rPr>
          <w:rFonts w:asciiTheme="majorHAnsi" w:hAnsiTheme="majorHAnsi" w:cstheme="majorHAnsi"/>
        </w:rPr>
      </w:r>
      <w:r w:rsidR="008E1125">
        <w:rPr>
          <w:rFonts w:asciiTheme="majorHAnsi" w:hAnsiTheme="majorHAnsi" w:cstheme="majorHAnsi"/>
        </w:rPr>
        <w:fldChar w:fldCharType="separate"/>
      </w:r>
      <w:r w:rsidR="00AB03D7" w:rsidRPr="00AB03D7">
        <w:rPr>
          <w:rFonts w:asciiTheme="majorHAnsi" w:hAnsiTheme="majorHAnsi" w:cstheme="majorHAnsi"/>
        </w:rPr>
        <w:t>Table 7</w:t>
      </w:r>
      <w:r w:rsidR="008E1125">
        <w:rPr>
          <w:rFonts w:asciiTheme="majorHAnsi" w:hAnsiTheme="majorHAnsi" w:cstheme="majorHAnsi"/>
        </w:rPr>
        <w:fldChar w:fldCharType="end"/>
      </w:r>
      <w:r w:rsidRPr="00AD7115">
        <w:rPr>
          <w:rFonts w:asciiTheme="majorHAnsi" w:hAnsiTheme="majorHAnsi" w:cstheme="majorHAnsi"/>
        </w:rPr>
        <w:t>).</w:t>
      </w:r>
      <w:r w:rsidR="002B7119">
        <w:rPr>
          <w:rFonts w:asciiTheme="majorHAnsi" w:hAnsiTheme="majorHAnsi" w:cstheme="majorHAnsi"/>
        </w:rPr>
        <w:t xml:space="preserve"> </w:t>
      </w:r>
      <w:r w:rsidR="002B7119" w:rsidRPr="00B77EBE">
        <w:rPr>
          <w:rFonts w:asciiTheme="majorHAnsi" w:hAnsiTheme="majorHAnsi" w:cstheme="majorHAnsi"/>
        </w:rPr>
        <w:t>Not surprisingly, researchers whose most recently completed project involved basic research were more likely to identify basic research as one of the most important contributions of the scheme (73 per cent, compared to 30 per cent of those completing applied research, and 54 per cent of those whose most recent project involved a combination of the two). Similarly, researchers conducting non</w:t>
      </w:r>
      <w:r w:rsidR="002B7119" w:rsidRPr="00B77EBE">
        <w:rPr>
          <w:rFonts w:asciiTheme="majorHAnsi" w:hAnsiTheme="majorHAnsi" w:cstheme="majorHAnsi"/>
        </w:rPr>
        <w:noBreakHyphen/>
        <w:t>interdisciplinary projects more commonly included basic research among the scheme’s top contributions</w:t>
      </w:r>
      <w:r w:rsidR="002B7119">
        <w:rPr>
          <w:rFonts w:asciiTheme="majorHAnsi" w:hAnsiTheme="majorHAnsi" w:cstheme="majorHAnsi"/>
        </w:rPr>
        <w:t xml:space="preserve"> </w:t>
      </w:r>
      <w:r w:rsidR="002B7119" w:rsidRPr="00B77EBE">
        <w:rPr>
          <w:rFonts w:asciiTheme="majorHAnsi" w:hAnsiTheme="majorHAnsi" w:cstheme="majorHAnsi"/>
        </w:rPr>
        <w:t xml:space="preserve">(64 per cent, compared to 54 per cent for those with interdisciplinary projects). STEM researchers were also more likely to </w:t>
      </w:r>
      <w:r w:rsidR="002B7119">
        <w:rPr>
          <w:rFonts w:asciiTheme="majorHAnsi" w:hAnsiTheme="majorHAnsi" w:cstheme="majorHAnsi"/>
        </w:rPr>
        <w:t>identify</w:t>
      </w:r>
      <w:r w:rsidR="002B7119" w:rsidRPr="00B77EBE">
        <w:rPr>
          <w:rFonts w:asciiTheme="majorHAnsi" w:hAnsiTheme="majorHAnsi" w:cstheme="majorHAnsi"/>
        </w:rPr>
        <w:t xml:space="preserve"> basic research (68 per cent, compared to 41 per cent for HASS researchers), and less likely to include applied research in their top three contributions (15 per cent compared to 20 per cent for HASS researchers).</w:t>
      </w:r>
    </w:p>
    <w:p w14:paraId="0910D3DD" w14:textId="56A09EF7" w:rsidR="00D14F2E" w:rsidRDefault="00D14F2E" w:rsidP="007057E6"/>
    <w:p w14:paraId="6AFF4BF6" w14:textId="5F11FB3A" w:rsidR="002B7119" w:rsidRDefault="002B7119" w:rsidP="007057E6"/>
    <w:p w14:paraId="4FDFB869" w14:textId="77777777" w:rsidR="002B7119" w:rsidRDefault="002B7119" w:rsidP="007057E6"/>
    <w:p w14:paraId="0785A8D6" w14:textId="0A666DF8" w:rsidR="0025041B" w:rsidRPr="007057E6" w:rsidRDefault="0025041B" w:rsidP="00672942">
      <w:pPr>
        <w:pStyle w:val="TableTitle"/>
      </w:pPr>
      <w:bookmarkStart w:id="823" w:name="_Ref52355079"/>
      <w:r w:rsidRPr="007057E6">
        <w:lastRenderedPageBreak/>
        <w:t xml:space="preserve">Table </w:t>
      </w:r>
      <w:r w:rsidR="00857467">
        <w:fldChar w:fldCharType="begin"/>
      </w:r>
      <w:r w:rsidR="00857467">
        <w:instrText xml:space="preserve"> SEQ Table \* ARABIC </w:instrText>
      </w:r>
      <w:r w:rsidR="00857467">
        <w:fldChar w:fldCharType="separate"/>
      </w:r>
      <w:r w:rsidR="00AB03D7">
        <w:rPr>
          <w:noProof/>
        </w:rPr>
        <w:t>7</w:t>
      </w:r>
      <w:r w:rsidR="00857467">
        <w:rPr>
          <w:noProof/>
        </w:rPr>
        <w:fldChar w:fldCharType="end"/>
      </w:r>
      <w:bookmarkEnd w:id="823"/>
      <w:r w:rsidRPr="007057E6">
        <w:t>: Discovery Projects’ most important contributions to the research funding landscape, by most recently completed Discovery Projects research characteristics</w:t>
      </w:r>
    </w:p>
    <w:tbl>
      <w:tblPr>
        <w:tblStyle w:val="GridTable413"/>
        <w:tblW w:w="8784" w:type="dxa"/>
        <w:tblLayout w:type="fixed"/>
        <w:tblLook w:val="04A0" w:firstRow="1" w:lastRow="0" w:firstColumn="1" w:lastColumn="0" w:noHBand="0" w:noVBand="1"/>
        <w:tblCaption w:val="Table 7: Discovery Projects’ most important contributions to the research funding landscape, by most recently completed Discovery Projects research characteristics"/>
        <w:tblDescription w:val="Table 7 indicates the proportion of researchers surveyed identifying Discovery Projects’ most important contributions to the research funding landscape. Researchers have been subcategorised according to information from their most recently completed Discovery Project. See text above table for more information.&#10;"/>
      </w:tblPr>
      <w:tblGrid>
        <w:gridCol w:w="1413"/>
        <w:gridCol w:w="567"/>
        <w:gridCol w:w="647"/>
        <w:gridCol w:w="874"/>
        <w:gridCol w:w="889"/>
        <w:gridCol w:w="852"/>
        <w:gridCol w:w="565"/>
        <w:gridCol w:w="567"/>
        <w:gridCol w:w="919"/>
        <w:gridCol w:w="655"/>
        <w:gridCol w:w="836"/>
      </w:tblGrid>
      <w:tr w:rsidR="0099564B" w:rsidRPr="00B77EBE" w14:paraId="267B16FB" w14:textId="77777777" w:rsidTr="00432C4B">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262626"/>
            </w:tcBorders>
            <w:shd w:val="clear" w:color="auto" w:fill="262626"/>
          </w:tcPr>
          <w:p w14:paraId="1CAA1130" w14:textId="77777777" w:rsidR="0099564B" w:rsidRPr="00B77EBE" w:rsidRDefault="0099564B" w:rsidP="0099564B">
            <w:pPr>
              <w:spacing w:before="120" w:after="120"/>
              <w:rPr>
                <w:rFonts w:asciiTheme="majorHAnsi" w:hAnsiTheme="majorHAnsi" w:cstheme="majorHAnsi"/>
                <w:sz w:val="16"/>
                <w:szCs w:val="16"/>
              </w:rPr>
            </w:pPr>
          </w:p>
        </w:tc>
        <w:tc>
          <w:tcPr>
            <w:tcW w:w="7371" w:type="dxa"/>
            <w:gridSpan w:val="10"/>
            <w:tcBorders>
              <w:top w:val="nil"/>
              <w:bottom w:val="nil"/>
              <w:right w:val="nil"/>
            </w:tcBorders>
            <w:shd w:val="clear" w:color="auto" w:fill="262626"/>
          </w:tcPr>
          <w:p w14:paraId="4362203A" w14:textId="77777777" w:rsidR="0099564B" w:rsidRPr="00B77EBE" w:rsidRDefault="0099564B" w:rsidP="0099564B">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B77EBE">
              <w:rPr>
                <w:rFonts w:asciiTheme="majorHAnsi" w:hAnsiTheme="majorHAnsi" w:cstheme="majorHAnsi"/>
              </w:rPr>
              <w:t xml:space="preserve">Research Project Characteristics  </w:t>
            </w:r>
          </w:p>
        </w:tc>
      </w:tr>
      <w:tr w:rsidR="00C02AC9" w:rsidRPr="00B77EBE" w14:paraId="3651999E" w14:textId="77777777" w:rsidTr="00353F27">
        <w:trPr>
          <w:cnfStyle w:val="000000100000" w:firstRow="0" w:lastRow="0" w:firstColumn="0" w:lastColumn="0" w:oddVBand="0" w:evenVBand="0" w:oddHBand="1" w:evenHBand="0" w:firstRowFirstColumn="0" w:firstRowLastColumn="0" w:lastRowFirstColumn="0" w:lastRowLastColumn="0"/>
          <w:cantSplit/>
          <w:trHeight w:val="1329"/>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262626"/>
            <w:vAlign w:val="bottom"/>
          </w:tcPr>
          <w:p w14:paraId="5B2D60B7" w14:textId="77777777" w:rsidR="0099564B" w:rsidRPr="00B77EBE" w:rsidRDefault="0099564B" w:rsidP="0099564B">
            <w:pPr>
              <w:spacing w:before="120" w:after="120"/>
              <w:rPr>
                <w:rFonts w:asciiTheme="majorHAnsi" w:hAnsiTheme="majorHAnsi" w:cstheme="majorHAnsi"/>
                <w:color w:val="FFFFFF"/>
                <w:sz w:val="16"/>
                <w:szCs w:val="16"/>
              </w:rPr>
            </w:pPr>
            <w:r w:rsidRPr="00B77EBE">
              <w:rPr>
                <w:rFonts w:asciiTheme="majorHAnsi" w:hAnsiTheme="majorHAnsi" w:cstheme="majorHAnsi"/>
                <w:color w:val="FFFFFF"/>
                <w:sz w:val="16"/>
                <w:szCs w:val="16"/>
              </w:rPr>
              <w:t>Contribution</w:t>
            </w:r>
          </w:p>
        </w:tc>
        <w:tc>
          <w:tcPr>
            <w:tcW w:w="567"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76E43BE5"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STEM</w:t>
            </w:r>
          </w:p>
        </w:tc>
        <w:tc>
          <w:tcPr>
            <w:tcW w:w="647"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2CDAC437"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HASS</w:t>
            </w:r>
          </w:p>
        </w:tc>
        <w:tc>
          <w:tcPr>
            <w:tcW w:w="874"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5FA64DEA"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 xml:space="preserve">Completed </w:t>
            </w:r>
            <w:r>
              <w:rPr>
                <w:rFonts w:asciiTheme="majorHAnsi" w:hAnsiTheme="majorHAnsi" w:cstheme="majorHAnsi"/>
                <w:b/>
                <w:color w:val="FFFFFF"/>
                <w:sz w:val="16"/>
                <w:szCs w:val="16"/>
              </w:rPr>
              <w:t xml:space="preserve">Project </w:t>
            </w:r>
            <w:r w:rsidRPr="00B77EBE">
              <w:rPr>
                <w:rFonts w:asciiTheme="majorHAnsi" w:hAnsiTheme="majorHAnsi" w:cstheme="majorHAnsi"/>
                <w:b/>
                <w:color w:val="FFFFFF"/>
                <w:sz w:val="16"/>
                <w:szCs w:val="16"/>
              </w:rPr>
              <w:t>2018 or later</w:t>
            </w:r>
          </w:p>
        </w:tc>
        <w:tc>
          <w:tcPr>
            <w:tcW w:w="889"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0A080558"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 xml:space="preserve">Completed </w:t>
            </w:r>
            <w:r>
              <w:rPr>
                <w:rFonts w:asciiTheme="majorHAnsi" w:hAnsiTheme="majorHAnsi" w:cstheme="majorHAnsi"/>
                <w:b/>
                <w:color w:val="FFFFFF"/>
                <w:sz w:val="16"/>
                <w:szCs w:val="16"/>
              </w:rPr>
              <w:t xml:space="preserve">Project </w:t>
            </w:r>
            <w:r w:rsidRPr="00B77EBE">
              <w:rPr>
                <w:rFonts w:asciiTheme="majorHAnsi" w:hAnsiTheme="majorHAnsi" w:cstheme="majorHAnsi"/>
                <w:b/>
                <w:color w:val="FFFFFF"/>
                <w:sz w:val="16"/>
                <w:szCs w:val="16"/>
              </w:rPr>
              <w:t>2011– 2017</w:t>
            </w:r>
          </w:p>
        </w:tc>
        <w:tc>
          <w:tcPr>
            <w:tcW w:w="852"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70C1B3B1"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 xml:space="preserve">Completed </w:t>
            </w:r>
            <w:r>
              <w:rPr>
                <w:rFonts w:asciiTheme="majorHAnsi" w:hAnsiTheme="majorHAnsi" w:cstheme="majorHAnsi"/>
                <w:b/>
                <w:color w:val="FFFFFF"/>
                <w:sz w:val="16"/>
                <w:szCs w:val="16"/>
              </w:rPr>
              <w:t xml:space="preserve">Project </w:t>
            </w:r>
            <w:r w:rsidRPr="00B77EBE">
              <w:rPr>
                <w:rFonts w:asciiTheme="majorHAnsi" w:hAnsiTheme="majorHAnsi" w:cstheme="majorHAnsi"/>
                <w:b/>
                <w:color w:val="FFFFFF"/>
                <w:sz w:val="16"/>
                <w:szCs w:val="16"/>
              </w:rPr>
              <w:t>2010 or earlier</w:t>
            </w:r>
          </w:p>
        </w:tc>
        <w:tc>
          <w:tcPr>
            <w:tcW w:w="565"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52178C61"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Basic</w:t>
            </w:r>
          </w:p>
        </w:tc>
        <w:tc>
          <w:tcPr>
            <w:tcW w:w="567"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6C714179"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Applied</w:t>
            </w:r>
          </w:p>
        </w:tc>
        <w:tc>
          <w:tcPr>
            <w:tcW w:w="919"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4FE9AFCC"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Basic and Applied Combined</w:t>
            </w:r>
          </w:p>
        </w:tc>
        <w:tc>
          <w:tcPr>
            <w:tcW w:w="655"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530A143A"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International Collaboration</w:t>
            </w:r>
          </w:p>
        </w:tc>
        <w:tc>
          <w:tcPr>
            <w:tcW w:w="836"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bottom"/>
          </w:tcPr>
          <w:p w14:paraId="44B6DD38" w14:textId="77777777" w:rsidR="0099564B" w:rsidRPr="00B77EBE" w:rsidRDefault="0099564B" w:rsidP="0099564B">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No International Collaboration</w:t>
            </w:r>
          </w:p>
        </w:tc>
      </w:tr>
      <w:tr w:rsidR="00432C4B" w:rsidRPr="00B77EBE" w14:paraId="0C475C56" w14:textId="77777777" w:rsidTr="00353F27">
        <w:trPr>
          <w:trHeight w:val="57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37F07EE"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Basic research</w:t>
            </w:r>
          </w:p>
        </w:tc>
        <w:tc>
          <w:tcPr>
            <w:tcW w:w="567"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30EB9AB4"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68%</w:t>
            </w:r>
          </w:p>
          <w:p w14:paraId="6B6024E1" w14:textId="21341957"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64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0EDFDC9B"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41%</w:t>
            </w:r>
          </w:p>
          <w:p w14:paraId="6273A979" w14:textId="3D1ED417"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7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A3969CB"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60%</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79C3443"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58%</w:t>
            </w:r>
          </w:p>
        </w:tc>
        <w:tc>
          <w:tcPr>
            <w:tcW w:w="852"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4ABE0308"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49%</w:t>
            </w:r>
          </w:p>
          <w:p w14:paraId="1E8DCBED" w14:textId="76872E15"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565"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26495165"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73%</w:t>
            </w:r>
          </w:p>
          <w:p w14:paraId="40D517EB" w14:textId="65C44EA1"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56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03C9B5C1"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30%</w:t>
            </w:r>
          </w:p>
          <w:p w14:paraId="4A035D86" w14:textId="6C4E624F"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919"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28AA61FF"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54%</w:t>
            </w:r>
          </w:p>
          <w:p w14:paraId="7E27BEA2" w14:textId="2B7E2B16"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65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5C94EB4"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60%</w:t>
            </w:r>
          </w:p>
        </w:tc>
        <w:tc>
          <w:tcPr>
            <w:tcW w:w="83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6DD20FD"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55%</w:t>
            </w:r>
          </w:p>
        </w:tc>
      </w:tr>
      <w:tr w:rsidR="0099564B" w:rsidRPr="00B77EBE" w14:paraId="580C9C4B" w14:textId="77777777" w:rsidTr="00353F27">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8ADFB3A"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Research training</w:t>
            </w:r>
          </w:p>
        </w:tc>
        <w:tc>
          <w:tcPr>
            <w:tcW w:w="567"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7888E503"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41%</w:t>
            </w:r>
          </w:p>
          <w:p w14:paraId="358BAB73" w14:textId="36C6AB90"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64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46E68100"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20%</w:t>
            </w:r>
          </w:p>
          <w:p w14:paraId="4A3D2A47" w14:textId="13EFB51E"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7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78BB4EB"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34%</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5A86E05"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32%</w:t>
            </w:r>
          </w:p>
        </w:tc>
        <w:tc>
          <w:tcPr>
            <w:tcW w:w="8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99176B5"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29%</w:t>
            </w:r>
          </w:p>
        </w:tc>
        <w:tc>
          <w:tcPr>
            <w:tcW w:w="56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C83BCC4"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34%</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4EDA230"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31%</w:t>
            </w:r>
          </w:p>
        </w:tc>
        <w:tc>
          <w:tcPr>
            <w:tcW w:w="91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B73F65D"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33%</w:t>
            </w:r>
          </w:p>
        </w:tc>
        <w:tc>
          <w:tcPr>
            <w:tcW w:w="65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ABF08FA"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34%</w:t>
            </w:r>
          </w:p>
        </w:tc>
        <w:tc>
          <w:tcPr>
            <w:tcW w:w="83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DC84BB2"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32%</w:t>
            </w:r>
          </w:p>
        </w:tc>
      </w:tr>
      <w:tr w:rsidR="0099564B" w:rsidRPr="00B77EBE" w14:paraId="4BB05671" w14:textId="77777777" w:rsidTr="00353F27">
        <w:trPr>
          <w:trHeight w:val="698"/>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6D4BEA9"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Science, Technology, Engineering and Mathematics</w:t>
            </w:r>
          </w:p>
        </w:tc>
        <w:tc>
          <w:tcPr>
            <w:tcW w:w="567"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52BA0A27"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34%</w:t>
            </w:r>
          </w:p>
          <w:p w14:paraId="5AA35C4B" w14:textId="46246CE2"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64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2C1D5333"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16%</w:t>
            </w:r>
          </w:p>
          <w:p w14:paraId="48188FAC" w14:textId="7C0D9148"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74"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05A7E855"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30%</w:t>
            </w:r>
          </w:p>
          <w:p w14:paraId="714C9EEF" w14:textId="1588C4A5"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37A34C8"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26%</w:t>
            </w:r>
          </w:p>
        </w:tc>
        <w:tc>
          <w:tcPr>
            <w:tcW w:w="8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2479D2C"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25%</w:t>
            </w:r>
          </w:p>
        </w:tc>
        <w:tc>
          <w:tcPr>
            <w:tcW w:w="56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0656386"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28%</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CA7CA8C"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25%</w:t>
            </w:r>
          </w:p>
        </w:tc>
        <w:tc>
          <w:tcPr>
            <w:tcW w:w="91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C121F8D"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28%</w:t>
            </w:r>
          </w:p>
        </w:tc>
        <w:tc>
          <w:tcPr>
            <w:tcW w:w="65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E510AAA"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29%</w:t>
            </w:r>
          </w:p>
        </w:tc>
        <w:tc>
          <w:tcPr>
            <w:tcW w:w="83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612D633"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26%</w:t>
            </w:r>
          </w:p>
        </w:tc>
      </w:tr>
      <w:tr w:rsidR="00432C4B" w:rsidRPr="00B77EBE" w14:paraId="395FF69A" w14:textId="77777777" w:rsidTr="00353F27">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6F106E4"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International research collaboration</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7A22A80"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24%</w:t>
            </w:r>
          </w:p>
        </w:tc>
        <w:tc>
          <w:tcPr>
            <w:tcW w:w="64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34549E4"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22%</w:t>
            </w:r>
          </w:p>
        </w:tc>
        <w:tc>
          <w:tcPr>
            <w:tcW w:w="874"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4C21F03F"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27%</w:t>
            </w:r>
          </w:p>
          <w:p w14:paraId="64307E0D" w14:textId="4D0A7029"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360AAD7"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22%</w:t>
            </w:r>
          </w:p>
        </w:tc>
        <w:tc>
          <w:tcPr>
            <w:tcW w:w="852"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150CEF22"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16%</w:t>
            </w:r>
          </w:p>
          <w:p w14:paraId="1E86C616" w14:textId="2C3EAFD6"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56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369F483"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26%</w:t>
            </w:r>
          </w:p>
        </w:tc>
        <w:tc>
          <w:tcPr>
            <w:tcW w:w="56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3ADDAA82"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16%</w:t>
            </w:r>
          </w:p>
          <w:p w14:paraId="02D61A1D" w14:textId="64E313C4"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91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AB479D0"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24%</w:t>
            </w:r>
          </w:p>
        </w:tc>
        <w:tc>
          <w:tcPr>
            <w:tcW w:w="655"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4AAE8611"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31%</w:t>
            </w:r>
          </w:p>
          <w:p w14:paraId="28B21202" w14:textId="56272FD1"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36"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2D9783E9"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9%</w:t>
            </w:r>
          </w:p>
          <w:p w14:paraId="5269A15B" w14:textId="28AC4070"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r>
      <w:tr w:rsidR="0099564B" w:rsidRPr="00B77EBE" w14:paraId="655E8816" w14:textId="77777777" w:rsidTr="00353F27">
        <w:trPr>
          <w:trHeight w:val="1212"/>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18443EB"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Research collaboration within Australia</w:t>
            </w:r>
          </w:p>
        </w:tc>
        <w:tc>
          <w:tcPr>
            <w:tcW w:w="56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058508E1"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18%</w:t>
            </w:r>
          </w:p>
          <w:p w14:paraId="3A2E5D45" w14:textId="5BB25FCD"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647"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752F5024"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29%</w:t>
            </w:r>
          </w:p>
          <w:p w14:paraId="1FBD042C" w14:textId="33227309"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7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155D93D"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21%</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57BB70D"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23%</w:t>
            </w:r>
          </w:p>
        </w:tc>
        <w:tc>
          <w:tcPr>
            <w:tcW w:w="8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62A48E9"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20%</w:t>
            </w:r>
          </w:p>
        </w:tc>
        <w:tc>
          <w:tcPr>
            <w:tcW w:w="56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F3BEEA9"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21%</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93F7EF9"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23%</w:t>
            </w:r>
          </w:p>
        </w:tc>
        <w:tc>
          <w:tcPr>
            <w:tcW w:w="91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3F6C510"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22%</w:t>
            </w:r>
          </w:p>
        </w:tc>
        <w:tc>
          <w:tcPr>
            <w:tcW w:w="655"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059B2A45"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p w14:paraId="0CF2CFE8" w14:textId="2CB13A1C"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36"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4B76F715"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26%</w:t>
            </w:r>
          </w:p>
          <w:p w14:paraId="5A1EA9A2" w14:textId="2DF1C782"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r>
      <w:tr w:rsidR="0099564B" w:rsidRPr="00B77EBE" w14:paraId="67B6E303" w14:textId="77777777" w:rsidTr="00353F27">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697A4D5"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Interdisciplinary research</w:t>
            </w:r>
          </w:p>
        </w:tc>
        <w:tc>
          <w:tcPr>
            <w:tcW w:w="56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0385FBB1"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16%</w:t>
            </w:r>
          </w:p>
          <w:p w14:paraId="329B6E59" w14:textId="461575BD"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647"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68F3418E"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21%</w:t>
            </w:r>
          </w:p>
          <w:p w14:paraId="0FE526A0" w14:textId="5726C9D0"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7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50776E1"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18%</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A687CC3"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18%</w:t>
            </w:r>
          </w:p>
        </w:tc>
        <w:tc>
          <w:tcPr>
            <w:tcW w:w="8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5873BAD"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13%</w:t>
            </w:r>
          </w:p>
        </w:tc>
        <w:tc>
          <w:tcPr>
            <w:tcW w:w="565"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32F897DA"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15%</w:t>
            </w:r>
          </w:p>
          <w:p w14:paraId="700938D5" w14:textId="05E641EB"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CD62D2E"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20%</w:t>
            </w:r>
          </w:p>
        </w:tc>
        <w:tc>
          <w:tcPr>
            <w:tcW w:w="91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F900378"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20%</w:t>
            </w:r>
          </w:p>
        </w:tc>
        <w:tc>
          <w:tcPr>
            <w:tcW w:w="65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2E1F08E"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tc>
        <w:tc>
          <w:tcPr>
            <w:tcW w:w="83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0D648E1"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15%</w:t>
            </w:r>
          </w:p>
        </w:tc>
      </w:tr>
      <w:tr w:rsidR="00432C4B" w:rsidRPr="00B77EBE" w14:paraId="591EB621" w14:textId="77777777" w:rsidTr="00353F27">
        <w:trPr>
          <w:trHeight w:val="74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E2FCCEB"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Applied research</w:t>
            </w:r>
          </w:p>
        </w:tc>
        <w:tc>
          <w:tcPr>
            <w:tcW w:w="56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400D4B34"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15%</w:t>
            </w:r>
          </w:p>
          <w:p w14:paraId="3AD5439D" w14:textId="590AF290"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647"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0BF868D7"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20%</w:t>
            </w:r>
          </w:p>
          <w:p w14:paraId="228FBBC6" w14:textId="53DABA8C"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7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F235752"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16%</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9D9CE11"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17%</w:t>
            </w:r>
          </w:p>
        </w:tc>
        <w:tc>
          <w:tcPr>
            <w:tcW w:w="8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3C31D99"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18%</w:t>
            </w:r>
          </w:p>
        </w:tc>
        <w:tc>
          <w:tcPr>
            <w:tcW w:w="565"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35C150E5"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w:t>
            </w:r>
          </w:p>
          <w:p w14:paraId="6F532BA1" w14:textId="54493256"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567"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7EAE51E7"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43%</w:t>
            </w:r>
          </w:p>
          <w:p w14:paraId="64BDB067" w14:textId="00891278"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919"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0CBC9460" w14:textId="77777777" w:rsidR="0099564B"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p w14:paraId="5C25556E" w14:textId="3994D478" w:rsidR="005D05F7" w:rsidRPr="00B77EBE" w:rsidRDefault="005D05F7"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65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F4B3A06"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16%</w:t>
            </w:r>
          </w:p>
        </w:tc>
        <w:tc>
          <w:tcPr>
            <w:tcW w:w="83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3FDC296"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tc>
      </w:tr>
      <w:tr w:rsidR="0099564B" w:rsidRPr="00B77EBE" w14:paraId="164DAFEB" w14:textId="77777777" w:rsidTr="00353F27">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A3DEE54"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Humanities, Arts and Social Sciences</w:t>
            </w:r>
          </w:p>
        </w:tc>
        <w:tc>
          <w:tcPr>
            <w:tcW w:w="567"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237D500D"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4%</w:t>
            </w:r>
          </w:p>
          <w:p w14:paraId="04ECB3EF" w14:textId="1974CE67"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647"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17E005B2"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40%</w:t>
            </w:r>
          </w:p>
          <w:p w14:paraId="07BF79C5" w14:textId="0847485F"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7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7AF38E8"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17%</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826FAEA"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17%</w:t>
            </w:r>
          </w:p>
        </w:tc>
        <w:tc>
          <w:tcPr>
            <w:tcW w:w="8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A74CCA9"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19%</w:t>
            </w:r>
          </w:p>
        </w:tc>
        <w:tc>
          <w:tcPr>
            <w:tcW w:w="56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DDC275E"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16%</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1DF0EED"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16%</w:t>
            </w:r>
          </w:p>
        </w:tc>
        <w:tc>
          <w:tcPr>
            <w:tcW w:w="91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54C6268"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17%</w:t>
            </w:r>
          </w:p>
        </w:tc>
        <w:tc>
          <w:tcPr>
            <w:tcW w:w="655"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4EF8D2D6"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15%</w:t>
            </w:r>
          </w:p>
          <w:p w14:paraId="7E67EE1E" w14:textId="3ABD4B3C"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36"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2FF709DF" w14:textId="77777777" w:rsidR="0099564B"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21%</w:t>
            </w:r>
          </w:p>
          <w:p w14:paraId="7426F9E5" w14:textId="33427AB7" w:rsidR="005D05F7" w:rsidRPr="00B77EBE" w:rsidRDefault="005D05F7"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r>
      <w:tr w:rsidR="0099564B" w:rsidRPr="00B77EBE" w14:paraId="20A0D6F1" w14:textId="77777777" w:rsidTr="00353F27">
        <w:trPr>
          <w:trHeight w:val="74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D62893D"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Breadth of disciplinary coverage</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837ABDA"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13%</w:t>
            </w:r>
          </w:p>
        </w:tc>
        <w:tc>
          <w:tcPr>
            <w:tcW w:w="64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AC870A2"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15%</w:t>
            </w:r>
          </w:p>
        </w:tc>
        <w:tc>
          <w:tcPr>
            <w:tcW w:w="87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695D7A8"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14%</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D7F3BF2"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13%</w:t>
            </w:r>
          </w:p>
        </w:tc>
        <w:tc>
          <w:tcPr>
            <w:tcW w:w="8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52B8CAE"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11%</w:t>
            </w:r>
          </w:p>
        </w:tc>
        <w:tc>
          <w:tcPr>
            <w:tcW w:w="56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12C0B9EB"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13%</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6A92386"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11%</w:t>
            </w:r>
          </w:p>
        </w:tc>
        <w:tc>
          <w:tcPr>
            <w:tcW w:w="91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1C4732B"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14%</w:t>
            </w:r>
          </w:p>
        </w:tc>
        <w:tc>
          <w:tcPr>
            <w:tcW w:w="65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88307E6"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13%</w:t>
            </w:r>
          </w:p>
        </w:tc>
        <w:tc>
          <w:tcPr>
            <w:tcW w:w="83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5D2BCC7" w14:textId="77777777" w:rsidR="0099564B" w:rsidRPr="00B77EBE" w:rsidRDefault="0099564B" w:rsidP="0099564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15%</w:t>
            </w:r>
          </w:p>
        </w:tc>
      </w:tr>
      <w:tr w:rsidR="0099564B" w:rsidRPr="00B77EBE" w14:paraId="277EF628" w14:textId="77777777" w:rsidTr="00353F27">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5629B50" w14:textId="77777777" w:rsidR="0099564B" w:rsidRPr="00B77EBE" w:rsidRDefault="0099564B" w:rsidP="0099564B">
            <w:pPr>
              <w:spacing w:before="120" w:after="120"/>
              <w:rPr>
                <w:rFonts w:asciiTheme="majorHAnsi" w:hAnsiTheme="majorHAnsi" w:cstheme="majorHAnsi"/>
                <w:sz w:val="16"/>
                <w:szCs w:val="16"/>
              </w:rPr>
            </w:pPr>
            <w:r w:rsidRPr="00B77EBE">
              <w:rPr>
                <w:rFonts w:asciiTheme="majorHAnsi" w:hAnsiTheme="majorHAnsi" w:cstheme="majorHAnsi"/>
                <w:sz w:val="16"/>
                <w:szCs w:val="16"/>
              </w:rPr>
              <w:t>None of these</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2ED3C01"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w:t>
            </w:r>
          </w:p>
        </w:tc>
        <w:tc>
          <w:tcPr>
            <w:tcW w:w="64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223DA71"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w:t>
            </w:r>
          </w:p>
        </w:tc>
        <w:tc>
          <w:tcPr>
            <w:tcW w:w="874"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47FDFFD"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w:t>
            </w:r>
          </w:p>
        </w:tc>
        <w:tc>
          <w:tcPr>
            <w:tcW w:w="88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48C0DCEE"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w:t>
            </w:r>
          </w:p>
        </w:tc>
        <w:tc>
          <w:tcPr>
            <w:tcW w:w="852"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9E85F25"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w:t>
            </w:r>
          </w:p>
        </w:tc>
        <w:tc>
          <w:tcPr>
            <w:tcW w:w="56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296C942"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DB3D95E"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w:t>
            </w:r>
          </w:p>
        </w:tc>
        <w:tc>
          <w:tcPr>
            <w:tcW w:w="919"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7A6D6AB"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w:t>
            </w:r>
          </w:p>
        </w:tc>
        <w:tc>
          <w:tcPr>
            <w:tcW w:w="65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56865123"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1%</w:t>
            </w:r>
          </w:p>
        </w:tc>
        <w:tc>
          <w:tcPr>
            <w:tcW w:w="83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9E37EA8" w14:textId="77777777" w:rsidR="0099564B" w:rsidRPr="00B77EBE" w:rsidRDefault="0099564B" w:rsidP="0099564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2%</w:t>
            </w:r>
          </w:p>
        </w:tc>
      </w:tr>
    </w:tbl>
    <w:p w14:paraId="1F4B621C" w14:textId="0299A21D" w:rsidR="00B77EBE" w:rsidRPr="00B77EBE" w:rsidRDefault="00B77EBE" w:rsidP="00B77EBE">
      <w:pPr>
        <w:spacing w:before="120" w:after="120"/>
        <w:rPr>
          <w:rFonts w:asciiTheme="majorHAnsi" w:hAnsiTheme="majorHAnsi" w:cstheme="majorHAnsi"/>
          <w:sz w:val="16"/>
          <w:szCs w:val="16"/>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Note: Percentage of survey respondents agreeing</w:t>
      </w:r>
      <w:r w:rsidR="00885144">
        <w:rPr>
          <w:rFonts w:asciiTheme="majorHAnsi" w:hAnsiTheme="majorHAnsi" w:cstheme="majorHAnsi"/>
          <w:i/>
          <w:sz w:val="16"/>
          <w:szCs w:val="16"/>
        </w:rPr>
        <w:t xml:space="preserve"> or </w:t>
      </w:r>
      <w:r w:rsidRPr="00B77EBE">
        <w:rPr>
          <w:rFonts w:asciiTheme="majorHAnsi" w:hAnsiTheme="majorHAnsi" w:cstheme="majorHAnsi"/>
          <w:i/>
          <w:sz w:val="16"/>
          <w:szCs w:val="16"/>
        </w:rPr>
        <w:t xml:space="preserve">strongly agreeing. </w:t>
      </w:r>
      <w:r w:rsidR="003E3DF4">
        <w:rPr>
          <w:rFonts w:asciiTheme="majorHAnsi" w:hAnsiTheme="majorHAnsi" w:cstheme="majorHAnsi"/>
          <w:i/>
          <w:sz w:val="16"/>
          <w:szCs w:val="16"/>
        </w:rPr>
        <w:t>Grey</w:t>
      </w:r>
      <w:r w:rsidRPr="00B77EBE">
        <w:rPr>
          <w:rFonts w:asciiTheme="majorHAnsi" w:hAnsiTheme="majorHAnsi" w:cstheme="majorHAnsi"/>
          <w:i/>
          <w:sz w:val="16"/>
          <w:szCs w:val="16"/>
        </w:rPr>
        <w:t xml:space="preserve"> cells are significantly below the mean</w:t>
      </w:r>
      <w:r w:rsidR="008A6396">
        <w:rPr>
          <w:rFonts w:asciiTheme="majorHAnsi" w:hAnsiTheme="majorHAnsi" w:cstheme="majorHAnsi"/>
          <w:i/>
          <w:sz w:val="16"/>
          <w:szCs w:val="16"/>
        </w:rPr>
        <w:t xml:space="preserve"> (–)</w:t>
      </w:r>
      <w:r w:rsidRPr="00B77EBE">
        <w:rPr>
          <w:rFonts w:asciiTheme="majorHAnsi" w:hAnsiTheme="majorHAnsi" w:cstheme="majorHAnsi"/>
          <w:i/>
          <w:sz w:val="16"/>
          <w:szCs w:val="16"/>
        </w:rPr>
        <w:t xml:space="preserve"> while green cells are significantly above the mean</w:t>
      </w:r>
      <w:r w:rsidR="008A6396">
        <w:rPr>
          <w:rFonts w:asciiTheme="majorHAnsi" w:hAnsiTheme="majorHAnsi" w:cstheme="majorHAnsi"/>
          <w:i/>
          <w:sz w:val="16"/>
          <w:szCs w:val="16"/>
        </w:rPr>
        <w:t xml:space="preserve"> (+)</w:t>
      </w:r>
      <w:r w:rsidRPr="00B77EBE">
        <w:rPr>
          <w:rFonts w:asciiTheme="majorHAnsi" w:hAnsiTheme="majorHAnsi" w:cstheme="majorHAnsi"/>
          <w:i/>
          <w:sz w:val="16"/>
          <w:szCs w:val="16"/>
        </w:rPr>
        <w:t xml:space="preserve"> at the 95 per cent confidence level. Researcher subgroups assigned on the basis of most recently completed project funded under the scheme. Table only includes participants with a completed project (n=2469); different numbers of survey participants responded to questions relating to research project characteristics.</w:t>
      </w:r>
    </w:p>
    <w:p w14:paraId="4AC24A1D" w14:textId="324FF82F" w:rsidR="00B77EBE" w:rsidRPr="00B77EBE" w:rsidRDefault="00B77EBE" w:rsidP="00B77EBE">
      <w:pPr>
        <w:rPr>
          <w:rFonts w:asciiTheme="majorHAnsi" w:hAnsiTheme="majorHAnsi" w:cstheme="majorHAnsi"/>
        </w:rPr>
      </w:pPr>
      <w:r w:rsidRPr="00B77EBE">
        <w:rPr>
          <w:rFonts w:asciiTheme="majorHAnsi" w:hAnsiTheme="majorHAnsi" w:cstheme="majorHAnsi"/>
        </w:rPr>
        <w:t>National and international collaboration were regarded as important elements of the scheme’s contribution</w:t>
      </w:r>
      <w:r w:rsidR="005B35EC">
        <w:rPr>
          <w:rFonts w:asciiTheme="majorHAnsi" w:hAnsiTheme="majorHAnsi" w:cstheme="majorHAnsi"/>
        </w:rPr>
        <w:t xml:space="preserve"> by</w:t>
      </w:r>
      <w:r w:rsidRPr="00B77EBE">
        <w:rPr>
          <w:rFonts w:asciiTheme="majorHAnsi" w:hAnsiTheme="majorHAnsi" w:cstheme="majorHAnsi"/>
        </w:rPr>
        <w:t xml:space="preserve"> 39 per cent of survey participants. The proportion of survey participants identifying international (25 per cent) and national (22 per cent) collaboration were similar. As could be </w:t>
      </w:r>
      <w:r w:rsidRPr="00B77EBE">
        <w:rPr>
          <w:rFonts w:asciiTheme="majorHAnsi" w:hAnsiTheme="majorHAnsi" w:cstheme="majorHAnsi"/>
        </w:rPr>
        <w:lastRenderedPageBreak/>
        <w:t>expected, those whose most recently completed project involved international collaboration were more likely to identify that area as an important contribution (31 per cent)</w:t>
      </w:r>
      <w:r w:rsidR="005C0CB7">
        <w:rPr>
          <w:rFonts w:asciiTheme="majorHAnsi" w:hAnsiTheme="majorHAnsi" w:cstheme="majorHAnsi"/>
        </w:rPr>
        <w:t xml:space="preserve"> </w:t>
      </w:r>
      <w:r w:rsidR="00DE1A64">
        <w:rPr>
          <w:rFonts w:asciiTheme="majorHAnsi" w:hAnsiTheme="majorHAnsi" w:cstheme="majorHAnsi"/>
        </w:rPr>
        <w:t>than</w:t>
      </w:r>
      <w:r w:rsidRPr="00B77EBE">
        <w:rPr>
          <w:rFonts w:asciiTheme="majorHAnsi" w:hAnsiTheme="majorHAnsi" w:cstheme="majorHAnsi"/>
        </w:rPr>
        <w:t xml:space="preserve"> those who did not collaborate internationally</w:t>
      </w:r>
      <w:r w:rsidR="00DE1A64">
        <w:rPr>
          <w:rFonts w:asciiTheme="majorHAnsi" w:hAnsiTheme="majorHAnsi" w:cstheme="majorHAnsi"/>
        </w:rPr>
        <w:t xml:space="preserve"> (</w:t>
      </w:r>
      <w:r w:rsidR="00087608">
        <w:rPr>
          <w:rFonts w:asciiTheme="majorHAnsi" w:hAnsiTheme="majorHAnsi" w:cstheme="majorHAnsi"/>
        </w:rPr>
        <w:t>9</w:t>
      </w:r>
      <w:r w:rsidR="00DE1A64">
        <w:rPr>
          <w:rFonts w:asciiTheme="majorHAnsi" w:hAnsiTheme="majorHAnsi" w:cstheme="majorHAnsi"/>
        </w:rPr>
        <w:t xml:space="preserve"> per cent)</w:t>
      </w:r>
      <w:r w:rsidRPr="00B77EBE">
        <w:rPr>
          <w:rFonts w:asciiTheme="majorHAnsi" w:hAnsiTheme="majorHAnsi" w:cstheme="majorHAnsi"/>
        </w:rPr>
        <w:t>. There was also some variability between STEM and HASS researchers, with STEM researchers (18 per cent) being less likely than HASS researchers (29 per cent) to include collaboration within Australia as one of the scheme’s top contributions.</w:t>
      </w:r>
    </w:p>
    <w:p w14:paraId="58717463" w14:textId="709469AD" w:rsidR="003E0DE0" w:rsidRPr="00B77EBE" w:rsidRDefault="00B77EBE" w:rsidP="00B77EBE">
      <w:pPr>
        <w:rPr>
          <w:rFonts w:asciiTheme="majorHAnsi" w:hAnsiTheme="majorHAnsi" w:cstheme="majorHAnsi"/>
        </w:rPr>
      </w:pPr>
      <w:r w:rsidRPr="00B77EBE">
        <w:rPr>
          <w:rFonts w:asciiTheme="majorHAnsi" w:hAnsiTheme="majorHAnsi" w:cstheme="majorHAnsi"/>
        </w:rPr>
        <w:t xml:space="preserve">Participants also highlighted the scheme’s contributions to research training (31 per cent) and STEM disciplines (27 per cent). While more participants </w:t>
      </w:r>
      <w:r w:rsidR="006A45BF">
        <w:rPr>
          <w:rFonts w:asciiTheme="majorHAnsi" w:hAnsiTheme="majorHAnsi" w:cstheme="majorHAnsi"/>
        </w:rPr>
        <w:t>identified</w:t>
      </w:r>
      <w:r w:rsidR="006A45BF" w:rsidRPr="00B77EBE">
        <w:rPr>
          <w:rFonts w:asciiTheme="majorHAnsi" w:hAnsiTheme="majorHAnsi" w:cstheme="majorHAnsi"/>
        </w:rPr>
        <w:t xml:space="preserve"> </w:t>
      </w:r>
      <w:r w:rsidRPr="00B77EBE">
        <w:rPr>
          <w:rFonts w:asciiTheme="majorHAnsi" w:hAnsiTheme="majorHAnsi" w:cstheme="majorHAnsi"/>
        </w:rPr>
        <w:t>the importance of the scheme’s support for STEM than HASS, it should be acknowledged that STEM researchers were more strongly represented within the survey’s overall sample, and as named researchers on projects funded under the scheme. The</w:t>
      </w:r>
      <w:r w:rsidR="00C32279">
        <w:rPr>
          <w:rFonts w:asciiTheme="majorHAnsi" w:hAnsiTheme="majorHAnsi" w:cstheme="majorHAnsi"/>
        </w:rPr>
        <w:t xml:space="preserve"> </w:t>
      </w:r>
      <w:r w:rsidR="00B2700B">
        <w:rPr>
          <w:rFonts w:asciiTheme="majorHAnsi" w:hAnsiTheme="majorHAnsi" w:cstheme="majorHAnsi"/>
        </w:rPr>
        <w:t xml:space="preserve">results highlighting the importance of </w:t>
      </w:r>
      <w:r w:rsidR="00595B19">
        <w:rPr>
          <w:rFonts w:asciiTheme="majorHAnsi" w:hAnsiTheme="majorHAnsi" w:cstheme="majorHAnsi"/>
        </w:rPr>
        <w:t>the scheme’s support for</w:t>
      </w:r>
      <w:r w:rsidR="00C32279">
        <w:rPr>
          <w:rFonts w:asciiTheme="majorHAnsi" w:hAnsiTheme="majorHAnsi" w:cstheme="majorHAnsi"/>
        </w:rPr>
        <w:t xml:space="preserve"> basic research </w:t>
      </w:r>
      <w:r w:rsidRPr="00B77EBE">
        <w:rPr>
          <w:rFonts w:asciiTheme="majorHAnsi" w:hAnsiTheme="majorHAnsi" w:cstheme="majorHAnsi"/>
        </w:rPr>
        <w:t>may</w:t>
      </w:r>
      <w:r w:rsidR="00757F05">
        <w:rPr>
          <w:rFonts w:asciiTheme="majorHAnsi" w:hAnsiTheme="majorHAnsi" w:cstheme="majorHAnsi"/>
        </w:rPr>
        <w:t xml:space="preserve"> </w:t>
      </w:r>
      <w:r w:rsidRPr="00B77EBE">
        <w:rPr>
          <w:rFonts w:asciiTheme="majorHAnsi" w:hAnsiTheme="majorHAnsi" w:cstheme="majorHAnsi"/>
        </w:rPr>
        <w:t xml:space="preserve">have been affected by the higher representation of participants </w:t>
      </w:r>
      <w:r w:rsidR="00757F05">
        <w:rPr>
          <w:rFonts w:asciiTheme="majorHAnsi" w:hAnsiTheme="majorHAnsi" w:cstheme="majorHAnsi"/>
        </w:rPr>
        <w:t>who had completed projects in</w:t>
      </w:r>
      <w:r w:rsidRPr="00B77EBE">
        <w:rPr>
          <w:rFonts w:asciiTheme="majorHAnsi" w:hAnsiTheme="majorHAnsi" w:cstheme="majorHAnsi"/>
        </w:rPr>
        <w:t xml:space="preserve"> basic</w:t>
      </w:r>
      <w:r w:rsidR="000E7E5D">
        <w:rPr>
          <w:rFonts w:asciiTheme="majorHAnsi" w:hAnsiTheme="majorHAnsi" w:cstheme="majorHAnsi"/>
        </w:rPr>
        <w:t xml:space="preserve"> </w:t>
      </w:r>
      <w:r w:rsidR="005828A1">
        <w:rPr>
          <w:rFonts w:asciiTheme="majorHAnsi" w:hAnsiTheme="majorHAnsi" w:cstheme="majorHAnsi"/>
        </w:rPr>
        <w:t>(44 per</w:t>
      </w:r>
      <w:r w:rsidR="00C65C2E">
        <w:rPr>
          <w:rFonts w:asciiTheme="majorHAnsi" w:hAnsiTheme="majorHAnsi" w:cstheme="majorHAnsi"/>
        </w:rPr>
        <w:t xml:space="preserve"> </w:t>
      </w:r>
      <w:r w:rsidR="005828A1">
        <w:rPr>
          <w:rFonts w:asciiTheme="majorHAnsi" w:hAnsiTheme="majorHAnsi" w:cstheme="majorHAnsi"/>
        </w:rPr>
        <w:t>cent)</w:t>
      </w:r>
      <w:r w:rsidRPr="00B77EBE">
        <w:rPr>
          <w:rFonts w:asciiTheme="majorHAnsi" w:hAnsiTheme="majorHAnsi" w:cstheme="majorHAnsi"/>
        </w:rPr>
        <w:t>, as opposed to applied</w:t>
      </w:r>
      <w:r w:rsidR="005828A1">
        <w:rPr>
          <w:rFonts w:asciiTheme="majorHAnsi" w:hAnsiTheme="majorHAnsi" w:cstheme="majorHAnsi"/>
        </w:rPr>
        <w:t xml:space="preserve"> (15 per cent)</w:t>
      </w:r>
      <w:r w:rsidRPr="00B77EBE">
        <w:rPr>
          <w:rFonts w:asciiTheme="majorHAnsi" w:hAnsiTheme="majorHAnsi" w:cstheme="majorHAnsi"/>
        </w:rPr>
        <w:t>, research.</w:t>
      </w:r>
      <w:r w:rsidR="005828A1">
        <w:rPr>
          <w:rStyle w:val="FootnoteReference"/>
          <w:rFonts w:asciiTheme="majorHAnsi" w:hAnsiTheme="majorHAnsi" w:cstheme="majorHAnsi"/>
        </w:rPr>
        <w:footnoteReference w:id="75"/>
      </w:r>
      <w:r w:rsidRPr="00B77EBE">
        <w:rPr>
          <w:rFonts w:asciiTheme="majorHAnsi" w:hAnsiTheme="majorHAnsi" w:cstheme="majorHAnsi"/>
        </w:rPr>
        <w:t xml:space="preserve">  </w:t>
      </w:r>
    </w:p>
    <w:p w14:paraId="56C0BAE0" w14:textId="7E688DD1" w:rsidR="00B77EBE" w:rsidRPr="00B77EBE" w:rsidRDefault="00B77EBE" w:rsidP="003C12B2">
      <w:pPr>
        <w:pStyle w:val="Heading3"/>
        <w:numPr>
          <w:ilvl w:val="2"/>
          <w:numId w:val="17"/>
        </w:numPr>
      </w:pPr>
      <w:bookmarkStart w:id="824" w:name="_Toc50533646"/>
      <w:bookmarkStart w:id="825" w:name="_Toc50553796"/>
      <w:bookmarkStart w:id="826" w:name="_Toc50555033"/>
      <w:bookmarkStart w:id="827" w:name="_Toc50618167"/>
      <w:bookmarkStart w:id="828" w:name="_Toc50618447"/>
      <w:bookmarkStart w:id="829" w:name="_Toc51917056"/>
      <w:bookmarkStart w:id="830" w:name="_Toc51918896"/>
      <w:bookmarkStart w:id="831" w:name="_Toc53557272"/>
      <w:bookmarkStart w:id="832" w:name="_Toc54699314"/>
      <w:bookmarkStart w:id="833" w:name="_Toc55544848"/>
      <w:r w:rsidRPr="00B77EBE">
        <w:t>Quantitative stakeholder views—alternative funding sources</w:t>
      </w:r>
      <w:bookmarkEnd w:id="824"/>
      <w:bookmarkEnd w:id="825"/>
      <w:bookmarkEnd w:id="826"/>
      <w:bookmarkEnd w:id="827"/>
      <w:bookmarkEnd w:id="828"/>
      <w:bookmarkEnd w:id="829"/>
      <w:bookmarkEnd w:id="830"/>
      <w:bookmarkEnd w:id="831"/>
      <w:bookmarkEnd w:id="832"/>
      <w:bookmarkEnd w:id="833"/>
    </w:p>
    <w:p w14:paraId="3ACDFA38" w14:textId="53CAF33E" w:rsidR="00B77EBE" w:rsidRPr="00B77EBE" w:rsidRDefault="00E8698B" w:rsidP="00B77EBE">
      <w:pPr>
        <w:rPr>
          <w:rFonts w:asciiTheme="majorHAnsi" w:hAnsiTheme="majorHAnsi" w:cstheme="majorHAnsi"/>
        </w:rPr>
      </w:pPr>
      <w:r>
        <w:rPr>
          <w:rFonts w:asciiTheme="majorHAnsi" w:hAnsiTheme="majorHAnsi" w:cstheme="majorHAnsi"/>
        </w:rPr>
        <w:t>S</w:t>
      </w:r>
      <w:r w:rsidR="00B77EBE" w:rsidRPr="00B77EBE">
        <w:rPr>
          <w:rFonts w:asciiTheme="majorHAnsi" w:hAnsiTheme="majorHAnsi" w:cstheme="majorHAnsi"/>
        </w:rPr>
        <w:t xml:space="preserve">urvey participants who indicated they had been a named researcher on an unsuccessful Discovery Projects application (77 per cent of the those surveyed) were asked about alternative funding sources they had pursued after their most recent unsuccessful application. </w:t>
      </w:r>
    </w:p>
    <w:p w14:paraId="0B04FDD4" w14:textId="0BB82901" w:rsidR="00B77EBE" w:rsidRPr="00B77EBE" w:rsidRDefault="00B77EBE" w:rsidP="00B77EBE">
      <w:pPr>
        <w:rPr>
          <w:rFonts w:asciiTheme="majorHAnsi" w:hAnsiTheme="majorHAnsi" w:cstheme="majorHAnsi"/>
        </w:rPr>
      </w:pPr>
      <w:r w:rsidRPr="00B77EBE">
        <w:rPr>
          <w:rFonts w:asciiTheme="majorHAnsi" w:hAnsiTheme="majorHAnsi" w:cstheme="majorHAnsi"/>
        </w:rPr>
        <w:t xml:space="preserve">As </w:t>
      </w:r>
      <w:r w:rsidRPr="00B77EBE">
        <w:rPr>
          <w:rFonts w:asciiTheme="majorHAnsi" w:hAnsiTheme="majorHAnsi" w:cstheme="majorHAnsi"/>
        </w:rPr>
        <w:fldChar w:fldCharType="begin"/>
      </w:r>
      <w:r w:rsidRPr="00B77EBE">
        <w:rPr>
          <w:rFonts w:asciiTheme="majorHAnsi" w:hAnsiTheme="majorHAnsi" w:cstheme="majorHAnsi"/>
        </w:rPr>
        <w:instrText xml:space="preserve"> REF _Ref48567522 \h  \* MERGEFORMAT </w:instrText>
      </w:r>
      <w:r w:rsidRPr="00B77EBE">
        <w:rPr>
          <w:rFonts w:asciiTheme="majorHAnsi" w:hAnsiTheme="majorHAnsi" w:cstheme="majorHAnsi"/>
        </w:rPr>
      </w:r>
      <w:r w:rsidRPr="00B77EBE">
        <w:rPr>
          <w:rFonts w:asciiTheme="majorHAnsi" w:hAnsiTheme="majorHAnsi" w:cstheme="majorHAnsi"/>
        </w:rPr>
        <w:fldChar w:fldCharType="separate"/>
      </w:r>
      <w:r w:rsidR="00AB03D7" w:rsidRPr="00AB03D7">
        <w:rPr>
          <w:rFonts w:asciiTheme="majorHAnsi" w:hAnsiTheme="majorHAnsi" w:cstheme="majorHAnsi"/>
        </w:rPr>
        <w:t xml:space="preserve">Figure </w:t>
      </w:r>
      <w:r w:rsidR="00AB03D7" w:rsidRPr="00AB03D7">
        <w:rPr>
          <w:rFonts w:asciiTheme="majorHAnsi" w:hAnsiTheme="majorHAnsi" w:cstheme="majorHAnsi"/>
          <w:noProof/>
        </w:rPr>
        <w:t>41</w:t>
      </w:r>
      <w:r w:rsidRPr="00B77EBE">
        <w:rPr>
          <w:rFonts w:asciiTheme="majorHAnsi" w:hAnsiTheme="majorHAnsi" w:cstheme="majorHAnsi"/>
        </w:rPr>
        <w:fldChar w:fldCharType="end"/>
      </w:r>
      <w:r w:rsidRPr="00B77EBE">
        <w:rPr>
          <w:rFonts w:asciiTheme="majorHAnsi" w:hAnsiTheme="majorHAnsi" w:cstheme="majorHAnsi"/>
        </w:rPr>
        <w:t xml:space="preserve"> shows, 73 per cent of those researchers had made, or intended to make, a further attempt at raising funding to support the</w:t>
      </w:r>
      <w:r w:rsidR="00E8698B">
        <w:rPr>
          <w:rFonts w:asciiTheme="majorHAnsi" w:hAnsiTheme="majorHAnsi" w:cstheme="majorHAnsi"/>
        </w:rPr>
        <w:t>ir</w:t>
      </w:r>
      <w:r w:rsidRPr="00B77EBE">
        <w:rPr>
          <w:rFonts w:asciiTheme="majorHAnsi" w:hAnsiTheme="majorHAnsi" w:cstheme="majorHAnsi"/>
        </w:rPr>
        <w:t xml:space="preserve"> proposed research. Most commonly (43 per cent), this involved applying for another Discovery Projects funding round. A substantial number also applied or intended to apply for other ARC schemes (16 per cent) or international funding sources (15 per cent). Twenty-seven per cent indicated they had not sought or would not seek alternative funding for the project.</w:t>
      </w:r>
    </w:p>
    <w:p w14:paraId="598A6C6E" w14:textId="61B2754C" w:rsidR="00B77EBE" w:rsidRPr="00B77EBE" w:rsidRDefault="00B77EBE" w:rsidP="00751469">
      <w:pPr>
        <w:pStyle w:val="FigureTitle"/>
      </w:pPr>
      <w:bookmarkStart w:id="834" w:name="_Ref48567522"/>
      <w:bookmarkStart w:id="835" w:name="_Ref49238416"/>
      <w:r w:rsidRPr="00B77EBE">
        <w:t xml:space="preserve">Figure </w:t>
      </w:r>
      <w:r w:rsidR="00857467">
        <w:fldChar w:fldCharType="begin"/>
      </w:r>
      <w:r w:rsidR="00857467">
        <w:instrText xml:space="preserve"> SEQ Figure \* ARABIC </w:instrText>
      </w:r>
      <w:r w:rsidR="00857467">
        <w:fldChar w:fldCharType="separate"/>
      </w:r>
      <w:r w:rsidR="00AB03D7">
        <w:rPr>
          <w:noProof/>
        </w:rPr>
        <w:t>41</w:t>
      </w:r>
      <w:r w:rsidR="00857467">
        <w:rPr>
          <w:noProof/>
        </w:rPr>
        <w:fldChar w:fldCharType="end"/>
      </w:r>
      <w:bookmarkEnd w:id="834"/>
      <w:r w:rsidRPr="00B77EBE">
        <w:t>: Other funding sources applied for after most recent unsuccessful Discovery Projects application</w:t>
      </w:r>
      <w:bookmarkEnd w:id="835"/>
    </w:p>
    <w:p w14:paraId="2E6E9D91" w14:textId="3A9CA2A2" w:rsidR="00B77EBE" w:rsidRPr="00B77EBE" w:rsidRDefault="000E5749" w:rsidP="00B77EBE">
      <w:pPr>
        <w:rPr>
          <w:rFonts w:asciiTheme="majorHAnsi" w:hAnsiTheme="majorHAnsi" w:cstheme="majorHAnsi"/>
        </w:rPr>
      </w:pPr>
      <w:r>
        <w:rPr>
          <w:rFonts w:asciiTheme="majorHAnsi" w:hAnsiTheme="majorHAnsi" w:cstheme="majorHAnsi"/>
          <w:noProof/>
          <w:lang w:eastAsia="en-AU"/>
        </w:rPr>
        <w:drawing>
          <wp:inline distT="0" distB="0" distL="0" distR="0" wp14:anchorId="040258A4" wp14:editId="6F36D461">
            <wp:extent cx="5730875" cy="1932305"/>
            <wp:effectExtent l="0" t="0" r="3175" b="0"/>
            <wp:docPr id="98" name="Picture 98" descr="Figure 41 is a graph showing the proportion of survey respondents applying for different sources of funding after their most recent unsuccessful Discovery Projects application.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Figure 41 is a graph showing the proportion of survey respondents applying for different sources of funding after their most recent unsuccessful Discovery Projects application. See text above graph for more inform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875" cy="1932305"/>
                    </a:xfrm>
                    <a:prstGeom prst="rect">
                      <a:avLst/>
                    </a:prstGeom>
                    <a:noFill/>
                  </pic:spPr>
                </pic:pic>
              </a:graphicData>
            </a:graphic>
          </wp:inline>
        </w:drawing>
      </w:r>
      <w:r w:rsidR="00B77EBE" w:rsidRPr="00B77EBE" w:rsidDel="00854114">
        <w:rPr>
          <w:rFonts w:asciiTheme="majorHAnsi" w:hAnsiTheme="majorHAnsi" w:cstheme="majorHAnsi"/>
          <w:noProof/>
          <w:lang w:eastAsia="en-AU"/>
        </w:rPr>
        <w:t xml:space="preserve"> </w:t>
      </w:r>
    </w:p>
    <w:p w14:paraId="649F82D7" w14:textId="77777777" w:rsidR="00B77EBE" w:rsidRPr="00B77EBE" w:rsidRDefault="00B77EBE" w:rsidP="00B77EBE">
      <w:pPr>
        <w:spacing w:after="120"/>
        <w:rPr>
          <w:rFonts w:asciiTheme="majorHAnsi" w:hAnsiTheme="majorHAnsi" w:cstheme="majorHAnsi"/>
          <w:sz w:val="16"/>
          <w:szCs w:val="16"/>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Note: Data includes those who had been named a researcher on an unsuccessful Discovery Projects application (n=2341).</w:t>
      </w:r>
    </w:p>
    <w:p w14:paraId="566B50AA" w14:textId="0CFBCE11" w:rsidR="00B77EBE" w:rsidRPr="00B77EBE" w:rsidRDefault="00B77EBE" w:rsidP="00B77EBE">
      <w:pPr>
        <w:rPr>
          <w:rFonts w:asciiTheme="majorHAnsi" w:hAnsiTheme="majorHAnsi" w:cstheme="majorHAnsi"/>
        </w:rPr>
      </w:pPr>
      <w:r w:rsidRPr="00B77EBE">
        <w:rPr>
          <w:rFonts w:asciiTheme="majorHAnsi" w:hAnsiTheme="majorHAnsi" w:cstheme="majorHAnsi"/>
        </w:rPr>
        <w:t xml:space="preserve">Sixty-three per cent of those who had sought </w:t>
      </w:r>
      <w:r w:rsidR="0009340E">
        <w:rPr>
          <w:rFonts w:asciiTheme="majorHAnsi" w:hAnsiTheme="majorHAnsi" w:cstheme="majorHAnsi"/>
        </w:rPr>
        <w:t>(or intended to seek)</w:t>
      </w:r>
      <w:r w:rsidRPr="00B77EBE">
        <w:rPr>
          <w:rFonts w:asciiTheme="majorHAnsi" w:hAnsiTheme="majorHAnsi" w:cstheme="majorHAnsi"/>
        </w:rPr>
        <w:t xml:space="preserve"> alternative funding were successful, while 37 per cent </w:t>
      </w:r>
      <w:r w:rsidR="005D2721">
        <w:rPr>
          <w:rFonts w:asciiTheme="majorHAnsi" w:hAnsiTheme="majorHAnsi" w:cstheme="majorHAnsi"/>
        </w:rPr>
        <w:t>were not</w:t>
      </w:r>
      <w:r w:rsidRPr="00B77EBE">
        <w:rPr>
          <w:rFonts w:asciiTheme="majorHAnsi" w:hAnsiTheme="majorHAnsi" w:cstheme="majorHAnsi"/>
        </w:rPr>
        <w:t xml:space="preserve">. </w:t>
      </w:r>
      <w:r w:rsidR="004B67A0">
        <w:rPr>
          <w:rFonts w:asciiTheme="majorHAnsi" w:hAnsiTheme="majorHAnsi" w:cstheme="majorHAnsi"/>
        </w:rPr>
        <w:t xml:space="preserve">As </w:t>
      </w:r>
      <w:r w:rsidR="00290526">
        <w:rPr>
          <w:rFonts w:asciiTheme="majorHAnsi" w:hAnsiTheme="majorHAnsi" w:cstheme="majorHAnsi"/>
        </w:rPr>
        <w:fldChar w:fldCharType="begin"/>
      </w:r>
      <w:r w:rsidR="00290526">
        <w:rPr>
          <w:rFonts w:asciiTheme="majorHAnsi" w:hAnsiTheme="majorHAnsi" w:cstheme="majorHAnsi"/>
        </w:rPr>
        <w:instrText xml:space="preserve"> REF _Ref52972117 \h  \* MERGEFORMAT </w:instrText>
      </w:r>
      <w:r w:rsidR="00290526">
        <w:rPr>
          <w:rFonts w:asciiTheme="majorHAnsi" w:hAnsiTheme="majorHAnsi" w:cstheme="majorHAnsi"/>
        </w:rPr>
      </w:r>
      <w:r w:rsidR="00290526">
        <w:rPr>
          <w:rFonts w:asciiTheme="majorHAnsi" w:hAnsiTheme="majorHAnsi" w:cstheme="majorHAnsi"/>
        </w:rPr>
        <w:fldChar w:fldCharType="separate"/>
      </w:r>
      <w:r w:rsidR="00AB03D7" w:rsidRPr="00AB03D7">
        <w:rPr>
          <w:rFonts w:asciiTheme="majorHAnsi" w:hAnsiTheme="majorHAnsi" w:cstheme="majorHAnsi"/>
        </w:rPr>
        <w:t>Figure 42</w:t>
      </w:r>
      <w:r w:rsidR="00290526">
        <w:rPr>
          <w:rFonts w:asciiTheme="majorHAnsi" w:hAnsiTheme="majorHAnsi" w:cstheme="majorHAnsi"/>
        </w:rPr>
        <w:fldChar w:fldCharType="end"/>
      </w:r>
      <w:r w:rsidR="00290526">
        <w:rPr>
          <w:rFonts w:asciiTheme="majorHAnsi" w:hAnsiTheme="majorHAnsi" w:cstheme="majorHAnsi"/>
        </w:rPr>
        <w:t xml:space="preserve"> s</w:t>
      </w:r>
      <w:r w:rsidR="006278B8">
        <w:rPr>
          <w:rFonts w:asciiTheme="majorHAnsi" w:hAnsiTheme="majorHAnsi" w:cstheme="majorHAnsi"/>
        </w:rPr>
        <w:t>hows, a</w:t>
      </w:r>
      <w:r w:rsidRPr="00B77EBE">
        <w:rPr>
          <w:rFonts w:asciiTheme="majorHAnsi" w:hAnsiTheme="majorHAnsi" w:cstheme="majorHAnsi"/>
        </w:rPr>
        <w:t>nother Discovery Projects round (30 per cent) was the most common alternative source of funding received, followed by another ARC grant (13 per cent).</w:t>
      </w:r>
    </w:p>
    <w:p w14:paraId="6E026C70" w14:textId="49941319" w:rsidR="00B77EBE" w:rsidRPr="00B77EBE" w:rsidRDefault="00B77EBE" w:rsidP="00751469">
      <w:pPr>
        <w:pStyle w:val="FigureTitle"/>
      </w:pPr>
      <w:bookmarkStart w:id="836" w:name="_Ref52972117"/>
      <w:r w:rsidRPr="00B77EBE">
        <w:lastRenderedPageBreak/>
        <w:t xml:space="preserve">Figure </w:t>
      </w:r>
      <w:r w:rsidR="00857467">
        <w:fldChar w:fldCharType="begin"/>
      </w:r>
      <w:r w:rsidR="00857467">
        <w:instrText xml:space="preserve"> SEQ Figure \* ARABIC </w:instrText>
      </w:r>
      <w:r w:rsidR="00857467">
        <w:fldChar w:fldCharType="separate"/>
      </w:r>
      <w:r w:rsidR="00AB03D7">
        <w:rPr>
          <w:noProof/>
        </w:rPr>
        <w:t>42</w:t>
      </w:r>
      <w:r w:rsidR="00857467">
        <w:rPr>
          <w:noProof/>
        </w:rPr>
        <w:fldChar w:fldCharType="end"/>
      </w:r>
      <w:bookmarkEnd w:id="836"/>
      <w:r w:rsidRPr="00B77EBE">
        <w:t>: Other funding sources received after most recent unsuccessful Discovery Projects application</w:t>
      </w:r>
    </w:p>
    <w:p w14:paraId="6E06E6FE" w14:textId="5EAF3548" w:rsidR="00B77EBE" w:rsidRPr="00B77EBE" w:rsidRDefault="000E5749" w:rsidP="00B77EBE">
      <w:pPr>
        <w:rPr>
          <w:rFonts w:asciiTheme="majorHAnsi" w:hAnsiTheme="majorHAnsi" w:cstheme="majorHAnsi"/>
        </w:rPr>
      </w:pPr>
      <w:r>
        <w:rPr>
          <w:rFonts w:asciiTheme="majorHAnsi" w:hAnsiTheme="majorHAnsi" w:cstheme="majorHAnsi"/>
          <w:noProof/>
        </w:rPr>
        <w:drawing>
          <wp:inline distT="0" distB="0" distL="0" distR="0" wp14:anchorId="264BEBD5" wp14:editId="47D00168">
            <wp:extent cx="5907405" cy="1731645"/>
            <wp:effectExtent l="0" t="0" r="0" b="1905"/>
            <wp:docPr id="99" name="Picture 99" descr="Figure 42 is a graph showing the proportion of survey respondents receiving different sources of funding after their most recent unsuccessful Discovery Projects application.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igure 42 is a graph showing the proportion of survey respondents receiving different sources of funding after their most recent unsuccessful Discovery Projects application. See text above graph for more inform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7405" cy="1731645"/>
                    </a:xfrm>
                    <a:prstGeom prst="rect">
                      <a:avLst/>
                    </a:prstGeom>
                    <a:noFill/>
                  </pic:spPr>
                </pic:pic>
              </a:graphicData>
            </a:graphic>
          </wp:inline>
        </w:drawing>
      </w:r>
    </w:p>
    <w:p w14:paraId="19D8841B" w14:textId="5EA1047A" w:rsidR="00B77EBE" w:rsidRPr="00B77EBE" w:rsidRDefault="00B77EBE" w:rsidP="00B77EBE">
      <w:pPr>
        <w:spacing w:after="120"/>
        <w:rPr>
          <w:rFonts w:asciiTheme="majorHAnsi" w:hAnsiTheme="majorHAnsi" w:cstheme="majorHAnsi"/>
          <w:sz w:val="16"/>
          <w:szCs w:val="16"/>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 xml:space="preserve">Note: Data includes </w:t>
      </w:r>
      <w:r w:rsidRPr="00B77EBE">
        <w:rPr>
          <w:rFonts w:asciiTheme="majorHAnsi" w:hAnsiTheme="majorHAnsi" w:cstheme="majorHAnsi"/>
          <w:i/>
          <w:kern w:val="24"/>
          <w:sz w:val="16"/>
          <w:szCs w:val="16"/>
        </w:rPr>
        <w:t>those who had applied</w:t>
      </w:r>
      <w:r w:rsidR="0009340E">
        <w:rPr>
          <w:rFonts w:asciiTheme="majorHAnsi" w:hAnsiTheme="majorHAnsi" w:cstheme="majorHAnsi"/>
          <w:i/>
          <w:kern w:val="24"/>
          <w:sz w:val="16"/>
          <w:szCs w:val="16"/>
        </w:rPr>
        <w:t>, or intended to apply,</w:t>
      </w:r>
      <w:r w:rsidRPr="00B77EBE">
        <w:rPr>
          <w:rFonts w:asciiTheme="majorHAnsi" w:hAnsiTheme="majorHAnsi" w:cstheme="majorHAnsi"/>
          <w:i/>
          <w:kern w:val="24"/>
          <w:sz w:val="16"/>
          <w:szCs w:val="16"/>
        </w:rPr>
        <w:t xml:space="preserve"> for alternative funding for their most recent unsuccessful Discovery Projects application (n=1681).</w:t>
      </w:r>
    </w:p>
    <w:p w14:paraId="2250AD98" w14:textId="18D3690F" w:rsidR="00B77EBE" w:rsidRPr="00B77EBE" w:rsidRDefault="00E5174A" w:rsidP="00B77EBE">
      <w:pPr>
        <w:rPr>
          <w:rFonts w:asciiTheme="majorHAnsi" w:hAnsiTheme="majorHAnsi" w:cstheme="majorHAnsi"/>
        </w:rPr>
      </w:pPr>
      <w:r>
        <w:rPr>
          <w:rFonts w:asciiTheme="majorHAnsi" w:hAnsiTheme="majorHAnsi" w:cstheme="majorHAnsi"/>
        </w:rPr>
        <w:t>Overall, i</w:t>
      </w:r>
      <w:r w:rsidR="00B77EBE" w:rsidRPr="00B77EBE">
        <w:rPr>
          <w:rFonts w:asciiTheme="majorHAnsi" w:hAnsiTheme="majorHAnsi" w:cstheme="majorHAnsi"/>
        </w:rPr>
        <w:t>n responses about funding</w:t>
      </w:r>
      <w:r w:rsidR="00B26B47">
        <w:rPr>
          <w:rFonts w:asciiTheme="majorHAnsi" w:hAnsiTheme="majorHAnsi" w:cstheme="majorHAnsi"/>
        </w:rPr>
        <w:t xml:space="preserve"> sources</w:t>
      </w:r>
      <w:r w:rsidR="00B77EBE" w:rsidRPr="00B77EBE">
        <w:rPr>
          <w:rFonts w:asciiTheme="majorHAnsi" w:hAnsiTheme="majorHAnsi" w:cstheme="majorHAnsi"/>
        </w:rPr>
        <w:t xml:space="preserve"> </w:t>
      </w:r>
      <w:r w:rsidR="0081013F">
        <w:rPr>
          <w:rFonts w:asciiTheme="majorHAnsi" w:hAnsiTheme="majorHAnsi" w:cstheme="majorHAnsi"/>
        </w:rPr>
        <w:t xml:space="preserve">they had </w:t>
      </w:r>
      <w:r w:rsidR="00B26B47">
        <w:rPr>
          <w:rFonts w:asciiTheme="majorHAnsi" w:hAnsiTheme="majorHAnsi" w:cstheme="majorHAnsi"/>
        </w:rPr>
        <w:t xml:space="preserve">both </w:t>
      </w:r>
      <w:r w:rsidR="0081013F">
        <w:rPr>
          <w:rFonts w:asciiTheme="majorHAnsi" w:hAnsiTheme="majorHAnsi" w:cstheme="majorHAnsi"/>
        </w:rPr>
        <w:t>applied for</w:t>
      </w:r>
      <w:r w:rsidR="0081013F" w:rsidRPr="00B77EBE">
        <w:rPr>
          <w:rFonts w:asciiTheme="majorHAnsi" w:hAnsiTheme="majorHAnsi" w:cstheme="majorHAnsi"/>
        </w:rPr>
        <w:t xml:space="preserve"> </w:t>
      </w:r>
      <w:r w:rsidR="00B77EBE" w:rsidRPr="00B77EBE">
        <w:rPr>
          <w:rFonts w:asciiTheme="majorHAnsi" w:hAnsiTheme="majorHAnsi" w:cstheme="majorHAnsi"/>
        </w:rPr>
        <w:t>and received, participants most frequently selected ‘Another Discovery Projects scheme round’ or ‘None’</w:t>
      </w:r>
      <w:r w:rsidR="00D04C57">
        <w:rPr>
          <w:rFonts w:asciiTheme="majorHAnsi" w:hAnsiTheme="majorHAnsi" w:cstheme="majorHAnsi"/>
        </w:rPr>
        <w:t xml:space="preserve">. This </w:t>
      </w:r>
      <w:r w:rsidR="00CA2418">
        <w:rPr>
          <w:rFonts w:asciiTheme="majorHAnsi" w:hAnsiTheme="majorHAnsi" w:cstheme="majorHAnsi"/>
        </w:rPr>
        <w:t>indicates</w:t>
      </w:r>
      <w:r w:rsidR="00D04C57">
        <w:rPr>
          <w:rFonts w:asciiTheme="majorHAnsi" w:hAnsiTheme="majorHAnsi" w:cstheme="majorHAnsi"/>
        </w:rPr>
        <w:t xml:space="preserve"> that</w:t>
      </w:r>
      <w:r w:rsidR="00B77EBE" w:rsidRPr="00B77EBE">
        <w:rPr>
          <w:rFonts w:asciiTheme="majorHAnsi" w:hAnsiTheme="majorHAnsi" w:cstheme="majorHAnsi"/>
        </w:rPr>
        <w:t xml:space="preserve"> </w:t>
      </w:r>
      <w:r w:rsidR="00CA2418">
        <w:rPr>
          <w:rFonts w:asciiTheme="majorHAnsi" w:hAnsiTheme="majorHAnsi" w:cstheme="majorHAnsi"/>
        </w:rPr>
        <w:t>a</w:t>
      </w:r>
      <w:r w:rsidR="00B77EBE" w:rsidRPr="00B77EBE">
        <w:rPr>
          <w:rFonts w:asciiTheme="majorHAnsi" w:hAnsiTheme="majorHAnsi" w:cstheme="majorHAnsi"/>
        </w:rPr>
        <w:t xml:space="preserve">lternative funding opportunities </w:t>
      </w:r>
      <w:r w:rsidR="00CA2418">
        <w:rPr>
          <w:rFonts w:asciiTheme="majorHAnsi" w:hAnsiTheme="majorHAnsi" w:cstheme="majorHAnsi"/>
        </w:rPr>
        <w:t xml:space="preserve">may </w:t>
      </w:r>
      <w:r w:rsidR="00B77EBE" w:rsidRPr="00B77EBE">
        <w:rPr>
          <w:rFonts w:asciiTheme="majorHAnsi" w:hAnsiTheme="majorHAnsi" w:cstheme="majorHAnsi"/>
        </w:rPr>
        <w:t>be limited for many researchers</w:t>
      </w:r>
      <w:r w:rsidR="00EB62CC" w:rsidRPr="00EB62CC">
        <w:rPr>
          <w:rFonts w:asciiTheme="majorHAnsi" w:hAnsiTheme="majorHAnsi" w:cstheme="majorHAnsi"/>
        </w:rPr>
        <w:t xml:space="preserve"> </w:t>
      </w:r>
      <w:r w:rsidR="00EB62CC">
        <w:rPr>
          <w:rFonts w:asciiTheme="majorHAnsi" w:hAnsiTheme="majorHAnsi" w:cstheme="majorHAnsi"/>
        </w:rPr>
        <w:t xml:space="preserve">and </w:t>
      </w:r>
      <w:r w:rsidR="00EB62CC" w:rsidRPr="00B77EBE">
        <w:rPr>
          <w:rFonts w:asciiTheme="majorHAnsi" w:hAnsiTheme="majorHAnsi" w:cstheme="majorHAnsi"/>
        </w:rPr>
        <w:t>appear</w:t>
      </w:r>
      <w:r w:rsidR="00EB62CC">
        <w:rPr>
          <w:rFonts w:asciiTheme="majorHAnsi" w:hAnsiTheme="majorHAnsi" w:cstheme="majorHAnsi"/>
        </w:rPr>
        <w:t>s</w:t>
      </w:r>
      <w:r w:rsidR="00EB62CC" w:rsidRPr="00B77EBE">
        <w:rPr>
          <w:rFonts w:asciiTheme="majorHAnsi" w:hAnsiTheme="majorHAnsi" w:cstheme="majorHAnsi"/>
        </w:rPr>
        <w:t xml:space="preserve"> to reinforce stakeholder perspectives that Discovery Projects occupies a unique role within the Australian research funding landscape</w:t>
      </w:r>
      <w:r w:rsidR="00CA2418">
        <w:rPr>
          <w:rFonts w:asciiTheme="majorHAnsi" w:hAnsiTheme="majorHAnsi" w:cstheme="majorHAnsi"/>
        </w:rPr>
        <w:t xml:space="preserve">. </w:t>
      </w:r>
      <w:r w:rsidR="00B63A3D">
        <w:rPr>
          <w:rFonts w:asciiTheme="majorHAnsi" w:hAnsiTheme="majorHAnsi" w:cstheme="majorHAnsi"/>
        </w:rPr>
        <w:t xml:space="preserve">Alternative opportunities </w:t>
      </w:r>
      <w:r w:rsidR="00184703">
        <w:rPr>
          <w:rFonts w:asciiTheme="majorHAnsi" w:hAnsiTheme="majorHAnsi" w:cstheme="majorHAnsi"/>
        </w:rPr>
        <w:t xml:space="preserve">appeared to be particularly limited for those </w:t>
      </w:r>
      <w:r w:rsidR="00B77EBE" w:rsidRPr="00B77EBE">
        <w:rPr>
          <w:rFonts w:asciiTheme="majorHAnsi" w:hAnsiTheme="majorHAnsi" w:cstheme="majorHAnsi"/>
        </w:rPr>
        <w:t>proposing research within HASS disciplines</w:t>
      </w:r>
      <w:r w:rsidR="00B51B15">
        <w:rPr>
          <w:rFonts w:asciiTheme="majorHAnsi" w:hAnsiTheme="majorHAnsi" w:cstheme="majorHAnsi"/>
        </w:rPr>
        <w:t xml:space="preserve">. Thirty-seven </w:t>
      </w:r>
      <w:r w:rsidR="00206508">
        <w:rPr>
          <w:rFonts w:asciiTheme="majorHAnsi" w:hAnsiTheme="majorHAnsi" w:cstheme="majorHAnsi"/>
        </w:rPr>
        <w:t>per cent respond</w:t>
      </w:r>
      <w:r w:rsidR="00B51B15">
        <w:rPr>
          <w:rFonts w:asciiTheme="majorHAnsi" w:hAnsiTheme="majorHAnsi" w:cstheme="majorHAnsi"/>
        </w:rPr>
        <w:t>ed</w:t>
      </w:r>
      <w:r w:rsidR="00B77EBE" w:rsidRPr="00B77EBE">
        <w:rPr>
          <w:rFonts w:asciiTheme="majorHAnsi" w:hAnsiTheme="majorHAnsi" w:cstheme="majorHAnsi"/>
        </w:rPr>
        <w:t xml:space="preserve"> that they had not sought, or would not seek, alternative funding for their project, compared to 23 per cent of STEM researchers. </w:t>
      </w:r>
      <w:r w:rsidR="001651AF">
        <w:rPr>
          <w:rFonts w:asciiTheme="majorHAnsi" w:hAnsiTheme="majorHAnsi" w:cstheme="majorHAnsi"/>
        </w:rPr>
        <w:t>S</w:t>
      </w:r>
      <w:r w:rsidR="001651AF" w:rsidRPr="00B77EBE">
        <w:rPr>
          <w:rFonts w:asciiTheme="majorHAnsi" w:hAnsiTheme="majorHAnsi" w:cstheme="majorHAnsi"/>
        </w:rPr>
        <w:t xml:space="preserve">tatistically significant differences between </w:t>
      </w:r>
      <w:r w:rsidR="006B370F">
        <w:rPr>
          <w:rFonts w:asciiTheme="majorHAnsi" w:hAnsiTheme="majorHAnsi" w:cstheme="majorHAnsi"/>
        </w:rPr>
        <w:t>participants</w:t>
      </w:r>
      <w:r w:rsidR="001651AF" w:rsidRPr="00B77EBE">
        <w:rPr>
          <w:rFonts w:asciiTheme="majorHAnsi" w:hAnsiTheme="majorHAnsi" w:cstheme="majorHAnsi"/>
        </w:rPr>
        <w:t xml:space="preserve"> proposing basic and applied research were not apparent</w:t>
      </w:r>
      <w:r w:rsidR="005A2F58">
        <w:rPr>
          <w:rFonts w:asciiTheme="majorHAnsi" w:hAnsiTheme="majorHAnsi" w:cstheme="majorHAnsi"/>
        </w:rPr>
        <w:t xml:space="preserve">, </w:t>
      </w:r>
      <w:r w:rsidR="005A2F58" w:rsidRPr="008E6B86">
        <w:rPr>
          <w:rFonts w:asciiTheme="majorHAnsi" w:hAnsiTheme="majorHAnsi" w:cstheme="majorHAnsi"/>
        </w:rPr>
        <w:t xml:space="preserve">despite </w:t>
      </w:r>
      <w:r w:rsidR="00372174" w:rsidRPr="008E6B86">
        <w:rPr>
          <w:rFonts w:asciiTheme="majorHAnsi" w:hAnsiTheme="majorHAnsi" w:cstheme="majorHAnsi"/>
        </w:rPr>
        <w:t xml:space="preserve">stakeholders’ </w:t>
      </w:r>
      <w:r w:rsidR="00AD4499" w:rsidRPr="008E6B86">
        <w:rPr>
          <w:rFonts w:asciiTheme="majorHAnsi" w:hAnsiTheme="majorHAnsi" w:cstheme="majorHAnsi"/>
        </w:rPr>
        <w:t>emphasis</w:t>
      </w:r>
      <w:r w:rsidR="007A4025" w:rsidRPr="008E6B86">
        <w:rPr>
          <w:rFonts w:asciiTheme="majorHAnsi" w:hAnsiTheme="majorHAnsi" w:cstheme="majorHAnsi"/>
        </w:rPr>
        <w:t xml:space="preserve"> on the importance of</w:t>
      </w:r>
      <w:r w:rsidR="006B7256" w:rsidRPr="008E6B86">
        <w:rPr>
          <w:rFonts w:asciiTheme="majorHAnsi" w:hAnsiTheme="majorHAnsi" w:cstheme="majorHAnsi"/>
        </w:rPr>
        <w:t xml:space="preserve"> the scheme’s contribution to </w:t>
      </w:r>
      <w:r w:rsidR="00B77EBE" w:rsidRPr="008E6B86">
        <w:rPr>
          <w:rFonts w:asciiTheme="majorHAnsi" w:hAnsiTheme="majorHAnsi" w:cstheme="majorHAnsi"/>
        </w:rPr>
        <w:t xml:space="preserve">basic research (see </w:t>
      </w:r>
      <w:hyperlink w:anchor="_Quantitative_stakeholder_views—Disc" w:history="1">
        <w:r w:rsidR="00D73AA4" w:rsidRPr="00281670">
          <w:rPr>
            <w:rStyle w:val="Hyperlink"/>
            <w:rFonts w:cstheme="majorHAnsi"/>
            <w:color w:val="auto"/>
            <w:sz w:val="22"/>
            <w:u w:val="none"/>
          </w:rPr>
          <w:t xml:space="preserve">Section </w:t>
        </w:r>
        <w:r w:rsidR="00EC3EF2" w:rsidRPr="00281670">
          <w:rPr>
            <w:rStyle w:val="Hyperlink"/>
            <w:rFonts w:cstheme="majorHAnsi"/>
            <w:color w:val="auto"/>
            <w:sz w:val="22"/>
            <w:u w:val="none"/>
          </w:rPr>
          <w:t>5.1.2</w:t>
        </w:r>
      </w:hyperlink>
      <w:r w:rsidR="00B77EBE" w:rsidRPr="008E6B86">
        <w:rPr>
          <w:rFonts w:asciiTheme="majorHAnsi" w:hAnsiTheme="majorHAnsi" w:cstheme="majorHAnsi"/>
        </w:rPr>
        <w:t>).</w:t>
      </w:r>
    </w:p>
    <w:p w14:paraId="0C205306" w14:textId="5F94CC5E" w:rsidR="00B77EBE" w:rsidRPr="00B77EBE" w:rsidRDefault="00B77EBE" w:rsidP="003C12B2">
      <w:pPr>
        <w:pStyle w:val="Heading2"/>
        <w:numPr>
          <w:ilvl w:val="1"/>
          <w:numId w:val="17"/>
        </w:numPr>
      </w:pPr>
      <w:bookmarkStart w:id="837" w:name="_Discovery_Projects_scheme"/>
      <w:bookmarkStart w:id="838" w:name="_Ref48566393"/>
      <w:bookmarkStart w:id="839" w:name="_Toc51918762"/>
      <w:bookmarkStart w:id="840" w:name="_Toc55544849"/>
      <w:bookmarkEnd w:id="837"/>
      <w:r w:rsidRPr="00B77EBE">
        <w:t xml:space="preserve">Discovery Projects scheme </w:t>
      </w:r>
      <w:bookmarkEnd w:id="838"/>
      <w:r w:rsidRPr="00B77EBE">
        <w:t>design</w:t>
      </w:r>
      <w:bookmarkEnd w:id="839"/>
      <w:bookmarkEnd w:id="840"/>
    </w:p>
    <w:p w14:paraId="4F1DC680" w14:textId="766EDA13" w:rsidR="00B77EBE" w:rsidRPr="00B77EBE" w:rsidRDefault="00B77EBE" w:rsidP="003C12B2">
      <w:pPr>
        <w:pStyle w:val="Heading3"/>
        <w:numPr>
          <w:ilvl w:val="2"/>
          <w:numId w:val="17"/>
        </w:numPr>
      </w:pPr>
      <w:bookmarkStart w:id="841" w:name="_Quantitative_stakeholder_views—appr_1"/>
      <w:bookmarkStart w:id="842" w:name="_Toc50533648"/>
      <w:bookmarkStart w:id="843" w:name="_Toc50553798"/>
      <w:bookmarkStart w:id="844" w:name="_Toc50555035"/>
      <w:bookmarkStart w:id="845" w:name="_Toc50618169"/>
      <w:bookmarkStart w:id="846" w:name="_Toc50618449"/>
      <w:bookmarkStart w:id="847" w:name="_Toc51917058"/>
      <w:bookmarkStart w:id="848" w:name="_Toc51918898"/>
      <w:bookmarkStart w:id="849" w:name="_Toc53557274"/>
      <w:bookmarkStart w:id="850" w:name="_Toc54699316"/>
      <w:bookmarkStart w:id="851" w:name="_Toc55544850"/>
      <w:bookmarkEnd w:id="841"/>
      <w:r w:rsidRPr="00B77EBE">
        <w:t>Quantitative stakeholder views</w:t>
      </w:r>
      <w:r w:rsidR="00D03E30">
        <w:t>—</w:t>
      </w:r>
      <w:r w:rsidRPr="00B77EBE">
        <w:t>appropriateness of Discovery Projects scheme objectives, intended outcomes and support for translational benefits through basic research funding</w:t>
      </w:r>
      <w:bookmarkEnd w:id="842"/>
      <w:bookmarkEnd w:id="843"/>
      <w:bookmarkEnd w:id="844"/>
      <w:bookmarkEnd w:id="845"/>
      <w:bookmarkEnd w:id="846"/>
      <w:bookmarkEnd w:id="847"/>
      <w:bookmarkEnd w:id="848"/>
      <w:bookmarkEnd w:id="849"/>
      <w:bookmarkEnd w:id="850"/>
      <w:bookmarkEnd w:id="851"/>
    </w:p>
    <w:p w14:paraId="4454F49E" w14:textId="26BB1CF8" w:rsidR="00B77EBE" w:rsidRPr="00B77EBE" w:rsidRDefault="00B77EBE" w:rsidP="00B77EBE">
      <w:pPr>
        <w:rPr>
          <w:rFonts w:asciiTheme="majorHAnsi" w:hAnsiTheme="majorHAnsi" w:cstheme="majorHAnsi"/>
        </w:rPr>
      </w:pPr>
      <w:r w:rsidRPr="00B77EBE">
        <w:rPr>
          <w:rFonts w:asciiTheme="majorHAnsi" w:hAnsiTheme="majorHAnsi" w:cstheme="majorHAnsi"/>
        </w:rPr>
        <w:t xml:space="preserve">Overall, more than two-thirds of survey </w:t>
      </w:r>
      <w:r w:rsidR="00AD4499">
        <w:rPr>
          <w:rFonts w:asciiTheme="majorHAnsi" w:hAnsiTheme="majorHAnsi" w:cstheme="majorHAnsi"/>
        </w:rPr>
        <w:t>participants</w:t>
      </w:r>
      <w:r w:rsidR="00AD4499" w:rsidRPr="00B77EBE">
        <w:rPr>
          <w:rFonts w:asciiTheme="majorHAnsi" w:hAnsiTheme="majorHAnsi" w:cstheme="majorHAnsi"/>
        </w:rPr>
        <w:t xml:space="preserve"> </w:t>
      </w:r>
      <w:r w:rsidRPr="00B77EBE">
        <w:rPr>
          <w:rFonts w:asciiTheme="majorHAnsi" w:hAnsiTheme="majorHAnsi" w:cstheme="majorHAnsi"/>
        </w:rPr>
        <w:t>(68 per cent) agreed or strongly agreed that Discovery Projects’ objectives and intended outcomes are appropriate, given the scheme’s underlying policy intent. More than half (56 per cent) also agreed that the scheme’s approach to supporting translational benefits through basic research is appropriate; only 18 per cent either disagreed or strongly disagreed.</w:t>
      </w:r>
    </w:p>
    <w:p w14:paraId="0A391C41" w14:textId="76203FB4" w:rsidR="00B77EBE" w:rsidRPr="00B77EBE" w:rsidRDefault="00B77EBE" w:rsidP="00751469">
      <w:pPr>
        <w:pStyle w:val="FigureTitle"/>
        <w:rPr>
          <w:noProof/>
        </w:rPr>
      </w:pPr>
      <w:r w:rsidRPr="00B77EBE">
        <w:rPr>
          <w:noProof/>
        </w:rPr>
        <w:t xml:space="preserve">Figure </w:t>
      </w:r>
      <w:r w:rsidR="00D737B6">
        <w:rPr>
          <w:noProof/>
        </w:rPr>
        <w:fldChar w:fldCharType="begin"/>
      </w:r>
      <w:r w:rsidR="00D737B6">
        <w:rPr>
          <w:noProof/>
        </w:rPr>
        <w:instrText xml:space="preserve"> SEQ Figure \* ARABIC </w:instrText>
      </w:r>
      <w:r w:rsidR="00D737B6">
        <w:rPr>
          <w:noProof/>
        </w:rPr>
        <w:fldChar w:fldCharType="separate"/>
      </w:r>
      <w:r w:rsidR="00AB03D7">
        <w:rPr>
          <w:noProof/>
        </w:rPr>
        <w:t>43</w:t>
      </w:r>
      <w:r w:rsidR="00D737B6">
        <w:rPr>
          <w:noProof/>
        </w:rPr>
        <w:fldChar w:fldCharType="end"/>
      </w:r>
      <w:r w:rsidRPr="00B77EBE">
        <w:rPr>
          <w:noProof/>
        </w:rPr>
        <w:t>: Level of agreement about the appropriateness of the Discovery Projects scheme’s objectives, intended outcomes and approach to delivering translational benefits</w:t>
      </w:r>
    </w:p>
    <w:p w14:paraId="4BFDAEB2" w14:textId="25F86006" w:rsidR="00B77EBE" w:rsidRPr="00B77EBE" w:rsidRDefault="000E5749" w:rsidP="00B77EBE">
      <w:pPr>
        <w:rPr>
          <w:rFonts w:asciiTheme="majorHAnsi" w:hAnsiTheme="majorHAnsi" w:cstheme="majorHAnsi"/>
        </w:rPr>
      </w:pPr>
      <w:r>
        <w:rPr>
          <w:rFonts w:asciiTheme="majorHAnsi" w:hAnsiTheme="majorHAnsi" w:cstheme="majorHAnsi"/>
          <w:noProof/>
        </w:rPr>
        <w:drawing>
          <wp:inline distT="0" distB="0" distL="0" distR="0" wp14:anchorId="78FE4F54" wp14:editId="20FC7155">
            <wp:extent cx="5730875" cy="1962785"/>
            <wp:effectExtent l="0" t="0" r="3175" b="0"/>
            <wp:docPr id="100" name="Picture 100" descr="Figure 43 is a graph showing the level of agreement among researcher survey respondents about the appropriateness of Discovery Projects’ objectives, intended outcomes and approach to delivering translational benefits.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Figure 43 is a graph showing the level of agreement among researcher survey respondents about the appropriateness of Discovery Projects’ objectives, intended outcomes and approach to delivering translational benefits. See text above graph for more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875" cy="1962785"/>
                    </a:xfrm>
                    <a:prstGeom prst="rect">
                      <a:avLst/>
                    </a:prstGeom>
                    <a:noFill/>
                  </pic:spPr>
                </pic:pic>
              </a:graphicData>
            </a:graphic>
          </wp:inline>
        </w:drawing>
      </w:r>
    </w:p>
    <w:p w14:paraId="5E23CEA2" w14:textId="77777777" w:rsidR="00B77EBE" w:rsidRPr="00B77EBE" w:rsidRDefault="00B77EBE" w:rsidP="00B77EBE">
      <w:pPr>
        <w:rPr>
          <w:rFonts w:asciiTheme="majorHAnsi" w:hAnsiTheme="majorHAnsi" w:cstheme="majorHAnsi"/>
          <w:i/>
          <w:sz w:val="16"/>
          <w:szCs w:val="16"/>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Note: (n=3044, 3042).</w:t>
      </w:r>
    </w:p>
    <w:p w14:paraId="0A3DC2E7" w14:textId="0E7E36C0" w:rsidR="003E0DE0" w:rsidRPr="00B77EBE" w:rsidRDefault="00CE53E6" w:rsidP="00B77EBE">
      <w:pPr>
        <w:rPr>
          <w:rFonts w:asciiTheme="majorHAnsi" w:hAnsiTheme="majorHAnsi" w:cstheme="majorHAnsi"/>
          <w:i/>
        </w:rPr>
      </w:pPr>
      <w:r w:rsidRPr="00FD4044">
        <w:rPr>
          <w:rFonts w:asciiTheme="majorHAnsi" w:hAnsiTheme="majorHAnsi" w:cstheme="majorHAnsi"/>
        </w:rPr>
        <w:lastRenderedPageBreak/>
        <w:fldChar w:fldCharType="begin"/>
      </w:r>
      <w:r w:rsidRPr="00CE53E6">
        <w:rPr>
          <w:rFonts w:asciiTheme="majorHAnsi" w:hAnsiTheme="majorHAnsi" w:cstheme="majorHAnsi"/>
        </w:rPr>
        <w:instrText xml:space="preserve"> REF _Ref52283161 \h </w:instrText>
      </w:r>
      <w:r w:rsidRPr="007057E6">
        <w:rPr>
          <w:rFonts w:asciiTheme="majorHAnsi" w:hAnsiTheme="majorHAnsi" w:cstheme="majorHAnsi"/>
        </w:rPr>
        <w:instrText xml:space="preserve"> \* MERGEFORMAT </w:instrText>
      </w:r>
      <w:r w:rsidRPr="00FD4044">
        <w:rPr>
          <w:rFonts w:asciiTheme="majorHAnsi" w:hAnsiTheme="majorHAnsi" w:cstheme="majorHAnsi"/>
        </w:rPr>
      </w:r>
      <w:r w:rsidRPr="00FD4044">
        <w:rPr>
          <w:rFonts w:asciiTheme="majorHAnsi" w:hAnsiTheme="majorHAnsi" w:cstheme="majorHAnsi"/>
        </w:rPr>
        <w:fldChar w:fldCharType="separate"/>
      </w:r>
      <w:r w:rsidR="00AB03D7" w:rsidRPr="00AB03D7">
        <w:rPr>
          <w:rFonts w:asciiTheme="majorHAnsi" w:hAnsiTheme="majorHAnsi" w:cstheme="majorHAnsi"/>
          <w:iCs/>
          <w:noProof/>
          <w:color w:val="000000" w:themeColor="text1"/>
        </w:rPr>
        <w:t>Table 8</w:t>
      </w:r>
      <w:r w:rsidRPr="00FD4044">
        <w:rPr>
          <w:rFonts w:asciiTheme="majorHAnsi" w:hAnsiTheme="majorHAnsi" w:cstheme="majorHAnsi"/>
        </w:rPr>
        <w:fldChar w:fldCharType="end"/>
      </w:r>
      <w:r w:rsidRPr="00AD7115">
        <w:rPr>
          <w:rFonts w:asciiTheme="majorHAnsi" w:hAnsiTheme="majorHAnsi" w:cstheme="majorHAnsi"/>
        </w:rPr>
        <w:t xml:space="preserve"> </w:t>
      </w:r>
      <w:r w:rsidR="00B77EBE" w:rsidRPr="00CE53E6">
        <w:rPr>
          <w:rFonts w:asciiTheme="majorHAnsi" w:hAnsiTheme="majorHAnsi" w:cstheme="majorHAnsi"/>
        </w:rPr>
        <w:t>shows that</w:t>
      </w:r>
      <w:r w:rsidR="00B77EBE" w:rsidRPr="00B77EBE">
        <w:rPr>
          <w:rFonts w:asciiTheme="majorHAnsi" w:hAnsiTheme="majorHAnsi" w:cstheme="majorHAnsi"/>
        </w:rPr>
        <w:t xml:space="preserve"> responses were generally consistent when disaggregated by the characteristics of researchers’ mostly recently completed project under the scheme. Researchers completing their most recent project in the last three years were more likely to agree or strongly agree </w:t>
      </w:r>
      <w:r w:rsidR="0083677C">
        <w:rPr>
          <w:rFonts w:asciiTheme="majorHAnsi" w:hAnsiTheme="majorHAnsi" w:cstheme="majorHAnsi"/>
        </w:rPr>
        <w:t>that</w:t>
      </w:r>
      <w:r w:rsidR="00B77EBE" w:rsidRPr="00B77EBE">
        <w:rPr>
          <w:rFonts w:asciiTheme="majorHAnsi" w:hAnsiTheme="majorHAnsi" w:cstheme="majorHAnsi"/>
        </w:rPr>
        <w:t xml:space="preserve"> the scheme’s objectives and intended outcomes</w:t>
      </w:r>
      <w:r w:rsidR="0083677C">
        <w:rPr>
          <w:rFonts w:asciiTheme="majorHAnsi" w:hAnsiTheme="majorHAnsi" w:cstheme="majorHAnsi"/>
        </w:rPr>
        <w:t xml:space="preserve"> are appropriate</w:t>
      </w:r>
      <w:r w:rsidR="00B77EBE" w:rsidRPr="00B77EBE">
        <w:rPr>
          <w:rFonts w:asciiTheme="majorHAnsi" w:hAnsiTheme="majorHAnsi" w:cstheme="majorHAnsi"/>
        </w:rPr>
        <w:t>, compared to those who completed less recently (74 per cent, compared to 64 per cent respectively). Researchers whose most recently completed project involved international collaboration were also more likely to agree (71 per cent, compared to 63 per cent of those not involving international collaboration).</w:t>
      </w:r>
    </w:p>
    <w:p w14:paraId="09DDE4B4" w14:textId="5202E6B5" w:rsidR="00623F95" w:rsidRPr="00623F95" w:rsidRDefault="00623F95" w:rsidP="00672942">
      <w:pPr>
        <w:pStyle w:val="TableTitle"/>
        <w:rPr>
          <w:noProof/>
        </w:rPr>
      </w:pPr>
      <w:bookmarkStart w:id="852" w:name="_Ref52283161"/>
      <w:r w:rsidRPr="00623F95">
        <w:rPr>
          <w:noProof/>
        </w:rPr>
        <w:t xml:space="preserve">Table </w:t>
      </w:r>
      <w:r w:rsidRPr="00623F95">
        <w:rPr>
          <w:noProof/>
        </w:rPr>
        <w:fldChar w:fldCharType="begin"/>
      </w:r>
      <w:r w:rsidRPr="00623F95">
        <w:rPr>
          <w:noProof/>
        </w:rPr>
        <w:instrText xml:space="preserve"> SEQ Table \* ARABIC </w:instrText>
      </w:r>
      <w:r w:rsidRPr="00623F95">
        <w:rPr>
          <w:noProof/>
        </w:rPr>
        <w:fldChar w:fldCharType="separate"/>
      </w:r>
      <w:r w:rsidR="00AB03D7">
        <w:rPr>
          <w:noProof/>
        </w:rPr>
        <w:t>8</w:t>
      </w:r>
      <w:r w:rsidRPr="00623F95">
        <w:rPr>
          <w:noProof/>
        </w:rPr>
        <w:fldChar w:fldCharType="end"/>
      </w:r>
      <w:bookmarkEnd w:id="852"/>
      <w:r w:rsidRPr="00623F95">
        <w:rPr>
          <w:noProof/>
        </w:rPr>
        <w:t>: Proportion of researchers agreeing about the appropriateness of the Discovery Projects scheme’s objectives, intended outcomes and approach to supporting translational benefits, by most recently completed Discovery Projects research characteristics</w:t>
      </w:r>
    </w:p>
    <w:tbl>
      <w:tblPr>
        <w:tblStyle w:val="GridTable413"/>
        <w:tblW w:w="9209" w:type="dxa"/>
        <w:tblLayout w:type="fixed"/>
        <w:tblLook w:val="04A0" w:firstRow="1" w:lastRow="0" w:firstColumn="1" w:lastColumn="0" w:noHBand="0" w:noVBand="1"/>
        <w:tblCaption w:val="Table 8: Proportion of researchers agreeing about the appropriateness of the Discovery Projects scheme’s objectives, intended outcomes and approach to supporting translational benefits, by most recently completed Discovery Projects research characteristics"/>
        <w:tblDescription w:val="Table 8 indicates the proportion of researchers surveyed agreeing about the appropriateness of the Discovery Projects scheme’s objectives, intended outcomes and approach to supporting translational benefits through basic research. Researchers have been subcategorised according to information from their most recently completed Discovery Project. See text above table for more information.&#10;"/>
      </w:tblPr>
      <w:tblGrid>
        <w:gridCol w:w="1696"/>
        <w:gridCol w:w="567"/>
        <w:gridCol w:w="670"/>
        <w:gridCol w:w="890"/>
        <w:gridCol w:w="850"/>
        <w:gridCol w:w="838"/>
        <w:gridCol w:w="721"/>
        <w:gridCol w:w="605"/>
        <w:gridCol w:w="951"/>
        <w:gridCol w:w="661"/>
        <w:gridCol w:w="760"/>
      </w:tblGrid>
      <w:tr w:rsidR="007B32F1" w:rsidRPr="00B77EBE" w14:paraId="143973CB" w14:textId="77777777" w:rsidTr="00432C4B">
        <w:trPr>
          <w:cnfStyle w:val="100000000000" w:firstRow="1" w:lastRow="0" w:firstColumn="0" w:lastColumn="0" w:oddVBand="0" w:evenVBand="0" w:oddHBand="0" w:evenHBand="0" w:firstRowFirstColumn="0" w:firstRowLastColumn="0" w:lastRowFirstColumn="0" w:lastRowLastColumn="0"/>
          <w:cantSplit/>
          <w:trHeight w:val="29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62626"/>
              <w:left w:val="single" w:sz="4" w:space="0" w:color="262626"/>
              <w:bottom w:val="single" w:sz="4" w:space="0" w:color="262626"/>
              <w:right w:val="single" w:sz="4" w:space="0" w:color="262626"/>
            </w:tcBorders>
            <w:shd w:val="clear" w:color="auto" w:fill="262626"/>
          </w:tcPr>
          <w:p w14:paraId="209B8331" w14:textId="77777777" w:rsidR="00623F95" w:rsidRPr="00B77EBE" w:rsidRDefault="00623F95" w:rsidP="00AC60D6">
            <w:pPr>
              <w:spacing w:before="120" w:after="120"/>
              <w:rPr>
                <w:rFonts w:asciiTheme="majorHAnsi" w:hAnsiTheme="majorHAnsi" w:cstheme="majorHAnsi"/>
                <w:sz w:val="15"/>
                <w:szCs w:val="15"/>
              </w:rPr>
            </w:pPr>
          </w:p>
        </w:tc>
        <w:tc>
          <w:tcPr>
            <w:tcW w:w="7513" w:type="dxa"/>
            <w:gridSpan w:val="10"/>
            <w:tcBorders>
              <w:top w:val="single" w:sz="4" w:space="0" w:color="262626"/>
              <w:left w:val="single" w:sz="4" w:space="0" w:color="262626"/>
              <w:bottom w:val="single" w:sz="4" w:space="0" w:color="262626"/>
              <w:right w:val="single" w:sz="4" w:space="0" w:color="262626"/>
            </w:tcBorders>
            <w:shd w:val="clear" w:color="auto" w:fill="262626"/>
          </w:tcPr>
          <w:p w14:paraId="0904B251" w14:textId="77777777" w:rsidR="00623F95" w:rsidRPr="00B77EBE" w:rsidRDefault="00623F95" w:rsidP="00AC60D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B77EBE">
              <w:rPr>
                <w:rFonts w:asciiTheme="majorHAnsi" w:hAnsiTheme="majorHAnsi" w:cstheme="majorHAnsi"/>
              </w:rPr>
              <w:t>Research Project Characteristics</w:t>
            </w:r>
          </w:p>
        </w:tc>
      </w:tr>
      <w:tr w:rsidR="00120306" w:rsidRPr="00B77EBE" w14:paraId="5676F365" w14:textId="77777777" w:rsidTr="00353F27">
        <w:trPr>
          <w:cnfStyle w:val="000000100000" w:firstRow="0" w:lastRow="0" w:firstColumn="0" w:lastColumn="0" w:oddVBand="0" w:evenVBand="0" w:oddHBand="1" w:evenHBand="0" w:firstRowFirstColumn="0" w:firstRowLastColumn="0" w:lastRowFirstColumn="0" w:lastRowLastColumn="0"/>
          <w:cantSplit/>
          <w:trHeight w:val="132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62626"/>
              <w:left w:val="single" w:sz="4" w:space="0" w:color="262626"/>
              <w:bottom w:val="single" w:sz="4" w:space="0" w:color="262626"/>
              <w:right w:val="single" w:sz="4" w:space="0" w:color="262626"/>
            </w:tcBorders>
            <w:shd w:val="clear" w:color="auto" w:fill="262626"/>
            <w:vAlign w:val="bottom"/>
          </w:tcPr>
          <w:p w14:paraId="7B1BE638" w14:textId="77777777" w:rsidR="00623F95" w:rsidRPr="00B77EBE" w:rsidRDefault="00623F95" w:rsidP="00AC60D6">
            <w:pPr>
              <w:spacing w:before="120" w:after="120"/>
              <w:rPr>
                <w:rFonts w:asciiTheme="majorHAnsi" w:hAnsiTheme="majorHAnsi" w:cstheme="majorHAnsi"/>
                <w:color w:val="FFFFFF"/>
                <w:sz w:val="15"/>
                <w:szCs w:val="15"/>
              </w:rPr>
            </w:pPr>
          </w:p>
        </w:tc>
        <w:tc>
          <w:tcPr>
            <w:tcW w:w="567"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785BEA60" w14:textId="77777777"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STEM</w:t>
            </w:r>
          </w:p>
        </w:tc>
        <w:tc>
          <w:tcPr>
            <w:tcW w:w="670"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793B64C6" w14:textId="77777777"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HASS</w:t>
            </w:r>
          </w:p>
        </w:tc>
        <w:tc>
          <w:tcPr>
            <w:tcW w:w="890"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76960287" w14:textId="52B64BB0"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 xml:space="preserve">Completed </w:t>
            </w:r>
            <w:r>
              <w:rPr>
                <w:rFonts w:asciiTheme="majorHAnsi" w:hAnsiTheme="majorHAnsi" w:cstheme="majorHAnsi"/>
                <w:b/>
                <w:color w:val="FFFFFF"/>
                <w:sz w:val="16"/>
                <w:szCs w:val="16"/>
              </w:rPr>
              <w:t xml:space="preserve">Project </w:t>
            </w:r>
            <w:r w:rsidRPr="00B77EBE">
              <w:rPr>
                <w:rFonts w:asciiTheme="majorHAnsi" w:hAnsiTheme="majorHAnsi" w:cstheme="majorHAnsi"/>
                <w:b/>
                <w:color w:val="FFFFFF"/>
                <w:sz w:val="16"/>
                <w:szCs w:val="16"/>
              </w:rPr>
              <w:t>2018 or later</w:t>
            </w:r>
          </w:p>
        </w:tc>
        <w:tc>
          <w:tcPr>
            <w:tcW w:w="850"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73EBE5F5" w14:textId="42A9F14E"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 xml:space="preserve">Completed </w:t>
            </w:r>
            <w:r>
              <w:rPr>
                <w:rFonts w:asciiTheme="majorHAnsi" w:hAnsiTheme="majorHAnsi" w:cstheme="majorHAnsi"/>
                <w:b/>
                <w:color w:val="FFFFFF"/>
                <w:sz w:val="16"/>
                <w:szCs w:val="16"/>
              </w:rPr>
              <w:t xml:space="preserve">Project </w:t>
            </w:r>
            <w:r w:rsidRPr="00B77EBE">
              <w:rPr>
                <w:rFonts w:asciiTheme="majorHAnsi" w:hAnsiTheme="majorHAnsi" w:cstheme="majorHAnsi"/>
                <w:b/>
                <w:color w:val="FFFFFF"/>
                <w:sz w:val="16"/>
                <w:szCs w:val="16"/>
              </w:rPr>
              <w:t>2011– 2017</w:t>
            </w:r>
          </w:p>
        </w:tc>
        <w:tc>
          <w:tcPr>
            <w:tcW w:w="838"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3BE1DE04" w14:textId="174C474D"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 xml:space="preserve">Completed </w:t>
            </w:r>
            <w:r>
              <w:rPr>
                <w:rFonts w:asciiTheme="majorHAnsi" w:hAnsiTheme="majorHAnsi" w:cstheme="majorHAnsi"/>
                <w:b/>
                <w:color w:val="FFFFFF"/>
                <w:sz w:val="16"/>
                <w:szCs w:val="16"/>
              </w:rPr>
              <w:t xml:space="preserve">Project </w:t>
            </w:r>
            <w:r w:rsidRPr="00B77EBE">
              <w:rPr>
                <w:rFonts w:asciiTheme="majorHAnsi" w:hAnsiTheme="majorHAnsi" w:cstheme="majorHAnsi"/>
                <w:b/>
                <w:color w:val="FFFFFF"/>
                <w:sz w:val="16"/>
                <w:szCs w:val="16"/>
              </w:rPr>
              <w:t>2010 or earlier</w:t>
            </w:r>
          </w:p>
        </w:tc>
        <w:tc>
          <w:tcPr>
            <w:tcW w:w="721"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630F1C96" w14:textId="77777777"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Basic</w:t>
            </w:r>
          </w:p>
        </w:tc>
        <w:tc>
          <w:tcPr>
            <w:tcW w:w="605"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55C89E3A" w14:textId="77777777"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Applied</w:t>
            </w:r>
          </w:p>
        </w:tc>
        <w:tc>
          <w:tcPr>
            <w:tcW w:w="951"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0C6AFAF4" w14:textId="77777777"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Basic and Applied Combined</w:t>
            </w:r>
          </w:p>
        </w:tc>
        <w:tc>
          <w:tcPr>
            <w:tcW w:w="661"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7F2A1AFC" w14:textId="77777777"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International Collaboration</w:t>
            </w:r>
          </w:p>
        </w:tc>
        <w:tc>
          <w:tcPr>
            <w:tcW w:w="760" w:type="dxa"/>
            <w:tcBorders>
              <w:top w:val="single" w:sz="4" w:space="0" w:color="262626"/>
              <w:left w:val="single" w:sz="4" w:space="0" w:color="262626"/>
              <w:bottom w:val="single" w:sz="4" w:space="0" w:color="262626"/>
              <w:right w:val="single" w:sz="4" w:space="0" w:color="262626"/>
            </w:tcBorders>
            <w:shd w:val="clear" w:color="auto" w:fill="262626"/>
            <w:textDirection w:val="btLr"/>
            <w:vAlign w:val="center"/>
          </w:tcPr>
          <w:p w14:paraId="0D5A262B" w14:textId="77777777" w:rsidR="00623F95" w:rsidRPr="00B77EBE" w:rsidRDefault="00623F95" w:rsidP="00AC60D6">
            <w:pPr>
              <w:spacing w:before="120" w:after="120"/>
              <w:ind w:left="113" w:right="1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FFFF"/>
                <w:sz w:val="16"/>
                <w:szCs w:val="16"/>
              </w:rPr>
            </w:pPr>
            <w:r w:rsidRPr="00B77EBE">
              <w:rPr>
                <w:rFonts w:asciiTheme="majorHAnsi" w:hAnsiTheme="majorHAnsi" w:cstheme="majorHAnsi"/>
                <w:b/>
                <w:color w:val="FFFFFF"/>
                <w:sz w:val="16"/>
                <w:szCs w:val="16"/>
              </w:rPr>
              <w:t>No International Collaboration</w:t>
            </w:r>
          </w:p>
        </w:tc>
      </w:tr>
      <w:tr w:rsidR="003B66D0" w:rsidRPr="00B77EBE" w14:paraId="4FC9A58E" w14:textId="77777777" w:rsidTr="00353F27">
        <w:trPr>
          <w:trHeight w:val="41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C64573D" w14:textId="77777777" w:rsidR="00623F95" w:rsidRPr="00B77EBE" w:rsidRDefault="00623F95" w:rsidP="00AC60D6">
            <w:pPr>
              <w:spacing w:before="120" w:after="120"/>
              <w:rPr>
                <w:rFonts w:asciiTheme="majorHAnsi" w:hAnsiTheme="majorHAnsi" w:cstheme="majorHAnsi"/>
                <w:sz w:val="16"/>
                <w:szCs w:val="16"/>
              </w:rPr>
            </w:pPr>
            <w:r w:rsidRPr="00B77EBE">
              <w:rPr>
                <w:rFonts w:asciiTheme="majorHAnsi" w:hAnsiTheme="majorHAnsi" w:cstheme="majorHAnsi"/>
                <w:sz w:val="16"/>
                <w:szCs w:val="16"/>
              </w:rPr>
              <w:t>Discovery Projects scheme’s objectives and intended outcomes are appropriate</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0738811" w14:textId="77777777" w:rsidR="00623F95" w:rsidRPr="00B77EBE"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69%</w:t>
            </w:r>
          </w:p>
        </w:tc>
        <w:tc>
          <w:tcPr>
            <w:tcW w:w="670"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B37C3E7" w14:textId="77777777" w:rsidR="00623F95" w:rsidRPr="00B77EBE"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70%</w:t>
            </w:r>
          </w:p>
        </w:tc>
        <w:tc>
          <w:tcPr>
            <w:tcW w:w="890"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4ED340A8" w14:textId="77777777" w:rsidR="00623F95"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74%</w:t>
            </w:r>
          </w:p>
          <w:p w14:paraId="75633295" w14:textId="3FD50F6D" w:rsidR="008A6396" w:rsidRPr="00B77EBE" w:rsidRDefault="008A639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50"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1FE31181" w14:textId="77777777" w:rsidR="00623F95"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65%</w:t>
            </w:r>
          </w:p>
          <w:p w14:paraId="79986AC6" w14:textId="7E026DBE" w:rsidR="008A6396" w:rsidRPr="00B77EBE" w:rsidRDefault="008A639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38"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57CBD22C" w14:textId="77777777" w:rsidR="00623F95"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60%</w:t>
            </w:r>
          </w:p>
          <w:p w14:paraId="67451674" w14:textId="414AB89A" w:rsidR="008A6396" w:rsidRPr="00B77EBE" w:rsidRDefault="008A639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72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07B48F7" w14:textId="77777777" w:rsidR="00623F95" w:rsidRPr="00B77EBE"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67%</w:t>
            </w:r>
          </w:p>
        </w:tc>
        <w:tc>
          <w:tcPr>
            <w:tcW w:w="605" w:type="dxa"/>
            <w:tcBorders>
              <w:top w:val="single" w:sz="4" w:space="0" w:color="262626"/>
              <w:left w:val="single" w:sz="4" w:space="0" w:color="262626"/>
              <w:bottom w:val="single" w:sz="4" w:space="0" w:color="262626"/>
              <w:right w:val="single" w:sz="4" w:space="0" w:color="262626"/>
            </w:tcBorders>
            <w:shd w:val="clear" w:color="auto" w:fill="auto"/>
            <w:vAlign w:val="center"/>
          </w:tcPr>
          <w:p w14:paraId="74AB09FD" w14:textId="77777777" w:rsidR="00623F95" w:rsidRPr="00B77EBE"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69%</w:t>
            </w:r>
          </w:p>
        </w:tc>
        <w:tc>
          <w:tcPr>
            <w:tcW w:w="95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0AB1C14" w14:textId="77777777" w:rsidR="00623F95" w:rsidRPr="00B77EBE"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70%</w:t>
            </w:r>
          </w:p>
        </w:tc>
        <w:tc>
          <w:tcPr>
            <w:tcW w:w="661"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06D23C19" w14:textId="77777777" w:rsidR="00623F95"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71%</w:t>
            </w:r>
          </w:p>
          <w:p w14:paraId="1F611E22" w14:textId="4A584CF2" w:rsidR="008A6396" w:rsidRPr="00B77EBE" w:rsidRDefault="008A639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760"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7ADC789F" w14:textId="77777777" w:rsidR="00623F95" w:rsidRDefault="00623F95"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63%</w:t>
            </w:r>
          </w:p>
          <w:p w14:paraId="6BCDC349" w14:textId="02922FBF" w:rsidR="008A6396" w:rsidRPr="00B77EBE" w:rsidRDefault="008A6396" w:rsidP="00AC60D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r>
      <w:tr w:rsidR="003B66D0" w:rsidRPr="00B77EBE" w14:paraId="78B469C2" w14:textId="77777777" w:rsidTr="00353F2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62626"/>
              <w:left w:val="single" w:sz="4" w:space="0" w:color="262626"/>
              <w:bottom w:val="single" w:sz="4" w:space="0" w:color="262626"/>
              <w:right w:val="single" w:sz="4" w:space="0" w:color="262626"/>
            </w:tcBorders>
            <w:shd w:val="clear" w:color="auto" w:fill="auto"/>
            <w:vAlign w:val="center"/>
          </w:tcPr>
          <w:p w14:paraId="05E110EE" w14:textId="77777777" w:rsidR="00623F95" w:rsidRPr="00B77EBE" w:rsidRDefault="00623F95" w:rsidP="00AC60D6">
            <w:pPr>
              <w:spacing w:before="120" w:after="120"/>
              <w:rPr>
                <w:rFonts w:asciiTheme="majorHAnsi" w:hAnsiTheme="majorHAnsi" w:cstheme="majorHAnsi"/>
                <w:sz w:val="16"/>
                <w:szCs w:val="16"/>
              </w:rPr>
            </w:pPr>
            <w:r w:rsidRPr="00B77EBE">
              <w:rPr>
                <w:rFonts w:asciiTheme="majorHAnsi" w:hAnsiTheme="majorHAnsi" w:cstheme="majorHAnsi"/>
                <w:sz w:val="16"/>
                <w:szCs w:val="16"/>
              </w:rPr>
              <w:t>Discovery Projects scheme’s support for basic research to deliver translational benefits is appropriate</w:t>
            </w:r>
          </w:p>
        </w:tc>
        <w:tc>
          <w:tcPr>
            <w:tcW w:w="567" w:type="dxa"/>
            <w:tcBorders>
              <w:top w:val="single" w:sz="4" w:space="0" w:color="262626"/>
              <w:left w:val="single" w:sz="4" w:space="0" w:color="262626"/>
              <w:bottom w:val="single" w:sz="4" w:space="0" w:color="262626"/>
              <w:right w:val="single" w:sz="4" w:space="0" w:color="262626"/>
            </w:tcBorders>
            <w:shd w:val="clear" w:color="auto" w:fill="auto"/>
            <w:vAlign w:val="center"/>
          </w:tcPr>
          <w:p w14:paraId="265333DC" w14:textId="77777777" w:rsidR="00623F95" w:rsidRPr="00B77EBE"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57%</w:t>
            </w:r>
          </w:p>
        </w:tc>
        <w:tc>
          <w:tcPr>
            <w:tcW w:w="670"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0F937A4" w14:textId="77777777" w:rsidR="00623F95" w:rsidRPr="00B77EBE"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53%</w:t>
            </w:r>
          </w:p>
        </w:tc>
        <w:tc>
          <w:tcPr>
            <w:tcW w:w="890"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7ACEBC06" w14:textId="77777777" w:rsidR="00623F95"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61%</w:t>
            </w:r>
          </w:p>
          <w:p w14:paraId="53D87BAC" w14:textId="681030BB" w:rsidR="008A6396" w:rsidRPr="00B77EBE" w:rsidRDefault="008A639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850"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30D614F" w14:textId="77777777" w:rsidR="00623F95" w:rsidRPr="00B77EBE"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53%</w:t>
            </w:r>
          </w:p>
        </w:tc>
        <w:tc>
          <w:tcPr>
            <w:tcW w:w="838"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01C6033F" w14:textId="77777777" w:rsidR="00623F95"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40%</w:t>
            </w:r>
          </w:p>
          <w:p w14:paraId="235AD5CA" w14:textId="24774601" w:rsidR="008A6396" w:rsidRPr="00B77EBE" w:rsidRDefault="008A639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72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6EC861CC" w14:textId="77777777" w:rsidR="00623F95" w:rsidRPr="00B77EBE"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56%</w:t>
            </w:r>
          </w:p>
        </w:tc>
        <w:tc>
          <w:tcPr>
            <w:tcW w:w="605"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44B7A55F" w14:textId="77777777" w:rsidR="00623F95"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47%</w:t>
            </w:r>
          </w:p>
          <w:p w14:paraId="185CD0E3" w14:textId="54500181" w:rsidR="008A6396" w:rsidRPr="00B77EBE" w:rsidRDefault="008A639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951" w:type="dxa"/>
            <w:tcBorders>
              <w:top w:val="single" w:sz="4" w:space="0" w:color="262626"/>
              <w:left w:val="single" w:sz="4" w:space="0" w:color="262626"/>
              <w:bottom w:val="single" w:sz="4" w:space="0" w:color="262626"/>
              <w:right w:val="single" w:sz="4" w:space="0" w:color="262626"/>
            </w:tcBorders>
            <w:shd w:val="clear" w:color="auto" w:fill="auto"/>
            <w:vAlign w:val="center"/>
          </w:tcPr>
          <w:p w14:paraId="3BC65F05" w14:textId="77777777" w:rsidR="00623F95" w:rsidRPr="00B77EBE"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58%</w:t>
            </w:r>
          </w:p>
        </w:tc>
        <w:tc>
          <w:tcPr>
            <w:tcW w:w="661" w:type="dxa"/>
            <w:tcBorders>
              <w:top w:val="single" w:sz="4" w:space="0" w:color="262626"/>
              <w:left w:val="single" w:sz="4" w:space="0" w:color="262626"/>
              <w:bottom w:val="single" w:sz="4" w:space="0" w:color="262626"/>
              <w:right w:val="single" w:sz="4" w:space="0" w:color="262626"/>
            </w:tcBorders>
            <w:shd w:val="clear" w:color="auto" w:fill="C5E0B3" w:themeFill="accent6" w:themeFillTint="66"/>
            <w:vAlign w:val="center"/>
          </w:tcPr>
          <w:p w14:paraId="07CDA92A" w14:textId="77777777" w:rsidR="00623F95"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57%</w:t>
            </w:r>
          </w:p>
          <w:p w14:paraId="44381264" w14:textId="77DF5352" w:rsidR="008A6396" w:rsidRPr="00B77EBE" w:rsidRDefault="008A639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c>
          <w:tcPr>
            <w:tcW w:w="760" w:type="dxa"/>
            <w:tcBorders>
              <w:top w:val="single" w:sz="4" w:space="0" w:color="262626"/>
              <w:left w:val="single" w:sz="4" w:space="0" w:color="262626"/>
              <w:bottom w:val="single" w:sz="4" w:space="0" w:color="262626"/>
              <w:right w:val="single" w:sz="4" w:space="0" w:color="262626"/>
            </w:tcBorders>
            <w:shd w:val="clear" w:color="auto" w:fill="E7E6E6" w:themeFill="background2"/>
            <w:vAlign w:val="center"/>
          </w:tcPr>
          <w:p w14:paraId="42C98111" w14:textId="77777777" w:rsidR="00623F95" w:rsidRDefault="00623F95"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sidRPr="00B77EBE">
              <w:rPr>
                <w:rFonts w:asciiTheme="majorHAnsi" w:hAnsiTheme="majorHAnsi" w:cstheme="majorHAnsi"/>
                <w:color w:val="000000" w:themeColor="text1"/>
                <w:sz w:val="18"/>
                <w:szCs w:val="18"/>
              </w:rPr>
              <w:t>51%</w:t>
            </w:r>
          </w:p>
          <w:p w14:paraId="36265C6C" w14:textId="4769408B" w:rsidR="008A6396" w:rsidRPr="00B77EBE" w:rsidRDefault="008A6396" w:rsidP="00AC60D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w:t>
            </w:r>
          </w:p>
        </w:tc>
      </w:tr>
    </w:tbl>
    <w:p w14:paraId="3C4A1F1A" w14:textId="00C1A812" w:rsidR="00B77EBE" w:rsidRPr="00B77EBE" w:rsidRDefault="00B77EBE" w:rsidP="00B77EBE">
      <w:pPr>
        <w:spacing w:before="120" w:after="120"/>
        <w:rPr>
          <w:rFonts w:asciiTheme="majorHAnsi" w:hAnsiTheme="majorHAnsi" w:cstheme="majorHAnsi"/>
          <w:sz w:val="16"/>
          <w:szCs w:val="16"/>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Note: Percentage of survey respondents agreeing</w:t>
      </w:r>
      <w:r w:rsidR="00885144">
        <w:rPr>
          <w:rFonts w:asciiTheme="majorHAnsi" w:hAnsiTheme="majorHAnsi" w:cstheme="majorHAnsi"/>
          <w:i/>
          <w:sz w:val="16"/>
          <w:szCs w:val="16"/>
        </w:rPr>
        <w:t xml:space="preserve"> or </w:t>
      </w:r>
      <w:r w:rsidRPr="00B77EBE">
        <w:rPr>
          <w:rFonts w:asciiTheme="majorHAnsi" w:hAnsiTheme="majorHAnsi" w:cstheme="majorHAnsi"/>
          <w:i/>
          <w:sz w:val="16"/>
          <w:szCs w:val="16"/>
        </w:rPr>
        <w:t xml:space="preserve">strongly agreeing. </w:t>
      </w:r>
      <w:r w:rsidR="003E3DF4">
        <w:rPr>
          <w:rFonts w:asciiTheme="majorHAnsi" w:hAnsiTheme="majorHAnsi" w:cstheme="majorHAnsi"/>
          <w:i/>
          <w:sz w:val="16"/>
          <w:szCs w:val="16"/>
        </w:rPr>
        <w:t>Grey</w:t>
      </w:r>
      <w:r w:rsidRPr="00B77EBE">
        <w:rPr>
          <w:rFonts w:asciiTheme="majorHAnsi" w:hAnsiTheme="majorHAnsi" w:cstheme="majorHAnsi"/>
          <w:i/>
          <w:sz w:val="16"/>
          <w:szCs w:val="16"/>
        </w:rPr>
        <w:t xml:space="preserve"> cells are significantly below the mean</w:t>
      </w:r>
      <w:r w:rsidR="005B18A9">
        <w:rPr>
          <w:rFonts w:asciiTheme="majorHAnsi" w:hAnsiTheme="majorHAnsi" w:cstheme="majorHAnsi"/>
          <w:i/>
          <w:sz w:val="16"/>
          <w:szCs w:val="16"/>
        </w:rPr>
        <w:t xml:space="preserve"> (–)</w:t>
      </w:r>
      <w:r w:rsidRPr="00B77EBE">
        <w:rPr>
          <w:rFonts w:asciiTheme="majorHAnsi" w:hAnsiTheme="majorHAnsi" w:cstheme="majorHAnsi"/>
          <w:i/>
          <w:sz w:val="16"/>
          <w:szCs w:val="16"/>
        </w:rPr>
        <w:t xml:space="preserve"> while green cells are significantly above the mean</w:t>
      </w:r>
      <w:r w:rsidR="005B18A9">
        <w:rPr>
          <w:rFonts w:asciiTheme="majorHAnsi" w:hAnsiTheme="majorHAnsi" w:cstheme="majorHAnsi"/>
          <w:i/>
          <w:sz w:val="16"/>
          <w:szCs w:val="16"/>
        </w:rPr>
        <w:t xml:space="preserve"> (</w:t>
      </w:r>
      <w:r w:rsidR="00DE03CD">
        <w:rPr>
          <w:rFonts w:asciiTheme="majorHAnsi" w:hAnsiTheme="majorHAnsi" w:cstheme="majorHAnsi"/>
          <w:i/>
          <w:sz w:val="16"/>
          <w:szCs w:val="16"/>
        </w:rPr>
        <w:t xml:space="preserve">+) </w:t>
      </w:r>
      <w:r w:rsidRPr="00B77EBE">
        <w:rPr>
          <w:rFonts w:asciiTheme="majorHAnsi" w:hAnsiTheme="majorHAnsi" w:cstheme="majorHAnsi"/>
          <w:i/>
          <w:sz w:val="16"/>
          <w:szCs w:val="16"/>
        </w:rPr>
        <w:t>at the 95 per cent confidence level. Researcher subgroups assigned on the basis of most recently completed project funded under the scheme. Table only includes participants with a completed project (n=2469); different numbers of survey participants responded to questions relating to research project characteristics.</w:t>
      </w:r>
    </w:p>
    <w:p w14:paraId="02980A61" w14:textId="14038EA1" w:rsidR="00B77EBE" w:rsidRPr="00B77EBE" w:rsidRDefault="00B77EBE" w:rsidP="00B77EBE">
      <w:pPr>
        <w:rPr>
          <w:rFonts w:asciiTheme="majorHAnsi" w:hAnsiTheme="majorHAnsi" w:cstheme="majorHAnsi"/>
        </w:rPr>
      </w:pPr>
      <w:r w:rsidRPr="00B77EBE">
        <w:rPr>
          <w:rFonts w:asciiTheme="majorHAnsi" w:hAnsiTheme="majorHAnsi" w:cstheme="majorHAnsi"/>
        </w:rPr>
        <w:t xml:space="preserve">The majority of survey participants whose most recently completed project involved basic (56 per cent) or a combination of basic and applied (58 per cent) research agreed </w:t>
      </w:r>
      <w:r w:rsidR="00A65E67">
        <w:rPr>
          <w:rFonts w:asciiTheme="majorHAnsi" w:hAnsiTheme="majorHAnsi" w:cstheme="majorHAnsi"/>
        </w:rPr>
        <w:t>that</w:t>
      </w:r>
      <w:r w:rsidRPr="00B77EBE">
        <w:rPr>
          <w:rFonts w:asciiTheme="majorHAnsi" w:hAnsiTheme="majorHAnsi" w:cstheme="majorHAnsi"/>
        </w:rPr>
        <w:t xml:space="preserve"> the scheme’s approach to supporting translational benefits through basic research</w:t>
      </w:r>
      <w:r w:rsidR="00012A84">
        <w:rPr>
          <w:rFonts w:asciiTheme="majorHAnsi" w:hAnsiTheme="majorHAnsi" w:cstheme="majorHAnsi"/>
        </w:rPr>
        <w:t xml:space="preserve"> is appropriate</w:t>
      </w:r>
      <w:r w:rsidRPr="00B77EBE">
        <w:rPr>
          <w:rFonts w:asciiTheme="majorHAnsi" w:hAnsiTheme="majorHAnsi" w:cstheme="majorHAnsi"/>
        </w:rPr>
        <w:t xml:space="preserve">. </w:t>
      </w:r>
      <w:r w:rsidR="00012A84">
        <w:rPr>
          <w:rFonts w:asciiTheme="majorHAnsi" w:hAnsiTheme="majorHAnsi" w:cstheme="majorHAnsi"/>
        </w:rPr>
        <w:t>R</w:t>
      </w:r>
      <w:r w:rsidRPr="00B77EBE">
        <w:rPr>
          <w:rFonts w:asciiTheme="majorHAnsi" w:hAnsiTheme="majorHAnsi" w:cstheme="majorHAnsi"/>
        </w:rPr>
        <w:t>esearchers</w:t>
      </w:r>
      <w:r w:rsidR="00012A84">
        <w:rPr>
          <w:rFonts w:asciiTheme="majorHAnsi" w:hAnsiTheme="majorHAnsi" w:cstheme="majorHAnsi"/>
        </w:rPr>
        <w:t xml:space="preserve"> </w:t>
      </w:r>
      <w:r w:rsidR="00956C68">
        <w:rPr>
          <w:rFonts w:asciiTheme="majorHAnsi" w:hAnsiTheme="majorHAnsi" w:cstheme="majorHAnsi"/>
        </w:rPr>
        <w:t>completing</w:t>
      </w:r>
      <w:r w:rsidR="00012A84">
        <w:rPr>
          <w:rFonts w:asciiTheme="majorHAnsi" w:hAnsiTheme="majorHAnsi" w:cstheme="majorHAnsi"/>
        </w:rPr>
        <w:t xml:space="preserve"> applied projects</w:t>
      </w:r>
      <w:r w:rsidRPr="00B77EBE">
        <w:rPr>
          <w:rFonts w:asciiTheme="majorHAnsi" w:hAnsiTheme="majorHAnsi" w:cstheme="majorHAnsi"/>
        </w:rPr>
        <w:t xml:space="preserve"> agreed less frequently (47 per cent). However, </w:t>
      </w:r>
      <w:r w:rsidR="00C720BF">
        <w:rPr>
          <w:rFonts w:asciiTheme="majorHAnsi" w:hAnsiTheme="majorHAnsi" w:cstheme="majorHAnsi"/>
        </w:rPr>
        <w:t xml:space="preserve">for both groups, only </w:t>
      </w:r>
      <w:r w:rsidR="0032434B">
        <w:rPr>
          <w:rFonts w:asciiTheme="majorHAnsi" w:hAnsiTheme="majorHAnsi" w:cstheme="majorHAnsi"/>
        </w:rPr>
        <w:t>low</w:t>
      </w:r>
      <w:r w:rsidRPr="00B77EBE">
        <w:rPr>
          <w:rFonts w:asciiTheme="majorHAnsi" w:hAnsiTheme="majorHAnsi" w:cstheme="majorHAnsi"/>
        </w:rPr>
        <w:t xml:space="preserve"> proportions </w:t>
      </w:r>
      <w:r w:rsidR="00C720BF" w:rsidRPr="00B77EBE">
        <w:rPr>
          <w:rFonts w:asciiTheme="majorHAnsi" w:hAnsiTheme="majorHAnsi" w:cstheme="majorHAnsi"/>
        </w:rPr>
        <w:t xml:space="preserve">disagreed or strongly disagreed </w:t>
      </w:r>
      <w:r w:rsidR="00C720BF">
        <w:rPr>
          <w:rFonts w:asciiTheme="majorHAnsi" w:hAnsiTheme="majorHAnsi" w:cstheme="majorHAnsi"/>
        </w:rPr>
        <w:t xml:space="preserve">(20 per cent of those </w:t>
      </w:r>
      <w:r w:rsidRPr="00B77EBE">
        <w:rPr>
          <w:rFonts w:asciiTheme="majorHAnsi" w:hAnsiTheme="majorHAnsi" w:cstheme="majorHAnsi"/>
        </w:rPr>
        <w:t xml:space="preserve">completing basic </w:t>
      </w:r>
      <w:r w:rsidR="00C720BF">
        <w:rPr>
          <w:rFonts w:asciiTheme="majorHAnsi" w:hAnsiTheme="majorHAnsi" w:cstheme="majorHAnsi"/>
        </w:rPr>
        <w:t>research and 19 per cent completing</w:t>
      </w:r>
      <w:r w:rsidRPr="00B77EBE">
        <w:rPr>
          <w:rFonts w:asciiTheme="majorHAnsi" w:hAnsiTheme="majorHAnsi" w:cstheme="majorHAnsi"/>
        </w:rPr>
        <w:t xml:space="preserve"> applied research</w:t>
      </w:r>
      <w:r w:rsidR="00C720BF">
        <w:rPr>
          <w:rFonts w:asciiTheme="majorHAnsi" w:hAnsiTheme="majorHAnsi" w:cstheme="majorHAnsi"/>
        </w:rPr>
        <w:t>)</w:t>
      </w:r>
      <w:r w:rsidR="00826797">
        <w:rPr>
          <w:rFonts w:asciiTheme="majorHAnsi" w:hAnsiTheme="majorHAnsi" w:cstheme="majorHAnsi"/>
        </w:rPr>
        <w:t xml:space="preserve">, </w:t>
      </w:r>
      <w:r w:rsidR="00826797" w:rsidRPr="008E6B86">
        <w:rPr>
          <w:rFonts w:asciiTheme="majorHAnsi" w:hAnsiTheme="majorHAnsi" w:cstheme="majorHAnsi"/>
        </w:rPr>
        <w:t>indicating</w:t>
      </w:r>
      <w:r w:rsidR="00214928" w:rsidRPr="008E6B86">
        <w:rPr>
          <w:rFonts w:asciiTheme="majorHAnsi" w:hAnsiTheme="majorHAnsi" w:cstheme="majorHAnsi"/>
        </w:rPr>
        <w:t xml:space="preserve"> </w:t>
      </w:r>
      <w:r w:rsidR="00DA5232" w:rsidRPr="008E6B86">
        <w:rPr>
          <w:rFonts w:asciiTheme="majorHAnsi" w:hAnsiTheme="majorHAnsi" w:cstheme="majorHAnsi"/>
        </w:rPr>
        <w:t xml:space="preserve">that </w:t>
      </w:r>
      <w:r w:rsidR="00CA2855" w:rsidRPr="008E6B86">
        <w:rPr>
          <w:rFonts w:asciiTheme="majorHAnsi" w:hAnsiTheme="majorHAnsi" w:cstheme="majorHAnsi"/>
        </w:rPr>
        <w:t>most</w:t>
      </w:r>
      <w:r w:rsidR="00214928" w:rsidRPr="008E6B86">
        <w:rPr>
          <w:rFonts w:asciiTheme="majorHAnsi" w:hAnsiTheme="majorHAnsi" w:cstheme="majorHAnsi"/>
        </w:rPr>
        <w:t xml:space="preserve"> participants</w:t>
      </w:r>
      <w:r w:rsidRPr="008E6B86">
        <w:rPr>
          <w:rFonts w:asciiTheme="majorHAnsi" w:hAnsiTheme="majorHAnsi" w:cstheme="majorHAnsi"/>
        </w:rPr>
        <w:t xml:space="preserve"> recogn</w:t>
      </w:r>
      <w:r w:rsidR="00DA5232" w:rsidRPr="008E6B86">
        <w:rPr>
          <w:rFonts w:asciiTheme="majorHAnsi" w:hAnsiTheme="majorHAnsi" w:cstheme="majorHAnsi"/>
        </w:rPr>
        <w:t>ise</w:t>
      </w:r>
      <w:r w:rsidR="00CA2855" w:rsidRPr="008E6B86">
        <w:rPr>
          <w:rFonts w:asciiTheme="majorHAnsi" w:hAnsiTheme="majorHAnsi" w:cstheme="majorHAnsi"/>
        </w:rPr>
        <w:t>d</w:t>
      </w:r>
      <w:r w:rsidRPr="008E6B86">
        <w:rPr>
          <w:rFonts w:asciiTheme="majorHAnsi" w:hAnsiTheme="majorHAnsi" w:cstheme="majorHAnsi"/>
        </w:rPr>
        <w:t xml:space="preserve"> the interdependen</w:t>
      </w:r>
      <w:r w:rsidR="00321942" w:rsidRPr="008E6B86">
        <w:rPr>
          <w:rFonts w:asciiTheme="majorHAnsi" w:hAnsiTheme="majorHAnsi" w:cstheme="majorHAnsi"/>
        </w:rPr>
        <w:t>ce</w:t>
      </w:r>
      <w:r w:rsidRPr="008E6B86">
        <w:rPr>
          <w:rFonts w:asciiTheme="majorHAnsi" w:hAnsiTheme="majorHAnsi" w:cstheme="majorHAnsi"/>
        </w:rPr>
        <w:t xml:space="preserve"> of basic and applied research in producing translational outcomes (see</w:t>
      </w:r>
      <w:r w:rsidR="00BD6986" w:rsidRPr="008E6B86">
        <w:rPr>
          <w:rFonts w:asciiTheme="majorHAnsi" w:hAnsiTheme="majorHAnsi" w:cstheme="majorHAnsi"/>
        </w:rPr>
        <w:t xml:space="preserve"> </w:t>
      </w:r>
      <w:hyperlink w:anchor="_Qualitative_stakeholder_feedback—ap" w:history="1">
        <w:r w:rsidR="00BD6986" w:rsidRPr="00281670">
          <w:rPr>
            <w:rStyle w:val="Hyperlink"/>
            <w:rFonts w:cstheme="majorHAnsi"/>
            <w:color w:val="auto"/>
            <w:sz w:val="22"/>
            <w:u w:val="none"/>
          </w:rPr>
          <w:t>Section 5.2.3</w:t>
        </w:r>
      </w:hyperlink>
      <w:r w:rsidR="00BD6986" w:rsidRPr="008E6B86">
        <w:rPr>
          <w:rFonts w:asciiTheme="majorHAnsi" w:hAnsiTheme="majorHAnsi" w:cstheme="majorHAnsi"/>
        </w:rPr>
        <w:t xml:space="preserve"> for discussion</w:t>
      </w:r>
      <w:r w:rsidRPr="008E6B86">
        <w:rPr>
          <w:rFonts w:asciiTheme="majorHAnsi" w:hAnsiTheme="majorHAnsi" w:cstheme="majorHAnsi"/>
        </w:rPr>
        <w:t>).</w:t>
      </w:r>
      <w:r w:rsidRPr="00B77EBE">
        <w:rPr>
          <w:rFonts w:asciiTheme="majorHAnsi" w:hAnsiTheme="majorHAnsi" w:cstheme="majorHAnsi"/>
        </w:rPr>
        <w:t xml:space="preserve"> </w:t>
      </w:r>
    </w:p>
    <w:p w14:paraId="1DD2EE3A" w14:textId="701D05AC" w:rsidR="00B77EBE" w:rsidRPr="00B77EBE" w:rsidRDefault="00B77EBE" w:rsidP="006A59C0">
      <w:pPr>
        <w:pStyle w:val="Heading3"/>
        <w:numPr>
          <w:ilvl w:val="2"/>
          <w:numId w:val="17"/>
        </w:numPr>
      </w:pPr>
      <w:bookmarkStart w:id="853" w:name="_Qualitative_stakeholder_feedback—ap_1"/>
      <w:bookmarkStart w:id="854" w:name="_Toc50533649"/>
      <w:bookmarkStart w:id="855" w:name="_Toc50553799"/>
      <w:bookmarkStart w:id="856" w:name="_Toc50555036"/>
      <w:bookmarkStart w:id="857" w:name="_Toc50618170"/>
      <w:bookmarkStart w:id="858" w:name="_Toc50618450"/>
      <w:bookmarkStart w:id="859" w:name="_Toc51917059"/>
      <w:bookmarkStart w:id="860" w:name="_Toc51918899"/>
      <w:bookmarkStart w:id="861" w:name="_Ref53148744"/>
      <w:bookmarkStart w:id="862" w:name="_Ref53149035"/>
      <w:bookmarkStart w:id="863" w:name="_Toc53557275"/>
      <w:bookmarkStart w:id="864" w:name="_Toc54699317"/>
      <w:bookmarkStart w:id="865" w:name="_Toc55544851"/>
      <w:bookmarkEnd w:id="853"/>
      <w:r w:rsidRPr="00B77EBE">
        <w:t>Qualitative stakeholder feedback—appropriateness of the Discovery Projects scheme’s objectives</w:t>
      </w:r>
      <w:bookmarkEnd w:id="854"/>
      <w:bookmarkEnd w:id="855"/>
      <w:bookmarkEnd w:id="856"/>
      <w:bookmarkEnd w:id="857"/>
      <w:bookmarkEnd w:id="858"/>
      <w:bookmarkEnd w:id="859"/>
      <w:bookmarkEnd w:id="860"/>
      <w:bookmarkEnd w:id="861"/>
      <w:bookmarkEnd w:id="862"/>
      <w:bookmarkEnd w:id="863"/>
      <w:bookmarkEnd w:id="864"/>
      <w:bookmarkEnd w:id="865"/>
    </w:p>
    <w:p w14:paraId="4009E962" w14:textId="658AEDAE" w:rsidR="00B77EBE" w:rsidRPr="00B77EBE" w:rsidRDefault="00CE6AF0" w:rsidP="00B77EBE">
      <w:pPr>
        <w:spacing w:after="240"/>
        <w:rPr>
          <w:rFonts w:asciiTheme="majorHAnsi" w:hAnsiTheme="majorHAnsi" w:cstheme="majorHAnsi"/>
        </w:rPr>
      </w:pPr>
      <w:r>
        <w:rPr>
          <w:rFonts w:asciiTheme="majorHAnsi" w:hAnsiTheme="majorHAnsi" w:cstheme="majorHAnsi"/>
        </w:rPr>
        <w:t>Qualitative s</w:t>
      </w:r>
      <w:r w:rsidR="00B77EBE" w:rsidRPr="00B77EBE">
        <w:rPr>
          <w:rFonts w:asciiTheme="majorHAnsi" w:hAnsiTheme="majorHAnsi" w:cstheme="majorHAnsi"/>
        </w:rPr>
        <w:t xml:space="preserve">takeholder comments affirmed the appropriateness of the Discovery Projects scheme’s objectives. Its support for excellent basic and applied research was understood to provide opportunities for new research directions and discoveries unlikely to have been supported through other funding mechanisms. </w:t>
      </w:r>
      <w:r w:rsidR="00BB630C" w:rsidRPr="00B77EBE">
        <w:rPr>
          <w:rFonts w:asciiTheme="majorHAnsi" w:eastAsiaTheme="minorEastAsia" w:hAnsiTheme="majorHAnsi" w:cstheme="majorHAnsi"/>
          <w:lang w:eastAsia="en-AU"/>
        </w:rPr>
        <w:t>Research office and peak body stakeholders highlighted the scheme’s importance as the most significant source of funding for investigator-led, non-medical basic research within Australia.</w:t>
      </w:r>
    </w:p>
    <w:p w14:paraId="574B3BED" w14:textId="77777777" w:rsidR="00B77EBE" w:rsidRPr="00B77EBE" w:rsidRDefault="00B77EBE" w:rsidP="003E0DE0">
      <w:pPr>
        <w:pStyle w:val="Quote"/>
      </w:pPr>
      <w:r w:rsidRPr="00B77EBE">
        <w:lastRenderedPageBreak/>
        <w:t xml:space="preserve">The fact is, that for many areas of research, it is the only source of funding to support really free academic research and really curiosity-driven research </w:t>
      </w:r>
      <w:r w:rsidRPr="003E0DE0">
        <w:rPr>
          <w:i w:val="0"/>
          <w:iCs w:val="0"/>
        </w:rPr>
        <w:t>– (University Research Office)</w:t>
      </w:r>
    </w:p>
    <w:p w14:paraId="7C46DF71" w14:textId="77777777" w:rsidR="00B77EBE" w:rsidRPr="00B77EBE" w:rsidRDefault="00B77EBE" w:rsidP="003E0DE0">
      <w:pPr>
        <w:pStyle w:val="Quote"/>
        <w:spacing w:after="240"/>
        <w:ind w:left="425" w:right="663"/>
      </w:pPr>
      <w:r w:rsidRPr="00B77EBE">
        <w:t xml:space="preserve">I believe it is vital that it should continue...I recognise that without the Discovery Projects scheme being able to fund blue sky research ideas we would be severely hampered in ideas to feed into the applied research outcomes </w:t>
      </w:r>
      <w:r w:rsidRPr="003E0DE0">
        <w:rPr>
          <w:i w:val="0"/>
          <w:iCs w:val="0"/>
        </w:rPr>
        <w:t>– (Researcher)</w:t>
      </w:r>
    </w:p>
    <w:p w14:paraId="45F6E4EA" w14:textId="5E652745" w:rsidR="00B77EBE" w:rsidRPr="00B77EBE" w:rsidRDefault="00B77EBE" w:rsidP="00B77EBE">
      <w:pPr>
        <w:spacing w:after="240"/>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Discovery Projects’ objective to support research training was perceived as an appropriate contribution to developing the skill</w:t>
      </w:r>
      <w:r w:rsidR="006D63FC">
        <w:rPr>
          <w:rFonts w:asciiTheme="majorHAnsi" w:eastAsiaTheme="minorEastAsia" w:hAnsiTheme="majorHAnsi" w:cstheme="majorHAnsi"/>
          <w:lang w:eastAsia="en-AU"/>
        </w:rPr>
        <w:t>s</w:t>
      </w:r>
      <w:r w:rsidRPr="00B77EBE">
        <w:rPr>
          <w:rFonts w:asciiTheme="majorHAnsi" w:eastAsiaTheme="minorEastAsia" w:hAnsiTheme="majorHAnsi" w:cstheme="majorHAnsi"/>
          <w:lang w:eastAsia="en-AU"/>
        </w:rPr>
        <w:t xml:space="preserve"> and experience of the Australian research workforce</w:t>
      </w:r>
      <w:bookmarkStart w:id="866" w:name="_Toc40255271"/>
      <w:r w:rsidRPr="00B77EBE">
        <w:rPr>
          <w:rFonts w:asciiTheme="majorHAnsi" w:eastAsiaTheme="minorEastAsia" w:hAnsiTheme="majorHAnsi" w:cstheme="majorHAnsi"/>
          <w:lang w:eastAsia="en-AU"/>
        </w:rPr>
        <w:t xml:space="preserve">. Some feedback specifically emphasised Discovery Projects’ approach to </w:t>
      </w:r>
      <w:r w:rsidR="009870AF">
        <w:rPr>
          <w:rFonts w:asciiTheme="majorHAnsi" w:eastAsiaTheme="minorEastAsia" w:hAnsiTheme="majorHAnsi" w:cstheme="majorHAnsi"/>
          <w:lang w:eastAsia="en-AU"/>
        </w:rPr>
        <w:t>supporting</w:t>
      </w:r>
      <w:r w:rsidR="009870AF" w:rsidRPr="00B77EBE">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 xml:space="preserve">training within the context of </w:t>
      </w:r>
      <w:r w:rsidR="009870AF">
        <w:rPr>
          <w:rFonts w:asciiTheme="majorHAnsi" w:eastAsiaTheme="minorEastAsia" w:hAnsiTheme="majorHAnsi" w:cstheme="majorHAnsi"/>
          <w:lang w:eastAsia="en-AU"/>
        </w:rPr>
        <w:t>high quality research environments</w:t>
      </w:r>
      <w:r w:rsidRPr="00B77EBE">
        <w:rPr>
          <w:rFonts w:asciiTheme="majorHAnsi" w:eastAsiaTheme="minorEastAsia" w:hAnsiTheme="majorHAnsi" w:cstheme="majorHAnsi"/>
          <w:lang w:eastAsia="en-AU"/>
        </w:rPr>
        <w:t xml:space="preserve"> to strengthen trainee development and foster intellectual engagement. </w:t>
      </w:r>
    </w:p>
    <w:p w14:paraId="2BB8D062" w14:textId="77777777" w:rsidR="00B77EBE" w:rsidRPr="00B77EBE" w:rsidRDefault="00B77EBE" w:rsidP="003E0DE0">
      <w:pPr>
        <w:pStyle w:val="Quote"/>
        <w:spacing w:after="240"/>
        <w:ind w:left="425" w:right="663"/>
      </w:pPr>
      <w:r w:rsidRPr="00B77EBE">
        <w:t>If you could have a research fellow funded for three years or a student undertake a PhD as part of a project team, it is much more impactful for them to be working on a funded project...It's important for an intellectual community...It's a very, very good way for them to get mentorship, to be engaged in the community and get involved in the outcomes as well. Having Discovery Projects available for students and research to work on is critical. I don't think there would be any other viable source in Australia at that type of scale</w:t>
      </w:r>
      <w:r w:rsidRPr="003E0DE0">
        <w:rPr>
          <w:i w:val="0"/>
          <w:iCs w:val="0"/>
        </w:rPr>
        <w:t xml:space="preserve"> – (University Research Office)</w:t>
      </w:r>
    </w:p>
    <w:bookmarkEnd w:id="866"/>
    <w:p w14:paraId="6C1EFE3D" w14:textId="59A396B3" w:rsidR="00B77EBE" w:rsidRPr="00B77EBE" w:rsidRDefault="004A06A9" w:rsidP="00B77EBE">
      <w:pPr>
        <w:spacing w:after="240"/>
        <w:rPr>
          <w:rFonts w:asciiTheme="majorHAnsi" w:eastAsiaTheme="minorEastAsia" w:hAnsiTheme="majorHAnsi" w:cstheme="majorHAnsi"/>
          <w:lang w:eastAsia="en-AU"/>
        </w:rPr>
      </w:pPr>
      <w:r>
        <w:rPr>
          <w:rFonts w:asciiTheme="majorHAnsi" w:eastAsiaTheme="minorEastAsia" w:hAnsiTheme="majorHAnsi" w:cstheme="majorHAnsi"/>
          <w:lang w:eastAsia="en-AU"/>
        </w:rPr>
        <w:t>Participants</w:t>
      </w:r>
      <w:r w:rsidR="005B6480">
        <w:rPr>
          <w:rFonts w:asciiTheme="majorHAnsi" w:eastAsiaTheme="minorEastAsia" w:hAnsiTheme="majorHAnsi" w:cstheme="majorHAnsi"/>
          <w:lang w:eastAsia="en-AU"/>
        </w:rPr>
        <w:t xml:space="preserve"> </w:t>
      </w:r>
      <w:r>
        <w:rPr>
          <w:rFonts w:asciiTheme="majorHAnsi" w:eastAsiaTheme="minorEastAsia" w:hAnsiTheme="majorHAnsi" w:cstheme="majorHAnsi"/>
          <w:lang w:eastAsia="en-AU"/>
        </w:rPr>
        <w:t>also</w:t>
      </w:r>
      <w:r w:rsidR="00C2625B">
        <w:rPr>
          <w:rFonts w:asciiTheme="majorHAnsi" w:eastAsiaTheme="minorEastAsia" w:hAnsiTheme="majorHAnsi" w:cstheme="majorHAnsi"/>
          <w:lang w:eastAsia="en-AU"/>
        </w:rPr>
        <w:t xml:space="preserve"> commented that</w:t>
      </w:r>
      <w:r>
        <w:rPr>
          <w:rFonts w:asciiTheme="majorHAnsi" w:eastAsiaTheme="minorEastAsia" w:hAnsiTheme="majorHAnsi" w:cstheme="majorHAnsi"/>
          <w:lang w:eastAsia="en-AU"/>
        </w:rPr>
        <w:t xml:space="preserve"> </w:t>
      </w:r>
      <w:r w:rsidR="00C2625B">
        <w:rPr>
          <w:rFonts w:asciiTheme="majorHAnsi" w:eastAsiaTheme="minorEastAsia" w:hAnsiTheme="majorHAnsi" w:cstheme="majorHAnsi"/>
          <w:lang w:eastAsia="en-AU"/>
        </w:rPr>
        <w:t>t</w:t>
      </w:r>
      <w:r w:rsidR="00B77EBE" w:rsidRPr="00B77EBE">
        <w:rPr>
          <w:rFonts w:asciiTheme="majorHAnsi" w:eastAsiaTheme="minorEastAsia" w:hAnsiTheme="majorHAnsi" w:cstheme="majorHAnsi"/>
          <w:lang w:eastAsia="en-AU"/>
        </w:rPr>
        <w:t xml:space="preserve">he scheme’s objective to support national and international collaboration </w:t>
      </w:r>
      <w:r w:rsidR="00C2625B">
        <w:rPr>
          <w:rFonts w:asciiTheme="majorHAnsi" w:eastAsiaTheme="minorEastAsia" w:hAnsiTheme="majorHAnsi" w:cstheme="majorHAnsi"/>
          <w:lang w:eastAsia="en-AU"/>
        </w:rPr>
        <w:t>w</w:t>
      </w:r>
      <w:r w:rsidR="00B77EBE" w:rsidRPr="00B77EBE">
        <w:rPr>
          <w:rFonts w:asciiTheme="majorHAnsi" w:eastAsiaTheme="minorEastAsia" w:hAnsiTheme="majorHAnsi" w:cstheme="majorHAnsi"/>
          <w:lang w:eastAsia="en-AU"/>
        </w:rPr>
        <w:t xml:space="preserve">as appropriate for enhancing access to expertise, experience and resources within the context of funded research. </w:t>
      </w:r>
    </w:p>
    <w:p w14:paraId="7C0C64AA" w14:textId="77777777" w:rsidR="00B77EBE" w:rsidRPr="00B77EBE" w:rsidRDefault="00B77EBE" w:rsidP="003E0DE0">
      <w:pPr>
        <w:pStyle w:val="Quote"/>
      </w:pPr>
      <w:r w:rsidRPr="00B77EBE">
        <w:t xml:space="preserve">(I)n areas and universities where you may not have the largest team or a leading researcher in the field…you need to be able to draw on a range of people across the country who are leading in that area, that perhaps we were missing out on, so that the right teams are able to do big research projects </w:t>
      </w:r>
      <w:r w:rsidRPr="003E0DE0">
        <w:rPr>
          <w:i w:val="0"/>
          <w:iCs w:val="0"/>
        </w:rPr>
        <w:t>– (University Research Office)</w:t>
      </w:r>
    </w:p>
    <w:p w14:paraId="027ECD5D" w14:textId="77777777" w:rsidR="00B77EBE" w:rsidRPr="00B77EBE" w:rsidRDefault="00B77EBE" w:rsidP="003E0DE0">
      <w:pPr>
        <w:pStyle w:val="Quote"/>
        <w:spacing w:after="240"/>
        <w:ind w:left="425" w:right="663"/>
      </w:pPr>
      <w:r w:rsidRPr="00B77EBE">
        <w:t xml:space="preserve">Research collaborations between many countries [is] very important </w:t>
      </w:r>
      <w:r w:rsidRPr="003E0DE0">
        <w:rPr>
          <w:i w:val="0"/>
          <w:iCs w:val="0"/>
        </w:rPr>
        <w:t>– (Researcher)</w:t>
      </w:r>
    </w:p>
    <w:p w14:paraId="55992926" w14:textId="01AF5232" w:rsidR="00B77EBE" w:rsidRPr="00B77EBE" w:rsidRDefault="00B77EBE" w:rsidP="00B77EBE">
      <w:pPr>
        <w:spacing w:after="240"/>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Qualitative feedback regarding the appropriateness of the objective to enhance the scale and focus of research in Australian Government priority areas included more varied perspectives. Some stakeholders believed that the resourcing of ARC grants through government funding justified mechanisms encouraging researchers to address pressing issues confronting the Australian community. These participants tended to agree that the scheme’s current balance of support for priorit</w:t>
      </w:r>
      <w:r w:rsidR="005201A7">
        <w:rPr>
          <w:rFonts w:asciiTheme="majorHAnsi" w:eastAsiaTheme="minorEastAsia" w:hAnsiTheme="majorHAnsi" w:cstheme="majorHAnsi"/>
          <w:lang w:eastAsia="en-AU"/>
        </w:rPr>
        <w:t>ies</w:t>
      </w:r>
      <w:r w:rsidRPr="00B77EBE">
        <w:rPr>
          <w:rFonts w:asciiTheme="majorHAnsi" w:eastAsiaTheme="minorEastAsia" w:hAnsiTheme="majorHAnsi" w:cstheme="majorHAnsi"/>
          <w:lang w:eastAsia="en-AU"/>
        </w:rPr>
        <w:t xml:space="preserve"> and ‘researcher-led’ projects was appropriate.</w:t>
      </w:r>
    </w:p>
    <w:p w14:paraId="6FCC71C4" w14:textId="77777777" w:rsidR="00B77EBE" w:rsidRPr="00B77EBE" w:rsidRDefault="00B77EBE" w:rsidP="003E0DE0">
      <w:pPr>
        <w:pStyle w:val="Quote"/>
      </w:pPr>
      <w:r w:rsidRPr="00B77EBE">
        <w:t xml:space="preserve">You can’t just be in a silo…Not just plugging away in your own little cubby hole doing your thing </w:t>
      </w:r>
      <w:r w:rsidRPr="003E0DE0">
        <w:rPr>
          <w:i w:val="0"/>
          <w:iCs w:val="0"/>
        </w:rPr>
        <w:t>– (University Research Office)</w:t>
      </w:r>
    </w:p>
    <w:p w14:paraId="113570AE" w14:textId="77777777" w:rsidR="00B77EBE" w:rsidRPr="00B77EBE" w:rsidRDefault="00B77EBE" w:rsidP="003E0DE0">
      <w:pPr>
        <w:pStyle w:val="Quote"/>
        <w:spacing w:after="240"/>
        <w:ind w:left="425" w:right="663"/>
        <w:rPr>
          <w:bCs/>
        </w:rPr>
      </w:pPr>
      <w:r w:rsidRPr="00B77EBE">
        <w:rPr>
          <w:bCs/>
        </w:rPr>
        <w:t xml:space="preserve">It is appropriate that the ARC’s approach encourages applications that meet the intent of the Australian Government including in meeting national priorities but does not (nor should it) specifically direct funding to research in the Science and Research Priorities as a collective, nor to individual Science and Research Priorities </w:t>
      </w:r>
      <w:r w:rsidRPr="003E0DE0">
        <w:rPr>
          <w:bCs/>
          <w:i w:val="0"/>
          <w:iCs w:val="0"/>
        </w:rPr>
        <w:t>– (Peak Body)</w:t>
      </w:r>
    </w:p>
    <w:p w14:paraId="4A307C15" w14:textId="606EEDC0" w:rsidR="00B77EBE" w:rsidRPr="00B77EBE" w:rsidRDefault="00B77EBE" w:rsidP="00B77EBE">
      <w:pPr>
        <w:spacing w:after="240"/>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lastRenderedPageBreak/>
        <w:t>While the National Science and Research Priorities were developed in collaboration with a range of research, industry and government representatives,</w:t>
      </w:r>
      <w:r w:rsidR="00630BA4">
        <w:rPr>
          <w:rStyle w:val="FootnoteReference"/>
          <w:rFonts w:asciiTheme="majorHAnsi" w:eastAsiaTheme="minorEastAsia" w:hAnsiTheme="majorHAnsi" w:cstheme="majorHAnsi"/>
          <w:lang w:eastAsia="en-AU"/>
        </w:rPr>
        <w:footnoteReference w:id="76"/>
      </w:r>
      <w:r w:rsidRPr="00B77EBE">
        <w:rPr>
          <w:rFonts w:asciiTheme="majorHAnsi" w:eastAsiaTheme="minorEastAsia" w:hAnsiTheme="majorHAnsi" w:cstheme="majorHAnsi"/>
          <w:lang w:eastAsia="en-AU"/>
        </w:rPr>
        <w:t xml:space="preserve"> some </w:t>
      </w:r>
      <w:r w:rsidR="005D7055">
        <w:rPr>
          <w:rFonts w:asciiTheme="majorHAnsi" w:eastAsiaTheme="minorEastAsia" w:hAnsiTheme="majorHAnsi" w:cstheme="majorHAnsi"/>
          <w:lang w:eastAsia="en-AU"/>
        </w:rPr>
        <w:t>stakeholders</w:t>
      </w:r>
      <w:r w:rsidRPr="00B77EBE">
        <w:rPr>
          <w:rFonts w:asciiTheme="majorHAnsi" w:eastAsiaTheme="minorEastAsia" w:hAnsiTheme="majorHAnsi" w:cstheme="majorHAnsi"/>
          <w:lang w:eastAsia="en-AU"/>
        </w:rPr>
        <w:t xml:space="preserve"> described a desire for greater consultation with the Australian research community </w:t>
      </w:r>
      <w:r w:rsidR="00786CE7">
        <w:rPr>
          <w:rFonts w:asciiTheme="majorHAnsi" w:eastAsiaTheme="minorEastAsia" w:hAnsiTheme="majorHAnsi" w:cstheme="majorHAnsi"/>
          <w:lang w:eastAsia="en-AU"/>
        </w:rPr>
        <w:t>in</w:t>
      </w:r>
      <w:r w:rsidRPr="00B77EBE">
        <w:rPr>
          <w:rFonts w:asciiTheme="majorHAnsi" w:eastAsiaTheme="minorEastAsia" w:hAnsiTheme="majorHAnsi" w:cstheme="majorHAnsi"/>
          <w:lang w:eastAsia="en-AU"/>
        </w:rPr>
        <w:t xml:space="preserve"> the identification of future priorities. These </w:t>
      </w:r>
      <w:r w:rsidR="00B663AB">
        <w:rPr>
          <w:rFonts w:asciiTheme="majorHAnsi" w:eastAsiaTheme="minorEastAsia" w:hAnsiTheme="majorHAnsi" w:cstheme="majorHAnsi"/>
          <w:lang w:eastAsia="en-AU"/>
        </w:rPr>
        <w:t>comments</w:t>
      </w:r>
      <w:r w:rsidR="00B663AB" w:rsidRPr="00B77EBE">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 xml:space="preserve">often </w:t>
      </w:r>
      <w:r w:rsidR="00B663AB">
        <w:rPr>
          <w:rFonts w:asciiTheme="majorHAnsi" w:eastAsiaTheme="minorEastAsia" w:hAnsiTheme="majorHAnsi" w:cstheme="majorHAnsi"/>
          <w:lang w:eastAsia="en-AU"/>
        </w:rPr>
        <w:t>included concerns</w:t>
      </w:r>
      <w:r w:rsidRPr="00B77EBE">
        <w:rPr>
          <w:rFonts w:asciiTheme="majorHAnsi" w:eastAsiaTheme="minorEastAsia" w:hAnsiTheme="majorHAnsi" w:cstheme="majorHAnsi"/>
          <w:lang w:eastAsia="en-AU"/>
        </w:rPr>
        <w:t xml:space="preserve"> that the role of HASS disciplines in addressing significant issues confronting the nation w</w:t>
      </w:r>
      <w:r w:rsidR="009B5750">
        <w:rPr>
          <w:rFonts w:asciiTheme="majorHAnsi" w:eastAsiaTheme="minorEastAsia" w:hAnsiTheme="majorHAnsi" w:cstheme="majorHAnsi"/>
          <w:lang w:eastAsia="en-AU"/>
        </w:rPr>
        <w:t>ere</w:t>
      </w:r>
      <w:r w:rsidRPr="00B77EBE">
        <w:rPr>
          <w:rFonts w:asciiTheme="majorHAnsi" w:eastAsiaTheme="minorEastAsia" w:hAnsiTheme="majorHAnsi" w:cstheme="majorHAnsi"/>
          <w:lang w:eastAsia="en-AU"/>
        </w:rPr>
        <w:t xml:space="preserve"> not sufficiently recognised </w:t>
      </w:r>
      <w:r w:rsidR="006C5B85">
        <w:rPr>
          <w:rFonts w:asciiTheme="majorHAnsi" w:eastAsiaTheme="minorEastAsia" w:hAnsiTheme="majorHAnsi" w:cstheme="majorHAnsi"/>
          <w:lang w:eastAsia="en-AU"/>
        </w:rPr>
        <w:t xml:space="preserve">within existing </w:t>
      </w:r>
      <w:r w:rsidRPr="00B77EBE">
        <w:rPr>
          <w:rFonts w:asciiTheme="majorHAnsi" w:eastAsiaTheme="minorEastAsia" w:hAnsiTheme="majorHAnsi" w:cstheme="majorHAnsi"/>
          <w:lang w:eastAsia="en-AU"/>
        </w:rPr>
        <w:t xml:space="preserve">priorities. </w:t>
      </w:r>
    </w:p>
    <w:p w14:paraId="4115064C" w14:textId="77777777" w:rsidR="00B77EBE" w:rsidRPr="00B77EBE" w:rsidRDefault="00B77EBE" w:rsidP="003E0DE0">
      <w:pPr>
        <w:pStyle w:val="Quote"/>
      </w:pPr>
      <w:r w:rsidRPr="00B77EBE">
        <w:t xml:space="preserve">Those priorities could be thought out more deeply, with input from a broader range of people </w:t>
      </w:r>
      <w:r w:rsidRPr="003E0DE0">
        <w:rPr>
          <w:i w:val="0"/>
          <w:iCs w:val="0"/>
        </w:rPr>
        <w:t>– (University Research Office)</w:t>
      </w:r>
    </w:p>
    <w:p w14:paraId="5E9F7530" w14:textId="77777777" w:rsidR="00B77EBE" w:rsidRPr="00B77EBE" w:rsidRDefault="00B77EBE" w:rsidP="003E0DE0">
      <w:pPr>
        <w:pStyle w:val="Quote"/>
      </w:pPr>
      <w:r w:rsidRPr="00B77EBE">
        <w:t xml:space="preserve">As someone who works across the humanities and social sciences, I find the National Science and Research Priorities very limited and limiting. [...] I think the ARC might devote some energy to enhancing the scale and focus of these areas </w:t>
      </w:r>
      <w:r w:rsidRPr="003E0DE0">
        <w:rPr>
          <w:i w:val="0"/>
          <w:iCs w:val="0"/>
        </w:rPr>
        <w:t>– (Researcher)</w:t>
      </w:r>
    </w:p>
    <w:p w14:paraId="265F9BA4" w14:textId="77777777" w:rsidR="00B77EBE" w:rsidRPr="00B77EBE" w:rsidRDefault="00B77EBE" w:rsidP="003E0DE0">
      <w:pPr>
        <w:pStyle w:val="Quote"/>
        <w:spacing w:after="240"/>
        <w:ind w:left="425" w:right="663"/>
      </w:pPr>
      <w:r w:rsidRPr="00B77EBE">
        <w:t xml:space="preserve">Lots of research fields lying within social sciences (e.g. demographic trends, human mobility, human settlement, urban issues) are not recognised as national research priority areas </w:t>
      </w:r>
      <w:r w:rsidRPr="003E0DE0">
        <w:rPr>
          <w:i w:val="0"/>
          <w:iCs w:val="0"/>
        </w:rPr>
        <w:t>– (Researcher)</w:t>
      </w:r>
    </w:p>
    <w:p w14:paraId="3CE296F4" w14:textId="67838217" w:rsidR="00B77EBE" w:rsidRPr="00B77EBE" w:rsidRDefault="00B77EBE" w:rsidP="00B77EBE">
      <w:pPr>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 xml:space="preserve">It is important to note that the National Science and Research Priorities were determined by the Australian Government, and their content is beyond the scope of this evaluation. However, as described </w:t>
      </w:r>
      <w:r w:rsidRPr="001D3E16">
        <w:rPr>
          <w:rFonts w:asciiTheme="majorHAnsi" w:eastAsiaTheme="minorEastAsia" w:hAnsiTheme="majorHAnsi" w:cstheme="majorHAnsi"/>
          <w:lang w:eastAsia="en-AU"/>
        </w:rPr>
        <w:t xml:space="preserve">earlier (see </w:t>
      </w:r>
      <w:hyperlink w:anchor="_Enhancing_the_scale" w:history="1">
        <w:r w:rsidR="00A943C8" w:rsidRPr="00281670">
          <w:rPr>
            <w:rStyle w:val="Hyperlink"/>
            <w:rFonts w:eastAsiaTheme="minorEastAsia" w:cstheme="majorHAnsi"/>
            <w:color w:val="auto"/>
            <w:sz w:val="22"/>
            <w:u w:val="none"/>
            <w:lang w:eastAsia="en-AU"/>
          </w:rPr>
          <w:t>Section 3.5</w:t>
        </w:r>
      </w:hyperlink>
      <w:r w:rsidRPr="001D3E16">
        <w:rPr>
          <w:rFonts w:asciiTheme="majorHAnsi" w:eastAsiaTheme="minorEastAsia" w:hAnsiTheme="majorHAnsi" w:cstheme="majorHAnsi"/>
          <w:lang w:eastAsia="en-AU"/>
        </w:rPr>
        <w:t xml:space="preserve">), </w:t>
      </w:r>
      <w:r w:rsidR="007E799B" w:rsidRPr="001D3E16">
        <w:rPr>
          <w:rFonts w:asciiTheme="majorHAnsi" w:eastAsiaTheme="minorEastAsia" w:hAnsiTheme="majorHAnsi" w:cstheme="majorHAnsi"/>
          <w:lang w:eastAsia="en-AU"/>
        </w:rPr>
        <w:t xml:space="preserve">the </w:t>
      </w:r>
      <w:r w:rsidRPr="001D3E16">
        <w:rPr>
          <w:rFonts w:asciiTheme="majorHAnsi" w:eastAsiaTheme="minorEastAsia" w:hAnsiTheme="majorHAnsi" w:cstheme="majorHAnsi"/>
          <w:lang w:eastAsia="en-AU"/>
        </w:rPr>
        <w:t>Discovery</w:t>
      </w:r>
      <w:r w:rsidRPr="000B0F9D">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Projects scheme objective</w:t>
      </w:r>
      <w:r w:rsidR="00354361">
        <w:rPr>
          <w:rFonts w:asciiTheme="majorHAnsi" w:eastAsiaTheme="minorEastAsia" w:hAnsiTheme="majorHAnsi" w:cstheme="majorHAnsi"/>
          <w:lang w:eastAsia="en-AU"/>
        </w:rPr>
        <w:t>s</w:t>
      </w:r>
      <w:r w:rsidRPr="00B77EBE">
        <w:rPr>
          <w:rFonts w:asciiTheme="majorHAnsi" w:eastAsiaTheme="minorEastAsia" w:hAnsiTheme="majorHAnsi" w:cstheme="majorHAnsi"/>
          <w:lang w:eastAsia="en-AU"/>
        </w:rPr>
        <w:t xml:space="preserve"> </w:t>
      </w:r>
      <w:r w:rsidR="006C5C7B">
        <w:rPr>
          <w:rFonts w:asciiTheme="majorHAnsi" w:eastAsiaTheme="minorEastAsia" w:hAnsiTheme="majorHAnsi" w:cstheme="majorHAnsi"/>
          <w:lang w:eastAsia="en-AU"/>
        </w:rPr>
        <w:t>were</w:t>
      </w:r>
      <w:r w:rsidRPr="00B77EBE">
        <w:rPr>
          <w:rFonts w:asciiTheme="majorHAnsi" w:eastAsiaTheme="minorEastAsia" w:hAnsiTheme="majorHAnsi" w:cstheme="majorHAnsi"/>
          <w:lang w:eastAsia="en-AU"/>
        </w:rPr>
        <w:t xml:space="preserve"> amended in DP21 to refer to Australian Government priority areas more broadly, rather than the National Science and Research Priorities</w:t>
      </w:r>
      <w:r w:rsidR="006C5C7B">
        <w:rPr>
          <w:rFonts w:asciiTheme="majorHAnsi" w:eastAsiaTheme="minorEastAsia" w:hAnsiTheme="majorHAnsi" w:cstheme="majorHAnsi"/>
          <w:lang w:eastAsia="en-AU"/>
        </w:rPr>
        <w:t xml:space="preserve"> exclusively</w:t>
      </w:r>
      <w:r w:rsidRPr="00B77EBE">
        <w:rPr>
          <w:rFonts w:asciiTheme="majorHAnsi" w:eastAsiaTheme="minorEastAsia" w:hAnsiTheme="majorHAnsi" w:cstheme="majorHAnsi"/>
          <w:lang w:eastAsia="en-AU"/>
        </w:rPr>
        <w:t xml:space="preserve">. </w:t>
      </w:r>
      <w:r w:rsidR="003C510F">
        <w:rPr>
          <w:rFonts w:asciiTheme="majorHAnsi" w:eastAsiaTheme="minorEastAsia" w:hAnsiTheme="majorHAnsi" w:cstheme="majorHAnsi"/>
          <w:lang w:eastAsia="en-AU"/>
        </w:rPr>
        <w:t>F</w:t>
      </w:r>
      <w:r w:rsidRPr="00B77EBE">
        <w:rPr>
          <w:rFonts w:asciiTheme="majorHAnsi" w:eastAsiaTheme="minorEastAsia" w:hAnsiTheme="majorHAnsi" w:cstheme="majorHAnsi"/>
          <w:lang w:eastAsia="en-AU"/>
        </w:rPr>
        <w:t xml:space="preserve">urther outreach and engagement activities </w:t>
      </w:r>
      <w:r w:rsidR="003C510F">
        <w:rPr>
          <w:rFonts w:asciiTheme="majorHAnsi" w:eastAsiaTheme="minorEastAsia" w:hAnsiTheme="majorHAnsi" w:cstheme="majorHAnsi"/>
          <w:lang w:eastAsia="en-AU"/>
        </w:rPr>
        <w:t>reinforcing</w:t>
      </w:r>
      <w:r w:rsidR="003C510F" w:rsidRPr="00B77EBE">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 xml:space="preserve">the potential for </w:t>
      </w:r>
      <w:r w:rsidRPr="00F2696B">
        <w:rPr>
          <w:rFonts w:asciiTheme="majorHAnsi" w:eastAsiaTheme="minorEastAsia" w:hAnsiTheme="majorHAnsi" w:cstheme="majorHAnsi"/>
          <w:lang w:eastAsia="en-AU"/>
        </w:rPr>
        <w:t>applica</w:t>
      </w:r>
      <w:r w:rsidR="001B51E2">
        <w:rPr>
          <w:rFonts w:asciiTheme="majorHAnsi" w:eastAsiaTheme="minorEastAsia" w:hAnsiTheme="majorHAnsi" w:cstheme="majorHAnsi"/>
          <w:lang w:eastAsia="en-AU"/>
        </w:rPr>
        <w:t xml:space="preserve">nts </w:t>
      </w:r>
      <w:r w:rsidRPr="00F2696B">
        <w:rPr>
          <w:rFonts w:asciiTheme="majorHAnsi" w:eastAsiaTheme="minorEastAsia" w:hAnsiTheme="majorHAnsi" w:cstheme="majorHAnsi"/>
          <w:lang w:eastAsia="en-AU"/>
        </w:rPr>
        <w:t>(</w:t>
      </w:r>
      <w:r w:rsidR="003C510F">
        <w:rPr>
          <w:rFonts w:asciiTheme="majorHAnsi" w:eastAsiaTheme="minorEastAsia" w:hAnsiTheme="majorHAnsi" w:cstheme="majorHAnsi"/>
          <w:lang w:eastAsia="en-AU"/>
        </w:rPr>
        <w:t>and assessors</w:t>
      </w:r>
      <w:r w:rsidRPr="00F2696B">
        <w:rPr>
          <w:rFonts w:asciiTheme="majorHAnsi" w:eastAsiaTheme="minorEastAsia" w:hAnsiTheme="majorHAnsi" w:cstheme="majorHAnsi"/>
          <w:lang w:eastAsia="en-AU"/>
        </w:rPr>
        <w:t xml:space="preserve">) to </w:t>
      </w:r>
      <w:r w:rsidR="00EE323F">
        <w:rPr>
          <w:rFonts w:asciiTheme="majorHAnsi" w:eastAsiaTheme="minorEastAsia" w:hAnsiTheme="majorHAnsi" w:cstheme="majorHAnsi"/>
          <w:lang w:eastAsia="en-AU"/>
        </w:rPr>
        <w:t>refer to</w:t>
      </w:r>
      <w:r w:rsidR="003C510F">
        <w:rPr>
          <w:rFonts w:asciiTheme="majorHAnsi" w:eastAsiaTheme="minorEastAsia" w:hAnsiTheme="majorHAnsi" w:cstheme="majorHAnsi"/>
          <w:lang w:eastAsia="en-AU"/>
        </w:rPr>
        <w:t xml:space="preserve"> </w:t>
      </w:r>
      <w:r w:rsidRPr="00F2696B">
        <w:rPr>
          <w:rFonts w:asciiTheme="majorHAnsi" w:eastAsiaTheme="minorEastAsia" w:hAnsiTheme="majorHAnsi" w:cstheme="majorHAnsi"/>
          <w:lang w:eastAsia="en-AU"/>
        </w:rPr>
        <w:t>diverse Australian Government priorities</w:t>
      </w:r>
      <w:r w:rsidR="003C510F">
        <w:rPr>
          <w:rFonts w:asciiTheme="majorHAnsi" w:eastAsiaTheme="minorEastAsia" w:hAnsiTheme="majorHAnsi" w:cstheme="majorHAnsi"/>
          <w:lang w:eastAsia="en-AU"/>
        </w:rPr>
        <w:t xml:space="preserve"> under the scheme may be valuable</w:t>
      </w:r>
      <w:r w:rsidRPr="00F2696B">
        <w:rPr>
          <w:rFonts w:asciiTheme="majorHAnsi" w:eastAsiaTheme="minorEastAsia" w:hAnsiTheme="majorHAnsi" w:cstheme="majorHAnsi"/>
          <w:lang w:eastAsia="en-AU"/>
        </w:rPr>
        <w:t xml:space="preserve">. </w:t>
      </w:r>
      <w:r w:rsidR="00354549">
        <w:rPr>
          <w:rFonts w:asciiTheme="majorHAnsi" w:eastAsiaTheme="minorEastAsia" w:hAnsiTheme="majorHAnsi" w:cstheme="majorHAnsi"/>
          <w:lang w:eastAsia="en-AU"/>
        </w:rPr>
        <w:t>Changes to Discovery Projects</w:t>
      </w:r>
      <w:r w:rsidRPr="002C1467">
        <w:rPr>
          <w:rFonts w:asciiTheme="majorHAnsi" w:eastAsiaTheme="minorEastAsia" w:hAnsiTheme="majorHAnsi" w:cstheme="majorHAnsi"/>
          <w:lang w:eastAsia="en-AU"/>
        </w:rPr>
        <w:t xml:space="preserve"> application forms </w:t>
      </w:r>
      <w:r w:rsidR="00425608">
        <w:rPr>
          <w:rFonts w:asciiTheme="majorHAnsi" w:eastAsiaTheme="minorEastAsia" w:hAnsiTheme="majorHAnsi" w:cstheme="majorHAnsi"/>
          <w:lang w:eastAsia="en-AU"/>
        </w:rPr>
        <w:t>allowing</w:t>
      </w:r>
      <w:r w:rsidRPr="002C1467">
        <w:rPr>
          <w:rFonts w:asciiTheme="majorHAnsi" w:eastAsiaTheme="minorEastAsia" w:hAnsiTheme="majorHAnsi" w:cstheme="majorHAnsi"/>
          <w:lang w:eastAsia="en-AU"/>
        </w:rPr>
        <w:t xml:space="preserve"> researchers to indicate their intention to address priorit</w:t>
      </w:r>
      <w:r w:rsidR="00EC1022">
        <w:rPr>
          <w:rFonts w:asciiTheme="majorHAnsi" w:eastAsiaTheme="minorEastAsia" w:hAnsiTheme="majorHAnsi" w:cstheme="majorHAnsi"/>
          <w:lang w:eastAsia="en-AU"/>
        </w:rPr>
        <w:t>ies</w:t>
      </w:r>
      <w:r w:rsidRPr="002C1467">
        <w:rPr>
          <w:rFonts w:asciiTheme="majorHAnsi" w:eastAsiaTheme="minorEastAsia" w:hAnsiTheme="majorHAnsi" w:cstheme="majorHAnsi"/>
          <w:lang w:eastAsia="en-AU"/>
        </w:rPr>
        <w:t xml:space="preserve"> beyond the National Science and Research Priorities</w:t>
      </w:r>
      <w:r w:rsidR="00370103">
        <w:rPr>
          <w:rFonts w:asciiTheme="majorHAnsi" w:eastAsiaTheme="minorEastAsia" w:hAnsiTheme="majorHAnsi" w:cstheme="majorHAnsi"/>
          <w:lang w:eastAsia="en-AU"/>
        </w:rPr>
        <w:t xml:space="preserve"> may also prove beneficial</w:t>
      </w:r>
      <w:r w:rsidRPr="002C1467">
        <w:rPr>
          <w:rFonts w:asciiTheme="majorHAnsi" w:eastAsiaTheme="minorEastAsia" w:hAnsiTheme="majorHAnsi" w:cstheme="majorHAnsi"/>
          <w:lang w:eastAsia="en-AU"/>
        </w:rPr>
        <w:t>.</w:t>
      </w:r>
    </w:p>
    <w:p w14:paraId="5BC5E734" w14:textId="3AB30893" w:rsidR="00B77EBE" w:rsidRPr="00B77EBE" w:rsidRDefault="00B77EBE" w:rsidP="00B77EBE">
      <w:pPr>
        <w:spacing w:after="240"/>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Other stakeholders p</w:t>
      </w:r>
      <w:r w:rsidR="008179F8">
        <w:rPr>
          <w:rFonts w:asciiTheme="majorHAnsi" w:eastAsiaTheme="minorEastAsia" w:hAnsiTheme="majorHAnsi" w:cstheme="majorHAnsi"/>
          <w:lang w:eastAsia="en-AU"/>
        </w:rPr>
        <w:t>erceived</w:t>
      </w:r>
      <w:r w:rsidRPr="00B77EBE">
        <w:rPr>
          <w:rFonts w:asciiTheme="majorHAnsi" w:eastAsiaTheme="minorEastAsia" w:hAnsiTheme="majorHAnsi" w:cstheme="majorHAnsi"/>
          <w:lang w:eastAsia="en-AU"/>
        </w:rPr>
        <w:t xml:space="preserve"> </w:t>
      </w:r>
      <w:r w:rsidR="00083688">
        <w:rPr>
          <w:rFonts w:asciiTheme="majorHAnsi" w:eastAsiaTheme="minorEastAsia" w:hAnsiTheme="majorHAnsi" w:cstheme="majorHAnsi"/>
          <w:lang w:eastAsia="en-AU"/>
        </w:rPr>
        <w:t xml:space="preserve">more general </w:t>
      </w:r>
      <w:r w:rsidRPr="00B77EBE">
        <w:rPr>
          <w:rFonts w:asciiTheme="majorHAnsi" w:eastAsiaTheme="minorEastAsia" w:hAnsiTheme="majorHAnsi" w:cstheme="majorHAnsi"/>
          <w:lang w:eastAsia="en-AU"/>
        </w:rPr>
        <w:t xml:space="preserve">tensions between the </w:t>
      </w:r>
      <w:r w:rsidR="00083688" w:rsidRPr="00B77EBE">
        <w:rPr>
          <w:rFonts w:asciiTheme="majorHAnsi" w:eastAsiaTheme="minorEastAsia" w:hAnsiTheme="majorHAnsi" w:cstheme="majorHAnsi"/>
          <w:lang w:eastAsia="en-AU"/>
        </w:rPr>
        <w:t>presence of priorities</w:t>
      </w:r>
      <w:r w:rsidR="00083688">
        <w:rPr>
          <w:rFonts w:asciiTheme="majorHAnsi" w:eastAsiaTheme="minorEastAsia" w:hAnsiTheme="majorHAnsi" w:cstheme="majorHAnsi"/>
          <w:lang w:eastAsia="en-AU"/>
        </w:rPr>
        <w:t xml:space="preserve"> </w:t>
      </w:r>
      <w:r w:rsidR="00083688" w:rsidRPr="00B77EBE">
        <w:rPr>
          <w:rFonts w:asciiTheme="majorHAnsi" w:eastAsiaTheme="minorEastAsia" w:hAnsiTheme="majorHAnsi" w:cstheme="majorHAnsi"/>
          <w:lang w:eastAsia="en-AU"/>
        </w:rPr>
        <w:t>determined by the Australian Government</w:t>
      </w:r>
      <w:r w:rsidR="00083688">
        <w:rPr>
          <w:rFonts w:asciiTheme="majorHAnsi" w:eastAsiaTheme="minorEastAsia" w:hAnsiTheme="majorHAnsi" w:cstheme="majorHAnsi"/>
          <w:lang w:eastAsia="en-AU"/>
        </w:rPr>
        <w:t xml:space="preserve"> and the</w:t>
      </w:r>
      <w:r w:rsidR="00083688" w:rsidRPr="00B77EBE">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 xml:space="preserve">scheme’s objective to support basic research. Some regarded the priorities as impeding unconstrained intellectual enquiry, engagement with cutting-edge scholarship, and the transformative outcomes delivered through investigator-led, basic research. </w:t>
      </w:r>
    </w:p>
    <w:p w14:paraId="5243AA8E" w14:textId="77777777" w:rsidR="00B77EBE" w:rsidRPr="00B77EBE" w:rsidRDefault="00B77EBE" w:rsidP="003E0DE0">
      <w:pPr>
        <w:pStyle w:val="Quote"/>
      </w:pPr>
      <w:r w:rsidRPr="00B77EBE">
        <w:t xml:space="preserve">Something that may not be a priority today, may be a priority tomorrow…the benefits might be next week, or they might be in 10 years. It is important not to pigeonhole [the grants] </w:t>
      </w:r>
      <w:r w:rsidRPr="003E0DE0">
        <w:rPr>
          <w:i w:val="0"/>
          <w:iCs w:val="0"/>
        </w:rPr>
        <w:t>– (University Research Office)</w:t>
      </w:r>
    </w:p>
    <w:p w14:paraId="08F2DC4F" w14:textId="77777777" w:rsidR="00B77EBE" w:rsidRPr="00B77EBE" w:rsidRDefault="00B77EBE" w:rsidP="003E0DE0">
      <w:pPr>
        <w:pStyle w:val="Quote"/>
      </w:pPr>
      <w:r w:rsidRPr="00B77EBE">
        <w:t xml:space="preserve">I do not agree that the Australian Government should direct ARC Discovery Projects research to the Government of the Day's priority areas. There should be a separate scheme for this. The ARC Discovery Projects scheme is the only way Australians can pursue pure, curiosity-driven research. History has shown that many of our most profound innovations that have vastly increased the world's wealth and health have been the result of pure research </w:t>
      </w:r>
      <w:r w:rsidRPr="003E0DE0">
        <w:rPr>
          <w:i w:val="0"/>
          <w:iCs w:val="0"/>
        </w:rPr>
        <w:t>– (Researcher)</w:t>
      </w:r>
    </w:p>
    <w:p w14:paraId="67FA8A8E" w14:textId="77777777" w:rsidR="00B77EBE" w:rsidRPr="00B77EBE" w:rsidRDefault="00B77EBE" w:rsidP="003E0DE0">
      <w:pPr>
        <w:pStyle w:val="Quote"/>
        <w:spacing w:after="240"/>
        <w:ind w:left="425" w:right="663"/>
      </w:pPr>
      <w:r w:rsidRPr="00B77EBE">
        <w:t xml:space="preserve">I am quite critical about the national priorities being weighted so strongly. There is a good chance that excellent basic research gets overlooked and not funded because it doesn't respond to a current societal need and priority (as determined by the Government). If we had always thought this way, we would not have electronics as we know it, as the base </w:t>
      </w:r>
      <w:r w:rsidRPr="00B77EBE">
        <w:lastRenderedPageBreak/>
        <w:t xml:space="preserve">research needed for it would never have been carried out in the first place. The current restrictions suffocate, to some extent, really innovative research </w:t>
      </w:r>
      <w:r w:rsidRPr="003E0DE0">
        <w:rPr>
          <w:i w:val="0"/>
          <w:iCs w:val="0"/>
        </w:rPr>
        <w:t>– (Researcher)</w:t>
      </w:r>
    </w:p>
    <w:p w14:paraId="11A24AD9" w14:textId="39D187B6" w:rsidR="00B77EBE" w:rsidRPr="00B77EBE" w:rsidRDefault="00B77EBE" w:rsidP="00B77EBE">
      <w:pPr>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 xml:space="preserve">As discussed </w:t>
      </w:r>
      <w:r w:rsidRPr="00FB3711">
        <w:rPr>
          <w:rFonts w:asciiTheme="majorHAnsi" w:eastAsiaTheme="minorEastAsia" w:hAnsiTheme="majorHAnsi" w:cstheme="majorHAnsi"/>
          <w:lang w:eastAsia="en-AU"/>
        </w:rPr>
        <w:t xml:space="preserve">earlier (see </w:t>
      </w:r>
      <w:r w:rsidRPr="00281670">
        <w:rPr>
          <w:rFonts w:asciiTheme="majorHAnsi" w:eastAsiaTheme="minorEastAsia" w:hAnsiTheme="majorHAnsi" w:cstheme="majorHAnsi"/>
          <w:lang w:eastAsia="en-AU"/>
        </w:rPr>
        <w:t xml:space="preserve">pp. </w:t>
      </w:r>
      <w:r w:rsidR="00FB3711" w:rsidRPr="00281670">
        <w:rPr>
          <w:rFonts w:asciiTheme="majorHAnsi" w:eastAsiaTheme="minorEastAsia" w:hAnsiTheme="majorHAnsi" w:cstheme="majorHAnsi"/>
          <w:lang w:eastAsia="en-AU"/>
        </w:rPr>
        <w:t>59</w:t>
      </w:r>
      <w:r w:rsidRPr="00FB3711">
        <w:rPr>
          <w:rFonts w:asciiTheme="majorHAnsi" w:eastAsiaTheme="minorEastAsia" w:hAnsiTheme="majorHAnsi" w:cstheme="majorHAnsi"/>
          <w:lang w:eastAsia="en-AU"/>
        </w:rPr>
        <w:t>), addressing</w:t>
      </w:r>
      <w:r w:rsidRPr="00B77EBE">
        <w:rPr>
          <w:rFonts w:asciiTheme="majorHAnsi" w:eastAsiaTheme="minorEastAsia" w:hAnsiTheme="majorHAnsi" w:cstheme="majorHAnsi"/>
          <w:lang w:eastAsia="en-AU"/>
        </w:rPr>
        <w:t xml:space="preserve"> an Australian Government priority is not a Discovery Projects eligibility requirement. While research priorities form one component of the ‘Benefit’ </w:t>
      </w:r>
      <w:r w:rsidR="00810942">
        <w:rPr>
          <w:rFonts w:asciiTheme="majorHAnsi" w:eastAsiaTheme="minorEastAsia" w:hAnsiTheme="majorHAnsi" w:cstheme="majorHAnsi"/>
          <w:lang w:eastAsia="en-AU"/>
        </w:rPr>
        <w:t>assessment crit</w:t>
      </w:r>
      <w:r w:rsidRPr="00B77EBE">
        <w:rPr>
          <w:rFonts w:asciiTheme="majorHAnsi" w:eastAsiaTheme="minorEastAsia" w:hAnsiTheme="majorHAnsi" w:cstheme="majorHAnsi"/>
          <w:lang w:eastAsia="en-AU"/>
        </w:rPr>
        <w:t>erion, benefit may be demonstrated in multiple ways; research priorities are not associated with a specific weighting. SEO data demonstrate that Discovery Projects’ support for basic research remains strong and has, in fact, increased in rece</w:t>
      </w:r>
      <w:r w:rsidRPr="00FB3711">
        <w:rPr>
          <w:rFonts w:asciiTheme="majorHAnsi" w:eastAsiaTheme="minorEastAsia" w:hAnsiTheme="majorHAnsi" w:cstheme="majorHAnsi"/>
          <w:lang w:eastAsia="en-AU"/>
        </w:rPr>
        <w:t xml:space="preserve">nt funding rounds (see </w:t>
      </w:r>
      <w:hyperlink w:anchor="_ARC_data—excellent_basic" w:history="1">
        <w:r w:rsidRPr="00281670">
          <w:rPr>
            <w:rStyle w:val="Hyperlink"/>
            <w:rFonts w:eastAsiaTheme="minorEastAsia" w:cstheme="majorHAnsi"/>
            <w:color w:val="auto"/>
            <w:sz w:val="22"/>
            <w:u w:val="none"/>
            <w:lang w:eastAsia="en-AU"/>
          </w:rPr>
          <w:t xml:space="preserve">Section </w:t>
        </w:r>
        <w:r w:rsidR="00BC1A29" w:rsidRPr="00281670">
          <w:rPr>
            <w:rStyle w:val="Hyperlink"/>
            <w:rFonts w:eastAsiaTheme="minorEastAsia" w:cstheme="majorHAnsi"/>
            <w:color w:val="auto"/>
            <w:sz w:val="22"/>
            <w:u w:val="none"/>
            <w:lang w:eastAsia="en-AU"/>
          </w:rPr>
          <w:t>3.2.1</w:t>
        </w:r>
      </w:hyperlink>
      <w:r w:rsidRPr="00FB3711">
        <w:rPr>
          <w:rFonts w:asciiTheme="majorHAnsi" w:eastAsiaTheme="minorEastAsia" w:hAnsiTheme="majorHAnsi" w:cstheme="majorHAnsi"/>
          <w:lang w:eastAsia="en-AU"/>
        </w:rPr>
        <w:t>).</w:t>
      </w:r>
      <w:r w:rsidRPr="001B214A">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Further, the policy rationale underpinning the introduction of the National Science and Research Priorities expressly states that they can be addressed through either basic or applied research.</w:t>
      </w:r>
      <w:r w:rsidRPr="00B77EBE">
        <w:rPr>
          <w:rFonts w:asciiTheme="majorHAnsi" w:eastAsiaTheme="minorEastAsia" w:hAnsiTheme="majorHAnsi" w:cstheme="majorHAnsi"/>
          <w:vertAlign w:val="superscript"/>
          <w:lang w:eastAsia="en-AU"/>
        </w:rPr>
        <w:footnoteReference w:id="77"/>
      </w:r>
      <w:r w:rsidRPr="00B77EBE">
        <w:rPr>
          <w:rFonts w:asciiTheme="majorHAnsi" w:eastAsiaTheme="minorEastAsia" w:hAnsiTheme="majorHAnsi" w:cstheme="majorHAnsi"/>
          <w:lang w:eastAsia="en-AU"/>
        </w:rPr>
        <w:t xml:space="preserve"> </w:t>
      </w:r>
      <w:r w:rsidR="00100CE2">
        <w:rPr>
          <w:rFonts w:asciiTheme="majorHAnsi" w:eastAsiaTheme="minorEastAsia" w:hAnsiTheme="majorHAnsi" w:cstheme="majorHAnsi"/>
          <w:lang w:eastAsia="en-AU"/>
        </w:rPr>
        <w:t>R</w:t>
      </w:r>
      <w:r w:rsidRPr="00B77EBE">
        <w:rPr>
          <w:rFonts w:asciiTheme="majorHAnsi" w:eastAsiaTheme="minorEastAsia" w:hAnsiTheme="majorHAnsi" w:cstheme="majorHAnsi"/>
          <w:lang w:eastAsia="en-AU"/>
        </w:rPr>
        <w:t>eiterat</w:t>
      </w:r>
      <w:r w:rsidR="00100CE2">
        <w:rPr>
          <w:rFonts w:asciiTheme="majorHAnsi" w:eastAsiaTheme="minorEastAsia" w:hAnsiTheme="majorHAnsi" w:cstheme="majorHAnsi"/>
          <w:lang w:eastAsia="en-AU"/>
        </w:rPr>
        <w:t>ing</w:t>
      </w:r>
      <w:r w:rsidRPr="00B77EBE">
        <w:rPr>
          <w:rFonts w:asciiTheme="majorHAnsi" w:eastAsiaTheme="minorEastAsia" w:hAnsiTheme="majorHAnsi" w:cstheme="majorHAnsi"/>
          <w:lang w:eastAsia="en-AU"/>
        </w:rPr>
        <w:t xml:space="preserve"> these points in ongoing </w:t>
      </w:r>
      <w:r w:rsidR="00100CE2">
        <w:rPr>
          <w:rFonts w:asciiTheme="majorHAnsi" w:eastAsiaTheme="minorEastAsia" w:hAnsiTheme="majorHAnsi" w:cstheme="majorHAnsi"/>
          <w:lang w:eastAsia="en-AU"/>
        </w:rPr>
        <w:t xml:space="preserve">ARC </w:t>
      </w:r>
      <w:r w:rsidR="00F23988">
        <w:rPr>
          <w:rFonts w:asciiTheme="majorHAnsi" w:eastAsiaTheme="minorEastAsia" w:hAnsiTheme="majorHAnsi" w:cstheme="majorHAnsi"/>
          <w:lang w:eastAsia="en-AU"/>
        </w:rPr>
        <w:t xml:space="preserve">advice, </w:t>
      </w:r>
      <w:r w:rsidRPr="00B77EBE">
        <w:rPr>
          <w:rFonts w:asciiTheme="majorHAnsi" w:eastAsiaTheme="minorEastAsia" w:hAnsiTheme="majorHAnsi" w:cstheme="majorHAnsi"/>
          <w:lang w:eastAsia="en-AU"/>
        </w:rPr>
        <w:t>outreach and engagement</w:t>
      </w:r>
      <w:r w:rsidR="00BE37B6">
        <w:rPr>
          <w:rFonts w:asciiTheme="majorHAnsi" w:eastAsiaTheme="minorEastAsia" w:hAnsiTheme="majorHAnsi" w:cstheme="majorHAnsi"/>
          <w:lang w:eastAsia="en-AU"/>
        </w:rPr>
        <w:t xml:space="preserve"> may</w:t>
      </w:r>
      <w:r w:rsidR="002E40E7">
        <w:rPr>
          <w:rFonts w:asciiTheme="majorHAnsi" w:eastAsiaTheme="minorEastAsia" w:hAnsiTheme="majorHAnsi" w:cstheme="majorHAnsi"/>
          <w:lang w:eastAsia="en-AU"/>
        </w:rPr>
        <w:t xml:space="preserve"> be useful in</w:t>
      </w:r>
      <w:r w:rsidR="00A35FAF">
        <w:rPr>
          <w:rFonts w:asciiTheme="majorHAnsi" w:eastAsiaTheme="minorEastAsia" w:hAnsiTheme="majorHAnsi" w:cstheme="majorHAnsi"/>
          <w:lang w:eastAsia="en-AU"/>
        </w:rPr>
        <w:t xml:space="preserve"> addressing stakeholder concerns</w:t>
      </w:r>
      <w:r w:rsidR="00F23988">
        <w:rPr>
          <w:rFonts w:asciiTheme="majorHAnsi" w:eastAsiaTheme="minorEastAsia" w:hAnsiTheme="majorHAnsi" w:cstheme="majorHAnsi"/>
          <w:lang w:eastAsia="en-AU"/>
        </w:rPr>
        <w:t xml:space="preserve"> </w:t>
      </w:r>
      <w:r w:rsidR="00D8573C">
        <w:rPr>
          <w:rFonts w:asciiTheme="majorHAnsi" w:eastAsiaTheme="minorEastAsia" w:hAnsiTheme="majorHAnsi" w:cstheme="majorHAnsi"/>
          <w:lang w:eastAsia="en-AU"/>
        </w:rPr>
        <w:t xml:space="preserve">and providing further clarity </w:t>
      </w:r>
      <w:r w:rsidR="00F23988">
        <w:rPr>
          <w:rFonts w:asciiTheme="majorHAnsi" w:eastAsiaTheme="minorEastAsia" w:hAnsiTheme="majorHAnsi" w:cstheme="majorHAnsi"/>
          <w:lang w:eastAsia="en-AU"/>
        </w:rPr>
        <w:t xml:space="preserve">about the role </w:t>
      </w:r>
      <w:r w:rsidR="005C359A">
        <w:rPr>
          <w:rFonts w:asciiTheme="majorHAnsi" w:eastAsiaTheme="minorEastAsia" w:hAnsiTheme="majorHAnsi" w:cstheme="majorHAnsi"/>
          <w:lang w:eastAsia="en-AU"/>
        </w:rPr>
        <w:t xml:space="preserve">of the </w:t>
      </w:r>
      <w:r w:rsidR="004F7091">
        <w:rPr>
          <w:rFonts w:asciiTheme="majorHAnsi" w:eastAsiaTheme="minorEastAsia" w:hAnsiTheme="majorHAnsi" w:cstheme="majorHAnsi"/>
          <w:lang w:eastAsia="en-AU"/>
        </w:rPr>
        <w:t>priorities in Discovery Projects</w:t>
      </w:r>
      <w:r w:rsidRPr="00B77EBE">
        <w:rPr>
          <w:rFonts w:asciiTheme="majorHAnsi" w:eastAsiaTheme="minorEastAsia" w:hAnsiTheme="majorHAnsi" w:cstheme="majorHAnsi"/>
          <w:lang w:eastAsia="en-AU"/>
        </w:rPr>
        <w:t xml:space="preserve">.  </w:t>
      </w:r>
    </w:p>
    <w:p w14:paraId="1A1E1178" w14:textId="77777777" w:rsidR="00B77EBE" w:rsidRPr="00B77EBE" w:rsidRDefault="00B77EBE" w:rsidP="006A59C0">
      <w:pPr>
        <w:pStyle w:val="Heading3"/>
        <w:numPr>
          <w:ilvl w:val="2"/>
          <w:numId w:val="17"/>
        </w:numPr>
      </w:pPr>
      <w:bookmarkStart w:id="867" w:name="_Qualitative_stakeholder_feedback—ap"/>
      <w:bookmarkStart w:id="868" w:name="_Toc50533650"/>
      <w:bookmarkStart w:id="869" w:name="_Toc50553800"/>
      <w:bookmarkStart w:id="870" w:name="_Toc50555037"/>
      <w:bookmarkStart w:id="871" w:name="_Toc50618171"/>
      <w:bookmarkStart w:id="872" w:name="_Toc50618451"/>
      <w:bookmarkStart w:id="873" w:name="_Toc51917060"/>
      <w:bookmarkStart w:id="874" w:name="_Toc51918900"/>
      <w:bookmarkStart w:id="875" w:name="_Ref53148762"/>
      <w:bookmarkStart w:id="876" w:name="_Toc53557276"/>
      <w:bookmarkStart w:id="877" w:name="_Toc54699318"/>
      <w:bookmarkStart w:id="878" w:name="_Toc55544852"/>
      <w:bookmarkStart w:id="879" w:name="_Toc42158278"/>
      <w:bookmarkEnd w:id="867"/>
      <w:r w:rsidRPr="00B77EBE">
        <w:t>Qualitative stakeholder feedback—appropriateness of Discovery Projects scheme intended outcomes</w:t>
      </w:r>
      <w:bookmarkEnd w:id="868"/>
      <w:bookmarkEnd w:id="869"/>
      <w:bookmarkEnd w:id="870"/>
      <w:bookmarkEnd w:id="871"/>
      <w:bookmarkEnd w:id="872"/>
      <w:bookmarkEnd w:id="873"/>
      <w:bookmarkEnd w:id="874"/>
      <w:bookmarkEnd w:id="875"/>
      <w:bookmarkEnd w:id="876"/>
      <w:bookmarkEnd w:id="877"/>
      <w:bookmarkEnd w:id="878"/>
    </w:p>
    <w:p w14:paraId="0E90E9A3" w14:textId="02F232FB" w:rsidR="00B77EBE" w:rsidRPr="00B77EBE" w:rsidRDefault="00B77EBE" w:rsidP="00B77EBE">
      <w:pPr>
        <w:spacing w:after="240"/>
        <w:rPr>
          <w:rFonts w:asciiTheme="majorHAnsi" w:hAnsiTheme="majorHAnsi" w:cstheme="majorHAnsi"/>
        </w:rPr>
      </w:pPr>
      <w:r w:rsidRPr="00B77EBE">
        <w:rPr>
          <w:rFonts w:asciiTheme="majorHAnsi" w:hAnsiTheme="majorHAnsi" w:cstheme="majorHAnsi"/>
        </w:rPr>
        <w:t>Stakeholders</w:t>
      </w:r>
      <w:r w:rsidR="00BA4E29">
        <w:rPr>
          <w:rFonts w:asciiTheme="majorHAnsi" w:hAnsiTheme="majorHAnsi" w:cstheme="majorHAnsi"/>
        </w:rPr>
        <w:t>’ qualitative comments</w:t>
      </w:r>
      <w:r w:rsidR="004344AF">
        <w:rPr>
          <w:rFonts w:asciiTheme="majorHAnsi" w:hAnsiTheme="majorHAnsi" w:cstheme="majorHAnsi"/>
        </w:rPr>
        <w:t xml:space="preserve"> were </w:t>
      </w:r>
      <w:r w:rsidR="00174CFF">
        <w:rPr>
          <w:rFonts w:asciiTheme="majorHAnsi" w:hAnsiTheme="majorHAnsi" w:cstheme="majorHAnsi"/>
        </w:rPr>
        <w:t>predominantly</w:t>
      </w:r>
      <w:r w:rsidR="00F97E8B">
        <w:rPr>
          <w:rFonts w:asciiTheme="majorHAnsi" w:hAnsiTheme="majorHAnsi" w:cstheme="majorHAnsi"/>
        </w:rPr>
        <w:t xml:space="preserve"> positive about</w:t>
      </w:r>
      <w:r w:rsidRPr="00B77EBE">
        <w:rPr>
          <w:rFonts w:asciiTheme="majorHAnsi" w:hAnsiTheme="majorHAnsi" w:cstheme="majorHAnsi"/>
        </w:rPr>
        <w:t xml:space="preserve"> the appropriateness of Discovery Projects’ intended outcome to expand Australia’s knowledge base and research capacity</w:t>
      </w:r>
      <w:r w:rsidR="00174CFF">
        <w:rPr>
          <w:rFonts w:asciiTheme="majorHAnsi" w:hAnsiTheme="majorHAnsi" w:cstheme="majorHAnsi"/>
        </w:rPr>
        <w:t xml:space="preserve">. </w:t>
      </w:r>
      <w:r w:rsidR="00DD09FF">
        <w:rPr>
          <w:rFonts w:asciiTheme="majorHAnsi" w:hAnsiTheme="majorHAnsi" w:cstheme="majorHAnsi"/>
        </w:rPr>
        <w:t>The</w:t>
      </w:r>
      <w:r w:rsidR="00D868A7">
        <w:rPr>
          <w:rFonts w:asciiTheme="majorHAnsi" w:hAnsiTheme="majorHAnsi" w:cstheme="majorHAnsi"/>
        </w:rPr>
        <w:t xml:space="preserve">ir feedback </w:t>
      </w:r>
      <w:r w:rsidR="009A377B">
        <w:rPr>
          <w:rFonts w:asciiTheme="majorHAnsi" w:hAnsiTheme="majorHAnsi" w:cstheme="majorHAnsi"/>
        </w:rPr>
        <w:t xml:space="preserve">on this intended outcome </w:t>
      </w:r>
      <w:r w:rsidR="00F708BC">
        <w:rPr>
          <w:rFonts w:asciiTheme="majorHAnsi" w:hAnsiTheme="majorHAnsi" w:cstheme="majorHAnsi"/>
        </w:rPr>
        <w:t>again highlighted the uniqueness and importance of the scheme in the Australian research funding landscape, includ</w:t>
      </w:r>
      <w:r w:rsidR="00E60E2B">
        <w:rPr>
          <w:rFonts w:asciiTheme="majorHAnsi" w:hAnsiTheme="majorHAnsi" w:cstheme="majorHAnsi"/>
        </w:rPr>
        <w:t>ing with</w:t>
      </w:r>
      <w:r w:rsidR="00F708BC">
        <w:rPr>
          <w:rFonts w:asciiTheme="majorHAnsi" w:hAnsiTheme="majorHAnsi" w:cstheme="majorHAnsi"/>
        </w:rPr>
        <w:t xml:space="preserve"> re</w:t>
      </w:r>
      <w:r w:rsidR="00D868A7">
        <w:rPr>
          <w:rFonts w:asciiTheme="majorHAnsi" w:hAnsiTheme="majorHAnsi" w:cstheme="majorHAnsi"/>
        </w:rPr>
        <w:t>ference to</w:t>
      </w:r>
      <w:r w:rsidR="0035778D">
        <w:rPr>
          <w:rFonts w:asciiTheme="majorHAnsi" w:hAnsiTheme="majorHAnsi" w:cstheme="majorHAnsi"/>
        </w:rPr>
        <w:t xml:space="preserve"> its support for basic research, </w:t>
      </w:r>
      <w:r w:rsidR="00A40BCB">
        <w:rPr>
          <w:rFonts w:asciiTheme="majorHAnsi" w:hAnsiTheme="majorHAnsi" w:cstheme="majorHAnsi"/>
        </w:rPr>
        <w:t xml:space="preserve">building Australia’s </w:t>
      </w:r>
      <w:r w:rsidR="00D96FAB">
        <w:rPr>
          <w:rFonts w:asciiTheme="majorHAnsi" w:hAnsiTheme="majorHAnsi" w:cstheme="majorHAnsi"/>
        </w:rPr>
        <w:t xml:space="preserve">international </w:t>
      </w:r>
      <w:r w:rsidR="00A40BCB">
        <w:rPr>
          <w:rFonts w:asciiTheme="majorHAnsi" w:hAnsiTheme="majorHAnsi" w:cstheme="majorHAnsi"/>
        </w:rPr>
        <w:t>reputation</w:t>
      </w:r>
      <w:r w:rsidR="00E60E2B">
        <w:rPr>
          <w:rFonts w:asciiTheme="majorHAnsi" w:hAnsiTheme="majorHAnsi" w:cstheme="majorHAnsi"/>
        </w:rPr>
        <w:t>,</w:t>
      </w:r>
      <w:r w:rsidR="00D868A7">
        <w:rPr>
          <w:rFonts w:asciiTheme="majorHAnsi" w:hAnsiTheme="majorHAnsi" w:cstheme="majorHAnsi"/>
        </w:rPr>
        <w:t xml:space="preserve"> </w:t>
      </w:r>
      <w:r w:rsidR="00D96FAB">
        <w:rPr>
          <w:rFonts w:asciiTheme="majorHAnsi" w:hAnsiTheme="majorHAnsi" w:cstheme="majorHAnsi"/>
        </w:rPr>
        <w:t xml:space="preserve">and </w:t>
      </w:r>
      <w:r w:rsidR="00C167D4">
        <w:rPr>
          <w:rFonts w:asciiTheme="majorHAnsi" w:hAnsiTheme="majorHAnsi" w:cstheme="majorHAnsi"/>
        </w:rPr>
        <w:t xml:space="preserve">generating </w:t>
      </w:r>
      <w:r w:rsidR="008A0C23">
        <w:rPr>
          <w:rFonts w:asciiTheme="majorHAnsi" w:hAnsiTheme="majorHAnsi" w:cstheme="majorHAnsi"/>
        </w:rPr>
        <w:t>research career opportunities</w:t>
      </w:r>
      <w:r w:rsidRPr="00B77EBE">
        <w:rPr>
          <w:rFonts w:asciiTheme="majorHAnsi" w:hAnsiTheme="majorHAnsi" w:cstheme="majorHAnsi"/>
        </w:rPr>
        <w:t xml:space="preserve">. </w:t>
      </w:r>
    </w:p>
    <w:p w14:paraId="685FB8CD" w14:textId="77777777" w:rsidR="00B77EBE" w:rsidRPr="00B77EBE" w:rsidRDefault="00B77EBE" w:rsidP="003E0DE0">
      <w:pPr>
        <w:pStyle w:val="Quote"/>
      </w:pPr>
      <w:r w:rsidRPr="00B77EBE">
        <w:t xml:space="preserve">Out of all schemes, this would be the most dangerous to stop…It is the bread and butter of all the other schemes and other research... (Removing Discovery Projects) would be a disaster, Australia isn’t investing enough as it is into basic research, this is a very rare and valuable scheme </w:t>
      </w:r>
      <w:r w:rsidRPr="003E0DE0">
        <w:rPr>
          <w:i w:val="0"/>
          <w:iCs w:val="0"/>
        </w:rPr>
        <w:t>– (University Research Office)</w:t>
      </w:r>
    </w:p>
    <w:p w14:paraId="3B417F38" w14:textId="77777777" w:rsidR="00B77EBE" w:rsidRPr="00B77EBE" w:rsidRDefault="00B77EBE" w:rsidP="003E0DE0">
      <w:pPr>
        <w:pStyle w:val="Quote"/>
      </w:pPr>
      <w:r w:rsidRPr="00B77EBE">
        <w:t xml:space="preserve">It is critical to building Australia’s own stock of knowledge and contributing internationally, if the Australian Government wasn’t committed to funding that kind of research, we wouldn’t be a player on the international stage </w:t>
      </w:r>
      <w:r w:rsidRPr="003E0DE0">
        <w:rPr>
          <w:i w:val="0"/>
          <w:iCs w:val="0"/>
        </w:rPr>
        <w:t>– (University Research Office)</w:t>
      </w:r>
    </w:p>
    <w:p w14:paraId="5ABA4CA7" w14:textId="701974FD" w:rsidR="00B77EBE" w:rsidRPr="00B77EBE" w:rsidRDefault="00B77EBE" w:rsidP="003E0DE0">
      <w:pPr>
        <w:pStyle w:val="Quote"/>
        <w:spacing w:after="240"/>
        <w:ind w:left="425" w:right="663"/>
      </w:pPr>
      <w:r w:rsidRPr="00B77EBE">
        <w:t>In terms of human capital, it is about the fact that we need a vibrant research team. If there are no research opportunities in Australia, then they will get good jobs overseas and never come back. We need to bring them back to do exciting things, which is what</w:t>
      </w:r>
      <w:r w:rsidR="00173F37">
        <w:t xml:space="preserve"> the</w:t>
      </w:r>
      <w:r w:rsidRPr="00B77EBE">
        <w:t xml:space="preserve"> ARC does </w:t>
      </w:r>
      <w:r w:rsidRPr="003E0DE0">
        <w:rPr>
          <w:i w:val="0"/>
          <w:iCs w:val="0"/>
        </w:rPr>
        <w:t>– (University Research Office)</w:t>
      </w:r>
    </w:p>
    <w:p w14:paraId="381B7D2F" w14:textId="365034FF" w:rsidR="00B77EBE" w:rsidRPr="00B77EBE" w:rsidRDefault="00B77EBE" w:rsidP="00B77EBE">
      <w:pPr>
        <w:rPr>
          <w:rFonts w:asciiTheme="majorHAnsi" w:hAnsiTheme="majorHAnsi" w:cstheme="majorHAnsi"/>
        </w:rPr>
      </w:pPr>
      <w:r w:rsidRPr="00B77EBE">
        <w:rPr>
          <w:rFonts w:asciiTheme="majorHAnsi" w:hAnsiTheme="majorHAnsi" w:cstheme="majorHAnsi"/>
        </w:rPr>
        <w:t xml:space="preserve">Stakeholders were </w:t>
      </w:r>
      <w:r w:rsidR="00D34B38">
        <w:rPr>
          <w:rFonts w:asciiTheme="majorHAnsi" w:hAnsiTheme="majorHAnsi" w:cstheme="majorHAnsi"/>
        </w:rPr>
        <w:t xml:space="preserve">also </w:t>
      </w:r>
      <w:r w:rsidRPr="00B77EBE">
        <w:rPr>
          <w:rFonts w:asciiTheme="majorHAnsi" w:hAnsiTheme="majorHAnsi" w:cstheme="majorHAnsi"/>
        </w:rPr>
        <w:t xml:space="preserve">invited to comment on the appropriateness of both Discovery Projects’ intended outcome to deliver economic, commercial, environmental, social and cultural benefits, and its approach to supporting translational benefits though basic research funding. Because substantially similar themes emerged in response to these questions, they are addressed together in the remainder of this section. Qualitative feedback in these areas often overlapped with perspectives about the scheme’s objective to support research addressing Australian Government priorities (see </w:t>
      </w:r>
      <w:hyperlink w:anchor="_Qualitative_stakeholder_feedback—ap_1" w:history="1">
        <w:r w:rsidR="00BA24C5" w:rsidRPr="00281670">
          <w:rPr>
            <w:rStyle w:val="Hyperlink"/>
            <w:rFonts w:cstheme="majorHAnsi"/>
            <w:color w:val="auto"/>
            <w:sz w:val="22"/>
            <w:u w:val="none"/>
          </w:rPr>
          <w:t>Section 5.2.2</w:t>
        </w:r>
      </w:hyperlink>
      <w:r w:rsidRPr="00281670">
        <w:rPr>
          <w:rFonts w:asciiTheme="majorHAnsi" w:hAnsiTheme="majorHAnsi" w:cstheme="majorHAnsi"/>
        </w:rPr>
        <w:t>)</w:t>
      </w:r>
      <w:r w:rsidRPr="00FB3711">
        <w:rPr>
          <w:rFonts w:asciiTheme="majorHAnsi" w:hAnsiTheme="majorHAnsi" w:cstheme="majorHAnsi"/>
        </w:rPr>
        <w:t xml:space="preserve"> and</w:t>
      </w:r>
      <w:r w:rsidRPr="00BA24C5">
        <w:rPr>
          <w:rFonts w:asciiTheme="majorHAnsi" w:hAnsiTheme="majorHAnsi" w:cstheme="majorHAnsi"/>
        </w:rPr>
        <w:t xml:space="preserve"> stakeholders’ </w:t>
      </w:r>
      <w:r w:rsidRPr="00B77EBE">
        <w:rPr>
          <w:rFonts w:asciiTheme="majorHAnsi" w:hAnsiTheme="majorHAnsi" w:cstheme="majorHAnsi"/>
        </w:rPr>
        <w:t xml:space="preserve">positions on these issues were similarly varied. </w:t>
      </w:r>
    </w:p>
    <w:p w14:paraId="119E37BD" w14:textId="6CFB5A62" w:rsidR="00B77EBE" w:rsidRPr="003E0DE0" w:rsidRDefault="007D7C27" w:rsidP="003E0DE0">
      <w:pPr>
        <w:rPr>
          <w:rFonts w:asciiTheme="majorHAnsi" w:hAnsiTheme="majorHAnsi" w:cstheme="majorHAnsi"/>
        </w:rPr>
      </w:pPr>
      <w:r>
        <w:rPr>
          <w:rFonts w:asciiTheme="majorHAnsi" w:hAnsiTheme="majorHAnsi" w:cstheme="majorHAnsi"/>
        </w:rPr>
        <w:t xml:space="preserve">Among </w:t>
      </w:r>
      <w:r w:rsidR="001F5A1D">
        <w:rPr>
          <w:rFonts w:asciiTheme="majorHAnsi" w:hAnsiTheme="majorHAnsi" w:cstheme="majorHAnsi"/>
        </w:rPr>
        <w:t>those</w:t>
      </w:r>
      <w:r w:rsidR="000B7EE5">
        <w:rPr>
          <w:rFonts w:asciiTheme="majorHAnsi" w:hAnsiTheme="majorHAnsi" w:cstheme="majorHAnsi"/>
        </w:rPr>
        <w:t xml:space="preserve"> who </w:t>
      </w:r>
      <w:r w:rsidR="001F5A1D">
        <w:rPr>
          <w:rFonts w:asciiTheme="majorHAnsi" w:hAnsiTheme="majorHAnsi" w:cstheme="majorHAnsi"/>
        </w:rPr>
        <w:t xml:space="preserve">considered </w:t>
      </w:r>
      <w:r w:rsidR="00721586">
        <w:rPr>
          <w:rFonts w:asciiTheme="majorHAnsi" w:hAnsiTheme="majorHAnsi" w:cstheme="majorHAnsi"/>
        </w:rPr>
        <w:t>Discovery Projects’</w:t>
      </w:r>
      <w:r w:rsidR="001F5A1D">
        <w:rPr>
          <w:rFonts w:asciiTheme="majorHAnsi" w:hAnsiTheme="majorHAnsi" w:cstheme="majorHAnsi"/>
        </w:rPr>
        <w:t xml:space="preserve"> </w:t>
      </w:r>
      <w:r w:rsidR="00CE0883">
        <w:rPr>
          <w:rFonts w:asciiTheme="majorHAnsi" w:hAnsiTheme="majorHAnsi" w:cstheme="majorHAnsi"/>
        </w:rPr>
        <w:t xml:space="preserve">intended outcome of supporting </w:t>
      </w:r>
      <w:r w:rsidR="001F5A1D">
        <w:rPr>
          <w:rFonts w:asciiTheme="majorHAnsi" w:hAnsiTheme="majorHAnsi" w:cstheme="majorHAnsi"/>
        </w:rPr>
        <w:t>translational benefits appropriate, s</w:t>
      </w:r>
      <w:r w:rsidR="0062295F" w:rsidRPr="00B77EBE">
        <w:rPr>
          <w:rFonts w:asciiTheme="majorHAnsi" w:hAnsiTheme="majorHAnsi" w:cstheme="majorHAnsi"/>
        </w:rPr>
        <w:t xml:space="preserve">ome reiterated the principle that, being resourced through public funding, </w:t>
      </w:r>
      <w:r w:rsidR="00721586">
        <w:rPr>
          <w:rFonts w:asciiTheme="majorHAnsi" w:hAnsiTheme="majorHAnsi" w:cstheme="majorHAnsi"/>
        </w:rPr>
        <w:t xml:space="preserve">the scheme </w:t>
      </w:r>
      <w:r w:rsidR="0062295F" w:rsidRPr="00B77EBE">
        <w:rPr>
          <w:rFonts w:asciiTheme="majorHAnsi" w:hAnsiTheme="majorHAnsi" w:cstheme="majorHAnsi"/>
        </w:rPr>
        <w:t>should deliver benefits to the broader community.</w:t>
      </w:r>
      <w:r w:rsidR="0062295F">
        <w:rPr>
          <w:rFonts w:asciiTheme="majorHAnsi" w:hAnsiTheme="majorHAnsi" w:cstheme="majorHAnsi"/>
        </w:rPr>
        <w:t xml:space="preserve"> </w:t>
      </w:r>
      <w:r w:rsidR="007C4D3F">
        <w:rPr>
          <w:rFonts w:asciiTheme="majorHAnsi" w:hAnsiTheme="majorHAnsi" w:cstheme="majorHAnsi"/>
        </w:rPr>
        <w:t xml:space="preserve">Participants </w:t>
      </w:r>
      <w:r w:rsidR="0074359C">
        <w:rPr>
          <w:rFonts w:asciiTheme="majorHAnsi" w:hAnsiTheme="majorHAnsi" w:cstheme="majorHAnsi"/>
        </w:rPr>
        <w:t xml:space="preserve">also </w:t>
      </w:r>
      <w:r w:rsidR="007C4D3F">
        <w:rPr>
          <w:rFonts w:asciiTheme="majorHAnsi" w:hAnsiTheme="majorHAnsi" w:cstheme="majorHAnsi"/>
        </w:rPr>
        <w:t>made</w:t>
      </w:r>
      <w:r w:rsidR="00B77EBE" w:rsidRPr="003E0DE0">
        <w:rPr>
          <w:rFonts w:asciiTheme="majorHAnsi" w:hAnsiTheme="majorHAnsi" w:cstheme="majorHAnsi"/>
        </w:rPr>
        <w:t xml:space="preserve"> a range of </w:t>
      </w:r>
      <w:r w:rsidR="00B77EBE" w:rsidRPr="003E0DE0">
        <w:rPr>
          <w:rFonts w:asciiTheme="majorHAnsi" w:hAnsiTheme="majorHAnsi" w:cstheme="majorHAnsi"/>
        </w:rPr>
        <w:lastRenderedPageBreak/>
        <w:t xml:space="preserve">arguments </w:t>
      </w:r>
      <w:r w:rsidR="00B666DB">
        <w:rPr>
          <w:rFonts w:asciiTheme="majorHAnsi" w:hAnsiTheme="majorHAnsi" w:cstheme="majorHAnsi"/>
        </w:rPr>
        <w:t>identifying</w:t>
      </w:r>
      <w:r w:rsidR="0061647C">
        <w:rPr>
          <w:rFonts w:asciiTheme="majorHAnsi" w:hAnsiTheme="majorHAnsi" w:cstheme="majorHAnsi"/>
        </w:rPr>
        <w:t xml:space="preserve"> basic research and </w:t>
      </w:r>
      <w:r w:rsidR="001D1D62">
        <w:rPr>
          <w:rFonts w:asciiTheme="majorHAnsi" w:hAnsiTheme="majorHAnsi" w:cstheme="majorHAnsi"/>
        </w:rPr>
        <w:t xml:space="preserve">support for </w:t>
      </w:r>
      <w:r w:rsidR="0061539E">
        <w:rPr>
          <w:rFonts w:asciiTheme="majorHAnsi" w:hAnsiTheme="majorHAnsi" w:cstheme="majorHAnsi"/>
        </w:rPr>
        <w:t>the fundamental knowledge base</w:t>
      </w:r>
      <w:r w:rsidR="00B77EBE" w:rsidRPr="003E0DE0">
        <w:rPr>
          <w:rFonts w:asciiTheme="majorHAnsi" w:hAnsiTheme="majorHAnsi" w:cstheme="majorHAnsi"/>
        </w:rPr>
        <w:t xml:space="preserve"> as the </w:t>
      </w:r>
      <w:r w:rsidR="00976DF0">
        <w:rPr>
          <w:rFonts w:asciiTheme="majorHAnsi" w:hAnsiTheme="majorHAnsi" w:cstheme="majorHAnsi"/>
        </w:rPr>
        <w:t>foundations</w:t>
      </w:r>
      <w:r w:rsidR="00976DF0" w:rsidRPr="003E0DE0">
        <w:rPr>
          <w:rFonts w:asciiTheme="majorHAnsi" w:hAnsiTheme="majorHAnsi" w:cstheme="majorHAnsi"/>
        </w:rPr>
        <w:t xml:space="preserve"> </w:t>
      </w:r>
      <w:r w:rsidR="00B77EBE" w:rsidRPr="003E0DE0">
        <w:rPr>
          <w:rFonts w:asciiTheme="majorHAnsi" w:hAnsiTheme="majorHAnsi" w:cstheme="majorHAnsi"/>
        </w:rPr>
        <w:t xml:space="preserve">for applied research and </w:t>
      </w:r>
      <w:r w:rsidR="002D45CA" w:rsidRPr="003E0DE0">
        <w:rPr>
          <w:rFonts w:asciiTheme="majorHAnsi" w:hAnsiTheme="majorHAnsi" w:cstheme="majorHAnsi"/>
        </w:rPr>
        <w:t>all genuinely transformational innovation</w:t>
      </w:r>
      <w:r w:rsidR="00B77EBE" w:rsidRPr="003E0DE0">
        <w:rPr>
          <w:rFonts w:asciiTheme="majorHAnsi" w:hAnsiTheme="majorHAnsi" w:cstheme="majorHAnsi"/>
        </w:rPr>
        <w:t xml:space="preserve">. </w:t>
      </w:r>
      <w:r w:rsidR="002D45CA">
        <w:rPr>
          <w:rFonts w:asciiTheme="majorHAnsi" w:hAnsiTheme="majorHAnsi" w:cstheme="majorHAnsi"/>
        </w:rPr>
        <w:t xml:space="preserve">Some </w:t>
      </w:r>
      <w:r w:rsidR="000906DC">
        <w:rPr>
          <w:rFonts w:asciiTheme="majorHAnsi" w:hAnsiTheme="majorHAnsi" w:cstheme="majorHAnsi"/>
        </w:rPr>
        <w:t>commented</w:t>
      </w:r>
      <w:r w:rsidR="002D45CA">
        <w:rPr>
          <w:rFonts w:asciiTheme="majorHAnsi" w:hAnsiTheme="majorHAnsi" w:cstheme="majorHAnsi"/>
        </w:rPr>
        <w:t xml:space="preserve"> that translational outcomes</w:t>
      </w:r>
      <w:r w:rsidR="00B77EBE" w:rsidRPr="003E0DE0">
        <w:rPr>
          <w:rFonts w:asciiTheme="majorHAnsi" w:hAnsiTheme="majorHAnsi" w:cstheme="majorHAnsi"/>
        </w:rPr>
        <w:t xml:space="preserve"> were realised through sustained investment over the medium-to-long term, and </w:t>
      </w:r>
      <w:r w:rsidR="00BA6578">
        <w:rPr>
          <w:rFonts w:asciiTheme="majorHAnsi" w:hAnsiTheme="majorHAnsi" w:cstheme="majorHAnsi"/>
        </w:rPr>
        <w:t>were</w:t>
      </w:r>
      <w:r w:rsidR="00B77EBE" w:rsidRPr="003E0DE0">
        <w:rPr>
          <w:rFonts w:asciiTheme="majorHAnsi" w:hAnsiTheme="majorHAnsi" w:cstheme="majorHAnsi"/>
        </w:rPr>
        <w:t xml:space="preserve"> often uncertain during the initial stages of research.</w:t>
      </w:r>
      <w:bookmarkEnd w:id="879"/>
    </w:p>
    <w:p w14:paraId="7DCD01F5" w14:textId="77777777" w:rsidR="00B77EBE" w:rsidRPr="00B77EBE" w:rsidRDefault="00B77EBE" w:rsidP="003E0DE0">
      <w:pPr>
        <w:pStyle w:val="Quote"/>
      </w:pPr>
      <w:r w:rsidRPr="00B77EBE">
        <w:t xml:space="preserve">The research benefits the whole country in broader ways than just money—it provides enormous support to education in many direct and indirect ways. It creates a public environment where science is recognised as exciting, rewarding and important. It creates national pride and stimulates young people, so necessary for creating the workforce we need in a knowledge-based economy </w:t>
      </w:r>
      <w:r w:rsidRPr="003E0DE0">
        <w:rPr>
          <w:i w:val="0"/>
          <w:iCs w:val="0"/>
        </w:rPr>
        <w:t>– (Researcher)</w:t>
      </w:r>
    </w:p>
    <w:p w14:paraId="3CD10BF7" w14:textId="77777777" w:rsidR="00B77EBE" w:rsidRPr="00B77EBE" w:rsidRDefault="00B77EBE" w:rsidP="003E0DE0">
      <w:pPr>
        <w:pStyle w:val="Quote"/>
      </w:pPr>
      <w:r w:rsidRPr="00B77EBE">
        <w:t xml:space="preserve">Basic research is essential, for its own sake. Sometimes the ‘translational benefits’ do not emerge until decades, even centuries, after the basic research has been performed. If you want innovation and good ideas that will benefit society, then you need to fund basic research, even where the link between the research and the future benefit is not immediately clear </w:t>
      </w:r>
      <w:r w:rsidRPr="003E0DE0">
        <w:rPr>
          <w:i w:val="0"/>
          <w:iCs w:val="0"/>
        </w:rPr>
        <w:t>– (Researcher)</w:t>
      </w:r>
    </w:p>
    <w:p w14:paraId="3AC4D53A" w14:textId="77777777" w:rsidR="00B77EBE" w:rsidRPr="00B77EBE" w:rsidRDefault="00B77EBE" w:rsidP="003E0DE0">
      <w:pPr>
        <w:pStyle w:val="Quote"/>
      </w:pPr>
      <w:r w:rsidRPr="00B77EBE">
        <w:t xml:space="preserve">All translational outcomes start with basic research. There can be no applied outcomes without an excellent intellectual basis </w:t>
      </w:r>
      <w:r w:rsidRPr="003E0DE0">
        <w:rPr>
          <w:i w:val="0"/>
          <w:iCs w:val="0"/>
        </w:rPr>
        <w:t>– (Researcher)</w:t>
      </w:r>
    </w:p>
    <w:p w14:paraId="2C34EB63" w14:textId="77777777" w:rsidR="00B77EBE" w:rsidRPr="00B77EBE" w:rsidRDefault="00B77EBE" w:rsidP="003E0DE0">
      <w:pPr>
        <w:pStyle w:val="Quote"/>
      </w:pPr>
      <w:r w:rsidRPr="00B77EBE">
        <w:t xml:space="preserve">A vibrant essential research culture that can translate research for the national (and international) benefit fundamentally requires a solid, well-funded basic pool of research, research training and researchers </w:t>
      </w:r>
      <w:r w:rsidRPr="003E0DE0">
        <w:rPr>
          <w:i w:val="0"/>
          <w:iCs w:val="0"/>
        </w:rPr>
        <w:t>– (Researcher)</w:t>
      </w:r>
    </w:p>
    <w:p w14:paraId="0536FC3A" w14:textId="77777777" w:rsidR="00B77EBE" w:rsidRPr="00B77EBE" w:rsidRDefault="00B77EBE" w:rsidP="003E0DE0">
      <w:pPr>
        <w:pStyle w:val="Quote"/>
        <w:spacing w:after="240"/>
        <w:ind w:left="425" w:right="663"/>
        <w:rPr>
          <w:b/>
        </w:rPr>
      </w:pPr>
      <w:r w:rsidRPr="00B77EBE">
        <w:t xml:space="preserve">World-leading fundamental research is usually the starting point for the most radical and game-changing translational benefits. For example, consider the development of wireless technology by the CSIRO </w:t>
      </w:r>
      <w:r w:rsidRPr="003E0DE0">
        <w:rPr>
          <w:i w:val="0"/>
          <w:iCs w:val="0"/>
        </w:rPr>
        <w:t>– (Researcher)</w:t>
      </w:r>
    </w:p>
    <w:p w14:paraId="2976E695" w14:textId="4FB268F2" w:rsidR="00B77EBE" w:rsidRPr="00B77EBE" w:rsidRDefault="00355CBF" w:rsidP="00B77EBE">
      <w:pPr>
        <w:spacing w:after="240"/>
        <w:outlineLvl w:val="1"/>
        <w:rPr>
          <w:rFonts w:asciiTheme="majorHAnsi" w:eastAsiaTheme="minorEastAsia" w:hAnsiTheme="majorHAnsi" w:cstheme="majorHAnsi"/>
          <w:lang w:eastAsia="en-AU"/>
        </w:rPr>
      </w:pPr>
      <w:bookmarkStart w:id="880" w:name="_Toc50533651"/>
      <w:bookmarkStart w:id="881" w:name="_Toc50553801"/>
      <w:bookmarkStart w:id="882" w:name="_Toc50555038"/>
      <w:bookmarkStart w:id="883" w:name="_Toc50618172"/>
      <w:bookmarkStart w:id="884" w:name="_Toc50618452"/>
      <w:bookmarkStart w:id="885" w:name="_Toc51917061"/>
      <w:bookmarkStart w:id="886" w:name="_Toc51918901"/>
      <w:bookmarkStart w:id="887" w:name="_Toc51918763"/>
      <w:bookmarkStart w:id="888" w:name="_Toc53557277"/>
      <w:bookmarkStart w:id="889" w:name="_Toc54699319"/>
      <w:bookmarkStart w:id="890" w:name="_Toc55544853"/>
      <w:r>
        <w:rPr>
          <w:rFonts w:asciiTheme="majorHAnsi" w:eastAsiaTheme="minorEastAsia" w:hAnsiTheme="majorHAnsi" w:cstheme="majorHAnsi"/>
          <w:lang w:eastAsia="en-AU"/>
        </w:rPr>
        <w:t>S</w:t>
      </w:r>
      <w:r w:rsidR="005F0409">
        <w:rPr>
          <w:rFonts w:asciiTheme="majorHAnsi" w:eastAsiaTheme="minorEastAsia" w:hAnsiTheme="majorHAnsi" w:cstheme="majorHAnsi"/>
          <w:lang w:eastAsia="en-AU"/>
        </w:rPr>
        <w:t xml:space="preserve">takeholders </w:t>
      </w:r>
      <w:r w:rsidR="00580739">
        <w:rPr>
          <w:rFonts w:asciiTheme="majorHAnsi" w:eastAsiaTheme="minorEastAsia" w:hAnsiTheme="majorHAnsi" w:cstheme="majorHAnsi"/>
          <w:lang w:eastAsia="en-AU"/>
        </w:rPr>
        <w:t xml:space="preserve">who </w:t>
      </w:r>
      <w:r w:rsidR="00580739" w:rsidRPr="00B77EBE">
        <w:rPr>
          <w:rFonts w:asciiTheme="majorHAnsi" w:eastAsiaTheme="minorEastAsia" w:hAnsiTheme="majorHAnsi" w:cstheme="majorHAnsi"/>
          <w:lang w:eastAsia="en-AU"/>
        </w:rPr>
        <w:t>question</w:t>
      </w:r>
      <w:r w:rsidR="00580739">
        <w:rPr>
          <w:rFonts w:asciiTheme="majorHAnsi" w:eastAsiaTheme="minorEastAsia" w:hAnsiTheme="majorHAnsi" w:cstheme="majorHAnsi"/>
          <w:lang w:eastAsia="en-AU"/>
        </w:rPr>
        <w:t>ed</w:t>
      </w:r>
      <w:r w:rsidR="00580739" w:rsidRPr="00B77EBE">
        <w:rPr>
          <w:rFonts w:asciiTheme="majorHAnsi" w:eastAsiaTheme="minorEastAsia" w:hAnsiTheme="majorHAnsi" w:cstheme="majorHAnsi"/>
          <w:lang w:eastAsia="en-AU"/>
        </w:rPr>
        <w:t xml:space="preserve"> </w:t>
      </w:r>
      <w:r w:rsidR="00B77EBE" w:rsidRPr="00B77EBE">
        <w:rPr>
          <w:rFonts w:asciiTheme="majorHAnsi" w:eastAsiaTheme="minorEastAsia" w:hAnsiTheme="majorHAnsi" w:cstheme="majorHAnsi"/>
          <w:lang w:eastAsia="en-AU"/>
        </w:rPr>
        <w:t xml:space="preserve">the appropriateness of </w:t>
      </w:r>
      <w:r w:rsidR="002B1C70">
        <w:rPr>
          <w:rFonts w:asciiTheme="majorHAnsi" w:eastAsiaTheme="minorEastAsia" w:hAnsiTheme="majorHAnsi" w:cstheme="majorHAnsi"/>
          <w:lang w:eastAsia="en-AU"/>
        </w:rPr>
        <w:t>the scheme’s</w:t>
      </w:r>
      <w:r w:rsidR="00B77EBE" w:rsidRPr="00B77EBE">
        <w:rPr>
          <w:rFonts w:asciiTheme="majorHAnsi" w:eastAsiaTheme="minorEastAsia" w:hAnsiTheme="majorHAnsi" w:cstheme="majorHAnsi"/>
          <w:lang w:eastAsia="en-AU"/>
        </w:rPr>
        <w:t xml:space="preserve"> intended outcome</w:t>
      </w:r>
      <w:r w:rsidR="002B1C70">
        <w:rPr>
          <w:rFonts w:asciiTheme="majorHAnsi" w:eastAsiaTheme="minorEastAsia" w:hAnsiTheme="majorHAnsi" w:cstheme="majorHAnsi"/>
          <w:lang w:eastAsia="en-AU"/>
        </w:rPr>
        <w:t xml:space="preserve"> to deliver </w:t>
      </w:r>
      <w:r w:rsidR="00604018">
        <w:rPr>
          <w:rFonts w:asciiTheme="majorHAnsi" w:eastAsiaTheme="minorEastAsia" w:hAnsiTheme="majorHAnsi" w:cstheme="majorHAnsi"/>
          <w:lang w:eastAsia="en-AU"/>
        </w:rPr>
        <w:t xml:space="preserve">translational </w:t>
      </w:r>
      <w:r w:rsidR="009A58A2">
        <w:rPr>
          <w:rFonts w:asciiTheme="majorHAnsi" w:eastAsiaTheme="minorEastAsia" w:hAnsiTheme="majorHAnsi" w:cstheme="majorHAnsi"/>
          <w:lang w:eastAsia="en-AU"/>
        </w:rPr>
        <w:t>benefits</w:t>
      </w:r>
      <w:r w:rsidR="003F6770">
        <w:rPr>
          <w:rFonts w:asciiTheme="majorHAnsi" w:eastAsiaTheme="minorEastAsia" w:hAnsiTheme="majorHAnsi" w:cstheme="majorHAnsi"/>
          <w:lang w:eastAsia="en-AU"/>
        </w:rPr>
        <w:t xml:space="preserve"> </w:t>
      </w:r>
      <w:r w:rsidR="00227465">
        <w:rPr>
          <w:rFonts w:asciiTheme="majorHAnsi" w:eastAsiaTheme="minorEastAsia" w:hAnsiTheme="majorHAnsi" w:cstheme="majorHAnsi"/>
          <w:lang w:eastAsia="en-AU"/>
        </w:rPr>
        <w:t>expressed</w:t>
      </w:r>
      <w:r w:rsidR="00B77EBE" w:rsidRPr="00B77EBE">
        <w:rPr>
          <w:rFonts w:asciiTheme="majorHAnsi" w:eastAsiaTheme="minorEastAsia" w:hAnsiTheme="majorHAnsi" w:cstheme="majorHAnsi"/>
          <w:lang w:eastAsia="en-AU"/>
        </w:rPr>
        <w:t xml:space="preserve"> a number of concerns. </w:t>
      </w:r>
      <w:r w:rsidR="009A58A2">
        <w:rPr>
          <w:rFonts w:asciiTheme="majorHAnsi" w:eastAsiaTheme="minorEastAsia" w:hAnsiTheme="majorHAnsi" w:cstheme="majorHAnsi"/>
          <w:lang w:eastAsia="en-AU"/>
        </w:rPr>
        <w:t xml:space="preserve">Some </w:t>
      </w:r>
      <w:r w:rsidR="009A58A2">
        <w:rPr>
          <w:rFonts w:asciiTheme="majorHAnsi" w:eastAsiaTheme="minorEastAsia" w:hAnsiTheme="majorHAnsi" w:cstheme="majorHAnsi"/>
          <w:lang w:val="en-US" w:eastAsia="en-AU"/>
        </w:rPr>
        <w:t>commented that the</w:t>
      </w:r>
      <w:r w:rsidR="009A58A2" w:rsidRPr="00B77EBE">
        <w:rPr>
          <w:rFonts w:asciiTheme="majorHAnsi" w:eastAsiaTheme="minorEastAsia" w:hAnsiTheme="majorHAnsi" w:cstheme="majorHAnsi"/>
          <w:lang w:val="en-US" w:eastAsia="en-AU"/>
        </w:rPr>
        <w:t xml:space="preserve"> lack of immediate or predictable impact</w:t>
      </w:r>
      <w:r w:rsidR="009A58A2">
        <w:rPr>
          <w:rFonts w:asciiTheme="majorHAnsi" w:eastAsiaTheme="minorEastAsia" w:hAnsiTheme="majorHAnsi" w:cstheme="majorHAnsi"/>
          <w:lang w:val="en-US" w:eastAsia="en-AU"/>
        </w:rPr>
        <w:t>s</w:t>
      </w:r>
      <w:r w:rsidR="009A58A2" w:rsidRPr="00B77EBE">
        <w:rPr>
          <w:rFonts w:asciiTheme="majorHAnsi" w:eastAsiaTheme="minorEastAsia" w:hAnsiTheme="majorHAnsi" w:cstheme="majorHAnsi"/>
          <w:lang w:val="en-US" w:eastAsia="en-AU"/>
        </w:rPr>
        <w:t xml:space="preserve"> stemming from basic research</w:t>
      </w:r>
      <w:r w:rsidR="009A58A2">
        <w:rPr>
          <w:rFonts w:asciiTheme="majorHAnsi" w:eastAsiaTheme="minorEastAsia" w:hAnsiTheme="majorHAnsi" w:cstheme="majorHAnsi"/>
          <w:lang w:val="en-US" w:eastAsia="en-AU"/>
        </w:rPr>
        <w:t xml:space="preserve"> meant that it was not appropriate to focus on these types of benefits. Others went further, and </w:t>
      </w:r>
      <w:r w:rsidR="009A58A2">
        <w:rPr>
          <w:rFonts w:asciiTheme="majorHAnsi" w:eastAsiaTheme="minorEastAsia" w:hAnsiTheme="majorHAnsi" w:cstheme="majorHAnsi"/>
          <w:lang w:eastAsia="en-AU"/>
        </w:rPr>
        <w:t>s</w:t>
      </w:r>
      <w:r w:rsidR="000B5D87">
        <w:rPr>
          <w:rFonts w:asciiTheme="majorHAnsi" w:eastAsiaTheme="minorEastAsia" w:hAnsiTheme="majorHAnsi" w:cstheme="majorHAnsi"/>
          <w:lang w:eastAsia="en-AU"/>
        </w:rPr>
        <w:t xml:space="preserve">uggested that </w:t>
      </w:r>
      <w:r w:rsidR="009A58A2">
        <w:rPr>
          <w:rFonts w:asciiTheme="majorHAnsi" w:eastAsiaTheme="minorEastAsia" w:hAnsiTheme="majorHAnsi" w:cstheme="majorHAnsi"/>
          <w:lang w:eastAsia="en-AU"/>
        </w:rPr>
        <w:t>the</w:t>
      </w:r>
      <w:r w:rsidR="00CC2139">
        <w:rPr>
          <w:rFonts w:asciiTheme="majorHAnsi" w:eastAsiaTheme="minorEastAsia" w:hAnsiTheme="majorHAnsi" w:cstheme="majorHAnsi"/>
          <w:lang w:eastAsia="en-AU"/>
        </w:rPr>
        <w:t xml:space="preserve"> focus</w:t>
      </w:r>
      <w:r w:rsidR="000B5D87">
        <w:rPr>
          <w:rFonts w:asciiTheme="majorHAnsi" w:eastAsiaTheme="minorEastAsia" w:hAnsiTheme="majorHAnsi" w:cstheme="majorHAnsi"/>
          <w:lang w:eastAsia="en-AU"/>
        </w:rPr>
        <w:t xml:space="preserve"> on </w:t>
      </w:r>
      <w:r w:rsidR="009A58A2">
        <w:rPr>
          <w:rFonts w:asciiTheme="majorHAnsi" w:eastAsiaTheme="minorEastAsia" w:hAnsiTheme="majorHAnsi" w:cstheme="majorHAnsi"/>
          <w:lang w:eastAsia="en-AU"/>
        </w:rPr>
        <w:t>translational</w:t>
      </w:r>
      <w:r w:rsidR="003F6770" w:rsidRPr="00B77EBE">
        <w:rPr>
          <w:rFonts w:asciiTheme="majorHAnsi" w:eastAsiaTheme="minorEastAsia" w:hAnsiTheme="majorHAnsi" w:cstheme="majorHAnsi"/>
          <w:lang w:eastAsia="en-AU"/>
        </w:rPr>
        <w:t xml:space="preserve"> </w:t>
      </w:r>
      <w:r w:rsidR="00CA0BC0">
        <w:rPr>
          <w:rFonts w:asciiTheme="majorHAnsi" w:eastAsiaTheme="minorEastAsia" w:hAnsiTheme="majorHAnsi" w:cstheme="majorHAnsi"/>
          <w:lang w:eastAsia="en-AU"/>
        </w:rPr>
        <w:t xml:space="preserve">outcomes </w:t>
      </w:r>
      <w:r w:rsidR="000B5D87">
        <w:rPr>
          <w:rFonts w:asciiTheme="majorHAnsi" w:eastAsiaTheme="minorEastAsia" w:hAnsiTheme="majorHAnsi" w:cstheme="majorHAnsi"/>
          <w:lang w:eastAsia="en-AU"/>
        </w:rPr>
        <w:t xml:space="preserve">reflected </w:t>
      </w:r>
      <w:r w:rsidR="001D25F1">
        <w:rPr>
          <w:rFonts w:asciiTheme="majorHAnsi" w:eastAsiaTheme="minorEastAsia" w:hAnsiTheme="majorHAnsi" w:cstheme="majorHAnsi"/>
          <w:lang w:eastAsia="en-AU"/>
        </w:rPr>
        <w:t>a reluctance to</w:t>
      </w:r>
      <w:r w:rsidR="00B77EBE" w:rsidRPr="00B77EBE">
        <w:rPr>
          <w:rFonts w:asciiTheme="majorHAnsi" w:eastAsiaTheme="minorEastAsia" w:hAnsiTheme="majorHAnsi" w:cstheme="majorHAnsi"/>
          <w:lang w:eastAsia="en-AU"/>
        </w:rPr>
        <w:t xml:space="preserve"> support basic research and the expansion of Australia’s knowledge base in lieu of direct opportunities for research application.</w:t>
      </w:r>
      <w:bookmarkEnd w:id="880"/>
      <w:bookmarkEnd w:id="881"/>
      <w:bookmarkEnd w:id="882"/>
      <w:bookmarkEnd w:id="883"/>
      <w:bookmarkEnd w:id="884"/>
      <w:bookmarkEnd w:id="885"/>
      <w:bookmarkEnd w:id="886"/>
      <w:bookmarkEnd w:id="887"/>
      <w:bookmarkEnd w:id="888"/>
      <w:bookmarkEnd w:id="889"/>
      <w:bookmarkEnd w:id="890"/>
    </w:p>
    <w:p w14:paraId="5178ADBB" w14:textId="04321173" w:rsidR="00B77EBE" w:rsidRPr="00B77EBE" w:rsidRDefault="00B77EBE" w:rsidP="003E0DE0">
      <w:pPr>
        <w:pStyle w:val="Quote"/>
      </w:pPr>
      <w:r w:rsidRPr="00B77EBE">
        <w:t>There is a clear expectation that the research will be applied within a few years. This is particularly evident in the 'benefit' section</w:t>
      </w:r>
      <w:r w:rsidRPr="003E0DE0">
        <w:rPr>
          <w:i w:val="0"/>
          <w:iCs w:val="0"/>
        </w:rPr>
        <w:t xml:space="preserve"> – (Researcher)   </w:t>
      </w:r>
    </w:p>
    <w:p w14:paraId="1DADC357" w14:textId="77777777" w:rsidR="00B77EBE" w:rsidRPr="00B77EBE" w:rsidRDefault="00B77EBE" w:rsidP="003E0DE0">
      <w:pPr>
        <w:pStyle w:val="Quote"/>
      </w:pPr>
      <w:r w:rsidRPr="00B77EBE">
        <w:t>The scheme's objectives are themselves skewed in favour of functionalist socio</w:t>
      </w:r>
      <w:r w:rsidRPr="00B77EBE">
        <w:noBreakHyphen/>
        <w:t xml:space="preserve">economic objectives at the expense of disinterested basic research </w:t>
      </w:r>
      <w:r w:rsidRPr="003E0DE0">
        <w:rPr>
          <w:i w:val="0"/>
          <w:iCs w:val="0"/>
        </w:rPr>
        <w:t>– (Researcher)</w:t>
      </w:r>
    </w:p>
    <w:p w14:paraId="2E2BA35E" w14:textId="77777777" w:rsidR="00B77EBE" w:rsidRPr="00B77EBE" w:rsidRDefault="00B77EBE" w:rsidP="003E0DE0">
      <w:pPr>
        <w:pStyle w:val="Quote"/>
      </w:pPr>
      <w:r w:rsidRPr="00B77EBE">
        <w:t xml:space="preserve">The language surrounding the ‘national benefit’ and ‘national interest’ sections implies a negativity towards fundamental basic research, which I don't think is intended. Often that sort of research does not have *immediate* applications of this nature, but the benefits are realised in the long run in all sorts of ways. I would like to be able to complete those sections more realistically </w:t>
      </w:r>
      <w:r w:rsidRPr="003E0DE0">
        <w:rPr>
          <w:i w:val="0"/>
          <w:iCs w:val="0"/>
        </w:rPr>
        <w:t>– (Researcher)</w:t>
      </w:r>
    </w:p>
    <w:p w14:paraId="5B2720EB" w14:textId="77777777" w:rsidR="00B77EBE" w:rsidRPr="00B77EBE" w:rsidRDefault="00B77EBE" w:rsidP="003E0DE0">
      <w:pPr>
        <w:pStyle w:val="Quote"/>
        <w:spacing w:after="240"/>
        <w:ind w:left="425" w:right="663"/>
      </w:pPr>
      <w:r w:rsidRPr="00B77EBE">
        <w:t xml:space="preserve">Not all basic research can be translated, this is why it's basic research. If you want translational outcomes, you need to either fund applied projects, or provide specific funding to convert basic research into a translational outcome post-project. The benefit may not be seen for many years </w:t>
      </w:r>
      <w:r w:rsidRPr="003E0DE0">
        <w:rPr>
          <w:i w:val="0"/>
          <w:iCs w:val="0"/>
        </w:rPr>
        <w:t>– (Researcher)</w:t>
      </w:r>
    </w:p>
    <w:p w14:paraId="0726B410" w14:textId="01F65578" w:rsidR="00B77EBE" w:rsidRPr="00B77EBE" w:rsidRDefault="00277E3B" w:rsidP="00B77EBE">
      <w:pPr>
        <w:rPr>
          <w:rFonts w:asciiTheme="majorHAnsi" w:eastAsiaTheme="minorEastAsia" w:hAnsiTheme="majorHAnsi" w:cstheme="majorHAnsi"/>
          <w:lang w:eastAsia="en-AU"/>
        </w:rPr>
      </w:pPr>
      <w:r w:rsidRPr="00FB3711">
        <w:rPr>
          <w:rFonts w:asciiTheme="majorHAnsi" w:eastAsiaTheme="minorEastAsia" w:hAnsiTheme="majorHAnsi" w:cstheme="majorHAnsi"/>
          <w:lang w:eastAsia="en-AU"/>
        </w:rPr>
        <w:lastRenderedPageBreak/>
        <w:t>T</w:t>
      </w:r>
      <w:r w:rsidR="00B77EBE" w:rsidRPr="00FB3711">
        <w:rPr>
          <w:rFonts w:asciiTheme="majorHAnsi" w:eastAsiaTheme="minorEastAsia" w:hAnsiTheme="majorHAnsi" w:cstheme="majorHAnsi"/>
          <w:lang w:eastAsia="en-AU"/>
        </w:rPr>
        <w:t>hese responses should be interpreted in light of quantitative</w:t>
      </w:r>
      <w:r w:rsidR="00723934" w:rsidRPr="00FB3711">
        <w:rPr>
          <w:rFonts w:asciiTheme="majorHAnsi" w:eastAsiaTheme="minorEastAsia" w:hAnsiTheme="majorHAnsi" w:cstheme="majorHAnsi"/>
          <w:lang w:eastAsia="en-AU"/>
        </w:rPr>
        <w:t xml:space="preserve"> data</w:t>
      </w:r>
      <w:r w:rsidR="00B77EBE" w:rsidRPr="00FB3711">
        <w:rPr>
          <w:rFonts w:asciiTheme="majorHAnsi" w:eastAsiaTheme="minorEastAsia" w:hAnsiTheme="majorHAnsi" w:cstheme="majorHAnsi"/>
          <w:lang w:eastAsia="en-AU"/>
        </w:rPr>
        <w:t xml:space="preserve"> presented </w:t>
      </w:r>
      <w:r w:rsidR="00723934" w:rsidRPr="00FB3711">
        <w:rPr>
          <w:rFonts w:asciiTheme="majorHAnsi" w:eastAsiaTheme="minorEastAsia" w:hAnsiTheme="majorHAnsi" w:cstheme="majorHAnsi"/>
          <w:lang w:eastAsia="en-AU"/>
        </w:rPr>
        <w:t>earlier</w:t>
      </w:r>
      <w:r w:rsidR="007C3E78" w:rsidRPr="00FB3711">
        <w:rPr>
          <w:rFonts w:asciiTheme="majorHAnsi" w:eastAsiaTheme="minorEastAsia" w:hAnsiTheme="majorHAnsi" w:cstheme="majorHAnsi"/>
          <w:lang w:eastAsia="en-AU"/>
        </w:rPr>
        <w:t xml:space="preserve"> </w:t>
      </w:r>
      <w:r w:rsidR="00723934" w:rsidRPr="00FB3711">
        <w:rPr>
          <w:rFonts w:asciiTheme="majorHAnsi" w:eastAsiaTheme="minorEastAsia" w:hAnsiTheme="majorHAnsi" w:cstheme="majorHAnsi"/>
          <w:lang w:eastAsia="en-AU"/>
        </w:rPr>
        <w:t xml:space="preserve">(see </w:t>
      </w:r>
      <w:hyperlink w:anchor="_Quantitative_stakeholder_views—appr_1" w:history="1">
        <w:r w:rsidR="00BA24C5" w:rsidRPr="00281670">
          <w:rPr>
            <w:rStyle w:val="Hyperlink"/>
            <w:rFonts w:eastAsiaTheme="minorEastAsia" w:cstheme="majorHAnsi"/>
            <w:color w:val="auto"/>
            <w:sz w:val="22"/>
            <w:u w:val="none"/>
            <w:lang w:eastAsia="en-AU"/>
          </w:rPr>
          <w:t>Section 5.2.1</w:t>
        </w:r>
      </w:hyperlink>
      <w:r w:rsidR="00723934" w:rsidRPr="00FB3711">
        <w:rPr>
          <w:rFonts w:asciiTheme="majorHAnsi" w:eastAsiaTheme="minorEastAsia" w:hAnsiTheme="majorHAnsi" w:cstheme="majorHAnsi"/>
          <w:lang w:eastAsia="en-AU"/>
        </w:rPr>
        <w:t>)</w:t>
      </w:r>
      <w:r w:rsidR="00B77EBE" w:rsidRPr="00FB3711">
        <w:rPr>
          <w:rFonts w:asciiTheme="majorHAnsi" w:eastAsiaTheme="minorEastAsia" w:hAnsiTheme="majorHAnsi" w:cstheme="majorHAnsi"/>
          <w:lang w:eastAsia="en-AU"/>
        </w:rPr>
        <w:t>, indicating that the majority of stakeholders considered the Discovery Projects scheme’s</w:t>
      </w:r>
      <w:r w:rsidR="00FE4F2D" w:rsidRPr="00FB3711">
        <w:rPr>
          <w:rFonts w:asciiTheme="majorHAnsi" w:eastAsiaTheme="minorEastAsia" w:hAnsiTheme="majorHAnsi" w:cstheme="majorHAnsi"/>
          <w:lang w:eastAsia="en-AU"/>
        </w:rPr>
        <w:t xml:space="preserve"> objectives and</w:t>
      </w:r>
      <w:r w:rsidR="00B77EBE" w:rsidRPr="00FB3711">
        <w:rPr>
          <w:rFonts w:asciiTheme="majorHAnsi" w:eastAsiaTheme="minorEastAsia" w:hAnsiTheme="majorHAnsi" w:cstheme="majorHAnsi"/>
          <w:lang w:eastAsia="en-AU"/>
        </w:rPr>
        <w:t xml:space="preserve"> intended outcomes, and its approach to supporting translational benefits through basic research funding, to be appropriate. </w:t>
      </w:r>
      <w:r w:rsidR="00DB6437" w:rsidRPr="00FB3711">
        <w:rPr>
          <w:rFonts w:asciiTheme="majorHAnsi" w:eastAsiaTheme="minorEastAsia" w:hAnsiTheme="majorHAnsi" w:cstheme="majorHAnsi"/>
          <w:lang w:eastAsia="en-AU"/>
        </w:rPr>
        <w:t xml:space="preserve">Nonetheless, to address </w:t>
      </w:r>
      <w:r w:rsidR="00813259" w:rsidRPr="00FB3711">
        <w:rPr>
          <w:rFonts w:asciiTheme="majorHAnsi" w:eastAsiaTheme="minorEastAsia" w:hAnsiTheme="majorHAnsi" w:cstheme="majorHAnsi"/>
          <w:lang w:eastAsia="en-AU"/>
        </w:rPr>
        <w:t xml:space="preserve">stakeholder concerns </w:t>
      </w:r>
      <w:r w:rsidR="008C2B33" w:rsidRPr="00FB3711">
        <w:rPr>
          <w:rFonts w:asciiTheme="majorHAnsi" w:eastAsiaTheme="minorEastAsia" w:hAnsiTheme="majorHAnsi" w:cstheme="majorHAnsi"/>
          <w:lang w:eastAsia="en-AU"/>
        </w:rPr>
        <w:t>about</w:t>
      </w:r>
      <w:r w:rsidR="00813259" w:rsidRPr="00FB3711">
        <w:rPr>
          <w:rFonts w:asciiTheme="majorHAnsi" w:eastAsiaTheme="minorEastAsia" w:hAnsiTheme="majorHAnsi" w:cstheme="majorHAnsi"/>
          <w:lang w:eastAsia="en-AU"/>
        </w:rPr>
        <w:t xml:space="preserve"> tensions between these elements of the scheme</w:t>
      </w:r>
      <w:r w:rsidR="008C2B33" w:rsidRPr="00FB3711">
        <w:rPr>
          <w:rFonts w:asciiTheme="majorHAnsi" w:eastAsiaTheme="minorEastAsia" w:hAnsiTheme="majorHAnsi" w:cstheme="majorHAnsi"/>
          <w:lang w:eastAsia="en-AU"/>
        </w:rPr>
        <w:t xml:space="preserve">’s design, </w:t>
      </w:r>
      <w:r w:rsidR="00622575" w:rsidRPr="00FB3711">
        <w:rPr>
          <w:rFonts w:asciiTheme="majorHAnsi" w:eastAsiaTheme="minorEastAsia" w:hAnsiTheme="majorHAnsi" w:cstheme="majorHAnsi"/>
          <w:lang w:eastAsia="en-AU"/>
        </w:rPr>
        <w:t>there may be value i</w:t>
      </w:r>
      <w:r w:rsidR="00E21F94" w:rsidRPr="00FB3711">
        <w:rPr>
          <w:rFonts w:asciiTheme="majorHAnsi" w:eastAsiaTheme="minorEastAsia" w:hAnsiTheme="majorHAnsi" w:cstheme="majorHAnsi"/>
          <w:lang w:eastAsia="en-AU"/>
        </w:rPr>
        <w:t xml:space="preserve">n reiterating in </w:t>
      </w:r>
      <w:r w:rsidR="004522CE" w:rsidRPr="00FB3711">
        <w:rPr>
          <w:rFonts w:asciiTheme="majorHAnsi" w:eastAsiaTheme="minorEastAsia" w:hAnsiTheme="majorHAnsi" w:cstheme="majorHAnsi"/>
          <w:lang w:eastAsia="en-AU"/>
        </w:rPr>
        <w:t xml:space="preserve">ARC outreach and engagement that </w:t>
      </w:r>
      <w:r w:rsidR="003B7980" w:rsidRPr="00FB3711">
        <w:rPr>
          <w:rFonts w:asciiTheme="majorHAnsi" w:eastAsiaTheme="minorEastAsia" w:hAnsiTheme="majorHAnsi" w:cstheme="majorHAnsi"/>
          <w:lang w:eastAsia="en-AU"/>
        </w:rPr>
        <w:t>the scheme</w:t>
      </w:r>
      <w:r w:rsidR="001736AC" w:rsidRPr="00FB3711">
        <w:rPr>
          <w:rFonts w:asciiTheme="majorHAnsi" w:eastAsiaTheme="minorEastAsia" w:hAnsiTheme="majorHAnsi" w:cstheme="majorHAnsi"/>
          <w:lang w:eastAsia="en-AU"/>
        </w:rPr>
        <w:t xml:space="preserve">’s support for basic research has increased as a proportion in recent years </w:t>
      </w:r>
      <w:r w:rsidR="00B77EBE" w:rsidRPr="00FB3711">
        <w:rPr>
          <w:rFonts w:asciiTheme="majorHAnsi" w:eastAsiaTheme="minorEastAsia" w:hAnsiTheme="majorHAnsi" w:cstheme="majorHAnsi"/>
          <w:lang w:eastAsia="en-AU"/>
        </w:rPr>
        <w:t xml:space="preserve">(see </w:t>
      </w:r>
      <w:hyperlink w:anchor="_ARC_data—excellent_basic" w:history="1">
        <w:r w:rsidR="00BA24C5" w:rsidRPr="00281670">
          <w:rPr>
            <w:rStyle w:val="Hyperlink"/>
            <w:rFonts w:eastAsiaTheme="minorEastAsia" w:cstheme="majorHAnsi"/>
            <w:color w:val="auto"/>
            <w:sz w:val="22"/>
            <w:u w:val="none"/>
            <w:lang w:eastAsia="en-AU"/>
          </w:rPr>
          <w:t>Section 3.2.1</w:t>
        </w:r>
      </w:hyperlink>
      <w:r w:rsidR="00B77EBE" w:rsidRPr="00FB3711">
        <w:rPr>
          <w:rFonts w:asciiTheme="majorHAnsi" w:eastAsiaTheme="minorEastAsia" w:hAnsiTheme="majorHAnsi" w:cstheme="majorHAnsi"/>
          <w:lang w:eastAsia="en-AU"/>
        </w:rPr>
        <w:t xml:space="preserve">), </w:t>
      </w:r>
      <w:r w:rsidR="001736AC" w:rsidRPr="00FB3711">
        <w:rPr>
          <w:rFonts w:asciiTheme="majorHAnsi" w:eastAsiaTheme="minorEastAsia" w:hAnsiTheme="majorHAnsi" w:cstheme="majorHAnsi"/>
          <w:lang w:eastAsia="en-AU"/>
        </w:rPr>
        <w:t xml:space="preserve">and that the </w:t>
      </w:r>
      <w:r w:rsidR="00185758" w:rsidRPr="00FB3711">
        <w:rPr>
          <w:rFonts w:asciiTheme="majorHAnsi" w:eastAsiaTheme="minorEastAsia" w:hAnsiTheme="majorHAnsi" w:cstheme="majorHAnsi"/>
          <w:lang w:eastAsia="en-AU"/>
        </w:rPr>
        <w:t>scheme is designed to recognise the</w:t>
      </w:r>
      <w:r w:rsidR="00B77EBE" w:rsidRPr="00FB3711">
        <w:rPr>
          <w:rFonts w:asciiTheme="majorHAnsi" w:eastAsiaTheme="minorEastAsia" w:hAnsiTheme="majorHAnsi" w:cstheme="majorHAnsi"/>
          <w:lang w:eastAsia="en-AU"/>
        </w:rPr>
        <w:t xml:space="preserve"> role of basic research in contributing to translational outcomes.</w:t>
      </w:r>
      <w:r w:rsidR="00B77EBE" w:rsidRPr="00B77EBE">
        <w:rPr>
          <w:rFonts w:asciiTheme="majorHAnsi" w:eastAsiaTheme="minorEastAsia" w:hAnsiTheme="majorHAnsi" w:cstheme="majorHAnsi"/>
          <w:lang w:eastAsia="en-AU"/>
        </w:rPr>
        <w:t xml:space="preserve"> </w:t>
      </w:r>
    </w:p>
    <w:p w14:paraId="72D6715F" w14:textId="5F2BDAAA" w:rsidR="00B77EBE" w:rsidRPr="00B77EBE" w:rsidRDefault="00B77EBE" w:rsidP="003C12B2">
      <w:pPr>
        <w:pStyle w:val="Heading2"/>
        <w:numPr>
          <w:ilvl w:val="1"/>
          <w:numId w:val="17"/>
        </w:numPr>
        <w:rPr>
          <w:lang w:eastAsia="en-AU"/>
        </w:rPr>
      </w:pPr>
      <w:bookmarkStart w:id="891" w:name="_Toc51918764"/>
      <w:bookmarkStart w:id="892" w:name="_Toc55544854"/>
      <w:r w:rsidRPr="00B77EBE">
        <w:rPr>
          <w:lang w:eastAsia="en-AU"/>
        </w:rPr>
        <w:t>Appropriateness of Discovery Projects’ funding amount and duration</w:t>
      </w:r>
      <w:bookmarkEnd w:id="891"/>
      <w:bookmarkEnd w:id="892"/>
    </w:p>
    <w:p w14:paraId="27C8461F" w14:textId="2D4B9BAD" w:rsidR="00B77EBE" w:rsidRPr="00FE6E1F" w:rsidRDefault="00B77EBE" w:rsidP="006A59C0">
      <w:pPr>
        <w:rPr>
          <w:rFonts w:asciiTheme="majorHAnsi" w:eastAsiaTheme="minorEastAsia" w:hAnsiTheme="majorHAnsi" w:cstheme="majorHAnsi"/>
          <w:lang w:eastAsia="en-AU"/>
        </w:rPr>
      </w:pPr>
      <w:bookmarkStart w:id="893" w:name="_Toc50533653"/>
      <w:r w:rsidRPr="00FE6E1F">
        <w:rPr>
          <w:rFonts w:asciiTheme="majorHAnsi" w:eastAsiaTheme="minorEastAsia" w:hAnsiTheme="majorHAnsi" w:cstheme="majorHAnsi"/>
          <w:lang w:eastAsia="en-AU"/>
        </w:rPr>
        <w:t xml:space="preserve">This section evaluates the appropriateness of Discovery Projects’ available funding amount and funding duration in supporting the achievement of </w:t>
      </w:r>
      <w:r w:rsidR="00C65A91">
        <w:rPr>
          <w:rFonts w:asciiTheme="majorHAnsi" w:eastAsiaTheme="minorEastAsia" w:hAnsiTheme="majorHAnsi" w:cstheme="majorHAnsi"/>
          <w:lang w:eastAsia="en-AU"/>
        </w:rPr>
        <w:t>its</w:t>
      </w:r>
      <w:r w:rsidRPr="00FE6E1F">
        <w:rPr>
          <w:rFonts w:asciiTheme="majorHAnsi" w:eastAsiaTheme="minorEastAsia" w:hAnsiTheme="majorHAnsi" w:cstheme="majorHAnsi"/>
          <w:lang w:eastAsia="en-AU"/>
        </w:rPr>
        <w:t xml:space="preserve"> objectives and intended outcomes. </w:t>
      </w:r>
      <w:r w:rsidR="00C65A91">
        <w:rPr>
          <w:rFonts w:asciiTheme="majorHAnsi" w:eastAsiaTheme="minorEastAsia" w:hAnsiTheme="majorHAnsi" w:cstheme="majorHAnsi"/>
          <w:lang w:eastAsia="en-AU"/>
        </w:rPr>
        <w:t xml:space="preserve">The analysis </w:t>
      </w:r>
      <w:r w:rsidR="00A32E84">
        <w:rPr>
          <w:rFonts w:asciiTheme="majorHAnsi" w:eastAsiaTheme="minorEastAsia" w:hAnsiTheme="majorHAnsi" w:cstheme="majorHAnsi"/>
          <w:lang w:eastAsia="en-AU"/>
        </w:rPr>
        <w:t>of</w:t>
      </w:r>
      <w:r w:rsidRPr="00FE6E1F">
        <w:rPr>
          <w:rFonts w:asciiTheme="majorHAnsi" w:eastAsiaTheme="minorEastAsia" w:hAnsiTheme="majorHAnsi" w:cstheme="majorHAnsi"/>
          <w:lang w:eastAsia="en-AU"/>
        </w:rPr>
        <w:t xml:space="preserve"> both </w:t>
      </w:r>
      <w:r w:rsidR="00A32E84">
        <w:rPr>
          <w:rFonts w:asciiTheme="majorHAnsi" w:eastAsiaTheme="minorEastAsia" w:hAnsiTheme="majorHAnsi" w:cstheme="majorHAnsi"/>
          <w:lang w:eastAsia="en-AU"/>
        </w:rPr>
        <w:t xml:space="preserve">the scheme’s </w:t>
      </w:r>
      <w:r w:rsidRPr="00FE6E1F">
        <w:rPr>
          <w:rFonts w:asciiTheme="majorHAnsi" w:eastAsiaTheme="minorEastAsia" w:hAnsiTheme="majorHAnsi" w:cstheme="majorHAnsi"/>
          <w:lang w:eastAsia="en-AU"/>
        </w:rPr>
        <w:t>funding amount and funding duration considers ARC administrative data, overall perceptions of appropriateness from researchers surveyed, and qualitative feedback from stakeholders.</w:t>
      </w:r>
      <w:bookmarkEnd w:id="893"/>
      <w:r w:rsidRPr="00FE6E1F">
        <w:rPr>
          <w:rFonts w:asciiTheme="majorHAnsi" w:eastAsiaTheme="minorEastAsia" w:hAnsiTheme="majorHAnsi" w:cstheme="majorHAnsi"/>
          <w:lang w:eastAsia="en-AU"/>
        </w:rPr>
        <w:t xml:space="preserve"> </w:t>
      </w:r>
    </w:p>
    <w:p w14:paraId="4936C96F" w14:textId="5DC44B94" w:rsidR="00B77EBE" w:rsidRPr="00B77EBE" w:rsidRDefault="00B77EBE" w:rsidP="006A59C0">
      <w:pPr>
        <w:pStyle w:val="Heading3"/>
        <w:numPr>
          <w:ilvl w:val="2"/>
          <w:numId w:val="17"/>
        </w:numPr>
      </w:pPr>
      <w:bookmarkStart w:id="894" w:name="_Toc51917063"/>
      <w:bookmarkStart w:id="895" w:name="_Toc51918903"/>
      <w:bookmarkStart w:id="896" w:name="_Toc50533654"/>
      <w:bookmarkStart w:id="897" w:name="_Toc50553803"/>
      <w:bookmarkStart w:id="898" w:name="_Toc50555040"/>
      <w:bookmarkStart w:id="899" w:name="_Toc50618174"/>
      <w:bookmarkStart w:id="900" w:name="_Toc50618454"/>
      <w:bookmarkStart w:id="901" w:name="_Toc51917064"/>
      <w:bookmarkStart w:id="902" w:name="_Toc51918904"/>
      <w:bookmarkStart w:id="903" w:name="_Toc53557279"/>
      <w:bookmarkStart w:id="904" w:name="_Toc54699321"/>
      <w:bookmarkStart w:id="905" w:name="_Toc55544855"/>
      <w:bookmarkEnd w:id="894"/>
      <w:bookmarkEnd w:id="895"/>
      <w:r w:rsidRPr="00B77EBE">
        <w:t>ARC data—funding amount</w:t>
      </w:r>
      <w:bookmarkEnd w:id="896"/>
      <w:bookmarkEnd w:id="897"/>
      <w:bookmarkEnd w:id="898"/>
      <w:bookmarkEnd w:id="899"/>
      <w:bookmarkEnd w:id="900"/>
      <w:bookmarkEnd w:id="901"/>
      <w:bookmarkEnd w:id="902"/>
      <w:bookmarkEnd w:id="903"/>
      <w:bookmarkEnd w:id="904"/>
      <w:bookmarkEnd w:id="905"/>
    </w:p>
    <w:p w14:paraId="55DA8DAD" w14:textId="77777777" w:rsidR="00B77EBE" w:rsidRPr="00B77EBE" w:rsidRDefault="00B77EBE" w:rsidP="00B77EBE">
      <w:pPr>
        <w:rPr>
          <w:rFonts w:asciiTheme="majorHAnsi" w:hAnsiTheme="majorHAnsi" w:cstheme="majorHAnsi"/>
          <w:lang w:eastAsia="en-AU"/>
        </w:rPr>
      </w:pPr>
      <w:r w:rsidRPr="00B77EBE">
        <w:rPr>
          <w:rFonts w:asciiTheme="majorHAnsi" w:hAnsiTheme="majorHAnsi" w:cstheme="majorHAnsi"/>
          <w:lang w:eastAsia="en-AU"/>
        </w:rPr>
        <w:t>The range of funding available to support individual projects under Discovery Projects has been relatively consistent over the course of the scheme’s history. The minimum funding amount available has shifted only once, increasing from $20,000 to $30,000 per annum from DP12 onwards. The presence of a minimum funding amount is intended to recognise the effort involved in preparing applications, the expectation that funded projects will achieve substantial outcomes and the capacity of universities to support smaller-scale research. The maximum amount available has remained at $500,000 per annum since the scheme’s inception. The wide funding range is intended to ensure Discovery Projects can support diverse research activities across a broad disciplinary spectrum.</w:t>
      </w:r>
      <w:r w:rsidRPr="00B77EBE" w:rsidDel="00CE5B6C">
        <w:rPr>
          <w:rFonts w:asciiTheme="majorHAnsi" w:hAnsiTheme="majorHAnsi" w:cstheme="majorHAnsi"/>
          <w:lang w:eastAsia="en-AU"/>
        </w:rPr>
        <w:t xml:space="preserve"> </w:t>
      </w:r>
    </w:p>
    <w:p w14:paraId="3C7A0455" w14:textId="2D95DE87" w:rsidR="00B77EBE" w:rsidRPr="00B77EBE" w:rsidRDefault="00B77EBE" w:rsidP="00B77EBE">
      <w:pPr>
        <w:rPr>
          <w:rFonts w:asciiTheme="majorHAnsi" w:hAnsiTheme="majorHAnsi" w:cstheme="majorHAnsi"/>
          <w:lang w:eastAsia="en-AU"/>
        </w:rPr>
      </w:pPr>
      <w:r w:rsidRPr="00B77EBE">
        <w:rPr>
          <w:rFonts w:asciiTheme="majorHAnsi" w:hAnsiTheme="majorHAnsi" w:cstheme="majorHAnsi"/>
          <w:color w:val="000000" w:themeColor="text1"/>
        </w:rPr>
        <w:fldChar w:fldCharType="begin"/>
      </w:r>
      <w:r w:rsidRPr="00B77EBE">
        <w:rPr>
          <w:rFonts w:asciiTheme="majorHAnsi" w:hAnsiTheme="majorHAnsi" w:cstheme="majorHAnsi"/>
          <w:lang w:eastAsia="en-AU"/>
        </w:rPr>
        <w:instrText xml:space="preserve"> REF _Ref46999530 \h </w:instrText>
      </w:r>
      <w:r w:rsidRPr="00B77EBE">
        <w:rPr>
          <w:rFonts w:asciiTheme="majorHAnsi" w:hAnsiTheme="majorHAnsi" w:cstheme="majorHAnsi"/>
          <w:color w:val="000000" w:themeColor="text1"/>
        </w:rPr>
        <w:instrText xml:space="preserve"> \* MERGEFORMAT </w:instrText>
      </w:r>
      <w:r w:rsidRPr="00B77EBE">
        <w:rPr>
          <w:rFonts w:asciiTheme="majorHAnsi" w:hAnsiTheme="majorHAnsi" w:cstheme="majorHAnsi"/>
          <w:color w:val="000000" w:themeColor="text1"/>
        </w:rPr>
      </w:r>
      <w:r w:rsidRPr="00B77EBE">
        <w:rPr>
          <w:rFonts w:asciiTheme="majorHAnsi" w:hAnsiTheme="majorHAnsi" w:cstheme="majorHAnsi"/>
          <w:color w:val="000000" w:themeColor="text1"/>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44</w:t>
      </w:r>
      <w:r w:rsidRPr="00B77EBE">
        <w:rPr>
          <w:rFonts w:asciiTheme="majorHAnsi" w:hAnsiTheme="majorHAnsi" w:cstheme="majorHAnsi"/>
          <w:color w:val="000000" w:themeColor="text1"/>
        </w:rPr>
        <w:fldChar w:fldCharType="end"/>
      </w:r>
      <w:r w:rsidRPr="00B77EBE">
        <w:rPr>
          <w:rFonts w:asciiTheme="majorHAnsi" w:hAnsiTheme="majorHAnsi" w:cstheme="majorHAnsi"/>
          <w:color w:val="000000" w:themeColor="text1"/>
        </w:rPr>
        <w:t xml:space="preserve"> </w:t>
      </w:r>
      <w:r w:rsidRPr="00B77EBE">
        <w:rPr>
          <w:rFonts w:asciiTheme="majorHAnsi" w:hAnsiTheme="majorHAnsi" w:cstheme="majorHAnsi"/>
          <w:lang w:eastAsia="en-AU"/>
        </w:rPr>
        <w:t>shows that the average funding awarded to individual projects has steadily increased over the course of the scheme’s history from $247,590 in DP02 to $431,747 in DP20. This upward trajectory was briefly interrupted between DP10 and DP12</w:t>
      </w:r>
      <w:r w:rsidR="00340693">
        <w:rPr>
          <w:rFonts w:asciiTheme="majorHAnsi" w:hAnsiTheme="majorHAnsi" w:cstheme="majorHAnsi"/>
          <w:lang w:eastAsia="en-AU"/>
        </w:rPr>
        <w:t>;</w:t>
      </w:r>
      <w:r w:rsidRPr="00B77EBE">
        <w:rPr>
          <w:rFonts w:asciiTheme="majorHAnsi" w:hAnsiTheme="majorHAnsi" w:cstheme="majorHAnsi"/>
          <w:lang w:eastAsia="en-AU"/>
        </w:rPr>
        <w:t xml:space="preserve"> </w:t>
      </w:r>
      <w:r w:rsidR="00340693">
        <w:rPr>
          <w:rFonts w:asciiTheme="majorHAnsi" w:hAnsiTheme="majorHAnsi" w:cstheme="majorHAnsi"/>
          <w:lang w:eastAsia="en-AU"/>
        </w:rPr>
        <w:t>this</w:t>
      </w:r>
      <w:r w:rsidRPr="00B77EBE">
        <w:rPr>
          <w:rFonts w:asciiTheme="majorHAnsi" w:hAnsiTheme="majorHAnsi" w:cstheme="majorHAnsi"/>
          <w:lang w:eastAsia="en-AU"/>
        </w:rPr>
        <w:t xml:space="preserve"> dip may reflect the removal of fellowship opportunities and support for Early Career Researchers previously provided under the scheme. The sustained growth in the average amount of funding awarded to individual projects may reflect at least three factors. Firstly, the amount of funding requested within applications has steadily grown, from $329,644 in DP02 to $582,255 in DP21. This </w:t>
      </w:r>
      <w:r w:rsidR="00733D0B">
        <w:rPr>
          <w:rFonts w:asciiTheme="majorHAnsi" w:hAnsiTheme="majorHAnsi" w:cstheme="majorHAnsi"/>
          <w:lang w:eastAsia="en-AU"/>
        </w:rPr>
        <w:t>potentially</w:t>
      </w:r>
      <w:r w:rsidRPr="00B77EBE">
        <w:rPr>
          <w:rFonts w:asciiTheme="majorHAnsi" w:hAnsiTheme="majorHAnsi" w:cstheme="majorHAnsi"/>
          <w:lang w:eastAsia="en-AU"/>
        </w:rPr>
        <w:t xml:space="preserve"> relate</w:t>
      </w:r>
      <w:r w:rsidR="00733D0B">
        <w:rPr>
          <w:rFonts w:asciiTheme="majorHAnsi" w:hAnsiTheme="majorHAnsi" w:cstheme="majorHAnsi"/>
          <w:lang w:eastAsia="en-AU"/>
        </w:rPr>
        <w:t>s</w:t>
      </w:r>
      <w:r w:rsidRPr="00B77EBE">
        <w:rPr>
          <w:rFonts w:asciiTheme="majorHAnsi" w:hAnsiTheme="majorHAnsi" w:cstheme="majorHAnsi"/>
          <w:lang w:eastAsia="en-AU"/>
        </w:rPr>
        <w:t xml:space="preserve"> to increases to the cost of </w:t>
      </w:r>
      <w:r w:rsidRPr="00FB3711">
        <w:rPr>
          <w:rFonts w:asciiTheme="majorHAnsi" w:hAnsiTheme="majorHAnsi" w:cstheme="majorHAnsi"/>
          <w:lang w:eastAsia="en-AU"/>
        </w:rPr>
        <w:t>conducting research, which have been documented elsewhere.</w:t>
      </w:r>
      <w:r w:rsidRPr="00FB3711">
        <w:rPr>
          <w:rFonts w:asciiTheme="majorHAnsi" w:hAnsiTheme="majorHAnsi" w:cstheme="majorHAnsi"/>
          <w:vertAlign w:val="superscript"/>
          <w:lang w:eastAsia="en-AU"/>
        </w:rPr>
        <w:footnoteReference w:id="78"/>
      </w:r>
      <w:r w:rsidRPr="00FB3711">
        <w:rPr>
          <w:rFonts w:asciiTheme="majorHAnsi" w:hAnsiTheme="majorHAnsi" w:cstheme="majorHAnsi"/>
          <w:lang w:eastAsia="en-AU"/>
        </w:rPr>
        <w:t xml:space="preserve"> Secondly, as noted </w:t>
      </w:r>
      <w:r w:rsidR="0053363C" w:rsidRPr="00FB3711">
        <w:rPr>
          <w:rFonts w:asciiTheme="majorHAnsi" w:hAnsiTheme="majorHAnsi" w:cstheme="majorHAnsi"/>
          <w:lang w:eastAsia="en-AU"/>
        </w:rPr>
        <w:t>earlier (see</w:t>
      </w:r>
      <w:r w:rsidR="00BA24C5" w:rsidRPr="00FB3711">
        <w:rPr>
          <w:rFonts w:asciiTheme="majorHAnsi" w:hAnsiTheme="majorHAnsi" w:cstheme="majorHAnsi"/>
          <w:lang w:eastAsia="en-AU"/>
        </w:rPr>
        <w:t xml:space="preserve"> </w:t>
      </w:r>
      <w:hyperlink w:anchor="_Return_rates" w:history="1">
        <w:r w:rsidR="0037361B" w:rsidRPr="00281670">
          <w:rPr>
            <w:rStyle w:val="Hyperlink"/>
            <w:rFonts w:cstheme="majorHAnsi"/>
            <w:color w:val="auto"/>
            <w:sz w:val="22"/>
            <w:u w:val="none"/>
            <w:lang w:eastAsia="en-AU"/>
          </w:rPr>
          <w:t>Section 2.6</w:t>
        </w:r>
      </w:hyperlink>
      <w:r w:rsidR="0053363C" w:rsidRPr="00FB3711">
        <w:rPr>
          <w:rFonts w:asciiTheme="majorHAnsi" w:hAnsiTheme="majorHAnsi" w:cstheme="majorHAnsi"/>
          <w:lang w:eastAsia="en-AU"/>
        </w:rPr>
        <w:t>)</w:t>
      </w:r>
      <w:r w:rsidRPr="00FB3711">
        <w:rPr>
          <w:rFonts w:asciiTheme="majorHAnsi" w:hAnsiTheme="majorHAnsi" w:cstheme="majorHAnsi"/>
          <w:lang w:eastAsia="en-AU"/>
        </w:rPr>
        <w:t>, return rates rose substantially from DP12 onwards, meaning researchers have been receiving a greater proportion of funding requested. Thirdly, the size and scale of the projects for which researchers are requesting funding may have also increased.</w:t>
      </w:r>
    </w:p>
    <w:p w14:paraId="30050C98" w14:textId="0DBBCDA6" w:rsidR="00B77EBE" w:rsidRPr="00B77EBE" w:rsidRDefault="00B77EBE" w:rsidP="00751469">
      <w:pPr>
        <w:pStyle w:val="FigureTitle"/>
        <w:rPr>
          <w:i/>
          <w:color w:val="44546A" w:themeColor="text2"/>
        </w:rPr>
      </w:pPr>
      <w:bookmarkStart w:id="906" w:name="_Ref50357811"/>
      <w:bookmarkStart w:id="907" w:name="_Ref46999530"/>
      <w:r w:rsidRPr="00B77EBE">
        <w:lastRenderedPageBreak/>
        <w:t xml:space="preserve">Figure </w:t>
      </w:r>
      <w:r w:rsidR="00857467">
        <w:fldChar w:fldCharType="begin"/>
      </w:r>
      <w:r w:rsidR="00857467">
        <w:instrText xml:space="preserve"> SEQ Figure \* ARABIC </w:instrText>
      </w:r>
      <w:r w:rsidR="00857467">
        <w:fldChar w:fldCharType="separate"/>
      </w:r>
      <w:r w:rsidR="00AB03D7">
        <w:rPr>
          <w:noProof/>
        </w:rPr>
        <w:t>44</w:t>
      </w:r>
      <w:r w:rsidR="00857467">
        <w:rPr>
          <w:noProof/>
        </w:rPr>
        <w:fldChar w:fldCharType="end"/>
      </w:r>
      <w:bookmarkEnd w:id="906"/>
      <w:bookmarkEnd w:id="907"/>
      <w:r w:rsidRPr="00B77EBE">
        <w:t>: Average funding requested/awarded per project, DP02–DP20</w:t>
      </w:r>
    </w:p>
    <w:p w14:paraId="4CC0E348" w14:textId="7BEC87B2" w:rsidR="00B77EBE" w:rsidRPr="00B77EBE" w:rsidRDefault="000E5749" w:rsidP="00B77EBE">
      <w:pPr>
        <w:keepNext/>
        <w:spacing w:after="200" w:line="240" w:lineRule="auto"/>
        <w:rPr>
          <w:rFonts w:asciiTheme="majorHAnsi" w:hAnsiTheme="majorHAnsi" w:cstheme="majorHAnsi"/>
          <w:i/>
          <w:iCs/>
          <w:color w:val="44546A" w:themeColor="text2"/>
          <w:sz w:val="18"/>
          <w:szCs w:val="18"/>
          <w:lang w:eastAsia="en-AU"/>
        </w:rPr>
      </w:pPr>
      <w:r>
        <w:rPr>
          <w:rFonts w:asciiTheme="majorHAnsi" w:hAnsiTheme="majorHAnsi" w:cstheme="majorHAnsi"/>
          <w:i/>
          <w:iCs/>
          <w:noProof/>
          <w:color w:val="44546A" w:themeColor="text2"/>
          <w:sz w:val="18"/>
          <w:szCs w:val="18"/>
          <w:lang w:eastAsia="en-AU"/>
        </w:rPr>
        <w:drawing>
          <wp:inline distT="0" distB="0" distL="0" distR="0" wp14:anchorId="40E48832" wp14:editId="4704C2C2">
            <wp:extent cx="5730875" cy="2737485"/>
            <wp:effectExtent l="0" t="0" r="3175" b="5715"/>
            <wp:docPr id="101" name="Picture 101" descr="Figure 44 is a graph showing the average amount of funding requested and awarded per project under the Discovery Projects scheme between DP02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igure 44 is a graph showing the average amount of funding requested and awarded per project under the Discovery Projects scheme between DP02 and DP20. See text above graph for more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2737485"/>
                    </a:xfrm>
                    <a:prstGeom prst="rect">
                      <a:avLst/>
                    </a:prstGeom>
                    <a:noFill/>
                  </pic:spPr>
                </pic:pic>
              </a:graphicData>
            </a:graphic>
          </wp:inline>
        </w:drawing>
      </w:r>
    </w:p>
    <w:p w14:paraId="1EDC269D" w14:textId="5F84A696" w:rsidR="00B77EBE" w:rsidRPr="00B77EBE" w:rsidRDefault="00B77EBE" w:rsidP="00B77EBE">
      <w:pPr>
        <w:rPr>
          <w:rFonts w:asciiTheme="majorHAnsi" w:hAnsiTheme="majorHAnsi" w:cstheme="majorHAnsi"/>
          <w:sz w:val="16"/>
          <w:szCs w:val="16"/>
          <w:lang w:eastAsia="en-AU"/>
        </w:rPr>
      </w:pPr>
      <w:r w:rsidRPr="00B77EBE">
        <w:rPr>
          <w:rFonts w:asciiTheme="majorHAnsi" w:hAnsiTheme="majorHAnsi" w:cstheme="majorHAnsi"/>
          <w:sz w:val="16"/>
          <w:szCs w:val="16"/>
          <w:lang w:eastAsia="en-AU"/>
        </w:rPr>
        <w:t xml:space="preserve">Source: ARC administrative data. </w:t>
      </w:r>
      <w:r w:rsidRPr="00B77EBE">
        <w:rPr>
          <w:rFonts w:asciiTheme="majorHAnsi" w:hAnsiTheme="majorHAnsi" w:cstheme="majorHAnsi"/>
          <w:i/>
          <w:sz w:val="16"/>
          <w:szCs w:val="16"/>
          <w:lang w:eastAsia="en-AU"/>
        </w:rPr>
        <w:t xml:space="preserve">Note: </w:t>
      </w:r>
      <w:r w:rsidR="004A7D70">
        <w:rPr>
          <w:rFonts w:asciiTheme="majorHAnsi" w:hAnsiTheme="majorHAnsi" w:cstheme="majorHAnsi"/>
          <w:i/>
          <w:sz w:val="16"/>
          <w:szCs w:val="16"/>
          <w:lang w:eastAsia="en-AU"/>
        </w:rPr>
        <w:t>Funding data</w:t>
      </w:r>
      <w:r w:rsidR="004A7D70" w:rsidRPr="000A5AEE">
        <w:rPr>
          <w:rFonts w:asciiTheme="majorHAnsi" w:hAnsiTheme="majorHAnsi" w:cstheme="majorHAnsi"/>
          <w:i/>
          <w:sz w:val="16"/>
          <w:szCs w:val="16"/>
          <w:lang w:eastAsia="en-AU"/>
        </w:rPr>
        <w:t xml:space="preserve"> reflect funding amounts at the time of announcement</w:t>
      </w:r>
      <w:r w:rsidR="004A7D70">
        <w:rPr>
          <w:rFonts w:asciiTheme="majorHAnsi" w:hAnsiTheme="majorHAnsi" w:cstheme="majorHAnsi"/>
          <w:i/>
          <w:sz w:val="16"/>
          <w:szCs w:val="16"/>
          <w:lang w:eastAsia="en-AU"/>
        </w:rPr>
        <w:t>, and have not been adjusted for inflation</w:t>
      </w:r>
      <w:r w:rsidRPr="00B77EBE">
        <w:rPr>
          <w:rFonts w:asciiTheme="majorHAnsi" w:hAnsiTheme="majorHAnsi" w:cstheme="majorHAnsi"/>
          <w:i/>
          <w:sz w:val="16"/>
          <w:szCs w:val="16"/>
          <w:lang w:eastAsia="en-AU"/>
        </w:rPr>
        <w:t xml:space="preserve">. Average funding amounts reflect summed totals across all years of projects, rather than per annum amounts.  </w:t>
      </w:r>
    </w:p>
    <w:p w14:paraId="7EC20642" w14:textId="3FF6FECF" w:rsidR="00B77EBE" w:rsidRPr="00B77EBE" w:rsidRDefault="00B77EBE" w:rsidP="003C12B2">
      <w:pPr>
        <w:pStyle w:val="Heading3"/>
        <w:numPr>
          <w:ilvl w:val="2"/>
          <w:numId w:val="17"/>
        </w:numPr>
      </w:pPr>
      <w:bookmarkStart w:id="908" w:name="_Stakeholder_feedback—appropriatenes_1"/>
      <w:bookmarkStart w:id="909" w:name="_Toc50533655"/>
      <w:bookmarkStart w:id="910" w:name="_Toc50553804"/>
      <w:bookmarkStart w:id="911" w:name="_Toc50555041"/>
      <w:bookmarkStart w:id="912" w:name="_Toc50618175"/>
      <w:bookmarkStart w:id="913" w:name="_Toc50618455"/>
      <w:bookmarkStart w:id="914" w:name="_Toc51917065"/>
      <w:bookmarkStart w:id="915" w:name="_Toc51918905"/>
      <w:bookmarkStart w:id="916" w:name="_Toc53557280"/>
      <w:bookmarkStart w:id="917" w:name="_Toc54699322"/>
      <w:bookmarkStart w:id="918" w:name="_Toc55544856"/>
      <w:bookmarkEnd w:id="908"/>
      <w:r w:rsidRPr="00B77EBE">
        <w:t>Stakeholder feedback—appropriateness of funding amount</w:t>
      </w:r>
      <w:bookmarkEnd w:id="909"/>
      <w:bookmarkEnd w:id="910"/>
      <w:bookmarkEnd w:id="911"/>
      <w:bookmarkEnd w:id="912"/>
      <w:bookmarkEnd w:id="913"/>
      <w:bookmarkEnd w:id="914"/>
      <w:bookmarkEnd w:id="915"/>
      <w:bookmarkEnd w:id="916"/>
      <w:bookmarkEnd w:id="917"/>
      <w:bookmarkEnd w:id="918"/>
    </w:p>
    <w:p w14:paraId="74771F23" w14:textId="02451EFE" w:rsidR="00B77EBE" w:rsidRPr="00B77EBE" w:rsidRDefault="00B77EBE" w:rsidP="00B77EBE">
      <w:pPr>
        <w:rPr>
          <w:rFonts w:asciiTheme="majorHAnsi" w:hAnsiTheme="majorHAnsi" w:cstheme="majorHAnsi"/>
        </w:rPr>
      </w:pPr>
      <w:r w:rsidRPr="00B77EBE">
        <w:rPr>
          <w:rFonts w:asciiTheme="majorHAnsi" w:hAnsiTheme="majorHAnsi" w:cstheme="majorHAnsi"/>
        </w:rPr>
        <w:t xml:space="preserve">Fifty-nine per cent of </w:t>
      </w:r>
      <w:r w:rsidR="001E7D3A">
        <w:rPr>
          <w:rFonts w:asciiTheme="majorHAnsi" w:hAnsiTheme="majorHAnsi" w:cstheme="majorHAnsi"/>
        </w:rPr>
        <w:t>survey participants</w:t>
      </w:r>
      <w:r w:rsidR="001E7D3A" w:rsidRPr="00B77EBE">
        <w:rPr>
          <w:rFonts w:asciiTheme="majorHAnsi" w:hAnsiTheme="majorHAnsi" w:cstheme="majorHAnsi"/>
        </w:rPr>
        <w:t xml:space="preserve"> </w:t>
      </w:r>
      <w:r w:rsidR="00ED1DE0">
        <w:rPr>
          <w:rFonts w:asciiTheme="majorHAnsi" w:hAnsiTheme="majorHAnsi" w:cstheme="majorHAnsi"/>
        </w:rPr>
        <w:t xml:space="preserve">agreed </w:t>
      </w:r>
      <w:r w:rsidR="00A74E1B">
        <w:rPr>
          <w:rFonts w:asciiTheme="majorHAnsi" w:hAnsiTheme="majorHAnsi" w:cstheme="majorHAnsi"/>
        </w:rPr>
        <w:t xml:space="preserve">or strongly agreed </w:t>
      </w:r>
      <w:r w:rsidR="00ED1DE0">
        <w:rPr>
          <w:rFonts w:asciiTheme="majorHAnsi" w:hAnsiTheme="majorHAnsi" w:cstheme="majorHAnsi"/>
        </w:rPr>
        <w:t>that</w:t>
      </w:r>
      <w:r w:rsidR="00ED1DE0" w:rsidRPr="00B77EBE">
        <w:rPr>
          <w:rFonts w:asciiTheme="majorHAnsi" w:hAnsiTheme="majorHAnsi" w:cstheme="majorHAnsi"/>
        </w:rPr>
        <w:t xml:space="preserve"> </w:t>
      </w:r>
      <w:r w:rsidRPr="00B77EBE">
        <w:rPr>
          <w:rFonts w:asciiTheme="majorHAnsi" w:hAnsiTheme="majorHAnsi" w:cstheme="majorHAnsi"/>
        </w:rPr>
        <w:t xml:space="preserve">funding amounts available through Discovery Projects </w:t>
      </w:r>
      <w:r w:rsidR="00A74E1B">
        <w:rPr>
          <w:rFonts w:asciiTheme="majorHAnsi" w:hAnsiTheme="majorHAnsi" w:cstheme="majorHAnsi"/>
        </w:rPr>
        <w:t>are</w:t>
      </w:r>
      <w:r w:rsidR="00A74E1B" w:rsidRPr="00B77EBE">
        <w:rPr>
          <w:rFonts w:asciiTheme="majorHAnsi" w:hAnsiTheme="majorHAnsi" w:cstheme="majorHAnsi"/>
        </w:rPr>
        <w:t xml:space="preserve"> </w:t>
      </w:r>
      <w:r w:rsidRPr="00B77EBE">
        <w:rPr>
          <w:rFonts w:asciiTheme="majorHAnsi" w:hAnsiTheme="majorHAnsi" w:cstheme="majorHAnsi"/>
        </w:rPr>
        <w:t xml:space="preserve">appropriate to support </w:t>
      </w:r>
      <w:r w:rsidR="009F4A96">
        <w:rPr>
          <w:rFonts w:asciiTheme="majorHAnsi" w:hAnsiTheme="majorHAnsi" w:cstheme="majorHAnsi"/>
        </w:rPr>
        <w:t>the</w:t>
      </w:r>
      <w:r w:rsidRPr="00B77EBE">
        <w:rPr>
          <w:rFonts w:asciiTheme="majorHAnsi" w:hAnsiTheme="majorHAnsi" w:cstheme="majorHAnsi"/>
        </w:rPr>
        <w:t xml:space="preserve"> achievement of the scheme’s objectives and intended outcomes, while 27 per cent disagreed</w:t>
      </w:r>
      <w:r w:rsidR="00A74E1B">
        <w:rPr>
          <w:rFonts w:asciiTheme="majorHAnsi" w:hAnsiTheme="majorHAnsi" w:cstheme="majorHAnsi"/>
        </w:rPr>
        <w:t xml:space="preserve"> or strongly disagreed</w:t>
      </w:r>
      <w:r w:rsidRPr="00B77EBE">
        <w:rPr>
          <w:rFonts w:asciiTheme="majorHAnsi" w:hAnsiTheme="majorHAnsi" w:cstheme="majorHAnsi"/>
        </w:rPr>
        <w:t>.</w:t>
      </w:r>
    </w:p>
    <w:p w14:paraId="18F28A03" w14:textId="0BF21A0D" w:rsidR="00B77EBE" w:rsidRPr="00B77EBE" w:rsidRDefault="00B77EBE" w:rsidP="00751469">
      <w:pPr>
        <w:pStyle w:val="FigureTitle"/>
        <w:rPr>
          <w:i/>
          <w:color w:val="44546A" w:themeColor="text2"/>
        </w:rPr>
      </w:pPr>
      <w:r w:rsidRPr="00B77EBE">
        <w:t xml:space="preserve">Figure </w:t>
      </w:r>
      <w:r w:rsidR="00857467">
        <w:fldChar w:fldCharType="begin"/>
      </w:r>
      <w:r w:rsidR="00857467">
        <w:instrText xml:space="preserve"> SEQ Figure \* ARABIC </w:instrText>
      </w:r>
      <w:r w:rsidR="00857467">
        <w:fldChar w:fldCharType="separate"/>
      </w:r>
      <w:r w:rsidR="00AB03D7">
        <w:rPr>
          <w:noProof/>
        </w:rPr>
        <w:t>45</w:t>
      </w:r>
      <w:r w:rsidR="00857467">
        <w:rPr>
          <w:noProof/>
        </w:rPr>
        <w:fldChar w:fldCharType="end"/>
      </w:r>
      <w:r w:rsidRPr="00B77EBE">
        <w:t>: Appropriateness of Discovery Projects scheme funding amount</w:t>
      </w:r>
    </w:p>
    <w:p w14:paraId="2BA55827" w14:textId="1E78067A" w:rsidR="00B77EBE" w:rsidRPr="00B77EBE" w:rsidRDefault="000E5749" w:rsidP="00B77EBE">
      <w:pPr>
        <w:rPr>
          <w:rFonts w:asciiTheme="majorHAnsi" w:hAnsiTheme="majorHAnsi" w:cstheme="majorHAnsi"/>
        </w:rPr>
      </w:pPr>
      <w:r>
        <w:rPr>
          <w:rFonts w:asciiTheme="majorHAnsi" w:hAnsiTheme="majorHAnsi" w:cstheme="majorHAnsi"/>
          <w:noProof/>
        </w:rPr>
        <w:drawing>
          <wp:inline distT="0" distB="0" distL="0" distR="0" wp14:anchorId="45176C93" wp14:editId="53123294">
            <wp:extent cx="5730875" cy="1591310"/>
            <wp:effectExtent l="0" t="0" r="3175" b="8890"/>
            <wp:docPr id="102" name="Picture 102" descr="Figure 45 is a graph showing the level of agreement among researcher survey respondents about the appropriateness of Discovery Projects’ available funding amount, given the scheme’s objectives and intended outcomes.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igure 45 is a graph showing the level of agreement among researcher survey respondents about the appropriateness of Discovery Projects’ available funding amount, given the scheme’s objectives and intended outcomes. See text above graph for more inform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1591310"/>
                    </a:xfrm>
                    <a:prstGeom prst="rect">
                      <a:avLst/>
                    </a:prstGeom>
                    <a:noFill/>
                  </pic:spPr>
                </pic:pic>
              </a:graphicData>
            </a:graphic>
          </wp:inline>
        </w:drawing>
      </w:r>
    </w:p>
    <w:p w14:paraId="01339974" w14:textId="77777777" w:rsidR="00B77EBE" w:rsidRPr="00B77EBE" w:rsidRDefault="00B77EBE" w:rsidP="00B77EBE">
      <w:pPr>
        <w:rPr>
          <w:rFonts w:asciiTheme="majorHAnsi" w:hAnsiTheme="majorHAnsi" w:cstheme="majorHAnsi"/>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Note: (n=2976).</w:t>
      </w:r>
    </w:p>
    <w:p w14:paraId="33929CFB" w14:textId="08F7B5EB" w:rsidR="00B77EBE" w:rsidRPr="0037361B" w:rsidRDefault="00B77EBE" w:rsidP="00B77EBE">
      <w:pPr>
        <w:spacing w:after="120"/>
        <w:rPr>
          <w:rFonts w:asciiTheme="majorHAnsi" w:hAnsiTheme="majorHAnsi" w:cstheme="majorHAnsi"/>
          <w:sz w:val="16"/>
          <w:szCs w:val="16"/>
        </w:rPr>
      </w:pPr>
      <w:r w:rsidRPr="00B77EBE">
        <w:rPr>
          <w:rFonts w:asciiTheme="majorHAnsi" w:hAnsiTheme="majorHAnsi" w:cstheme="majorHAnsi"/>
        </w:rPr>
        <w:t xml:space="preserve">When disaggregated according to the characteristics of researchers’ most recently completed project under the scheme, these results largely remained consistent. The only notable exception was that researchers completing STEM projects were less likely to agree or strongly agree (54 per cent) about the appropriateness of the funding amount than HASS researchers (65 per cent). This may reflect variations in costs for STEM and HASS research, with the former tending to be associated with higher funding requested per application under the </w:t>
      </w:r>
      <w:r w:rsidRPr="008C48B1">
        <w:rPr>
          <w:rFonts w:asciiTheme="majorHAnsi" w:hAnsiTheme="majorHAnsi" w:cstheme="majorHAnsi"/>
        </w:rPr>
        <w:t xml:space="preserve">scheme (see </w:t>
      </w:r>
      <w:hyperlink w:anchor="_Success_and_return" w:history="1">
        <w:r w:rsidR="0037361B" w:rsidRPr="00281670">
          <w:rPr>
            <w:rStyle w:val="Hyperlink"/>
            <w:rFonts w:cstheme="majorHAnsi"/>
            <w:color w:val="auto"/>
            <w:sz w:val="22"/>
            <w:u w:val="none"/>
          </w:rPr>
          <w:t>Section 2.8.2</w:t>
        </w:r>
      </w:hyperlink>
      <w:r w:rsidRPr="008C48B1">
        <w:rPr>
          <w:rFonts w:asciiTheme="majorHAnsi" w:hAnsiTheme="majorHAnsi" w:cstheme="majorHAnsi"/>
        </w:rPr>
        <w:t>).</w:t>
      </w:r>
    </w:p>
    <w:p w14:paraId="1A9D189D" w14:textId="148142DB" w:rsidR="00B77EBE" w:rsidRPr="00B77EBE" w:rsidRDefault="00B77EBE" w:rsidP="00B77EBE">
      <w:pPr>
        <w:spacing w:after="240"/>
        <w:rPr>
          <w:rFonts w:asciiTheme="majorHAnsi" w:eastAsiaTheme="minorEastAsia" w:hAnsiTheme="majorHAnsi" w:cstheme="majorHAnsi"/>
          <w:sz w:val="20"/>
          <w:lang w:eastAsia="en-AU"/>
        </w:rPr>
      </w:pPr>
      <w:r w:rsidRPr="00B77EBE">
        <w:rPr>
          <w:rFonts w:asciiTheme="majorHAnsi" w:eastAsiaTheme="minorEastAsia" w:hAnsiTheme="majorHAnsi" w:cstheme="majorHAnsi"/>
          <w:lang w:eastAsia="en-AU"/>
        </w:rPr>
        <w:t xml:space="preserve">In qualitative feedback, a number of survey </w:t>
      </w:r>
      <w:r w:rsidR="00366158">
        <w:rPr>
          <w:rFonts w:asciiTheme="majorHAnsi" w:eastAsiaTheme="minorEastAsia" w:hAnsiTheme="majorHAnsi" w:cstheme="majorHAnsi"/>
          <w:lang w:eastAsia="en-AU"/>
        </w:rPr>
        <w:t>participants</w:t>
      </w:r>
      <w:r w:rsidR="00366158" w:rsidRPr="00B77EBE">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 xml:space="preserve">argued that there may be value in lowering minimum funding amounts offered under Discovery Projects. These perspectives were frequently expressed in respect </w:t>
      </w:r>
      <w:r w:rsidR="009734DB">
        <w:rPr>
          <w:rFonts w:asciiTheme="majorHAnsi" w:eastAsiaTheme="minorEastAsia" w:hAnsiTheme="majorHAnsi" w:cstheme="majorHAnsi"/>
          <w:lang w:eastAsia="en-AU"/>
        </w:rPr>
        <w:t>of</w:t>
      </w:r>
      <w:r w:rsidR="009734DB" w:rsidRPr="00B77EBE">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specific disciplinary domains, including the humanities, social sciences and mathematics, which were viewed as being able to deliver high quality, substantial research outcomes with less funding. Feedback also included suggestions that smaller grants had the potential to foster higher success rates and to diversify the research supported under the scheme.</w:t>
      </w:r>
    </w:p>
    <w:p w14:paraId="17C5EC55" w14:textId="77777777" w:rsidR="00B77EBE" w:rsidRPr="00B77EBE" w:rsidRDefault="00B77EBE" w:rsidP="003E0DE0">
      <w:pPr>
        <w:pStyle w:val="Quote"/>
      </w:pPr>
      <w:r w:rsidRPr="00B77EBE">
        <w:lastRenderedPageBreak/>
        <w:t xml:space="preserve">Some disciplines would benefit from having smaller grants. For example, mathematical research is usually not organised in well-defined projects and not every project requires a post-doc </w:t>
      </w:r>
      <w:r w:rsidRPr="003E0DE0">
        <w:rPr>
          <w:i w:val="0"/>
          <w:iCs w:val="0"/>
        </w:rPr>
        <w:t>– (Researcher)</w:t>
      </w:r>
    </w:p>
    <w:p w14:paraId="1F0837EF" w14:textId="77777777" w:rsidR="00B77EBE" w:rsidRPr="00B77EBE" w:rsidRDefault="00B77EBE" w:rsidP="003E0DE0">
      <w:pPr>
        <w:pStyle w:val="Quote"/>
      </w:pPr>
      <w:r w:rsidRPr="00B77EBE">
        <w:t xml:space="preserve">For humanities and social sciences, more grants and smaller amounts funded for each grant </w:t>
      </w:r>
      <w:r w:rsidRPr="003E0DE0">
        <w:rPr>
          <w:i w:val="0"/>
          <w:iCs w:val="0"/>
        </w:rPr>
        <w:t>– (Researcher)</w:t>
      </w:r>
    </w:p>
    <w:p w14:paraId="19568CC1" w14:textId="77777777" w:rsidR="00B77EBE" w:rsidRPr="00B77EBE" w:rsidRDefault="00B77EBE" w:rsidP="003E0DE0">
      <w:pPr>
        <w:pStyle w:val="Quote"/>
      </w:pPr>
      <w:r w:rsidRPr="00B77EBE">
        <w:t xml:space="preserve">Please consider funding a range of smaller grants—like $50k over three years as part of this scheme. I believe it would support more diversity, a greater range of projects and ultimately do a lot for Australian innovation </w:t>
      </w:r>
      <w:r w:rsidRPr="003E0DE0">
        <w:rPr>
          <w:i w:val="0"/>
          <w:iCs w:val="0"/>
        </w:rPr>
        <w:t>– (Researcher)</w:t>
      </w:r>
    </w:p>
    <w:p w14:paraId="2862776F" w14:textId="785DA979" w:rsidR="00B77EBE" w:rsidRPr="00B77EBE" w:rsidRDefault="00B77EBE" w:rsidP="003E0DE0">
      <w:pPr>
        <w:pStyle w:val="Quote"/>
        <w:spacing w:after="240"/>
        <w:ind w:left="425" w:right="663"/>
      </w:pPr>
      <w:r w:rsidRPr="00B77EBE">
        <w:rPr>
          <w:lang w:val="en-US"/>
        </w:rPr>
        <w:t>It would probably be useful if there were more slightly smaller grants awarded, with a view to a greater percentage of applications being successful. The current success rates are low enough that a large majority of applicants are wasting a lot of time</w:t>
      </w:r>
      <w:r w:rsidRPr="00B77EBE">
        <w:t xml:space="preserve"> </w:t>
      </w:r>
      <w:r w:rsidRPr="003E0DE0">
        <w:rPr>
          <w:i w:val="0"/>
          <w:iCs w:val="0"/>
        </w:rPr>
        <w:t>– (Researcher)</w:t>
      </w:r>
    </w:p>
    <w:p w14:paraId="648C98B4" w14:textId="0591227F" w:rsidR="00B77EBE" w:rsidRPr="00B77EBE" w:rsidRDefault="00B77EBE" w:rsidP="00B77EBE">
      <w:pPr>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 xml:space="preserve">The themes highlighted in these responses align with the 2019 </w:t>
      </w:r>
      <w:r w:rsidRPr="00B77EBE">
        <w:rPr>
          <w:rFonts w:asciiTheme="majorHAnsi" w:eastAsiaTheme="minorEastAsia" w:hAnsiTheme="majorHAnsi" w:cstheme="majorHAnsi"/>
          <w:i/>
          <w:lang w:eastAsia="en-AU"/>
        </w:rPr>
        <w:t>Australian Government funding arrangements for non-NHMRC research</w:t>
      </w:r>
      <w:r w:rsidRPr="00B77EBE">
        <w:rPr>
          <w:rFonts w:asciiTheme="majorHAnsi" w:eastAsiaTheme="minorEastAsia" w:hAnsiTheme="majorHAnsi" w:cstheme="majorHAnsi"/>
          <w:lang w:eastAsia="en-AU"/>
        </w:rPr>
        <w:t xml:space="preserve"> report, which noted that the ‘needs of researchers will differ across disciplines’ and ‘that different levels of funding are required to support these needs’. The report recommended the implementation of smaller scale funding options by the ARC to support greater flexibility within Australia’s research funding system.</w:t>
      </w:r>
      <w:r w:rsidRPr="00B77EBE">
        <w:rPr>
          <w:rFonts w:asciiTheme="majorHAnsi" w:eastAsiaTheme="minorEastAsia" w:hAnsiTheme="majorHAnsi" w:cstheme="majorHAnsi"/>
          <w:vertAlign w:val="superscript"/>
          <w:lang w:eastAsia="en-AU"/>
        </w:rPr>
        <w:footnoteReference w:id="79"/>
      </w:r>
      <w:r w:rsidRPr="00B77EBE">
        <w:rPr>
          <w:rFonts w:asciiTheme="majorHAnsi" w:eastAsiaTheme="minorEastAsia" w:hAnsiTheme="majorHAnsi" w:cstheme="majorHAnsi"/>
          <w:lang w:eastAsia="en-AU"/>
        </w:rPr>
        <w:t xml:space="preserve"> In response to this review, the ARC noted that historic Discovery Projects data suggested a decline in the number of researchers seeking funding of less than $100,000, indicating the absence of widespread demand for smaller scale funding options. </w:t>
      </w:r>
    </w:p>
    <w:p w14:paraId="00CB1C81" w14:textId="77777777" w:rsidR="00B77EBE" w:rsidRPr="00B77EBE" w:rsidRDefault="00B77EBE" w:rsidP="00B77EBE">
      <w:pPr>
        <w:spacing w:after="120"/>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 xml:space="preserve">Given overall support for the appropriateness of Discovery Projects’ existing funding range among survey respondents, further evidence would be needed to recommend specific changes. However, perspectives presented within this evaluation highlighting some stakeholder support for changes to the minimum funding threshold should be considered within future reviews of Discovery Projects’ funding provisions. </w:t>
      </w:r>
    </w:p>
    <w:p w14:paraId="0B113A43" w14:textId="61D45804" w:rsidR="00B77EBE" w:rsidRPr="00B77EBE" w:rsidRDefault="00B77EBE" w:rsidP="00B77EBE">
      <w:pPr>
        <w:spacing w:after="240"/>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 xml:space="preserve">An additional </w:t>
      </w:r>
      <w:r w:rsidR="00113FC4">
        <w:rPr>
          <w:rFonts w:asciiTheme="majorHAnsi" w:eastAsiaTheme="minorEastAsia" w:hAnsiTheme="majorHAnsi" w:cstheme="majorHAnsi"/>
          <w:lang w:eastAsia="en-AU"/>
        </w:rPr>
        <w:t>matter</w:t>
      </w:r>
      <w:r w:rsidRPr="00B77EBE">
        <w:rPr>
          <w:rFonts w:asciiTheme="majorHAnsi" w:eastAsiaTheme="minorEastAsia" w:hAnsiTheme="majorHAnsi" w:cstheme="majorHAnsi"/>
          <w:lang w:eastAsia="en-AU"/>
        </w:rPr>
        <w:t xml:space="preserve"> highlighted by stakeholders </w:t>
      </w:r>
      <w:r w:rsidR="00113FC4">
        <w:rPr>
          <w:rFonts w:asciiTheme="majorHAnsi" w:eastAsiaTheme="minorEastAsia" w:hAnsiTheme="majorHAnsi" w:cstheme="majorHAnsi"/>
          <w:lang w:eastAsia="en-AU"/>
        </w:rPr>
        <w:t>concerned</w:t>
      </w:r>
      <w:r w:rsidR="00113FC4" w:rsidRPr="00B77EBE">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 xml:space="preserve">difficulties funding postdoctoral positions through the scheme. As </w:t>
      </w:r>
      <w:r w:rsidRPr="005D2DA7">
        <w:rPr>
          <w:rFonts w:asciiTheme="majorHAnsi" w:eastAsiaTheme="minorEastAsia" w:hAnsiTheme="majorHAnsi" w:cstheme="majorHAnsi"/>
          <w:lang w:eastAsia="en-AU"/>
        </w:rPr>
        <w:t xml:space="preserve">demonstrated in </w:t>
      </w:r>
      <w:r w:rsidR="005D2DA7" w:rsidRPr="005D2DA7">
        <w:rPr>
          <w:rFonts w:asciiTheme="majorHAnsi" w:eastAsiaTheme="minorEastAsia" w:hAnsiTheme="majorHAnsi" w:cstheme="majorHAnsi"/>
          <w:lang w:eastAsia="en-AU"/>
        </w:rPr>
        <w:fldChar w:fldCharType="begin"/>
      </w:r>
      <w:r w:rsidR="005D2DA7" w:rsidRPr="005D2DA7">
        <w:rPr>
          <w:rFonts w:asciiTheme="majorHAnsi" w:eastAsiaTheme="minorEastAsia" w:hAnsiTheme="majorHAnsi" w:cstheme="majorHAnsi"/>
          <w:lang w:eastAsia="en-AU"/>
        </w:rPr>
        <w:instrText xml:space="preserve"> REF _Ref50357811 \h  \* MERGEFORMAT </w:instrText>
      </w:r>
      <w:r w:rsidR="005D2DA7" w:rsidRPr="005D2DA7">
        <w:rPr>
          <w:rFonts w:asciiTheme="majorHAnsi" w:eastAsiaTheme="minorEastAsia" w:hAnsiTheme="majorHAnsi" w:cstheme="majorHAnsi"/>
          <w:lang w:eastAsia="en-AU"/>
        </w:rPr>
      </w:r>
      <w:r w:rsidR="005D2DA7" w:rsidRPr="005D2DA7">
        <w:rPr>
          <w:rFonts w:asciiTheme="majorHAnsi" w:eastAsiaTheme="minorEastAsia" w:hAnsiTheme="majorHAnsi" w:cstheme="majorHAnsi"/>
          <w:lang w:eastAsia="en-AU"/>
        </w:rPr>
        <w:fldChar w:fldCharType="separate"/>
      </w:r>
      <w:r w:rsidR="00AB03D7" w:rsidRPr="00AB03D7">
        <w:rPr>
          <w:rFonts w:asciiTheme="majorHAnsi" w:hAnsiTheme="majorHAnsi" w:cstheme="majorHAnsi"/>
          <w:iCs/>
          <w:color w:val="000000" w:themeColor="text1"/>
        </w:rPr>
        <w:t xml:space="preserve">Figure </w:t>
      </w:r>
      <w:r w:rsidR="00AB03D7" w:rsidRPr="00AB03D7">
        <w:rPr>
          <w:rFonts w:asciiTheme="majorHAnsi" w:hAnsiTheme="majorHAnsi" w:cstheme="majorHAnsi"/>
          <w:iCs/>
          <w:noProof/>
          <w:color w:val="000000" w:themeColor="text1"/>
        </w:rPr>
        <w:t>44</w:t>
      </w:r>
      <w:r w:rsidR="005D2DA7" w:rsidRPr="005D2DA7">
        <w:rPr>
          <w:rFonts w:asciiTheme="majorHAnsi" w:eastAsiaTheme="minorEastAsia" w:hAnsiTheme="majorHAnsi" w:cstheme="majorHAnsi"/>
          <w:lang w:eastAsia="en-AU"/>
        </w:rPr>
        <w:fldChar w:fldCharType="end"/>
      </w:r>
      <w:r w:rsidRPr="005D2DA7">
        <w:rPr>
          <w:rFonts w:asciiTheme="majorHAnsi" w:eastAsiaTheme="minorEastAsia" w:hAnsiTheme="majorHAnsi" w:cstheme="majorHAnsi"/>
          <w:lang w:eastAsia="en-AU"/>
        </w:rPr>
        <w:t>, the</w:t>
      </w:r>
      <w:r w:rsidRPr="00B77EBE">
        <w:rPr>
          <w:rFonts w:asciiTheme="majorHAnsi" w:eastAsiaTheme="minorEastAsia" w:hAnsiTheme="majorHAnsi" w:cstheme="majorHAnsi"/>
          <w:lang w:eastAsia="en-AU"/>
        </w:rPr>
        <w:t xml:space="preserve"> average amount of funding awarded for Discovery Projects grants has increased gradually over time, from slightly below $300,000 in DP06 to $431,747 in DP20. Stakeholders suggested that funding postdoctoral positions occupied too large a proportion of most Discovery Projects budgets, potentially diminishing the scheme’s contribution to the development of a sustainable Australian research workforce, and its subsequent research capacity.  </w:t>
      </w:r>
    </w:p>
    <w:p w14:paraId="2EF4D510" w14:textId="77777777" w:rsidR="00B77EBE" w:rsidRPr="00B77EBE" w:rsidRDefault="00B77EBE" w:rsidP="003E0DE0">
      <w:pPr>
        <w:pStyle w:val="Quote"/>
      </w:pPr>
      <w:r w:rsidRPr="00B77EBE">
        <w:t xml:space="preserve">The research budget allocated for Discovery Projects from the government is very low. Too many applications each year and successful applications end up with a fraction of the budget they have requested. One Discovery Project is not enough to hire a postdoctoral fellow in Australia </w:t>
      </w:r>
      <w:r w:rsidRPr="003E0DE0">
        <w:rPr>
          <w:i w:val="0"/>
          <w:iCs w:val="0"/>
        </w:rPr>
        <w:t>– (Researcher)</w:t>
      </w:r>
    </w:p>
    <w:p w14:paraId="019E990D" w14:textId="77777777" w:rsidR="00B77EBE" w:rsidRPr="00B77EBE" w:rsidRDefault="00B77EBE" w:rsidP="003E0DE0">
      <w:pPr>
        <w:pStyle w:val="Quote"/>
      </w:pPr>
      <w:r w:rsidRPr="00B77EBE">
        <w:t xml:space="preserve">The funding range is also too low to support postdoctoral fellows, and this greatly hampers research output as postdocs are a major contributor to Australian scientific publications. At current Group of Eight Enterprise Bargaining Agreement rates, a single postdoctoral fellow for three years would consume an entire ARC Discovery Projects </w:t>
      </w:r>
      <w:r w:rsidRPr="00B77EBE">
        <w:lastRenderedPageBreak/>
        <w:t xml:space="preserve">budget with nothing left for travel, equipment, or maintenance. This mismatch in funding levels will eliminate the postdoc as a viable career path for young academics in Australia—Chief Investigators cannot afford them anymore. We are seeing many bright young graduates go overseas instead to seek postdoctoral positions </w:t>
      </w:r>
      <w:r w:rsidRPr="003E0DE0">
        <w:rPr>
          <w:i w:val="0"/>
          <w:iCs w:val="0"/>
        </w:rPr>
        <w:t>– (Researcher)</w:t>
      </w:r>
    </w:p>
    <w:p w14:paraId="3C623578" w14:textId="77777777" w:rsidR="00B77EBE" w:rsidRPr="00B77EBE" w:rsidRDefault="00B77EBE" w:rsidP="003E0DE0">
      <w:pPr>
        <w:pStyle w:val="Quote"/>
        <w:spacing w:after="240"/>
        <w:ind w:left="425" w:right="663"/>
      </w:pPr>
      <w:r w:rsidRPr="00B77EBE">
        <w:t xml:space="preserve">The funding is not even enough to pay for a full-time postdoc. With no dedicated experienced person, it is difficult to achieve all the goals </w:t>
      </w:r>
      <w:r w:rsidRPr="003E0DE0">
        <w:rPr>
          <w:i w:val="0"/>
          <w:iCs w:val="0"/>
        </w:rPr>
        <w:t>– (Researcher)</w:t>
      </w:r>
    </w:p>
    <w:p w14:paraId="1EA9FF19" w14:textId="05799B30" w:rsidR="00B77EBE" w:rsidRPr="00281670" w:rsidRDefault="008E5C76" w:rsidP="00281670">
      <w:r w:rsidRPr="00281670">
        <w:rPr>
          <w:rFonts w:asciiTheme="majorHAnsi" w:hAnsiTheme="majorHAnsi" w:cstheme="majorHAnsi"/>
        </w:rPr>
        <w:t xml:space="preserve">Stakeholder concerns about the capacity to support postdoctoral positions through Discovery Projects grants are important to acknowledge, particularly given data presented earlier suggesting that the proportionate representation of Early and Mid-Career Chief Investigators on applications and funded projects declined over time (see </w:t>
      </w:r>
      <w:hyperlink w:anchor="_ARC_data—career_age" w:history="1">
        <w:r w:rsidR="0037361B" w:rsidRPr="00281670">
          <w:rPr>
            <w:rStyle w:val="Hyperlink"/>
            <w:color w:val="auto"/>
            <w:sz w:val="22"/>
            <w:u w:val="none"/>
          </w:rPr>
          <w:t>Section 4.</w:t>
        </w:r>
        <w:r w:rsidR="001D1126" w:rsidRPr="00281670">
          <w:rPr>
            <w:rStyle w:val="Hyperlink"/>
            <w:color w:val="auto"/>
            <w:sz w:val="22"/>
            <w:u w:val="none"/>
          </w:rPr>
          <w:t>2.2</w:t>
        </w:r>
      </w:hyperlink>
      <w:r w:rsidRPr="00281670">
        <w:rPr>
          <w:rFonts w:asciiTheme="majorHAnsi" w:hAnsiTheme="majorHAnsi" w:cstheme="majorHAnsi"/>
        </w:rPr>
        <w:t>)</w:t>
      </w:r>
      <w:r w:rsidRPr="008C48B1">
        <w:rPr>
          <w:rFonts w:asciiTheme="majorHAnsi" w:hAnsiTheme="majorHAnsi" w:cstheme="majorHAnsi"/>
        </w:rPr>
        <w:t>. W</w:t>
      </w:r>
      <w:r w:rsidRPr="00281670">
        <w:rPr>
          <w:rFonts w:asciiTheme="majorHAnsi" w:hAnsiTheme="majorHAnsi" w:cstheme="majorHAnsi"/>
        </w:rPr>
        <w:t xml:space="preserve">hile these are important considerations in </w:t>
      </w:r>
      <w:r w:rsidRPr="008C48B1">
        <w:rPr>
          <w:rFonts w:asciiTheme="majorHAnsi" w:hAnsiTheme="majorHAnsi" w:cstheme="majorHAnsi"/>
        </w:rPr>
        <w:t>evaluating</w:t>
      </w:r>
      <w:r w:rsidRPr="00281670">
        <w:rPr>
          <w:rFonts w:asciiTheme="majorHAnsi" w:hAnsiTheme="majorHAnsi" w:cstheme="majorHAnsi"/>
        </w:rPr>
        <w:t xml:space="preserve"> </w:t>
      </w:r>
      <w:r w:rsidRPr="008C48B1">
        <w:rPr>
          <w:rFonts w:asciiTheme="majorHAnsi" w:hAnsiTheme="majorHAnsi" w:cstheme="majorHAnsi"/>
        </w:rPr>
        <w:t>Discovery Projects’</w:t>
      </w:r>
      <w:r w:rsidRPr="00281670">
        <w:rPr>
          <w:rFonts w:asciiTheme="majorHAnsi" w:hAnsiTheme="majorHAnsi" w:cstheme="majorHAnsi"/>
        </w:rPr>
        <w:t xml:space="preserve"> support for less experienced researchers</w:t>
      </w:r>
      <w:r w:rsidR="00896A84" w:rsidRPr="008C48B1">
        <w:rPr>
          <w:rFonts w:asciiTheme="majorHAnsi" w:eastAsiaTheme="minorEastAsia" w:hAnsiTheme="majorHAnsi" w:cstheme="majorHAnsi"/>
          <w:lang w:eastAsia="en-AU"/>
        </w:rPr>
        <w:t>, quantitative survey results showed</w:t>
      </w:r>
      <w:r w:rsidR="00E10BF3" w:rsidRPr="008C48B1">
        <w:rPr>
          <w:rFonts w:asciiTheme="majorHAnsi" w:eastAsiaTheme="minorEastAsia" w:hAnsiTheme="majorHAnsi" w:cstheme="majorHAnsi"/>
          <w:lang w:eastAsia="en-AU"/>
        </w:rPr>
        <w:t xml:space="preserve"> </w:t>
      </w:r>
      <w:r w:rsidR="00E00DEE" w:rsidRPr="008C48B1">
        <w:rPr>
          <w:rFonts w:asciiTheme="majorHAnsi" w:eastAsiaTheme="minorEastAsia" w:hAnsiTheme="majorHAnsi" w:cstheme="majorHAnsi"/>
          <w:lang w:eastAsia="en-AU"/>
        </w:rPr>
        <w:t>that the schem</w:t>
      </w:r>
      <w:r w:rsidRPr="008C48B1">
        <w:rPr>
          <w:rFonts w:asciiTheme="majorHAnsi" w:eastAsiaTheme="minorEastAsia" w:hAnsiTheme="majorHAnsi" w:cstheme="majorHAnsi"/>
          <w:lang w:eastAsia="en-AU"/>
        </w:rPr>
        <w:t>e</w:t>
      </w:r>
      <w:r w:rsidR="00E00DEE" w:rsidRPr="008C48B1">
        <w:rPr>
          <w:rFonts w:asciiTheme="majorHAnsi" w:eastAsiaTheme="minorEastAsia" w:hAnsiTheme="majorHAnsi" w:cstheme="majorHAnsi"/>
          <w:lang w:eastAsia="en-AU"/>
        </w:rPr>
        <w:t xml:space="preserve"> was</w:t>
      </w:r>
      <w:r w:rsidR="004F25CC" w:rsidRPr="008C48B1">
        <w:rPr>
          <w:rFonts w:asciiTheme="majorHAnsi" w:eastAsiaTheme="minorEastAsia" w:hAnsiTheme="majorHAnsi" w:cstheme="majorHAnsi"/>
          <w:lang w:eastAsia="en-AU"/>
        </w:rPr>
        <w:t xml:space="preserve"> predominantly </w:t>
      </w:r>
      <w:r w:rsidR="00E00DEE" w:rsidRPr="008C48B1">
        <w:rPr>
          <w:rFonts w:asciiTheme="majorHAnsi" w:eastAsiaTheme="minorEastAsia" w:hAnsiTheme="majorHAnsi" w:cstheme="majorHAnsi"/>
          <w:lang w:eastAsia="en-AU"/>
        </w:rPr>
        <w:t xml:space="preserve">regarded as effective in its support both for research training (see </w:t>
      </w:r>
      <w:hyperlink w:anchor="_Quantitative_stakeholder_views" w:history="1">
        <w:r w:rsidR="00E00DEE" w:rsidRPr="00281670">
          <w:rPr>
            <w:rStyle w:val="Hyperlink"/>
            <w:rFonts w:eastAsiaTheme="minorEastAsia" w:cstheme="majorHAnsi"/>
            <w:color w:val="auto"/>
            <w:sz w:val="22"/>
            <w:u w:val="none"/>
            <w:lang w:eastAsia="en-AU"/>
          </w:rPr>
          <w:t xml:space="preserve">Section </w:t>
        </w:r>
        <w:r w:rsidR="009030AC" w:rsidRPr="00281670">
          <w:rPr>
            <w:rStyle w:val="Hyperlink"/>
            <w:rFonts w:eastAsiaTheme="minorEastAsia" w:cstheme="majorHAnsi"/>
            <w:color w:val="auto"/>
            <w:sz w:val="22"/>
            <w:u w:val="none"/>
            <w:lang w:eastAsia="en-AU"/>
          </w:rPr>
          <w:t>3</w:t>
        </w:r>
        <w:r w:rsidR="00E00DEE" w:rsidRPr="00281670">
          <w:rPr>
            <w:rStyle w:val="Hyperlink"/>
            <w:rFonts w:eastAsiaTheme="minorEastAsia" w:cstheme="majorHAnsi"/>
            <w:color w:val="auto"/>
            <w:sz w:val="22"/>
            <w:u w:val="none"/>
            <w:lang w:eastAsia="en-AU"/>
          </w:rPr>
          <w:t>.</w:t>
        </w:r>
        <w:r w:rsidR="009030AC" w:rsidRPr="00281670">
          <w:rPr>
            <w:rStyle w:val="Hyperlink"/>
            <w:rFonts w:eastAsiaTheme="minorEastAsia" w:cstheme="majorHAnsi"/>
            <w:color w:val="auto"/>
            <w:sz w:val="22"/>
            <w:u w:val="none"/>
            <w:lang w:eastAsia="en-AU"/>
          </w:rPr>
          <w:t>1</w:t>
        </w:r>
      </w:hyperlink>
      <w:r w:rsidR="00E00DEE" w:rsidRPr="008C48B1">
        <w:rPr>
          <w:rFonts w:asciiTheme="majorHAnsi" w:eastAsiaTheme="minorEastAsia" w:hAnsiTheme="majorHAnsi" w:cstheme="majorHAnsi"/>
          <w:lang w:eastAsia="en-AU"/>
        </w:rPr>
        <w:t xml:space="preserve">) and expanding Australia’s knowledge base and research capacity (see </w:t>
      </w:r>
      <w:hyperlink w:anchor="_Quantitative_stakeholder_views_1" w:history="1">
        <w:r w:rsidR="00E00DEE" w:rsidRPr="00281670">
          <w:rPr>
            <w:rStyle w:val="Hyperlink"/>
            <w:rFonts w:eastAsiaTheme="minorEastAsia" w:cstheme="majorHAnsi"/>
            <w:color w:val="auto"/>
            <w:sz w:val="22"/>
            <w:u w:val="none"/>
            <w:lang w:eastAsia="en-AU"/>
          </w:rPr>
          <w:t xml:space="preserve">Section </w:t>
        </w:r>
        <w:r w:rsidR="009030AC" w:rsidRPr="00281670">
          <w:rPr>
            <w:rStyle w:val="Hyperlink"/>
            <w:rFonts w:eastAsiaTheme="minorEastAsia" w:cstheme="majorHAnsi"/>
            <w:color w:val="auto"/>
            <w:sz w:val="22"/>
            <w:u w:val="none"/>
            <w:lang w:eastAsia="en-AU"/>
          </w:rPr>
          <w:t>4</w:t>
        </w:r>
        <w:r w:rsidR="00E00DEE" w:rsidRPr="00281670">
          <w:rPr>
            <w:rStyle w:val="Hyperlink"/>
            <w:rFonts w:eastAsiaTheme="minorEastAsia" w:cstheme="majorHAnsi"/>
            <w:color w:val="auto"/>
            <w:sz w:val="22"/>
            <w:u w:val="none"/>
            <w:lang w:eastAsia="en-AU"/>
          </w:rPr>
          <w:t>.</w:t>
        </w:r>
        <w:r w:rsidR="009030AC" w:rsidRPr="00281670">
          <w:rPr>
            <w:rStyle w:val="Hyperlink"/>
            <w:rFonts w:eastAsiaTheme="minorEastAsia" w:cstheme="majorHAnsi"/>
            <w:color w:val="auto"/>
            <w:sz w:val="22"/>
            <w:u w:val="none"/>
            <w:lang w:eastAsia="en-AU"/>
          </w:rPr>
          <w:t>1</w:t>
        </w:r>
      </w:hyperlink>
      <w:r w:rsidR="00E00DEE" w:rsidRPr="008C48B1">
        <w:rPr>
          <w:rFonts w:asciiTheme="majorHAnsi" w:eastAsiaTheme="minorEastAsia" w:hAnsiTheme="majorHAnsi" w:cstheme="majorHAnsi"/>
          <w:lang w:eastAsia="en-AU"/>
        </w:rPr>
        <w:t xml:space="preserve">). </w:t>
      </w:r>
      <w:r w:rsidR="00B77EBE" w:rsidRPr="008C48B1">
        <w:rPr>
          <w:rFonts w:asciiTheme="majorHAnsi" w:eastAsiaTheme="minorEastAsia" w:hAnsiTheme="majorHAnsi" w:cstheme="majorHAnsi"/>
          <w:lang w:eastAsia="en-AU"/>
        </w:rPr>
        <w:t xml:space="preserve">As previously noted in relation to research </w:t>
      </w:r>
      <w:r w:rsidR="009579AC" w:rsidRPr="008C48B1">
        <w:rPr>
          <w:rFonts w:asciiTheme="majorHAnsi" w:eastAsiaTheme="minorEastAsia" w:hAnsiTheme="majorHAnsi" w:cstheme="majorHAnsi"/>
          <w:lang w:eastAsia="en-AU"/>
        </w:rPr>
        <w:t>training more broadly</w:t>
      </w:r>
      <w:r w:rsidR="00B77EBE" w:rsidRPr="008C48B1">
        <w:rPr>
          <w:rFonts w:asciiTheme="majorHAnsi" w:eastAsiaTheme="minorEastAsia" w:hAnsiTheme="majorHAnsi" w:cstheme="majorHAnsi"/>
          <w:lang w:eastAsia="en-AU"/>
        </w:rPr>
        <w:t>, the provision of a one-line budget for successful</w:t>
      </w:r>
      <w:r w:rsidR="00B77EBE" w:rsidRPr="00B77EBE">
        <w:rPr>
          <w:rFonts w:asciiTheme="majorHAnsi" w:eastAsiaTheme="minorEastAsia" w:hAnsiTheme="majorHAnsi" w:cstheme="majorHAnsi"/>
          <w:lang w:eastAsia="en-AU"/>
        </w:rPr>
        <w:t xml:space="preserve"> applications</w:t>
      </w:r>
      <w:r w:rsidR="005A3CAD">
        <w:rPr>
          <w:rFonts w:asciiTheme="majorHAnsi" w:eastAsiaTheme="minorEastAsia" w:hAnsiTheme="majorHAnsi" w:cstheme="majorHAnsi"/>
          <w:lang w:eastAsia="en-AU"/>
        </w:rPr>
        <w:t xml:space="preserve"> and the absence of records documenting grant expenditure against specific budget items</w:t>
      </w:r>
      <w:r w:rsidR="00B77EBE" w:rsidRPr="00B77EBE">
        <w:rPr>
          <w:rFonts w:asciiTheme="majorHAnsi" w:eastAsiaTheme="minorEastAsia" w:hAnsiTheme="majorHAnsi" w:cstheme="majorHAnsi"/>
          <w:lang w:eastAsia="en-AU"/>
        </w:rPr>
        <w:t xml:space="preserve"> limit</w:t>
      </w:r>
      <w:r w:rsidR="0081271E">
        <w:rPr>
          <w:rFonts w:asciiTheme="majorHAnsi" w:eastAsiaTheme="minorEastAsia" w:hAnsiTheme="majorHAnsi" w:cstheme="majorHAnsi"/>
          <w:lang w:eastAsia="en-AU"/>
        </w:rPr>
        <w:t>s</w:t>
      </w:r>
      <w:r w:rsidR="00B77EBE" w:rsidRPr="00B77EBE">
        <w:rPr>
          <w:rFonts w:asciiTheme="majorHAnsi" w:eastAsiaTheme="minorEastAsia" w:hAnsiTheme="majorHAnsi" w:cstheme="majorHAnsi"/>
          <w:lang w:eastAsia="en-AU"/>
        </w:rPr>
        <w:t xml:space="preserve"> </w:t>
      </w:r>
      <w:r w:rsidR="004C35D3">
        <w:rPr>
          <w:rFonts w:asciiTheme="majorHAnsi" w:eastAsiaTheme="minorEastAsia" w:hAnsiTheme="majorHAnsi" w:cstheme="majorHAnsi"/>
          <w:lang w:eastAsia="en-AU"/>
        </w:rPr>
        <w:t xml:space="preserve">the </w:t>
      </w:r>
      <w:r w:rsidR="004A6E8F">
        <w:rPr>
          <w:rFonts w:asciiTheme="majorHAnsi" w:eastAsiaTheme="minorEastAsia" w:hAnsiTheme="majorHAnsi" w:cstheme="majorHAnsi"/>
          <w:lang w:eastAsia="en-AU"/>
        </w:rPr>
        <w:t>ARC’s</w:t>
      </w:r>
      <w:r w:rsidR="004C35D3">
        <w:rPr>
          <w:rFonts w:asciiTheme="majorHAnsi" w:eastAsiaTheme="minorEastAsia" w:hAnsiTheme="majorHAnsi" w:cstheme="majorHAnsi"/>
          <w:lang w:eastAsia="en-AU"/>
        </w:rPr>
        <w:t xml:space="preserve"> </w:t>
      </w:r>
      <w:r w:rsidR="009C6636">
        <w:rPr>
          <w:rFonts w:asciiTheme="majorHAnsi" w:eastAsiaTheme="minorEastAsia" w:hAnsiTheme="majorHAnsi" w:cstheme="majorHAnsi"/>
          <w:lang w:eastAsia="en-AU"/>
        </w:rPr>
        <w:t>ability</w:t>
      </w:r>
      <w:r w:rsidR="004C35D3">
        <w:rPr>
          <w:rFonts w:asciiTheme="majorHAnsi" w:eastAsiaTheme="minorEastAsia" w:hAnsiTheme="majorHAnsi" w:cstheme="majorHAnsi"/>
          <w:lang w:eastAsia="en-AU"/>
        </w:rPr>
        <w:t xml:space="preserve"> to estimate </w:t>
      </w:r>
      <w:r w:rsidR="00190B1B">
        <w:rPr>
          <w:rFonts w:asciiTheme="majorHAnsi" w:eastAsiaTheme="minorEastAsia" w:hAnsiTheme="majorHAnsi" w:cstheme="majorHAnsi"/>
          <w:lang w:eastAsia="en-AU"/>
        </w:rPr>
        <w:t xml:space="preserve">the level of </w:t>
      </w:r>
      <w:r w:rsidR="00E21E0D">
        <w:rPr>
          <w:rFonts w:asciiTheme="majorHAnsi" w:eastAsiaTheme="minorEastAsia" w:hAnsiTheme="majorHAnsi" w:cstheme="majorHAnsi"/>
          <w:lang w:eastAsia="en-AU"/>
        </w:rPr>
        <w:t xml:space="preserve">funding </w:t>
      </w:r>
      <w:r w:rsidR="009C6636">
        <w:rPr>
          <w:rFonts w:asciiTheme="majorHAnsi" w:eastAsiaTheme="minorEastAsia" w:hAnsiTheme="majorHAnsi" w:cstheme="majorHAnsi"/>
          <w:lang w:eastAsia="en-AU"/>
        </w:rPr>
        <w:t xml:space="preserve">support </w:t>
      </w:r>
      <w:r w:rsidR="00F14DF7">
        <w:rPr>
          <w:rFonts w:asciiTheme="majorHAnsi" w:eastAsiaTheme="minorEastAsia" w:hAnsiTheme="majorHAnsi" w:cstheme="majorHAnsi"/>
          <w:lang w:eastAsia="en-AU"/>
        </w:rPr>
        <w:t>for</w:t>
      </w:r>
      <w:r w:rsidR="007901DB" w:rsidRPr="00B77EBE">
        <w:rPr>
          <w:rFonts w:asciiTheme="majorHAnsi" w:eastAsiaTheme="minorEastAsia" w:hAnsiTheme="majorHAnsi" w:cstheme="majorHAnsi"/>
          <w:lang w:eastAsia="en-AU"/>
        </w:rPr>
        <w:t xml:space="preserve"> </w:t>
      </w:r>
      <w:r w:rsidR="00B77EBE" w:rsidRPr="00B77EBE">
        <w:rPr>
          <w:rFonts w:asciiTheme="majorHAnsi" w:eastAsiaTheme="minorEastAsia" w:hAnsiTheme="majorHAnsi" w:cstheme="majorHAnsi"/>
          <w:lang w:eastAsia="en-AU"/>
        </w:rPr>
        <w:t>postdoctoral positions under Discovery Projects</w:t>
      </w:r>
      <w:r w:rsidR="00F847B7">
        <w:rPr>
          <w:rFonts w:asciiTheme="majorHAnsi" w:eastAsiaTheme="minorEastAsia" w:hAnsiTheme="majorHAnsi" w:cstheme="majorHAnsi"/>
          <w:lang w:eastAsia="en-AU"/>
        </w:rPr>
        <w:t xml:space="preserve">. </w:t>
      </w:r>
      <w:r w:rsidR="00840262">
        <w:rPr>
          <w:rFonts w:asciiTheme="majorHAnsi" w:eastAsiaTheme="minorEastAsia" w:hAnsiTheme="majorHAnsi" w:cstheme="majorHAnsi"/>
          <w:lang w:eastAsia="en-AU"/>
        </w:rPr>
        <w:t>M</w:t>
      </w:r>
      <w:r w:rsidR="00F034A9">
        <w:rPr>
          <w:rFonts w:asciiTheme="majorHAnsi" w:eastAsiaTheme="minorEastAsia" w:hAnsiTheme="majorHAnsi" w:cstheme="majorHAnsi"/>
          <w:lang w:eastAsia="en-AU"/>
        </w:rPr>
        <w:t>echanisms to</w:t>
      </w:r>
      <w:r w:rsidR="008E4DF3">
        <w:rPr>
          <w:rFonts w:asciiTheme="majorHAnsi" w:eastAsiaTheme="minorEastAsia" w:hAnsiTheme="majorHAnsi" w:cstheme="majorHAnsi"/>
          <w:lang w:eastAsia="en-AU"/>
        </w:rPr>
        <w:t xml:space="preserve"> more effectively</w:t>
      </w:r>
      <w:r w:rsidR="00F034A9">
        <w:rPr>
          <w:rFonts w:asciiTheme="majorHAnsi" w:eastAsiaTheme="minorEastAsia" w:hAnsiTheme="majorHAnsi" w:cstheme="majorHAnsi"/>
          <w:lang w:eastAsia="en-AU"/>
        </w:rPr>
        <w:t xml:space="preserve"> </w:t>
      </w:r>
      <w:r w:rsidR="00186952">
        <w:rPr>
          <w:rFonts w:asciiTheme="majorHAnsi" w:eastAsiaTheme="minorEastAsia" w:hAnsiTheme="majorHAnsi" w:cstheme="majorHAnsi"/>
          <w:lang w:eastAsia="en-AU"/>
        </w:rPr>
        <w:t>monitor</w:t>
      </w:r>
      <w:r w:rsidR="00DC151E">
        <w:rPr>
          <w:rFonts w:asciiTheme="majorHAnsi" w:eastAsiaTheme="minorEastAsia" w:hAnsiTheme="majorHAnsi" w:cstheme="majorHAnsi"/>
          <w:lang w:eastAsia="en-AU"/>
        </w:rPr>
        <w:t xml:space="preserve"> how </w:t>
      </w:r>
      <w:r w:rsidR="00B229D6">
        <w:rPr>
          <w:rFonts w:asciiTheme="majorHAnsi" w:eastAsiaTheme="minorEastAsia" w:hAnsiTheme="majorHAnsi" w:cstheme="majorHAnsi"/>
          <w:lang w:eastAsia="en-AU"/>
        </w:rPr>
        <w:t>scheme</w:t>
      </w:r>
      <w:r w:rsidR="00186952">
        <w:rPr>
          <w:rFonts w:asciiTheme="majorHAnsi" w:eastAsiaTheme="minorEastAsia" w:hAnsiTheme="majorHAnsi" w:cstheme="majorHAnsi"/>
          <w:lang w:eastAsia="en-AU"/>
        </w:rPr>
        <w:t xml:space="preserve"> </w:t>
      </w:r>
      <w:r w:rsidR="00DC151E">
        <w:rPr>
          <w:rFonts w:asciiTheme="majorHAnsi" w:eastAsiaTheme="minorEastAsia" w:hAnsiTheme="majorHAnsi" w:cstheme="majorHAnsi"/>
          <w:lang w:eastAsia="en-AU"/>
        </w:rPr>
        <w:t>funding is allocated and</w:t>
      </w:r>
      <w:r w:rsidR="008B7FC9">
        <w:rPr>
          <w:rFonts w:asciiTheme="majorHAnsi" w:eastAsiaTheme="minorEastAsia" w:hAnsiTheme="majorHAnsi" w:cstheme="majorHAnsi"/>
          <w:lang w:eastAsia="en-AU"/>
        </w:rPr>
        <w:t>/or</w:t>
      </w:r>
      <w:r w:rsidR="00E21E0D">
        <w:rPr>
          <w:rFonts w:asciiTheme="majorHAnsi" w:eastAsiaTheme="minorEastAsia" w:hAnsiTheme="majorHAnsi" w:cstheme="majorHAnsi"/>
          <w:lang w:eastAsia="en-AU"/>
        </w:rPr>
        <w:t xml:space="preserve"> acquitted</w:t>
      </w:r>
      <w:r w:rsidR="00840262">
        <w:rPr>
          <w:rFonts w:asciiTheme="majorHAnsi" w:eastAsiaTheme="minorEastAsia" w:hAnsiTheme="majorHAnsi" w:cstheme="majorHAnsi"/>
          <w:lang w:eastAsia="en-AU"/>
        </w:rPr>
        <w:t xml:space="preserve"> would allow </w:t>
      </w:r>
      <w:r w:rsidR="00231A1B">
        <w:rPr>
          <w:rFonts w:asciiTheme="majorHAnsi" w:eastAsiaTheme="minorEastAsia" w:hAnsiTheme="majorHAnsi" w:cstheme="majorHAnsi"/>
          <w:lang w:eastAsia="en-AU"/>
        </w:rPr>
        <w:t xml:space="preserve">the ARC to more </w:t>
      </w:r>
      <w:r w:rsidR="002414A2">
        <w:rPr>
          <w:rFonts w:asciiTheme="majorHAnsi" w:eastAsiaTheme="minorEastAsia" w:hAnsiTheme="majorHAnsi" w:cstheme="majorHAnsi"/>
          <w:lang w:eastAsia="en-AU"/>
        </w:rPr>
        <w:t>accurately</w:t>
      </w:r>
      <w:r w:rsidR="00231A1B">
        <w:rPr>
          <w:rFonts w:asciiTheme="majorHAnsi" w:eastAsiaTheme="minorEastAsia" w:hAnsiTheme="majorHAnsi" w:cstheme="majorHAnsi"/>
          <w:lang w:eastAsia="en-AU"/>
        </w:rPr>
        <w:t xml:space="preserve"> </w:t>
      </w:r>
      <w:r w:rsidR="004E7608">
        <w:rPr>
          <w:rFonts w:asciiTheme="majorHAnsi" w:eastAsiaTheme="minorEastAsia" w:hAnsiTheme="majorHAnsi" w:cstheme="majorHAnsi"/>
          <w:lang w:eastAsia="en-AU"/>
        </w:rPr>
        <w:t>evaluate the scale of Discovery Projects’ support for</w:t>
      </w:r>
      <w:r w:rsidR="002414A2">
        <w:rPr>
          <w:rFonts w:asciiTheme="majorHAnsi" w:eastAsiaTheme="minorEastAsia" w:hAnsiTheme="majorHAnsi" w:cstheme="majorHAnsi"/>
          <w:lang w:eastAsia="en-AU"/>
        </w:rPr>
        <w:t xml:space="preserve"> </w:t>
      </w:r>
      <w:proofErr w:type="spellStart"/>
      <w:r w:rsidR="002414A2">
        <w:rPr>
          <w:rFonts w:asciiTheme="majorHAnsi" w:eastAsiaTheme="minorEastAsia" w:hAnsiTheme="majorHAnsi" w:cstheme="majorHAnsi"/>
          <w:lang w:eastAsia="en-AU"/>
        </w:rPr>
        <w:t>postdoctora</w:t>
      </w:r>
      <w:r w:rsidR="004E7608">
        <w:rPr>
          <w:rFonts w:asciiTheme="majorHAnsi" w:eastAsiaTheme="minorEastAsia" w:hAnsiTheme="majorHAnsi" w:cstheme="majorHAnsi"/>
          <w:lang w:eastAsia="en-AU"/>
        </w:rPr>
        <w:t>tes</w:t>
      </w:r>
      <w:proofErr w:type="spellEnd"/>
      <w:r w:rsidR="004E7608">
        <w:rPr>
          <w:rFonts w:asciiTheme="majorHAnsi" w:eastAsiaTheme="minorEastAsia" w:hAnsiTheme="majorHAnsi" w:cstheme="majorHAnsi"/>
          <w:lang w:eastAsia="en-AU"/>
        </w:rPr>
        <w:t xml:space="preserve"> over time</w:t>
      </w:r>
      <w:r w:rsidR="00231A1B">
        <w:rPr>
          <w:rFonts w:asciiTheme="majorHAnsi" w:eastAsiaTheme="minorEastAsia" w:hAnsiTheme="majorHAnsi" w:cstheme="majorHAnsi"/>
          <w:lang w:eastAsia="en-AU"/>
        </w:rPr>
        <w:t>.</w:t>
      </w:r>
    </w:p>
    <w:p w14:paraId="7AAC15C8" w14:textId="03B06551" w:rsidR="00B77EBE" w:rsidRPr="00B77EBE" w:rsidRDefault="00B77EBE" w:rsidP="003C12B2">
      <w:pPr>
        <w:pStyle w:val="Heading3"/>
        <w:numPr>
          <w:ilvl w:val="2"/>
          <w:numId w:val="17"/>
        </w:numPr>
        <w:rPr>
          <w:lang w:eastAsia="en-AU"/>
        </w:rPr>
      </w:pPr>
      <w:bookmarkStart w:id="919" w:name="_Toc51917066"/>
      <w:bookmarkStart w:id="920" w:name="_Toc51918906"/>
      <w:bookmarkStart w:id="921" w:name="_ARC_data—funding_duration"/>
      <w:bookmarkStart w:id="922" w:name="_Toc50533656"/>
      <w:bookmarkStart w:id="923" w:name="_Toc50553805"/>
      <w:bookmarkStart w:id="924" w:name="_Toc50555042"/>
      <w:bookmarkStart w:id="925" w:name="_Toc50618176"/>
      <w:bookmarkStart w:id="926" w:name="_Toc50618456"/>
      <w:bookmarkStart w:id="927" w:name="_Toc51917067"/>
      <w:bookmarkStart w:id="928" w:name="_Toc51918907"/>
      <w:bookmarkStart w:id="929" w:name="_Toc53557281"/>
      <w:bookmarkStart w:id="930" w:name="_Toc54699323"/>
      <w:bookmarkStart w:id="931" w:name="_Toc55544857"/>
      <w:bookmarkEnd w:id="919"/>
      <w:bookmarkEnd w:id="920"/>
      <w:bookmarkEnd w:id="921"/>
      <w:r w:rsidRPr="00B77EBE">
        <w:t>ARC data—funding duration</w:t>
      </w:r>
      <w:bookmarkEnd w:id="922"/>
      <w:bookmarkEnd w:id="923"/>
      <w:bookmarkEnd w:id="924"/>
      <w:bookmarkEnd w:id="925"/>
      <w:bookmarkEnd w:id="926"/>
      <w:bookmarkEnd w:id="927"/>
      <w:bookmarkEnd w:id="928"/>
      <w:bookmarkEnd w:id="929"/>
      <w:bookmarkEnd w:id="930"/>
      <w:bookmarkEnd w:id="931"/>
    </w:p>
    <w:p w14:paraId="36CC803C" w14:textId="77777777" w:rsidR="00B77EBE" w:rsidRPr="00B77EBE" w:rsidRDefault="00B77EBE" w:rsidP="00B77EBE">
      <w:pPr>
        <w:rPr>
          <w:rFonts w:asciiTheme="majorHAnsi" w:hAnsiTheme="majorHAnsi" w:cstheme="majorHAnsi"/>
          <w:lang w:eastAsia="en-AU"/>
        </w:rPr>
      </w:pPr>
      <w:r w:rsidRPr="00B77EBE">
        <w:rPr>
          <w:rFonts w:asciiTheme="majorHAnsi" w:hAnsiTheme="majorHAnsi" w:cstheme="majorHAnsi"/>
          <w:lang w:eastAsia="en-AU"/>
        </w:rPr>
        <w:t xml:space="preserve">The duration of funding offered under NCGP schemes is determined in light of multiple factors, including total funding available, scheme objectives and intended outcomes, and the scale of the projects being funded. The duration of Discovery Projects funding has fluctuated somewhat over time. Between DP02 and DP11, the scheme offered funding for between one and five years. Between DP12 and DP14, it offered funding for up to three years, which was extended to up to five years from DP15 onwards. </w:t>
      </w:r>
    </w:p>
    <w:p w14:paraId="5E604AE6" w14:textId="1BFBA625" w:rsidR="00B77EBE" w:rsidRPr="00B77EBE" w:rsidRDefault="00712D22" w:rsidP="00B77EBE">
      <w:pPr>
        <w:rPr>
          <w:rFonts w:asciiTheme="majorHAnsi" w:hAnsiTheme="majorHAnsi" w:cstheme="majorHAnsi"/>
          <w:lang w:eastAsia="en-AU"/>
        </w:rPr>
      </w:pPr>
      <w:r>
        <w:rPr>
          <w:rFonts w:asciiTheme="majorHAnsi" w:hAnsiTheme="majorHAnsi" w:cstheme="majorHAnsi"/>
          <w:lang w:eastAsia="en-AU"/>
        </w:rPr>
        <w:t>I</w:t>
      </w:r>
      <w:r w:rsidR="007C1624">
        <w:rPr>
          <w:rFonts w:asciiTheme="majorHAnsi" w:hAnsiTheme="majorHAnsi" w:cstheme="majorHAnsi"/>
          <w:lang w:eastAsia="en-AU"/>
        </w:rPr>
        <w:t>n</w:t>
      </w:r>
      <w:r w:rsidR="007C1624" w:rsidRPr="00B77EBE">
        <w:rPr>
          <w:rFonts w:asciiTheme="majorHAnsi" w:hAnsiTheme="majorHAnsi" w:cstheme="majorHAnsi"/>
          <w:lang w:eastAsia="en-AU"/>
        </w:rPr>
        <w:t xml:space="preserve"> </w:t>
      </w:r>
      <w:r w:rsidR="00B77EBE" w:rsidRPr="00B77EBE">
        <w:rPr>
          <w:rFonts w:asciiTheme="majorHAnsi" w:hAnsiTheme="majorHAnsi" w:cstheme="majorHAnsi"/>
          <w:lang w:eastAsia="en-AU"/>
        </w:rPr>
        <w:t>assessing the appropriateness of Discovery Projects’ funding duration</w:t>
      </w:r>
      <w:r>
        <w:rPr>
          <w:rFonts w:asciiTheme="majorHAnsi" w:hAnsiTheme="majorHAnsi" w:cstheme="majorHAnsi"/>
          <w:lang w:eastAsia="en-AU"/>
        </w:rPr>
        <w:t xml:space="preserve"> it is important to consider that,</w:t>
      </w:r>
      <w:r w:rsidR="00B77EBE" w:rsidRPr="00B77EBE">
        <w:rPr>
          <w:rFonts w:asciiTheme="majorHAnsi" w:hAnsiTheme="majorHAnsi" w:cstheme="majorHAnsi"/>
          <w:lang w:eastAsia="en-AU"/>
        </w:rPr>
        <w:t xml:space="preserve"> </w:t>
      </w:r>
      <w:r>
        <w:rPr>
          <w:rFonts w:asciiTheme="majorHAnsi" w:hAnsiTheme="majorHAnsi" w:cstheme="majorHAnsi"/>
          <w:lang w:eastAsia="en-AU"/>
        </w:rPr>
        <w:t>o</w:t>
      </w:r>
      <w:r w:rsidR="00B77EBE" w:rsidRPr="00B77EBE">
        <w:rPr>
          <w:rFonts w:asciiTheme="majorHAnsi" w:hAnsiTheme="majorHAnsi" w:cstheme="majorHAnsi"/>
          <w:lang w:eastAsia="en-AU"/>
        </w:rPr>
        <w:t>n the one hand, t</w:t>
      </w:r>
      <w:r w:rsidR="006D7DCF">
        <w:rPr>
          <w:rFonts w:asciiTheme="majorHAnsi" w:hAnsiTheme="majorHAnsi" w:cstheme="majorHAnsi"/>
          <w:lang w:eastAsia="en-AU"/>
        </w:rPr>
        <w:t xml:space="preserve">he </w:t>
      </w:r>
      <w:r w:rsidR="00B77EBE" w:rsidRPr="00B77EBE">
        <w:rPr>
          <w:rFonts w:asciiTheme="majorHAnsi" w:hAnsiTheme="majorHAnsi" w:cstheme="majorHAnsi"/>
          <w:lang w:eastAsia="en-AU"/>
        </w:rPr>
        <w:t>CGRGs encourage Australian Government entities to develop ‘longer term grant agreements, where appropriate’, in order to reduce costs associated with administering additional grant rounds and applications, and to achieve better value for public money.</w:t>
      </w:r>
      <w:r w:rsidR="00B77EBE" w:rsidRPr="00B77EBE">
        <w:rPr>
          <w:rFonts w:asciiTheme="majorHAnsi" w:hAnsiTheme="majorHAnsi" w:cstheme="majorHAnsi"/>
          <w:vertAlign w:val="superscript"/>
          <w:lang w:eastAsia="en-AU"/>
        </w:rPr>
        <w:footnoteReference w:id="80"/>
      </w:r>
      <w:r w:rsidR="00B77EBE" w:rsidRPr="00B77EBE">
        <w:rPr>
          <w:rFonts w:asciiTheme="majorHAnsi" w:hAnsiTheme="majorHAnsi" w:cstheme="majorHAnsi"/>
          <w:lang w:eastAsia="en-AU"/>
        </w:rPr>
        <w:t xml:space="preserve"> Longer grants also allow for greater stability, providing researchers with the confidence to develop extended projects, potentially resulting in greater academic and translational impact. On the other hand, longer grants tend to be associated with higher costs per grant. Shorter funding durations may contribute to improved success rates, within the context of finite available funding.</w:t>
      </w:r>
    </w:p>
    <w:p w14:paraId="2F262FE0" w14:textId="3C8877DF" w:rsidR="00B77EBE" w:rsidRPr="00B77EBE" w:rsidRDefault="00B77EBE" w:rsidP="00B77EBE">
      <w:pPr>
        <w:rPr>
          <w:rFonts w:asciiTheme="majorHAnsi" w:hAnsiTheme="majorHAnsi" w:cstheme="majorHAnsi"/>
          <w:lang w:eastAsia="en-AU"/>
        </w:rPr>
      </w:pPr>
      <w:r w:rsidRPr="00B77EBE">
        <w:rPr>
          <w:rFonts w:asciiTheme="majorHAnsi" w:hAnsiTheme="majorHAnsi" w:cstheme="majorHAnsi"/>
          <w:lang w:eastAsia="en-AU"/>
        </w:rPr>
        <w:t xml:space="preserve">While the scheme’s funding duration has changed over time, the average funding length for successful applications has remained relatively static, between a minimum of </w:t>
      </w:r>
      <w:r w:rsidR="00F76220">
        <w:rPr>
          <w:rFonts w:asciiTheme="majorHAnsi" w:hAnsiTheme="majorHAnsi" w:cstheme="majorHAnsi"/>
          <w:lang w:eastAsia="en-AU"/>
        </w:rPr>
        <w:t>3.0</w:t>
      </w:r>
      <w:r w:rsidRPr="00B77EBE">
        <w:rPr>
          <w:rFonts w:asciiTheme="majorHAnsi" w:hAnsiTheme="majorHAnsi" w:cstheme="majorHAnsi"/>
          <w:lang w:eastAsia="en-AU"/>
        </w:rPr>
        <w:t xml:space="preserve"> years (DP12) and a maximum of 3.3 years (DP10). </w:t>
      </w:r>
      <w:r w:rsidRPr="00B77EBE">
        <w:rPr>
          <w:rFonts w:asciiTheme="majorHAnsi" w:hAnsiTheme="majorHAnsi" w:cstheme="majorHAnsi"/>
          <w:color w:val="000000" w:themeColor="text1"/>
        </w:rPr>
        <w:fldChar w:fldCharType="begin"/>
      </w:r>
      <w:r w:rsidRPr="00B77EBE">
        <w:rPr>
          <w:rFonts w:asciiTheme="majorHAnsi" w:hAnsiTheme="majorHAnsi" w:cstheme="majorHAnsi"/>
          <w:lang w:eastAsia="en-AU"/>
        </w:rPr>
        <w:instrText xml:space="preserve"> REF _Ref37329350 \h </w:instrText>
      </w:r>
      <w:r w:rsidRPr="00B77EBE">
        <w:rPr>
          <w:rFonts w:asciiTheme="majorHAnsi" w:hAnsiTheme="majorHAnsi" w:cstheme="majorHAnsi"/>
          <w:color w:val="000000" w:themeColor="text1"/>
        </w:rPr>
        <w:instrText xml:space="preserve"> \* MERGEFORMAT </w:instrText>
      </w:r>
      <w:r w:rsidRPr="00B77EBE">
        <w:rPr>
          <w:rFonts w:asciiTheme="majorHAnsi" w:hAnsiTheme="majorHAnsi" w:cstheme="majorHAnsi"/>
          <w:color w:val="000000" w:themeColor="text1"/>
        </w:rPr>
      </w:r>
      <w:r w:rsidRPr="00B77EBE">
        <w:rPr>
          <w:rFonts w:asciiTheme="majorHAnsi" w:hAnsiTheme="majorHAnsi" w:cstheme="majorHAnsi"/>
          <w:color w:val="000000" w:themeColor="text1"/>
        </w:rPr>
        <w:fldChar w:fldCharType="separate"/>
      </w:r>
      <w:r w:rsidR="00AB03D7" w:rsidRPr="00AB03D7">
        <w:rPr>
          <w:rFonts w:asciiTheme="majorHAnsi" w:hAnsiTheme="majorHAnsi" w:cstheme="majorHAnsi"/>
          <w:color w:val="000000" w:themeColor="text1"/>
        </w:rPr>
        <w:t xml:space="preserve">Figure </w:t>
      </w:r>
      <w:r w:rsidR="00AB03D7" w:rsidRPr="00AB03D7">
        <w:rPr>
          <w:rFonts w:asciiTheme="majorHAnsi" w:hAnsiTheme="majorHAnsi" w:cstheme="majorHAnsi"/>
          <w:noProof/>
          <w:color w:val="000000" w:themeColor="text1"/>
        </w:rPr>
        <w:t>46</w:t>
      </w:r>
      <w:r w:rsidRPr="00B77EBE">
        <w:rPr>
          <w:rFonts w:asciiTheme="majorHAnsi" w:hAnsiTheme="majorHAnsi" w:cstheme="majorHAnsi"/>
          <w:color w:val="000000" w:themeColor="text1"/>
        </w:rPr>
        <w:fldChar w:fldCharType="end"/>
      </w:r>
      <w:r w:rsidRPr="00B77EBE">
        <w:rPr>
          <w:rFonts w:asciiTheme="majorHAnsi" w:hAnsiTheme="majorHAnsi" w:cstheme="majorHAnsi"/>
          <w:lang w:eastAsia="en-AU"/>
        </w:rPr>
        <w:t xml:space="preserve"> shows that the vast majority (at least 70 per cent) of successful applications </w:t>
      </w:r>
      <w:r w:rsidR="00F203B4">
        <w:rPr>
          <w:rFonts w:asciiTheme="majorHAnsi" w:hAnsiTheme="majorHAnsi" w:cstheme="majorHAnsi"/>
          <w:lang w:eastAsia="en-AU"/>
        </w:rPr>
        <w:t>were</w:t>
      </w:r>
      <w:r w:rsidRPr="00B77EBE">
        <w:rPr>
          <w:rFonts w:asciiTheme="majorHAnsi" w:hAnsiTheme="majorHAnsi" w:cstheme="majorHAnsi"/>
          <w:lang w:eastAsia="en-AU"/>
        </w:rPr>
        <w:t xml:space="preserve"> awarded funding for three years in all funding rounds. Further, it appears that individual project funding durations converged over time. In the past four funding rounds announced, 93–95 per cent of successful applications were offered support for three years, compared to 78 per cent of projects funded between DP02 and DP10. These differences may partly reflect the </w:t>
      </w:r>
      <w:r w:rsidRPr="00B77EBE">
        <w:rPr>
          <w:rFonts w:asciiTheme="majorHAnsi" w:hAnsiTheme="majorHAnsi" w:cstheme="majorHAnsi"/>
          <w:lang w:eastAsia="en-AU"/>
        </w:rPr>
        <w:lastRenderedPageBreak/>
        <w:t>removal of fellowship opportunities from the scheme, which were typically funded over a five year duration</w:t>
      </w:r>
      <w:r w:rsidR="00DF07A8">
        <w:rPr>
          <w:rFonts w:asciiTheme="majorHAnsi" w:hAnsiTheme="majorHAnsi" w:cstheme="majorHAnsi"/>
          <w:lang w:eastAsia="en-AU"/>
        </w:rPr>
        <w:t>;</w:t>
      </w:r>
      <w:r w:rsidR="00DF07A8" w:rsidRPr="00B77EBE">
        <w:rPr>
          <w:rFonts w:asciiTheme="majorHAnsi" w:hAnsiTheme="majorHAnsi" w:cstheme="majorHAnsi"/>
          <w:vertAlign w:val="superscript"/>
          <w:lang w:eastAsia="en-AU"/>
        </w:rPr>
        <w:footnoteReference w:id="81"/>
      </w:r>
      <w:r w:rsidR="0057652C">
        <w:rPr>
          <w:rFonts w:asciiTheme="majorHAnsi" w:hAnsiTheme="majorHAnsi" w:cstheme="majorHAnsi"/>
          <w:lang w:eastAsia="en-AU"/>
        </w:rPr>
        <w:t xml:space="preserve"> approximately 150–200 fellowships were awarded per funding round during this period</w:t>
      </w:r>
      <w:r w:rsidRPr="00B77EBE">
        <w:rPr>
          <w:rFonts w:asciiTheme="majorHAnsi" w:hAnsiTheme="majorHAnsi" w:cstheme="majorHAnsi"/>
          <w:lang w:eastAsia="en-AU"/>
        </w:rPr>
        <w:t>.</w:t>
      </w:r>
    </w:p>
    <w:p w14:paraId="67076171" w14:textId="1C1E894E" w:rsidR="00B77EBE" w:rsidRPr="00B77EBE" w:rsidRDefault="00B77EBE" w:rsidP="00751469">
      <w:pPr>
        <w:pStyle w:val="FigureTitle"/>
      </w:pPr>
      <w:bookmarkStart w:id="932" w:name="_Ref37329350"/>
      <w:r w:rsidRPr="00B77EBE">
        <w:t xml:space="preserve">Figure </w:t>
      </w:r>
      <w:r w:rsidR="00857467">
        <w:fldChar w:fldCharType="begin"/>
      </w:r>
      <w:r w:rsidR="00857467">
        <w:instrText xml:space="preserve"> SEQ Figure \* ARABIC </w:instrText>
      </w:r>
      <w:r w:rsidR="00857467">
        <w:fldChar w:fldCharType="separate"/>
      </w:r>
      <w:r w:rsidR="00AB03D7">
        <w:rPr>
          <w:noProof/>
        </w:rPr>
        <w:t>46</w:t>
      </w:r>
      <w:r w:rsidR="00857467">
        <w:rPr>
          <w:noProof/>
        </w:rPr>
        <w:fldChar w:fldCharType="end"/>
      </w:r>
      <w:bookmarkEnd w:id="932"/>
      <w:r w:rsidRPr="00B77EBE">
        <w:t>: Funding duration for funded projects, DP02–DP20</w:t>
      </w:r>
    </w:p>
    <w:p w14:paraId="21320751" w14:textId="3FF9489A" w:rsidR="00B77EBE" w:rsidRPr="00B77EBE" w:rsidRDefault="000E5749" w:rsidP="00B77EBE">
      <w:pPr>
        <w:rPr>
          <w:rFonts w:asciiTheme="majorHAnsi" w:hAnsiTheme="majorHAnsi" w:cstheme="majorHAnsi"/>
          <w:lang w:eastAsia="en-AU"/>
        </w:rPr>
      </w:pPr>
      <w:r>
        <w:rPr>
          <w:rFonts w:asciiTheme="majorHAnsi" w:hAnsiTheme="majorHAnsi" w:cstheme="majorHAnsi"/>
          <w:noProof/>
          <w:lang w:eastAsia="en-AU"/>
        </w:rPr>
        <w:drawing>
          <wp:inline distT="0" distB="0" distL="0" distR="0" wp14:anchorId="61A2F889" wp14:editId="4906B2BF">
            <wp:extent cx="5755005" cy="2316480"/>
            <wp:effectExtent l="0" t="0" r="0" b="7620"/>
            <wp:docPr id="103" name="Picture 103" descr="Figure 46 is a graph showing the funding duration of Discovery Projects funded projects between DP02 and D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Figure 46 is a graph showing the funding duration of Discovery Projects funded projects between DP02 and D20. See text above graph for more inform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5005" cy="2316480"/>
                    </a:xfrm>
                    <a:prstGeom prst="rect">
                      <a:avLst/>
                    </a:prstGeom>
                    <a:noFill/>
                  </pic:spPr>
                </pic:pic>
              </a:graphicData>
            </a:graphic>
          </wp:inline>
        </w:drawing>
      </w:r>
    </w:p>
    <w:p w14:paraId="174F6B0C" w14:textId="77777777" w:rsidR="00B77EBE" w:rsidRPr="00B77EBE" w:rsidRDefault="00B77EBE" w:rsidP="00B77EBE">
      <w:pPr>
        <w:rPr>
          <w:rFonts w:asciiTheme="majorHAnsi" w:hAnsiTheme="majorHAnsi" w:cstheme="majorHAnsi"/>
          <w:sz w:val="16"/>
          <w:szCs w:val="16"/>
          <w:lang w:eastAsia="en-AU"/>
        </w:rPr>
      </w:pPr>
      <w:r w:rsidRPr="00B77EBE">
        <w:rPr>
          <w:rFonts w:asciiTheme="majorHAnsi" w:hAnsiTheme="majorHAnsi" w:cstheme="majorHAnsi"/>
          <w:sz w:val="16"/>
          <w:szCs w:val="16"/>
          <w:lang w:eastAsia="en-AU"/>
        </w:rPr>
        <w:t xml:space="preserve">Source: ARC administrative data. </w:t>
      </w:r>
      <w:r w:rsidRPr="00B77EBE">
        <w:rPr>
          <w:rFonts w:asciiTheme="majorHAnsi" w:hAnsiTheme="majorHAnsi" w:cstheme="majorHAnsi"/>
          <w:i/>
          <w:sz w:val="16"/>
          <w:szCs w:val="16"/>
          <w:lang w:eastAsia="en-AU"/>
        </w:rPr>
        <w:t xml:space="preserve">Note: Funding duration data reflect anticipated length of funding at the time of announcement. </w:t>
      </w:r>
    </w:p>
    <w:p w14:paraId="5CCA5CD0" w14:textId="5A127C42" w:rsidR="00B77EBE" w:rsidRPr="00B77EBE" w:rsidRDefault="00B77EBE" w:rsidP="003C12B2">
      <w:pPr>
        <w:pStyle w:val="Heading3"/>
        <w:numPr>
          <w:ilvl w:val="2"/>
          <w:numId w:val="17"/>
        </w:numPr>
      </w:pPr>
      <w:bookmarkStart w:id="933" w:name="_Stakeholder_feedback—appropriatenes"/>
      <w:bookmarkStart w:id="934" w:name="_Toc42158285"/>
      <w:bookmarkStart w:id="935" w:name="_Toc50533657"/>
      <w:bookmarkStart w:id="936" w:name="_Toc50553806"/>
      <w:bookmarkStart w:id="937" w:name="_Toc50555043"/>
      <w:bookmarkStart w:id="938" w:name="_Toc50618177"/>
      <w:bookmarkStart w:id="939" w:name="_Toc50618457"/>
      <w:bookmarkStart w:id="940" w:name="_Toc51917068"/>
      <w:bookmarkStart w:id="941" w:name="_Toc51918908"/>
      <w:bookmarkStart w:id="942" w:name="_Ref53149058"/>
      <w:bookmarkStart w:id="943" w:name="_Toc53557282"/>
      <w:bookmarkStart w:id="944" w:name="_Toc54699324"/>
      <w:bookmarkStart w:id="945" w:name="_Toc55544858"/>
      <w:bookmarkEnd w:id="933"/>
      <w:r w:rsidRPr="00B77EBE">
        <w:t>Stakeholder feedback—appropriateness of funding duration</w:t>
      </w:r>
      <w:bookmarkEnd w:id="934"/>
      <w:bookmarkEnd w:id="935"/>
      <w:bookmarkEnd w:id="936"/>
      <w:bookmarkEnd w:id="937"/>
      <w:bookmarkEnd w:id="938"/>
      <w:bookmarkEnd w:id="939"/>
      <w:bookmarkEnd w:id="940"/>
      <w:bookmarkEnd w:id="941"/>
      <w:bookmarkEnd w:id="942"/>
      <w:bookmarkEnd w:id="943"/>
      <w:bookmarkEnd w:id="944"/>
      <w:bookmarkEnd w:id="945"/>
      <w:r w:rsidRPr="00B77EBE" w:rsidDel="00B13831">
        <w:t xml:space="preserve"> </w:t>
      </w:r>
    </w:p>
    <w:p w14:paraId="5A576CE8" w14:textId="29C5A06B" w:rsidR="00B77EBE" w:rsidRPr="00B77EBE" w:rsidRDefault="00B77EBE" w:rsidP="00B77EBE">
      <w:pPr>
        <w:rPr>
          <w:rFonts w:asciiTheme="majorHAnsi" w:hAnsiTheme="majorHAnsi" w:cstheme="majorHAnsi"/>
        </w:rPr>
      </w:pPr>
      <w:r w:rsidRPr="00B77EBE">
        <w:rPr>
          <w:rFonts w:asciiTheme="majorHAnsi" w:hAnsiTheme="majorHAnsi" w:cstheme="majorHAnsi"/>
        </w:rPr>
        <w:t xml:space="preserve">Seventy-five per cent of surveyed researchers agreed or strongly agreed that </w:t>
      </w:r>
      <w:r w:rsidR="00F02077">
        <w:rPr>
          <w:rFonts w:asciiTheme="majorHAnsi" w:hAnsiTheme="majorHAnsi" w:cstheme="majorHAnsi"/>
        </w:rPr>
        <w:t>Discovery Projects’</w:t>
      </w:r>
      <w:r w:rsidRPr="00B77EBE">
        <w:rPr>
          <w:rFonts w:asciiTheme="majorHAnsi" w:hAnsiTheme="majorHAnsi" w:cstheme="majorHAnsi"/>
        </w:rPr>
        <w:t xml:space="preserve"> funding duration was appropriate</w:t>
      </w:r>
      <w:r w:rsidRPr="00B77EBE">
        <w:rPr>
          <w:rFonts w:asciiTheme="majorHAnsi" w:hAnsiTheme="majorHAnsi" w:cstheme="majorHAnsi"/>
          <w:bCs/>
        </w:rPr>
        <w:t xml:space="preserve"> to support the achievement of the scheme’s objectives and intended outcomes</w:t>
      </w:r>
      <w:r w:rsidRPr="00B77EBE">
        <w:rPr>
          <w:rFonts w:asciiTheme="majorHAnsi" w:hAnsiTheme="majorHAnsi" w:cstheme="majorHAnsi"/>
        </w:rPr>
        <w:t xml:space="preserve">. When responses were disaggregated by the characteristics of researchers’ most recently completed project under the scheme, no statistically significant differences emerged. </w:t>
      </w:r>
    </w:p>
    <w:p w14:paraId="66F9D5D9" w14:textId="53A4D331" w:rsidR="00B77EBE" w:rsidRPr="00B77EBE" w:rsidRDefault="00B77EBE" w:rsidP="00751469">
      <w:pPr>
        <w:pStyle w:val="FigureTitle"/>
      </w:pPr>
      <w:r w:rsidRPr="00B77EBE">
        <w:t xml:space="preserve">Figure </w:t>
      </w:r>
      <w:r w:rsidR="00857467">
        <w:fldChar w:fldCharType="begin"/>
      </w:r>
      <w:r w:rsidR="00857467">
        <w:instrText xml:space="preserve"> SEQ Figure \* ARABIC </w:instrText>
      </w:r>
      <w:r w:rsidR="00857467">
        <w:fldChar w:fldCharType="separate"/>
      </w:r>
      <w:r w:rsidR="00AB03D7">
        <w:rPr>
          <w:noProof/>
        </w:rPr>
        <w:t>47</w:t>
      </w:r>
      <w:r w:rsidR="00857467">
        <w:rPr>
          <w:noProof/>
        </w:rPr>
        <w:fldChar w:fldCharType="end"/>
      </w:r>
      <w:r w:rsidRPr="00B77EBE">
        <w:t>: Appropriateness of Discovery Projects scheme funding duration</w:t>
      </w:r>
    </w:p>
    <w:p w14:paraId="198DD04F" w14:textId="2A77D9AD" w:rsidR="00B77EBE" w:rsidRPr="00B77EBE" w:rsidRDefault="000E5749" w:rsidP="00B77EBE">
      <w:pPr>
        <w:rPr>
          <w:rFonts w:asciiTheme="majorHAnsi" w:hAnsiTheme="majorHAnsi" w:cstheme="majorHAnsi"/>
        </w:rPr>
      </w:pPr>
      <w:r>
        <w:rPr>
          <w:rFonts w:asciiTheme="majorHAnsi" w:hAnsiTheme="majorHAnsi" w:cstheme="majorHAnsi"/>
          <w:noProof/>
        </w:rPr>
        <w:drawing>
          <wp:inline distT="0" distB="0" distL="0" distR="0" wp14:anchorId="7DDB5197" wp14:editId="607FF740">
            <wp:extent cx="5730875" cy="1597025"/>
            <wp:effectExtent l="0" t="0" r="3175" b="3175"/>
            <wp:docPr id="104" name="Picture 104" descr="Figure 47 is a graph showing the level of agreement among researcher survey respondents about the appropriateness of Discovery Projects’ funding duration, given the scheme’s objectives and intended outcomes.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Figure 47 is a graph showing the level of agreement among researcher survey respondents about the appropriateness of Discovery Projects’ funding duration, given the scheme’s objectives and intended outcomes. See text above graph for more inform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1597025"/>
                    </a:xfrm>
                    <a:prstGeom prst="rect">
                      <a:avLst/>
                    </a:prstGeom>
                    <a:noFill/>
                  </pic:spPr>
                </pic:pic>
              </a:graphicData>
            </a:graphic>
          </wp:inline>
        </w:drawing>
      </w:r>
    </w:p>
    <w:p w14:paraId="707D1E71" w14:textId="77777777" w:rsidR="00B77EBE" w:rsidRPr="00B77EBE" w:rsidRDefault="00B77EBE" w:rsidP="00B77EBE">
      <w:pPr>
        <w:spacing w:after="120"/>
        <w:rPr>
          <w:rFonts w:asciiTheme="majorHAnsi" w:hAnsiTheme="majorHAnsi" w:cstheme="majorHAnsi"/>
          <w:i/>
          <w:sz w:val="16"/>
          <w:szCs w:val="16"/>
        </w:rPr>
      </w:pPr>
      <w:r w:rsidRPr="00B77EBE">
        <w:rPr>
          <w:rFonts w:asciiTheme="majorHAnsi" w:hAnsiTheme="majorHAnsi" w:cstheme="majorHAnsi"/>
          <w:sz w:val="16"/>
          <w:szCs w:val="16"/>
        </w:rPr>
        <w:t xml:space="preserve">Source: Kantar, Public Division. </w:t>
      </w:r>
      <w:r w:rsidRPr="00B77EBE">
        <w:rPr>
          <w:rFonts w:asciiTheme="majorHAnsi" w:hAnsiTheme="majorHAnsi" w:cstheme="majorHAnsi"/>
          <w:i/>
          <w:sz w:val="16"/>
          <w:szCs w:val="16"/>
        </w:rPr>
        <w:t xml:space="preserve">Note: (n=2976). </w:t>
      </w:r>
    </w:p>
    <w:p w14:paraId="0B05DAA7" w14:textId="49D8CDCB" w:rsidR="00B77EBE" w:rsidRPr="00B77EBE" w:rsidRDefault="00B77EBE" w:rsidP="00B77EBE">
      <w:pPr>
        <w:rPr>
          <w:rFonts w:asciiTheme="majorHAnsi" w:eastAsiaTheme="minorEastAsia" w:hAnsiTheme="majorHAnsi" w:cstheme="majorHAnsi"/>
          <w:sz w:val="20"/>
          <w:lang w:eastAsia="en-AU"/>
        </w:rPr>
      </w:pPr>
      <w:r w:rsidRPr="008C48B1">
        <w:rPr>
          <w:rFonts w:asciiTheme="majorHAnsi" w:eastAsiaTheme="minorEastAsia" w:hAnsiTheme="majorHAnsi" w:cstheme="majorHAnsi"/>
          <w:lang w:eastAsia="en-AU"/>
        </w:rPr>
        <w:t xml:space="preserve">As noted in greater detail previously (see </w:t>
      </w:r>
      <w:hyperlink w:anchor="_Qualitative_stakeholder_feedback_1" w:history="1">
        <w:r w:rsidRPr="00281670">
          <w:rPr>
            <w:rStyle w:val="Hyperlink"/>
            <w:rFonts w:eastAsiaTheme="minorEastAsia" w:cstheme="majorHAnsi"/>
            <w:color w:val="auto"/>
            <w:sz w:val="22"/>
            <w:u w:val="none"/>
            <w:lang w:eastAsia="en-AU"/>
          </w:rPr>
          <w:t xml:space="preserve">Section </w:t>
        </w:r>
        <w:r w:rsidR="00624FC8" w:rsidRPr="00281670">
          <w:rPr>
            <w:rStyle w:val="Hyperlink"/>
            <w:rFonts w:eastAsiaTheme="minorEastAsia" w:cstheme="majorHAnsi"/>
            <w:color w:val="auto"/>
            <w:sz w:val="22"/>
            <w:u w:val="none"/>
            <w:lang w:eastAsia="en-AU"/>
          </w:rPr>
          <w:t>3.3.3</w:t>
        </w:r>
      </w:hyperlink>
      <w:r w:rsidRPr="008C48B1">
        <w:rPr>
          <w:rFonts w:asciiTheme="majorHAnsi" w:eastAsiaTheme="minorEastAsia" w:hAnsiTheme="majorHAnsi" w:cstheme="majorHAnsi"/>
          <w:lang w:eastAsia="en-AU"/>
        </w:rPr>
        <w:t xml:space="preserve">), some stakeholders expressed concerns that the typical three year funding duration associated with research funded under Discovery Projects may not be appropriate to effectively support research training. These views were expressed </w:t>
      </w:r>
      <w:r w:rsidR="00BE48D6" w:rsidRPr="008C48B1">
        <w:rPr>
          <w:rFonts w:asciiTheme="majorHAnsi" w:eastAsiaTheme="minorEastAsia" w:hAnsiTheme="majorHAnsi" w:cstheme="majorHAnsi"/>
          <w:lang w:eastAsia="en-AU"/>
        </w:rPr>
        <w:t xml:space="preserve">in relation to </w:t>
      </w:r>
      <w:r w:rsidRPr="008C48B1">
        <w:rPr>
          <w:rFonts w:asciiTheme="majorHAnsi" w:eastAsiaTheme="minorEastAsia" w:hAnsiTheme="majorHAnsi" w:cstheme="majorHAnsi"/>
          <w:lang w:eastAsia="en-AU"/>
        </w:rPr>
        <w:t xml:space="preserve">difficulties recruiting HDR students (see </w:t>
      </w:r>
      <w:hyperlink w:anchor="_Factors_affecting_project" w:history="1">
        <w:r w:rsidRPr="00281670">
          <w:rPr>
            <w:rStyle w:val="Hyperlink"/>
            <w:rFonts w:eastAsiaTheme="minorEastAsia" w:cstheme="majorHAnsi"/>
            <w:color w:val="auto"/>
            <w:sz w:val="22"/>
            <w:u w:val="none"/>
            <w:lang w:eastAsia="en-AU"/>
          </w:rPr>
          <w:t xml:space="preserve">Section </w:t>
        </w:r>
        <w:r w:rsidR="00982D0B" w:rsidRPr="00281670">
          <w:rPr>
            <w:rStyle w:val="Hyperlink"/>
            <w:rFonts w:eastAsiaTheme="minorEastAsia" w:cstheme="majorHAnsi"/>
            <w:color w:val="auto"/>
            <w:sz w:val="22"/>
            <w:u w:val="none"/>
            <w:lang w:eastAsia="en-AU"/>
          </w:rPr>
          <w:t>2</w:t>
        </w:r>
        <w:r w:rsidRPr="00281670">
          <w:rPr>
            <w:rStyle w:val="Hyperlink"/>
            <w:rFonts w:eastAsiaTheme="minorEastAsia" w:cstheme="majorHAnsi"/>
            <w:color w:val="auto"/>
            <w:sz w:val="22"/>
            <w:u w:val="none"/>
            <w:lang w:eastAsia="en-AU"/>
          </w:rPr>
          <w:t>.</w:t>
        </w:r>
        <w:r w:rsidR="00982D0B" w:rsidRPr="00281670">
          <w:rPr>
            <w:rStyle w:val="Hyperlink"/>
            <w:rFonts w:eastAsiaTheme="minorEastAsia" w:cstheme="majorHAnsi"/>
            <w:color w:val="auto"/>
            <w:sz w:val="22"/>
            <w:u w:val="none"/>
            <w:lang w:eastAsia="en-AU"/>
          </w:rPr>
          <w:t>10.2</w:t>
        </w:r>
      </w:hyperlink>
      <w:r w:rsidRPr="008C48B1">
        <w:rPr>
          <w:rFonts w:asciiTheme="majorHAnsi" w:eastAsiaTheme="minorEastAsia" w:hAnsiTheme="majorHAnsi" w:cstheme="majorHAnsi"/>
          <w:lang w:eastAsia="en-AU"/>
        </w:rPr>
        <w:t xml:space="preserve">) and the length of time associated with PhD completion (see </w:t>
      </w:r>
      <w:hyperlink w:anchor="_Qualitative_stakeholder_feedback_1" w:history="1">
        <w:r w:rsidRPr="00281670">
          <w:rPr>
            <w:rStyle w:val="Hyperlink"/>
            <w:rFonts w:eastAsiaTheme="minorEastAsia" w:cstheme="majorHAnsi"/>
            <w:color w:val="auto"/>
            <w:sz w:val="22"/>
            <w:u w:val="none"/>
            <w:lang w:eastAsia="en-AU"/>
          </w:rPr>
          <w:t xml:space="preserve">Section </w:t>
        </w:r>
        <w:r w:rsidR="00982D0B" w:rsidRPr="00281670">
          <w:rPr>
            <w:rStyle w:val="Hyperlink"/>
            <w:rFonts w:eastAsiaTheme="minorEastAsia" w:cstheme="majorHAnsi"/>
            <w:color w:val="auto"/>
            <w:sz w:val="22"/>
            <w:u w:val="none"/>
            <w:lang w:eastAsia="en-AU"/>
          </w:rPr>
          <w:t>3.3.3</w:t>
        </w:r>
      </w:hyperlink>
      <w:r w:rsidRPr="008C48B1">
        <w:rPr>
          <w:rFonts w:asciiTheme="majorHAnsi" w:eastAsiaTheme="minorEastAsia" w:hAnsiTheme="majorHAnsi" w:cstheme="majorHAnsi"/>
          <w:lang w:eastAsia="en-AU"/>
        </w:rPr>
        <w:t xml:space="preserve">). However, </w:t>
      </w:r>
      <w:r w:rsidR="00FD19E8" w:rsidRPr="008C48B1">
        <w:rPr>
          <w:rFonts w:asciiTheme="majorHAnsi" w:eastAsiaTheme="minorEastAsia" w:hAnsiTheme="majorHAnsi" w:cstheme="majorHAnsi"/>
          <w:lang w:eastAsia="en-AU"/>
        </w:rPr>
        <w:t>these concerns</w:t>
      </w:r>
      <w:r w:rsidR="007E4E0E" w:rsidRPr="008C48B1">
        <w:rPr>
          <w:rFonts w:asciiTheme="majorHAnsi" w:eastAsiaTheme="minorEastAsia" w:hAnsiTheme="majorHAnsi" w:cstheme="majorHAnsi"/>
          <w:lang w:eastAsia="en-AU"/>
        </w:rPr>
        <w:t xml:space="preserve"> do</w:t>
      </w:r>
      <w:r w:rsidRPr="008C48B1">
        <w:rPr>
          <w:rFonts w:asciiTheme="majorHAnsi" w:eastAsiaTheme="minorEastAsia" w:hAnsiTheme="majorHAnsi" w:cstheme="majorHAnsi"/>
          <w:lang w:eastAsia="en-AU"/>
        </w:rPr>
        <w:t xml:space="preserve"> not appear to be undermining stakeholder</w:t>
      </w:r>
      <w:r w:rsidR="003C4E09" w:rsidRPr="008C48B1">
        <w:rPr>
          <w:rFonts w:asciiTheme="majorHAnsi" w:eastAsiaTheme="minorEastAsia" w:hAnsiTheme="majorHAnsi" w:cstheme="majorHAnsi"/>
          <w:lang w:eastAsia="en-AU"/>
        </w:rPr>
        <w:t xml:space="preserve">s’ </w:t>
      </w:r>
      <w:r w:rsidR="00624E85" w:rsidRPr="008C48B1">
        <w:rPr>
          <w:rFonts w:asciiTheme="majorHAnsi" w:eastAsiaTheme="minorEastAsia" w:hAnsiTheme="majorHAnsi" w:cstheme="majorHAnsi"/>
          <w:lang w:eastAsia="en-AU"/>
        </w:rPr>
        <w:t xml:space="preserve">largely </w:t>
      </w:r>
      <w:r w:rsidR="003C4E09" w:rsidRPr="008C48B1">
        <w:rPr>
          <w:rFonts w:asciiTheme="majorHAnsi" w:eastAsiaTheme="minorEastAsia" w:hAnsiTheme="majorHAnsi" w:cstheme="majorHAnsi"/>
          <w:lang w:eastAsia="en-AU"/>
        </w:rPr>
        <w:t>positive</w:t>
      </w:r>
      <w:r w:rsidRPr="008C48B1">
        <w:rPr>
          <w:rFonts w:asciiTheme="majorHAnsi" w:eastAsiaTheme="minorEastAsia" w:hAnsiTheme="majorHAnsi" w:cstheme="majorHAnsi"/>
          <w:lang w:eastAsia="en-AU"/>
        </w:rPr>
        <w:t xml:space="preserve"> per</w:t>
      </w:r>
      <w:r w:rsidR="007E4E0E" w:rsidRPr="008C48B1">
        <w:rPr>
          <w:rFonts w:asciiTheme="majorHAnsi" w:eastAsiaTheme="minorEastAsia" w:hAnsiTheme="majorHAnsi" w:cstheme="majorHAnsi"/>
          <w:lang w:eastAsia="en-AU"/>
        </w:rPr>
        <w:t>ceptions of the effectiveness of</w:t>
      </w:r>
      <w:r w:rsidRPr="008C48B1">
        <w:rPr>
          <w:rFonts w:asciiTheme="majorHAnsi" w:eastAsiaTheme="minorEastAsia" w:hAnsiTheme="majorHAnsi" w:cstheme="majorHAnsi"/>
          <w:lang w:eastAsia="en-AU"/>
        </w:rPr>
        <w:t xml:space="preserve"> the scheme’s support for research training</w:t>
      </w:r>
      <w:r w:rsidR="00800A0F" w:rsidRPr="008C48B1">
        <w:rPr>
          <w:rFonts w:asciiTheme="majorHAnsi" w:eastAsiaTheme="minorEastAsia" w:hAnsiTheme="majorHAnsi" w:cstheme="majorHAnsi"/>
          <w:lang w:eastAsia="en-AU"/>
        </w:rPr>
        <w:t xml:space="preserve"> (see </w:t>
      </w:r>
      <w:hyperlink w:anchor="_Quantitative_stakeholder_views" w:history="1">
        <w:r w:rsidR="001D1126" w:rsidRPr="00281670">
          <w:rPr>
            <w:rStyle w:val="Hyperlink"/>
            <w:rFonts w:eastAsiaTheme="minorEastAsia" w:cstheme="majorHAnsi"/>
            <w:color w:val="auto"/>
            <w:sz w:val="22"/>
            <w:u w:val="none"/>
            <w:lang w:eastAsia="en-AU"/>
          </w:rPr>
          <w:t>Section 3.1</w:t>
        </w:r>
      </w:hyperlink>
      <w:r w:rsidR="00800A0F" w:rsidRPr="008C48B1">
        <w:rPr>
          <w:rFonts w:asciiTheme="majorHAnsi" w:eastAsiaTheme="minorEastAsia" w:hAnsiTheme="majorHAnsi" w:cstheme="majorHAnsi"/>
          <w:lang w:eastAsia="en-AU"/>
        </w:rPr>
        <w:t>)</w:t>
      </w:r>
      <w:r w:rsidRPr="008C48B1">
        <w:rPr>
          <w:rFonts w:asciiTheme="majorHAnsi" w:eastAsiaTheme="minorEastAsia" w:hAnsiTheme="majorHAnsi" w:cstheme="majorHAnsi"/>
          <w:lang w:eastAsia="en-AU"/>
        </w:rPr>
        <w:t>.</w:t>
      </w:r>
    </w:p>
    <w:p w14:paraId="7AA1E70C" w14:textId="613ACF26" w:rsidR="00B77EBE" w:rsidRPr="00B77EBE" w:rsidRDefault="00B77EBE" w:rsidP="00B77EBE">
      <w:pPr>
        <w:spacing w:after="240"/>
        <w:rPr>
          <w:rFonts w:asciiTheme="majorHAnsi" w:eastAsiaTheme="minorEastAsia" w:hAnsiTheme="majorHAnsi" w:cstheme="majorHAnsi"/>
          <w:bCs/>
          <w:lang w:eastAsia="en-AU"/>
        </w:rPr>
      </w:pPr>
      <w:r w:rsidRPr="00B77EBE">
        <w:rPr>
          <w:rFonts w:asciiTheme="majorHAnsi" w:eastAsiaTheme="minorEastAsia" w:hAnsiTheme="majorHAnsi" w:cstheme="majorHAnsi"/>
          <w:bCs/>
          <w:lang w:eastAsia="en-AU"/>
        </w:rPr>
        <w:t xml:space="preserve">Some stakeholder comments revealed perceptions about the existence of an informal ‘unwritten rule’ that Discovery Projects only supported three year grants, despite the funding duration specified </w:t>
      </w:r>
      <w:r w:rsidRPr="00B77EBE">
        <w:rPr>
          <w:rFonts w:asciiTheme="majorHAnsi" w:eastAsiaTheme="minorEastAsia" w:hAnsiTheme="majorHAnsi" w:cstheme="majorHAnsi"/>
          <w:bCs/>
          <w:lang w:eastAsia="en-AU"/>
        </w:rPr>
        <w:lastRenderedPageBreak/>
        <w:t xml:space="preserve">within scheme documentation. Feedback highlighted the belief that applications requesting four or five years of funding would be subjected to additional peer review scrutiny. </w:t>
      </w:r>
      <w:r w:rsidRPr="00B77EBE">
        <w:rPr>
          <w:rFonts w:asciiTheme="majorHAnsi" w:eastAsiaTheme="minorEastAsia" w:hAnsiTheme="majorHAnsi" w:cstheme="majorHAnsi"/>
          <w:lang w:eastAsia="en-AU"/>
        </w:rPr>
        <w:t>While some acknowledged that longer studies had been funded,</w:t>
      </w:r>
      <w:r w:rsidRPr="00B77EBE">
        <w:rPr>
          <w:rFonts w:asciiTheme="majorHAnsi" w:eastAsiaTheme="minorEastAsia" w:hAnsiTheme="majorHAnsi" w:cstheme="majorHAnsi"/>
          <w:bCs/>
          <w:lang w:eastAsia="en-AU"/>
        </w:rPr>
        <w:t xml:space="preserve"> it appeared common to design proposals within the parameters of a three year period. </w:t>
      </w:r>
      <w:r w:rsidR="00624E85">
        <w:rPr>
          <w:rFonts w:asciiTheme="majorHAnsi" w:eastAsiaTheme="minorEastAsia" w:hAnsiTheme="majorHAnsi" w:cstheme="majorHAnsi"/>
          <w:bCs/>
          <w:lang w:eastAsia="en-AU"/>
        </w:rPr>
        <w:t>Some</w:t>
      </w:r>
      <w:r w:rsidRPr="00B77EBE">
        <w:rPr>
          <w:rFonts w:asciiTheme="majorHAnsi" w:eastAsiaTheme="minorEastAsia" w:hAnsiTheme="majorHAnsi" w:cstheme="majorHAnsi"/>
          <w:bCs/>
          <w:lang w:eastAsia="en-AU"/>
        </w:rPr>
        <w:t xml:space="preserve"> regarded </w:t>
      </w:r>
      <w:r w:rsidR="00624E85">
        <w:rPr>
          <w:rFonts w:asciiTheme="majorHAnsi" w:eastAsiaTheme="minorEastAsia" w:hAnsiTheme="majorHAnsi" w:cstheme="majorHAnsi"/>
          <w:bCs/>
          <w:lang w:eastAsia="en-AU"/>
        </w:rPr>
        <w:t>this</w:t>
      </w:r>
      <w:r w:rsidRPr="00B77EBE">
        <w:rPr>
          <w:rFonts w:asciiTheme="majorHAnsi" w:eastAsiaTheme="minorEastAsia" w:hAnsiTheme="majorHAnsi" w:cstheme="majorHAnsi"/>
          <w:bCs/>
          <w:lang w:eastAsia="en-AU"/>
        </w:rPr>
        <w:t xml:space="preserve"> as affecting the breadth and impact of research fundable under the scheme. </w:t>
      </w:r>
    </w:p>
    <w:p w14:paraId="3029A1E9" w14:textId="77777777" w:rsidR="00B77EBE" w:rsidRPr="00B77EBE" w:rsidRDefault="00B77EBE" w:rsidP="003E0DE0">
      <w:pPr>
        <w:pStyle w:val="Quote"/>
      </w:pPr>
      <w:r w:rsidRPr="00B77EBE">
        <w:t>The other thing is that researchers have a choice to apply for between one and five years of funding for Discovery Projects—</w:t>
      </w:r>
      <w:r w:rsidRPr="00B77EBE">
        <w:rPr>
          <w:bCs/>
        </w:rPr>
        <w:t xml:space="preserve">most choose three years as it is traditional, and they are less likely to get scrutiny for feasibility </w:t>
      </w:r>
      <w:r w:rsidRPr="00B77EBE">
        <w:t xml:space="preserve">in the assessment process. The people who say the project should run longer, my response is maybe they should apply for four years </w:t>
      </w:r>
      <w:r w:rsidRPr="003E0DE0">
        <w:rPr>
          <w:i w:val="0"/>
          <w:iCs w:val="0"/>
        </w:rPr>
        <w:t>– (University Research Office)</w:t>
      </w:r>
    </w:p>
    <w:p w14:paraId="48352682" w14:textId="77777777" w:rsidR="00B77EBE" w:rsidRPr="00B77EBE" w:rsidRDefault="00B77EBE" w:rsidP="003E0DE0">
      <w:pPr>
        <w:pStyle w:val="Quote"/>
        <w:rPr>
          <w:rFonts w:eastAsiaTheme="minorEastAsia"/>
          <w:sz w:val="20"/>
        </w:rPr>
      </w:pPr>
      <w:r w:rsidRPr="00B77EBE">
        <w:rPr>
          <w:rFonts w:eastAsiaTheme="minorEastAsia"/>
        </w:rPr>
        <w:t>The maximum funding period available is five years, which in theory is a positive, but it is very rare for projects to be funded for longer than three years, I believe due</w:t>
      </w:r>
      <w:r w:rsidRPr="00B77EBE">
        <w:t xml:space="preserve"> to</w:t>
      </w:r>
      <w:r w:rsidRPr="00B77EBE">
        <w:rPr>
          <w:rFonts w:eastAsiaTheme="minorEastAsia"/>
        </w:rPr>
        <w:t xml:space="preserve"> budget constraints. This means that in practice the limit is really three years, which contributes to the stop-start nature of some research prog</w:t>
      </w:r>
      <w:r w:rsidRPr="00B77EBE">
        <w:t>r</w:t>
      </w:r>
      <w:r w:rsidRPr="00B77EBE">
        <w:rPr>
          <w:rFonts w:eastAsiaTheme="minorEastAsia"/>
        </w:rPr>
        <w:t xml:space="preserve">ams and increases workload for researchers in terms of spending time putting in applications more frequently, with greater uncertainty </w:t>
      </w:r>
      <w:r w:rsidRPr="003E0DE0">
        <w:rPr>
          <w:i w:val="0"/>
          <w:iCs w:val="0"/>
        </w:rPr>
        <w:t>– (Researcher)</w:t>
      </w:r>
    </w:p>
    <w:p w14:paraId="3A133247" w14:textId="77777777" w:rsidR="00B77EBE" w:rsidRPr="00B77EBE" w:rsidRDefault="00B77EBE" w:rsidP="003E0DE0">
      <w:pPr>
        <w:pStyle w:val="Quote"/>
        <w:spacing w:after="240"/>
        <w:ind w:left="425" w:right="663"/>
      </w:pPr>
      <w:r w:rsidRPr="00B77EBE">
        <w:t>Most researchers only apply for three years of funding—not because they don't have better five year projects or longer duration is not preferable. They do this because asking for more than three years is widely viewed as a ‘kiss of death’ for applications</w:t>
      </w:r>
      <w:r w:rsidRPr="00B77EBE">
        <w:rPr>
          <w:rFonts w:eastAsiaTheme="minorEastAsia"/>
        </w:rPr>
        <w:t xml:space="preserve"> </w:t>
      </w:r>
      <w:r w:rsidRPr="003E0DE0">
        <w:rPr>
          <w:i w:val="0"/>
          <w:iCs w:val="0"/>
        </w:rPr>
        <w:t>– (Researcher)</w:t>
      </w:r>
    </w:p>
    <w:p w14:paraId="0D7C9A99" w14:textId="4E30AAB3" w:rsidR="00B77EBE" w:rsidRPr="00B77EBE" w:rsidRDefault="00560EF1" w:rsidP="00B77EBE">
      <w:pPr>
        <w:rPr>
          <w:rFonts w:asciiTheme="majorHAnsi" w:eastAsiaTheme="minorEastAsia" w:hAnsiTheme="majorHAnsi" w:cstheme="majorHAnsi"/>
          <w:sz w:val="20"/>
          <w:lang w:eastAsia="en-AU"/>
        </w:rPr>
      </w:pPr>
      <w:r>
        <w:rPr>
          <w:rFonts w:asciiTheme="majorHAnsi" w:eastAsiaTheme="minorEastAsia" w:hAnsiTheme="majorHAnsi" w:cstheme="majorHAnsi"/>
          <w:lang w:eastAsia="en-AU"/>
        </w:rPr>
        <w:t>Such</w:t>
      </w:r>
      <w:r w:rsidR="00B77EBE" w:rsidRPr="00B77EBE">
        <w:rPr>
          <w:rFonts w:asciiTheme="majorHAnsi" w:eastAsiaTheme="minorEastAsia" w:hAnsiTheme="majorHAnsi" w:cstheme="majorHAnsi"/>
          <w:lang w:eastAsia="en-AU"/>
        </w:rPr>
        <w:t xml:space="preserve"> perceptions</w:t>
      </w:r>
      <w:r w:rsidR="0076186D">
        <w:rPr>
          <w:rFonts w:asciiTheme="majorHAnsi" w:eastAsiaTheme="minorEastAsia" w:hAnsiTheme="majorHAnsi" w:cstheme="majorHAnsi"/>
          <w:lang w:eastAsia="en-AU"/>
        </w:rPr>
        <w:t xml:space="preserve"> </w:t>
      </w:r>
      <w:r w:rsidR="00B77EBE" w:rsidRPr="00B77EBE">
        <w:rPr>
          <w:rFonts w:asciiTheme="majorHAnsi" w:eastAsiaTheme="minorEastAsia" w:hAnsiTheme="majorHAnsi" w:cstheme="majorHAnsi"/>
          <w:lang w:eastAsia="en-AU"/>
        </w:rPr>
        <w:t>potentially contribute</w:t>
      </w:r>
      <w:r w:rsidR="0076186D">
        <w:rPr>
          <w:rFonts w:asciiTheme="majorHAnsi" w:eastAsiaTheme="minorEastAsia" w:hAnsiTheme="majorHAnsi" w:cstheme="majorHAnsi"/>
          <w:lang w:eastAsia="en-AU"/>
        </w:rPr>
        <w:t>d</w:t>
      </w:r>
      <w:r w:rsidR="00B77EBE" w:rsidRPr="00B77EBE">
        <w:rPr>
          <w:rFonts w:asciiTheme="majorHAnsi" w:eastAsiaTheme="minorEastAsia" w:hAnsiTheme="majorHAnsi" w:cstheme="majorHAnsi"/>
          <w:lang w:eastAsia="en-AU"/>
        </w:rPr>
        <w:t xml:space="preserve"> to low numbers of Discovery Projects applications and funded projects associated with longer </w:t>
      </w:r>
      <w:r w:rsidR="00B77EBE" w:rsidRPr="008E08D5">
        <w:rPr>
          <w:rFonts w:asciiTheme="majorHAnsi" w:eastAsiaTheme="minorEastAsia" w:hAnsiTheme="majorHAnsi" w:cstheme="majorHAnsi"/>
          <w:lang w:eastAsia="en-AU"/>
        </w:rPr>
        <w:t>funding durations (</w:t>
      </w:r>
      <w:r w:rsidR="008E08D5" w:rsidRPr="008E08D5">
        <w:rPr>
          <w:rFonts w:asciiTheme="majorHAnsi" w:eastAsiaTheme="minorEastAsia" w:hAnsiTheme="majorHAnsi" w:cstheme="majorHAnsi"/>
          <w:color w:val="000000" w:themeColor="text1"/>
          <w:lang w:eastAsia="en-AU"/>
        </w:rPr>
        <w:fldChar w:fldCharType="begin"/>
      </w:r>
      <w:r w:rsidR="008E08D5" w:rsidRPr="008E08D5">
        <w:rPr>
          <w:rFonts w:asciiTheme="majorHAnsi" w:eastAsiaTheme="minorEastAsia" w:hAnsiTheme="majorHAnsi" w:cstheme="majorHAnsi"/>
          <w:lang w:eastAsia="en-AU"/>
        </w:rPr>
        <w:instrText xml:space="preserve"> REF _Ref37329350 \h </w:instrText>
      </w:r>
      <w:r w:rsidR="008E08D5" w:rsidRPr="008E08D5">
        <w:rPr>
          <w:rFonts w:asciiTheme="majorHAnsi" w:eastAsiaTheme="minorEastAsia" w:hAnsiTheme="majorHAnsi" w:cstheme="majorHAnsi"/>
          <w:color w:val="000000" w:themeColor="text1"/>
          <w:lang w:eastAsia="en-AU"/>
        </w:rPr>
        <w:instrText xml:space="preserve"> \* MERGEFORMAT </w:instrText>
      </w:r>
      <w:r w:rsidR="008E08D5" w:rsidRPr="008E08D5">
        <w:rPr>
          <w:rFonts w:asciiTheme="majorHAnsi" w:eastAsiaTheme="minorEastAsia" w:hAnsiTheme="majorHAnsi" w:cstheme="majorHAnsi"/>
          <w:color w:val="000000" w:themeColor="text1"/>
          <w:lang w:eastAsia="en-AU"/>
        </w:rPr>
      </w:r>
      <w:r w:rsidR="008E08D5" w:rsidRPr="008E08D5">
        <w:rPr>
          <w:rFonts w:asciiTheme="majorHAnsi" w:eastAsiaTheme="minorEastAsia" w:hAnsiTheme="majorHAnsi" w:cstheme="majorHAnsi"/>
          <w:color w:val="000000" w:themeColor="text1"/>
          <w:lang w:eastAsia="en-AU"/>
        </w:rPr>
        <w:fldChar w:fldCharType="separate"/>
      </w:r>
      <w:r w:rsidR="00AB03D7" w:rsidRPr="00AB03D7">
        <w:rPr>
          <w:rFonts w:asciiTheme="majorHAnsi" w:hAnsiTheme="majorHAnsi" w:cstheme="majorHAnsi"/>
          <w:iCs/>
          <w:color w:val="000000" w:themeColor="text1"/>
        </w:rPr>
        <w:t xml:space="preserve">Figure </w:t>
      </w:r>
      <w:r w:rsidR="00AB03D7" w:rsidRPr="00AB03D7">
        <w:rPr>
          <w:rFonts w:asciiTheme="majorHAnsi" w:hAnsiTheme="majorHAnsi" w:cstheme="majorHAnsi"/>
          <w:iCs/>
          <w:noProof/>
          <w:color w:val="000000" w:themeColor="text1"/>
        </w:rPr>
        <w:t>46</w:t>
      </w:r>
      <w:r w:rsidR="008E08D5" w:rsidRPr="008E08D5">
        <w:rPr>
          <w:rFonts w:asciiTheme="majorHAnsi" w:eastAsiaTheme="minorEastAsia" w:hAnsiTheme="majorHAnsi" w:cstheme="majorHAnsi"/>
          <w:color w:val="000000" w:themeColor="text1"/>
          <w:lang w:eastAsia="en-AU"/>
        </w:rPr>
        <w:fldChar w:fldCharType="end"/>
      </w:r>
      <w:r w:rsidR="00B77EBE" w:rsidRPr="008E08D5">
        <w:rPr>
          <w:rFonts w:asciiTheme="majorHAnsi" w:eastAsiaTheme="minorEastAsia" w:hAnsiTheme="majorHAnsi" w:cstheme="majorHAnsi"/>
          <w:lang w:eastAsia="en-AU"/>
        </w:rPr>
        <w:t>). However</w:t>
      </w:r>
      <w:r w:rsidR="00B77EBE" w:rsidRPr="00B77EBE">
        <w:rPr>
          <w:rFonts w:asciiTheme="majorHAnsi" w:eastAsiaTheme="minorEastAsia" w:hAnsiTheme="majorHAnsi" w:cstheme="majorHAnsi"/>
          <w:lang w:eastAsia="en-AU"/>
        </w:rPr>
        <w:t xml:space="preserve">, they are not strongly supported by ARC administrative data. As </w:t>
      </w:r>
      <w:r w:rsidR="00CE19FA">
        <w:rPr>
          <w:rFonts w:asciiTheme="majorHAnsi" w:eastAsiaTheme="minorEastAsia" w:hAnsiTheme="majorHAnsi" w:cstheme="majorHAnsi"/>
          <w:lang w:eastAsia="en-AU"/>
        </w:rPr>
        <w:fldChar w:fldCharType="begin"/>
      </w:r>
      <w:r w:rsidR="00CE19FA">
        <w:rPr>
          <w:rFonts w:asciiTheme="majorHAnsi" w:eastAsiaTheme="minorEastAsia" w:hAnsiTheme="majorHAnsi" w:cstheme="majorHAnsi"/>
          <w:lang w:eastAsia="en-AU"/>
        </w:rPr>
        <w:instrText xml:space="preserve"> REF _Ref47681654 \h  \* MERGEFORMAT </w:instrText>
      </w:r>
      <w:r w:rsidR="00CE19FA">
        <w:rPr>
          <w:rFonts w:asciiTheme="majorHAnsi" w:eastAsiaTheme="minorEastAsia" w:hAnsiTheme="majorHAnsi" w:cstheme="majorHAnsi"/>
          <w:lang w:eastAsia="en-AU"/>
        </w:rPr>
      </w:r>
      <w:r w:rsidR="00CE19FA">
        <w:rPr>
          <w:rFonts w:asciiTheme="majorHAnsi" w:eastAsiaTheme="minorEastAsia" w:hAnsiTheme="majorHAnsi" w:cstheme="majorHAnsi"/>
          <w:lang w:eastAsia="en-AU"/>
        </w:rPr>
        <w:fldChar w:fldCharType="separate"/>
      </w:r>
      <w:r w:rsidR="00AB03D7" w:rsidRPr="00AB03D7">
        <w:rPr>
          <w:rFonts w:asciiTheme="majorHAnsi" w:eastAsiaTheme="minorEastAsia" w:hAnsiTheme="majorHAnsi" w:cstheme="majorHAnsi"/>
          <w:lang w:eastAsia="en-AU"/>
        </w:rPr>
        <w:t>Figure 48</w:t>
      </w:r>
      <w:r w:rsidR="00CE19FA">
        <w:rPr>
          <w:rFonts w:asciiTheme="majorHAnsi" w:eastAsiaTheme="minorEastAsia" w:hAnsiTheme="majorHAnsi" w:cstheme="majorHAnsi"/>
          <w:lang w:eastAsia="en-AU"/>
        </w:rPr>
        <w:fldChar w:fldCharType="end"/>
      </w:r>
      <w:r w:rsidR="00B77EBE" w:rsidRPr="00B77EBE">
        <w:rPr>
          <w:rFonts w:asciiTheme="majorHAnsi" w:eastAsiaTheme="minorEastAsia" w:hAnsiTheme="majorHAnsi" w:cstheme="majorHAnsi"/>
          <w:lang w:eastAsia="en-AU"/>
        </w:rPr>
        <w:t xml:space="preserve"> indicates, applications requesting five years of funding have generally had higher than average success rates—although the success rate for these applications has fallen</w:t>
      </w:r>
      <w:r w:rsidR="00315202">
        <w:rPr>
          <w:rFonts w:asciiTheme="majorHAnsi" w:eastAsiaTheme="minorEastAsia" w:hAnsiTheme="majorHAnsi" w:cstheme="majorHAnsi"/>
          <w:lang w:eastAsia="en-AU"/>
        </w:rPr>
        <w:t xml:space="preserve"> slightly</w:t>
      </w:r>
      <w:r w:rsidR="00B77EBE" w:rsidRPr="00B77EBE">
        <w:rPr>
          <w:rFonts w:asciiTheme="majorHAnsi" w:eastAsiaTheme="minorEastAsia" w:hAnsiTheme="majorHAnsi" w:cstheme="majorHAnsi"/>
          <w:lang w:eastAsia="en-AU"/>
        </w:rPr>
        <w:t xml:space="preserve"> below average for three of the past four funding rounds. Notably, it appears that applications making one or two year funding requests have consistently </w:t>
      </w:r>
      <w:r w:rsidR="00C37BB7">
        <w:rPr>
          <w:rFonts w:asciiTheme="majorHAnsi" w:eastAsiaTheme="minorEastAsia" w:hAnsiTheme="majorHAnsi" w:cstheme="majorHAnsi"/>
          <w:lang w:eastAsia="en-AU"/>
        </w:rPr>
        <w:t>had</w:t>
      </w:r>
      <w:r w:rsidR="00B77EBE" w:rsidRPr="00B77EBE">
        <w:rPr>
          <w:rFonts w:asciiTheme="majorHAnsi" w:eastAsiaTheme="minorEastAsia" w:hAnsiTheme="majorHAnsi" w:cstheme="majorHAnsi"/>
          <w:lang w:eastAsia="en-AU"/>
        </w:rPr>
        <w:t xml:space="preserve"> worse than average success rates. </w:t>
      </w:r>
    </w:p>
    <w:p w14:paraId="00439A08" w14:textId="5561C0FA" w:rsidR="00B77EBE" w:rsidRPr="00B77EBE" w:rsidRDefault="00B77EBE" w:rsidP="00751469">
      <w:pPr>
        <w:pStyle w:val="FigureTitle"/>
      </w:pPr>
      <w:bookmarkStart w:id="946" w:name="_Ref47681654"/>
      <w:r w:rsidRPr="00B77EBE">
        <w:t xml:space="preserve">Figure </w:t>
      </w:r>
      <w:r w:rsidR="00857467">
        <w:fldChar w:fldCharType="begin"/>
      </w:r>
      <w:r w:rsidR="00857467">
        <w:instrText xml:space="preserve"> SEQ Figure \* ARABIC </w:instrText>
      </w:r>
      <w:r w:rsidR="00857467">
        <w:fldChar w:fldCharType="separate"/>
      </w:r>
      <w:r w:rsidR="00AB03D7">
        <w:rPr>
          <w:noProof/>
        </w:rPr>
        <w:t>48</w:t>
      </w:r>
      <w:r w:rsidR="00857467">
        <w:rPr>
          <w:noProof/>
        </w:rPr>
        <w:fldChar w:fldCharType="end"/>
      </w:r>
      <w:bookmarkEnd w:id="946"/>
      <w:r w:rsidRPr="00B77EBE">
        <w:t>: Success rate by years of funding requested, DP02–DP20</w:t>
      </w:r>
    </w:p>
    <w:p w14:paraId="3C78CC18" w14:textId="01B86A5B" w:rsidR="00B77EBE" w:rsidRPr="00B77EBE" w:rsidRDefault="000E5749" w:rsidP="00B77EBE">
      <w:pPr>
        <w:rPr>
          <w:rFonts w:asciiTheme="majorHAnsi" w:eastAsiaTheme="minorEastAsia" w:hAnsiTheme="majorHAnsi" w:cstheme="majorHAnsi"/>
          <w:sz w:val="20"/>
          <w:lang w:eastAsia="en-AU"/>
        </w:rPr>
      </w:pPr>
      <w:r>
        <w:rPr>
          <w:rFonts w:asciiTheme="majorHAnsi" w:eastAsiaTheme="minorEastAsia" w:hAnsiTheme="majorHAnsi" w:cstheme="majorHAnsi"/>
          <w:noProof/>
          <w:sz w:val="20"/>
          <w:lang w:eastAsia="en-AU"/>
        </w:rPr>
        <w:drawing>
          <wp:inline distT="0" distB="0" distL="0" distR="0" wp14:anchorId="0974BDC9" wp14:editId="60CA6844">
            <wp:extent cx="5730875" cy="2322830"/>
            <wp:effectExtent l="0" t="0" r="3175" b="1270"/>
            <wp:docPr id="105" name="Picture 105" descr="Figure 48 is a graph showing the success rates for Discovery Projects applications seeking one, two, three, four and five years of funding, between DP02 and DP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Figure 48 is a graph showing the success rates for Discovery Projects applications seeking one, two, three, four and five years of funding, between DP02 and DP20. See text above graph for more inform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2322830"/>
                    </a:xfrm>
                    <a:prstGeom prst="rect">
                      <a:avLst/>
                    </a:prstGeom>
                    <a:noFill/>
                  </pic:spPr>
                </pic:pic>
              </a:graphicData>
            </a:graphic>
          </wp:inline>
        </w:drawing>
      </w:r>
    </w:p>
    <w:p w14:paraId="013A8E7D" w14:textId="77777777" w:rsidR="00B77EBE" w:rsidRPr="00B77EBE" w:rsidRDefault="00B77EBE" w:rsidP="00B77EBE">
      <w:pPr>
        <w:rPr>
          <w:rFonts w:asciiTheme="majorHAnsi" w:eastAsiaTheme="minorEastAsia" w:hAnsiTheme="majorHAnsi" w:cstheme="majorHAnsi"/>
          <w:i/>
          <w:sz w:val="20"/>
          <w:lang w:eastAsia="en-AU"/>
        </w:rPr>
      </w:pPr>
      <w:r w:rsidRPr="00B77EBE">
        <w:rPr>
          <w:rFonts w:asciiTheme="majorHAnsi" w:eastAsiaTheme="minorEastAsia" w:hAnsiTheme="majorHAnsi" w:cstheme="majorHAnsi"/>
          <w:sz w:val="16"/>
          <w:szCs w:val="16"/>
          <w:lang w:eastAsia="en-AU"/>
        </w:rPr>
        <w:t xml:space="preserve">Source: ARC administrative data. </w:t>
      </w:r>
      <w:r w:rsidRPr="00B77EBE">
        <w:rPr>
          <w:rFonts w:asciiTheme="majorHAnsi" w:eastAsiaTheme="minorEastAsia" w:hAnsiTheme="majorHAnsi" w:cstheme="majorHAnsi"/>
          <w:i/>
          <w:sz w:val="16"/>
          <w:szCs w:val="16"/>
          <w:lang w:eastAsia="en-AU"/>
        </w:rPr>
        <w:t>Note: Between DP12 and DP14, a maximum of three years of funding could be requested.</w:t>
      </w:r>
    </w:p>
    <w:p w14:paraId="3E790423" w14:textId="6569F6B4" w:rsidR="00B77EBE" w:rsidRPr="00B77EBE" w:rsidRDefault="005D6D80" w:rsidP="00B77EBE">
      <w:pPr>
        <w:rPr>
          <w:rFonts w:asciiTheme="majorHAnsi" w:eastAsiaTheme="minorEastAsia" w:hAnsiTheme="majorHAnsi" w:cstheme="majorHAnsi"/>
          <w:lang w:eastAsia="en-AU"/>
        </w:rPr>
      </w:pPr>
      <w:r>
        <w:rPr>
          <w:rFonts w:asciiTheme="majorHAnsi" w:eastAsiaTheme="minorEastAsia" w:hAnsiTheme="majorHAnsi" w:cstheme="majorHAnsi"/>
          <w:lang w:eastAsia="en-AU"/>
        </w:rPr>
        <w:t>Bet</w:t>
      </w:r>
      <w:r w:rsidR="00250734">
        <w:rPr>
          <w:rFonts w:asciiTheme="majorHAnsi" w:eastAsiaTheme="minorEastAsia" w:hAnsiTheme="majorHAnsi" w:cstheme="majorHAnsi"/>
          <w:lang w:eastAsia="en-AU"/>
        </w:rPr>
        <w:t xml:space="preserve">ween DP02 and DP20, </w:t>
      </w:r>
      <w:r w:rsidR="00E143CD">
        <w:rPr>
          <w:rFonts w:asciiTheme="majorHAnsi" w:eastAsiaTheme="minorEastAsia" w:hAnsiTheme="majorHAnsi" w:cstheme="majorHAnsi"/>
          <w:lang w:eastAsia="en-AU"/>
        </w:rPr>
        <w:t xml:space="preserve">the average </w:t>
      </w:r>
      <w:r w:rsidR="00250734">
        <w:rPr>
          <w:rFonts w:asciiTheme="majorHAnsi" w:eastAsiaTheme="minorEastAsia" w:hAnsiTheme="majorHAnsi" w:cstheme="majorHAnsi"/>
          <w:lang w:eastAsia="en-AU"/>
        </w:rPr>
        <w:t>r</w:t>
      </w:r>
      <w:r w:rsidR="0079531A" w:rsidRPr="00B77EBE">
        <w:rPr>
          <w:rFonts w:asciiTheme="majorHAnsi" w:eastAsiaTheme="minorEastAsia" w:hAnsiTheme="majorHAnsi" w:cstheme="majorHAnsi"/>
          <w:lang w:eastAsia="en-AU"/>
        </w:rPr>
        <w:t>eturn rate</w:t>
      </w:r>
      <w:r w:rsidR="00842C9E">
        <w:rPr>
          <w:rFonts w:asciiTheme="majorHAnsi" w:eastAsiaTheme="minorEastAsia" w:hAnsiTheme="majorHAnsi" w:cstheme="majorHAnsi"/>
          <w:lang w:eastAsia="en-AU"/>
        </w:rPr>
        <w:t xml:space="preserve"> per funding round</w:t>
      </w:r>
      <w:r w:rsidR="0079531A" w:rsidRPr="00B77EBE">
        <w:rPr>
          <w:rFonts w:asciiTheme="majorHAnsi" w:eastAsiaTheme="minorEastAsia" w:hAnsiTheme="majorHAnsi" w:cstheme="majorHAnsi"/>
          <w:lang w:eastAsia="en-AU"/>
        </w:rPr>
        <w:t xml:space="preserve"> for successful applications seeking five years of funding</w:t>
      </w:r>
      <w:r w:rsidR="00250734">
        <w:rPr>
          <w:rFonts w:asciiTheme="majorHAnsi" w:eastAsiaTheme="minorEastAsia" w:hAnsiTheme="majorHAnsi" w:cstheme="majorHAnsi"/>
          <w:lang w:eastAsia="en-AU"/>
        </w:rPr>
        <w:t xml:space="preserve"> (51.1 per cent)</w:t>
      </w:r>
      <w:r w:rsidR="0079531A" w:rsidRPr="00B77EBE">
        <w:rPr>
          <w:rFonts w:asciiTheme="majorHAnsi" w:eastAsiaTheme="minorEastAsia" w:hAnsiTheme="majorHAnsi" w:cstheme="majorHAnsi"/>
          <w:lang w:eastAsia="en-AU"/>
        </w:rPr>
        <w:t xml:space="preserve"> </w:t>
      </w:r>
      <w:r w:rsidR="00E143CD">
        <w:rPr>
          <w:rFonts w:asciiTheme="majorHAnsi" w:eastAsiaTheme="minorEastAsia" w:hAnsiTheme="majorHAnsi" w:cstheme="majorHAnsi"/>
          <w:lang w:eastAsia="en-AU"/>
        </w:rPr>
        <w:t>was</w:t>
      </w:r>
      <w:r w:rsidR="0079531A">
        <w:rPr>
          <w:rFonts w:asciiTheme="majorHAnsi" w:eastAsiaTheme="minorEastAsia" w:hAnsiTheme="majorHAnsi" w:cstheme="majorHAnsi"/>
          <w:lang w:eastAsia="en-AU"/>
        </w:rPr>
        <w:t xml:space="preserve"> lower than the scheme-wide average</w:t>
      </w:r>
      <w:r w:rsidR="00250734">
        <w:rPr>
          <w:rFonts w:asciiTheme="majorHAnsi" w:eastAsiaTheme="minorEastAsia" w:hAnsiTheme="majorHAnsi" w:cstheme="majorHAnsi"/>
          <w:lang w:eastAsia="en-AU"/>
        </w:rPr>
        <w:t xml:space="preserve"> (</w:t>
      </w:r>
      <w:r w:rsidR="00E143CD">
        <w:rPr>
          <w:rFonts w:asciiTheme="majorHAnsi" w:eastAsiaTheme="minorEastAsia" w:hAnsiTheme="majorHAnsi" w:cstheme="majorHAnsi"/>
          <w:lang w:eastAsia="en-AU"/>
        </w:rPr>
        <w:t>60.8 per cent</w:t>
      </w:r>
      <w:r w:rsidR="00250734">
        <w:rPr>
          <w:rFonts w:asciiTheme="majorHAnsi" w:eastAsiaTheme="minorEastAsia" w:hAnsiTheme="majorHAnsi" w:cstheme="majorHAnsi"/>
          <w:lang w:eastAsia="en-AU"/>
        </w:rPr>
        <w:t>)</w:t>
      </w:r>
      <w:r w:rsidR="00C44B07">
        <w:rPr>
          <w:rFonts w:asciiTheme="majorHAnsi" w:eastAsiaTheme="minorEastAsia" w:hAnsiTheme="majorHAnsi" w:cstheme="majorHAnsi"/>
          <w:lang w:eastAsia="en-AU"/>
        </w:rPr>
        <w:t xml:space="preserve">, </w:t>
      </w:r>
      <w:r w:rsidR="00C44B07">
        <w:rPr>
          <w:rFonts w:asciiTheme="majorHAnsi" w:eastAsiaTheme="minorEastAsia" w:hAnsiTheme="majorHAnsi" w:cstheme="majorHAnsi"/>
          <w:lang w:eastAsia="en-AU"/>
        </w:rPr>
        <w:lastRenderedPageBreak/>
        <w:t xml:space="preserve">although </w:t>
      </w:r>
      <w:r w:rsidR="000E497B">
        <w:rPr>
          <w:rFonts w:asciiTheme="majorHAnsi" w:eastAsiaTheme="minorEastAsia" w:hAnsiTheme="majorHAnsi" w:cstheme="majorHAnsi"/>
          <w:lang w:eastAsia="en-AU"/>
        </w:rPr>
        <w:t xml:space="preserve">a number of </w:t>
      </w:r>
      <w:r w:rsidR="00E37FC7">
        <w:rPr>
          <w:rFonts w:asciiTheme="majorHAnsi" w:eastAsiaTheme="minorEastAsia" w:hAnsiTheme="majorHAnsi" w:cstheme="majorHAnsi"/>
          <w:lang w:eastAsia="en-AU"/>
        </w:rPr>
        <w:t>factors</w:t>
      </w:r>
      <w:r w:rsidR="00224C52">
        <w:rPr>
          <w:rFonts w:asciiTheme="majorHAnsi" w:eastAsiaTheme="minorEastAsia" w:hAnsiTheme="majorHAnsi" w:cstheme="majorHAnsi"/>
          <w:lang w:eastAsia="en-AU"/>
        </w:rPr>
        <w:t xml:space="preserve"> </w:t>
      </w:r>
      <w:r w:rsidR="00E37FC7">
        <w:rPr>
          <w:rFonts w:asciiTheme="majorHAnsi" w:eastAsiaTheme="minorEastAsia" w:hAnsiTheme="majorHAnsi" w:cstheme="majorHAnsi"/>
          <w:lang w:eastAsia="en-AU"/>
        </w:rPr>
        <w:t xml:space="preserve">must be </w:t>
      </w:r>
      <w:r w:rsidR="00C20A15">
        <w:rPr>
          <w:rFonts w:asciiTheme="majorHAnsi" w:eastAsiaTheme="minorEastAsia" w:hAnsiTheme="majorHAnsi" w:cstheme="majorHAnsi"/>
          <w:lang w:eastAsia="en-AU"/>
        </w:rPr>
        <w:t>taken into account</w:t>
      </w:r>
      <w:r w:rsidR="0079531A">
        <w:rPr>
          <w:rFonts w:asciiTheme="majorHAnsi" w:eastAsiaTheme="minorEastAsia" w:hAnsiTheme="majorHAnsi" w:cstheme="majorHAnsi"/>
          <w:lang w:eastAsia="en-AU"/>
        </w:rPr>
        <w:t>.</w:t>
      </w:r>
      <w:r w:rsidR="0079531A" w:rsidRPr="00B77EBE">
        <w:rPr>
          <w:rFonts w:asciiTheme="majorHAnsi" w:eastAsiaTheme="minorEastAsia" w:hAnsiTheme="majorHAnsi" w:cstheme="majorHAnsi"/>
          <w:lang w:eastAsia="en-AU"/>
        </w:rPr>
        <w:t xml:space="preserve"> </w:t>
      </w:r>
      <w:r w:rsidR="00B77EBE" w:rsidRPr="00B77EBE">
        <w:rPr>
          <w:rFonts w:asciiTheme="majorHAnsi" w:eastAsiaTheme="minorEastAsia" w:hAnsiTheme="majorHAnsi" w:cstheme="majorHAnsi"/>
          <w:lang w:eastAsia="en-AU"/>
        </w:rPr>
        <w:t>Selection Advisory Committee</w:t>
      </w:r>
      <w:r w:rsidR="001B7AD5">
        <w:rPr>
          <w:rFonts w:asciiTheme="majorHAnsi" w:eastAsiaTheme="minorEastAsia" w:hAnsiTheme="majorHAnsi" w:cstheme="majorHAnsi"/>
          <w:lang w:eastAsia="en-AU"/>
        </w:rPr>
        <w:t>s</w:t>
      </w:r>
      <w:r w:rsidR="00B77EBE" w:rsidRPr="00B77EBE">
        <w:rPr>
          <w:rFonts w:asciiTheme="majorHAnsi" w:eastAsiaTheme="minorEastAsia" w:hAnsiTheme="majorHAnsi" w:cstheme="majorHAnsi"/>
          <w:lang w:eastAsia="en-AU"/>
        </w:rPr>
        <w:t xml:space="preserve"> may </w:t>
      </w:r>
      <w:r w:rsidR="00AF5F2C">
        <w:rPr>
          <w:rFonts w:asciiTheme="majorHAnsi" w:eastAsiaTheme="minorEastAsia" w:hAnsiTheme="majorHAnsi" w:cstheme="majorHAnsi"/>
          <w:lang w:eastAsia="en-AU"/>
        </w:rPr>
        <w:t>make recommendations on</w:t>
      </w:r>
      <w:r w:rsidR="00B77EBE" w:rsidRPr="00B77EBE">
        <w:rPr>
          <w:rFonts w:asciiTheme="majorHAnsi" w:eastAsiaTheme="minorEastAsia" w:hAnsiTheme="majorHAnsi" w:cstheme="majorHAnsi"/>
          <w:lang w:eastAsia="en-AU"/>
        </w:rPr>
        <w:t xml:space="preserve"> both the amount of funding awarded to successful applications</w:t>
      </w:r>
      <w:r w:rsidR="00AF5F2C">
        <w:rPr>
          <w:rFonts w:asciiTheme="majorHAnsi" w:eastAsiaTheme="minorEastAsia" w:hAnsiTheme="majorHAnsi" w:cstheme="majorHAnsi"/>
          <w:lang w:eastAsia="en-AU"/>
        </w:rPr>
        <w:t xml:space="preserve"> and</w:t>
      </w:r>
      <w:r w:rsidR="00B77EBE" w:rsidRPr="00B77EBE">
        <w:rPr>
          <w:rFonts w:asciiTheme="majorHAnsi" w:eastAsiaTheme="minorEastAsia" w:hAnsiTheme="majorHAnsi" w:cstheme="majorHAnsi"/>
          <w:lang w:eastAsia="en-AU"/>
        </w:rPr>
        <w:t xml:space="preserve"> the number </w:t>
      </w:r>
      <w:r w:rsidR="00FA20F3">
        <w:rPr>
          <w:rFonts w:asciiTheme="majorHAnsi" w:eastAsiaTheme="minorEastAsia" w:hAnsiTheme="majorHAnsi" w:cstheme="majorHAnsi"/>
          <w:lang w:eastAsia="en-AU"/>
        </w:rPr>
        <w:t xml:space="preserve">of </w:t>
      </w:r>
      <w:r w:rsidR="00B77EBE" w:rsidRPr="00B77EBE">
        <w:rPr>
          <w:rFonts w:asciiTheme="majorHAnsi" w:eastAsiaTheme="minorEastAsia" w:hAnsiTheme="majorHAnsi" w:cstheme="majorHAnsi"/>
          <w:lang w:eastAsia="en-AU"/>
        </w:rPr>
        <w:t>years of funding allocated.</w:t>
      </w:r>
      <w:r w:rsidR="0079531A">
        <w:rPr>
          <w:rFonts w:asciiTheme="majorHAnsi" w:eastAsiaTheme="minorEastAsia" w:hAnsiTheme="majorHAnsi" w:cstheme="majorHAnsi"/>
          <w:lang w:eastAsia="en-AU"/>
        </w:rPr>
        <w:t xml:space="preserve"> </w:t>
      </w:r>
      <w:r w:rsidR="00B77EBE" w:rsidRPr="00B77EBE">
        <w:rPr>
          <w:rFonts w:asciiTheme="majorHAnsi" w:eastAsiaTheme="minorEastAsia" w:hAnsiTheme="majorHAnsi" w:cstheme="majorHAnsi"/>
          <w:lang w:eastAsia="en-AU"/>
        </w:rPr>
        <w:t xml:space="preserve">Of successful applications requesting five years of funding over the course of the scheme’s history, 50.6 per cent </w:t>
      </w:r>
      <w:r w:rsidR="004B2E65">
        <w:rPr>
          <w:rFonts w:asciiTheme="majorHAnsi" w:eastAsiaTheme="minorEastAsia" w:hAnsiTheme="majorHAnsi" w:cstheme="majorHAnsi"/>
          <w:lang w:eastAsia="en-AU"/>
        </w:rPr>
        <w:t xml:space="preserve">received </w:t>
      </w:r>
      <w:r w:rsidR="00B77EBE" w:rsidRPr="00B77EBE">
        <w:rPr>
          <w:rFonts w:asciiTheme="majorHAnsi" w:eastAsiaTheme="minorEastAsia" w:hAnsiTheme="majorHAnsi" w:cstheme="majorHAnsi"/>
          <w:lang w:eastAsia="en-AU"/>
        </w:rPr>
        <w:t>fund</w:t>
      </w:r>
      <w:r w:rsidR="009C719C">
        <w:rPr>
          <w:rFonts w:asciiTheme="majorHAnsi" w:eastAsiaTheme="minorEastAsia" w:hAnsiTheme="majorHAnsi" w:cstheme="majorHAnsi"/>
          <w:lang w:eastAsia="en-AU"/>
        </w:rPr>
        <w:t>ing</w:t>
      </w:r>
      <w:r w:rsidR="00B77EBE" w:rsidRPr="00B77EBE">
        <w:rPr>
          <w:rFonts w:asciiTheme="majorHAnsi" w:eastAsiaTheme="minorEastAsia" w:hAnsiTheme="majorHAnsi" w:cstheme="majorHAnsi"/>
          <w:lang w:eastAsia="en-AU"/>
        </w:rPr>
        <w:t xml:space="preserve"> for a five year period</w:t>
      </w:r>
      <w:r w:rsidR="006A6F14">
        <w:rPr>
          <w:rFonts w:asciiTheme="majorHAnsi" w:eastAsiaTheme="minorEastAsia" w:hAnsiTheme="majorHAnsi" w:cstheme="majorHAnsi"/>
          <w:lang w:eastAsia="en-AU"/>
        </w:rPr>
        <w:t>,</w:t>
      </w:r>
      <w:r w:rsidR="00B77EBE" w:rsidRPr="00B77EBE">
        <w:rPr>
          <w:rFonts w:asciiTheme="majorHAnsi" w:eastAsiaTheme="minorEastAsia" w:hAnsiTheme="majorHAnsi" w:cstheme="majorHAnsi"/>
          <w:lang w:eastAsia="en-AU"/>
        </w:rPr>
        <w:t xml:space="preserve"> </w:t>
      </w:r>
      <w:r w:rsidR="006A6F14">
        <w:rPr>
          <w:rFonts w:asciiTheme="majorHAnsi" w:eastAsiaTheme="minorEastAsia" w:hAnsiTheme="majorHAnsi" w:cstheme="majorHAnsi"/>
          <w:lang w:eastAsia="en-AU"/>
        </w:rPr>
        <w:t xml:space="preserve">but </w:t>
      </w:r>
      <w:r w:rsidR="002727C3">
        <w:rPr>
          <w:rFonts w:asciiTheme="majorHAnsi" w:eastAsiaTheme="minorEastAsia" w:hAnsiTheme="majorHAnsi" w:cstheme="majorHAnsi"/>
          <w:lang w:eastAsia="en-AU"/>
        </w:rPr>
        <w:t>43.3 per cent received only</w:t>
      </w:r>
      <w:r w:rsidR="00B77EBE" w:rsidRPr="00B77EBE">
        <w:rPr>
          <w:rFonts w:asciiTheme="majorHAnsi" w:eastAsiaTheme="minorEastAsia" w:hAnsiTheme="majorHAnsi" w:cstheme="majorHAnsi"/>
          <w:lang w:eastAsia="en-AU"/>
        </w:rPr>
        <w:t xml:space="preserve"> three years of funding. Between DP02 and DP11, those requesting and receiving five years of funding had higher than average return rates; however, this trend reversed from DP15</w:t>
      </w:r>
      <w:r w:rsidR="009C719C">
        <w:rPr>
          <w:rFonts w:asciiTheme="majorHAnsi" w:eastAsiaTheme="minorEastAsia" w:hAnsiTheme="majorHAnsi" w:cstheme="majorHAnsi"/>
          <w:lang w:eastAsia="en-AU"/>
        </w:rPr>
        <w:t xml:space="preserve"> to</w:t>
      </w:r>
      <w:r w:rsidR="00D0061C">
        <w:rPr>
          <w:rFonts w:asciiTheme="majorHAnsi" w:eastAsiaTheme="minorEastAsia" w:hAnsiTheme="majorHAnsi" w:cstheme="majorHAnsi"/>
          <w:lang w:eastAsia="en-AU"/>
        </w:rPr>
        <w:t xml:space="preserve"> </w:t>
      </w:r>
      <w:r w:rsidR="00B77EBE" w:rsidRPr="00B77EBE">
        <w:rPr>
          <w:rFonts w:asciiTheme="majorHAnsi" w:eastAsiaTheme="minorEastAsia" w:hAnsiTheme="majorHAnsi" w:cstheme="majorHAnsi"/>
          <w:lang w:eastAsia="en-AU"/>
        </w:rPr>
        <w:t xml:space="preserve">DP20. </w:t>
      </w:r>
      <w:r w:rsidR="001D64A7">
        <w:rPr>
          <w:rFonts w:asciiTheme="majorHAnsi" w:eastAsiaTheme="minorEastAsia" w:hAnsiTheme="majorHAnsi" w:cstheme="majorHAnsi"/>
          <w:lang w:eastAsia="en-AU"/>
        </w:rPr>
        <w:t>As would be anticipated, r</w:t>
      </w:r>
      <w:r w:rsidR="00697B4A" w:rsidRPr="00B77EBE">
        <w:rPr>
          <w:rFonts w:asciiTheme="majorHAnsi" w:eastAsiaTheme="minorEastAsia" w:hAnsiTheme="majorHAnsi" w:cstheme="majorHAnsi"/>
          <w:lang w:eastAsia="en-AU"/>
        </w:rPr>
        <w:t xml:space="preserve">eturn rates </w:t>
      </w:r>
      <w:r w:rsidR="00697B4A">
        <w:rPr>
          <w:rFonts w:asciiTheme="majorHAnsi" w:eastAsiaTheme="minorEastAsia" w:hAnsiTheme="majorHAnsi" w:cstheme="majorHAnsi"/>
          <w:lang w:eastAsia="en-AU"/>
        </w:rPr>
        <w:t>for a</w:t>
      </w:r>
      <w:r w:rsidR="00B77EBE" w:rsidRPr="00B77EBE">
        <w:rPr>
          <w:rFonts w:asciiTheme="majorHAnsi" w:eastAsiaTheme="minorEastAsia" w:hAnsiTheme="majorHAnsi" w:cstheme="majorHAnsi"/>
          <w:lang w:eastAsia="en-AU"/>
        </w:rPr>
        <w:t xml:space="preserve">pplications reduced to three years </w:t>
      </w:r>
      <w:r w:rsidR="0017531C">
        <w:rPr>
          <w:rFonts w:asciiTheme="majorHAnsi" w:eastAsiaTheme="minorEastAsia" w:hAnsiTheme="majorHAnsi" w:cstheme="majorHAnsi"/>
          <w:lang w:eastAsia="en-AU"/>
        </w:rPr>
        <w:t xml:space="preserve">were </w:t>
      </w:r>
      <w:r w:rsidR="00B77EBE" w:rsidRPr="00B77EBE">
        <w:rPr>
          <w:rFonts w:asciiTheme="majorHAnsi" w:eastAsiaTheme="minorEastAsia" w:hAnsiTheme="majorHAnsi" w:cstheme="majorHAnsi"/>
          <w:lang w:eastAsia="en-AU"/>
        </w:rPr>
        <w:t xml:space="preserve">well below the scheme average (ranging from 25.0 per cent to 43.3 per cent </w:t>
      </w:r>
      <w:r w:rsidR="00421D61">
        <w:rPr>
          <w:rFonts w:asciiTheme="majorHAnsi" w:eastAsiaTheme="minorEastAsia" w:hAnsiTheme="majorHAnsi" w:cstheme="majorHAnsi"/>
          <w:lang w:eastAsia="en-AU"/>
        </w:rPr>
        <w:t>between</w:t>
      </w:r>
      <w:r w:rsidR="00B77EBE" w:rsidRPr="00B77EBE">
        <w:rPr>
          <w:rFonts w:asciiTheme="majorHAnsi" w:eastAsiaTheme="minorEastAsia" w:hAnsiTheme="majorHAnsi" w:cstheme="majorHAnsi"/>
          <w:lang w:eastAsia="en-AU"/>
        </w:rPr>
        <w:t xml:space="preserve"> DP02</w:t>
      </w:r>
      <w:r w:rsidR="00421D61">
        <w:rPr>
          <w:rFonts w:asciiTheme="majorHAnsi" w:eastAsiaTheme="minorEastAsia" w:hAnsiTheme="majorHAnsi" w:cstheme="majorHAnsi"/>
          <w:lang w:eastAsia="en-AU"/>
        </w:rPr>
        <w:t xml:space="preserve"> and </w:t>
      </w:r>
      <w:r w:rsidR="00B77EBE" w:rsidRPr="00B77EBE">
        <w:rPr>
          <w:rFonts w:asciiTheme="majorHAnsi" w:eastAsiaTheme="minorEastAsia" w:hAnsiTheme="majorHAnsi" w:cstheme="majorHAnsi"/>
          <w:lang w:eastAsia="en-AU"/>
        </w:rPr>
        <w:t xml:space="preserve">DP20). </w:t>
      </w:r>
    </w:p>
    <w:p w14:paraId="43A08B6E" w14:textId="1ABD1075" w:rsidR="00B77EBE" w:rsidRPr="00B77EBE" w:rsidRDefault="00B77EBE" w:rsidP="00B77EBE">
      <w:pPr>
        <w:rPr>
          <w:rFonts w:asciiTheme="majorHAnsi" w:eastAsiaTheme="minorEastAsia" w:hAnsiTheme="majorHAnsi" w:cstheme="majorHAnsi"/>
          <w:lang w:eastAsia="en-AU"/>
        </w:rPr>
      </w:pPr>
      <w:r w:rsidRPr="00B77EBE">
        <w:rPr>
          <w:rFonts w:asciiTheme="majorHAnsi" w:eastAsiaTheme="minorEastAsia" w:hAnsiTheme="majorHAnsi" w:cstheme="majorHAnsi"/>
          <w:lang w:eastAsia="en-AU"/>
        </w:rPr>
        <w:t>It is important to acknowledge that</w:t>
      </w:r>
      <w:r w:rsidR="001808F2">
        <w:rPr>
          <w:rFonts w:asciiTheme="majorHAnsi" w:eastAsiaTheme="minorEastAsia" w:hAnsiTheme="majorHAnsi" w:cstheme="majorHAnsi"/>
          <w:lang w:eastAsia="en-AU"/>
        </w:rPr>
        <w:t>, in general, Discovery Projects a</w:t>
      </w:r>
      <w:r w:rsidRPr="00B77EBE">
        <w:rPr>
          <w:rFonts w:asciiTheme="majorHAnsi" w:eastAsiaTheme="minorEastAsia" w:hAnsiTheme="majorHAnsi" w:cstheme="majorHAnsi"/>
          <w:lang w:eastAsia="en-AU"/>
        </w:rPr>
        <w:t>pplications requesting higher funding amounts over all durations tend to have lower return rates</w:t>
      </w:r>
      <w:r w:rsidR="00CC561E">
        <w:rPr>
          <w:rFonts w:asciiTheme="majorHAnsi" w:eastAsiaTheme="minorEastAsia" w:hAnsiTheme="majorHAnsi" w:cstheme="majorHAnsi"/>
          <w:lang w:eastAsia="en-AU"/>
        </w:rPr>
        <w:t>.</w:t>
      </w:r>
      <w:r w:rsidRPr="00B77EBE">
        <w:rPr>
          <w:rFonts w:asciiTheme="majorHAnsi" w:eastAsiaTheme="minorEastAsia" w:hAnsiTheme="majorHAnsi" w:cstheme="majorHAnsi"/>
          <w:lang w:eastAsia="en-AU"/>
        </w:rPr>
        <w:t xml:space="preserve"> </w:t>
      </w:r>
      <w:r w:rsidR="00CC561E">
        <w:rPr>
          <w:rFonts w:asciiTheme="majorHAnsi" w:eastAsiaTheme="minorEastAsia" w:hAnsiTheme="majorHAnsi" w:cstheme="majorHAnsi"/>
          <w:lang w:eastAsia="en-AU"/>
        </w:rPr>
        <w:t>A</w:t>
      </w:r>
      <w:r w:rsidRPr="00B77EBE">
        <w:rPr>
          <w:rFonts w:asciiTheme="majorHAnsi" w:eastAsiaTheme="minorEastAsia" w:hAnsiTheme="majorHAnsi" w:cstheme="majorHAnsi"/>
          <w:lang w:eastAsia="en-AU"/>
        </w:rPr>
        <w:t>s five-year funding requests tend to also be above average, it is difficult to determine whether return rate</w:t>
      </w:r>
      <w:r w:rsidR="001808F2">
        <w:rPr>
          <w:rFonts w:asciiTheme="majorHAnsi" w:eastAsiaTheme="minorEastAsia" w:hAnsiTheme="majorHAnsi" w:cstheme="majorHAnsi"/>
          <w:lang w:eastAsia="en-AU"/>
        </w:rPr>
        <w:t>s</w:t>
      </w:r>
      <w:r w:rsidR="00CC561E">
        <w:rPr>
          <w:rFonts w:asciiTheme="majorHAnsi" w:eastAsiaTheme="minorEastAsia" w:hAnsiTheme="majorHAnsi" w:cstheme="majorHAnsi"/>
          <w:lang w:eastAsia="en-AU"/>
        </w:rPr>
        <w:t xml:space="preserve"> </w:t>
      </w:r>
      <w:r w:rsidRPr="00B77EBE">
        <w:rPr>
          <w:rFonts w:asciiTheme="majorHAnsi" w:eastAsiaTheme="minorEastAsia" w:hAnsiTheme="majorHAnsi" w:cstheme="majorHAnsi"/>
          <w:lang w:eastAsia="en-AU"/>
        </w:rPr>
        <w:t xml:space="preserve">for these applications reflect </w:t>
      </w:r>
      <w:r w:rsidR="00210E87">
        <w:rPr>
          <w:rFonts w:asciiTheme="majorHAnsi" w:eastAsiaTheme="minorEastAsia" w:hAnsiTheme="majorHAnsi" w:cstheme="majorHAnsi"/>
          <w:lang w:eastAsia="en-AU"/>
        </w:rPr>
        <w:t xml:space="preserve">the </w:t>
      </w:r>
      <w:r w:rsidRPr="00B77EBE">
        <w:rPr>
          <w:rFonts w:asciiTheme="majorHAnsi" w:eastAsiaTheme="minorEastAsia" w:hAnsiTheme="majorHAnsi" w:cstheme="majorHAnsi"/>
          <w:lang w:eastAsia="en-AU"/>
        </w:rPr>
        <w:t xml:space="preserve">funding duration or funding amount requested. Further, given the very low number of five-year applications and funded projects between DP17 and DP20, </w:t>
      </w:r>
      <w:r w:rsidR="005F3E72">
        <w:rPr>
          <w:rFonts w:asciiTheme="majorHAnsi" w:eastAsiaTheme="minorEastAsia" w:hAnsiTheme="majorHAnsi" w:cstheme="majorHAnsi"/>
          <w:lang w:eastAsia="en-AU"/>
        </w:rPr>
        <w:t xml:space="preserve">it is difficult to identify consistent </w:t>
      </w:r>
      <w:r w:rsidR="00AA22CA">
        <w:rPr>
          <w:rFonts w:asciiTheme="majorHAnsi" w:eastAsiaTheme="minorEastAsia" w:hAnsiTheme="majorHAnsi" w:cstheme="majorHAnsi"/>
          <w:lang w:eastAsia="en-AU"/>
        </w:rPr>
        <w:t>return rate trends</w:t>
      </w:r>
      <w:r w:rsidRPr="00B77EBE">
        <w:rPr>
          <w:rFonts w:asciiTheme="majorHAnsi" w:eastAsiaTheme="minorEastAsia" w:hAnsiTheme="majorHAnsi" w:cstheme="majorHAnsi"/>
          <w:lang w:eastAsia="en-AU"/>
        </w:rPr>
        <w:t>.</w:t>
      </w:r>
    </w:p>
    <w:p w14:paraId="0111E2AA" w14:textId="428903A0" w:rsidR="00B77EBE" w:rsidRPr="00B77EBE" w:rsidRDefault="00C977BE" w:rsidP="00B77EBE">
      <w:pPr>
        <w:rPr>
          <w:rFonts w:asciiTheme="majorHAnsi" w:eastAsiaTheme="minorEastAsia" w:hAnsiTheme="majorHAnsi" w:cstheme="majorHAnsi"/>
          <w:sz w:val="20"/>
          <w:lang w:eastAsia="en-AU"/>
        </w:rPr>
      </w:pPr>
      <w:r>
        <w:rPr>
          <w:rFonts w:asciiTheme="majorHAnsi" w:eastAsiaTheme="minorEastAsia" w:hAnsiTheme="majorHAnsi" w:cstheme="majorHAnsi"/>
          <w:lang w:eastAsia="en-AU"/>
        </w:rPr>
        <w:t>On balance</w:t>
      </w:r>
      <w:r w:rsidR="00B77EBE" w:rsidRPr="00B77EBE">
        <w:rPr>
          <w:rFonts w:asciiTheme="majorHAnsi" w:eastAsiaTheme="minorEastAsia" w:hAnsiTheme="majorHAnsi" w:cstheme="majorHAnsi"/>
          <w:lang w:eastAsia="en-AU"/>
        </w:rPr>
        <w:t xml:space="preserve">, these </w:t>
      </w:r>
      <w:r w:rsidR="007C3094">
        <w:rPr>
          <w:rFonts w:asciiTheme="majorHAnsi" w:eastAsiaTheme="minorEastAsia" w:hAnsiTheme="majorHAnsi" w:cstheme="majorHAnsi"/>
          <w:lang w:eastAsia="en-AU"/>
        </w:rPr>
        <w:t>data</w:t>
      </w:r>
      <w:r w:rsidR="007C3094" w:rsidRPr="00B77EBE">
        <w:rPr>
          <w:rFonts w:asciiTheme="majorHAnsi" w:eastAsiaTheme="minorEastAsia" w:hAnsiTheme="majorHAnsi" w:cstheme="majorHAnsi"/>
          <w:lang w:eastAsia="en-AU"/>
        </w:rPr>
        <w:t xml:space="preserve"> </w:t>
      </w:r>
      <w:r w:rsidR="00B77EBE" w:rsidRPr="00B77EBE">
        <w:rPr>
          <w:rFonts w:asciiTheme="majorHAnsi" w:eastAsiaTheme="minorEastAsia" w:hAnsiTheme="majorHAnsi" w:cstheme="majorHAnsi"/>
          <w:lang w:eastAsia="en-AU"/>
        </w:rPr>
        <w:t xml:space="preserve">suggest that stakeholder perceptions of five year applications being significantly disadvantaged may be somewhat exaggerated. </w:t>
      </w:r>
      <w:r w:rsidR="005740F1">
        <w:rPr>
          <w:rFonts w:asciiTheme="majorHAnsi" w:eastAsiaTheme="minorEastAsia" w:hAnsiTheme="majorHAnsi" w:cstheme="majorHAnsi"/>
          <w:lang w:eastAsia="en-AU"/>
        </w:rPr>
        <w:t xml:space="preserve">Providing further information </w:t>
      </w:r>
      <w:r w:rsidR="004348F3">
        <w:rPr>
          <w:rFonts w:asciiTheme="majorHAnsi" w:eastAsiaTheme="minorEastAsia" w:hAnsiTheme="majorHAnsi" w:cstheme="majorHAnsi"/>
          <w:lang w:eastAsia="en-AU"/>
        </w:rPr>
        <w:t xml:space="preserve">through outreach and engagement activities </w:t>
      </w:r>
      <w:r w:rsidR="005740F1">
        <w:rPr>
          <w:rFonts w:asciiTheme="majorHAnsi" w:eastAsiaTheme="minorEastAsia" w:hAnsiTheme="majorHAnsi" w:cstheme="majorHAnsi"/>
          <w:lang w:eastAsia="en-AU"/>
        </w:rPr>
        <w:t>on</w:t>
      </w:r>
      <w:r w:rsidR="00B77EBE" w:rsidRPr="00B77EBE">
        <w:rPr>
          <w:rFonts w:asciiTheme="majorHAnsi" w:eastAsiaTheme="minorEastAsia" w:hAnsiTheme="majorHAnsi" w:cstheme="majorHAnsi"/>
          <w:lang w:eastAsia="en-AU"/>
        </w:rPr>
        <w:t xml:space="preserve"> the relatively competitive success </w:t>
      </w:r>
      <w:r w:rsidR="00E9202B">
        <w:rPr>
          <w:rFonts w:asciiTheme="majorHAnsi" w:eastAsiaTheme="minorEastAsia" w:hAnsiTheme="majorHAnsi" w:cstheme="majorHAnsi"/>
          <w:lang w:eastAsia="en-AU"/>
        </w:rPr>
        <w:t xml:space="preserve">rates </w:t>
      </w:r>
      <w:r w:rsidR="00B77EBE" w:rsidRPr="00B77EBE">
        <w:rPr>
          <w:rFonts w:asciiTheme="majorHAnsi" w:eastAsiaTheme="minorEastAsia" w:hAnsiTheme="majorHAnsi" w:cstheme="majorHAnsi"/>
          <w:lang w:eastAsia="en-AU"/>
        </w:rPr>
        <w:t>for five year</w:t>
      </w:r>
      <w:r w:rsidR="00B31A57">
        <w:rPr>
          <w:rFonts w:asciiTheme="majorHAnsi" w:eastAsiaTheme="minorEastAsia" w:hAnsiTheme="majorHAnsi" w:cstheme="majorHAnsi"/>
          <w:lang w:eastAsia="en-AU"/>
        </w:rPr>
        <w:t xml:space="preserve"> application</w:t>
      </w:r>
      <w:r w:rsidR="00B77EBE" w:rsidRPr="00B77EBE">
        <w:rPr>
          <w:rFonts w:asciiTheme="majorHAnsi" w:eastAsiaTheme="minorEastAsia" w:hAnsiTheme="majorHAnsi" w:cstheme="majorHAnsi"/>
          <w:lang w:eastAsia="en-AU"/>
        </w:rPr>
        <w:t>s</w:t>
      </w:r>
      <w:r w:rsidR="00E9202B">
        <w:rPr>
          <w:rFonts w:asciiTheme="majorHAnsi" w:eastAsiaTheme="minorEastAsia" w:hAnsiTheme="majorHAnsi" w:cstheme="majorHAnsi"/>
          <w:lang w:eastAsia="en-AU"/>
        </w:rPr>
        <w:t xml:space="preserve">, and </w:t>
      </w:r>
      <w:r w:rsidR="00DB71A3">
        <w:rPr>
          <w:rFonts w:asciiTheme="majorHAnsi" w:eastAsiaTheme="minorEastAsia" w:hAnsiTheme="majorHAnsi" w:cstheme="majorHAnsi"/>
          <w:lang w:eastAsia="en-AU"/>
        </w:rPr>
        <w:t xml:space="preserve">the </w:t>
      </w:r>
      <w:r w:rsidR="001B681F">
        <w:rPr>
          <w:rFonts w:asciiTheme="majorHAnsi" w:eastAsiaTheme="minorEastAsia" w:hAnsiTheme="majorHAnsi" w:cstheme="majorHAnsi"/>
          <w:lang w:eastAsia="en-AU"/>
        </w:rPr>
        <w:t>nuance</w:t>
      </w:r>
      <w:r w:rsidR="003E4B52">
        <w:rPr>
          <w:rFonts w:asciiTheme="majorHAnsi" w:eastAsiaTheme="minorEastAsia" w:hAnsiTheme="majorHAnsi" w:cstheme="majorHAnsi"/>
          <w:lang w:eastAsia="en-AU"/>
        </w:rPr>
        <w:t>s evident</w:t>
      </w:r>
      <w:r w:rsidR="001B681F">
        <w:rPr>
          <w:rFonts w:asciiTheme="majorHAnsi" w:eastAsiaTheme="minorEastAsia" w:hAnsiTheme="majorHAnsi" w:cstheme="majorHAnsi"/>
          <w:lang w:eastAsia="en-AU"/>
        </w:rPr>
        <w:t xml:space="preserve"> in return rate</w:t>
      </w:r>
      <w:r w:rsidR="003A5C80">
        <w:rPr>
          <w:rFonts w:asciiTheme="majorHAnsi" w:eastAsiaTheme="minorEastAsia" w:hAnsiTheme="majorHAnsi" w:cstheme="majorHAnsi"/>
          <w:lang w:eastAsia="en-AU"/>
        </w:rPr>
        <w:t>s</w:t>
      </w:r>
      <w:r w:rsidR="00A859EE">
        <w:rPr>
          <w:rFonts w:asciiTheme="majorHAnsi" w:eastAsiaTheme="minorEastAsia" w:hAnsiTheme="majorHAnsi" w:cstheme="majorHAnsi"/>
          <w:lang w:eastAsia="en-AU"/>
        </w:rPr>
        <w:t>,</w:t>
      </w:r>
      <w:r w:rsidR="00B77EBE" w:rsidRPr="00B77EBE">
        <w:rPr>
          <w:rFonts w:asciiTheme="majorHAnsi" w:eastAsiaTheme="minorEastAsia" w:hAnsiTheme="majorHAnsi" w:cstheme="majorHAnsi"/>
          <w:lang w:eastAsia="en-AU"/>
        </w:rPr>
        <w:t xml:space="preserve"> </w:t>
      </w:r>
      <w:r w:rsidR="004931C5">
        <w:rPr>
          <w:rFonts w:asciiTheme="majorHAnsi" w:eastAsiaTheme="minorEastAsia" w:hAnsiTheme="majorHAnsi" w:cstheme="majorHAnsi"/>
          <w:lang w:eastAsia="en-AU"/>
        </w:rPr>
        <w:t xml:space="preserve">may help </w:t>
      </w:r>
      <w:r w:rsidR="00B77EBE" w:rsidRPr="00B77EBE">
        <w:rPr>
          <w:rFonts w:asciiTheme="majorHAnsi" w:eastAsiaTheme="minorEastAsia" w:hAnsiTheme="majorHAnsi" w:cstheme="majorHAnsi"/>
          <w:lang w:eastAsia="en-AU"/>
        </w:rPr>
        <w:t xml:space="preserve">to </w:t>
      </w:r>
      <w:r w:rsidR="004931C5">
        <w:rPr>
          <w:rFonts w:asciiTheme="majorHAnsi" w:eastAsiaTheme="minorEastAsia" w:hAnsiTheme="majorHAnsi" w:cstheme="majorHAnsi"/>
          <w:lang w:eastAsia="en-AU"/>
        </w:rPr>
        <w:t xml:space="preserve">address </w:t>
      </w:r>
      <w:r w:rsidR="00B77EBE" w:rsidRPr="00B77EBE">
        <w:rPr>
          <w:rFonts w:asciiTheme="majorHAnsi" w:eastAsiaTheme="minorEastAsia" w:hAnsiTheme="majorHAnsi" w:cstheme="majorHAnsi"/>
          <w:lang w:eastAsia="en-AU"/>
        </w:rPr>
        <w:t>researchers</w:t>
      </w:r>
      <w:r w:rsidR="004348F3">
        <w:rPr>
          <w:rFonts w:asciiTheme="majorHAnsi" w:eastAsiaTheme="minorEastAsia" w:hAnsiTheme="majorHAnsi" w:cstheme="majorHAnsi"/>
          <w:lang w:eastAsia="en-AU"/>
        </w:rPr>
        <w:t>’ concerns</w:t>
      </w:r>
      <w:r w:rsidR="00B77EBE" w:rsidRPr="00B77EBE">
        <w:rPr>
          <w:rFonts w:asciiTheme="majorHAnsi" w:eastAsiaTheme="minorEastAsia" w:hAnsiTheme="majorHAnsi" w:cstheme="majorHAnsi"/>
          <w:lang w:eastAsia="en-AU"/>
        </w:rPr>
        <w:t xml:space="preserve">. </w:t>
      </w:r>
      <w:r w:rsidR="00AE5DF7">
        <w:rPr>
          <w:rFonts w:asciiTheme="majorHAnsi" w:eastAsiaTheme="minorEastAsia" w:hAnsiTheme="majorHAnsi" w:cstheme="majorHAnsi"/>
          <w:lang w:eastAsia="en-AU"/>
        </w:rPr>
        <w:t xml:space="preserve">There </w:t>
      </w:r>
      <w:r w:rsidR="001B54B0">
        <w:rPr>
          <w:rFonts w:asciiTheme="majorHAnsi" w:eastAsiaTheme="minorEastAsia" w:hAnsiTheme="majorHAnsi" w:cstheme="majorHAnsi"/>
          <w:lang w:eastAsia="en-AU"/>
        </w:rPr>
        <w:t>may also be opportunities</w:t>
      </w:r>
      <w:r w:rsidR="006B7659">
        <w:rPr>
          <w:rFonts w:asciiTheme="majorHAnsi" w:eastAsiaTheme="minorEastAsia" w:hAnsiTheme="majorHAnsi" w:cstheme="majorHAnsi"/>
          <w:lang w:eastAsia="en-AU"/>
        </w:rPr>
        <w:t>, in advice</w:t>
      </w:r>
      <w:r w:rsidR="006B7659" w:rsidRPr="00B77EBE">
        <w:rPr>
          <w:rFonts w:asciiTheme="majorHAnsi" w:eastAsiaTheme="minorEastAsia" w:hAnsiTheme="majorHAnsi" w:cstheme="majorHAnsi"/>
          <w:lang w:eastAsia="en-AU"/>
        </w:rPr>
        <w:t xml:space="preserve"> </w:t>
      </w:r>
      <w:r w:rsidR="006B7659">
        <w:rPr>
          <w:rFonts w:asciiTheme="majorHAnsi" w:eastAsiaTheme="minorEastAsia" w:hAnsiTheme="majorHAnsi" w:cstheme="majorHAnsi"/>
          <w:lang w:eastAsia="en-AU"/>
        </w:rPr>
        <w:t xml:space="preserve">to </w:t>
      </w:r>
      <w:r w:rsidR="006B7659" w:rsidRPr="00B77EBE">
        <w:rPr>
          <w:rFonts w:asciiTheme="majorHAnsi" w:eastAsiaTheme="minorEastAsia" w:hAnsiTheme="majorHAnsi" w:cstheme="majorHAnsi"/>
          <w:lang w:eastAsia="en-AU"/>
        </w:rPr>
        <w:t>Discovery Projects peer reviewers</w:t>
      </w:r>
      <w:r w:rsidR="006B7659">
        <w:rPr>
          <w:rFonts w:asciiTheme="majorHAnsi" w:eastAsiaTheme="minorEastAsia" w:hAnsiTheme="majorHAnsi" w:cstheme="majorHAnsi"/>
          <w:lang w:eastAsia="en-AU"/>
        </w:rPr>
        <w:t xml:space="preserve">, </w:t>
      </w:r>
      <w:r w:rsidR="001B54B0">
        <w:rPr>
          <w:rFonts w:asciiTheme="majorHAnsi" w:eastAsiaTheme="minorEastAsia" w:hAnsiTheme="majorHAnsi" w:cstheme="majorHAnsi"/>
          <w:lang w:eastAsia="en-AU"/>
        </w:rPr>
        <w:t>to reinforce</w:t>
      </w:r>
      <w:r w:rsidR="00B77EBE" w:rsidRPr="00B77EBE">
        <w:rPr>
          <w:rFonts w:asciiTheme="majorHAnsi" w:eastAsiaTheme="minorEastAsia" w:hAnsiTheme="majorHAnsi" w:cstheme="majorHAnsi"/>
          <w:lang w:eastAsia="en-AU"/>
        </w:rPr>
        <w:t xml:space="preserve"> the scheme’s openness to supporting longer applications</w:t>
      </w:r>
      <w:r w:rsidR="0043155E">
        <w:rPr>
          <w:rFonts w:asciiTheme="majorHAnsi" w:eastAsiaTheme="minorEastAsia" w:hAnsiTheme="majorHAnsi" w:cstheme="majorHAnsi"/>
          <w:lang w:eastAsia="en-AU"/>
        </w:rPr>
        <w:t xml:space="preserve"> </w:t>
      </w:r>
      <w:r w:rsidR="009E69C1">
        <w:rPr>
          <w:rFonts w:asciiTheme="majorHAnsi" w:eastAsiaTheme="minorEastAsia" w:hAnsiTheme="majorHAnsi" w:cstheme="majorHAnsi"/>
          <w:lang w:eastAsia="en-AU"/>
        </w:rPr>
        <w:t>where the applicant has justified the request for funding over a longer duration</w:t>
      </w:r>
      <w:r w:rsidR="006741B6">
        <w:rPr>
          <w:rFonts w:asciiTheme="majorHAnsi" w:eastAsiaTheme="minorEastAsia" w:hAnsiTheme="majorHAnsi" w:cstheme="majorHAnsi"/>
          <w:lang w:eastAsia="en-AU"/>
        </w:rPr>
        <w:t>.</w:t>
      </w:r>
      <w:r w:rsidR="00B77EBE" w:rsidRPr="00B77EBE">
        <w:rPr>
          <w:rFonts w:asciiTheme="majorHAnsi" w:eastAsiaTheme="minorEastAsia" w:hAnsiTheme="majorHAnsi" w:cstheme="majorHAnsi"/>
          <w:lang w:eastAsia="en-AU"/>
        </w:rPr>
        <w:t xml:space="preserve">    </w:t>
      </w:r>
    </w:p>
    <w:p w14:paraId="5F1FB149" w14:textId="77777777" w:rsidR="003E3DF4" w:rsidRDefault="003E3DF4">
      <w:pPr>
        <w:rPr>
          <w:rFonts w:asciiTheme="majorHAnsi" w:eastAsia="Times New Roman" w:hAnsiTheme="majorHAnsi" w:cstheme="majorHAnsi"/>
          <w:b/>
          <w:sz w:val="28"/>
          <w:szCs w:val="28"/>
        </w:rPr>
      </w:pPr>
      <w:r>
        <w:br w:type="page"/>
      </w:r>
    </w:p>
    <w:p w14:paraId="38693E10" w14:textId="17245C71" w:rsidR="00477C27" w:rsidRPr="00477C27" w:rsidRDefault="00477C27" w:rsidP="00281670">
      <w:pPr>
        <w:pStyle w:val="Heading1"/>
        <w:numPr>
          <w:ilvl w:val="0"/>
          <w:numId w:val="0"/>
        </w:numPr>
        <w:spacing w:before="0" w:after="480"/>
        <w:rPr>
          <w:rFonts w:eastAsia="Calibri"/>
        </w:rPr>
      </w:pPr>
      <w:bookmarkStart w:id="947" w:name="_Appendix_A:_Opportunity"/>
      <w:bookmarkStart w:id="948" w:name="_Toc55544859"/>
      <w:bookmarkEnd w:id="947"/>
      <w:r w:rsidRPr="00477C27">
        <w:rPr>
          <w:rFonts w:eastAsia="Calibri"/>
        </w:rPr>
        <w:lastRenderedPageBreak/>
        <w:t xml:space="preserve">Appendix A: </w:t>
      </w:r>
      <w:r w:rsidR="00D722D6">
        <w:rPr>
          <w:rFonts w:eastAsia="Calibri"/>
        </w:rPr>
        <w:t xml:space="preserve">Opportunity </w:t>
      </w:r>
      <w:r w:rsidR="009526F9">
        <w:rPr>
          <w:rFonts w:eastAsia="Calibri"/>
        </w:rPr>
        <w:t>One</w:t>
      </w:r>
      <w:r w:rsidR="006733AF">
        <w:rPr>
          <w:rFonts w:eastAsia="Calibri"/>
        </w:rPr>
        <w:t>—</w:t>
      </w:r>
      <w:r w:rsidR="009C12FD">
        <w:rPr>
          <w:rFonts w:eastAsia="Calibri"/>
        </w:rPr>
        <w:t>T</w:t>
      </w:r>
      <w:r w:rsidRPr="00477C27">
        <w:rPr>
          <w:rFonts w:eastAsia="Calibri"/>
        </w:rPr>
        <w:t xml:space="preserve">argeted </w:t>
      </w:r>
      <w:r w:rsidR="00907747">
        <w:rPr>
          <w:rFonts w:eastAsia="Calibri"/>
        </w:rPr>
        <w:t xml:space="preserve">advice, </w:t>
      </w:r>
      <w:r w:rsidRPr="00477C27">
        <w:rPr>
          <w:rFonts w:eastAsia="Calibri"/>
        </w:rPr>
        <w:t>outreach and engagement</w:t>
      </w:r>
      <w:r w:rsidR="00DF20AB">
        <w:rPr>
          <w:rFonts w:eastAsia="Calibri"/>
        </w:rPr>
        <w:t xml:space="preserve"> (</w:t>
      </w:r>
      <w:r w:rsidR="009734DD">
        <w:rPr>
          <w:rFonts w:eastAsia="Calibri"/>
        </w:rPr>
        <w:t>additional</w:t>
      </w:r>
      <w:r w:rsidRPr="00477C27">
        <w:rPr>
          <w:rFonts w:eastAsia="Calibri"/>
        </w:rPr>
        <w:t xml:space="preserve"> information</w:t>
      </w:r>
      <w:r w:rsidR="00DF20AB">
        <w:rPr>
          <w:rFonts w:eastAsia="Calibri"/>
        </w:rPr>
        <w:t>)</w:t>
      </w:r>
      <w:bookmarkEnd w:id="948"/>
    </w:p>
    <w:p w14:paraId="274440FF" w14:textId="7C525B77" w:rsidR="00EB560F" w:rsidRPr="00281670" w:rsidRDefault="00EB560F" w:rsidP="00EB560F">
      <w:pPr>
        <w:spacing w:before="60" w:after="60"/>
        <w:rPr>
          <w:rFonts w:asciiTheme="majorHAnsi" w:eastAsia="Calibri" w:hAnsiTheme="majorHAnsi" w:cstheme="majorHAnsi"/>
        </w:rPr>
      </w:pPr>
      <w:bookmarkStart w:id="949" w:name="_Appendix_B:_Stakeholder"/>
      <w:bookmarkStart w:id="950" w:name="_Toc51918765"/>
      <w:bookmarkEnd w:id="949"/>
      <w:r w:rsidRPr="008C48B1">
        <w:rPr>
          <w:rFonts w:ascii="Calibri Light" w:eastAsia="Calibri" w:hAnsi="Calibri Light" w:cs="Calibri Light"/>
        </w:rPr>
        <w:t>Opportunity One</w:t>
      </w:r>
      <w:r w:rsidR="00A1470C">
        <w:rPr>
          <w:rFonts w:ascii="Calibri Light" w:eastAsia="Calibri" w:hAnsi="Calibri Light" w:cs="Calibri Light"/>
        </w:rPr>
        <w:t xml:space="preserve"> (p. 9)</w:t>
      </w:r>
      <w:r w:rsidRPr="008C48B1">
        <w:rPr>
          <w:rFonts w:ascii="Calibri Light" w:eastAsia="Calibri" w:hAnsi="Calibri Light" w:cs="Calibri Light"/>
        </w:rPr>
        <w:t xml:space="preserve"> identifies messages that may potentially be reinforced </w:t>
      </w:r>
      <w:r w:rsidRPr="008C48B1">
        <w:rPr>
          <w:rFonts w:asciiTheme="majorHAnsi" w:eastAsia="Calibri" w:hAnsiTheme="majorHAnsi" w:cstheme="majorHAnsi"/>
          <w:lang w:val="en-US"/>
        </w:rPr>
        <w:t>in ARC engagement and outreach with researchers and research offices, and in advice to Discovery Projects applicants, assessors and Selection Advisory Committees</w:t>
      </w:r>
      <w:r w:rsidRPr="00281670">
        <w:rPr>
          <w:rFonts w:asciiTheme="majorHAnsi" w:eastAsia="Calibri" w:hAnsiTheme="majorHAnsi" w:cstheme="majorHAnsi"/>
        </w:rPr>
        <w:t>. This appendix provides additional detail on each of these messages.</w:t>
      </w:r>
    </w:p>
    <w:p w14:paraId="007E3ECC" w14:textId="5B2482F7" w:rsidR="00EB560F" w:rsidRPr="00281670" w:rsidRDefault="00EB560F" w:rsidP="00EB560F">
      <w:pPr>
        <w:spacing w:before="60" w:after="60"/>
        <w:rPr>
          <w:rFonts w:asciiTheme="majorHAnsi" w:hAnsiTheme="majorHAnsi" w:cstheme="majorHAnsi"/>
          <w:b/>
          <w:bCs/>
        </w:rPr>
      </w:pPr>
      <w:r w:rsidRPr="00281670">
        <w:rPr>
          <w:rFonts w:asciiTheme="majorHAnsi" w:hAnsiTheme="majorHAnsi" w:cstheme="majorHAnsi"/>
          <w:b/>
          <w:bCs/>
        </w:rPr>
        <w:t>Discovery Projects funding is based on research excellence</w:t>
      </w:r>
    </w:p>
    <w:p w14:paraId="063BC884" w14:textId="553E8942"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Issue:</w:t>
      </w:r>
      <w:r w:rsidRPr="00281670">
        <w:rPr>
          <w:rFonts w:asciiTheme="majorHAnsi" w:eastAsia="Calibri" w:hAnsiTheme="majorHAnsi" w:cstheme="majorHAnsi"/>
          <w:b/>
          <w:bCs/>
        </w:rPr>
        <w:t xml:space="preserve"> </w:t>
      </w:r>
      <w:r w:rsidRPr="00281670">
        <w:rPr>
          <w:rFonts w:asciiTheme="majorHAnsi" w:eastAsia="Calibri" w:hAnsiTheme="majorHAnsi" w:cstheme="majorHAnsi"/>
        </w:rPr>
        <w:t xml:space="preserve">The content of some feedback indicated that the fundamental importance of research excellence in the allocation of funding under Discovery Projects could be further reinforced </w:t>
      </w:r>
      <w:r w:rsidRPr="00281670">
        <w:rPr>
          <w:rFonts w:asciiTheme="majorHAnsi" w:hAnsiTheme="majorHAnsi" w:cstheme="majorHAnsi"/>
        </w:rPr>
        <w:t>(</w:t>
      </w:r>
      <w:hyperlink w:anchor="_Qualitative_stakeholder_feedback—ap_1" w:history="1">
        <w:r w:rsidRPr="00281670">
          <w:rPr>
            <w:rStyle w:val="Hyperlink"/>
            <w:color w:val="auto"/>
            <w:sz w:val="22"/>
            <w:u w:val="none"/>
          </w:rPr>
          <w:t>Sections</w:t>
        </w:r>
        <w:r w:rsidRPr="00281670">
          <w:rPr>
            <w:rStyle w:val="Hyperlink"/>
            <w:rFonts w:cstheme="majorHAnsi"/>
            <w:color w:val="auto"/>
            <w:sz w:val="22"/>
            <w:u w:val="none"/>
          </w:rPr>
          <w:t xml:space="preserve"> 5.2.2</w:t>
        </w:r>
      </w:hyperlink>
      <w:r w:rsidRPr="00281670">
        <w:rPr>
          <w:rFonts w:asciiTheme="majorHAnsi" w:hAnsiTheme="majorHAnsi" w:cstheme="majorHAnsi"/>
        </w:rPr>
        <w:t xml:space="preserve"> and </w:t>
      </w:r>
      <w:hyperlink w:anchor="_Qualitative_stakeholder_feedback—ap" w:history="1">
        <w:r w:rsidRPr="00281670">
          <w:rPr>
            <w:rStyle w:val="Hyperlink"/>
            <w:rFonts w:cstheme="majorHAnsi"/>
            <w:color w:val="auto"/>
            <w:sz w:val="22"/>
            <w:u w:val="none"/>
          </w:rPr>
          <w:t>5.2.3</w:t>
        </w:r>
      </w:hyperlink>
      <w:r w:rsidRPr="00281670">
        <w:rPr>
          <w:rFonts w:asciiTheme="majorHAnsi" w:hAnsiTheme="majorHAnsi" w:cstheme="majorHAnsi"/>
        </w:rPr>
        <w:t>)</w:t>
      </w:r>
      <w:r w:rsidRPr="00281670">
        <w:rPr>
          <w:rFonts w:asciiTheme="majorHAnsi" w:eastAsia="Calibri" w:hAnsiTheme="majorHAnsi" w:cstheme="majorHAnsi"/>
        </w:rPr>
        <w:t>.</w:t>
      </w:r>
    </w:p>
    <w:p w14:paraId="3E883078" w14:textId="6D34880D"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Justification:</w:t>
      </w:r>
      <w:r w:rsidRPr="00281670">
        <w:rPr>
          <w:rFonts w:asciiTheme="majorHAnsi" w:eastAsia="Calibri" w:hAnsiTheme="majorHAnsi" w:cstheme="majorHAnsi"/>
          <w:b/>
          <w:bCs/>
        </w:rPr>
        <w:t xml:space="preserve"> </w:t>
      </w:r>
      <w:r w:rsidRPr="008C48B1">
        <w:rPr>
          <w:rFonts w:asciiTheme="majorHAnsi" w:hAnsiTheme="majorHAnsi" w:cstheme="majorHAnsi"/>
        </w:rPr>
        <w:t>From inception, the central principle of Discovery Projects—and the NCGP as a whole—has been to support research on the basis of research excellence. Competitive peer review underpins the scheme’s allocation of funding and its efforts to achieve all objectives and intended outcomes</w:t>
      </w:r>
      <w:r w:rsidR="00517D32" w:rsidRPr="008C48B1">
        <w:rPr>
          <w:rFonts w:asciiTheme="majorHAnsi" w:hAnsiTheme="majorHAnsi" w:cstheme="majorHAnsi"/>
        </w:rPr>
        <w:t xml:space="preserve"> </w:t>
      </w:r>
      <w:r w:rsidRPr="00281670">
        <w:rPr>
          <w:rFonts w:asciiTheme="majorHAnsi" w:eastAsia="Calibri" w:hAnsiTheme="majorHAnsi" w:cstheme="majorHAnsi"/>
        </w:rPr>
        <w:t>(</w:t>
      </w:r>
      <w:hyperlink w:anchor="_Overview_of_Discovery" w:history="1">
        <w:r w:rsidRPr="00281670">
          <w:rPr>
            <w:rStyle w:val="Hyperlink"/>
            <w:color w:val="auto"/>
            <w:sz w:val="22"/>
            <w:u w:val="none"/>
          </w:rPr>
          <w:t>Section 2.2</w:t>
        </w:r>
      </w:hyperlink>
      <w:r w:rsidRPr="00281670">
        <w:rPr>
          <w:rFonts w:asciiTheme="majorHAnsi" w:eastAsia="Calibri" w:hAnsiTheme="majorHAnsi" w:cstheme="majorHAnsi"/>
        </w:rPr>
        <w:t xml:space="preserve">).  </w:t>
      </w:r>
    </w:p>
    <w:p w14:paraId="09B839A1" w14:textId="77777777" w:rsidR="00EB560F" w:rsidRPr="00281670" w:rsidRDefault="00EB560F" w:rsidP="00EB560F">
      <w:pPr>
        <w:spacing w:before="60" w:after="60"/>
        <w:rPr>
          <w:rFonts w:asciiTheme="majorHAnsi" w:hAnsiTheme="majorHAnsi" w:cstheme="majorHAnsi"/>
          <w:b/>
          <w:bCs/>
        </w:rPr>
      </w:pPr>
      <w:r w:rsidRPr="00281670">
        <w:rPr>
          <w:rFonts w:asciiTheme="majorHAnsi" w:hAnsiTheme="majorHAnsi" w:cstheme="majorHAnsi"/>
          <w:b/>
          <w:bCs/>
        </w:rPr>
        <w:t>The proportion of funded projects involving basic research has increased</w:t>
      </w:r>
    </w:p>
    <w:p w14:paraId="7B879B65" w14:textId="425D345A" w:rsidR="00EB560F" w:rsidRPr="00281670" w:rsidRDefault="00EB560F" w:rsidP="00EB560F">
      <w:pPr>
        <w:spacing w:before="60" w:after="60"/>
        <w:rPr>
          <w:rFonts w:asciiTheme="majorHAnsi" w:hAnsiTheme="majorHAnsi" w:cstheme="majorHAnsi"/>
        </w:rPr>
      </w:pPr>
      <w:r w:rsidRPr="00281670">
        <w:rPr>
          <w:rFonts w:asciiTheme="majorHAnsi" w:hAnsiTheme="majorHAnsi" w:cstheme="majorHAnsi"/>
          <w:i/>
          <w:iCs/>
        </w:rPr>
        <w:t>Issue:</w:t>
      </w:r>
      <w:r w:rsidRPr="00281670">
        <w:rPr>
          <w:rFonts w:asciiTheme="majorHAnsi" w:hAnsiTheme="majorHAnsi" w:cstheme="majorHAnsi"/>
          <w:b/>
          <w:bCs/>
        </w:rPr>
        <w:t xml:space="preserve"> </w:t>
      </w:r>
      <w:r w:rsidRPr="00281670">
        <w:rPr>
          <w:rFonts w:asciiTheme="majorHAnsi" w:hAnsiTheme="majorHAnsi" w:cstheme="majorHAnsi"/>
        </w:rPr>
        <w:t>Stakeholders regard Discovery Projects as a unique and important source of support for basic research within the Australian research funding landscape (</w:t>
      </w:r>
      <w:hyperlink w:anchor="_Quantitative_stakeholder_views—Disc" w:history="1">
        <w:r w:rsidRPr="00281670">
          <w:rPr>
            <w:rFonts w:asciiTheme="majorHAnsi" w:hAnsiTheme="majorHAnsi" w:cstheme="majorHAnsi"/>
          </w:rPr>
          <w:t>Section 5.1.2</w:t>
        </w:r>
      </w:hyperlink>
      <w:r w:rsidRPr="00281670">
        <w:rPr>
          <w:rFonts w:asciiTheme="majorHAnsi" w:hAnsiTheme="majorHAnsi" w:cstheme="majorHAnsi"/>
        </w:rPr>
        <w:t>). However, some feedback included concerns that Discovery Projects’ scheme design may favour applied research (</w:t>
      </w:r>
      <w:hyperlink w:anchor="_Qualitative_stakeholder_feedback—ap_1" w:history="1">
        <w:r w:rsidRPr="00281670">
          <w:rPr>
            <w:rStyle w:val="Hyperlink"/>
            <w:rFonts w:cstheme="majorHAnsi"/>
            <w:color w:val="auto"/>
            <w:sz w:val="22"/>
            <w:u w:val="none"/>
          </w:rPr>
          <w:t>Sections 5.2.2</w:t>
        </w:r>
      </w:hyperlink>
      <w:r w:rsidRPr="00281670">
        <w:rPr>
          <w:rFonts w:asciiTheme="majorHAnsi" w:hAnsiTheme="majorHAnsi" w:cstheme="majorHAnsi"/>
        </w:rPr>
        <w:t xml:space="preserve"> and </w:t>
      </w:r>
      <w:hyperlink w:anchor="_Qualitative_stakeholder_feedback—ap" w:history="1">
        <w:r w:rsidRPr="00281670">
          <w:rPr>
            <w:rStyle w:val="Hyperlink"/>
            <w:rFonts w:cstheme="majorHAnsi"/>
            <w:color w:val="auto"/>
            <w:sz w:val="22"/>
            <w:u w:val="none"/>
          </w:rPr>
          <w:t>5.2.3</w:t>
        </w:r>
      </w:hyperlink>
      <w:r w:rsidRPr="00281670">
        <w:rPr>
          <w:rFonts w:asciiTheme="majorHAnsi" w:hAnsiTheme="majorHAnsi" w:cstheme="majorHAnsi"/>
        </w:rPr>
        <w:t>).</w:t>
      </w:r>
    </w:p>
    <w:p w14:paraId="1C615D97" w14:textId="33375FE5" w:rsidR="00EB560F" w:rsidRPr="00281670" w:rsidRDefault="00EB560F" w:rsidP="00EB560F">
      <w:pPr>
        <w:spacing w:before="60" w:after="60"/>
        <w:rPr>
          <w:rFonts w:asciiTheme="majorHAnsi" w:hAnsiTheme="majorHAnsi" w:cstheme="majorHAnsi"/>
        </w:rPr>
      </w:pPr>
      <w:r w:rsidRPr="00281670">
        <w:rPr>
          <w:rFonts w:asciiTheme="majorHAnsi" w:hAnsiTheme="majorHAnsi" w:cstheme="majorHAnsi"/>
          <w:i/>
          <w:iCs/>
        </w:rPr>
        <w:t>Justification:</w:t>
      </w:r>
      <w:r w:rsidRPr="00281670">
        <w:rPr>
          <w:rFonts w:asciiTheme="majorHAnsi" w:hAnsiTheme="majorHAnsi" w:cstheme="majorHAnsi"/>
          <w:b/>
          <w:bCs/>
        </w:rPr>
        <w:t xml:space="preserve"> </w:t>
      </w:r>
      <w:r w:rsidRPr="00281670">
        <w:rPr>
          <w:rFonts w:asciiTheme="majorHAnsi" w:hAnsiTheme="majorHAnsi" w:cstheme="majorHAnsi"/>
        </w:rPr>
        <w:t>The proportion of Discovery Projects applications and funded projects involving basic research increased over time (</w:t>
      </w:r>
      <w:hyperlink w:anchor="_ARC_data—excellent_basic" w:history="1">
        <w:r w:rsidRPr="00281670">
          <w:rPr>
            <w:rStyle w:val="Hyperlink"/>
            <w:rFonts w:cstheme="majorHAnsi"/>
            <w:color w:val="auto"/>
            <w:sz w:val="22"/>
            <w:u w:val="none"/>
          </w:rPr>
          <w:t>Section 3.2.1</w:t>
        </w:r>
      </w:hyperlink>
      <w:r w:rsidRPr="00281670">
        <w:rPr>
          <w:rFonts w:asciiTheme="majorHAnsi" w:hAnsiTheme="majorHAnsi" w:cstheme="majorHAnsi"/>
        </w:rPr>
        <w:t>). In addition, survey results showed that, quantitatively, stakeholders held overwhelmingly positive views about the effectiveness of the scheme’s support for basic research (</w:t>
      </w:r>
      <w:hyperlink w:anchor="_Quantitative_stakeholder_views" w:history="1">
        <w:r w:rsidRPr="00281670">
          <w:rPr>
            <w:rStyle w:val="Hyperlink"/>
            <w:rFonts w:cstheme="majorHAnsi"/>
            <w:color w:val="auto"/>
            <w:sz w:val="22"/>
            <w:u w:val="none"/>
          </w:rPr>
          <w:t>Section 3.1</w:t>
        </w:r>
      </w:hyperlink>
      <w:r w:rsidRPr="00281670">
        <w:rPr>
          <w:rFonts w:asciiTheme="majorHAnsi" w:hAnsiTheme="majorHAnsi" w:cstheme="majorHAnsi"/>
        </w:rPr>
        <w:t xml:space="preserve">).   </w:t>
      </w:r>
    </w:p>
    <w:p w14:paraId="5E5032E9" w14:textId="77777777" w:rsidR="00EB560F" w:rsidRPr="00281670" w:rsidRDefault="00EB560F" w:rsidP="00EB560F">
      <w:pPr>
        <w:spacing w:before="60" w:after="60"/>
        <w:rPr>
          <w:rFonts w:asciiTheme="majorHAnsi" w:eastAsia="Calibri" w:hAnsiTheme="majorHAnsi" w:cstheme="majorHAnsi"/>
          <w:b/>
          <w:bCs/>
        </w:rPr>
      </w:pPr>
      <w:r w:rsidRPr="00281670">
        <w:rPr>
          <w:rFonts w:asciiTheme="majorHAnsi" w:eastAsia="Calibri" w:hAnsiTheme="majorHAnsi" w:cstheme="majorHAnsi"/>
          <w:b/>
          <w:bCs/>
        </w:rPr>
        <w:t>Discovery Projects supports innovative research involving elements of risk when assessed as suitable through peer review</w:t>
      </w:r>
    </w:p>
    <w:p w14:paraId="45BDF24E" w14:textId="16C67286" w:rsidR="00EB560F" w:rsidRPr="00281670" w:rsidRDefault="00EB560F" w:rsidP="00EB560F">
      <w:pPr>
        <w:spacing w:before="60" w:after="60"/>
        <w:ind w:right="96"/>
        <w:rPr>
          <w:rFonts w:asciiTheme="majorHAnsi" w:eastAsia="Calibri" w:hAnsiTheme="majorHAnsi" w:cstheme="majorHAnsi"/>
        </w:rPr>
      </w:pPr>
      <w:r w:rsidRPr="00281670">
        <w:rPr>
          <w:rFonts w:asciiTheme="majorHAnsi" w:eastAsia="Calibri" w:hAnsiTheme="majorHAnsi" w:cstheme="majorHAnsi"/>
          <w:i/>
          <w:iCs/>
        </w:rPr>
        <w:t>Issue:</w:t>
      </w:r>
      <w:r w:rsidRPr="00281670">
        <w:rPr>
          <w:rFonts w:asciiTheme="majorHAnsi" w:eastAsia="Calibri" w:hAnsiTheme="majorHAnsi" w:cstheme="majorHAnsi"/>
          <w:b/>
          <w:bCs/>
        </w:rPr>
        <w:t xml:space="preserve"> </w:t>
      </w:r>
      <w:r w:rsidRPr="00281670">
        <w:rPr>
          <w:rFonts w:asciiTheme="majorHAnsi" w:eastAsia="Calibri" w:hAnsiTheme="majorHAnsi" w:cstheme="majorHAnsi"/>
        </w:rPr>
        <w:t>Some stakeholders commented that Discovery Projects was insufficiently supportive of innovative, potentially risky, basic research. These comments referred to the ‘feasibility’ assessment criteria, a perceived overemphasis on researcher track record, and the scheme’s focus on translational benefits and Australian Government priorities (</w:t>
      </w:r>
      <w:hyperlink w:anchor="_Qualitative_stakeholder_feedback_2" w:history="1">
        <w:r w:rsidRPr="00281670">
          <w:rPr>
            <w:rStyle w:val="Hyperlink"/>
            <w:rFonts w:cstheme="majorHAnsi"/>
            <w:color w:val="auto"/>
            <w:sz w:val="22"/>
            <w:u w:val="none"/>
          </w:rPr>
          <w:t>Section 3.2.3</w:t>
        </w:r>
      </w:hyperlink>
      <w:r w:rsidRPr="00281670">
        <w:rPr>
          <w:rFonts w:asciiTheme="majorHAnsi" w:eastAsia="Calibri" w:hAnsiTheme="majorHAnsi" w:cstheme="majorHAnsi"/>
        </w:rPr>
        <w:t>).</w:t>
      </w:r>
    </w:p>
    <w:p w14:paraId="23057620" w14:textId="5DA8EA6B" w:rsidR="00EB560F" w:rsidRPr="00281670" w:rsidRDefault="00EB560F" w:rsidP="00EB560F">
      <w:pPr>
        <w:spacing w:before="60" w:after="60"/>
        <w:ind w:right="96"/>
        <w:rPr>
          <w:rFonts w:asciiTheme="majorHAnsi" w:eastAsia="Calibri" w:hAnsiTheme="majorHAnsi" w:cstheme="majorHAnsi"/>
        </w:rPr>
      </w:pPr>
      <w:r w:rsidRPr="00281670">
        <w:rPr>
          <w:rFonts w:asciiTheme="majorHAnsi" w:eastAsia="Calibri" w:hAnsiTheme="majorHAnsi" w:cstheme="majorHAnsi"/>
          <w:i/>
          <w:iCs/>
        </w:rPr>
        <w:t>Justification:</w:t>
      </w:r>
      <w:r w:rsidRPr="00281670">
        <w:rPr>
          <w:rFonts w:asciiTheme="majorHAnsi" w:eastAsia="Calibri" w:hAnsiTheme="majorHAnsi" w:cstheme="majorHAnsi"/>
          <w:b/>
          <w:bCs/>
        </w:rPr>
        <w:t xml:space="preserve"> </w:t>
      </w:r>
      <w:r w:rsidRPr="00281670">
        <w:rPr>
          <w:rFonts w:asciiTheme="majorHAnsi" w:eastAsia="Calibri" w:hAnsiTheme="majorHAnsi" w:cstheme="majorHAnsi"/>
        </w:rPr>
        <w:t xml:space="preserve">Discovery Projects assessment criteria include the </w:t>
      </w:r>
      <w:r w:rsidRPr="008C48B1">
        <w:rPr>
          <w:rFonts w:asciiTheme="majorHAnsi" w:eastAsia="SimSun" w:hAnsiTheme="majorHAnsi" w:cstheme="majorHAnsi"/>
          <w:lang w:eastAsia="en-AU"/>
        </w:rPr>
        <w:t>‘novelty/originality and innovation of the proposed research’. The ARC seeks to support research that may involve elements of risk, while ensuring public funding is directed to excellent research and researchers, and projects that will deliver positive outcomes within and beyond academia (</w:t>
      </w:r>
      <w:hyperlink w:anchor="_Qualitative_stakeholder_feedback_2" w:history="1">
        <w:r w:rsidRPr="00281670">
          <w:rPr>
            <w:rStyle w:val="Hyperlink"/>
            <w:color w:val="auto"/>
            <w:sz w:val="22"/>
            <w:u w:val="none"/>
          </w:rPr>
          <w:t>Section 3.2.3</w:t>
        </w:r>
      </w:hyperlink>
      <w:r w:rsidRPr="008C48B1">
        <w:rPr>
          <w:rFonts w:asciiTheme="majorHAnsi" w:eastAsia="SimSun" w:hAnsiTheme="majorHAnsi" w:cstheme="majorHAnsi"/>
          <w:lang w:eastAsia="en-AU"/>
        </w:rPr>
        <w:t>).</w:t>
      </w:r>
    </w:p>
    <w:p w14:paraId="239170A9" w14:textId="77777777" w:rsidR="00EB560F" w:rsidRPr="00281670" w:rsidRDefault="00EB560F" w:rsidP="00EB560F">
      <w:pPr>
        <w:spacing w:before="60" w:after="60"/>
        <w:rPr>
          <w:rFonts w:asciiTheme="majorHAnsi" w:eastAsia="Calibri" w:hAnsiTheme="majorHAnsi" w:cstheme="majorHAnsi"/>
          <w:b/>
          <w:bCs/>
        </w:rPr>
      </w:pPr>
      <w:r w:rsidRPr="00281670">
        <w:rPr>
          <w:rFonts w:asciiTheme="majorHAnsi" w:eastAsia="Calibri" w:hAnsiTheme="majorHAnsi" w:cstheme="majorHAnsi"/>
          <w:b/>
          <w:bCs/>
        </w:rPr>
        <w:t>Basic research is important in supporting Australian Government research priorities and translational benefits</w:t>
      </w:r>
    </w:p>
    <w:p w14:paraId="1D9BBE5E" w14:textId="63505A68"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Issue:</w:t>
      </w:r>
      <w:r w:rsidRPr="00281670">
        <w:rPr>
          <w:rFonts w:asciiTheme="majorHAnsi" w:eastAsia="Calibri" w:hAnsiTheme="majorHAnsi" w:cstheme="majorHAnsi"/>
          <w:b/>
          <w:bCs/>
        </w:rPr>
        <w:t xml:space="preserve"> </w:t>
      </w:r>
      <w:r w:rsidRPr="00281670">
        <w:rPr>
          <w:rFonts w:asciiTheme="majorHAnsi" w:eastAsia="Calibri" w:hAnsiTheme="majorHAnsi" w:cstheme="majorHAnsi"/>
        </w:rPr>
        <w:t>Survey and interview participants perceived conflicts between the scheme’s support for basic research, with its objective to expand the scale and focus of research in Australian Government priority areas and intended outcome to deliver translational benefits (</w:t>
      </w:r>
      <w:hyperlink w:anchor="_Qualitative_stakeholder_feedback—ap_1" w:history="1">
        <w:r w:rsidRPr="00281670">
          <w:rPr>
            <w:rStyle w:val="Hyperlink"/>
            <w:rFonts w:cstheme="majorHAnsi"/>
            <w:color w:val="auto"/>
            <w:sz w:val="22"/>
            <w:u w:val="none"/>
          </w:rPr>
          <w:t>Sections 5.2.2</w:t>
        </w:r>
      </w:hyperlink>
      <w:r w:rsidRPr="00281670">
        <w:rPr>
          <w:rFonts w:asciiTheme="majorHAnsi" w:hAnsiTheme="majorHAnsi" w:cstheme="majorHAnsi"/>
        </w:rPr>
        <w:t xml:space="preserve"> and </w:t>
      </w:r>
      <w:hyperlink w:anchor="_Qualitative_stakeholder_feedback—ap" w:history="1">
        <w:r w:rsidRPr="00281670">
          <w:rPr>
            <w:rStyle w:val="Hyperlink"/>
            <w:rFonts w:cstheme="majorHAnsi"/>
            <w:color w:val="auto"/>
            <w:sz w:val="22"/>
            <w:u w:val="none"/>
          </w:rPr>
          <w:t>5.2.3</w:t>
        </w:r>
      </w:hyperlink>
      <w:r w:rsidRPr="00281670">
        <w:rPr>
          <w:rFonts w:asciiTheme="majorHAnsi" w:hAnsiTheme="majorHAnsi" w:cstheme="majorHAnsi"/>
        </w:rPr>
        <w:t>)</w:t>
      </w:r>
      <w:r w:rsidRPr="00281670">
        <w:rPr>
          <w:rFonts w:asciiTheme="majorHAnsi" w:eastAsia="Calibri" w:hAnsiTheme="majorHAnsi" w:cstheme="majorHAnsi"/>
        </w:rPr>
        <w:t xml:space="preserve">. </w:t>
      </w:r>
    </w:p>
    <w:p w14:paraId="7AE2CDBF" w14:textId="5F93BCA0"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Justification:</w:t>
      </w:r>
      <w:r w:rsidRPr="00281670">
        <w:rPr>
          <w:rFonts w:asciiTheme="majorHAnsi" w:eastAsia="Calibri" w:hAnsiTheme="majorHAnsi" w:cstheme="majorHAnsi"/>
          <w:b/>
          <w:bCs/>
        </w:rPr>
        <w:t xml:space="preserve"> </w:t>
      </w:r>
      <w:r w:rsidRPr="00281670">
        <w:rPr>
          <w:rFonts w:asciiTheme="majorHAnsi" w:eastAsia="Calibri" w:hAnsiTheme="majorHAnsi" w:cstheme="majorHAnsi"/>
        </w:rPr>
        <w:t>Discovery Projects recognises the importance of both basic and applied research in addressing Australian Government research priority areas (</w:t>
      </w:r>
      <w:hyperlink w:anchor="_Qualitative_stakeholder_feedback—ap_1" w:history="1">
        <w:r w:rsidRPr="00281670">
          <w:rPr>
            <w:rStyle w:val="Hyperlink"/>
            <w:rFonts w:cstheme="majorHAnsi"/>
            <w:color w:val="auto"/>
            <w:sz w:val="22"/>
            <w:u w:val="none"/>
          </w:rPr>
          <w:t>Section 5.2.2</w:t>
        </w:r>
      </w:hyperlink>
      <w:r w:rsidRPr="00281670">
        <w:rPr>
          <w:rFonts w:asciiTheme="majorHAnsi" w:eastAsia="Calibri" w:hAnsiTheme="majorHAnsi" w:cstheme="majorHAnsi"/>
        </w:rPr>
        <w:t>). The evaluation highlighted the pivotal role of basic research in the establishment of the intellectual foundations for applied research and translational outcomes (</w:t>
      </w:r>
      <w:hyperlink w:anchor="_Qualitative_stakeholder_feedback—ap" w:history="1">
        <w:r w:rsidRPr="00281670">
          <w:rPr>
            <w:rStyle w:val="Hyperlink"/>
            <w:rFonts w:cstheme="majorHAnsi"/>
            <w:color w:val="auto"/>
            <w:sz w:val="22"/>
            <w:u w:val="none"/>
          </w:rPr>
          <w:t>Section 5.2.3</w:t>
        </w:r>
      </w:hyperlink>
      <w:r w:rsidRPr="00281670">
        <w:rPr>
          <w:rFonts w:asciiTheme="majorHAnsi" w:eastAsia="Calibri" w:hAnsiTheme="majorHAnsi" w:cstheme="majorHAnsi"/>
        </w:rPr>
        <w:t xml:space="preserve">). </w:t>
      </w:r>
    </w:p>
    <w:p w14:paraId="69FC2207" w14:textId="77777777" w:rsidR="00EB560F" w:rsidRPr="00281670" w:rsidRDefault="00EB560F" w:rsidP="00EB560F">
      <w:pPr>
        <w:spacing w:before="60" w:after="60"/>
        <w:rPr>
          <w:rFonts w:asciiTheme="majorHAnsi" w:eastAsia="Calibri" w:hAnsiTheme="majorHAnsi" w:cstheme="majorHAnsi"/>
        </w:rPr>
      </w:pPr>
    </w:p>
    <w:p w14:paraId="08B25A50" w14:textId="77777777" w:rsidR="00EB560F" w:rsidRPr="00281670" w:rsidRDefault="00EB560F" w:rsidP="00EB560F">
      <w:pPr>
        <w:spacing w:before="60" w:after="60"/>
        <w:rPr>
          <w:rFonts w:asciiTheme="majorHAnsi" w:eastAsia="Calibri" w:hAnsiTheme="majorHAnsi" w:cstheme="majorHAnsi"/>
          <w:b/>
          <w:bCs/>
        </w:rPr>
      </w:pPr>
      <w:r w:rsidRPr="00281670">
        <w:rPr>
          <w:rFonts w:asciiTheme="majorHAnsi" w:eastAsia="Calibri" w:hAnsiTheme="majorHAnsi" w:cstheme="majorHAnsi"/>
          <w:b/>
          <w:bCs/>
        </w:rPr>
        <w:lastRenderedPageBreak/>
        <w:t>Addressing an Australian Government priority is not a requirement for funding</w:t>
      </w:r>
    </w:p>
    <w:p w14:paraId="3D3F5487" w14:textId="77777777"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Issue:</w:t>
      </w:r>
      <w:r w:rsidRPr="00281670">
        <w:rPr>
          <w:rFonts w:asciiTheme="majorHAnsi" w:eastAsia="Calibri" w:hAnsiTheme="majorHAnsi" w:cstheme="majorHAnsi"/>
          <w:b/>
          <w:bCs/>
        </w:rPr>
        <w:t xml:space="preserve"> </w:t>
      </w:r>
      <w:r w:rsidRPr="00281670">
        <w:rPr>
          <w:rFonts w:asciiTheme="majorHAnsi" w:eastAsia="Calibri" w:hAnsiTheme="majorHAnsi" w:cstheme="majorHAnsi"/>
        </w:rPr>
        <w:t>Stakeholders expressed uncertainty about the role of Australian Government research priorities in Discovery Projects processes. They commented that this may lead applicants to make tenuous links between their proposed research and the priorities (</w:t>
      </w:r>
      <w:hyperlink w:anchor="_Qualitative_stakeholder_feedback_3" w:history="1">
        <w:r w:rsidRPr="00281670">
          <w:rPr>
            <w:rFonts w:asciiTheme="majorHAnsi" w:hAnsiTheme="majorHAnsi" w:cstheme="majorHAnsi"/>
          </w:rPr>
          <w:t>Section 3.5.2</w:t>
        </w:r>
      </w:hyperlink>
      <w:r w:rsidRPr="00281670">
        <w:rPr>
          <w:rFonts w:asciiTheme="majorHAnsi" w:eastAsia="Calibri" w:hAnsiTheme="majorHAnsi" w:cstheme="majorHAnsi"/>
        </w:rPr>
        <w:t>).</w:t>
      </w:r>
    </w:p>
    <w:p w14:paraId="419A91FD" w14:textId="77777777"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Justification:</w:t>
      </w:r>
      <w:r w:rsidRPr="00281670">
        <w:rPr>
          <w:rFonts w:asciiTheme="majorHAnsi" w:eastAsia="Calibri" w:hAnsiTheme="majorHAnsi" w:cstheme="majorHAnsi"/>
          <w:b/>
          <w:bCs/>
        </w:rPr>
        <w:t xml:space="preserve"> </w:t>
      </w:r>
      <w:r w:rsidRPr="00281670">
        <w:rPr>
          <w:rFonts w:asciiTheme="majorHAnsi" w:eastAsia="Calibri" w:hAnsiTheme="majorHAnsi" w:cstheme="majorHAnsi"/>
        </w:rPr>
        <w:t>While researchers may respond to the ‘Benefit’ assessment criterion by referencing relevant priority areas, addressing an Australian Government research priority has never been a requirement for funding. This reflects the scheme’s focus on investigator-led research (</w:t>
      </w:r>
      <w:hyperlink w:anchor="_Qualitative_stakeholder_feedback_3" w:history="1">
        <w:r w:rsidRPr="00281670">
          <w:rPr>
            <w:rFonts w:asciiTheme="majorHAnsi" w:hAnsiTheme="majorHAnsi" w:cstheme="majorHAnsi"/>
          </w:rPr>
          <w:t>Section 3.5.2</w:t>
        </w:r>
      </w:hyperlink>
      <w:r w:rsidRPr="00281670">
        <w:rPr>
          <w:rFonts w:asciiTheme="majorHAnsi" w:eastAsia="Calibri" w:hAnsiTheme="majorHAnsi" w:cstheme="majorHAnsi"/>
        </w:rPr>
        <w:t>).</w:t>
      </w:r>
    </w:p>
    <w:p w14:paraId="61DF73AB" w14:textId="77777777" w:rsidR="00EB560F" w:rsidRPr="00281670" w:rsidRDefault="00EB560F" w:rsidP="00EB560F">
      <w:pPr>
        <w:spacing w:before="60" w:after="60"/>
        <w:rPr>
          <w:rFonts w:asciiTheme="majorHAnsi" w:eastAsia="Calibri" w:hAnsiTheme="majorHAnsi" w:cstheme="majorHAnsi"/>
          <w:b/>
          <w:bCs/>
        </w:rPr>
      </w:pPr>
      <w:r w:rsidRPr="00281670">
        <w:rPr>
          <w:rFonts w:asciiTheme="majorHAnsi" w:eastAsia="Calibri" w:hAnsiTheme="majorHAnsi" w:cstheme="majorHAnsi"/>
          <w:b/>
          <w:bCs/>
        </w:rPr>
        <w:t>There is no preference between applications that may deliver economic, commercial, environmental, social or cultural benefits</w:t>
      </w:r>
    </w:p>
    <w:p w14:paraId="54656261" w14:textId="77777777"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Issue:</w:t>
      </w:r>
      <w:r w:rsidRPr="00281670">
        <w:rPr>
          <w:rFonts w:asciiTheme="majorHAnsi" w:eastAsia="Calibri" w:hAnsiTheme="majorHAnsi" w:cstheme="majorHAnsi"/>
          <w:b/>
          <w:bCs/>
        </w:rPr>
        <w:t xml:space="preserve"> </w:t>
      </w:r>
      <w:r w:rsidRPr="00281670">
        <w:rPr>
          <w:rFonts w:asciiTheme="majorHAnsi" w:eastAsia="Calibri" w:hAnsiTheme="majorHAnsi" w:cstheme="majorHAnsi"/>
        </w:rPr>
        <w:t>Stakeholders suggested that Discovery Projects assessment processes prioritised tangible, immediate economic and commercial benefits over social and cultural translational benefits (</w:t>
      </w:r>
      <w:hyperlink w:anchor="_Qualitative_stakeholder_feedback_4" w:history="1">
        <w:r w:rsidRPr="00281670">
          <w:rPr>
            <w:rStyle w:val="Hyperlink"/>
            <w:rFonts w:eastAsia="Calibri" w:cstheme="majorHAnsi"/>
            <w:color w:val="auto"/>
            <w:sz w:val="22"/>
            <w:u w:val="none"/>
          </w:rPr>
          <w:t>Section 4.3.2</w:t>
        </w:r>
      </w:hyperlink>
      <w:r w:rsidRPr="00281670">
        <w:rPr>
          <w:rFonts w:asciiTheme="majorHAnsi" w:eastAsia="Calibri" w:hAnsiTheme="majorHAnsi" w:cstheme="majorHAnsi"/>
        </w:rPr>
        <w:t xml:space="preserve">). </w:t>
      </w:r>
    </w:p>
    <w:p w14:paraId="507BF55C" w14:textId="77777777"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Justification:</w:t>
      </w:r>
      <w:r w:rsidRPr="00281670">
        <w:rPr>
          <w:rFonts w:asciiTheme="majorHAnsi" w:eastAsia="Calibri" w:hAnsiTheme="majorHAnsi" w:cstheme="majorHAnsi"/>
          <w:b/>
          <w:bCs/>
        </w:rPr>
        <w:t xml:space="preserve"> </w:t>
      </w:r>
      <w:r w:rsidRPr="00281670">
        <w:rPr>
          <w:rFonts w:asciiTheme="majorHAnsi" w:eastAsia="Calibri" w:hAnsiTheme="majorHAnsi" w:cstheme="majorHAnsi"/>
        </w:rPr>
        <w:t>Discovery Projects does not preference particular kinds of benefit delivered through research, and recognises the diverse timescales over which positive translational outcomes may arise (</w:t>
      </w:r>
      <w:hyperlink w:anchor="_Qualitative_stakeholder_feedback_4" w:history="1">
        <w:r w:rsidRPr="00281670">
          <w:rPr>
            <w:rStyle w:val="Hyperlink"/>
            <w:rFonts w:eastAsia="Calibri" w:cstheme="majorHAnsi"/>
            <w:color w:val="auto"/>
            <w:sz w:val="22"/>
            <w:u w:val="none"/>
          </w:rPr>
          <w:t>Section 4.3.2</w:t>
        </w:r>
      </w:hyperlink>
      <w:r w:rsidRPr="00281670">
        <w:rPr>
          <w:rFonts w:asciiTheme="majorHAnsi" w:eastAsia="Calibri" w:hAnsiTheme="majorHAnsi" w:cstheme="majorHAnsi"/>
        </w:rPr>
        <w:t>). Research funded under Discovery Projects delivers a diverse range of positive outcomes (</w:t>
      </w:r>
      <w:hyperlink w:anchor="_Quantitative_stakeholder_views_1" w:history="1">
        <w:r w:rsidRPr="00281670">
          <w:rPr>
            <w:rStyle w:val="Hyperlink"/>
            <w:rFonts w:eastAsia="Calibri" w:cstheme="majorHAnsi"/>
            <w:color w:val="auto"/>
            <w:sz w:val="22"/>
            <w:u w:val="none"/>
          </w:rPr>
          <w:t>Sections 4.1</w:t>
        </w:r>
      </w:hyperlink>
      <w:r w:rsidRPr="00281670">
        <w:rPr>
          <w:rFonts w:asciiTheme="majorHAnsi" w:eastAsia="Calibri" w:hAnsiTheme="majorHAnsi" w:cstheme="majorHAnsi"/>
        </w:rPr>
        <w:t xml:space="preserve"> and </w:t>
      </w:r>
      <w:hyperlink w:anchor="_Delivering_economic,_commercial," w:history="1">
        <w:r w:rsidRPr="00281670">
          <w:rPr>
            <w:rStyle w:val="Hyperlink"/>
            <w:rFonts w:eastAsia="Calibri" w:cstheme="majorHAnsi"/>
            <w:color w:val="auto"/>
            <w:sz w:val="22"/>
            <w:u w:val="none"/>
          </w:rPr>
          <w:t>4.3</w:t>
        </w:r>
      </w:hyperlink>
      <w:r w:rsidRPr="00281670">
        <w:rPr>
          <w:rFonts w:asciiTheme="majorHAnsi" w:eastAsia="Calibri" w:hAnsiTheme="majorHAnsi" w:cstheme="majorHAnsi"/>
        </w:rPr>
        <w:t xml:space="preserve">). </w:t>
      </w:r>
    </w:p>
    <w:p w14:paraId="3E80A742" w14:textId="77777777" w:rsidR="00EB560F" w:rsidRPr="00281670" w:rsidRDefault="00EB560F" w:rsidP="00EB560F">
      <w:pPr>
        <w:spacing w:before="60" w:after="60"/>
        <w:rPr>
          <w:rFonts w:asciiTheme="majorHAnsi" w:eastAsia="Calibri" w:hAnsiTheme="majorHAnsi" w:cstheme="majorHAnsi"/>
          <w:b/>
          <w:bCs/>
        </w:rPr>
      </w:pPr>
      <w:r w:rsidRPr="00281670">
        <w:rPr>
          <w:rFonts w:asciiTheme="majorHAnsi" w:eastAsia="Calibri" w:hAnsiTheme="majorHAnsi" w:cstheme="majorHAnsi"/>
          <w:b/>
          <w:bCs/>
        </w:rPr>
        <w:t>Overall, success rates for women, Early Career and Mid-Career Chief Investigators, and Humanities, Arts and Social Sciences (HASS) research, are comparable to, or above, total scheme success rates</w:t>
      </w:r>
    </w:p>
    <w:p w14:paraId="689D6AD6" w14:textId="2C0D2E53" w:rsidR="00EB560F" w:rsidRPr="008C48B1" w:rsidRDefault="00EB560F" w:rsidP="00EB560F">
      <w:pPr>
        <w:spacing w:before="60" w:after="60"/>
        <w:rPr>
          <w:rFonts w:asciiTheme="majorHAnsi" w:eastAsia="Calibri" w:hAnsiTheme="majorHAnsi" w:cstheme="majorHAnsi"/>
          <w:b/>
          <w:bCs/>
        </w:rPr>
      </w:pPr>
      <w:r w:rsidRPr="008C48B1">
        <w:rPr>
          <w:rFonts w:asciiTheme="majorHAnsi" w:eastAsia="Calibri" w:hAnsiTheme="majorHAnsi" w:cstheme="majorHAnsi"/>
          <w:i/>
          <w:iCs/>
        </w:rPr>
        <w:t>Issue:</w:t>
      </w:r>
      <w:r w:rsidRPr="008C48B1">
        <w:rPr>
          <w:rFonts w:asciiTheme="majorHAnsi" w:hAnsiTheme="majorHAnsi" w:cstheme="majorHAnsi"/>
        </w:rPr>
        <w:t xml:space="preserve"> </w:t>
      </w:r>
      <w:r w:rsidRPr="008C48B1">
        <w:rPr>
          <w:rFonts w:asciiTheme="majorHAnsi" w:eastAsia="Calibri" w:hAnsiTheme="majorHAnsi" w:cstheme="majorHAnsi"/>
        </w:rPr>
        <w:t>Representation of women researchers (</w:t>
      </w:r>
      <w:hyperlink w:anchor="_ARC_data—individuals_and" w:history="1">
        <w:r w:rsidRPr="00281670">
          <w:rPr>
            <w:rStyle w:val="Hyperlink"/>
            <w:color w:val="auto"/>
            <w:sz w:val="22"/>
            <w:u w:val="none"/>
          </w:rPr>
          <w:t>Section 3.2.2</w:t>
        </w:r>
      </w:hyperlink>
      <w:r w:rsidRPr="008C48B1">
        <w:rPr>
          <w:rFonts w:asciiTheme="majorHAnsi" w:eastAsia="Calibri" w:hAnsiTheme="majorHAnsi" w:cstheme="majorHAnsi"/>
        </w:rPr>
        <w:t>), researchers with less experience (</w:t>
      </w:r>
      <w:hyperlink w:anchor="_ARC_data—career_age" w:history="1">
        <w:r w:rsidRPr="00281670">
          <w:rPr>
            <w:rStyle w:val="Hyperlink"/>
            <w:color w:val="auto"/>
            <w:sz w:val="22"/>
            <w:u w:val="none"/>
          </w:rPr>
          <w:t>Section 4.2.2</w:t>
        </w:r>
      </w:hyperlink>
      <w:r w:rsidRPr="008C48B1">
        <w:rPr>
          <w:rFonts w:asciiTheme="majorHAnsi" w:eastAsia="Calibri" w:hAnsiTheme="majorHAnsi" w:cstheme="majorHAnsi"/>
        </w:rPr>
        <w:t>) and HASS research (</w:t>
      </w:r>
      <w:hyperlink w:anchor="_Applications,_funded_projects" w:history="1">
        <w:r w:rsidRPr="00281670">
          <w:rPr>
            <w:rStyle w:val="Hyperlink"/>
            <w:color w:val="auto"/>
            <w:sz w:val="22"/>
            <w:u w:val="none"/>
          </w:rPr>
          <w:t>Section 2.8.1</w:t>
        </w:r>
      </w:hyperlink>
      <w:r w:rsidRPr="008C48B1">
        <w:rPr>
          <w:rFonts w:asciiTheme="majorHAnsi" w:eastAsia="Calibri" w:hAnsiTheme="majorHAnsi" w:cstheme="majorHAnsi"/>
        </w:rPr>
        <w:t>) on Discovery Projects applications and funded projects was comparatively low. Stakeholder feedback included views that certain groups of researchers were disadvantaged in Discovery Projects peer review processes (</w:t>
      </w:r>
      <w:hyperlink w:anchor="_Supporting_HASS_and" w:history="1">
        <w:r w:rsidRPr="00281670">
          <w:rPr>
            <w:rStyle w:val="Hyperlink"/>
            <w:color w:val="auto"/>
            <w:sz w:val="22"/>
            <w:u w:val="none"/>
          </w:rPr>
          <w:t>Sections 3.2.3</w:t>
        </w:r>
      </w:hyperlink>
      <w:r w:rsidRPr="00281670">
        <w:rPr>
          <w:rFonts w:asciiTheme="majorHAnsi" w:eastAsia="Calibri" w:hAnsiTheme="majorHAnsi" w:cstheme="majorHAnsi"/>
        </w:rPr>
        <w:t xml:space="preserve"> and </w:t>
      </w:r>
      <w:hyperlink w:anchor="_ARC_data—career_age" w:history="1">
        <w:r w:rsidRPr="00281670">
          <w:rPr>
            <w:rStyle w:val="Hyperlink"/>
            <w:color w:val="auto"/>
            <w:sz w:val="22"/>
            <w:u w:val="none"/>
          </w:rPr>
          <w:t>4.2.3</w:t>
        </w:r>
      </w:hyperlink>
      <w:r w:rsidRPr="008C48B1">
        <w:rPr>
          <w:rFonts w:asciiTheme="majorHAnsi" w:eastAsia="Calibri" w:hAnsiTheme="majorHAnsi" w:cstheme="majorHAnsi"/>
        </w:rPr>
        <w:t xml:space="preserve">). </w:t>
      </w:r>
    </w:p>
    <w:p w14:paraId="7A18881A" w14:textId="77777777" w:rsidR="00EB560F" w:rsidRPr="008C48B1" w:rsidRDefault="00EB560F" w:rsidP="00EB560F">
      <w:pPr>
        <w:spacing w:before="60" w:after="60"/>
        <w:rPr>
          <w:rFonts w:asciiTheme="majorHAnsi" w:eastAsia="Calibri" w:hAnsiTheme="majorHAnsi" w:cstheme="majorHAnsi"/>
        </w:rPr>
      </w:pPr>
      <w:r w:rsidRPr="008C48B1">
        <w:rPr>
          <w:rFonts w:asciiTheme="majorHAnsi" w:eastAsia="Calibri" w:hAnsiTheme="majorHAnsi" w:cstheme="majorHAnsi"/>
          <w:i/>
          <w:iCs/>
        </w:rPr>
        <w:t>Justification:</w:t>
      </w:r>
      <w:r w:rsidRPr="008C48B1">
        <w:rPr>
          <w:rFonts w:asciiTheme="majorHAnsi" w:eastAsia="Calibri" w:hAnsiTheme="majorHAnsi" w:cstheme="majorHAnsi"/>
          <w:b/>
          <w:bCs/>
        </w:rPr>
        <w:t xml:space="preserve"> </w:t>
      </w:r>
      <w:r w:rsidRPr="008C48B1">
        <w:rPr>
          <w:rFonts w:asciiTheme="majorHAnsi" w:eastAsia="Calibri" w:hAnsiTheme="majorHAnsi" w:cstheme="majorHAnsi"/>
        </w:rPr>
        <w:t>ARC administrative data show that success rates for women (</w:t>
      </w:r>
      <w:hyperlink w:anchor="_ARC_data—individuals_and" w:history="1">
        <w:r w:rsidRPr="00281670">
          <w:rPr>
            <w:rStyle w:val="Hyperlink"/>
            <w:rFonts w:eastAsia="Calibri" w:cstheme="majorHAnsi"/>
            <w:color w:val="auto"/>
            <w:sz w:val="22"/>
            <w:u w:val="none"/>
          </w:rPr>
          <w:t>Section 3.2.2</w:t>
        </w:r>
      </w:hyperlink>
      <w:r w:rsidRPr="008C48B1">
        <w:rPr>
          <w:rFonts w:asciiTheme="majorHAnsi" w:eastAsia="Calibri" w:hAnsiTheme="majorHAnsi" w:cstheme="majorHAnsi"/>
        </w:rPr>
        <w:t>) and Early and Mid-Career (</w:t>
      </w:r>
      <w:hyperlink w:anchor="_ARC_data—career_age" w:history="1">
        <w:r w:rsidRPr="00281670">
          <w:rPr>
            <w:rStyle w:val="Hyperlink"/>
            <w:rFonts w:eastAsia="Calibri" w:cstheme="majorHAnsi"/>
            <w:color w:val="auto"/>
            <w:sz w:val="22"/>
            <w:u w:val="none"/>
          </w:rPr>
          <w:t>Section 4.2.2</w:t>
        </w:r>
      </w:hyperlink>
      <w:r w:rsidRPr="008C48B1">
        <w:rPr>
          <w:rFonts w:asciiTheme="majorHAnsi" w:eastAsia="Calibri" w:hAnsiTheme="majorHAnsi" w:cstheme="majorHAnsi"/>
        </w:rPr>
        <w:t xml:space="preserve">) Chief Investigators overall were higher than scheme-wide success rates in DP20. However, </w:t>
      </w:r>
      <w:r w:rsidRPr="00281670">
        <w:rPr>
          <w:rFonts w:asciiTheme="majorHAnsi" w:eastAsia="Calibri" w:hAnsiTheme="majorHAnsi" w:cstheme="majorHAnsi"/>
        </w:rPr>
        <w:t>Early Career Researcher lead Chief Investigators on Discovery Projects applications had success rates that were below scheme average, highlighting the need to continue to reinforce the ARC’s ROPE policy to assessors. D</w:t>
      </w:r>
      <w:r w:rsidRPr="008C48B1">
        <w:rPr>
          <w:rFonts w:asciiTheme="majorHAnsi" w:eastAsia="Calibri" w:hAnsiTheme="majorHAnsi" w:cstheme="majorHAnsi"/>
        </w:rPr>
        <w:t>iscovery Projects’ peer review processes (including the composition of Selection Advisory Committees) have consistently ensured comparable success rates for HASS and STEM research (</w:t>
      </w:r>
      <w:hyperlink w:anchor="_Success_and_return" w:history="1">
        <w:r w:rsidRPr="00281670">
          <w:rPr>
            <w:rStyle w:val="Hyperlink"/>
            <w:rFonts w:eastAsia="Calibri" w:cstheme="majorHAnsi"/>
            <w:color w:val="auto"/>
            <w:sz w:val="22"/>
            <w:u w:val="none"/>
          </w:rPr>
          <w:t>Section 2.8.2</w:t>
        </w:r>
      </w:hyperlink>
      <w:r w:rsidRPr="008C48B1">
        <w:rPr>
          <w:rFonts w:asciiTheme="majorHAnsi" w:eastAsia="Calibri" w:hAnsiTheme="majorHAnsi" w:cstheme="majorHAnsi"/>
        </w:rPr>
        <w:t>).</w:t>
      </w:r>
    </w:p>
    <w:p w14:paraId="1A2A5106" w14:textId="77777777" w:rsidR="00EB560F" w:rsidRPr="00281670" w:rsidRDefault="00EB560F" w:rsidP="00EB560F">
      <w:pPr>
        <w:spacing w:before="60" w:after="60"/>
        <w:rPr>
          <w:rFonts w:asciiTheme="majorHAnsi" w:eastAsia="Calibri" w:hAnsiTheme="majorHAnsi" w:cstheme="majorHAnsi"/>
          <w:b/>
          <w:bCs/>
        </w:rPr>
      </w:pPr>
      <w:r w:rsidRPr="00281670">
        <w:rPr>
          <w:rFonts w:asciiTheme="majorHAnsi" w:eastAsia="Calibri" w:hAnsiTheme="majorHAnsi" w:cstheme="majorHAnsi"/>
          <w:b/>
          <w:bCs/>
        </w:rPr>
        <w:t>The ARC is committed to the competitive assessment of interdisciplinary research</w:t>
      </w:r>
    </w:p>
    <w:p w14:paraId="64730528" w14:textId="77777777" w:rsidR="00EB560F" w:rsidRPr="00281670" w:rsidRDefault="00EB560F" w:rsidP="00EB560F">
      <w:pPr>
        <w:spacing w:before="60" w:after="60"/>
        <w:rPr>
          <w:rFonts w:asciiTheme="majorHAnsi" w:eastAsia="Calibri" w:hAnsiTheme="majorHAnsi" w:cstheme="majorHAnsi"/>
          <w:b/>
          <w:bCs/>
        </w:rPr>
      </w:pPr>
      <w:r w:rsidRPr="00281670">
        <w:rPr>
          <w:rFonts w:asciiTheme="majorHAnsi" w:eastAsia="Calibri" w:hAnsiTheme="majorHAnsi" w:cstheme="majorHAnsi"/>
          <w:i/>
          <w:iCs/>
        </w:rPr>
        <w:t>Issue:</w:t>
      </w:r>
      <w:r w:rsidRPr="00281670">
        <w:rPr>
          <w:rFonts w:asciiTheme="majorHAnsi" w:eastAsia="Calibri" w:hAnsiTheme="majorHAnsi" w:cstheme="majorHAnsi"/>
          <w:b/>
          <w:bCs/>
        </w:rPr>
        <w:t xml:space="preserve"> </w:t>
      </w:r>
      <w:r w:rsidRPr="00281670">
        <w:rPr>
          <w:rFonts w:asciiTheme="majorHAnsi" w:eastAsia="Calibri" w:hAnsiTheme="majorHAnsi" w:cstheme="majorHAnsi"/>
        </w:rPr>
        <w:t xml:space="preserve">The proportion of interdisciplinary Discovery Projects applications and funded projects declined over time, and interdisciplinary projects had slightly lower success rates than non-interdisciplinary projects. This may reflect </w:t>
      </w:r>
      <w:r w:rsidRPr="008C48B1">
        <w:rPr>
          <w:rFonts w:asciiTheme="majorHAnsi" w:hAnsiTheme="majorHAnsi" w:cstheme="majorHAnsi"/>
        </w:rPr>
        <w:t>perceptions that interdisciplinary applications face greater challenges in</w:t>
      </w:r>
      <w:r w:rsidRPr="00281670">
        <w:rPr>
          <w:rFonts w:asciiTheme="majorHAnsi" w:eastAsia="Calibri" w:hAnsiTheme="majorHAnsi" w:cstheme="majorHAnsi"/>
        </w:rPr>
        <w:t xml:space="preserve"> peer review processes (</w:t>
      </w:r>
      <w:hyperlink w:anchor="_Interdisciplinary_research" w:history="1">
        <w:r w:rsidRPr="00281670">
          <w:rPr>
            <w:rStyle w:val="Hyperlink"/>
            <w:rFonts w:eastAsia="Calibri" w:cstheme="majorHAnsi"/>
            <w:color w:val="auto"/>
            <w:sz w:val="22"/>
            <w:u w:val="none"/>
          </w:rPr>
          <w:t>Section 2.9</w:t>
        </w:r>
      </w:hyperlink>
      <w:r w:rsidRPr="00281670">
        <w:rPr>
          <w:rFonts w:asciiTheme="majorHAnsi" w:eastAsia="Calibri" w:hAnsiTheme="majorHAnsi" w:cstheme="majorHAnsi"/>
        </w:rPr>
        <w:t>).</w:t>
      </w:r>
    </w:p>
    <w:p w14:paraId="2B99AF4B" w14:textId="0043CF9F"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Justification:</w:t>
      </w:r>
      <w:r w:rsidRPr="00281670">
        <w:rPr>
          <w:rFonts w:asciiTheme="majorHAnsi" w:eastAsia="Calibri" w:hAnsiTheme="majorHAnsi" w:cstheme="majorHAnsi"/>
          <w:b/>
          <w:bCs/>
        </w:rPr>
        <w:t xml:space="preserve"> </w:t>
      </w:r>
      <w:r w:rsidRPr="00281670">
        <w:rPr>
          <w:rFonts w:asciiTheme="majorHAnsi" w:eastAsia="Calibri" w:hAnsiTheme="majorHAnsi" w:cstheme="majorHAnsi"/>
        </w:rPr>
        <w:t xml:space="preserve">The </w:t>
      </w:r>
      <w:r w:rsidRPr="009D0072">
        <w:rPr>
          <w:rFonts w:asciiTheme="majorHAnsi" w:eastAsia="Calibri" w:hAnsiTheme="majorHAnsi" w:cstheme="majorHAnsi"/>
          <w:i/>
          <w:iCs/>
        </w:rPr>
        <w:t>ARC Statement of Support for Interdisciplinary Research</w:t>
      </w:r>
      <w:r w:rsidRPr="00281670">
        <w:rPr>
          <w:rFonts w:asciiTheme="majorHAnsi" w:eastAsia="Calibri" w:hAnsiTheme="majorHAnsi" w:cstheme="majorHAnsi"/>
        </w:rPr>
        <w:t xml:space="preserve"> highlights the value of interdisciplinary research and articulates the ARC’s commitment to ensuring it is recognised appropriately in NCGP processes (including in Discovery Projects)</w:t>
      </w:r>
      <w:r w:rsidR="00517D32" w:rsidRPr="008C48B1">
        <w:rPr>
          <w:rFonts w:asciiTheme="majorHAnsi" w:eastAsia="Calibri" w:hAnsiTheme="majorHAnsi" w:cstheme="majorHAnsi"/>
        </w:rPr>
        <w:t>(</w:t>
      </w:r>
      <w:hyperlink w:anchor="_Interdisciplinary_research" w:history="1">
        <w:r w:rsidR="00517D32" w:rsidRPr="00281670">
          <w:rPr>
            <w:rStyle w:val="Hyperlink"/>
            <w:rFonts w:eastAsia="Calibri" w:cstheme="majorHAnsi"/>
            <w:color w:val="auto"/>
            <w:sz w:val="22"/>
            <w:u w:val="none"/>
          </w:rPr>
          <w:t>Section 2.9</w:t>
        </w:r>
      </w:hyperlink>
      <w:r w:rsidR="00517D32" w:rsidRPr="008C48B1">
        <w:rPr>
          <w:rFonts w:asciiTheme="majorHAnsi" w:eastAsia="Calibri" w:hAnsiTheme="majorHAnsi" w:cstheme="majorHAnsi"/>
        </w:rPr>
        <w:t>)</w:t>
      </w:r>
      <w:r w:rsidRPr="00281670">
        <w:rPr>
          <w:rFonts w:asciiTheme="majorHAnsi" w:eastAsia="Calibri" w:hAnsiTheme="majorHAnsi" w:cstheme="majorHAnsi"/>
        </w:rPr>
        <w:t>.</w:t>
      </w:r>
    </w:p>
    <w:p w14:paraId="41E688F8" w14:textId="77777777" w:rsidR="00EB560F" w:rsidRPr="00281670" w:rsidRDefault="00EB560F" w:rsidP="00EB560F">
      <w:pPr>
        <w:spacing w:before="60" w:after="60"/>
        <w:rPr>
          <w:rFonts w:asciiTheme="majorHAnsi" w:eastAsia="Calibri" w:hAnsiTheme="majorHAnsi" w:cstheme="majorHAnsi"/>
          <w:b/>
          <w:bCs/>
        </w:rPr>
      </w:pPr>
      <w:r w:rsidRPr="00281670">
        <w:rPr>
          <w:rFonts w:asciiTheme="majorHAnsi" w:eastAsia="Calibri" w:hAnsiTheme="majorHAnsi" w:cstheme="majorHAnsi"/>
          <w:b/>
          <w:bCs/>
        </w:rPr>
        <w:t>Discovery Projects funds four and five year applications when assessed as competitive through peer review</w:t>
      </w:r>
    </w:p>
    <w:p w14:paraId="442158D3" w14:textId="36F3174A"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Issue:</w:t>
      </w:r>
      <w:r w:rsidRPr="00281670">
        <w:rPr>
          <w:rFonts w:asciiTheme="majorHAnsi" w:eastAsia="Calibri" w:hAnsiTheme="majorHAnsi" w:cstheme="majorHAnsi"/>
        </w:rPr>
        <w:t xml:space="preserve"> Some stakeholders expressed beliefs that applications requesting more than three years of funding are subjected to additional scrutiny in Discovery Projects peer review processes (</w:t>
      </w:r>
      <w:hyperlink w:anchor="_Stakeholder_feedback—appropriatenes" w:history="1">
        <w:r w:rsidRPr="00281670">
          <w:rPr>
            <w:rStyle w:val="Hyperlink"/>
            <w:rFonts w:cstheme="majorHAnsi"/>
            <w:color w:val="auto"/>
            <w:sz w:val="22"/>
            <w:u w:val="none"/>
          </w:rPr>
          <w:t>Section 5.3.4</w:t>
        </w:r>
      </w:hyperlink>
      <w:r w:rsidRPr="00281670">
        <w:rPr>
          <w:rFonts w:asciiTheme="majorHAnsi" w:eastAsia="Calibri" w:hAnsiTheme="majorHAnsi" w:cstheme="majorHAnsi"/>
        </w:rPr>
        <w:t>). This may contribute to low numbers of four and five year funding applications (</w:t>
      </w:r>
      <w:hyperlink w:anchor="_ARC_data—funding_duration" w:history="1">
        <w:r w:rsidRPr="00281670">
          <w:rPr>
            <w:rStyle w:val="Hyperlink"/>
            <w:rFonts w:cstheme="majorHAnsi"/>
            <w:color w:val="auto"/>
            <w:sz w:val="22"/>
            <w:u w:val="none"/>
          </w:rPr>
          <w:t>Section 5.3.3</w:t>
        </w:r>
      </w:hyperlink>
      <w:r w:rsidRPr="00281670">
        <w:rPr>
          <w:rFonts w:asciiTheme="majorHAnsi" w:eastAsia="Calibri" w:hAnsiTheme="majorHAnsi" w:cstheme="majorHAnsi"/>
        </w:rPr>
        <w:t xml:space="preserve">). </w:t>
      </w:r>
    </w:p>
    <w:p w14:paraId="4E598279" w14:textId="35FFDC2C" w:rsidR="00EB560F" w:rsidRPr="00281670" w:rsidRDefault="00EB560F" w:rsidP="00EB560F">
      <w:pPr>
        <w:spacing w:before="60" w:after="60"/>
        <w:rPr>
          <w:rFonts w:asciiTheme="majorHAnsi" w:eastAsia="Calibri" w:hAnsiTheme="majorHAnsi" w:cstheme="majorHAnsi"/>
        </w:rPr>
      </w:pPr>
      <w:r w:rsidRPr="00281670">
        <w:rPr>
          <w:rFonts w:asciiTheme="majorHAnsi" w:eastAsia="Calibri" w:hAnsiTheme="majorHAnsi" w:cstheme="majorHAnsi"/>
          <w:i/>
          <w:iCs/>
        </w:rPr>
        <w:t>Justification:</w:t>
      </w:r>
      <w:r w:rsidRPr="00281670">
        <w:rPr>
          <w:rFonts w:asciiTheme="majorHAnsi" w:eastAsia="Calibri" w:hAnsiTheme="majorHAnsi" w:cstheme="majorHAnsi"/>
        </w:rPr>
        <w:t xml:space="preserve"> ARC administrative data suggest that applications requesting funding over four and five year durations have generally had competitive success rates. Return rates for applications seeking five years of funding have varied (</w:t>
      </w:r>
      <w:hyperlink w:anchor="_Stakeholder_feedback—appropriatenes" w:history="1">
        <w:r w:rsidRPr="00281670">
          <w:rPr>
            <w:rStyle w:val="Hyperlink"/>
            <w:rFonts w:cstheme="majorHAnsi"/>
            <w:color w:val="auto"/>
            <w:sz w:val="22"/>
            <w:u w:val="none"/>
          </w:rPr>
          <w:t>Section 5.3.4</w:t>
        </w:r>
      </w:hyperlink>
      <w:r w:rsidRPr="00281670">
        <w:rPr>
          <w:rFonts w:asciiTheme="majorHAnsi" w:eastAsia="Calibri" w:hAnsiTheme="majorHAnsi" w:cstheme="majorHAnsi"/>
        </w:rPr>
        <w:t xml:space="preserve">). </w:t>
      </w:r>
    </w:p>
    <w:p w14:paraId="71BED894" w14:textId="049F4485" w:rsidR="00854FE3" w:rsidRPr="00EB193D" w:rsidRDefault="00854FE3" w:rsidP="007057E6">
      <w:pPr>
        <w:pStyle w:val="Heading1"/>
        <w:numPr>
          <w:ilvl w:val="0"/>
          <w:numId w:val="0"/>
        </w:numPr>
        <w:spacing w:after="480"/>
      </w:pPr>
      <w:bookmarkStart w:id="951" w:name="_Toc55544860"/>
      <w:r w:rsidRPr="00EB193D">
        <w:rPr>
          <w:rFonts w:eastAsia="Calibri"/>
        </w:rPr>
        <w:lastRenderedPageBreak/>
        <w:t xml:space="preserve">Appendix </w:t>
      </w:r>
      <w:r w:rsidR="00E975F4">
        <w:rPr>
          <w:rFonts w:eastAsia="Calibri"/>
        </w:rPr>
        <w:t>B</w:t>
      </w:r>
      <w:r w:rsidRPr="00EB193D">
        <w:rPr>
          <w:rFonts w:eastAsia="Calibri"/>
        </w:rPr>
        <w:t xml:space="preserve">: </w:t>
      </w:r>
      <w:r w:rsidR="00E60C4C">
        <w:t>S</w:t>
      </w:r>
      <w:r>
        <w:t>takeholder feedback</w:t>
      </w:r>
      <w:r w:rsidR="00E60C4C">
        <w:t>—executive summary</w:t>
      </w:r>
      <w:bookmarkEnd w:id="950"/>
      <w:bookmarkEnd w:id="951"/>
    </w:p>
    <w:p w14:paraId="4187ABD0" w14:textId="77777777" w:rsidR="00854FE3" w:rsidRPr="00FC0399" w:rsidRDefault="00854FE3" w:rsidP="00854FE3">
      <w:pPr>
        <w:rPr>
          <w:rFonts w:asciiTheme="majorHAnsi" w:hAnsiTheme="majorHAnsi" w:cstheme="majorHAnsi"/>
          <w:i/>
          <w:lang w:bidi="hi-IN"/>
        </w:rPr>
      </w:pPr>
      <w:r w:rsidRPr="00FC0399">
        <w:rPr>
          <w:rFonts w:asciiTheme="majorHAnsi" w:hAnsiTheme="majorHAnsi" w:cstheme="majorHAnsi"/>
          <w:i/>
          <w:lang w:bidi="hi-IN"/>
        </w:rPr>
        <w:t>From the final report by Kantar, Public Division to the ARC on stakeholder engagement services conducted as an input to the evaluation.</w:t>
      </w:r>
    </w:p>
    <w:p w14:paraId="0CD722C2" w14:textId="77777777" w:rsidR="00854FE3" w:rsidRPr="00FC0399" w:rsidRDefault="00854FE3" w:rsidP="00854FE3">
      <w:pPr>
        <w:rPr>
          <w:rFonts w:asciiTheme="majorHAnsi" w:hAnsiTheme="majorHAnsi" w:cstheme="majorHAnsi"/>
        </w:rPr>
      </w:pPr>
      <w:r w:rsidRPr="00FC0399">
        <w:rPr>
          <w:rFonts w:asciiTheme="majorHAnsi" w:hAnsiTheme="majorHAnsi" w:cstheme="majorHAnsi"/>
        </w:rPr>
        <w:t>The Discovery Projects scheme provides funding for basic and applied research undertaken by individual researchers and teams. It is the largest Australian Research Council (ARC) funding scheme and plays a central role in the Australian Government’s overall investment in university research. The Discovery Projects scheme has not been evaluated since it commenced and was identified as a priority for evaluation by the ARC.</w:t>
      </w:r>
    </w:p>
    <w:p w14:paraId="345D17F0" w14:textId="77777777" w:rsidR="00854FE3" w:rsidRPr="00FC0399" w:rsidRDefault="00854FE3" w:rsidP="00854FE3">
      <w:pPr>
        <w:spacing w:after="120"/>
        <w:rPr>
          <w:rFonts w:asciiTheme="majorHAnsi" w:hAnsiTheme="majorHAnsi" w:cstheme="majorHAnsi"/>
        </w:rPr>
      </w:pPr>
      <w:r w:rsidRPr="00FC0399">
        <w:rPr>
          <w:rFonts w:asciiTheme="majorHAnsi" w:hAnsiTheme="majorHAnsi" w:cstheme="majorHAnsi"/>
        </w:rPr>
        <w:t>The ARC engaged Kantar, Public Division (Kantar) to collect stakeholder feedback on the scheme in order to support an evaluation of the effectiveness and appropriateness of Discovery Projects. These stakeholder engagements consisted of:</w:t>
      </w:r>
    </w:p>
    <w:p w14:paraId="726C1326" w14:textId="77777777" w:rsidR="00854FE3" w:rsidRPr="00FC0399" w:rsidRDefault="00854FE3" w:rsidP="00854FE3">
      <w:pPr>
        <w:numPr>
          <w:ilvl w:val="0"/>
          <w:numId w:val="37"/>
        </w:numPr>
        <w:spacing w:before="60" w:after="60"/>
        <w:ind w:left="714" w:hanging="357"/>
        <w:rPr>
          <w:rFonts w:asciiTheme="majorHAnsi" w:hAnsiTheme="majorHAnsi" w:cstheme="majorHAnsi"/>
        </w:rPr>
      </w:pPr>
      <w:r w:rsidRPr="00FC0399">
        <w:rPr>
          <w:rFonts w:asciiTheme="majorHAnsi" w:hAnsiTheme="majorHAnsi" w:cstheme="majorHAnsi"/>
        </w:rPr>
        <w:t>interviews with a sample of 24 university research offices and three peak bodies</w:t>
      </w:r>
    </w:p>
    <w:p w14:paraId="37278527" w14:textId="77777777" w:rsidR="00854FE3" w:rsidRPr="00FC0399" w:rsidRDefault="00854FE3" w:rsidP="00854FE3">
      <w:pPr>
        <w:numPr>
          <w:ilvl w:val="0"/>
          <w:numId w:val="37"/>
        </w:numPr>
        <w:spacing w:before="60" w:after="60"/>
        <w:ind w:left="714" w:hanging="357"/>
        <w:rPr>
          <w:rFonts w:asciiTheme="majorHAnsi" w:hAnsiTheme="majorHAnsi" w:cstheme="majorHAnsi"/>
        </w:rPr>
      </w:pPr>
      <w:r w:rsidRPr="00FC0399">
        <w:rPr>
          <w:rFonts w:asciiTheme="majorHAnsi" w:hAnsiTheme="majorHAnsi" w:cstheme="majorHAnsi"/>
        </w:rPr>
        <w:t>a survey distributed to named researchers on projects funded under the scheme since its inception.</w:t>
      </w:r>
    </w:p>
    <w:p w14:paraId="022BF5D3" w14:textId="77777777" w:rsidR="00854FE3" w:rsidRPr="00FC0399" w:rsidRDefault="00854FE3" w:rsidP="00854FE3">
      <w:pPr>
        <w:pStyle w:val="Mainbodytext"/>
        <w:tabs>
          <w:tab w:val="left" w:pos="1240"/>
        </w:tabs>
        <w:spacing w:after="160" w:line="259" w:lineRule="auto"/>
        <w:rPr>
          <w:rFonts w:asciiTheme="majorHAnsi" w:hAnsiTheme="majorHAnsi" w:cstheme="majorHAnsi"/>
          <w:sz w:val="22"/>
        </w:rPr>
      </w:pPr>
      <w:r w:rsidRPr="00FC0399">
        <w:rPr>
          <w:rFonts w:asciiTheme="majorHAnsi" w:hAnsiTheme="majorHAnsi" w:cstheme="majorHAnsi"/>
          <w:sz w:val="22"/>
        </w:rPr>
        <w:t>Overall, stakeholders found the implementation of the Discovery Projects scheme to be effective in meeting its objectives and delivering on its intended outcomes. The scheme’s role within the broader research funding landscape, its objectives and intended outcomes, and the value and nature of the support provided were regarded as appropriate. However, opportunities to improve were identified in several areas.</w:t>
      </w:r>
    </w:p>
    <w:p w14:paraId="6B824C28" w14:textId="77777777" w:rsidR="00854FE3" w:rsidRPr="00FC0399" w:rsidRDefault="00854FE3" w:rsidP="00FC0399">
      <w:pPr>
        <w:rPr>
          <w:rFonts w:asciiTheme="majorHAnsi" w:hAnsiTheme="majorHAnsi" w:cstheme="majorHAnsi"/>
          <w:b/>
          <w:bCs/>
          <w:i/>
          <w:iCs/>
        </w:rPr>
      </w:pPr>
      <w:r w:rsidRPr="00FC0399">
        <w:rPr>
          <w:rFonts w:asciiTheme="majorHAnsi" w:hAnsiTheme="majorHAnsi" w:cstheme="majorHAnsi"/>
          <w:b/>
          <w:bCs/>
          <w:i/>
          <w:iCs/>
        </w:rPr>
        <w:t>Discovery Projects is effectively achieving its objectives</w:t>
      </w:r>
    </w:p>
    <w:p w14:paraId="00B096B2" w14:textId="77777777" w:rsidR="00854FE3" w:rsidRPr="00FC0399" w:rsidRDefault="00854FE3" w:rsidP="00854FE3">
      <w:pPr>
        <w:pStyle w:val="Mainbodytext"/>
        <w:numPr>
          <w:ilvl w:val="0"/>
          <w:numId w:val="34"/>
        </w:numPr>
        <w:tabs>
          <w:tab w:val="left" w:pos="1240"/>
        </w:tabs>
        <w:spacing w:before="0" w:after="160" w:line="259" w:lineRule="auto"/>
        <w:rPr>
          <w:rFonts w:asciiTheme="majorHAnsi" w:hAnsiTheme="majorHAnsi" w:cstheme="majorHAnsi"/>
          <w:sz w:val="22"/>
        </w:rPr>
      </w:pPr>
      <w:r w:rsidRPr="00FC0399">
        <w:rPr>
          <w:rFonts w:asciiTheme="majorHAnsi" w:hAnsiTheme="majorHAnsi" w:cstheme="majorHAnsi"/>
          <w:sz w:val="22"/>
        </w:rPr>
        <w:t>Stakeholders agreed that the Discovery Projects scheme is supporting excellent basic and applied research. It is considered to be one of the only schemes that funds basic, investigator-led, ‘blue-sky’ research within the Australian funding landscape. The competitive Discovery Projects application process was broadly regarded as effectively ensuring the best projects were funded.</w:t>
      </w:r>
    </w:p>
    <w:p w14:paraId="1191CDF5" w14:textId="77777777" w:rsidR="00854FE3" w:rsidRPr="00FC0399" w:rsidRDefault="00854FE3" w:rsidP="00854FE3">
      <w:pPr>
        <w:pStyle w:val="Mainbodytext"/>
        <w:numPr>
          <w:ilvl w:val="0"/>
          <w:numId w:val="34"/>
        </w:numPr>
        <w:tabs>
          <w:tab w:val="left" w:pos="1240"/>
        </w:tabs>
        <w:spacing w:before="0" w:after="160" w:line="259" w:lineRule="auto"/>
        <w:rPr>
          <w:rFonts w:asciiTheme="majorHAnsi" w:hAnsiTheme="majorHAnsi" w:cstheme="majorHAnsi"/>
          <w:sz w:val="22"/>
        </w:rPr>
      </w:pPr>
      <w:r w:rsidRPr="00FC0399">
        <w:rPr>
          <w:rFonts w:asciiTheme="majorHAnsi" w:hAnsiTheme="majorHAnsi" w:cstheme="majorHAnsi"/>
          <w:sz w:val="22"/>
        </w:rPr>
        <w:t>Stakeholders considered Discovery Projects to be supporting excellent research training for individuals and teams through three primary mechanisms:</w:t>
      </w:r>
    </w:p>
    <w:p w14:paraId="2196F8B0" w14:textId="77777777" w:rsidR="00854FE3" w:rsidRPr="00FC0399" w:rsidRDefault="00854FE3" w:rsidP="00854FE3">
      <w:pPr>
        <w:pStyle w:val="Mainbodytext"/>
        <w:numPr>
          <w:ilvl w:val="1"/>
          <w:numId w:val="34"/>
        </w:numPr>
        <w:tabs>
          <w:tab w:val="left" w:pos="1240"/>
        </w:tabs>
        <w:spacing w:before="0" w:after="160" w:line="259" w:lineRule="auto"/>
        <w:rPr>
          <w:rFonts w:asciiTheme="majorHAnsi" w:hAnsiTheme="majorHAnsi" w:cstheme="majorHAnsi"/>
          <w:sz w:val="22"/>
        </w:rPr>
      </w:pPr>
      <w:r w:rsidRPr="00FC0399">
        <w:rPr>
          <w:rFonts w:asciiTheme="majorHAnsi" w:hAnsiTheme="majorHAnsi" w:cstheme="majorHAnsi"/>
          <w:sz w:val="22"/>
        </w:rPr>
        <w:t>By funding excellent research, Discovery Projects provides opportunities for all researchers to train and develop,</w:t>
      </w:r>
    </w:p>
    <w:p w14:paraId="37CF3E42" w14:textId="77777777" w:rsidR="00854FE3" w:rsidRPr="00FC0399" w:rsidRDefault="00854FE3" w:rsidP="00854FE3">
      <w:pPr>
        <w:pStyle w:val="Mainbodytext"/>
        <w:numPr>
          <w:ilvl w:val="1"/>
          <w:numId w:val="34"/>
        </w:numPr>
        <w:tabs>
          <w:tab w:val="left" w:pos="1240"/>
        </w:tabs>
        <w:spacing w:before="0" w:after="160" w:line="259" w:lineRule="auto"/>
        <w:rPr>
          <w:rFonts w:asciiTheme="majorHAnsi" w:hAnsiTheme="majorHAnsi" w:cstheme="majorHAnsi"/>
          <w:sz w:val="22"/>
        </w:rPr>
      </w:pPr>
      <w:r w:rsidRPr="00FC0399">
        <w:rPr>
          <w:rFonts w:asciiTheme="majorHAnsi" w:hAnsiTheme="majorHAnsi" w:cstheme="majorHAnsi"/>
          <w:sz w:val="22"/>
        </w:rPr>
        <w:t>The ARC was seen to actively encourage the training and development of junior researchers by allowing funding to be utilised for PhD and Master’s stipends, and</w:t>
      </w:r>
    </w:p>
    <w:p w14:paraId="249442A8" w14:textId="77777777" w:rsidR="00854FE3" w:rsidRPr="00FC0399" w:rsidRDefault="00854FE3" w:rsidP="00854FE3">
      <w:pPr>
        <w:pStyle w:val="Mainbodytext"/>
        <w:numPr>
          <w:ilvl w:val="1"/>
          <w:numId w:val="34"/>
        </w:numPr>
        <w:tabs>
          <w:tab w:val="left" w:pos="1240"/>
        </w:tabs>
        <w:spacing w:before="0" w:after="160" w:line="259" w:lineRule="auto"/>
        <w:rPr>
          <w:rFonts w:asciiTheme="majorHAnsi" w:hAnsiTheme="majorHAnsi" w:cstheme="majorHAnsi"/>
          <w:sz w:val="22"/>
        </w:rPr>
      </w:pPr>
      <w:r w:rsidRPr="00FC0399">
        <w:rPr>
          <w:rFonts w:asciiTheme="majorHAnsi" w:hAnsiTheme="majorHAnsi" w:cstheme="majorHAnsi"/>
          <w:sz w:val="22"/>
        </w:rPr>
        <w:t xml:space="preserve">Supporting Higher Degree by Research (HDR) students to collaborate with experienced researchers at the forefront of their fields. </w:t>
      </w:r>
    </w:p>
    <w:p w14:paraId="66CDEC90" w14:textId="77777777" w:rsidR="00854FE3" w:rsidRPr="00FC0399" w:rsidRDefault="00854FE3" w:rsidP="00854FE3">
      <w:pPr>
        <w:pStyle w:val="Mainbodytext"/>
        <w:tabs>
          <w:tab w:val="left" w:pos="1240"/>
        </w:tabs>
        <w:spacing w:before="0" w:after="160" w:line="259" w:lineRule="auto"/>
        <w:ind w:left="360"/>
        <w:rPr>
          <w:rFonts w:asciiTheme="majorHAnsi" w:hAnsiTheme="majorHAnsi" w:cstheme="majorHAnsi"/>
          <w:sz w:val="22"/>
        </w:rPr>
      </w:pPr>
      <w:r w:rsidRPr="00FC0399">
        <w:rPr>
          <w:rFonts w:asciiTheme="majorHAnsi" w:hAnsiTheme="majorHAnsi" w:cstheme="majorHAnsi"/>
          <w:sz w:val="22"/>
        </w:rPr>
        <w:t>There were, however, concerns expressed that Discovery Projects was primarily a scheme for ‘experienced’ researchers. It should be noted that mechanisms previously employed to support early career researchers through Discovery Projects—including a dedicated funding stream and fellowship opportunities—have been transitioned to the ARC’s Discovery Early Career Researcher Award (DECRA) scheme.</w:t>
      </w:r>
    </w:p>
    <w:p w14:paraId="04F93FBC" w14:textId="77777777" w:rsidR="00854FE3" w:rsidRPr="00FC0399" w:rsidRDefault="00854FE3" w:rsidP="00854FE3">
      <w:pPr>
        <w:pStyle w:val="Mainbodytext"/>
        <w:numPr>
          <w:ilvl w:val="0"/>
          <w:numId w:val="34"/>
        </w:numPr>
        <w:tabs>
          <w:tab w:val="left" w:pos="1240"/>
        </w:tabs>
        <w:spacing w:before="0" w:after="160" w:line="259" w:lineRule="auto"/>
        <w:rPr>
          <w:rStyle w:val="e24kjd"/>
          <w:rFonts w:asciiTheme="majorHAnsi" w:hAnsiTheme="majorHAnsi" w:cstheme="majorHAnsi"/>
          <w:sz w:val="22"/>
        </w:rPr>
      </w:pPr>
      <w:r w:rsidRPr="00FC0399">
        <w:rPr>
          <w:rFonts w:asciiTheme="majorHAnsi" w:hAnsiTheme="majorHAnsi" w:cstheme="majorHAnsi"/>
          <w:sz w:val="22"/>
        </w:rPr>
        <w:t xml:space="preserve">The Discovery Projects scheme was perceived to be effectively supporting national and international collaboration. Furthermore, many participants noted that the ability to collaborate with other institutions, both nationally and internationally, ultimately fostered better research. </w:t>
      </w:r>
      <w:r w:rsidRPr="00FC0399">
        <w:rPr>
          <w:rStyle w:val="e24kjd"/>
          <w:rFonts w:asciiTheme="majorHAnsi" w:hAnsiTheme="majorHAnsi" w:cstheme="majorHAnsi"/>
          <w:sz w:val="22"/>
        </w:rPr>
        <w:lastRenderedPageBreak/>
        <w:t xml:space="preserve">There were, however, concerns raised about contractual and administrative challenges in sharing projects between institutions domestically.  While highly regarded, it was also felt there was potential to more effectively support international collaboration. </w:t>
      </w:r>
    </w:p>
    <w:p w14:paraId="690EC697" w14:textId="77777777" w:rsidR="00854FE3" w:rsidRPr="00FC0399" w:rsidRDefault="00854FE3" w:rsidP="00854FE3">
      <w:pPr>
        <w:pStyle w:val="Mainbodytext"/>
        <w:numPr>
          <w:ilvl w:val="0"/>
          <w:numId w:val="34"/>
        </w:numPr>
        <w:tabs>
          <w:tab w:val="left" w:pos="1240"/>
        </w:tabs>
        <w:spacing w:before="0" w:after="160" w:line="259" w:lineRule="auto"/>
        <w:rPr>
          <w:rStyle w:val="e24kjd"/>
          <w:rFonts w:asciiTheme="majorHAnsi" w:hAnsiTheme="majorHAnsi" w:cstheme="majorHAnsi"/>
          <w:sz w:val="22"/>
        </w:rPr>
      </w:pPr>
      <w:r w:rsidRPr="00FC0399">
        <w:rPr>
          <w:rStyle w:val="e24kjd"/>
          <w:rFonts w:asciiTheme="majorHAnsi" w:hAnsiTheme="majorHAnsi" w:cstheme="majorHAnsi"/>
          <w:sz w:val="22"/>
        </w:rPr>
        <w:t xml:space="preserve">Stakeholders broadly regarded Discovery Projects as effectively supporting the enhanced scale and focus of research in Australian Government priority areas. It was generally believed that the scheme design was encouraging the development of projects aligned to Australian Government priority areas without undermining support for investigator-initiated, blue sky research. </w:t>
      </w:r>
    </w:p>
    <w:p w14:paraId="76E59101" w14:textId="77777777" w:rsidR="00854FE3" w:rsidRPr="00FC0399" w:rsidRDefault="00854FE3" w:rsidP="00FC0399">
      <w:pPr>
        <w:rPr>
          <w:rFonts w:asciiTheme="majorHAnsi" w:hAnsiTheme="majorHAnsi" w:cstheme="majorHAnsi"/>
          <w:b/>
          <w:bCs/>
          <w:i/>
          <w:iCs/>
        </w:rPr>
      </w:pPr>
      <w:r w:rsidRPr="00FC0399">
        <w:rPr>
          <w:rFonts w:asciiTheme="majorHAnsi" w:hAnsiTheme="majorHAnsi" w:cstheme="majorHAnsi"/>
          <w:b/>
          <w:bCs/>
          <w:i/>
          <w:iCs/>
        </w:rPr>
        <w:t>Discovery Projects is effectively achieving its intended outcomes</w:t>
      </w:r>
    </w:p>
    <w:p w14:paraId="5FF8C0C2" w14:textId="77777777" w:rsidR="00854FE3" w:rsidRPr="00FC0399" w:rsidRDefault="00854FE3" w:rsidP="00854FE3">
      <w:pPr>
        <w:pStyle w:val="Mainbodytext"/>
        <w:numPr>
          <w:ilvl w:val="0"/>
          <w:numId w:val="35"/>
        </w:numPr>
        <w:spacing w:before="0" w:after="160" w:line="259" w:lineRule="auto"/>
        <w:ind w:left="357" w:hanging="357"/>
        <w:rPr>
          <w:rFonts w:asciiTheme="majorHAnsi" w:hAnsiTheme="majorHAnsi" w:cstheme="majorHAnsi"/>
          <w:sz w:val="22"/>
        </w:rPr>
      </w:pPr>
      <w:r w:rsidRPr="00FC0399">
        <w:rPr>
          <w:rFonts w:asciiTheme="majorHAnsi" w:hAnsiTheme="majorHAnsi" w:cstheme="majorHAnsi"/>
          <w:sz w:val="22"/>
        </w:rPr>
        <w:t>Discovery Projects was regarded as effectively supporting an expanded knowledge base and research capacity by supporting high-quality researcher-led projects, as well as contributing to the development of the future research workforce through training. However, stakeholders noted these outcomes could be amplified by increasing the amount of available project funding. There was also a perception amongst some research offices and peak bodies that the scheme’s funding had not increased in line with the number of researchers applying for grants, meaning high-quality research proposals were often not able to be funded.</w:t>
      </w:r>
    </w:p>
    <w:p w14:paraId="6507B3CE" w14:textId="2589DE1B" w:rsidR="00854FE3" w:rsidRPr="00FC0399" w:rsidRDefault="00854FE3" w:rsidP="00854FE3">
      <w:pPr>
        <w:pStyle w:val="Mainbodytext"/>
        <w:numPr>
          <w:ilvl w:val="0"/>
          <w:numId w:val="35"/>
        </w:numPr>
        <w:spacing w:before="0" w:after="160" w:line="259" w:lineRule="auto"/>
        <w:rPr>
          <w:rFonts w:asciiTheme="majorHAnsi" w:hAnsiTheme="majorHAnsi" w:cstheme="majorHAnsi"/>
          <w:sz w:val="22"/>
        </w:rPr>
      </w:pPr>
      <w:r w:rsidRPr="00FC0399">
        <w:rPr>
          <w:rFonts w:asciiTheme="majorHAnsi" w:hAnsiTheme="majorHAnsi" w:cstheme="majorHAnsi"/>
          <w:sz w:val="22"/>
        </w:rPr>
        <w:t>The Discovery Projects scheme was viewed as supporting economic, commercial, environmental, social and cultural benefits for Australia. Research offices evidenced this through outcomes generated by a range of projects that have been funded by the scheme. It was generally recognised that Discovery Projects is somewhat unique in its support for projects delivering social and/or cultural benefits</w:t>
      </w:r>
      <w:r w:rsidR="00433D8D">
        <w:rPr>
          <w:rFonts w:asciiTheme="majorHAnsi" w:hAnsiTheme="majorHAnsi" w:cstheme="majorHAnsi"/>
          <w:sz w:val="22"/>
        </w:rPr>
        <w:t>.</w:t>
      </w:r>
      <w:r w:rsidRPr="00FC0399">
        <w:rPr>
          <w:rFonts w:asciiTheme="majorHAnsi" w:hAnsiTheme="majorHAnsi" w:cstheme="majorHAnsi"/>
          <w:sz w:val="22"/>
        </w:rPr>
        <w:t xml:space="preserve"> It was, </w:t>
      </w:r>
      <w:r w:rsidR="007E7577">
        <w:rPr>
          <w:rFonts w:asciiTheme="majorHAnsi" w:hAnsiTheme="majorHAnsi" w:cstheme="majorHAnsi"/>
          <w:sz w:val="22"/>
        </w:rPr>
        <w:t>however</w:t>
      </w:r>
      <w:r w:rsidRPr="00FC0399">
        <w:rPr>
          <w:rFonts w:asciiTheme="majorHAnsi" w:hAnsiTheme="majorHAnsi" w:cstheme="majorHAnsi"/>
          <w:sz w:val="22"/>
        </w:rPr>
        <w:t xml:space="preserve">, noted that the extent of any benefits supported by the scheme was often difficult to quantify (particularly for basic research projects) until well after a project had been completed. This was sometimes perceived to create a tension, with respondents believing the ARC was prioritising research with more direct, immediate or tangible outcomes. As a result, some participants expressed a desire for more freedom to pursue a broader range of benefits to Australia, within different timeframes. </w:t>
      </w:r>
    </w:p>
    <w:p w14:paraId="7389E42A" w14:textId="77777777" w:rsidR="00854FE3" w:rsidRPr="00FC0399" w:rsidRDefault="00854FE3" w:rsidP="00FC0399">
      <w:pPr>
        <w:rPr>
          <w:rFonts w:asciiTheme="majorHAnsi" w:hAnsiTheme="majorHAnsi" w:cstheme="majorHAnsi"/>
          <w:b/>
          <w:bCs/>
          <w:i/>
          <w:iCs/>
        </w:rPr>
      </w:pPr>
      <w:r w:rsidRPr="00FC0399">
        <w:rPr>
          <w:rFonts w:asciiTheme="majorHAnsi" w:hAnsiTheme="majorHAnsi" w:cstheme="majorHAnsi"/>
          <w:b/>
          <w:bCs/>
          <w:i/>
          <w:iCs/>
        </w:rPr>
        <w:t xml:space="preserve">Discovery Projects objectives/intended outcomes, role and funding value/duration are appropriate </w:t>
      </w:r>
    </w:p>
    <w:p w14:paraId="0C03028B" w14:textId="77777777" w:rsidR="00854FE3" w:rsidRPr="00FC0399" w:rsidRDefault="00854FE3" w:rsidP="00854FE3">
      <w:pPr>
        <w:pStyle w:val="Mainbodytext"/>
        <w:numPr>
          <w:ilvl w:val="0"/>
          <w:numId w:val="36"/>
        </w:numPr>
        <w:spacing w:before="0" w:after="160" w:line="259" w:lineRule="auto"/>
        <w:rPr>
          <w:rFonts w:asciiTheme="majorHAnsi" w:hAnsiTheme="majorHAnsi" w:cstheme="majorHAnsi"/>
          <w:sz w:val="22"/>
        </w:rPr>
      </w:pPr>
      <w:r w:rsidRPr="00FC0399">
        <w:rPr>
          <w:rFonts w:asciiTheme="majorHAnsi" w:hAnsiTheme="majorHAnsi" w:cstheme="majorHAnsi"/>
          <w:sz w:val="22"/>
        </w:rPr>
        <w:t xml:space="preserve">The objectives and intended outcomes of Discovery Projects were broadly regarded as appropriate. Stakeholders (researchers, research offices and peak bodies) highlighted the importance of the scheme in supporting basic research to develop the fundamental knowledge that underpins applied research, which in turn delivered benefits to Australia and Australian society. Furthermore, many supported the appropriateness of the scheme’s support for research training and collaboration in order to enhance Australia’s capacity to deliver excellent research and research outputs. Participants appreciated the appropriateness of priority areas for research, within the context of research funding being provided by the Australian Government. </w:t>
      </w:r>
    </w:p>
    <w:p w14:paraId="6A853588" w14:textId="77777777" w:rsidR="00854FE3" w:rsidRPr="00FC0399" w:rsidRDefault="00854FE3" w:rsidP="00854FE3">
      <w:pPr>
        <w:pStyle w:val="Mainbodytext"/>
        <w:numPr>
          <w:ilvl w:val="0"/>
          <w:numId w:val="36"/>
        </w:numPr>
        <w:spacing w:before="0" w:after="160" w:line="259" w:lineRule="auto"/>
        <w:rPr>
          <w:rFonts w:asciiTheme="majorHAnsi" w:hAnsiTheme="majorHAnsi" w:cstheme="majorHAnsi"/>
          <w:sz w:val="22"/>
        </w:rPr>
      </w:pPr>
      <w:r w:rsidRPr="00FC0399">
        <w:rPr>
          <w:rFonts w:asciiTheme="majorHAnsi" w:hAnsiTheme="majorHAnsi" w:cstheme="majorHAnsi"/>
          <w:sz w:val="22"/>
        </w:rPr>
        <w:t>The Discovery Projects scheme was perceived to be playing an appropriate role within the funding landscape. It was regarded as unique in its support for investigator-led basic research, and as performing a critical function within Australia’s research and innovation sector. Stakeholders also broadly perceived the scheme to be supporting translational benefits through basic research—and considered this to be an appropriate role—as well as contributing to the national and international community through contributions to knowledge.</w:t>
      </w:r>
    </w:p>
    <w:p w14:paraId="1363949A" w14:textId="77777777" w:rsidR="00854FE3" w:rsidRPr="00FC0399" w:rsidRDefault="00854FE3" w:rsidP="00854FE3">
      <w:pPr>
        <w:pStyle w:val="Mainbodytext"/>
        <w:numPr>
          <w:ilvl w:val="0"/>
          <w:numId w:val="36"/>
        </w:numPr>
        <w:spacing w:before="0" w:after="160" w:line="259" w:lineRule="auto"/>
        <w:ind w:left="357" w:hanging="357"/>
        <w:rPr>
          <w:rFonts w:asciiTheme="majorHAnsi" w:hAnsiTheme="majorHAnsi" w:cstheme="majorHAnsi"/>
          <w:sz w:val="22"/>
        </w:rPr>
      </w:pPr>
      <w:r w:rsidRPr="00FC0399">
        <w:rPr>
          <w:rFonts w:asciiTheme="majorHAnsi" w:hAnsiTheme="majorHAnsi" w:cstheme="majorHAnsi"/>
          <w:sz w:val="22"/>
        </w:rPr>
        <w:t xml:space="preserve">The value and duration of the funding provided by the Discovery Projects scheme was broadly regarded as appropriate. Participants recognised that increasing the value of the grants without an increase in the overall funding pool would lead to fewer grants being awarded. Likewise, if the overall length of grants were to be increased, this could impact the total number of grants </w:t>
      </w:r>
      <w:r w:rsidRPr="00FC0399">
        <w:rPr>
          <w:rFonts w:asciiTheme="majorHAnsi" w:hAnsiTheme="majorHAnsi" w:cstheme="majorHAnsi"/>
          <w:sz w:val="22"/>
        </w:rPr>
        <w:lastRenderedPageBreak/>
        <w:t xml:space="preserve">available. Participants raised concerns about potential impacts to the viability of funded projects due to disparities between funding requested and funding awarded for successful applications. </w:t>
      </w:r>
    </w:p>
    <w:p w14:paraId="4F038624" w14:textId="6E488486" w:rsidR="00986780" w:rsidRPr="00FC0399" w:rsidRDefault="00986780">
      <w:pPr>
        <w:rPr>
          <w:rFonts w:asciiTheme="majorHAnsi" w:eastAsia="Calibri" w:hAnsiTheme="majorHAnsi" w:cstheme="majorHAnsi"/>
          <w:b/>
        </w:rPr>
      </w:pPr>
    </w:p>
    <w:p w14:paraId="0B603D27" w14:textId="77777777" w:rsidR="00FC0399" w:rsidRDefault="00FC0399">
      <w:pPr>
        <w:rPr>
          <w:rFonts w:asciiTheme="majorHAnsi" w:eastAsia="Calibri" w:hAnsiTheme="majorHAnsi" w:cstheme="majorHAnsi"/>
          <w:b/>
          <w:sz w:val="28"/>
          <w:szCs w:val="28"/>
        </w:rPr>
      </w:pPr>
      <w:r>
        <w:rPr>
          <w:rFonts w:eastAsia="Calibri"/>
        </w:rPr>
        <w:br w:type="page"/>
      </w:r>
    </w:p>
    <w:p w14:paraId="0C046630" w14:textId="6D1448E7" w:rsidR="00CC6C9A" w:rsidRDefault="00CC6C9A" w:rsidP="008930B7">
      <w:pPr>
        <w:pStyle w:val="Heading1"/>
        <w:numPr>
          <w:ilvl w:val="0"/>
          <w:numId w:val="0"/>
        </w:numPr>
        <w:spacing w:before="0" w:after="480" w:line="257" w:lineRule="auto"/>
        <w:ind w:left="431" w:hanging="431"/>
        <w:jc w:val="both"/>
        <w:rPr>
          <w:rFonts w:eastAsia="Calibri"/>
        </w:rPr>
      </w:pPr>
      <w:bookmarkStart w:id="952" w:name="_Appendix_C:_Survey"/>
      <w:bookmarkStart w:id="953" w:name="_Toc51918766"/>
      <w:bookmarkStart w:id="954" w:name="_Toc55544861"/>
      <w:bookmarkEnd w:id="952"/>
      <w:r>
        <w:rPr>
          <w:rFonts w:eastAsia="Calibri"/>
        </w:rPr>
        <w:lastRenderedPageBreak/>
        <w:t xml:space="preserve">Appendix </w:t>
      </w:r>
      <w:r w:rsidR="00E975F4">
        <w:rPr>
          <w:rFonts w:eastAsia="Calibri"/>
        </w:rPr>
        <w:t>C</w:t>
      </w:r>
      <w:r>
        <w:rPr>
          <w:rFonts w:eastAsia="Calibri"/>
        </w:rPr>
        <w:t>: Survey sample</w:t>
      </w:r>
      <w:bookmarkEnd w:id="953"/>
      <w:bookmarkEnd w:id="954"/>
    </w:p>
    <w:p w14:paraId="1FD10978" w14:textId="6B4A50D8" w:rsidR="00CC6C9A" w:rsidRDefault="00CC6C9A" w:rsidP="00BB320F">
      <w:pPr>
        <w:pStyle w:val="TableTitle"/>
        <w:rPr>
          <w:i/>
        </w:rPr>
      </w:pPr>
      <w:r>
        <w:t xml:space="preserve">Table </w:t>
      </w:r>
      <w:r w:rsidR="00857467">
        <w:fldChar w:fldCharType="begin"/>
      </w:r>
      <w:r w:rsidR="00857467">
        <w:instrText xml:space="preserve"> SEQ Table \* ARABIC </w:instrText>
      </w:r>
      <w:r w:rsidR="00857467">
        <w:fldChar w:fldCharType="separate"/>
      </w:r>
      <w:r w:rsidR="00AB03D7">
        <w:rPr>
          <w:noProof/>
        </w:rPr>
        <w:t>9</w:t>
      </w:r>
      <w:r w:rsidR="00857467">
        <w:rPr>
          <w:noProof/>
        </w:rPr>
        <w:fldChar w:fldCharType="end"/>
      </w:r>
      <w:r>
        <w:t xml:space="preserve">: Survey </w:t>
      </w:r>
      <w:r w:rsidR="000F0EA2">
        <w:t>sa</w:t>
      </w:r>
      <w:r>
        <w:t xml:space="preserve">mple </w:t>
      </w:r>
      <w:r w:rsidR="000F0EA2">
        <w:t>p</w:t>
      </w:r>
      <w:r>
        <w:t>rofile—</w:t>
      </w:r>
      <w:r w:rsidR="000F0EA2">
        <w:t>g</w:t>
      </w:r>
      <w:r>
        <w:t>ender</w:t>
      </w:r>
    </w:p>
    <w:tbl>
      <w:tblPr>
        <w:tblStyle w:val="Kantar"/>
        <w:tblW w:w="5001" w:type="pct"/>
        <w:jc w:val="center"/>
        <w:tblInd w:w="0" w:type="dxa"/>
        <w:tblBorders>
          <w:top w:val="none" w:sz="0" w:space="0" w:color="auto"/>
          <w:bottom w:val="none" w:sz="0" w:space="0" w:color="auto"/>
          <w:insideH w:val="none" w:sz="0" w:space="0" w:color="auto"/>
        </w:tblBorders>
        <w:tblLook w:val="04A0" w:firstRow="1" w:lastRow="0" w:firstColumn="1" w:lastColumn="0" w:noHBand="0" w:noVBand="1"/>
        <w:tblCaption w:val="Table 9: Survey Sample Profile—Gender"/>
        <w:tblDescription w:val="Table 9 shows the distribution of Discovery Projects evalution survey respondents by gender.&#10;"/>
      </w:tblPr>
      <w:tblGrid>
        <w:gridCol w:w="3452"/>
        <w:gridCol w:w="5576"/>
      </w:tblGrid>
      <w:tr w:rsidR="00CC6C9A" w14:paraId="42A11734" w14:textId="77777777" w:rsidTr="00CC6C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pct"/>
            <w:shd w:val="clear" w:color="auto" w:fill="666666" w:themeFill="text1" w:themeFillTint="99"/>
            <w:vAlign w:val="center"/>
            <w:hideMark/>
          </w:tcPr>
          <w:p w14:paraId="316505C1" w14:textId="77777777" w:rsidR="00CC6C9A" w:rsidRPr="00630EAA" w:rsidRDefault="00CC6C9A" w:rsidP="00692A53">
            <w:pPr>
              <w:jc w:val="center"/>
              <w:rPr>
                <w:rFonts w:asciiTheme="majorHAnsi" w:hAnsiTheme="majorHAnsi" w:cstheme="majorHAnsi"/>
              </w:rPr>
            </w:pPr>
            <w:r w:rsidRPr="00630EAA">
              <w:rPr>
                <w:rFonts w:asciiTheme="majorHAnsi" w:hAnsiTheme="majorHAnsi" w:cstheme="majorHAnsi"/>
              </w:rPr>
              <w:t>Gender</w:t>
            </w:r>
          </w:p>
        </w:tc>
        <w:tc>
          <w:tcPr>
            <w:tcW w:w="3088" w:type="pct"/>
            <w:shd w:val="clear" w:color="auto" w:fill="666666" w:themeFill="text1" w:themeFillTint="99"/>
            <w:vAlign w:val="center"/>
            <w:hideMark/>
          </w:tcPr>
          <w:p w14:paraId="0B9A89B2" w14:textId="77777777" w:rsidR="00CC6C9A" w:rsidRPr="00630EAA" w:rsidRDefault="00CC6C9A" w:rsidP="00692A5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rPr>
            </w:pPr>
            <w:r w:rsidRPr="00630EAA">
              <w:rPr>
                <w:rFonts w:asciiTheme="majorHAnsi" w:hAnsiTheme="majorHAnsi" w:cstheme="majorHAnsi"/>
              </w:rPr>
              <w:t>Percent of sample (%)</w:t>
            </w:r>
          </w:p>
        </w:tc>
      </w:tr>
      <w:tr w:rsidR="00CC6C9A" w14:paraId="6F90CF96"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3903FFCE" w14:textId="77777777" w:rsidR="00CC6C9A" w:rsidRDefault="00CC6C9A" w:rsidP="00692A53">
            <w:pPr>
              <w:pStyle w:val="TableCell"/>
              <w:spacing w:before="0" w:after="0"/>
              <w:jc w:val="center"/>
              <w:rPr>
                <w:rFonts w:asciiTheme="majorHAnsi" w:hAnsiTheme="majorHAnsi" w:cstheme="majorHAnsi"/>
                <w:b w:val="0"/>
              </w:rPr>
            </w:pPr>
            <w:r>
              <w:rPr>
                <w:rFonts w:asciiTheme="majorHAnsi" w:hAnsiTheme="majorHAnsi" w:cstheme="majorHAnsi"/>
              </w:rPr>
              <w:t>Male</w:t>
            </w:r>
          </w:p>
        </w:tc>
        <w:tc>
          <w:tcPr>
            <w:tcW w:w="3088" w:type="pct"/>
            <w:hideMark/>
          </w:tcPr>
          <w:p w14:paraId="69795A79" w14:textId="77777777" w:rsidR="00CC6C9A" w:rsidRDefault="00CC6C9A" w:rsidP="00692A53">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73</w:t>
            </w:r>
          </w:p>
        </w:tc>
      </w:tr>
      <w:tr w:rsidR="00CC6C9A" w14:paraId="2A602BE8"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2178A275" w14:textId="77777777" w:rsidR="00CC6C9A" w:rsidRDefault="00CC6C9A" w:rsidP="00692A53">
            <w:pPr>
              <w:pStyle w:val="TableCell"/>
              <w:spacing w:before="0" w:after="0"/>
              <w:jc w:val="center"/>
              <w:rPr>
                <w:rFonts w:asciiTheme="majorHAnsi" w:hAnsiTheme="majorHAnsi" w:cstheme="majorHAnsi"/>
                <w:b w:val="0"/>
              </w:rPr>
            </w:pPr>
            <w:r>
              <w:rPr>
                <w:rFonts w:asciiTheme="majorHAnsi" w:hAnsiTheme="majorHAnsi" w:cstheme="majorHAnsi"/>
              </w:rPr>
              <w:t>Female</w:t>
            </w:r>
          </w:p>
        </w:tc>
        <w:tc>
          <w:tcPr>
            <w:tcW w:w="3088" w:type="pct"/>
            <w:hideMark/>
          </w:tcPr>
          <w:p w14:paraId="2BFD2AD0" w14:textId="77777777" w:rsidR="00CC6C9A" w:rsidRDefault="00CC6C9A" w:rsidP="00692A53">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27</w:t>
            </w:r>
          </w:p>
        </w:tc>
      </w:tr>
      <w:tr w:rsidR="00CC6C9A" w14:paraId="55551E32"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46811B8D" w14:textId="77777777" w:rsidR="00CC6C9A" w:rsidRDefault="00CC6C9A" w:rsidP="00692A53">
            <w:pPr>
              <w:pStyle w:val="TableCell"/>
              <w:spacing w:before="0" w:after="0"/>
              <w:jc w:val="center"/>
              <w:rPr>
                <w:rFonts w:asciiTheme="majorHAnsi" w:hAnsiTheme="majorHAnsi" w:cstheme="majorHAnsi"/>
                <w:b w:val="0"/>
              </w:rPr>
            </w:pPr>
            <w:r>
              <w:rPr>
                <w:rFonts w:asciiTheme="majorHAnsi" w:hAnsiTheme="majorHAnsi" w:cstheme="majorHAnsi"/>
              </w:rPr>
              <w:t>Unknown</w:t>
            </w:r>
          </w:p>
        </w:tc>
        <w:tc>
          <w:tcPr>
            <w:tcW w:w="3088" w:type="pct"/>
            <w:hideMark/>
          </w:tcPr>
          <w:p w14:paraId="620AD9DF" w14:textId="77777777" w:rsidR="00CC6C9A" w:rsidRDefault="00CC6C9A" w:rsidP="00692A53">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&lt;1</w:t>
            </w:r>
          </w:p>
        </w:tc>
      </w:tr>
    </w:tbl>
    <w:p w14:paraId="3D744A5E" w14:textId="77777777" w:rsidR="00CC6C9A" w:rsidRPr="00A55997" w:rsidRDefault="00CC6C9A" w:rsidP="00CC6C9A">
      <w:pPr>
        <w:pStyle w:val="Caption"/>
        <w:keepNext/>
        <w:spacing w:before="120" w:after="120"/>
        <w:rPr>
          <w:rFonts w:asciiTheme="majorHAnsi" w:hAnsiTheme="majorHAnsi" w:cstheme="majorHAnsi"/>
          <w:i w:val="0"/>
          <w:color w:val="auto"/>
          <w:sz w:val="16"/>
          <w:szCs w:val="16"/>
          <w:lang w:eastAsia="en-AU"/>
        </w:rPr>
      </w:pPr>
      <w:r w:rsidRPr="00A55997">
        <w:rPr>
          <w:rFonts w:asciiTheme="majorHAnsi" w:hAnsiTheme="majorHAnsi" w:cstheme="majorHAnsi"/>
          <w:i w:val="0"/>
          <w:color w:val="auto"/>
          <w:sz w:val="16"/>
          <w:szCs w:val="16"/>
        </w:rPr>
        <w:t xml:space="preserve">Source: ARC administrative data. </w:t>
      </w:r>
      <w:r w:rsidRPr="00A55997">
        <w:rPr>
          <w:rFonts w:asciiTheme="majorHAnsi" w:hAnsiTheme="majorHAnsi" w:cstheme="majorHAnsi"/>
          <w:iCs w:val="0"/>
          <w:color w:val="auto"/>
          <w:sz w:val="16"/>
          <w:szCs w:val="16"/>
        </w:rPr>
        <w:t>Note: Table reflects ARC Research Management System (RMS) data as at February 2020.</w:t>
      </w:r>
    </w:p>
    <w:p w14:paraId="3155C8B3" w14:textId="77777777" w:rsidR="00CC6C9A" w:rsidRDefault="00CC6C9A" w:rsidP="00CC6C9A">
      <w:pPr>
        <w:rPr>
          <w:rFonts w:asciiTheme="majorHAnsi" w:hAnsiTheme="majorHAnsi" w:cstheme="majorHAnsi"/>
          <w:i/>
          <w:sz w:val="14"/>
        </w:rPr>
      </w:pPr>
    </w:p>
    <w:p w14:paraId="4301389E" w14:textId="2C586C6B" w:rsidR="00CC6C9A" w:rsidRDefault="00CC6C9A" w:rsidP="00BB320F">
      <w:pPr>
        <w:pStyle w:val="TableTitle"/>
        <w:rPr>
          <w:i/>
        </w:rPr>
      </w:pPr>
      <w:r>
        <w:t xml:space="preserve">Table </w:t>
      </w:r>
      <w:r w:rsidR="00857467">
        <w:fldChar w:fldCharType="begin"/>
      </w:r>
      <w:r w:rsidR="00857467">
        <w:instrText xml:space="preserve"> SEQ Table \* ARABIC </w:instrText>
      </w:r>
      <w:r w:rsidR="00857467">
        <w:fldChar w:fldCharType="separate"/>
      </w:r>
      <w:r w:rsidR="00AB03D7">
        <w:rPr>
          <w:noProof/>
        </w:rPr>
        <w:t>10</w:t>
      </w:r>
      <w:r w:rsidR="00857467">
        <w:rPr>
          <w:noProof/>
        </w:rPr>
        <w:fldChar w:fldCharType="end"/>
      </w:r>
      <w:r>
        <w:t xml:space="preserve">: Survey </w:t>
      </w:r>
      <w:r w:rsidR="000F0EA2">
        <w:t>s</w:t>
      </w:r>
      <w:r>
        <w:t xml:space="preserve">ample </w:t>
      </w:r>
      <w:r w:rsidR="000F0EA2">
        <w:t>p</w:t>
      </w:r>
      <w:r>
        <w:t>rofile—</w:t>
      </w:r>
      <w:r w:rsidR="000F0EA2">
        <w:t>n</w:t>
      </w:r>
      <w:r>
        <w:t>umber of Discovery Projects</w:t>
      </w:r>
      <w:r w:rsidR="00932698">
        <w:t xml:space="preserve"> applications</w:t>
      </w:r>
    </w:p>
    <w:tbl>
      <w:tblPr>
        <w:tblStyle w:val="Kantar"/>
        <w:tblW w:w="5001" w:type="pct"/>
        <w:jc w:val="center"/>
        <w:tblInd w:w="0" w:type="dxa"/>
        <w:tblBorders>
          <w:top w:val="none" w:sz="0" w:space="0" w:color="auto"/>
          <w:bottom w:val="none" w:sz="0" w:space="0" w:color="auto"/>
          <w:insideH w:val="none" w:sz="0" w:space="0" w:color="auto"/>
        </w:tblBorders>
        <w:tblLook w:val="04A0" w:firstRow="1" w:lastRow="0" w:firstColumn="1" w:lastColumn="0" w:noHBand="0" w:noVBand="1"/>
        <w:tblCaption w:val="Table 10: Survey Sample Profile—Number of Discovery Projects applications"/>
        <w:tblDescription w:val="Table 10 shows the distribution of Discovery Projects evaluation survey respondents by number of Discovery Projects applications. &#10;"/>
      </w:tblPr>
      <w:tblGrid>
        <w:gridCol w:w="3452"/>
        <w:gridCol w:w="5576"/>
      </w:tblGrid>
      <w:tr w:rsidR="00CC6C9A" w14:paraId="2F19377F" w14:textId="77777777" w:rsidTr="00CC6C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pct"/>
            <w:shd w:val="clear" w:color="auto" w:fill="666666" w:themeFill="text1" w:themeFillTint="99"/>
            <w:vAlign w:val="center"/>
            <w:hideMark/>
          </w:tcPr>
          <w:p w14:paraId="20E5EB14" w14:textId="77777777" w:rsidR="00CC6C9A" w:rsidRPr="00630EAA" w:rsidRDefault="00CC6C9A" w:rsidP="00692A53">
            <w:pPr>
              <w:jc w:val="center"/>
              <w:rPr>
                <w:rFonts w:asciiTheme="majorHAnsi" w:hAnsiTheme="majorHAnsi" w:cstheme="majorHAnsi"/>
              </w:rPr>
            </w:pPr>
            <w:r w:rsidRPr="00630EAA">
              <w:rPr>
                <w:rFonts w:asciiTheme="majorHAnsi" w:hAnsiTheme="majorHAnsi" w:cstheme="majorHAnsi"/>
              </w:rPr>
              <w:t>Number of applications</w:t>
            </w:r>
          </w:p>
        </w:tc>
        <w:tc>
          <w:tcPr>
            <w:tcW w:w="3088" w:type="pct"/>
            <w:shd w:val="clear" w:color="auto" w:fill="666666" w:themeFill="text1" w:themeFillTint="99"/>
            <w:vAlign w:val="center"/>
            <w:hideMark/>
          </w:tcPr>
          <w:p w14:paraId="2F782466" w14:textId="77777777" w:rsidR="00CC6C9A" w:rsidRPr="00630EAA" w:rsidRDefault="00CC6C9A" w:rsidP="00692A5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rPr>
            </w:pPr>
            <w:r w:rsidRPr="00630EAA">
              <w:rPr>
                <w:rFonts w:asciiTheme="majorHAnsi" w:hAnsiTheme="majorHAnsi" w:cstheme="majorHAnsi"/>
              </w:rPr>
              <w:t>Percent of sample (%)</w:t>
            </w:r>
          </w:p>
        </w:tc>
      </w:tr>
      <w:tr w:rsidR="00CC6C9A" w14:paraId="09AFB7C6"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7572BFD3"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w:t>
            </w:r>
          </w:p>
        </w:tc>
        <w:tc>
          <w:tcPr>
            <w:tcW w:w="3088" w:type="pct"/>
            <w:hideMark/>
          </w:tcPr>
          <w:p w14:paraId="4E3606CD"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12</w:t>
            </w:r>
          </w:p>
        </w:tc>
      </w:tr>
      <w:tr w:rsidR="00CC6C9A" w14:paraId="1ECEC60D"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3529DD7A"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2</w:t>
            </w:r>
          </w:p>
        </w:tc>
        <w:tc>
          <w:tcPr>
            <w:tcW w:w="3088" w:type="pct"/>
            <w:hideMark/>
          </w:tcPr>
          <w:p w14:paraId="22227427"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10</w:t>
            </w:r>
          </w:p>
        </w:tc>
      </w:tr>
      <w:tr w:rsidR="00CC6C9A" w14:paraId="44903E73"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7D9097F1"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3</w:t>
            </w:r>
          </w:p>
        </w:tc>
        <w:tc>
          <w:tcPr>
            <w:tcW w:w="3088" w:type="pct"/>
            <w:hideMark/>
          </w:tcPr>
          <w:p w14:paraId="2F21F3BC"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w:t>
            </w:r>
          </w:p>
        </w:tc>
      </w:tr>
      <w:tr w:rsidR="00CC6C9A" w14:paraId="1AADAD9E"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6CB8A2BB"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4</w:t>
            </w:r>
          </w:p>
        </w:tc>
        <w:tc>
          <w:tcPr>
            <w:tcW w:w="3088" w:type="pct"/>
            <w:hideMark/>
          </w:tcPr>
          <w:p w14:paraId="0247E1CA"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w:t>
            </w:r>
          </w:p>
        </w:tc>
      </w:tr>
      <w:tr w:rsidR="00CC6C9A" w14:paraId="5EA1AAE3"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13EA58D3"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5</w:t>
            </w:r>
          </w:p>
        </w:tc>
        <w:tc>
          <w:tcPr>
            <w:tcW w:w="3088" w:type="pct"/>
            <w:hideMark/>
          </w:tcPr>
          <w:p w14:paraId="205E59A4"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w:t>
            </w:r>
          </w:p>
        </w:tc>
      </w:tr>
      <w:tr w:rsidR="00CC6C9A" w14:paraId="45D04019"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7B25BD26"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6</w:t>
            </w:r>
          </w:p>
        </w:tc>
        <w:tc>
          <w:tcPr>
            <w:tcW w:w="3088" w:type="pct"/>
            <w:hideMark/>
          </w:tcPr>
          <w:p w14:paraId="71D65037"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6</w:t>
            </w:r>
          </w:p>
        </w:tc>
      </w:tr>
      <w:tr w:rsidR="00CC6C9A" w14:paraId="174BFE4B"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6137CB22"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7</w:t>
            </w:r>
          </w:p>
        </w:tc>
        <w:tc>
          <w:tcPr>
            <w:tcW w:w="3088" w:type="pct"/>
            <w:hideMark/>
          </w:tcPr>
          <w:p w14:paraId="3478BF34"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w:t>
            </w:r>
          </w:p>
        </w:tc>
      </w:tr>
      <w:tr w:rsidR="00CC6C9A" w14:paraId="344500B4"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96732E6"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8</w:t>
            </w:r>
          </w:p>
        </w:tc>
        <w:tc>
          <w:tcPr>
            <w:tcW w:w="3088" w:type="pct"/>
            <w:hideMark/>
          </w:tcPr>
          <w:p w14:paraId="67188F7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w:t>
            </w:r>
          </w:p>
        </w:tc>
      </w:tr>
      <w:tr w:rsidR="00CC6C9A" w14:paraId="2C78260C"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638DADF"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9</w:t>
            </w:r>
          </w:p>
        </w:tc>
        <w:tc>
          <w:tcPr>
            <w:tcW w:w="3088" w:type="pct"/>
            <w:hideMark/>
          </w:tcPr>
          <w:p w14:paraId="5E3182EA"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w:t>
            </w:r>
          </w:p>
        </w:tc>
      </w:tr>
      <w:tr w:rsidR="00CC6C9A" w14:paraId="50EF7F15"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18586870"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10</w:t>
            </w:r>
          </w:p>
        </w:tc>
        <w:tc>
          <w:tcPr>
            <w:tcW w:w="3088" w:type="pct"/>
            <w:hideMark/>
          </w:tcPr>
          <w:p w14:paraId="12AB4E82"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w:t>
            </w:r>
          </w:p>
        </w:tc>
      </w:tr>
      <w:tr w:rsidR="00CC6C9A" w14:paraId="6387F3E8"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0EEB28C4"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11</w:t>
            </w:r>
          </w:p>
        </w:tc>
        <w:tc>
          <w:tcPr>
            <w:tcW w:w="3088" w:type="pct"/>
            <w:hideMark/>
          </w:tcPr>
          <w:p w14:paraId="6E879C66"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w:t>
            </w:r>
          </w:p>
        </w:tc>
      </w:tr>
      <w:tr w:rsidR="00CC6C9A" w14:paraId="6FBF5C21"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71A4F90C"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12</w:t>
            </w:r>
          </w:p>
        </w:tc>
        <w:tc>
          <w:tcPr>
            <w:tcW w:w="3088" w:type="pct"/>
            <w:hideMark/>
          </w:tcPr>
          <w:p w14:paraId="60F34588"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w:t>
            </w:r>
          </w:p>
        </w:tc>
      </w:tr>
      <w:tr w:rsidR="00CC6C9A" w14:paraId="7FA01B8E"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1B3E4325"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13</w:t>
            </w:r>
          </w:p>
        </w:tc>
        <w:tc>
          <w:tcPr>
            <w:tcW w:w="3088" w:type="pct"/>
            <w:hideMark/>
          </w:tcPr>
          <w:p w14:paraId="3EA29E4F"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w:t>
            </w:r>
          </w:p>
        </w:tc>
      </w:tr>
      <w:tr w:rsidR="00CC6C9A" w14:paraId="4EA359C0"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3C4E1524"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14</w:t>
            </w:r>
          </w:p>
        </w:tc>
        <w:tc>
          <w:tcPr>
            <w:tcW w:w="3088" w:type="pct"/>
            <w:hideMark/>
          </w:tcPr>
          <w:p w14:paraId="1A8DD7FA"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3</w:t>
            </w:r>
          </w:p>
        </w:tc>
      </w:tr>
      <w:tr w:rsidR="00CC6C9A" w14:paraId="1F867D98"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6BB702F9"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15</w:t>
            </w:r>
          </w:p>
        </w:tc>
        <w:tc>
          <w:tcPr>
            <w:tcW w:w="3088" w:type="pct"/>
            <w:hideMark/>
          </w:tcPr>
          <w:p w14:paraId="66F9FDB2"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w:t>
            </w:r>
          </w:p>
        </w:tc>
      </w:tr>
      <w:tr w:rsidR="00CC6C9A" w14:paraId="5A48173D"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058CE13A"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16</w:t>
            </w:r>
          </w:p>
        </w:tc>
        <w:tc>
          <w:tcPr>
            <w:tcW w:w="3088" w:type="pct"/>
            <w:hideMark/>
          </w:tcPr>
          <w:p w14:paraId="08A9199B"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w:t>
            </w:r>
          </w:p>
        </w:tc>
      </w:tr>
      <w:tr w:rsidR="00CC6C9A" w14:paraId="17CED8E2"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1AB06763"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17</w:t>
            </w:r>
          </w:p>
        </w:tc>
        <w:tc>
          <w:tcPr>
            <w:tcW w:w="3088" w:type="pct"/>
            <w:hideMark/>
          </w:tcPr>
          <w:p w14:paraId="7C7B0DD7"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w:t>
            </w:r>
          </w:p>
        </w:tc>
      </w:tr>
      <w:tr w:rsidR="00CC6C9A" w14:paraId="4CF2F1EE"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75631F9A"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18</w:t>
            </w:r>
          </w:p>
        </w:tc>
        <w:tc>
          <w:tcPr>
            <w:tcW w:w="3088" w:type="pct"/>
            <w:hideMark/>
          </w:tcPr>
          <w:p w14:paraId="76C05E6A"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w:t>
            </w:r>
          </w:p>
        </w:tc>
      </w:tr>
      <w:tr w:rsidR="00CC6C9A" w14:paraId="6F63C367"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1F38272E"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19</w:t>
            </w:r>
          </w:p>
        </w:tc>
        <w:tc>
          <w:tcPr>
            <w:tcW w:w="3088" w:type="pct"/>
            <w:hideMark/>
          </w:tcPr>
          <w:p w14:paraId="4843E2E2"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w:t>
            </w:r>
          </w:p>
        </w:tc>
      </w:tr>
      <w:tr w:rsidR="00CC6C9A" w14:paraId="54F2D5F8"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614C354F"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20+</w:t>
            </w:r>
          </w:p>
        </w:tc>
        <w:tc>
          <w:tcPr>
            <w:tcW w:w="3088" w:type="pct"/>
            <w:hideMark/>
          </w:tcPr>
          <w:p w14:paraId="43A6114F"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w:t>
            </w:r>
          </w:p>
        </w:tc>
      </w:tr>
    </w:tbl>
    <w:p w14:paraId="030775DF" w14:textId="0A9AD5E9" w:rsidR="00CC6C9A" w:rsidRPr="00A55997" w:rsidRDefault="00CC6C9A" w:rsidP="00CC6C9A">
      <w:pPr>
        <w:pStyle w:val="Caption"/>
        <w:keepNext/>
        <w:spacing w:before="120" w:after="120"/>
        <w:rPr>
          <w:rFonts w:asciiTheme="majorHAnsi" w:hAnsiTheme="majorHAnsi" w:cstheme="majorHAnsi"/>
          <w:i w:val="0"/>
          <w:color w:val="auto"/>
          <w:sz w:val="16"/>
          <w:szCs w:val="16"/>
          <w:lang w:eastAsia="en-AU"/>
        </w:rPr>
      </w:pPr>
      <w:r w:rsidRPr="00A55997">
        <w:rPr>
          <w:rFonts w:asciiTheme="majorHAnsi" w:hAnsiTheme="majorHAnsi" w:cstheme="majorHAnsi"/>
          <w:i w:val="0"/>
          <w:color w:val="auto"/>
          <w:sz w:val="16"/>
          <w:szCs w:val="16"/>
        </w:rPr>
        <w:t xml:space="preserve">Source: ARC administrative data. </w:t>
      </w:r>
      <w:r w:rsidRPr="00A55997">
        <w:rPr>
          <w:rFonts w:asciiTheme="majorHAnsi" w:hAnsiTheme="majorHAnsi" w:cstheme="majorHAnsi"/>
          <w:iCs w:val="0"/>
          <w:color w:val="auto"/>
          <w:sz w:val="16"/>
          <w:szCs w:val="16"/>
        </w:rPr>
        <w:t>Note: Table reflects RMS data as at February 2020.</w:t>
      </w:r>
    </w:p>
    <w:p w14:paraId="50419945" w14:textId="77777777" w:rsidR="00CC6C9A" w:rsidRDefault="00CC6C9A" w:rsidP="00CC6C9A">
      <w:pPr>
        <w:rPr>
          <w:rFonts w:asciiTheme="majorHAnsi" w:hAnsiTheme="majorHAnsi" w:cstheme="majorHAnsi"/>
          <w:i/>
          <w:sz w:val="14"/>
        </w:rPr>
      </w:pPr>
    </w:p>
    <w:p w14:paraId="7FA1BAD1" w14:textId="24B881A8" w:rsidR="00CC6C9A" w:rsidRDefault="00CC6C9A" w:rsidP="00BB320F">
      <w:pPr>
        <w:pStyle w:val="TableTitle"/>
        <w:rPr>
          <w:i/>
        </w:rPr>
      </w:pPr>
      <w:r>
        <w:t xml:space="preserve">Table </w:t>
      </w:r>
      <w:r w:rsidR="00857467">
        <w:fldChar w:fldCharType="begin"/>
      </w:r>
      <w:r w:rsidR="00857467">
        <w:instrText xml:space="preserve"> SEQ Table \* ARABIC </w:instrText>
      </w:r>
      <w:r w:rsidR="00857467">
        <w:fldChar w:fldCharType="separate"/>
      </w:r>
      <w:r w:rsidR="00AB03D7">
        <w:rPr>
          <w:noProof/>
        </w:rPr>
        <w:t>11</w:t>
      </w:r>
      <w:r w:rsidR="00857467">
        <w:rPr>
          <w:noProof/>
        </w:rPr>
        <w:fldChar w:fldCharType="end"/>
      </w:r>
      <w:r>
        <w:t xml:space="preserve">: Survey </w:t>
      </w:r>
      <w:r w:rsidR="000F0EA2">
        <w:t>s</w:t>
      </w:r>
      <w:r>
        <w:t xml:space="preserve">ample </w:t>
      </w:r>
      <w:r w:rsidR="000F0EA2">
        <w:t>p</w:t>
      </w:r>
      <w:r>
        <w:t>rofile—</w:t>
      </w:r>
      <w:r w:rsidR="000F0EA2">
        <w:t>c</w:t>
      </w:r>
      <w:r>
        <w:t>urrent number of Discovery Projects funded projects</w:t>
      </w:r>
    </w:p>
    <w:tbl>
      <w:tblPr>
        <w:tblStyle w:val="Kantar"/>
        <w:tblW w:w="5001" w:type="pct"/>
        <w:jc w:val="center"/>
        <w:tblInd w:w="0" w:type="dxa"/>
        <w:tblBorders>
          <w:top w:val="none" w:sz="0" w:space="0" w:color="auto"/>
          <w:bottom w:val="none" w:sz="0" w:space="0" w:color="auto"/>
          <w:insideH w:val="none" w:sz="0" w:space="0" w:color="auto"/>
        </w:tblBorders>
        <w:tblLook w:val="04A0" w:firstRow="1" w:lastRow="0" w:firstColumn="1" w:lastColumn="0" w:noHBand="0" w:noVBand="1"/>
        <w:tblCaption w:val="Table 11: Survey Sample Profile—Current number of Discovery Projects funded projects"/>
        <w:tblDescription w:val="Table 11 shows the distribution of Discovery Projects evaluation survey respondents by number of Discovery Projects currently held.&#10;"/>
      </w:tblPr>
      <w:tblGrid>
        <w:gridCol w:w="3452"/>
        <w:gridCol w:w="5576"/>
      </w:tblGrid>
      <w:tr w:rsidR="00CC6C9A" w14:paraId="0B80D781" w14:textId="77777777" w:rsidTr="00CC6C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pct"/>
            <w:shd w:val="clear" w:color="auto" w:fill="666666" w:themeFill="text1" w:themeFillTint="99"/>
            <w:vAlign w:val="center"/>
            <w:hideMark/>
          </w:tcPr>
          <w:p w14:paraId="7A88D118" w14:textId="77777777" w:rsidR="00CC6C9A" w:rsidRPr="00630EAA" w:rsidRDefault="00CC6C9A" w:rsidP="00692A53">
            <w:pPr>
              <w:jc w:val="center"/>
              <w:rPr>
                <w:rFonts w:asciiTheme="majorHAnsi" w:hAnsiTheme="majorHAnsi" w:cstheme="majorHAnsi"/>
              </w:rPr>
            </w:pPr>
            <w:r w:rsidRPr="00630EAA">
              <w:rPr>
                <w:rFonts w:asciiTheme="majorHAnsi" w:hAnsiTheme="majorHAnsi" w:cstheme="majorHAnsi"/>
              </w:rPr>
              <w:t>Number of projects</w:t>
            </w:r>
          </w:p>
        </w:tc>
        <w:tc>
          <w:tcPr>
            <w:tcW w:w="3088" w:type="pct"/>
            <w:shd w:val="clear" w:color="auto" w:fill="666666" w:themeFill="text1" w:themeFillTint="99"/>
            <w:vAlign w:val="center"/>
            <w:hideMark/>
          </w:tcPr>
          <w:p w14:paraId="6DCA7895" w14:textId="77777777" w:rsidR="00CC6C9A" w:rsidRPr="00630EAA" w:rsidRDefault="00CC6C9A" w:rsidP="00692A5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30EAA">
              <w:rPr>
                <w:rFonts w:asciiTheme="majorHAnsi" w:hAnsiTheme="majorHAnsi" w:cstheme="majorHAnsi"/>
              </w:rPr>
              <w:t>Percent of sample (%)</w:t>
            </w:r>
          </w:p>
        </w:tc>
      </w:tr>
      <w:tr w:rsidR="00CC6C9A" w14:paraId="67CA92C8"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68D82E93"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0</w:t>
            </w:r>
          </w:p>
        </w:tc>
        <w:tc>
          <w:tcPr>
            <w:tcW w:w="3088" w:type="pct"/>
            <w:hideMark/>
          </w:tcPr>
          <w:p w14:paraId="487FBEE1"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57</w:t>
            </w:r>
          </w:p>
        </w:tc>
      </w:tr>
      <w:tr w:rsidR="00CC6C9A" w14:paraId="2F75C484"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616DE2B6"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w:t>
            </w:r>
          </w:p>
        </w:tc>
        <w:tc>
          <w:tcPr>
            <w:tcW w:w="3088" w:type="pct"/>
            <w:hideMark/>
          </w:tcPr>
          <w:p w14:paraId="4F9F5B13"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37</w:t>
            </w:r>
          </w:p>
        </w:tc>
      </w:tr>
      <w:tr w:rsidR="00CC6C9A" w14:paraId="2B938571"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400C2E9" w14:textId="77777777" w:rsidR="00CC6C9A" w:rsidRDefault="00CC6C9A">
            <w:pPr>
              <w:pStyle w:val="TableCell"/>
              <w:spacing w:before="0" w:after="0"/>
              <w:jc w:val="center"/>
              <w:rPr>
                <w:rFonts w:asciiTheme="majorHAnsi" w:hAnsiTheme="majorHAnsi" w:cstheme="majorHAnsi"/>
                <w:b w:val="0"/>
                <w:bCs/>
              </w:rPr>
            </w:pPr>
            <w:r>
              <w:rPr>
                <w:rFonts w:asciiTheme="majorHAnsi" w:hAnsiTheme="majorHAnsi" w:cstheme="majorHAnsi"/>
              </w:rPr>
              <w:t>2</w:t>
            </w:r>
          </w:p>
          <w:p w14:paraId="3C423F02" w14:textId="77777777" w:rsidR="00CC6C9A" w:rsidRDefault="00CC6C9A">
            <w:pPr>
              <w:pStyle w:val="TableCell"/>
              <w:spacing w:before="0" w:after="0"/>
              <w:jc w:val="center"/>
              <w:rPr>
                <w:rFonts w:asciiTheme="majorHAnsi" w:hAnsiTheme="majorHAnsi" w:cstheme="majorHAnsi"/>
              </w:rPr>
            </w:pPr>
            <w:r>
              <w:rPr>
                <w:rFonts w:asciiTheme="majorHAnsi" w:hAnsiTheme="majorHAnsi" w:cstheme="majorHAnsi"/>
              </w:rPr>
              <w:t>3</w:t>
            </w:r>
          </w:p>
        </w:tc>
        <w:tc>
          <w:tcPr>
            <w:tcW w:w="3088" w:type="pct"/>
            <w:hideMark/>
          </w:tcPr>
          <w:p w14:paraId="54780BD0"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6</w:t>
            </w:r>
          </w:p>
          <w:p w14:paraId="1C6A0D78"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&lt;1</w:t>
            </w:r>
          </w:p>
        </w:tc>
      </w:tr>
    </w:tbl>
    <w:p w14:paraId="55731984" w14:textId="4EA779A7" w:rsidR="00CC6C9A" w:rsidRPr="00A55997" w:rsidRDefault="00CC6C9A" w:rsidP="00CC6C9A">
      <w:pPr>
        <w:pStyle w:val="Caption"/>
        <w:keepNext/>
        <w:spacing w:before="120" w:after="120"/>
        <w:rPr>
          <w:rFonts w:asciiTheme="majorHAnsi" w:hAnsiTheme="majorHAnsi" w:cstheme="majorHAnsi"/>
          <w:i w:val="0"/>
          <w:color w:val="auto"/>
          <w:sz w:val="16"/>
          <w:szCs w:val="16"/>
          <w:lang w:eastAsia="en-AU"/>
        </w:rPr>
      </w:pPr>
      <w:r w:rsidRPr="00A55997">
        <w:rPr>
          <w:rFonts w:asciiTheme="majorHAnsi" w:hAnsiTheme="majorHAnsi" w:cstheme="majorHAnsi"/>
          <w:i w:val="0"/>
          <w:color w:val="auto"/>
          <w:sz w:val="16"/>
          <w:szCs w:val="16"/>
        </w:rPr>
        <w:t xml:space="preserve">Source: ARC administrative data. </w:t>
      </w:r>
      <w:r w:rsidRPr="00A55997">
        <w:rPr>
          <w:rFonts w:asciiTheme="majorHAnsi" w:hAnsiTheme="majorHAnsi" w:cstheme="majorHAnsi"/>
          <w:iCs w:val="0"/>
          <w:color w:val="auto"/>
          <w:sz w:val="16"/>
          <w:szCs w:val="16"/>
        </w:rPr>
        <w:t>Note: Table reflects RMS data as at February 2020.</w:t>
      </w:r>
    </w:p>
    <w:p w14:paraId="3BA6B226" w14:textId="77777777" w:rsidR="00CC6C9A" w:rsidRDefault="00CC6C9A" w:rsidP="00CC6C9A">
      <w:pPr>
        <w:spacing w:after="200"/>
        <w:rPr>
          <w:rFonts w:asciiTheme="majorHAnsi" w:hAnsiTheme="majorHAnsi" w:cstheme="majorHAnsi"/>
        </w:rPr>
      </w:pPr>
    </w:p>
    <w:p w14:paraId="4B8A8FC9" w14:textId="77777777" w:rsidR="00630EAA" w:rsidRDefault="00630EAA" w:rsidP="00CC6C9A">
      <w:pPr>
        <w:pStyle w:val="Caption"/>
        <w:keepNext/>
        <w:rPr>
          <w:rFonts w:asciiTheme="majorHAnsi" w:hAnsiTheme="majorHAnsi" w:cstheme="majorHAnsi"/>
          <w:b/>
          <w:i w:val="0"/>
          <w:color w:val="000000" w:themeColor="text1"/>
        </w:rPr>
      </w:pPr>
    </w:p>
    <w:p w14:paraId="050D2371" w14:textId="0614B090" w:rsidR="00CC6C9A" w:rsidRDefault="00CC6C9A" w:rsidP="00BB320F">
      <w:pPr>
        <w:pStyle w:val="TableTitle"/>
        <w:rPr>
          <w:i/>
        </w:rPr>
      </w:pPr>
      <w:r>
        <w:t xml:space="preserve">Table </w:t>
      </w:r>
      <w:r w:rsidR="00857467">
        <w:fldChar w:fldCharType="begin"/>
      </w:r>
      <w:r w:rsidR="00857467">
        <w:instrText xml:space="preserve"> SEQ Table \* ARABIC </w:instrText>
      </w:r>
      <w:r w:rsidR="00857467">
        <w:fldChar w:fldCharType="separate"/>
      </w:r>
      <w:r w:rsidR="00AB03D7">
        <w:rPr>
          <w:noProof/>
        </w:rPr>
        <w:t>12</w:t>
      </w:r>
      <w:r w:rsidR="00857467">
        <w:rPr>
          <w:noProof/>
        </w:rPr>
        <w:fldChar w:fldCharType="end"/>
      </w:r>
      <w:r>
        <w:t xml:space="preserve">: Survey </w:t>
      </w:r>
      <w:r w:rsidR="000F0EA2">
        <w:t>s</w:t>
      </w:r>
      <w:r>
        <w:t xml:space="preserve">ample </w:t>
      </w:r>
      <w:r w:rsidR="000F0EA2">
        <w:t>p</w:t>
      </w:r>
      <w:r>
        <w:t>rofile—</w:t>
      </w:r>
      <w:r w:rsidR="000F0EA2">
        <w:t>n</w:t>
      </w:r>
      <w:r>
        <w:t>umber of successful Discovery Projects applications</w:t>
      </w:r>
    </w:p>
    <w:tbl>
      <w:tblPr>
        <w:tblStyle w:val="Kantar"/>
        <w:tblW w:w="4708" w:type="pct"/>
        <w:jc w:val="center"/>
        <w:tblInd w:w="0" w:type="dxa"/>
        <w:tblBorders>
          <w:top w:val="none" w:sz="0" w:space="0" w:color="auto"/>
          <w:bottom w:val="none" w:sz="0" w:space="0" w:color="auto"/>
          <w:insideH w:val="none" w:sz="0" w:space="0" w:color="auto"/>
        </w:tblBorders>
        <w:tblLook w:val="04A0" w:firstRow="1" w:lastRow="0" w:firstColumn="1" w:lastColumn="0" w:noHBand="0" w:noVBand="1"/>
        <w:tblCaption w:val="Table 12: Survey Sample Profile—Number of successful Discovery Projects applications"/>
        <w:tblDescription w:val="Table 12 depicts the distribution of Discovery Projects evaluation survey respondents by number of successful Discovery Projects applications.&#10;"/>
      </w:tblPr>
      <w:tblGrid>
        <w:gridCol w:w="3250"/>
        <w:gridCol w:w="5249"/>
      </w:tblGrid>
      <w:tr w:rsidR="00CC6C9A" w14:paraId="12E70E8E" w14:textId="77777777" w:rsidTr="00CC6C9A">
        <w:trPr>
          <w:cnfStyle w:val="100000000000" w:firstRow="1" w:lastRow="0" w:firstColumn="0" w:lastColumn="0" w:oddVBand="0" w:evenVBand="0" w:oddHBand="0"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1912" w:type="pct"/>
            <w:shd w:val="clear" w:color="auto" w:fill="666666" w:themeFill="text1" w:themeFillTint="99"/>
            <w:vAlign w:val="center"/>
            <w:hideMark/>
          </w:tcPr>
          <w:p w14:paraId="64154C0A" w14:textId="77777777" w:rsidR="00CC6C9A" w:rsidRPr="00630EAA" w:rsidRDefault="00CC6C9A" w:rsidP="00692A53">
            <w:pPr>
              <w:jc w:val="center"/>
              <w:rPr>
                <w:rFonts w:asciiTheme="majorHAnsi" w:hAnsiTheme="majorHAnsi" w:cstheme="majorHAnsi"/>
              </w:rPr>
            </w:pPr>
            <w:r w:rsidRPr="00630EAA">
              <w:rPr>
                <w:rFonts w:asciiTheme="majorHAnsi" w:hAnsiTheme="majorHAnsi" w:cstheme="majorHAnsi"/>
              </w:rPr>
              <w:t>Number of successful applications</w:t>
            </w:r>
          </w:p>
        </w:tc>
        <w:tc>
          <w:tcPr>
            <w:tcW w:w="3088" w:type="pct"/>
            <w:shd w:val="clear" w:color="auto" w:fill="666666" w:themeFill="text1" w:themeFillTint="99"/>
            <w:vAlign w:val="center"/>
            <w:hideMark/>
          </w:tcPr>
          <w:p w14:paraId="2012F8FF" w14:textId="77777777" w:rsidR="00CC6C9A" w:rsidRPr="00630EAA" w:rsidRDefault="00CC6C9A" w:rsidP="00692A5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rPr>
            </w:pPr>
            <w:r w:rsidRPr="00630EAA">
              <w:rPr>
                <w:rFonts w:asciiTheme="majorHAnsi" w:hAnsiTheme="majorHAnsi" w:cstheme="majorHAnsi"/>
              </w:rPr>
              <w:t>Percent of sample (%)</w:t>
            </w:r>
          </w:p>
        </w:tc>
      </w:tr>
      <w:tr w:rsidR="00CC6C9A" w14:paraId="6BB9EFD3"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45260EBD"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w:t>
            </w:r>
          </w:p>
        </w:tc>
        <w:tc>
          <w:tcPr>
            <w:tcW w:w="3088" w:type="pct"/>
            <w:hideMark/>
          </w:tcPr>
          <w:p w14:paraId="6010487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44</w:t>
            </w:r>
          </w:p>
        </w:tc>
      </w:tr>
      <w:tr w:rsidR="00CC6C9A" w14:paraId="3AA24697"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7325AA0"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2</w:t>
            </w:r>
          </w:p>
        </w:tc>
        <w:tc>
          <w:tcPr>
            <w:tcW w:w="3088" w:type="pct"/>
            <w:hideMark/>
          </w:tcPr>
          <w:p w14:paraId="41CB9866"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20</w:t>
            </w:r>
          </w:p>
        </w:tc>
      </w:tr>
      <w:tr w:rsidR="00CC6C9A" w14:paraId="7B520345"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7E7AD7E8"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3</w:t>
            </w:r>
          </w:p>
        </w:tc>
        <w:tc>
          <w:tcPr>
            <w:tcW w:w="3088" w:type="pct"/>
            <w:hideMark/>
          </w:tcPr>
          <w:p w14:paraId="49B9E34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11</w:t>
            </w:r>
          </w:p>
        </w:tc>
      </w:tr>
      <w:tr w:rsidR="00CC6C9A" w14:paraId="4027EEE6"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14546967"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4</w:t>
            </w:r>
          </w:p>
        </w:tc>
        <w:tc>
          <w:tcPr>
            <w:tcW w:w="3088" w:type="pct"/>
            <w:hideMark/>
          </w:tcPr>
          <w:p w14:paraId="055C474C"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8</w:t>
            </w:r>
          </w:p>
        </w:tc>
      </w:tr>
      <w:tr w:rsidR="00CC6C9A" w14:paraId="53B168B4"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704C18C"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5</w:t>
            </w:r>
          </w:p>
        </w:tc>
        <w:tc>
          <w:tcPr>
            <w:tcW w:w="3088" w:type="pct"/>
            <w:hideMark/>
          </w:tcPr>
          <w:p w14:paraId="6C820973"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6</w:t>
            </w:r>
          </w:p>
        </w:tc>
      </w:tr>
      <w:tr w:rsidR="00CC6C9A" w14:paraId="79FAC0B2"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80A98D5"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6</w:t>
            </w:r>
          </w:p>
        </w:tc>
        <w:tc>
          <w:tcPr>
            <w:tcW w:w="3088" w:type="pct"/>
            <w:hideMark/>
          </w:tcPr>
          <w:p w14:paraId="2995FC3F"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w:t>
            </w:r>
          </w:p>
        </w:tc>
      </w:tr>
      <w:tr w:rsidR="00CC6C9A" w14:paraId="197EA19F"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23BF5544"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7</w:t>
            </w:r>
          </w:p>
        </w:tc>
        <w:tc>
          <w:tcPr>
            <w:tcW w:w="3088" w:type="pct"/>
            <w:hideMark/>
          </w:tcPr>
          <w:p w14:paraId="7E36DB0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3</w:t>
            </w:r>
          </w:p>
        </w:tc>
      </w:tr>
      <w:tr w:rsidR="00CC6C9A" w14:paraId="2D2346C8"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2A0B1C37"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8</w:t>
            </w:r>
          </w:p>
        </w:tc>
        <w:tc>
          <w:tcPr>
            <w:tcW w:w="3088" w:type="pct"/>
            <w:hideMark/>
          </w:tcPr>
          <w:p w14:paraId="07464074"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w:t>
            </w:r>
          </w:p>
        </w:tc>
      </w:tr>
      <w:tr w:rsidR="00CC6C9A" w14:paraId="3EF54F8A"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3D5F39AD"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9</w:t>
            </w:r>
          </w:p>
        </w:tc>
        <w:tc>
          <w:tcPr>
            <w:tcW w:w="3088" w:type="pct"/>
            <w:hideMark/>
          </w:tcPr>
          <w:p w14:paraId="09348595"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w:t>
            </w:r>
          </w:p>
        </w:tc>
      </w:tr>
      <w:tr w:rsidR="00CC6C9A" w14:paraId="7AE02617"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63F933A1"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10</w:t>
            </w:r>
          </w:p>
        </w:tc>
        <w:tc>
          <w:tcPr>
            <w:tcW w:w="3088" w:type="pct"/>
            <w:hideMark/>
          </w:tcPr>
          <w:p w14:paraId="6A3E80CD"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w:t>
            </w:r>
          </w:p>
        </w:tc>
      </w:tr>
      <w:tr w:rsidR="00CC6C9A" w14:paraId="09848C70" w14:textId="77777777" w:rsidTr="00CC6C9A">
        <w:trPr>
          <w:trHeight w:val="18"/>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04223699"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11</w:t>
            </w:r>
          </w:p>
        </w:tc>
        <w:tc>
          <w:tcPr>
            <w:tcW w:w="3088" w:type="pct"/>
            <w:hideMark/>
          </w:tcPr>
          <w:p w14:paraId="2F9530F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&lt;1</w:t>
            </w:r>
          </w:p>
        </w:tc>
      </w:tr>
      <w:tr w:rsidR="00CC6C9A" w14:paraId="78CDA992" w14:textId="77777777" w:rsidTr="00CC6C9A">
        <w:trPr>
          <w:trHeight w:val="57"/>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3D0C5F35"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12</w:t>
            </w:r>
          </w:p>
        </w:tc>
        <w:tc>
          <w:tcPr>
            <w:tcW w:w="3088" w:type="pct"/>
            <w:hideMark/>
          </w:tcPr>
          <w:p w14:paraId="1EAD48C6"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&lt;1</w:t>
            </w:r>
          </w:p>
        </w:tc>
      </w:tr>
    </w:tbl>
    <w:p w14:paraId="04EF377C" w14:textId="7D49A4D2" w:rsidR="00CC6C9A" w:rsidRPr="00A55997" w:rsidRDefault="00CC6C9A" w:rsidP="00CC6C9A">
      <w:pPr>
        <w:pStyle w:val="Caption"/>
        <w:keepNext/>
        <w:spacing w:before="120" w:after="120"/>
        <w:rPr>
          <w:rFonts w:asciiTheme="majorHAnsi" w:hAnsiTheme="majorHAnsi" w:cstheme="majorHAnsi"/>
          <w:i w:val="0"/>
          <w:color w:val="auto"/>
          <w:sz w:val="16"/>
          <w:szCs w:val="16"/>
          <w:lang w:eastAsia="en-AU"/>
        </w:rPr>
      </w:pPr>
      <w:r w:rsidRPr="00A55997">
        <w:rPr>
          <w:rFonts w:asciiTheme="majorHAnsi" w:hAnsiTheme="majorHAnsi" w:cstheme="majorHAnsi"/>
          <w:i w:val="0"/>
          <w:color w:val="auto"/>
          <w:sz w:val="16"/>
          <w:szCs w:val="16"/>
        </w:rPr>
        <w:t xml:space="preserve">Source: ARC administrative data. </w:t>
      </w:r>
      <w:r w:rsidRPr="00A55997">
        <w:rPr>
          <w:rFonts w:asciiTheme="majorHAnsi" w:hAnsiTheme="majorHAnsi" w:cstheme="majorHAnsi"/>
          <w:iCs w:val="0"/>
          <w:color w:val="auto"/>
          <w:sz w:val="16"/>
          <w:szCs w:val="16"/>
        </w:rPr>
        <w:t>Note: Table reflects RMS data as at February 2020.</w:t>
      </w:r>
    </w:p>
    <w:p w14:paraId="683043D2" w14:textId="77777777" w:rsidR="00CC6C9A" w:rsidRDefault="00CC6C9A" w:rsidP="00CC6C9A">
      <w:pPr>
        <w:pStyle w:val="Caption"/>
        <w:keepNext/>
        <w:spacing w:after="120"/>
        <w:rPr>
          <w:rFonts w:asciiTheme="majorHAnsi" w:hAnsiTheme="majorHAnsi" w:cstheme="majorHAnsi"/>
          <w:color w:val="auto"/>
          <w:sz w:val="20"/>
        </w:rPr>
      </w:pPr>
    </w:p>
    <w:p w14:paraId="1EA6BCD6" w14:textId="02A29189" w:rsidR="00CC6C9A" w:rsidRDefault="00CC6C9A" w:rsidP="00BB320F">
      <w:pPr>
        <w:pStyle w:val="TableTitle"/>
        <w:rPr>
          <w:i/>
        </w:rPr>
      </w:pPr>
      <w:r>
        <w:t xml:space="preserve">Table </w:t>
      </w:r>
      <w:r w:rsidR="00857467">
        <w:fldChar w:fldCharType="begin"/>
      </w:r>
      <w:r w:rsidR="00857467">
        <w:instrText xml:space="preserve"> SEQ Table \* ARABIC </w:instrText>
      </w:r>
      <w:r w:rsidR="00857467">
        <w:fldChar w:fldCharType="separate"/>
      </w:r>
      <w:r w:rsidR="00AB03D7">
        <w:rPr>
          <w:noProof/>
        </w:rPr>
        <w:t>13</w:t>
      </w:r>
      <w:r w:rsidR="00857467">
        <w:rPr>
          <w:noProof/>
        </w:rPr>
        <w:fldChar w:fldCharType="end"/>
      </w:r>
      <w:r>
        <w:t xml:space="preserve">: Survey </w:t>
      </w:r>
      <w:r w:rsidR="000F0EA2">
        <w:t>s</w:t>
      </w:r>
      <w:r>
        <w:t xml:space="preserve">ample </w:t>
      </w:r>
      <w:r w:rsidR="000F0EA2">
        <w:t>p</w:t>
      </w:r>
      <w:r>
        <w:t>rofile</w:t>
      </w:r>
      <w:r w:rsidR="00DF7893" w:rsidRPr="00417662">
        <w:rPr>
          <w:sz w:val="22"/>
          <w:szCs w:val="22"/>
        </w:rPr>
        <w:t>—</w:t>
      </w:r>
      <w:r w:rsidR="000F0EA2">
        <w:t>r</w:t>
      </w:r>
      <w:r>
        <w:t>esearch type</w:t>
      </w:r>
    </w:p>
    <w:tbl>
      <w:tblPr>
        <w:tblStyle w:val="Kantar"/>
        <w:tblW w:w="5001" w:type="pct"/>
        <w:jc w:val="center"/>
        <w:tblInd w:w="0" w:type="dxa"/>
        <w:tblBorders>
          <w:top w:val="none" w:sz="0" w:space="0" w:color="auto"/>
          <w:bottom w:val="none" w:sz="0" w:space="0" w:color="auto"/>
          <w:insideH w:val="none" w:sz="0" w:space="0" w:color="auto"/>
        </w:tblBorders>
        <w:tblLook w:val="04A0" w:firstRow="1" w:lastRow="0" w:firstColumn="1" w:lastColumn="0" w:noHBand="0" w:noVBand="1"/>
        <w:tblCaption w:val="Table 13: Survey Sample Profile—Research type"/>
        <w:tblDescription w:val="Table 13 shows the distribution of Discovery Projects evaluation survey respondents by research type.&#10;"/>
      </w:tblPr>
      <w:tblGrid>
        <w:gridCol w:w="3452"/>
        <w:gridCol w:w="5576"/>
      </w:tblGrid>
      <w:tr w:rsidR="00CC6C9A" w14:paraId="7929B692" w14:textId="77777777" w:rsidTr="00CC6C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pct"/>
            <w:shd w:val="clear" w:color="auto" w:fill="666666" w:themeFill="text1" w:themeFillTint="99"/>
            <w:vAlign w:val="center"/>
            <w:hideMark/>
          </w:tcPr>
          <w:p w14:paraId="7DA726A5" w14:textId="77777777" w:rsidR="00CC6C9A" w:rsidRPr="00630EAA" w:rsidRDefault="00CC6C9A" w:rsidP="00692A53">
            <w:pPr>
              <w:jc w:val="center"/>
              <w:rPr>
                <w:rFonts w:asciiTheme="majorHAnsi" w:hAnsiTheme="majorHAnsi" w:cstheme="majorHAnsi"/>
              </w:rPr>
            </w:pPr>
            <w:r w:rsidRPr="00630EAA">
              <w:rPr>
                <w:rFonts w:asciiTheme="majorHAnsi" w:hAnsiTheme="majorHAnsi" w:cstheme="majorHAnsi"/>
              </w:rPr>
              <w:t>Research type</w:t>
            </w:r>
          </w:p>
        </w:tc>
        <w:tc>
          <w:tcPr>
            <w:tcW w:w="3088" w:type="pct"/>
            <w:shd w:val="clear" w:color="auto" w:fill="666666" w:themeFill="text1" w:themeFillTint="99"/>
            <w:vAlign w:val="center"/>
            <w:hideMark/>
          </w:tcPr>
          <w:p w14:paraId="10827E08" w14:textId="77777777" w:rsidR="00CC6C9A" w:rsidRPr="00630EAA" w:rsidRDefault="00CC6C9A" w:rsidP="00692A5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30EAA">
              <w:rPr>
                <w:rFonts w:asciiTheme="majorHAnsi" w:hAnsiTheme="majorHAnsi" w:cstheme="majorHAnsi"/>
              </w:rPr>
              <w:t>Percent of sample (%)</w:t>
            </w:r>
          </w:p>
        </w:tc>
      </w:tr>
      <w:tr w:rsidR="00CC6C9A" w14:paraId="300084D5"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04DEBAF" w14:textId="77777777" w:rsidR="00CC6C9A" w:rsidRDefault="00CC6C9A">
            <w:pPr>
              <w:pStyle w:val="TableCell"/>
              <w:spacing w:before="0" w:after="0"/>
              <w:jc w:val="center"/>
              <w:rPr>
                <w:rFonts w:asciiTheme="majorHAnsi" w:hAnsiTheme="majorHAnsi" w:cstheme="majorHAnsi"/>
                <w:b w:val="0"/>
              </w:rPr>
            </w:pPr>
            <w:r>
              <w:rPr>
                <w:rFonts w:asciiTheme="majorHAnsi" w:hAnsiTheme="majorHAnsi" w:cstheme="majorHAnsi"/>
              </w:rPr>
              <w:t>Applied</w:t>
            </w:r>
          </w:p>
        </w:tc>
        <w:tc>
          <w:tcPr>
            <w:tcW w:w="3088" w:type="pct"/>
            <w:hideMark/>
          </w:tcPr>
          <w:p w14:paraId="5857811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15</w:t>
            </w:r>
          </w:p>
        </w:tc>
      </w:tr>
      <w:tr w:rsidR="00CC6C9A" w14:paraId="7426418F"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1EF4B6AC" w14:textId="77777777" w:rsidR="00CC6C9A" w:rsidRDefault="00CC6C9A">
            <w:pPr>
              <w:pStyle w:val="TableCell"/>
              <w:spacing w:before="0" w:after="0"/>
              <w:jc w:val="center"/>
              <w:rPr>
                <w:rFonts w:asciiTheme="majorHAnsi" w:hAnsiTheme="majorHAnsi" w:cstheme="majorHAnsi"/>
              </w:rPr>
            </w:pPr>
            <w:r>
              <w:rPr>
                <w:rFonts w:asciiTheme="majorHAnsi" w:hAnsiTheme="majorHAnsi" w:cstheme="majorHAnsi"/>
              </w:rPr>
              <w:t>Basic</w:t>
            </w:r>
          </w:p>
        </w:tc>
        <w:tc>
          <w:tcPr>
            <w:tcW w:w="3088" w:type="pct"/>
            <w:hideMark/>
          </w:tcPr>
          <w:p w14:paraId="2D10AF6A"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44</w:t>
            </w:r>
          </w:p>
        </w:tc>
      </w:tr>
      <w:tr w:rsidR="00CC6C9A" w14:paraId="79F899C7"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7AADF2CC" w14:textId="77777777" w:rsidR="00CC6C9A" w:rsidRDefault="00CC6C9A">
            <w:pPr>
              <w:pStyle w:val="TableCell"/>
              <w:spacing w:before="0" w:after="0"/>
              <w:jc w:val="center"/>
              <w:rPr>
                <w:rFonts w:asciiTheme="majorHAnsi" w:hAnsiTheme="majorHAnsi" w:cstheme="majorHAnsi"/>
                <w:b w:val="0"/>
                <w:bCs/>
              </w:rPr>
            </w:pPr>
            <w:r>
              <w:rPr>
                <w:rFonts w:asciiTheme="majorHAnsi" w:hAnsiTheme="majorHAnsi" w:cstheme="majorHAnsi"/>
                <w:bCs/>
              </w:rPr>
              <w:t>Combination</w:t>
            </w:r>
          </w:p>
          <w:p w14:paraId="7E487304" w14:textId="77777777" w:rsidR="00CC6C9A" w:rsidRDefault="00CC6C9A">
            <w:pPr>
              <w:pStyle w:val="TableCell"/>
              <w:spacing w:before="0" w:after="0"/>
              <w:jc w:val="center"/>
              <w:rPr>
                <w:rFonts w:asciiTheme="majorHAnsi" w:hAnsiTheme="majorHAnsi" w:cstheme="majorHAnsi"/>
              </w:rPr>
            </w:pPr>
            <w:r>
              <w:rPr>
                <w:rFonts w:asciiTheme="majorHAnsi" w:hAnsiTheme="majorHAnsi" w:cstheme="majorHAnsi"/>
              </w:rPr>
              <w:t>Don’t Know/NA</w:t>
            </w:r>
          </w:p>
        </w:tc>
        <w:tc>
          <w:tcPr>
            <w:tcW w:w="3088" w:type="pct"/>
            <w:hideMark/>
          </w:tcPr>
          <w:p w14:paraId="3C716AD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39</w:t>
            </w:r>
          </w:p>
          <w:p w14:paraId="661CCD30"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w:t>
            </w:r>
          </w:p>
        </w:tc>
      </w:tr>
    </w:tbl>
    <w:p w14:paraId="46300235" w14:textId="791E0990" w:rsidR="007533DB" w:rsidRPr="00380A07" w:rsidRDefault="00CC6C9A" w:rsidP="00380A07">
      <w:pPr>
        <w:pStyle w:val="Caption"/>
        <w:keepNext/>
        <w:spacing w:before="120"/>
        <w:rPr>
          <w:rFonts w:asciiTheme="majorHAnsi" w:hAnsiTheme="majorHAnsi" w:cstheme="majorHAnsi"/>
          <w:color w:val="auto"/>
          <w:sz w:val="16"/>
          <w:szCs w:val="16"/>
        </w:rPr>
      </w:pPr>
      <w:r w:rsidRPr="00A55997">
        <w:rPr>
          <w:rFonts w:asciiTheme="majorHAnsi" w:hAnsiTheme="majorHAnsi" w:cstheme="majorHAnsi"/>
          <w:i w:val="0"/>
          <w:color w:val="auto"/>
          <w:sz w:val="16"/>
          <w:szCs w:val="16"/>
        </w:rPr>
        <w:t xml:space="preserve">Source: Survey administered by Kantar, Public Division. </w:t>
      </w:r>
      <w:r w:rsidRPr="00A55997">
        <w:rPr>
          <w:rFonts w:asciiTheme="majorHAnsi" w:hAnsiTheme="majorHAnsi" w:cstheme="majorHAnsi"/>
          <w:color w:val="auto"/>
          <w:sz w:val="16"/>
          <w:szCs w:val="16"/>
        </w:rPr>
        <w:t>Note: Data relates to self-identified research-type for the respondent’s most recently completed project. Respondents who had been successful in receiving funding, but had not completed their project at the time of data collection</w:t>
      </w:r>
      <w:r w:rsidR="003F4B45" w:rsidRPr="00A55997">
        <w:rPr>
          <w:rFonts w:asciiTheme="majorHAnsi" w:hAnsiTheme="majorHAnsi" w:cstheme="majorHAnsi"/>
          <w:color w:val="auto"/>
          <w:sz w:val="16"/>
          <w:szCs w:val="16"/>
        </w:rPr>
        <w:t>,</w:t>
      </w:r>
      <w:r w:rsidRPr="00A55997">
        <w:rPr>
          <w:rFonts w:asciiTheme="majorHAnsi" w:hAnsiTheme="majorHAnsi" w:cstheme="majorHAnsi"/>
          <w:color w:val="auto"/>
          <w:sz w:val="16"/>
          <w:szCs w:val="16"/>
        </w:rPr>
        <w:t xml:space="preserve"> are not represented (n=2439). </w:t>
      </w:r>
    </w:p>
    <w:p w14:paraId="138C5E05" w14:textId="77777777" w:rsidR="00380A07" w:rsidRDefault="00380A07" w:rsidP="00380A07">
      <w:pPr>
        <w:pStyle w:val="Caption"/>
        <w:keepNext/>
        <w:spacing w:after="120"/>
        <w:rPr>
          <w:rFonts w:asciiTheme="majorHAnsi" w:hAnsiTheme="majorHAnsi" w:cstheme="majorHAnsi"/>
          <w:b/>
          <w:i w:val="0"/>
          <w:color w:val="000000" w:themeColor="text1"/>
        </w:rPr>
      </w:pPr>
    </w:p>
    <w:p w14:paraId="48868A51" w14:textId="6A8E2EA8" w:rsidR="00CC6C9A" w:rsidRDefault="00CC6C9A" w:rsidP="00BB320F">
      <w:pPr>
        <w:pStyle w:val="TableTitle"/>
        <w:rPr>
          <w:i/>
        </w:rPr>
      </w:pPr>
      <w:r>
        <w:t xml:space="preserve">Table </w:t>
      </w:r>
      <w:r w:rsidR="00857467">
        <w:fldChar w:fldCharType="begin"/>
      </w:r>
      <w:r w:rsidR="00857467">
        <w:instrText xml:space="preserve"> SEQ Table \* ARABIC </w:instrText>
      </w:r>
      <w:r w:rsidR="00857467">
        <w:fldChar w:fldCharType="separate"/>
      </w:r>
      <w:r w:rsidR="00AB03D7">
        <w:rPr>
          <w:noProof/>
        </w:rPr>
        <w:t>14</w:t>
      </w:r>
      <w:r w:rsidR="00857467">
        <w:rPr>
          <w:noProof/>
        </w:rPr>
        <w:fldChar w:fldCharType="end"/>
      </w:r>
      <w:r>
        <w:t xml:space="preserve">: Survey </w:t>
      </w:r>
      <w:r w:rsidR="000F0EA2">
        <w:t>s</w:t>
      </w:r>
      <w:r>
        <w:t xml:space="preserve">ample </w:t>
      </w:r>
      <w:r w:rsidR="000F0EA2">
        <w:t>p</w:t>
      </w:r>
      <w:r>
        <w:t>rofile—Administering Organisations</w:t>
      </w:r>
    </w:p>
    <w:tbl>
      <w:tblPr>
        <w:tblStyle w:val="Kantar"/>
        <w:tblW w:w="5094" w:type="pct"/>
        <w:jc w:val="center"/>
        <w:tblInd w:w="0" w:type="dxa"/>
        <w:tblBorders>
          <w:top w:val="none" w:sz="0" w:space="0" w:color="auto"/>
          <w:bottom w:val="none" w:sz="0" w:space="0" w:color="auto"/>
          <w:insideH w:val="none" w:sz="0" w:space="0" w:color="auto"/>
        </w:tblBorders>
        <w:tblLook w:val="04A0" w:firstRow="1" w:lastRow="0" w:firstColumn="1" w:lastColumn="0" w:noHBand="0" w:noVBand="1"/>
        <w:tblCaption w:val="Table 14: Survey Sample Profile—Administering Organisations"/>
        <w:tblDescription w:val="Table 14 shows the distribution of Discovery Projects evaluation survey respondents by administering organisation.&#10;"/>
      </w:tblPr>
      <w:tblGrid>
        <w:gridCol w:w="3454"/>
        <w:gridCol w:w="1225"/>
        <w:gridCol w:w="3322"/>
        <w:gridCol w:w="1195"/>
      </w:tblGrid>
      <w:tr w:rsidR="00CC6C9A" w:rsidRPr="00630EAA" w14:paraId="6BE479F5" w14:textId="77777777" w:rsidTr="007057E6">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878" w:type="pct"/>
            <w:shd w:val="clear" w:color="auto" w:fill="666666" w:themeFill="text1" w:themeFillTint="99"/>
            <w:vAlign w:val="center"/>
            <w:hideMark/>
          </w:tcPr>
          <w:p w14:paraId="6C75130D" w14:textId="77777777" w:rsidR="00CC6C9A" w:rsidRPr="00630EAA" w:rsidRDefault="00CC6C9A" w:rsidP="00630EAA">
            <w:pPr>
              <w:rPr>
                <w:rFonts w:asciiTheme="majorHAnsi" w:hAnsiTheme="majorHAnsi" w:cstheme="majorHAnsi"/>
              </w:rPr>
            </w:pPr>
            <w:r w:rsidRPr="00630EAA">
              <w:rPr>
                <w:rFonts w:asciiTheme="majorHAnsi" w:hAnsiTheme="majorHAnsi" w:cstheme="majorHAnsi"/>
              </w:rPr>
              <w:t>Administering Organisation</w:t>
            </w:r>
          </w:p>
        </w:tc>
        <w:tc>
          <w:tcPr>
            <w:tcW w:w="666" w:type="pct"/>
            <w:shd w:val="clear" w:color="auto" w:fill="666666" w:themeFill="text1" w:themeFillTint="99"/>
            <w:vAlign w:val="center"/>
            <w:hideMark/>
          </w:tcPr>
          <w:p w14:paraId="6268BA74" w14:textId="77777777" w:rsidR="00CC6C9A" w:rsidRPr="00630EAA" w:rsidRDefault="00CC6C9A" w:rsidP="00630EA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30EAA">
              <w:rPr>
                <w:rFonts w:asciiTheme="majorHAnsi" w:hAnsiTheme="majorHAnsi" w:cstheme="majorHAnsi"/>
              </w:rPr>
              <w:t>% of sample</w:t>
            </w:r>
          </w:p>
        </w:tc>
        <w:tc>
          <w:tcPr>
            <w:tcW w:w="1806" w:type="pct"/>
            <w:shd w:val="clear" w:color="auto" w:fill="666666" w:themeFill="text1" w:themeFillTint="99"/>
            <w:vAlign w:val="center"/>
            <w:hideMark/>
          </w:tcPr>
          <w:p w14:paraId="66C5E129" w14:textId="77777777" w:rsidR="00CC6C9A" w:rsidRPr="00630EAA" w:rsidRDefault="00CC6C9A" w:rsidP="00630EA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30EAA">
              <w:rPr>
                <w:rFonts w:asciiTheme="majorHAnsi" w:hAnsiTheme="majorHAnsi" w:cstheme="majorHAnsi"/>
              </w:rPr>
              <w:t>Administering Organisation</w:t>
            </w:r>
          </w:p>
        </w:tc>
        <w:tc>
          <w:tcPr>
            <w:tcW w:w="650" w:type="pct"/>
            <w:shd w:val="clear" w:color="auto" w:fill="666666" w:themeFill="text1" w:themeFillTint="99"/>
            <w:vAlign w:val="center"/>
            <w:hideMark/>
          </w:tcPr>
          <w:p w14:paraId="505BC6BF" w14:textId="77777777" w:rsidR="00CC6C9A" w:rsidRPr="00630EAA" w:rsidRDefault="00CC6C9A" w:rsidP="00630EA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30EAA">
              <w:rPr>
                <w:rFonts w:asciiTheme="majorHAnsi" w:hAnsiTheme="majorHAnsi" w:cstheme="majorHAnsi"/>
              </w:rPr>
              <w:t>% of sample</w:t>
            </w:r>
          </w:p>
        </w:tc>
      </w:tr>
      <w:tr w:rsidR="00CC6C9A" w14:paraId="12E77450"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37278D69"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The University of New South Wales</w:t>
            </w:r>
          </w:p>
        </w:tc>
        <w:tc>
          <w:tcPr>
            <w:tcW w:w="666" w:type="pct"/>
            <w:vAlign w:val="center"/>
            <w:hideMark/>
          </w:tcPr>
          <w:p w14:paraId="0368D415"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10</w:t>
            </w:r>
          </w:p>
        </w:tc>
        <w:tc>
          <w:tcPr>
            <w:tcW w:w="1806" w:type="pct"/>
            <w:vAlign w:val="center"/>
            <w:hideMark/>
          </w:tcPr>
          <w:p w14:paraId="679CE26C"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La Trobe University</w:t>
            </w:r>
          </w:p>
        </w:tc>
        <w:tc>
          <w:tcPr>
            <w:tcW w:w="650" w:type="pct"/>
            <w:vAlign w:val="center"/>
            <w:hideMark/>
          </w:tcPr>
          <w:p w14:paraId="08A73D4D"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2</w:t>
            </w:r>
          </w:p>
        </w:tc>
      </w:tr>
      <w:tr w:rsidR="00CC6C9A" w14:paraId="73E29B28"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5465E386"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The University of Melbourne</w:t>
            </w:r>
          </w:p>
        </w:tc>
        <w:tc>
          <w:tcPr>
            <w:tcW w:w="666" w:type="pct"/>
            <w:vAlign w:val="center"/>
            <w:hideMark/>
          </w:tcPr>
          <w:p w14:paraId="63D669F0"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10</w:t>
            </w:r>
          </w:p>
        </w:tc>
        <w:tc>
          <w:tcPr>
            <w:tcW w:w="1806" w:type="pct"/>
            <w:vAlign w:val="center"/>
            <w:hideMark/>
          </w:tcPr>
          <w:p w14:paraId="33AB095C"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Swinburne University of Technology</w:t>
            </w:r>
          </w:p>
        </w:tc>
        <w:tc>
          <w:tcPr>
            <w:tcW w:w="650" w:type="pct"/>
            <w:vAlign w:val="center"/>
            <w:hideMark/>
          </w:tcPr>
          <w:p w14:paraId="4392DAD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2</w:t>
            </w:r>
          </w:p>
        </w:tc>
      </w:tr>
      <w:tr w:rsidR="00CC6C9A" w14:paraId="27C76B8C"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5767560D"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The University of Queensland</w:t>
            </w:r>
          </w:p>
        </w:tc>
        <w:tc>
          <w:tcPr>
            <w:tcW w:w="666" w:type="pct"/>
            <w:vAlign w:val="center"/>
            <w:hideMark/>
          </w:tcPr>
          <w:p w14:paraId="325D08C4"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9</w:t>
            </w:r>
          </w:p>
        </w:tc>
        <w:tc>
          <w:tcPr>
            <w:tcW w:w="1806" w:type="pct"/>
            <w:vAlign w:val="center"/>
            <w:hideMark/>
          </w:tcPr>
          <w:p w14:paraId="36260B17"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James Cook University</w:t>
            </w:r>
          </w:p>
        </w:tc>
        <w:tc>
          <w:tcPr>
            <w:tcW w:w="650" w:type="pct"/>
            <w:vAlign w:val="center"/>
            <w:hideMark/>
          </w:tcPr>
          <w:p w14:paraId="6C843A8F"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r>
      <w:tr w:rsidR="00CC6C9A" w14:paraId="6ED25DD6"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2875AD68"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Monash University</w:t>
            </w:r>
          </w:p>
        </w:tc>
        <w:tc>
          <w:tcPr>
            <w:tcW w:w="666" w:type="pct"/>
            <w:vAlign w:val="center"/>
            <w:hideMark/>
          </w:tcPr>
          <w:p w14:paraId="458A3690"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8</w:t>
            </w:r>
          </w:p>
        </w:tc>
        <w:tc>
          <w:tcPr>
            <w:tcW w:w="1806" w:type="pct"/>
            <w:vAlign w:val="center"/>
            <w:hideMark/>
          </w:tcPr>
          <w:p w14:paraId="625C0C99"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University of South Australia</w:t>
            </w:r>
          </w:p>
        </w:tc>
        <w:tc>
          <w:tcPr>
            <w:tcW w:w="650" w:type="pct"/>
            <w:vAlign w:val="center"/>
            <w:hideMark/>
          </w:tcPr>
          <w:p w14:paraId="005C4511"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r>
      <w:tr w:rsidR="00CC6C9A" w14:paraId="61576A13"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1766D195"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The University of Sydney</w:t>
            </w:r>
          </w:p>
        </w:tc>
        <w:tc>
          <w:tcPr>
            <w:tcW w:w="666" w:type="pct"/>
            <w:vAlign w:val="center"/>
            <w:hideMark/>
          </w:tcPr>
          <w:p w14:paraId="5E830623"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8</w:t>
            </w:r>
          </w:p>
        </w:tc>
        <w:tc>
          <w:tcPr>
            <w:tcW w:w="1806" w:type="pct"/>
            <w:vAlign w:val="center"/>
            <w:hideMark/>
          </w:tcPr>
          <w:p w14:paraId="638F51B7"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The University of New England</w:t>
            </w:r>
          </w:p>
        </w:tc>
        <w:tc>
          <w:tcPr>
            <w:tcW w:w="650" w:type="pct"/>
            <w:vAlign w:val="center"/>
            <w:hideMark/>
          </w:tcPr>
          <w:p w14:paraId="0C3ED3F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r>
      <w:tr w:rsidR="00CC6C9A" w14:paraId="70966E98"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718D3A95"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The Australian National University</w:t>
            </w:r>
          </w:p>
        </w:tc>
        <w:tc>
          <w:tcPr>
            <w:tcW w:w="666" w:type="pct"/>
            <w:vAlign w:val="center"/>
            <w:hideMark/>
          </w:tcPr>
          <w:p w14:paraId="520D649B"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8</w:t>
            </w:r>
          </w:p>
        </w:tc>
        <w:tc>
          <w:tcPr>
            <w:tcW w:w="1806" w:type="pct"/>
            <w:vAlign w:val="center"/>
            <w:hideMark/>
          </w:tcPr>
          <w:p w14:paraId="66D97F86"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Australian Catholic University</w:t>
            </w:r>
          </w:p>
        </w:tc>
        <w:tc>
          <w:tcPr>
            <w:tcW w:w="650" w:type="pct"/>
            <w:vAlign w:val="center"/>
            <w:hideMark/>
          </w:tcPr>
          <w:p w14:paraId="40FE2321"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r>
      <w:tr w:rsidR="00CC6C9A" w14:paraId="05043289"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561DB39B"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The University of Adelaide</w:t>
            </w:r>
          </w:p>
        </w:tc>
        <w:tc>
          <w:tcPr>
            <w:tcW w:w="666" w:type="pct"/>
            <w:vAlign w:val="center"/>
            <w:hideMark/>
          </w:tcPr>
          <w:p w14:paraId="4C801AD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4</w:t>
            </w:r>
          </w:p>
        </w:tc>
        <w:tc>
          <w:tcPr>
            <w:tcW w:w="1806" w:type="pct"/>
            <w:vAlign w:val="center"/>
            <w:hideMark/>
          </w:tcPr>
          <w:p w14:paraId="6992D2FE"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University of Canberra</w:t>
            </w:r>
          </w:p>
        </w:tc>
        <w:tc>
          <w:tcPr>
            <w:tcW w:w="650" w:type="pct"/>
            <w:vAlign w:val="center"/>
            <w:hideMark/>
          </w:tcPr>
          <w:p w14:paraId="40B54426"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r>
      <w:tr w:rsidR="00CC6C9A" w14:paraId="4A465022"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0D136540"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The University of Western Australia</w:t>
            </w:r>
          </w:p>
        </w:tc>
        <w:tc>
          <w:tcPr>
            <w:tcW w:w="666" w:type="pct"/>
            <w:vAlign w:val="center"/>
            <w:hideMark/>
          </w:tcPr>
          <w:p w14:paraId="3C1FF38F"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val="0"/>
                <w:szCs w:val="20"/>
              </w:rPr>
            </w:pPr>
            <w:r>
              <w:rPr>
                <w:rFonts w:asciiTheme="majorHAnsi" w:hAnsiTheme="majorHAnsi" w:cstheme="majorHAnsi"/>
                <w:szCs w:val="20"/>
              </w:rPr>
              <w:t>4</w:t>
            </w:r>
          </w:p>
        </w:tc>
        <w:tc>
          <w:tcPr>
            <w:tcW w:w="1806" w:type="pct"/>
            <w:vAlign w:val="center"/>
            <w:hideMark/>
          </w:tcPr>
          <w:p w14:paraId="30CF8E57"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Murdoch University</w:t>
            </w:r>
          </w:p>
        </w:tc>
        <w:tc>
          <w:tcPr>
            <w:tcW w:w="650" w:type="pct"/>
            <w:vAlign w:val="center"/>
            <w:hideMark/>
          </w:tcPr>
          <w:p w14:paraId="25946DD5"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64A94370"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067CF455"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Macquarie University</w:t>
            </w:r>
          </w:p>
        </w:tc>
        <w:tc>
          <w:tcPr>
            <w:tcW w:w="666" w:type="pct"/>
            <w:vAlign w:val="center"/>
            <w:hideMark/>
          </w:tcPr>
          <w:p w14:paraId="02B61B67"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3</w:t>
            </w:r>
          </w:p>
        </w:tc>
        <w:tc>
          <w:tcPr>
            <w:tcW w:w="1806" w:type="pct"/>
            <w:vAlign w:val="center"/>
            <w:hideMark/>
          </w:tcPr>
          <w:p w14:paraId="1F45EC93"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Victoria University</w:t>
            </w:r>
          </w:p>
        </w:tc>
        <w:tc>
          <w:tcPr>
            <w:tcW w:w="650" w:type="pct"/>
            <w:vAlign w:val="center"/>
            <w:hideMark/>
          </w:tcPr>
          <w:p w14:paraId="5891990C"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211BF6EE"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4C8D16F9"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University of Wollongong</w:t>
            </w:r>
          </w:p>
        </w:tc>
        <w:tc>
          <w:tcPr>
            <w:tcW w:w="666" w:type="pct"/>
            <w:vAlign w:val="center"/>
            <w:hideMark/>
          </w:tcPr>
          <w:p w14:paraId="5BB72EE3"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val="0"/>
                <w:szCs w:val="20"/>
              </w:rPr>
            </w:pPr>
            <w:r>
              <w:rPr>
                <w:rFonts w:asciiTheme="majorHAnsi" w:hAnsiTheme="majorHAnsi" w:cstheme="majorHAnsi"/>
                <w:szCs w:val="20"/>
              </w:rPr>
              <w:t>3</w:t>
            </w:r>
          </w:p>
        </w:tc>
        <w:tc>
          <w:tcPr>
            <w:tcW w:w="1806" w:type="pct"/>
            <w:vAlign w:val="center"/>
            <w:hideMark/>
          </w:tcPr>
          <w:p w14:paraId="1D8EB1E7"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Charles Sturt University</w:t>
            </w:r>
          </w:p>
        </w:tc>
        <w:tc>
          <w:tcPr>
            <w:tcW w:w="650" w:type="pct"/>
            <w:vAlign w:val="center"/>
            <w:hideMark/>
          </w:tcPr>
          <w:p w14:paraId="064BB2E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3C963A6E"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48DCD137"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University of Technology Sydney</w:t>
            </w:r>
          </w:p>
        </w:tc>
        <w:tc>
          <w:tcPr>
            <w:tcW w:w="666" w:type="pct"/>
            <w:vAlign w:val="center"/>
            <w:hideMark/>
          </w:tcPr>
          <w:p w14:paraId="5A531321"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3</w:t>
            </w:r>
          </w:p>
        </w:tc>
        <w:tc>
          <w:tcPr>
            <w:tcW w:w="1806" w:type="pct"/>
            <w:vAlign w:val="center"/>
            <w:hideMark/>
          </w:tcPr>
          <w:p w14:paraId="4011C543"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Southern Cross University</w:t>
            </w:r>
          </w:p>
        </w:tc>
        <w:tc>
          <w:tcPr>
            <w:tcW w:w="650" w:type="pct"/>
            <w:vAlign w:val="center"/>
            <w:hideMark/>
          </w:tcPr>
          <w:p w14:paraId="04C960E1"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10A36FE2"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6A4C6B9E"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Griffith University</w:t>
            </w:r>
          </w:p>
        </w:tc>
        <w:tc>
          <w:tcPr>
            <w:tcW w:w="666" w:type="pct"/>
            <w:vAlign w:val="center"/>
            <w:hideMark/>
          </w:tcPr>
          <w:p w14:paraId="10C98E8D"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val="0"/>
                <w:szCs w:val="20"/>
              </w:rPr>
            </w:pPr>
            <w:r>
              <w:rPr>
                <w:rFonts w:asciiTheme="majorHAnsi" w:hAnsiTheme="majorHAnsi" w:cstheme="majorHAnsi"/>
                <w:szCs w:val="20"/>
              </w:rPr>
              <w:t>3</w:t>
            </w:r>
          </w:p>
        </w:tc>
        <w:tc>
          <w:tcPr>
            <w:tcW w:w="1806" w:type="pct"/>
            <w:vAlign w:val="center"/>
            <w:hideMark/>
          </w:tcPr>
          <w:p w14:paraId="1F6E7E42"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Charles Darwin University</w:t>
            </w:r>
          </w:p>
        </w:tc>
        <w:tc>
          <w:tcPr>
            <w:tcW w:w="650" w:type="pct"/>
            <w:vAlign w:val="center"/>
            <w:hideMark/>
          </w:tcPr>
          <w:p w14:paraId="6CEE64F1"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19AC06A1"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6907EE2A"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Queensland University of Technology</w:t>
            </w:r>
          </w:p>
        </w:tc>
        <w:tc>
          <w:tcPr>
            <w:tcW w:w="666" w:type="pct"/>
            <w:vAlign w:val="center"/>
            <w:hideMark/>
          </w:tcPr>
          <w:p w14:paraId="7048C2E2"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3</w:t>
            </w:r>
          </w:p>
        </w:tc>
        <w:tc>
          <w:tcPr>
            <w:tcW w:w="1806" w:type="pct"/>
            <w:vAlign w:val="center"/>
            <w:hideMark/>
          </w:tcPr>
          <w:p w14:paraId="32693B15"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Federation University Australia</w:t>
            </w:r>
          </w:p>
        </w:tc>
        <w:tc>
          <w:tcPr>
            <w:tcW w:w="650" w:type="pct"/>
            <w:vAlign w:val="center"/>
            <w:hideMark/>
          </w:tcPr>
          <w:p w14:paraId="0A0C6C86"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2194A1E2"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77871FEF"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Curtin University</w:t>
            </w:r>
          </w:p>
        </w:tc>
        <w:tc>
          <w:tcPr>
            <w:tcW w:w="666" w:type="pct"/>
            <w:vAlign w:val="center"/>
            <w:hideMark/>
          </w:tcPr>
          <w:p w14:paraId="15E0FEAD"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val="0"/>
                <w:szCs w:val="20"/>
              </w:rPr>
            </w:pPr>
            <w:r>
              <w:rPr>
                <w:rFonts w:asciiTheme="majorHAnsi" w:hAnsiTheme="majorHAnsi" w:cstheme="majorHAnsi"/>
                <w:szCs w:val="20"/>
              </w:rPr>
              <w:t>2</w:t>
            </w:r>
          </w:p>
        </w:tc>
        <w:tc>
          <w:tcPr>
            <w:tcW w:w="1806" w:type="pct"/>
            <w:vAlign w:val="center"/>
            <w:hideMark/>
          </w:tcPr>
          <w:p w14:paraId="7396E738"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Edith Cowan University</w:t>
            </w:r>
          </w:p>
        </w:tc>
        <w:tc>
          <w:tcPr>
            <w:tcW w:w="650" w:type="pct"/>
            <w:vAlign w:val="center"/>
            <w:hideMark/>
          </w:tcPr>
          <w:p w14:paraId="7F314E45"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770E2778"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5E131578"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The University of Newcastle</w:t>
            </w:r>
          </w:p>
        </w:tc>
        <w:tc>
          <w:tcPr>
            <w:tcW w:w="666" w:type="pct"/>
            <w:vAlign w:val="center"/>
            <w:hideMark/>
          </w:tcPr>
          <w:p w14:paraId="1D2B898B"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2</w:t>
            </w:r>
          </w:p>
        </w:tc>
        <w:tc>
          <w:tcPr>
            <w:tcW w:w="1806" w:type="pct"/>
            <w:vAlign w:val="center"/>
            <w:hideMark/>
          </w:tcPr>
          <w:p w14:paraId="2A485105"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University of Southern Queensland</w:t>
            </w:r>
          </w:p>
        </w:tc>
        <w:tc>
          <w:tcPr>
            <w:tcW w:w="650" w:type="pct"/>
            <w:vAlign w:val="center"/>
            <w:hideMark/>
          </w:tcPr>
          <w:p w14:paraId="3358F725"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494CD8FA"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750D2F69"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t>Deakin University</w:t>
            </w:r>
          </w:p>
        </w:tc>
        <w:tc>
          <w:tcPr>
            <w:tcW w:w="666" w:type="pct"/>
            <w:vAlign w:val="center"/>
            <w:hideMark/>
          </w:tcPr>
          <w:p w14:paraId="15E0C310"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val="0"/>
                <w:szCs w:val="20"/>
              </w:rPr>
            </w:pPr>
            <w:r>
              <w:rPr>
                <w:rFonts w:asciiTheme="majorHAnsi" w:hAnsiTheme="majorHAnsi" w:cstheme="majorHAnsi"/>
                <w:szCs w:val="20"/>
              </w:rPr>
              <w:t>2</w:t>
            </w:r>
          </w:p>
        </w:tc>
        <w:tc>
          <w:tcPr>
            <w:tcW w:w="1806" w:type="pct"/>
            <w:vAlign w:val="center"/>
            <w:hideMark/>
          </w:tcPr>
          <w:p w14:paraId="6AA7F049"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University of the Sunshine Coast</w:t>
            </w:r>
          </w:p>
        </w:tc>
        <w:tc>
          <w:tcPr>
            <w:tcW w:w="650" w:type="pct"/>
            <w:vAlign w:val="center"/>
            <w:hideMark/>
          </w:tcPr>
          <w:p w14:paraId="47BA188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6BDDB979"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242CBD0C" w14:textId="77777777" w:rsidR="00CC6C9A" w:rsidRDefault="00CC6C9A">
            <w:pPr>
              <w:pStyle w:val="TableCell"/>
              <w:spacing w:before="0" w:after="0"/>
              <w:rPr>
                <w:rFonts w:asciiTheme="majorHAnsi" w:eastAsia="Calibri" w:hAnsiTheme="majorHAnsi" w:cstheme="majorHAnsi"/>
                <w:b w:val="0"/>
                <w:bCs/>
                <w:szCs w:val="20"/>
              </w:rPr>
            </w:pPr>
            <w:r>
              <w:rPr>
                <w:rFonts w:asciiTheme="majorHAnsi" w:hAnsiTheme="majorHAnsi" w:cstheme="majorHAnsi"/>
                <w:szCs w:val="20"/>
              </w:rPr>
              <w:lastRenderedPageBreak/>
              <w:t>University of Tasmania</w:t>
            </w:r>
          </w:p>
        </w:tc>
        <w:tc>
          <w:tcPr>
            <w:tcW w:w="666" w:type="pct"/>
            <w:vAlign w:val="center"/>
            <w:hideMark/>
          </w:tcPr>
          <w:p w14:paraId="635D411C"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Cs w:val="20"/>
              </w:rPr>
            </w:pPr>
            <w:r>
              <w:rPr>
                <w:rFonts w:asciiTheme="majorHAnsi" w:hAnsiTheme="majorHAnsi" w:cstheme="majorHAnsi"/>
                <w:szCs w:val="20"/>
              </w:rPr>
              <w:t>2</w:t>
            </w:r>
          </w:p>
        </w:tc>
        <w:tc>
          <w:tcPr>
            <w:tcW w:w="1806" w:type="pct"/>
            <w:vAlign w:val="center"/>
            <w:hideMark/>
          </w:tcPr>
          <w:p w14:paraId="0B97C184"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Central Queensland University</w:t>
            </w:r>
          </w:p>
        </w:tc>
        <w:tc>
          <w:tcPr>
            <w:tcW w:w="650" w:type="pct"/>
            <w:vAlign w:val="center"/>
            <w:hideMark/>
          </w:tcPr>
          <w:p w14:paraId="57E79F7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&lt;1</w:t>
            </w:r>
          </w:p>
        </w:tc>
      </w:tr>
      <w:tr w:rsidR="00CC6C9A" w14:paraId="7B60E973"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342152F7" w14:textId="77777777" w:rsidR="00CC6C9A" w:rsidRDefault="00CC6C9A">
            <w:pPr>
              <w:pStyle w:val="TableCell"/>
              <w:spacing w:before="0" w:after="0"/>
              <w:rPr>
                <w:rFonts w:asciiTheme="majorHAnsi" w:eastAsia="Calibri" w:hAnsiTheme="majorHAnsi" w:cstheme="majorHAnsi"/>
                <w:b w:val="0"/>
                <w:bCs/>
              </w:rPr>
            </w:pPr>
            <w:r>
              <w:rPr>
                <w:rFonts w:asciiTheme="majorHAnsi" w:hAnsiTheme="majorHAnsi" w:cstheme="majorHAnsi"/>
              </w:rPr>
              <w:t>Royal Melbourne Institute of Technology (RMIT University)</w:t>
            </w:r>
          </w:p>
        </w:tc>
        <w:tc>
          <w:tcPr>
            <w:tcW w:w="666" w:type="pct"/>
            <w:vAlign w:val="center"/>
            <w:hideMark/>
          </w:tcPr>
          <w:p w14:paraId="7D7898E1"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hAnsiTheme="majorHAnsi" w:cstheme="majorHAnsi"/>
              </w:rPr>
              <w:t>2</w:t>
            </w:r>
          </w:p>
        </w:tc>
        <w:tc>
          <w:tcPr>
            <w:tcW w:w="1806" w:type="pct"/>
            <w:vAlign w:val="center"/>
            <w:hideMark/>
          </w:tcPr>
          <w:p w14:paraId="168DF710"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Theme="majorHAnsi" w:hAnsiTheme="majorHAnsi" w:cstheme="majorHAnsi"/>
                <w:b/>
              </w:rPr>
              <w:t>Not Applicable</w:t>
            </w:r>
          </w:p>
        </w:tc>
        <w:tc>
          <w:tcPr>
            <w:tcW w:w="650" w:type="pct"/>
            <w:vAlign w:val="center"/>
            <w:hideMark/>
          </w:tcPr>
          <w:p w14:paraId="5F4BD616"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w:t>
            </w:r>
          </w:p>
        </w:tc>
      </w:tr>
      <w:tr w:rsidR="00CC6C9A" w14:paraId="66673761" w14:textId="77777777" w:rsidTr="007057E6">
        <w:trPr>
          <w:trHeight w:val="20"/>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4FE8CA5A" w14:textId="77777777" w:rsidR="00CC6C9A" w:rsidRDefault="00CC6C9A">
            <w:pPr>
              <w:pStyle w:val="TableCell"/>
              <w:spacing w:before="0" w:after="0"/>
              <w:rPr>
                <w:rFonts w:asciiTheme="majorHAnsi" w:eastAsia="Calibri" w:hAnsiTheme="majorHAnsi" w:cstheme="majorHAnsi"/>
                <w:b w:val="0"/>
                <w:bCs/>
              </w:rPr>
            </w:pPr>
            <w:r>
              <w:rPr>
                <w:rFonts w:asciiTheme="majorHAnsi" w:hAnsiTheme="majorHAnsi" w:cstheme="majorHAnsi"/>
              </w:rPr>
              <w:t>Western Sydney University</w:t>
            </w:r>
          </w:p>
        </w:tc>
        <w:tc>
          <w:tcPr>
            <w:tcW w:w="666" w:type="pct"/>
            <w:vAlign w:val="center"/>
            <w:hideMark/>
          </w:tcPr>
          <w:p w14:paraId="30A7B5FD"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hAnsiTheme="majorHAnsi" w:cstheme="majorHAnsi"/>
              </w:rPr>
              <w:t>2</w:t>
            </w:r>
          </w:p>
        </w:tc>
        <w:tc>
          <w:tcPr>
            <w:tcW w:w="1806" w:type="pct"/>
            <w:vAlign w:val="center"/>
            <w:hideMark/>
          </w:tcPr>
          <w:p w14:paraId="2CFD75D7"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Theme="majorHAnsi" w:hAnsiTheme="majorHAnsi" w:cstheme="majorHAnsi"/>
                <w:b/>
              </w:rPr>
              <w:t>Don't know</w:t>
            </w:r>
          </w:p>
        </w:tc>
        <w:tc>
          <w:tcPr>
            <w:tcW w:w="650" w:type="pct"/>
            <w:vAlign w:val="center"/>
            <w:hideMark/>
          </w:tcPr>
          <w:p w14:paraId="129E852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w:t>
            </w:r>
          </w:p>
        </w:tc>
      </w:tr>
      <w:tr w:rsidR="00CC6C9A" w14:paraId="0D83E576" w14:textId="77777777" w:rsidTr="007057E6">
        <w:trPr>
          <w:trHeight w:val="68"/>
          <w:jc w:val="center"/>
        </w:trPr>
        <w:tc>
          <w:tcPr>
            <w:cnfStyle w:val="001000000000" w:firstRow="0" w:lastRow="0" w:firstColumn="1" w:lastColumn="0" w:oddVBand="0" w:evenVBand="0" w:oddHBand="0" w:evenHBand="0" w:firstRowFirstColumn="0" w:firstRowLastColumn="0" w:lastRowFirstColumn="0" w:lastRowLastColumn="0"/>
            <w:tcW w:w="1878" w:type="pct"/>
            <w:vAlign w:val="center"/>
            <w:hideMark/>
          </w:tcPr>
          <w:p w14:paraId="20C47B00" w14:textId="77777777" w:rsidR="00CC6C9A" w:rsidRDefault="00CC6C9A">
            <w:pPr>
              <w:pStyle w:val="TableCell"/>
              <w:spacing w:before="0" w:after="0"/>
              <w:rPr>
                <w:rFonts w:asciiTheme="majorHAnsi" w:eastAsia="Calibri" w:hAnsiTheme="majorHAnsi" w:cstheme="majorHAnsi"/>
                <w:b w:val="0"/>
                <w:bCs/>
              </w:rPr>
            </w:pPr>
            <w:r>
              <w:rPr>
                <w:rFonts w:asciiTheme="majorHAnsi" w:hAnsiTheme="majorHAnsi" w:cstheme="majorHAnsi"/>
              </w:rPr>
              <w:t>Flinders University</w:t>
            </w:r>
          </w:p>
        </w:tc>
        <w:tc>
          <w:tcPr>
            <w:tcW w:w="666" w:type="pct"/>
            <w:vAlign w:val="center"/>
            <w:hideMark/>
          </w:tcPr>
          <w:p w14:paraId="2CAF8505"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Pr>
                <w:rFonts w:asciiTheme="majorHAnsi" w:hAnsiTheme="majorHAnsi" w:cstheme="majorHAnsi"/>
              </w:rPr>
              <w:t>2</w:t>
            </w:r>
          </w:p>
        </w:tc>
        <w:tc>
          <w:tcPr>
            <w:tcW w:w="1806" w:type="pct"/>
            <w:vAlign w:val="center"/>
            <w:hideMark/>
          </w:tcPr>
          <w:p w14:paraId="648ED85F"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Pr>
                <w:rFonts w:asciiTheme="majorHAnsi" w:hAnsiTheme="majorHAnsi" w:cstheme="majorHAnsi"/>
                <w:b/>
              </w:rPr>
              <w:t>Other</w:t>
            </w:r>
          </w:p>
        </w:tc>
        <w:tc>
          <w:tcPr>
            <w:tcW w:w="650" w:type="pct"/>
            <w:vAlign w:val="center"/>
            <w:hideMark/>
          </w:tcPr>
          <w:p w14:paraId="570FA042"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&lt;1</w:t>
            </w:r>
          </w:p>
        </w:tc>
      </w:tr>
    </w:tbl>
    <w:p w14:paraId="18069F69" w14:textId="442F94E9" w:rsidR="00CC6C9A" w:rsidRDefault="00CC6C9A" w:rsidP="00CC6C9A">
      <w:pPr>
        <w:pStyle w:val="Caption"/>
        <w:keepNext/>
        <w:spacing w:before="120"/>
        <w:rPr>
          <w:rFonts w:asciiTheme="majorHAnsi" w:hAnsiTheme="majorHAnsi" w:cstheme="majorHAnsi"/>
          <w:color w:val="auto"/>
          <w:sz w:val="16"/>
          <w:szCs w:val="16"/>
        </w:rPr>
      </w:pPr>
      <w:r w:rsidRPr="00A55997">
        <w:rPr>
          <w:rFonts w:asciiTheme="majorHAnsi" w:hAnsiTheme="majorHAnsi" w:cstheme="majorHAnsi"/>
          <w:i w:val="0"/>
          <w:color w:val="auto"/>
          <w:sz w:val="16"/>
          <w:szCs w:val="16"/>
        </w:rPr>
        <w:t xml:space="preserve">Source: Survey administered by Kantar, Public Division. </w:t>
      </w:r>
      <w:r w:rsidRPr="00A55997">
        <w:rPr>
          <w:rFonts w:asciiTheme="majorHAnsi" w:hAnsiTheme="majorHAnsi" w:cstheme="majorHAnsi"/>
          <w:color w:val="auto"/>
          <w:sz w:val="16"/>
          <w:szCs w:val="16"/>
        </w:rPr>
        <w:t xml:space="preserve">Note: Data relates to the administering organisation for the respondent’s most recently completed project. Respondents who had been successful in receiving funding, but had not completed their project at the time of data collection, are not represented (n=2439). </w:t>
      </w:r>
    </w:p>
    <w:p w14:paraId="70708AE1" w14:textId="77777777" w:rsidR="00380A07" w:rsidRPr="00380A07" w:rsidRDefault="00380A07" w:rsidP="00496961">
      <w:pPr>
        <w:spacing w:after="120" w:line="240" w:lineRule="auto"/>
      </w:pPr>
    </w:p>
    <w:p w14:paraId="511E33D2" w14:textId="68290762" w:rsidR="00CC6C9A" w:rsidRDefault="00CC6C9A" w:rsidP="00BB320F">
      <w:pPr>
        <w:pStyle w:val="TableTitle"/>
        <w:rPr>
          <w:i/>
        </w:rPr>
      </w:pPr>
      <w:r>
        <w:t xml:space="preserve">Table </w:t>
      </w:r>
      <w:r w:rsidR="00857467">
        <w:fldChar w:fldCharType="begin"/>
      </w:r>
      <w:r w:rsidR="00857467">
        <w:instrText xml:space="preserve"> SEQ Table \* ARABIC </w:instrText>
      </w:r>
      <w:r w:rsidR="00857467">
        <w:fldChar w:fldCharType="separate"/>
      </w:r>
      <w:r w:rsidR="00AB03D7">
        <w:rPr>
          <w:noProof/>
        </w:rPr>
        <w:t>15</w:t>
      </w:r>
      <w:r w:rsidR="00857467">
        <w:rPr>
          <w:noProof/>
        </w:rPr>
        <w:fldChar w:fldCharType="end"/>
      </w:r>
      <w:r>
        <w:t xml:space="preserve">: Survey </w:t>
      </w:r>
      <w:r w:rsidR="000F0EA2">
        <w:t>s</w:t>
      </w:r>
      <w:r>
        <w:t xml:space="preserve">ample </w:t>
      </w:r>
      <w:r w:rsidR="000F0EA2">
        <w:t>p</w:t>
      </w:r>
      <w:r>
        <w:t>rofile—</w:t>
      </w:r>
      <w:r w:rsidR="000F0EA2">
        <w:t>d</w:t>
      </w:r>
      <w:r>
        <w:t>isciplines of research</w:t>
      </w:r>
    </w:p>
    <w:tbl>
      <w:tblPr>
        <w:tblStyle w:val="Kantar"/>
        <w:tblW w:w="5001" w:type="pct"/>
        <w:jc w:val="center"/>
        <w:tblInd w:w="0" w:type="dxa"/>
        <w:tblBorders>
          <w:top w:val="none" w:sz="0" w:space="0" w:color="auto"/>
          <w:bottom w:val="none" w:sz="0" w:space="0" w:color="auto"/>
          <w:insideH w:val="none" w:sz="0" w:space="0" w:color="auto"/>
        </w:tblBorders>
        <w:tblLook w:val="04A0" w:firstRow="1" w:lastRow="0" w:firstColumn="1" w:lastColumn="0" w:noHBand="0" w:noVBand="1"/>
        <w:tblCaption w:val="Table 15: Survey Sample Profile—Disciplines of research"/>
        <w:tblDescription w:val="Table 15 shows the distribution of Discovery Projects evaluation survey respondents by 2-digit Field of Research.&#10;"/>
      </w:tblPr>
      <w:tblGrid>
        <w:gridCol w:w="3452"/>
        <w:gridCol w:w="1195"/>
        <w:gridCol w:w="3187"/>
        <w:gridCol w:w="1194"/>
      </w:tblGrid>
      <w:tr w:rsidR="00CC6C9A" w14:paraId="70F3C4B4" w14:textId="77777777" w:rsidTr="00CC6C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pct"/>
            <w:shd w:val="clear" w:color="auto" w:fill="666666" w:themeFill="text1" w:themeFillTint="99"/>
            <w:vAlign w:val="center"/>
            <w:hideMark/>
          </w:tcPr>
          <w:p w14:paraId="0EB6CD5E" w14:textId="77777777" w:rsidR="00CC6C9A" w:rsidRPr="00630EAA" w:rsidRDefault="00CC6C9A" w:rsidP="00630EAA">
            <w:pPr>
              <w:rPr>
                <w:rFonts w:asciiTheme="majorHAnsi" w:hAnsiTheme="majorHAnsi" w:cstheme="majorHAnsi"/>
              </w:rPr>
            </w:pPr>
            <w:r w:rsidRPr="00630EAA">
              <w:rPr>
                <w:rFonts w:asciiTheme="majorHAnsi" w:hAnsiTheme="majorHAnsi" w:cstheme="majorHAnsi"/>
              </w:rPr>
              <w:t>Discipline</w:t>
            </w:r>
          </w:p>
        </w:tc>
        <w:tc>
          <w:tcPr>
            <w:tcW w:w="662" w:type="pct"/>
            <w:shd w:val="clear" w:color="auto" w:fill="666666" w:themeFill="text1" w:themeFillTint="99"/>
            <w:vAlign w:val="center"/>
            <w:hideMark/>
          </w:tcPr>
          <w:p w14:paraId="15F14CF8" w14:textId="77777777" w:rsidR="00CC6C9A" w:rsidRPr="00630EAA" w:rsidRDefault="00CC6C9A" w:rsidP="00630EA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30EAA">
              <w:rPr>
                <w:rFonts w:asciiTheme="majorHAnsi" w:hAnsiTheme="majorHAnsi" w:cstheme="majorHAnsi"/>
              </w:rPr>
              <w:t>Percent of sample (%)</w:t>
            </w:r>
          </w:p>
        </w:tc>
        <w:tc>
          <w:tcPr>
            <w:tcW w:w="1765" w:type="pct"/>
            <w:shd w:val="clear" w:color="auto" w:fill="666666" w:themeFill="text1" w:themeFillTint="99"/>
            <w:vAlign w:val="center"/>
            <w:hideMark/>
          </w:tcPr>
          <w:p w14:paraId="652273F3" w14:textId="77777777" w:rsidR="00CC6C9A" w:rsidRPr="00630EAA" w:rsidRDefault="00CC6C9A" w:rsidP="00630EA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30EAA">
              <w:rPr>
                <w:rFonts w:asciiTheme="majorHAnsi" w:hAnsiTheme="majorHAnsi" w:cstheme="majorHAnsi"/>
              </w:rPr>
              <w:t>Discipline</w:t>
            </w:r>
          </w:p>
        </w:tc>
        <w:tc>
          <w:tcPr>
            <w:tcW w:w="661" w:type="pct"/>
            <w:shd w:val="clear" w:color="auto" w:fill="666666" w:themeFill="text1" w:themeFillTint="99"/>
            <w:vAlign w:val="center"/>
            <w:hideMark/>
          </w:tcPr>
          <w:p w14:paraId="75C71168" w14:textId="77777777" w:rsidR="00CC6C9A" w:rsidRPr="00630EAA" w:rsidRDefault="00CC6C9A" w:rsidP="00630EA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30EAA">
              <w:rPr>
                <w:rFonts w:asciiTheme="majorHAnsi" w:hAnsiTheme="majorHAnsi" w:cstheme="majorHAnsi"/>
              </w:rPr>
              <w:t>Percent of sample (%)</w:t>
            </w:r>
          </w:p>
        </w:tc>
      </w:tr>
      <w:tr w:rsidR="00CC6C9A" w14:paraId="073E8A18"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2CE2C65"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Biological Sciences</w:t>
            </w:r>
          </w:p>
        </w:tc>
        <w:tc>
          <w:tcPr>
            <w:tcW w:w="662" w:type="pct"/>
            <w:hideMark/>
          </w:tcPr>
          <w:p w14:paraId="4A89F40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13</w:t>
            </w:r>
          </w:p>
        </w:tc>
        <w:tc>
          <w:tcPr>
            <w:tcW w:w="1765" w:type="pct"/>
            <w:hideMark/>
          </w:tcPr>
          <w:p w14:paraId="2963D2D7"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Studies in Human Society</w:t>
            </w:r>
          </w:p>
        </w:tc>
        <w:tc>
          <w:tcPr>
            <w:tcW w:w="661" w:type="pct"/>
            <w:hideMark/>
          </w:tcPr>
          <w:p w14:paraId="759C4636"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7</w:t>
            </w:r>
          </w:p>
        </w:tc>
      </w:tr>
      <w:tr w:rsidR="00CC6C9A" w14:paraId="6204F616"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05447398"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Engineering</w:t>
            </w:r>
          </w:p>
        </w:tc>
        <w:tc>
          <w:tcPr>
            <w:tcW w:w="662" w:type="pct"/>
            <w:hideMark/>
          </w:tcPr>
          <w:p w14:paraId="2E133C87"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12</w:t>
            </w:r>
          </w:p>
        </w:tc>
        <w:tc>
          <w:tcPr>
            <w:tcW w:w="1765" w:type="pct"/>
            <w:hideMark/>
          </w:tcPr>
          <w:p w14:paraId="3305C443"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History and Archaeology</w:t>
            </w:r>
          </w:p>
        </w:tc>
        <w:tc>
          <w:tcPr>
            <w:tcW w:w="661" w:type="pct"/>
            <w:hideMark/>
          </w:tcPr>
          <w:p w14:paraId="7F47012C"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6</w:t>
            </w:r>
          </w:p>
        </w:tc>
      </w:tr>
      <w:tr w:rsidR="00CC6C9A" w14:paraId="5E9DE057"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736182A1"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Physical Sciences</w:t>
            </w:r>
          </w:p>
        </w:tc>
        <w:tc>
          <w:tcPr>
            <w:tcW w:w="662" w:type="pct"/>
            <w:hideMark/>
          </w:tcPr>
          <w:p w14:paraId="7EDD561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8</w:t>
            </w:r>
          </w:p>
        </w:tc>
        <w:tc>
          <w:tcPr>
            <w:tcW w:w="1765" w:type="pct"/>
            <w:hideMark/>
          </w:tcPr>
          <w:p w14:paraId="0C3DB204"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Language, Communication and Culture</w:t>
            </w:r>
          </w:p>
        </w:tc>
        <w:tc>
          <w:tcPr>
            <w:tcW w:w="661" w:type="pct"/>
            <w:hideMark/>
          </w:tcPr>
          <w:p w14:paraId="35E2F355"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5</w:t>
            </w:r>
          </w:p>
        </w:tc>
      </w:tr>
      <w:tr w:rsidR="00CC6C9A" w14:paraId="35607E13"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69B448FD"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Information and Computing Sciences</w:t>
            </w:r>
          </w:p>
        </w:tc>
        <w:tc>
          <w:tcPr>
            <w:tcW w:w="662" w:type="pct"/>
            <w:hideMark/>
          </w:tcPr>
          <w:p w14:paraId="4460F484"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5</w:t>
            </w:r>
          </w:p>
        </w:tc>
        <w:tc>
          <w:tcPr>
            <w:tcW w:w="1765" w:type="pct"/>
            <w:hideMark/>
          </w:tcPr>
          <w:p w14:paraId="5691474A"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Education</w:t>
            </w:r>
          </w:p>
        </w:tc>
        <w:tc>
          <w:tcPr>
            <w:tcW w:w="661" w:type="pct"/>
            <w:hideMark/>
          </w:tcPr>
          <w:p w14:paraId="1E68CBD5"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4</w:t>
            </w:r>
          </w:p>
        </w:tc>
      </w:tr>
      <w:tr w:rsidR="00CC6C9A" w14:paraId="0E23CE44"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1D1749F"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Chemical Sciences</w:t>
            </w:r>
          </w:p>
        </w:tc>
        <w:tc>
          <w:tcPr>
            <w:tcW w:w="662" w:type="pct"/>
            <w:hideMark/>
          </w:tcPr>
          <w:p w14:paraId="6B73C9C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5</w:t>
            </w:r>
          </w:p>
        </w:tc>
        <w:tc>
          <w:tcPr>
            <w:tcW w:w="1765" w:type="pct"/>
            <w:hideMark/>
          </w:tcPr>
          <w:p w14:paraId="5411E011"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Economics</w:t>
            </w:r>
          </w:p>
        </w:tc>
        <w:tc>
          <w:tcPr>
            <w:tcW w:w="661" w:type="pct"/>
            <w:hideMark/>
          </w:tcPr>
          <w:p w14:paraId="4CCDCC4F"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3</w:t>
            </w:r>
          </w:p>
        </w:tc>
      </w:tr>
      <w:tr w:rsidR="00CC6C9A" w14:paraId="4FB1ABC3"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0EACB8D5"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Earth Sciences</w:t>
            </w:r>
          </w:p>
        </w:tc>
        <w:tc>
          <w:tcPr>
            <w:tcW w:w="662" w:type="pct"/>
            <w:hideMark/>
          </w:tcPr>
          <w:p w14:paraId="133B8AB7"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5</w:t>
            </w:r>
          </w:p>
        </w:tc>
        <w:tc>
          <w:tcPr>
            <w:tcW w:w="1765" w:type="pct"/>
            <w:hideMark/>
          </w:tcPr>
          <w:p w14:paraId="6E453EF5"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Commerce, Management, Tourism and Services</w:t>
            </w:r>
          </w:p>
        </w:tc>
        <w:tc>
          <w:tcPr>
            <w:tcW w:w="661" w:type="pct"/>
            <w:hideMark/>
          </w:tcPr>
          <w:p w14:paraId="718D2AD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2</w:t>
            </w:r>
          </w:p>
        </w:tc>
      </w:tr>
      <w:tr w:rsidR="00CC6C9A" w14:paraId="36005DB1"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6E172517"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Psychology and Cognitive Sciences</w:t>
            </w:r>
          </w:p>
        </w:tc>
        <w:tc>
          <w:tcPr>
            <w:tcW w:w="662" w:type="pct"/>
            <w:hideMark/>
          </w:tcPr>
          <w:p w14:paraId="08F6C79D"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4</w:t>
            </w:r>
          </w:p>
        </w:tc>
        <w:tc>
          <w:tcPr>
            <w:tcW w:w="1765" w:type="pct"/>
            <w:hideMark/>
          </w:tcPr>
          <w:p w14:paraId="7E548702"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Law and Legal Studies</w:t>
            </w:r>
          </w:p>
        </w:tc>
        <w:tc>
          <w:tcPr>
            <w:tcW w:w="661" w:type="pct"/>
            <w:hideMark/>
          </w:tcPr>
          <w:p w14:paraId="0BCC41A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2</w:t>
            </w:r>
          </w:p>
        </w:tc>
      </w:tr>
      <w:tr w:rsidR="00CC6C9A" w14:paraId="7698966D"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471732F5"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Mathematical Sciences</w:t>
            </w:r>
          </w:p>
        </w:tc>
        <w:tc>
          <w:tcPr>
            <w:tcW w:w="662" w:type="pct"/>
            <w:hideMark/>
          </w:tcPr>
          <w:p w14:paraId="600AAACF"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4</w:t>
            </w:r>
          </w:p>
        </w:tc>
        <w:tc>
          <w:tcPr>
            <w:tcW w:w="1765" w:type="pct"/>
            <w:hideMark/>
          </w:tcPr>
          <w:p w14:paraId="14479DD2"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Philosophy and Religious Studies</w:t>
            </w:r>
          </w:p>
        </w:tc>
        <w:tc>
          <w:tcPr>
            <w:tcW w:w="661" w:type="pct"/>
            <w:hideMark/>
          </w:tcPr>
          <w:p w14:paraId="1A7E33D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2</w:t>
            </w:r>
          </w:p>
        </w:tc>
      </w:tr>
      <w:tr w:rsidR="00CC6C9A" w14:paraId="252CBDBD"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56CFB813"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Environmental Sciences</w:t>
            </w:r>
          </w:p>
        </w:tc>
        <w:tc>
          <w:tcPr>
            <w:tcW w:w="662" w:type="pct"/>
            <w:hideMark/>
          </w:tcPr>
          <w:p w14:paraId="79D5A111"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3</w:t>
            </w:r>
          </w:p>
        </w:tc>
        <w:tc>
          <w:tcPr>
            <w:tcW w:w="1765" w:type="pct"/>
            <w:hideMark/>
          </w:tcPr>
          <w:p w14:paraId="13910629"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Built Environment and Design</w:t>
            </w:r>
          </w:p>
        </w:tc>
        <w:tc>
          <w:tcPr>
            <w:tcW w:w="661" w:type="pct"/>
            <w:hideMark/>
          </w:tcPr>
          <w:p w14:paraId="3DA60579"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r>
      <w:tr w:rsidR="00CC6C9A" w14:paraId="5498D5AB"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4077B9C7"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Medical and Health Sciences</w:t>
            </w:r>
          </w:p>
        </w:tc>
        <w:tc>
          <w:tcPr>
            <w:tcW w:w="662" w:type="pct"/>
            <w:hideMark/>
          </w:tcPr>
          <w:p w14:paraId="4C1ED106"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3</w:t>
            </w:r>
          </w:p>
        </w:tc>
        <w:tc>
          <w:tcPr>
            <w:tcW w:w="1765" w:type="pct"/>
            <w:hideMark/>
          </w:tcPr>
          <w:p w14:paraId="5545A2D4"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Studies in Creative Arts and Writing</w:t>
            </w:r>
          </w:p>
        </w:tc>
        <w:tc>
          <w:tcPr>
            <w:tcW w:w="661" w:type="pct"/>
            <w:hideMark/>
          </w:tcPr>
          <w:p w14:paraId="6B847C13"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r>
      <w:tr w:rsidR="00CC6C9A" w14:paraId="4ED8E3A4"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0649E933"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Technology</w:t>
            </w:r>
          </w:p>
        </w:tc>
        <w:tc>
          <w:tcPr>
            <w:tcW w:w="662" w:type="pct"/>
            <w:hideMark/>
          </w:tcPr>
          <w:p w14:paraId="5C840877"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c>
          <w:tcPr>
            <w:tcW w:w="1765" w:type="pct"/>
            <w:hideMark/>
          </w:tcPr>
          <w:p w14:paraId="5045AD3F"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Other (please specify)</w:t>
            </w:r>
          </w:p>
        </w:tc>
        <w:tc>
          <w:tcPr>
            <w:tcW w:w="661" w:type="pct"/>
            <w:hideMark/>
          </w:tcPr>
          <w:p w14:paraId="1C1438EF"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2</w:t>
            </w:r>
          </w:p>
        </w:tc>
      </w:tr>
      <w:tr w:rsidR="00CC6C9A" w14:paraId="0CAD5AE3"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hideMark/>
          </w:tcPr>
          <w:p w14:paraId="71A1FAF8" w14:textId="77777777" w:rsidR="00CC6C9A" w:rsidRDefault="00CC6C9A">
            <w:pPr>
              <w:pStyle w:val="TableCell"/>
              <w:spacing w:before="0" w:after="0"/>
              <w:rPr>
                <w:rFonts w:asciiTheme="majorHAnsi" w:hAnsiTheme="majorHAnsi" w:cstheme="majorHAnsi"/>
                <w:b w:val="0"/>
                <w:szCs w:val="20"/>
              </w:rPr>
            </w:pPr>
            <w:r>
              <w:rPr>
                <w:rFonts w:asciiTheme="majorHAnsi" w:hAnsiTheme="majorHAnsi" w:cstheme="majorHAnsi"/>
                <w:szCs w:val="20"/>
              </w:rPr>
              <w:t>Agricultural and Veterinary Sciences</w:t>
            </w:r>
          </w:p>
        </w:tc>
        <w:tc>
          <w:tcPr>
            <w:tcW w:w="662" w:type="pct"/>
            <w:hideMark/>
          </w:tcPr>
          <w:p w14:paraId="6E25E79D"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c>
          <w:tcPr>
            <w:tcW w:w="1765" w:type="pct"/>
            <w:hideMark/>
          </w:tcPr>
          <w:p w14:paraId="3F33650D"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Don't know</w:t>
            </w:r>
          </w:p>
        </w:tc>
        <w:tc>
          <w:tcPr>
            <w:tcW w:w="661" w:type="pct"/>
            <w:hideMark/>
          </w:tcPr>
          <w:p w14:paraId="31B876AB"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r>
      <w:tr w:rsidR="00CC6C9A" w14:paraId="2D3A1CF8"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tcBorders>
              <w:top w:val="nil"/>
              <w:left w:val="nil"/>
              <w:bottom w:val="single" w:sz="4" w:space="0" w:color="auto"/>
              <w:right w:val="nil"/>
            </w:tcBorders>
          </w:tcPr>
          <w:p w14:paraId="718464FE" w14:textId="77777777" w:rsidR="00CC6C9A" w:rsidRDefault="00CC6C9A">
            <w:pPr>
              <w:pStyle w:val="TableCell"/>
              <w:spacing w:before="0" w:after="0"/>
              <w:rPr>
                <w:rFonts w:asciiTheme="majorHAnsi" w:hAnsiTheme="majorHAnsi" w:cstheme="majorHAnsi"/>
                <w:b w:val="0"/>
                <w:color w:val="333399"/>
                <w:szCs w:val="20"/>
              </w:rPr>
            </w:pPr>
          </w:p>
        </w:tc>
        <w:tc>
          <w:tcPr>
            <w:tcW w:w="662" w:type="pct"/>
            <w:tcBorders>
              <w:top w:val="nil"/>
              <w:left w:val="nil"/>
              <w:bottom w:val="single" w:sz="4" w:space="0" w:color="auto"/>
              <w:right w:val="nil"/>
            </w:tcBorders>
            <w:vAlign w:val="center"/>
          </w:tcPr>
          <w:p w14:paraId="7F235CC1"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1765" w:type="pct"/>
            <w:tcBorders>
              <w:top w:val="nil"/>
              <w:left w:val="nil"/>
              <w:bottom w:val="single" w:sz="4" w:space="0" w:color="auto"/>
              <w:right w:val="nil"/>
            </w:tcBorders>
            <w:hideMark/>
          </w:tcPr>
          <w:p w14:paraId="0AAA5B51"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Not Applicable</w:t>
            </w:r>
          </w:p>
        </w:tc>
        <w:tc>
          <w:tcPr>
            <w:tcW w:w="661" w:type="pct"/>
            <w:tcBorders>
              <w:top w:val="nil"/>
              <w:left w:val="nil"/>
              <w:bottom w:val="single" w:sz="4" w:space="0" w:color="auto"/>
              <w:right w:val="nil"/>
            </w:tcBorders>
            <w:hideMark/>
          </w:tcPr>
          <w:p w14:paraId="447DE800"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w:t>
            </w:r>
          </w:p>
        </w:tc>
      </w:tr>
      <w:tr w:rsidR="00CC6C9A" w14:paraId="22323022" w14:textId="77777777" w:rsidTr="00CC6C9A">
        <w:trPr>
          <w:trHeight w:val="20"/>
          <w:jc w:val="center"/>
        </w:trPr>
        <w:tc>
          <w:tcPr>
            <w:cnfStyle w:val="001000000000" w:firstRow="0" w:lastRow="0" w:firstColumn="1" w:lastColumn="0" w:oddVBand="0" w:evenVBand="0" w:oddHBand="0" w:evenHBand="0" w:firstRowFirstColumn="0" w:firstRowLastColumn="0" w:lastRowFirstColumn="0" w:lastRowLastColumn="0"/>
            <w:tcW w:w="1912" w:type="pct"/>
            <w:tcBorders>
              <w:top w:val="single" w:sz="4" w:space="0" w:color="auto"/>
              <w:left w:val="nil"/>
              <w:bottom w:val="nil"/>
              <w:right w:val="nil"/>
            </w:tcBorders>
            <w:hideMark/>
          </w:tcPr>
          <w:p w14:paraId="29762F2F" w14:textId="77777777" w:rsidR="00CC6C9A" w:rsidRDefault="00CC6C9A">
            <w:pPr>
              <w:pStyle w:val="TableCell"/>
              <w:spacing w:before="0" w:after="0"/>
              <w:rPr>
                <w:rFonts w:asciiTheme="majorHAnsi" w:hAnsiTheme="majorHAnsi" w:cstheme="majorHAnsi"/>
                <w:color w:val="333399"/>
                <w:szCs w:val="20"/>
              </w:rPr>
            </w:pPr>
            <w:r>
              <w:rPr>
                <w:rFonts w:asciiTheme="majorHAnsi" w:hAnsiTheme="majorHAnsi" w:cstheme="majorHAnsi"/>
                <w:szCs w:val="20"/>
              </w:rPr>
              <w:t>Science, Technology, Engineering and Mathematics (STEM)</w:t>
            </w:r>
          </w:p>
        </w:tc>
        <w:tc>
          <w:tcPr>
            <w:tcW w:w="662" w:type="pct"/>
            <w:tcBorders>
              <w:top w:val="single" w:sz="4" w:space="0" w:color="auto"/>
              <w:left w:val="nil"/>
              <w:bottom w:val="nil"/>
              <w:right w:val="nil"/>
            </w:tcBorders>
            <w:vAlign w:val="center"/>
            <w:hideMark/>
          </w:tcPr>
          <w:p w14:paraId="35FCF6CA"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62</w:t>
            </w:r>
          </w:p>
        </w:tc>
        <w:tc>
          <w:tcPr>
            <w:tcW w:w="1765" w:type="pct"/>
            <w:tcBorders>
              <w:top w:val="single" w:sz="4" w:space="0" w:color="auto"/>
              <w:left w:val="nil"/>
              <w:bottom w:val="nil"/>
              <w:right w:val="nil"/>
            </w:tcBorders>
            <w:hideMark/>
          </w:tcPr>
          <w:p w14:paraId="44947F9F" w14:textId="77777777" w:rsidR="00CC6C9A" w:rsidRDefault="00CC6C9A">
            <w:pPr>
              <w:pStyle w:val="TableCell"/>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Humanities, Arts and Social Sciences (HASS)</w:t>
            </w:r>
          </w:p>
        </w:tc>
        <w:tc>
          <w:tcPr>
            <w:tcW w:w="661" w:type="pct"/>
            <w:tcBorders>
              <w:top w:val="single" w:sz="4" w:space="0" w:color="auto"/>
              <w:left w:val="nil"/>
              <w:bottom w:val="nil"/>
              <w:right w:val="nil"/>
            </w:tcBorders>
            <w:vAlign w:val="center"/>
            <w:hideMark/>
          </w:tcPr>
          <w:p w14:paraId="0FF0C13E" w14:textId="77777777" w:rsidR="00CC6C9A" w:rsidRDefault="00CC6C9A">
            <w:pPr>
              <w:pStyle w:val="TableCell"/>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34</w:t>
            </w:r>
          </w:p>
        </w:tc>
      </w:tr>
    </w:tbl>
    <w:p w14:paraId="7A6D3C33" w14:textId="103160A9" w:rsidR="00CC6C9A" w:rsidRDefault="00CC6C9A" w:rsidP="00CC6C9A">
      <w:pPr>
        <w:pStyle w:val="Caption"/>
        <w:keepNext/>
        <w:spacing w:before="120"/>
        <w:rPr>
          <w:rFonts w:asciiTheme="majorHAnsi" w:hAnsiTheme="majorHAnsi" w:cstheme="majorHAnsi"/>
          <w:color w:val="auto"/>
          <w:sz w:val="16"/>
          <w:szCs w:val="16"/>
          <w:lang w:eastAsia="en-AU"/>
        </w:rPr>
      </w:pPr>
      <w:r>
        <w:rPr>
          <w:rFonts w:asciiTheme="majorHAnsi" w:hAnsiTheme="majorHAnsi" w:cstheme="majorHAnsi"/>
          <w:i w:val="0"/>
          <w:color w:val="auto"/>
          <w:sz w:val="16"/>
          <w:szCs w:val="16"/>
        </w:rPr>
        <w:t xml:space="preserve">Source: Survey administered by Kantar, Public Division. </w:t>
      </w:r>
      <w:r>
        <w:rPr>
          <w:rFonts w:asciiTheme="majorHAnsi" w:hAnsiTheme="majorHAnsi" w:cstheme="majorHAnsi"/>
          <w:color w:val="auto"/>
          <w:sz w:val="16"/>
          <w:szCs w:val="16"/>
        </w:rPr>
        <w:t xml:space="preserve">Note: Data relates to </w:t>
      </w:r>
      <w:r w:rsidR="00492AFE">
        <w:rPr>
          <w:rFonts w:asciiTheme="majorHAnsi" w:hAnsiTheme="majorHAnsi" w:cstheme="majorHAnsi"/>
          <w:color w:val="auto"/>
          <w:sz w:val="16"/>
          <w:szCs w:val="16"/>
        </w:rPr>
        <w:t>discipline</w:t>
      </w:r>
      <w:r>
        <w:rPr>
          <w:rFonts w:asciiTheme="majorHAnsi" w:hAnsiTheme="majorHAnsi" w:cstheme="majorHAnsi"/>
          <w:color w:val="auto"/>
          <w:sz w:val="16"/>
          <w:szCs w:val="16"/>
        </w:rPr>
        <w:t xml:space="preserve"> for the respondent’s most recently completed project. Respondents who had been successful in receiving funding, but had not completed their project at the time of data collection, are not represented (n=2455).</w:t>
      </w:r>
    </w:p>
    <w:p w14:paraId="4BAB650A" w14:textId="77777777" w:rsidR="00CC6C9A" w:rsidRDefault="00CC6C9A" w:rsidP="00CC6C9A">
      <w:pPr>
        <w:rPr>
          <w:rFonts w:asciiTheme="majorHAnsi" w:hAnsiTheme="majorHAnsi" w:cstheme="majorHAnsi"/>
        </w:rPr>
      </w:pPr>
    </w:p>
    <w:p w14:paraId="4D13694A" w14:textId="66093C9F" w:rsidR="00C165F1" w:rsidRDefault="00C165F1" w:rsidP="00CF1ECF">
      <w:pPr>
        <w:shd w:val="clear" w:color="auto" w:fill="FFFFFF" w:themeFill="background1"/>
        <w:spacing w:afterLines="160" w:after="384"/>
        <w:contextualSpacing/>
        <w:rPr>
          <w:rFonts w:asciiTheme="majorHAnsi" w:hAnsiTheme="majorHAnsi" w:cstheme="majorHAnsi"/>
        </w:rPr>
      </w:pPr>
    </w:p>
    <w:p w14:paraId="0B6791A8" w14:textId="1F4B911B" w:rsidR="00E14FED" w:rsidRDefault="00E14FED" w:rsidP="00CF1ECF">
      <w:pPr>
        <w:shd w:val="clear" w:color="auto" w:fill="FFFFFF" w:themeFill="background1"/>
        <w:spacing w:afterLines="160" w:after="384"/>
        <w:contextualSpacing/>
        <w:rPr>
          <w:rFonts w:asciiTheme="majorHAnsi" w:hAnsiTheme="majorHAnsi" w:cstheme="majorHAnsi"/>
        </w:rPr>
      </w:pPr>
    </w:p>
    <w:p w14:paraId="310A7FB1" w14:textId="7AD17CB1" w:rsidR="00E14FED" w:rsidRDefault="00E14FED" w:rsidP="00CF1ECF">
      <w:pPr>
        <w:shd w:val="clear" w:color="auto" w:fill="FFFFFF" w:themeFill="background1"/>
        <w:spacing w:afterLines="160" w:after="384"/>
        <w:contextualSpacing/>
        <w:rPr>
          <w:rFonts w:asciiTheme="majorHAnsi" w:hAnsiTheme="majorHAnsi" w:cstheme="majorHAnsi"/>
        </w:rPr>
      </w:pPr>
    </w:p>
    <w:p w14:paraId="51A998DF" w14:textId="725A858A" w:rsidR="00E14FED" w:rsidRDefault="00E14FED" w:rsidP="00CF1ECF">
      <w:pPr>
        <w:shd w:val="clear" w:color="auto" w:fill="FFFFFF" w:themeFill="background1"/>
        <w:spacing w:afterLines="160" w:after="384"/>
        <w:contextualSpacing/>
        <w:rPr>
          <w:rFonts w:asciiTheme="majorHAnsi" w:hAnsiTheme="majorHAnsi" w:cstheme="majorHAnsi"/>
        </w:rPr>
      </w:pPr>
    </w:p>
    <w:p w14:paraId="15C1F9DE" w14:textId="4D9B8181" w:rsidR="00E14FED" w:rsidRDefault="00E14FED" w:rsidP="00CF1ECF">
      <w:pPr>
        <w:shd w:val="clear" w:color="auto" w:fill="FFFFFF" w:themeFill="background1"/>
        <w:spacing w:afterLines="160" w:after="384"/>
        <w:contextualSpacing/>
        <w:rPr>
          <w:rFonts w:asciiTheme="majorHAnsi" w:hAnsiTheme="majorHAnsi" w:cstheme="majorHAnsi"/>
        </w:rPr>
      </w:pPr>
    </w:p>
    <w:p w14:paraId="61C4131E" w14:textId="3A1E5D43" w:rsidR="00E14FED" w:rsidRDefault="00E14FED" w:rsidP="00CF1ECF">
      <w:pPr>
        <w:shd w:val="clear" w:color="auto" w:fill="FFFFFF" w:themeFill="background1"/>
        <w:spacing w:afterLines="160" w:after="384"/>
        <w:contextualSpacing/>
        <w:rPr>
          <w:rFonts w:asciiTheme="majorHAnsi" w:hAnsiTheme="majorHAnsi" w:cstheme="majorHAnsi"/>
        </w:rPr>
      </w:pPr>
    </w:p>
    <w:p w14:paraId="39EC9461" w14:textId="44051A31" w:rsidR="00E14FED" w:rsidRDefault="00E14FED" w:rsidP="00CF1ECF">
      <w:pPr>
        <w:shd w:val="clear" w:color="auto" w:fill="FFFFFF" w:themeFill="background1"/>
        <w:spacing w:afterLines="160" w:after="384"/>
        <w:contextualSpacing/>
        <w:rPr>
          <w:rFonts w:asciiTheme="majorHAnsi" w:hAnsiTheme="majorHAnsi" w:cstheme="majorHAnsi"/>
        </w:rPr>
      </w:pPr>
    </w:p>
    <w:p w14:paraId="12CA922F" w14:textId="0056DA63" w:rsidR="00E14FED" w:rsidRDefault="00E14FED" w:rsidP="00CF1ECF">
      <w:pPr>
        <w:shd w:val="clear" w:color="auto" w:fill="FFFFFF" w:themeFill="background1"/>
        <w:spacing w:afterLines="160" w:after="384"/>
        <w:contextualSpacing/>
        <w:rPr>
          <w:rFonts w:asciiTheme="majorHAnsi" w:hAnsiTheme="majorHAnsi" w:cstheme="majorHAnsi"/>
        </w:rPr>
      </w:pPr>
    </w:p>
    <w:p w14:paraId="1F04BC1E" w14:textId="13B18E90" w:rsidR="00E14FED" w:rsidRDefault="00E14FED" w:rsidP="00CF1ECF">
      <w:pPr>
        <w:shd w:val="clear" w:color="auto" w:fill="FFFFFF" w:themeFill="background1"/>
        <w:spacing w:afterLines="160" w:after="384"/>
        <w:contextualSpacing/>
        <w:rPr>
          <w:rFonts w:asciiTheme="majorHAnsi" w:hAnsiTheme="majorHAnsi" w:cstheme="majorHAnsi"/>
        </w:rPr>
      </w:pPr>
    </w:p>
    <w:p w14:paraId="1DB6ED00" w14:textId="0DAEE5CE" w:rsidR="00E14FED" w:rsidRDefault="00E14FED" w:rsidP="00CF1ECF">
      <w:pPr>
        <w:shd w:val="clear" w:color="auto" w:fill="FFFFFF" w:themeFill="background1"/>
        <w:spacing w:afterLines="160" w:after="384"/>
        <w:contextualSpacing/>
        <w:rPr>
          <w:rFonts w:asciiTheme="majorHAnsi" w:hAnsiTheme="majorHAnsi" w:cstheme="majorHAnsi"/>
        </w:rPr>
      </w:pPr>
    </w:p>
    <w:p w14:paraId="09B2CA49" w14:textId="2B06F9B5" w:rsidR="00E14FED" w:rsidRDefault="00E14FED" w:rsidP="00CF1ECF">
      <w:pPr>
        <w:shd w:val="clear" w:color="auto" w:fill="FFFFFF" w:themeFill="background1"/>
        <w:spacing w:afterLines="160" w:after="384"/>
        <w:contextualSpacing/>
        <w:rPr>
          <w:rFonts w:asciiTheme="majorHAnsi" w:hAnsiTheme="majorHAnsi" w:cstheme="majorHAnsi"/>
        </w:rPr>
      </w:pPr>
    </w:p>
    <w:p w14:paraId="45A66E85" w14:textId="1CEAAF06" w:rsidR="00E14FED" w:rsidRDefault="00E14FED" w:rsidP="00CF1ECF">
      <w:pPr>
        <w:shd w:val="clear" w:color="auto" w:fill="FFFFFF" w:themeFill="background1"/>
        <w:spacing w:afterLines="160" w:after="384"/>
        <w:contextualSpacing/>
        <w:rPr>
          <w:rFonts w:asciiTheme="majorHAnsi" w:hAnsiTheme="majorHAnsi" w:cstheme="majorHAnsi"/>
        </w:rPr>
      </w:pPr>
    </w:p>
    <w:p w14:paraId="72493053" w14:textId="7CCFD45D" w:rsidR="00E14FED" w:rsidRDefault="00E14FED" w:rsidP="00CF1ECF">
      <w:pPr>
        <w:shd w:val="clear" w:color="auto" w:fill="FFFFFF" w:themeFill="background1"/>
        <w:spacing w:afterLines="160" w:after="384"/>
        <w:contextualSpacing/>
        <w:rPr>
          <w:rFonts w:asciiTheme="majorHAnsi" w:hAnsiTheme="majorHAnsi" w:cstheme="majorHAnsi"/>
        </w:rPr>
      </w:pPr>
    </w:p>
    <w:p w14:paraId="4C12E97F" w14:textId="0C9494C4" w:rsidR="00E14FED" w:rsidRDefault="00E14FED" w:rsidP="00CF1ECF">
      <w:pPr>
        <w:shd w:val="clear" w:color="auto" w:fill="FFFFFF" w:themeFill="background1"/>
        <w:spacing w:afterLines="160" w:after="384"/>
        <w:contextualSpacing/>
        <w:rPr>
          <w:rFonts w:asciiTheme="majorHAnsi" w:hAnsiTheme="majorHAnsi" w:cstheme="majorHAnsi"/>
        </w:rPr>
      </w:pPr>
    </w:p>
    <w:p w14:paraId="6C204DD4" w14:textId="77777777" w:rsidR="00E14FED" w:rsidRDefault="00E14FED" w:rsidP="00380A07">
      <w:pPr>
        <w:pStyle w:val="Heading1"/>
        <w:numPr>
          <w:ilvl w:val="0"/>
          <w:numId w:val="0"/>
        </w:numPr>
        <w:sectPr w:rsidR="00E14FED" w:rsidSect="008C7994">
          <w:headerReference w:type="default" r:id="rId57"/>
          <w:footerReference w:type="default" r:id="rId58"/>
          <w:pgSz w:w="11906" w:h="16838"/>
          <w:pgMar w:top="993" w:right="1440" w:bottom="1440" w:left="1440" w:header="708" w:footer="708" w:gutter="0"/>
          <w:cols w:space="708"/>
          <w:docGrid w:linePitch="360"/>
        </w:sectPr>
      </w:pPr>
    </w:p>
    <w:p w14:paraId="7EE79547" w14:textId="6973A42F" w:rsidR="007B5398" w:rsidRPr="00163E75" w:rsidRDefault="007B5398" w:rsidP="008930B7">
      <w:pPr>
        <w:pStyle w:val="Heading1"/>
        <w:numPr>
          <w:ilvl w:val="0"/>
          <w:numId w:val="0"/>
        </w:numPr>
        <w:spacing w:after="240"/>
        <w:ind w:left="284" w:hanging="851"/>
      </w:pPr>
      <w:bookmarkStart w:id="955" w:name="_Appendix_D:_Success"/>
      <w:bookmarkStart w:id="956" w:name="_Toc51918767"/>
      <w:bookmarkStart w:id="957" w:name="_Toc55544862"/>
      <w:bookmarkEnd w:id="955"/>
      <w:r w:rsidRPr="00163E75">
        <w:lastRenderedPageBreak/>
        <w:t xml:space="preserve">Appendix </w:t>
      </w:r>
      <w:r w:rsidR="00E975F4">
        <w:t>D</w:t>
      </w:r>
      <w:r w:rsidRPr="00163E75">
        <w:t>: Success rates by Fields of Research</w:t>
      </w:r>
      <w:bookmarkEnd w:id="956"/>
      <w:bookmarkEnd w:id="957"/>
    </w:p>
    <w:p w14:paraId="1556D2B6" w14:textId="54CFE314" w:rsidR="007B5398" w:rsidRPr="00163E75" w:rsidRDefault="007B5398" w:rsidP="00BB320F">
      <w:pPr>
        <w:pStyle w:val="TableTitle"/>
        <w:ind w:left="-426"/>
        <w:rPr>
          <w:i/>
        </w:rPr>
      </w:pPr>
      <w:r w:rsidRPr="00163E75">
        <w:t xml:space="preserve">Table </w:t>
      </w:r>
      <w:r w:rsidR="00857467">
        <w:fldChar w:fldCharType="begin"/>
      </w:r>
      <w:r w:rsidR="00857467">
        <w:instrText xml:space="preserve"> SEQ Table \* ARABIC </w:instrText>
      </w:r>
      <w:r w:rsidR="00857467">
        <w:fldChar w:fldCharType="separate"/>
      </w:r>
      <w:r w:rsidR="00AB03D7">
        <w:rPr>
          <w:noProof/>
        </w:rPr>
        <w:t>16</w:t>
      </w:r>
      <w:r w:rsidR="00857467">
        <w:rPr>
          <w:noProof/>
        </w:rPr>
        <w:fldChar w:fldCharType="end"/>
      </w:r>
      <w:r w:rsidRPr="00163E75">
        <w:t>: Success rates by primary 2-digit F</w:t>
      </w:r>
      <w:r w:rsidR="00A77423">
        <w:t>ield of Research</w:t>
      </w:r>
      <w:r w:rsidRPr="00163E75">
        <w:t xml:space="preserve"> code, DP02–DP20</w:t>
      </w:r>
    </w:p>
    <w:tbl>
      <w:tblPr>
        <w:tblW w:w="15213" w:type="dxa"/>
        <w:jc w:val="center"/>
        <w:tblLayout w:type="fixed"/>
        <w:tblLook w:val="04A0" w:firstRow="1" w:lastRow="0" w:firstColumn="1" w:lastColumn="0" w:noHBand="0" w:noVBand="1"/>
        <w:tblCaption w:val="Table 16: Success rates by primary 2-digit FoR code, DP02–DP20"/>
        <w:tblDescription w:val="Table 16 depicts Discovery Projects success rates by primary 2-digit FoR code from DP02 to DP20.&#10;"/>
      </w:tblPr>
      <w:tblGrid>
        <w:gridCol w:w="3402"/>
        <w:gridCol w:w="621"/>
        <w:gridCol w:w="622"/>
        <w:gridCol w:w="621"/>
        <w:gridCol w:w="622"/>
        <w:gridCol w:w="622"/>
        <w:gridCol w:w="621"/>
        <w:gridCol w:w="622"/>
        <w:gridCol w:w="622"/>
        <w:gridCol w:w="621"/>
        <w:gridCol w:w="622"/>
        <w:gridCol w:w="621"/>
        <w:gridCol w:w="622"/>
        <w:gridCol w:w="622"/>
        <w:gridCol w:w="621"/>
        <w:gridCol w:w="622"/>
        <w:gridCol w:w="622"/>
        <w:gridCol w:w="621"/>
        <w:gridCol w:w="622"/>
        <w:gridCol w:w="622"/>
      </w:tblGrid>
      <w:tr w:rsidR="00A241B4" w:rsidRPr="00163E75" w14:paraId="2CD79CB1" w14:textId="77777777" w:rsidTr="006718C4">
        <w:trPr>
          <w:trHeight w:val="284"/>
          <w:jc w:val="center"/>
        </w:trPr>
        <w:tc>
          <w:tcPr>
            <w:tcW w:w="3402" w:type="dxa"/>
            <w:tcBorders>
              <w:top w:val="nil"/>
              <w:left w:val="nil"/>
              <w:bottom w:val="single" w:sz="4" w:space="0" w:color="9BC2E6"/>
              <w:right w:val="nil"/>
            </w:tcBorders>
            <w:shd w:val="clear" w:color="DDEBF7" w:fill="DDEBF7"/>
            <w:noWrap/>
            <w:vAlign w:val="center"/>
            <w:hideMark/>
          </w:tcPr>
          <w:p w14:paraId="3EDE44CB" w14:textId="77777777" w:rsidR="007B5398" w:rsidRPr="00163E75" w:rsidRDefault="007B5398" w:rsidP="009E5674">
            <w:pPr>
              <w:spacing w:after="0" w:line="240" w:lineRule="auto"/>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Row Labels</w:t>
            </w:r>
          </w:p>
        </w:tc>
        <w:tc>
          <w:tcPr>
            <w:tcW w:w="621" w:type="dxa"/>
            <w:tcBorders>
              <w:top w:val="nil"/>
              <w:left w:val="nil"/>
              <w:bottom w:val="single" w:sz="4" w:space="0" w:color="9BC2E6"/>
              <w:right w:val="nil"/>
            </w:tcBorders>
            <w:shd w:val="clear" w:color="DDEBF7" w:fill="DDEBF7"/>
            <w:noWrap/>
            <w:vAlign w:val="center"/>
            <w:hideMark/>
          </w:tcPr>
          <w:p w14:paraId="7001EDD2"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DP02</w:t>
            </w:r>
          </w:p>
        </w:tc>
        <w:tc>
          <w:tcPr>
            <w:tcW w:w="622" w:type="dxa"/>
            <w:tcBorders>
              <w:top w:val="nil"/>
              <w:left w:val="nil"/>
              <w:bottom w:val="single" w:sz="4" w:space="0" w:color="9BC2E6"/>
              <w:right w:val="nil"/>
            </w:tcBorders>
            <w:shd w:val="clear" w:color="DDEBF7" w:fill="DDEBF7"/>
            <w:noWrap/>
            <w:vAlign w:val="center"/>
            <w:hideMark/>
          </w:tcPr>
          <w:p w14:paraId="150D7579"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DP03</w:t>
            </w:r>
          </w:p>
        </w:tc>
        <w:tc>
          <w:tcPr>
            <w:tcW w:w="621" w:type="dxa"/>
            <w:tcBorders>
              <w:top w:val="nil"/>
              <w:left w:val="nil"/>
              <w:bottom w:val="single" w:sz="4" w:space="0" w:color="9BC2E6"/>
              <w:right w:val="nil"/>
            </w:tcBorders>
            <w:shd w:val="clear" w:color="DDEBF7" w:fill="DDEBF7"/>
            <w:noWrap/>
            <w:vAlign w:val="center"/>
            <w:hideMark/>
          </w:tcPr>
          <w:p w14:paraId="406050E3"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DP04</w:t>
            </w:r>
          </w:p>
        </w:tc>
        <w:tc>
          <w:tcPr>
            <w:tcW w:w="622" w:type="dxa"/>
            <w:tcBorders>
              <w:top w:val="nil"/>
              <w:left w:val="nil"/>
              <w:bottom w:val="single" w:sz="4" w:space="0" w:color="9BC2E6"/>
              <w:right w:val="nil"/>
            </w:tcBorders>
            <w:shd w:val="clear" w:color="DDEBF7" w:fill="DDEBF7"/>
            <w:noWrap/>
            <w:vAlign w:val="center"/>
            <w:hideMark/>
          </w:tcPr>
          <w:p w14:paraId="4A0BFB91"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DP05</w:t>
            </w:r>
          </w:p>
        </w:tc>
        <w:tc>
          <w:tcPr>
            <w:tcW w:w="622" w:type="dxa"/>
            <w:tcBorders>
              <w:top w:val="nil"/>
              <w:left w:val="nil"/>
              <w:bottom w:val="single" w:sz="4" w:space="0" w:color="9BC2E6"/>
              <w:right w:val="nil"/>
            </w:tcBorders>
            <w:shd w:val="clear" w:color="DDEBF7" w:fill="DDEBF7"/>
            <w:noWrap/>
            <w:vAlign w:val="center"/>
            <w:hideMark/>
          </w:tcPr>
          <w:p w14:paraId="48BEC11E"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DP06</w:t>
            </w:r>
          </w:p>
        </w:tc>
        <w:tc>
          <w:tcPr>
            <w:tcW w:w="621" w:type="dxa"/>
            <w:tcBorders>
              <w:top w:val="nil"/>
              <w:left w:val="nil"/>
              <w:bottom w:val="single" w:sz="4" w:space="0" w:color="9BC2E6"/>
              <w:right w:val="nil"/>
            </w:tcBorders>
            <w:shd w:val="clear" w:color="DDEBF7" w:fill="DDEBF7"/>
            <w:noWrap/>
            <w:vAlign w:val="center"/>
            <w:hideMark/>
          </w:tcPr>
          <w:p w14:paraId="590374C3"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DP07</w:t>
            </w:r>
          </w:p>
        </w:tc>
        <w:tc>
          <w:tcPr>
            <w:tcW w:w="622" w:type="dxa"/>
            <w:tcBorders>
              <w:top w:val="nil"/>
              <w:left w:val="nil"/>
              <w:bottom w:val="single" w:sz="4" w:space="0" w:color="9BC2E6"/>
              <w:right w:val="nil"/>
            </w:tcBorders>
            <w:shd w:val="clear" w:color="DDEBF7" w:fill="DDEBF7"/>
            <w:noWrap/>
            <w:vAlign w:val="center"/>
            <w:hideMark/>
          </w:tcPr>
          <w:p w14:paraId="74A34703"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DP08</w:t>
            </w:r>
          </w:p>
        </w:tc>
        <w:tc>
          <w:tcPr>
            <w:tcW w:w="622" w:type="dxa"/>
            <w:tcBorders>
              <w:top w:val="nil"/>
              <w:left w:val="nil"/>
              <w:bottom w:val="single" w:sz="4" w:space="0" w:color="9BC2E6"/>
              <w:right w:val="nil"/>
            </w:tcBorders>
            <w:shd w:val="clear" w:color="DDEBF7" w:fill="DDEBF7"/>
            <w:noWrap/>
            <w:vAlign w:val="center"/>
            <w:hideMark/>
          </w:tcPr>
          <w:p w14:paraId="36E826B1"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DP09</w:t>
            </w:r>
          </w:p>
        </w:tc>
        <w:tc>
          <w:tcPr>
            <w:tcW w:w="621" w:type="dxa"/>
            <w:tcBorders>
              <w:top w:val="nil"/>
              <w:left w:val="nil"/>
              <w:bottom w:val="single" w:sz="4" w:space="0" w:color="9BC2E6"/>
              <w:right w:val="nil"/>
            </w:tcBorders>
            <w:shd w:val="clear" w:color="DDEBF7" w:fill="DDEBF7"/>
            <w:noWrap/>
            <w:vAlign w:val="center"/>
            <w:hideMark/>
          </w:tcPr>
          <w:p w14:paraId="03211DA9"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DP10</w:t>
            </w:r>
          </w:p>
        </w:tc>
        <w:tc>
          <w:tcPr>
            <w:tcW w:w="622" w:type="dxa"/>
            <w:tcBorders>
              <w:top w:val="nil"/>
              <w:left w:val="nil"/>
              <w:bottom w:val="single" w:sz="4" w:space="0" w:color="9BC2E6"/>
              <w:right w:val="nil"/>
            </w:tcBorders>
            <w:shd w:val="clear" w:color="DDEBF7" w:fill="DDEBF7"/>
            <w:noWrap/>
            <w:vAlign w:val="center"/>
            <w:hideMark/>
          </w:tcPr>
          <w:p w14:paraId="287B8934"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DP11</w:t>
            </w:r>
          </w:p>
        </w:tc>
        <w:tc>
          <w:tcPr>
            <w:tcW w:w="621" w:type="dxa"/>
            <w:tcBorders>
              <w:top w:val="nil"/>
              <w:left w:val="nil"/>
              <w:bottom w:val="single" w:sz="4" w:space="0" w:color="9BC2E6"/>
              <w:right w:val="nil"/>
            </w:tcBorders>
            <w:shd w:val="clear" w:color="DDEBF7" w:fill="DDEBF7"/>
            <w:noWrap/>
            <w:vAlign w:val="center"/>
            <w:hideMark/>
          </w:tcPr>
          <w:p w14:paraId="264B5B33"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DP12</w:t>
            </w:r>
          </w:p>
        </w:tc>
        <w:tc>
          <w:tcPr>
            <w:tcW w:w="622" w:type="dxa"/>
            <w:tcBorders>
              <w:top w:val="nil"/>
              <w:left w:val="nil"/>
              <w:bottom w:val="single" w:sz="4" w:space="0" w:color="9BC2E6"/>
              <w:right w:val="nil"/>
            </w:tcBorders>
            <w:shd w:val="clear" w:color="DDEBF7" w:fill="DDEBF7"/>
            <w:noWrap/>
            <w:vAlign w:val="center"/>
            <w:hideMark/>
          </w:tcPr>
          <w:p w14:paraId="33F66CB3"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DP13</w:t>
            </w:r>
          </w:p>
        </w:tc>
        <w:tc>
          <w:tcPr>
            <w:tcW w:w="622" w:type="dxa"/>
            <w:tcBorders>
              <w:top w:val="nil"/>
              <w:left w:val="nil"/>
              <w:bottom w:val="single" w:sz="4" w:space="0" w:color="9BC2E6"/>
              <w:right w:val="nil"/>
            </w:tcBorders>
            <w:shd w:val="clear" w:color="DDEBF7" w:fill="DDEBF7"/>
            <w:noWrap/>
            <w:vAlign w:val="center"/>
            <w:hideMark/>
          </w:tcPr>
          <w:p w14:paraId="0FB4D936"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DP14</w:t>
            </w:r>
          </w:p>
        </w:tc>
        <w:tc>
          <w:tcPr>
            <w:tcW w:w="621" w:type="dxa"/>
            <w:tcBorders>
              <w:top w:val="nil"/>
              <w:left w:val="nil"/>
              <w:bottom w:val="single" w:sz="4" w:space="0" w:color="9BC2E6"/>
              <w:right w:val="nil"/>
            </w:tcBorders>
            <w:shd w:val="clear" w:color="DDEBF7" w:fill="DDEBF7"/>
            <w:noWrap/>
            <w:vAlign w:val="center"/>
            <w:hideMark/>
          </w:tcPr>
          <w:p w14:paraId="27FD995A"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DP15</w:t>
            </w:r>
          </w:p>
        </w:tc>
        <w:tc>
          <w:tcPr>
            <w:tcW w:w="622" w:type="dxa"/>
            <w:tcBorders>
              <w:top w:val="nil"/>
              <w:left w:val="nil"/>
              <w:bottom w:val="single" w:sz="4" w:space="0" w:color="9BC2E6"/>
              <w:right w:val="nil"/>
            </w:tcBorders>
            <w:shd w:val="clear" w:color="DDEBF7" w:fill="DDEBF7"/>
            <w:noWrap/>
            <w:vAlign w:val="center"/>
            <w:hideMark/>
          </w:tcPr>
          <w:p w14:paraId="46F0D608" w14:textId="77777777" w:rsidR="007B5398" w:rsidRPr="00163E75" w:rsidRDefault="007B5398" w:rsidP="009E5674">
            <w:pPr>
              <w:spacing w:after="0" w:line="240" w:lineRule="auto"/>
              <w:ind w:left="-48"/>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DP16</w:t>
            </w:r>
          </w:p>
        </w:tc>
        <w:tc>
          <w:tcPr>
            <w:tcW w:w="622" w:type="dxa"/>
            <w:tcBorders>
              <w:top w:val="nil"/>
              <w:left w:val="nil"/>
              <w:bottom w:val="single" w:sz="4" w:space="0" w:color="9BC2E6"/>
              <w:right w:val="nil"/>
            </w:tcBorders>
            <w:shd w:val="clear" w:color="DDEBF7" w:fill="DDEBF7"/>
            <w:noWrap/>
            <w:vAlign w:val="center"/>
            <w:hideMark/>
          </w:tcPr>
          <w:p w14:paraId="204FBD8F" w14:textId="77777777" w:rsidR="007B5398" w:rsidRPr="00163E75" w:rsidRDefault="007B5398" w:rsidP="009E5674">
            <w:pPr>
              <w:spacing w:after="0" w:line="240" w:lineRule="auto"/>
              <w:ind w:left="-206" w:firstLine="206"/>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DP17</w:t>
            </w:r>
          </w:p>
        </w:tc>
        <w:tc>
          <w:tcPr>
            <w:tcW w:w="621" w:type="dxa"/>
            <w:tcBorders>
              <w:top w:val="nil"/>
              <w:left w:val="nil"/>
              <w:bottom w:val="single" w:sz="4" w:space="0" w:color="9BC2E6"/>
              <w:right w:val="nil"/>
            </w:tcBorders>
            <w:shd w:val="clear" w:color="DDEBF7" w:fill="DDEBF7"/>
            <w:noWrap/>
            <w:vAlign w:val="center"/>
            <w:hideMark/>
          </w:tcPr>
          <w:p w14:paraId="2E27E9D2"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DP18</w:t>
            </w:r>
          </w:p>
        </w:tc>
        <w:tc>
          <w:tcPr>
            <w:tcW w:w="622" w:type="dxa"/>
            <w:tcBorders>
              <w:top w:val="nil"/>
              <w:left w:val="nil"/>
              <w:bottom w:val="single" w:sz="4" w:space="0" w:color="9BC2E6"/>
              <w:right w:val="nil"/>
            </w:tcBorders>
            <w:shd w:val="clear" w:color="DDEBF7" w:fill="DDEBF7"/>
            <w:noWrap/>
            <w:vAlign w:val="center"/>
            <w:hideMark/>
          </w:tcPr>
          <w:p w14:paraId="4C41F315"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DP19</w:t>
            </w:r>
          </w:p>
        </w:tc>
        <w:tc>
          <w:tcPr>
            <w:tcW w:w="622" w:type="dxa"/>
            <w:tcBorders>
              <w:top w:val="nil"/>
              <w:left w:val="nil"/>
              <w:bottom w:val="single" w:sz="4" w:space="0" w:color="9BC2E6"/>
              <w:right w:val="nil"/>
            </w:tcBorders>
            <w:shd w:val="clear" w:color="DDEBF7" w:fill="DDEBF7"/>
            <w:noWrap/>
            <w:vAlign w:val="center"/>
            <w:hideMark/>
          </w:tcPr>
          <w:p w14:paraId="191745A5" w14:textId="77777777" w:rsidR="007B5398" w:rsidRPr="00163E75" w:rsidRDefault="007B5398" w:rsidP="009E5674">
            <w:pPr>
              <w:spacing w:after="0" w:line="240" w:lineRule="auto"/>
              <w:jc w:val="center"/>
              <w:rPr>
                <w:rFonts w:asciiTheme="majorHAnsi" w:eastAsia="Times New Roman" w:hAnsiTheme="majorHAnsi" w:cstheme="majorHAnsi"/>
                <w:b/>
                <w:bCs/>
                <w:color w:val="000000"/>
                <w:sz w:val="15"/>
                <w:szCs w:val="15"/>
                <w:lang w:eastAsia="en-AU"/>
              </w:rPr>
            </w:pPr>
            <w:r w:rsidRPr="00163E75">
              <w:rPr>
                <w:rFonts w:asciiTheme="majorHAnsi" w:eastAsia="Times New Roman" w:hAnsiTheme="majorHAnsi" w:cstheme="majorHAnsi"/>
                <w:b/>
                <w:bCs/>
                <w:color w:val="000000"/>
                <w:sz w:val="15"/>
                <w:szCs w:val="15"/>
                <w:lang w:eastAsia="en-AU"/>
              </w:rPr>
              <w:t>DP20</w:t>
            </w:r>
          </w:p>
        </w:tc>
      </w:tr>
      <w:tr w:rsidR="009E5674" w:rsidRPr="00163E75" w14:paraId="7B7AD493"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66A2EC4B"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01 Mathematical Sciences</w:t>
            </w:r>
          </w:p>
        </w:tc>
        <w:tc>
          <w:tcPr>
            <w:tcW w:w="621" w:type="dxa"/>
            <w:tcBorders>
              <w:top w:val="nil"/>
              <w:left w:val="nil"/>
              <w:bottom w:val="nil"/>
              <w:right w:val="nil"/>
            </w:tcBorders>
            <w:shd w:val="clear" w:color="auto" w:fill="auto"/>
            <w:noWrap/>
            <w:vAlign w:val="center"/>
            <w:hideMark/>
          </w:tcPr>
          <w:p w14:paraId="134FE9B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28.0%</w:t>
            </w:r>
          </w:p>
        </w:tc>
        <w:tc>
          <w:tcPr>
            <w:tcW w:w="622" w:type="dxa"/>
            <w:tcBorders>
              <w:top w:val="nil"/>
              <w:left w:val="nil"/>
              <w:bottom w:val="nil"/>
              <w:right w:val="nil"/>
            </w:tcBorders>
            <w:shd w:val="clear" w:color="auto" w:fill="auto"/>
            <w:noWrap/>
            <w:vAlign w:val="center"/>
            <w:hideMark/>
          </w:tcPr>
          <w:p w14:paraId="7BC5DD9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29.9%</w:t>
            </w:r>
          </w:p>
        </w:tc>
        <w:tc>
          <w:tcPr>
            <w:tcW w:w="621" w:type="dxa"/>
            <w:tcBorders>
              <w:top w:val="nil"/>
              <w:left w:val="nil"/>
              <w:bottom w:val="nil"/>
              <w:right w:val="nil"/>
            </w:tcBorders>
            <w:shd w:val="clear" w:color="auto" w:fill="auto"/>
            <w:noWrap/>
            <w:vAlign w:val="center"/>
            <w:hideMark/>
          </w:tcPr>
          <w:p w14:paraId="70D3722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33.1%</w:t>
            </w:r>
          </w:p>
        </w:tc>
        <w:tc>
          <w:tcPr>
            <w:tcW w:w="622" w:type="dxa"/>
            <w:tcBorders>
              <w:top w:val="nil"/>
              <w:left w:val="nil"/>
              <w:bottom w:val="nil"/>
              <w:right w:val="nil"/>
            </w:tcBorders>
            <w:shd w:val="clear" w:color="auto" w:fill="auto"/>
            <w:noWrap/>
            <w:vAlign w:val="center"/>
            <w:hideMark/>
          </w:tcPr>
          <w:p w14:paraId="7ACE285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35.1%</w:t>
            </w:r>
          </w:p>
        </w:tc>
        <w:tc>
          <w:tcPr>
            <w:tcW w:w="622" w:type="dxa"/>
            <w:tcBorders>
              <w:top w:val="nil"/>
              <w:left w:val="nil"/>
              <w:bottom w:val="nil"/>
              <w:right w:val="nil"/>
            </w:tcBorders>
            <w:shd w:val="clear" w:color="auto" w:fill="auto"/>
            <w:noWrap/>
            <w:vAlign w:val="center"/>
            <w:hideMark/>
          </w:tcPr>
          <w:p w14:paraId="51EE6F0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30.2%</w:t>
            </w:r>
          </w:p>
        </w:tc>
        <w:tc>
          <w:tcPr>
            <w:tcW w:w="621" w:type="dxa"/>
            <w:tcBorders>
              <w:top w:val="nil"/>
              <w:left w:val="nil"/>
              <w:bottom w:val="nil"/>
              <w:right w:val="nil"/>
            </w:tcBorders>
            <w:shd w:val="clear" w:color="auto" w:fill="auto"/>
            <w:noWrap/>
            <w:vAlign w:val="center"/>
            <w:hideMark/>
          </w:tcPr>
          <w:p w14:paraId="4326BFF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19.7%</w:t>
            </w:r>
          </w:p>
        </w:tc>
        <w:tc>
          <w:tcPr>
            <w:tcW w:w="622" w:type="dxa"/>
            <w:tcBorders>
              <w:top w:val="nil"/>
              <w:left w:val="nil"/>
              <w:bottom w:val="nil"/>
              <w:right w:val="nil"/>
            </w:tcBorders>
            <w:shd w:val="clear" w:color="auto" w:fill="auto"/>
            <w:noWrap/>
            <w:vAlign w:val="center"/>
            <w:hideMark/>
          </w:tcPr>
          <w:p w14:paraId="409ECE0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28.8%</w:t>
            </w:r>
          </w:p>
        </w:tc>
        <w:tc>
          <w:tcPr>
            <w:tcW w:w="622" w:type="dxa"/>
            <w:tcBorders>
              <w:top w:val="nil"/>
              <w:left w:val="nil"/>
              <w:bottom w:val="nil"/>
              <w:right w:val="nil"/>
            </w:tcBorders>
            <w:shd w:val="clear" w:color="auto" w:fill="auto"/>
            <w:noWrap/>
            <w:vAlign w:val="center"/>
            <w:hideMark/>
          </w:tcPr>
          <w:p w14:paraId="2751D87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27.3%</w:t>
            </w:r>
          </w:p>
        </w:tc>
        <w:tc>
          <w:tcPr>
            <w:tcW w:w="621" w:type="dxa"/>
            <w:tcBorders>
              <w:top w:val="nil"/>
              <w:left w:val="nil"/>
              <w:bottom w:val="nil"/>
              <w:right w:val="nil"/>
            </w:tcBorders>
            <w:shd w:val="clear" w:color="auto" w:fill="auto"/>
            <w:noWrap/>
            <w:vAlign w:val="center"/>
            <w:hideMark/>
          </w:tcPr>
          <w:p w14:paraId="09E996B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32.2%</w:t>
            </w:r>
          </w:p>
        </w:tc>
        <w:tc>
          <w:tcPr>
            <w:tcW w:w="622" w:type="dxa"/>
            <w:tcBorders>
              <w:top w:val="nil"/>
              <w:left w:val="nil"/>
              <w:bottom w:val="nil"/>
              <w:right w:val="nil"/>
            </w:tcBorders>
            <w:shd w:val="clear" w:color="auto" w:fill="auto"/>
            <w:noWrap/>
            <w:vAlign w:val="center"/>
            <w:hideMark/>
          </w:tcPr>
          <w:p w14:paraId="6146886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28.4%</w:t>
            </w:r>
          </w:p>
        </w:tc>
        <w:tc>
          <w:tcPr>
            <w:tcW w:w="621" w:type="dxa"/>
            <w:tcBorders>
              <w:top w:val="nil"/>
              <w:left w:val="nil"/>
              <w:bottom w:val="nil"/>
              <w:right w:val="nil"/>
            </w:tcBorders>
            <w:shd w:val="clear" w:color="auto" w:fill="auto"/>
            <w:noWrap/>
            <w:vAlign w:val="center"/>
            <w:hideMark/>
          </w:tcPr>
          <w:p w14:paraId="69EC70B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37.7%</w:t>
            </w:r>
          </w:p>
        </w:tc>
        <w:tc>
          <w:tcPr>
            <w:tcW w:w="622" w:type="dxa"/>
            <w:tcBorders>
              <w:top w:val="nil"/>
              <w:left w:val="nil"/>
              <w:bottom w:val="nil"/>
              <w:right w:val="nil"/>
            </w:tcBorders>
            <w:shd w:val="clear" w:color="auto" w:fill="auto"/>
            <w:noWrap/>
            <w:vAlign w:val="center"/>
            <w:hideMark/>
          </w:tcPr>
          <w:p w14:paraId="2EAC583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27.0%</w:t>
            </w:r>
          </w:p>
        </w:tc>
        <w:tc>
          <w:tcPr>
            <w:tcW w:w="622" w:type="dxa"/>
            <w:tcBorders>
              <w:top w:val="nil"/>
              <w:left w:val="nil"/>
              <w:bottom w:val="nil"/>
              <w:right w:val="nil"/>
            </w:tcBorders>
            <w:shd w:val="clear" w:color="auto" w:fill="auto"/>
            <w:noWrap/>
            <w:vAlign w:val="center"/>
            <w:hideMark/>
          </w:tcPr>
          <w:p w14:paraId="24C14A5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26.3%</w:t>
            </w:r>
          </w:p>
        </w:tc>
        <w:tc>
          <w:tcPr>
            <w:tcW w:w="621" w:type="dxa"/>
            <w:tcBorders>
              <w:top w:val="nil"/>
              <w:left w:val="nil"/>
              <w:bottom w:val="nil"/>
              <w:right w:val="nil"/>
            </w:tcBorders>
            <w:shd w:val="clear" w:color="auto" w:fill="auto"/>
            <w:noWrap/>
            <w:vAlign w:val="center"/>
            <w:hideMark/>
          </w:tcPr>
          <w:p w14:paraId="264DB7F6"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18.9%</w:t>
            </w:r>
          </w:p>
        </w:tc>
        <w:tc>
          <w:tcPr>
            <w:tcW w:w="622" w:type="dxa"/>
            <w:tcBorders>
              <w:top w:val="nil"/>
              <w:left w:val="nil"/>
              <w:bottom w:val="nil"/>
              <w:right w:val="nil"/>
            </w:tcBorders>
            <w:shd w:val="clear" w:color="auto" w:fill="auto"/>
            <w:noWrap/>
            <w:vAlign w:val="center"/>
            <w:hideMark/>
          </w:tcPr>
          <w:p w14:paraId="0E970F5E"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21.2%</w:t>
            </w:r>
          </w:p>
        </w:tc>
        <w:tc>
          <w:tcPr>
            <w:tcW w:w="622" w:type="dxa"/>
            <w:tcBorders>
              <w:top w:val="nil"/>
              <w:left w:val="nil"/>
              <w:bottom w:val="nil"/>
              <w:right w:val="nil"/>
            </w:tcBorders>
            <w:shd w:val="clear" w:color="auto" w:fill="auto"/>
            <w:noWrap/>
            <w:vAlign w:val="center"/>
            <w:hideMark/>
          </w:tcPr>
          <w:p w14:paraId="54354910"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17.6%</w:t>
            </w:r>
          </w:p>
        </w:tc>
        <w:tc>
          <w:tcPr>
            <w:tcW w:w="621" w:type="dxa"/>
            <w:tcBorders>
              <w:top w:val="nil"/>
              <w:left w:val="nil"/>
              <w:bottom w:val="nil"/>
              <w:right w:val="nil"/>
            </w:tcBorders>
            <w:shd w:val="clear" w:color="auto" w:fill="auto"/>
            <w:noWrap/>
            <w:vAlign w:val="center"/>
            <w:hideMark/>
          </w:tcPr>
          <w:p w14:paraId="1B40C25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24.0%</w:t>
            </w:r>
          </w:p>
        </w:tc>
        <w:tc>
          <w:tcPr>
            <w:tcW w:w="622" w:type="dxa"/>
            <w:tcBorders>
              <w:top w:val="nil"/>
              <w:left w:val="nil"/>
              <w:bottom w:val="nil"/>
              <w:right w:val="nil"/>
            </w:tcBorders>
            <w:shd w:val="clear" w:color="auto" w:fill="auto"/>
            <w:noWrap/>
            <w:vAlign w:val="center"/>
            <w:hideMark/>
          </w:tcPr>
          <w:p w14:paraId="1E6BF05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22.8%</w:t>
            </w:r>
          </w:p>
        </w:tc>
        <w:tc>
          <w:tcPr>
            <w:tcW w:w="622" w:type="dxa"/>
            <w:tcBorders>
              <w:top w:val="nil"/>
              <w:left w:val="nil"/>
              <w:bottom w:val="nil"/>
              <w:right w:val="nil"/>
            </w:tcBorders>
            <w:shd w:val="clear" w:color="auto" w:fill="auto"/>
            <w:noWrap/>
            <w:vAlign w:val="center"/>
            <w:hideMark/>
          </w:tcPr>
          <w:p w14:paraId="2DF06C6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21.9%</w:t>
            </w:r>
          </w:p>
        </w:tc>
      </w:tr>
      <w:tr w:rsidR="009E5674" w:rsidRPr="00163E75" w14:paraId="2E6CF41D"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3239F79A"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02 Physical Sciences</w:t>
            </w:r>
          </w:p>
        </w:tc>
        <w:tc>
          <w:tcPr>
            <w:tcW w:w="621" w:type="dxa"/>
            <w:tcBorders>
              <w:top w:val="nil"/>
              <w:left w:val="nil"/>
              <w:bottom w:val="nil"/>
              <w:right w:val="nil"/>
            </w:tcBorders>
            <w:shd w:val="clear" w:color="auto" w:fill="auto"/>
            <w:noWrap/>
            <w:vAlign w:val="center"/>
            <w:hideMark/>
          </w:tcPr>
          <w:p w14:paraId="74DC8D8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29.2%</w:t>
            </w:r>
          </w:p>
        </w:tc>
        <w:tc>
          <w:tcPr>
            <w:tcW w:w="622" w:type="dxa"/>
            <w:tcBorders>
              <w:top w:val="nil"/>
              <w:left w:val="nil"/>
              <w:bottom w:val="nil"/>
              <w:right w:val="nil"/>
            </w:tcBorders>
            <w:shd w:val="clear" w:color="auto" w:fill="auto"/>
            <w:noWrap/>
            <w:vAlign w:val="center"/>
            <w:hideMark/>
          </w:tcPr>
          <w:p w14:paraId="4C2DA7C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28.2%</w:t>
            </w:r>
          </w:p>
        </w:tc>
        <w:tc>
          <w:tcPr>
            <w:tcW w:w="621" w:type="dxa"/>
            <w:tcBorders>
              <w:top w:val="nil"/>
              <w:left w:val="nil"/>
              <w:bottom w:val="nil"/>
              <w:right w:val="nil"/>
            </w:tcBorders>
            <w:shd w:val="clear" w:color="auto" w:fill="auto"/>
            <w:noWrap/>
            <w:vAlign w:val="center"/>
            <w:hideMark/>
          </w:tcPr>
          <w:p w14:paraId="0E89E7A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30.3%</w:t>
            </w:r>
          </w:p>
        </w:tc>
        <w:tc>
          <w:tcPr>
            <w:tcW w:w="622" w:type="dxa"/>
            <w:tcBorders>
              <w:top w:val="nil"/>
              <w:left w:val="nil"/>
              <w:bottom w:val="nil"/>
              <w:right w:val="nil"/>
            </w:tcBorders>
            <w:shd w:val="clear" w:color="auto" w:fill="auto"/>
            <w:noWrap/>
            <w:vAlign w:val="center"/>
            <w:hideMark/>
          </w:tcPr>
          <w:p w14:paraId="5B88457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28.8%</w:t>
            </w:r>
          </w:p>
        </w:tc>
        <w:tc>
          <w:tcPr>
            <w:tcW w:w="622" w:type="dxa"/>
            <w:tcBorders>
              <w:top w:val="nil"/>
              <w:left w:val="nil"/>
              <w:bottom w:val="nil"/>
              <w:right w:val="nil"/>
            </w:tcBorders>
            <w:shd w:val="clear" w:color="auto" w:fill="auto"/>
            <w:noWrap/>
            <w:vAlign w:val="center"/>
            <w:hideMark/>
          </w:tcPr>
          <w:p w14:paraId="15DD934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26.9%</w:t>
            </w:r>
          </w:p>
        </w:tc>
        <w:tc>
          <w:tcPr>
            <w:tcW w:w="621" w:type="dxa"/>
            <w:tcBorders>
              <w:top w:val="nil"/>
              <w:left w:val="nil"/>
              <w:bottom w:val="nil"/>
              <w:right w:val="nil"/>
            </w:tcBorders>
            <w:shd w:val="clear" w:color="auto" w:fill="auto"/>
            <w:noWrap/>
            <w:vAlign w:val="center"/>
            <w:hideMark/>
          </w:tcPr>
          <w:p w14:paraId="7067518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21.5%</w:t>
            </w:r>
          </w:p>
        </w:tc>
        <w:tc>
          <w:tcPr>
            <w:tcW w:w="622" w:type="dxa"/>
            <w:tcBorders>
              <w:top w:val="nil"/>
              <w:left w:val="nil"/>
              <w:bottom w:val="nil"/>
              <w:right w:val="nil"/>
            </w:tcBorders>
            <w:shd w:val="clear" w:color="auto" w:fill="auto"/>
            <w:noWrap/>
            <w:vAlign w:val="center"/>
            <w:hideMark/>
          </w:tcPr>
          <w:p w14:paraId="46B04A6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24.0%</w:t>
            </w:r>
          </w:p>
        </w:tc>
        <w:tc>
          <w:tcPr>
            <w:tcW w:w="622" w:type="dxa"/>
            <w:tcBorders>
              <w:top w:val="nil"/>
              <w:left w:val="nil"/>
              <w:bottom w:val="nil"/>
              <w:right w:val="nil"/>
            </w:tcBorders>
            <w:shd w:val="clear" w:color="auto" w:fill="auto"/>
            <w:noWrap/>
            <w:vAlign w:val="center"/>
            <w:hideMark/>
          </w:tcPr>
          <w:p w14:paraId="7422B2C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18.7%</w:t>
            </w:r>
          </w:p>
        </w:tc>
        <w:tc>
          <w:tcPr>
            <w:tcW w:w="621" w:type="dxa"/>
            <w:tcBorders>
              <w:top w:val="nil"/>
              <w:left w:val="nil"/>
              <w:bottom w:val="nil"/>
              <w:right w:val="nil"/>
            </w:tcBorders>
            <w:shd w:val="clear" w:color="auto" w:fill="auto"/>
            <w:noWrap/>
            <w:vAlign w:val="center"/>
            <w:hideMark/>
          </w:tcPr>
          <w:p w14:paraId="7231249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22.9%</w:t>
            </w:r>
          </w:p>
        </w:tc>
        <w:tc>
          <w:tcPr>
            <w:tcW w:w="622" w:type="dxa"/>
            <w:tcBorders>
              <w:top w:val="nil"/>
              <w:left w:val="nil"/>
              <w:bottom w:val="nil"/>
              <w:right w:val="nil"/>
            </w:tcBorders>
            <w:shd w:val="clear" w:color="auto" w:fill="auto"/>
            <w:noWrap/>
            <w:vAlign w:val="center"/>
            <w:hideMark/>
          </w:tcPr>
          <w:p w14:paraId="62561DA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20.7%</w:t>
            </w:r>
          </w:p>
        </w:tc>
        <w:tc>
          <w:tcPr>
            <w:tcW w:w="621" w:type="dxa"/>
            <w:tcBorders>
              <w:top w:val="nil"/>
              <w:left w:val="nil"/>
              <w:bottom w:val="nil"/>
              <w:right w:val="nil"/>
            </w:tcBorders>
            <w:shd w:val="clear" w:color="auto" w:fill="auto"/>
            <w:noWrap/>
            <w:vAlign w:val="center"/>
            <w:hideMark/>
          </w:tcPr>
          <w:p w14:paraId="1CBC9DA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18.6%</w:t>
            </w:r>
          </w:p>
        </w:tc>
        <w:tc>
          <w:tcPr>
            <w:tcW w:w="622" w:type="dxa"/>
            <w:tcBorders>
              <w:top w:val="nil"/>
              <w:left w:val="nil"/>
              <w:bottom w:val="nil"/>
              <w:right w:val="nil"/>
            </w:tcBorders>
            <w:shd w:val="clear" w:color="auto" w:fill="auto"/>
            <w:noWrap/>
            <w:vAlign w:val="center"/>
            <w:hideMark/>
          </w:tcPr>
          <w:p w14:paraId="0AF917E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22.4%</w:t>
            </w:r>
          </w:p>
        </w:tc>
        <w:tc>
          <w:tcPr>
            <w:tcW w:w="622" w:type="dxa"/>
            <w:tcBorders>
              <w:top w:val="nil"/>
              <w:left w:val="nil"/>
              <w:bottom w:val="nil"/>
              <w:right w:val="nil"/>
            </w:tcBorders>
            <w:shd w:val="clear" w:color="auto" w:fill="auto"/>
            <w:noWrap/>
            <w:vAlign w:val="center"/>
            <w:hideMark/>
          </w:tcPr>
          <w:p w14:paraId="111641D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22.0%</w:t>
            </w:r>
          </w:p>
        </w:tc>
        <w:tc>
          <w:tcPr>
            <w:tcW w:w="621" w:type="dxa"/>
            <w:tcBorders>
              <w:top w:val="nil"/>
              <w:left w:val="nil"/>
              <w:bottom w:val="nil"/>
              <w:right w:val="nil"/>
            </w:tcBorders>
            <w:shd w:val="clear" w:color="auto" w:fill="auto"/>
            <w:noWrap/>
            <w:vAlign w:val="center"/>
            <w:hideMark/>
          </w:tcPr>
          <w:p w14:paraId="1DE8E844"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20.6%</w:t>
            </w:r>
          </w:p>
        </w:tc>
        <w:tc>
          <w:tcPr>
            <w:tcW w:w="622" w:type="dxa"/>
            <w:tcBorders>
              <w:top w:val="nil"/>
              <w:left w:val="nil"/>
              <w:bottom w:val="nil"/>
              <w:right w:val="nil"/>
            </w:tcBorders>
            <w:shd w:val="clear" w:color="auto" w:fill="auto"/>
            <w:noWrap/>
            <w:vAlign w:val="center"/>
            <w:hideMark/>
          </w:tcPr>
          <w:p w14:paraId="0B2348A8"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19.0%</w:t>
            </w:r>
          </w:p>
        </w:tc>
        <w:tc>
          <w:tcPr>
            <w:tcW w:w="622" w:type="dxa"/>
            <w:tcBorders>
              <w:top w:val="nil"/>
              <w:left w:val="nil"/>
              <w:bottom w:val="nil"/>
              <w:right w:val="nil"/>
            </w:tcBorders>
            <w:shd w:val="clear" w:color="auto" w:fill="auto"/>
            <w:noWrap/>
            <w:vAlign w:val="center"/>
            <w:hideMark/>
          </w:tcPr>
          <w:p w14:paraId="63A7013D"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22.2%</w:t>
            </w:r>
          </w:p>
        </w:tc>
        <w:tc>
          <w:tcPr>
            <w:tcW w:w="621" w:type="dxa"/>
            <w:tcBorders>
              <w:top w:val="nil"/>
              <w:left w:val="nil"/>
              <w:bottom w:val="nil"/>
              <w:right w:val="nil"/>
            </w:tcBorders>
            <w:shd w:val="clear" w:color="auto" w:fill="auto"/>
            <w:noWrap/>
            <w:vAlign w:val="center"/>
            <w:hideMark/>
          </w:tcPr>
          <w:p w14:paraId="18E7617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18.7%</w:t>
            </w:r>
          </w:p>
        </w:tc>
        <w:tc>
          <w:tcPr>
            <w:tcW w:w="622" w:type="dxa"/>
            <w:tcBorders>
              <w:top w:val="nil"/>
              <w:left w:val="nil"/>
              <w:bottom w:val="nil"/>
              <w:right w:val="nil"/>
            </w:tcBorders>
            <w:shd w:val="clear" w:color="auto" w:fill="auto"/>
            <w:noWrap/>
            <w:vAlign w:val="center"/>
            <w:hideMark/>
          </w:tcPr>
          <w:p w14:paraId="7F92158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25.1%</w:t>
            </w:r>
          </w:p>
        </w:tc>
        <w:tc>
          <w:tcPr>
            <w:tcW w:w="622" w:type="dxa"/>
            <w:tcBorders>
              <w:top w:val="nil"/>
              <w:left w:val="nil"/>
              <w:bottom w:val="nil"/>
              <w:right w:val="nil"/>
            </w:tcBorders>
            <w:shd w:val="clear" w:color="auto" w:fill="auto"/>
            <w:noWrap/>
            <w:vAlign w:val="center"/>
            <w:hideMark/>
          </w:tcPr>
          <w:p w14:paraId="2251927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23.5%</w:t>
            </w:r>
          </w:p>
        </w:tc>
      </w:tr>
      <w:tr w:rsidR="009E5674" w:rsidRPr="00163E75" w14:paraId="60DB1BE5"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24DDD34E"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03 Chemical Sciences</w:t>
            </w:r>
          </w:p>
        </w:tc>
        <w:tc>
          <w:tcPr>
            <w:tcW w:w="621" w:type="dxa"/>
            <w:tcBorders>
              <w:top w:val="nil"/>
              <w:left w:val="nil"/>
              <w:bottom w:val="nil"/>
              <w:right w:val="nil"/>
            </w:tcBorders>
            <w:shd w:val="clear" w:color="auto" w:fill="auto"/>
            <w:noWrap/>
            <w:vAlign w:val="center"/>
            <w:hideMark/>
          </w:tcPr>
          <w:p w14:paraId="6D0017D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26.1%</w:t>
            </w:r>
          </w:p>
        </w:tc>
        <w:tc>
          <w:tcPr>
            <w:tcW w:w="622" w:type="dxa"/>
            <w:tcBorders>
              <w:top w:val="nil"/>
              <w:left w:val="nil"/>
              <w:bottom w:val="nil"/>
              <w:right w:val="nil"/>
            </w:tcBorders>
            <w:shd w:val="clear" w:color="auto" w:fill="auto"/>
            <w:noWrap/>
            <w:vAlign w:val="center"/>
            <w:hideMark/>
          </w:tcPr>
          <w:p w14:paraId="379FC8B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28.6%</w:t>
            </w:r>
          </w:p>
        </w:tc>
        <w:tc>
          <w:tcPr>
            <w:tcW w:w="621" w:type="dxa"/>
            <w:tcBorders>
              <w:top w:val="nil"/>
              <w:left w:val="nil"/>
              <w:bottom w:val="nil"/>
              <w:right w:val="nil"/>
            </w:tcBorders>
            <w:shd w:val="clear" w:color="auto" w:fill="auto"/>
            <w:noWrap/>
            <w:vAlign w:val="center"/>
            <w:hideMark/>
          </w:tcPr>
          <w:p w14:paraId="07E4932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26.9%</w:t>
            </w:r>
          </w:p>
        </w:tc>
        <w:tc>
          <w:tcPr>
            <w:tcW w:w="622" w:type="dxa"/>
            <w:tcBorders>
              <w:top w:val="nil"/>
              <w:left w:val="nil"/>
              <w:bottom w:val="nil"/>
              <w:right w:val="nil"/>
            </w:tcBorders>
            <w:shd w:val="clear" w:color="auto" w:fill="auto"/>
            <w:noWrap/>
            <w:vAlign w:val="center"/>
            <w:hideMark/>
          </w:tcPr>
          <w:p w14:paraId="66EE74F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32.1%</w:t>
            </w:r>
          </w:p>
        </w:tc>
        <w:tc>
          <w:tcPr>
            <w:tcW w:w="622" w:type="dxa"/>
            <w:tcBorders>
              <w:top w:val="nil"/>
              <w:left w:val="nil"/>
              <w:bottom w:val="nil"/>
              <w:right w:val="nil"/>
            </w:tcBorders>
            <w:shd w:val="clear" w:color="auto" w:fill="auto"/>
            <w:noWrap/>
            <w:vAlign w:val="center"/>
            <w:hideMark/>
          </w:tcPr>
          <w:p w14:paraId="650934B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28.5%</w:t>
            </w:r>
          </w:p>
        </w:tc>
        <w:tc>
          <w:tcPr>
            <w:tcW w:w="621" w:type="dxa"/>
            <w:tcBorders>
              <w:top w:val="nil"/>
              <w:left w:val="nil"/>
              <w:bottom w:val="nil"/>
              <w:right w:val="nil"/>
            </w:tcBorders>
            <w:shd w:val="clear" w:color="auto" w:fill="auto"/>
            <w:noWrap/>
            <w:vAlign w:val="center"/>
            <w:hideMark/>
          </w:tcPr>
          <w:p w14:paraId="2D38314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21.3%</w:t>
            </w:r>
          </w:p>
        </w:tc>
        <w:tc>
          <w:tcPr>
            <w:tcW w:w="622" w:type="dxa"/>
            <w:tcBorders>
              <w:top w:val="nil"/>
              <w:left w:val="nil"/>
              <w:bottom w:val="nil"/>
              <w:right w:val="nil"/>
            </w:tcBorders>
            <w:shd w:val="clear" w:color="auto" w:fill="auto"/>
            <w:noWrap/>
            <w:vAlign w:val="center"/>
            <w:hideMark/>
          </w:tcPr>
          <w:p w14:paraId="5FC7B16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22.7%</w:t>
            </w:r>
          </w:p>
        </w:tc>
        <w:tc>
          <w:tcPr>
            <w:tcW w:w="622" w:type="dxa"/>
            <w:tcBorders>
              <w:top w:val="nil"/>
              <w:left w:val="nil"/>
              <w:bottom w:val="nil"/>
              <w:right w:val="nil"/>
            </w:tcBorders>
            <w:shd w:val="clear" w:color="auto" w:fill="auto"/>
            <w:noWrap/>
            <w:vAlign w:val="center"/>
            <w:hideMark/>
          </w:tcPr>
          <w:p w14:paraId="0AEEC91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22.3%</w:t>
            </w:r>
          </w:p>
        </w:tc>
        <w:tc>
          <w:tcPr>
            <w:tcW w:w="621" w:type="dxa"/>
            <w:tcBorders>
              <w:top w:val="nil"/>
              <w:left w:val="nil"/>
              <w:bottom w:val="nil"/>
              <w:right w:val="nil"/>
            </w:tcBorders>
            <w:shd w:val="clear" w:color="auto" w:fill="auto"/>
            <w:noWrap/>
            <w:vAlign w:val="center"/>
            <w:hideMark/>
          </w:tcPr>
          <w:p w14:paraId="05A5421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21.0%</w:t>
            </w:r>
          </w:p>
        </w:tc>
        <w:tc>
          <w:tcPr>
            <w:tcW w:w="622" w:type="dxa"/>
            <w:tcBorders>
              <w:top w:val="nil"/>
              <w:left w:val="nil"/>
              <w:bottom w:val="nil"/>
              <w:right w:val="nil"/>
            </w:tcBorders>
            <w:shd w:val="clear" w:color="auto" w:fill="auto"/>
            <w:noWrap/>
            <w:vAlign w:val="center"/>
            <w:hideMark/>
          </w:tcPr>
          <w:p w14:paraId="2FE416F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25.6%</w:t>
            </w:r>
          </w:p>
        </w:tc>
        <w:tc>
          <w:tcPr>
            <w:tcW w:w="621" w:type="dxa"/>
            <w:tcBorders>
              <w:top w:val="nil"/>
              <w:left w:val="nil"/>
              <w:bottom w:val="nil"/>
              <w:right w:val="nil"/>
            </w:tcBorders>
            <w:shd w:val="clear" w:color="auto" w:fill="auto"/>
            <w:noWrap/>
            <w:vAlign w:val="center"/>
            <w:hideMark/>
          </w:tcPr>
          <w:p w14:paraId="5C51A93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21.0%</w:t>
            </w:r>
          </w:p>
        </w:tc>
        <w:tc>
          <w:tcPr>
            <w:tcW w:w="622" w:type="dxa"/>
            <w:tcBorders>
              <w:top w:val="nil"/>
              <w:left w:val="nil"/>
              <w:bottom w:val="nil"/>
              <w:right w:val="nil"/>
            </w:tcBorders>
            <w:shd w:val="clear" w:color="auto" w:fill="auto"/>
            <w:noWrap/>
            <w:vAlign w:val="center"/>
            <w:hideMark/>
          </w:tcPr>
          <w:p w14:paraId="43D5989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23.7%</w:t>
            </w:r>
          </w:p>
        </w:tc>
        <w:tc>
          <w:tcPr>
            <w:tcW w:w="622" w:type="dxa"/>
            <w:tcBorders>
              <w:top w:val="nil"/>
              <w:left w:val="nil"/>
              <w:bottom w:val="nil"/>
              <w:right w:val="nil"/>
            </w:tcBorders>
            <w:shd w:val="clear" w:color="auto" w:fill="auto"/>
            <w:noWrap/>
            <w:vAlign w:val="center"/>
            <w:hideMark/>
          </w:tcPr>
          <w:p w14:paraId="744CC5F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21.4%</w:t>
            </w:r>
          </w:p>
        </w:tc>
        <w:tc>
          <w:tcPr>
            <w:tcW w:w="621" w:type="dxa"/>
            <w:tcBorders>
              <w:top w:val="nil"/>
              <w:left w:val="nil"/>
              <w:bottom w:val="nil"/>
              <w:right w:val="nil"/>
            </w:tcBorders>
            <w:shd w:val="clear" w:color="auto" w:fill="auto"/>
            <w:noWrap/>
            <w:vAlign w:val="center"/>
            <w:hideMark/>
          </w:tcPr>
          <w:p w14:paraId="40540D31"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18.5%</w:t>
            </w:r>
          </w:p>
        </w:tc>
        <w:tc>
          <w:tcPr>
            <w:tcW w:w="622" w:type="dxa"/>
            <w:tcBorders>
              <w:top w:val="nil"/>
              <w:left w:val="nil"/>
              <w:bottom w:val="nil"/>
              <w:right w:val="nil"/>
            </w:tcBorders>
            <w:shd w:val="clear" w:color="auto" w:fill="auto"/>
            <w:noWrap/>
            <w:vAlign w:val="center"/>
            <w:hideMark/>
          </w:tcPr>
          <w:p w14:paraId="738AF6ED"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16.1%</w:t>
            </w:r>
          </w:p>
        </w:tc>
        <w:tc>
          <w:tcPr>
            <w:tcW w:w="622" w:type="dxa"/>
            <w:tcBorders>
              <w:top w:val="nil"/>
              <w:left w:val="nil"/>
              <w:bottom w:val="nil"/>
              <w:right w:val="nil"/>
            </w:tcBorders>
            <w:shd w:val="clear" w:color="auto" w:fill="auto"/>
            <w:noWrap/>
            <w:vAlign w:val="center"/>
            <w:hideMark/>
          </w:tcPr>
          <w:p w14:paraId="352FD20B"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17.3%</w:t>
            </w:r>
          </w:p>
        </w:tc>
        <w:tc>
          <w:tcPr>
            <w:tcW w:w="621" w:type="dxa"/>
            <w:tcBorders>
              <w:top w:val="nil"/>
              <w:left w:val="nil"/>
              <w:bottom w:val="nil"/>
              <w:right w:val="nil"/>
            </w:tcBorders>
            <w:shd w:val="clear" w:color="auto" w:fill="auto"/>
            <w:noWrap/>
            <w:vAlign w:val="center"/>
            <w:hideMark/>
          </w:tcPr>
          <w:p w14:paraId="0699B1D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16.2%</w:t>
            </w:r>
          </w:p>
        </w:tc>
        <w:tc>
          <w:tcPr>
            <w:tcW w:w="622" w:type="dxa"/>
            <w:tcBorders>
              <w:top w:val="nil"/>
              <w:left w:val="nil"/>
              <w:bottom w:val="nil"/>
              <w:right w:val="nil"/>
            </w:tcBorders>
            <w:shd w:val="clear" w:color="auto" w:fill="auto"/>
            <w:noWrap/>
            <w:vAlign w:val="center"/>
            <w:hideMark/>
          </w:tcPr>
          <w:p w14:paraId="514911C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24.7%</w:t>
            </w:r>
          </w:p>
        </w:tc>
        <w:tc>
          <w:tcPr>
            <w:tcW w:w="622" w:type="dxa"/>
            <w:tcBorders>
              <w:top w:val="nil"/>
              <w:left w:val="nil"/>
              <w:bottom w:val="nil"/>
              <w:right w:val="nil"/>
            </w:tcBorders>
            <w:shd w:val="clear" w:color="auto" w:fill="auto"/>
            <w:noWrap/>
            <w:vAlign w:val="center"/>
            <w:hideMark/>
          </w:tcPr>
          <w:p w14:paraId="7B3CA6E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24.6%</w:t>
            </w:r>
          </w:p>
        </w:tc>
      </w:tr>
      <w:tr w:rsidR="009E5674" w:rsidRPr="00163E75" w14:paraId="3742A61B"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50C9FA54"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04 Earth Sciences</w:t>
            </w:r>
          </w:p>
        </w:tc>
        <w:tc>
          <w:tcPr>
            <w:tcW w:w="621" w:type="dxa"/>
            <w:tcBorders>
              <w:top w:val="nil"/>
              <w:left w:val="nil"/>
              <w:bottom w:val="nil"/>
              <w:right w:val="nil"/>
            </w:tcBorders>
            <w:shd w:val="clear" w:color="auto" w:fill="auto"/>
            <w:noWrap/>
            <w:vAlign w:val="center"/>
            <w:hideMark/>
          </w:tcPr>
          <w:p w14:paraId="6F95560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21.8%</w:t>
            </w:r>
          </w:p>
        </w:tc>
        <w:tc>
          <w:tcPr>
            <w:tcW w:w="622" w:type="dxa"/>
            <w:tcBorders>
              <w:top w:val="nil"/>
              <w:left w:val="nil"/>
              <w:bottom w:val="nil"/>
              <w:right w:val="nil"/>
            </w:tcBorders>
            <w:shd w:val="clear" w:color="auto" w:fill="auto"/>
            <w:noWrap/>
            <w:vAlign w:val="center"/>
            <w:hideMark/>
          </w:tcPr>
          <w:p w14:paraId="4F136CB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27.3%</w:t>
            </w:r>
          </w:p>
        </w:tc>
        <w:tc>
          <w:tcPr>
            <w:tcW w:w="621" w:type="dxa"/>
            <w:tcBorders>
              <w:top w:val="nil"/>
              <w:left w:val="nil"/>
              <w:bottom w:val="nil"/>
              <w:right w:val="nil"/>
            </w:tcBorders>
            <w:shd w:val="clear" w:color="auto" w:fill="auto"/>
            <w:noWrap/>
            <w:vAlign w:val="center"/>
            <w:hideMark/>
          </w:tcPr>
          <w:p w14:paraId="373E9EA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24.7%</w:t>
            </w:r>
          </w:p>
        </w:tc>
        <w:tc>
          <w:tcPr>
            <w:tcW w:w="622" w:type="dxa"/>
            <w:tcBorders>
              <w:top w:val="nil"/>
              <w:left w:val="nil"/>
              <w:bottom w:val="nil"/>
              <w:right w:val="nil"/>
            </w:tcBorders>
            <w:shd w:val="clear" w:color="auto" w:fill="auto"/>
            <w:noWrap/>
            <w:vAlign w:val="center"/>
            <w:hideMark/>
          </w:tcPr>
          <w:p w14:paraId="7858E49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31.6%</w:t>
            </w:r>
          </w:p>
        </w:tc>
        <w:tc>
          <w:tcPr>
            <w:tcW w:w="622" w:type="dxa"/>
            <w:tcBorders>
              <w:top w:val="nil"/>
              <w:left w:val="nil"/>
              <w:bottom w:val="nil"/>
              <w:right w:val="nil"/>
            </w:tcBorders>
            <w:shd w:val="clear" w:color="auto" w:fill="auto"/>
            <w:noWrap/>
            <w:vAlign w:val="center"/>
            <w:hideMark/>
          </w:tcPr>
          <w:p w14:paraId="0545C3E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22.1%</w:t>
            </w:r>
          </w:p>
        </w:tc>
        <w:tc>
          <w:tcPr>
            <w:tcW w:w="621" w:type="dxa"/>
            <w:tcBorders>
              <w:top w:val="nil"/>
              <w:left w:val="nil"/>
              <w:bottom w:val="nil"/>
              <w:right w:val="nil"/>
            </w:tcBorders>
            <w:shd w:val="clear" w:color="auto" w:fill="auto"/>
            <w:noWrap/>
            <w:vAlign w:val="center"/>
            <w:hideMark/>
          </w:tcPr>
          <w:p w14:paraId="607A43E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23.8%</w:t>
            </w:r>
          </w:p>
        </w:tc>
        <w:tc>
          <w:tcPr>
            <w:tcW w:w="622" w:type="dxa"/>
            <w:tcBorders>
              <w:top w:val="nil"/>
              <w:left w:val="nil"/>
              <w:bottom w:val="nil"/>
              <w:right w:val="nil"/>
            </w:tcBorders>
            <w:shd w:val="clear" w:color="auto" w:fill="auto"/>
            <w:noWrap/>
            <w:vAlign w:val="center"/>
            <w:hideMark/>
          </w:tcPr>
          <w:p w14:paraId="4D8C92F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21.0%</w:t>
            </w:r>
          </w:p>
        </w:tc>
        <w:tc>
          <w:tcPr>
            <w:tcW w:w="622" w:type="dxa"/>
            <w:tcBorders>
              <w:top w:val="nil"/>
              <w:left w:val="nil"/>
              <w:bottom w:val="nil"/>
              <w:right w:val="nil"/>
            </w:tcBorders>
            <w:shd w:val="clear" w:color="auto" w:fill="auto"/>
            <w:noWrap/>
            <w:vAlign w:val="center"/>
            <w:hideMark/>
          </w:tcPr>
          <w:p w14:paraId="24F0077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17.6%</w:t>
            </w:r>
          </w:p>
        </w:tc>
        <w:tc>
          <w:tcPr>
            <w:tcW w:w="621" w:type="dxa"/>
            <w:tcBorders>
              <w:top w:val="nil"/>
              <w:left w:val="nil"/>
              <w:bottom w:val="nil"/>
              <w:right w:val="nil"/>
            </w:tcBorders>
            <w:shd w:val="clear" w:color="auto" w:fill="auto"/>
            <w:noWrap/>
            <w:vAlign w:val="center"/>
            <w:hideMark/>
          </w:tcPr>
          <w:p w14:paraId="275A6CD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26.9%</w:t>
            </w:r>
          </w:p>
        </w:tc>
        <w:tc>
          <w:tcPr>
            <w:tcW w:w="622" w:type="dxa"/>
            <w:tcBorders>
              <w:top w:val="nil"/>
              <w:left w:val="nil"/>
              <w:bottom w:val="nil"/>
              <w:right w:val="nil"/>
            </w:tcBorders>
            <w:shd w:val="clear" w:color="auto" w:fill="auto"/>
            <w:noWrap/>
            <w:vAlign w:val="center"/>
            <w:hideMark/>
          </w:tcPr>
          <w:p w14:paraId="530E586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24.3%</w:t>
            </w:r>
          </w:p>
        </w:tc>
        <w:tc>
          <w:tcPr>
            <w:tcW w:w="621" w:type="dxa"/>
            <w:tcBorders>
              <w:top w:val="nil"/>
              <w:left w:val="nil"/>
              <w:bottom w:val="nil"/>
              <w:right w:val="nil"/>
            </w:tcBorders>
            <w:shd w:val="clear" w:color="auto" w:fill="auto"/>
            <w:noWrap/>
            <w:vAlign w:val="center"/>
            <w:hideMark/>
          </w:tcPr>
          <w:p w14:paraId="68637C7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25.8%</w:t>
            </w:r>
          </w:p>
        </w:tc>
        <w:tc>
          <w:tcPr>
            <w:tcW w:w="622" w:type="dxa"/>
            <w:tcBorders>
              <w:top w:val="nil"/>
              <w:left w:val="nil"/>
              <w:bottom w:val="nil"/>
              <w:right w:val="nil"/>
            </w:tcBorders>
            <w:shd w:val="clear" w:color="auto" w:fill="auto"/>
            <w:noWrap/>
            <w:vAlign w:val="center"/>
            <w:hideMark/>
          </w:tcPr>
          <w:p w14:paraId="4BAB529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23.6%</w:t>
            </w:r>
          </w:p>
        </w:tc>
        <w:tc>
          <w:tcPr>
            <w:tcW w:w="622" w:type="dxa"/>
            <w:tcBorders>
              <w:top w:val="nil"/>
              <w:left w:val="nil"/>
              <w:bottom w:val="nil"/>
              <w:right w:val="nil"/>
            </w:tcBorders>
            <w:shd w:val="clear" w:color="auto" w:fill="auto"/>
            <w:noWrap/>
            <w:vAlign w:val="center"/>
            <w:hideMark/>
          </w:tcPr>
          <w:p w14:paraId="068BADB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22.5%</w:t>
            </w:r>
          </w:p>
        </w:tc>
        <w:tc>
          <w:tcPr>
            <w:tcW w:w="621" w:type="dxa"/>
            <w:tcBorders>
              <w:top w:val="nil"/>
              <w:left w:val="nil"/>
              <w:bottom w:val="nil"/>
              <w:right w:val="nil"/>
            </w:tcBorders>
            <w:shd w:val="clear" w:color="auto" w:fill="auto"/>
            <w:noWrap/>
            <w:vAlign w:val="center"/>
            <w:hideMark/>
          </w:tcPr>
          <w:p w14:paraId="379416EE"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16.2%</w:t>
            </w:r>
          </w:p>
        </w:tc>
        <w:tc>
          <w:tcPr>
            <w:tcW w:w="622" w:type="dxa"/>
            <w:tcBorders>
              <w:top w:val="nil"/>
              <w:left w:val="nil"/>
              <w:bottom w:val="nil"/>
              <w:right w:val="nil"/>
            </w:tcBorders>
            <w:shd w:val="clear" w:color="auto" w:fill="auto"/>
            <w:noWrap/>
            <w:vAlign w:val="center"/>
            <w:hideMark/>
          </w:tcPr>
          <w:p w14:paraId="47406CF2"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18.2%</w:t>
            </w:r>
          </w:p>
        </w:tc>
        <w:tc>
          <w:tcPr>
            <w:tcW w:w="622" w:type="dxa"/>
            <w:tcBorders>
              <w:top w:val="nil"/>
              <w:left w:val="nil"/>
              <w:bottom w:val="nil"/>
              <w:right w:val="nil"/>
            </w:tcBorders>
            <w:shd w:val="clear" w:color="auto" w:fill="auto"/>
            <w:noWrap/>
            <w:vAlign w:val="center"/>
            <w:hideMark/>
          </w:tcPr>
          <w:p w14:paraId="0DA05A81"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18.5%</w:t>
            </w:r>
          </w:p>
        </w:tc>
        <w:tc>
          <w:tcPr>
            <w:tcW w:w="621" w:type="dxa"/>
            <w:tcBorders>
              <w:top w:val="nil"/>
              <w:left w:val="nil"/>
              <w:bottom w:val="nil"/>
              <w:right w:val="nil"/>
            </w:tcBorders>
            <w:shd w:val="clear" w:color="auto" w:fill="auto"/>
            <w:noWrap/>
            <w:vAlign w:val="center"/>
            <w:hideMark/>
          </w:tcPr>
          <w:p w14:paraId="5BBCD17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16.8%</w:t>
            </w:r>
          </w:p>
        </w:tc>
        <w:tc>
          <w:tcPr>
            <w:tcW w:w="622" w:type="dxa"/>
            <w:tcBorders>
              <w:top w:val="nil"/>
              <w:left w:val="nil"/>
              <w:bottom w:val="nil"/>
              <w:right w:val="nil"/>
            </w:tcBorders>
            <w:shd w:val="clear" w:color="auto" w:fill="auto"/>
            <w:noWrap/>
            <w:vAlign w:val="center"/>
            <w:hideMark/>
          </w:tcPr>
          <w:p w14:paraId="75BDA55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18.8%</w:t>
            </w:r>
          </w:p>
        </w:tc>
        <w:tc>
          <w:tcPr>
            <w:tcW w:w="622" w:type="dxa"/>
            <w:tcBorders>
              <w:top w:val="nil"/>
              <w:left w:val="nil"/>
              <w:bottom w:val="nil"/>
              <w:right w:val="nil"/>
            </w:tcBorders>
            <w:shd w:val="clear" w:color="auto" w:fill="auto"/>
            <w:noWrap/>
            <w:vAlign w:val="center"/>
            <w:hideMark/>
          </w:tcPr>
          <w:p w14:paraId="077BE66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28.8%</w:t>
            </w:r>
          </w:p>
        </w:tc>
      </w:tr>
      <w:tr w:rsidR="009E5674" w:rsidRPr="00163E75" w14:paraId="26B1254E"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12EB257D"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05 Environmental Sciences</w:t>
            </w:r>
          </w:p>
        </w:tc>
        <w:tc>
          <w:tcPr>
            <w:tcW w:w="621" w:type="dxa"/>
            <w:tcBorders>
              <w:top w:val="nil"/>
              <w:left w:val="nil"/>
              <w:bottom w:val="nil"/>
              <w:right w:val="nil"/>
            </w:tcBorders>
            <w:shd w:val="clear" w:color="auto" w:fill="auto"/>
            <w:noWrap/>
            <w:vAlign w:val="center"/>
            <w:hideMark/>
          </w:tcPr>
          <w:p w14:paraId="6209F16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17.8%</w:t>
            </w:r>
          </w:p>
        </w:tc>
        <w:tc>
          <w:tcPr>
            <w:tcW w:w="622" w:type="dxa"/>
            <w:tcBorders>
              <w:top w:val="nil"/>
              <w:left w:val="nil"/>
              <w:bottom w:val="nil"/>
              <w:right w:val="nil"/>
            </w:tcBorders>
            <w:shd w:val="clear" w:color="auto" w:fill="auto"/>
            <w:noWrap/>
            <w:vAlign w:val="center"/>
            <w:hideMark/>
          </w:tcPr>
          <w:p w14:paraId="327F7AE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29.8%</w:t>
            </w:r>
          </w:p>
        </w:tc>
        <w:tc>
          <w:tcPr>
            <w:tcW w:w="621" w:type="dxa"/>
            <w:tcBorders>
              <w:top w:val="nil"/>
              <w:left w:val="nil"/>
              <w:bottom w:val="nil"/>
              <w:right w:val="nil"/>
            </w:tcBorders>
            <w:shd w:val="clear" w:color="auto" w:fill="auto"/>
            <w:noWrap/>
            <w:vAlign w:val="center"/>
            <w:hideMark/>
          </w:tcPr>
          <w:p w14:paraId="5F99B78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20.0%</w:t>
            </w:r>
          </w:p>
        </w:tc>
        <w:tc>
          <w:tcPr>
            <w:tcW w:w="622" w:type="dxa"/>
            <w:tcBorders>
              <w:top w:val="nil"/>
              <w:left w:val="nil"/>
              <w:bottom w:val="nil"/>
              <w:right w:val="nil"/>
            </w:tcBorders>
            <w:shd w:val="clear" w:color="auto" w:fill="auto"/>
            <w:noWrap/>
            <w:vAlign w:val="center"/>
            <w:hideMark/>
          </w:tcPr>
          <w:p w14:paraId="2722427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22.2%</w:t>
            </w:r>
          </w:p>
        </w:tc>
        <w:tc>
          <w:tcPr>
            <w:tcW w:w="622" w:type="dxa"/>
            <w:tcBorders>
              <w:top w:val="nil"/>
              <w:left w:val="nil"/>
              <w:bottom w:val="nil"/>
              <w:right w:val="nil"/>
            </w:tcBorders>
            <w:shd w:val="clear" w:color="auto" w:fill="auto"/>
            <w:noWrap/>
            <w:vAlign w:val="center"/>
            <w:hideMark/>
          </w:tcPr>
          <w:p w14:paraId="685D485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26.5%</w:t>
            </w:r>
          </w:p>
        </w:tc>
        <w:tc>
          <w:tcPr>
            <w:tcW w:w="621" w:type="dxa"/>
            <w:tcBorders>
              <w:top w:val="nil"/>
              <w:left w:val="nil"/>
              <w:bottom w:val="nil"/>
              <w:right w:val="nil"/>
            </w:tcBorders>
            <w:shd w:val="clear" w:color="auto" w:fill="auto"/>
            <w:noWrap/>
            <w:vAlign w:val="center"/>
            <w:hideMark/>
          </w:tcPr>
          <w:p w14:paraId="5DAE164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24.6%</w:t>
            </w:r>
          </w:p>
        </w:tc>
        <w:tc>
          <w:tcPr>
            <w:tcW w:w="622" w:type="dxa"/>
            <w:tcBorders>
              <w:top w:val="nil"/>
              <w:left w:val="nil"/>
              <w:bottom w:val="nil"/>
              <w:right w:val="nil"/>
            </w:tcBorders>
            <w:shd w:val="clear" w:color="auto" w:fill="auto"/>
            <w:noWrap/>
            <w:vAlign w:val="center"/>
            <w:hideMark/>
          </w:tcPr>
          <w:p w14:paraId="7A98F98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15.9%</w:t>
            </w:r>
          </w:p>
        </w:tc>
        <w:tc>
          <w:tcPr>
            <w:tcW w:w="622" w:type="dxa"/>
            <w:tcBorders>
              <w:top w:val="nil"/>
              <w:left w:val="nil"/>
              <w:bottom w:val="nil"/>
              <w:right w:val="nil"/>
            </w:tcBorders>
            <w:shd w:val="clear" w:color="auto" w:fill="auto"/>
            <w:noWrap/>
            <w:vAlign w:val="center"/>
            <w:hideMark/>
          </w:tcPr>
          <w:p w14:paraId="59AAA80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20.3%</w:t>
            </w:r>
          </w:p>
        </w:tc>
        <w:tc>
          <w:tcPr>
            <w:tcW w:w="621" w:type="dxa"/>
            <w:tcBorders>
              <w:top w:val="nil"/>
              <w:left w:val="nil"/>
              <w:bottom w:val="nil"/>
              <w:right w:val="nil"/>
            </w:tcBorders>
            <w:shd w:val="clear" w:color="auto" w:fill="auto"/>
            <w:noWrap/>
            <w:vAlign w:val="center"/>
            <w:hideMark/>
          </w:tcPr>
          <w:p w14:paraId="02FD270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13.0%</w:t>
            </w:r>
          </w:p>
        </w:tc>
        <w:tc>
          <w:tcPr>
            <w:tcW w:w="622" w:type="dxa"/>
            <w:tcBorders>
              <w:top w:val="nil"/>
              <w:left w:val="nil"/>
              <w:bottom w:val="nil"/>
              <w:right w:val="nil"/>
            </w:tcBorders>
            <w:shd w:val="clear" w:color="auto" w:fill="auto"/>
            <w:noWrap/>
            <w:vAlign w:val="center"/>
            <w:hideMark/>
          </w:tcPr>
          <w:p w14:paraId="44CF158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17.3%</w:t>
            </w:r>
          </w:p>
        </w:tc>
        <w:tc>
          <w:tcPr>
            <w:tcW w:w="621" w:type="dxa"/>
            <w:tcBorders>
              <w:top w:val="nil"/>
              <w:left w:val="nil"/>
              <w:bottom w:val="nil"/>
              <w:right w:val="nil"/>
            </w:tcBorders>
            <w:shd w:val="clear" w:color="auto" w:fill="auto"/>
            <w:noWrap/>
            <w:vAlign w:val="center"/>
            <w:hideMark/>
          </w:tcPr>
          <w:p w14:paraId="5778C72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19.1%</w:t>
            </w:r>
          </w:p>
        </w:tc>
        <w:tc>
          <w:tcPr>
            <w:tcW w:w="622" w:type="dxa"/>
            <w:tcBorders>
              <w:top w:val="nil"/>
              <w:left w:val="nil"/>
              <w:bottom w:val="nil"/>
              <w:right w:val="nil"/>
            </w:tcBorders>
            <w:shd w:val="clear" w:color="auto" w:fill="auto"/>
            <w:noWrap/>
            <w:vAlign w:val="center"/>
            <w:hideMark/>
          </w:tcPr>
          <w:p w14:paraId="4F7D63C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13.2%</w:t>
            </w:r>
          </w:p>
        </w:tc>
        <w:tc>
          <w:tcPr>
            <w:tcW w:w="622" w:type="dxa"/>
            <w:tcBorders>
              <w:top w:val="nil"/>
              <w:left w:val="nil"/>
              <w:bottom w:val="nil"/>
              <w:right w:val="nil"/>
            </w:tcBorders>
            <w:shd w:val="clear" w:color="auto" w:fill="auto"/>
            <w:noWrap/>
            <w:vAlign w:val="center"/>
            <w:hideMark/>
          </w:tcPr>
          <w:p w14:paraId="186AD5F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19.0%</w:t>
            </w:r>
          </w:p>
        </w:tc>
        <w:tc>
          <w:tcPr>
            <w:tcW w:w="621" w:type="dxa"/>
            <w:tcBorders>
              <w:top w:val="nil"/>
              <w:left w:val="nil"/>
              <w:bottom w:val="nil"/>
              <w:right w:val="nil"/>
            </w:tcBorders>
            <w:shd w:val="clear" w:color="auto" w:fill="auto"/>
            <w:noWrap/>
            <w:vAlign w:val="center"/>
            <w:hideMark/>
          </w:tcPr>
          <w:p w14:paraId="559F2F6F"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16.5%</w:t>
            </w:r>
          </w:p>
        </w:tc>
        <w:tc>
          <w:tcPr>
            <w:tcW w:w="622" w:type="dxa"/>
            <w:tcBorders>
              <w:top w:val="nil"/>
              <w:left w:val="nil"/>
              <w:bottom w:val="nil"/>
              <w:right w:val="nil"/>
            </w:tcBorders>
            <w:shd w:val="clear" w:color="auto" w:fill="auto"/>
            <w:noWrap/>
            <w:vAlign w:val="center"/>
            <w:hideMark/>
          </w:tcPr>
          <w:p w14:paraId="56EB92D5"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9.5%</w:t>
            </w:r>
          </w:p>
        </w:tc>
        <w:tc>
          <w:tcPr>
            <w:tcW w:w="622" w:type="dxa"/>
            <w:tcBorders>
              <w:top w:val="nil"/>
              <w:left w:val="nil"/>
              <w:bottom w:val="nil"/>
              <w:right w:val="nil"/>
            </w:tcBorders>
            <w:shd w:val="clear" w:color="auto" w:fill="auto"/>
            <w:noWrap/>
            <w:vAlign w:val="center"/>
            <w:hideMark/>
          </w:tcPr>
          <w:p w14:paraId="266CE998"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16.8%</w:t>
            </w:r>
          </w:p>
        </w:tc>
        <w:tc>
          <w:tcPr>
            <w:tcW w:w="621" w:type="dxa"/>
            <w:tcBorders>
              <w:top w:val="nil"/>
              <w:left w:val="nil"/>
              <w:bottom w:val="nil"/>
              <w:right w:val="nil"/>
            </w:tcBorders>
            <w:shd w:val="clear" w:color="auto" w:fill="auto"/>
            <w:noWrap/>
            <w:vAlign w:val="center"/>
            <w:hideMark/>
          </w:tcPr>
          <w:p w14:paraId="3B4A3B7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17.9%</w:t>
            </w:r>
          </w:p>
        </w:tc>
        <w:tc>
          <w:tcPr>
            <w:tcW w:w="622" w:type="dxa"/>
            <w:tcBorders>
              <w:top w:val="nil"/>
              <w:left w:val="nil"/>
              <w:bottom w:val="nil"/>
              <w:right w:val="nil"/>
            </w:tcBorders>
            <w:shd w:val="clear" w:color="auto" w:fill="auto"/>
            <w:noWrap/>
            <w:vAlign w:val="center"/>
            <w:hideMark/>
          </w:tcPr>
          <w:p w14:paraId="29D9315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19.7%</w:t>
            </w:r>
          </w:p>
        </w:tc>
        <w:tc>
          <w:tcPr>
            <w:tcW w:w="622" w:type="dxa"/>
            <w:tcBorders>
              <w:top w:val="nil"/>
              <w:left w:val="nil"/>
              <w:bottom w:val="nil"/>
              <w:right w:val="nil"/>
            </w:tcBorders>
            <w:shd w:val="clear" w:color="auto" w:fill="auto"/>
            <w:noWrap/>
            <w:vAlign w:val="center"/>
            <w:hideMark/>
          </w:tcPr>
          <w:p w14:paraId="0C474F1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17.5%</w:t>
            </w:r>
          </w:p>
        </w:tc>
      </w:tr>
      <w:tr w:rsidR="009E5674" w:rsidRPr="00163E75" w14:paraId="5B3C76AD"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74F0EAEA"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06 Biological Sciences</w:t>
            </w:r>
          </w:p>
        </w:tc>
        <w:tc>
          <w:tcPr>
            <w:tcW w:w="621" w:type="dxa"/>
            <w:tcBorders>
              <w:top w:val="nil"/>
              <w:left w:val="nil"/>
              <w:bottom w:val="nil"/>
              <w:right w:val="nil"/>
            </w:tcBorders>
            <w:shd w:val="clear" w:color="auto" w:fill="auto"/>
            <w:noWrap/>
            <w:vAlign w:val="center"/>
            <w:hideMark/>
          </w:tcPr>
          <w:p w14:paraId="5970FB1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28.4%</w:t>
            </w:r>
          </w:p>
        </w:tc>
        <w:tc>
          <w:tcPr>
            <w:tcW w:w="622" w:type="dxa"/>
            <w:tcBorders>
              <w:top w:val="nil"/>
              <w:left w:val="nil"/>
              <w:bottom w:val="nil"/>
              <w:right w:val="nil"/>
            </w:tcBorders>
            <w:shd w:val="clear" w:color="auto" w:fill="auto"/>
            <w:noWrap/>
            <w:vAlign w:val="center"/>
            <w:hideMark/>
          </w:tcPr>
          <w:p w14:paraId="5E5D3A0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28.7%</w:t>
            </w:r>
          </w:p>
        </w:tc>
        <w:tc>
          <w:tcPr>
            <w:tcW w:w="621" w:type="dxa"/>
            <w:tcBorders>
              <w:top w:val="nil"/>
              <w:left w:val="nil"/>
              <w:bottom w:val="nil"/>
              <w:right w:val="nil"/>
            </w:tcBorders>
            <w:shd w:val="clear" w:color="auto" w:fill="auto"/>
            <w:noWrap/>
            <w:vAlign w:val="center"/>
            <w:hideMark/>
          </w:tcPr>
          <w:p w14:paraId="39872F5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27.0%</w:t>
            </w:r>
          </w:p>
        </w:tc>
        <w:tc>
          <w:tcPr>
            <w:tcW w:w="622" w:type="dxa"/>
            <w:tcBorders>
              <w:top w:val="nil"/>
              <w:left w:val="nil"/>
              <w:bottom w:val="nil"/>
              <w:right w:val="nil"/>
            </w:tcBorders>
            <w:shd w:val="clear" w:color="auto" w:fill="auto"/>
            <w:noWrap/>
            <w:vAlign w:val="center"/>
            <w:hideMark/>
          </w:tcPr>
          <w:p w14:paraId="1230544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31.4%</w:t>
            </w:r>
          </w:p>
        </w:tc>
        <w:tc>
          <w:tcPr>
            <w:tcW w:w="622" w:type="dxa"/>
            <w:tcBorders>
              <w:top w:val="nil"/>
              <w:left w:val="nil"/>
              <w:bottom w:val="nil"/>
              <w:right w:val="nil"/>
            </w:tcBorders>
            <w:shd w:val="clear" w:color="auto" w:fill="auto"/>
            <w:noWrap/>
            <w:vAlign w:val="center"/>
            <w:hideMark/>
          </w:tcPr>
          <w:p w14:paraId="631D232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26.6%</w:t>
            </w:r>
          </w:p>
        </w:tc>
        <w:tc>
          <w:tcPr>
            <w:tcW w:w="621" w:type="dxa"/>
            <w:tcBorders>
              <w:top w:val="nil"/>
              <w:left w:val="nil"/>
              <w:bottom w:val="nil"/>
              <w:right w:val="nil"/>
            </w:tcBorders>
            <w:shd w:val="clear" w:color="auto" w:fill="auto"/>
            <w:noWrap/>
            <w:vAlign w:val="center"/>
            <w:hideMark/>
          </w:tcPr>
          <w:p w14:paraId="6FDB157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21.4%</w:t>
            </w:r>
          </w:p>
        </w:tc>
        <w:tc>
          <w:tcPr>
            <w:tcW w:w="622" w:type="dxa"/>
            <w:tcBorders>
              <w:top w:val="nil"/>
              <w:left w:val="nil"/>
              <w:bottom w:val="nil"/>
              <w:right w:val="nil"/>
            </w:tcBorders>
            <w:shd w:val="clear" w:color="auto" w:fill="auto"/>
            <w:noWrap/>
            <w:vAlign w:val="center"/>
            <w:hideMark/>
          </w:tcPr>
          <w:p w14:paraId="42D459B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22.8%</w:t>
            </w:r>
          </w:p>
        </w:tc>
        <w:tc>
          <w:tcPr>
            <w:tcW w:w="622" w:type="dxa"/>
            <w:tcBorders>
              <w:top w:val="nil"/>
              <w:left w:val="nil"/>
              <w:bottom w:val="nil"/>
              <w:right w:val="nil"/>
            </w:tcBorders>
            <w:shd w:val="clear" w:color="auto" w:fill="auto"/>
            <w:noWrap/>
            <w:vAlign w:val="center"/>
            <w:hideMark/>
          </w:tcPr>
          <w:p w14:paraId="6781A9C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20.6%</w:t>
            </w:r>
          </w:p>
        </w:tc>
        <w:tc>
          <w:tcPr>
            <w:tcW w:w="621" w:type="dxa"/>
            <w:tcBorders>
              <w:top w:val="nil"/>
              <w:left w:val="nil"/>
              <w:bottom w:val="nil"/>
              <w:right w:val="nil"/>
            </w:tcBorders>
            <w:shd w:val="clear" w:color="auto" w:fill="auto"/>
            <w:noWrap/>
            <w:vAlign w:val="center"/>
            <w:hideMark/>
          </w:tcPr>
          <w:p w14:paraId="745A0B6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23.0%</w:t>
            </w:r>
          </w:p>
        </w:tc>
        <w:tc>
          <w:tcPr>
            <w:tcW w:w="622" w:type="dxa"/>
            <w:tcBorders>
              <w:top w:val="nil"/>
              <w:left w:val="nil"/>
              <w:bottom w:val="nil"/>
              <w:right w:val="nil"/>
            </w:tcBorders>
            <w:shd w:val="clear" w:color="auto" w:fill="auto"/>
            <w:noWrap/>
            <w:vAlign w:val="center"/>
            <w:hideMark/>
          </w:tcPr>
          <w:p w14:paraId="3D747AC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27.0%</w:t>
            </w:r>
          </w:p>
        </w:tc>
        <w:tc>
          <w:tcPr>
            <w:tcW w:w="621" w:type="dxa"/>
            <w:tcBorders>
              <w:top w:val="nil"/>
              <w:left w:val="nil"/>
              <w:bottom w:val="nil"/>
              <w:right w:val="nil"/>
            </w:tcBorders>
            <w:shd w:val="clear" w:color="auto" w:fill="auto"/>
            <w:noWrap/>
            <w:vAlign w:val="center"/>
            <w:hideMark/>
          </w:tcPr>
          <w:p w14:paraId="3896468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24.9%</w:t>
            </w:r>
          </w:p>
        </w:tc>
        <w:tc>
          <w:tcPr>
            <w:tcW w:w="622" w:type="dxa"/>
            <w:tcBorders>
              <w:top w:val="nil"/>
              <w:left w:val="nil"/>
              <w:bottom w:val="nil"/>
              <w:right w:val="nil"/>
            </w:tcBorders>
            <w:shd w:val="clear" w:color="auto" w:fill="auto"/>
            <w:noWrap/>
            <w:vAlign w:val="center"/>
            <w:hideMark/>
          </w:tcPr>
          <w:p w14:paraId="781DACD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22.8%</w:t>
            </w:r>
          </w:p>
        </w:tc>
        <w:tc>
          <w:tcPr>
            <w:tcW w:w="622" w:type="dxa"/>
            <w:tcBorders>
              <w:top w:val="nil"/>
              <w:left w:val="nil"/>
              <w:bottom w:val="nil"/>
              <w:right w:val="nil"/>
            </w:tcBorders>
            <w:shd w:val="clear" w:color="auto" w:fill="auto"/>
            <w:noWrap/>
            <w:vAlign w:val="center"/>
            <w:hideMark/>
          </w:tcPr>
          <w:p w14:paraId="257DC77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20.2%</w:t>
            </w:r>
          </w:p>
        </w:tc>
        <w:tc>
          <w:tcPr>
            <w:tcW w:w="621" w:type="dxa"/>
            <w:tcBorders>
              <w:top w:val="nil"/>
              <w:left w:val="nil"/>
              <w:bottom w:val="nil"/>
              <w:right w:val="nil"/>
            </w:tcBorders>
            <w:shd w:val="clear" w:color="auto" w:fill="auto"/>
            <w:noWrap/>
            <w:vAlign w:val="center"/>
            <w:hideMark/>
          </w:tcPr>
          <w:p w14:paraId="6559318F"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20.2%</w:t>
            </w:r>
          </w:p>
        </w:tc>
        <w:tc>
          <w:tcPr>
            <w:tcW w:w="622" w:type="dxa"/>
            <w:tcBorders>
              <w:top w:val="nil"/>
              <w:left w:val="nil"/>
              <w:bottom w:val="nil"/>
              <w:right w:val="nil"/>
            </w:tcBorders>
            <w:shd w:val="clear" w:color="auto" w:fill="auto"/>
            <w:noWrap/>
            <w:vAlign w:val="center"/>
            <w:hideMark/>
          </w:tcPr>
          <w:p w14:paraId="29CF304A"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21.5%</w:t>
            </w:r>
          </w:p>
        </w:tc>
        <w:tc>
          <w:tcPr>
            <w:tcW w:w="622" w:type="dxa"/>
            <w:tcBorders>
              <w:top w:val="nil"/>
              <w:left w:val="nil"/>
              <w:bottom w:val="nil"/>
              <w:right w:val="nil"/>
            </w:tcBorders>
            <w:shd w:val="clear" w:color="auto" w:fill="auto"/>
            <w:noWrap/>
            <w:vAlign w:val="center"/>
            <w:hideMark/>
          </w:tcPr>
          <w:p w14:paraId="0C7C4B98"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20.0%</w:t>
            </w:r>
          </w:p>
        </w:tc>
        <w:tc>
          <w:tcPr>
            <w:tcW w:w="621" w:type="dxa"/>
            <w:tcBorders>
              <w:top w:val="nil"/>
              <w:left w:val="nil"/>
              <w:bottom w:val="nil"/>
              <w:right w:val="nil"/>
            </w:tcBorders>
            <w:shd w:val="clear" w:color="auto" w:fill="auto"/>
            <w:noWrap/>
            <w:vAlign w:val="center"/>
            <w:hideMark/>
          </w:tcPr>
          <w:p w14:paraId="176CCF5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21.5%</w:t>
            </w:r>
          </w:p>
        </w:tc>
        <w:tc>
          <w:tcPr>
            <w:tcW w:w="622" w:type="dxa"/>
            <w:tcBorders>
              <w:top w:val="nil"/>
              <w:left w:val="nil"/>
              <w:bottom w:val="nil"/>
              <w:right w:val="nil"/>
            </w:tcBorders>
            <w:shd w:val="clear" w:color="auto" w:fill="auto"/>
            <w:noWrap/>
            <w:vAlign w:val="center"/>
            <w:hideMark/>
          </w:tcPr>
          <w:p w14:paraId="445B6DF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24.5%</w:t>
            </w:r>
          </w:p>
        </w:tc>
        <w:tc>
          <w:tcPr>
            <w:tcW w:w="622" w:type="dxa"/>
            <w:tcBorders>
              <w:top w:val="nil"/>
              <w:left w:val="nil"/>
              <w:bottom w:val="nil"/>
              <w:right w:val="nil"/>
            </w:tcBorders>
            <w:shd w:val="clear" w:color="auto" w:fill="auto"/>
            <w:noWrap/>
            <w:vAlign w:val="center"/>
            <w:hideMark/>
          </w:tcPr>
          <w:p w14:paraId="02964E0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23.6%</w:t>
            </w:r>
          </w:p>
        </w:tc>
      </w:tr>
      <w:tr w:rsidR="009E5674" w:rsidRPr="00163E75" w14:paraId="2F4F7858"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39A1A8A9"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07 Agricultural and Veterinary Sciences</w:t>
            </w:r>
          </w:p>
        </w:tc>
        <w:tc>
          <w:tcPr>
            <w:tcW w:w="621" w:type="dxa"/>
            <w:tcBorders>
              <w:top w:val="nil"/>
              <w:left w:val="nil"/>
              <w:bottom w:val="nil"/>
              <w:right w:val="nil"/>
            </w:tcBorders>
            <w:shd w:val="clear" w:color="auto" w:fill="auto"/>
            <w:noWrap/>
            <w:vAlign w:val="center"/>
            <w:hideMark/>
          </w:tcPr>
          <w:p w14:paraId="09D035C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8.2%</w:t>
            </w:r>
          </w:p>
        </w:tc>
        <w:tc>
          <w:tcPr>
            <w:tcW w:w="622" w:type="dxa"/>
            <w:tcBorders>
              <w:top w:val="nil"/>
              <w:left w:val="nil"/>
              <w:bottom w:val="nil"/>
              <w:right w:val="nil"/>
            </w:tcBorders>
            <w:shd w:val="clear" w:color="auto" w:fill="auto"/>
            <w:noWrap/>
            <w:vAlign w:val="center"/>
            <w:hideMark/>
          </w:tcPr>
          <w:p w14:paraId="13AB2F9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15.4%</w:t>
            </w:r>
          </w:p>
        </w:tc>
        <w:tc>
          <w:tcPr>
            <w:tcW w:w="621" w:type="dxa"/>
            <w:tcBorders>
              <w:top w:val="nil"/>
              <w:left w:val="nil"/>
              <w:bottom w:val="nil"/>
              <w:right w:val="nil"/>
            </w:tcBorders>
            <w:shd w:val="clear" w:color="auto" w:fill="auto"/>
            <w:noWrap/>
            <w:vAlign w:val="center"/>
            <w:hideMark/>
          </w:tcPr>
          <w:p w14:paraId="294C8A3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20.6%</w:t>
            </w:r>
          </w:p>
        </w:tc>
        <w:tc>
          <w:tcPr>
            <w:tcW w:w="622" w:type="dxa"/>
            <w:tcBorders>
              <w:top w:val="nil"/>
              <w:left w:val="nil"/>
              <w:bottom w:val="nil"/>
              <w:right w:val="nil"/>
            </w:tcBorders>
            <w:shd w:val="clear" w:color="auto" w:fill="auto"/>
            <w:noWrap/>
            <w:vAlign w:val="center"/>
            <w:hideMark/>
          </w:tcPr>
          <w:p w14:paraId="785F573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13.3%</w:t>
            </w:r>
          </w:p>
        </w:tc>
        <w:tc>
          <w:tcPr>
            <w:tcW w:w="622" w:type="dxa"/>
            <w:tcBorders>
              <w:top w:val="nil"/>
              <w:left w:val="nil"/>
              <w:bottom w:val="nil"/>
              <w:right w:val="nil"/>
            </w:tcBorders>
            <w:shd w:val="clear" w:color="auto" w:fill="auto"/>
            <w:noWrap/>
            <w:vAlign w:val="center"/>
            <w:hideMark/>
          </w:tcPr>
          <w:p w14:paraId="7CA0CC4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26.5%</w:t>
            </w:r>
          </w:p>
        </w:tc>
        <w:tc>
          <w:tcPr>
            <w:tcW w:w="621" w:type="dxa"/>
            <w:tcBorders>
              <w:top w:val="nil"/>
              <w:left w:val="nil"/>
              <w:bottom w:val="nil"/>
              <w:right w:val="nil"/>
            </w:tcBorders>
            <w:shd w:val="clear" w:color="auto" w:fill="auto"/>
            <w:noWrap/>
            <w:vAlign w:val="center"/>
            <w:hideMark/>
          </w:tcPr>
          <w:p w14:paraId="3FC9220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25.7%</w:t>
            </w:r>
          </w:p>
        </w:tc>
        <w:tc>
          <w:tcPr>
            <w:tcW w:w="622" w:type="dxa"/>
            <w:tcBorders>
              <w:top w:val="nil"/>
              <w:left w:val="nil"/>
              <w:bottom w:val="nil"/>
              <w:right w:val="nil"/>
            </w:tcBorders>
            <w:shd w:val="clear" w:color="auto" w:fill="auto"/>
            <w:noWrap/>
            <w:vAlign w:val="center"/>
            <w:hideMark/>
          </w:tcPr>
          <w:p w14:paraId="222BFC0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12.5%</w:t>
            </w:r>
          </w:p>
        </w:tc>
        <w:tc>
          <w:tcPr>
            <w:tcW w:w="622" w:type="dxa"/>
            <w:tcBorders>
              <w:top w:val="nil"/>
              <w:left w:val="nil"/>
              <w:bottom w:val="nil"/>
              <w:right w:val="nil"/>
            </w:tcBorders>
            <w:shd w:val="clear" w:color="auto" w:fill="auto"/>
            <w:noWrap/>
            <w:vAlign w:val="center"/>
            <w:hideMark/>
          </w:tcPr>
          <w:p w14:paraId="0C6F7D7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8.3%</w:t>
            </w:r>
          </w:p>
        </w:tc>
        <w:tc>
          <w:tcPr>
            <w:tcW w:w="621" w:type="dxa"/>
            <w:tcBorders>
              <w:top w:val="nil"/>
              <w:left w:val="nil"/>
              <w:bottom w:val="nil"/>
              <w:right w:val="nil"/>
            </w:tcBorders>
            <w:shd w:val="clear" w:color="auto" w:fill="auto"/>
            <w:noWrap/>
            <w:vAlign w:val="center"/>
            <w:hideMark/>
          </w:tcPr>
          <w:p w14:paraId="2C2C320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30.4%</w:t>
            </w:r>
          </w:p>
        </w:tc>
        <w:tc>
          <w:tcPr>
            <w:tcW w:w="622" w:type="dxa"/>
            <w:tcBorders>
              <w:top w:val="nil"/>
              <w:left w:val="nil"/>
              <w:bottom w:val="nil"/>
              <w:right w:val="nil"/>
            </w:tcBorders>
            <w:shd w:val="clear" w:color="auto" w:fill="auto"/>
            <w:noWrap/>
            <w:vAlign w:val="center"/>
            <w:hideMark/>
          </w:tcPr>
          <w:p w14:paraId="3688893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6.3%</w:t>
            </w:r>
          </w:p>
        </w:tc>
        <w:tc>
          <w:tcPr>
            <w:tcW w:w="621" w:type="dxa"/>
            <w:tcBorders>
              <w:top w:val="nil"/>
              <w:left w:val="nil"/>
              <w:bottom w:val="nil"/>
              <w:right w:val="nil"/>
            </w:tcBorders>
            <w:shd w:val="clear" w:color="auto" w:fill="auto"/>
            <w:noWrap/>
            <w:vAlign w:val="center"/>
            <w:hideMark/>
          </w:tcPr>
          <w:p w14:paraId="2F05E0A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9.4%</w:t>
            </w:r>
          </w:p>
        </w:tc>
        <w:tc>
          <w:tcPr>
            <w:tcW w:w="622" w:type="dxa"/>
            <w:tcBorders>
              <w:top w:val="nil"/>
              <w:left w:val="nil"/>
              <w:bottom w:val="nil"/>
              <w:right w:val="nil"/>
            </w:tcBorders>
            <w:shd w:val="clear" w:color="auto" w:fill="auto"/>
            <w:noWrap/>
            <w:vAlign w:val="center"/>
            <w:hideMark/>
          </w:tcPr>
          <w:p w14:paraId="0F88F57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20.0%</w:t>
            </w:r>
          </w:p>
        </w:tc>
        <w:tc>
          <w:tcPr>
            <w:tcW w:w="622" w:type="dxa"/>
            <w:tcBorders>
              <w:top w:val="nil"/>
              <w:left w:val="nil"/>
              <w:bottom w:val="nil"/>
              <w:right w:val="nil"/>
            </w:tcBorders>
            <w:shd w:val="clear" w:color="auto" w:fill="auto"/>
            <w:noWrap/>
            <w:vAlign w:val="center"/>
            <w:hideMark/>
          </w:tcPr>
          <w:p w14:paraId="143D749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12.1%</w:t>
            </w:r>
          </w:p>
        </w:tc>
        <w:tc>
          <w:tcPr>
            <w:tcW w:w="621" w:type="dxa"/>
            <w:tcBorders>
              <w:top w:val="nil"/>
              <w:left w:val="nil"/>
              <w:bottom w:val="nil"/>
              <w:right w:val="nil"/>
            </w:tcBorders>
            <w:shd w:val="clear" w:color="auto" w:fill="auto"/>
            <w:noWrap/>
            <w:vAlign w:val="center"/>
            <w:hideMark/>
          </w:tcPr>
          <w:p w14:paraId="14AE1AE6"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12.2%</w:t>
            </w:r>
          </w:p>
        </w:tc>
        <w:tc>
          <w:tcPr>
            <w:tcW w:w="622" w:type="dxa"/>
            <w:tcBorders>
              <w:top w:val="nil"/>
              <w:left w:val="nil"/>
              <w:bottom w:val="nil"/>
              <w:right w:val="nil"/>
            </w:tcBorders>
            <w:shd w:val="clear" w:color="auto" w:fill="auto"/>
            <w:noWrap/>
            <w:vAlign w:val="center"/>
            <w:hideMark/>
          </w:tcPr>
          <w:p w14:paraId="764AA7D1"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6.7%</w:t>
            </w:r>
          </w:p>
        </w:tc>
        <w:tc>
          <w:tcPr>
            <w:tcW w:w="622" w:type="dxa"/>
            <w:tcBorders>
              <w:top w:val="nil"/>
              <w:left w:val="nil"/>
              <w:bottom w:val="nil"/>
              <w:right w:val="nil"/>
            </w:tcBorders>
            <w:shd w:val="clear" w:color="auto" w:fill="auto"/>
            <w:noWrap/>
            <w:vAlign w:val="center"/>
            <w:hideMark/>
          </w:tcPr>
          <w:p w14:paraId="2914FAF5"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8.1%</w:t>
            </w:r>
          </w:p>
        </w:tc>
        <w:tc>
          <w:tcPr>
            <w:tcW w:w="621" w:type="dxa"/>
            <w:tcBorders>
              <w:top w:val="nil"/>
              <w:left w:val="nil"/>
              <w:bottom w:val="nil"/>
              <w:right w:val="nil"/>
            </w:tcBorders>
            <w:shd w:val="clear" w:color="auto" w:fill="auto"/>
            <w:noWrap/>
            <w:vAlign w:val="center"/>
            <w:hideMark/>
          </w:tcPr>
          <w:p w14:paraId="24EC509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12.1%</w:t>
            </w:r>
          </w:p>
        </w:tc>
        <w:tc>
          <w:tcPr>
            <w:tcW w:w="622" w:type="dxa"/>
            <w:tcBorders>
              <w:top w:val="nil"/>
              <w:left w:val="nil"/>
              <w:bottom w:val="nil"/>
              <w:right w:val="nil"/>
            </w:tcBorders>
            <w:shd w:val="clear" w:color="auto" w:fill="auto"/>
            <w:noWrap/>
            <w:vAlign w:val="center"/>
            <w:hideMark/>
          </w:tcPr>
          <w:p w14:paraId="18DB69B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14.3%</w:t>
            </w:r>
          </w:p>
        </w:tc>
        <w:tc>
          <w:tcPr>
            <w:tcW w:w="622" w:type="dxa"/>
            <w:tcBorders>
              <w:top w:val="nil"/>
              <w:left w:val="nil"/>
              <w:bottom w:val="nil"/>
              <w:right w:val="nil"/>
            </w:tcBorders>
            <w:shd w:val="clear" w:color="auto" w:fill="auto"/>
            <w:noWrap/>
            <w:vAlign w:val="center"/>
            <w:hideMark/>
          </w:tcPr>
          <w:p w14:paraId="3472B32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17.9%</w:t>
            </w:r>
          </w:p>
        </w:tc>
      </w:tr>
      <w:tr w:rsidR="009E5674" w:rsidRPr="00163E75" w14:paraId="2566B77F"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16C8A302"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08 Information and Computing Sciences</w:t>
            </w:r>
          </w:p>
        </w:tc>
        <w:tc>
          <w:tcPr>
            <w:tcW w:w="621" w:type="dxa"/>
            <w:tcBorders>
              <w:top w:val="nil"/>
              <w:left w:val="nil"/>
              <w:bottom w:val="nil"/>
              <w:right w:val="nil"/>
            </w:tcBorders>
            <w:shd w:val="clear" w:color="auto" w:fill="auto"/>
            <w:noWrap/>
            <w:vAlign w:val="center"/>
            <w:hideMark/>
          </w:tcPr>
          <w:p w14:paraId="2A2251C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25.0%</w:t>
            </w:r>
          </w:p>
        </w:tc>
        <w:tc>
          <w:tcPr>
            <w:tcW w:w="622" w:type="dxa"/>
            <w:tcBorders>
              <w:top w:val="nil"/>
              <w:left w:val="nil"/>
              <w:bottom w:val="nil"/>
              <w:right w:val="nil"/>
            </w:tcBorders>
            <w:shd w:val="clear" w:color="auto" w:fill="auto"/>
            <w:noWrap/>
            <w:vAlign w:val="center"/>
            <w:hideMark/>
          </w:tcPr>
          <w:p w14:paraId="01A909A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26.1%</w:t>
            </w:r>
          </w:p>
        </w:tc>
        <w:tc>
          <w:tcPr>
            <w:tcW w:w="621" w:type="dxa"/>
            <w:tcBorders>
              <w:top w:val="nil"/>
              <w:left w:val="nil"/>
              <w:bottom w:val="nil"/>
              <w:right w:val="nil"/>
            </w:tcBorders>
            <w:shd w:val="clear" w:color="auto" w:fill="auto"/>
            <w:noWrap/>
            <w:vAlign w:val="center"/>
            <w:hideMark/>
          </w:tcPr>
          <w:p w14:paraId="4CE41FE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28.1%</w:t>
            </w:r>
          </w:p>
        </w:tc>
        <w:tc>
          <w:tcPr>
            <w:tcW w:w="622" w:type="dxa"/>
            <w:tcBorders>
              <w:top w:val="nil"/>
              <w:left w:val="nil"/>
              <w:bottom w:val="nil"/>
              <w:right w:val="nil"/>
            </w:tcBorders>
            <w:shd w:val="clear" w:color="auto" w:fill="auto"/>
            <w:noWrap/>
            <w:vAlign w:val="center"/>
            <w:hideMark/>
          </w:tcPr>
          <w:p w14:paraId="66A8279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25.9%</w:t>
            </w:r>
          </w:p>
        </w:tc>
        <w:tc>
          <w:tcPr>
            <w:tcW w:w="622" w:type="dxa"/>
            <w:tcBorders>
              <w:top w:val="nil"/>
              <w:left w:val="nil"/>
              <w:bottom w:val="nil"/>
              <w:right w:val="nil"/>
            </w:tcBorders>
            <w:shd w:val="clear" w:color="auto" w:fill="auto"/>
            <w:noWrap/>
            <w:vAlign w:val="center"/>
            <w:hideMark/>
          </w:tcPr>
          <w:p w14:paraId="5C03FF9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21.4%</w:t>
            </w:r>
          </w:p>
        </w:tc>
        <w:tc>
          <w:tcPr>
            <w:tcW w:w="621" w:type="dxa"/>
            <w:tcBorders>
              <w:top w:val="nil"/>
              <w:left w:val="nil"/>
              <w:bottom w:val="nil"/>
              <w:right w:val="nil"/>
            </w:tcBorders>
            <w:shd w:val="clear" w:color="auto" w:fill="auto"/>
            <w:noWrap/>
            <w:vAlign w:val="center"/>
            <w:hideMark/>
          </w:tcPr>
          <w:p w14:paraId="2071D42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17.2%</w:t>
            </w:r>
          </w:p>
        </w:tc>
        <w:tc>
          <w:tcPr>
            <w:tcW w:w="622" w:type="dxa"/>
            <w:tcBorders>
              <w:top w:val="nil"/>
              <w:left w:val="nil"/>
              <w:bottom w:val="nil"/>
              <w:right w:val="nil"/>
            </w:tcBorders>
            <w:shd w:val="clear" w:color="auto" w:fill="auto"/>
            <w:noWrap/>
            <w:vAlign w:val="center"/>
            <w:hideMark/>
          </w:tcPr>
          <w:p w14:paraId="49E46C6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18.0%</w:t>
            </w:r>
          </w:p>
        </w:tc>
        <w:tc>
          <w:tcPr>
            <w:tcW w:w="622" w:type="dxa"/>
            <w:tcBorders>
              <w:top w:val="nil"/>
              <w:left w:val="nil"/>
              <w:bottom w:val="nil"/>
              <w:right w:val="nil"/>
            </w:tcBorders>
            <w:shd w:val="clear" w:color="auto" w:fill="auto"/>
            <w:noWrap/>
            <w:vAlign w:val="center"/>
            <w:hideMark/>
          </w:tcPr>
          <w:p w14:paraId="5B207B6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16.7%</w:t>
            </w:r>
          </w:p>
        </w:tc>
        <w:tc>
          <w:tcPr>
            <w:tcW w:w="621" w:type="dxa"/>
            <w:tcBorders>
              <w:top w:val="nil"/>
              <w:left w:val="nil"/>
              <w:bottom w:val="nil"/>
              <w:right w:val="nil"/>
            </w:tcBorders>
            <w:shd w:val="clear" w:color="auto" w:fill="auto"/>
            <w:noWrap/>
            <w:vAlign w:val="center"/>
            <w:hideMark/>
          </w:tcPr>
          <w:p w14:paraId="082ABDD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16.8%</w:t>
            </w:r>
          </w:p>
        </w:tc>
        <w:tc>
          <w:tcPr>
            <w:tcW w:w="622" w:type="dxa"/>
            <w:tcBorders>
              <w:top w:val="nil"/>
              <w:left w:val="nil"/>
              <w:bottom w:val="nil"/>
              <w:right w:val="nil"/>
            </w:tcBorders>
            <w:shd w:val="clear" w:color="auto" w:fill="auto"/>
            <w:noWrap/>
            <w:vAlign w:val="center"/>
            <w:hideMark/>
          </w:tcPr>
          <w:p w14:paraId="6AC0B28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17.9%</w:t>
            </w:r>
          </w:p>
        </w:tc>
        <w:tc>
          <w:tcPr>
            <w:tcW w:w="621" w:type="dxa"/>
            <w:tcBorders>
              <w:top w:val="nil"/>
              <w:left w:val="nil"/>
              <w:bottom w:val="nil"/>
              <w:right w:val="nil"/>
            </w:tcBorders>
            <w:shd w:val="clear" w:color="auto" w:fill="auto"/>
            <w:noWrap/>
            <w:vAlign w:val="center"/>
            <w:hideMark/>
          </w:tcPr>
          <w:p w14:paraId="7D8D8FF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13.6%</w:t>
            </w:r>
          </w:p>
        </w:tc>
        <w:tc>
          <w:tcPr>
            <w:tcW w:w="622" w:type="dxa"/>
            <w:tcBorders>
              <w:top w:val="nil"/>
              <w:left w:val="nil"/>
              <w:bottom w:val="nil"/>
              <w:right w:val="nil"/>
            </w:tcBorders>
            <w:shd w:val="clear" w:color="auto" w:fill="auto"/>
            <w:noWrap/>
            <w:vAlign w:val="center"/>
            <w:hideMark/>
          </w:tcPr>
          <w:p w14:paraId="3AD946B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19.4%</w:t>
            </w:r>
          </w:p>
        </w:tc>
        <w:tc>
          <w:tcPr>
            <w:tcW w:w="622" w:type="dxa"/>
            <w:tcBorders>
              <w:top w:val="nil"/>
              <w:left w:val="nil"/>
              <w:bottom w:val="nil"/>
              <w:right w:val="nil"/>
            </w:tcBorders>
            <w:shd w:val="clear" w:color="auto" w:fill="auto"/>
            <w:noWrap/>
            <w:vAlign w:val="center"/>
            <w:hideMark/>
          </w:tcPr>
          <w:p w14:paraId="3C7B56C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20.5%</w:t>
            </w:r>
          </w:p>
        </w:tc>
        <w:tc>
          <w:tcPr>
            <w:tcW w:w="621" w:type="dxa"/>
            <w:tcBorders>
              <w:top w:val="nil"/>
              <w:left w:val="nil"/>
              <w:bottom w:val="nil"/>
              <w:right w:val="nil"/>
            </w:tcBorders>
            <w:shd w:val="clear" w:color="auto" w:fill="auto"/>
            <w:noWrap/>
            <w:vAlign w:val="center"/>
            <w:hideMark/>
          </w:tcPr>
          <w:p w14:paraId="62BC6715"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16.1%</w:t>
            </w:r>
          </w:p>
        </w:tc>
        <w:tc>
          <w:tcPr>
            <w:tcW w:w="622" w:type="dxa"/>
            <w:tcBorders>
              <w:top w:val="nil"/>
              <w:left w:val="nil"/>
              <w:bottom w:val="nil"/>
              <w:right w:val="nil"/>
            </w:tcBorders>
            <w:shd w:val="clear" w:color="auto" w:fill="auto"/>
            <w:noWrap/>
            <w:vAlign w:val="center"/>
            <w:hideMark/>
          </w:tcPr>
          <w:p w14:paraId="70CB6E36"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16.3%</w:t>
            </w:r>
          </w:p>
        </w:tc>
        <w:tc>
          <w:tcPr>
            <w:tcW w:w="622" w:type="dxa"/>
            <w:tcBorders>
              <w:top w:val="nil"/>
              <w:left w:val="nil"/>
              <w:bottom w:val="nil"/>
              <w:right w:val="nil"/>
            </w:tcBorders>
            <w:shd w:val="clear" w:color="auto" w:fill="auto"/>
            <w:noWrap/>
            <w:vAlign w:val="center"/>
            <w:hideMark/>
          </w:tcPr>
          <w:p w14:paraId="475008CD"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10.5%</w:t>
            </w:r>
          </w:p>
        </w:tc>
        <w:tc>
          <w:tcPr>
            <w:tcW w:w="621" w:type="dxa"/>
            <w:tcBorders>
              <w:top w:val="nil"/>
              <w:left w:val="nil"/>
              <w:bottom w:val="nil"/>
              <w:right w:val="nil"/>
            </w:tcBorders>
            <w:shd w:val="clear" w:color="auto" w:fill="auto"/>
            <w:noWrap/>
            <w:vAlign w:val="center"/>
            <w:hideMark/>
          </w:tcPr>
          <w:p w14:paraId="646E6BA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19.5%</w:t>
            </w:r>
          </w:p>
        </w:tc>
        <w:tc>
          <w:tcPr>
            <w:tcW w:w="622" w:type="dxa"/>
            <w:tcBorders>
              <w:top w:val="nil"/>
              <w:left w:val="nil"/>
              <w:bottom w:val="nil"/>
              <w:right w:val="nil"/>
            </w:tcBorders>
            <w:shd w:val="clear" w:color="auto" w:fill="auto"/>
            <w:noWrap/>
            <w:vAlign w:val="center"/>
            <w:hideMark/>
          </w:tcPr>
          <w:p w14:paraId="7B23BA1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22.0%</w:t>
            </w:r>
          </w:p>
        </w:tc>
        <w:tc>
          <w:tcPr>
            <w:tcW w:w="622" w:type="dxa"/>
            <w:tcBorders>
              <w:top w:val="nil"/>
              <w:left w:val="nil"/>
              <w:bottom w:val="nil"/>
              <w:right w:val="nil"/>
            </w:tcBorders>
            <w:shd w:val="clear" w:color="auto" w:fill="auto"/>
            <w:noWrap/>
            <w:vAlign w:val="center"/>
            <w:hideMark/>
          </w:tcPr>
          <w:p w14:paraId="24A6931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31.0%</w:t>
            </w:r>
          </w:p>
        </w:tc>
      </w:tr>
      <w:tr w:rsidR="009E5674" w:rsidRPr="00163E75" w14:paraId="54C87D1D"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709A558E"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09 Engineering</w:t>
            </w:r>
          </w:p>
        </w:tc>
        <w:tc>
          <w:tcPr>
            <w:tcW w:w="621" w:type="dxa"/>
            <w:tcBorders>
              <w:top w:val="nil"/>
              <w:left w:val="nil"/>
              <w:bottom w:val="nil"/>
              <w:right w:val="nil"/>
            </w:tcBorders>
            <w:shd w:val="clear" w:color="auto" w:fill="auto"/>
            <w:noWrap/>
            <w:vAlign w:val="center"/>
            <w:hideMark/>
          </w:tcPr>
          <w:p w14:paraId="6BD1214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27.2%</w:t>
            </w:r>
          </w:p>
        </w:tc>
        <w:tc>
          <w:tcPr>
            <w:tcW w:w="622" w:type="dxa"/>
            <w:tcBorders>
              <w:top w:val="nil"/>
              <w:left w:val="nil"/>
              <w:bottom w:val="nil"/>
              <w:right w:val="nil"/>
            </w:tcBorders>
            <w:shd w:val="clear" w:color="auto" w:fill="auto"/>
            <w:noWrap/>
            <w:vAlign w:val="center"/>
            <w:hideMark/>
          </w:tcPr>
          <w:p w14:paraId="50F72C1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24.9%</w:t>
            </w:r>
          </w:p>
        </w:tc>
        <w:tc>
          <w:tcPr>
            <w:tcW w:w="621" w:type="dxa"/>
            <w:tcBorders>
              <w:top w:val="nil"/>
              <w:left w:val="nil"/>
              <w:bottom w:val="nil"/>
              <w:right w:val="nil"/>
            </w:tcBorders>
            <w:shd w:val="clear" w:color="auto" w:fill="auto"/>
            <w:noWrap/>
            <w:vAlign w:val="center"/>
            <w:hideMark/>
          </w:tcPr>
          <w:p w14:paraId="3562385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26.5%</w:t>
            </w:r>
          </w:p>
        </w:tc>
        <w:tc>
          <w:tcPr>
            <w:tcW w:w="622" w:type="dxa"/>
            <w:tcBorders>
              <w:top w:val="nil"/>
              <w:left w:val="nil"/>
              <w:bottom w:val="nil"/>
              <w:right w:val="nil"/>
            </w:tcBorders>
            <w:shd w:val="clear" w:color="auto" w:fill="auto"/>
            <w:noWrap/>
            <w:vAlign w:val="center"/>
            <w:hideMark/>
          </w:tcPr>
          <w:p w14:paraId="1418CD0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29.3%</w:t>
            </w:r>
          </w:p>
        </w:tc>
        <w:tc>
          <w:tcPr>
            <w:tcW w:w="622" w:type="dxa"/>
            <w:tcBorders>
              <w:top w:val="nil"/>
              <w:left w:val="nil"/>
              <w:bottom w:val="nil"/>
              <w:right w:val="nil"/>
            </w:tcBorders>
            <w:shd w:val="clear" w:color="auto" w:fill="auto"/>
            <w:noWrap/>
            <w:vAlign w:val="center"/>
            <w:hideMark/>
          </w:tcPr>
          <w:p w14:paraId="167E7AC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22.2%</w:t>
            </w:r>
          </w:p>
        </w:tc>
        <w:tc>
          <w:tcPr>
            <w:tcW w:w="621" w:type="dxa"/>
            <w:tcBorders>
              <w:top w:val="nil"/>
              <w:left w:val="nil"/>
              <w:bottom w:val="nil"/>
              <w:right w:val="nil"/>
            </w:tcBorders>
            <w:shd w:val="clear" w:color="auto" w:fill="auto"/>
            <w:noWrap/>
            <w:vAlign w:val="center"/>
            <w:hideMark/>
          </w:tcPr>
          <w:p w14:paraId="0D3A14F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20.4%</w:t>
            </w:r>
          </w:p>
        </w:tc>
        <w:tc>
          <w:tcPr>
            <w:tcW w:w="622" w:type="dxa"/>
            <w:tcBorders>
              <w:top w:val="nil"/>
              <w:left w:val="nil"/>
              <w:bottom w:val="nil"/>
              <w:right w:val="nil"/>
            </w:tcBorders>
            <w:shd w:val="clear" w:color="auto" w:fill="auto"/>
            <w:noWrap/>
            <w:vAlign w:val="center"/>
            <w:hideMark/>
          </w:tcPr>
          <w:p w14:paraId="08422EC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19.7%</w:t>
            </w:r>
          </w:p>
        </w:tc>
        <w:tc>
          <w:tcPr>
            <w:tcW w:w="622" w:type="dxa"/>
            <w:tcBorders>
              <w:top w:val="nil"/>
              <w:left w:val="nil"/>
              <w:bottom w:val="nil"/>
              <w:right w:val="nil"/>
            </w:tcBorders>
            <w:shd w:val="clear" w:color="auto" w:fill="auto"/>
            <w:noWrap/>
            <w:vAlign w:val="center"/>
            <w:hideMark/>
          </w:tcPr>
          <w:p w14:paraId="6E0A52B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19.5%</w:t>
            </w:r>
          </w:p>
        </w:tc>
        <w:tc>
          <w:tcPr>
            <w:tcW w:w="621" w:type="dxa"/>
            <w:tcBorders>
              <w:top w:val="nil"/>
              <w:left w:val="nil"/>
              <w:bottom w:val="nil"/>
              <w:right w:val="nil"/>
            </w:tcBorders>
            <w:shd w:val="clear" w:color="auto" w:fill="auto"/>
            <w:noWrap/>
            <w:vAlign w:val="center"/>
            <w:hideMark/>
          </w:tcPr>
          <w:p w14:paraId="1D1484C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22.0%</w:t>
            </w:r>
          </w:p>
        </w:tc>
        <w:tc>
          <w:tcPr>
            <w:tcW w:w="622" w:type="dxa"/>
            <w:tcBorders>
              <w:top w:val="nil"/>
              <w:left w:val="nil"/>
              <w:bottom w:val="nil"/>
              <w:right w:val="nil"/>
            </w:tcBorders>
            <w:shd w:val="clear" w:color="auto" w:fill="auto"/>
            <w:noWrap/>
            <w:vAlign w:val="center"/>
            <w:hideMark/>
          </w:tcPr>
          <w:p w14:paraId="3735E29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19.6%</w:t>
            </w:r>
          </w:p>
        </w:tc>
        <w:tc>
          <w:tcPr>
            <w:tcW w:w="621" w:type="dxa"/>
            <w:tcBorders>
              <w:top w:val="nil"/>
              <w:left w:val="nil"/>
              <w:bottom w:val="nil"/>
              <w:right w:val="nil"/>
            </w:tcBorders>
            <w:shd w:val="clear" w:color="auto" w:fill="auto"/>
            <w:noWrap/>
            <w:vAlign w:val="center"/>
            <w:hideMark/>
          </w:tcPr>
          <w:p w14:paraId="2941913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19.2%</w:t>
            </w:r>
          </w:p>
        </w:tc>
        <w:tc>
          <w:tcPr>
            <w:tcW w:w="622" w:type="dxa"/>
            <w:tcBorders>
              <w:top w:val="nil"/>
              <w:left w:val="nil"/>
              <w:bottom w:val="nil"/>
              <w:right w:val="nil"/>
            </w:tcBorders>
            <w:shd w:val="clear" w:color="auto" w:fill="auto"/>
            <w:noWrap/>
            <w:vAlign w:val="center"/>
            <w:hideMark/>
          </w:tcPr>
          <w:p w14:paraId="536CE23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19.1%</w:t>
            </w:r>
          </w:p>
        </w:tc>
        <w:tc>
          <w:tcPr>
            <w:tcW w:w="622" w:type="dxa"/>
            <w:tcBorders>
              <w:top w:val="nil"/>
              <w:left w:val="nil"/>
              <w:bottom w:val="nil"/>
              <w:right w:val="nil"/>
            </w:tcBorders>
            <w:shd w:val="clear" w:color="auto" w:fill="auto"/>
            <w:noWrap/>
            <w:vAlign w:val="center"/>
            <w:hideMark/>
          </w:tcPr>
          <w:p w14:paraId="132E4B4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17.6%</w:t>
            </w:r>
          </w:p>
        </w:tc>
        <w:tc>
          <w:tcPr>
            <w:tcW w:w="621" w:type="dxa"/>
            <w:tcBorders>
              <w:top w:val="nil"/>
              <w:left w:val="nil"/>
              <w:bottom w:val="nil"/>
              <w:right w:val="nil"/>
            </w:tcBorders>
            <w:shd w:val="clear" w:color="auto" w:fill="auto"/>
            <w:noWrap/>
            <w:vAlign w:val="center"/>
            <w:hideMark/>
          </w:tcPr>
          <w:p w14:paraId="720A44E5"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16.3%</w:t>
            </w:r>
          </w:p>
        </w:tc>
        <w:tc>
          <w:tcPr>
            <w:tcW w:w="622" w:type="dxa"/>
            <w:tcBorders>
              <w:top w:val="nil"/>
              <w:left w:val="nil"/>
              <w:bottom w:val="nil"/>
              <w:right w:val="nil"/>
            </w:tcBorders>
            <w:shd w:val="clear" w:color="auto" w:fill="auto"/>
            <w:noWrap/>
            <w:vAlign w:val="center"/>
            <w:hideMark/>
          </w:tcPr>
          <w:p w14:paraId="0F01F330"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17.0%</w:t>
            </w:r>
          </w:p>
        </w:tc>
        <w:tc>
          <w:tcPr>
            <w:tcW w:w="622" w:type="dxa"/>
            <w:tcBorders>
              <w:top w:val="nil"/>
              <w:left w:val="nil"/>
              <w:bottom w:val="nil"/>
              <w:right w:val="nil"/>
            </w:tcBorders>
            <w:shd w:val="clear" w:color="auto" w:fill="auto"/>
            <w:noWrap/>
            <w:vAlign w:val="center"/>
            <w:hideMark/>
          </w:tcPr>
          <w:p w14:paraId="58DB44CA"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18.4%</w:t>
            </w:r>
          </w:p>
        </w:tc>
        <w:tc>
          <w:tcPr>
            <w:tcW w:w="621" w:type="dxa"/>
            <w:tcBorders>
              <w:top w:val="nil"/>
              <w:left w:val="nil"/>
              <w:bottom w:val="nil"/>
              <w:right w:val="nil"/>
            </w:tcBorders>
            <w:shd w:val="clear" w:color="auto" w:fill="auto"/>
            <w:noWrap/>
            <w:vAlign w:val="center"/>
            <w:hideMark/>
          </w:tcPr>
          <w:p w14:paraId="6EEAD6B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18.0%</w:t>
            </w:r>
          </w:p>
        </w:tc>
        <w:tc>
          <w:tcPr>
            <w:tcW w:w="622" w:type="dxa"/>
            <w:tcBorders>
              <w:top w:val="nil"/>
              <w:left w:val="nil"/>
              <w:bottom w:val="nil"/>
              <w:right w:val="nil"/>
            </w:tcBorders>
            <w:shd w:val="clear" w:color="auto" w:fill="auto"/>
            <w:noWrap/>
            <w:vAlign w:val="center"/>
            <w:hideMark/>
          </w:tcPr>
          <w:p w14:paraId="423D1D4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20.8%</w:t>
            </w:r>
          </w:p>
        </w:tc>
        <w:tc>
          <w:tcPr>
            <w:tcW w:w="622" w:type="dxa"/>
            <w:tcBorders>
              <w:top w:val="nil"/>
              <w:left w:val="nil"/>
              <w:bottom w:val="nil"/>
              <w:right w:val="nil"/>
            </w:tcBorders>
            <w:shd w:val="clear" w:color="auto" w:fill="auto"/>
            <w:noWrap/>
            <w:vAlign w:val="center"/>
            <w:hideMark/>
          </w:tcPr>
          <w:p w14:paraId="3D99EA9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19.6%</w:t>
            </w:r>
          </w:p>
        </w:tc>
      </w:tr>
      <w:tr w:rsidR="009E5674" w:rsidRPr="00163E75" w14:paraId="1C0CEF89"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2A74A378"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10 Technology</w:t>
            </w:r>
          </w:p>
        </w:tc>
        <w:tc>
          <w:tcPr>
            <w:tcW w:w="621" w:type="dxa"/>
            <w:tcBorders>
              <w:top w:val="nil"/>
              <w:left w:val="nil"/>
              <w:bottom w:val="nil"/>
              <w:right w:val="nil"/>
            </w:tcBorders>
            <w:shd w:val="clear" w:color="auto" w:fill="auto"/>
            <w:noWrap/>
            <w:vAlign w:val="center"/>
            <w:hideMark/>
          </w:tcPr>
          <w:p w14:paraId="57AFF59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20.8%</w:t>
            </w:r>
          </w:p>
        </w:tc>
        <w:tc>
          <w:tcPr>
            <w:tcW w:w="622" w:type="dxa"/>
            <w:tcBorders>
              <w:top w:val="nil"/>
              <w:left w:val="nil"/>
              <w:bottom w:val="nil"/>
              <w:right w:val="nil"/>
            </w:tcBorders>
            <w:shd w:val="clear" w:color="auto" w:fill="auto"/>
            <w:noWrap/>
            <w:vAlign w:val="center"/>
            <w:hideMark/>
          </w:tcPr>
          <w:p w14:paraId="146D177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38.7%</w:t>
            </w:r>
          </w:p>
        </w:tc>
        <w:tc>
          <w:tcPr>
            <w:tcW w:w="621" w:type="dxa"/>
            <w:tcBorders>
              <w:top w:val="nil"/>
              <w:left w:val="nil"/>
              <w:bottom w:val="nil"/>
              <w:right w:val="nil"/>
            </w:tcBorders>
            <w:shd w:val="clear" w:color="auto" w:fill="auto"/>
            <w:noWrap/>
            <w:vAlign w:val="center"/>
            <w:hideMark/>
          </w:tcPr>
          <w:p w14:paraId="38291A6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34.6%</w:t>
            </w:r>
          </w:p>
        </w:tc>
        <w:tc>
          <w:tcPr>
            <w:tcW w:w="622" w:type="dxa"/>
            <w:tcBorders>
              <w:top w:val="nil"/>
              <w:left w:val="nil"/>
              <w:bottom w:val="nil"/>
              <w:right w:val="nil"/>
            </w:tcBorders>
            <w:shd w:val="clear" w:color="auto" w:fill="auto"/>
            <w:noWrap/>
            <w:vAlign w:val="center"/>
            <w:hideMark/>
          </w:tcPr>
          <w:p w14:paraId="1BE5A3E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31.3%</w:t>
            </w:r>
          </w:p>
        </w:tc>
        <w:tc>
          <w:tcPr>
            <w:tcW w:w="622" w:type="dxa"/>
            <w:tcBorders>
              <w:top w:val="nil"/>
              <w:left w:val="nil"/>
              <w:bottom w:val="nil"/>
              <w:right w:val="nil"/>
            </w:tcBorders>
            <w:shd w:val="clear" w:color="auto" w:fill="auto"/>
            <w:noWrap/>
            <w:vAlign w:val="center"/>
            <w:hideMark/>
          </w:tcPr>
          <w:p w14:paraId="53CE86C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26.9%</w:t>
            </w:r>
          </w:p>
        </w:tc>
        <w:tc>
          <w:tcPr>
            <w:tcW w:w="621" w:type="dxa"/>
            <w:tcBorders>
              <w:top w:val="nil"/>
              <w:left w:val="nil"/>
              <w:bottom w:val="nil"/>
              <w:right w:val="nil"/>
            </w:tcBorders>
            <w:shd w:val="clear" w:color="auto" w:fill="auto"/>
            <w:noWrap/>
            <w:vAlign w:val="center"/>
            <w:hideMark/>
          </w:tcPr>
          <w:p w14:paraId="3515454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23.8%</w:t>
            </w:r>
          </w:p>
        </w:tc>
        <w:tc>
          <w:tcPr>
            <w:tcW w:w="622" w:type="dxa"/>
            <w:tcBorders>
              <w:top w:val="nil"/>
              <w:left w:val="nil"/>
              <w:bottom w:val="nil"/>
              <w:right w:val="nil"/>
            </w:tcBorders>
            <w:shd w:val="clear" w:color="auto" w:fill="auto"/>
            <w:noWrap/>
            <w:vAlign w:val="center"/>
            <w:hideMark/>
          </w:tcPr>
          <w:p w14:paraId="0C107FF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20.5%</w:t>
            </w:r>
          </w:p>
        </w:tc>
        <w:tc>
          <w:tcPr>
            <w:tcW w:w="622" w:type="dxa"/>
            <w:tcBorders>
              <w:top w:val="nil"/>
              <w:left w:val="nil"/>
              <w:bottom w:val="nil"/>
              <w:right w:val="nil"/>
            </w:tcBorders>
            <w:shd w:val="clear" w:color="auto" w:fill="auto"/>
            <w:noWrap/>
            <w:vAlign w:val="center"/>
            <w:hideMark/>
          </w:tcPr>
          <w:p w14:paraId="700A6DF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23.7%</w:t>
            </w:r>
          </w:p>
        </w:tc>
        <w:tc>
          <w:tcPr>
            <w:tcW w:w="621" w:type="dxa"/>
            <w:tcBorders>
              <w:top w:val="nil"/>
              <w:left w:val="nil"/>
              <w:bottom w:val="nil"/>
              <w:right w:val="nil"/>
            </w:tcBorders>
            <w:shd w:val="clear" w:color="auto" w:fill="auto"/>
            <w:noWrap/>
            <w:vAlign w:val="center"/>
            <w:hideMark/>
          </w:tcPr>
          <w:p w14:paraId="5B2975E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20.5%</w:t>
            </w:r>
          </w:p>
        </w:tc>
        <w:tc>
          <w:tcPr>
            <w:tcW w:w="622" w:type="dxa"/>
            <w:tcBorders>
              <w:top w:val="nil"/>
              <w:left w:val="nil"/>
              <w:bottom w:val="nil"/>
              <w:right w:val="nil"/>
            </w:tcBorders>
            <w:shd w:val="clear" w:color="auto" w:fill="auto"/>
            <w:noWrap/>
            <w:vAlign w:val="center"/>
            <w:hideMark/>
          </w:tcPr>
          <w:p w14:paraId="609CB20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19.3%</w:t>
            </w:r>
          </w:p>
        </w:tc>
        <w:tc>
          <w:tcPr>
            <w:tcW w:w="621" w:type="dxa"/>
            <w:tcBorders>
              <w:top w:val="nil"/>
              <w:left w:val="nil"/>
              <w:bottom w:val="nil"/>
              <w:right w:val="nil"/>
            </w:tcBorders>
            <w:shd w:val="clear" w:color="auto" w:fill="auto"/>
            <w:noWrap/>
            <w:vAlign w:val="center"/>
            <w:hideMark/>
          </w:tcPr>
          <w:p w14:paraId="7666763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24.7%</w:t>
            </w:r>
          </w:p>
        </w:tc>
        <w:tc>
          <w:tcPr>
            <w:tcW w:w="622" w:type="dxa"/>
            <w:tcBorders>
              <w:top w:val="nil"/>
              <w:left w:val="nil"/>
              <w:bottom w:val="nil"/>
              <w:right w:val="nil"/>
            </w:tcBorders>
            <w:shd w:val="clear" w:color="auto" w:fill="auto"/>
            <w:noWrap/>
            <w:vAlign w:val="center"/>
            <w:hideMark/>
          </w:tcPr>
          <w:p w14:paraId="53D29E6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18.5%</w:t>
            </w:r>
          </w:p>
        </w:tc>
        <w:tc>
          <w:tcPr>
            <w:tcW w:w="622" w:type="dxa"/>
            <w:tcBorders>
              <w:top w:val="nil"/>
              <w:left w:val="nil"/>
              <w:bottom w:val="nil"/>
              <w:right w:val="nil"/>
            </w:tcBorders>
            <w:shd w:val="clear" w:color="auto" w:fill="auto"/>
            <w:noWrap/>
            <w:vAlign w:val="center"/>
            <w:hideMark/>
          </w:tcPr>
          <w:p w14:paraId="5213E80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14.3%</w:t>
            </w:r>
          </w:p>
        </w:tc>
        <w:tc>
          <w:tcPr>
            <w:tcW w:w="621" w:type="dxa"/>
            <w:tcBorders>
              <w:top w:val="nil"/>
              <w:left w:val="nil"/>
              <w:bottom w:val="nil"/>
              <w:right w:val="nil"/>
            </w:tcBorders>
            <w:shd w:val="clear" w:color="auto" w:fill="auto"/>
            <w:noWrap/>
            <w:vAlign w:val="center"/>
            <w:hideMark/>
          </w:tcPr>
          <w:p w14:paraId="60BA269E"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21.4%</w:t>
            </w:r>
          </w:p>
        </w:tc>
        <w:tc>
          <w:tcPr>
            <w:tcW w:w="622" w:type="dxa"/>
            <w:tcBorders>
              <w:top w:val="nil"/>
              <w:left w:val="nil"/>
              <w:bottom w:val="nil"/>
              <w:right w:val="nil"/>
            </w:tcBorders>
            <w:shd w:val="clear" w:color="auto" w:fill="auto"/>
            <w:noWrap/>
            <w:vAlign w:val="center"/>
            <w:hideMark/>
          </w:tcPr>
          <w:p w14:paraId="60686AD1"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15.6%</w:t>
            </w:r>
          </w:p>
        </w:tc>
        <w:tc>
          <w:tcPr>
            <w:tcW w:w="622" w:type="dxa"/>
            <w:tcBorders>
              <w:top w:val="nil"/>
              <w:left w:val="nil"/>
              <w:bottom w:val="nil"/>
              <w:right w:val="nil"/>
            </w:tcBorders>
            <w:shd w:val="clear" w:color="auto" w:fill="auto"/>
            <w:noWrap/>
            <w:vAlign w:val="center"/>
            <w:hideMark/>
          </w:tcPr>
          <w:p w14:paraId="20D6B197"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18.5%</w:t>
            </w:r>
          </w:p>
        </w:tc>
        <w:tc>
          <w:tcPr>
            <w:tcW w:w="621" w:type="dxa"/>
            <w:tcBorders>
              <w:top w:val="nil"/>
              <w:left w:val="nil"/>
              <w:bottom w:val="nil"/>
              <w:right w:val="nil"/>
            </w:tcBorders>
            <w:shd w:val="clear" w:color="auto" w:fill="auto"/>
            <w:noWrap/>
            <w:vAlign w:val="center"/>
            <w:hideMark/>
          </w:tcPr>
          <w:p w14:paraId="6767A34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17.2%</w:t>
            </w:r>
          </w:p>
        </w:tc>
        <w:tc>
          <w:tcPr>
            <w:tcW w:w="622" w:type="dxa"/>
            <w:tcBorders>
              <w:top w:val="nil"/>
              <w:left w:val="nil"/>
              <w:bottom w:val="nil"/>
              <w:right w:val="nil"/>
            </w:tcBorders>
            <w:shd w:val="clear" w:color="auto" w:fill="auto"/>
            <w:noWrap/>
            <w:vAlign w:val="center"/>
            <w:hideMark/>
          </w:tcPr>
          <w:p w14:paraId="0DEFC83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24.5%</w:t>
            </w:r>
          </w:p>
        </w:tc>
        <w:tc>
          <w:tcPr>
            <w:tcW w:w="622" w:type="dxa"/>
            <w:tcBorders>
              <w:top w:val="nil"/>
              <w:left w:val="nil"/>
              <w:bottom w:val="nil"/>
              <w:right w:val="nil"/>
            </w:tcBorders>
            <w:shd w:val="clear" w:color="auto" w:fill="auto"/>
            <w:noWrap/>
            <w:vAlign w:val="center"/>
            <w:hideMark/>
          </w:tcPr>
          <w:p w14:paraId="42DFBAC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19.2%</w:t>
            </w:r>
          </w:p>
        </w:tc>
      </w:tr>
      <w:tr w:rsidR="009E5674" w:rsidRPr="00163E75" w14:paraId="10E953C1"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374E17B0"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11 Medical and Health Sciences</w:t>
            </w:r>
          </w:p>
        </w:tc>
        <w:tc>
          <w:tcPr>
            <w:tcW w:w="621" w:type="dxa"/>
            <w:tcBorders>
              <w:top w:val="nil"/>
              <w:left w:val="nil"/>
              <w:bottom w:val="nil"/>
              <w:right w:val="nil"/>
            </w:tcBorders>
            <w:shd w:val="clear" w:color="auto" w:fill="auto"/>
            <w:noWrap/>
            <w:vAlign w:val="center"/>
            <w:hideMark/>
          </w:tcPr>
          <w:p w14:paraId="49EF884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24.4%</w:t>
            </w:r>
          </w:p>
        </w:tc>
        <w:tc>
          <w:tcPr>
            <w:tcW w:w="622" w:type="dxa"/>
            <w:tcBorders>
              <w:top w:val="nil"/>
              <w:left w:val="nil"/>
              <w:bottom w:val="nil"/>
              <w:right w:val="nil"/>
            </w:tcBorders>
            <w:shd w:val="clear" w:color="auto" w:fill="auto"/>
            <w:noWrap/>
            <w:vAlign w:val="center"/>
            <w:hideMark/>
          </w:tcPr>
          <w:p w14:paraId="054B5D9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11.7%</w:t>
            </w:r>
          </w:p>
        </w:tc>
        <w:tc>
          <w:tcPr>
            <w:tcW w:w="621" w:type="dxa"/>
            <w:tcBorders>
              <w:top w:val="nil"/>
              <w:left w:val="nil"/>
              <w:bottom w:val="nil"/>
              <w:right w:val="nil"/>
            </w:tcBorders>
            <w:shd w:val="clear" w:color="auto" w:fill="auto"/>
            <w:noWrap/>
            <w:vAlign w:val="center"/>
            <w:hideMark/>
          </w:tcPr>
          <w:p w14:paraId="3751346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16.2%</w:t>
            </w:r>
          </w:p>
        </w:tc>
        <w:tc>
          <w:tcPr>
            <w:tcW w:w="622" w:type="dxa"/>
            <w:tcBorders>
              <w:top w:val="nil"/>
              <w:left w:val="nil"/>
              <w:bottom w:val="nil"/>
              <w:right w:val="nil"/>
            </w:tcBorders>
            <w:shd w:val="clear" w:color="auto" w:fill="auto"/>
            <w:noWrap/>
            <w:vAlign w:val="center"/>
            <w:hideMark/>
          </w:tcPr>
          <w:p w14:paraId="415349A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34.6%</w:t>
            </w:r>
          </w:p>
        </w:tc>
        <w:tc>
          <w:tcPr>
            <w:tcW w:w="622" w:type="dxa"/>
            <w:tcBorders>
              <w:top w:val="nil"/>
              <w:left w:val="nil"/>
              <w:bottom w:val="nil"/>
              <w:right w:val="nil"/>
            </w:tcBorders>
            <w:shd w:val="clear" w:color="auto" w:fill="auto"/>
            <w:noWrap/>
            <w:vAlign w:val="center"/>
            <w:hideMark/>
          </w:tcPr>
          <w:p w14:paraId="333C578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17.6%</w:t>
            </w:r>
          </w:p>
        </w:tc>
        <w:tc>
          <w:tcPr>
            <w:tcW w:w="621" w:type="dxa"/>
            <w:tcBorders>
              <w:top w:val="nil"/>
              <w:left w:val="nil"/>
              <w:bottom w:val="nil"/>
              <w:right w:val="nil"/>
            </w:tcBorders>
            <w:shd w:val="clear" w:color="auto" w:fill="auto"/>
            <w:noWrap/>
            <w:vAlign w:val="center"/>
            <w:hideMark/>
          </w:tcPr>
          <w:p w14:paraId="2CF72FD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14.6%</w:t>
            </w:r>
          </w:p>
        </w:tc>
        <w:tc>
          <w:tcPr>
            <w:tcW w:w="622" w:type="dxa"/>
            <w:tcBorders>
              <w:top w:val="nil"/>
              <w:left w:val="nil"/>
              <w:bottom w:val="nil"/>
              <w:right w:val="nil"/>
            </w:tcBorders>
            <w:shd w:val="clear" w:color="auto" w:fill="auto"/>
            <w:noWrap/>
            <w:vAlign w:val="center"/>
            <w:hideMark/>
          </w:tcPr>
          <w:p w14:paraId="21F3E5E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18.4%</w:t>
            </w:r>
          </w:p>
        </w:tc>
        <w:tc>
          <w:tcPr>
            <w:tcW w:w="622" w:type="dxa"/>
            <w:tcBorders>
              <w:top w:val="nil"/>
              <w:left w:val="nil"/>
              <w:bottom w:val="nil"/>
              <w:right w:val="nil"/>
            </w:tcBorders>
            <w:shd w:val="clear" w:color="auto" w:fill="auto"/>
            <w:noWrap/>
            <w:vAlign w:val="center"/>
            <w:hideMark/>
          </w:tcPr>
          <w:p w14:paraId="24C6FC9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18.9%</w:t>
            </w:r>
          </w:p>
        </w:tc>
        <w:tc>
          <w:tcPr>
            <w:tcW w:w="621" w:type="dxa"/>
            <w:tcBorders>
              <w:top w:val="nil"/>
              <w:left w:val="nil"/>
              <w:bottom w:val="nil"/>
              <w:right w:val="nil"/>
            </w:tcBorders>
            <w:shd w:val="clear" w:color="auto" w:fill="auto"/>
            <w:noWrap/>
            <w:vAlign w:val="center"/>
            <w:hideMark/>
          </w:tcPr>
          <w:p w14:paraId="00D4555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15.1%</w:t>
            </w:r>
          </w:p>
        </w:tc>
        <w:tc>
          <w:tcPr>
            <w:tcW w:w="622" w:type="dxa"/>
            <w:tcBorders>
              <w:top w:val="nil"/>
              <w:left w:val="nil"/>
              <w:bottom w:val="nil"/>
              <w:right w:val="nil"/>
            </w:tcBorders>
            <w:shd w:val="clear" w:color="auto" w:fill="auto"/>
            <w:noWrap/>
            <w:vAlign w:val="center"/>
            <w:hideMark/>
          </w:tcPr>
          <w:p w14:paraId="6CDABE7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22.8%</w:t>
            </w:r>
          </w:p>
        </w:tc>
        <w:tc>
          <w:tcPr>
            <w:tcW w:w="621" w:type="dxa"/>
            <w:tcBorders>
              <w:top w:val="nil"/>
              <w:left w:val="nil"/>
              <w:bottom w:val="nil"/>
              <w:right w:val="nil"/>
            </w:tcBorders>
            <w:shd w:val="clear" w:color="auto" w:fill="auto"/>
            <w:noWrap/>
            <w:vAlign w:val="center"/>
            <w:hideMark/>
          </w:tcPr>
          <w:p w14:paraId="1EC9256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17.9%</w:t>
            </w:r>
          </w:p>
        </w:tc>
        <w:tc>
          <w:tcPr>
            <w:tcW w:w="622" w:type="dxa"/>
            <w:tcBorders>
              <w:top w:val="nil"/>
              <w:left w:val="nil"/>
              <w:bottom w:val="nil"/>
              <w:right w:val="nil"/>
            </w:tcBorders>
            <w:shd w:val="clear" w:color="auto" w:fill="auto"/>
            <w:noWrap/>
            <w:vAlign w:val="center"/>
            <w:hideMark/>
          </w:tcPr>
          <w:p w14:paraId="25ADE8A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16.3%</w:t>
            </w:r>
          </w:p>
        </w:tc>
        <w:tc>
          <w:tcPr>
            <w:tcW w:w="622" w:type="dxa"/>
            <w:tcBorders>
              <w:top w:val="nil"/>
              <w:left w:val="nil"/>
              <w:bottom w:val="nil"/>
              <w:right w:val="nil"/>
            </w:tcBorders>
            <w:shd w:val="clear" w:color="auto" w:fill="auto"/>
            <w:noWrap/>
            <w:vAlign w:val="center"/>
            <w:hideMark/>
          </w:tcPr>
          <w:p w14:paraId="1BC3BDB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16.7%</w:t>
            </w:r>
          </w:p>
        </w:tc>
        <w:tc>
          <w:tcPr>
            <w:tcW w:w="621" w:type="dxa"/>
            <w:tcBorders>
              <w:top w:val="nil"/>
              <w:left w:val="nil"/>
              <w:bottom w:val="nil"/>
              <w:right w:val="nil"/>
            </w:tcBorders>
            <w:shd w:val="clear" w:color="auto" w:fill="auto"/>
            <w:noWrap/>
            <w:vAlign w:val="center"/>
            <w:hideMark/>
          </w:tcPr>
          <w:p w14:paraId="3F50F369"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17.2%</w:t>
            </w:r>
          </w:p>
        </w:tc>
        <w:tc>
          <w:tcPr>
            <w:tcW w:w="622" w:type="dxa"/>
            <w:tcBorders>
              <w:top w:val="nil"/>
              <w:left w:val="nil"/>
              <w:bottom w:val="nil"/>
              <w:right w:val="nil"/>
            </w:tcBorders>
            <w:shd w:val="clear" w:color="auto" w:fill="auto"/>
            <w:noWrap/>
            <w:vAlign w:val="center"/>
            <w:hideMark/>
          </w:tcPr>
          <w:p w14:paraId="1F96E142"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15.2%</w:t>
            </w:r>
          </w:p>
        </w:tc>
        <w:tc>
          <w:tcPr>
            <w:tcW w:w="622" w:type="dxa"/>
            <w:tcBorders>
              <w:top w:val="nil"/>
              <w:left w:val="nil"/>
              <w:bottom w:val="nil"/>
              <w:right w:val="nil"/>
            </w:tcBorders>
            <w:shd w:val="clear" w:color="auto" w:fill="auto"/>
            <w:noWrap/>
            <w:vAlign w:val="center"/>
            <w:hideMark/>
          </w:tcPr>
          <w:p w14:paraId="7A4C59D8"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17.6%</w:t>
            </w:r>
          </w:p>
        </w:tc>
        <w:tc>
          <w:tcPr>
            <w:tcW w:w="621" w:type="dxa"/>
            <w:tcBorders>
              <w:top w:val="nil"/>
              <w:left w:val="nil"/>
              <w:bottom w:val="nil"/>
              <w:right w:val="nil"/>
            </w:tcBorders>
            <w:shd w:val="clear" w:color="auto" w:fill="auto"/>
            <w:noWrap/>
            <w:vAlign w:val="center"/>
            <w:hideMark/>
          </w:tcPr>
          <w:p w14:paraId="5E1FAE8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13.8%</w:t>
            </w:r>
          </w:p>
        </w:tc>
        <w:tc>
          <w:tcPr>
            <w:tcW w:w="622" w:type="dxa"/>
            <w:tcBorders>
              <w:top w:val="nil"/>
              <w:left w:val="nil"/>
              <w:bottom w:val="nil"/>
              <w:right w:val="nil"/>
            </w:tcBorders>
            <w:shd w:val="clear" w:color="auto" w:fill="auto"/>
            <w:noWrap/>
            <w:vAlign w:val="center"/>
            <w:hideMark/>
          </w:tcPr>
          <w:p w14:paraId="0076483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15.6%</w:t>
            </w:r>
          </w:p>
        </w:tc>
        <w:tc>
          <w:tcPr>
            <w:tcW w:w="622" w:type="dxa"/>
            <w:tcBorders>
              <w:top w:val="nil"/>
              <w:left w:val="nil"/>
              <w:bottom w:val="nil"/>
              <w:right w:val="nil"/>
            </w:tcBorders>
            <w:shd w:val="clear" w:color="auto" w:fill="auto"/>
            <w:noWrap/>
            <w:vAlign w:val="center"/>
            <w:hideMark/>
          </w:tcPr>
          <w:p w14:paraId="54BDD03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20.2%</w:t>
            </w:r>
          </w:p>
        </w:tc>
      </w:tr>
      <w:tr w:rsidR="009E5674" w:rsidRPr="00163E75" w14:paraId="1EF2C299"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623ED187"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12 Built Environment and Design</w:t>
            </w:r>
          </w:p>
        </w:tc>
        <w:tc>
          <w:tcPr>
            <w:tcW w:w="621" w:type="dxa"/>
            <w:tcBorders>
              <w:top w:val="nil"/>
              <w:left w:val="nil"/>
              <w:bottom w:val="nil"/>
              <w:right w:val="nil"/>
            </w:tcBorders>
            <w:shd w:val="clear" w:color="auto" w:fill="auto"/>
            <w:noWrap/>
            <w:vAlign w:val="center"/>
            <w:hideMark/>
          </w:tcPr>
          <w:p w14:paraId="1EF90DA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36.4%</w:t>
            </w:r>
          </w:p>
        </w:tc>
        <w:tc>
          <w:tcPr>
            <w:tcW w:w="622" w:type="dxa"/>
            <w:tcBorders>
              <w:top w:val="nil"/>
              <w:left w:val="nil"/>
              <w:bottom w:val="nil"/>
              <w:right w:val="nil"/>
            </w:tcBorders>
            <w:shd w:val="clear" w:color="auto" w:fill="auto"/>
            <w:noWrap/>
            <w:vAlign w:val="center"/>
            <w:hideMark/>
          </w:tcPr>
          <w:p w14:paraId="538D587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17.9%</w:t>
            </w:r>
          </w:p>
        </w:tc>
        <w:tc>
          <w:tcPr>
            <w:tcW w:w="621" w:type="dxa"/>
            <w:tcBorders>
              <w:top w:val="nil"/>
              <w:left w:val="nil"/>
              <w:bottom w:val="nil"/>
              <w:right w:val="nil"/>
            </w:tcBorders>
            <w:shd w:val="clear" w:color="auto" w:fill="auto"/>
            <w:noWrap/>
            <w:vAlign w:val="center"/>
            <w:hideMark/>
          </w:tcPr>
          <w:p w14:paraId="7087D22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14.8%</w:t>
            </w:r>
          </w:p>
        </w:tc>
        <w:tc>
          <w:tcPr>
            <w:tcW w:w="622" w:type="dxa"/>
            <w:tcBorders>
              <w:top w:val="nil"/>
              <w:left w:val="nil"/>
              <w:bottom w:val="nil"/>
              <w:right w:val="nil"/>
            </w:tcBorders>
            <w:shd w:val="clear" w:color="auto" w:fill="auto"/>
            <w:noWrap/>
            <w:vAlign w:val="center"/>
            <w:hideMark/>
          </w:tcPr>
          <w:p w14:paraId="259604D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17.1%</w:t>
            </w:r>
          </w:p>
        </w:tc>
        <w:tc>
          <w:tcPr>
            <w:tcW w:w="622" w:type="dxa"/>
            <w:tcBorders>
              <w:top w:val="nil"/>
              <w:left w:val="nil"/>
              <w:bottom w:val="nil"/>
              <w:right w:val="nil"/>
            </w:tcBorders>
            <w:shd w:val="clear" w:color="auto" w:fill="auto"/>
            <w:noWrap/>
            <w:vAlign w:val="center"/>
            <w:hideMark/>
          </w:tcPr>
          <w:p w14:paraId="0744DB3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15.0%</w:t>
            </w:r>
          </w:p>
        </w:tc>
        <w:tc>
          <w:tcPr>
            <w:tcW w:w="621" w:type="dxa"/>
            <w:tcBorders>
              <w:top w:val="nil"/>
              <w:left w:val="nil"/>
              <w:bottom w:val="nil"/>
              <w:right w:val="nil"/>
            </w:tcBorders>
            <w:shd w:val="clear" w:color="auto" w:fill="auto"/>
            <w:noWrap/>
            <w:vAlign w:val="center"/>
            <w:hideMark/>
          </w:tcPr>
          <w:p w14:paraId="779A936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17.4%</w:t>
            </w:r>
          </w:p>
        </w:tc>
        <w:tc>
          <w:tcPr>
            <w:tcW w:w="622" w:type="dxa"/>
            <w:tcBorders>
              <w:top w:val="nil"/>
              <w:left w:val="nil"/>
              <w:bottom w:val="nil"/>
              <w:right w:val="nil"/>
            </w:tcBorders>
            <w:shd w:val="clear" w:color="auto" w:fill="auto"/>
            <w:noWrap/>
            <w:vAlign w:val="center"/>
            <w:hideMark/>
          </w:tcPr>
          <w:p w14:paraId="0016197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15.0%</w:t>
            </w:r>
          </w:p>
        </w:tc>
        <w:tc>
          <w:tcPr>
            <w:tcW w:w="622" w:type="dxa"/>
            <w:tcBorders>
              <w:top w:val="nil"/>
              <w:left w:val="nil"/>
              <w:bottom w:val="nil"/>
              <w:right w:val="nil"/>
            </w:tcBorders>
            <w:shd w:val="clear" w:color="auto" w:fill="auto"/>
            <w:noWrap/>
            <w:vAlign w:val="center"/>
            <w:hideMark/>
          </w:tcPr>
          <w:p w14:paraId="6ADB702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16.2%</w:t>
            </w:r>
          </w:p>
        </w:tc>
        <w:tc>
          <w:tcPr>
            <w:tcW w:w="621" w:type="dxa"/>
            <w:tcBorders>
              <w:top w:val="nil"/>
              <w:left w:val="nil"/>
              <w:bottom w:val="nil"/>
              <w:right w:val="nil"/>
            </w:tcBorders>
            <w:shd w:val="clear" w:color="auto" w:fill="auto"/>
            <w:noWrap/>
            <w:vAlign w:val="center"/>
            <w:hideMark/>
          </w:tcPr>
          <w:p w14:paraId="7F6A490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23.8%</w:t>
            </w:r>
          </w:p>
        </w:tc>
        <w:tc>
          <w:tcPr>
            <w:tcW w:w="622" w:type="dxa"/>
            <w:tcBorders>
              <w:top w:val="nil"/>
              <w:left w:val="nil"/>
              <w:bottom w:val="nil"/>
              <w:right w:val="nil"/>
            </w:tcBorders>
            <w:shd w:val="clear" w:color="auto" w:fill="auto"/>
            <w:noWrap/>
            <w:vAlign w:val="center"/>
            <w:hideMark/>
          </w:tcPr>
          <w:p w14:paraId="2B81914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16.1%</w:t>
            </w:r>
          </w:p>
        </w:tc>
        <w:tc>
          <w:tcPr>
            <w:tcW w:w="621" w:type="dxa"/>
            <w:tcBorders>
              <w:top w:val="nil"/>
              <w:left w:val="nil"/>
              <w:bottom w:val="nil"/>
              <w:right w:val="nil"/>
            </w:tcBorders>
            <w:shd w:val="clear" w:color="auto" w:fill="auto"/>
            <w:noWrap/>
            <w:vAlign w:val="center"/>
            <w:hideMark/>
          </w:tcPr>
          <w:p w14:paraId="24AE252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13.3%</w:t>
            </w:r>
          </w:p>
        </w:tc>
        <w:tc>
          <w:tcPr>
            <w:tcW w:w="622" w:type="dxa"/>
            <w:tcBorders>
              <w:top w:val="nil"/>
              <w:left w:val="nil"/>
              <w:bottom w:val="nil"/>
              <w:right w:val="nil"/>
            </w:tcBorders>
            <w:shd w:val="clear" w:color="auto" w:fill="auto"/>
            <w:noWrap/>
            <w:vAlign w:val="center"/>
            <w:hideMark/>
          </w:tcPr>
          <w:p w14:paraId="47D35DD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4.5%</w:t>
            </w:r>
          </w:p>
        </w:tc>
        <w:tc>
          <w:tcPr>
            <w:tcW w:w="622" w:type="dxa"/>
            <w:tcBorders>
              <w:top w:val="nil"/>
              <w:left w:val="nil"/>
              <w:bottom w:val="nil"/>
              <w:right w:val="nil"/>
            </w:tcBorders>
            <w:shd w:val="clear" w:color="auto" w:fill="auto"/>
            <w:noWrap/>
            <w:vAlign w:val="center"/>
            <w:hideMark/>
          </w:tcPr>
          <w:p w14:paraId="12C509A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3.0%</w:t>
            </w:r>
          </w:p>
        </w:tc>
        <w:tc>
          <w:tcPr>
            <w:tcW w:w="621" w:type="dxa"/>
            <w:tcBorders>
              <w:top w:val="nil"/>
              <w:left w:val="nil"/>
              <w:bottom w:val="nil"/>
              <w:right w:val="nil"/>
            </w:tcBorders>
            <w:shd w:val="clear" w:color="auto" w:fill="auto"/>
            <w:noWrap/>
            <w:vAlign w:val="center"/>
            <w:hideMark/>
          </w:tcPr>
          <w:p w14:paraId="2C103D1C"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15.1%</w:t>
            </w:r>
          </w:p>
        </w:tc>
        <w:tc>
          <w:tcPr>
            <w:tcW w:w="622" w:type="dxa"/>
            <w:tcBorders>
              <w:top w:val="nil"/>
              <w:left w:val="nil"/>
              <w:bottom w:val="nil"/>
              <w:right w:val="nil"/>
            </w:tcBorders>
            <w:shd w:val="clear" w:color="auto" w:fill="auto"/>
            <w:noWrap/>
            <w:vAlign w:val="center"/>
            <w:hideMark/>
          </w:tcPr>
          <w:p w14:paraId="0605352A"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11.5%</w:t>
            </w:r>
          </w:p>
        </w:tc>
        <w:tc>
          <w:tcPr>
            <w:tcW w:w="622" w:type="dxa"/>
            <w:tcBorders>
              <w:top w:val="nil"/>
              <w:left w:val="nil"/>
              <w:bottom w:val="nil"/>
              <w:right w:val="nil"/>
            </w:tcBorders>
            <w:shd w:val="clear" w:color="auto" w:fill="auto"/>
            <w:noWrap/>
            <w:vAlign w:val="center"/>
            <w:hideMark/>
          </w:tcPr>
          <w:p w14:paraId="10D54582"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7.1%</w:t>
            </w:r>
          </w:p>
        </w:tc>
        <w:tc>
          <w:tcPr>
            <w:tcW w:w="621" w:type="dxa"/>
            <w:tcBorders>
              <w:top w:val="nil"/>
              <w:left w:val="nil"/>
              <w:bottom w:val="nil"/>
              <w:right w:val="nil"/>
            </w:tcBorders>
            <w:shd w:val="clear" w:color="auto" w:fill="auto"/>
            <w:noWrap/>
            <w:vAlign w:val="center"/>
            <w:hideMark/>
          </w:tcPr>
          <w:p w14:paraId="60D8370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12.1%</w:t>
            </w:r>
          </w:p>
        </w:tc>
        <w:tc>
          <w:tcPr>
            <w:tcW w:w="622" w:type="dxa"/>
            <w:tcBorders>
              <w:top w:val="nil"/>
              <w:left w:val="nil"/>
              <w:bottom w:val="nil"/>
              <w:right w:val="nil"/>
            </w:tcBorders>
            <w:shd w:val="clear" w:color="auto" w:fill="auto"/>
            <w:noWrap/>
            <w:vAlign w:val="center"/>
            <w:hideMark/>
          </w:tcPr>
          <w:p w14:paraId="61C33D1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21.2%</w:t>
            </w:r>
          </w:p>
        </w:tc>
        <w:tc>
          <w:tcPr>
            <w:tcW w:w="622" w:type="dxa"/>
            <w:tcBorders>
              <w:top w:val="nil"/>
              <w:left w:val="nil"/>
              <w:bottom w:val="nil"/>
              <w:right w:val="nil"/>
            </w:tcBorders>
            <w:shd w:val="clear" w:color="auto" w:fill="auto"/>
            <w:noWrap/>
            <w:vAlign w:val="center"/>
            <w:hideMark/>
          </w:tcPr>
          <w:p w14:paraId="1A0A79E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14.3%</w:t>
            </w:r>
          </w:p>
        </w:tc>
      </w:tr>
      <w:tr w:rsidR="009E5674" w:rsidRPr="00163E75" w14:paraId="021966F0"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622025D8"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 Education</w:t>
            </w:r>
          </w:p>
        </w:tc>
        <w:tc>
          <w:tcPr>
            <w:tcW w:w="621" w:type="dxa"/>
            <w:tcBorders>
              <w:top w:val="nil"/>
              <w:left w:val="nil"/>
              <w:bottom w:val="nil"/>
              <w:right w:val="nil"/>
            </w:tcBorders>
            <w:shd w:val="clear" w:color="auto" w:fill="auto"/>
            <w:noWrap/>
            <w:vAlign w:val="center"/>
            <w:hideMark/>
          </w:tcPr>
          <w:p w14:paraId="0658CD8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21.4%</w:t>
            </w:r>
          </w:p>
        </w:tc>
        <w:tc>
          <w:tcPr>
            <w:tcW w:w="622" w:type="dxa"/>
            <w:tcBorders>
              <w:top w:val="nil"/>
              <w:left w:val="nil"/>
              <w:bottom w:val="nil"/>
              <w:right w:val="nil"/>
            </w:tcBorders>
            <w:shd w:val="clear" w:color="auto" w:fill="auto"/>
            <w:noWrap/>
            <w:vAlign w:val="center"/>
            <w:hideMark/>
          </w:tcPr>
          <w:p w14:paraId="17D06EE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24.4%</w:t>
            </w:r>
          </w:p>
        </w:tc>
        <w:tc>
          <w:tcPr>
            <w:tcW w:w="621" w:type="dxa"/>
            <w:tcBorders>
              <w:top w:val="nil"/>
              <w:left w:val="nil"/>
              <w:bottom w:val="nil"/>
              <w:right w:val="nil"/>
            </w:tcBorders>
            <w:shd w:val="clear" w:color="auto" w:fill="auto"/>
            <w:noWrap/>
            <w:vAlign w:val="center"/>
            <w:hideMark/>
          </w:tcPr>
          <w:p w14:paraId="323B981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18.4%</w:t>
            </w:r>
          </w:p>
        </w:tc>
        <w:tc>
          <w:tcPr>
            <w:tcW w:w="622" w:type="dxa"/>
            <w:tcBorders>
              <w:top w:val="nil"/>
              <w:left w:val="nil"/>
              <w:bottom w:val="nil"/>
              <w:right w:val="nil"/>
            </w:tcBorders>
            <w:shd w:val="clear" w:color="auto" w:fill="auto"/>
            <w:noWrap/>
            <w:vAlign w:val="center"/>
            <w:hideMark/>
          </w:tcPr>
          <w:p w14:paraId="3346941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20.5%</w:t>
            </w:r>
          </w:p>
        </w:tc>
        <w:tc>
          <w:tcPr>
            <w:tcW w:w="622" w:type="dxa"/>
            <w:tcBorders>
              <w:top w:val="nil"/>
              <w:left w:val="nil"/>
              <w:bottom w:val="nil"/>
              <w:right w:val="nil"/>
            </w:tcBorders>
            <w:shd w:val="clear" w:color="auto" w:fill="auto"/>
            <w:noWrap/>
            <w:vAlign w:val="center"/>
            <w:hideMark/>
          </w:tcPr>
          <w:p w14:paraId="35ABA86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18.3%</w:t>
            </w:r>
          </w:p>
        </w:tc>
        <w:tc>
          <w:tcPr>
            <w:tcW w:w="621" w:type="dxa"/>
            <w:tcBorders>
              <w:top w:val="nil"/>
              <w:left w:val="nil"/>
              <w:bottom w:val="nil"/>
              <w:right w:val="nil"/>
            </w:tcBorders>
            <w:shd w:val="clear" w:color="auto" w:fill="auto"/>
            <w:noWrap/>
            <w:vAlign w:val="center"/>
            <w:hideMark/>
          </w:tcPr>
          <w:p w14:paraId="1568F2F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14.3%</w:t>
            </w:r>
          </w:p>
        </w:tc>
        <w:tc>
          <w:tcPr>
            <w:tcW w:w="622" w:type="dxa"/>
            <w:tcBorders>
              <w:top w:val="nil"/>
              <w:left w:val="nil"/>
              <w:bottom w:val="nil"/>
              <w:right w:val="nil"/>
            </w:tcBorders>
            <w:shd w:val="clear" w:color="auto" w:fill="auto"/>
            <w:noWrap/>
            <w:vAlign w:val="center"/>
            <w:hideMark/>
          </w:tcPr>
          <w:p w14:paraId="763D4B8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21.7%</w:t>
            </w:r>
          </w:p>
        </w:tc>
        <w:tc>
          <w:tcPr>
            <w:tcW w:w="622" w:type="dxa"/>
            <w:tcBorders>
              <w:top w:val="nil"/>
              <w:left w:val="nil"/>
              <w:bottom w:val="nil"/>
              <w:right w:val="nil"/>
            </w:tcBorders>
            <w:shd w:val="clear" w:color="auto" w:fill="auto"/>
            <w:noWrap/>
            <w:vAlign w:val="center"/>
            <w:hideMark/>
          </w:tcPr>
          <w:p w14:paraId="2888B3B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28.2%</w:t>
            </w:r>
          </w:p>
        </w:tc>
        <w:tc>
          <w:tcPr>
            <w:tcW w:w="621" w:type="dxa"/>
            <w:tcBorders>
              <w:top w:val="nil"/>
              <w:left w:val="nil"/>
              <w:bottom w:val="nil"/>
              <w:right w:val="nil"/>
            </w:tcBorders>
            <w:shd w:val="clear" w:color="auto" w:fill="auto"/>
            <w:noWrap/>
            <w:vAlign w:val="center"/>
            <w:hideMark/>
          </w:tcPr>
          <w:p w14:paraId="1F64778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11.0%</w:t>
            </w:r>
          </w:p>
        </w:tc>
        <w:tc>
          <w:tcPr>
            <w:tcW w:w="622" w:type="dxa"/>
            <w:tcBorders>
              <w:top w:val="nil"/>
              <w:left w:val="nil"/>
              <w:bottom w:val="nil"/>
              <w:right w:val="nil"/>
            </w:tcBorders>
            <w:shd w:val="clear" w:color="auto" w:fill="auto"/>
            <w:noWrap/>
            <w:vAlign w:val="center"/>
            <w:hideMark/>
          </w:tcPr>
          <w:p w14:paraId="6C4A91B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22.1%</w:t>
            </w:r>
          </w:p>
        </w:tc>
        <w:tc>
          <w:tcPr>
            <w:tcW w:w="621" w:type="dxa"/>
            <w:tcBorders>
              <w:top w:val="nil"/>
              <w:left w:val="nil"/>
              <w:bottom w:val="nil"/>
              <w:right w:val="nil"/>
            </w:tcBorders>
            <w:shd w:val="clear" w:color="auto" w:fill="auto"/>
            <w:noWrap/>
            <w:vAlign w:val="center"/>
            <w:hideMark/>
          </w:tcPr>
          <w:p w14:paraId="03C6111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12.1%</w:t>
            </w:r>
          </w:p>
        </w:tc>
        <w:tc>
          <w:tcPr>
            <w:tcW w:w="622" w:type="dxa"/>
            <w:tcBorders>
              <w:top w:val="nil"/>
              <w:left w:val="nil"/>
              <w:bottom w:val="nil"/>
              <w:right w:val="nil"/>
            </w:tcBorders>
            <w:shd w:val="clear" w:color="auto" w:fill="auto"/>
            <w:noWrap/>
            <w:vAlign w:val="center"/>
            <w:hideMark/>
          </w:tcPr>
          <w:p w14:paraId="608AB54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18.1%</w:t>
            </w:r>
          </w:p>
        </w:tc>
        <w:tc>
          <w:tcPr>
            <w:tcW w:w="622" w:type="dxa"/>
            <w:tcBorders>
              <w:top w:val="nil"/>
              <w:left w:val="nil"/>
              <w:bottom w:val="nil"/>
              <w:right w:val="nil"/>
            </w:tcBorders>
            <w:shd w:val="clear" w:color="auto" w:fill="auto"/>
            <w:noWrap/>
            <w:vAlign w:val="center"/>
            <w:hideMark/>
          </w:tcPr>
          <w:p w14:paraId="44599D1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15.2%</w:t>
            </w:r>
          </w:p>
        </w:tc>
        <w:tc>
          <w:tcPr>
            <w:tcW w:w="621" w:type="dxa"/>
            <w:tcBorders>
              <w:top w:val="nil"/>
              <w:left w:val="nil"/>
              <w:bottom w:val="nil"/>
              <w:right w:val="nil"/>
            </w:tcBorders>
            <w:shd w:val="clear" w:color="auto" w:fill="auto"/>
            <w:noWrap/>
            <w:vAlign w:val="center"/>
            <w:hideMark/>
          </w:tcPr>
          <w:p w14:paraId="3CED5B72"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18.4%</w:t>
            </w:r>
          </w:p>
        </w:tc>
        <w:tc>
          <w:tcPr>
            <w:tcW w:w="622" w:type="dxa"/>
            <w:tcBorders>
              <w:top w:val="nil"/>
              <w:left w:val="nil"/>
              <w:bottom w:val="nil"/>
              <w:right w:val="nil"/>
            </w:tcBorders>
            <w:shd w:val="clear" w:color="auto" w:fill="auto"/>
            <w:noWrap/>
            <w:vAlign w:val="center"/>
            <w:hideMark/>
          </w:tcPr>
          <w:p w14:paraId="78D9EC31"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15.7%</w:t>
            </w:r>
          </w:p>
        </w:tc>
        <w:tc>
          <w:tcPr>
            <w:tcW w:w="622" w:type="dxa"/>
            <w:tcBorders>
              <w:top w:val="nil"/>
              <w:left w:val="nil"/>
              <w:bottom w:val="nil"/>
              <w:right w:val="nil"/>
            </w:tcBorders>
            <w:shd w:val="clear" w:color="auto" w:fill="auto"/>
            <w:noWrap/>
            <w:vAlign w:val="center"/>
            <w:hideMark/>
          </w:tcPr>
          <w:p w14:paraId="5B471474"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15.7%</w:t>
            </w:r>
          </w:p>
        </w:tc>
        <w:tc>
          <w:tcPr>
            <w:tcW w:w="621" w:type="dxa"/>
            <w:tcBorders>
              <w:top w:val="nil"/>
              <w:left w:val="nil"/>
              <w:bottom w:val="nil"/>
              <w:right w:val="nil"/>
            </w:tcBorders>
            <w:shd w:val="clear" w:color="auto" w:fill="auto"/>
            <w:noWrap/>
            <w:vAlign w:val="center"/>
            <w:hideMark/>
          </w:tcPr>
          <w:p w14:paraId="50E87B5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29.1%</w:t>
            </w:r>
          </w:p>
        </w:tc>
        <w:tc>
          <w:tcPr>
            <w:tcW w:w="622" w:type="dxa"/>
            <w:tcBorders>
              <w:top w:val="nil"/>
              <w:left w:val="nil"/>
              <w:bottom w:val="nil"/>
              <w:right w:val="nil"/>
            </w:tcBorders>
            <w:shd w:val="clear" w:color="auto" w:fill="auto"/>
            <w:noWrap/>
            <w:vAlign w:val="center"/>
            <w:hideMark/>
          </w:tcPr>
          <w:p w14:paraId="01D059E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28.8%</w:t>
            </w:r>
          </w:p>
        </w:tc>
        <w:tc>
          <w:tcPr>
            <w:tcW w:w="622" w:type="dxa"/>
            <w:tcBorders>
              <w:top w:val="nil"/>
              <w:left w:val="nil"/>
              <w:bottom w:val="nil"/>
              <w:right w:val="nil"/>
            </w:tcBorders>
            <w:shd w:val="clear" w:color="auto" w:fill="auto"/>
            <w:noWrap/>
            <w:vAlign w:val="center"/>
            <w:hideMark/>
          </w:tcPr>
          <w:p w14:paraId="3114B2B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5.3%</w:t>
            </w:r>
          </w:p>
        </w:tc>
      </w:tr>
      <w:tr w:rsidR="009E5674" w:rsidRPr="00163E75" w14:paraId="6A33D643"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238EB5BE"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 Economics</w:t>
            </w:r>
          </w:p>
        </w:tc>
        <w:tc>
          <w:tcPr>
            <w:tcW w:w="621" w:type="dxa"/>
            <w:tcBorders>
              <w:top w:val="nil"/>
              <w:left w:val="nil"/>
              <w:bottom w:val="nil"/>
              <w:right w:val="nil"/>
            </w:tcBorders>
            <w:shd w:val="clear" w:color="auto" w:fill="auto"/>
            <w:noWrap/>
            <w:vAlign w:val="center"/>
            <w:hideMark/>
          </w:tcPr>
          <w:p w14:paraId="34DF087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25.4%</w:t>
            </w:r>
          </w:p>
        </w:tc>
        <w:tc>
          <w:tcPr>
            <w:tcW w:w="622" w:type="dxa"/>
            <w:tcBorders>
              <w:top w:val="nil"/>
              <w:left w:val="nil"/>
              <w:bottom w:val="nil"/>
              <w:right w:val="nil"/>
            </w:tcBorders>
            <w:shd w:val="clear" w:color="auto" w:fill="auto"/>
            <w:noWrap/>
            <w:vAlign w:val="center"/>
            <w:hideMark/>
          </w:tcPr>
          <w:p w14:paraId="6B55019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27.3%</w:t>
            </w:r>
          </w:p>
        </w:tc>
        <w:tc>
          <w:tcPr>
            <w:tcW w:w="621" w:type="dxa"/>
            <w:tcBorders>
              <w:top w:val="nil"/>
              <w:left w:val="nil"/>
              <w:bottom w:val="nil"/>
              <w:right w:val="nil"/>
            </w:tcBorders>
            <w:shd w:val="clear" w:color="auto" w:fill="auto"/>
            <w:noWrap/>
            <w:vAlign w:val="center"/>
            <w:hideMark/>
          </w:tcPr>
          <w:p w14:paraId="372BE74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27.5%</w:t>
            </w:r>
          </w:p>
        </w:tc>
        <w:tc>
          <w:tcPr>
            <w:tcW w:w="622" w:type="dxa"/>
            <w:tcBorders>
              <w:top w:val="nil"/>
              <w:left w:val="nil"/>
              <w:bottom w:val="nil"/>
              <w:right w:val="nil"/>
            </w:tcBorders>
            <w:shd w:val="clear" w:color="auto" w:fill="auto"/>
            <w:noWrap/>
            <w:vAlign w:val="center"/>
            <w:hideMark/>
          </w:tcPr>
          <w:p w14:paraId="2A55A48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47.9%</w:t>
            </w:r>
          </w:p>
        </w:tc>
        <w:tc>
          <w:tcPr>
            <w:tcW w:w="622" w:type="dxa"/>
            <w:tcBorders>
              <w:top w:val="nil"/>
              <w:left w:val="nil"/>
              <w:bottom w:val="nil"/>
              <w:right w:val="nil"/>
            </w:tcBorders>
            <w:shd w:val="clear" w:color="auto" w:fill="auto"/>
            <w:noWrap/>
            <w:vAlign w:val="center"/>
            <w:hideMark/>
          </w:tcPr>
          <w:p w14:paraId="3295BF4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35.3%</w:t>
            </w:r>
          </w:p>
        </w:tc>
        <w:tc>
          <w:tcPr>
            <w:tcW w:w="621" w:type="dxa"/>
            <w:tcBorders>
              <w:top w:val="nil"/>
              <w:left w:val="nil"/>
              <w:bottom w:val="nil"/>
              <w:right w:val="nil"/>
            </w:tcBorders>
            <w:shd w:val="clear" w:color="auto" w:fill="auto"/>
            <w:noWrap/>
            <w:vAlign w:val="center"/>
            <w:hideMark/>
          </w:tcPr>
          <w:p w14:paraId="35D8311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26.7%</w:t>
            </w:r>
          </w:p>
        </w:tc>
        <w:tc>
          <w:tcPr>
            <w:tcW w:w="622" w:type="dxa"/>
            <w:tcBorders>
              <w:top w:val="nil"/>
              <w:left w:val="nil"/>
              <w:bottom w:val="nil"/>
              <w:right w:val="nil"/>
            </w:tcBorders>
            <w:shd w:val="clear" w:color="auto" w:fill="auto"/>
            <w:noWrap/>
            <w:vAlign w:val="center"/>
            <w:hideMark/>
          </w:tcPr>
          <w:p w14:paraId="41E0ADA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31.3%</w:t>
            </w:r>
          </w:p>
        </w:tc>
        <w:tc>
          <w:tcPr>
            <w:tcW w:w="622" w:type="dxa"/>
            <w:tcBorders>
              <w:top w:val="nil"/>
              <w:left w:val="nil"/>
              <w:bottom w:val="nil"/>
              <w:right w:val="nil"/>
            </w:tcBorders>
            <w:shd w:val="clear" w:color="auto" w:fill="auto"/>
            <w:noWrap/>
            <w:vAlign w:val="center"/>
            <w:hideMark/>
          </w:tcPr>
          <w:p w14:paraId="6371C4A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33.0%</w:t>
            </w:r>
          </w:p>
        </w:tc>
        <w:tc>
          <w:tcPr>
            <w:tcW w:w="621" w:type="dxa"/>
            <w:tcBorders>
              <w:top w:val="nil"/>
              <w:left w:val="nil"/>
              <w:bottom w:val="nil"/>
              <w:right w:val="nil"/>
            </w:tcBorders>
            <w:shd w:val="clear" w:color="auto" w:fill="auto"/>
            <w:noWrap/>
            <w:vAlign w:val="center"/>
            <w:hideMark/>
          </w:tcPr>
          <w:p w14:paraId="1E91A88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30.6%</w:t>
            </w:r>
          </w:p>
        </w:tc>
        <w:tc>
          <w:tcPr>
            <w:tcW w:w="622" w:type="dxa"/>
            <w:tcBorders>
              <w:top w:val="nil"/>
              <w:left w:val="nil"/>
              <w:bottom w:val="nil"/>
              <w:right w:val="nil"/>
            </w:tcBorders>
            <w:shd w:val="clear" w:color="auto" w:fill="auto"/>
            <w:noWrap/>
            <w:vAlign w:val="center"/>
            <w:hideMark/>
          </w:tcPr>
          <w:p w14:paraId="54FB6B4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18.1%</w:t>
            </w:r>
          </w:p>
        </w:tc>
        <w:tc>
          <w:tcPr>
            <w:tcW w:w="621" w:type="dxa"/>
            <w:tcBorders>
              <w:top w:val="nil"/>
              <w:left w:val="nil"/>
              <w:bottom w:val="nil"/>
              <w:right w:val="nil"/>
            </w:tcBorders>
            <w:shd w:val="clear" w:color="auto" w:fill="auto"/>
            <w:noWrap/>
            <w:vAlign w:val="center"/>
            <w:hideMark/>
          </w:tcPr>
          <w:p w14:paraId="4C4E948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28.2%</w:t>
            </w:r>
          </w:p>
        </w:tc>
        <w:tc>
          <w:tcPr>
            <w:tcW w:w="622" w:type="dxa"/>
            <w:tcBorders>
              <w:top w:val="nil"/>
              <w:left w:val="nil"/>
              <w:bottom w:val="nil"/>
              <w:right w:val="nil"/>
            </w:tcBorders>
            <w:shd w:val="clear" w:color="auto" w:fill="auto"/>
            <w:noWrap/>
            <w:vAlign w:val="center"/>
            <w:hideMark/>
          </w:tcPr>
          <w:p w14:paraId="7DA3BDF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20.0%</w:t>
            </w:r>
          </w:p>
        </w:tc>
        <w:tc>
          <w:tcPr>
            <w:tcW w:w="622" w:type="dxa"/>
            <w:tcBorders>
              <w:top w:val="nil"/>
              <w:left w:val="nil"/>
              <w:bottom w:val="nil"/>
              <w:right w:val="nil"/>
            </w:tcBorders>
            <w:shd w:val="clear" w:color="auto" w:fill="auto"/>
            <w:noWrap/>
            <w:vAlign w:val="center"/>
            <w:hideMark/>
          </w:tcPr>
          <w:p w14:paraId="0DBB101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28.7%</w:t>
            </w:r>
          </w:p>
        </w:tc>
        <w:tc>
          <w:tcPr>
            <w:tcW w:w="621" w:type="dxa"/>
            <w:tcBorders>
              <w:top w:val="nil"/>
              <w:left w:val="nil"/>
              <w:bottom w:val="nil"/>
              <w:right w:val="nil"/>
            </w:tcBorders>
            <w:shd w:val="clear" w:color="auto" w:fill="auto"/>
            <w:noWrap/>
            <w:vAlign w:val="center"/>
            <w:hideMark/>
          </w:tcPr>
          <w:p w14:paraId="5C65CD53"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27.9%</w:t>
            </w:r>
          </w:p>
        </w:tc>
        <w:tc>
          <w:tcPr>
            <w:tcW w:w="622" w:type="dxa"/>
            <w:tcBorders>
              <w:top w:val="nil"/>
              <w:left w:val="nil"/>
              <w:bottom w:val="nil"/>
              <w:right w:val="nil"/>
            </w:tcBorders>
            <w:shd w:val="clear" w:color="auto" w:fill="auto"/>
            <w:noWrap/>
            <w:vAlign w:val="center"/>
            <w:hideMark/>
          </w:tcPr>
          <w:p w14:paraId="4882CA1C"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18.3%</w:t>
            </w:r>
          </w:p>
        </w:tc>
        <w:tc>
          <w:tcPr>
            <w:tcW w:w="622" w:type="dxa"/>
            <w:tcBorders>
              <w:top w:val="nil"/>
              <w:left w:val="nil"/>
              <w:bottom w:val="nil"/>
              <w:right w:val="nil"/>
            </w:tcBorders>
            <w:shd w:val="clear" w:color="auto" w:fill="auto"/>
            <w:noWrap/>
            <w:vAlign w:val="center"/>
            <w:hideMark/>
          </w:tcPr>
          <w:p w14:paraId="5C906FA8"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25.3%</w:t>
            </w:r>
          </w:p>
        </w:tc>
        <w:tc>
          <w:tcPr>
            <w:tcW w:w="621" w:type="dxa"/>
            <w:tcBorders>
              <w:top w:val="nil"/>
              <w:left w:val="nil"/>
              <w:bottom w:val="nil"/>
              <w:right w:val="nil"/>
            </w:tcBorders>
            <w:shd w:val="clear" w:color="auto" w:fill="auto"/>
            <w:noWrap/>
            <w:vAlign w:val="center"/>
            <w:hideMark/>
          </w:tcPr>
          <w:p w14:paraId="2C1877E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16.4%</w:t>
            </w:r>
          </w:p>
        </w:tc>
        <w:tc>
          <w:tcPr>
            <w:tcW w:w="622" w:type="dxa"/>
            <w:tcBorders>
              <w:top w:val="nil"/>
              <w:left w:val="nil"/>
              <w:bottom w:val="nil"/>
              <w:right w:val="nil"/>
            </w:tcBorders>
            <w:shd w:val="clear" w:color="auto" w:fill="auto"/>
            <w:noWrap/>
            <w:vAlign w:val="center"/>
            <w:hideMark/>
          </w:tcPr>
          <w:p w14:paraId="41BD3DD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27.9%</w:t>
            </w:r>
          </w:p>
        </w:tc>
        <w:tc>
          <w:tcPr>
            <w:tcW w:w="622" w:type="dxa"/>
            <w:tcBorders>
              <w:top w:val="nil"/>
              <w:left w:val="nil"/>
              <w:bottom w:val="nil"/>
              <w:right w:val="nil"/>
            </w:tcBorders>
            <w:shd w:val="clear" w:color="auto" w:fill="auto"/>
            <w:noWrap/>
            <w:vAlign w:val="center"/>
            <w:hideMark/>
          </w:tcPr>
          <w:p w14:paraId="13F99E1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23.2%</w:t>
            </w:r>
          </w:p>
        </w:tc>
      </w:tr>
      <w:tr w:rsidR="009E5674" w:rsidRPr="00163E75" w14:paraId="05CE972F"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2EA7B9F0" w14:textId="7A7636A5"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 Commerce, Management, Tourism and Services</w:t>
            </w:r>
          </w:p>
        </w:tc>
        <w:tc>
          <w:tcPr>
            <w:tcW w:w="621" w:type="dxa"/>
            <w:tcBorders>
              <w:top w:val="nil"/>
              <w:left w:val="nil"/>
              <w:bottom w:val="nil"/>
              <w:right w:val="nil"/>
            </w:tcBorders>
            <w:shd w:val="clear" w:color="auto" w:fill="auto"/>
            <w:noWrap/>
            <w:vAlign w:val="center"/>
            <w:hideMark/>
          </w:tcPr>
          <w:p w14:paraId="7394FCF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25.6%</w:t>
            </w:r>
          </w:p>
        </w:tc>
        <w:tc>
          <w:tcPr>
            <w:tcW w:w="622" w:type="dxa"/>
            <w:tcBorders>
              <w:top w:val="nil"/>
              <w:left w:val="nil"/>
              <w:bottom w:val="nil"/>
              <w:right w:val="nil"/>
            </w:tcBorders>
            <w:shd w:val="clear" w:color="auto" w:fill="auto"/>
            <w:noWrap/>
            <w:vAlign w:val="center"/>
            <w:hideMark/>
          </w:tcPr>
          <w:p w14:paraId="35B93BD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24.7%</w:t>
            </w:r>
          </w:p>
        </w:tc>
        <w:tc>
          <w:tcPr>
            <w:tcW w:w="621" w:type="dxa"/>
            <w:tcBorders>
              <w:top w:val="nil"/>
              <w:left w:val="nil"/>
              <w:bottom w:val="nil"/>
              <w:right w:val="nil"/>
            </w:tcBorders>
            <w:shd w:val="clear" w:color="auto" w:fill="auto"/>
            <w:noWrap/>
            <w:vAlign w:val="center"/>
            <w:hideMark/>
          </w:tcPr>
          <w:p w14:paraId="1E3A66A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22.2%</w:t>
            </w:r>
          </w:p>
        </w:tc>
        <w:tc>
          <w:tcPr>
            <w:tcW w:w="622" w:type="dxa"/>
            <w:tcBorders>
              <w:top w:val="nil"/>
              <w:left w:val="nil"/>
              <w:bottom w:val="nil"/>
              <w:right w:val="nil"/>
            </w:tcBorders>
            <w:shd w:val="clear" w:color="auto" w:fill="auto"/>
            <w:noWrap/>
            <w:vAlign w:val="center"/>
            <w:hideMark/>
          </w:tcPr>
          <w:p w14:paraId="4181C91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24.4%</w:t>
            </w:r>
          </w:p>
        </w:tc>
        <w:tc>
          <w:tcPr>
            <w:tcW w:w="622" w:type="dxa"/>
            <w:tcBorders>
              <w:top w:val="nil"/>
              <w:left w:val="nil"/>
              <w:bottom w:val="nil"/>
              <w:right w:val="nil"/>
            </w:tcBorders>
            <w:shd w:val="clear" w:color="auto" w:fill="auto"/>
            <w:noWrap/>
            <w:vAlign w:val="center"/>
            <w:hideMark/>
          </w:tcPr>
          <w:p w14:paraId="2B0BA9A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17.6%</w:t>
            </w:r>
          </w:p>
        </w:tc>
        <w:tc>
          <w:tcPr>
            <w:tcW w:w="621" w:type="dxa"/>
            <w:tcBorders>
              <w:top w:val="nil"/>
              <w:left w:val="nil"/>
              <w:bottom w:val="nil"/>
              <w:right w:val="nil"/>
            </w:tcBorders>
            <w:shd w:val="clear" w:color="auto" w:fill="auto"/>
            <w:noWrap/>
            <w:vAlign w:val="center"/>
            <w:hideMark/>
          </w:tcPr>
          <w:p w14:paraId="79785E0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16.8%</w:t>
            </w:r>
          </w:p>
        </w:tc>
        <w:tc>
          <w:tcPr>
            <w:tcW w:w="622" w:type="dxa"/>
            <w:tcBorders>
              <w:top w:val="nil"/>
              <w:left w:val="nil"/>
              <w:bottom w:val="nil"/>
              <w:right w:val="nil"/>
            </w:tcBorders>
            <w:shd w:val="clear" w:color="auto" w:fill="auto"/>
            <w:noWrap/>
            <w:vAlign w:val="center"/>
            <w:hideMark/>
          </w:tcPr>
          <w:p w14:paraId="19BB539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15.4%</w:t>
            </w:r>
          </w:p>
        </w:tc>
        <w:tc>
          <w:tcPr>
            <w:tcW w:w="622" w:type="dxa"/>
            <w:tcBorders>
              <w:top w:val="nil"/>
              <w:left w:val="nil"/>
              <w:bottom w:val="nil"/>
              <w:right w:val="nil"/>
            </w:tcBorders>
            <w:shd w:val="clear" w:color="auto" w:fill="auto"/>
            <w:noWrap/>
            <w:vAlign w:val="center"/>
            <w:hideMark/>
          </w:tcPr>
          <w:p w14:paraId="42835C4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10.5%</w:t>
            </w:r>
          </w:p>
        </w:tc>
        <w:tc>
          <w:tcPr>
            <w:tcW w:w="621" w:type="dxa"/>
            <w:tcBorders>
              <w:top w:val="nil"/>
              <w:left w:val="nil"/>
              <w:bottom w:val="nil"/>
              <w:right w:val="nil"/>
            </w:tcBorders>
            <w:shd w:val="clear" w:color="auto" w:fill="auto"/>
            <w:noWrap/>
            <w:vAlign w:val="center"/>
            <w:hideMark/>
          </w:tcPr>
          <w:p w14:paraId="4477795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14.3%</w:t>
            </w:r>
          </w:p>
        </w:tc>
        <w:tc>
          <w:tcPr>
            <w:tcW w:w="622" w:type="dxa"/>
            <w:tcBorders>
              <w:top w:val="nil"/>
              <w:left w:val="nil"/>
              <w:bottom w:val="nil"/>
              <w:right w:val="nil"/>
            </w:tcBorders>
            <w:shd w:val="clear" w:color="auto" w:fill="auto"/>
            <w:noWrap/>
            <w:vAlign w:val="center"/>
            <w:hideMark/>
          </w:tcPr>
          <w:p w14:paraId="3675DF6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19.3%</w:t>
            </w:r>
          </w:p>
        </w:tc>
        <w:tc>
          <w:tcPr>
            <w:tcW w:w="621" w:type="dxa"/>
            <w:tcBorders>
              <w:top w:val="nil"/>
              <w:left w:val="nil"/>
              <w:bottom w:val="nil"/>
              <w:right w:val="nil"/>
            </w:tcBorders>
            <w:shd w:val="clear" w:color="auto" w:fill="auto"/>
            <w:noWrap/>
            <w:vAlign w:val="center"/>
            <w:hideMark/>
          </w:tcPr>
          <w:p w14:paraId="63078CF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22.1%</w:t>
            </w:r>
          </w:p>
        </w:tc>
        <w:tc>
          <w:tcPr>
            <w:tcW w:w="622" w:type="dxa"/>
            <w:tcBorders>
              <w:top w:val="nil"/>
              <w:left w:val="nil"/>
              <w:bottom w:val="nil"/>
              <w:right w:val="nil"/>
            </w:tcBorders>
            <w:shd w:val="clear" w:color="auto" w:fill="auto"/>
            <w:noWrap/>
            <w:vAlign w:val="center"/>
            <w:hideMark/>
          </w:tcPr>
          <w:p w14:paraId="33B7BBD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11.7%</w:t>
            </w:r>
          </w:p>
        </w:tc>
        <w:tc>
          <w:tcPr>
            <w:tcW w:w="622" w:type="dxa"/>
            <w:tcBorders>
              <w:top w:val="nil"/>
              <w:left w:val="nil"/>
              <w:bottom w:val="nil"/>
              <w:right w:val="nil"/>
            </w:tcBorders>
            <w:shd w:val="clear" w:color="auto" w:fill="auto"/>
            <w:noWrap/>
            <w:vAlign w:val="center"/>
            <w:hideMark/>
          </w:tcPr>
          <w:p w14:paraId="2AAD23D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8.6%</w:t>
            </w:r>
          </w:p>
        </w:tc>
        <w:tc>
          <w:tcPr>
            <w:tcW w:w="621" w:type="dxa"/>
            <w:tcBorders>
              <w:top w:val="nil"/>
              <w:left w:val="nil"/>
              <w:bottom w:val="nil"/>
              <w:right w:val="nil"/>
            </w:tcBorders>
            <w:shd w:val="clear" w:color="auto" w:fill="auto"/>
            <w:noWrap/>
            <w:vAlign w:val="center"/>
            <w:hideMark/>
          </w:tcPr>
          <w:p w14:paraId="4F44733A"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5.3%</w:t>
            </w:r>
          </w:p>
        </w:tc>
        <w:tc>
          <w:tcPr>
            <w:tcW w:w="622" w:type="dxa"/>
            <w:tcBorders>
              <w:top w:val="nil"/>
              <w:left w:val="nil"/>
              <w:bottom w:val="nil"/>
              <w:right w:val="nil"/>
            </w:tcBorders>
            <w:shd w:val="clear" w:color="auto" w:fill="auto"/>
            <w:noWrap/>
            <w:vAlign w:val="center"/>
            <w:hideMark/>
          </w:tcPr>
          <w:p w14:paraId="1005518A"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13.4%</w:t>
            </w:r>
          </w:p>
        </w:tc>
        <w:tc>
          <w:tcPr>
            <w:tcW w:w="622" w:type="dxa"/>
            <w:tcBorders>
              <w:top w:val="nil"/>
              <w:left w:val="nil"/>
              <w:bottom w:val="nil"/>
              <w:right w:val="nil"/>
            </w:tcBorders>
            <w:shd w:val="clear" w:color="auto" w:fill="auto"/>
            <w:noWrap/>
            <w:vAlign w:val="center"/>
            <w:hideMark/>
          </w:tcPr>
          <w:p w14:paraId="3715C9F7"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6.8%</w:t>
            </w:r>
          </w:p>
        </w:tc>
        <w:tc>
          <w:tcPr>
            <w:tcW w:w="621" w:type="dxa"/>
            <w:tcBorders>
              <w:top w:val="nil"/>
              <w:left w:val="nil"/>
              <w:bottom w:val="nil"/>
              <w:right w:val="nil"/>
            </w:tcBorders>
            <w:shd w:val="clear" w:color="auto" w:fill="auto"/>
            <w:noWrap/>
            <w:vAlign w:val="center"/>
            <w:hideMark/>
          </w:tcPr>
          <w:p w14:paraId="59F1D05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14.8%</w:t>
            </w:r>
          </w:p>
        </w:tc>
        <w:tc>
          <w:tcPr>
            <w:tcW w:w="622" w:type="dxa"/>
            <w:tcBorders>
              <w:top w:val="nil"/>
              <w:left w:val="nil"/>
              <w:bottom w:val="nil"/>
              <w:right w:val="nil"/>
            </w:tcBorders>
            <w:shd w:val="clear" w:color="auto" w:fill="auto"/>
            <w:noWrap/>
            <w:vAlign w:val="center"/>
            <w:hideMark/>
          </w:tcPr>
          <w:p w14:paraId="2CD34C2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5.3%</w:t>
            </w:r>
          </w:p>
        </w:tc>
        <w:tc>
          <w:tcPr>
            <w:tcW w:w="622" w:type="dxa"/>
            <w:tcBorders>
              <w:top w:val="nil"/>
              <w:left w:val="nil"/>
              <w:bottom w:val="nil"/>
              <w:right w:val="nil"/>
            </w:tcBorders>
            <w:shd w:val="clear" w:color="auto" w:fill="auto"/>
            <w:noWrap/>
            <w:vAlign w:val="center"/>
            <w:hideMark/>
          </w:tcPr>
          <w:p w14:paraId="411CB81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18.2%</w:t>
            </w:r>
          </w:p>
        </w:tc>
      </w:tr>
      <w:tr w:rsidR="009E5674" w:rsidRPr="00163E75" w14:paraId="2FD6B3D6"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618A973A"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 Studies in Human Society</w:t>
            </w:r>
          </w:p>
        </w:tc>
        <w:tc>
          <w:tcPr>
            <w:tcW w:w="621" w:type="dxa"/>
            <w:tcBorders>
              <w:top w:val="nil"/>
              <w:left w:val="nil"/>
              <w:bottom w:val="nil"/>
              <w:right w:val="nil"/>
            </w:tcBorders>
            <w:shd w:val="clear" w:color="auto" w:fill="auto"/>
            <w:noWrap/>
            <w:vAlign w:val="center"/>
            <w:hideMark/>
          </w:tcPr>
          <w:p w14:paraId="1CD86BE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30.2%</w:t>
            </w:r>
          </w:p>
        </w:tc>
        <w:tc>
          <w:tcPr>
            <w:tcW w:w="622" w:type="dxa"/>
            <w:tcBorders>
              <w:top w:val="nil"/>
              <w:left w:val="nil"/>
              <w:bottom w:val="nil"/>
              <w:right w:val="nil"/>
            </w:tcBorders>
            <w:shd w:val="clear" w:color="auto" w:fill="auto"/>
            <w:noWrap/>
            <w:vAlign w:val="center"/>
            <w:hideMark/>
          </w:tcPr>
          <w:p w14:paraId="35B062F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21.1%</w:t>
            </w:r>
          </w:p>
        </w:tc>
        <w:tc>
          <w:tcPr>
            <w:tcW w:w="621" w:type="dxa"/>
            <w:tcBorders>
              <w:top w:val="nil"/>
              <w:left w:val="nil"/>
              <w:bottom w:val="nil"/>
              <w:right w:val="nil"/>
            </w:tcBorders>
            <w:shd w:val="clear" w:color="auto" w:fill="auto"/>
            <w:noWrap/>
            <w:vAlign w:val="center"/>
            <w:hideMark/>
          </w:tcPr>
          <w:p w14:paraId="4AD1AD1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27.2%</w:t>
            </w:r>
          </w:p>
        </w:tc>
        <w:tc>
          <w:tcPr>
            <w:tcW w:w="622" w:type="dxa"/>
            <w:tcBorders>
              <w:top w:val="nil"/>
              <w:left w:val="nil"/>
              <w:bottom w:val="nil"/>
              <w:right w:val="nil"/>
            </w:tcBorders>
            <w:shd w:val="clear" w:color="auto" w:fill="auto"/>
            <w:noWrap/>
            <w:vAlign w:val="center"/>
            <w:hideMark/>
          </w:tcPr>
          <w:p w14:paraId="68E9515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32.0%</w:t>
            </w:r>
          </w:p>
        </w:tc>
        <w:tc>
          <w:tcPr>
            <w:tcW w:w="622" w:type="dxa"/>
            <w:tcBorders>
              <w:top w:val="nil"/>
              <w:left w:val="nil"/>
              <w:bottom w:val="nil"/>
              <w:right w:val="nil"/>
            </w:tcBorders>
            <w:shd w:val="clear" w:color="auto" w:fill="auto"/>
            <w:noWrap/>
            <w:vAlign w:val="center"/>
            <w:hideMark/>
          </w:tcPr>
          <w:p w14:paraId="59E38E7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24.6%</w:t>
            </w:r>
          </w:p>
        </w:tc>
        <w:tc>
          <w:tcPr>
            <w:tcW w:w="621" w:type="dxa"/>
            <w:tcBorders>
              <w:top w:val="nil"/>
              <w:left w:val="nil"/>
              <w:bottom w:val="nil"/>
              <w:right w:val="nil"/>
            </w:tcBorders>
            <w:shd w:val="clear" w:color="auto" w:fill="auto"/>
            <w:noWrap/>
            <w:vAlign w:val="center"/>
            <w:hideMark/>
          </w:tcPr>
          <w:p w14:paraId="09DC523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17.8%</w:t>
            </w:r>
          </w:p>
        </w:tc>
        <w:tc>
          <w:tcPr>
            <w:tcW w:w="622" w:type="dxa"/>
            <w:tcBorders>
              <w:top w:val="nil"/>
              <w:left w:val="nil"/>
              <w:bottom w:val="nil"/>
              <w:right w:val="nil"/>
            </w:tcBorders>
            <w:shd w:val="clear" w:color="auto" w:fill="auto"/>
            <w:noWrap/>
            <w:vAlign w:val="center"/>
            <w:hideMark/>
          </w:tcPr>
          <w:p w14:paraId="644B585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21.1%</w:t>
            </w:r>
          </w:p>
        </w:tc>
        <w:tc>
          <w:tcPr>
            <w:tcW w:w="622" w:type="dxa"/>
            <w:tcBorders>
              <w:top w:val="nil"/>
              <w:left w:val="nil"/>
              <w:bottom w:val="nil"/>
              <w:right w:val="nil"/>
            </w:tcBorders>
            <w:shd w:val="clear" w:color="auto" w:fill="auto"/>
            <w:noWrap/>
            <w:vAlign w:val="center"/>
            <w:hideMark/>
          </w:tcPr>
          <w:p w14:paraId="39897A5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17.8%</w:t>
            </w:r>
          </w:p>
        </w:tc>
        <w:tc>
          <w:tcPr>
            <w:tcW w:w="621" w:type="dxa"/>
            <w:tcBorders>
              <w:top w:val="nil"/>
              <w:left w:val="nil"/>
              <w:bottom w:val="nil"/>
              <w:right w:val="nil"/>
            </w:tcBorders>
            <w:shd w:val="clear" w:color="auto" w:fill="auto"/>
            <w:noWrap/>
            <w:vAlign w:val="center"/>
            <w:hideMark/>
          </w:tcPr>
          <w:p w14:paraId="6A2843C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23.5%</w:t>
            </w:r>
          </w:p>
        </w:tc>
        <w:tc>
          <w:tcPr>
            <w:tcW w:w="622" w:type="dxa"/>
            <w:tcBorders>
              <w:top w:val="nil"/>
              <w:left w:val="nil"/>
              <w:bottom w:val="nil"/>
              <w:right w:val="nil"/>
            </w:tcBorders>
            <w:shd w:val="clear" w:color="auto" w:fill="auto"/>
            <w:noWrap/>
            <w:vAlign w:val="center"/>
            <w:hideMark/>
          </w:tcPr>
          <w:p w14:paraId="25BD557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17.9%</w:t>
            </w:r>
          </w:p>
        </w:tc>
        <w:tc>
          <w:tcPr>
            <w:tcW w:w="621" w:type="dxa"/>
            <w:tcBorders>
              <w:top w:val="nil"/>
              <w:left w:val="nil"/>
              <w:bottom w:val="nil"/>
              <w:right w:val="nil"/>
            </w:tcBorders>
            <w:shd w:val="clear" w:color="auto" w:fill="auto"/>
            <w:noWrap/>
            <w:vAlign w:val="center"/>
            <w:hideMark/>
          </w:tcPr>
          <w:p w14:paraId="6B8512E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22.7%</w:t>
            </w:r>
          </w:p>
        </w:tc>
        <w:tc>
          <w:tcPr>
            <w:tcW w:w="622" w:type="dxa"/>
            <w:tcBorders>
              <w:top w:val="nil"/>
              <w:left w:val="nil"/>
              <w:bottom w:val="nil"/>
              <w:right w:val="nil"/>
            </w:tcBorders>
            <w:shd w:val="clear" w:color="auto" w:fill="auto"/>
            <w:noWrap/>
            <w:vAlign w:val="center"/>
            <w:hideMark/>
          </w:tcPr>
          <w:p w14:paraId="6B32B26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25.5%</w:t>
            </w:r>
          </w:p>
        </w:tc>
        <w:tc>
          <w:tcPr>
            <w:tcW w:w="622" w:type="dxa"/>
            <w:tcBorders>
              <w:top w:val="nil"/>
              <w:left w:val="nil"/>
              <w:bottom w:val="nil"/>
              <w:right w:val="nil"/>
            </w:tcBorders>
            <w:shd w:val="clear" w:color="auto" w:fill="auto"/>
            <w:noWrap/>
            <w:vAlign w:val="center"/>
            <w:hideMark/>
          </w:tcPr>
          <w:p w14:paraId="12F32A1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25.1%</w:t>
            </w:r>
          </w:p>
        </w:tc>
        <w:tc>
          <w:tcPr>
            <w:tcW w:w="621" w:type="dxa"/>
            <w:tcBorders>
              <w:top w:val="nil"/>
              <w:left w:val="nil"/>
              <w:bottom w:val="nil"/>
              <w:right w:val="nil"/>
            </w:tcBorders>
            <w:shd w:val="clear" w:color="auto" w:fill="auto"/>
            <w:noWrap/>
            <w:vAlign w:val="center"/>
            <w:hideMark/>
          </w:tcPr>
          <w:p w14:paraId="15A31E0F"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18.1%</w:t>
            </w:r>
          </w:p>
        </w:tc>
        <w:tc>
          <w:tcPr>
            <w:tcW w:w="622" w:type="dxa"/>
            <w:tcBorders>
              <w:top w:val="nil"/>
              <w:left w:val="nil"/>
              <w:bottom w:val="nil"/>
              <w:right w:val="nil"/>
            </w:tcBorders>
            <w:shd w:val="clear" w:color="auto" w:fill="auto"/>
            <w:noWrap/>
            <w:vAlign w:val="center"/>
            <w:hideMark/>
          </w:tcPr>
          <w:p w14:paraId="2DC4ED88"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18.4%</w:t>
            </w:r>
          </w:p>
        </w:tc>
        <w:tc>
          <w:tcPr>
            <w:tcW w:w="622" w:type="dxa"/>
            <w:tcBorders>
              <w:top w:val="nil"/>
              <w:left w:val="nil"/>
              <w:bottom w:val="nil"/>
              <w:right w:val="nil"/>
            </w:tcBorders>
            <w:shd w:val="clear" w:color="auto" w:fill="auto"/>
            <w:noWrap/>
            <w:vAlign w:val="center"/>
            <w:hideMark/>
          </w:tcPr>
          <w:p w14:paraId="76D94A34"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20.7%</w:t>
            </w:r>
          </w:p>
        </w:tc>
        <w:tc>
          <w:tcPr>
            <w:tcW w:w="621" w:type="dxa"/>
            <w:tcBorders>
              <w:top w:val="nil"/>
              <w:left w:val="nil"/>
              <w:bottom w:val="nil"/>
              <w:right w:val="nil"/>
            </w:tcBorders>
            <w:shd w:val="clear" w:color="auto" w:fill="auto"/>
            <w:noWrap/>
            <w:vAlign w:val="center"/>
            <w:hideMark/>
          </w:tcPr>
          <w:p w14:paraId="090097E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21.2%</w:t>
            </w:r>
          </w:p>
        </w:tc>
        <w:tc>
          <w:tcPr>
            <w:tcW w:w="622" w:type="dxa"/>
            <w:tcBorders>
              <w:top w:val="nil"/>
              <w:left w:val="nil"/>
              <w:bottom w:val="nil"/>
              <w:right w:val="nil"/>
            </w:tcBorders>
            <w:shd w:val="clear" w:color="auto" w:fill="auto"/>
            <w:noWrap/>
            <w:vAlign w:val="center"/>
            <w:hideMark/>
          </w:tcPr>
          <w:p w14:paraId="76CFC7F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23.1%</w:t>
            </w:r>
          </w:p>
        </w:tc>
        <w:tc>
          <w:tcPr>
            <w:tcW w:w="622" w:type="dxa"/>
            <w:tcBorders>
              <w:top w:val="nil"/>
              <w:left w:val="nil"/>
              <w:bottom w:val="nil"/>
              <w:right w:val="nil"/>
            </w:tcBorders>
            <w:shd w:val="clear" w:color="auto" w:fill="auto"/>
            <w:noWrap/>
            <w:vAlign w:val="center"/>
            <w:hideMark/>
          </w:tcPr>
          <w:p w14:paraId="1C381DA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25.0%</w:t>
            </w:r>
          </w:p>
        </w:tc>
      </w:tr>
      <w:tr w:rsidR="009E5674" w:rsidRPr="00163E75" w14:paraId="7D157D8E"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5ABDF19B"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 Psychology and Cognitive Sciences</w:t>
            </w:r>
          </w:p>
        </w:tc>
        <w:tc>
          <w:tcPr>
            <w:tcW w:w="621" w:type="dxa"/>
            <w:tcBorders>
              <w:top w:val="nil"/>
              <w:left w:val="nil"/>
              <w:bottom w:val="nil"/>
              <w:right w:val="nil"/>
            </w:tcBorders>
            <w:shd w:val="clear" w:color="auto" w:fill="auto"/>
            <w:noWrap/>
            <w:vAlign w:val="center"/>
            <w:hideMark/>
          </w:tcPr>
          <w:p w14:paraId="43EAB17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26.8%</w:t>
            </w:r>
          </w:p>
        </w:tc>
        <w:tc>
          <w:tcPr>
            <w:tcW w:w="622" w:type="dxa"/>
            <w:tcBorders>
              <w:top w:val="nil"/>
              <w:left w:val="nil"/>
              <w:bottom w:val="nil"/>
              <w:right w:val="nil"/>
            </w:tcBorders>
            <w:shd w:val="clear" w:color="auto" w:fill="auto"/>
            <w:noWrap/>
            <w:vAlign w:val="center"/>
            <w:hideMark/>
          </w:tcPr>
          <w:p w14:paraId="1DA7A44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30.3%</w:t>
            </w:r>
          </w:p>
        </w:tc>
        <w:tc>
          <w:tcPr>
            <w:tcW w:w="621" w:type="dxa"/>
            <w:tcBorders>
              <w:top w:val="nil"/>
              <w:left w:val="nil"/>
              <w:bottom w:val="nil"/>
              <w:right w:val="nil"/>
            </w:tcBorders>
            <w:shd w:val="clear" w:color="auto" w:fill="auto"/>
            <w:noWrap/>
            <w:vAlign w:val="center"/>
            <w:hideMark/>
          </w:tcPr>
          <w:p w14:paraId="43564DE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32.9%</w:t>
            </w:r>
          </w:p>
        </w:tc>
        <w:tc>
          <w:tcPr>
            <w:tcW w:w="622" w:type="dxa"/>
            <w:tcBorders>
              <w:top w:val="nil"/>
              <w:left w:val="nil"/>
              <w:bottom w:val="nil"/>
              <w:right w:val="nil"/>
            </w:tcBorders>
            <w:shd w:val="clear" w:color="auto" w:fill="auto"/>
            <w:noWrap/>
            <w:vAlign w:val="center"/>
            <w:hideMark/>
          </w:tcPr>
          <w:p w14:paraId="60F65D8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35.7%</w:t>
            </w:r>
          </w:p>
        </w:tc>
        <w:tc>
          <w:tcPr>
            <w:tcW w:w="622" w:type="dxa"/>
            <w:tcBorders>
              <w:top w:val="nil"/>
              <w:left w:val="nil"/>
              <w:bottom w:val="nil"/>
              <w:right w:val="nil"/>
            </w:tcBorders>
            <w:shd w:val="clear" w:color="auto" w:fill="auto"/>
            <w:noWrap/>
            <w:vAlign w:val="center"/>
            <w:hideMark/>
          </w:tcPr>
          <w:p w14:paraId="666F8F2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29.6%</w:t>
            </w:r>
          </w:p>
        </w:tc>
        <w:tc>
          <w:tcPr>
            <w:tcW w:w="621" w:type="dxa"/>
            <w:tcBorders>
              <w:top w:val="nil"/>
              <w:left w:val="nil"/>
              <w:bottom w:val="nil"/>
              <w:right w:val="nil"/>
            </w:tcBorders>
            <w:shd w:val="clear" w:color="auto" w:fill="auto"/>
            <w:noWrap/>
            <w:vAlign w:val="center"/>
            <w:hideMark/>
          </w:tcPr>
          <w:p w14:paraId="60D406C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25.4%</w:t>
            </w:r>
          </w:p>
        </w:tc>
        <w:tc>
          <w:tcPr>
            <w:tcW w:w="622" w:type="dxa"/>
            <w:tcBorders>
              <w:top w:val="nil"/>
              <w:left w:val="nil"/>
              <w:bottom w:val="nil"/>
              <w:right w:val="nil"/>
            </w:tcBorders>
            <w:shd w:val="clear" w:color="auto" w:fill="auto"/>
            <w:noWrap/>
            <w:vAlign w:val="center"/>
            <w:hideMark/>
          </w:tcPr>
          <w:p w14:paraId="411546A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28.2%</w:t>
            </w:r>
          </w:p>
        </w:tc>
        <w:tc>
          <w:tcPr>
            <w:tcW w:w="622" w:type="dxa"/>
            <w:tcBorders>
              <w:top w:val="nil"/>
              <w:left w:val="nil"/>
              <w:bottom w:val="nil"/>
              <w:right w:val="nil"/>
            </w:tcBorders>
            <w:shd w:val="clear" w:color="auto" w:fill="auto"/>
            <w:noWrap/>
            <w:vAlign w:val="center"/>
            <w:hideMark/>
          </w:tcPr>
          <w:p w14:paraId="684360C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31.5%</w:t>
            </w:r>
          </w:p>
        </w:tc>
        <w:tc>
          <w:tcPr>
            <w:tcW w:w="621" w:type="dxa"/>
            <w:tcBorders>
              <w:top w:val="nil"/>
              <w:left w:val="nil"/>
              <w:bottom w:val="nil"/>
              <w:right w:val="nil"/>
            </w:tcBorders>
            <w:shd w:val="clear" w:color="auto" w:fill="auto"/>
            <w:noWrap/>
            <w:vAlign w:val="center"/>
            <w:hideMark/>
          </w:tcPr>
          <w:p w14:paraId="7BE3DD3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35.8%</w:t>
            </w:r>
          </w:p>
        </w:tc>
        <w:tc>
          <w:tcPr>
            <w:tcW w:w="622" w:type="dxa"/>
            <w:tcBorders>
              <w:top w:val="nil"/>
              <w:left w:val="nil"/>
              <w:bottom w:val="nil"/>
              <w:right w:val="nil"/>
            </w:tcBorders>
            <w:shd w:val="clear" w:color="auto" w:fill="auto"/>
            <w:noWrap/>
            <w:vAlign w:val="center"/>
            <w:hideMark/>
          </w:tcPr>
          <w:p w14:paraId="6FABB3D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24.9%</w:t>
            </w:r>
          </w:p>
        </w:tc>
        <w:tc>
          <w:tcPr>
            <w:tcW w:w="621" w:type="dxa"/>
            <w:tcBorders>
              <w:top w:val="nil"/>
              <w:left w:val="nil"/>
              <w:bottom w:val="nil"/>
              <w:right w:val="nil"/>
            </w:tcBorders>
            <w:shd w:val="clear" w:color="auto" w:fill="auto"/>
            <w:noWrap/>
            <w:vAlign w:val="center"/>
            <w:hideMark/>
          </w:tcPr>
          <w:p w14:paraId="292040C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31.9%</w:t>
            </w:r>
          </w:p>
        </w:tc>
        <w:tc>
          <w:tcPr>
            <w:tcW w:w="622" w:type="dxa"/>
            <w:tcBorders>
              <w:top w:val="nil"/>
              <w:left w:val="nil"/>
              <w:bottom w:val="nil"/>
              <w:right w:val="nil"/>
            </w:tcBorders>
            <w:shd w:val="clear" w:color="auto" w:fill="auto"/>
            <w:noWrap/>
            <w:vAlign w:val="center"/>
            <w:hideMark/>
          </w:tcPr>
          <w:p w14:paraId="55614F1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28.9%</w:t>
            </w:r>
          </w:p>
        </w:tc>
        <w:tc>
          <w:tcPr>
            <w:tcW w:w="622" w:type="dxa"/>
            <w:tcBorders>
              <w:top w:val="nil"/>
              <w:left w:val="nil"/>
              <w:bottom w:val="nil"/>
              <w:right w:val="nil"/>
            </w:tcBorders>
            <w:shd w:val="clear" w:color="auto" w:fill="auto"/>
            <w:noWrap/>
            <w:vAlign w:val="center"/>
            <w:hideMark/>
          </w:tcPr>
          <w:p w14:paraId="1123B51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23.5%</w:t>
            </w:r>
          </w:p>
        </w:tc>
        <w:tc>
          <w:tcPr>
            <w:tcW w:w="621" w:type="dxa"/>
            <w:tcBorders>
              <w:top w:val="nil"/>
              <w:left w:val="nil"/>
              <w:bottom w:val="nil"/>
              <w:right w:val="nil"/>
            </w:tcBorders>
            <w:shd w:val="clear" w:color="auto" w:fill="auto"/>
            <w:noWrap/>
            <w:vAlign w:val="center"/>
            <w:hideMark/>
          </w:tcPr>
          <w:p w14:paraId="21E712BE"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20.2%</w:t>
            </w:r>
          </w:p>
        </w:tc>
        <w:tc>
          <w:tcPr>
            <w:tcW w:w="622" w:type="dxa"/>
            <w:tcBorders>
              <w:top w:val="nil"/>
              <w:left w:val="nil"/>
              <w:bottom w:val="nil"/>
              <w:right w:val="nil"/>
            </w:tcBorders>
            <w:shd w:val="clear" w:color="auto" w:fill="auto"/>
            <w:noWrap/>
            <w:vAlign w:val="center"/>
            <w:hideMark/>
          </w:tcPr>
          <w:p w14:paraId="38C6BF44"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21.9%</w:t>
            </w:r>
          </w:p>
        </w:tc>
        <w:tc>
          <w:tcPr>
            <w:tcW w:w="622" w:type="dxa"/>
            <w:tcBorders>
              <w:top w:val="nil"/>
              <w:left w:val="nil"/>
              <w:bottom w:val="nil"/>
              <w:right w:val="nil"/>
            </w:tcBorders>
            <w:shd w:val="clear" w:color="auto" w:fill="auto"/>
            <w:noWrap/>
            <w:vAlign w:val="center"/>
            <w:hideMark/>
          </w:tcPr>
          <w:p w14:paraId="3BA46F0B"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18.6%</w:t>
            </w:r>
          </w:p>
        </w:tc>
        <w:tc>
          <w:tcPr>
            <w:tcW w:w="621" w:type="dxa"/>
            <w:tcBorders>
              <w:top w:val="nil"/>
              <w:left w:val="nil"/>
              <w:bottom w:val="nil"/>
              <w:right w:val="nil"/>
            </w:tcBorders>
            <w:shd w:val="clear" w:color="auto" w:fill="auto"/>
            <w:noWrap/>
            <w:vAlign w:val="center"/>
            <w:hideMark/>
          </w:tcPr>
          <w:p w14:paraId="2E44BC9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18.5%</w:t>
            </w:r>
          </w:p>
        </w:tc>
        <w:tc>
          <w:tcPr>
            <w:tcW w:w="622" w:type="dxa"/>
            <w:tcBorders>
              <w:top w:val="nil"/>
              <w:left w:val="nil"/>
              <w:bottom w:val="nil"/>
              <w:right w:val="nil"/>
            </w:tcBorders>
            <w:shd w:val="clear" w:color="auto" w:fill="auto"/>
            <w:noWrap/>
            <w:vAlign w:val="center"/>
            <w:hideMark/>
          </w:tcPr>
          <w:p w14:paraId="1E0373D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20.7%</w:t>
            </w:r>
          </w:p>
        </w:tc>
        <w:tc>
          <w:tcPr>
            <w:tcW w:w="622" w:type="dxa"/>
            <w:tcBorders>
              <w:top w:val="nil"/>
              <w:left w:val="nil"/>
              <w:bottom w:val="nil"/>
              <w:right w:val="nil"/>
            </w:tcBorders>
            <w:shd w:val="clear" w:color="auto" w:fill="auto"/>
            <w:noWrap/>
            <w:vAlign w:val="center"/>
            <w:hideMark/>
          </w:tcPr>
          <w:p w14:paraId="057F3B6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25.8%</w:t>
            </w:r>
          </w:p>
        </w:tc>
      </w:tr>
      <w:tr w:rsidR="009E5674" w:rsidRPr="00163E75" w14:paraId="4849BE81"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3C7EACD1"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 Law and Legal Studies</w:t>
            </w:r>
          </w:p>
        </w:tc>
        <w:tc>
          <w:tcPr>
            <w:tcW w:w="621" w:type="dxa"/>
            <w:tcBorders>
              <w:top w:val="nil"/>
              <w:left w:val="nil"/>
              <w:bottom w:val="nil"/>
              <w:right w:val="nil"/>
            </w:tcBorders>
            <w:shd w:val="clear" w:color="auto" w:fill="auto"/>
            <w:noWrap/>
            <w:vAlign w:val="center"/>
            <w:hideMark/>
          </w:tcPr>
          <w:p w14:paraId="62B8AE0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24.1%</w:t>
            </w:r>
          </w:p>
        </w:tc>
        <w:tc>
          <w:tcPr>
            <w:tcW w:w="622" w:type="dxa"/>
            <w:tcBorders>
              <w:top w:val="nil"/>
              <w:left w:val="nil"/>
              <w:bottom w:val="nil"/>
              <w:right w:val="nil"/>
            </w:tcBorders>
            <w:shd w:val="clear" w:color="auto" w:fill="auto"/>
            <w:noWrap/>
            <w:vAlign w:val="center"/>
            <w:hideMark/>
          </w:tcPr>
          <w:p w14:paraId="61FA510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22.2%</w:t>
            </w:r>
          </w:p>
        </w:tc>
        <w:tc>
          <w:tcPr>
            <w:tcW w:w="621" w:type="dxa"/>
            <w:tcBorders>
              <w:top w:val="nil"/>
              <w:left w:val="nil"/>
              <w:bottom w:val="nil"/>
              <w:right w:val="nil"/>
            </w:tcBorders>
            <w:shd w:val="clear" w:color="auto" w:fill="auto"/>
            <w:noWrap/>
            <w:vAlign w:val="center"/>
            <w:hideMark/>
          </w:tcPr>
          <w:p w14:paraId="5B02B89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26.7%</w:t>
            </w:r>
          </w:p>
        </w:tc>
        <w:tc>
          <w:tcPr>
            <w:tcW w:w="622" w:type="dxa"/>
            <w:tcBorders>
              <w:top w:val="nil"/>
              <w:left w:val="nil"/>
              <w:bottom w:val="nil"/>
              <w:right w:val="nil"/>
            </w:tcBorders>
            <w:shd w:val="clear" w:color="auto" w:fill="auto"/>
            <w:noWrap/>
            <w:vAlign w:val="center"/>
            <w:hideMark/>
          </w:tcPr>
          <w:p w14:paraId="126FF37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29.7%</w:t>
            </w:r>
          </w:p>
        </w:tc>
        <w:tc>
          <w:tcPr>
            <w:tcW w:w="622" w:type="dxa"/>
            <w:tcBorders>
              <w:top w:val="nil"/>
              <w:left w:val="nil"/>
              <w:bottom w:val="nil"/>
              <w:right w:val="nil"/>
            </w:tcBorders>
            <w:shd w:val="clear" w:color="auto" w:fill="auto"/>
            <w:noWrap/>
            <w:vAlign w:val="center"/>
            <w:hideMark/>
          </w:tcPr>
          <w:p w14:paraId="6BDBCCB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31.2%</w:t>
            </w:r>
          </w:p>
        </w:tc>
        <w:tc>
          <w:tcPr>
            <w:tcW w:w="621" w:type="dxa"/>
            <w:tcBorders>
              <w:top w:val="nil"/>
              <w:left w:val="nil"/>
              <w:bottom w:val="nil"/>
              <w:right w:val="nil"/>
            </w:tcBorders>
            <w:shd w:val="clear" w:color="auto" w:fill="auto"/>
            <w:noWrap/>
            <w:vAlign w:val="center"/>
            <w:hideMark/>
          </w:tcPr>
          <w:p w14:paraId="6A49299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18.0%</w:t>
            </w:r>
          </w:p>
        </w:tc>
        <w:tc>
          <w:tcPr>
            <w:tcW w:w="622" w:type="dxa"/>
            <w:tcBorders>
              <w:top w:val="nil"/>
              <w:left w:val="nil"/>
              <w:bottom w:val="nil"/>
              <w:right w:val="nil"/>
            </w:tcBorders>
            <w:shd w:val="clear" w:color="auto" w:fill="auto"/>
            <w:noWrap/>
            <w:vAlign w:val="center"/>
            <w:hideMark/>
          </w:tcPr>
          <w:p w14:paraId="13CDB78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22.7%</w:t>
            </w:r>
          </w:p>
        </w:tc>
        <w:tc>
          <w:tcPr>
            <w:tcW w:w="622" w:type="dxa"/>
            <w:tcBorders>
              <w:top w:val="nil"/>
              <w:left w:val="nil"/>
              <w:bottom w:val="nil"/>
              <w:right w:val="nil"/>
            </w:tcBorders>
            <w:shd w:val="clear" w:color="auto" w:fill="auto"/>
            <w:noWrap/>
            <w:vAlign w:val="center"/>
            <w:hideMark/>
          </w:tcPr>
          <w:p w14:paraId="5605E9C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28.6%</w:t>
            </w:r>
          </w:p>
        </w:tc>
        <w:tc>
          <w:tcPr>
            <w:tcW w:w="621" w:type="dxa"/>
            <w:tcBorders>
              <w:top w:val="nil"/>
              <w:left w:val="nil"/>
              <w:bottom w:val="nil"/>
              <w:right w:val="nil"/>
            </w:tcBorders>
            <w:shd w:val="clear" w:color="auto" w:fill="auto"/>
            <w:noWrap/>
            <w:vAlign w:val="center"/>
            <w:hideMark/>
          </w:tcPr>
          <w:p w14:paraId="3BE5E17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27.6%</w:t>
            </w:r>
          </w:p>
        </w:tc>
        <w:tc>
          <w:tcPr>
            <w:tcW w:w="622" w:type="dxa"/>
            <w:tcBorders>
              <w:top w:val="nil"/>
              <w:left w:val="nil"/>
              <w:bottom w:val="nil"/>
              <w:right w:val="nil"/>
            </w:tcBorders>
            <w:shd w:val="clear" w:color="auto" w:fill="auto"/>
            <w:noWrap/>
            <w:vAlign w:val="center"/>
            <w:hideMark/>
          </w:tcPr>
          <w:p w14:paraId="7D0857B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24.7%</w:t>
            </w:r>
          </w:p>
        </w:tc>
        <w:tc>
          <w:tcPr>
            <w:tcW w:w="621" w:type="dxa"/>
            <w:tcBorders>
              <w:top w:val="nil"/>
              <w:left w:val="nil"/>
              <w:bottom w:val="nil"/>
              <w:right w:val="nil"/>
            </w:tcBorders>
            <w:shd w:val="clear" w:color="auto" w:fill="auto"/>
            <w:noWrap/>
            <w:vAlign w:val="center"/>
            <w:hideMark/>
          </w:tcPr>
          <w:p w14:paraId="441A097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20.5%</w:t>
            </w:r>
          </w:p>
        </w:tc>
        <w:tc>
          <w:tcPr>
            <w:tcW w:w="622" w:type="dxa"/>
            <w:tcBorders>
              <w:top w:val="nil"/>
              <w:left w:val="nil"/>
              <w:bottom w:val="nil"/>
              <w:right w:val="nil"/>
            </w:tcBorders>
            <w:shd w:val="clear" w:color="auto" w:fill="auto"/>
            <w:noWrap/>
            <w:vAlign w:val="center"/>
            <w:hideMark/>
          </w:tcPr>
          <w:p w14:paraId="35EA933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27.1%</w:t>
            </w:r>
          </w:p>
        </w:tc>
        <w:tc>
          <w:tcPr>
            <w:tcW w:w="622" w:type="dxa"/>
            <w:tcBorders>
              <w:top w:val="nil"/>
              <w:left w:val="nil"/>
              <w:bottom w:val="nil"/>
              <w:right w:val="nil"/>
            </w:tcBorders>
            <w:shd w:val="clear" w:color="auto" w:fill="auto"/>
            <w:noWrap/>
            <w:vAlign w:val="center"/>
            <w:hideMark/>
          </w:tcPr>
          <w:p w14:paraId="031E958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22.9%</w:t>
            </w:r>
          </w:p>
        </w:tc>
        <w:tc>
          <w:tcPr>
            <w:tcW w:w="621" w:type="dxa"/>
            <w:tcBorders>
              <w:top w:val="nil"/>
              <w:left w:val="nil"/>
              <w:bottom w:val="nil"/>
              <w:right w:val="nil"/>
            </w:tcBorders>
            <w:shd w:val="clear" w:color="auto" w:fill="auto"/>
            <w:noWrap/>
            <w:vAlign w:val="center"/>
            <w:hideMark/>
          </w:tcPr>
          <w:p w14:paraId="475B08C6"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14.7%</w:t>
            </w:r>
          </w:p>
        </w:tc>
        <w:tc>
          <w:tcPr>
            <w:tcW w:w="622" w:type="dxa"/>
            <w:tcBorders>
              <w:top w:val="nil"/>
              <w:left w:val="nil"/>
              <w:bottom w:val="nil"/>
              <w:right w:val="nil"/>
            </w:tcBorders>
            <w:shd w:val="clear" w:color="auto" w:fill="auto"/>
            <w:noWrap/>
            <w:vAlign w:val="center"/>
            <w:hideMark/>
          </w:tcPr>
          <w:p w14:paraId="0A6C7EA2"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14.1%</w:t>
            </w:r>
          </w:p>
        </w:tc>
        <w:tc>
          <w:tcPr>
            <w:tcW w:w="622" w:type="dxa"/>
            <w:tcBorders>
              <w:top w:val="nil"/>
              <w:left w:val="nil"/>
              <w:bottom w:val="nil"/>
              <w:right w:val="nil"/>
            </w:tcBorders>
            <w:shd w:val="clear" w:color="auto" w:fill="auto"/>
            <w:noWrap/>
            <w:vAlign w:val="center"/>
            <w:hideMark/>
          </w:tcPr>
          <w:p w14:paraId="7F42CA24"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11.4%</w:t>
            </w:r>
          </w:p>
        </w:tc>
        <w:tc>
          <w:tcPr>
            <w:tcW w:w="621" w:type="dxa"/>
            <w:tcBorders>
              <w:top w:val="nil"/>
              <w:left w:val="nil"/>
              <w:bottom w:val="nil"/>
              <w:right w:val="nil"/>
            </w:tcBorders>
            <w:shd w:val="clear" w:color="auto" w:fill="auto"/>
            <w:noWrap/>
            <w:vAlign w:val="center"/>
            <w:hideMark/>
          </w:tcPr>
          <w:p w14:paraId="4051B73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21.8%</w:t>
            </w:r>
          </w:p>
        </w:tc>
        <w:tc>
          <w:tcPr>
            <w:tcW w:w="622" w:type="dxa"/>
            <w:tcBorders>
              <w:top w:val="nil"/>
              <w:left w:val="nil"/>
              <w:bottom w:val="nil"/>
              <w:right w:val="nil"/>
            </w:tcBorders>
            <w:shd w:val="clear" w:color="auto" w:fill="auto"/>
            <w:noWrap/>
            <w:vAlign w:val="center"/>
            <w:hideMark/>
          </w:tcPr>
          <w:p w14:paraId="19EFC29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26.2%</w:t>
            </w:r>
          </w:p>
        </w:tc>
        <w:tc>
          <w:tcPr>
            <w:tcW w:w="622" w:type="dxa"/>
            <w:tcBorders>
              <w:top w:val="nil"/>
              <w:left w:val="nil"/>
              <w:bottom w:val="nil"/>
              <w:right w:val="nil"/>
            </w:tcBorders>
            <w:shd w:val="clear" w:color="auto" w:fill="auto"/>
            <w:noWrap/>
            <w:vAlign w:val="center"/>
            <w:hideMark/>
          </w:tcPr>
          <w:p w14:paraId="1E0887A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29.0%</w:t>
            </w:r>
          </w:p>
        </w:tc>
      </w:tr>
      <w:tr w:rsidR="009E5674" w:rsidRPr="00163E75" w14:paraId="7E0ED2FF"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501E3FB7"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 Studies in Creative Arts and Writing</w:t>
            </w:r>
          </w:p>
        </w:tc>
        <w:tc>
          <w:tcPr>
            <w:tcW w:w="621" w:type="dxa"/>
            <w:tcBorders>
              <w:top w:val="nil"/>
              <w:left w:val="nil"/>
              <w:bottom w:val="nil"/>
              <w:right w:val="nil"/>
            </w:tcBorders>
            <w:shd w:val="clear" w:color="auto" w:fill="auto"/>
            <w:noWrap/>
            <w:vAlign w:val="center"/>
            <w:hideMark/>
          </w:tcPr>
          <w:p w14:paraId="337F3C0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12.5%</w:t>
            </w:r>
          </w:p>
        </w:tc>
        <w:tc>
          <w:tcPr>
            <w:tcW w:w="622" w:type="dxa"/>
            <w:tcBorders>
              <w:top w:val="nil"/>
              <w:left w:val="nil"/>
              <w:bottom w:val="nil"/>
              <w:right w:val="nil"/>
            </w:tcBorders>
            <w:shd w:val="clear" w:color="auto" w:fill="auto"/>
            <w:noWrap/>
            <w:vAlign w:val="center"/>
            <w:hideMark/>
          </w:tcPr>
          <w:p w14:paraId="332FA02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18.4%</w:t>
            </w:r>
          </w:p>
        </w:tc>
        <w:tc>
          <w:tcPr>
            <w:tcW w:w="621" w:type="dxa"/>
            <w:tcBorders>
              <w:top w:val="nil"/>
              <w:left w:val="nil"/>
              <w:bottom w:val="nil"/>
              <w:right w:val="nil"/>
            </w:tcBorders>
            <w:shd w:val="clear" w:color="auto" w:fill="auto"/>
            <w:noWrap/>
            <w:vAlign w:val="center"/>
            <w:hideMark/>
          </w:tcPr>
          <w:p w14:paraId="451EF0E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33.3%</w:t>
            </w:r>
          </w:p>
        </w:tc>
        <w:tc>
          <w:tcPr>
            <w:tcW w:w="622" w:type="dxa"/>
            <w:tcBorders>
              <w:top w:val="nil"/>
              <w:left w:val="nil"/>
              <w:bottom w:val="nil"/>
              <w:right w:val="nil"/>
            </w:tcBorders>
            <w:shd w:val="clear" w:color="auto" w:fill="auto"/>
            <w:noWrap/>
            <w:vAlign w:val="center"/>
            <w:hideMark/>
          </w:tcPr>
          <w:p w14:paraId="4F0D6CE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24.6%</w:t>
            </w:r>
          </w:p>
        </w:tc>
        <w:tc>
          <w:tcPr>
            <w:tcW w:w="622" w:type="dxa"/>
            <w:tcBorders>
              <w:top w:val="nil"/>
              <w:left w:val="nil"/>
              <w:bottom w:val="nil"/>
              <w:right w:val="nil"/>
            </w:tcBorders>
            <w:shd w:val="clear" w:color="auto" w:fill="auto"/>
            <w:noWrap/>
            <w:vAlign w:val="center"/>
            <w:hideMark/>
          </w:tcPr>
          <w:p w14:paraId="51175AE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16.4%</w:t>
            </w:r>
          </w:p>
        </w:tc>
        <w:tc>
          <w:tcPr>
            <w:tcW w:w="621" w:type="dxa"/>
            <w:tcBorders>
              <w:top w:val="nil"/>
              <w:left w:val="nil"/>
              <w:bottom w:val="nil"/>
              <w:right w:val="nil"/>
            </w:tcBorders>
            <w:shd w:val="clear" w:color="auto" w:fill="auto"/>
            <w:noWrap/>
            <w:vAlign w:val="center"/>
            <w:hideMark/>
          </w:tcPr>
          <w:p w14:paraId="0806C48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16.3%</w:t>
            </w:r>
          </w:p>
        </w:tc>
        <w:tc>
          <w:tcPr>
            <w:tcW w:w="622" w:type="dxa"/>
            <w:tcBorders>
              <w:top w:val="nil"/>
              <w:left w:val="nil"/>
              <w:bottom w:val="nil"/>
              <w:right w:val="nil"/>
            </w:tcBorders>
            <w:shd w:val="clear" w:color="auto" w:fill="auto"/>
            <w:noWrap/>
            <w:vAlign w:val="center"/>
            <w:hideMark/>
          </w:tcPr>
          <w:p w14:paraId="06AE57D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13.3%</w:t>
            </w:r>
          </w:p>
        </w:tc>
        <w:tc>
          <w:tcPr>
            <w:tcW w:w="622" w:type="dxa"/>
            <w:tcBorders>
              <w:top w:val="nil"/>
              <w:left w:val="nil"/>
              <w:bottom w:val="nil"/>
              <w:right w:val="nil"/>
            </w:tcBorders>
            <w:shd w:val="clear" w:color="auto" w:fill="auto"/>
            <w:noWrap/>
            <w:vAlign w:val="center"/>
            <w:hideMark/>
          </w:tcPr>
          <w:p w14:paraId="696DBDE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13.8%</w:t>
            </w:r>
          </w:p>
        </w:tc>
        <w:tc>
          <w:tcPr>
            <w:tcW w:w="621" w:type="dxa"/>
            <w:tcBorders>
              <w:top w:val="nil"/>
              <w:left w:val="nil"/>
              <w:bottom w:val="nil"/>
              <w:right w:val="nil"/>
            </w:tcBorders>
            <w:shd w:val="clear" w:color="auto" w:fill="auto"/>
            <w:noWrap/>
            <w:vAlign w:val="center"/>
            <w:hideMark/>
          </w:tcPr>
          <w:p w14:paraId="321B5A7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15.7%</w:t>
            </w:r>
          </w:p>
        </w:tc>
        <w:tc>
          <w:tcPr>
            <w:tcW w:w="622" w:type="dxa"/>
            <w:tcBorders>
              <w:top w:val="nil"/>
              <w:left w:val="nil"/>
              <w:bottom w:val="nil"/>
              <w:right w:val="nil"/>
            </w:tcBorders>
            <w:shd w:val="clear" w:color="auto" w:fill="auto"/>
            <w:noWrap/>
            <w:vAlign w:val="center"/>
            <w:hideMark/>
          </w:tcPr>
          <w:p w14:paraId="5E69E09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19.1%</w:t>
            </w:r>
          </w:p>
        </w:tc>
        <w:tc>
          <w:tcPr>
            <w:tcW w:w="621" w:type="dxa"/>
            <w:tcBorders>
              <w:top w:val="nil"/>
              <w:left w:val="nil"/>
              <w:bottom w:val="nil"/>
              <w:right w:val="nil"/>
            </w:tcBorders>
            <w:shd w:val="clear" w:color="auto" w:fill="auto"/>
            <w:noWrap/>
            <w:vAlign w:val="center"/>
            <w:hideMark/>
          </w:tcPr>
          <w:p w14:paraId="1ED8FF0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17.5%</w:t>
            </w:r>
          </w:p>
        </w:tc>
        <w:tc>
          <w:tcPr>
            <w:tcW w:w="622" w:type="dxa"/>
            <w:tcBorders>
              <w:top w:val="nil"/>
              <w:left w:val="nil"/>
              <w:bottom w:val="nil"/>
              <w:right w:val="nil"/>
            </w:tcBorders>
            <w:shd w:val="clear" w:color="auto" w:fill="auto"/>
            <w:noWrap/>
            <w:vAlign w:val="center"/>
            <w:hideMark/>
          </w:tcPr>
          <w:p w14:paraId="05BBAB8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15.5%</w:t>
            </w:r>
          </w:p>
        </w:tc>
        <w:tc>
          <w:tcPr>
            <w:tcW w:w="622" w:type="dxa"/>
            <w:tcBorders>
              <w:top w:val="nil"/>
              <w:left w:val="nil"/>
              <w:bottom w:val="nil"/>
              <w:right w:val="nil"/>
            </w:tcBorders>
            <w:shd w:val="clear" w:color="auto" w:fill="auto"/>
            <w:noWrap/>
            <w:vAlign w:val="center"/>
            <w:hideMark/>
          </w:tcPr>
          <w:p w14:paraId="0BAFE53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15.1%</w:t>
            </w:r>
          </w:p>
        </w:tc>
        <w:tc>
          <w:tcPr>
            <w:tcW w:w="621" w:type="dxa"/>
            <w:tcBorders>
              <w:top w:val="nil"/>
              <w:left w:val="nil"/>
              <w:bottom w:val="nil"/>
              <w:right w:val="nil"/>
            </w:tcBorders>
            <w:shd w:val="clear" w:color="auto" w:fill="auto"/>
            <w:noWrap/>
            <w:vAlign w:val="center"/>
            <w:hideMark/>
          </w:tcPr>
          <w:p w14:paraId="75F8FE90"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16.7%</w:t>
            </w:r>
          </w:p>
        </w:tc>
        <w:tc>
          <w:tcPr>
            <w:tcW w:w="622" w:type="dxa"/>
            <w:tcBorders>
              <w:top w:val="nil"/>
              <w:left w:val="nil"/>
              <w:bottom w:val="nil"/>
              <w:right w:val="nil"/>
            </w:tcBorders>
            <w:shd w:val="clear" w:color="auto" w:fill="auto"/>
            <w:noWrap/>
            <w:vAlign w:val="center"/>
            <w:hideMark/>
          </w:tcPr>
          <w:p w14:paraId="6C4AD21F"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26.0%</w:t>
            </w:r>
          </w:p>
        </w:tc>
        <w:tc>
          <w:tcPr>
            <w:tcW w:w="622" w:type="dxa"/>
            <w:tcBorders>
              <w:top w:val="nil"/>
              <w:left w:val="nil"/>
              <w:bottom w:val="nil"/>
              <w:right w:val="nil"/>
            </w:tcBorders>
            <w:shd w:val="clear" w:color="auto" w:fill="auto"/>
            <w:noWrap/>
            <w:vAlign w:val="center"/>
            <w:hideMark/>
          </w:tcPr>
          <w:p w14:paraId="0D6BDA30"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14.3%</w:t>
            </w:r>
          </w:p>
        </w:tc>
        <w:tc>
          <w:tcPr>
            <w:tcW w:w="621" w:type="dxa"/>
            <w:tcBorders>
              <w:top w:val="nil"/>
              <w:left w:val="nil"/>
              <w:bottom w:val="nil"/>
              <w:right w:val="nil"/>
            </w:tcBorders>
            <w:shd w:val="clear" w:color="auto" w:fill="auto"/>
            <w:noWrap/>
            <w:vAlign w:val="center"/>
            <w:hideMark/>
          </w:tcPr>
          <w:p w14:paraId="7D9E1EB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14.7%</w:t>
            </w:r>
          </w:p>
        </w:tc>
        <w:tc>
          <w:tcPr>
            <w:tcW w:w="622" w:type="dxa"/>
            <w:tcBorders>
              <w:top w:val="nil"/>
              <w:left w:val="nil"/>
              <w:bottom w:val="nil"/>
              <w:right w:val="nil"/>
            </w:tcBorders>
            <w:shd w:val="clear" w:color="auto" w:fill="auto"/>
            <w:noWrap/>
            <w:vAlign w:val="center"/>
            <w:hideMark/>
          </w:tcPr>
          <w:p w14:paraId="360CD33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16.7%</w:t>
            </w:r>
          </w:p>
        </w:tc>
        <w:tc>
          <w:tcPr>
            <w:tcW w:w="622" w:type="dxa"/>
            <w:tcBorders>
              <w:top w:val="nil"/>
              <w:left w:val="nil"/>
              <w:bottom w:val="nil"/>
              <w:right w:val="nil"/>
            </w:tcBorders>
            <w:shd w:val="clear" w:color="auto" w:fill="auto"/>
            <w:noWrap/>
            <w:vAlign w:val="center"/>
            <w:hideMark/>
          </w:tcPr>
          <w:p w14:paraId="2510516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10.3%</w:t>
            </w:r>
          </w:p>
        </w:tc>
      </w:tr>
      <w:tr w:rsidR="009E5674" w:rsidRPr="00163E75" w14:paraId="77429C3B"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19C17BE5"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 Language, Communication and Culture</w:t>
            </w:r>
          </w:p>
        </w:tc>
        <w:tc>
          <w:tcPr>
            <w:tcW w:w="621" w:type="dxa"/>
            <w:tcBorders>
              <w:top w:val="nil"/>
              <w:left w:val="nil"/>
              <w:bottom w:val="nil"/>
              <w:right w:val="nil"/>
            </w:tcBorders>
            <w:shd w:val="clear" w:color="auto" w:fill="auto"/>
            <w:noWrap/>
            <w:vAlign w:val="center"/>
            <w:hideMark/>
          </w:tcPr>
          <w:p w14:paraId="2EBAD26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22.1%</w:t>
            </w:r>
          </w:p>
        </w:tc>
        <w:tc>
          <w:tcPr>
            <w:tcW w:w="622" w:type="dxa"/>
            <w:tcBorders>
              <w:top w:val="nil"/>
              <w:left w:val="nil"/>
              <w:bottom w:val="nil"/>
              <w:right w:val="nil"/>
            </w:tcBorders>
            <w:shd w:val="clear" w:color="auto" w:fill="auto"/>
            <w:noWrap/>
            <w:vAlign w:val="center"/>
            <w:hideMark/>
          </w:tcPr>
          <w:p w14:paraId="502603C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28.7%</w:t>
            </w:r>
          </w:p>
        </w:tc>
        <w:tc>
          <w:tcPr>
            <w:tcW w:w="621" w:type="dxa"/>
            <w:tcBorders>
              <w:top w:val="nil"/>
              <w:left w:val="nil"/>
              <w:bottom w:val="nil"/>
              <w:right w:val="nil"/>
            </w:tcBorders>
            <w:shd w:val="clear" w:color="auto" w:fill="auto"/>
            <w:noWrap/>
            <w:vAlign w:val="center"/>
            <w:hideMark/>
          </w:tcPr>
          <w:p w14:paraId="5D6B744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24.4%</w:t>
            </w:r>
          </w:p>
        </w:tc>
        <w:tc>
          <w:tcPr>
            <w:tcW w:w="622" w:type="dxa"/>
            <w:tcBorders>
              <w:top w:val="nil"/>
              <w:left w:val="nil"/>
              <w:bottom w:val="nil"/>
              <w:right w:val="nil"/>
            </w:tcBorders>
            <w:shd w:val="clear" w:color="auto" w:fill="auto"/>
            <w:noWrap/>
            <w:vAlign w:val="center"/>
            <w:hideMark/>
          </w:tcPr>
          <w:p w14:paraId="7E59C912"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30.0%</w:t>
            </w:r>
          </w:p>
        </w:tc>
        <w:tc>
          <w:tcPr>
            <w:tcW w:w="622" w:type="dxa"/>
            <w:tcBorders>
              <w:top w:val="nil"/>
              <w:left w:val="nil"/>
              <w:bottom w:val="nil"/>
              <w:right w:val="nil"/>
            </w:tcBorders>
            <w:shd w:val="clear" w:color="auto" w:fill="auto"/>
            <w:noWrap/>
            <w:vAlign w:val="center"/>
            <w:hideMark/>
          </w:tcPr>
          <w:p w14:paraId="5583B79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17.6%</w:t>
            </w:r>
          </w:p>
        </w:tc>
        <w:tc>
          <w:tcPr>
            <w:tcW w:w="621" w:type="dxa"/>
            <w:tcBorders>
              <w:top w:val="nil"/>
              <w:left w:val="nil"/>
              <w:bottom w:val="nil"/>
              <w:right w:val="nil"/>
            </w:tcBorders>
            <w:shd w:val="clear" w:color="auto" w:fill="auto"/>
            <w:noWrap/>
            <w:vAlign w:val="center"/>
            <w:hideMark/>
          </w:tcPr>
          <w:p w14:paraId="39270608"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15.0%</w:t>
            </w:r>
          </w:p>
        </w:tc>
        <w:tc>
          <w:tcPr>
            <w:tcW w:w="622" w:type="dxa"/>
            <w:tcBorders>
              <w:top w:val="nil"/>
              <w:left w:val="nil"/>
              <w:bottom w:val="nil"/>
              <w:right w:val="nil"/>
            </w:tcBorders>
            <w:shd w:val="clear" w:color="auto" w:fill="auto"/>
            <w:noWrap/>
            <w:vAlign w:val="center"/>
            <w:hideMark/>
          </w:tcPr>
          <w:p w14:paraId="291F232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18.3%</w:t>
            </w:r>
          </w:p>
        </w:tc>
        <w:tc>
          <w:tcPr>
            <w:tcW w:w="622" w:type="dxa"/>
            <w:tcBorders>
              <w:top w:val="nil"/>
              <w:left w:val="nil"/>
              <w:bottom w:val="nil"/>
              <w:right w:val="nil"/>
            </w:tcBorders>
            <w:shd w:val="clear" w:color="auto" w:fill="auto"/>
            <w:noWrap/>
            <w:vAlign w:val="center"/>
            <w:hideMark/>
          </w:tcPr>
          <w:p w14:paraId="2A940BC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13.4%</w:t>
            </w:r>
          </w:p>
        </w:tc>
        <w:tc>
          <w:tcPr>
            <w:tcW w:w="621" w:type="dxa"/>
            <w:tcBorders>
              <w:top w:val="nil"/>
              <w:left w:val="nil"/>
              <w:bottom w:val="nil"/>
              <w:right w:val="nil"/>
            </w:tcBorders>
            <w:shd w:val="clear" w:color="auto" w:fill="auto"/>
            <w:noWrap/>
            <w:vAlign w:val="center"/>
            <w:hideMark/>
          </w:tcPr>
          <w:p w14:paraId="0C956449"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19.2%</w:t>
            </w:r>
          </w:p>
        </w:tc>
        <w:tc>
          <w:tcPr>
            <w:tcW w:w="622" w:type="dxa"/>
            <w:tcBorders>
              <w:top w:val="nil"/>
              <w:left w:val="nil"/>
              <w:bottom w:val="nil"/>
              <w:right w:val="nil"/>
            </w:tcBorders>
            <w:shd w:val="clear" w:color="auto" w:fill="auto"/>
            <w:noWrap/>
            <w:vAlign w:val="center"/>
            <w:hideMark/>
          </w:tcPr>
          <w:p w14:paraId="5A34E97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22.8%</w:t>
            </w:r>
          </w:p>
        </w:tc>
        <w:tc>
          <w:tcPr>
            <w:tcW w:w="621" w:type="dxa"/>
            <w:tcBorders>
              <w:top w:val="nil"/>
              <w:left w:val="nil"/>
              <w:bottom w:val="nil"/>
              <w:right w:val="nil"/>
            </w:tcBorders>
            <w:shd w:val="clear" w:color="auto" w:fill="auto"/>
            <w:noWrap/>
            <w:vAlign w:val="center"/>
            <w:hideMark/>
          </w:tcPr>
          <w:p w14:paraId="3AED1C6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20.1%</w:t>
            </w:r>
          </w:p>
        </w:tc>
        <w:tc>
          <w:tcPr>
            <w:tcW w:w="622" w:type="dxa"/>
            <w:tcBorders>
              <w:top w:val="nil"/>
              <w:left w:val="nil"/>
              <w:bottom w:val="nil"/>
              <w:right w:val="nil"/>
            </w:tcBorders>
            <w:shd w:val="clear" w:color="auto" w:fill="auto"/>
            <w:noWrap/>
            <w:vAlign w:val="center"/>
            <w:hideMark/>
          </w:tcPr>
          <w:p w14:paraId="3567484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20.0%</w:t>
            </w:r>
          </w:p>
        </w:tc>
        <w:tc>
          <w:tcPr>
            <w:tcW w:w="622" w:type="dxa"/>
            <w:tcBorders>
              <w:top w:val="nil"/>
              <w:left w:val="nil"/>
              <w:bottom w:val="nil"/>
              <w:right w:val="nil"/>
            </w:tcBorders>
            <w:shd w:val="clear" w:color="auto" w:fill="auto"/>
            <w:noWrap/>
            <w:vAlign w:val="center"/>
            <w:hideMark/>
          </w:tcPr>
          <w:p w14:paraId="564D843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24.6%</w:t>
            </w:r>
          </w:p>
        </w:tc>
        <w:tc>
          <w:tcPr>
            <w:tcW w:w="621" w:type="dxa"/>
            <w:tcBorders>
              <w:top w:val="nil"/>
              <w:left w:val="nil"/>
              <w:bottom w:val="nil"/>
              <w:right w:val="nil"/>
            </w:tcBorders>
            <w:shd w:val="clear" w:color="auto" w:fill="auto"/>
            <w:noWrap/>
            <w:vAlign w:val="center"/>
            <w:hideMark/>
          </w:tcPr>
          <w:p w14:paraId="76D7294B"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17.2%</w:t>
            </w:r>
          </w:p>
        </w:tc>
        <w:tc>
          <w:tcPr>
            <w:tcW w:w="622" w:type="dxa"/>
            <w:tcBorders>
              <w:top w:val="nil"/>
              <w:left w:val="nil"/>
              <w:bottom w:val="nil"/>
              <w:right w:val="nil"/>
            </w:tcBorders>
            <w:shd w:val="clear" w:color="auto" w:fill="auto"/>
            <w:noWrap/>
            <w:vAlign w:val="center"/>
            <w:hideMark/>
          </w:tcPr>
          <w:p w14:paraId="37581C3B"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10.1%</w:t>
            </w:r>
          </w:p>
        </w:tc>
        <w:tc>
          <w:tcPr>
            <w:tcW w:w="622" w:type="dxa"/>
            <w:tcBorders>
              <w:top w:val="nil"/>
              <w:left w:val="nil"/>
              <w:bottom w:val="nil"/>
              <w:right w:val="nil"/>
            </w:tcBorders>
            <w:shd w:val="clear" w:color="auto" w:fill="auto"/>
            <w:noWrap/>
            <w:vAlign w:val="center"/>
            <w:hideMark/>
          </w:tcPr>
          <w:p w14:paraId="4A3FD22F"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15.3%</w:t>
            </w:r>
          </w:p>
        </w:tc>
        <w:tc>
          <w:tcPr>
            <w:tcW w:w="621" w:type="dxa"/>
            <w:tcBorders>
              <w:top w:val="nil"/>
              <w:left w:val="nil"/>
              <w:bottom w:val="nil"/>
              <w:right w:val="nil"/>
            </w:tcBorders>
            <w:shd w:val="clear" w:color="auto" w:fill="auto"/>
            <w:noWrap/>
            <w:vAlign w:val="center"/>
            <w:hideMark/>
          </w:tcPr>
          <w:p w14:paraId="0D6F2B3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15.0%</w:t>
            </w:r>
          </w:p>
        </w:tc>
        <w:tc>
          <w:tcPr>
            <w:tcW w:w="622" w:type="dxa"/>
            <w:tcBorders>
              <w:top w:val="nil"/>
              <w:left w:val="nil"/>
              <w:bottom w:val="nil"/>
              <w:right w:val="nil"/>
            </w:tcBorders>
            <w:shd w:val="clear" w:color="auto" w:fill="auto"/>
            <w:noWrap/>
            <w:vAlign w:val="center"/>
            <w:hideMark/>
          </w:tcPr>
          <w:p w14:paraId="7CDABF0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21.0%</w:t>
            </w:r>
          </w:p>
        </w:tc>
        <w:tc>
          <w:tcPr>
            <w:tcW w:w="622" w:type="dxa"/>
            <w:tcBorders>
              <w:top w:val="nil"/>
              <w:left w:val="nil"/>
              <w:bottom w:val="nil"/>
              <w:right w:val="nil"/>
            </w:tcBorders>
            <w:shd w:val="clear" w:color="auto" w:fill="auto"/>
            <w:noWrap/>
            <w:vAlign w:val="center"/>
            <w:hideMark/>
          </w:tcPr>
          <w:p w14:paraId="6EDEDFF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24.4%</w:t>
            </w:r>
          </w:p>
        </w:tc>
      </w:tr>
      <w:tr w:rsidR="009E5674" w:rsidRPr="00163E75" w14:paraId="6D091CA9"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517088BB"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 History and Archaeology</w:t>
            </w:r>
          </w:p>
        </w:tc>
        <w:tc>
          <w:tcPr>
            <w:tcW w:w="621" w:type="dxa"/>
            <w:tcBorders>
              <w:top w:val="nil"/>
              <w:left w:val="nil"/>
              <w:bottom w:val="nil"/>
              <w:right w:val="nil"/>
            </w:tcBorders>
            <w:shd w:val="clear" w:color="auto" w:fill="auto"/>
            <w:noWrap/>
            <w:vAlign w:val="center"/>
            <w:hideMark/>
          </w:tcPr>
          <w:p w14:paraId="653A4D2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24.6%</w:t>
            </w:r>
          </w:p>
        </w:tc>
        <w:tc>
          <w:tcPr>
            <w:tcW w:w="622" w:type="dxa"/>
            <w:tcBorders>
              <w:top w:val="nil"/>
              <w:left w:val="nil"/>
              <w:bottom w:val="nil"/>
              <w:right w:val="nil"/>
            </w:tcBorders>
            <w:shd w:val="clear" w:color="auto" w:fill="auto"/>
            <w:noWrap/>
            <w:vAlign w:val="center"/>
            <w:hideMark/>
          </w:tcPr>
          <w:p w14:paraId="08AF3F4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26.8%</w:t>
            </w:r>
          </w:p>
        </w:tc>
        <w:tc>
          <w:tcPr>
            <w:tcW w:w="621" w:type="dxa"/>
            <w:tcBorders>
              <w:top w:val="nil"/>
              <w:left w:val="nil"/>
              <w:bottom w:val="nil"/>
              <w:right w:val="nil"/>
            </w:tcBorders>
            <w:shd w:val="clear" w:color="auto" w:fill="auto"/>
            <w:noWrap/>
            <w:vAlign w:val="center"/>
            <w:hideMark/>
          </w:tcPr>
          <w:p w14:paraId="461BDD7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27.9%</w:t>
            </w:r>
          </w:p>
        </w:tc>
        <w:tc>
          <w:tcPr>
            <w:tcW w:w="622" w:type="dxa"/>
            <w:tcBorders>
              <w:top w:val="nil"/>
              <w:left w:val="nil"/>
              <w:bottom w:val="nil"/>
              <w:right w:val="nil"/>
            </w:tcBorders>
            <w:shd w:val="clear" w:color="auto" w:fill="auto"/>
            <w:noWrap/>
            <w:vAlign w:val="center"/>
            <w:hideMark/>
          </w:tcPr>
          <w:p w14:paraId="360BE11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41.7%</w:t>
            </w:r>
          </w:p>
        </w:tc>
        <w:tc>
          <w:tcPr>
            <w:tcW w:w="622" w:type="dxa"/>
            <w:tcBorders>
              <w:top w:val="nil"/>
              <w:left w:val="nil"/>
              <w:bottom w:val="nil"/>
              <w:right w:val="nil"/>
            </w:tcBorders>
            <w:shd w:val="clear" w:color="auto" w:fill="auto"/>
            <w:noWrap/>
            <w:vAlign w:val="center"/>
            <w:hideMark/>
          </w:tcPr>
          <w:p w14:paraId="00C623E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26.8%</w:t>
            </w:r>
          </w:p>
        </w:tc>
        <w:tc>
          <w:tcPr>
            <w:tcW w:w="621" w:type="dxa"/>
            <w:tcBorders>
              <w:top w:val="nil"/>
              <w:left w:val="nil"/>
              <w:bottom w:val="nil"/>
              <w:right w:val="nil"/>
            </w:tcBorders>
            <w:shd w:val="clear" w:color="auto" w:fill="auto"/>
            <w:noWrap/>
            <w:vAlign w:val="center"/>
            <w:hideMark/>
          </w:tcPr>
          <w:p w14:paraId="4C5CA09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29.1%</w:t>
            </w:r>
          </w:p>
        </w:tc>
        <w:tc>
          <w:tcPr>
            <w:tcW w:w="622" w:type="dxa"/>
            <w:tcBorders>
              <w:top w:val="nil"/>
              <w:left w:val="nil"/>
              <w:bottom w:val="nil"/>
              <w:right w:val="nil"/>
            </w:tcBorders>
            <w:shd w:val="clear" w:color="auto" w:fill="auto"/>
            <w:noWrap/>
            <w:vAlign w:val="center"/>
            <w:hideMark/>
          </w:tcPr>
          <w:p w14:paraId="1888F5B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23.0%</w:t>
            </w:r>
          </w:p>
        </w:tc>
        <w:tc>
          <w:tcPr>
            <w:tcW w:w="622" w:type="dxa"/>
            <w:tcBorders>
              <w:top w:val="nil"/>
              <w:left w:val="nil"/>
              <w:bottom w:val="nil"/>
              <w:right w:val="nil"/>
            </w:tcBorders>
            <w:shd w:val="clear" w:color="auto" w:fill="auto"/>
            <w:noWrap/>
            <w:vAlign w:val="center"/>
            <w:hideMark/>
          </w:tcPr>
          <w:p w14:paraId="5946D89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21.7%</w:t>
            </w:r>
          </w:p>
        </w:tc>
        <w:tc>
          <w:tcPr>
            <w:tcW w:w="621" w:type="dxa"/>
            <w:tcBorders>
              <w:top w:val="nil"/>
              <w:left w:val="nil"/>
              <w:bottom w:val="nil"/>
              <w:right w:val="nil"/>
            </w:tcBorders>
            <w:shd w:val="clear" w:color="auto" w:fill="auto"/>
            <w:noWrap/>
            <w:vAlign w:val="center"/>
            <w:hideMark/>
          </w:tcPr>
          <w:p w14:paraId="0DEF659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31.9%</w:t>
            </w:r>
          </w:p>
        </w:tc>
        <w:tc>
          <w:tcPr>
            <w:tcW w:w="622" w:type="dxa"/>
            <w:tcBorders>
              <w:top w:val="nil"/>
              <w:left w:val="nil"/>
              <w:bottom w:val="nil"/>
              <w:right w:val="nil"/>
            </w:tcBorders>
            <w:shd w:val="clear" w:color="auto" w:fill="auto"/>
            <w:noWrap/>
            <w:vAlign w:val="center"/>
            <w:hideMark/>
          </w:tcPr>
          <w:p w14:paraId="3419BBD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26.2%</w:t>
            </w:r>
          </w:p>
        </w:tc>
        <w:tc>
          <w:tcPr>
            <w:tcW w:w="621" w:type="dxa"/>
            <w:tcBorders>
              <w:top w:val="nil"/>
              <w:left w:val="nil"/>
              <w:bottom w:val="nil"/>
              <w:right w:val="nil"/>
            </w:tcBorders>
            <w:shd w:val="clear" w:color="auto" w:fill="auto"/>
            <w:noWrap/>
            <w:vAlign w:val="center"/>
            <w:hideMark/>
          </w:tcPr>
          <w:p w14:paraId="5A48A48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33.0%</w:t>
            </w:r>
          </w:p>
        </w:tc>
        <w:tc>
          <w:tcPr>
            <w:tcW w:w="622" w:type="dxa"/>
            <w:tcBorders>
              <w:top w:val="nil"/>
              <w:left w:val="nil"/>
              <w:bottom w:val="nil"/>
              <w:right w:val="nil"/>
            </w:tcBorders>
            <w:shd w:val="clear" w:color="auto" w:fill="auto"/>
            <w:noWrap/>
            <w:vAlign w:val="center"/>
            <w:hideMark/>
          </w:tcPr>
          <w:p w14:paraId="2FDC1B45"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29.2%</w:t>
            </w:r>
          </w:p>
        </w:tc>
        <w:tc>
          <w:tcPr>
            <w:tcW w:w="622" w:type="dxa"/>
            <w:tcBorders>
              <w:top w:val="nil"/>
              <w:left w:val="nil"/>
              <w:bottom w:val="nil"/>
              <w:right w:val="nil"/>
            </w:tcBorders>
            <w:shd w:val="clear" w:color="auto" w:fill="auto"/>
            <w:noWrap/>
            <w:vAlign w:val="center"/>
            <w:hideMark/>
          </w:tcPr>
          <w:p w14:paraId="2A0EEC33"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25.0%</w:t>
            </w:r>
          </w:p>
        </w:tc>
        <w:tc>
          <w:tcPr>
            <w:tcW w:w="621" w:type="dxa"/>
            <w:tcBorders>
              <w:top w:val="nil"/>
              <w:left w:val="nil"/>
              <w:bottom w:val="nil"/>
              <w:right w:val="nil"/>
            </w:tcBorders>
            <w:shd w:val="clear" w:color="auto" w:fill="auto"/>
            <w:noWrap/>
            <w:vAlign w:val="center"/>
            <w:hideMark/>
          </w:tcPr>
          <w:p w14:paraId="19883AF8"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28.0%</w:t>
            </w:r>
          </w:p>
        </w:tc>
        <w:tc>
          <w:tcPr>
            <w:tcW w:w="622" w:type="dxa"/>
            <w:tcBorders>
              <w:top w:val="nil"/>
              <w:left w:val="nil"/>
              <w:bottom w:val="nil"/>
              <w:right w:val="nil"/>
            </w:tcBorders>
            <w:shd w:val="clear" w:color="auto" w:fill="auto"/>
            <w:noWrap/>
            <w:vAlign w:val="center"/>
            <w:hideMark/>
          </w:tcPr>
          <w:p w14:paraId="1A4AF8CA"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24.5%</w:t>
            </w:r>
          </w:p>
        </w:tc>
        <w:tc>
          <w:tcPr>
            <w:tcW w:w="622" w:type="dxa"/>
            <w:tcBorders>
              <w:top w:val="nil"/>
              <w:left w:val="nil"/>
              <w:bottom w:val="nil"/>
              <w:right w:val="nil"/>
            </w:tcBorders>
            <w:shd w:val="clear" w:color="auto" w:fill="auto"/>
            <w:noWrap/>
            <w:vAlign w:val="center"/>
            <w:hideMark/>
          </w:tcPr>
          <w:p w14:paraId="493715CE"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26.7%</w:t>
            </w:r>
          </w:p>
        </w:tc>
        <w:tc>
          <w:tcPr>
            <w:tcW w:w="621" w:type="dxa"/>
            <w:tcBorders>
              <w:top w:val="nil"/>
              <w:left w:val="nil"/>
              <w:bottom w:val="nil"/>
              <w:right w:val="nil"/>
            </w:tcBorders>
            <w:shd w:val="clear" w:color="auto" w:fill="auto"/>
            <w:noWrap/>
            <w:vAlign w:val="center"/>
            <w:hideMark/>
          </w:tcPr>
          <w:p w14:paraId="614C510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21.3%</w:t>
            </w:r>
          </w:p>
        </w:tc>
        <w:tc>
          <w:tcPr>
            <w:tcW w:w="622" w:type="dxa"/>
            <w:tcBorders>
              <w:top w:val="nil"/>
              <w:left w:val="nil"/>
              <w:bottom w:val="nil"/>
              <w:right w:val="nil"/>
            </w:tcBorders>
            <w:shd w:val="clear" w:color="auto" w:fill="auto"/>
            <w:noWrap/>
            <w:vAlign w:val="center"/>
            <w:hideMark/>
          </w:tcPr>
          <w:p w14:paraId="47CE8264"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29.0%</w:t>
            </w:r>
          </w:p>
        </w:tc>
        <w:tc>
          <w:tcPr>
            <w:tcW w:w="622" w:type="dxa"/>
            <w:tcBorders>
              <w:top w:val="nil"/>
              <w:left w:val="nil"/>
              <w:bottom w:val="nil"/>
              <w:right w:val="nil"/>
            </w:tcBorders>
            <w:shd w:val="clear" w:color="auto" w:fill="auto"/>
            <w:noWrap/>
            <w:vAlign w:val="center"/>
            <w:hideMark/>
          </w:tcPr>
          <w:p w14:paraId="586D1D4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32.4%</w:t>
            </w:r>
          </w:p>
        </w:tc>
      </w:tr>
      <w:tr w:rsidR="009E5674" w:rsidRPr="00163E75" w14:paraId="07823D43" w14:textId="77777777" w:rsidTr="007057E6">
        <w:trPr>
          <w:trHeight w:val="284"/>
          <w:jc w:val="center"/>
        </w:trPr>
        <w:tc>
          <w:tcPr>
            <w:tcW w:w="3402" w:type="dxa"/>
            <w:tcBorders>
              <w:top w:val="nil"/>
              <w:left w:val="nil"/>
              <w:bottom w:val="nil"/>
              <w:right w:val="nil"/>
            </w:tcBorders>
            <w:shd w:val="clear" w:color="auto" w:fill="auto"/>
            <w:noWrap/>
            <w:vAlign w:val="center"/>
            <w:hideMark/>
          </w:tcPr>
          <w:p w14:paraId="119D6081" w14:textId="77777777" w:rsidR="007B5398" w:rsidRPr="00163E75" w:rsidRDefault="007B5398" w:rsidP="009E5674">
            <w:pPr>
              <w:spacing w:after="0" w:line="240" w:lineRule="auto"/>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 Philosophy and Religious Studies</w:t>
            </w:r>
          </w:p>
        </w:tc>
        <w:tc>
          <w:tcPr>
            <w:tcW w:w="621" w:type="dxa"/>
            <w:tcBorders>
              <w:top w:val="nil"/>
              <w:left w:val="nil"/>
              <w:bottom w:val="nil"/>
              <w:right w:val="nil"/>
            </w:tcBorders>
            <w:shd w:val="clear" w:color="auto" w:fill="auto"/>
            <w:noWrap/>
            <w:vAlign w:val="center"/>
            <w:hideMark/>
          </w:tcPr>
          <w:p w14:paraId="5D8BF7E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27.3%</w:t>
            </w:r>
          </w:p>
        </w:tc>
        <w:tc>
          <w:tcPr>
            <w:tcW w:w="622" w:type="dxa"/>
            <w:tcBorders>
              <w:top w:val="nil"/>
              <w:left w:val="nil"/>
              <w:bottom w:val="nil"/>
              <w:right w:val="nil"/>
            </w:tcBorders>
            <w:shd w:val="clear" w:color="auto" w:fill="auto"/>
            <w:noWrap/>
            <w:vAlign w:val="center"/>
            <w:hideMark/>
          </w:tcPr>
          <w:p w14:paraId="5DB30860"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23.3%</w:t>
            </w:r>
          </w:p>
        </w:tc>
        <w:tc>
          <w:tcPr>
            <w:tcW w:w="621" w:type="dxa"/>
            <w:tcBorders>
              <w:top w:val="nil"/>
              <w:left w:val="nil"/>
              <w:bottom w:val="nil"/>
              <w:right w:val="nil"/>
            </w:tcBorders>
            <w:shd w:val="clear" w:color="auto" w:fill="auto"/>
            <w:noWrap/>
            <w:vAlign w:val="center"/>
            <w:hideMark/>
          </w:tcPr>
          <w:p w14:paraId="38553D71"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31.5%</w:t>
            </w:r>
          </w:p>
        </w:tc>
        <w:tc>
          <w:tcPr>
            <w:tcW w:w="622" w:type="dxa"/>
            <w:tcBorders>
              <w:top w:val="nil"/>
              <w:left w:val="nil"/>
              <w:bottom w:val="nil"/>
              <w:right w:val="nil"/>
            </w:tcBorders>
            <w:shd w:val="clear" w:color="auto" w:fill="auto"/>
            <w:noWrap/>
            <w:vAlign w:val="center"/>
            <w:hideMark/>
          </w:tcPr>
          <w:p w14:paraId="3922E77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34.8%</w:t>
            </w:r>
          </w:p>
        </w:tc>
        <w:tc>
          <w:tcPr>
            <w:tcW w:w="622" w:type="dxa"/>
            <w:tcBorders>
              <w:top w:val="nil"/>
              <w:left w:val="nil"/>
              <w:bottom w:val="nil"/>
              <w:right w:val="nil"/>
            </w:tcBorders>
            <w:shd w:val="clear" w:color="auto" w:fill="auto"/>
            <w:noWrap/>
            <w:vAlign w:val="center"/>
            <w:hideMark/>
          </w:tcPr>
          <w:p w14:paraId="0B16FB7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29.5%</w:t>
            </w:r>
          </w:p>
        </w:tc>
        <w:tc>
          <w:tcPr>
            <w:tcW w:w="621" w:type="dxa"/>
            <w:tcBorders>
              <w:top w:val="nil"/>
              <w:left w:val="nil"/>
              <w:bottom w:val="nil"/>
              <w:right w:val="nil"/>
            </w:tcBorders>
            <w:shd w:val="clear" w:color="auto" w:fill="auto"/>
            <w:noWrap/>
            <w:vAlign w:val="center"/>
            <w:hideMark/>
          </w:tcPr>
          <w:p w14:paraId="0BBA4E17"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24.1%</w:t>
            </w:r>
          </w:p>
        </w:tc>
        <w:tc>
          <w:tcPr>
            <w:tcW w:w="622" w:type="dxa"/>
            <w:tcBorders>
              <w:top w:val="nil"/>
              <w:left w:val="nil"/>
              <w:bottom w:val="nil"/>
              <w:right w:val="nil"/>
            </w:tcBorders>
            <w:shd w:val="clear" w:color="auto" w:fill="auto"/>
            <w:noWrap/>
            <w:vAlign w:val="center"/>
            <w:hideMark/>
          </w:tcPr>
          <w:p w14:paraId="055288D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18.3%</w:t>
            </w:r>
          </w:p>
        </w:tc>
        <w:tc>
          <w:tcPr>
            <w:tcW w:w="622" w:type="dxa"/>
            <w:tcBorders>
              <w:top w:val="nil"/>
              <w:left w:val="nil"/>
              <w:bottom w:val="nil"/>
              <w:right w:val="nil"/>
            </w:tcBorders>
            <w:shd w:val="clear" w:color="auto" w:fill="auto"/>
            <w:noWrap/>
            <w:vAlign w:val="center"/>
            <w:hideMark/>
          </w:tcPr>
          <w:p w14:paraId="4A59958C"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21.6%</w:t>
            </w:r>
          </w:p>
        </w:tc>
        <w:tc>
          <w:tcPr>
            <w:tcW w:w="621" w:type="dxa"/>
            <w:tcBorders>
              <w:top w:val="nil"/>
              <w:left w:val="nil"/>
              <w:bottom w:val="nil"/>
              <w:right w:val="nil"/>
            </w:tcBorders>
            <w:shd w:val="clear" w:color="auto" w:fill="auto"/>
            <w:noWrap/>
            <w:vAlign w:val="center"/>
            <w:hideMark/>
          </w:tcPr>
          <w:p w14:paraId="69CB0116"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20.5%</w:t>
            </w:r>
          </w:p>
        </w:tc>
        <w:tc>
          <w:tcPr>
            <w:tcW w:w="622" w:type="dxa"/>
            <w:tcBorders>
              <w:top w:val="nil"/>
              <w:left w:val="nil"/>
              <w:bottom w:val="nil"/>
              <w:right w:val="nil"/>
            </w:tcBorders>
            <w:shd w:val="clear" w:color="auto" w:fill="auto"/>
            <w:noWrap/>
            <w:vAlign w:val="center"/>
            <w:hideMark/>
          </w:tcPr>
          <w:p w14:paraId="2BF5920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17.5%</w:t>
            </w:r>
          </w:p>
        </w:tc>
        <w:tc>
          <w:tcPr>
            <w:tcW w:w="621" w:type="dxa"/>
            <w:tcBorders>
              <w:top w:val="nil"/>
              <w:left w:val="nil"/>
              <w:bottom w:val="nil"/>
              <w:right w:val="nil"/>
            </w:tcBorders>
            <w:shd w:val="clear" w:color="auto" w:fill="auto"/>
            <w:noWrap/>
            <w:vAlign w:val="center"/>
            <w:hideMark/>
          </w:tcPr>
          <w:p w14:paraId="06F07CC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18.8%</w:t>
            </w:r>
          </w:p>
        </w:tc>
        <w:tc>
          <w:tcPr>
            <w:tcW w:w="622" w:type="dxa"/>
            <w:tcBorders>
              <w:top w:val="nil"/>
              <w:left w:val="nil"/>
              <w:bottom w:val="nil"/>
              <w:right w:val="nil"/>
            </w:tcBorders>
            <w:shd w:val="clear" w:color="auto" w:fill="auto"/>
            <w:noWrap/>
            <w:vAlign w:val="center"/>
            <w:hideMark/>
          </w:tcPr>
          <w:p w14:paraId="52F07EEA"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27.3%</w:t>
            </w:r>
          </w:p>
        </w:tc>
        <w:tc>
          <w:tcPr>
            <w:tcW w:w="622" w:type="dxa"/>
            <w:tcBorders>
              <w:top w:val="nil"/>
              <w:left w:val="nil"/>
              <w:bottom w:val="nil"/>
              <w:right w:val="nil"/>
            </w:tcBorders>
            <w:shd w:val="clear" w:color="auto" w:fill="auto"/>
            <w:noWrap/>
            <w:vAlign w:val="center"/>
            <w:hideMark/>
          </w:tcPr>
          <w:p w14:paraId="6F41CAEB"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15.1%</w:t>
            </w:r>
          </w:p>
        </w:tc>
        <w:tc>
          <w:tcPr>
            <w:tcW w:w="621" w:type="dxa"/>
            <w:tcBorders>
              <w:top w:val="nil"/>
              <w:left w:val="nil"/>
              <w:bottom w:val="nil"/>
              <w:right w:val="nil"/>
            </w:tcBorders>
            <w:shd w:val="clear" w:color="auto" w:fill="auto"/>
            <w:noWrap/>
            <w:vAlign w:val="center"/>
            <w:hideMark/>
          </w:tcPr>
          <w:p w14:paraId="4A129980" w14:textId="77777777" w:rsidR="007B5398" w:rsidRPr="00163E75" w:rsidRDefault="007B5398" w:rsidP="009E5674">
            <w:pPr>
              <w:spacing w:after="0" w:line="240" w:lineRule="auto"/>
              <w:ind w:left="-48"/>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16.4%</w:t>
            </w:r>
          </w:p>
        </w:tc>
        <w:tc>
          <w:tcPr>
            <w:tcW w:w="622" w:type="dxa"/>
            <w:tcBorders>
              <w:top w:val="nil"/>
              <w:left w:val="nil"/>
              <w:bottom w:val="nil"/>
              <w:right w:val="nil"/>
            </w:tcBorders>
            <w:shd w:val="clear" w:color="auto" w:fill="auto"/>
            <w:noWrap/>
            <w:vAlign w:val="center"/>
            <w:hideMark/>
          </w:tcPr>
          <w:p w14:paraId="46978E5A"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17.8%</w:t>
            </w:r>
          </w:p>
        </w:tc>
        <w:tc>
          <w:tcPr>
            <w:tcW w:w="622" w:type="dxa"/>
            <w:tcBorders>
              <w:top w:val="nil"/>
              <w:left w:val="nil"/>
              <w:bottom w:val="nil"/>
              <w:right w:val="nil"/>
            </w:tcBorders>
            <w:shd w:val="clear" w:color="auto" w:fill="auto"/>
            <w:noWrap/>
            <w:vAlign w:val="center"/>
            <w:hideMark/>
          </w:tcPr>
          <w:p w14:paraId="3F3CFE25" w14:textId="77777777" w:rsidR="007B5398" w:rsidRPr="00163E75" w:rsidRDefault="007B5398" w:rsidP="009E5674">
            <w:pPr>
              <w:spacing w:after="0" w:line="240" w:lineRule="auto"/>
              <w:ind w:left="-206" w:firstLine="206"/>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23.6%</w:t>
            </w:r>
          </w:p>
        </w:tc>
        <w:tc>
          <w:tcPr>
            <w:tcW w:w="621" w:type="dxa"/>
            <w:tcBorders>
              <w:top w:val="nil"/>
              <w:left w:val="nil"/>
              <w:bottom w:val="nil"/>
              <w:right w:val="nil"/>
            </w:tcBorders>
            <w:shd w:val="clear" w:color="auto" w:fill="auto"/>
            <w:noWrap/>
            <w:vAlign w:val="center"/>
            <w:hideMark/>
          </w:tcPr>
          <w:p w14:paraId="21EE970D"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23.1%</w:t>
            </w:r>
          </w:p>
        </w:tc>
        <w:tc>
          <w:tcPr>
            <w:tcW w:w="622" w:type="dxa"/>
            <w:tcBorders>
              <w:top w:val="nil"/>
              <w:left w:val="nil"/>
              <w:bottom w:val="nil"/>
              <w:right w:val="nil"/>
            </w:tcBorders>
            <w:shd w:val="clear" w:color="auto" w:fill="auto"/>
            <w:noWrap/>
            <w:vAlign w:val="center"/>
            <w:hideMark/>
          </w:tcPr>
          <w:p w14:paraId="59259DBF"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32.6%</w:t>
            </w:r>
          </w:p>
        </w:tc>
        <w:tc>
          <w:tcPr>
            <w:tcW w:w="622" w:type="dxa"/>
            <w:tcBorders>
              <w:top w:val="nil"/>
              <w:left w:val="nil"/>
              <w:bottom w:val="nil"/>
              <w:right w:val="nil"/>
            </w:tcBorders>
            <w:shd w:val="clear" w:color="auto" w:fill="auto"/>
            <w:noWrap/>
            <w:vAlign w:val="center"/>
            <w:hideMark/>
          </w:tcPr>
          <w:p w14:paraId="132181EE" w14:textId="77777777" w:rsidR="007B5398" w:rsidRPr="00163E75" w:rsidRDefault="007B5398" w:rsidP="009E5674">
            <w:pPr>
              <w:spacing w:after="0" w:line="240" w:lineRule="auto"/>
              <w:jc w:val="center"/>
              <w:rPr>
                <w:rFonts w:asciiTheme="majorHAnsi" w:eastAsia="Times New Roman" w:hAnsiTheme="majorHAnsi" w:cstheme="majorHAnsi"/>
                <w:color w:val="000000"/>
                <w:sz w:val="15"/>
                <w:szCs w:val="15"/>
                <w:lang w:eastAsia="en-AU"/>
              </w:rPr>
            </w:pPr>
            <w:r w:rsidRPr="00163E75">
              <w:rPr>
                <w:rFonts w:asciiTheme="majorHAnsi" w:eastAsia="Times New Roman" w:hAnsiTheme="majorHAnsi" w:cstheme="majorHAnsi"/>
                <w:color w:val="000000"/>
                <w:sz w:val="15"/>
                <w:szCs w:val="15"/>
                <w:lang w:eastAsia="en-AU"/>
              </w:rPr>
              <w:t>22.7%</w:t>
            </w:r>
          </w:p>
        </w:tc>
      </w:tr>
    </w:tbl>
    <w:p w14:paraId="3004C9F4" w14:textId="77777777" w:rsidR="004F3FFA" w:rsidRPr="007057E6" w:rsidRDefault="004F3FFA" w:rsidP="007057E6">
      <w:pPr>
        <w:spacing w:before="240"/>
        <w:ind w:left="-284"/>
        <w:rPr>
          <w:rFonts w:asciiTheme="majorHAnsi" w:hAnsiTheme="majorHAnsi" w:cstheme="majorHAnsi"/>
          <w:sz w:val="16"/>
          <w:szCs w:val="16"/>
        </w:rPr>
      </w:pPr>
      <w:r w:rsidRPr="007057E6">
        <w:rPr>
          <w:rFonts w:asciiTheme="majorHAnsi" w:hAnsiTheme="majorHAnsi" w:cstheme="majorHAnsi"/>
          <w:sz w:val="16"/>
          <w:szCs w:val="16"/>
        </w:rPr>
        <w:t xml:space="preserve">Source: ARC administrative data. </w:t>
      </w:r>
    </w:p>
    <w:p w14:paraId="3E1C57AF" w14:textId="77777777" w:rsidR="000C2D16" w:rsidRDefault="000C2D16" w:rsidP="003C12B2">
      <w:pPr>
        <w:pStyle w:val="Heading1"/>
        <w:numPr>
          <w:ilvl w:val="0"/>
          <w:numId w:val="17"/>
        </w:numPr>
        <w:spacing w:before="0" w:after="160" w:line="259" w:lineRule="auto"/>
        <w:jc w:val="both"/>
        <w:rPr>
          <w:rFonts w:eastAsia="Calibri"/>
        </w:rPr>
        <w:sectPr w:rsidR="000C2D16" w:rsidSect="00E14FED">
          <w:pgSz w:w="16838" w:h="11906" w:orient="landscape"/>
          <w:pgMar w:top="1440" w:right="992" w:bottom="1440" w:left="1440" w:header="709" w:footer="709" w:gutter="0"/>
          <w:cols w:space="708"/>
          <w:docGrid w:linePitch="360"/>
        </w:sectPr>
      </w:pPr>
    </w:p>
    <w:p w14:paraId="13A12D90" w14:textId="2218493B" w:rsidR="000C2D16" w:rsidRDefault="000C2D16" w:rsidP="008930B7">
      <w:pPr>
        <w:pStyle w:val="Heading1"/>
        <w:numPr>
          <w:ilvl w:val="0"/>
          <w:numId w:val="0"/>
        </w:numPr>
        <w:spacing w:before="0" w:after="240" w:line="259" w:lineRule="auto"/>
        <w:jc w:val="both"/>
        <w:rPr>
          <w:rFonts w:eastAsia="Calibri"/>
        </w:rPr>
      </w:pPr>
      <w:bookmarkStart w:id="958" w:name="_Appendix_E:_Translational"/>
      <w:bookmarkStart w:id="959" w:name="_Toc51918768"/>
      <w:bookmarkStart w:id="960" w:name="_Toc55544863"/>
      <w:bookmarkEnd w:id="958"/>
      <w:r w:rsidRPr="001943BB">
        <w:rPr>
          <w:rFonts w:eastAsia="Calibri"/>
        </w:rPr>
        <w:lastRenderedPageBreak/>
        <w:t xml:space="preserve">Appendix </w:t>
      </w:r>
      <w:r w:rsidR="00E975F4">
        <w:rPr>
          <w:rFonts w:eastAsia="Calibri"/>
        </w:rPr>
        <w:t>E</w:t>
      </w:r>
      <w:r w:rsidRPr="001943BB">
        <w:rPr>
          <w:rFonts w:eastAsia="Calibri"/>
        </w:rPr>
        <w:t xml:space="preserve">: </w:t>
      </w:r>
      <w:r w:rsidRPr="0019118D">
        <w:rPr>
          <w:rFonts w:eastAsia="Calibri"/>
        </w:rPr>
        <w:t>Translational benefits delivered through Discovery Projects</w:t>
      </w:r>
      <w:bookmarkEnd w:id="959"/>
      <w:bookmarkEnd w:id="960"/>
    </w:p>
    <w:p w14:paraId="3988F273" w14:textId="77777777" w:rsidR="00050744" w:rsidRPr="006F527C" w:rsidRDefault="00050744" w:rsidP="00050744">
      <w:pPr>
        <w:shd w:val="clear" w:color="auto" w:fill="DEEAF6" w:themeFill="accent1" w:themeFillTint="33"/>
        <w:spacing w:before="120" w:after="120"/>
        <w:rPr>
          <w:rFonts w:ascii="Calibri Light" w:hAnsi="Calibri Light" w:cs="Calibri Light"/>
        </w:rPr>
      </w:pPr>
      <w:r w:rsidRPr="006F527C">
        <w:rPr>
          <w:rFonts w:ascii="Calibri Light" w:hAnsi="Calibri Light" w:cs="Calibri Light"/>
        </w:rPr>
        <w:t xml:space="preserve">Survey respondents articulated a range of overlapping economic, commercial, environmental, social and cultural benefits arising from their most recently completed project funded under the Discovery Projects scheme. These benefits were extremely diverse, as may be anticipated given the size of the scheme, the length of its operation and the disciplinary breadth covered. A systematic, comprehensive account of the full variety of outcomes stemming from Discovery Projects is beyond the scope of this evaluation. However, the below identifies a selection of just some of the significant benefits articulated by researchers funded under the scheme. </w:t>
      </w:r>
    </w:p>
    <w:p w14:paraId="55C9FE91" w14:textId="77777777" w:rsidR="00050744" w:rsidRPr="006F527C" w:rsidRDefault="00050744" w:rsidP="00050744">
      <w:pPr>
        <w:shd w:val="clear" w:color="auto" w:fill="DEEAF6" w:themeFill="accent1" w:themeFillTint="33"/>
        <w:spacing w:before="120" w:after="120"/>
        <w:rPr>
          <w:rFonts w:ascii="Calibri Light" w:hAnsi="Calibri Light" w:cs="Calibri Light"/>
        </w:rPr>
      </w:pPr>
      <w:r w:rsidRPr="006F527C">
        <w:rPr>
          <w:rFonts w:ascii="Calibri Light" w:hAnsi="Calibri Light" w:cs="Calibri Light"/>
          <w:b/>
        </w:rPr>
        <w:t xml:space="preserve">Economic benefits: </w:t>
      </w:r>
      <w:r w:rsidRPr="00A65076">
        <w:rPr>
          <w:rFonts w:ascii="Calibri Light" w:hAnsi="Calibri Light" w:cs="Calibri Light"/>
        </w:rPr>
        <w:t>the</w:t>
      </w:r>
      <w:r>
        <w:rPr>
          <w:rFonts w:ascii="Calibri Light" w:hAnsi="Calibri Light" w:cs="Calibri Light"/>
          <w:b/>
        </w:rPr>
        <w:t xml:space="preserve"> </w:t>
      </w:r>
      <w:r w:rsidRPr="006F527C">
        <w:rPr>
          <w:rFonts w:ascii="Calibri Light" w:hAnsi="Calibri Light" w:cs="Calibri Light"/>
        </w:rPr>
        <w:t>development of databases and econometric methodologies informing economic policy; improvements to information technology security; the development of skilled researchers for</w:t>
      </w:r>
      <w:r>
        <w:rPr>
          <w:rFonts w:ascii="Calibri Light" w:hAnsi="Calibri Light" w:cs="Calibri Light"/>
        </w:rPr>
        <w:t xml:space="preserve"> the</w:t>
      </w:r>
      <w:r w:rsidRPr="006F527C">
        <w:rPr>
          <w:rFonts w:ascii="Calibri Light" w:hAnsi="Calibri Light" w:cs="Calibri Light"/>
        </w:rPr>
        <w:t xml:space="preserve"> commercial, government and community </w:t>
      </w:r>
      <w:r>
        <w:rPr>
          <w:rFonts w:ascii="Calibri Light" w:hAnsi="Calibri Light" w:cs="Calibri Light"/>
        </w:rPr>
        <w:t>workforce</w:t>
      </w:r>
      <w:r w:rsidRPr="006F527C">
        <w:rPr>
          <w:rFonts w:ascii="Calibri Light" w:hAnsi="Calibri Light" w:cs="Calibri Light"/>
        </w:rPr>
        <w:t xml:space="preserve">; improvements to the development of urban infrastructure; better understanding of consumer </w:t>
      </w:r>
      <w:r>
        <w:rPr>
          <w:rFonts w:ascii="Calibri Light" w:hAnsi="Calibri Light" w:cs="Calibri Light"/>
        </w:rPr>
        <w:t>psychology</w:t>
      </w:r>
      <w:r w:rsidRPr="006F527C">
        <w:rPr>
          <w:rFonts w:ascii="Calibri Light" w:hAnsi="Calibri Light" w:cs="Calibri Light"/>
        </w:rPr>
        <w:t>; the creation of ongoing partnerships between researchers and industry stakeholders; and the generation of new markets through the development of innovative technologies.</w:t>
      </w:r>
    </w:p>
    <w:p w14:paraId="4137E3E2" w14:textId="77777777" w:rsidR="00050744" w:rsidRPr="00FA3DF6" w:rsidRDefault="00050744" w:rsidP="00050744">
      <w:pPr>
        <w:shd w:val="clear" w:color="auto" w:fill="DEEAF6" w:themeFill="accent1" w:themeFillTint="33"/>
        <w:spacing w:before="120" w:after="120"/>
        <w:rPr>
          <w:rFonts w:ascii="Calibri Light" w:hAnsi="Calibri Light" w:cs="Calibri Light"/>
        </w:rPr>
      </w:pPr>
      <w:r w:rsidRPr="006F527C">
        <w:rPr>
          <w:rFonts w:ascii="Calibri Light" w:hAnsi="Calibri Light" w:cs="Calibri Light"/>
          <w:b/>
        </w:rPr>
        <w:t xml:space="preserve">Commercial benefits: </w:t>
      </w:r>
      <w:r w:rsidRPr="00A65076">
        <w:rPr>
          <w:rFonts w:ascii="Calibri Light" w:hAnsi="Calibri Light" w:cs="Calibri Light"/>
        </w:rPr>
        <w:t>the</w:t>
      </w:r>
      <w:r>
        <w:rPr>
          <w:rFonts w:ascii="Calibri Light" w:hAnsi="Calibri Light" w:cs="Calibri Light"/>
          <w:b/>
        </w:rPr>
        <w:t xml:space="preserve"> </w:t>
      </w:r>
      <w:r w:rsidRPr="006F527C">
        <w:rPr>
          <w:rFonts w:ascii="Calibri Light" w:hAnsi="Calibri Light" w:cs="Calibri Light"/>
        </w:rPr>
        <w:t>development of enhanced production techniques and materials; the creation of new products for commercialisation; improvements to management practices relating to governance, risk and accounting; contributions to the development of start-up companies; the transfer of technical knowledge from researchers to business through workshops; the design and delivery of prototypes to commercial stakeholders; the creation and commerciali</w:t>
      </w:r>
      <w:r>
        <w:rPr>
          <w:rFonts w:ascii="Calibri Light" w:hAnsi="Calibri Light" w:cs="Calibri Light"/>
        </w:rPr>
        <w:t>s</w:t>
      </w:r>
      <w:r w:rsidRPr="006F527C">
        <w:rPr>
          <w:rFonts w:ascii="Calibri Light" w:hAnsi="Calibri Light" w:cs="Calibri Light"/>
        </w:rPr>
        <w:t>ation of intellectual property; improv</w:t>
      </w:r>
      <w:r>
        <w:rPr>
          <w:rFonts w:ascii="Calibri Light" w:hAnsi="Calibri Light" w:cs="Calibri Light"/>
        </w:rPr>
        <w:t>ed understanding of</w:t>
      </w:r>
      <w:r w:rsidRPr="006F527C">
        <w:rPr>
          <w:rFonts w:ascii="Calibri Light" w:hAnsi="Calibri Light" w:cs="Calibri Light"/>
        </w:rPr>
        <w:t xml:space="preserve"> the impact of commercial activity on environment and heritage; enhanced approaches to business valuation; and the generation of technical knowledge contributing to efficient business practices.</w:t>
      </w:r>
    </w:p>
    <w:p w14:paraId="182E1B76" w14:textId="77777777" w:rsidR="00050744" w:rsidRPr="006F527C" w:rsidRDefault="00050744" w:rsidP="00050744">
      <w:pPr>
        <w:shd w:val="clear" w:color="auto" w:fill="DEEAF6" w:themeFill="accent1" w:themeFillTint="33"/>
        <w:spacing w:before="120" w:after="120"/>
        <w:rPr>
          <w:rFonts w:ascii="Calibri Light" w:hAnsi="Calibri Light" w:cs="Calibri Light"/>
        </w:rPr>
      </w:pPr>
      <w:r w:rsidRPr="006F527C">
        <w:rPr>
          <w:rFonts w:ascii="Calibri Light" w:hAnsi="Calibri Light" w:cs="Calibri Light"/>
          <w:b/>
        </w:rPr>
        <w:t xml:space="preserve">Environmental benefits: </w:t>
      </w:r>
      <w:r>
        <w:rPr>
          <w:rFonts w:ascii="Calibri Light" w:hAnsi="Calibri Light" w:cs="Calibri Light"/>
        </w:rPr>
        <w:t>i</w:t>
      </w:r>
      <w:r w:rsidRPr="006F527C">
        <w:rPr>
          <w:rFonts w:ascii="Calibri Light" w:hAnsi="Calibri Light" w:cs="Calibri Light"/>
        </w:rPr>
        <w:t xml:space="preserve">mprovements to agricultural adaptation to climate change; the development of data analytic techniques </w:t>
      </w:r>
      <w:r>
        <w:rPr>
          <w:rFonts w:ascii="Calibri Light" w:hAnsi="Calibri Light" w:cs="Calibri Light"/>
        </w:rPr>
        <w:t>informing</w:t>
      </w:r>
      <w:r w:rsidRPr="006F527C">
        <w:rPr>
          <w:rFonts w:ascii="Calibri Light" w:hAnsi="Calibri Light" w:cs="Calibri Light"/>
        </w:rPr>
        <w:t xml:space="preserve"> environmental policy; enhanced water security and water treatment technologies; the creation of more ecologically sustainable production techniques; contributions to the development of renewable energy technologies; improvements to pollution control; increasing community awareness and uptake of environmentally sustainable practices; more effective management of biodiversity; and improvements to environmental management policy development processes.</w:t>
      </w:r>
    </w:p>
    <w:p w14:paraId="3BE046D9" w14:textId="3CFCA7EE" w:rsidR="00050744" w:rsidRPr="006F527C" w:rsidRDefault="00050744" w:rsidP="00050744">
      <w:pPr>
        <w:shd w:val="clear" w:color="auto" w:fill="DEEAF6" w:themeFill="accent1" w:themeFillTint="33"/>
        <w:spacing w:before="120" w:after="120"/>
        <w:rPr>
          <w:rFonts w:ascii="Calibri Light" w:hAnsi="Calibri Light" w:cs="Calibri Light"/>
        </w:rPr>
      </w:pPr>
      <w:r w:rsidRPr="006F527C">
        <w:rPr>
          <w:rFonts w:ascii="Calibri Light" w:hAnsi="Calibri Light" w:cs="Calibri Light"/>
          <w:b/>
        </w:rPr>
        <w:t xml:space="preserve">Social benefits: </w:t>
      </w:r>
      <w:r w:rsidRPr="006F527C">
        <w:rPr>
          <w:rFonts w:ascii="Calibri Light" w:hAnsi="Calibri Light" w:cs="Calibri Light"/>
        </w:rPr>
        <w:t>improvements to the monitoring and management of health conditions; enhanced curriculum models and learning outcomes within schooling contexts; improvements to road safet</w:t>
      </w:r>
      <w:r>
        <w:rPr>
          <w:rFonts w:ascii="Calibri Light" w:hAnsi="Calibri Light" w:cs="Calibri Light"/>
        </w:rPr>
        <w:t>y; more effective</w:t>
      </w:r>
      <w:r w:rsidRPr="006F527C">
        <w:rPr>
          <w:rFonts w:ascii="Calibri Light" w:hAnsi="Calibri Light" w:cs="Calibri Light"/>
        </w:rPr>
        <w:t xml:space="preserve"> r</w:t>
      </w:r>
      <w:r>
        <w:rPr>
          <w:rFonts w:ascii="Calibri Light" w:hAnsi="Calibri Light" w:cs="Calibri Light"/>
        </w:rPr>
        <w:t xml:space="preserve">esponses to childhood </w:t>
      </w:r>
      <w:r w:rsidRPr="006F527C">
        <w:rPr>
          <w:rFonts w:ascii="Calibri Light" w:hAnsi="Calibri Light" w:cs="Calibri Light"/>
        </w:rPr>
        <w:t xml:space="preserve">bullying; greater understanding of factors contributing to overeating and obesity; the development of innovative approaches to the management of problem drinking behaviour; </w:t>
      </w:r>
      <w:r w:rsidR="00101055">
        <w:rPr>
          <w:rFonts w:ascii="Calibri Light" w:hAnsi="Calibri Light" w:cs="Calibri Light"/>
        </w:rPr>
        <w:t xml:space="preserve">the </w:t>
      </w:r>
      <w:r w:rsidRPr="006F527C">
        <w:rPr>
          <w:rFonts w:ascii="Calibri Light" w:hAnsi="Calibri Light" w:cs="Calibri Light"/>
        </w:rPr>
        <w:t>enhanced measurement and understanding of i</w:t>
      </w:r>
      <w:r>
        <w:rPr>
          <w:rFonts w:ascii="Calibri Light" w:hAnsi="Calibri Light" w:cs="Calibri Light"/>
        </w:rPr>
        <w:t>ncome inequality; increased</w:t>
      </w:r>
      <w:r w:rsidRPr="006F527C">
        <w:rPr>
          <w:rFonts w:ascii="Calibri Light" w:hAnsi="Calibri Light" w:cs="Calibri Light"/>
        </w:rPr>
        <w:t xml:space="preserve"> social participation through technology; improved cross-cultural awareness within the context of policing; and enhanced data to support policies relating to mental health and suicide prevention. </w:t>
      </w:r>
    </w:p>
    <w:p w14:paraId="12C7E069" w14:textId="43C32F01" w:rsidR="00DD4AD8" w:rsidRDefault="00050744" w:rsidP="001E57D6">
      <w:pPr>
        <w:shd w:val="clear" w:color="auto" w:fill="DEEAF6" w:themeFill="accent1" w:themeFillTint="33"/>
        <w:rPr>
          <w:rFonts w:ascii="Calibri Light" w:hAnsi="Calibri Light" w:cs="Calibri Light"/>
        </w:rPr>
      </w:pPr>
      <w:r w:rsidRPr="006F527C">
        <w:rPr>
          <w:rFonts w:ascii="Calibri Light" w:hAnsi="Calibri Light" w:cs="Calibri Light"/>
          <w:b/>
        </w:rPr>
        <w:t xml:space="preserve">Cultural benefits: </w:t>
      </w:r>
      <w:r>
        <w:rPr>
          <w:rFonts w:ascii="Calibri Light" w:hAnsi="Calibri Light" w:cs="Calibri Light"/>
        </w:rPr>
        <w:t>improved cultural heritage management; enhanced ability to preserve</w:t>
      </w:r>
      <w:r w:rsidRPr="006F527C">
        <w:rPr>
          <w:rFonts w:ascii="Calibri Light" w:hAnsi="Calibri Light" w:cs="Calibri Light"/>
        </w:rPr>
        <w:t xml:space="preserve"> material, historic</w:t>
      </w:r>
      <w:r>
        <w:rPr>
          <w:rFonts w:ascii="Calibri Light" w:hAnsi="Calibri Light" w:cs="Calibri Light"/>
        </w:rPr>
        <w:t xml:space="preserve">al and linguistic cultures; identification of </w:t>
      </w:r>
      <w:r w:rsidRPr="006F527C">
        <w:rPr>
          <w:rFonts w:ascii="Calibri Light" w:hAnsi="Calibri Light" w:cs="Calibri Light"/>
        </w:rPr>
        <w:t>econ</w:t>
      </w:r>
      <w:r>
        <w:rPr>
          <w:rFonts w:ascii="Calibri Light" w:hAnsi="Calibri Light" w:cs="Calibri Light"/>
        </w:rPr>
        <w:t>omic opportunities and impact associated with</w:t>
      </w:r>
      <w:r w:rsidRPr="006F527C">
        <w:rPr>
          <w:rFonts w:ascii="Calibri Light" w:hAnsi="Calibri Light" w:cs="Calibri Light"/>
        </w:rPr>
        <w:t xml:space="preserve"> cultural tourism; the development of publicly accessible historical and cultural databases; improvements to outreach and engagement activities with Aboriginal communities; the development of resources supporting inter-religious dialogue; greater understanding of the role of contemporary museums; guidance to support ethical practice within health </w:t>
      </w:r>
      <w:r>
        <w:rPr>
          <w:rFonts w:ascii="Calibri Light" w:hAnsi="Calibri Light" w:cs="Calibri Light"/>
        </w:rPr>
        <w:t>provision; improvements to the culturally diverse negotiation of ecological management</w:t>
      </w:r>
      <w:r w:rsidRPr="006F527C">
        <w:rPr>
          <w:rFonts w:ascii="Calibri Light" w:hAnsi="Calibri Light" w:cs="Calibri Light"/>
        </w:rPr>
        <w:t>; and promoting educational engagement</w:t>
      </w:r>
      <w:r>
        <w:rPr>
          <w:rFonts w:ascii="Calibri Light" w:hAnsi="Calibri Light" w:cs="Calibri Light"/>
        </w:rPr>
        <w:t>s with Aboriginal communities.</w:t>
      </w:r>
    </w:p>
    <w:p w14:paraId="0EF00F4E" w14:textId="3FC177D4" w:rsidR="00765A77" w:rsidRDefault="00765A77" w:rsidP="00765A77">
      <w:pPr>
        <w:pStyle w:val="Heading1"/>
        <w:numPr>
          <w:ilvl w:val="0"/>
          <w:numId w:val="0"/>
        </w:numPr>
        <w:spacing w:before="0" w:after="240" w:line="259" w:lineRule="auto"/>
        <w:jc w:val="both"/>
        <w:rPr>
          <w:rFonts w:eastAsia="Calibri"/>
        </w:rPr>
      </w:pPr>
      <w:bookmarkStart w:id="961" w:name="_Appendix_F:_Research"/>
      <w:bookmarkStart w:id="962" w:name="_Toc55544864"/>
      <w:bookmarkEnd w:id="961"/>
      <w:r w:rsidRPr="001943BB">
        <w:rPr>
          <w:rFonts w:eastAsia="Calibri"/>
        </w:rPr>
        <w:lastRenderedPageBreak/>
        <w:t xml:space="preserve">Appendix </w:t>
      </w:r>
      <w:r w:rsidR="00E975F4">
        <w:rPr>
          <w:rFonts w:eastAsia="Calibri"/>
        </w:rPr>
        <w:t>F</w:t>
      </w:r>
      <w:r w:rsidRPr="001943BB">
        <w:rPr>
          <w:rFonts w:eastAsia="Calibri"/>
        </w:rPr>
        <w:t xml:space="preserve">: </w:t>
      </w:r>
      <w:bookmarkStart w:id="963" w:name="_Toc51918769"/>
      <w:r>
        <w:rPr>
          <w:rFonts w:eastAsia="Calibri"/>
        </w:rPr>
        <w:t xml:space="preserve">Research and development </w:t>
      </w:r>
      <w:r w:rsidR="00385A9E">
        <w:rPr>
          <w:rFonts w:eastAsia="Calibri"/>
        </w:rPr>
        <w:t>investment</w:t>
      </w:r>
      <w:r>
        <w:rPr>
          <w:rFonts w:eastAsia="Calibri"/>
        </w:rPr>
        <w:t xml:space="preserve"> in Australia</w:t>
      </w:r>
      <w:bookmarkEnd w:id="962"/>
      <w:bookmarkEnd w:id="963"/>
    </w:p>
    <w:p w14:paraId="2A87EF51" w14:textId="45D29CD6" w:rsidR="00765A77" w:rsidRPr="00B77EBE" w:rsidRDefault="00765A77" w:rsidP="00765A77">
      <w:pPr>
        <w:pStyle w:val="Heading3"/>
        <w:numPr>
          <w:ilvl w:val="0"/>
          <w:numId w:val="0"/>
        </w:numPr>
        <w:ind w:left="720" w:hanging="720"/>
      </w:pPr>
      <w:bookmarkStart w:id="964" w:name="_Toc51917074"/>
      <w:bookmarkStart w:id="965" w:name="_Toc51918914"/>
      <w:bookmarkStart w:id="966" w:name="_Toc53557289"/>
      <w:bookmarkStart w:id="967" w:name="_Toc54699331"/>
      <w:bookmarkStart w:id="968" w:name="_Toc55544865"/>
      <w:r w:rsidRPr="00B77EBE">
        <w:t>Australian Government funding for R&amp;D</w:t>
      </w:r>
      <w:bookmarkEnd w:id="964"/>
      <w:bookmarkEnd w:id="965"/>
      <w:bookmarkEnd w:id="966"/>
      <w:bookmarkEnd w:id="967"/>
      <w:bookmarkEnd w:id="968"/>
    </w:p>
    <w:p w14:paraId="3BF4B0F2" w14:textId="28378D83" w:rsidR="00765A77" w:rsidRPr="00B77EBE" w:rsidRDefault="00765A77" w:rsidP="00765A77">
      <w:pPr>
        <w:rPr>
          <w:rFonts w:asciiTheme="majorHAnsi" w:hAnsiTheme="majorHAnsi" w:cstheme="majorHAnsi"/>
        </w:rPr>
      </w:pPr>
      <w:r w:rsidRPr="00B77EBE">
        <w:rPr>
          <w:rFonts w:asciiTheme="majorHAnsi" w:hAnsiTheme="majorHAnsi" w:cstheme="majorHAnsi"/>
        </w:rPr>
        <w:t xml:space="preserve">This </w:t>
      </w:r>
      <w:r w:rsidR="00A316D8">
        <w:rPr>
          <w:rFonts w:asciiTheme="majorHAnsi" w:hAnsiTheme="majorHAnsi" w:cstheme="majorHAnsi"/>
        </w:rPr>
        <w:t>appendix</w:t>
      </w:r>
      <w:r w:rsidRPr="00B77EBE">
        <w:rPr>
          <w:rFonts w:asciiTheme="majorHAnsi" w:hAnsiTheme="majorHAnsi" w:cstheme="majorHAnsi"/>
        </w:rPr>
        <w:t xml:space="preserve"> outlines key characteristics of national R&amp;D</w:t>
      </w:r>
      <w:r w:rsidRPr="00B77EBE">
        <w:rPr>
          <w:rFonts w:asciiTheme="majorHAnsi" w:hAnsiTheme="majorHAnsi" w:cstheme="majorHAnsi"/>
          <w:vertAlign w:val="superscript"/>
        </w:rPr>
        <w:footnoteReference w:id="82"/>
      </w:r>
      <w:r w:rsidRPr="00B77EBE">
        <w:rPr>
          <w:rFonts w:asciiTheme="majorHAnsi" w:hAnsiTheme="majorHAnsi" w:cstheme="majorHAnsi"/>
        </w:rPr>
        <w:t xml:space="preserve"> funding and expenditure</w:t>
      </w:r>
      <w:r>
        <w:rPr>
          <w:rFonts w:asciiTheme="majorHAnsi" w:hAnsiTheme="majorHAnsi" w:cstheme="majorHAnsi"/>
        </w:rPr>
        <w:t>.</w:t>
      </w:r>
      <w:r w:rsidR="00A316D8">
        <w:rPr>
          <w:rFonts w:asciiTheme="majorHAnsi" w:hAnsiTheme="majorHAnsi" w:cstheme="majorHAnsi"/>
        </w:rPr>
        <w:t xml:space="preserve"> It supports the </w:t>
      </w:r>
      <w:r w:rsidR="00F3338E">
        <w:rPr>
          <w:rFonts w:asciiTheme="majorHAnsi" w:hAnsiTheme="majorHAnsi" w:cstheme="majorHAnsi"/>
        </w:rPr>
        <w:t>discussion</w:t>
      </w:r>
      <w:r w:rsidR="00A316D8">
        <w:rPr>
          <w:rFonts w:asciiTheme="majorHAnsi" w:hAnsiTheme="majorHAnsi" w:cstheme="majorHAnsi"/>
        </w:rPr>
        <w:t xml:space="preserve"> of Discovery Projects’ </w:t>
      </w:r>
      <w:r w:rsidR="00827D41">
        <w:rPr>
          <w:rFonts w:asciiTheme="majorHAnsi" w:hAnsiTheme="majorHAnsi" w:cstheme="majorHAnsi"/>
        </w:rPr>
        <w:t>role</w:t>
      </w:r>
      <w:r w:rsidR="00A316D8">
        <w:rPr>
          <w:rFonts w:asciiTheme="majorHAnsi" w:hAnsiTheme="majorHAnsi" w:cstheme="majorHAnsi"/>
        </w:rPr>
        <w:t xml:space="preserve"> within the research funding </w:t>
      </w:r>
      <w:r w:rsidR="00A316D8" w:rsidRPr="008C48B1">
        <w:rPr>
          <w:rFonts w:asciiTheme="majorHAnsi" w:hAnsiTheme="majorHAnsi" w:cstheme="majorHAnsi"/>
        </w:rPr>
        <w:t xml:space="preserve">landscape in </w:t>
      </w:r>
      <w:hyperlink w:anchor="_Discovery_Projects’_role" w:history="1">
        <w:r w:rsidR="00A316D8" w:rsidRPr="00281670">
          <w:rPr>
            <w:rStyle w:val="Hyperlink"/>
            <w:rFonts w:cstheme="majorHAnsi"/>
            <w:color w:val="auto"/>
            <w:sz w:val="22"/>
            <w:u w:val="none"/>
          </w:rPr>
          <w:t xml:space="preserve">Section </w:t>
        </w:r>
        <w:r w:rsidR="00BB380A" w:rsidRPr="00281670">
          <w:rPr>
            <w:rStyle w:val="Hyperlink"/>
            <w:rFonts w:cstheme="majorHAnsi"/>
            <w:color w:val="auto"/>
            <w:sz w:val="22"/>
            <w:u w:val="none"/>
          </w:rPr>
          <w:t>5.1</w:t>
        </w:r>
      </w:hyperlink>
      <w:r w:rsidR="00A316D8" w:rsidRPr="008C48B1">
        <w:rPr>
          <w:rFonts w:asciiTheme="majorHAnsi" w:hAnsiTheme="majorHAnsi" w:cstheme="majorHAnsi"/>
        </w:rPr>
        <w:t>.</w:t>
      </w:r>
      <w:r w:rsidRPr="008C48B1">
        <w:rPr>
          <w:rFonts w:asciiTheme="majorHAnsi" w:hAnsiTheme="majorHAnsi" w:cstheme="majorHAnsi"/>
        </w:rPr>
        <w:t xml:space="preserve"> As shown</w:t>
      </w:r>
      <w:r w:rsidRPr="00A316D8">
        <w:rPr>
          <w:rFonts w:asciiTheme="majorHAnsi" w:hAnsiTheme="majorHAnsi" w:cstheme="majorHAnsi"/>
        </w:rPr>
        <w:t xml:space="preserve"> in</w:t>
      </w:r>
      <w:r w:rsidR="00A316D8" w:rsidRPr="00A316D8">
        <w:rPr>
          <w:rFonts w:asciiTheme="majorHAnsi" w:hAnsiTheme="majorHAnsi" w:cstheme="majorHAnsi"/>
        </w:rPr>
        <w:t xml:space="preserve"> </w:t>
      </w:r>
      <w:r w:rsidR="00A316D8" w:rsidRPr="00D8326E">
        <w:rPr>
          <w:rFonts w:asciiTheme="majorHAnsi" w:hAnsiTheme="majorHAnsi" w:cstheme="majorHAnsi"/>
        </w:rPr>
        <w:fldChar w:fldCharType="begin"/>
      </w:r>
      <w:r w:rsidR="00A316D8" w:rsidRPr="00A316D8">
        <w:rPr>
          <w:rFonts w:asciiTheme="majorHAnsi" w:hAnsiTheme="majorHAnsi" w:cstheme="majorHAnsi"/>
        </w:rPr>
        <w:instrText xml:space="preserve"> REF _Ref52178378 \h </w:instrText>
      </w:r>
      <w:r w:rsidR="00A316D8" w:rsidRPr="007057E6">
        <w:rPr>
          <w:rFonts w:asciiTheme="majorHAnsi" w:hAnsiTheme="majorHAnsi" w:cstheme="majorHAnsi"/>
        </w:rPr>
        <w:instrText xml:space="preserve"> \* MERGEFORMAT </w:instrText>
      </w:r>
      <w:r w:rsidR="00A316D8" w:rsidRPr="00D8326E">
        <w:rPr>
          <w:rFonts w:asciiTheme="majorHAnsi" w:hAnsiTheme="majorHAnsi" w:cstheme="majorHAnsi"/>
        </w:rPr>
      </w:r>
      <w:r w:rsidR="00A316D8" w:rsidRPr="00D8326E">
        <w:rPr>
          <w:rFonts w:asciiTheme="majorHAnsi" w:hAnsiTheme="majorHAnsi" w:cstheme="majorHAnsi"/>
        </w:rPr>
        <w:fldChar w:fldCharType="separate"/>
      </w:r>
      <w:r w:rsidR="00AB03D7" w:rsidRPr="00AB03D7">
        <w:rPr>
          <w:rFonts w:asciiTheme="majorHAnsi" w:hAnsiTheme="majorHAnsi" w:cstheme="majorHAnsi"/>
        </w:rPr>
        <w:t xml:space="preserve">Figure </w:t>
      </w:r>
      <w:r w:rsidR="00AB03D7" w:rsidRPr="00AB03D7">
        <w:rPr>
          <w:rFonts w:asciiTheme="majorHAnsi" w:hAnsiTheme="majorHAnsi" w:cstheme="majorHAnsi"/>
          <w:noProof/>
        </w:rPr>
        <w:t>49</w:t>
      </w:r>
      <w:r w:rsidR="00A316D8" w:rsidRPr="00D8326E">
        <w:rPr>
          <w:rFonts w:asciiTheme="majorHAnsi" w:hAnsiTheme="majorHAnsi" w:cstheme="majorHAnsi"/>
        </w:rPr>
        <w:fldChar w:fldCharType="end"/>
      </w:r>
      <w:r w:rsidRPr="00A316D8">
        <w:rPr>
          <w:rFonts w:asciiTheme="majorHAnsi" w:hAnsiTheme="majorHAnsi" w:cstheme="majorHAnsi"/>
        </w:rPr>
        <w:t xml:space="preserve">, the </w:t>
      </w:r>
      <w:r w:rsidRPr="00B77EBE">
        <w:rPr>
          <w:rFonts w:asciiTheme="majorHAnsi" w:hAnsiTheme="majorHAnsi" w:cstheme="majorHAnsi"/>
        </w:rPr>
        <w:t xml:space="preserve">ARC accounts for approximately eight per cent of total Australian Government investment in R&amp;D and, alongside the NHMRC, represents one of the most significant competitive research grant funding sources available to Australian universities. </w:t>
      </w:r>
    </w:p>
    <w:p w14:paraId="3535086F" w14:textId="014C6F90" w:rsidR="00765A77" w:rsidRPr="00B77EBE" w:rsidRDefault="00765A77" w:rsidP="00751469">
      <w:pPr>
        <w:pStyle w:val="FigureTitle"/>
        <w:rPr>
          <w:i/>
          <w:color w:val="44546A" w:themeColor="text2"/>
        </w:rPr>
      </w:pPr>
      <w:bookmarkStart w:id="969" w:name="_Ref52178378"/>
      <w:r w:rsidRPr="00B77EBE">
        <w:t xml:space="preserve">Figure </w:t>
      </w:r>
      <w:r w:rsidR="00857467">
        <w:fldChar w:fldCharType="begin"/>
      </w:r>
      <w:r w:rsidR="00857467">
        <w:instrText xml:space="preserve"> SEQ Figure \* ARABIC </w:instrText>
      </w:r>
      <w:r w:rsidR="00857467">
        <w:fldChar w:fldCharType="separate"/>
      </w:r>
      <w:r w:rsidR="00AB03D7">
        <w:rPr>
          <w:noProof/>
        </w:rPr>
        <w:t>49</w:t>
      </w:r>
      <w:r w:rsidR="00857467">
        <w:rPr>
          <w:noProof/>
        </w:rPr>
        <w:fldChar w:fldCharType="end"/>
      </w:r>
      <w:bookmarkEnd w:id="969"/>
      <w:r w:rsidRPr="00B77EBE">
        <w:t xml:space="preserve">: Australian Government investment in research and development, </w:t>
      </w:r>
      <w:r w:rsidR="00683F28">
        <w:t xml:space="preserve">from Budget Estimates </w:t>
      </w:r>
      <w:r w:rsidRPr="00B77EBE">
        <w:t>2019–2020</w:t>
      </w:r>
    </w:p>
    <w:p w14:paraId="4E915FF7" w14:textId="4BFA7C30" w:rsidR="00765A77" w:rsidRPr="00B77EBE" w:rsidRDefault="000E5749" w:rsidP="00765A77">
      <w:pPr>
        <w:jc w:val="both"/>
        <w:rPr>
          <w:rFonts w:asciiTheme="majorHAnsi" w:hAnsiTheme="majorHAnsi" w:cstheme="majorHAnsi"/>
        </w:rPr>
      </w:pPr>
      <w:r>
        <w:rPr>
          <w:rFonts w:asciiTheme="majorHAnsi" w:hAnsiTheme="majorHAnsi" w:cstheme="majorHAnsi"/>
          <w:noProof/>
        </w:rPr>
        <w:drawing>
          <wp:inline distT="0" distB="0" distL="0" distR="0" wp14:anchorId="2069B246" wp14:editId="6148A761">
            <wp:extent cx="5730875" cy="2243455"/>
            <wp:effectExtent l="0" t="0" r="3175" b="4445"/>
            <wp:docPr id="106" name="Picture 106" descr="Figure 49 is a graph showing the proportion of Australian Government investment in research and development by different organisation types in 2019–2020.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49 is a graph showing the proportion of Australian Government investment in research and development by different organisation types in 2019–2020. See text above graph for more inform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875" cy="2243455"/>
                    </a:xfrm>
                    <a:prstGeom prst="rect">
                      <a:avLst/>
                    </a:prstGeom>
                    <a:noFill/>
                  </pic:spPr>
                </pic:pic>
              </a:graphicData>
            </a:graphic>
          </wp:inline>
        </w:drawing>
      </w:r>
    </w:p>
    <w:p w14:paraId="3A1B782C" w14:textId="77777777" w:rsidR="00765A77" w:rsidRPr="00B77EBE" w:rsidRDefault="00765A77" w:rsidP="00765A77">
      <w:pPr>
        <w:rPr>
          <w:rFonts w:asciiTheme="majorHAnsi" w:hAnsiTheme="majorHAnsi" w:cstheme="majorHAnsi"/>
          <w:i/>
          <w:sz w:val="16"/>
          <w:szCs w:val="16"/>
          <w:highlight w:val="yellow"/>
        </w:rPr>
      </w:pPr>
      <w:r w:rsidRPr="00B77EBE">
        <w:rPr>
          <w:rFonts w:asciiTheme="majorHAnsi" w:hAnsiTheme="majorHAnsi" w:cstheme="majorHAnsi"/>
          <w:sz w:val="16"/>
          <w:szCs w:val="16"/>
        </w:rPr>
        <w:t xml:space="preserve">Source: Department of Industry, Science, Energy and Resources, 2019–20 Science, Research and Innovation Budget Tables. </w:t>
      </w:r>
      <w:r w:rsidRPr="00B77EBE">
        <w:rPr>
          <w:rFonts w:asciiTheme="majorHAnsi" w:hAnsiTheme="majorHAnsi" w:cstheme="majorHAnsi"/>
          <w:i/>
          <w:sz w:val="16"/>
          <w:szCs w:val="16"/>
        </w:rPr>
        <w:t>Note: Figures reflect budget estimates for 2019–20. ‘NHMRC’ category combines university, government, MRI, hospital and other spending. ‘Other’ category combines other R&amp;D, energy and the environment, rest of the world, other rural R&amp;D and private non-profit spending.</w:t>
      </w:r>
      <w:r>
        <w:rPr>
          <w:rFonts w:asciiTheme="majorHAnsi" w:hAnsiTheme="majorHAnsi" w:cstheme="majorHAnsi"/>
          <w:i/>
          <w:sz w:val="16"/>
          <w:szCs w:val="16"/>
        </w:rPr>
        <w:t xml:space="preserve"> ‘Business Enterprise’ includes R&amp;D tax incentives.</w:t>
      </w:r>
    </w:p>
    <w:p w14:paraId="4ADE09F9" w14:textId="79F9B9D1" w:rsidR="00765A77" w:rsidRPr="00B77EBE" w:rsidRDefault="00765A77" w:rsidP="00765A77">
      <w:pPr>
        <w:pStyle w:val="Heading3"/>
        <w:numPr>
          <w:ilvl w:val="0"/>
          <w:numId w:val="0"/>
        </w:numPr>
        <w:ind w:left="720" w:hanging="720"/>
      </w:pPr>
      <w:bookmarkStart w:id="970" w:name="_Toc51917075"/>
      <w:bookmarkStart w:id="971" w:name="_Toc51918915"/>
      <w:bookmarkStart w:id="972" w:name="_Toc53557290"/>
      <w:bookmarkStart w:id="973" w:name="_Toc54699332"/>
      <w:bookmarkStart w:id="974" w:name="_Toc55544866"/>
      <w:r w:rsidRPr="00B77EBE">
        <w:t>R&amp;D expenditure in Australia</w:t>
      </w:r>
      <w:bookmarkEnd w:id="970"/>
      <w:bookmarkEnd w:id="971"/>
      <w:bookmarkEnd w:id="972"/>
      <w:bookmarkEnd w:id="973"/>
      <w:bookmarkEnd w:id="974"/>
    </w:p>
    <w:p w14:paraId="43317511" w14:textId="77777777" w:rsidR="00765A77" w:rsidRPr="00B77EBE" w:rsidRDefault="00765A77" w:rsidP="00765A77">
      <w:pPr>
        <w:rPr>
          <w:rFonts w:asciiTheme="majorHAnsi" w:hAnsiTheme="majorHAnsi" w:cstheme="majorHAnsi"/>
        </w:rPr>
      </w:pPr>
      <w:r w:rsidRPr="00B77EBE">
        <w:rPr>
          <w:rFonts w:asciiTheme="majorHAnsi" w:hAnsiTheme="majorHAnsi" w:cstheme="majorHAnsi"/>
        </w:rPr>
        <w:t xml:space="preserve">The majority of R&amp;D expenditure in Australia—as determined by the location where research occurs, rather than the source of research funding—is currently associated with applied research and experimental development. Substantially lower levels of spending are directed towards pure and strategic basic research. </w:t>
      </w:r>
    </w:p>
    <w:p w14:paraId="5B64DE52" w14:textId="76FEFB1D" w:rsidR="00765A77" w:rsidRPr="00B77EBE" w:rsidRDefault="00CD62A4" w:rsidP="00765A77">
      <w:pPr>
        <w:rPr>
          <w:rFonts w:asciiTheme="majorHAnsi" w:hAnsiTheme="majorHAnsi" w:cstheme="majorHAnsi"/>
        </w:rPr>
      </w:pPr>
      <w:r w:rsidRPr="0097188B">
        <w:rPr>
          <w:rFonts w:asciiTheme="majorHAnsi" w:hAnsiTheme="majorHAnsi" w:cstheme="majorHAnsi"/>
        </w:rPr>
        <w:fldChar w:fldCharType="begin"/>
      </w:r>
      <w:r w:rsidRPr="00CD62A4">
        <w:rPr>
          <w:rFonts w:asciiTheme="majorHAnsi" w:hAnsiTheme="majorHAnsi" w:cstheme="majorHAnsi"/>
        </w:rPr>
        <w:instrText xml:space="preserve"> REF _Ref51923219 \h </w:instrText>
      </w:r>
      <w:r w:rsidRPr="007057E6">
        <w:rPr>
          <w:rFonts w:asciiTheme="majorHAnsi" w:hAnsiTheme="majorHAnsi" w:cstheme="majorHAnsi"/>
        </w:rPr>
        <w:instrText xml:space="preserve"> \* MERGEFORMAT </w:instrText>
      </w:r>
      <w:r w:rsidRPr="0097188B">
        <w:rPr>
          <w:rFonts w:asciiTheme="majorHAnsi" w:hAnsiTheme="majorHAnsi" w:cstheme="majorHAnsi"/>
        </w:rPr>
      </w:r>
      <w:r w:rsidRPr="0097188B">
        <w:rPr>
          <w:rFonts w:asciiTheme="majorHAnsi" w:hAnsiTheme="majorHAnsi" w:cstheme="majorHAnsi"/>
        </w:rPr>
        <w:fldChar w:fldCharType="separate"/>
      </w:r>
      <w:r w:rsidR="00AB03D7" w:rsidRPr="00AB03D7">
        <w:rPr>
          <w:rFonts w:asciiTheme="majorHAnsi" w:hAnsiTheme="majorHAnsi" w:cstheme="majorHAnsi"/>
        </w:rPr>
        <w:t xml:space="preserve">Figure </w:t>
      </w:r>
      <w:r w:rsidR="00AB03D7" w:rsidRPr="00AB03D7">
        <w:rPr>
          <w:rFonts w:asciiTheme="majorHAnsi" w:hAnsiTheme="majorHAnsi" w:cstheme="majorHAnsi"/>
          <w:noProof/>
        </w:rPr>
        <w:t>50</w:t>
      </w:r>
      <w:r w:rsidRPr="0097188B">
        <w:rPr>
          <w:rFonts w:asciiTheme="majorHAnsi" w:hAnsiTheme="majorHAnsi" w:cstheme="majorHAnsi"/>
        </w:rPr>
        <w:fldChar w:fldCharType="end"/>
      </w:r>
      <w:r w:rsidR="00765A77" w:rsidRPr="00832AAE">
        <w:rPr>
          <w:rFonts w:asciiTheme="majorHAnsi" w:hAnsiTheme="majorHAnsi" w:cstheme="majorHAnsi"/>
        </w:rPr>
        <w:t xml:space="preserve"> presents</w:t>
      </w:r>
      <w:r w:rsidR="00765A77" w:rsidRPr="00B77EBE">
        <w:rPr>
          <w:rFonts w:asciiTheme="majorHAnsi" w:hAnsiTheme="majorHAnsi" w:cstheme="majorHAnsi"/>
        </w:rPr>
        <w:t xml:space="preserve"> the distribution of Australian R&amp;D expenditure by business, higher education, government and private non-profit stakeholders, according to research activity type. Business appears to be the largest contributor to R&amp;D in Australia, and primarily focuses on experimental development</w:t>
      </w:r>
      <w:r w:rsidR="00765A77" w:rsidRPr="00B77EBE">
        <w:rPr>
          <w:rFonts w:asciiTheme="majorHAnsi" w:hAnsiTheme="majorHAnsi" w:cstheme="majorHAnsi"/>
          <w:vertAlign w:val="superscript"/>
        </w:rPr>
        <w:footnoteReference w:id="83"/>
      </w:r>
      <w:r w:rsidR="00765A77" w:rsidRPr="00B77EBE">
        <w:rPr>
          <w:rFonts w:asciiTheme="majorHAnsi" w:hAnsiTheme="majorHAnsi" w:cstheme="majorHAnsi"/>
        </w:rPr>
        <w:t xml:space="preserve"> (59.7 per cent of business R&amp;D expenditure) and applied research (31.9 per cent). Higher education institutions represent the next largest location for R&amp;D expenditure. While the largest proportion of higher education R&amp;D expenditure is in applied research (48.4 per cent), pure </w:t>
      </w:r>
      <w:r w:rsidR="00765A77" w:rsidRPr="00B77EBE">
        <w:rPr>
          <w:rFonts w:asciiTheme="majorHAnsi" w:hAnsiTheme="majorHAnsi" w:cstheme="majorHAnsi"/>
        </w:rPr>
        <w:lastRenderedPageBreak/>
        <w:t>and strategic basic research represent a much higher proportion (together approximating 40.6 per cent) than in other locations. Indeed, the vast majority (slightly less than 90 per cent) of all expenditure on pure basic research in Australia occurs within higher education institutions. Higher education institutions are also the most significant location for strategic basic research (45.2 per cent of all strategic basic research expenditure), followed by business (27.5 per cent) and government (17.5 per cent). Research conducted within Australian</w:t>
      </w:r>
      <w:r w:rsidR="00913578">
        <w:rPr>
          <w:rFonts w:asciiTheme="majorHAnsi" w:hAnsiTheme="majorHAnsi" w:cstheme="majorHAnsi"/>
        </w:rPr>
        <w:t xml:space="preserve"> and</w:t>
      </w:r>
      <w:r w:rsidR="00765A77" w:rsidRPr="00B77EBE">
        <w:rPr>
          <w:rFonts w:asciiTheme="majorHAnsi" w:hAnsiTheme="majorHAnsi" w:cstheme="majorHAnsi"/>
        </w:rPr>
        <w:t xml:space="preserve"> State and Territory Government contexts tends to prioritise applied and strategic basic research,</w:t>
      </w:r>
      <w:r w:rsidR="00A57C9B">
        <w:rPr>
          <w:rFonts w:asciiTheme="majorHAnsi" w:hAnsiTheme="majorHAnsi" w:cstheme="majorHAnsi"/>
        </w:rPr>
        <w:t xml:space="preserve"> </w:t>
      </w:r>
      <w:r w:rsidR="00765A77" w:rsidRPr="00B77EBE">
        <w:rPr>
          <w:rFonts w:asciiTheme="majorHAnsi" w:hAnsiTheme="majorHAnsi" w:cstheme="majorHAnsi"/>
        </w:rPr>
        <w:t>with significantly lower expenditure overall than business and higher education</w:t>
      </w:r>
      <w:r w:rsidR="00913578">
        <w:rPr>
          <w:rFonts w:asciiTheme="majorHAnsi" w:hAnsiTheme="majorHAnsi" w:cstheme="majorHAnsi"/>
        </w:rPr>
        <w:t xml:space="preserve"> institutions</w:t>
      </w:r>
      <w:r w:rsidR="00765A77" w:rsidRPr="00B77EBE">
        <w:rPr>
          <w:rFonts w:asciiTheme="majorHAnsi" w:hAnsiTheme="majorHAnsi" w:cstheme="majorHAnsi"/>
        </w:rPr>
        <w:t xml:space="preserve">. </w:t>
      </w:r>
    </w:p>
    <w:p w14:paraId="47B1E520" w14:textId="48C54752" w:rsidR="00765A77" w:rsidRPr="00B77EBE" w:rsidRDefault="00765A77" w:rsidP="00751469">
      <w:pPr>
        <w:pStyle w:val="FigureTitle"/>
      </w:pPr>
      <w:bookmarkStart w:id="975" w:name="_Ref51923219"/>
      <w:r w:rsidRPr="00B77EBE">
        <w:t xml:space="preserve">Figure </w:t>
      </w:r>
      <w:r w:rsidR="00857467">
        <w:fldChar w:fldCharType="begin"/>
      </w:r>
      <w:r w:rsidR="00857467">
        <w:instrText xml:space="preserve"> SEQ Figure \* ARABIC </w:instrText>
      </w:r>
      <w:r w:rsidR="00857467">
        <w:fldChar w:fldCharType="separate"/>
      </w:r>
      <w:r w:rsidR="00AB03D7">
        <w:rPr>
          <w:noProof/>
        </w:rPr>
        <w:t>50</w:t>
      </w:r>
      <w:r w:rsidR="00857467">
        <w:rPr>
          <w:noProof/>
        </w:rPr>
        <w:fldChar w:fldCharType="end"/>
      </w:r>
      <w:bookmarkEnd w:id="975"/>
      <w:r w:rsidRPr="00B77EBE">
        <w:t>: R&amp;D expenditure in Australia by research location and research activity type, 2017–19</w:t>
      </w:r>
    </w:p>
    <w:p w14:paraId="0EAFE7B3" w14:textId="32843C62" w:rsidR="00765A77" w:rsidRPr="00B77EBE" w:rsidRDefault="000E5749" w:rsidP="00765A77">
      <w:pPr>
        <w:rPr>
          <w:rFonts w:asciiTheme="majorHAnsi" w:hAnsiTheme="majorHAnsi" w:cstheme="majorHAnsi"/>
        </w:rPr>
      </w:pPr>
      <w:r>
        <w:rPr>
          <w:rFonts w:asciiTheme="majorHAnsi" w:hAnsiTheme="majorHAnsi" w:cstheme="majorHAnsi"/>
          <w:noProof/>
        </w:rPr>
        <w:drawing>
          <wp:inline distT="0" distB="0" distL="0" distR="0" wp14:anchorId="320D2A64" wp14:editId="06DC8A22">
            <wp:extent cx="5815965" cy="2334895"/>
            <wp:effectExtent l="0" t="0" r="0" b="8255"/>
            <wp:docPr id="107" name="Picture 107" descr="Figure 50 is a graph showing the amount of research and development expenditure in Australia within business, higher education, government and non-profit contexts by research activity type, from 2017–2019.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50 is a graph showing the amount of research and development expenditure in Australia within business, higher education, government and non-profit contexts by research activity type, from 2017–2019. See text above graph for more inform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5965" cy="2334895"/>
                    </a:xfrm>
                    <a:prstGeom prst="rect">
                      <a:avLst/>
                    </a:prstGeom>
                    <a:noFill/>
                  </pic:spPr>
                </pic:pic>
              </a:graphicData>
            </a:graphic>
          </wp:inline>
        </w:drawing>
      </w:r>
    </w:p>
    <w:p w14:paraId="0D588729" w14:textId="77777777" w:rsidR="00765A77" w:rsidRPr="00B77EBE" w:rsidRDefault="00765A77" w:rsidP="00765A77">
      <w:pPr>
        <w:rPr>
          <w:rFonts w:asciiTheme="majorHAnsi" w:hAnsiTheme="majorHAnsi" w:cstheme="majorHAnsi"/>
          <w:i/>
          <w:sz w:val="16"/>
          <w:szCs w:val="16"/>
        </w:rPr>
      </w:pPr>
      <w:r w:rsidRPr="00B77EBE">
        <w:rPr>
          <w:rFonts w:asciiTheme="majorHAnsi" w:hAnsiTheme="majorHAnsi" w:cstheme="majorHAnsi"/>
          <w:sz w:val="16"/>
          <w:szCs w:val="16"/>
        </w:rPr>
        <w:t xml:space="preserve">Source: ABS. </w:t>
      </w:r>
      <w:r w:rsidRPr="00B77EBE">
        <w:rPr>
          <w:rFonts w:asciiTheme="majorHAnsi" w:hAnsiTheme="majorHAnsi" w:cstheme="majorHAnsi"/>
          <w:i/>
          <w:sz w:val="16"/>
          <w:szCs w:val="16"/>
        </w:rPr>
        <w:t xml:space="preserve">Note: Data derived from most recent ABS releases 8104.0, 8109.0 and 8111.0 available. Expenditure data presented on basis of location of research, rather than source of funding. Government category includes Australian, State and Territory Governments. Expenditure data </w:t>
      </w:r>
      <w:r>
        <w:rPr>
          <w:rFonts w:asciiTheme="majorHAnsi" w:hAnsiTheme="majorHAnsi" w:cstheme="majorHAnsi"/>
          <w:i/>
          <w:sz w:val="16"/>
          <w:szCs w:val="16"/>
        </w:rPr>
        <w:t>have not been adjusted for inflation</w:t>
      </w:r>
      <w:r w:rsidRPr="00B77EBE">
        <w:rPr>
          <w:rFonts w:asciiTheme="majorHAnsi" w:hAnsiTheme="majorHAnsi" w:cstheme="majorHAnsi"/>
          <w:i/>
          <w:sz w:val="16"/>
          <w:szCs w:val="16"/>
        </w:rPr>
        <w:t>.</w:t>
      </w:r>
    </w:p>
    <w:p w14:paraId="1845EE2A" w14:textId="18B3E063" w:rsidR="00765A77" w:rsidRPr="00B77EBE" w:rsidRDefault="00CD62A4" w:rsidP="00765A77">
      <w:pPr>
        <w:rPr>
          <w:rFonts w:asciiTheme="majorHAnsi" w:hAnsiTheme="majorHAnsi" w:cstheme="majorHAnsi"/>
        </w:rPr>
      </w:pPr>
      <w:r w:rsidRPr="0097188B">
        <w:rPr>
          <w:rFonts w:asciiTheme="majorHAnsi" w:hAnsiTheme="majorHAnsi" w:cstheme="majorHAnsi"/>
        </w:rPr>
        <w:fldChar w:fldCharType="begin"/>
      </w:r>
      <w:r w:rsidRPr="00CD62A4">
        <w:rPr>
          <w:rFonts w:asciiTheme="majorHAnsi" w:hAnsiTheme="majorHAnsi" w:cstheme="majorHAnsi"/>
        </w:rPr>
        <w:instrText xml:space="preserve"> REF _Ref51923196 \h </w:instrText>
      </w:r>
      <w:r w:rsidRPr="007057E6">
        <w:rPr>
          <w:rFonts w:asciiTheme="majorHAnsi" w:hAnsiTheme="majorHAnsi" w:cstheme="majorHAnsi"/>
        </w:rPr>
        <w:instrText xml:space="preserve"> \* MERGEFORMAT </w:instrText>
      </w:r>
      <w:r w:rsidRPr="0097188B">
        <w:rPr>
          <w:rFonts w:asciiTheme="majorHAnsi" w:hAnsiTheme="majorHAnsi" w:cstheme="majorHAnsi"/>
        </w:rPr>
      </w:r>
      <w:r w:rsidRPr="0097188B">
        <w:rPr>
          <w:rFonts w:asciiTheme="majorHAnsi" w:hAnsiTheme="majorHAnsi" w:cstheme="majorHAnsi"/>
        </w:rPr>
        <w:fldChar w:fldCharType="separate"/>
      </w:r>
      <w:r w:rsidR="00AB03D7" w:rsidRPr="00AB03D7">
        <w:rPr>
          <w:rFonts w:asciiTheme="majorHAnsi" w:hAnsiTheme="majorHAnsi" w:cstheme="majorHAnsi"/>
        </w:rPr>
        <w:t xml:space="preserve">Figure </w:t>
      </w:r>
      <w:r w:rsidR="00AB03D7" w:rsidRPr="00AB03D7">
        <w:rPr>
          <w:rFonts w:asciiTheme="majorHAnsi" w:hAnsiTheme="majorHAnsi" w:cstheme="majorHAnsi"/>
          <w:noProof/>
        </w:rPr>
        <w:t>51</w:t>
      </w:r>
      <w:r w:rsidRPr="0097188B">
        <w:rPr>
          <w:rFonts w:asciiTheme="majorHAnsi" w:hAnsiTheme="majorHAnsi" w:cstheme="majorHAnsi"/>
        </w:rPr>
        <w:fldChar w:fldCharType="end"/>
      </w:r>
      <w:r w:rsidR="007B2F33">
        <w:rPr>
          <w:rFonts w:asciiTheme="majorHAnsi" w:hAnsiTheme="majorHAnsi" w:cstheme="majorHAnsi"/>
        </w:rPr>
        <w:t xml:space="preserve"> </w:t>
      </w:r>
      <w:r w:rsidR="00765A77" w:rsidRPr="00832AAE">
        <w:rPr>
          <w:rFonts w:asciiTheme="majorHAnsi" w:hAnsiTheme="majorHAnsi" w:cstheme="majorHAnsi"/>
        </w:rPr>
        <w:t>presents</w:t>
      </w:r>
      <w:r w:rsidR="00765A77" w:rsidRPr="00B77EBE">
        <w:rPr>
          <w:rFonts w:asciiTheme="majorHAnsi" w:hAnsiTheme="majorHAnsi" w:cstheme="majorHAnsi"/>
        </w:rPr>
        <w:t xml:space="preserve"> university expenditure by research activity type from 1992–2018. Expenditure on all four research types has increased substantially over the past three decades; this is unsurprising, given figures have not been adjusted for inflation. However, there are noticeable differences in the rate of increase. Between 1992 and 2018, spending on applied research within universities increased by over a factor of ten—from $514,177,000 to $5,883,779,000. Over the same period, increases in both pure ($675,864,000 to $2,769,006,000) and strategic ($401,524,000 to $2,166,901,000) basic research were comparatively more moderate.</w:t>
      </w:r>
    </w:p>
    <w:p w14:paraId="4DCE728F" w14:textId="426B090A" w:rsidR="00765A77" w:rsidRPr="00B77EBE" w:rsidRDefault="00765A77" w:rsidP="00751469">
      <w:pPr>
        <w:pStyle w:val="FigureTitle"/>
      </w:pPr>
      <w:bookmarkStart w:id="976" w:name="_Ref51923196"/>
      <w:r w:rsidRPr="00B77EBE">
        <w:t xml:space="preserve">Figure </w:t>
      </w:r>
      <w:r w:rsidR="00857467">
        <w:fldChar w:fldCharType="begin"/>
      </w:r>
      <w:r w:rsidR="00857467">
        <w:instrText xml:space="preserve"> SEQ Figure \* ARABIC </w:instrText>
      </w:r>
      <w:r w:rsidR="00857467">
        <w:fldChar w:fldCharType="separate"/>
      </w:r>
      <w:r w:rsidR="00AB03D7">
        <w:rPr>
          <w:noProof/>
        </w:rPr>
        <w:t>51</w:t>
      </w:r>
      <w:r w:rsidR="00857467">
        <w:rPr>
          <w:noProof/>
        </w:rPr>
        <w:fldChar w:fldCharType="end"/>
      </w:r>
      <w:bookmarkEnd w:id="976"/>
      <w:r w:rsidRPr="00B77EBE">
        <w:t>: Australian higher education R&amp;D expenditure by research type, 1992–2018</w:t>
      </w:r>
    </w:p>
    <w:p w14:paraId="040DC5B9" w14:textId="38CD4A29" w:rsidR="00765A77" w:rsidRPr="00B77EBE" w:rsidRDefault="000E5749" w:rsidP="00765A77">
      <w:pPr>
        <w:rPr>
          <w:rFonts w:asciiTheme="majorHAnsi" w:hAnsiTheme="majorHAnsi" w:cstheme="majorHAnsi"/>
        </w:rPr>
      </w:pPr>
      <w:r>
        <w:rPr>
          <w:rFonts w:asciiTheme="majorHAnsi" w:hAnsiTheme="majorHAnsi" w:cstheme="majorHAnsi"/>
          <w:noProof/>
        </w:rPr>
        <w:drawing>
          <wp:inline distT="0" distB="0" distL="0" distR="0" wp14:anchorId="5F8FFCD0" wp14:editId="257557F4">
            <wp:extent cx="5742940" cy="2066925"/>
            <wp:effectExtent l="0" t="0" r="0" b="9525"/>
            <wp:docPr id="108" name="Picture 108" descr="Figure 51 is a graph showing the level of research and development expenditure in Australian higher education institutions by research activity type, between 1992 and 2018.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igure 51 is a graph showing the level of research and development expenditure in Australian higher education institutions by research activity type, between 1992 and 2018. See text above graph for more inform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2940" cy="2066925"/>
                    </a:xfrm>
                    <a:prstGeom prst="rect">
                      <a:avLst/>
                    </a:prstGeom>
                    <a:noFill/>
                  </pic:spPr>
                </pic:pic>
              </a:graphicData>
            </a:graphic>
          </wp:inline>
        </w:drawing>
      </w:r>
    </w:p>
    <w:p w14:paraId="1F6701A8" w14:textId="77777777" w:rsidR="00765A77" w:rsidRPr="00095EC2" w:rsidRDefault="00765A77" w:rsidP="00765A77">
      <w:pPr>
        <w:rPr>
          <w:rFonts w:asciiTheme="majorHAnsi" w:hAnsiTheme="majorHAnsi" w:cstheme="majorHAnsi"/>
          <w:i/>
          <w:sz w:val="16"/>
          <w:szCs w:val="16"/>
        </w:rPr>
      </w:pPr>
      <w:r w:rsidRPr="00095EC2">
        <w:rPr>
          <w:rFonts w:asciiTheme="majorHAnsi" w:hAnsiTheme="majorHAnsi" w:cstheme="majorHAnsi"/>
          <w:sz w:val="16"/>
          <w:szCs w:val="16"/>
        </w:rPr>
        <w:t xml:space="preserve">Source: ABS. </w:t>
      </w:r>
      <w:r w:rsidRPr="00095EC2">
        <w:rPr>
          <w:rFonts w:asciiTheme="majorHAnsi" w:hAnsiTheme="majorHAnsi" w:cstheme="majorHAnsi"/>
          <w:i/>
          <w:sz w:val="16"/>
          <w:szCs w:val="16"/>
        </w:rPr>
        <w:t>Note: Data derived from ABS release 8111.0. Expenditure data presented on basis of location of research, rather than source of funding. Expenditure data have not been adjusted for inflation.</w:t>
      </w:r>
    </w:p>
    <w:p w14:paraId="4DB74D64" w14:textId="0C179CCC" w:rsidR="00765A77" w:rsidRPr="00B77EBE" w:rsidRDefault="00765A77" w:rsidP="00765A77">
      <w:pPr>
        <w:rPr>
          <w:rFonts w:asciiTheme="majorHAnsi" w:hAnsiTheme="majorHAnsi" w:cstheme="majorHAnsi"/>
        </w:rPr>
      </w:pPr>
      <w:r w:rsidRPr="00832AAE">
        <w:rPr>
          <w:rFonts w:asciiTheme="majorHAnsi" w:hAnsiTheme="majorHAnsi" w:cstheme="majorHAnsi"/>
        </w:rPr>
        <w:lastRenderedPageBreak/>
        <w:t>As shown i</w:t>
      </w:r>
      <w:r w:rsidRPr="0097188B">
        <w:rPr>
          <w:rFonts w:asciiTheme="majorHAnsi" w:hAnsiTheme="majorHAnsi" w:cstheme="majorHAnsi"/>
        </w:rPr>
        <w:t xml:space="preserve">n </w:t>
      </w:r>
      <w:r w:rsidR="00CD62A4" w:rsidRPr="0097188B">
        <w:rPr>
          <w:rFonts w:asciiTheme="majorHAnsi" w:hAnsiTheme="majorHAnsi" w:cstheme="majorHAnsi"/>
        </w:rPr>
        <w:fldChar w:fldCharType="begin"/>
      </w:r>
      <w:r w:rsidR="00CD62A4" w:rsidRPr="00CD62A4">
        <w:rPr>
          <w:rFonts w:asciiTheme="majorHAnsi" w:hAnsiTheme="majorHAnsi" w:cstheme="majorHAnsi"/>
        </w:rPr>
        <w:instrText xml:space="preserve"> REF _Ref51923167 \h </w:instrText>
      </w:r>
      <w:r w:rsidR="00CD62A4" w:rsidRPr="007057E6">
        <w:rPr>
          <w:rFonts w:asciiTheme="majorHAnsi" w:hAnsiTheme="majorHAnsi" w:cstheme="majorHAnsi"/>
        </w:rPr>
        <w:instrText xml:space="preserve"> \* MERGEFORMAT </w:instrText>
      </w:r>
      <w:r w:rsidR="00CD62A4" w:rsidRPr="0097188B">
        <w:rPr>
          <w:rFonts w:asciiTheme="majorHAnsi" w:hAnsiTheme="majorHAnsi" w:cstheme="majorHAnsi"/>
        </w:rPr>
      </w:r>
      <w:r w:rsidR="00CD62A4" w:rsidRPr="0097188B">
        <w:rPr>
          <w:rFonts w:asciiTheme="majorHAnsi" w:hAnsiTheme="majorHAnsi" w:cstheme="majorHAnsi"/>
        </w:rPr>
        <w:fldChar w:fldCharType="separate"/>
      </w:r>
      <w:r w:rsidR="00AB03D7" w:rsidRPr="00AB03D7">
        <w:rPr>
          <w:rFonts w:asciiTheme="majorHAnsi" w:hAnsiTheme="majorHAnsi" w:cstheme="majorHAnsi"/>
        </w:rPr>
        <w:t xml:space="preserve">Figure </w:t>
      </w:r>
      <w:r w:rsidR="00AB03D7" w:rsidRPr="00AB03D7">
        <w:rPr>
          <w:rFonts w:asciiTheme="majorHAnsi" w:hAnsiTheme="majorHAnsi" w:cstheme="majorHAnsi"/>
          <w:noProof/>
        </w:rPr>
        <w:t>52</w:t>
      </w:r>
      <w:r w:rsidR="00CD62A4" w:rsidRPr="0097188B">
        <w:rPr>
          <w:rFonts w:asciiTheme="majorHAnsi" w:hAnsiTheme="majorHAnsi" w:cstheme="majorHAnsi"/>
        </w:rPr>
        <w:fldChar w:fldCharType="end"/>
      </w:r>
      <w:r w:rsidRPr="00832AAE">
        <w:rPr>
          <w:rFonts w:asciiTheme="majorHAnsi" w:hAnsiTheme="majorHAnsi" w:cstheme="majorHAnsi"/>
        </w:rPr>
        <w:t>, relative</w:t>
      </w:r>
      <w:r w:rsidRPr="00B77EBE">
        <w:rPr>
          <w:rFonts w:asciiTheme="majorHAnsi" w:hAnsiTheme="majorHAnsi" w:cstheme="majorHAnsi"/>
        </w:rPr>
        <w:t xml:space="preserve"> differences in rates of expenditure growth have had noticeable effects on the longitudinal composition of Australia’s university R&amp;D spending. In 1992, pure and strategic basic research constituted over 60 per cent of all R&amp;D spending within Australian higher education institutions. This figure fell over the past three decades to around 40 per cent in 2018. Over the same time period, spending on applied research increased from 30.3 per cent in 1992 to 48.4 per cent in 2018. These data indicate a proportional redistribution of expenditure away from basic research</w:t>
      </w:r>
      <w:r w:rsidR="00D2285A">
        <w:rPr>
          <w:rFonts w:asciiTheme="majorHAnsi" w:hAnsiTheme="majorHAnsi" w:cstheme="majorHAnsi"/>
        </w:rPr>
        <w:t>, and towards applied research,</w:t>
      </w:r>
      <w:r w:rsidR="00DC1323">
        <w:rPr>
          <w:rFonts w:asciiTheme="majorHAnsi" w:hAnsiTheme="majorHAnsi" w:cstheme="majorHAnsi"/>
        </w:rPr>
        <w:t xml:space="preserve"> within Australian higher education institutions</w:t>
      </w:r>
      <w:r w:rsidRPr="00B77EBE">
        <w:rPr>
          <w:rFonts w:asciiTheme="majorHAnsi" w:hAnsiTheme="majorHAnsi" w:cstheme="majorHAnsi"/>
        </w:rPr>
        <w:t xml:space="preserve"> over the past three decades. </w:t>
      </w:r>
    </w:p>
    <w:p w14:paraId="0C20DA7C" w14:textId="39E5DB6E" w:rsidR="00765A77" w:rsidRPr="00B77EBE" w:rsidRDefault="00765A77" w:rsidP="00751469">
      <w:pPr>
        <w:pStyle w:val="FigureTitle"/>
        <w:rPr>
          <w:i/>
          <w:color w:val="44546A" w:themeColor="text2"/>
        </w:rPr>
      </w:pPr>
      <w:bookmarkStart w:id="977" w:name="_Ref51923167"/>
      <w:r w:rsidRPr="00B77EBE">
        <w:t xml:space="preserve">Figure </w:t>
      </w:r>
      <w:r w:rsidR="00857467">
        <w:fldChar w:fldCharType="begin"/>
      </w:r>
      <w:r w:rsidR="00857467">
        <w:instrText xml:space="preserve"> SEQ Figure \* ARABIC </w:instrText>
      </w:r>
      <w:r w:rsidR="00857467">
        <w:fldChar w:fldCharType="separate"/>
      </w:r>
      <w:r w:rsidR="00AB03D7">
        <w:rPr>
          <w:noProof/>
        </w:rPr>
        <w:t>52</w:t>
      </w:r>
      <w:r w:rsidR="00857467">
        <w:rPr>
          <w:noProof/>
        </w:rPr>
        <w:fldChar w:fldCharType="end"/>
      </w:r>
      <w:bookmarkEnd w:id="977"/>
      <w:r w:rsidRPr="00B77EBE">
        <w:t>: Australian higher education R&amp;D expenditure by research type (proportion of spending), 1992–2018</w:t>
      </w:r>
    </w:p>
    <w:p w14:paraId="636A82C3" w14:textId="7A422169" w:rsidR="00765A77" w:rsidRPr="00B77EBE" w:rsidRDefault="000E5749" w:rsidP="00765A77">
      <w:pPr>
        <w:rPr>
          <w:rFonts w:asciiTheme="majorHAnsi" w:hAnsiTheme="majorHAnsi" w:cstheme="majorHAnsi"/>
        </w:rPr>
      </w:pPr>
      <w:r>
        <w:rPr>
          <w:rFonts w:asciiTheme="majorHAnsi" w:hAnsiTheme="majorHAnsi" w:cstheme="majorHAnsi"/>
          <w:noProof/>
        </w:rPr>
        <w:drawing>
          <wp:inline distT="0" distB="0" distL="0" distR="0" wp14:anchorId="022ABB48" wp14:editId="33FE8F3F">
            <wp:extent cx="5730875" cy="2451100"/>
            <wp:effectExtent l="0" t="0" r="3175" b="6350"/>
            <wp:docPr id="109" name="Picture 109" descr="Figure 52 is a graph showing the proportion of research and development expenditure in Australian higher education institutions by research activity type, between 1992 and 2018. See text above graph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Figure 52 is a graph showing the proportion of research and development expenditure in Australian higher education institutions by research activity type, between 1992 and 2018. See text above graph for more informa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2451100"/>
                    </a:xfrm>
                    <a:prstGeom prst="rect">
                      <a:avLst/>
                    </a:prstGeom>
                    <a:noFill/>
                  </pic:spPr>
                </pic:pic>
              </a:graphicData>
            </a:graphic>
          </wp:inline>
        </w:drawing>
      </w:r>
    </w:p>
    <w:p w14:paraId="0897B9CC" w14:textId="1906EB88" w:rsidR="00DD4AD8" w:rsidRPr="007057E6" w:rsidRDefault="00765A77" w:rsidP="007057E6">
      <w:pPr>
        <w:rPr>
          <w:rFonts w:asciiTheme="majorHAnsi" w:hAnsiTheme="majorHAnsi" w:cstheme="majorHAnsi"/>
        </w:rPr>
      </w:pPr>
      <w:r w:rsidRPr="00B77EBE">
        <w:rPr>
          <w:rFonts w:asciiTheme="majorHAnsi" w:hAnsiTheme="majorHAnsi" w:cstheme="majorHAnsi"/>
          <w:sz w:val="16"/>
          <w:szCs w:val="16"/>
        </w:rPr>
        <w:t xml:space="preserve">Source: ABS. </w:t>
      </w:r>
      <w:r w:rsidRPr="00B77EBE">
        <w:rPr>
          <w:rFonts w:asciiTheme="majorHAnsi" w:hAnsiTheme="majorHAnsi" w:cstheme="majorHAnsi"/>
          <w:i/>
          <w:sz w:val="16"/>
          <w:szCs w:val="16"/>
        </w:rPr>
        <w:t>Note: Data derived from ABS release 8111.0. Expenditure data presented on basis of location of research, rather than source of funding. Expenditure data presented as a proportion of total higher education expenditure on R&amp;D.</w:t>
      </w:r>
    </w:p>
    <w:sectPr w:rsidR="00DD4AD8" w:rsidRPr="007057E6" w:rsidSect="00340E3A">
      <w:pgSz w:w="11906" w:h="16838"/>
      <w:pgMar w:top="99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9D270" w14:textId="77777777" w:rsidR="00507456" w:rsidRDefault="00507456" w:rsidP="00F321E3">
      <w:pPr>
        <w:spacing w:after="0" w:line="240" w:lineRule="auto"/>
      </w:pPr>
      <w:r>
        <w:separator/>
      </w:r>
    </w:p>
    <w:p w14:paraId="33BB0B66" w14:textId="77777777" w:rsidR="00507456" w:rsidRDefault="00507456"/>
    <w:p w14:paraId="29B1136F" w14:textId="77777777" w:rsidR="00507456" w:rsidRDefault="00507456"/>
  </w:endnote>
  <w:endnote w:type="continuationSeparator" w:id="0">
    <w:p w14:paraId="77B365C6" w14:textId="77777777" w:rsidR="00507456" w:rsidRDefault="00507456" w:rsidP="00F321E3">
      <w:pPr>
        <w:spacing w:after="0" w:line="240" w:lineRule="auto"/>
      </w:pPr>
      <w:r>
        <w:continuationSeparator/>
      </w:r>
    </w:p>
    <w:p w14:paraId="385455F1" w14:textId="77777777" w:rsidR="00507456" w:rsidRDefault="00507456"/>
    <w:p w14:paraId="1671BF84" w14:textId="77777777" w:rsidR="00507456" w:rsidRDefault="00507456"/>
  </w:endnote>
  <w:endnote w:type="continuationNotice" w:id="1">
    <w:p w14:paraId="6543F3B0" w14:textId="77777777" w:rsidR="00507456" w:rsidRDefault="00507456">
      <w:pPr>
        <w:spacing w:after="0" w:line="240" w:lineRule="auto"/>
      </w:pPr>
    </w:p>
    <w:p w14:paraId="7AE8923B" w14:textId="77777777" w:rsidR="00507456" w:rsidRDefault="00507456"/>
    <w:p w14:paraId="473EE5D5" w14:textId="77777777" w:rsidR="00507456" w:rsidRDefault="00507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636624"/>
      <w:docPartObj>
        <w:docPartGallery w:val="Page Numbers (Bottom of Page)"/>
        <w:docPartUnique/>
      </w:docPartObj>
    </w:sdtPr>
    <w:sdtEndPr>
      <w:rPr>
        <w:noProof/>
      </w:rPr>
    </w:sdtEndPr>
    <w:sdtContent>
      <w:p w14:paraId="7B613940" w14:textId="780E47FE" w:rsidR="00FD204A" w:rsidRDefault="00FD20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17FF37" w14:textId="77777777" w:rsidR="00FD204A" w:rsidRDefault="00FD2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7F691" w14:textId="77777777" w:rsidR="00507456" w:rsidRDefault="00507456" w:rsidP="005D4278">
      <w:pPr>
        <w:spacing w:after="0" w:line="240" w:lineRule="auto"/>
      </w:pPr>
      <w:r>
        <w:separator/>
      </w:r>
    </w:p>
  </w:footnote>
  <w:footnote w:type="continuationSeparator" w:id="0">
    <w:p w14:paraId="2E7310AC" w14:textId="77777777" w:rsidR="00507456" w:rsidRDefault="00507456" w:rsidP="00F321E3">
      <w:pPr>
        <w:spacing w:after="0" w:line="240" w:lineRule="auto"/>
      </w:pPr>
      <w:r>
        <w:continuationSeparator/>
      </w:r>
    </w:p>
    <w:p w14:paraId="0F536370" w14:textId="77777777" w:rsidR="00507456" w:rsidRDefault="00507456"/>
    <w:p w14:paraId="0D1A8812" w14:textId="77777777" w:rsidR="00507456" w:rsidRDefault="00507456"/>
  </w:footnote>
  <w:footnote w:type="continuationNotice" w:id="1">
    <w:p w14:paraId="13B26259" w14:textId="77777777" w:rsidR="00507456" w:rsidRDefault="00507456">
      <w:pPr>
        <w:spacing w:after="0" w:line="240" w:lineRule="auto"/>
      </w:pPr>
    </w:p>
    <w:p w14:paraId="3D73B3FE" w14:textId="77777777" w:rsidR="00507456" w:rsidRDefault="00507456"/>
    <w:p w14:paraId="1ACCF1F0" w14:textId="77777777" w:rsidR="00507456" w:rsidRDefault="00507456"/>
  </w:footnote>
  <w:footnote w:id="2">
    <w:p w14:paraId="6FF11859" w14:textId="026C1F53" w:rsidR="009E45FA" w:rsidRPr="009E45FA" w:rsidRDefault="009E45FA">
      <w:pPr>
        <w:pStyle w:val="FootnoteText"/>
        <w:rPr>
          <w:rFonts w:asciiTheme="majorHAnsi" w:hAnsiTheme="majorHAnsi" w:cstheme="majorHAnsi"/>
          <w:sz w:val="18"/>
          <w:szCs w:val="18"/>
        </w:rPr>
      </w:pPr>
      <w:r w:rsidRPr="009E45FA">
        <w:rPr>
          <w:rStyle w:val="FootnoteReference"/>
          <w:rFonts w:asciiTheme="majorHAnsi" w:hAnsiTheme="majorHAnsi" w:cstheme="majorHAnsi"/>
          <w:sz w:val="18"/>
          <w:szCs w:val="18"/>
        </w:rPr>
        <w:footnoteRef/>
      </w:r>
      <w:r w:rsidRPr="009E45FA">
        <w:rPr>
          <w:rFonts w:asciiTheme="majorHAnsi" w:hAnsiTheme="majorHAnsi" w:cstheme="majorHAnsi"/>
          <w:sz w:val="18"/>
          <w:szCs w:val="18"/>
        </w:rPr>
        <w:t xml:space="preserve"> www.abs.gov.au</w:t>
      </w:r>
      <w:r w:rsidRPr="009E45FA">
        <w:rPr>
          <w:rFonts w:asciiTheme="majorHAnsi" w:hAnsiTheme="majorHAnsi" w:cstheme="majorHAnsi"/>
          <w:sz w:val="18"/>
          <w:szCs w:val="18"/>
          <w:lang w:val="en-US"/>
        </w:rPr>
        <w:t xml:space="preserve"> &gt; Statistics &gt; Technology &amp; Innovation &gt; ANZSRC</w:t>
      </w:r>
      <w:r w:rsidR="000C7F2F">
        <w:rPr>
          <w:rFonts w:asciiTheme="majorHAnsi" w:hAnsiTheme="majorHAnsi" w:cstheme="majorHAnsi"/>
          <w:sz w:val="18"/>
          <w:szCs w:val="18"/>
          <w:lang w:val="en-US"/>
        </w:rPr>
        <w:t>—</w:t>
      </w:r>
      <w:r w:rsidRPr="009E45FA">
        <w:rPr>
          <w:rFonts w:asciiTheme="majorHAnsi" w:hAnsiTheme="majorHAnsi" w:cstheme="majorHAnsi"/>
          <w:sz w:val="18"/>
          <w:szCs w:val="18"/>
          <w:lang w:val="en-US"/>
        </w:rPr>
        <w:t xml:space="preserve">Research Classifications &gt; Past &amp; Future Releases &gt; Australian and New Zealand Standard Research Classification (ANZSRC) 2008 &gt; </w:t>
      </w:r>
      <w:hyperlink r:id="rId1" w:history="1">
        <w:r w:rsidRPr="009E45FA">
          <w:rPr>
            <w:rStyle w:val="Hyperlink"/>
            <w:rFonts w:cstheme="majorHAnsi"/>
            <w:szCs w:val="18"/>
            <w:lang w:val="en-US"/>
          </w:rPr>
          <w:t>Chapter 2—Types of Activity</w:t>
        </w:r>
      </w:hyperlink>
      <w:r w:rsidRPr="009E45FA">
        <w:rPr>
          <w:rFonts w:asciiTheme="majorHAnsi" w:hAnsiTheme="majorHAnsi" w:cstheme="majorHAnsi"/>
          <w:sz w:val="18"/>
          <w:szCs w:val="18"/>
          <w:lang w:val="en-US"/>
        </w:rPr>
        <w:t>.</w:t>
      </w:r>
    </w:p>
  </w:footnote>
  <w:footnote w:id="3">
    <w:p w14:paraId="35CE09E2" w14:textId="3C5E18E9" w:rsidR="009E45FA" w:rsidRPr="009E45FA" w:rsidRDefault="009E45FA">
      <w:pPr>
        <w:pStyle w:val="FootnoteText"/>
        <w:rPr>
          <w:rFonts w:asciiTheme="majorHAnsi" w:hAnsiTheme="majorHAnsi" w:cstheme="majorHAnsi"/>
          <w:sz w:val="18"/>
          <w:szCs w:val="18"/>
        </w:rPr>
      </w:pPr>
      <w:r w:rsidRPr="009E45FA">
        <w:rPr>
          <w:rStyle w:val="FootnoteReference"/>
          <w:rFonts w:asciiTheme="majorHAnsi" w:hAnsiTheme="majorHAnsi" w:cstheme="majorHAnsi"/>
          <w:sz w:val="18"/>
          <w:szCs w:val="18"/>
        </w:rPr>
        <w:footnoteRef/>
      </w:r>
      <w:r w:rsidRPr="009E45FA">
        <w:rPr>
          <w:rFonts w:asciiTheme="majorHAnsi" w:hAnsiTheme="majorHAnsi" w:cstheme="majorHAnsi"/>
          <w:sz w:val="18"/>
          <w:szCs w:val="18"/>
        </w:rPr>
        <w:t xml:space="preserve"> www.abs.gov.au</w:t>
      </w:r>
      <w:r w:rsidRPr="009E45FA">
        <w:rPr>
          <w:rFonts w:asciiTheme="majorHAnsi" w:hAnsiTheme="majorHAnsi" w:cstheme="majorHAnsi"/>
          <w:sz w:val="18"/>
          <w:szCs w:val="18"/>
          <w:lang w:val="en-US"/>
        </w:rPr>
        <w:t xml:space="preserve"> &gt; Statistics &gt; Technology &amp; Innovation &gt; ANZSRC</w:t>
      </w:r>
      <w:r w:rsidR="000C7F2F">
        <w:rPr>
          <w:rFonts w:asciiTheme="majorHAnsi" w:hAnsiTheme="majorHAnsi" w:cstheme="majorHAnsi"/>
          <w:sz w:val="18"/>
          <w:szCs w:val="18"/>
          <w:lang w:val="en-US"/>
        </w:rPr>
        <w:t>—</w:t>
      </w:r>
      <w:r w:rsidRPr="009E45FA">
        <w:rPr>
          <w:rFonts w:asciiTheme="majorHAnsi" w:hAnsiTheme="majorHAnsi" w:cstheme="majorHAnsi"/>
          <w:sz w:val="18"/>
          <w:szCs w:val="18"/>
          <w:lang w:val="en-US"/>
        </w:rPr>
        <w:t xml:space="preserve">Research Classifications &gt; Past &amp; Future Releases &gt; Australian and New Zealand Standard Research Classification (ANZSRC) 2008 &gt; </w:t>
      </w:r>
      <w:hyperlink r:id="rId2" w:history="1">
        <w:r w:rsidRPr="009E45FA">
          <w:rPr>
            <w:rStyle w:val="Hyperlink"/>
            <w:rFonts w:cstheme="majorHAnsi"/>
            <w:szCs w:val="18"/>
            <w:lang w:val="en-US"/>
          </w:rPr>
          <w:t>Chapter 2—Types of Activity</w:t>
        </w:r>
      </w:hyperlink>
      <w:r w:rsidRPr="009E45FA">
        <w:rPr>
          <w:rFonts w:asciiTheme="majorHAnsi" w:hAnsiTheme="majorHAnsi" w:cstheme="majorHAnsi"/>
          <w:sz w:val="18"/>
          <w:szCs w:val="18"/>
          <w:lang w:val="en-US"/>
        </w:rPr>
        <w:t>.</w:t>
      </w:r>
    </w:p>
  </w:footnote>
  <w:footnote w:id="4">
    <w:p w14:paraId="71836159" w14:textId="6185923D" w:rsidR="00454013" w:rsidRDefault="00454013">
      <w:pPr>
        <w:pStyle w:val="FootnoteText"/>
      </w:pPr>
      <w:r w:rsidRPr="009E45FA">
        <w:rPr>
          <w:rStyle w:val="FootnoteReference"/>
          <w:rFonts w:asciiTheme="majorHAnsi" w:hAnsiTheme="majorHAnsi" w:cstheme="majorHAnsi"/>
          <w:sz w:val="18"/>
          <w:szCs w:val="18"/>
        </w:rPr>
        <w:footnoteRef/>
      </w:r>
      <w:r w:rsidRPr="009E45FA">
        <w:rPr>
          <w:rFonts w:asciiTheme="majorHAnsi" w:hAnsiTheme="majorHAnsi" w:cstheme="majorHAnsi"/>
          <w:sz w:val="18"/>
          <w:szCs w:val="18"/>
        </w:rPr>
        <w:t xml:space="preserve"> www.abs.gov.au</w:t>
      </w:r>
      <w:r w:rsidRPr="009E45FA">
        <w:rPr>
          <w:rFonts w:asciiTheme="majorHAnsi" w:hAnsiTheme="majorHAnsi" w:cstheme="majorHAnsi"/>
          <w:sz w:val="18"/>
          <w:szCs w:val="18"/>
          <w:lang w:val="en-US"/>
        </w:rPr>
        <w:t xml:space="preserve"> &gt; Statistics &gt; Technology &amp; Innovation &gt; ANZSRC</w:t>
      </w:r>
      <w:r w:rsidR="000C7F2F">
        <w:rPr>
          <w:rFonts w:asciiTheme="majorHAnsi" w:hAnsiTheme="majorHAnsi" w:cstheme="majorHAnsi"/>
          <w:sz w:val="18"/>
          <w:szCs w:val="18"/>
          <w:lang w:val="en-US"/>
        </w:rPr>
        <w:t>—</w:t>
      </w:r>
      <w:r w:rsidRPr="009E45FA">
        <w:rPr>
          <w:rFonts w:asciiTheme="majorHAnsi" w:hAnsiTheme="majorHAnsi" w:cstheme="majorHAnsi"/>
          <w:sz w:val="18"/>
          <w:szCs w:val="18"/>
          <w:lang w:val="en-US"/>
        </w:rPr>
        <w:t xml:space="preserve">Research Classifications &gt; Past &amp; Future Releases &gt; Australian and New Zealand Standard Research Classification (ANZSRC) 2008 &gt; </w:t>
      </w:r>
      <w:hyperlink r:id="rId3" w:history="1">
        <w:r w:rsidRPr="009E45FA">
          <w:rPr>
            <w:rStyle w:val="Hyperlink"/>
            <w:rFonts w:cstheme="majorHAnsi"/>
            <w:szCs w:val="18"/>
            <w:lang w:val="en-US"/>
          </w:rPr>
          <w:t>Chapter 2—Types of Activity</w:t>
        </w:r>
      </w:hyperlink>
      <w:r w:rsidRPr="009E45FA">
        <w:rPr>
          <w:rFonts w:asciiTheme="majorHAnsi" w:hAnsiTheme="majorHAnsi" w:cstheme="majorHAnsi"/>
          <w:sz w:val="18"/>
          <w:szCs w:val="18"/>
          <w:lang w:val="en-US"/>
        </w:rPr>
        <w:t>.</w:t>
      </w:r>
    </w:p>
  </w:footnote>
  <w:footnote w:id="5">
    <w:p w14:paraId="6A218EFD" w14:textId="6078CD3F" w:rsidR="00454013" w:rsidRPr="009E45FA" w:rsidRDefault="00454013">
      <w:pPr>
        <w:pStyle w:val="FootnoteText"/>
        <w:rPr>
          <w:rFonts w:asciiTheme="majorHAnsi" w:hAnsiTheme="majorHAnsi" w:cstheme="majorHAnsi"/>
          <w:sz w:val="18"/>
          <w:szCs w:val="18"/>
        </w:rPr>
      </w:pPr>
      <w:r w:rsidRPr="009E45FA">
        <w:rPr>
          <w:rStyle w:val="FootnoteReference"/>
          <w:rFonts w:asciiTheme="majorHAnsi" w:hAnsiTheme="majorHAnsi" w:cstheme="majorHAnsi"/>
          <w:sz w:val="18"/>
          <w:szCs w:val="18"/>
        </w:rPr>
        <w:footnoteRef/>
      </w:r>
      <w:r w:rsidRPr="009E45FA">
        <w:rPr>
          <w:rFonts w:asciiTheme="majorHAnsi" w:hAnsiTheme="majorHAnsi" w:cstheme="majorHAnsi"/>
          <w:sz w:val="18"/>
          <w:szCs w:val="18"/>
        </w:rPr>
        <w:t xml:space="preserve"> www.abs.gov.au</w:t>
      </w:r>
      <w:r w:rsidRPr="009E45FA">
        <w:rPr>
          <w:rFonts w:asciiTheme="majorHAnsi" w:hAnsiTheme="majorHAnsi" w:cstheme="majorHAnsi"/>
          <w:sz w:val="18"/>
          <w:szCs w:val="18"/>
          <w:lang w:val="en-US"/>
        </w:rPr>
        <w:t xml:space="preserve"> &gt; Statistics &gt; Technology &amp; Innovation &gt; ANZSRC</w:t>
      </w:r>
      <w:r w:rsidR="000C7F2F">
        <w:rPr>
          <w:rFonts w:asciiTheme="majorHAnsi" w:hAnsiTheme="majorHAnsi" w:cstheme="majorHAnsi"/>
          <w:sz w:val="18"/>
          <w:szCs w:val="18"/>
          <w:lang w:val="en-US"/>
        </w:rPr>
        <w:t>—</w:t>
      </w:r>
      <w:r w:rsidRPr="009E45FA">
        <w:rPr>
          <w:rFonts w:asciiTheme="majorHAnsi" w:hAnsiTheme="majorHAnsi" w:cstheme="majorHAnsi"/>
          <w:sz w:val="18"/>
          <w:szCs w:val="18"/>
          <w:lang w:val="en-US"/>
        </w:rPr>
        <w:t xml:space="preserve">Research Classifications &gt; Past &amp; Future Releases &gt; Australian and New Zealand Standard Research Classification (ANZSRC) 2008 &gt; </w:t>
      </w:r>
      <w:hyperlink r:id="rId4" w:history="1">
        <w:r w:rsidRPr="009E45FA">
          <w:rPr>
            <w:rStyle w:val="Hyperlink"/>
            <w:rFonts w:cstheme="majorHAnsi"/>
            <w:szCs w:val="18"/>
            <w:lang w:val="en-US"/>
          </w:rPr>
          <w:t>Chapter 2—Types of Activity</w:t>
        </w:r>
      </w:hyperlink>
      <w:r w:rsidRPr="009E45FA">
        <w:rPr>
          <w:rFonts w:asciiTheme="majorHAnsi" w:hAnsiTheme="majorHAnsi" w:cstheme="majorHAnsi"/>
          <w:sz w:val="18"/>
          <w:szCs w:val="18"/>
          <w:lang w:val="en-US"/>
        </w:rPr>
        <w:t>.</w:t>
      </w:r>
    </w:p>
  </w:footnote>
  <w:footnote w:id="6">
    <w:p w14:paraId="327317D5" w14:textId="601C905B" w:rsidR="0041010C" w:rsidRPr="00182F5F" w:rsidRDefault="0041010C">
      <w:pPr>
        <w:pStyle w:val="FootnoteText"/>
        <w:rPr>
          <w:rFonts w:asciiTheme="majorHAnsi" w:hAnsiTheme="majorHAnsi" w:cstheme="majorHAnsi"/>
          <w:sz w:val="18"/>
          <w:szCs w:val="18"/>
        </w:rPr>
      </w:pPr>
      <w:r w:rsidRPr="00182F5F">
        <w:rPr>
          <w:rStyle w:val="FootnoteReference"/>
          <w:rFonts w:asciiTheme="majorHAnsi" w:hAnsiTheme="majorHAnsi" w:cstheme="majorHAnsi"/>
          <w:sz w:val="18"/>
          <w:szCs w:val="18"/>
        </w:rPr>
        <w:footnoteRef/>
      </w:r>
      <w:r w:rsidRPr="00182F5F">
        <w:rPr>
          <w:rFonts w:asciiTheme="majorHAnsi" w:hAnsiTheme="majorHAnsi" w:cstheme="majorHAnsi"/>
          <w:sz w:val="18"/>
          <w:szCs w:val="18"/>
        </w:rPr>
        <w:t xml:space="preserve"> Department of Finance (2017), </w:t>
      </w:r>
      <w:r w:rsidRPr="00182F5F">
        <w:rPr>
          <w:rFonts w:asciiTheme="majorHAnsi" w:hAnsiTheme="majorHAnsi" w:cstheme="majorHAnsi"/>
          <w:i/>
          <w:sz w:val="18"/>
          <w:szCs w:val="18"/>
        </w:rPr>
        <w:t>Commonwealth Grants Rules and Guidelines 2017</w:t>
      </w:r>
      <w:r w:rsidRPr="00182F5F">
        <w:rPr>
          <w:rFonts w:asciiTheme="majorHAnsi" w:hAnsiTheme="majorHAnsi" w:cstheme="majorHAnsi"/>
          <w:sz w:val="18"/>
          <w:szCs w:val="18"/>
        </w:rPr>
        <w:t xml:space="preserve">, p. 26, </w:t>
      </w:r>
      <w:r w:rsidRPr="00182F5F">
        <w:rPr>
          <w:rFonts w:asciiTheme="majorHAnsi" w:hAnsiTheme="majorHAnsi" w:cstheme="majorHAnsi"/>
          <w:sz w:val="18"/>
          <w:szCs w:val="18"/>
          <w:lang w:val="en-US"/>
        </w:rPr>
        <w:t xml:space="preserve">www.finance.gov.au &gt; Government &gt; Grants &gt; Grants Policy Framework &gt; </w:t>
      </w:r>
      <w:hyperlink r:id="rId5" w:history="1">
        <w:r w:rsidRPr="00182F5F">
          <w:rPr>
            <w:rStyle w:val="Hyperlink"/>
            <w:rFonts w:cstheme="majorHAnsi"/>
            <w:szCs w:val="18"/>
            <w:lang w:val="en-US"/>
          </w:rPr>
          <w:t>Commonwealth Grants Rules and Guidelines 2017</w:t>
        </w:r>
      </w:hyperlink>
      <w:r w:rsidRPr="00182F5F">
        <w:rPr>
          <w:rFonts w:asciiTheme="majorHAnsi" w:hAnsiTheme="majorHAnsi" w:cstheme="majorHAnsi"/>
          <w:sz w:val="18"/>
          <w:szCs w:val="18"/>
          <w:lang w:val="en-US"/>
        </w:rPr>
        <w:t>.</w:t>
      </w:r>
    </w:p>
  </w:footnote>
  <w:footnote w:id="7">
    <w:p w14:paraId="0657D74E" w14:textId="00CAB252" w:rsidR="00D85E40" w:rsidRPr="00D85E40" w:rsidRDefault="00D85E40">
      <w:pPr>
        <w:pStyle w:val="FootnoteText"/>
        <w:rPr>
          <w:rFonts w:asciiTheme="majorHAnsi" w:hAnsiTheme="majorHAnsi" w:cstheme="majorHAnsi"/>
          <w:sz w:val="18"/>
          <w:szCs w:val="18"/>
        </w:rPr>
      </w:pPr>
      <w:r w:rsidRPr="00182F5F">
        <w:rPr>
          <w:rStyle w:val="FootnoteReference"/>
          <w:rFonts w:asciiTheme="majorHAnsi" w:hAnsiTheme="majorHAnsi" w:cstheme="majorHAnsi"/>
          <w:sz w:val="18"/>
          <w:szCs w:val="18"/>
        </w:rPr>
        <w:footnoteRef/>
      </w:r>
      <w:r w:rsidRPr="00182F5F">
        <w:rPr>
          <w:rFonts w:asciiTheme="majorHAnsi" w:hAnsiTheme="majorHAnsi" w:cstheme="majorHAnsi"/>
          <w:sz w:val="18"/>
          <w:szCs w:val="18"/>
        </w:rPr>
        <w:t xml:space="preserve"> Department of Finance (2017), </w:t>
      </w:r>
      <w:r w:rsidRPr="00182F5F">
        <w:rPr>
          <w:rFonts w:asciiTheme="majorHAnsi" w:hAnsiTheme="majorHAnsi" w:cstheme="majorHAnsi"/>
          <w:i/>
          <w:sz w:val="18"/>
          <w:szCs w:val="18"/>
        </w:rPr>
        <w:t>Commonwealth Grants Rules and Guidelines 2017</w:t>
      </w:r>
      <w:r w:rsidRPr="00182F5F">
        <w:rPr>
          <w:rFonts w:asciiTheme="majorHAnsi" w:hAnsiTheme="majorHAnsi" w:cstheme="majorHAnsi"/>
          <w:sz w:val="18"/>
          <w:szCs w:val="18"/>
        </w:rPr>
        <w:t>, p</w:t>
      </w:r>
      <w:r w:rsidR="00951493" w:rsidRPr="00182F5F">
        <w:rPr>
          <w:rFonts w:asciiTheme="majorHAnsi" w:hAnsiTheme="majorHAnsi" w:cstheme="majorHAnsi"/>
          <w:sz w:val="18"/>
          <w:szCs w:val="18"/>
        </w:rPr>
        <w:t>p</w:t>
      </w:r>
      <w:r w:rsidRPr="00182F5F">
        <w:rPr>
          <w:rFonts w:asciiTheme="majorHAnsi" w:hAnsiTheme="majorHAnsi" w:cstheme="majorHAnsi"/>
          <w:sz w:val="18"/>
          <w:szCs w:val="18"/>
        </w:rPr>
        <w:t xml:space="preserve">. </w:t>
      </w:r>
      <w:r w:rsidR="00951493" w:rsidRPr="00182F5F">
        <w:rPr>
          <w:rFonts w:asciiTheme="majorHAnsi" w:hAnsiTheme="majorHAnsi" w:cstheme="majorHAnsi"/>
          <w:sz w:val="18"/>
          <w:szCs w:val="18"/>
        </w:rPr>
        <w:t>16–19</w:t>
      </w:r>
      <w:r w:rsidRPr="00182F5F">
        <w:rPr>
          <w:rFonts w:asciiTheme="majorHAnsi" w:hAnsiTheme="majorHAnsi" w:cstheme="majorHAnsi"/>
          <w:sz w:val="18"/>
          <w:szCs w:val="18"/>
        </w:rPr>
        <w:t xml:space="preserve">, </w:t>
      </w:r>
      <w:r w:rsidRPr="00182F5F">
        <w:rPr>
          <w:rFonts w:asciiTheme="majorHAnsi" w:hAnsiTheme="majorHAnsi" w:cstheme="majorHAnsi"/>
          <w:sz w:val="18"/>
          <w:szCs w:val="18"/>
          <w:lang w:val="en-US"/>
        </w:rPr>
        <w:t xml:space="preserve">www.finance.gov.au &gt; Government &gt; Grants &gt; Grants Policy Framework &gt; </w:t>
      </w:r>
      <w:hyperlink r:id="rId6" w:history="1">
        <w:r w:rsidRPr="00182F5F">
          <w:rPr>
            <w:rStyle w:val="Hyperlink"/>
            <w:rFonts w:cstheme="majorHAnsi"/>
            <w:szCs w:val="18"/>
            <w:lang w:val="en-US"/>
          </w:rPr>
          <w:t>Commonwealth Grants Rules and Guidelines 2017</w:t>
        </w:r>
      </w:hyperlink>
      <w:r w:rsidRPr="00182F5F">
        <w:rPr>
          <w:rFonts w:asciiTheme="majorHAnsi" w:hAnsiTheme="majorHAnsi" w:cstheme="majorHAnsi"/>
          <w:sz w:val="18"/>
          <w:szCs w:val="18"/>
          <w:lang w:val="en-US"/>
        </w:rPr>
        <w:t>.</w:t>
      </w:r>
    </w:p>
  </w:footnote>
  <w:footnote w:id="8">
    <w:p w14:paraId="5DD33BA7" w14:textId="3B86084E" w:rsidR="00F321E3" w:rsidRPr="00875068" w:rsidRDefault="00F321E3" w:rsidP="00F321E3">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Kemp, D (1999), </w:t>
      </w:r>
      <w:r w:rsidRPr="00875068">
        <w:rPr>
          <w:rFonts w:asciiTheme="majorHAnsi" w:hAnsiTheme="majorHAnsi" w:cstheme="majorHAnsi"/>
          <w:i/>
          <w:sz w:val="18"/>
          <w:szCs w:val="18"/>
        </w:rPr>
        <w:t xml:space="preserve">Knowledge and innovation: </w:t>
      </w:r>
      <w:r w:rsidR="00072020">
        <w:rPr>
          <w:rFonts w:asciiTheme="majorHAnsi" w:hAnsiTheme="majorHAnsi" w:cstheme="majorHAnsi"/>
          <w:i/>
          <w:sz w:val="18"/>
          <w:szCs w:val="18"/>
        </w:rPr>
        <w:t>a</w:t>
      </w:r>
      <w:r w:rsidRPr="00875068">
        <w:rPr>
          <w:rFonts w:asciiTheme="majorHAnsi" w:hAnsiTheme="majorHAnsi" w:cstheme="majorHAnsi"/>
          <w:i/>
          <w:sz w:val="18"/>
          <w:szCs w:val="18"/>
        </w:rPr>
        <w:t xml:space="preserve"> policy statement on research and research training</w:t>
      </w:r>
      <w:r w:rsidRPr="00875068">
        <w:rPr>
          <w:rFonts w:asciiTheme="majorHAnsi" w:hAnsiTheme="majorHAnsi" w:cstheme="majorHAnsi"/>
          <w:sz w:val="18"/>
          <w:szCs w:val="18"/>
        </w:rPr>
        <w:t>, Department of Education, Traini</w:t>
      </w:r>
      <w:r w:rsidR="00FA3EB0" w:rsidRPr="00875068">
        <w:rPr>
          <w:rFonts w:asciiTheme="majorHAnsi" w:hAnsiTheme="majorHAnsi" w:cstheme="majorHAnsi"/>
          <w:sz w:val="18"/>
          <w:szCs w:val="18"/>
        </w:rPr>
        <w:t xml:space="preserve">ng and Youth Affairs, Canberra, www.voced.edu.au &gt; Browse &gt; Titles &gt; </w:t>
      </w:r>
      <w:hyperlink r:id="rId7" w:history="1">
        <w:r w:rsidR="00FA3EB0" w:rsidRPr="00875068">
          <w:rPr>
            <w:rStyle w:val="Hyperlink"/>
            <w:rFonts w:cstheme="majorHAnsi"/>
            <w:szCs w:val="18"/>
          </w:rPr>
          <w:t>Knowledge and innovation: a policy statement on research and research training</w:t>
        </w:r>
      </w:hyperlink>
      <w:r w:rsidR="00FA3EB0" w:rsidRPr="00875068">
        <w:rPr>
          <w:rFonts w:asciiTheme="majorHAnsi" w:hAnsiTheme="majorHAnsi" w:cstheme="majorHAnsi"/>
          <w:sz w:val="18"/>
          <w:szCs w:val="18"/>
        </w:rPr>
        <w:t xml:space="preserve">. </w:t>
      </w:r>
    </w:p>
  </w:footnote>
  <w:footnote w:id="9">
    <w:p w14:paraId="0BA45B80" w14:textId="77777777" w:rsidR="00F321E3" w:rsidRPr="00875068" w:rsidRDefault="00F321E3" w:rsidP="00F321E3">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Pr="00875068">
        <w:rPr>
          <w:rFonts w:asciiTheme="majorHAnsi" w:hAnsiTheme="majorHAnsi" w:cstheme="majorHAnsi"/>
          <w:sz w:val="18"/>
          <w:szCs w:val="18"/>
          <w:lang w:val="en-US"/>
        </w:rPr>
        <w:t>Ibid, p. 12.</w:t>
      </w:r>
    </w:p>
  </w:footnote>
  <w:footnote w:id="10">
    <w:p w14:paraId="108A2274" w14:textId="77777777" w:rsidR="00F321E3" w:rsidRPr="00700D47" w:rsidRDefault="00F321E3" w:rsidP="00F321E3">
      <w:pPr>
        <w:pStyle w:val="FootnoteText"/>
        <w:rPr>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www.arc.gov.au &gt; Policies &amp; Strategies &gt; Strategy &gt; Evaluation &gt; </w:t>
      </w:r>
      <w:hyperlink r:id="rId8" w:history="1">
        <w:r w:rsidRPr="00875068">
          <w:rPr>
            <w:rStyle w:val="Hyperlink"/>
            <w:rFonts w:cstheme="majorHAnsi"/>
            <w:szCs w:val="18"/>
          </w:rPr>
          <w:t>ARC Evaluation Strategy</w:t>
        </w:r>
      </w:hyperlink>
      <w:r w:rsidRPr="00875068">
        <w:rPr>
          <w:rStyle w:val="Hyperlink"/>
          <w:rFonts w:cstheme="majorHAnsi"/>
          <w:szCs w:val="18"/>
        </w:rPr>
        <w:t>.</w:t>
      </w:r>
    </w:p>
  </w:footnote>
  <w:footnote w:id="11">
    <w:p w14:paraId="1ED5DB68" w14:textId="7D9AD3E5" w:rsidR="00D044BA" w:rsidRPr="00375CC9" w:rsidRDefault="00D044BA">
      <w:pPr>
        <w:pStyle w:val="FootnoteText"/>
        <w:rPr>
          <w:rFonts w:asciiTheme="majorHAnsi" w:hAnsiTheme="majorHAnsi" w:cstheme="majorHAnsi"/>
          <w:sz w:val="18"/>
          <w:szCs w:val="18"/>
        </w:rPr>
      </w:pPr>
      <w:r w:rsidRPr="00375CC9">
        <w:rPr>
          <w:rStyle w:val="FootnoteReference"/>
          <w:rFonts w:asciiTheme="majorHAnsi" w:hAnsiTheme="majorHAnsi" w:cstheme="majorHAnsi"/>
          <w:sz w:val="18"/>
          <w:szCs w:val="18"/>
        </w:rPr>
        <w:footnoteRef/>
      </w:r>
      <w:r w:rsidRPr="00375CC9">
        <w:rPr>
          <w:rFonts w:asciiTheme="majorHAnsi" w:hAnsiTheme="majorHAnsi" w:cstheme="majorHAnsi"/>
          <w:sz w:val="18"/>
          <w:szCs w:val="18"/>
        </w:rPr>
        <w:t xml:space="preserve"> An </w:t>
      </w:r>
      <w:r w:rsidR="00375CC9" w:rsidRPr="00375CC9">
        <w:rPr>
          <w:rFonts w:asciiTheme="majorHAnsi" w:hAnsiTheme="majorHAnsi" w:cstheme="majorHAnsi"/>
          <w:sz w:val="18"/>
          <w:szCs w:val="18"/>
        </w:rPr>
        <w:t xml:space="preserve">Executive Summary of Kantar, Public Division’s findings is </w:t>
      </w:r>
      <w:r w:rsidR="00375CC9" w:rsidRPr="0003399E">
        <w:rPr>
          <w:rFonts w:asciiTheme="majorHAnsi" w:hAnsiTheme="majorHAnsi" w:cstheme="majorHAnsi"/>
          <w:sz w:val="18"/>
          <w:szCs w:val="18"/>
        </w:rPr>
        <w:t xml:space="preserve">presented in </w:t>
      </w:r>
      <w:hyperlink w:anchor="_Appendix_B:_Stakeholder" w:history="1">
        <w:r w:rsidR="00375CC9" w:rsidRPr="0003399E">
          <w:rPr>
            <w:rStyle w:val="Hyperlink"/>
            <w:rFonts w:cstheme="majorHAnsi"/>
            <w:color w:val="auto"/>
            <w:szCs w:val="18"/>
            <w:u w:val="none"/>
          </w:rPr>
          <w:t xml:space="preserve">Appendix </w:t>
        </w:r>
        <w:r w:rsidR="0001211A" w:rsidRPr="0003399E">
          <w:rPr>
            <w:rStyle w:val="Hyperlink"/>
            <w:rFonts w:cstheme="majorHAnsi"/>
            <w:color w:val="auto"/>
            <w:szCs w:val="18"/>
            <w:u w:val="none"/>
          </w:rPr>
          <w:t>B</w:t>
        </w:r>
      </w:hyperlink>
      <w:r w:rsidR="00375CC9" w:rsidRPr="0003399E">
        <w:rPr>
          <w:rFonts w:asciiTheme="majorHAnsi" w:hAnsiTheme="majorHAnsi" w:cstheme="majorHAnsi"/>
          <w:sz w:val="18"/>
          <w:szCs w:val="18"/>
        </w:rPr>
        <w:t xml:space="preserve">. </w:t>
      </w:r>
    </w:p>
  </w:footnote>
  <w:footnote w:id="12">
    <w:p w14:paraId="1E587996" w14:textId="77777777" w:rsidR="001F3108" w:rsidRPr="001F3108" w:rsidRDefault="001F3108">
      <w:pPr>
        <w:pStyle w:val="FootnoteText"/>
        <w:rPr>
          <w:rFonts w:asciiTheme="majorHAnsi" w:hAnsiTheme="majorHAnsi" w:cstheme="majorHAnsi"/>
          <w:sz w:val="18"/>
          <w:szCs w:val="18"/>
          <w:lang w:val="en-US"/>
        </w:rPr>
      </w:pPr>
      <w:r w:rsidRPr="001F3108">
        <w:rPr>
          <w:rStyle w:val="FootnoteReference"/>
          <w:rFonts w:asciiTheme="majorHAnsi" w:hAnsiTheme="majorHAnsi" w:cstheme="majorHAnsi"/>
          <w:sz w:val="18"/>
          <w:szCs w:val="18"/>
        </w:rPr>
        <w:footnoteRef/>
      </w:r>
      <w:r w:rsidRPr="001F3108">
        <w:rPr>
          <w:rFonts w:asciiTheme="majorHAnsi" w:hAnsiTheme="majorHAnsi" w:cstheme="majorHAnsi"/>
          <w:sz w:val="18"/>
          <w:szCs w:val="18"/>
        </w:rPr>
        <w:t xml:space="preserve"> </w:t>
      </w:r>
      <w:r w:rsidRPr="001F3108">
        <w:rPr>
          <w:rFonts w:asciiTheme="majorHAnsi" w:hAnsiTheme="majorHAnsi" w:cstheme="majorHAnsi"/>
          <w:sz w:val="18"/>
          <w:szCs w:val="18"/>
          <w:lang w:val="en-US"/>
        </w:rPr>
        <w:t>One peak body interview was provided in written form.</w:t>
      </w:r>
    </w:p>
  </w:footnote>
  <w:footnote w:id="13">
    <w:p w14:paraId="361582F7" w14:textId="77777777" w:rsidR="00C165F1" w:rsidRPr="007F45DD" w:rsidRDefault="00C165F1" w:rsidP="00C165F1">
      <w:pPr>
        <w:pStyle w:val="FootnoteText"/>
        <w:rPr>
          <w:rFonts w:asciiTheme="majorHAnsi" w:hAnsiTheme="majorHAnsi" w:cstheme="majorHAnsi"/>
          <w:sz w:val="18"/>
          <w:szCs w:val="18"/>
        </w:rPr>
      </w:pPr>
      <w:r w:rsidRPr="00EC3D27">
        <w:rPr>
          <w:rStyle w:val="FootnoteReference"/>
          <w:rFonts w:asciiTheme="majorHAnsi" w:hAnsiTheme="majorHAnsi" w:cstheme="majorHAnsi"/>
          <w:sz w:val="18"/>
          <w:szCs w:val="18"/>
        </w:rPr>
        <w:footnoteRef/>
      </w:r>
      <w:r w:rsidRPr="00EC3D27">
        <w:rPr>
          <w:rFonts w:asciiTheme="majorHAnsi" w:hAnsiTheme="majorHAnsi" w:cstheme="majorHAnsi"/>
          <w:sz w:val="18"/>
          <w:szCs w:val="18"/>
        </w:rPr>
        <w:t xml:space="preserve"> Kemp, </w:t>
      </w:r>
      <w:r w:rsidRPr="00EC3D27">
        <w:rPr>
          <w:rFonts w:asciiTheme="majorHAnsi" w:hAnsiTheme="majorHAnsi" w:cstheme="majorHAnsi"/>
          <w:i/>
          <w:sz w:val="18"/>
          <w:szCs w:val="18"/>
        </w:rPr>
        <w:t xml:space="preserve">Knowledge and innovation, </w:t>
      </w:r>
      <w:r w:rsidRPr="00EC3D27">
        <w:rPr>
          <w:rFonts w:asciiTheme="majorHAnsi" w:hAnsiTheme="majorHAnsi" w:cstheme="majorHAnsi"/>
          <w:sz w:val="18"/>
          <w:szCs w:val="18"/>
        </w:rPr>
        <w:t>p. 12.</w:t>
      </w:r>
    </w:p>
  </w:footnote>
  <w:footnote w:id="14">
    <w:p w14:paraId="724E04C2" w14:textId="77777777" w:rsidR="00C165F1" w:rsidRPr="0011418F" w:rsidRDefault="00C165F1" w:rsidP="00C165F1">
      <w:pPr>
        <w:pStyle w:val="FootnoteText"/>
        <w:rPr>
          <w:rFonts w:asciiTheme="majorHAnsi" w:hAnsiTheme="majorHAnsi" w:cstheme="majorHAnsi"/>
          <w:sz w:val="18"/>
          <w:szCs w:val="18"/>
        </w:rPr>
      </w:pPr>
      <w:r w:rsidRPr="00EC3D27">
        <w:rPr>
          <w:rStyle w:val="FootnoteReference"/>
          <w:rFonts w:asciiTheme="majorHAnsi" w:hAnsiTheme="majorHAnsi" w:cstheme="majorHAnsi"/>
          <w:sz w:val="18"/>
          <w:szCs w:val="18"/>
        </w:rPr>
        <w:footnoteRef/>
      </w:r>
      <w:r w:rsidRPr="00EC3D27">
        <w:rPr>
          <w:rFonts w:asciiTheme="majorHAnsi" w:hAnsiTheme="majorHAnsi" w:cstheme="majorHAnsi"/>
          <w:sz w:val="18"/>
          <w:szCs w:val="18"/>
        </w:rPr>
        <w:t xml:space="preserve"> Ibid, p. 14.</w:t>
      </w:r>
    </w:p>
  </w:footnote>
  <w:footnote w:id="15">
    <w:p w14:paraId="36198E2C" w14:textId="77777777" w:rsidR="00C165F1" w:rsidRPr="007F45DD" w:rsidRDefault="00C165F1" w:rsidP="00C165F1">
      <w:pPr>
        <w:pStyle w:val="FootnoteText"/>
      </w:pPr>
      <w:r w:rsidRPr="00EC3D27">
        <w:rPr>
          <w:rStyle w:val="FootnoteReference"/>
          <w:rFonts w:asciiTheme="majorHAnsi" w:hAnsiTheme="majorHAnsi" w:cstheme="majorHAnsi"/>
          <w:sz w:val="18"/>
          <w:szCs w:val="18"/>
        </w:rPr>
        <w:footnoteRef/>
      </w:r>
      <w:r w:rsidRPr="00EC3D27">
        <w:rPr>
          <w:rFonts w:asciiTheme="majorHAnsi" w:hAnsiTheme="majorHAnsi" w:cstheme="majorHAnsi"/>
          <w:sz w:val="18"/>
          <w:szCs w:val="18"/>
        </w:rPr>
        <w:t xml:space="preserve"> </w:t>
      </w:r>
      <w:r w:rsidRPr="007F45DD">
        <w:rPr>
          <w:rFonts w:asciiTheme="majorHAnsi" w:hAnsiTheme="majorHAnsi" w:cstheme="majorHAnsi"/>
          <w:sz w:val="18"/>
          <w:szCs w:val="18"/>
        </w:rPr>
        <w:t>Ibid, p. 14.</w:t>
      </w:r>
      <w:r w:rsidRPr="007F45DD">
        <w:t xml:space="preserve"> </w:t>
      </w:r>
    </w:p>
  </w:footnote>
  <w:footnote w:id="16">
    <w:p w14:paraId="0D700607" w14:textId="77777777" w:rsidR="00C165F1" w:rsidRPr="008B655A" w:rsidRDefault="00C165F1" w:rsidP="00C165F1">
      <w:pPr>
        <w:pStyle w:val="FootnoteText"/>
        <w:rPr>
          <w:rFonts w:asciiTheme="majorHAnsi" w:hAnsiTheme="majorHAnsi" w:cstheme="majorHAnsi"/>
          <w:i/>
          <w:sz w:val="18"/>
          <w:szCs w:val="18"/>
          <w:lang w:val="en-US"/>
        </w:rPr>
      </w:pPr>
      <w:r w:rsidRPr="008B655A">
        <w:rPr>
          <w:rStyle w:val="FootnoteReference"/>
          <w:rFonts w:asciiTheme="majorHAnsi" w:hAnsiTheme="majorHAnsi" w:cstheme="majorHAnsi"/>
          <w:sz w:val="18"/>
          <w:szCs w:val="18"/>
        </w:rPr>
        <w:footnoteRef/>
      </w:r>
      <w:r w:rsidRPr="008B655A">
        <w:rPr>
          <w:rFonts w:asciiTheme="majorHAnsi" w:hAnsiTheme="majorHAnsi" w:cstheme="majorHAnsi"/>
          <w:sz w:val="18"/>
          <w:szCs w:val="18"/>
        </w:rPr>
        <w:t xml:space="preserve"> Department of Finance (2017), </w:t>
      </w:r>
      <w:r w:rsidRPr="00244D9A">
        <w:rPr>
          <w:rFonts w:asciiTheme="majorHAnsi" w:hAnsiTheme="majorHAnsi" w:cstheme="majorHAnsi"/>
          <w:i/>
          <w:sz w:val="18"/>
          <w:szCs w:val="18"/>
        </w:rPr>
        <w:t>Commonwealth Grants Rules and Guidelines 2017</w:t>
      </w:r>
      <w:r w:rsidRPr="00244D9A">
        <w:rPr>
          <w:rFonts w:asciiTheme="majorHAnsi" w:hAnsiTheme="majorHAnsi" w:cstheme="majorHAnsi"/>
          <w:sz w:val="18"/>
          <w:szCs w:val="18"/>
        </w:rPr>
        <w:t xml:space="preserve">, p. 26, </w:t>
      </w:r>
      <w:r w:rsidRPr="00244D9A">
        <w:rPr>
          <w:rFonts w:asciiTheme="majorHAnsi" w:hAnsiTheme="majorHAnsi" w:cstheme="majorHAnsi"/>
          <w:sz w:val="18"/>
          <w:szCs w:val="18"/>
          <w:lang w:val="en-US"/>
        </w:rPr>
        <w:t xml:space="preserve">www.finance.gov.au &gt; Government &gt; Grants &gt; Grants Policy Framework &gt; </w:t>
      </w:r>
      <w:bookmarkStart w:id="89" w:name="_Hlk38103582"/>
      <w:r w:rsidRPr="007057E6">
        <w:rPr>
          <w:rStyle w:val="Hyperlink"/>
        </w:rPr>
        <w:fldChar w:fldCharType="begin"/>
      </w:r>
      <w:r w:rsidRPr="007057E6">
        <w:rPr>
          <w:rStyle w:val="Hyperlink"/>
        </w:rPr>
        <w:instrText xml:space="preserve"> HYPERLINK "https://www.finance.gov.au/sites/default/files/2019-11/commonwealth-grants-rules-and-guidelines.pdf" </w:instrText>
      </w:r>
      <w:r w:rsidRPr="007057E6">
        <w:rPr>
          <w:rStyle w:val="Hyperlink"/>
        </w:rPr>
        <w:fldChar w:fldCharType="separate"/>
      </w:r>
      <w:r w:rsidRPr="007057E6">
        <w:rPr>
          <w:rStyle w:val="Hyperlink"/>
          <w:rFonts w:cstheme="majorHAnsi"/>
          <w:szCs w:val="18"/>
        </w:rPr>
        <w:t>Commonwealth Grants Rules and Guidelines 2017</w:t>
      </w:r>
      <w:bookmarkEnd w:id="89"/>
      <w:r w:rsidRPr="007057E6">
        <w:rPr>
          <w:rStyle w:val="Hyperlink"/>
        </w:rPr>
        <w:fldChar w:fldCharType="end"/>
      </w:r>
      <w:r w:rsidRPr="00244D9A">
        <w:rPr>
          <w:rFonts w:asciiTheme="majorHAnsi" w:hAnsiTheme="majorHAnsi" w:cstheme="majorHAnsi"/>
          <w:sz w:val="18"/>
          <w:szCs w:val="18"/>
          <w:lang w:val="en-US"/>
        </w:rPr>
        <w:t>.</w:t>
      </w:r>
    </w:p>
  </w:footnote>
  <w:footnote w:id="17">
    <w:p w14:paraId="1DA3FE6E" w14:textId="77777777" w:rsidR="00C165F1" w:rsidRPr="007057E6" w:rsidRDefault="00C165F1" w:rsidP="00C165F1">
      <w:pPr>
        <w:pStyle w:val="FootnoteText"/>
        <w:rPr>
          <w:rStyle w:val="Hyperlink"/>
        </w:rPr>
      </w:pPr>
      <w:r w:rsidRPr="008B655A">
        <w:rPr>
          <w:rStyle w:val="FootnoteReference"/>
          <w:rFonts w:asciiTheme="majorHAnsi" w:hAnsiTheme="majorHAnsi" w:cstheme="majorHAnsi"/>
          <w:sz w:val="18"/>
          <w:szCs w:val="18"/>
        </w:rPr>
        <w:footnoteRef/>
      </w:r>
      <w:r w:rsidRPr="008B655A">
        <w:rPr>
          <w:rFonts w:asciiTheme="majorHAnsi" w:hAnsiTheme="majorHAnsi" w:cstheme="majorHAnsi"/>
          <w:sz w:val="18"/>
          <w:szCs w:val="18"/>
        </w:rPr>
        <w:t xml:space="preserve"> </w:t>
      </w:r>
      <w:r w:rsidRPr="008B655A">
        <w:rPr>
          <w:rFonts w:asciiTheme="majorHAnsi" w:hAnsiTheme="majorHAnsi" w:cstheme="majorHAnsi"/>
          <w:sz w:val="18"/>
          <w:szCs w:val="18"/>
          <w:lang w:val="en-US"/>
        </w:rPr>
        <w:t xml:space="preserve">Australian Research Council (2019), </w:t>
      </w:r>
      <w:r w:rsidRPr="008B655A">
        <w:rPr>
          <w:rFonts w:asciiTheme="majorHAnsi" w:hAnsiTheme="majorHAnsi" w:cstheme="majorHAnsi"/>
          <w:i/>
          <w:sz w:val="18"/>
          <w:szCs w:val="18"/>
          <w:lang w:val="en-US"/>
        </w:rPr>
        <w:t>Discovery Program Grant Guideline Changes 2019</w:t>
      </w:r>
      <w:r w:rsidRPr="008B655A">
        <w:rPr>
          <w:rFonts w:asciiTheme="majorHAnsi" w:hAnsiTheme="majorHAnsi" w:cstheme="majorHAnsi"/>
          <w:sz w:val="18"/>
          <w:szCs w:val="18"/>
          <w:lang w:val="en-US"/>
        </w:rPr>
        <w:t xml:space="preserve">, p. 2, www.grants.gov.au &gt; Forecast Opportunities &gt; DProg2019 &gt; </w:t>
      </w:r>
      <w:hyperlink r:id="rId9" w:history="1">
        <w:r w:rsidRPr="008B655A">
          <w:rPr>
            <w:rStyle w:val="Hyperlink"/>
            <w:rFonts w:cstheme="majorHAnsi"/>
            <w:szCs w:val="18"/>
            <w:lang w:val="en-US"/>
          </w:rPr>
          <w:t>Discovery Program Grant Guidelines Changes</w:t>
        </w:r>
      </w:hyperlink>
      <w:r w:rsidRPr="008B655A">
        <w:rPr>
          <w:rFonts w:asciiTheme="majorHAnsi" w:hAnsiTheme="majorHAnsi" w:cstheme="majorHAnsi"/>
          <w:sz w:val="18"/>
          <w:szCs w:val="18"/>
          <w:lang w:val="en-US"/>
        </w:rPr>
        <w:t>.</w:t>
      </w:r>
    </w:p>
  </w:footnote>
  <w:footnote w:id="18">
    <w:p w14:paraId="37648B2B" w14:textId="77777777" w:rsidR="00C165F1" w:rsidRPr="00244D9A" w:rsidRDefault="00C165F1" w:rsidP="00C165F1">
      <w:pPr>
        <w:pStyle w:val="FootnoteText"/>
        <w:rPr>
          <w:rFonts w:asciiTheme="majorHAnsi" w:hAnsiTheme="majorHAnsi" w:cstheme="majorHAnsi"/>
          <w:sz w:val="18"/>
          <w:szCs w:val="18"/>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w:t>
      </w:r>
      <w:hyperlink r:id="rId10" w:history="1">
        <w:r w:rsidRPr="00244D9A">
          <w:rPr>
            <w:rFonts w:asciiTheme="majorHAnsi" w:hAnsiTheme="majorHAnsi" w:cstheme="majorHAnsi"/>
            <w:sz w:val="18"/>
            <w:szCs w:val="18"/>
          </w:rPr>
          <w:t>www.arc.gov.au</w:t>
        </w:r>
      </w:hyperlink>
      <w:r w:rsidRPr="00244D9A">
        <w:rPr>
          <w:rFonts w:asciiTheme="majorHAnsi" w:hAnsiTheme="majorHAnsi" w:cstheme="majorHAnsi"/>
          <w:sz w:val="18"/>
          <w:szCs w:val="18"/>
        </w:rPr>
        <w:t xml:space="preserve"> &gt; Policies &amp; Strategies &gt; Policy &gt; </w:t>
      </w:r>
      <w:hyperlink r:id="rId11" w:history="1">
        <w:r w:rsidRPr="00244D9A">
          <w:rPr>
            <w:rStyle w:val="Hyperlink"/>
            <w:rFonts w:cstheme="majorHAnsi"/>
            <w:szCs w:val="18"/>
            <w:shd w:val="clear" w:color="auto" w:fill="FFFFFF"/>
          </w:rPr>
          <w:t>ARC Research Opportunity and Performance Evidence (ROPE) Statement</w:t>
        </w:r>
      </w:hyperlink>
      <w:r w:rsidRPr="00244D9A">
        <w:rPr>
          <w:rFonts w:asciiTheme="majorHAnsi" w:hAnsiTheme="majorHAnsi" w:cstheme="majorHAnsi"/>
          <w:sz w:val="18"/>
          <w:szCs w:val="18"/>
        </w:rPr>
        <w:t>.</w:t>
      </w:r>
    </w:p>
  </w:footnote>
  <w:footnote w:id="19">
    <w:p w14:paraId="273BB5DB" w14:textId="77777777" w:rsidR="00C165F1" w:rsidRPr="00244D9A" w:rsidRDefault="00C165F1" w:rsidP="00C165F1">
      <w:pPr>
        <w:pStyle w:val="FootnoteText"/>
        <w:rPr>
          <w:rFonts w:asciiTheme="majorHAnsi" w:hAnsiTheme="majorHAnsi" w:cstheme="majorHAnsi"/>
          <w:sz w:val="18"/>
          <w:szCs w:val="18"/>
          <w:lang w:val="en-US"/>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w:t>
      </w:r>
      <w:r w:rsidRPr="00244D9A">
        <w:rPr>
          <w:rFonts w:asciiTheme="majorHAnsi" w:hAnsiTheme="majorHAnsi" w:cstheme="majorHAnsi"/>
          <w:sz w:val="18"/>
          <w:szCs w:val="18"/>
          <w:lang w:val="en-US"/>
        </w:rPr>
        <w:t xml:space="preserve">McGagh, J et al (2016), </w:t>
      </w:r>
      <w:r w:rsidRPr="00244D9A">
        <w:rPr>
          <w:rFonts w:asciiTheme="majorHAnsi" w:hAnsiTheme="majorHAnsi" w:cstheme="majorHAnsi"/>
          <w:i/>
          <w:sz w:val="18"/>
          <w:szCs w:val="18"/>
          <w:lang w:val="en-US"/>
        </w:rPr>
        <w:t>Review of Australia’s Research Training System</w:t>
      </w:r>
      <w:r w:rsidRPr="00244D9A">
        <w:rPr>
          <w:rFonts w:asciiTheme="majorHAnsi" w:hAnsiTheme="majorHAnsi" w:cstheme="majorHAnsi"/>
          <w:sz w:val="18"/>
          <w:szCs w:val="18"/>
          <w:lang w:val="en-US"/>
        </w:rPr>
        <w:t xml:space="preserve">, Report for the Australian Council of Learned Academies, p. vii, www.acola.org.au &gt; Publications &gt; Reports &gt; </w:t>
      </w:r>
      <w:hyperlink r:id="rId12" w:history="1">
        <w:r w:rsidRPr="00244D9A">
          <w:rPr>
            <w:rStyle w:val="Hyperlink"/>
            <w:rFonts w:cstheme="majorHAnsi"/>
            <w:szCs w:val="18"/>
            <w:lang w:val="en-US"/>
          </w:rPr>
          <w:t>Research training system review</w:t>
        </w:r>
      </w:hyperlink>
      <w:r w:rsidRPr="00244D9A">
        <w:rPr>
          <w:rFonts w:asciiTheme="majorHAnsi" w:hAnsiTheme="majorHAnsi" w:cstheme="majorHAnsi"/>
          <w:sz w:val="18"/>
          <w:szCs w:val="18"/>
          <w:lang w:val="en-US"/>
        </w:rPr>
        <w:t>.</w:t>
      </w:r>
    </w:p>
  </w:footnote>
  <w:footnote w:id="20">
    <w:p w14:paraId="38BC661B" w14:textId="1271848E" w:rsidR="00C165F1" w:rsidRPr="008B655A" w:rsidRDefault="00C165F1" w:rsidP="00C165F1">
      <w:pPr>
        <w:pStyle w:val="FootnoteText"/>
        <w:rPr>
          <w:rFonts w:asciiTheme="majorHAnsi" w:hAnsiTheme="majorHAnsi" w:cstheme="majorHAnsi"/>
          <w:sz w:val="18"/>
          <w:szCs w:val="18"/>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Department of Industry, Innovation and Science (2017), </w:t>
      </w:r>
      <w:r w:rsidRPr="00244D9A">
        <w:rPr>
          <w:rFonts w:asciiTheme="majorHAnsi" w:hAnsiTheme="majorHAnsi" w:cstheme="majorHAnsi"/>
          <w:i/>
          <w:sz w:val="18"/>
          <w:szCs w:val="18"/>
        </w:rPr>
        <w:t>Australian Innovation System Report</w:t>
      </w:r>
      <w:r w:rsidRPr="00244D9A">
        <w:rPr>
          <w:rFonts w:asciiTheme="majorHAnsi" w:hAnsiTheme="majorHAnsi" w:cstheme="majorHAnsi"/>
          <w:sz w:val="18"/>
          <w:szCs w:val="18"/>
        </w:rPr>
        <w:t xml:space="preserve">, Canberra, pp. 16–17, www.industry.gov.au &gt; About Us &gt; Our Structure &gt; Australian Innovation System Monitor &gt; </w:t>
      </w:r>
      <w:hyperlink r:id="rId13" w:history="1">
        <w:r w:rsidRPr="00244D9A">
          <w:rPr>
            <w:rStyle w:val="Hyperlink"/>
            <w:rFonts w:cstheme="majorHAnsi"/>
            <w:szCs w:val="18"/>
          </w:rPr>
          <w:t>Australian Innovation System Report 2017</w:t>
        </w:r>
      </w:hyperlink>
      <w:r w:rsidRPr="00244D9A">
        <w:rPr>
          <w:rFonts w:asciiTheme="majorHAnsi" w:hAnsiTheme="majorHAnsi" w:cstheme="majorHAnsi"/>
          <w:sz w:val="18"/>
          <w:szCs w:val="18"/>
        </w:rPr>
        <w:t xml:space="preserve">; Bell, J et al (2015), </w:t>
      </w:r>
      <w:r w:rsidRPr="00244D9A">
        <w:rPr>
          <w:rFonts w:asciiTheme="majorHAnsi" w:hAnsiTheme="majorHAnsi" w:cstheme="majorHAnsi"/>
          <w:i/>
          <w:sz w:val="18"/>
          <w:szCs w:val="18"/>
        </w:rPr>
        <w:t>Translating research for economic and social benefit: Country comparisons</w:t>
      </w:r>
      <w:r w:rsidRPr="00244D9A">
        <w:rPr>
          <w:rFonts w:asciiTheme="majorHAnsi" w:hAnsiTheme="majorHAnsi" w:cstheme="majorHAnsi"/>
          <w:sz w:val="18"/>
          <w:szCs w:val="18"/>
        </w:rPr>
        <w:t xml:space="preserve">, Report for the Australian Council of Learned Academies, www.acola.org.au &gt; Publications &gt; Reports &gt; </w:t>
      </w:r>
      <w:hyperlink r:id="rId14" w:history="1">
        <w:r w:rsidRPr="00244D9A">
          <w:rPr>
            <w:rStyle w:val="Hyperlink"/>
            <w:rFonts w:cstheme="majorHAnsi"/>
            <w:szCs w:val="18"/>
          </w:rPr>
          <w:t xml:space="preserve">Translating research for economic and social benefit – </w:t>
        </w:r>
        <w:r w:rsidR="001D1427">
          <w:rPr>
            <w:rStyle w:val="Hyperlink"/>
            <w:rFonts w:cstheme="majorHAnsi"/>
            <w:szCs w:val="18"/>
          </w:rPr>
          <w:t>c</w:t>
        </w:r>
        <w:r w:rsidRPr="00244D9A">
          <w:rPr>
            <w:rStyle w:val="Hyperlink"/>
            <w:rFonts w:cstheme="majorHAnsi"/>
            <w:szCs w:val="18"/>
          </w:rPr>
          <w:t>ountry comparisons</w:t>
        </w:r>
      </w:hyperlink>
      <w:r w:rsidRPr="00244D9A">
        <w:rPr>
          <w:rFonts w:asciiTheme="majorHAnsi" w:hAnsiTheme="majorHAnsi" w:cstheme="majorHAnsi"/>
          <w:sz w:val="18"/>
          <w:szCs w:val="18"/>
        </w:rPr>
        <w:t>.</w:t>
      </w:r>
    </w:p>
  </w:footnote>
  <w:footnote w:id="21">
    <w:p w14:paraId="2EA5E197" w14:textId="3BAFC2C0" w:rsidR="00C165F1" w:rsidRPr="00244D9A" w:rsidRDefault="00C165F1" w:rsidP="00C165F1">
      <w:pPr>
        <w:pStyle w:val="FootnoteText"/>
        <w:rPr>
          <w:rFonts w:asciiTheme="majorHAnsi" w:hAnsiTheme="majorHAnsi" w:cstheme="majorHAnsi"/>
          <w:sz w:val="18"/>
          <w:szCs w:val="18"/>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w:t>
      </w:r>
      <w:r w:rsidRPr="00244D9A">
        <w:rPr>
          <w:rFonts w:asciiTheme="majorHAnsi" w:hAnsiTheme="majorHAnsi" w:cstheme="majorHAnsi"/>
          <w:sz w:val="18"/>
          <w:szCs w:val="18"/>
          <w:lang w:val="en-US"/>
        </w:rPr>
        <w:t xml:space="preserve">Australian Government (2015), ‘Science and </w:t>
      </w:r>
      <w:r w:rsidR="00F96D8B">
        <w:rPr>
          <w:rFonts w:asciiTheme="majorHAnsi" w:hAnsiTheme="majorHAnsi" w:cstheme="majorHAnsi"/>
          <w:sz w:val="18"/>
          <w:szCs w:val="18"/>
          <w:lang w:val="en-US"/>
        </w:rPr>
        <w:t>R</w:t>
      </w:r>
      <w:r w:rsidRPr="00244D9A">
        <w:rPr>
          <w:rFonts w:asciiTheme="majorHAnsi" w:hAnsiTheme="majorHAnsi" w:cstheme="majorHAnsi"/>
          <w:sz w:val="18"/>
          <w:szCs w:val="18"/>
          <w:lang w:val="en-US"/>
        </w:rPr>
        <w:t xml:space="preserve">esearch </w:t>
      </w:r>
      <w:r w:rsidR="00F96D8B">
        <w:rPr>
          <w:rFonts w:asciiTheme="majorHAnsi" w:hAnsiTheme="majorHAnsi" w:cstheme="majorHAnsi"/>
          <w:sz w:val="18"/>
          <w:szCs w:val="18"/>
          <w:lang w:val="en-US"/>
        </w:rPr>
        <w:t>P</w:t>
      </w:r>
      <w:r w:rsidRPr="00244D9A">
        <w:rPr>
          <w:rFonts w:asciiTheme="majorHAnsi" w:hAnsiTheme="majorHAnsi" w:cstheme="majorHAnsi"/>
          <w:sz w:val="18"/>
          <w:szCs w:val="18"/>
          <w:lang w:val="en-US"/>
        </w:rPr>
        <w:t xml:space="preserve">riorities’, www.industry.gov.au &gt; Data and </w:t>
      </w:r>
      <w:r w:rsidR="0097164A" w:rsidRPr="00244D9A">
        <w:rPr>
          <w:rFonts w:asciiTheme="majorHAnsi" w:hAnsiTheme="majorHAnsi" w:cstheme="majorHAnsi"/>
          <w:sz w:val="18"/>
          <w:szCs w:val="18"/>
          <w:lang w:val="en-US"/>
        </w:rPr>
        <w:t>P</w:t>
      </w:r>
      <w:r w:rsidRPr="00244D9A">
        <w:rPr>
          <w:rFonts w:asciiTheme="majorHAnsi" w:hAnsiTheme="majorHAnsi" w:cstheme="majorHAnsi"/>
          <w:sz w:val="18"/>
          <w:szCs w:val="18"/>
          <w:lang w:val="en-US"/>
        </w:rPr>
        <w:t xml:space="preserve">ublications &gt; Science </w:t>
      </w:r>
      <w:r w:rsidR="0097164A" w:rsidRPr="00244D9A">
        <w:rPr>
          <w:rFonts w:asciiTheme="majorHAnsi" w:hAnsiTheme="majorHAnsi" w:cstheme="majorHAnsi"/>
          <w:sz w:val="18"/>
          <w:szCs w:val="18"/>
          <w:lang w:val="en-US"/>
        </w:rPr>
        <w:t>P</w:t>
      </w:r>
      <w:r w:rsidRPr="00244D9A">
        <w:rPr>
          <w:rFonts w:asciiTheme="majorHAnsi" w:hAnsiTheme="majorHAnsi" w:cstheme="majorHAnsi"/>
          <w:sz w:val="18"/>
          <w:szCs w:val="18"/>
          <w:lang w:val="en-US"/>
        </w:rPr>
        <w:t xml:space="preserve">olicy and </w:t>
      </w:r>
      <w:r w:rsidR="0097164A" w:rsidRPr="00244D9A">
        <w:rPr>
          <w:rFonts w:asciiTheme="majorHAnsi" w:hAnsiTheme="majorHAnsi" w:cstheme="majorHAnsi"/>
          <w:sz w:val="18"/>
          <w:szCs w:val="18"/>
          <w:lang w:val="en-US"/>
        </w:rPr>
        <w:t>E</w:t>
      </w:r>
      <w:r w:rsidRPr="00244D9A">
        <w:rPr>
          <w:rFonts w:asciiTheme="majorHAnsi" w:hAnsiTheme="majorHAnsi" w:cstheme="majorHAnsi"/>
          <w:sz w:val="18"/>
          <w:szCs w:val="18"/>
          <w:lang w:val="en-US"/>
        </w:rPr>
        <w:t xml:space="preserve">ngagement &gt; </w:t>
      </w:r>
      <w:hyperlink r:id="rId15" w:history="1">
        <w:r w:rsidRPr="00244D9A">
          <w:rPr>
            <w:rStyle w:val="Hyperlink"/>
            <w:rFonts w:cstheme="majorHAnsi"/>
            <w:szCs w:val="18"/>
            <w:lang w:val="en-US"/>
          </w:rPr>
          <w:t xml:space="preserve">Science and </w:t>
        </w:r>
        <w:r w:rsidR="00F96D8B">
          <w:rPr>
            <w:rStyle w:val="Hyperlink"/>
            <w:rFonts w:cstheme="majorHAnsi"/>
            <w:szCs w:val="18"/>
            <w:lang w:val="en-US"/>
          </w:rPr>
          <w:t>R</w:t>
        </w:r>
        <w:r w:rsidRPr="00244D9A">
          <w:rPr>
            <w:rStyle w:val="Hyperlink"/>
            <w:rFonts w:cstheme="majorHAnsi"/>
            <w:szCs w:val="18"/>
            <w:lang w:val="en-US"/>
          </w:rPr>
          <w:t xml:space="preserve">esearch </w:t>
        </w:r>
        <w:r w:rsidR="00F96D8B">
          <w:rPr>
            <w:rStyle w:val="Hyperlink"/>
            <w:rFonts w:cstheme="majorHAnsi"/>
            <w:szCs w:val="18"/>
            <w:lang w:val="en-US"/>
          </w:rPr>
          <w:t>P</w:t>
        </w:r>
        <w:r w:rsidRPr="00244D9A">
          <w:rPr>
            <w:rStyle w:val="Hyperlink"/>
            <w:rFonts w:cstheme="majorHAnsi"/>
            <w:szCs w:val="18"/>
            <w:lang w:val="en-US"/>
          </w:rPr>
          <w:t>riorities</w:t>
        </w:r>
      </w:hyperlink>
      <w:r w:rsidRPr="00244D9A">
        <w:rPr>
          <w:rFonts w:asciiTheme="majorHAnsi" w:hAnsiTheme="majorHAnsi" w:cstheme="majorHAnsi"/>
          <w:sz w:val="18"/>
          <w:szCs w:val="18"/>
          <w:lang w:val="en-US"/>
        </w:rPr>
        <w:t>.</w:t>
      </w:r>
    </w:p>
  </w:footnote>
  <w:footnote w:id="22">
    <w:p w14:paraId="0BBA38DF" w14:textId="38A58774" w:rsidR="00217D8D" w:rsidRPr="00244D9A" w:rsidRDefault="00217D8D">
      <w:pPr>
        <w:pStyle w:val="FootnoteText"/>
        <w:rPr>
          <w:rFonts w:asciiTheme="majorHAnsi" w:hAnsiTheme="majorHAnsi" w:cstheme="majorHAnsi"/>
          <w:sz w:val="18"/>
          <w:szCs w:val="18"/>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w:t>
      </w:r>
      <w:hyperlink r:id="rId16" w:history="1">
        <w:r w:rsidRPr="00244D9A">
          <w:rPr>
            <w:rFonts w:asciiTheme="majorHAnsi" w:hAnsiTheme="majorHAnsi" w:cstheme="majorHAnsi"/>
            <w:sz w:val="18"/>
            <w:szCs w:val="18"/>
          </w:rPr>
          <w:t>www.arc.gov.au</w:t>
        </w:r>
      </w:hyperlink>
      <w:r w:rsidRPr="00244D9A">
        <w:rPr>
          <w:rFonts w:asciiTheme="majorHAnsi" w:hAnsiTheme="majorHAnsi" w:cstheme="majorHAnsi"/>
          <w:sz w:val="18"/>
          <w:szCs w:val="18"/>
        </w:rPr>
        <w:t xml:space="preserve"> &gt; Policies &amp; Strategies </w:t>
      </w:r>
      <w:r w:rsidR="00FC5886" w:rsidRPr="00244D9A">
        <w:rPr>
          <w:rFonts w:asciiTheme="majorHAnsi" w:hAnsiTheme="majorHAnsi" w:cstheme="majorHAnsi"/>
          <w:sz w:val="18"/>
          <w:szCs w:val="18"/>
        </w:rPr>
        <w:t xml:space="preserve">&gt; </w:t>
      </w:r>
      <w:hyperlink r:id="rId17" w:anchor=":~:text=The%20ARC%20Open%20Access%20Policy%20applies%20to%20all,not%20include%20research%20data%20and%20research%20data%20outputs." w:history="1">
        <w:r w:rsidR="00FC5886" w:rsidRPr="00244D9A">
          <w:rPr>
            <w:rStyle w:val="Hyperlink"/>
            <w:rFonts w:cstheme="majorHAnsi"/>
            <w:szCs w:val="18"/>
          </w:rPr>
          <w:t>ARC Open Access Policy</w:t>
        </w:r>
      </w:hyperlink>
      <w:r w:rsidR="00EF1E9B" w:rsidRPr="00244D9A">
        <w:rPr>
          <w:rFonts w:asciiTheme="majorHAnsi" w:hAnsiTheme="majorHAnsi" w:cstheme="majorHAnsi"/>
          <w:sz w:val="18"/>
          <w:szCs w:val="18"/>
        </w:rPr>
        <w:t>.</w:t>
      </w:r>
    </w:p>
  </w:footnote>
  <w:footnote w:id="23">
    <w:p w14:paraId="64BF2CF9" w14:textId="77777777" w:rsidR="00C165F1" w:rsidRPr="00244D9A" w:rsidRDefault="00C165F1" w:rsidP="00C165F1">
      <w:pPr>
        <w:pStyle w:val="FootnoteText"/>
        <w:rPr>
          <w:rFonts w:asciiTheme="majorHAnsi" w:hAnsiTheme="majorHAnsi" w:cstheme="majorHAnsi"/>
          <w:sz w:val="18"/>
          <w:szCs w:val="18"/>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w:t>
      </w:r>
      <w:hyperlink r:id="rId18" w:history="1">
        <w:r w:rsidRPr="00244D9A">
          <w:rPr>
            <w:rFonts w:asciiTheme="majorHAnsi" w:hAnsiTheme="majorHAnsi" w:cstheme="majorHAnsi"/>
            <w:sz w:val="18"/>
            <w:szCs w:val="18"/>
          </w:rPr>
          <w:t>www.arc.gov.au</w:t>
        </w:r>
      </w:hyperlink>
      <w:r w:rsidRPr="00244D9A">
        <w:rPr>
          <w:rFonts w:asciiTheme="majorHAnsi" w:hAnsiTheme="majorHAnsi" w:cstheme="majorHAnsi"/>
          <w:sz w:val="18"/>
          <w:szCs w:val="18"/>
        </w:rPr>
        <w:t xml:space="preserve"> &gt; Policies &amp; Strategies &gt; Policy &gt; </w:t>
      </w:r>
      <w:hyperlink r:id="rId19" w:history="1">
        <w:r w:rsidRPr="00244D9A">
          <w:rPr>
            <w:rStyle w:val="Hyperlink"/>
            <w:rFonts w:cstheme="majorHAnsi"/>
            <w:szCs w:val="18"/>
          </w:rPr>
          <w:t>ARC Research Workforce Statement</w:t>
        </w:r>
      </w:hyperlink>
      <w:r w:rsidRPr="00244D9A">
        <w:rPr>
          <w:rFonts w:asciiTheme="majorHAnsi" w:hAnsiTheme="majorHAnsi" w:cstheme="majorHAnsi"/>
          <w:sz w:val="18"/>
          <w:szCs w:val="18"/>
        </w:rPr>
        <w:t>.</w:t>
      </w:r>
    </w:p>
  </w:footnote>
  <w:footnote w:id="24">
    <w:p w14:paraId="152D434C" w14:textId="77777777" w:rsidR="00C165F1" w:rsidRPr="00244D9A" w:rsidRDefault="00C165F1" w:rsidP="00C165F1">
      <w:pPr>
        <w:pStyle w:val="FootnoteText"/>
        <w:rPr>
          <w:rFonts w:asciiTheme="majorHAnsi" w:hAnsiTheme="majorHAnsi" w:cstheme="majorHAnsi"/>
          <w:sz w:val="18"/>
          <w:szCs w:val="18"/>
          <w:lang w:val="en-US"/>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www.arc.gov.au &gt; Policies &amp; Strategies &gt; Policy &gt; </w:t>
      </w:r>
      <w:hyperlink r:id="rId20" w:history="1">
        <w:r w:rsidRPr="00244D9A">
          <w:rPr>
            <w:rStyle w:val="Hyperlink"/>
            <w:rFonts w:cstheme="majorHAnsi"/>
            <w:szCs w:val="18"/>
          </w:rPr>
          <w:t>ARC Research Workforce Statement</w:t>
        </w:r>
      </w:hyperlink>
      <w:r w:rsidRPr="00244D9A">
        <w:rPr>
          <w:rFonts w:asciiTheme="majorHAnsi" w:hAnsiTheme="majorHAnsi" w:cstheme="majorHAnsi"/>
          <w:sz w:val="18"/>
          <w:szCs w:val="18"/>
        </w:rPr>
        <w:t>.</w:t>
      </w:r>
    </w:p>
  </w:footnote>
  <w:footnote w:id="25">
    <w:p w14:paraId="047B713C" w14:textId="77777777" w:rsidR="00C165F1" w:rsidRPr="00C14841" w:rsidRDefault="00C165F1" w:rsidP="00C165F1">
      <w:pPr>
        <w:pStyle w:val="FootnoteText"/>
        <w:rPr>
          <w:rFonts w:asciiTheme="majorHAnsi" w:hAnsiTheme="majorHAnsi" w:cstheme="majorHAnsi"/>
          <w:sz w:val="18"/>
          <w:szCs w:val="18"/>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Kemp, </w:t>
      </w:r>
      <w:r w:rsidRPr="00244D9A">
        <w:rPr>
          <w:rFonts w:asciiTheme="majorHAnsi" w:hAnsiTheme="majorHAnsi" w:cstheme="majorHAnsi"/>
          <w:i/>
          <w:sz w:val="18"/>
          <w:szCs w:val="18"/>
          <w:lang w:val="en-US"/>
        </w:rPr>
        <w:t xml:space="preserve">Knowledge and Innovation, </w:t>
      </w:r>
      <w:r w:rsidRPr="00244D9A">
        <w:rPr>
          <w:rFonts w:asciiTheme="majorHAnsi" w:hAnsiTheme="majorHAnsi" w:cstheme="majorHAnsi"/>
          <w:sz w:val="18"/>
          <w:szCs w:val="18"/>
          <w:lang w:val="en-US"/>
        </w:rPr>
        <w:t>pp. 4–5.</w:t>
      </w:r>
    </w:p>
  </w:footnote>
  <w:footnote w:id="26">
    <w:p w14:paraId="0EB3CE3C" w14:textId="77777777" w:rsidR="00C165F1" w:rsidRPr="007C37B8" w:rsidRDefault="00C165F1" w:rsidP="00C165F1">
      <w:pPr>
        <w:pStyle w:val="FootnoteText"/>
        <w:rPr>
          <w:rFonts w:asciiTheme="majorHAnsi" w:hAnsiTheme="majorHAnsi" w:cstheme="majorHAnsi"/>
          <w:sz w:val="18"/>
          <w:szCs w:val="18"/>
          <w:lang w:val="en-US"/>
        </w:rPr>
      </w:pPr>
      <w:r w:rsidRPr="007C37B8">
        <w:rPr>
          <w:rStyle w:val="FootnoteReference"/>
          <w:rFonts w:asciiTheme="majorHAnsi" w:hAnsiTheme="majorHAnsi" w:cstheme="majorHAnsi"/>
          <w:sz w:val="18"/>
          <w:szCs w:val="18"/>
        </w:rPr>
        <w:footnoteRef/>
      </w:r>
      <w:r w:rsidRPr="007C37B8">
        <w:rPr>
          <w:rFonts w:asciiTheme="majorHAnsi" w:hAnsiTheme="majorHAnsi" w:cstheme="majorHAnsi"/>
          <w:sz w:val="18"/>
          <w:szCs w:val="18"/>
        </w:rPr>
        <w:t xml:space="preserve"> </w:t>
      </w:r>
      <w:r>
        <w:rPr>
          <w:rFonts w:asciiTheme="majorHAnsi" w:hAnsiTheme="majorHAnsi" w:cstheme="majorHAnsi"/>
          <w:sz w:val="18"/>
          <w:szCs w:val="18"/>
        </w:rPr>
        <w:t xml:space="preserve">There are no eligibility requirements relating to contributions under the Discovery Projects scheme. </w:t>
      </w:r>
      <w:r w:rsidRPr="007C37B8">
        <w:rPr>
          <w:rFonts w:asciiTheme="majorHAnsi" w:hAnsiTheme="majorHAnsi" w:cstheme="majorHAnsi"/>
          <w:sz w:val="18"/>
          <w:szCs w:val="18"/>
        </w:rPr>
        <w:t>Data includes Administering Organisations, Other Eligible Organisations and Other Organisations, as defined within the Discovery Program Grant Guidelines.</w:t>
      </w:r>
    </w:p>
  </w:footnote>
  <w:footnote w:id="27">
    <w:p w14:paraId="22FB998F" w14:textId="0089F19A" w:rsidR="00C165F1" w:rsidRPr="00C3698D" w:rsidRDefault="00C165F1" w:rsidP="00C165F1">
      <w:pPr>
        <w:pStyle w:val="FootnoteText"/>
        <w:rPr>
          <w:rFonts w:asciiTheme="majorHAnsi" w:hAnsiTheme="majorHAnsi" w:cstheme="majorHAnsi"/>
          <w:sz w:val="18"/>
          <w:szCs w:val="18"/>
        </w:rPr>
      </w:pPr>
      <w:r w:rsidRPr="00833F2E">
        <w:rPr>
          <w:rStyle w:val="FootnoteReference"/>
          <w:rFonts w:asciiTheme="majorHAnsi" w:hAnsiTheme="majorHAnsi" w:cstheme="majorHAnsi"/>
          <w:sz w:val="18"/>
          <w:szCs w:val="18"/>
        </w:rPr>
        <w:footnoteRef/>
      </w:r>
      <w:r w:rsidRPr="00833F2E">
        <w:rPr>
          <w:rFonts w:asciiTheme="majorHAnsi" w:hAnsiTheme="majorHAnsi" w:cstheme="majorHAnsi"/>
          <w:sz w:val="18"/>
          <w:szCs w:val="18"/>
        </w:rPr>
        <w:t xml:space="preserve"> This evaluation employs the ANZSRC codes introduced in 2008. ARC dat</w:t>
      </w:r>
      <w:r w:rsidRPr="003007BD">
        <w:rPr>
          <w:rFonts w:asciiTheme="majorHAnsi" w:hAnsiTheme="majorHAnsi" w:cstheme="majorHAnsi"/>
          <w:sz w:val="18"/>
          <w:szCs w:val="18"/>
        </w:rPr>
        <w:t>a have not yet been re-categorised using the 2020 ANZSRC. Th</w:t>
      </w:r>
      <w:r w:rsidRPr="00C3698D">
        <w:rPr>
          <w:rFonts w:asciiTheme="majorHAnsi" w:hAnsiTheme="majorHAnsi" w:cstheme="majorHAnsi"/>
          <w:sz w:val="18"/>
          <w:szCs w:val="18"/>
        </w:rPr>
        <w:t>e full list of FoR categories is available at www.abs.gov.au</w:t>
      </w:r>
      <w:r w:rsidRPr="00C3698D">
        <w:rPr>
          <w:rFonts w:asciiTheme="majorHAnsi" w:hAnsiTheme="majorHAnsi" w:cstheme="majorHAnsi"/>
          <w:sz w:val="18"/>
          <w:szCs w:val="18"/>
          <w:lang w:val="en-US"/>
        </w:rPr>
        <w:t xml:space="preserve"> &gt; Statistics &gt; Technology &amp; Innovation &gt; ANZSRC</w:t>
      </w:r>
      <w:r w:rsidR="00A242FA" w:rsidRPr="00C3698D">
        <w:rPr>
          <w:rFonts w:asciiTheme="majorHAnsi" w:hAnsiTheme="majorHAnsi" w:cstheme="majorHAnsi"/>
          <w:sz w:val="18"/>
          <w:szCs w:val="18"/>
          <w:lang w:val="en-US"/>
        </w:rPr>
        <w:t>—</w:t>
      </w:r>
      <w:r w:rsidRPr="00C3698D">
        <w:rPr>
          <w:rFonts w:asciiTheme="majorHAnsi" w:hAnsiTheme="majorHAnsi" w:cstheme="majorHAnsi"/>
          <w:sz w:val="18"/>
          <w:szCs w:val="18"/>
          <w:lang w:val="en-US"/>
        </w:rPr>
        <w:t xml:space="preserve">Research Classifications &gt; Past &amp; Future Releases &gt; Australian and New Zealand Standard Research Classification (ANZSRC) 2008 &gt; </w:t>
      </w:r>
      <w:hyperlink r:id="rId21" w:history="1">
        <w:r w:rsidRPr="00C3698D">
          <w:rPr>
            <w:rStyle w:val="Hyperlink"/>
            <w:rFonts w:cstheme="majorHAnsi"/>
            <w:szCs w:val="18"/>
            <w:lang w:val="en-US"/>
          </w:rPr>
          <w:t>Contents</w:t>
        </w:r>
      </w:hyperlink>
      <w:r w:rsidRPr="00833F2E">
        <w:rPr>
          <w:rFonts w:asciiTheme="majorHAnsi" w:hAnsiTheme="majorHAnsi" w:cstheme="majorHAnsi"/>
          <w:sz w:val="18"/>
          <w:szCs w:val="18"/>
          <w:lang w:val="en-US"/>
        </w:rPr>
        <w:t xml:space="preserve">. </w:t>
      </w:r>
      <w:r w:rsidRPr="003007BD">
        <w:rPr>
          <w:rFonts w:asciiTheme="majorHAnsi" w:hAnsiTheme="majorHAnsi" w:cstheme="majorHAnsi"/>
          <w:sz w:val="18"/>
          <w:szCs w:val="18"/>
        </w:rPr>
        <w:t>Prior to 2011, Research Fields, Courses and Di</w:t>
      </w:r>
      <w:r w:rsidRPr="00C3698D">
        <w:rPr>
          <w:rFonts w:asciiTheme="majorHAnsi" w:hAnsiTheme="majorHAnsi" w:cstheme="majorHAnsi"/>
          <w:sz w:val="18"/>
          <w:szCs w:val="18"/>
        </w:rPr>
        <w:t>sciplines (RFCD) was used in place of FoR codes for data collection by the ARC. RFCD codes from this period have been converted to corresponding FoR codes.</w:t>
      </w:r>
    </w:p>
  </w:footnote>
  <w:footnote w:id="28">
    <w:p w14:paraId="196FCB07" w14:textId="3D88A18E" w:rsidR="00C3698D" w:rsidRPr="007057E6" w:rsidRDefault="00C3698D">
      <w:pPr>
        <w:pStyle w:val="FootnoteText"/>
        <w:rPr>
          <w:rFonts w:asciiTheme="majorHAnsi" w:hAnsiTheme="majorHAnsi" w:cstheme="majorHAnsi"/>
          <w:sz w:val="18"/>
          <w:szCs w:val="18"/>
        </w:rPr>
      </w:pPr>
      <w:r w:rsidRPr="007057E6">
        <w:rPr>
          <w:rStyle w:val="FootnoteReference"/>
          <w:rFonts w:asciiTheme="majorHAnsi" w:hAnsiTheme="majorHAnsi" w:cstheme="majorHAnsi"/>
          <w:sz w:val="18"/>
          <w:szCs w:val="18"/>
        </w:rPr>
        <w:footnoteRef/>
      </w:r>
      <w:r w:rsidRPr="007057E6">
        <w:rPr>
          <w:rFonts w:asciiTheme="majorHAnsi" w:hAnsiTheme="majorHAnsi" w:cstheme="majorHAnsi"/>
          <w:sz w:val="18"/>
          <w:szCs w:val="18"/>
        </w:rPr>
        <w:t xml:space="preserve"> </w:t>
      </w:r>
      <w:r w:rsidRPr="00833F2E">
        <w:rPr>
          <w:rFonts w:asciiTheme="majorHAnsi" w:hAnsiTheme="majorHAnsi" w:cstheme="majorHAnsi"/>
          <w:sz w:val="18"/>
          <w:szCs w:val="18"/>
        </w:rPr>
        <w:t xml:space="preserve">Applications ask researchers to provide up to three 6-digit FoR codes to describe their research. </w:t>
      </w:r>
      <w:r w:rsidRPr="003007BD">
        <w:rPr>
          <w:rFonts w:asciiTheme="majorHAnsi" w:hAnsiTheme="majorHAnsi" w:cstheme="majorHAnsi"/>
          <w:sz w:val="18"/>
          <w:szCs w:val="18"/>
        </w:rPr>
        <w:t>These responses have been rolled up to 2-digit FoR codes wit</w:t>
      </w:r>
      <w:r w:rsidRPr="00C3698D">
        <w:rPr>
          <w:rFonts w:asciiTheme="majorHAnsi" w:hAnsiTheme="majorHAnsi" w:cstheme="majorHAnsi"/>
          <w:sz w:val="18"/>
          <w:szCs w:val="18"/>
        </w:rPr>
        <w:t>hin the provided data. Where applications have multiple FoR codes, the primary code is designated according to the highest percentage weighting assigned. If two or more codes have the same weighting, the primary code has been selected randomly.</w:t>
      </w:r>
    </w:p>
  </w:footnote>
  <w:footnote w:id="29">
    <w:p w14:paraId="293EBA8C" w14:textId="5771669A" w:rsidR="00C165F1" w:rsidRPr="0006444F" w:rsidRDefault="00C165F1" w:rsidP="00C165F1">
      <w:pPr>
        <w:pStyle w:val="FootnoteText"/>
        <w:rPr>
          <w:rFonts w:asciiTheme="majorHAnsi" w:hAnsiTheme="majorHAnsi" w:cstheme="majorHAnsi"/>
          <w:sz w:val="18"/>
          <w:szCs w:val="18"/>
          <w:lang w:eastAsia="en-AU"/>
        </w:rPr>
      </w:pPr>
      <w:r w:rsidRPr="00833F2E">
        <w:rPr>
          <w:rStyle w:val="FootnoteReference"/>
          <w:rFonts w:asciiTheme="majorHAnsi" w:hAnsiTheme="majorHAnsi" w:cstheme="majorHAnsi"/>
          <w:sz w:val="18"/>
          <w:szCs w:val="18"/>
        </w:rPr>
        <w:footnoteRef/>
      </w:r>
      <w:r w:rsidRPr="00833F2E">
        <w:rPr>
          <w:rFonts w:asciiTheme="majorHAnsi" w:hAnsiTheme="majorHAnsi" w:cstheme="majorHAnsi"/>
          <w:sz w:val="18"/>
          <w:szCs w:val="18"/>
        </w:rPr>
        <w:t xml:space="preserve"> </w:t>
      </w:r>
      <w:r w:rsidR="00C3698D" w:rsidRPr="00C3698D">
        <w:rPr>
          <w:rFonts w:asciiTheme="majorHAnsi" w:hAnsiTheme="majorHAnsi" w:cstheme="majorHAnsi"/>
          <w:sz w:val="18"/>
          <w:szCs w:val="18"/>
        </w:rPr>
        <w:t xml:space="preserve">The STEM 2-digit FoRs are: Mathematical Sciences, Physical Sciences, Chemical Sciences, Earth Sciences, Environmental Sciences, Biological Sciences, </w:t>
      </w:r>
      <w:r w:rsidR="00C3698D">
        <w:rPr>
          <w:rFonts w:asciiTheme="majorHAnsi" w:hAnsiTheme="majorHAnsi" w:cstheme="majorHAnsi"/>
          <w:sz w:val="18"/>
          <w:szCs w:val="18"/>
        </w:rPr>
        <w:t>Agricultural</w:t>
      </w:r>
      <w:r w:rsidR="00C3698D" w:rsidRPr="00833F2E">
        <w:rPr>
          <w:rFonts w:asciiTheme="majorHAnsi" w:hAnsiTheme="majorHAnsi" w:cstheme="majorHAnsi"/>
          <w:sz w:val="18"/>
          <w:szCs w:val="18"/>
        </w:rPr>
        <w:t xml:space="preserve"> and Veterinary Sciences, Information and Computing Sciences, Engineering, Technology, Medical and Health Sciences and</w:t>
      </w:r>
      <w:r w:rsidR="00C3698D" w:rsidRPr="003007BD">
        <w:rPr>
          <w:rFonts w:asciiTheme="majorHAnsi" w:hAnsiTheme="majorHAnsi" w:cstheme="majorHAnsi"/>
          <w:sz w:val="18"/>
          <w:szCs w:val="18"/>
        </w:rPr>
        <w:t xml:space="preserve"> </w:t>
      </w:r>
      <w:r w:rsidR="00C3698D" w:rsidRPr="00C3698D">
        <w:rPr>
          <w:rFonts w:asciiTheme="majorHAnsi" w:hAnsiTheme="majorHAnsi" w:cstheme="majorHAnsi"/>
          <w:sz w:val="18"/>
          <w:szCs w:val="18"/>
        </w:rPr>
        <w:t>Psychology and Cognitive Sciences. The HASS 2-digit FoRs are: Built Environment and Design, Education, Economics, Commerce, Management, Tourism and Services, Studies in Human Society, Law and Legal Studies, Studies in Creative Arts and Writing, Language, Communication and Culture, History and Archaeology and Philosophy and Religious Studies</w:t>
      </w:r>
      <w:r w:rsidR="00C3698D">
        <w:rPr>
          <w:rFonts w:asciiTheme="majorHAnsi" w:hAnsiTheme="majorHAnsi" w:cstheme="majorHAnsi"/>
          <w:sz w:val="18"/>
          <w:szCs w:val="18"/>
        </w:rPr>
        <w:t>.</w:t>
      </w:r>
    </w:p>
  </w:footnote>
  <w:footnote w:id="30">
    <w:p w14:paraId="66875E28" w14:textId="3A5E0886" w:rsidR="00C165F1" w:rsidRPr="00244D9A" w:rsidRDefault="00C165F1" w:rsidP="00106ABC">
      <w:pPr>
        <w:spacing w:after="0"/>
        <w:rPr>
          <w:rFonts w:asciiTheme="majorHAnsi" w:hAnsiTheme="majorHAnsi" w:cstheme="majorHAnsi"/>
          <w:sz w:val="18"/>
          <w:szCs w:val="18"/>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w:t>
      </w:r>
      <w:r w:rsidRPr="00244D9A">
        <w:rPr>
          <w:rFonts w:asciiTheme="majorHAnsi" w:hAnsiTheme="majorHAnsi" w:cstheme="majorHAnsi"/>
          <w:sz w:val="18"/>
          <w:szCs w:val="18"/>
          <w:lang w:eastAsia="en-AU"/>
        </w:rPr>
        <w:t xml:space="preserve">The National Health and Medical Research Council (NHMRC) bears primary responsibility for administering grant programs supporting medical research within Australia. The ARC’s approach to medical and health research is outlined within the </w:t>
      </w:r>
      <w:r w:rsidRPr="00244D9A">
        <w:rPr>
          <w:rFonts w:asciiTheme="majorHAnsi" w:hAnsiTheme="majorHAnsi" w:cstheme="majorHAnsi"/>
          <w:i/>
          <w:iCs/>
          <w:sz w:val="18"/>
          <w:szCs w:val="18"/>
          <w:lang w:eastAsia="en-AU"/>
        </w:rPr>
        <w:t>ARC Medical Research Policy</w:t>
      </w:r>
      <w:r w:rsidRPr="00244D9A">
        <w:rPr>
          <w:rFonts w:asciiTheme="majorHAnsi" w:hAnsiTheme="majorHAnsi" w:cstheme="majorHAnsi"/>
          <w:sz w:val="18"/>
          <w:szCs w:val="18"/>
          <w:lang w:eastAsia="en-AU"/>
        </w:rPr>
        <w:t>,</w:t>
      </w:r>
      <w:r w:rsidR="00686255">
        <w:rPr>
          <w:rFonts w:asciiTheme="majorHAnsi" w:hAnsiTheme="majorHAnsi" w:cstheme="majorHAnsi"/>
          <w:sz w:val="18"/>
          <w:szCs w:val="18"/>
          <w:lang w:eastAsia="en-AU"/>
        </w:rPr>
        <w:t xml:space="preserve"> www.arc.gov.au </w:t>
      </w:r>
      <w:r w:rsidRPr="00244D9A">
        <w:rPr>
          <w:rFonts w:asciiTheme="majorHAnsi" w:hAnsiTheme="majorHAnsi" w:cstheme="majorHAnsi"/>
          <w:sz w:val="18"/>
          <w:szCs w:val="18"/>
          <w:lang w:eastAsia="en-AU"/>
        </w:rPr>
        <w:t xml:space="preserve">&gt; Policies &amp; Strategies &gt; Policy &gt; </w:t>
      </w:r>
      <w:hyperlink r:id="rId22" w:history="1">
        <w:r w:rsidRPr="00244D9A">
          <w:rPr>
            <w:rStyle w:val="Hyperlink"/>
            <w:rFonts w:cstheme="majorHAnsi"/>
            <w:szCs w:val="18"/>
            <w:lang w:eastAsia="en-AU"/>
          </w:rPr>
          <w:t>ARC Medical Research Policy</w:t>
        </w:r>
      </w:hyperlink>
      <w:r w:rsidRPr="00244D9A">
        <w:rPr>
          <w:rFonts w:asciiTheme="majorHAnsi" w:hAnsiTheme="majorHAnsi" w:cstheme="majorHAnsi"/>
          <w:sz w:val="18"/>
          <w:szCs w:val="18"/>
          <w:lang w:eastAsia="en-AU"/>
        </w:rPr>
        <w:t>.</w:t>
      </w:r>
    </w:p>
  </w:footnote>
  <w:footnote w:id="31">
    <w:p w14:paraId="72340171" w14:textId="77777777" w:rsidR="00C165F1" w:rsidRPr="00244D9A" w:rsidRDefault="00C165F1" w:rsidP="00C165F1">
      <w:pPr>
        <w:pStyle w:val="FootnoteText"/>
        <w:rPr>
          <w:rFonts w:asciiTheme="majorHAnsi" w:hAnsiTheme="majorHAnsi" w:cstheme="majorHAnsi"/>
          <w:sz w:val="18"/>
          <w:szCs w:val="18"/>
          <w:lang w:val="en-US"/>
        </w:rPr>
      </w:pPr>
      <w:r w:rsidRPr="00244D9A">
        <w:rPr>
          <w:rStyle w:val="FootnoteReference"/>
          <w:rFonts w:asciiTheme="majorHAnsi" w:hAnsiTheme="majorHAnsi" w:cstheme="majorHAnsi"/>
          <w:sz w:val="18"/>
          <w:szCs w:val="18"/>
        </w:rPr>
        <w:footnoteRef/>
      </w:r>
      <w:r w:rsidRPr="00244D9A">
        <w:rPr>
          <w:rFonts w:asciiTheme="majorHAnsi" w:hAnsiTheme="majorHAnsi" w:cstheme="majorHAnsi"/>
          <w:sz w:val="18"/>
          <w:szCs w:val="18"/>
        </w:rPr>
        <w:t xml:space="preserve"> House of Representatives Standing Committee on Employment, Education and Training (2019), </w:t>
      </w:r>
      <w:r w:rsidRPr="00244D9A">
        <w:rPr>
          <w:rFonts w:asciiTheme="majorHAnsi" w:hAnsiTheme="majorHAnsi" w:cstheme="majorHAnsi"/>
          <w:i/>
          <w:sz w:val="18"/>
          <w:szCs w:val="18"/>
        </w:rPr>
        <w:t>Australian Government funding arrangements for non-NHMRC research</w:t>
      </w:r>
      <w:r w:rsidRPr="00244D9A">
        <w:rPr>
          <w:rFonts w:asciiTheme="majorHAnsi" w:hAnsiTheme="majorHAnsi" w:cstheme="majorHAnsi"/>
          <w:sz w:val="18"/>
          <w:szCs w:val="18"/>
        </w:rPr>
        <w:t xml:space="preserve">, Commonwealth of Australia, Canberra, pp. 23–26, www.aph.gov.au &gt; Parliamentary Business &gt; Committees &gt; House Committees &gt; Employment, Education and Training &gt; Completed Inquiries and Reports &gt; 45th Parliament &gt; </w:t>
      </w:r>
      <w:hyperlink r:id="rId23" w:history="1">
        <w:r w:rsidRPr="00244D9A">
          <w:rPr>
            <w:rStyle w:val="Hyperlink"/>
            <w:rFonts w:cstheme="majorHAnsi"/>
            <w:szCs w:val="18"/>
          </w:rPr>
          <w:t>Australian Government funding arrangements for non-NHMRC research</w:t>
        </w:r>
      </w:hyperlink>
      <w:r w:rsidRPr="00244D9A">
        <w:rPr>
          <w:rFonts w:asciiTheme="majorHAnsi" w:hAnsiTheme="majorHAnsi" w:cstheme="majorHAnsi"/>
          <w:sz w:val="18"/>
          <w:szCs w:val="18"/>
        </w:rPr>
        <w:t>.</w:t>
      </w:r>
    </w:p>
  </w:footnote>
  <w:footnote w:id="32">
    <w:p w14:paraId="50282EE1" w14:textId="772F75F0" w:rsidR="00C165F1" w:rsidRPr="00875068" w:rsidRDefault="00C165F1" w:rsidP="00C165F1">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www.arc.gov.au &gt; Policies &amp; Strategies &gt; Policy &gt; </w:t>
      </w:r>
      <w:hyperlink r:id="rId24" w:history="1">
        <w:r w:rsidRPr="00875068">
          <w:rPr>
            <w:rStyle w:val="Hyperlink"/>
            <w:rFonts w:cstheme="majorHAnsi"/>
            <w:szCs w:val="18"/>
          </w:rPr>
          <w:t>ARC Statement of Support for Interdisciplinary Research</w:t>
        </w:r>
      </w:hyperlink>
      <w:r w:rsidRPr="00875068">
        <w:rPr>
          <w:rFonts w:asciiTheme="majorHAnsi" w:hAnsiTheme="majorHAnsi" w:cstheme="majorHAnsi"/>
          <w:sz w:val="18"/>
          <w:szCs w:val="18"/>
        </w:rPr>
        <w:t>.</w:t>
      </w:r>
      <w:r w:rsidR="008D4413">
        <w:rPr>
          <w:rFonts w:asciiTheme="majorHAnsi" w:hAnsiTheme="majorHAnsi" w:cstheme="majorHAnsi"/>
          <w:sz w:val="18"/>
          <w:szCs w:val="18"/>
        </w:rPr>
        <w:t xml:space="preserve"> </w:t>
      </w:r>
      <w:r w:rsidR="00AF1F68">
        <w:rPr>
          <w:rFonts w:asciiTheme="majorHAnsi" w:hAnsiTheme="majorHAnsi" w:cstheme="majorHAnsi"/>
          <w:sz w:val="18"/>
          <w:szCs w:val="18"/>
        </w:rPr>
        <w:t xml:space="preserve">Version 1.0 of this statement was released in 2016, followed by </w:t>
      </w:r>
      <w:r w:rsidR="00AE0738">
        <w:rPr>
          <w:rFonts w:asciiTheme="majorHAnsi" w:hAnsiTheme="majorHAnsi" w:cstheme="majorHAnsi"/>
          <w:sz w:val="18"/>
          <w:szCs w:val="18"/>
        </w:rPr>
        <w:t>V</w:t>
      </w:r>
      <w:r w:rsidR="00AF1F68">
        <w:rPr>
          <w:rFonts w:asciiTheme="majorHAnsi" w:hAnsiTheme="majorHAnsi" w:cstheme="majorHAnsi"/>
          <w:sz w:val="18"/>
          <w:szCs w:val="18"/>
        </w:rPr>
        <w:t xml:space="preserve">ersion 1.1 in 2017. </w:t>
      </w:r>
    </w:p>
  </w:footnote>
  <w:footnote w:id="33">
    <w:p w14:paraId="309B5E0F" w14:textId="77777777" w:rsidR="00C165F1" w:rsidRPr="007F45DD" w:rsidRDefault="00C165F1" w:rsidP="00C165F1">
      <w:pPr>
        <w:pStyle w:val="FootnoteText"/>
        <w:rPr>
          <w:rFonts w:asciiTheme="majorHAnsi" w:hAnsiTheme="majorHAnsi" w:cstheme="majorHAnsi"/>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Bromham, L et al (2016), ‘Interdisciplinary research has consistently lower funding success’, </w:t>
      </w:r>
      <w:r w:rsidRPr="00875068">
        <w:rPr>
          <w:rFonts w:asciiTheme="majorHAnsi" w:hAnsiTheme="majorHAnsi" w:cstheme="majorHAnsi"/>
          <w:i/>
          <w:sz w:val="18"/>
          <w:szCs w:val="18"/>
        </w:rPr>
        <w:t xml:space="preserve">Nature </w:t>
      </w:r>
      <w:r w:rsidRPr="00875068">
        <w:rPr>
          <w:rFonts w:asciiTheme="majorHAnsi" w:hAnsiTheme="majorHAnsi" w:cstheme="majorHAnsi"/>
          <w:sz w:val="18"/>
          <w:szCs w:val="18"/>
        </w:rPr>
        <w:t xml:space="preserve">vol. 534: 685–686; Langfeldt, L (2006), ‘The policy challenges of peer review: managing bias, conflict of interests and interdisciplinary assessments’, </w:t>
      </w:r>
      <w:r w:rsidRPr="00875068">
        <w:rPr>
          <w:rFonts w:asciiTheme="majorHAnsi" w:hAnsiTheme="majorHAnsi" w:cstheme="majorHAnsi"/>
          <w:i/>
          <w:sz w:val="18"/>
          <w:szCs w:val="18"/>
        </w:rPr>
        <w:t xml:space="preserve">Research Evaluation </w:t>
      </w:r>
      <w:r w:rsidRPr="00875068">
        <w:rPr>
          <w:rFonts w:asciiTheme="majorHAnsi" w:hAnsiTheme="majorHAnsi" w:cstheme="majorHAnsi"/>
          <w:sz w:val="18"/>
          <w:szCs w:val="18"/>
        </w:rPr>
        <w:t>vol 15, no. 1: 31–41.</w:t>
      </w:r>
    </w:p>
  </w:footnote>
  <w:footnote w:id="34">
    <w:p w14:paraId="537423A4" w14:textId="14E7B661" w:rsidR="00C165F1" w:rsidRPr="007F45DD" w:rsidRDefault="00C165F1" w:rsidP="00C165F1">
      <w:pPr>
        <w:pStyle w:val="FootnoteText"/>
        <w:rPr>
          <w:rFonts w:asciiTheme="majorHAnsi" w:hAnsiTheme="majorHAnsi" w:cstheme="majorHAnsi"/>
          <w:sz w:val="18"/>
          <w:szCs w:val="18"/>
        </w:rPr>
      </w:pPr>
      <w:r w:rsidRPr="00EC3D27">
        <w:rPr>
          <w:rStyle w:val="FootnoteReference"/>
          <w:rFonts w:asciiTheme="majorHAnsi" w:hAnsiTheme="majorHAnsi" w:cstheme="majorHAnsi"/>
          <w:sz w:val="18"/>
          <w:szCs w:val="18"/>
        </w:rPr>
        <w:footnoteRef/>
      </w:r>
      <w:r w:rsidRPr="00EC3D27">
        <w:rPr>
          <w:rFonts w:asciiTheme="majorHAnsi" w:hAnsiTheme="majorHAnsi" w:cstheme="majorHAnsi"/>
          <w:sz w:val="18"/>
          <w:szCs w:val="18"/>
        </w:rPr>
        <w:t xml:space="preserve"> </w:t>
      </w:r>
      <w:r w:rsidRPr="007F45DD">
        <w:rPr>
          <w:rFonts w:asciiTheme="majorHAnsi" w:hAnsiTheme="majorHAnsi" w:cstheme="majorHAnsi"/>
          <w:sz w:val="18"/>
          <w:szCs w:val="18"/>
        </w:rPr>
        <w:t xml:space="preserve">Data on final report submission timing </w:t>
      </w:r>
      <w:r w:rsidR="00CC393C">
        <w:rPr>
          <w:rFonts w:asciiTheme="majorHAnsi" w:hAnsiTheme="majorHAnsi" w:cstheme="majorHAnsi"/>
          <w:sz w:val="18"/>
          <w:szCs w:val="18"/>
        </w:rPr>
        <w:t>before</w:t>
      </w:r>
      <w:r w:rsidRPr="007F45DD">
        <w:rPr>
          <w:rFonts w:asciiTheme="majorHAnsi" w:hAnsiTheme="majorHAnsi" w:cstheme="majorHAnsi"/>
          <w:sz w:val="18"/>
          <w:szCs w:val="18"/>
        </w:rPr>
        <w:t xml:space="preserve"> July 2015 not available </w:t>
      </w:r>
      <w:r w:rsidR="006B7005">
        <w:rPr>
          <w:rFonts w:asciiTheme="majorHAnsi" w:hAnsiTheme="majorHAnsi" w:cstheme="majorHAnsi"/>
          <w:sz w:val="18"/>
          <w:szCs w:val="18"/>
        </w:rPr>
        <w:t>prior to the introduction of RMS 2.0</w:t>
      </w:r>
      <w:r w:rsidRPr="007F45DD">
        <w:rPr>
          <w:rFonts w:asciiTheme="majorHAnsi" w:hAnsiTheme="majorHAnsi" w:cstheme="majorHAnsi"/>
          <w:sz w:val="18"/>
          <w:szCs w:val="18"/>
        </w:rPr>
        <w:t>; 2020 has been omitted due to the low number of reports submitted</w:t>
      </w:r>
      <w:r>
        <w:rPr>
          <w:rFonts w:asciiTheme="majorHAnsi" w:hAnsiTheme="majorHAnsi" w:cstheme="majorHAnsi"/>
          <w:sz w:val="18"/>
          <w:szCs w:val="18"/>
        </w:rPr>
        <w:t xml:space="preserve"> at the time of this report</w:t>
      </w:r>
      <w:r w:rsidRPr="007F45DD">
        <w:rPr>
          <w:rFonts w:asciiTheme="majorHAnsi" w:hAnsiTheme="majorHAnsi" w:cstheme="majorHAnsi"/>
          <w:sz w:val="18"/>
          <w:szCs w:val="18"/>
        </w:rPr>
        <w:t xml:space="preserve">.  </w:t>
      </w:r>
    </w:p>
  </w:footnote>
  <w:footnote w:id="35">
    <w:p w14:paraId="5F6858A9" w14:textId="46FE5099" w:rsidR="0034174B" w:rsidRDefault="0034174B">
      <w:pPr>
        <w:pStyle w:val="FootnoteText"/>
      </w:pPr>
      <w:r w:rsidRPr="001201E1">
        <w:rPr>
          <w:rStyle w:val="FootnoteReference"/>
          <w:rFonts w:asciiTheme="majorHAnsi" w:hAnsiTheme="majorHAnsi" w:cstheme="majorHAnsi"/>
        </w:rPr>
        <w:footnoteRef/>
      </w:r>
      <w:r w:rsidR="00CC393C">
        <w:rPr>
          <w:rFonts w:asciiTheme="majorHAnsi" w:hAnsiTheme="majorHAnsi" w:cstheme="majorHAnsi"/>
          <w:sz w:val="18"/>
          <w:szCs w:val="18"/>
        </w:rPr>
        <w:t xml:space="preserve"> </w:t>
      </w:r>
      <w:r w:rsidR="000D7F76">
        <w:rPr>
          <w:rFonts w:asciiTheme="majorHAnsi" w:hAnsiTheme="majorHAnsi" w:cstheme="majorHAnsi"/>
          <w:sz w:val="18"/>
          <w:szCs w:val="18"/>
        </w:rPr>
        <w:t xml:space="preserve">Due </w:t>
      </w:r>
      <w:r w:rsidR="008E4454">
        <w:rPr>
          <w:rFonts w:asciiTheme="majorHAnsi" w:hAnsiTheme="majorHAnsi" w:cstheme="majorHAnsi"/>
          <w:sz w:val="18"/>
          <w:szCs w:val="18"/>
        </w:rPr>
        <w:t>limited data</w:t>
      </w:r>
      <w:r w:rsidR="001A2EB2">
        <w:rPr>
          <w:rFonts w:asciiTheme="majorHAnsi" w:hAnsiTheme="majorHAnsi" w:cstheme="majorHAnsi"/>
          <w:sz w:val="18"/>
          <w:szCs w:val="18"/>
        </w:rPr>
        <w:t xml:space="preserve"> a</w:t>
      </w:r>
      <w:r w:rsidR="008E4454">
        <w:rPr>
          <w:rFonts w:asciiTheme="majorHAnsi" w:hAnsiTheme="majorHAnsi" w:cstheme="majorHAnsi"/>
          <w:sz w:val="18"/>
          <w:szCs w:val="18"/>
        </w:rPr>
        <w:t>vailability</w:t>
      </w:r>
      <w:r w:rsidR="001201E1">
        <w:rPr>
          <w:rFonts w:asciiTheme="majorHAnsi" w:hAnsiTheme="majorHAnsi" w:cstheme="majorHAnsi"/>
          <w:sz w:val="18"/>
          <w:szCs w:val="18"/>
        </w:rPr>
        <w:t>, with many projects still ongoing</w:t>
      </w:r>
      <w:r w:rsidR="001D797D">
        <w:rPr>
          <w:rFonts w:asciiTheme="majorHAnsi" w:hAnsiTheme="majorHAnsi" w:cstheme="majorHAnsi"/>
          <w:sz w:val="18"/>
          <w:szCs w:val="18"/>
        </w:rPr>
        <w:t>,</w:t>
      </w:r>
      <w:r w:rsidR="008E4454">
        <w:rPr>
          <w:rFonts w:asciiTheme="majorHAnsi" w:hAnsiTheme="majorHAnsi" w:cstheme="majorHAnsi"/>
          <w:sz w:val="18"/>
          <w:szCs w:val="18"/>
        </w:rPr>
        <w:t xml:space="preserve"> </w:t>
      </w:r>
      <w:r w:rsidR="000E7592">
        <w:rPr>
          <w:rFonts w:asciiTheme="majorHAnsi" w:hAnsiTheme="majorHAnsi" w:cstheme="majorHAnsi"/>
          <w:sz w:val="18"/>
          <w:szCs w:val="18"/>
        </w:rPr>
        <w:t xml:space="preserve">DP15 and onwards are excluded from </w:t>
      </w:r>
      <w:r w:rsidR="003E395C">
        <w:rPr>
          <w:rFonts w:asciiTheme="majorHAnsi" w:hAnsiTheme="majorHAnsi" w:cstheme="majorHAnsi"/>
          <w:sz w:val="18"/>
          <w:szCs w:val="18"/>
        </w:rPr>
        <w:t>this analysis.</w:t>
      </w:r>
    </w:p>
  </w:footnote>
  <w:footnote w:id="36">
    <w:p w14:paraId="436E019A" w14:textId="4660CDBC" w:rsidR="006F159A" w:rsidRPr="00875068" w:rsidRDefault="006F159A" w:rsidP="006F159A">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www.abs.gov.au</w:t>
      </w:r>
      <w:r w:rsidRPr="00875068">
        <w:rPr>
          <w:rFonts w:asciiTheme="majorHAnsi" w:hAnsiTheme="majorHAnsi" w:cstheme="majorHAnsi"/>
          <w:sz w:val="18"/>
          <w:szCs w:val="18"/>
          <w:lang w:val="en-US"/>
        </w:rPr>
        <w:t xml:space="preserve"> &gt; Statistics &gt; Technology &amp; Innovation &gt; ANZSRC</w:t>
      </w:r>
      <w:r w:rsidR="0080281F">
        <w:rPr>
          <w:rFonts w:asciiTheme="majorHAnsi" w:hAnsiTheme="majorHAnsi" w:cstheme="majorHAnsi"/>
          <w:sz w:val="18"/>
          <w:szCs w:val="18"/>
          <w:lang w:val="en-US"/>
        </w:rPr>
        <w:t>—</w:t>
      </w:r>
      <w:r w:rsidRPr="00875068">
        <w:rPr>
          <w:rFonts w:asciiTheme="majorHAnsi" w:hAnsiTheme="majorHAnsi" w:cstheme="majorHAnsi"/>
          <w:sz w:val="18"/>
          <w:szCs w:val="18"/>
          <w:lang w:val="en-US"/>
        </w:rPr>
        <w:t xml:space="preserve">Research Classifications &gt; Past &amp; Future Releases &gt; Australian and New Zealand Standard Research Classification (ANZSRC) 2008 &gt; </w:t>
      </w:r>
      <w:hyperlink r:id="rId25" w:history="1">
        <w:r w:rsidRPr="00875068">
          <w:rPr>
            <w:rStyle w:val="Hyperlink"/>
            <w:rFonts w:cstheme="majorHAnsi"/>
            <w:szCs w:val="18"/>
            <w:lang w:val="en-US"/>
          </w:rPr>
          <w:t>Chapter 4—Socio-Economic Objectives</w:t>
        </w:r>
      </w:hyperlink>
      <w:r w:rsidRPr="00875068">
        <w:rPr>
          <w:rFonts w:asciiTheme="majorHAnsi" w:hAnsiTheme="majorHAnsi" w:cstheme="majorHAnsi"/>
          <w:sz w:val="18"/>
          <w:szCs w:val="18"/>
          <w:lang w:val="en-US"/>
        </w:rPr>
        <w:t>.</w:t>
      </w:r>
    </w:p>
  </w:footnote>
  <w:footnote w:id="37">
    <w:p w14:paraId="6E405978" w14:textId="77777777" w:rsidR="006F159A" w:rsidRPr="00875068" w:rsidRDefault="006F159A" w:rsidP="006F159A">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The replacement of the Australian Standard Research Classification (ASRC) with the 2008 ANZSRC to classify ARC research from DP11 onwards introduced updated SEO categories. Sector-level headings generally remained unchanged but referred to ‘Expanding Knowledge’ instead of ‘Non-Oriented Research’. Data from applications initially lodged using ASRC categories have been updated to reflect the 2008 ANZSRC SEO classifications.</w:t>
      </w:r>
      <w:r w:rsidRPr="00875068">
        <w:rPr>
          <w:rFonts w:asciiTheme="majorHAnsi" w:hAnsiTheme="majorHAnsi" w:cstheme="majorHAnsi"/>
          <w:sz w:val="18"/>
          <w:szCs w:val="18"/>
          <w:lang w:val="en-US"/>
        </w:rPr>
        <w:t xml:space="preserve"> </w:t>
      </w:r>
    </w:p>
  </w:footnote>
  <w:footnote w:id="38">
    <w:p w14:paraId="35B53958" w14:textId="77777777" w:rsidR="006F159A" w:rsidRPr="0086292C" w:rsidRDefault="006F159A" w:rsidP="006F159A">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Pr="00875068">
        <w:rPr>
          <w:rFonts w:asciiTheme="majorHAnsi" w:hAnsiTheme="majorHAnsi" w:cstheme="majorHAnsi"/>
          <w:sz w:val="18"/>
          <w:szCs w:val="18"/>
          <w:lang w:val="en-US"/>
        </w:rPr>
        <w:t>Where multiple sectors have been assigned the same weighting, the primary sector has been assigned randomly among these.</w:t>
      </w:r>
    </w:p>
  </w:footnote>
  <w:footnote w:id="39">
    <w:p w14:paraId="0465BC6A" w14:textId="7B88246C" w:rsidR="006F159A" w:rsidRPr="007057E6" w:rsidRDefault="006F159A" w:rsidP="006F159A">
      <w:pPr>
        <w:pStyle w:val="FootnoteText"/>
        <w:rPr>
          <w:rFonts w:asciiTheme="majorHAnsi" w:hAnsiTheme="majorHAnsi" w:cstheme="majorHAnsi"/>
          <w:sz w:val="18"/>
          <w:szCs w:val="18"/>
          <w:lang w:val="en-US"/>
        </w:rPr>
      </w:pPr>
      <w:r w:rsidRPr="00FF26B0">
        <w:rPr>
          <w:rStyle w:val="FootnoteReference"/>
          <w:rFonts w:asciiTheme="majorHAnsi" w:hAnsiTheme="majorHAnsi" w:cstheme="majorHAnsi"/>
          <w:sz w:val="18"/>
          <w:szCs w:val="18"/>
        </w:rPr>
        <w:footnoteRef/>
      </w:r>
      <w:r w:rsidRPr="00FF26B0">
        <w:rPr>
          <w:rFonts w:asciiTheme="majorHAnsi" w:hAnsiTheme="majorHAnsi" w:cstheme="majorHAnsi"/>
          <w:sz w:val="18"/>
          <w:szCs w:val="18"/>
          <w:lang w:val="en-US"/>
        </w:rPr>
        <w:t xml:space="preserve"> </w:t>
      </w:r>
      <w:r w:rsidRPr="00FF26B0">
        <w:rPr>
          <w:rFonts w:asciiTheme="majorHAnsi" w:hAnsiTheme="majorHAnsi" w:cstheme="majorHAnsi"/>
          <w:sz w:val="18"/>
          <w:szCs w:val="18"/>
        </w:rPr>
        <w:t>www.abs.gov.au</w:t>
      </w:r>
      <w:r w:rsidRPr="0034174B">
        <w:rPr>
          <w:rFonts w:asciiTheme="majorHAnsi" w:hAnsiTheme="majorHAnsi" w:cstheme="majorHAnsi"/>
          <w:sz w:val="18"/>
          <w:szCs w:val="18"/>
          <w:lang w:val="en-US"/>
        </w:rPr>
        <w:t xml:space="preserve"> &gt; Statistics &gt; Technology &amp; Innovation &gt; </w:t>
      </w:r>
      <w:r w:rsidRPr="001D797D">
        <w:rPr>
          <w:rFonts w:asciiTheme="majorHAnsi" w:hAnsiTheme="majorHAnsi" w:cstheme="majorHAnsi"/>
          <w:sz w:val="18"/>
          <w:szCs w:val="18"/>
          <w:lang w:val="en-US"/>
        </w:rPr>
        <w:t>ANZSRC</w:t>
      </w:r>
      <w:r w:rsidR="00297801" w:rsidRPr="001D797D">
        <w:rPr>
          <w:rFonts w:asciiTheme="majorHAnsi" w:hAnsiTheme="majorHAnsi" w:cstheme="majorHAnsi"/>
          <w:sz w:val="18"/>
          <w:szCs w:val="18"/>
          <w:lang w:val="en-US"/>
        </w:rPr>
        <w:t>—</w:t>
      </w:r>
      <w:r w:rsidRPr="001201E1">
        <w:rPr>
          <w:rFonts w:asciiTheme="majorHAnsi" w:hAnsiTheme="majorHAnsi" w:cstheme="majorHAnsi"/>
          <w:sz w:val="18"/>
          <w:szCs w:val="18"/>
          <w:lang w:val="en-US"/>
        </w:rPr>
        <w:t xml:space="preserve">Research Classifications &gt; Past &amp; Future Releases &gt; </w:t>
      </w:r>
      <w:r w:rsidRPr="00831F8D">
        <w:rPr>
          <w:rFonts w:asciiTheme="majorHAnsi" w:hAnsiTheme="majorHAnsi" w:cstheme="majorHAnsi"/>
          <w:sz w:val="18"/>
          <w:szCs w:val="18"/>
          <w:lang w:val="en-US"/>
        </w:rPr>
        <w:t>Australian and New Zealand Standard Research Cla</w:t>
      </w:r>
      <w:r w:rsidRPr="003D2DF3">
        <w:rPr>
          <w:rFonts w:asciiTheme="majorHAnsi" w:hAnsiTheme="majorHAnsi" w:cstheme="majorHAnsi"/>
          <w:sz w:val="18"/>
          <w:szCs w:val="18"/>
          <w:lang w:val="en-US"/>
        </w:rPr>
        <w:t>ssification (ANZSRC) 2008</w:t>
      </w:r>
      <w:r w:rsidRPr="00004CAF">
        <w:rPr>
          <w:rFonts w:asciiTheme="majorHAnsi" w:hAnsiTheme="majorHAnsi" w:cstheme="majorHAnsi"/>
          <w:sz w:val="18"/>
          <w:szCs w:val="18"/>
          <w:lang w:val="en-US"/>
        </w:rPr>
        <w:t xml:space="preserve"> &gt; </w:t>
      </w:r>
      <w:hyperlink r:id="rId26" w:history="1">
        <w:r w:rsidRPr="00286381">
          <w:rPr>
            <w:rStyle w:val="Hyperlink"/>
            <w:rFonts w:cstheme="majorHAnsi"/>
            <w:szCs w:val="18"/>
            <w:lang w:val="en-US"/>
          </w:rPr>
          <w:t>Chapter 4—Socio-Economic Objectives</w:t>
        </w:r>
      </w:hyperlink>
      <w:r w:rsidRPr="00FF26B0">
        <w:rPr>
          <w:rFonts w:asciiTheme="majorHAnsi" w:hAnsiTheme="majorHAnsi" w:cstheme="majorHAnsi"/>
          <w:sz w:val="18"/>
          <w:szCs w:val="18"/>
          <w:lang w:val="en-US"/>
        </w:rPr>
        <w:t>.</w:t>
      </w:r>
    </w:p>
  </w:footnote>
  <w:footnote w:id="40">
    <w:p w14:paraId="4DF9E102" w14:textId="77777777" w:rsidR="006F159A" w:rsidRDefault="006F159A" w:rsidP="006F159A">
      <w:pPr>
        <w:pStyle w:val="FootnoteText"/>
      </w:pPr>
      <w:r w:rsidRPr="0086292C">
        <w:rPr>
          <w:rStyle w:val="FootnoteReference"/>
          <w:rFonts w:asciiTheme="majorHAnsi" w:hAnsiTheme="majorHAnsi" w:cstheme="majorHAnsi"/>
          <w:sz w:val="18"/>
          <w:szCs w:val="18"/>
        </w:rPr>
        <w:footnoteRef/>
      </w:r>
      <w:r w:rsidRPr="0086292C">
        <w:rPr>
          <w:rFonts w:asciiTheme="majorHAnsi" w:hAnsiTheme="majorHAnsi" w:cstheme="majorHAnsi"/>
          <w:sz w:val="18"/>
          <w:szCs w:val="18"/>
        </w:rPr>
        <w:t xml:space="preserve"> </w:t>
      </w:r>
      <w:r w:rsidRPr="0078193F">
        <w:rPr>
          <w:rFonts w:asciiTheme="majorHAnsi" w:hAnsiTheme="majorHAnsi" w:cstheme="majorHAnsi"/>
          <w:sz w:val="18"/>
          <w:szCs w:val="18"/>
        </w:rPr>
        <w:t>All figures relating to named researchers are provided in person participation terms. Researchers appearing on more than one application appear in d</w:t>
      </w:r>
      <w:r w:rsidRPr="00F12927">
        <w:rPr>
          <w:rFonts w:asciiTheme="majorHAnsi" w:hAnsiTheme="majorHAnsi" w:cstheme="majorHAnsi"/>
          <w:sz w:val="18"/>
          <w:szCs w:val="18"/>
        </w:rPr>
        <w:t>ata multiple times.</w:t>
      </w:r>
    </w:p>
  </w:footnote>
  <w:footnote w:id="41">
    <w:p w14:paraId="0639F3E7" w14:textId="77777777" w:rsidR="006F159A" w:rsidRPr="00875068" w:rsidRDefault="006F159A" w:rsidP="006F159A">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The terms ‘gender’, ‘female’ and ‘male’ are used in this report to ensure consistency with the terminology used in Discovery Projects application forms and ARC data and systems.</w:t>
      </w:r>
    </w:p>
  </w:footnote>
  <w:footnote w:id="42">
    <w:p w14:paraId="784EA727" w14:textId="77777777" w:rsidR="006F159A" w:rsidRPr="0029252D" w:rsidRDefault="006F159A" w:rsidP="006F159A">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Australian Research Council (2019), </w:t>
      </w:r>
      <w:r w:rsidRPr="00875068">
        <w:rPr>
          <w:rFonts w:asciiTheme="majorHAnsi" w:hAnsiTheme="majorHAnsi" w:cstheme="majorHAnsi"/>
          <w:i/>
          <w:sz w:val="18"/>
          <w:szCs w:val="18"/>
          <w:lang w:eastAsia="en-AU"/>
        </w:rPr>
        <w:t xml:space="preserve">Gender and the Research Workforce: Excellence in Research for Australia (ERA) 2018, </w:t>
      </w:r>
      <w:r w:rsidRPr="00875068">
        <w:rPr>
          <w:rFonts w:asciiTheme="majorHAnsi" w:hAnsiTheme="majorHAnsi" w:cstheme="majorHAnsi"/>
          <w:sz w:val="18"/>
          <w:szCs w:val="18"/>
          <w:lang w:eastAsia="en-AU"/>
        </w:rPr>
        <w:t>Australian Research Council, Canberra,</w:t>
      </w:r>
      <w:r w:rsidRPr="00875068">
        <w:rPr>
          <w:rFonts w:asciiTheme="majorHAnsi" w:hAnsiTheme="majorHAnsi" w:cstheme="majorHAnsi"/>
          <w:i/>
          <w:sz w:val="18"/>
          <w:szCs w:val="18"/>
          <w:lang w:eastAsia="en-AU"/>
        </w:rPr>
        <w:t xml:space="preserve"> </w:t>
      </w:r>
      <w:r w:rsidRPr="00875068">
        <w:rPr>
          <w:rFonts w:asciiTheme="majorHAnsi" w:hAnsiTheme="majorHAnsi" w:cstheme="majorHAnsi"/>
          <w:sz w:val="18"/>
          <w:szCs w:val="18"/>
        </w:rPr>
        <w:t xml:space="preserve">www.arc.gov.au &gt; ERA &gt; </w:t>
      </w:r>
      <w:hyperlink r:id="rId27" w:history="1">
        <w:r w:rsidRPr="00875068">
          <w:rPr>
            <w:rStyle w:val="Hyperlink"/>
            <w:rFonts w:cstheme="majorHAnsi"/>
            <w:szCs w:val="18"/>
          </w:rPr>
          <w:t>Gender and the Research Workforce Report</w:t>
        </w:r>
      </w:hyperlink>
      <w:r w:rsidRPr="00875068">
        <w:rPr>
          <w:rFonts w:asciiTheme="majorHAnsi" w:hAnsiTheme="majorHAnsi" w:cstheme="majorHAnsi"/>
          <w:sz w:val="18"/>
          <w:szCs w:val="18"/>
        </w:rPr>
        <w:t xml:space="preserve">. See also Winslow, S and Davis, S (2016), ‘Gender inequality across the academic life course’, </w:t>
      </w:r>
      <w:r w:rsidRPr="00875068">
        <w:rPr>
          <w:rFonts w:asciiTheme="majorHAnsi" w:hAnsiTheme="majorHAnsi" w:cstheme="majorHAnsi"/>
          <w:i/>
          <w:sz w:val="18"/>
          <w:szCs w:val="18"/>
        </w:rPr>
        <w:t xml:space="preserve">Sociology Compass </w:t>
      </w:r>
      <w:r w:rsidRPr="00875068">
        <w:rPr>
          <w:rFonts w:asciiTheme="majorHAnsi" w:hAnsiTheme="majorHAnsi" w:cstheme="majorHAnsi"/>
          <w:sz w:val="18"/>
          <w:szCs w:val="18"/>
        </w:rPr>
        <w:t xml:space="preserve">vol. 10, no. 5: 404–416; UNESCO Institute for Statistics (2019), </w:t>
      </w:r>
      <w:r w:rsidRPr="00875068">
        <w:rPr>
          <w:rFonts w:asciiTheme="majorHAnsi" w:hAnsiTheme="majorHAnsi" w:cstheme="majorHAnsi"/>
          <w:i/>
          <w:sz w:val="18"/>
          <w:szCs w:val="18"/>
        </w:rPr>
        <w:t>Women in science</w:t>
      </w:r>
      <w:r w:rsidRPr="00875068">
        <w:rPr>
          <w:rFonts w:asciiTheme="majorHAnsi" w:hAnsiTheme="majorHAnsi" w:cstheme="majorHAnsi"/>
          <w:sz w:val="18"/>
          <w:szCs w:val="18"/>
        </w:rPr>
        <w:t xml:space="preserve">, Fact sheet no. 55, www.uis.unesco.org &gt; Science, Technology &amp; Innovation &gt; Women In Science &gt; </w:t>
      </w:r>
      <w:hyperlink r:id="rId28" w:history="1">
        <w:r w:rsidRPr="00875068">
          <w:rPr>
            <w:rStyle w:val="Hyperlink"/>
            <w:rFonts w:cstheme="majorHAnsi"/>
            <w:szCs w:val="18"/>
          </w:rPr>
          <w:t>Women in Science—2019</w:t>
        </w:r>
      </w:hyperlink>
      <w:r w:rsidRPr="00875068">
        <w:rPr>
          <w:rFonts w:asciiTheme="majorHAnsi" w:hAnsiTheme="majorHAnsi" w:cstheme="majorHAnsi"/>
          <w:sz w:val="18"/>
          <w:szCs w:val="18"/>
        </w:rPr>
        <w:t>.</w:t>
      </w:r>
    </w:p>
  </w:footnote>
  <w:footnote w:id="43">
    <w:p w14:paraId="26DC2015" w14:textId="77777777" w:rsidR="003B4D5F" w:rsidRPr="00877112" w:rsidRDefault="003B4D5F" w:rsidP="003B4D5F">
      <w:pPr>
        <w:pStyle w:val="FootnoteText"/>
        <w:rPr>
          <w:rFonts w:asciiTheme="majorHAnsi" w:hAnsiTheme="majorHAnsi" w:cstheme="majorHAnsi"/>
          <w:sz w:val="18"/>
          <w:szCs w:val="18"/>
        </w:rPr>
      </w:pPr>
      <w:r w:rsidRPr="00877112">
        <w:rPr>
          <w:rStyle w:val="FootnoteReference"/>
          <w:rFonts w:asciiTheme="majorHAnsi" w:hAnsiTheme="majorHAnsi" w:cstheme="majorHAnsi"/>
          <w:sz w:val="18"/>
          <w:szCs w:val="18"/>
        </w:rPr>
        <w:footnoteRef/>
      </w:r>
      <w:r w:rsidRPr="00877112">
        <w:rPr>
          <w:rFonts w:asciiTheme="majorHAnsi" w:hAnsiTheme="majorHAnsi" w:cstheme="majorHAnsi"/>
          <w:sz w:val="18"/>
          <w:szCs w:val="18"/>
        </w:rPr>
        <w:t xml:space="preserve"> Figures provided in terms of person participations; researchers appearing on more than one application will be counted multiple times.</w:t>
      </w:r>
    </w:p>
  </w:footnote>
  <w:footnote w:id="44">
    <w:p w14:paraId="65C789F6" w14:textId="77777777" w:rsidR="003B4D5F" w:rsidRPr="00204D7B" w:rsidRDefault="003B4D5F" w:rsidP="003B4D5F">
      <w:pPr>
        <w:pStyle w:val="FootnoteText"/>
        <w:rPr>
          <w:rFonts w:asciiTheme="majorHAnsi" w:hAnsiTheme="majorHAnsi" w:cstheme="majorHAnsi"/>
          <w:sz w:val="18"/>
          <w:szCs w:val="18"/>
        </w:rPr>
      </w:pPr>
      <w:r w:rsidRPr="00204D7B">
        <w:rPr>
          <w:rStyle w:val="FootnoteReference"/>
          <w:rFonts w:asciiTheme="majorHAnsi" w:hAnsiTheme="majorHAnsi" w:cstheme="majorHAnsi"/>
          <w:sz w:val="18"/>
          <w:szCs w:val="18"/>
        </w:rPr>
        <w:footnoteRef/>
      </w:r>
      <w:r w:rsidRPr="00204D7B">
        <w:rPr>
          <w:rFonts w:asciiTheme="majorHAnsi" w:hAnsiTheme="majorHAnsi" w:cstheme="majorHAnsi"/>
          <w:sz w:val="18"/>
          <w:szCs w:val="18"/>
        </w:rPr>
        <w:t xml:space="preserve"> </w:t>
      </w:r>
      <w:r w:rsidRPr="00204D7B">
        <w:rPr>
          <w:rFonts w:asciiTheme="majorHAnsi" w:hAnsiTheme="majorHAnsi" w:cstheme="majorHAnsi"/>
          <w:sz w:val="18"/>
          <w:szCs w:val="18"/>
          <w:lang w:val="en-US"/>
        </w:rPr>
        <w:t xml:space="preserve">Department of Education, </w:t>
      </w:r>
      <w:r w:rsidRPr="00204D7B">
        <w:rPr>
          <w:rFonts w:asciiTheme="majorHAnsi" w:hAnsiTheme="majorHAnsi" w:cstheme="majorHAnsi"/>
          <w:i/>
          <w:iCs/>
          <w:sz w:val="18"/>
          <w:szCs w:val="18"/>
          <w:lang w:val="en-US"/>
        </w:rPr>
        <w:t>Selected Higher Education Statistics—Staff 2019, Indigenous Summary</w:t>
      </w:r>
      <w:r w:rsidRPr="00204D7B">
        <w:rPr>
          <w:rFonts w:asciiTheme="majorHAnsi" w:hAnsiTheme="majorHAnsi" w:cstheme="majorHAnsi"/>
          <w:sz w:val="18"/>
          <w:szCs w:val="18"/>
          <w:lang w:val="en-US"/>
        </w:rPr>
        <w:t xml:space="preserve">, www.education.gov.au &gt; Higher Education &gt; Higher Education Statistics &gt; Staff Data &gt; Selected Higher Education Statistics—2019 Staff Data &gt; </w:t>
      </w:r>
      <w:hyperlink r:id="rId29" w:history="1">
        <w:r w:rsidRPr="00204D7B">
          <w:rPr>
            <w:rStyle w:val="Hyperlink"/>
            <w:rFonts w:cstheme="majorHAnsi"/>
            <w:szCs w:val="18"/>
          </w:rPr>
          <w:t>2019 Staff Indigenous.</w:t>
        </w:r>
      </w:hyperlink>
    </w:p>
  </w:footnote>
  <w:footnote w:id="45">
    <w:p w14:paraId="33049562" w14:textId="77777777" w:rsidR="003B4D5F" w:rsidRPr="00C03AE9" w:rsidRDefault="003B4D5F" w:rsidP="003B4D5F">
      <w:pPr>
        <w:pStyle w:val="FootnoteText"/>
        <w:rPr>
          <w:rFonts w:asciiTheme="majorHAnsi" w:hAnsiTheme="majorHAnsi" w:cstheme="majorHAnsi"/>
          <w:sz w:val="18"/>
          <w:szCs w:val="18"/>
        </w:rPr>
      </w:pPr>
      <w:r w:rsidRPr="00C03AE9">
        <w:rPr>
          <w:rStyle w:val="FootnoteReference"/>
          <w:rFonts w:asciiTheme="majorHAnsi" w:hAnsiTheme="majorHAnsi" w:cstheme="majorHAnsi"/>
          <w:sz w:val="18"/>
          <w:szCs w:val="18"/>
        </w:rPr>
        <w:footnoteRef/>
      </w:r>
      <w:r w:rsidRPr="00C03AE9">
        <w:rPr>
          <w:rFonts w:asciiTheme="majorHAnsi" w:hAnsiTheme="majorHAnsi" w:cstheme="majorHAnsi"/>
          <w:sz w:val="18"/>
          <w:szCs w:val="18"/>
        </w:rPr>
        <w:t xml:space="preserve"> www.arc.gov.au &gt; Policies &amp; Strategies &gt; Policy &gt; </w:t>
      </w:r>
      <w:hyperlink r:id="rId30" w:history="1">
        <w:r w:rsidRPr="00C03AE9">
          <w:rPr>
            <w:rStyle w:val="Hyperlink"/>
            <w:rFonts w:cstheme="majorHAnsi"/>
            <w:szCs w:val="18"/>
          </w:rPr>
          <w:t>Statement of Support and Action Plan 2018–19: Aboriginal and Torres Strait Islander Researchers and Research</w:t>
        </w:r>
      </w:hyperlink>
      <w:r w:rsidRPr="00C03AE9">
        <w:rPr>
          <w:rFonts w:asciiTheme="majorHAnsi" w:hAnsiTheme="majorHAnsi" w:cstheme="majorHAnsi"/>
          <w:sz w:val="18"/>
          <w:szCs w:val="18"/>
        </w:rPr>
        <w:t>.</w:t>
      </w:r>
    </w:p>
  </w:footnote>
  <w:footnote w:id="46">
    <w:p w14:paraId="7C6F72E2" w14:textId="2BB592EE" w:rsidR="006F159A" w:rsidRPr="00933A22" w:rsidRDefault="006F159A" w:rsidP="006F159A">
      <w:pPr>
        <w:pStyle w:val="FootnoteText"/>
        <w:rPr>
          <w:rFonts w:asciiTheme="majorHAnsi" w:hAnsiTheme="majorHAnsi" w:cstheme="majorHAnsi"/>
          <w:sz w:val="18"/>
          <w:szCs w:val="18"/>
          <w:lang w:val="en-US"/>
        </w:rPr>
      </w:pPr>
      <w:r w:rsidRPr="00B36EFA">
        <w:rPr>
          <w:rStyle w:val="FootnoteReference"/>
          <w:rFonts w:asciiTheme="majorHAnsi" w:hAnsiTheme="majorHAnsi" w:cstheme="majorHAnsi"/>
          <w:sz w:val="18"/>
          <w:szCs w:val="18"/>
        </w:rPr>
        <w:footnoteRef/>
      </w:r>
      <w:r w:rsidRPr="00B36EFA">
        <w:rPr>
          <w:rFonts w:asciiTheme="majorHAnsi" w:hAnsiTheme="majorHAnsi" w:cstheme="majorHAnsi"/>
          <w:sz w:val="18"/>
          <w:szCs w:val="18"/>
          <w:lang w:val="en-US"/>
        </w:rPr>
        <w:t xml:space="preserve"> Despite the presence of the ARC’s </w:t>
      </w:r>
      <w:r w:rsidR="000A0FAD" w:rsidRPr="00880CE8">
        <w:rPr>
          <w:rFonts w:asciiTheme="majorHAnsi" w:hAnsiTheme="majorHAnsi" w:cstheme="majorHAnsi"/>
          <w:sz w:val="18"/>
          <w:szCs w:val="18"/>
          <w:lang w:val="en-US"/>
        </w:rPr>
        <w:t xml:space="preserve">ROPE </w:t>
      </w:r>
      <w:r w:rsidRPr="00880CE8">
        <w:rPr>
          <w:rFonts w:asciiTheme="majorHAnsi" w:hAnsiTheme="majorHAnsi" w:cstheme="majorHAnsi"/>
          <w:sz w:val="18"/>
          <w:szCs w:val="18"/>
          <w:lang w:val="en-US"/>
        </w:rPr>
        <w:t xml:space="preserve">policy, see </w:t>
      </w:r>
      <w:r w:rsidRPr="00281670">
        <w:rPr>
          <w:rFonts w:asciiTheme="majorHAnsi" w:hAnsiTheme="majorHAnsi" w:cstheme="majorHAnsi"/>
          <w:sz w:val="18"/>
          <w:szCs w:val="18"/>
          <w:lang w:val="en-US"/>
        </w:rPr>
        <w:t xml:space="preserve">p. </w:t>
      </w:r>
      <w:r w:rsidR="00354F45" w:rsidRPr="00281670">
        <w:rPr>
          <w:rFonts w:asciiTheme="majorHAnsi" w:hAnsiTheme="majorHAnsi" w:cstheme="majorHAnsi"/>
          <w:sz w:val="18"/>
          <w:szCs w:val="18"/>
          <w:lang w:val="en-US"/>
        </w:rPr>
        <w:t>21</w:t>
      </w:r>
      <w:r w:rsidRPr="00880CE8">
        <w:rPr>
          <w:rFonts w:asciiTheme="majorHAnsi" w:hAnsiTheme="majorHAnsi" w:cstheme="majorHAnsi"/>
          <w:sz w:val="18"/>
          <w:szCs w:val="18"/>
          <w:lang w:val="en-US"/>
        </w:rPr>
        <w:t>.</w:t>
      </w:r>
    </w:p>
  </w:footnote>
  <w:footnote w:id="47">
    <w:p w14:paraId="0A87D7A6" w14:textId="72CD5C0D" w:rsidR="00442EB0" w:rsidRDefault="00442EB0">
      <w:pPr>
        <w:pStyle w:val="FootnoteText"/>
      </w:pPr>
      <w:r w:rsidRPr="007057E6">
        <w:rPr>
          <w:rStyle w:val="FootnoteReference"/>
          <w:rFonts w:asciiTheme="majorHAnsi" w:hAnsiTheme="majorHAnsi" w:cstheme="majorHAnsi"/>
          <w:sz w:val="18"/>
          <w:szCs w:val="18"/>
        </w:rPr>
        <w:footnoteRef/>
      </w:r>
      <w:r w:rsidRPr="007057E6">
        <w:rPr>
          <w:rFonts w:asciiTheme="majorHAnsi" w:hAnsiTheme="majorHAnsi" w:cstheme="majorHAnsi"/>
          <w:sz w:val="18"/>
          <w:szCs w:val="18"/>
        </w:rPr>
        <w:t xml:space="preserve"> The potential for ‘risky’ fundamental research proposals to be disadvantaged within publicly funded peer review processes was noted within a 2019 report commissioned by the NHMRC</w:t>
      </w:r>
      <w:r>
        <w:rPr>
          <w:rFonts w:asciiTheme="majorHAnsi" w:hAnsiTheme="majorHAnsi" w:cstheme="majorHAnsi"/>
          <w:sz w:val="18"/>
          <w:szCs w:val="18"/>
        </w:rPr>
        <w:t>, specifically examining medical research contexts.</w:t>
      </w:r>
    </w:p>
  </w:footnote>
  <w:footnote w:id="48">
    <w:p w14:paraId="77C0B576" w14:textId="77777777" w:rsidR="006F159A" w:rsidRPr="00875068" w:rsidRDefault="006F159A" w:rsidP="006F159A">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Pr="00875068">
        <w:rPr>
          <w:rFonts w:asciiTheme="majorHAnsi" w:hAnsiTheme="majorHAnsi" w:cstheme="majorHAnsi"/>
          <w:sz w:val="18"/>
          <w:szCs w:val="18"/>
          <w:lang w:val="en-US"/>
        </w:rPr>
        <w:t xml:space="preserve">Department of Education, </w:t>
      </w:r>
      <w:r w:rsidRPr="00875068">
        <w:rPr>
          <w:rFonts w:asciiTheme="majorHAnsi" w:hAnsiTheme="majorHAnsi" w:cstheme="majorHAnsi"/>
          <w:i/>
          <w:sz w:val="18"/>
          <w:szCs w:val="18"/>
          <w:lang w:val="en-US"/>
        </w:rPr>
        <w:t>2018 Student Summary, Section 2: All Students</w:t>
      </w:r>
      <w:r w:rsidRPr="00875068">
        <w:rPr>
          <w:rFonts w:asciiTheme="majorHAnsi" w:hAnsiTheme="majorHAnsi" w:cstheme="majorHAnsi"/>
          <w:sz w:val="18"/>
          <w:szCs w:val="18"/>
          <w:lang w:val="en-US"/>
        </w:rPr>
        <w:t xml:space="preserve">, p. 2, www.education.gov.au &gt; Higher Education &gt; Higher Education Statistics &gt; Student Data &gt; Selected Higher Education Statistics—2018 Student Data &gt; </w:t>
      </w:r>
      <w:hyperlink r:id="rId31" w:history="1">
        <w:r w:rsidRPr="00875068">
          <w:rPr>
            <w:rStyle w:val="Hyperlink"/>
            <w:rFonts w:cstheme="majorHAnsi"/>
            <w:szCs w:val="18"/>
            <w:lang w:val="en-US"/>
          </w:rPr>
          <w:t>018 Section 2 All students</w:t>
        </w:r>
      </w:hyperlink>
      <w:r w:rsidRPr="00875068">
        <w:rPr>
          <w:rFonts w:asciiTheme="majorHAnsi" w:hAnsiTheme="majorHAnsi" w:cstheme="majorHAnsi"/>
          <w:sz w:val="18"/>
          <w:szCs w:val="18"/>
          <w:lang w:val="en-US"/>
        </w:rPr>
        <w:t xml:space="preserve">. </w:t>
      </w:r>
    </w:p>
  </w:footnote>
  <w:footnote w:id="49">
    <w:p w14:paraId="36FE619C" w14:textId="77777777" w:rsidR="006F159A" w:rsidRPr="0086292C" w:rsidRDefault="006F159A" w:rsidP="006F159A">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Final report trainee data from DP12 were also available; however, changes to the structure of final report trainee data from DP13 onwards meant these figures were not comparable.</w:t>
      </w:r>
      <w:r w:rsidRPr="0086292C">
        <w:rPr>
          <w:rFonts w:asciiTheme="majorHAnsi" w:hAnsiTheme="majorHAnsi" w:cstheme="majorHAnsi"/>
          <w:sz w:val="18"/>
          <w:szCs w:val="18"/>
        </w:rPr>
        <w:t xml:space="preserve"> </w:t>
      </w:r>
    </w:p>
  </w:footnote>
  <w:footnote w:id="50">
    <w:p w14:paraId="57F36D52" w14:textId="77777777" w:rsidR="006F159A" w:rsidRPr="00C7125D" w:rsidRDefault="006F159A" w:rsidP="006F159A">
      <w:pPr>
        <w:pStyle w:val="FootnoteText"/>
        <w:rPr>
          <w:rFonts w:asciiTheme="majorHAnsi" w:hAnsiTheme="majorHAnsi" w:cstheme="majorHAnsi"/>
          <w:sz w:val="18"/>
          <w:szCs w:val="18"/>
        </w:rPr>
      </w:pPr>
      <w:r w:rsidRPr="00C7125D">
        <w:rPr>
          <w:rStyle w:val="FootnoteReference"/>
          <w:rFonts w:asciiTheme="majorHAnsi" w:hAnsiTheme="majorHAnsi" w:cstheme="majorHAnsi"/>
          <w:sz w:val="18"/>
          <w:szCs w:val="18"/>
        </w:rPr>
        <w:footnoteRef/>
      </w:r>
      <w:r w:rsidRPr="00C7125D">
        <w:rPr>
          <w:rFonts w:asciiTheme="majorHAnsi" w:hAnsiTheme="majorHAnsi" w:cstheme="majorHAnsi"/>
          <w:sz w:val="18"/>
          <w:szCs w:val="18"/>
        </w:rPr>
        <w:t xml:space="preserve"> It should be noted that changes to the budgets of funded projects are introduced within the context of Selection Advisory Committee processes. </w:t>
      </w:r>
    </w:p>
  </w:footnote>
  <w:footnote w:id="51">
    <w:p w14:paraId="30B5BFDA" w14:textId="77777777" w:rsidR="006F159A" w:rsidRPr="00875068" w:rsidRDefault="006F159A" w:rsidP="006F159A">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Australian Research Council, </w:t>
      </w:r>
      <w:r w:rsidRPr="00875068">
        <w:rPr>
          <w:rFonts w:asciiTheme="majorHAnsi" w:hAnsiTheme="majorHAnsi" w:cstheme="majorHAnsi"/>
          <w:i/>
          <w:sz w:val="18"/>
          <w:szCs w:val="18"/>
        </w:rPr>
        <w:t>Discovery Projects Instructions to Applicants for funding commencing in 2021</w:t>
      </w:r>
      <w:r w:rsidRPr="00875068">
        <w:rPr>
          <w:rFonts w:asciiTheme="majorHAnsi" w:hAnsiTheme="majorHAnsi" w:cstheme="majorHAnsi"/>
          <w:sz w:val="18"/>
          <w:szCs w:val="18"/>
        </w:rPr>
        <w:t xml:space="preserve">, p. 24, www.grants.gov.au &gt; Search &gt; GO3193 &gt; </w:t>
      </w:r>
      <w:hyperlink r:id="rId32" w:history="1">
        <w:r w:rsidRPr="00875068">
          <w:rPr>
            <w:rStyle w:val="Hyperlink"/>
            <w:rFonts w:cstheme="majorHAnsi"/>
            <w:szCs w:val="18"/>
          </w:rPr>
          <w:t>GO Documents</w:t>
        </w:r>
      </w:hyperlink>
      <w:r w:rsidRPr="00875068">
        <w:rPr>
          <w:rFonts w:asciiTheme="majorHAnsi" w:hAnsiTheme="majorHAnsi" w:cstheme="majorHAnsi"/>
          <w:sz w:val="18"/>
          <w:szCs w:val="18"/>
        </w:rPr>
        <w:t xml:space="preserve">.  </w:t>
      </w:r>
    </w:p>
  </w:footnote>
  <w:footnote w:id="52">
    <w:p w14:paraId="478DD899" w14:textId="77777777" w:rsidR="006F159A" w:rsidRPr="007F45DD" w:rsidRDefault="006F159A" w:rsidP="006F159A">
      <w:pPr>
        <w:pStyle w:val="FootnoteText"/>
      </w:pPr>
      <w:r w:rsidRPr="00EC3D27">
        <w:rPr>
          <w:rStyle w:val="FootnoteReference"/>
          <w:rFonts w:asciiTheme="majorHAnsi" w:hAnsiTheme="majorHAnsi" w:cstheme="majorHAnsi"/>
          <w:sz w:val="18"/>
          <w:szCs w:val="18"/>
        </w:rPr>
        <w:footnoteRef/>
      </w:r>
      <w:r w:rsidRPr="00EC3D27">
        <w:rPr>
          <w:rFonts w:asciiTheme="majorHAnsi" w:hAnsiTheme="majorHAnsi" w:cstheme="majorHAnsi"/>
          <w:sz w:val="18"/>
          <w:szCs w:val="18"/>
        </w:rPr>
        <w:t xml:space="preserve"> </w:t>
      </w:r>
      <w:r w:rsidRPr="00EC3D27">
        <w:rPr>
          <w:rFonts w:asciiTheme="majorHAnsi" w:hAnsiTheme="majorHAnsi" w:cstheme="majorHAnsi"/>
          <w:sz w:val="18"/>
          <w:szCs w:val="18"/>
          <w:lang w:eastAsia="en-AU"/>
        </w:rPr>
        <w:t>Fellowship recipients from early Discovery Projects funding rounds are</w:t>
      </w:r>
      <w:r w:rsidRPr="00554FC4">
        <w:rPr>
          <w:rFonts w:asciiTheme="majorHAnsi" w:hAnsiTheme="majorHAnsi" w:cstheme="majorHAnsi"/>
          <w:sz w:val="18"/>
          <w:szCs w:val="18"/>
          <w:lang w:eastAsia="en-AU"/>
        </w:rPr>
        <w:t xml:space="preserve"> incorporated </w:t>
      </w:r>
      <w:r w:rsidRPr="004C3B6B">
        <w:rPr>
          <w:rFonts w:asciiTheme="majorHAnsi" w:hAnsiTheme="majorHAnsi" w:cstheme="majorHAnsi"/>
          <w:sz w:val="18"/>
          <w:szCs w:val="18"/>
          <w:lang w:eastAsia="en-AU"/>
        </w:rPr>
        <w:t>into the Chief Investigator role within the context of ARC data.</w:t>
      </w:r>
    </w:p>
  </w:footnote>
  <w:footnote w:id="53">
    <w:p w14:paraId="0AD904BF" w14:textId="77777777" w:rsidR="00C7316F" w:rsidRPr="00ED3568" w:rsidRDefault="00C7316F" w:rsidP="00C7316F">
      <w:pPr>
        <w:pStyle w:val="FootnoteText"/>
        <w:rPr>
          <w:rFonts w:asciiTheme="majorHAnsi" w:hAnsiTheme="majorHAnsi" w:cstheme="majorHAnsi"/>
          <w:sz w:val="18"/>
          <w:szCs w:val="18"/>
        </w:rPr>
      </w:pPr>
      <w:r w:rsidRPr="00ED3568">
        <w:rPr>
          <w:rStyle w:val="FootnoteReference"/>
          <w:rFonts w:asciiTheme="majorHAnsi" w:hAnsiTheme="majorHAnsi" w:cstheme="majorHAnsi"/>
          <w:sz w:val="18"/>
          <w:szCs w:val="18"/>
        </w:rPr>
        <w:footnoteRef/>
      </w:r>
      <w:r w:rsidRPr="00ED3568">
        <w:rPr>
          <w:rFonts w:asciiTheme="majorHAnsi" w:hAnsiTheme="majorHAnsi" w:cstheme="majorHAnsi"/>
          <w:sz w:val="18"/>
          <w:szCs w:val="18"/>
        </w:rPr>
        <w:t xml:space="preserve"> Current Grant Guidelines state Chief Investigators </w:t>
      </w:r>
      <w:r>
        <w:rPr>
          <w:rFonts w:asciiTheme="majorHAnsi" w:hAnsiTheme="majorHAnsi" w:cstheme="majorHAnsi"/>
          <w:sz w:val="18"/>
          <w:szCs w:val="18"/>
        </w:rPr>
        <w:t xml:space="preserve">must generally </w:t>
      </w:r>
      <w:r w:rsidRPr="00ED3568">
        <w:rPr>
          <w:rFonts w:asciiTheme="majorHAnsi" w:hAnsiTheme="majorHAnsi" w:cstheme="majorHAnsi"/>
          <w:sz w:val="18"/>
          <w:szCs w:val="18"/>
        </w:rPr>
        <w:t xml:space="preserve">be employed by an </w:t>
      </w:r>
      <w:r>
        <w:rPr>
          <w:rFonts w:asciiTheme="majorHAnsi" w:hAnsiTheme="majorHAnsi" w:cstheme="majorHAnsi"/>
          <w:sz w:val="18"/>
          <w:szCs w:val="18"/>
        </w:rPr>
        <w:t>E</w:t>
      </w:r>
      <w:r w:rsidRPr="00ED3568">
        <w:rPr>
          <w:rFonts w:asciiTheme="majorHAnsi" w:hAnsiTheme="majorHAnsi" w:cstheme="majorHAnsi"/>
          <w:sz w:val="18"/>
          <w:szCs w:val="18"/>
        </w:rPr>
        <w:t xml:space="preserve">ligible </w:t>
      </w:r>
      <w:r>
        <w:rPr>
          <w:rFonts w:asciiTheme="majorHAnsi" w:hAnsiTheme="majorHAnsi" w:cstheme="majorHAnsi"/>
          <w:sz w:val="18"/>
          <w:szCs w:val="18"/>
        </w:rPr>
        <w:t>O</w:t>
      </w:r>
      <w:r w:rsidRPr="00ED3568">
        <w:rPr>
          <w:rFonts w:asciiTheme="majorHAnsi" w:hAnsiTheme="majorHAnsi" w:cstheme="majorHAnsi"/>
          <w:sz w:val="18"/>
          <w:szCs w:val="18"/>
        </w:rPr>
        <w:t xml:space="preserve">rganisation </w:t>
      </w:r>
      <w:r>
        <w:rPr>
          <w:rFonts w:asciiTheme="majorHAnsi" w:hAnsiTheme="majorHAnsi" w:cstheme="majorHAnsi"/>
          <w:sz w:val="18"/>
          <w:szCs w:val="18"/>
        </w:rPr>
        <w:t>on a</w:t>
      </w:r>
      <w:r w:rsidRPr="00ED3568">
        <w:rPr>
          <w:rFonts w:asciiTheme="majorHAnsi" w:hAnsiTheme="majorHAnsi" w:cstheme="majorHAnsi"/>
          <w:sz w:val="18"/>
          <w:szCs w:val="18"/>
        </w:rPr>
        <w:t xml:space="preserve"> 0.2</w:t>
      </w:r>
      <w:r>
        <w:rPr>
          <w:rFonts w:asciiTheme="majorHAnsi" w:hAnsiTheme="majorHAnsi" w:cstheme="majorHAnsi"/>
          <w:sz w:val="18"/>
          <w:szCs w:val="18"/>
        </w:rPr>
        <w:t xml:space="preserve"> </w:t>
      </w:r>
      <w:r w:rsidRPr="00ED3568">
        <w:rPr>
          <w:rFonts w:asciiTheme="majorHAnsi" w:hAnsiTheme="majorHAnsi" w:cstheme="majorHAnsi"/>
          <w:sz w:val="18"/>
          <w:szCs w:val="18"/>
        </w:rPr>
        <w:t>FTE basis as a minimum</w:t>
      </w:r>
      <w:r>
        <w:rPr>
          <w:rFonts w:asciiTheme="majorHAnsi" w:hAnsiTheme="majorHAnsi" w:cstheme="majorHAnsi"/>
          <w:sz w:val="18"/>
          <w:szCs w:val="18"/>
        </w:rPr>
        <w:t>, or be the holder of an honorary academic appointment.</w:t>
      </w:r>
    </w:p>
  </w:footnote>
  <w:footnote w:id="54">
    <w:p w14:paraId="66B0193B" w14:textId="0D62918C" w:rsidR="00954155" w:rsidRPr="0086292C" w:rsidRDefault="00954155" w:rsidP="00954155">
      <w:pPr>
        <w:pStyle w:val="FootnoteText"/>
        <w:rPr>
          <w:rFonts w:asciiTheme="majorHAnsi" w:hAnsiTheme="majorHAnsi" w:cstheme="majorHAnsi"/>
          <w:sz w:val="18"/>
          <w:szCs w:val="18"/>
        </w:rPr>
      </w:pPr>
      <w:r w:rsidRPr="0086292C">
        <w:rPr>
          <w:rStyle w:val="FootnoteReference"/>
          <w:rFonts w:asciiTheme="majorHAnsi" w:hAnsiTheme="majorHAnsi" w:cstheme="majorHAnsi"/>
          <w:sz w:val="18"/>
          <w:szCs w:val="18"/>
        </w:rPr>
        <w:footnoteRef/>
      </w:r>
      <w:r w:rsidRPr="0086292C">
        <w:rPr>
          <w:rFonts w:asciiTheme="majorHAnsi" w:hAnsiTheme="majorHAnsi" w:cstheme="majorHAnsi"/>
          <w:sz w:val="18"/>
          <w:szCs w:val="18"/>
        </w:rPr>
        <w:t xml:space="preserve"> </w:t>
      </w:r>
      <w:r w:rsidR="009477AE">
        <w:rPr>
          <w:rFonts w:asciiTheme="majorHAnsi" w:hAnsiTheme="majorHAnsi" w:cstheme="majorHAnsi"/>
          <w:sz w:val="18"/>
          <w:szCs w:val="18"/>
        </w:rPr>
        <w:t>P</w:t>
      </w:r>
      <w:r>
        <w:rPr>
          <w:rFonts w:asciiTheme="majorHAnsi" w:hAnsiTheme="majorHAnsi" w:cstheme="majorHAnsi"/>
          <w:sz w:val="18"/>
          <w:szCs w:val="18"/>
        </w:rPr>
        <w:t>articipating organisations</w:t>
      </w:r>
      <w:r w:rsidRPr="0086292C">
        <w:rPr>
          <w:rFonts w:asciiTheme="majorHAnsi" w:hAnsiTheme="majorHAnsi" w:cstheme="majorHAnsi"/>
          <w:sz w:val="18"/>
          <w:szCs w:val="18"/>
        </w:rPr>
        <w:t xml:space="preserve"> include Administering Organisations, Other Eligible Organisations and Other Organisations, as defined within the Discovery Program Grant Guidelines.</w:t>
      </w:r>
    </w:p>
  </w:footnote>
  <w:footnote w:id="55">
    <w:p w14:paraId="579C2B76" w14:textId="77777777" w:rsidR="006F159A" w:rsidRPr="00875068" w:rsidRDefault="006F159A" w:rsidP="006F159A">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Project participation limits apply across the NCGP and differ between schemes and researcher roles. Chief Investigators may participate on two Discovery Program grants at a time, either: on two Discovery Projects grants; or on one Discovery Projects grant and one ARC Award/Fellowship. Centres of Excellence or Special Research Initiative Directors may concurrently participate on only one Discovery Program grant: either as Chief Investigator on one Discovery Projects grant or one ARC Award/Fellowship. See: </w:t>
      </w:r>
      <w:hyperlink r:id="rId33" w:history="1">
        <w:r w:rsidRPr="00875068">
          <w:rPr>
            <w:rFonts w:asciiTheme="majorHAnsi" w:hAnsiTheme="majorHAnsi" w:cstheme="majorHAnsi"/>
            <w:sz w:val="18"/>
            <w:szCs w:val="18"/>
          </w:rPr>
          <w:t>www.arc.gov.au</w:t>
        </w:r>
      </w:hyperlink>
      <w:r w:rsidRPr="00875068">
        <w:rPr>
          <w:rFonts w:asciiTheme="majorHAnsi" w:hAnsiTheme="majorHAnsi" w:cstheme="majorHAnsi"/>
          <w:sz w:val="18"/>
          <w:szCs w:val="18"/>
        </w:rPr>
        <w:t xml:space="preserve"> &gt; Grants &gt; Grant Application &gt; </w:t>
      </w:r>
      <w:hyperlink r:id="rId34" w:history="1">
        <w:r w:rsidRPr="00875068">
          <w:rPr>
            <w:rStyle w:val="Hyperlink"/>
            <w:rFonts w:cstheme="majorHAnsi"/>
            <w:szCs w:val="18"/>
          </w:rPr>
          <w:t>Eligibility Matters</w:t>
        </w:r>
      </w:hyperlink>
      <w:r w:rsidRPr="00875068">
        <w:rPr>
          <w:rFonts w:asciiTheme="majorHAnsi" w:hAnsiTheme="majorHAnsi" w:cstheme="majorHAnsi"/>
          <w:sz w:val="18"/>
          <w:szCs w:val="18"/>
        </w:rPr>
        <w:t>.</w:t>
      </w:r>
    </w:p>
  </w:footnote>
  <w:footnote w:id="56">
    <w:p w14:paraId="1D3C4202" w14:textId="7BC0F09B" w:rsidR="006F159A" w:rsidRDefault="006F159A" w:rsidP="006F159A">
      <w:pPr>
        <w:pStyle w:val="FootnoteText"/>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005D2A81">
        <w:rPr>
          <w:rFonts w:asciiTheme="majorHAnsi" w:hAnsiTheme="majorHAnsi" w:cstheme="majorHAnsi"/>
          <w:sz w:val="18"/>
          <w:szCs w:val="18"/>
        </w:rPr>
        <w:t xml:space="preserve">It should be noted that Eligible Organisations may claim </w:t>
      </w:r>
      <w:r w:rsidR="00385865">
        <w:rPr>
          <w:rFonts w:asciiTheme="majorHAnsi" w:hAnsiTheme="majorHAnsi" w:cstheme="majorHAnsi"/>
          <w:sz w:val="18"/>
          <w:szCs w:val="18"/>
        </w:rPr>
        <w:t xml:space="preserve">a proportion </w:t>
      </w:r>
      <w:r w:rsidR="00C5607A">
        <w:rPr>
          <w:rFonts w:asciiTheme="majorHAnsi" w:hAnsiTheme="majorHAnsi" w:cstheme="majorHAnsi"/>
          <w:sz w:val="18"/>
          <w:szCs w:val="18"/>
        </w:rPr>
        <w:t>of ARC grant funding</w:t>
      </w:r>
      <w:r w:rsidRPr="00875068">
        <w:rPr>
          <w:rFonts w:asciiTheme="majorHAnsi" w:hAnsiTheme="majorHAnsi" w:cstheme="majorHAnsi"/>
          <w:sz w:val="18"/>
          <w:szCs w:val="18"/>
        </w:rPr>
        <w:t xml:space="preserve"> </w:t>
      </w:r>
      <w:r w:rsidR="006E6714">
        <w:rPr>
          <w:rFonts w:asciiTheme="majorHAnsi" w:hAnsiTheme="majorHAnsi" w:cstheme="majorHAnsi"/>
          <w:sz w:val="18"/>
          <w:szCs w:val="18"/>
        </w:rPr>
        <w:t>on the basis of their collaborative agreement with Administering Organisation</w:t>
      </w:r>
      <w:r w:rsidR="004B394A">
        <w:rPr>
          <w:rFonts w:asciiTheme="majorHAnsi" w:hAnsiTheme="majorHAnsi" w:cstheme="majorHAnsi"/>
          <w:sz w:val="18"/>
          <w:szCs w:val="18"/>
        </w:rPr>
        <w:t>s</w:t>
      </w:r>
      <w:r w:rsidR="006E6714">
        <w:rPr>
          <w:rFonts w:asciiTheme="majorHAnsi" w:hAnsiTheme="majorHAnsi" w:cstheme="majorHAnsi"/>
          <w:sz w:val="18"/>
          <w:szCs w:val="18"/>
        </w:rPr>
        <w:t xml:space="preserve">. </w:t>
      </w:r>
      <w:r w:rsidRPr="00875068">
        <w:rPr>
          <w:rFonts w:asciiTheme="majorHAnsi" w:hAnsiTheme="majorHAnsi" w:cstheme="majorHAnsi"/>
          <w:sz w:val="18"/>
          <w:szCs w:val="18"/>
        </w:rPr>
        <w:t xml:space="preserve">More information on Research Block Grant allocation methodology is available at: </w:t>
      </w:r>
      <w:hyperlink r:id="rId35" w:history="1">
        <w:r w:rsidRPr="00875068">
          <w:rPr>
            <w:rFonts w:asciiTheme="majorHAnsi" w:hAnsiTheme="majorHAnsi" w:cstheme="majorHAnsi"/>
            <w:sz w:val="18"/>
            <w:szCs w:val="18"/>
          </w:rPr>
          <w:t>www.education.gov.au</w:t>
        </w:r>
      </w:hyperlink>
      <w:r w:rsidRPr="00875068">
        <w:rPr>
          <w:rFonts w:asciiTheme="majorHAnsi" w:hAnsiTheme="majorHAnsi" w:cstheme="majorHAnsi"/>
          <w:sz w:val="18"/>
          <w:szCs w:val="18"/>
        </w:rPr>
        <w:t xml:space="preserve"> &gt; Higher Education Research &gt; View all Higher Education Research content &gt;  Research Block Grants &gt; </w:t>
      </w:r>
      <w:hyperlink r:id="rId36" w:history="1">
        <w:r w:rsidRPr="00875068">
          <w:rPr>
            <w:rStyle w:val="Hyperlink"/>
            <w:rFonts w:cstheme="majorHAnsi"/>
            <w:szCs w:val="18"/>
          </w:rPr>
          <w:t>Research Block Grants Calculation Methodology</w:t>
        </w:r>
      </w:hyperlink>
      <w:r w:rsidRPr="00875068">
        <w:rPr>
          <w:rFonts w:asciiTheme="majorHAnsi" w:hAnsiTheme="majorHAnsi" w:cstheme="majorHAnsi"/>
          <w:sz w:val="18"/>
          <w:szCs w:val="18"/>
        </w:rPr>
        <w:t>.</w:t>
      </w:r>
      <w:r w:rsidR="00633DA3">
        <w:rPr>
          <w:rFonts w:asciiTheme="majorHAnsi" w:hAnsiTheme="majorHAnsi" w:cstheme="majorHAnsi"/>
          <w:sz w:val="18"/>
          <w:szCs w:val="18"/>
        </w:rPr>
        <w:t xml:space="preserve"> </w:t>
      </w:r>
    </w:p>
  </w:footnote>
  <w:footnote w:id="57">
    <w:p w14:paraId="2BBD0F09" w14:textId="77777777" w:rsidR="006F159A" w:rsidRPr="00904D36" w:rsidRDefault="006F159A" w:rsidP="006F159A">
      <w:pPr>
        <w:pStyle w:val="FootnoteText"/>
        <w:rPr>
          <w:rFonts w:asciiTheme="majorHAnsi" w:hAnsiTheme="majorHAnsi" w:cstheme="majorHAnsi"/>
          <w:i/>
          <w:sz w:val="18"/>
          <w:szCs w:val="18"/>
          <w:lang w:val="en-US"/>
        </w:rPr>
      </w:pPr>
      <w:r w:rsidRPr="00904D36">
        <w:rPr>
          <w:rStyle w:val="FootnoteReference"/>
          <w:rFonts w:asciiTheme="majorHAnsi" w:hAnsiTheme="majorHAnsi" w:cstheme="majorHAnsi"/>
          <w:sz w:val="18"/>
          <w:szCs w:val="18"/>
        </w:rPr>
        <w:footnoteRef/>
      </w:r>
      <w:r w:rsidRPr="00904D36">
        <w:rPr>
          <w:rFonts w:asciiTheme="majorHAnsi" w:hAnsiTheme="majorHAnsi" w:cstheme="majorHAnsi"/>
          <w:sz w:val="18"/>
          <w:szCs w:val="18"/>
        </w:rPr>
        <w:t xml:space="preserve"> Kemp, </w:t>
      </w:r>
      <w:r w:rsidRPr="00904D36">
        <w:rPr>
          <w:rFonts w:asciiTheme="majorHAnsi" w:hAnsiTheme="majorHAnsi" w:cstheme="majorHAnsi"/>
          <w:i/>
          <w:sz w:val="18"/>
          <w:szCs w:val="18"/>
        </w:rPr>
        <w:t>Knowledge and Innovation</w:t>
      </w:r>
      <w:r w:rsidRPr="00904D36">
        <w:rPr>
          <w:rFonts w:asciiTheme="majorHAnsi" w:hAnsiTheme="majorHAnsi" w:cstheme="majorHAnsi"/>
          <w:sz w:val="18"/>
          <w:szCs w:val="18"/>
        </w:rPr>
        <w:t>, p. 16</w:t>
      </w:r>
      <w:r>
        <w:rPr>
          <w:rFonts w:asciiTheme="majorHAnsi" w:hAnsiTheme="majorHAnsi" w:cstheme="majorHAnsi"/>
          <w:sz w:val="18"/>
          <w:szCs w:val="18"/>
        </w:rPr>
        <w:t>.</w:t>
      </w:r>
    </w:p>
  </w:footnote>
  <w:footnote w:id="58">
    <w:p w14:paraId="0EF68A9D" w14:textId="77777777" w:rsidR="006F159A" w:rsidRPr="00875068" w:rsidRDefault="006F159A" w:rsidP="006F159A">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Pr="00875068">
        <w:rPr>
          <w:rFonts w:asciiTheme="majorHAnsi" w:hAnsiTheme="majorHAnsi" w:cstheme="majorHAnsi"/>
          <w:sz w:val="18"/>
          <w:szCs w:val="18"/>
          <w:lang w:val="en-US"/>
        </w:rPr>
        <w:t xml:space="preserve">Australian Research Council (2019), </w:t>
      </w:r>
      <w:r w:rsidRPr="00875068">
        <w:rPr>
          <w:rFonts w:asciiTheme="majorHAnsi" w:hAnsiTheme="majorHAnsi" w:cstheme="majorHAnsi"/>
          <w:i/>
          <w:sz w:val="18"/>
          <w:szCs w:val="18"/>
          <w:lang w:val="en-US"/>
        </w:rPr>
        <w:t>Research Priorities in Australia</w:t>
      </w:r>
      <w:r w:rsidRPr="00875068">
        <w:rPr>
          <w:rFonts w:asciiTheme="majorHAnsi" w:hAnsiTheme="majorHAnsi" w:cstheme="majorHAnsi"/>
          <w:sz w:val="18"/>
          <w:szCs w:val="18"/>
          <w:lang w:val="en-US"/>
        </w:rPr>
        <w:t xml:space="preserve">, www.arc.gov.au &gt; About &gt; Consultations &gt; Closed Consultations &gt; Implementation of the National Science and Research Priorities under the Australian Research Council’s National Competitive Grants Program &gt; </w:t>
      </w:r>
      <w:hyperlink r:id="rId37" w:history="1">
        <w:r w:rsidRPr="00875068">
          <w:rPr>
            <w:rStyle w:val="Hyperlink"/>
            <w:rFonts w:cstheme="majorHAnsi"/>
            <w:szCs w:val="18"/>
            <w:lang w:val="en-US"/>
          </w:rPr>
          <w:t>Research Priorities in Australia</w:t>
        </w:r>
      </w:hyperlink>
      <w:r w:rsidRPr="00875068">
        <w:rPr>
          <w:rFonts w:asciiTheme="majorHAnsi" w:hAnsiTheme="majorHAnsi" w:cstheme="majorHAnsi"/>
          <w:sz w:val="18"/>
          <w:szCs w:val="18"/>
          <w:lang w:val="en-US"/>
        </w:rPr>
        <w:t>.</w:t>
      </w:r>
    </w:p>
  </w:footnote>
  <w:footnote w:id="59">
    <w:p w14:paraId="1211D6FD" w14:textId="77777777" w:rsidR="006F159A" w:rsidRPr="008B1482" w:rsidRDefault="006F159A" w:rsidP="006F159A">
      <w:pPr>
        <w:pStyle w:val="FootnoteText"/>
        <w:rPr>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Prior to DP21, </w:t>
      </w:r>
      <w:r w:rsidRPr="00875068">
        <w:rPr>
          <w:rFonts w:asciiTheme="majorHAnsi" w:hAnsiTheme="majorHAnsi" w:cstheme="majorHAnsi"/>
          <w:sz w:val="18"/>
          <w:szCs w:val="18"/>
          <w:lang w:val="en-US"/>
        </w:rPr>
        <w:t>research priorities were referenced within the ‘Research quality and innovation’ assessment category.</w:t>
      </w:r>
      <w:r w:rsidRPr="008B1482">
        <w:rPr>
          <w:rFonts w:asciiTheme="majorHAnsi" w:hAnsiTheme="majorHAnsi" w:cstheme="majorHAnsi"/>
          <w:sz w:val="18"/>
          <w:szCs w:val="18"/>
          <w:lang w:val="en-US"/>
        </w:rPr>
        <w:t xml:space="preserve"> </w:t>
      </w:r>
    </w:p>
  </w:footnote>
  <w:footnote w:id="60">
    <w:p w14:paraId="51715FBB" w14:textId="77777777" w:rsidR="006F159A" w:rsidRPr="00875068" w:rsidRDefault="006F159A" w:rsidP="006F159A">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Pr="00875068">
        <w:rPr>
          <w:rFonts w:asciiTheme="majorHAnsi" w:hAnsiTheme="majorHAnsi" w:cstheme="majorHAnsi"/>
          <w:sz w:val="18"/>
          <w:szCs w:val="18"/>
          <w:lang w:val="en-US"/>
        </w:rPr>
        <w:t xml:space="preserve">As suggested within Discovery Program data generated as part of the 2019 review of the ARC’s implementation of the National Science and Research Priorities, p. 13, www.arc.gov.au &gt; About &gt; Consultations &gt; Implementation of the National Science and Research Priorities under the Australian Research Council’s National Competitive Grants Program &gt; </w:t>
      </w:r>
      <w:hyperlink r:id="rId38" w:history="1">
        <w:r w:rsidRPr="00875068">
          <w:rPr>
            <w:rStyle w:val="Hyperlink"/>
            <w:rFonts w:cstheme="majorHAnsi"/>
            <w:szCs w:val="18"/>
          </w:rPr>
          <w:t>ARC Statistics—National Science and Research Priorities</w:t>
        </w:r>
      </w:hyperlink>
      <w:r w:rsidRPr="00875068">
        <w:rPr>
          <w:rFonts w:asciiTheme="majorHAnsi" w:hAnsiTheme="majorHAnsi" w:cstheme="majorHAnsi"/>
          <w:sz w:val="18"/>
          <w:szCs w:val="18"/>
          <w:lang w:val="en-US"/>
        </w:rPr>
        <w:t xml:space="preserve">. </w:t>
      </w:r>
    </w:p>
  </w:footnote>
  <w:footnote w:id="61">
    <w:p w14:paraId="22EB8DE1" w14:textId="33DB6F9B" w:rsidR="003639AF" w:rsidRPr="0020780E" w:rsidRDefault="003639AF" w:rsidP="003639AF">
      <w:pPr>
        <w:pStyle w:val="FootnoteText"/>
        <w:rPr>
          <w:rFonts w:asciiTheme="majorHAnsi" w:hAnsiTheme="majorHAnsi" w:cstheme="majorHAnsi"/>
          <w:sz w:val="18"/>
          <w:szCs w:val="18"/>
        </w:rPr>
      </w:pPr>
      <w:r w:rsidRPr="0020780E">
        <w:rPr>
          <w:rStyle w:val="FootnoteReference"/>
          <w:rFonts w:asciiTheme="majorHAnsi" w:hAnsiTheme="majorHAnsi" w:cstheme="majorHAnsi"/>
          <w:sz w:val="18"/>
          <w:szCs w:val="18"/>
        </w:rPr>
        <w:footnoteRef/>
      </w:r>
      <w:r w:rsidRPr="0020780E">
        <w:rPr>
          <w:rFonts w:asciiTheme="majorHAnsi" w:hAnsiTheme="majorHAnsi" w:cstheme="majorHAnsi"/>
          <w:sz w:val="18"/>
          <w:szCs w:val="18"/>
        </w:rPr>
        <w:t xml:space="preserve"> </w:t>
      </w:r>
      <w:r w:rsidR="009402C8">
        <w:rPr>
          <w:rFonts w:asciiTheme="majorHAnsi" w:hAnsiTheme="majorHAnsi" w:cstheme="majorHAnsi"/>
          <w:sz w:val="18"/>
          <w:szCs w:val="18"/>
        </w:rPr>
        <w:t>Eighty-eight</w:t>
      </w:r>
      <w:r w:rsidRPr="0020780E">
        <w:rPr>
          <w:rFonts w:asciiTheme="majorHAnsi" w:hAnsiTheme="majorHAnsi" w:cstheme="majorHAnsi"/>
          <w:sz w:val="18"/>
          <w:szCs w:val="18"/>
        </w:rPr>
        <w:t xml:space="preserve"> per cent of respondents selected at least one of the ‘Expanded knowledge base’ or ‘Expanded research capacity’ categories.</w:t>
      </w:r>
    </w:p>
  </w:footnote>
  <w:footnote w:id="62">
    <w:p w14:paraId="6520952A" w14:textId="5C31E52A" w:rsidR="003639AF" w:rsidRPr="00875068" w:rsidRDefault="003639AF" w:rsidP="003639AF">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www.arc.gov.au &gt; Policies &amp; Strategies &gt; Policy &gt;</w:t>
      </w:r>
      <w:r w:rsidR="00724E8B">
        <w:rPr>
          <w:rFonts w:asciiTheme="majorHAnsi" w:hAnsiTheme="majorHAnsi" w:cstheme="majorHAnsi"/>
          <w:sz w:val="18"/>
          <w:szCs w:val="18"/>
        </w:rPr>
        <w:t xml:space="preserve"> </w:t>
      </w:r>
      <w:hyperlink r:id="rId39" w:anchor=":~:text=The%20ARC%20Open%20Access%20Policy%20applies%20to%20all,not%20include%20research%20data%20and%20research%20data%20outputs." w:history="1">
        <w:r w:rsidR="00724E8B" w:rsidRPr="000B772A">
          <w:rPr>
            <w:rStyle w:val="Hyperlink"/>
            <w:rFonts w:cstheme="majorHAnsi"/>
            <w:szCs w:val="18"/>
          </w:rPr>
          <w:t>ARC Open Access Policy</w:t>
        </w:r>
      </w:hyperlink>
      <w:r w:rsidRPr="00875068">
        <w:rPr>
          <w:rFonts w:asciiTheme="majorHAnsi" w:hAnsiTheme="majorHAnsi" w:cstheme="majorHAnsi"/>
          <w:sz w:val="18"/>
          <w:szCs w:val="18"/>
        </w:rPr>
        <w:t>.</w:t>
      </w:r>
    </w:p>
  </w:footnote>
  <w:footnote w:id="63">
    <w:p w14:paraId="2E076AD0" w14:textId="455AD0FF" w:rsidR="003639AF" w:rsidRPr="00875068" w:rsidRDefault="003639AF" w:rsidP="003639AF">
      <w:pPr>
        <w:pStyle w:val="FootnoteText"/>
        <w:rPr>
          <w:rFonts w:asciiTheme="majorHAnsi" w:hAnsiTheme="majorHAnsi" w:cstheme="majorHAnsi"/>
          <w: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Holden, L et al (2012), </w:t>
      </w:r>
      <w:r w:rsidR="002C43AB">
        <w:rPr>
          <w:rFonts w:asciiTheme="majorHAnsi" w:hAnsiTheme="majorHAnsi" w:cstheme="majorHAnsi"/>
          <w:sz w:val="18"/>
          <w:szCs w:val="18"/>
        </w:rPr>
        <w:t>‘</w:t>
      </w:r>
      <w:r w:rsidRPr="00875068">
        <w:rPr>
          <w:rFonts w:asciiTheme="majorHAnsi" w:hAnsiTheme="majorHAnsi" w:cstheme="majorHAnsi"/>
          <w:sz w:val="18"/>
          <w:szCs w:val="18"/>
        </w:rPr>
        <w:t>Validation of the research capacity and culture (RCC) tool: Measuring RCC at individual, team and organisation levels</w:t>
      </w:r>
      <w:r w:rsidR="002C43AB">
        <w:rPr>
          <w:rFonts w:asciiTheme="majorHAnsi" w:hAnsiTheme="majorHAnsi" w:cstheme="majorHAnsi"/>
          <w:sz w:val="18"/>
          <w:szCs w:val="18"/>
        </w:rPr>
        <w:t>’,</w:t>
      </w:r>
      <w:r w:rsidRPr="00875068">
        <w:rPr>
          <w:rFonts w:asciiTheme="majorHAnsi" w:hAnsiTheme="majorHAnsi" w:cstheme="majorHAnsi"/>
          <w:sz w:val="18"/>
          <w:szCs w:val="18"/>
        </w:rPr>
        <w:t xml:space="preserve"> </w:t>
      </w:r>
      <w:r w:rsidRPr="00875068">
        <w:rPr>
          <w:rFonts w:asciiTheme="majorHAnsi" w:hAnsiTheme="majorHAnsi" w:cstheme="majorHAnsi"/>
          <w:i/>
          <w:sz w:val="18"/>
          <w:szCs w:val="18"/>
        </w:rPr>
        <w:t>Australian Journal of Primary Health</w:t>
      </w:r>
      <w:r w:rsidRPr="00875068">
        <w:rPr>
          <w:rFonts w:asciiTheme="majorHAnsi" w:hAnsiTheme="majorHAnsi" w:cstheme="majorHAnsi"/>
          <w:sz w:val="18"/>
          <w:szCs w:val="18"/>
        </w:rPr>
        <w:t xml:space="preserve"> vol 18, no. 1, pp. 62–67.</w:t>
      </w:r>
    </w:p>
  </w:footnote>
  <w:footnote w:id="64">
    <w:p w14:paraId="6D997F62" w14:textId="68BB66AC" w:rsidR="003639AF" w:rsidRPr="0020780E" w:rsidRDefault="003639AF" w:rsidP="003639AF">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hyperlink r:id="rId40" w:history="1">
        <w:r w:rsidRPr="00875068">
          <w:rPr>
            <w:rFonts w:asciiTheme="majorHAnsi" w:hAnsiTheme="majorHAnsi" w:cstheme="majorHAnsi"/>
            <w:sz w:val="18"/>
            <w:szCs w:val="18"/>
          </w:rPr>
          <w:t>www.arc.gov.au</w:t>
        </w:r>
      </w:hyperlink>
      <w:r w:rsidRPr="00875068">
        <w:rPr>
          <w:rFonts w:asciiTheme="majorHAnsi" w:hAnsiTheme="majorHAnsi" w:cstheme="majorHAnsi"/>
          <w:sz w:val="18"/>
          <w:szCs w:val="18"/>
        </w:rPr>
        <w:t xml:space="preserve"> &gt; Policies &amp; Strategies &gt; Policy &gt; </w:t>
      </w:r>
      <w:hyperlink r:id="rId41" w:history="1">
        <w:r w:rsidR="003753A7" w:rsidRPr="003753A7">
          <w:rPr>
            <w:rStyle w:val="Hyperlink"/>
            <w:rFonts w:cstheme="majorHAnsi"/>
            <w:szCs w:val="18"/>
          </w:rPr>
          <w:t>ARC Research Opportunity and Performance Evidence (ROPE) Statement</w:t>
        </w:r>
      </w:hyperlink>
      <w:r w:rsidRPr="00875068">
        <w:rPr>
          <w:rFonts w:asciiTheme="majorHAnsi" w:hAnsiTheme="majorHAnsi" w:cstheme="majorHAnsi"/>
          <w:sz w:val="18"/>
          <w:szCs w:val="18"/>
        </w:rPr>
        <w:t>.</w:t>
      </w:r>
    </w:p>
  </w:footnote>
  <w:footnote w:id="65">
    <w:p w14:paraId="34B8B9EE" w14:textId="10229CEE" w:rsidR="003639AF" w:rsidRPr="005061C3" w:rsidRDefault="003639AF" w:rsidP="003639AF">
      <w:pPr>
        <w:pStyle w:val="FootnoteText"/>
        <w:rPr>
          <w:rFonts w:asciiTheme="majorHAnsi" w:hAnsiTheme="majorHAnsi" w:cstheme="majorHAnsi"/>
          <w:sz w:val="18"/>
          <w:szCs w:val="18"/>
        </w:rPr>
      </w:pPr>
      <w:r w:rsidRPr="005061C3">
        <w:rPr>
          <w:rStyle w:val="FootnoteReference"/>
          <w:rFonts w:asciiTheme="majorHAnsi" w:hAnsiTheme="majorHAnsi" w:cstheme="majorHAnsi"/>
          <w:sz w:val="18"/>
          <w:szCs w:val="18"/>
        </w:rPr>
        <w:footnoteRef/>
      </w:r>
      <w:r w:rsidRPr="005061C3">
        <w:rPr>
          <w:rFonts w:asciiTheme="majorHAnsi" w:hAnsiTheme="majorHAnsi" w:cstheme="majorHAnsi"/>
          <w:sz w:val="18"/>
          <w:szCs w:val="18"/>
        </w:rPr>
        <w:t xml:space="preserve"> Final reports have not been submitted for all projects, researchers may not identify every relevant output, and </w:t>
      </w:r>
      <w:r w:rsidR="00F10190">
        <w:rPr>
          <w:rFonts w:asciiTheme="majorHAnsi" w:hAnsiTheme="majorHAnsi" w:cstheme="majorHAnsi"/>
          <w:sz w:val="18"/>
          <w:szCs w:val="18"/>
        </w:rPr>
        <w:t>outputs</w:t>
      </w:r>
      <w:r w:rsidRPr="005061C3">
        <w:rPr>
          <w:rFonts w:asciiTheme="majorHAnsi" w:hAnsiTheme="majorHAnsi" w:cstheme="majorHAnsi"/>
          <w:sz w:val="18"/>
          <w:szCs w:val="18"/>
        </w:rPr>
        <w:t xml:space="preserve"> may be developed and/or published after final report submission.</w:t>
      </w:r>
    </w:p>
  </w:footnote>
  <w:footnote w:id="66">
    <w:p w14:paraId="033B1FA6" w14:textId="5BA0A8E1" w:rsidR="006F6B28" w:rsidRPr="0023700A" w:rsidRDefault="006F6B28">
      <w:pPr>
        <w:pStyle w:val="FootnoteText"/>
        <w:rPr>
          <w:rFonts w:asciiTheme="majorHAnsi" w:hAnsiTheme="majorHAnsi" w:cstheme="majorHAnsi"/>
          <w:sz w:val="18"/>
          <w:szCs w:val="18"/>
        </w:rPr>
      </w:pPr>
      <w:r w:rsidRPr="0023700A">
        <w:rPr>
          <w:rStyle w:val="FootnoteReference"/>
          <w:rFonts w:asciiTheme="majorHAnsi" w:hAnsiTheme="majorHAnsi" w:cstheme="majorHAnsi"/>
          <w:sz w:val="18"/>
          <w:szCs w:val="18"/>
        </w:rPr>
        <w:footnoteRef/>
      </w:r>
      <w:r w:rsidRPr="0023700A">
        <w:rPr>
          <w:rFonts w:asciiTheme="majorHAnsi" w:hAnsiTheme="majorHAnsi" w:cstheme="majorHAnsi"/>
          <w:sz w:val="18"/>
          <w:szCs w:val="18"/>
        </w:rPr>
        <w:t xml:space="preserve"> Australian Research Council (2019), </w:t>
      </w:r>
      <w:r w:rsidR="00481F45" w:rsidRPr="0023700A">
        <w:rPr>
          <w:rFonts w:asciiTheme="majorHAnsi" w:hAnsiTheme="majorHAnsi" w:cstheme="majorHAnsi"/>
          <w:i/>
          <w:iCs/>
          <w:sz w:val="18"/>
          <w:szCs w:val="18"/>
        </w:rPr>
        <w:t>State of Australian University Research 2018–19: ERA National Report</w:t>
      </w:r>
      <w:r w:rsidRPr="0023700A">
        <w:rPr>
          <w:rFonts w:asciiTheme="majorHAnsi" w:hAnsiTheme="majorHAnsi" w:cstheme="majorHAnsi"/>
          <w:i/>
          <w:sz w:val="18"/>
          <w:szCs w:val="18"/>
          <w:lang w:eastAsia="en-AU"/>
        </w:rPr>
        <w:t xml:space="preserve">, </w:t>
      </w:r>
      <w:r w:rsidRPr="0023700A">
        <w:rPr>
          <w:rFonts w:asciiTheme="majorHAnsi" w:hAnsiTheme="majorHAnsi" w:cstheme="majorHAnsi"/>
          <w:sz w:val="18"/>
          <w:szCs w:val="18"/>
          <w:lang w:eastAsia="en-AU"/>
        </w:rPr>
        <w:t>Australian Research Council, Canberra,</w:t>
      </w:r>
      <w:r w:rsidRPr="0023700A">
        <w:rPr>
          <w:rFonts w:asciiTheme="majorHAnsi" w:hAnsiTheme="majorHAnsi" w:cstheme="majorHAnsi"/>
          <w:i/>
          <w:sz w:val="18"/>
          <w:szCs w:val="18"/>
          <w:lang w:eastAsia="en-AU"/>
        </w:rPr>
        <w:t xml:space="preserve"> </w:t>
      </w:r>
      <w:r w:rsidRPr="0023700A">
        <w:rPr>
          <w:rFonts w:asciiTheme="majorHAnsi" w:hAnsiTheme="majorHAnsi" w:cstheme="majorHAnsi"/>
          <w:sz w:val="18"/>
          <w:szCs w:val="18"/>
        </w:rPr>
        <w:t xml:space="preserve">www.arc.gov.au &gt; ERA &gt; </w:t>
      </w:r>
      <w:hyperlink r:id="rId42" w:history="1">
        <w:r w:rsidR="00C02EA6" w:rsidRPr="0023700A">
          <w:rPr>
            <w:rStyle w:val="Hyperlink"/>
            <w:rFonts w:cstheme="majorHAnsi"/>
            <w:szCs w:val="18"/>
          </w:rPr>
          <w:t>ERA 2018 National Report</w:t>
        </w:r>
      </w:hyperlink>
      <w:r w:rsidR="00C02EA6" w:rsidRPr="0023700A">
        <w:rPr>
          <w:rFonts w:asciiTheme="majorHAnsi" w:hAnsiTheme="majorHAnsi" w:cstheme="majorHAnsi"/>
          <w:sz w:val="18"/>
          <w:szCs w:val="18"/>
        </w:rPr>
        <w:t xml:space="preserve">. </w:t>
      </w:r>
    </w:p>
  </w:footnote>
  <w:footnote w:id="67">
    <w:p w14:paraId="21E83B53" w14:textId="01315FD7" w:rsidR="000078AE" w:rsidRDefault="000078AE">
      <w:pPr>
        <w:pStyle w:val="FootnoteText"/>
      </w:pPr>
      <w:r w:rsidRPr="00281670">
        <w:rPr>
          <w:rStyle w:val="FootnoteReference"/>
          <w:rFonts w:asciiTheme="majorHAnsi" w:hAnsiTheme="majorHAnsi" w:cstheme="majorHAnsi"/>
          <w:sz w:val="18"/>
          <w:szCs w:val="18"/>
        </w:rPr>
        <w:footnoteRef/>
      </w:r>
      <w:r w:rsidRPr="00281670">
        <w:rPr>
          <w:rFonts w:asciiTheme="majorHAnsi" w:hAnsiTheme="majorHAnsi" w:cstheme="majorHAnsi"/>
          <w:sz w:val="18"/>
          <w:szCs w:val="18"/>
        </w:rPr>
        <w:t xml:space="preserve"> </w:t>
      </w:r>
      <w:r w:rsidR="00016E0A">
        <w:rPr>
          <w:rFonts w:asciiTheme="majorHAnsi" w:hAnsiTheme="majorHAnsi" w:cstheme="majorHAnsi"/>
          <w:sz w:val="18"/>
          <w:szCs w:val="18"/>
        </w:rPr>
        <w:t xml:space="preserve">For more information on HERDC’s methodology, see </w:t>
      </w:r>
      <w:r w:rsidR="0023700A" w:rsidRPr="00281670">
        <w:rPr>
          <w:rFonts w:asciiTheme="majorHAnsi" w:hAnsiTheme="majorHAnsi" w:cstheme="majorHAnsi"/>
          <w:sz w:val="18"/>
          <w:szCs w:val="18"/>
        </w:rPr>
        <w:t>www.education.gov.au</w:t>
      </w:r>
      <w:r w:rsidR="009550CC" w:rsidRPr="00281670">
        <w:rPr>
          <w:rFonts w:asciiTheme="majorHAnsi" w:hAnsiTheme="majorHAnsi" w:cstheme="majorHAnsi"/>
          <w:sz w:val="18"/>
          <w:szCs w:val="18"/>
        </w:rPr>
        <w:t xml:space="preserve"> &gt; </w:t>
      </w:r>
      <w:r w:rsidR="0068277E" w:rsidRPr="00281670">
        <w:rPr>
          <w:rFonts w:asciiTheme="majorHAnsi" w:hAnsiTheme="majorHAnsi" w:cstheme="majorHAnsi"/>
          <w:sz w:val="18"/>
          <w:szCs w:val="18"/>
        </w:rPr>
        <w:t xml:space="preserve">Higher Education Research &gt; </w:t>
      </w:r>
      <w:r w:rsidR="00A14025" w:rsidRPr="00281670">
        <w:rPr>
          <w:rFonts w:asciiTheme="majorHAnsi" w:hAnsiTheme="majorHAnsi" w:cstheme="majorHAnsi"/>
          <w:sz w:val="18"/>
          <w:szCs w:val="18"/>
        </w:rPr>
        <w:t xml:space="preserve">Research Block Grants &gt; </w:t>
      </w:r>
      <w:hyperlink r:id="rId43" w:history="1">
        <w:r w:rsidR="00A66123" w:rsidRPr="00281670">
          <w:rPr>
            <w:rStyle w:val="Hyperlink"/>
            <w:rFonts w:cstheme="majorHAnsi"/>
            <w:szCs w:val="18"/>
          </w:rPr>
          <w:t>Higher Education Research Data Collection (HERDC)</w:t>
        </w:r>
      </w:hyperlink>
      <w:r w:rsidR="0023700A" w:rsidRPr="00BA46BC">
        <w:rPr>
          <w:rFonts w:asciiTheme="majorHAnsi" w:hAnsiTheme="majorHAnsi" w:cstheme="majorHAnsi"/>
          <w:sz w:val="18"/>
          <w:szCs w:val="18"/>
        </w:rPr>
        <w:t>.</w:t>
      </w:r>
    </w:p>
  </w:footnote>
  <w:footnote w:id="68">
    <w:p w14:paraId="14981304" w14:textId="77777777" w:rsidR="003C093D" w:rsidRPr="00BD2040" w:rsidRDefault="003C093D" w:rsidP="003C093D">
      <w:pPr>
        <w:pStyle w:val="FootnoteText"/>
        <w:rPr>
          <w:rFonts w:asciiTheme="majorHAnsi" w:hAnsiTheme="majorHAnsi" w:cstheme="majorHAnsi"/>
          <w:sz w:val="18"/>
          <w:szCs w:val="18"/>
        </w:rPr>
      </w:pPr>
      <w:r w:rsidRPr="00BD2040">
        <w:rPr>
          <w:rStyle w:val="FootnoteReference"/>
          <w:rFonts w:asciiTheme="majorHAnsi" w:hAnsiTheme="majorHAnsi" w:cstheme="majorHAnsi"/>
          <w:sz w:val="18"/>
          <w:szCs w:val="18"/>
        </w:rPr>
        <w:footnoteRef/>
      </w:r>
      <w:r w:rsidRPr="00BD2040">
        <w:rPr>
          <w:rFonts w:asciiTheme="majorHAnsi" w:hAnsiTheme="majorHAnsi" w:cstheme="majorHAnsi"/>
          <w:sz w:val="18"/>
          <w:szCs w:val="18"/>
        </w:rPr>
        <w:t xml:space="preserve"> Data relate to approved final reports submitted between 23 November 2017 and 26 February 2020. </w:t>
      </w:r>
    </w:p>
  </w:footnote>
  <w:footnote w:id="69">
    <w:p w14:paraId="78F7B2C9" w14:textId="77777777" w:rsidR="003639AF" w:rsidRPr="00875068" w:rsidRDefault="003639AF" w:rsidP="003639AF">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Pr="00875068">
        <w:rPr>
          <w:rFonts w:asciiTheme="majorHAnsi" w:hAnsiTheme="majorHAnsi" w:cstheme="majorHAnsi"/>
          <w:sz w:val="18"/>
          <w:szCs w:val="18"/>
          <w:lang w:val="en-US"/>
        </w:rPr>
        <w:t xml:space="preserve">Given this intended outcome’s focus on growing research capacity in Australia, Partner Investigators, who are primarily international researchers within Discovery Projects, have been excluded from the data presented in this section. </w:t>
      </w:r>
    </w:p>
  </w:footnote>
  <w:footnote w:id="70">
    <w:p w14:paraId="0425A58C" w14:textId="00243FCE" w:rsidR="005B7541" w:rsidRPr="001F28D7" w:rsidRDefault="005B7541" w:rsidP="005B7541">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Pr="00875068">
        <w:rPr>
          <w:rFonts w:asciiTheme="majorHAnsi" w:hAnsiTheme="majorHAnsi" w:cstheme="majorHAnsi"/>
          <w:sz w:val="18"/>
          <w:szCs w:val="18"/>
          <w:lang w:val="en-US"/>
        </w:rPr>
        <w:t xml:space="preserve">In terms of determining eligibility for funding opportunities, time frames associated with Early or Mid-Career Researcher status may be extended, as outlined within the </w:t>
      </w:r>
      <w:r w:rsidRPr="00875068">
        <w:rPr>
          <w:rFonts w:asciiTheme="majorHAnsi" w:hAnsiTheme="majorHAnsi" w:cstheme="majorHAnsi"/>
          <w:i/>
          <w:sz w:val="18"/>
          <w:szCs w:val="18"/>
          <w:lang w:val="en-US"/>
        </w:rPr>
        <w:t>ARC Policy Statement: Eligibility and Career Interruptions</w:t>
      </w:r>
      <w:r w:rsidRPr="00875068">
        <w:rPr>
          <w:rFonts w:asciiTheme="majorHAnsi" w:hAnsiTheme="majorHAnsi" w:cstheme="majorHAnsi"/>
          <w:sz w:val="18"/>
          <w:szCs w:val="18"/>
          <w:lang w:val="en-US"/>
        </w:rPr>
        <w:t xml:space="preserve">, www.arc.gov.au &gt; Policies &amp; Strategies &gt; Policy &gt; </w:t>
      </w:r>
      <w:hyperlink r:id="rId44" w:history="1">
        <w:r w:rsidR="00972017" w:rsidRPr="00972017">
          <w:rPr>
            <w:rStyle w:val="Hyperlink"/>
            <w:rFonts w:cstheme="majorHAnsi"/>
            <w:szCs w:val="18"/>
            <w:lang w:val="en-US"/>
          </w:rPr>
          <w:t>ARC Policy Statement: Eligibility and Career Interruptions</w:t>
        </w:r>
      </w:hyperlink>
      <w:r w:rsidRPr="00875068">
        <w:rPr>
          <w:rFonts w:asciiTheme="majorHAnsi" w:hAnsiTheme="majorHAnsi" w:cstheme="majorHAnsi"/>
          <w:sz w:val="18"/>
          <w:szCs w:val="18"/>
        </w:rPr>
        <w:t>.</w:t>
      </w:r>
    </w:p>
  </w:footnote>
  <w:footnote w:id="71">
    <w:p w14:paraId="037E4CA7" w14:textId="77777777" w:rsidR="003639AF" w:rsidRPr="00875068" w:rsidRDefault="003639AF" w:rsidP="003639AF">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Pr="00875068">
        <w:rPr>
          <w:rFonts w:asciiTheme="majorHAnsi" w:hAnsiTheme="majorHAnsi" w:cstheme="majorHAnsi"/>
          <w:sz w:val="18"/>
          <w:szCs w:val="18"/>
          <w:lang w:val="en-US"/>
        </w:rPr>
        <w:t xml:space="preserve">Department of Education, </w:t>
      </w:r>
      <w:r w:rsidRPr="00875068">
        <w:rPr>
          <w:rFonts w:asciiTheme="majorHAnsi" w:hAnsiTheme="majorHAnsi" w:cstheme="majorHAnsi"/>
          <w:i/>
          <w:iCs/>
          <w:sz w:val="18"/>
          <w:szCs w:val="18"/>
          <w:lang w:val="en-US"/>
        </w:rPr>
        <w:t>Award course completions time series</w:t>
      </w:r>
      <w:r w:rsidRPr="00875068">
        <w:rPr>
          <w:rFonts w:asciiTheme="majorHAnsi" w:hAnsiTheme="majorHAnsi" w:cstheme="majorHAnsi"/>
          <w:sz w:val="18"/>
          <w:szCs w:val="18"/>
          <w:lang w:val="en-US"/>
        </w:rPr>
        <w:t>, p. 2, www.education.gov.au &gt; Higher Education &gt; Higher Education Statistics &gt; Student Data &gt; Selected Higher Education Statistics—2018 Student Data &gt;</w:t>
      </w:r>
      <w:r w:rsidRPr="00875068">
        <w:rPr>
          <w:rFonts w:asciiTheme="majorHAnsi" w:hAnsiTheme="majorHAnsi" w:cstheme="majorHAnsi"/>
          <w:sz w:val="18"/>
          <w:szCs w:val="18"/>
        </w:rPr>
        <w:t xml:space="preserve"> </w:t>
      </w:r>
      <w:hyperlink r:id="rId45" w:history="1">
        <w:r w:rsidRPr="00875068">
          <w:rPr>
            <w:rStyle w:val="Hyperlink"/>
            <w:rFonts w:cstheme="majorHAnsi"/>
            <w:szCs w:val="18"/>
          </w:rPr>
          <w:t>Award course completions time series</w:t>
        </w:r>
      </w:hyperlink>
      <w:r w:rsidRPr="00875068">
        <w:rPr>
          <w:rFonts w:asciiTheme="majorHAnsi" w:hAnsiTheme="majorHAnsi" w:cstheme="majorHAnsi"/>
          <w:sz w:val="18"/>
          <w:szCs w:val="18"/>
          <w:lang w:val="en-US"/>
        </w:rPr>
        <w:t xml:space="preserve">. </w:t>
      </w:r>
    </w:p>
  </w:footnote>
  <w:footnote w:id="72">
    <w:p w14:paraId="1F4F5805" w14:textId="5AD74522" w:rsidR="003639AF" w:rsidRPr="00363287" w:rsidRDefault="003639AF" w:rsidP="003639AF">
      <w:pPr>
        <w:pStyle w:val="FootnoteText"/>
        <w:rPr>
          <w:rFonts w:asciiTheme="majorHAnsi" w:hAnsiTheme="majorHAnsi" w:cstheme="majorHAnsi"/>
          <w:sz w:val="18"/>
          <w:szCs w:val="18"/>
        </w:rPr>
      </w:pPr>
      <w:r w:rsidRPr="00363287">
        <w:rPr>
          <w:rStyle w:val="FootnoteReference"/>
          <w:rFonts w:asciiTheme="majorHAnsi" w:hAnsiTheme="majorHAnsi" w:cstheme="majorHAnsi"/>
          <w:sz w:val="18"/>
          <w:szCs w:val="18"/>
        </w:rPr>
        <w:footnoteRef/>
      </w:r>
      <w:r w:rsidRPr="00363287">
        <w:rPr>
          <w:rFonts w:asciiTheme="majorHAnsi" w:hAnsiTheme="majorHAnsi" w:cstheme="majorHAnsi"/>
          <w:sz w:val="18"/>
          <w:szCs w:val="18"/>
        </w:rPr>
        <w:t xml:space="preserve"> Final reports have not been submitted for all funded projects.</w:t>
      </w:r>
    </w:p>
  </w:footnote>
  <w:footnote w:id="73">
    <w:p w14:paraId="1CED1330" w14:textId="484E5E2B" w:rsidR="00EF1AB4" w:rsidRPr="007057E6" w:rsidRDefault="00EF1AB4">
      <w:pPr>
        <w:pStyle w:val="FootnoteText"/>
        <w:rPr>
          <w:rFonts w:asciiTheme="majorHAnsi" w:hAnsiTheme="majorHAnsi" w:cstheme="majorHAnsi"/>
          <w:sz w:val="18"/>
          <w:szCs w:val="18"/>
        </w:rPr>
      </w:pPr>
      <w:r w:rsidRPr="007057E6">
        <w:rPr>
          <w:rStyle w:val="FootnoteReference"/>
          <w:rFonts w:asciiTheme="majorHAnsi" w:hAnsiTheme="majorHAnsi" w:cstheme="majorHAnsi"/>
        </w:rPr>
        <w:footnoteRef/>
      </w:r>
      <w:r w:rsidRPr="007057E6">
        <w:rPr>
          <w:rFonts w:asciiTheme="majorHAnsi" w:hAnsiTheme="majorHAnsi" w:cstheme="majorHAnsi"/>
          <w:sz w:val="18"/>
          <w:szCs w:val="18"/>
        </w:rPr>
        <w:t xml:space="preserve"> </w:t>
      </w:r>
      <w:r w:rsidR="00FB458C">
        <w:rPr>
          <w:rFonts w:asciiTheme="majorHAnsi" w:hAnsiTheme="majorHAnsi" w:cstheme="majorHAnsi"/>
          <w:sz w:val="18"/>
          <w:szCs w:val="18"/>
        </w:rPr>
        <w:t>T</w:t>
      </w:r>
      <w:r w:rsidRPr="007057E6">
        <w:rPr>
          <w:rFonts w:asciiTheme="majorHAnsi" w:hAnsiTheme="majorHAnsi" w:cstheme="majorHAnsi"/>
          <w:sz w:val="18"/>
          <w:szCs w:val="18"/>
        </w:rPr>
        <w:t xml:space="preserve">his question was selected for coding </w:t>
      </w:r>
      <w:r w:rsidR="00FB458C">
        <w:rPr>
          <w:rFonts w:asciiTheme="majorHAnsi" w:hAnsiTheme="majorHAnsi" w:cstheme="majorHAnsi"/>
          <w:sz w:val="18"/>
          <w:szCs w:val="18"/>
        </w:rPr>
        <w:t xml:space="preserve">during </w:t>
      </w:r>
      <w:r w:rsidR="001C2C89">
        <w:rPr>
          <w:rFonts w:asciiTheme="majorHAnsi" w:hAnsiTheme="majorHAnsi" w:cstheme="majorHAnsi"/>
          <w:sz w:val="18"/>
          <w:szCs w:val="18"/>
        </w:rPr>
        <w:t xml:space="preserve">the </w:t>
      </w:r>
      <w:r w:rsidR="003A0337">
        <w:rPr>
          <w:rFonts w:asciiTheme="majorHAnsi" w:hAnsiTheme="majorHAnsi" w:cstheme="majorHAnsi"/>
          <w:sz w:val="18"/>
          <w:szCs w:val="18"/>
        </w:rPr>
        <w:t>survey design stage</w:t>
      </w:r>
      <w:r w:rsidR="009E2150">
        <w:rPr>
          <w:rFonts w:asciiTheme="majorHAnsi" w:hAnsiTheme="majorHAnsi" w:cstheme="majorHAnsi"/>
          <w:sz w:val="18"/>
          <w:szCs w:val="18"/>
        </w:rPr>
        <w:t>. Coding was undertaken as part of the survey services provided by Kantar, Public Division</w:t>
      </w:r>
      <w:r w:rsidRPr="007057E6">
        <w:rPr>
          <w:rFonts w:asciiTheme="majorHAnsi" w:hAnsiTheme="majorHAnsi" w:cstheme="majorHAnsi"/>
          <w:sz w:val="18"/>
          <w:szCs w:val="18"/>
        </w:rPr>
        <w:t>.</w:t>
      </w:r>
    </w:p>
  </w:footnote>
  <w:footnote w:id="74">
    <w:p w14:paraId="503C5FC8" w14:textId="77777777" w:rsidR="00313EB8" w:rsidRPr="00875068" w:rsidRDefault="00313EB8" w:rsidP="00313EB8">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Department of Health and Ageing (2012), </w:t>
      </w:r>
      <w:r w:rsidRPr="00875068">
        <w:rPr>
          <w:rFonts w:asciiTheme="majorHAnsi" w:hAnsiTheme="majorHAnsi" w:cstheme="majorHAnsi"/>
          <w:i/>
          <w:iCs/>
          <w:sz w:val="18"/>
          <w:szCs w:val="18"/>
        </w:rPr>
        <w:t>Evaluation of the mental health nurse incentive program</w:t>
      </w:r>
      <w:r w:rsidRPr="00875068">
        <w:rPr>
          <w:rFonts w:asciiTheme="majorHAnsi" w:hAnsiTheme="majorHAnsi" w:cstheme="majorHAnsi"/>
          <w:sz w:val="18"/>
          <w:szCs w:val="18"/>
        </w:rPr>
        <w:t xml:space="preserve">, www1.health.gov.au &gt; For Consumers &gt; Education and Prevention &gt; Mental Health &gt; Publications &gt; Evaluation of the mental health nurse incentive program &gt; Part B Evaluation Findings &gt; </w:t>
      </w:r>
      <w:hyperlink r:id="rId46" w:history="1">
        <w:r w:rsidRPr="00875068">
          <w:rPr>
            <w:rStyle w:val="Hyperlink"/>
            <w:rFonts w:cstheme="majorHAnsi"/>
            <w:szCs w:val="18"/>
          </w:rPr>
          <w:t>4.1 Assessment Scope</w:t>
        </w:r>
      </w:hyperlink>
      <w:r w:rsidRPr="00875068">
        <w:rPr>
          <w:rFonts w:asciiTheme="majorHAnsi" w:hAnsiTheme="majorHAnsi" w:cstheme="majorHAnsi"/>
          <w:sz w:val="18"/>
          <w:szCs w:val="18"/>
        </w:rPr>
        <w:t xml:space="preserve">. </w:t>
      </w:r>
    </w:p>
  </w:footnote>
  <w:footnote w:id="75">
    <w:p w14:paraId="3F38804E" w14:textId="3E66958D" w:rsidR="005828A1" w:rsidRDefault="005828A1">
      <w:pPr>
        <w:pStyle w:val="FootnoteText"/>
      </w:pPr>
      <w:r w:rsidRPr="007057E6">
        <w:rPr>
          <w:rStyle w:val="FootnoteReference"/>
          <w:rFonts w:asciiTheme="majorHAnsi" w:hAnsiTheme="majorHAnsi" w:cstheme="majorHAnsi"/>
          <w:sz w:val="18"/>
          <w:szCs w:val="18"/>
        </w:rPr>
        <w:footnoteRef/>
      </w:r>
      <w:r w:rsidRPr="007057E6">
        <w:rPr>
          <w:rFonts w:asciiTheme="majorHAnsi" w:hAnsiTheme="majorHAnsi" w:cstheme="majorHAnsi"/>
          <w:sz w:val="18"/>
          <w:szCs w:val="18"/>
        </w:rPr>
        <w:t xml:space="preserve"> 39 per cent of survey participants stated they engaged in a combination of both basic and applied approaches.</w:t>
      </w:r>
    </w:p>
  </w:footnote>
  <w:footnote w:id="76">
    <w:p w14:paraId="28BDC8B7" w14:textId="294A95D5" w:rsidR="00630BA4" w:rsidRPr="007057E6" w:rsidRDefault="00630BA4">
      <w:pPr>
        <w:pStyle w:val="FootnoteText"/>
        <w:rPr>
          <w:rFonts w:asciiTheme="majorHAnsi" w:hAnsiTheme="majorHAnsi" w:cstheme="majorHAnsi"/>
          <w:sz w:val="18"/>
          <w:szCs w:val="18"/>
        </w:rPr>
      </w:pPr>
      <w:r w:rsidRPr="007057E6">
        <w:rPr>
          <w:rStyle w:val="FootnoteReference"/>
          <w:rFonts w:asciiTheme="majorHAnsi" w:hAnsiTheme="majorHAnsi" w:cstheme="majorHAnsi"/>
          <w:sz w:val="18"/>
          <w:szCs w:val="18"/>
        </w:rPr>
        <w:footnoteRef/>
      </w:r>
      <w:r w:rsidRPr="007057E6">
        <w:rPr>
          <w:rFonts w:asciiTheme="majorHAnsi" w:hAnsiTheme="majorHAnsi" w:cstheme="majorHAnsi"/>
          <w:sz w:val="18"/>
          <w:szCs w:val="18"/>
        </w:rPr>
        <w:t xml:space="preserve"> </w:t>
      </w:r>
      <w:r w:rsidRPr="003007BD">
        <w:rPr>
          <w:rFonts w:asciiTheme="majorHAnsi" w:hAnsiTheme="majorHAnsi" w:cstheme="majorHAnsi"/>
          <w:sz w:val="18"/>
          <w:szCs w:val="18"/>
          <w:lang w:val="en-US"/>
        </w:rPr>
        <w:t xml:space="preserve">Australian Government (2015), ‘Fact Sheet—Science and Research Priorities’, p. 1, </w:t>
      </w:r>
      <w:r w:rsidRPr="007D6847">
        <w:rPr>
          <w:rFonts w:asciiTheme="majorHAnsi" w:hAnsiTheme="majorHAnsi" w:cstheme="majorHAnsi"/>
          <w:sz w:val="18"/>
          <w:szCs w:val="18"/>
        </w:rPr>
        <w:t>www.industry.gov.au</w:t>
      </w:r>
      <w:r w:rsidRPr="00630BA4">
        <w:rPr>
          <w:rFonts w:asciiTheme="majorHAnsi" w:hAnsiTheme="majorHAnsi" w:cstheme="majorHAnsi"/>
          <w:sz w:val="18"/>
          <w:szCs w:val="18"/>
          <w:lang w:val="en-US"/>
        </w:rPr>
        <w:t xml:space="preserve"> &gt; Data and Publications &gt; Science Policy and Engagement &gt; Science and Research Priorities &gt; </w:t>
      </w:r>
      <w:hyperlink r:id="rId47" w:history="1">
        <w:r w:rsidRPr="007D6847">
          <w:rPr>
            <w:rStyle w:val="Hyperlink"/>
            <w:rFonts w:cstheme="majorHAnsi"/>
            <w:szCs w:val="18"/>
            <w:lang w:val="en-US"/>
          </w:rPr>
          <w:t>Fact Sheet</w:t>
        </w:r>
      </w:hyperlink>
      <w:r w:rsidRPr="003007BD">
        <w:rPr>
          <w:rFonts w:asciiTheme="majorHAnsi" w:hAnsiTheme="majorHAnsi" w:cstheme="majorHAnsi"/>
          <w:sz w:val="18"/>
          <w:szCs w:val="18"/>
          <w:lang w:val="en-US"/>
        </w:rPr>
        <w:t>.</w:t>
      </w:r>
    </w:p>
  </w:footnote>
  <w:footnote w:id="77">
    <w:p w14:paraId="0B718DDF" w14:textId="21287CDB" w:rsidR="00B77EBE" w:rsidRPr="00BB5EF0" w:rsidRDefault="00B77EBE" w:rsidP="00B77EBE">
      <w:pPr>
        <w:pStyle w:val="FootnoteText"/>
        <w:rPr>
          <w:rFonts w:asciiTheme="majorHAnsi" w:hAnsiTheme="majorHAnsi" w:cstheme="majorHAnsi"/>
          <w:sz w:val="18"/>
          <w:szCs w:val="18"/>
          <w:lang w:val="en-US"/>
        </w:rPr>
      </w:pPr>
      <w:r w:rsidRPr="00C36395">
        <w:rPr>
          <w:rStyle w:val="FootnoteReference"/>
          <w:rFonts w:asciiTheme="majorHAnsi" w:hAnsiTheme="majorHAnsi" w:cstheme="majorHAnsi"/>
          <w:sz w:val="18"/>
          <w:szCs w:val="18"/>
        </w:rPr>
        <w:footnoteRef/>
      </w:r>
      <w:r w:rsidRPr="00C36395">
        <w:rPr>
          <w:rFonts w:asciiTheme="majorHAnsi" w:hAnsiTheme="majorHAnsi" w:cstheme="majorHAnsi"/>
          <w:sz w:val="18"/>
          <w:szCs w:val="18"/>
        </w:rPr>
        <w:t xml:space="preserve"> </w:t>
      </w:r>
      <w:r w:rsidRPr="00C36395">
        <w:rPr>
          <w:rFonts w:asciiTheme="majorHAnsi" w:hAnsiTheme="majorHAnsi" w:cstheme="majorHAnsi"/>
          <w:sz w:val="18"/>
          <w:szCs w:val="18"/>
          <w:lang w:val="en-US"/>
        </w:rPr>
        <w:t xml:space="preserve">Australian Government (2015), ‘Fact Sheet—Science and Research Priorities’, p. 1, </w:t>
      </w:r>
      <w:r w:rsidRPr="007057E6">
        <w:rPr>
          <w:rFonts w:asciiTheme="majorHAnsi" w:hAnsiTheme="majorHAnsi" w:cstheme="majorHAnsi"/>
          <w:sz w:val="18"/>
          <w:szCs w:val="18"/>
        </w:rPr>
        <w:t>www.industry.gov.au</w:t>
      </w:r>
      <w:r w:rsidRPr="00C36395">
        <w:rPr>
          <w:rFonts w:asciiTheme="majorHAnsi" w:hAnsiTheme="majorHAnsi" w:cstheme="majorHAnsi"/>
          <w:sz w:val="18"/>
          <w:szCs w:val="18"/>
          <w:lang w:val="en-US"/>
        </w:rPr>
        <w:t xml:space="preserve"> &gt; Data and Publications &gt; Science Policy and Engagement &gt; Science and Research Priorities &gt; </w:t>
      </w:r>
      <w:hyperlink r:id="rId48" w:history="1">
        <w:r w:rsidRPr="00C36395">
          <w:rPr>
            <w:rStyle w:val="Hyperlink"/>
            <w:rFonts w:cstheme="majorHAnsi"/>
            <w:szCs w:val="18"/>
            <w:lang w:val="en-US"/>
          </w:rPr>
          <w:t>Fact Sheet</w:t>
        </w:r>
      </w:hyperlink>
      <w:r w:rsidRPr="00C36395">
        <w:rPr>
          <w:rFonts w:asciiTheme="majorHAnsi" w:hAnsiTheme="majorHAnsi" w:cstheme="majorHAnsi"/>
          <w:sz w:val="18"/>
          <w:szCs w:val="18"/>
          <w:lang w:val="en-US"/>
        </w:rPr>
        <w:t>.</w:t>
      </w:r>
    </w:p>
  </w:footnote>
  <w:footnote w:id="78">
    <w:p w14:paraId="1E5C6008" w14:textId="77777777" w:rsidR="00B77EBE" w:rsidRPr="000A3AA6" w:rsidRDefault="00B77EBE" w:rsidP="00B77EBE">
      <w:pPr>
        <w:pStyle w:val="FootnoteText"/>
        <w:rPr>
          <w:rFonts w:asciiTheme="majorHAnsi" w:hAnsiTheme="majorHAnsi" w:cstheme="majorHAnsi"/>
          <w:sz w:val="18"/>
          <w:szCs w:val="18"/>
          <w:lang w:val="en-US"/>
        </w:rPr>
      </w:pPr>
      <w:r w:rsidRPr="000A3AA6">
        <w:rPr>
          <w:rStyle w:val="FootnoteReference"/>
          <w:rFonts w:asciiTheme="majorHAnsi" w:hAnsiTheme="majorHAnsi" w:cstheme="majorHAnsi"/>
          <w:sz w:val="18"/>
          <w:szCs w:val="18"/>
        </w:rPr>
        <w:footnoteRef/>
      </w:r>
      <w:r w:rsidRPr="000A3AA6">
        <w:rPr>
          <w:rFonts w:asciiTheme="majorHAnsi" w:hAnsiTheme="majorHAnsi" w:cstheme="majorHAnsi"/>
          <w:sz w:val="18"/>
          <w:szCs w:val="18"/>
        </w:rPr>
        <w:t xml:space="preserve"> </w:t>
      </w:r>
      <w:r w:rsidRPr="000A3AA6">
        <w:rPr>
          <w:rFonts w:asciiTheme="majorHAnsi" w:hAnsiTheme="majorHAnsi" w:cstheme="majorHAnsi"/>
          <w:sz w:val="18"/>
          <w:szCs w:val="18"/>
          <w:lang w:val="en-US"/>
        </w:rPr>
        <w:t xml:space="preserve">Leitner, K et al. (2011), </w:t>
      </w:r>
      <w:r w:rsidRPr="000A3AA6">
        <w:rPr>
          <w:rFonts w:asciiTheme="majorHAnsi" w:hAnsiTheme="majorHAnsi" w:cstheme="majorHAnsi"/>
          <w:i/>
          <w:sz w:val="18"/>
          <w:szCs w:val="18"/>
          <w:lang w:val="en-US"/>
        </w:rPr>
        <w:t>Analysis of the evolution of the costs of research—trends, drivers and impacts</w:t>
      </w:r>
      <w:r w:rsidRPr="000A3AA6">
        <w:rPr>
          <w:rFonts w:asciiTheme="majorHAnsi" w:hAnsiTheme="majorHAnsi" w:cstheme="majorHAnsi"/>
          <w:sz w:val="18"/>
          <w:szCs w:val="18"/>
          <w:lang w:val="en-US"/>
        </w:rPr>
        <w:t xml:space="preserve">, European Techno-Economic Policy Support Network.  </w:t>
      </w:r>
    </w:p>
  </w:footnote>
  <w:footnote w:id="79">
    <w:p w14:paraId="58DCD956" w14:textId="77777777" w:rsidR="00B77EBE" w:rsidRPr="00875068" w:rsidRDefault="00B77EBE" w:rsidP="00B77EBE">
      <w:pPr>
        <w:pStyle w:val="FootnoteText"/>
        <w:rPr>
          <w:rFonts w:asciiTheme="majorHAnsi" w:hAnsiTheme="majorHAnsi" w:cstheme="majorHAns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House of Representatives Standing Committee on Employment, Education and Training (2019),</w:t>
      </w:r>
      <w:r w:rsidRPr="00875068">
        <w:rPr>
          <w:rFonts w:asciiTheme="majorHAnsi" w:hAnsiTheme="majorHAnsi" w:cstheme="majorHAnsi"/>
          <w:i/>
          <w:sz w:val="18"/>
          <w:szCs w:val="18"/>
        </w:rPr>
        <w:t xml:space="preserve"> Australian Government funding arrangements for non-NHMRC research</w:t>
      </w:r>
      <w:r w:rsidRPr="00875068">
        <w:rPr>
          <w:rFonts w:asciiTheme="majorHAnsi" w:hAnsiTheme="majorHAnsi" w:cstheme="majorHAnsi"/>
          <w:sz w:val="18"/>
          <w:szCs w:val="18"/>
        </w:rPr>
        <w:t>, Commonwealth of Australia, pp. 23</w:t>
      </w:r>
      <w:r w:rsidRPr="00875068">
        <w:rPr>
          <w:rFonts w:asciiTheme="majorHAnsi" w:hAnsiTheme="majorHAnsi" w:cstheme="majorHAnsi"/>
          <w:iCs/>
          <w:sz w:val="18"/>
          <w:szCs w:val="18"/>
        </w:rPr>
        <w:t>–26, www.aph.gov.au &gt; Parliamentary Business &gt; Committees &gt; House Committees &gt; Employment, Education and Training &gt; Completed Inquiries and Reports &gt; 45</w:t>
      </w:r>
      <w:r w:rsidRPr="00875068">
        <w:rPr>
          <w:rFonts w:asciiTheme="majorHAnsi" w:hAnsiTheme="majorHAnsi" w:cstheme="majorHAnsi"/>
          <w:iCs/>
          <w:sz w:val="18"/>
          <w:szCs w:val="18"/>
          <w:vertAlign w:val="superscript"/>
        </w:rPr>
        <w:t>th</w:t>
      </w:r>
      <w:r w:rsidRPr="00875068">
        <w:rPr>
          <w:rFonts w:asciiTheme="majorHAnsi" w:hAnsiTheme="majorHAnsi" w:cstheme="majorHAnsi"/>
          <w:iCs/>
          <w:sz w:val="18"/>
          <w:szCs w:val="18"/>
        </w:rPr>
        <w:t xml:space="preserve"> Parliament &gt; </w:t>
      </w:r>
      <w:hyperlink r:id="rId49" w:history="1">
        <w:r w:rsidRPr="00875068">
          <w:rPr>
            <w:rStyle w:val="Hyperlink"/>
            <w:rFonts w:cstheme="majorHAnsi"/>
            <w:iCs/>
            <w:szCs w:val="18"/>
          </w:rPr>
          <w:t>Australian Government funding arrangements for non-NHMRC research</w:t>
        </w:r>
      </w:hyperlink>
      <w:r w:rsidRPr="00875068">
        <w:rPr>
          <w:rFonts w:asciiTheme="majorHAnsi" w:hAnsiTheme="majorHAnsi" w:cstheme="majorHAnsi"/>
          <w:iCs/>
          <w:sz w:val="18"/>
          <w:szCs w:val="18"/>
        </w:rPr>
        <w:t>.</w:t>
      </w:r>
    </w:p>
  </w:footnote>
  <w:footnote w:id="80">
    <w:p w14:paraId="2B8AAE8E" w14:textId="77777777" w:rsidR="00B77EBE" w:rsidRPr="00875068" w:rsidRDefault="00B77EBE" w:rsidP="00B77EBE">
      <w:pPr>
        <w:pStyle w:val="FootnoteText"/>
        <w:rPr>
          <w:rFonts w:asciiTheme="majorHAnsi" w:hAnsiTheme="majorHAnsi" w:cstheme="majorHAnsi"/>
          <w:i/>
          <w:sz w:val="18"/>
          <w:szCs w:val="18"/>
          <w:lang w:val="en-US"/>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Department of Finance (2017), </w:t>
      </w:r>
      <w:r w:rsidRPr="00875068">
        <w:rPr>
          <w:rFonts w:asciiTheme="majorHAnsi" w:hAnsiTheme="majorHAnsi" w:cstheme="majorHAnsi"/>
          <w:i/>
          <w:sz w:val="18"/>
          <w:szCs w:val="18"/>
        </w:rPr>
        <w:t>Commonwealth Grants Rules and Guidelines 2017</w:t>
      </w:r>
      <w:r w:rsidRPr="00875068">
        <w:rPr>
          <w:rFonts w:asciiTheme="majorHAnsi" w:hAnsiTheme="majorHAnsi" w:cstheme="majorHAnsi"/>
          <w:sz w:val="18"/>
          <w:szCs w:val="18"/>
        </w:rPr>
        <w:t xml:space="preserve">, p. 27, </w:t>
      </w:r>
      <w:r w:rsidRPr="00875068">
        <w:rPr>
          <w:rFonts w:asciiTheme="majorHAnsi" w:hAnsiTheme="majorHAnsi" w:cstheme="majorHAnsi"/>
          <w:sz w:val="18"/>
          <w:szCs w:val="18"/>
          <w:lang w:val="en-US"/>
        </w:rPr>
        <w:t xml:space="preserve">www.finance.gov.au &gt; Government &gt; Grants &gt; Grants Policy Framework &gt; </w:t>
      </w:r>
      <w:hyperlink r:id="rId50" w:history="1">
        <w:r w:rsidRPr="00875068">
          <w:rPr>
            <w:rStyle w:val="Hyperlink"/>
            <w:rFonts w:cstheme="majorHAnsi"/>
            <w:szCs w:val="18"/>
            <w:lang w:val="en-US"/>
          </w:rPr>
          <w:t>Commonwealth Grants Rules and Guidelines 2017</w:t>
        </w:r>
      </w:hyperlink>
      <w:r w:rsidRPr="00875068">
        <w:rPr>
          <w:rFonts w:asciiTheme="majorHAnsi" w:hAnsiTheme="majorHAnsi" w:cstheme="majorHAnsi"/>
          <w:sz w:val="18"/>
          <w:szCs w:val="18"/>
          <w:lang w:val="en-US"/>
        </w:rPr>
        <w:t>.</w:t>
      </w:r>
    </w:p>
  </w:footnote>
  <w:footnote w:id="81">
    <w:p w14:paraId="78F3E71A" w14:textId="6B8A614A" w:rsidR="00DF07A8" w:rsidRPr="00BB5EF0" w:rsidRDefault="00DF07A8" w:rsidP="00DF07A8">
      <w:pPr>
        <w:pStyle w:val="FootnoteText"/>
        <w:rPr>
          <w:rFonts w:asciiTheme="majorHAnsi" w:hAnsiTheme="majorHAnsi" w:cstheme="majorHAnsi"/>
          <w:sz w:val="18"/>
          <w:szCs w:val="18"/>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w:t>
      </w:r>
      <w:r w:rsidRPr="00875068">
        <w:rPr>
          <w:rFonts w:asciiTheme="majorHAnsi" w:hAnsiTheme="majorHAnsi" w:cstheme="majorHAnsi"/>
          <w:sz w:val="18"/>
          <w:szCs w:val="18"/>
          <w:lang w:eastAsia="en-AU"/>
        </w:rPr>
        <w:t xml:space="preserve">Particularly the Australian Research Fellowships, Queen Elizabeth II Fellowships and Australian Professorial Fellowships, </w:t>
      </w:r>
      <w:r w:rsidRPr="008C48B1">
        <w:rPr>
          <w:rFonts w:asciiTheme="majorHAnsi" w:hAnsiTheme="majorHAnsi" w:cstheme="majorHAnsi"/>
          <w:sz w:val="18"/>
          <w:szCs w:val="18"/>
          <w:lang w:eastAsia="en-AU"/>
        </w:rPr>
        <w:t xml:space="preserve">see </w:t>
      </w:r>
      <w:r w:rsidRPr="00281670">
        <w:rPr>
          <w:rFonts w:asciiTheme="majorHAnsi" w:hAnsiTheme="majorHAnsi" w:cstheme="majorHAnsi"/>
          <w:sz w:val="18"/>
          <w:szCs w:val="18"/>
          <w:lang w:eastAsia="en-AU"/>
        </w:rPr>
        <w:t xml:space="preserve">p. </w:t>
      </w:r>
      <w:r w:rsidR="001D1126" w:rsidRPr="00281670">
        <w:rPr>
          <w:rFonts w:asciiTheme="majorHAnsi" w:hAnsiTheme="majorHAnsi" w:cstheme="majorHAnsi"/>
          <w:sz w:val="18"/>
          <w:szCs w:val="18"/>
          <w:lang w:eastAsia="en-AU"/>
        </w:rPr>
        <w:t>17</w:t>
      </w:r>
      <w:r w:rsidRPr="008C48B1">
        <w:rPr>
          <w:rFonts w:asciiTheme="majorHAnsi" w:hAnsiTheme="majorHAnsi" w:cstheme="majorHAnsi"/>
          <w:sz w:val="18"/>
          <w:szCs w:val="18"/>
          <w:lang w:eastAsia="en-AU"/>
        </w:rPr>
        <w:t>)</w:t>
      </w:r>
    </w:p>
  </w:footnote>
  <w:footnote w:id="82">
    <w:p w14:paraId="4BD77937" w14:textId="77777777" w:rsidR="00765A77" w:rsidRPr="00DA454A" w:rsidRDefault="00765A77" w:rsidP="00765A77">
      <w:pPr>
        <w:pStyle w:val="FootnoteText"/>
        <w:rPr>
          <w:rFonts w:asciiTheme="majorHAnsi" w:hAnsiTheme="majorHAnsi" w:cstheme="majorHAnsi"/>
        </w:rPr>
      </w:pPr>
      <w:r w:rsidRPr="00875068">
        <w:rPr>
          <w:rStyle w:val="FootnoteReference"/>
          <w:rFonts w:asciiTheme="majorHAnsi" w:hAnsiTheme="majorHAnsi" w:cstheme="majorHAnsi"/>
          <w:sz w:val="18"/>
          <w:szCs w:val="18"/>
        </w:rPr>
        <w:footnoteRef/>
      </w:r>
      <w:r w:rsidRPr="00875068">
        <w:rPr>
          <w:rFonts w:asciiTheme="majorHAnsi" w:hAnsiTheme="majorHAnsi" w:cstheme="majorHAnsi"/>
          <w:sz w:val="18"/>
          <w:szCs w:val="18"/>
        </w:rPr>
        <w:t xml:space="preserve"> R</w:t>
      </w:r>
      <w:r w:rsidRPr="00875068">
        <w:rPr>
          <w:rFonts w:asciiTheme="majorHAnsi" w:hAnsiTheme="majorHAnsi" w:cstheme="majorHAnsi"/>
          <w:sz w:val="18"/>
          <w:szCs w:val="18"/>
          <w:shd w:val="clear" w:color="auto" w:fill="FFFFFF"/>
        </w:rPr>
        <w:t>&amp;D is defined as comprising ‘creative and systematic work undertaken in order to increase stock of knowledge—including knowledge of humankind, culture and society—and to devise new applications of knowledge’ and ‘covers three types of activity: basic research, applied research and experimental development’, Department of Industry, Science, Energy and Resources (2020), 2019–20 Science, Research and Innovation Budget Tables, www.industry.gov.au &gt; Data and Publications &gt; Research and Development (R&amp;D) &gt;</w:t>
      </w:r>
      <w:r w:rsidRPr="00875068">
        <w:rPr>
          <w:rFonts w:asciiTheme="majorHAnsi" w:hAnsiTheme="majorHAnsi" w:cstheme="majorHAnsi"/>
          <w:sz w:val="18"/>
          <w:szCs w:val="18"/>
        </w:rPr>
        <w:t xml:space="preserve"> </w:t>
      </w:r>
      <w:hyperlink r:id="rId51" w:history="1">
        <w:r w:rsidRPr="00875068">
          <w:rPr>
            <w:rStyle w:val="Hyperlink"/>
            <w:rFonts w:cstheme="majorHAnsi"/>
            <w:szCs w:val="18"/>
          </w:rPr>
          <w:t>Science, Research and Innovation (SRI) Budget Tables</w:t>
        </w:r>
      </w:hyperlink>
      <w:r w:rsidRPr="00875068">
        <w:rPr>
          <w:rFonts w:asciiTheme="majorHAnsi" w:hAnsiTheme="majorHAnsi" w:cstheme="majorHAnsi"/>
          <w:sz w:val="18"/>
          <w:szCs w:val="18"/>
        </w:rPr>
        <w:t>.</w:t>
      </w:r>
    </w:p>
  </w:footnote>
  <w:footnote w:id="83">
    <w:p w14:paraId="245213B7" w14:textId="77777777" w:rsidR="00765A77" w:rsidRPr="00875068" w:rsidRDefault="00765A77" w:rsidP="00765A77">
      <w:pPr>
        <w:pStyle w:val="FootnoteText"/>
        <w:rPr>
          <w:rFonts w:asciiTheme="majorHAnsi" w:hAnsiTheme="majorHAnsi" w:cstheme="majorHAnsi"/>
          <w:sz w:val="18"/>
          <w:szCs w:val="18"/>
          <w:lang w:val="en-US"/>
        </w:rPr>
      </w:pPr>
      <w:r w:rsidRPr="00F85877">
        <w:rPr>
          <w:rStyle w:val="FootnoteReference"/>
          <w:rFonts w:asciiTheme="majorHAnsi" w:hAnsiTheme="majorHAnsi" w:cstheme="majorHAnsi"/>
          <w:color w:val="000000" w:themeColor="text1"/>
          <w:sz w:val="18"/>
          <w:szCs w:val="18"/>
        </w:rPr>
        <w:footnoteRef/>
      </w:r>
      <w:r w:rsidRPr="00F85877">
        <w:rPr>
          <w:rFonts w:asciiTheme="majorHAnsi" w:hAnsiTheme="majorHAnsi" w:cstheme="majorHAnsi"/>
          <w:color w:val="000000" w:themeColor="text1"/>
          <w:sz w:val="18"/>
          <w:szCs w:val="18"/>
        </w:rPr>
        <w:t xml:space="preserve"> The </w:t>
      </w:r>
      <w:r w:rsidRPr="00F85877">
        <w:rPr>
          <w:rFonts w:asciiTheme="majorHAnsi" w:hAnsiTheme="majorHAnsi" w:cstheme="majorHAnsi"/>
          <w:color w:val="000000" w:themeColor="text1"/>
          <w:sz w:val="18"/>
          <w:szCs w:val="18"/>
          <w:shd w:val="clear" w:color="auto" w:fill="FFFFFF"/>
        </w:rPr>
        <w:t>Australian and New Zealand Standard Research Classification</w:t>
      </w:r>
      <w:r w:rsidRPr="00F85877">
        <w:rPr>
          <w:rFonts w:asciiTheme="majorHAnsi" w:hAnsiTheme="majorHAnsi" w:cstheme="majorHAnsi"/>
          <w:color w:val="000000" w:themeColor="text1"/>
          <w:sz w:val="18"/>
          <w:szCs w:val="18"/>
        </w:rPr>
        <w:t xml:space="preserve"> (</w:t>
      </w:r>
      <w:r w:rsidRPr="00F85877">
        <w:rPr>
          <w:rFonts w:asciiTheme="majorHAnsi" w:hAnsiTheme="majorHAnsi" w:cstheme="majorHAnsi"/>
          <w:color w:val="000000" w:themeColor="text1"/>
          <w:sz w:val="18"/>
          <w:szCs w:val="18"/>
          <w:lang w:val="en-US"/>
        </w:rPr>
        <w:t>ANZSRC) defines experimental development as ‘</w:t>
      </w:r>
      <w:r w:rsidRPr="00F85877">
        <w:rPr>
          <w:rFonts w:asciiTheme="majorHAnsi" w:hAnsiTheme="majorHAnsi" w:cstheme="majorHAnsi"/>
          <w:color w:val="000000" w:themeColor="text1"/>
          <w:sz w:val="18"/>
          <w:szCs w:val="18"/>
          <w:shd w:val="clear" w:color="auto" w:fill="FFFFFF"/>
        </w:rPr>
        <w:t xml:space="preserve">systematic work, using existing knowledge gained from research or practical experience, which is directed to producing new materials, products, devices, policies, behaviours or outlooks; to installing new processes, systems and services; or to improving substantially those already produced or installed’, www.abs.gov.au &gt; Statistics &gt; Technology &amp; Innovation &gt; ANZSRC - Research Classifications &gt; Past &amp; Future Releases &gt; Australian and New Zealand Standard Research Classification (ANZSRC) 2008 &gt; </w:t>
      </w:r>
      <w:hyperlink r:id="rId52" w:history="1">
        <w:r w:rsidRPr="00875068">
          <w:rPr>
            <w:rStyle w:val="Hyperlink"/>
            <w:rFonts w:cstheme="majorHAnsi"/>
            <w:szCs w:val="18"/>
            <w:shd w:val="clear" w:color="auto" w:fill="FFFFFF"/>
          </w:rPr>
          <w:t>Chapter 2—Types of Activity</w:t>
        </w:r>
      </w:hyperlink>
      <w:r w:rsidRPr="00875068">
        <w:rPr>
          <w:rFonts w:asciiTheme="majorHAnsi" w:hAnsiTheme="majorHAnsi" w:cstheme="majorHAnsi"/>
          <w:color w:val="333333"/>
          <w:sz w:val="18"/>
          <w:szCs w:val="18"/>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0B82E" w14:textId="4FFEC8DB" w:rsidR="00A3014F" w:rsidRPr="00A3014F" w:rsidRDefault="00A3014F">
    <w:pPr>
      <w:pStyle w:val="Header"/>
      <w:jc w:val="right"/>
      <w:rPr>
        <w:rFonts w:asciiTheme="majorHAnsi" w:hAnsiTheme="majorHAnsi" w:cstheme="majorHAnsi"/>
      </w:rPr>
    </w:pPr>
  </w:p>
  <w:p w14:paraId="2870D51E" w14:textId="77777777" w:rsidR="00A3014F" w:rsidRPr="00A3014F" w:rsidRDefault="00A3014F">
    <w:pPr>
      <w:pStyle w:val="Heade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0118"/>
    <w:multiLevelType w:val="hybridMultilevel"/>
    <w:tmpl w:val="3C04F70E"/>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2761196"/>
    <w:multiLevelType w:val="hybridMultilevel"/>
    <w:tmpl w:val="86DABD5C"/>
    <w:lvl w:ilvl="0" w:tplc="57D88DE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264CD"/>
    <w:multiLevelType w:val="hybridMultilevel"/>
    <w:tmpl w:val="8BB2A86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5AE01C2"/>
    <w:multiLevelType w:val="hybridMultilevel"/>
    <w:tmpl w:val="253E1EB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7045B62"/>
    <w:multiLevelType w:val="hybridMultilevel"/>
    <w:tmpl w:val="0C090025"/>
    <w:lvl w:ilvl="0" w:tplc="D36C4D80">
      <w:start w:val="1"/>
      <w:numFmt w:val="decimal"/>
      <w:lvlText w:val="%1"/>
      <w:lvlJc w:val="left"/>
      <w:pPr>
        <w:ind w:left="432" w:hanging="432"/>
      </w:pPr>
    </w:lvl>
    <w:lvl w:ilvl="1" w:tplc="AFB2F196">
      <w:start w:val="1"/>
      <w:numFmt w:val="decimal"/>
      <w:lvlText w:val="%1.%2"/>
      <w:lvlJc w:val="left"/>
      <w:pPr>
        <w:ind w:left="576" w:hanging="576"/>
      </w:pPr>
    </w:lvl>
    <w:lvl w:ilvl="2" w:tplc="B5EED9A4">
      <w:start w:val="1"/>
      <w:numFmt w:val="decimal"/>
      <w:lvlText w:val="%1.%2.%3"/>
      <w:lvlJc w:val="left"/>
      <w:pPr>
        <w:ind w:left="720" w:hanging="720"/>
      </w:pPr>
    </w:lvl>
    <w:lvl w:ilvl="3" w:tplc="F2BCAE68">
      <w:start w:val="1"/>
      <w:numFmt w:val="decimal"/>
      <w:lvlText w:val="%1.%2.%3.%4"/>
      <w:lvlJc w:val="left"/>
      <w:pPr>
        <w:ind w:left="864" w:hanging="864"/>
      </w:pPr>
    </w:lvl>
    <w:lvl w:ilvl="4" w:tplc="3F3686D0">
      <w:start w:val="1"/>
      <w:numFmt w:val="decimal"/>
      <w:lvlText w:val="%1.%2.%3.%4.%5"/>
      <w:lvlJc w:val="left"/>
      <w:pPr>
        <w:ind w:left="1008" w:hanging="1008"/>
      </w:pPr>
    </w:lvl>
    <w:lvl w:ilvl="5" w:tplc="3EAE05EC">
      <w:start w:val="1"/>
      <w:numFmt w:val="decimal"/>
      <w:lvlText w:val="%1.%2.%3.%4.%5.%6"/>
      <w:lvlJc w:val="left"/>
      <w:pPr>
        <w:ind w:left="1152" w:hanging="1152"/>
      </w:pPr>
    </w:lvl>
    <w:lvl w:ilvl="6" w:tplc="6C1613D2">
      <w:start w:val="1"/>
      <w:numFmt w:val="decimal"/>
      <w:lvlText w:val="%1.%2.%3.%4.%5.%6.%7"/>
      <w:lvlJc w:val="left"/>
      <w:pPr>
        <w:ind w:left="1296" w:hanging="1296"/>
      </w:pPr>
    </w:lvl>
    <w:lvl w:ilvl="7" w:tplc="B8BA6F06">
      <w:start w:val="1"/>
      <w:numFmt w:val="decimal"/>
      <w:lvlText w:val="%1.%2.%3.%4.%5.%6.%7.%8"/>
      <w:lvlJc w:val="left"/>
      <w:pPr>
        <w:ind w:left="1440" w:hanging="1440"/>
      </w:pPr>
    </w:lvl>
    <w:lvl w:ilvl="8" w:tplc="B46AB662">
      <w:start w:val="1"/>
      <w:numFmt w:val="decimal"/>
      <w:lvlText w:val="%1.%2.%3.%4.%5.%6.%7.%8.%9"/>
      <w:lvlJc w:val="left"/>
      <w:pPr>
        <w:ind w:left="1584" w:hanging="1584"/>
      </w:pPr>
    </w:lvl>
  </w:abstractNum>
  <w:abstractNum w:abstractNumId="5" w15:restartNumberingAfterBreak="0">
    <w:nsid w:val="0F5858D8"/>
    <w:multiLevelType w:val="hybridMultilevel"/>
    <w:tmpl w:val="22CA20F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0F12F0E"/>
    <w:multiLevelType w:val="hybridMultilevel"/>
    <w:tmpl w:val="D7C2EABC"/>
    <w:lvl w:ilvl="0" w:tplc="5420BC16">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227BB6"/>
    <w:multiLevelType w:val="hybridMultilevel"/>
    <w:tmpl w:val="8B920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30D10"/>
    <w:multiLevelType w:val="hybridMultilevel"/>
    <w:tmpl w:val="BE74FCA0"/>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2C7220C"/>
    <w:multiLevelType w:val="hybridMultilevel"/>
    <w:tmpl w:val="D69EE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1369B7"/>
    <w:multiLevelType w:val="hybridMultilevel"/>
    <w:tmpl w:val="CF2C812A"/>
    <w:lvl w:ilvl="0" w:tplc="A2B8E802">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47427A"/>
    <w:multiLevelType w:val="hybridMultilevel"/>
    <w:tmpl w:val="917A6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A53BF1"/>
    <w:multiLevelType w:val="hybridMultilevel"/>
    <w:tmpl w:val="ABD0EDEE"/>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14BB0DAC"/>
    <w:multiLevelType w:val="hybridMultilevel"/>
    <w:tmpl w:val="42D8A854"/>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15F74CFB"/>
    <w:multiLevelType w:val="hybridMultilevel"/>
    <w:tmpl w:val="EACC3E06"/>
    <w:lvl w:ilvl="0" w:tplc="1B306FDE">
      <w:start w:val="1"/>
      <w:numFmt w:val="bullet"/>
      <w:lvlText w:val=""/>
      <w:lvlJc w:val="left"/>
      <w:pPr>
        <w:ind w:left="360" w:hanging="360"/>
      </w:pPr>
      <w:rPr>
        <w:rFonts w:ascii="Symbol" w:hAnsi="Symbol" w:hint="default"/>
      </w:rPr>
    </w:lvl>
    <w:lvl w:ilvl="1" w:tplc="FB048DB2">
      <w:start w:val="1"/>
      <w:numFmt w:val="lowerLetter"/>
      <w:lvlText w:val="%2)"/>
      <w:lvlJc w:val="left"/>
      <w:pPr>
        <w:ind w:left="720" w:hanging="360"/>
      </w:pPr>
    </w:lvl>
    <w:lvl w:ilvl="2" w:tplc="53740FB6">
      <w:start w:val="1"/>
      <w:numFmt w:val="lowerRoman"/>
      <w:lvlText w:val="%3)"/>
      <w:lvlJc w:val="left"/>
      <w:pPr>
        <w:ind w:left="1080" w:hanging="360"/>
      </w:pPr>
    </w:lvl>
    <w:lvl w:ilvl="3" w:tplc="0E867666">
      <w:start w:val="1"/>
      <w:numFmt w:val="decimal"/>
      <w:lvlText w:val="(%4)"/>
      <w:lvlJc w:val="left"/>
      <w:pPr>
        <w:ind w:left="1440" w:hanging="360"/>
      </w:pPr>
    </w:lvl>
    <w:lvl w:ilvl="4" w:tplc="C1E6357C">
      <w:start w:val="1"/>
      <w:numFmt w:val="lowerLetter"/>
      <w:lvlText w:val="(%5)"/>
      <w:lvlJc w:val="left"/>
      <w:pPr>
        <w:ind w:left="1800" w:hanging="360"/>
      </w:pPr>
    </w:lvl>
    <w:lvl w:ilvl="5" w:tplc="328230DC">
      <w:start w:val="1"/>
      <w:numFmt w:val="lowerRoman"/>
      <w:lvlText w:val="(%6)"/>
      <w:lvlJc w:val="left"/>
      <w:pPr>
        <w:ind w:left="2160" w:hanging="360"/>
      </w:pPr>
    </w:lvl>
    <w:lvl w:ilvl="6" w:tplc="DB8645C4">
      <w:start w:val="1"/>
      <w:numFmt w:val="decimal"/>
      <w:lvlText w:val="%7."/>
      <w:lvlJc w:val="left"/>
      <w:pPr>
        <w:ind w:left="2520" w:hanging="360"/>
      </w:pPr>
    </w:lvl>
    <w:lvl w:ilvl="7" w:tplc="D80E0D26">
      <w:start w:val="1"/>
      <w:numFmt w:val="lowerLetter"/>
      <w:lvlText w:val="%8."/>
      <w:lvlJc w:val="left"/>
      <w:pPr>
        <w:ind w:left="2880" w:hanging="360"/>
      </w:pPr>
    </w:lvl>
    <w:lvl w:ilvl="8" w:tplc="E6027BE8">
      <w:start w:val="1"/>
      <w:numFmt w:val="lowerRoman"/>
      <w:lvlText w:val="%9."/>
      <w:lvlJc w:val="left"/>
      <w:pPr>
        <w:ind w:left="3240" w:hanging="360"/>
      </w:pPr>
    </w:lvl>
  </w:abstractNum>
  <w:abstractNum w:abstractNumId="15" w15:restartNumberingAfterBreak="0">
    <w:nsid w:val="176B1380"/>
    <w:multiLevelType w:val="hybridMultilevel"/>
    <w:tmpl w:val="9A8A2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AE2B06"/>
    <w:multiLevelType w:val="hybridMultilevel"/>
    <w:tmpl w:val="8626F690"/>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FA243DD"/>
    <w:multiLevelType w:val="hybridMultilevel"/>
    <w:tmpl w:val="57C231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527B9F"/>
    <w:multiLevelType w:val="hybridMultilevel"/>
    <w:tmpl w:val="FD5C6B54"/>
    <w:lvl w:ilvl="0" w:tplc="A5E0FFD4">
      <w:start w:val="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634D85"/>
    <w:multiLevelType w:val="hybridMultilevel"/>
    <w:tmpl w:val="AF8E54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7801E2"/>
    <w:multiLevelType w:val="hybridMultilevel"/>
    <w:tmpl w:val="EACC3E06"/>
    <w:lvl w:ilvl="0" w:tplc="41FCC0BE">
      <w:start w:val="1"/>
      <w:numFmt w:val="bullet"/>
      <w:lvlText w:val=""/>
      <w:lvlJc w:val="left"/>
      <w:pPr>
        <w:ind w:left="360" w:hanging="360"/>
      </w:pPr>
      <w:rPr>
        <w:rFonts w:ascii="Symbol" w:hAnsi="Symbol" w:hint="default"/>
      </w:rPr>
    </w:lvl>
    <w:lvl w:ilvl="1" w:tplc="CE88EE4A">
      <w:start w:val="1"/>
      <w:numFmt w:val="lowerLetter"/>
      <w:lvlText w:val="%2)"/>
      <w:lvlJc w:val="left"/>
      <w:pPr>
        <w:ind w:left="720" w:hanging="360"/>
      </w:pPr>
    </w:lvl>
    <w:lvl w:ilvl="2" w:tplc="51C0A00A">
      <w:start w:val="1"/>
      <w:numFmt w:val="lowerRoman"/>
      <w:lvlText w:val="%3)"/>
      <w:lvlJc w:val="left"/>
      <w:pPr>
        <w:ind w:left="1080" w:hanging="360"/>
      </w:pPr>
    </w:lvl>
    <w:lvl w:ilvl="3" w:tplc="382C837C">
      <w:start w:val="1"/>
      <w:numFmt w:val="decimal"/>
      <w:lvlText w:val="(%4)"/>
      <w:lvlJc w:val="left"/>
      <w:pPr>
        <w:ind w:left="1440" w:hanging="360"/>
      </w:pPr>
    </w:lvl>
    <w:lvl w:ilvl="4" w:tplc="A308E374">
      <w:start w:val="1"/>
      <w:numFmt w:val="lowerLetter"/>
      <w:lvlText w:val="(%5)"/>
      <w:lvlJc w:val="left"/>
      <w:pPr>
        <w:ind w:left="1800" w:hanging="360"/>
      </w:pPr>
    </w:lvl>
    <w:lvl w:ilvl="5" w:tplc="753CDF28">
      <w:start w:val="1"/>
      <w:numFmt w:val="lowerRoman"/>
      <w:lvlText w:val="(%6)"/>
      <w:lvlJc w:val="left"/>
      <w:pPr>
        <w:ind w:left="2160" w:hanging="360"/>
      </w:pPr>
    </w:lvl>
    <w:lvl w:ilvl="6" w:tplc="91422236">
      <w:start w:val="1"/>
      <w:numFmt w:val="decimal"/>
      <w:lvlText w:val="%7."/>
      <w:lvlJc w:val="left"/>
      <w:pPr>
        <w:ind w:left="2520" w:hanging="360"/>
      </w:pPr>
    </w:lvl>
    <w:lvl w:ilvl="7" w:tplc="F9CED904">
      <w:start w:val="1"/>
      <w:numFmt w:val="lowerLetter"/>
      <w:lvlText w:val="%8."/>
      <w:lvlJc w:val="left"/>
      <w:pPr>
        <w:ind w:left="2880" w:hanging="360"/>
      </w:pPr>
    </w:lvl>
    <w:lvl w:ilvl="8" w:tplc="11F65D6C">
      <w:start w:val="1"/>
      <w:numFmt w:val="lowerRoman"/>
      <w:lvlText w:val="%9."/>
      <w:lvlJc w:val="left"/>
      <w:pPr>
        <w:ind w:left="3240" w:hanging="360"/>
      </w:pPr>
    </w:lvl>
  </w:abstractNum>
  <w:abstractNum w:abstractNumId="21" w15:restartNumberingAfterBreak="0">
    <w:nsid w:val="29CA6CB8"/>
    <w:multiLevelType w:val="hybridMultilevel"/>
    <w:tmpl w:val="3D207C4C"/>
    <w:lvl w:ilvl="0" w:tplc="4AFAE96E">
      <w:start w:val="1"/>
      <w:numFmt w:val="decimal"/>
      <w:lvlText w:val="%1"/>
      <w:lvlJc w:val="left"/>
      <w:pPr>
        <w:ind w:left="432" w:hanging="432"/>
      </w:pPr>
    </w:lvl>
    <w:lvl w:ilvl="1" w:tplc="C68681A2">
      <w:start w:val="1"/>
      <w:numFmt w:val="decimal"/>
      <w:lvlText w:val="%1.%2"/>
      <w:lvlJc w:val="left"/>
      <w:pPr>
        <w:ind w:left="576" w:hanging="576"/>
      </w:pPr>
    </w:lvl>
    <w:lvl w:ilvl="2" w:tplc="BF8C00FA">
      <w:start w:val="1"/>
      <w:numFmt w:val="decimal"/>
      <w:lvlText w:val="%1.%2.%3"/>
      <w:lvlJc w:val="left"/>
      <w:pPr>
        <w:ind w:left="720" w:hanging="720"/>
      </w:pPr>
    </w:lvl>
    <w:lvl w:ilvl="3" w:tplc="F536AA9E">
      <w:start w:val="1"/>
      <w:numFmt w:val="decimal"/>
      <w:lvlText w:val="%1.%2.%3.%4"/>
      <w:lvlJc w:val="left"/>
      <w:pPr>
        <w:ind w:left="864" w:hanging="864"/>
      </w:pPr>
    </w:lvl>
    <w:lvl w:ilvl="4" w:tplc="0826D436">
      <w:start w:val="1"/>
      <w:numFmt w:val="decimal"/>
      <w:lvlText w:val="%1.%2.%3.%4.%5"/>
      <w:lvlJc w:val="left"/>
      <w:pPr>
        <w:ind w:left="1008" w:hanging="1008"/>
      </w:pPr>
    </w:lvl>
    <w:lvl w:ilvl="5" w:tplc="A7E0C134">
      <w:start w:val="1"/>
      <w:numFmt w:val="decimal"/>
      <w:lvlText w:val="%1.%2.%3.%4.%5.%6"/>
      <w:lvlJc w:val="left"/>
      <w:pPr>
        <w:ind w:left="1152" w:hanging="1152"/>
      </w:pPr>
    </w:lvl>
    <w:lvl w:ilvl="6" w:tplc="6FBAB8C8">
      <w:start w:val="1"/>
      <w:numFmt w:val="decimal"/>
      <w:lvlText w:val="%1.%2.%3.%4.%5.%6.%7"/>
      <w:lvlJc w:val="left"/>
      <w:pPr>
        <w:ind w:left="1296" w:hanging="1296"/>
      </w:pPr>
    </w:lvl>
    <w:lvl w:ilvl="7" w:tplc="88FE0A9A">
      <w:start w:val="1"/>
      <w:numFmt w:val="decimal"/>
      <w:lvlText w:val="%1.%2.%3.%4.%5.%6.%7.%8"/>
      <w:lvlJc w:val="left"/>
      <w:pPr>
        <w:ind w:left="1440" w:hanging="1440"/>
      </w:pPr>
    </w:lvl>
    <w:lvl w:ilvl="8" w:tplc="FB1872C8">
      <w:start w:val="1"/>
      <w:numFmt w:val="decimal"/>
      <w:lvlText w:val="%1.%2.%3.%4.%5.%6.%7.%8.%9"/>
      <w:lvlJc w:val="left"/>
      <w:pPr>
        <w:ind w:left="1584" w:hanging="1584"/>
      </w:pPr>
    </w:lvl>
  </w:abstractNum>
  <w:abstractNum w:abstractNumId="22" w15:restartNumberingAfterBreak="0">
    <w:nsid w:val="2D3D4BED"/>
    <w:multiLevelType w:val="hybridMultilevel"/>
    <w:tmpl w:val="ED5EE64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F9C3FF8"/>
    <w:multiLevelType w:val="hybridMultilevel"/>
    <w:tmpl w:val="6842424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939110C"/>
    <w:multiLevelType w:val="hybridMultilevel"/>
    <w:tmpl w:val="6C74275C"/>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3BF02985"/>
    <w:multiLevelType w:val="hybridMultilevel"/>
    <w:tmpl w:val="16D094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F62C56"/>
    <w:multiLevelType w:val="hybridMultilevel"/>
    <w:tmpl w:val="4ADC5B6A"/>
    <w:lvl w:ilvl="0" w:tplc="D65880B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38630B"/>
    <w:multiLevelType w:val="hybridMultilevel"/>
    <w:tmpl w:val="CB9E1EB8"/>
    <w:lvl w:ilvl="0" w:tplc="4926BC82">
      <w:start w:val="1"/>
      <w:numFmt w:val="bullet"/>
      <w:lvlText w:val=""/>
      <w:lvlJc w:val="left"/>
      <w:pPr>
        <w:ind w:left="360" w:hanging="360"/>
      </w:pPr>
      <w:rPr>
        <w:rFonts w:ascii="Symbol" w:hAnsi="Symbol" w:hint="default"/>
      </w:rPr>
    </w:lvl>
    <w:lvl w:ilvl="1" w:tplc="674AFFEE">
      <w:start w:val="1"/>
      <w:numFmt w:val="decimal"/>
      <w:lvlText w:val="%2."/>
      <w:lvlJc w:val="left"/>
      <w:pPr>
        <w:ind w:left="720" w:hanging="360"/>
      </w:pPr>
      <w:rPr>
        <w:rFonts w:hint="default"/>
      </w:rPr>
    </w:lvl>
    <w:lvl w:ilvl="2" w:tplc="E8D00B0A">
      <w:start w:val="1"/>
      <w:numFmt w:val="lowerRoman"/>
      <w:lvlText w:val="%3)"/>
      <w:lvlJc w:val="left"/>
      <w:pPr>
        <w:ind w:left="1080" w:hanging="360"/>
      </w:pPr>
      <w:rPr>
        <w:rFonts w:hint="default"/>
      </w:rPr>
    </w:lvl>
    <w:lvl w:ilvl="3" w:tplc="C9B2616E">
      <w:start w:val="1"/>
      <w:numFmt w:val="decimal"/>
      <w:lvlText w:val="(%4)"/>
      <w:lvlJc w:val="left"/>
      <w:pPr>
        <w:ind w:left="1440" w:hanging="360"/>
      </w:pPr>
      <w:rPr>
        <w:rFonts w:hint="default"/>
      </w:rPr>
    </w:lvl>
    <w:lvl w:ilvl="4" w:tplc="2AF0A634">
      <w:start w:val="1"/>
      <w:numFmt w:val="lowerLetter"/>
      <w:lvlText w:val="(%5)"/>
      <w:lvlJc w:val="left"/>
      <w:pPr>
        <w:ind w:left="1800" w:hanging="360"/>
      </w:pPr>
      <w:rPr>
        <w:rFonts w:hint="default"/>
      </w:rPr>
    </w:lvl>
    <w:lvl w:ilvl="5" w:tplc="902697E0">
      <w:start w:val="1"/>
      <w:numFmt w:val="lowerRoman"/>
      <w:lvlText w:val="(%6)"/>
      <w:lvlJc w:val="left"/>
      <w:pPr>
        <w:ind w:left="2160" w:hanging="360"/>
      </w:pPr>
      <w:rPr>
        <w:rFonts w:hint="default"/>
      </w:rPr>
    </w:lvl>
    <w:lvl w:ilvl="6" w:tplc="E7BE2474">
      <w:start w:val="1"/>
      <w:numFmt w:val="decimal"/>
      <w:lvlText w:val="%7."/>
      <w:lvlJc w:val="left"/>
      <w:pPr>
        <w:ind w:left="2520" w:hanging="360"/>
      </w:pPr>
      <w:rPr>
        <w:rFonts w:hint="default"/>
      </w:rPr>
    </w:lvl>
    <w:lvl w:ilvl="7" w:tplc="EBA6DC1E">
      <w:start w:val="1"/>
      <w:numFmt w:val="lowerLetter"/>
      <w:lvlText w:val="%8."/>
      <w:lvlJc w:val="left"/>
      <w:pPr>
        <w:ind w:left="2880" w:hanging="360"/>
      </w:pPr>
      <w:rPr>
        <w:rFonts w:hint="default"/>
      </w:rPr>
    </w:lvl>
    <w:lvl w:ilvl="8" w:tplc="1D9C34DC">
      <w:start w:val="1"/>
      <w:numFmt w:val="lowerRoman"/>
      <w:lvlText w:val="%9."/>
      <w:lvlJc w:val="left"/>
      <w:pPr>
        <w:ind w:left="3240" w:hanging="360"/>
      </w:pPr>
      <w:rPr>
        <w:rFonts w:hint="default"/>
      </w:rPr>
    </w:lvl>
  </w:abstractNum>
  <w:abstractNum w:abstractNumId="28" w15:restartNumberingAfterBreak="0">
    <w:nsid w:val="486333C6"/>
    <w:multiLevelType w:val="hybridMultilevel"/>
    <w:tmpl w:val="D242C99A"/>
    <w:lvl w:ilvl="0" w:tplc="6746661A">
      <w:start w:val="3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E81BA7"/>
    <w:multiLevelType w:val="hybridMultilevel"/>
    <w:tmpl w:val="2C62F812"/>
    <w:lvl w:ilvl="0" w:tplc="38DCE3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755440"/>
    <w:multiLevelType w:val="hybridMultilevel"/>
    <w:tmpl w:val="A79C884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E70603F"/>
    <w:multiLevelType w:val="hybridMultilevel"/>
    <w:tmpl w:val="DC265C40"/>
    <w:lvl w:ilvl="0" w:tplc="4726031C">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D30795"/>
    <w:multiLevelType w:val="hybridMultilevel"/>
    <w:tmpl w:val="0770A564"/>
    <w:lvl w:ilvl="0" w:tplc="D2BAAD08">
      <w:start w:val="2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1294740"/>
    <w:multiLevelType w:val="hybridMultilevel"/>
    <w:tmpl w:val="6594565E"/>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2914D67"/>
    <w:multiLevelType w:val="hybridMultilevel"/>
    <w:tmpl w:val="72186042"/>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5424405D"/>
    <w:multiLevelType w:val="hybridMultilevel"/>
    <w:tmpl w:val="E924A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522252"/>
    <w:multiLevelType w:val="hybridMultilevel"/>
    <w:tmpl w:val="6EDA1A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7BA4B8F"/>
    <w:multiLevelType w:val="hybridMultilevel"/>
    <w:tmpl w:val="C3AAF2D0"/>
    <w:lvl w:ilvl="0" w:tplc="C4FEFD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8F32C52"/>
    <w:multiLevelType w:val="hybridMultilevel"/>
    <w:tmpl w:val="26562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5A0470"/>
    <w:multiLevelType w:val="hybridMultilevel"/>
    <w:tmpl w:val="D07807F8"/>
    <w:lvl w:ilvl="0" w:tplc="0C090001">
      <w:start w:val="1"/>
      <w:numFmt w:val="bullet"/>
      <w:lvlText w:val=""/>
      <w:lvlJc w:val="left"/>
      <w:pPr>
        <w:ind w:left="817" w:hanging="360"/>
      </w:pPr>
      <w:rPr>
        <w:rFonts w:ascii="Symbol" w:hAnsi="Symbol" w:cs="Symbol" w:hint="default"/>
      </w:rPr>
    </w:lvl>
    <w:lvl w:ilvl="1" w:tplc="0C090003" w:tentative="1">
      <w:start w:val="1"/>
      <w:numFmt w:val="bullet"/>
      <w:lvlText w:val="o"/>
      <w:lvlJc w:val="left"/>
      <w:pPr>
        <w:ind w:left="1537" w:hanging="360"/>
      </w:pPr>
      <w:rPr>
        <w:rFonts w:ascii="Courier New" w:hAnsi="Courier New" w:cs="Courier New" w:hint="default"/>
      </w:rPr>
    </w:lvl>
    <w:lvl w:ilvl="2" w:tplc="0C090005" w:tentative="1">
      <w:start w:val="1"/>
      <w:numFmt w:val="bullet"/>
      <w:lvlText w:val=""/>
      <w:lvlJc w:val="left"/>
      <w:pPr>
        <w:ind w:left="2257" w:hanging="360"/>
      </w:pPr>
      <w:rPr>
        <w:rFonts w:ascii="Wingdings" w:hAnsi="Wingdings" w:cs="Wingdings" w:hint="default"/>
      </w:rPr>
    </w:lvl>
    <w:lvl w:ilvl="3" w:tplc="0C090001" w:tentative="1">
      <w:start w:val="1"/>
      <w:numFmt w:val="bullet"/>
      <w:lvlText w:val=""/>
      <w:lvlJc w:val="left"/>
      <w:pPr>
        <w:ind w:left="2977" w:hanging="360"/>
      </w:pPr>
      <w:rPr>
        <w:rFonts w:ascii="Symbol" w:hAnsi="Symbol" w:cs="Symbol" w:hint="default"/>
      </w:rPr>
    </w:lvl>
    <w:lvl w:ilvl="4" w:tplc="0C090003" w:tentative="1">
      <w:start w:val="1"/>
      <w:numFmt w:val="bullet"/>
      <w:lvlText w:val="o"/>
      <w:lvlJc w:val="left"/>
      <w:pPr>
        <w:ind w:left="3697" w:hanging="360"/>
      </w:pPr>
      <w:rPr>
        <w:rFonts w:ascii="Courier New" w:hAnsi="Courier New" w:cs="Courier New" w:hint="default"/>
      </w:rPr>
    </w:lvl>
    <w:lvl w:ilvl="5" w:tplc="0C090005" w:tentative="1">
      <w:start w:val="1"/>
      <w:numFmt w:val="bullet"/>
      <w:lvlText w:val=""/>
      <w:lvlJc w:val="left"/>
      <w:pPr>
        <w:ind w:left="4417" w:hanging="360"/>
      </w:pPr>
      <w:rPr>
        <w:rFonts w:ascii="Wingdings" w:hAnsi="Wingdings" w:cs="Wingdings" w:hint="default"/>
      </w:rPr>
    </w:lvl>
    <w:lvl w:ilvl="6" w:tplc="0C090001" w:tentative="1">
      <w:start w:val="1"/>
      <w:numFmt w:val="bullet"/>
      <w:lvlText w:val=""/>
      <w:lvlJc w:val="left"/>
      <w:pPr>
        <w:ind w:left="5137" w:hanging="360"/>
      </w:pPr>
      <w:rPr>
        <w:rFonts w:ascii="Symbol" w:hAnsi="Symbol" w:cs="Symbol" w:hint="default"/>
      </w:rPr>
    </w:lvl>
    <w:lvl w:ilvl="7" w:tplc="0C090003" w:tentative="1">
      <w:start w:val="1"/>
      <w:numFmt w:val="bullet"/>
      <w:lvlText w:val="o"/>
      <w:lvlJc w:val="left"/>
      <w:pPr>
        <w:ind w:left="5857" w:hanging="360"/>
      </w:pPr>
      <w:rPr>
        <w:rFonts w:ascii="Courier New" w:hAnsi="Courier New" w:cs="Courier New" w:hint="default"/>
      </w:rPr>
    </w:lvl>
    <w:lvl w:ilvl="8" w:tplc="0C090005" w:tentative="1">
      <w:start w:val="1"/>
      <w:numFmt w:val="bullet"/>
      <w:lvlText w:val=""/>
      <w:lvlJc w:val="left"/>
      <w:pPr>
        <w:ind w:left="6577" w:hanging="360"/>
      </w:pPr>
      <w:rPr>
        <w:rFonts w:ascii="Wingdings" w:hAnsi="Wingdings" w:cs="Wingdings" w:hint="default"/>
      </w:rPr>
    </w:lvl>
  </w:abstractNum>
  <w:abstractNum w:abstractNumId="40" w15:restartNumberingAfterBreak="0">
    <w:nsid w:val="5A8F7C3B"/>
    <w:multiLevelType w:val="hybridMultilevel"/>
    <w:tmpl w:val="EF5071C4"/>
    <w:lvl w:ilvl="0" w:tplc="0C09000F">
      <w:start w:val="1"/>
      <w:numFmt w:val="decimal"/>
      <w:lvlText w:val="%1."/>
      <w:lvlJc w:val="left"/>
      <w:pPr>
        <w:ind w:left="720" w:hanging="360"/>
      </w:pPr>
      <w:rPr>
        <w:rFonts w:hint="default"/>
      </w:rPr>
    </w:lvl>
    <w:lvl w:ilvl="1" w:tplc="DFE01E72">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DB35C4C"/>
    <w:multiLevelType w:val="hybridMultilevel"/>
    <w:tmpl w:val="0FC8E5F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5EF4416"/>
    <w:multiLevelType w:val="hybridMultilevel"/>
    <w:tmpl w:val="9634C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112068"/>
    <w:multiLevelType w:val="hybridMultilevel"/>
    <w:tmpl w:val="0C090025"/>
    <w:lvl w:ilvl="0" w:tplc="7F08B714">
      <w:start w:val="1"/>
      <w:numFmt w:val="decimal"/>
      <w:lvlText w:val="%1"/>
      <w:lvlJc w:val="left"/>
      <w:pPr>
        <w:ind w:left="432" w:hanging="432"/>
      </w:pPr>
    </w:lvl>
    <w:lvl w:ilvl="1" w:tplc="1C1CC648">
      <w:start w:val="1"/>
      <w:numFmt w:val="decimal"/>
      <w:lvlText w:val="%1.%2"/>
      <w:lvlJc w:val="left"/>
      <w:pPr>
        <w:ind w:left="576" w:hanging="576"/>
      </w:pPr>
    </w:lvl>
    <w:lvl w:ilvl="2" w:tplc="50F2D0BA">
      <w:start w:val="1"/>
      <w:numFmt w:val="decimal"/>
      <w:lvlText w:val="%1.%2.%3"/>
      <w:lvlJc w:val="left"/>
      <w:pPr>
        <w:ind w:left="720" w:hanging="720"/>
      </w:pPr>
    </w:lvl>
    <w:lvl w:ilvl="3" w:tplc="F25418CC">
      <w:start w:val="1"/>
      <w:numFmt w:val="decimal"/>
      <w:lvlText w:val="%1.%2.%3.%4"/>
      <w:lvlJc w:val="left"/>
      <w:pPr>
        <w:ind w:left="864" w:hanging="864"/>
      </w:pPr>
    </w:lvl>
    <w:lvl w:ilvl="4" w:tplc="A1D296BA">
      <w:start w:val="1"/>
      <w:numFmt w:val="decimal"/>
      <w:lvlText w:val="%1.%2.%3.%4.%5"/>
      <w:lvlJc w:val="left"/>
      <w:pPr>
        <w:ind w:left="1008" w:hanging="1008"/>
      </w:pPr>
    </w:lvl>
    <w:lvl w:ilvl="5" w:tplc="DDCEB3E4">
      <w:start w:val="1"/>
      <w:numFmt w:val="decimal"/>
      <w:lvlText w:val="%1.%2.%3.%4.%5.%6"/>
      <w:lvlJc w:val="left"/>
      <w:pPr>
        <w:ind w:left="1152" w:hanging="1152"/>
      </w:pPr>
    </w:lvl>
    <w:lvl w:ilvl="6" w:tplc="D7E86758">
      <w:start w:val="1"/>
      <w:numFmt w:val="decimal"/>
      <w:lvlText w:val="%1.%2.%3.%4.%5.%6.%7"/>
      <w:lvlJc w:val="left"/>
      <w:pPr>
        <w:ind w:left="1296" w:hanging="1296"/>
      </w:pPr>
    </w:lvl>
    <w:lvl w:ilvl="7" w:tplc="FD6CB3E4">
      <w:start w:val="1"/>
      <w:numFmt w:val="decimal"/>
      <w:lvlText w:val="%1.%2.%3.%4.%5.%6.%7.%8"/>
      <w:lvlJc w:val="left"/>
      <w:pPr>
        <w:ind w:left="1440" w:hanging="1440"/>
      </w:pPr>
    </w:lvl>
    <w:lvl w:ilvl="8" w:tplc="A95A8EFA">
      <w:start w:val="1"/>
      <w:numFmt w:val="decimal"/>
      <w:lvlText w:val="%1.%2.%3.%4.%5.%6.%7.%8.%9"/>
      <w:lvlJc w:val="left"/>
      <w:pPr>
        <w:ind w:left="1584" w:hanging="1584"/>
      </w:pPr>
    </w:lvl>
  </w:abstractNum>
  <w:abstractNum w:abstractNumId="44" w15:restartNumberingAfterBreak="0">
    <w:nsid w:val="685E3891"/>
    <w:multiLevelType w:val="hybridMultilevel"/>
    <w:tmpl w:val="C06EC80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6BA856BE"/>
    <w:multiLevelType w:val="hybridMultilevel"/>
    <w:tmpl w:val="0C090025"/>
    <w:lvl w:ilvl="0" w:tplc="8B92E64E">
      <w:start w:val="1"/>
      <w:numFmt w:val="decimal"/>
      <w:lvlText w:val="%1"/>
      <w:lvlJc w:val="left"/>
      <w:pPr>
        <w:ind w:left="432" w:hanging="432"/>
      </w:pPr>
    </w:lvl>
    <w:lvl w:ilvl="1" w:tplc="C360D1B8">
      <w:start w:val="1"/>
      <w:numFmt w:val="decimal"/>
      <w:lvlText w:val="%1.%2"/>
      <w:lvlJc w:val="left"/>
      <w:pPr>
        <w:ind w:left="576" w:hanging="576"/>
      </w:pPr>
    </w:lvl>
    <w:lvl w:ilvl="2" w:tplc="FF68E478">
      <w:start w:val="1"/>
      <w:numFmt w:val="decimal"/>
      <w:lvlText w:val="%1.%2.%3"/>
      <w:lvlJc w:val="left"/>
      <w:pPr>
        <w:ind w:left="720" w:hanging="720"/>
      </w:pPr>
    </w:lvl>
    <w:lvl w:ilvl="3" w:tplc="7D442D3A">
      <w:start w:val="1"/>
      <w:numFmt w:val="decimal"/>
      <w:lvlText w:val="%1.%2.%3.%4"/>
      <w:lvlJc w:val="left"/>
      <w:pPr>
        <w:ind w:left="864" w:hanging="864"/>
      </w:pPr>
    </w:lvl>
    <w:lvl w:ilvl="4" w:tplc="85767756">
      <w:start w:val="1"/>
      <w:numFmt w:val="decimal"/>
      <w:lvlText w:val="%1.%2.%3.%4.%5"/>
      <w:lvlJc w:val="left"/>
      <w:pPr>
        <w:ind w:left="1008" w:hanging="1008"/>
      </w:pPr>
    </w:lvl>
    <w:lvl w:ilvl="5" w:tplc="ADB46488">
      <w:start w:val="1"/>
      <w:numFmt w:val="decimal"/>
      <w:lvlText w:val="%1.%2.%3.%4.%5.%6"/>
      <w:lvlJc w:val="left"/>
      <w:pPr>
        <w:ind w:left="1152" w:hanging="1152"/>
      </w:pPr>
    </w:lvl>
    <w:lvl w:ilvl="6" w:tplc="4A16C6A0">
      <w:start w:val="1"/>
      <w:numFmt w:val="decimal"/>
      <w:lvlText w:val="%1.%2.%3.%4.%5.%6.%7"/>
      <w:lvlJc w:val="left"/>
      <w:pPr>
        <w:ind w:left="1296" w:hanging="1296"/>
      </w:pPr>
    </w:lvl>
    <w:lvl w:ilvl="7" w:tplc="611E59F6">
      <w:start w:val="1"/>
      <w:numFmt w:val="decimal"/>
      <w:lvlText w:val="%1.%2.%3.%4.%5.%6.%7.%8"/>
      <w:lvlJc w:val="left"/>
      <w:pPr>
        <w:ind w:left="1440" w:hanging="1440"/>
      </w:pPr>
    </w:lvl>
    <w:lvl w:ilvl="8" w:tplc="893EA9CE">
      <w:start w:val="1"/>
      <w:numFmt w:val="decimal"/>
      <w:lvlText w:val="%1.%2.%3.%4.%5.%6.%7.%8.%9"/>
      <w:lvlJc w:val="left"/>
      <w:pPr>
        <w:ind w:left="1584" w:hanging="1584"/>
      </w:pPr>
    </w:lvl>
  </w:abstractNum>
  <w:abstractNum w:abstractNumId="46" w15:restartNumberingAfterBreak="0">
    <w:nsid w:val="6DFA577F"/>
    <w:multiLevelType w:val="hybridMultilevel"/>
    <w:tmpl w:val="D29C2606"/>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6F3758F5"/>
    <w:multiLevelType w:val="hybridMultilevel"/>
    <w:tmpl w:val="E896486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39E5220"/>
    <w:multiLevelType w:val="hybridMultilevel"/>
    <w:tmpl w:val="A0E85758"/>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773B6934"/>
    <w:multiLevelType w:val="hybridMultilevel"/>
    <w:tmpl w:val="8B4A3BA6"/>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77E011AD"/>
    <w:multiLevelType w:val="hybridMultilevel"/>
    <w:tmpl w:val="82E282A2"/>
    <w:lvl w:ilvl="0" w:tplc="54083DD4">
      <w:start w:val="1"/>
      <w:numFmt w:val="bullet"/>
      <w:lvlText w:val=""/>
      <w:lvlJc w:val="left"/>
      <w:pPr>
        <w:tabs>
          <w:tab w:val="num" w:pos="720"/>
        </w:tabs>
        <w:ind w:left="720" w:hanging="360"/>
      </w:pPr>
      <w:rPr>
        <w:rFonts w:ascii="Symbol" w:hAnsi="Symbol" w:hint="default"/>
        <w:sz w:val="20"/>
      </w:rPr>
    </w:lvl>
    <w:lvl w:ilvl="1" w:tplc="7D1C0FC0" w:tentative="1">
      <w:start w:val="1"/>
      <w:numFmt w:val="bullet"/>
      <w:lvlText w:val=""/>
      <w:lvlJc w:val="left"/>
      <w:pPr>
        <w:tabs>
          <w:tab w:val="num" w:pos="1440"/>
        </w:tabs>
        <w:ind w:left="1440" w:hanging="360"/>
      </w:pPr>
      <w:rPr>
        <w:rFonts w:ascii="Wingdings" w:hAnsi="Wingdings" w:hint="default"/>
        <w:sz w:val="20"/>
      </w:rPr>
    </w:lvl>
    <w:lvl w:ilvl="2" w:tplc="79F404E4" w:tentative="1">
      <w:start w:val="1"/>
      <w:numFmt w:val="bullet"/>
      <w:lvlText w:val=""/>
      <w:lvlJc w:val="left"/>
      <w:pPr>
        <w:tabs>
          <w:tab w:val="num" w:pos="2160"/>
        </w:tabs>
        <w:ind w:left="2160" w:hanging="360"/>
      </w:pPr>
      <w:rPr>
        <w:rFonts w:ascii="Wingdings" w:hAnsi="Wingdings" w:hint="default"/>
        <w:sz w:val="20"/>
      </w:rPr>
    </w:lvl>
    <w:lvl w:ilvl="3" w:tplc="1472CE06" w:tentative="1">
      <w:start w:val="1"/>
      <w:numFmt w:val="bullet"/>
      <w:lvlText w:val=""/>
      <w:lvlJc w:val="left"/>
      <w:pPr>
        <w:tabs>
          <w:tab w:val="num" w:pos="2880"/>
        </w:tabs>
        <w:ind w:left="2880" w:hanging="360"/>
      </w:pPr>
      <w:rPr>
        <w:rFonts w:ascii="Wingdings" w:hAnsi="Wingdings" w:hint="default"/>
        <w:sz w:val="20"/>
      </w:rPr>
    </w:lvl>
    <w:lvl w:ilvl="4" w:tplc="47CCDD44" w:tentative="1">
      <w:start w:val="1"/>
      <w:numFmt w:val="bullet"/>
      <w:lvlText w:val=""/>
      <w:lvlJc w:val="left"/>
      <w:pPr>
        <w:tabs>
          <w:tab w:val="num" w:pos="3600"/>
        </w:tabs>
        <w:ind w:left="3600" w:hanging="360"/>
      </w:pPr>
      <w:rPr>
        <w:rFonts w:ascii="Wingdings" w:hAnsi="Wingdings" w:hint="default"/>
        <w:sz w:val="20"/>
      </w:rPr>
    </w:lvl>
    <w:lvl w:ilvl="5" w:tplc="20664EC0" w:tentative="1">
      <w:start w:val="1"/>
      <w:numFmt w:val="bullet"/>
      <w:lvlText w:val=""/>
      <w:lvlJc w:val="left"/>
      <w:pPr>
        <w:tabs>
          <w:tab w:val="num" w:pos="4320"/>
        </w:tabs>
        <w:ind w:left="4320" w:hanging="360"/>
      </w:pPr>
      <w:rPr>
        <w:rFonts w:ascii="Wingdings" w:hAnsi="Wingdings" w:hint="default"/>
        <w:sz w:val="20"/>
      </w:rPr>
    </w:lvl>
    <w:lvl w:ilvl="6" w:tplc="6E705154" w:tentative="1">
      <w:start w:val="1"/>
      <w:numFmt w:val="bullet"/>
      <w:lvlText w:val=""/>
      <w:lvlJc w:val="left"/>
      <w:pPr>
        <w:tabs>
          <w:tab w:val="num" w:pos="5040"/>
        </w:tabs>
        <w:ind w:left="5040" w:hanging="360"/>
      </w:pPr>
      <w:rPr>
        <w:rFonts w:ascii="Wingdings" w:hAnsi="Wingdings" w:hint="default"/>
        <w:sz w:val="20"/>
      </w:rPr>
    </w:lvl>
    <w:lvl w:ilvl="7" w:tplc="72546A36" w:tentative="1">
      <w:start w:val="1"/>
      <w:numFmt w:val="bullet"/>
      <w:lvlText w:val=""/>
      <w:lvlJc w:val="left"/>
      <w:pPr>
        <w:tabs>
          <w:tab w:val="num" w:pos="5760"/>
        </w:tabs>
        <w:ind w:left="5760" w:hanging="360"/>
      </w:pPr>
      <w:rPr>
        <w:rFonts w:ascii="Wingdings" w:hAnsi="Wingdings" w:hint="default"/>
        <w:sz w:val="20"/>
      </w:rPr>
    </w:lvl>
    <w:lvl w:ilvl="8" w:tplc="0F2E9E16"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5808EA"/>
    <w:multiLevelType w:val="hybridMultilevel"/>
    <w:tmpl w:val="4EFA44C6"/>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7A8C14BD"/>
    <w:multiLevelType w:val="hybridMultilevel"/>
    <w:tmpl w:val="9C6AF90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3" w15:restartNumberingAfterBreak="0">
    <w:nsid w:val="7DB9745D"/>
    <w:multiLevelType w:val="hybridMultilevel"/>
    <w:tmpl w:val="77A8DF72"/>
    <w:lvl w:ilvl="0" w:tplc="E8AE1F34">
      <w:start w:val="1"/>
      <w:numFmt w:val="decimal"/>
      <w:pStyle w:val="Heading1"/>
      <w:lvlText w:val="%1"/>
      <w:lvlJc w:val="left"/>
      <w:pPr>
        <w:ind w:left="432" w:hanging="432"/>
      </w:pPr>
      <w:rPr>
        <w:rFonts w:hint="default"/>
      </w:rPr>
    </w:lvl>
    <w:lvl w:ilvl="1" w:tplc="6E867AAE">
      <w:start w:val="1"/>
      <w:numFmt w:val="decimal"/>
      <w:pStyle w:val="Heading2"/>
      <w:lvlText w:val="%1.%2"/>
      <w:lvlJc w:val="left"/>
      <w:pPr>
        <w:ind w:left="576" w:hanging="576"/>
      </w:pPr>
      <w:rPr>
        <w:rFonts w:hint="default"/>
      </w:rPr>
    </w:lvl>
    <w:lvl w:ilvl="2" w:tplc="C10A48B6">
      <w:start w:val="1"/>
      <w:numFmt w:val="decimal"/>
      <w:pStyle w:val="Heading3"/>
      <w:lvlText w:val="%1.%2.%3"/>
      <w:lvlJc w:val="left"/>
      <w:pPr>
        <w:ind w:left="720" w:hanging="720"/>
      </w:pPr>
      <w:rPr>
        <w:rFonts w:hint="default"/>
      </w:rPr>
    </w:lvl>
    <w:lvl w:ilvl="3" w:tplc="C12C6462">
      <w:start w:val="1"/>
      <w:numFmt w:val="decimal"/>
      <w:lvlText w:val="%1.%2.%3.%4"/>
      <w:lvlJc w:val="left"/>
      <w:pPr>
        <w:ind w:left="864" w:hanging="864"/>
      </w:pPr>
      <w:rPr>
        <w:rFonts w:hint="default"/>
      </w:rPr>
    </w:lvl>
    <w:lvl w:ilvl="4" w:tplc="A0EC0930">
      <w:start w:val="1"/>
      <w:numFmt w:val="decimal"/>
      <w:pStyle w:val="Heading5"/>
      <w:lvlText w:val="%1.%2.%3.%4.%5"/>
      <w:lvlJc w:val="left"/>
      <w:pPr>
        <w:ind w:left="1008" w:hanging="1008"/>
      </w:pPr>
      <w:rPr>
        <w:rFonts w:hint="default"/>
      </w:rPr>
    </w:lvl>
    <w:lvl w:ilvl="5" w:tplc="DA00D896">
      <w:start w:val="1"/>
      <w:numFmt w:val="decimal"/>
      <w:pStyle w:val="Heading6"/>
      <w:lvlText w:val="%1.%2.%3.%4.%5.%6"/>
      <w:lvlJc w:val="left"/>
      <w:pPr>
        <w:ind w:left="1152" w:hanging="1152"/>
      </w:pPr>
      <w:rPr>
        <w:rFonts w:hint="default"/>
      </w:rPr>
    </w:lvl>
    <w:lvl w:ilvl="6" w:tplc="7682E41A">
      <w:start w:val="1"/>
      <w:numFmt w:val="decimal"/>
      <w:pStyle w:val="Heading7"/>
      <w:lvlText w:val="%1.%2.%3.%4.%5.%6.%7"/>
      <w:lvlJc w:val="left"/>
      <w:pPr>
        <w:ind w:left="1296" w:hanging="1296"/>
      </w:pPr>
      <w:rPr>
        <w:rFonts w:hint="default"/>
      </w:rPr>
    </w:lvl>
    <w:lvl w:ilvl="7" w:tplc="577A661C">
      <w:start w:val="1"/>
      <w:numFmt w:val="decimal"/>
      <w:pStyle w:val="Heading8"/>
      <w:lvlText w:val="%1.%2.%3.%4.%5.%6.%7.%8"/>
      <w:lvlJc w:val="left"/>
      <w:pPr>
        <w:ind w:left="1440" w:hanging="1440"/>
      </w:pPr>
      <w:rPr>
        <w:rFonts w:hint="default"/>
      </w:rPr>
    </w:lvl>
    <w:lvl w:ilvl="8" w:tplc="CA78FB28">
      <w:start w:val="1"/>
      <w:numFmt w:val="decimal"/>
      <w:pStyle w:val="Heading9"/>
      <w:lvlText w:val="%1.%2.%3.%4.%5.%6.%7.%8.%9"/>
      <w:lvlJc w:val="left"/>
      <w:pPr>
        <w:ind w:left="1584" w:hanging="1584"/>
      </w:pPr>
      <w:rPr>
        <w:rFonts w:hint="default"/>
      </w:rPr>
    </w:lvl>
  </w:abstractNum>
  <w:abstractNum w:abstractNumId="54" w15:restartNumberingAfterBreak="0">
    <w:nsid w:val="7EAB329C"/>
    <w:multiLevelType w:val="hybridMultilevel"/>
    <w:tmpl w:val="3AF679D0"/>
    <w:lvl w:ilvl="0" w:tplc="0C090011">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40"/>
  </w:num>
  <w:num w:numId="3">
    <w:abstractNumId w:val="52"/>
  </w:num>
  <w:num w:numId="4">
    <w:abstractNumId w:val="35"/>
  </w:num>
  <w:num w:numId="5">
    <w:abstractNumId w:val="50"/>
  </w:num>
  <w:num w:numId="6">
    <w:abstractNumId w:val="23"/>
  </w:num>
  <w:num w:numId="7">
    <w:abstractNumId w:val="31"/>
  </w:num>
  <w:num w:numId="8">
    <w:abstractNumId w:val="2"/>
  </w:num>
  <w:num w:numId="9">
    <w:abstractNumId w:val="54"/>
  </w:num>
  <w:num w:numId="10">
    <w:abstractNumId w:val="32"/>
  </w:num>
  <w:num w:numId="11">
    <w:abstractNumId w:val="3"/>
  </w:num>
  <w:num w:numId="12">
    <w:abstractNumId w:val="22"/>
  </w:num>
  <w:num w:numId="13">
    <w:abstractNumId w:val="47"/>
  </w:num>
  <w:num w:numId="14">
    <w:abstractNumId w:val="43"/>
  </w:num>
  <w:num w:numId="15">
    <w:abstractNumId w:val="21"/>
  </w:num>
  <w:num w:numId="16">
    <w:abstractNumId w:val="5"/>
  </w:num>
  <w:num w:numId="17">
    <w:abstractNumId w:val="4"/>
  </w:num>
  <w:num w:numId="18">
    <w:abstractNumId w:val="30"/>
  </w:num>
  <w:num w:numId="19">
    <w:abstractNumId w:val="19"/>
  </w:num>
  <w:num w:numId="20">
    <w:abstractNumId w:val="45"/>
  </w:num>
  <w:num w:numId="21">
    <w:abstractNumId w:val="53"/>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6"/>
  </w:num>
  <w:num w:numId="25">
    <w:abstractNumId w:val="10"/>
  </w:num>
  <w:num w:numId="26">
    <w:abstractNumId w:val="28"/>
  </w:num>
  <w:num w:numId="27">
    <w:abstractNumId w:val="15"/>
  </w:num>
  <w:num w:numId="28">
    <w:abstractNumId w:val="17"/>
  </w:num>
  <w:num w:numId="29">
    <w:abstractNumId w:val="38"/>
  </w:num>
  <w:num w:numId="30">
    <w:abstractNumId w:val="9"/>
  </w:num>
  <w:num w:numId="31">
    <w:abstractNumId w:val="42"/>
  </w:num>
  <w:num w:numId="32">
    <w:abstractNumId w:val="41"/>
  </w:num>
  <w:num w:numId="33">
    <w:abstractNumId w:val="39"/>
  </w:num>
  <w:num w:numId="34">
    <w:abstractNumId w:val="27"/>
  </w:num>
  <w:num w:numId="35">
    <w:abstractNumId w:val="20"/>
  </w:num>
  <w:num w:numId="36">
    <w:abstractNumId w:val="14"/>
  </w:num>
  <w:num w:numId="37">
    <w:abstractNumId w:val="7"/>
  </w:num>
  <w:num w:numId="38">
    <w:abstractNumId w:val="37"/>
  </w:num>
  <w:num w:numId="39">
    <w:abstractNumId w:val="0"/>
  </w:num>
  <w:num w:numId="40">
    <w:abstractNumId w:val="51"/>
  </w:num>
  <w:num w:numId="41">
    <w:abstractNumId w:val="8"/>
  </w:num>
  <w:num w:numId="42">
    <w:abstractNumId w:val="33"/>
  </w:num>
  <w:num w:numId="43">
    <w:abstractNumId w:val="49"/>
  </w:num>
  <w:num w:numId="44">
    <w:abstractNumId w:val="13"/>
  </w:num>
  <w:num w:numId="45">
    <w:abstractNumId w:val="48"/>
  </w:num>
  <w:num w:numId="46">
    <w:abstractNumId w:val="16"/>
  </w:num>
  <w:num w:numId="47">
    <w:abstractNumId w:val="12"/>
  </w:num>
  <w:num w:numId="48">
    <w:abstractNumId w:val="24"/>
  </w:num>
  <w:num w:numId="49">
    <w:abstractNumId w:val="46"/>
  </w:num>
  <w:num w:numId="50">
    <w:abstractNumId w:val="34"/>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1"/>
  </w:num>
  <w:num w:numId="54">
    <w:abstractNumId w:val="11"/>
  </w:num>
  <w:num w:numId="55">
    <w:abstractNumId w:val="26"/>
  </w:num>
  <w:num w:numId="56">
    <w:abstractNumId w:val="36"/>
  </w:num>
  <w:num w:numId="57">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6D8"/>
    <w:rsid w:val="0000017B"/>
    <w:rsid w:val="00000F83"/>
    <w:rsid w:val="000012E0"/>
    <w:rsid w:val="00001856"/>
    <w:rsid w:val="000019AC"/>
    <w:rsid w:val="00001CFF"/>
    <w:rsid w:val="00001E50"/>
    <w:rsid w:val="00001F77"/>
    <w:rsid w:val="000021B5"/>
    <w:rsid w:val="000022C9"/>
    <w:rsid w:val="00002481"/>
    <w:rsid w:val="00002C18"/>
    <w:rsid w:val="00003103"/>
    <w:rsid w:val="000033F2"/>
    <w:rsid w:val="000039B3"/>
    <w:rsid w:val="00004597"/>
    <w:rsid w:val="00004B3F"/>
    <w:rsid w:val="00004CAF"/>
    <w:rsid w:val="00004FC6"/>
    <w:rsid w:val="0000583D"/>
    <w:rsid w:val="000063B4"/>
    <w:rsid w:val="0000720E"/>
    <w:rsid w:val="000078AE"/>
    <w:rsid w:val="00007D9C"/>
    <w:rsid w:val="00007E77"/>
    <w:rsid w:val="0001044B"/>
    <w:rsid w:val="00010A83"/>
    <w:rsid w:val="00010C5B"/>
    <w:rsid w:val="00010F33"/>
    <w:rsid w:val="00011176"/>
    <w:rsid w:val="00011271"/>
    <w:rsid w:val="00011382"/>
    <w:rsid w:val="0001147B"/>
    <w:rsid w:val="0001164D"/>
    <w:rsid w:val="00011AA5"/>
    <w:rsid w:val="00011B93"/>
    <w:rsid w:val="00011C5F"/>
    <w:rsid w:val="00011F76"/>
    <w:rsid w:val="0001211A"/>
    <w:rsid w:val="000121AC"/>
    <w:rsid w:val="000123EE"/>
    <w:rsid w:val="000126D2"/>
    <w:rsid w:val="00012A84"/>
    <w:rsid w:val="00012E4C"/>
    <w:rsid w:val="0001322B"/>
    <w:rsid w:val="00013434"/>
    <w:rsid w:val="000139B8"/>
    <w:rsid w:val="00013DA2"/>
    <w:rsid w:val="0001453C"/>
    <w:rsid w:val="00014832"/>
    <w:rsid w:val="00014B6C"/>
    <w:rsid w:val="00014FD4"/>
    <w:rsid w:val="0001513C"/>
    <w:rsid w:val="000151D7"/>
    <w:rsid w:val="000154AC"/>
    <w:rsid w:val="00015E46"/>
    <w:rsid w:val="00015ED7"/>
    <w:rsid w:val="00016003"/>
    <w:rsid w:val="000165EB"/>
    <w:rsid w:val="00016E0A"/>
    <w:rsid w:val="00016E31"/>
    <w:rsid w:val="00017A57"/>
    <w:rsid w:val="00017AD4"/>
    <w:rsid w:val="00020652"/>
    <w:rsid w:val="00020832"/>
    <w:rsid w:val="00020E87"/>
    <w:rsid w:val="00021014"/>
    <w:rsid w:val="00021301"/>
    <w:rsid w:val="00021C36"/>
    <w:rsid w:val="00021CF7"/>
    <w:rsid w:val="00021FC8"/>
    <w:rsid w:val="00022615"/>
    <w:rsid w:val="0002290E"/>
    <w:rsid w:val="00022BC2"/>
    <w:rsid w:val="00023E12"/>
    <w:rsid w:val="00023E98"/>
    <w:rsid w:val="0002400D"/>
    <w:rsid w:val="0002405E"/>
    <w:rsid w:val="0002469F"/>
    <w:rsid w:val="00024BF5"/>
    <w:rsid w:val="00024F5A"/>
    <w:rsid w:val="0002546B"/>
    <w:rsid w:val="00025AD3"/>
    <w:rsid w:val="00025B34"/>
    <w:rsid w:val="00025CAF"/>
    <w:rsid w:val="00025F42"/>
    <w:rsid w:val="00026BF3"/>
    <w:rsid w:val="00026F1D"/>
    <w:rsid w:val="00026FD6"/>
    <w:rsid w:val="000273DE"/>
    <w:rsid w:val="000276F2"/>
    <w:rsid w:val="0002773F"/>
    <w:rsid w:val="00027AF8"/>
    <w:rsid w:val="00027BC7"/>
    <w:rsid w:val="00027CE7"/>
    <w:rsid w:val="000301BE"/>
    <w:rsid w:val="000303FC"/>
    <w:rsid w:val="00030E02"/>
    <w:rsid w:val="00031117"/>
    <w:rsid w:val="00031263"/>
    <w:rsid w:val="0003143E"/>
    <w:rsid w:val="00031493"/>
    <w:rsid w:val="0003187A"/>
    <w:rsid w:val="00031A0C"/>
    <w:rsid w:val="0003205D"/>
    <w:rsid w:val="000321DC"/>
    <w:rsid w:val="000325FE"/>
    <w:rsid w:val="00032E31"/>
    <w:rsid w:val="00033074"/>
    <w:rsid w:val="000334B6"/>
    <w:rsid w:val="000334CF"/>
    <w:rsid w:val="0003399E"/>
    <w:rsid w:val="00033AD7"/>
    <w:rsid w:val="00033C4A"/>
    <w:rsid w:val="000340A6"/>
    <w:rsid w:val="00034548"/>
    <w:rsid w:val="00034BA0"/>
    <w:rsid w:val="000353C5"/>
    <w:rsid w:val="000354D1"/>
    <w:rsid w:val="00036035"/>
    <w:rsid w:val="0003622B"/>
    <w:rsid w:val="000365E6"/>
    <w:rsid w:val="000366ED"/>
    <w:rsid w:val="000368F8"/>
    <w:rsid w:val="0003724B"/>
    <w:rsid w:val="000372CD"/>
    <w:rsid w:val="00037433"/>
    <w:rsid w:val="000376B3"/>
    <w:rsid w:val="00037A5A"/>
    <w:rsid w:val="00037E55"/>
    <w:rsid w:val="00040446"/>
    <w:rsid w:val="00040735"/>
    <w:rsid w:val="000408AB"/>
    <w:rsid w:val="00040BBF"/>
    <w:rsid w:val="000411F9"/>
    <w:rsid w:val="00041341"/>
    <w:rsid w:val="000415C3"/>
    <w:rsid w:val="00041B1E"/>
    <w:rsid w:val="00041E2C"/>
    <w:rsid w:val="00041EDD"/>
    <w:rsid w:val="00042282"/>
    <w:rsid w:val="00042473"/>
    <w:rsid w:val="0004269C"/>
    <w:rsid w:val="00042C55"/>
    <w:rsid w:val="00042ED5"/>
    <w:rsid w:val="00042EE2"/>
    <w:rsid w:val="00042FB4"/>
    <w:rsid w:val="00043446"/>
    <w:rsid w:val="00043487"/>
    <w:rsid w:val="00043BD6"/>
    <w:rsid w:val="00043C91"/>
    <w:rsid w:val="00043EFC"/>
    <w:rsid w:val="00044253"/>
    <w:rsid w:val="00044D8D"/>
    <w:rsid w:val="000450B4"/>
    <w:rsid w:val="0004539B"/>
    <w:rsid w:val="00045669"/>
    <w:rsid w:val="00045A41"/>
    <w:rsid w:val="00045DCB"/>
    <w:rsid w:val="00045F40"/>
    <w:rsid w:val="000469F3"/>
    <w:rsid w:val="00046E86"/>
    <w:rsid w:val="000471BD"/>
    <w:rsid w:val="00047238"/>
    <w:rsid w:val="000473CD"/>
    <w:rsid w:val="000475C4"/>
    <w:rsid w:val="00047ACC"/>
    <w:rsid w:val="00047C09"/>
    <w:rsid w:val="00050018"/>
    <w:rsid w:val="000501DF"/>
    <w:rsid w:val="00050596"/>
    <w:rsid w:val="00050744"/>
    <w:rsid w:val="00051726"/>
    <w:rsid w:val="000517FF"/>
    <w:rsid w:val="000518A5"/>
    <w:rsid w:val="000518DC"/>
    <w:rsid w:val="00051A1A"/>
    <w:rsid w:val="00051AF7"/>
    <w:rsid w:val="00051E81"/>
    <w:rsid w:val="00052231"/>
    <w:rsid w:val="000525F0"/>
    <w:rsid w:val="0005261E"/>
    <w:rsid w:val="0005277E"/>
    <w:rsid w:val="0005318C"/>
    <w:rsid w:val="000534FA"/>
    <w:rsid w:val="0005375D"/>
    <w:rsid w:val="0005403F"/>
    <w:rsid w:val="00054362"/>
    <w:rsid w:val="0005441E"/>
    <w:rsid w:val="000545D5"/>
    <w:rsid w:val="000545E2"/>
    <w:rsid w:val="000549D9"/>
    <w:rsid w:val="00055216"/>
    <w:rsid w:val="00055777"/>
    <w:rsid w:val="00055CD1"/>
    <w:rsid w:val="00055F86"/>
    <w:rsid w:val="00056818"/>
    <w:rsid w:val="00056882"/>
    <w:rsid w:val="0005688D"/>
    <w:rsid w:val="00056D29"/>
    <w:rsid w:val="000571D6"/>
    <w:rsid w:val="00057843"/>
    <w:rsid w:val="00057A13"/>
    <w:rsid w:val="00057D09"/>
    <w:rsid w:val="00057D68"/>
    <w:rsid w:val="00057F2F"/>
    <w:rsid w:val="00057FD7"/>
    <w:rsid w:val="00060B8F"/>
    <w:rsid w:val="00060D03"/>
    <w:rsid w:val="00060D6A"/>
    <w:rsid w:val="000613AA"/>
    <w:rsid w:val="00061535"/>
    <w:rsid w:val="000618AA"/>
    <w:rsid w:val="00061A52"/>
    <w:rsid w:val="00061D7C"/>
    <w:rsid w:val="00062013"/>
    <w:rsid w:val="00062697"/>
    <w:rsid w:val="000626E3"/>
    <w:rsid w:val="0006285B"/>
    <w:rsid w:val="000629F6"/>
    <w:rsid w:val="000633C5"/>
    <w:rsid w:val="00063D9D"/>
    <w:rsid w:val="00063E32"/>
    <w:rsid w:val="0006430A"/>
    <w:rsid w:val="0006439F"/>
    <w:rsid w:val="00064475"/>
    <w:rsid w:val="00064751"/>
    <w:rsid w:val="00064977"/>
    <w:rsid w:val="000653F4"/>
    <w:rsid w:val="00065A6F"/>
    <w:rsid w:val="00066280"/>
    <w:rsid w:val="0006634A"/>
    <w:rsid w:val="000664E8"/>
    <w:rsid w:val="000668C0"/>
    <w:rsid w:val="0006692B"/>
    <w:rsid w:val="00066EA2"/>
    <w:rsid w:val="0006718C"/>
    <w:rsid w:val="000675DD"/>
    <w:rsid w:val="00067B0A"/>
    <w:rsid w:val="00067BE4"/>
    <w:rsid w:val="000700A0"/>
    <w:rsid w:val="000703E6"/>
    <w:rsid w:val="000704BE"/>
    <w:rsid w:val="00070C2C"/>
    <w:rsid w:val="00070FF9"/>
    <w:rsid w:val="000711DA"/>
    <w:rsid w:val="0007162A"/>
    <w:rsid w:val="00071A8F"/>
    <w:rsid w:val="00072020"/>
    <w:rsid w:val="0007265A"/>
    <w:rsid w:val="00072753"/>
    <w:rsid w:val="00072A28"/>
    <w:rsid w:val="00072B5F"/>
    <w:rsid w:val="00072F4E"/>
    <w:rsid w:val="00073804"/>
    <w:rsid w:val="00073C3F"/>
    <w:rsid w:val="0007400B"/>
    <w:rsid w:val="000741CD"/>
    <w:rsid w:val="0007437B"/>
    <w:rsid w:val="000744FD"/>
    <w:rsid w:val="0007456F"/>
    <w:rsid w:val="00074711"/>
    <w:rsid w:val="00074829"/>
    <w:rsid w:val="000758CB"/>
    <w:rsid w:val="00076011"/>
    <w:rsid w:val="000762DA"/>
    <w:rsid w:val="00076505"/>
    <w:rsid w:val="00076566"/>
    <w:rsid w:val="00076928"/>
    <w:rsid w:val="00077805"/>
    <w:rsid w:val="00077BB5"/>
    <w:rsid w:val="00077D38"/>
    <w:rsid w:val="00077F2E"/>
    <w:rsid w:val="000802DA"/>
    <w:rsid w:val="0008148B"/>
    <w:rsid w:val="000817D0"/>
    <w:rsid w:val="0008196A"/>
    <w:rsid w:val="00081B63"/>
    <w:rsid w:val="0008207E"/>
    <w:rsid w:val="00082461"/>
    <w:rsid w:val="00082A42"/>
    <w:rsid w:val="00082BA0"/>
    <w:rsid w:val="00082E47"/>
    <w:rsid w:val="00082F0B"/>
    <w:rsid w:val="00083282"/>
    <w:rsid w:val="0008362F"/>
    <w:rsid w:val="00083688"/>
    <w:rsid w:val="000838C2"/>
    <w:rsid w:val="00083D82"/>
    <w:rsid w:val="00084391"/>
    <w:rsid w:val="00084894"/>
    <w:rsid w:val="00084B28"/>
    <w:rsid w:val="00084B6C"/>
    <w:rsid w:val="00084C15"/>
    <w:rsid w:val="00084E20"/>
    <w:rsid w:val="000851C7"/>
    <w:rsid w:val="000853B8"/>
    <w:rsid w:val="00085424"/>
    <w:rsid w:val="00085460"/>
    <w:rsid w:val="00085AEF"/>
    <w:rsid w:val="00085FA1"/>
    <w:rsid w:val="00085FD8"/>
    <w:rsid w:val="000862CB"/>
    <w:rsid w:val="000864F0"/>
    <w:rsid w:val="00086B99"/>
    <w:rsid w:val="00086C9C"/>
    <w:rsid w:val="00086CEA"/>
    <w:rsid w:val="000872A0"/>
    <w:rsid w:val="0008749D"/>
    <w:rsid w:val="00087608"/>
    <w:rsid w:val="000879BB"/>
    <w:rsid w:val="00087F51"/>
    <w:rsid w:val="000906DC"/>
    <w:rsid w:val="00090902"/>
    <w:rsid w:val="00090D03"/>
    <w:rsid w:val="00090FEA"/>
    <w:rsid w:val="00091BE2"/>
    <w:rsid w:val="00091DD3"/>
    <w:rsid w:val="00092787"/>
    <w:rsid w:val="0009297A"/>
    <w:rsid w:val="00092AF1"/>
    <w:rsid w:val="0009330C"/>
    <w:rsid w:val="000933B3"/>
    <w:rsid w:val="0009340E"/>
    <w:rsid w:val="000935AC"/>
    <w:rsid w:val="00093E69"/>
    <w:rsid w:val="000941A8"/>
    <w:rsid w:val="000941CD"/>
    <w:rsid w:val="000942EF"/>
    <w:rsid w:val="00094641"/>
    <w:rsid w:val="00094EAA"/>
    <w:rsid w:val="00095394"/>
    <w:rsid w:val="00095750"/>
    <w:rsid w:val="00095EC2"/>
    <w:rsid w:val="00096707"/>
    <w:rsid w:val="00096722"/>
    <w:rsid w:val="00096845"/>
    <w:rsid w:val="00096C6B"/>
    <w:rsid w:val="000971EB"/>
    <w:rsid w:val="000973DF"/>
    <w:rsid w:val="000978AB"/>
    <w:rsid w:val="0009793D"/>
    <w:rsid w:val="00097A7E"/>
    <w:rsid w:val="00097DFE"/>
    <w:rsid w:val="00097FBF"/>
    <w:rsid w:val="000A0412"/>
    <w:rsid w:val="000A06BD"/>
    <w:rsid w:val="000A0A36"/>
    <w:rsid w:val="000A0A45"/>
    <w:rsid w:val="000A0ED0"/>
    <w:rsid w:val="000A0FAD"/>
    <w:rsid w:val="000A189E"/>
    <w:rsid w:val="000A193E"/>
    <w:rsid w:val="000A19F4"/>
    <w:rsid w:val="000A1F24"/>
    <w:rsid w:val="000A2101"/>
    <w:rsid w:val="000A264C"/>
    <w:rsid w:val="000A2766"/>
    <w:rsid w:val="000A2AAC"/>
    <w:rsid w:val="000A2ACC"/>
    <w:rsid w:val="000A3055"/>
    <w:rsid w:val="000A3163"/>
    <w:rsid w:val="000A351E"/>
    <w:rsid w:val="000A3D08"/>
    <w:rsid w:val="000A3FD5"/>
    <w:rsid w:val="000A4C24"/>
    <w:rsid w:val="000A4D3C"/>
    <w:rsid w:val="000A5019"/>
    <w:rsid w:val="000A506A"/>
    <w:rsid w:val="000A5DDF"/>
    <w:rsid w:val="000A6C63"/>
    <w:rsid w:val="000A7277"/>
    <w:rsid w:val="000A77B5"/>
    <w:rsid w:val="000A7BDA"/>
    <w:rsid w:val="000A7D69"/>
    <w:rsid w:val="000B0048"/>
    <w:rsid w:val="000B049E"/>
    <w:rsid w:val="000B0E78"/>
    <w:rsid w:val="000B0EB6"/>
    <w:rsid w:val="000B0F9D"/>
    <w:rsid w:val="000B107D"/>
    <w:rsid w:val="000B1798"/>
    <w:rsid w:val="000B1831"/>
    <w:rsid w:val="000B1DEB"/>
    <w:rsid w:val="000B1F91"/>
    <w:rsid w:val="000B2049"/>
    <w:rsid w:val="000B2374"/>
    <w:rsid w:val="000B2493"/>
    <w:rsid w:val="000B2698"/>
    <w:rsid w:val="000B26BB"/>
    <w:rsid w:val="000B2F01"/>
    <w:rsid w:val="000B4536"/>
    <w:rsid w:val="000B47D4"/>
    <w:rsid w:val="000B5452"/>
    <w:rsid w:val="000B5D87"/>
    <w:rsid w:val="000B613E"/>
    <w:rsid w:val="000B644C"/>
    <w:rsid w:val="000B67BF"/>
    <w:rsid w:val="000B6D5B"/>
    <w:rsid w:val="000B6D5E"/>
    <w:rsid w:val="000B712A"/>
    <w:rsid w:val="000B7513"/>
    <w:rsid w:val="000B772A"/>
    <w:rsid w:val="000B789A"/>
    <w:rsid w:val="000B7B66"/>
    <w:rsid w:val="000B7C65"/>
    <w:rsid w:val="000B7EE5"/>
    <w:rsid w:val="000C00A2"/>
    <w:rsid w:val="000C0277"/>
    <w:rsid w:val="000C03D8"/>
    <w:rsid w:val="000C04BA"/>
    <w:rsid w:val="000C083B"/>
    <w:rsid w:val="000C0C89"/>
    <w:rsid w:val="000C0C8C"/>
    <w:rsid w:val="000C10DA"/>
    <w:rsid w:val="000C16D5"/>
    <w:rsid w:val="000C1C5B"/>
    <w:rsid w:val="000C1D5D"/>
    <w:rsid w:val="000C2451"/>
    <w:rsid w:val="000C2D16"/>
    <w:rsid w:val="000C2E99"/>
    <w:rsid w:val="000C32AE"/>
    <w:rsid w:val="000C347C"/>
    <w:rsid w:val="000C3497"/>
    <w:rsid w:val="000C382B"/>
    <w:rsid w:val="000C3A0A"/>
    <w:rsid w:val="000C4042"/>
    <w:rsid w:val="000C4877"/>
    <w:rsid w:val="000C5150"/>
    <w:rsid w:val="000C5B74"/>
    <w:rsid w:val="000C63DA"/>
    <w:rsid w:val="000C69F2"/>
    <w:rsid w:val="000C71FF"/>
    <w:rsid w:val="000C7536"/>
    <w:rsid w:val="000C7DF9"/>
    <w:rsid w:val="000C7ED4"/>
    <w:rsid w:val="000C7F2F"/>
    <w:rsid w:val="000D0239"/>
    <w:rsid w:val="000D15DD"/>
    <w:rsid w:val="000D16E3"/>
    <w:rsid w:val="000D188B"/>
    <w:rsid w:val="000D212A"/>
    <w:rsid w:val="000D21EC"/>
    <w:rsid w:val="000D22D2"/>
    <w:rsid w:val="000D273E"/>
    <w:rsid w:val="000D3623"/>
    <w:rsid w:val="000D36C4"/>
    <w:rsid w:val="000D3925"/>
    <w:rsid w:val="000D3B5C"/>
    <w:rsid w:val="000D3B65"/>
    <w:rsid w:val="000D40BE"/>
    <w:rsid w:val="000D4330"/>
    <w:rsid w:val="000D475F"/>
    <w:rsid w:val="000D52E0"/>
    <w:rsid w:val="000D5ADC"/>
    <w:rsid w:val="000D6093"/>
    <w:rsid w:val="000D679A"/>
    <w:rsid w:val="000D6A19"/>
    <w:rsid w:val="000D6A50"/>
    <w:rsid w:val="000D6AC1"/>
    <w:rsid w:val="000D6F57"/>
    <w:rsid w:val="000D71FD"/>
    <w:rsid w:val="000D7A2A"/>
    <w:rsid w:val="000D7F76"/>
    <w:rsid w:val="000E08BC"/>
    <w:rsid w:val="000E10FB"/>
    <w:rsid w:val="000E1255"/>
    <w:rsid w:val="000E18CE"/>
    <w:rsid w:val="000E18E7"/>
    <w:rsid w:val="000E1EBE"/>
    <w:rsid w:val="000E1F2C"/>
    <w:rsid w:val="000E1F3C"/>
    <w:rsid w:val="000E1F42"/>
    <w:rsid w:val="000E210C"/>
    <w:rsid w:val="000E2693"/>
    <w:rsid w:val="000E34C2"/>
    <w:rsid w:val="000E353B"/>
    <w:rsid w:val="000E3835"/>
    <w:rsid w:val="000E399D"/>
    <w:rsid w:val="000E3A8C"/>
    <w:rsid w:val="000E3E08"/>
    <w:rsid w:val="000E46F9"/>
    <w:rsid w:val="000E497B"/>
    <w:rsid w:val="000E4A88"/>
    <w:rsid w:val="000E4ACC"/>
    <w:rsid w:val="000E5242"/>
    <w:rsid w:val="000E5749"/>
    <w:rsid w:val="000E58FF"/>
    <w:rsid w:val="000E59F6"/>
    <w:rsid w:val="000E5D15"/>
    <w:rsid w:val="000E6D5E"/>
    <w:rsid w:val="000E724C"/>
    <w:rsid w:val="000E74D1"/>
    <w:rsid w:val="000E7592"/>
    <w:rsid w:val="000E771A"/>
    <w:rsid w:val="000E78D8"/>
    <w:rsid w:val="000E7AF0"/>
    <w:rsid w:val="000E7C58"/>
    <w:rsid w:val="000E7E5D"/>
    <w:rsid w:val="000F0A13"/>
    <w:rsid w:val="000F0CAA"/>
    <w:rsid w:val="000F0EA2"/>
    <w:rsid w:val="000F10AF"/>
    <w:rsid w:val="000F13D6"/>
    <w:rsid w:val="000F1BE9"/>
    <w:rsid w:val="000F1DC8"/>
    <w:rsid w:val="000F2794"/>
    <w:rsid w:val="000F2F81"/>
    <w:rsid w:val="000F4218"/>
    <w:rsid w:val="000F4624"/>
    <w:rsid w:val="000F484F"/>
    <w:rsid w:val="000F556B"/>
    <w:rsid w:val="000F5756"/>
    <w:rsid w:val="000F5C4B"/>
    <w:rsid w:val="000F5EFF"/>
    <w:rsid w:val="000F6468"/>
    <w:rsid w:val="000F649A"/>
    <w:rsid w:val="000F65E9"/>
    <w:rsid w:val="000F6783"/>
    <w:rsid w:val="000F67FF"/>
    <w:rsid w:val="000F6D65"/>
    <w:rsid w:val="000F6F20"/>
    <w:rsid w:val="000F728D"/>
    <w:rsid w:val="000F7319"/>
    <w:rsid w:val="000F76D0"/>
    <w:rsid w:val="000F777F"/>
    <w:rsid w:val="000F798F"/>
    <w:rsid w:val="000F7CB7"/>
    <w:rsid w:val="001004FD"/>
    <w:rsid w:val="00100A21"/>
    <w:rsid w:val="00100CE2"/>
    <w:rsid w:val="00101055"/>
    <w:rsid w:val="00101073"/>
    <w:rsid w:val="00101182"/>
    <w:rsid w:val="0010206E"/>
    <w:rsid w:val="00102384"/>
    <w:rsid w:val="001028C6"/>
    <w:rsid w:val="00102D7D"/>
    <w:rsid w:val="00102EE6"/>
    <w:rsid w:val="00103444"/>
    <w:rsid w:val="00103A01"/>
    <w:rsid w:val="00103CE4"/>
    <w:rsid w:val="00103E5E"/>
    <w:rsid w:val="00103EA9"/>
    <w:rsid w:val="001042C3"/>
    <w:rsid w:val="001042C9"/>
    <w:rsid w:val="00104521"/>
    <w:rsid w:val="001045CA"/>
    <w:rsid w:val="0010489C"/>
    <w:rsid w:val="00104A08"/>
    <w:rsid w:val="00104A17"/>
    <w:rsid w:val="00104CE4"/>
    <w:rsid w:val="00104EC7"/>
    <w:rsid w:val="001053C4"/>
    <w:rsid w:val="001054EC"/>
    <w:rsid w:val="001057B5"/>
    <w:rsid w:val="00105C62"/>
    <w:rsid w:val="00105E58"/>
    <w:rsid w:val="0010608A"/>
    <w:rsid w:val="00106623"/>
    <w:rsid w:val="00106805"/>
    <w:rsid w:val="00106ABC"/>
    <w:rsid w:val="00107049"/>
    <w:rsid w:val="0010740D"/>
    <w:rsid w:val="0010747C"/>
    <w:rsid w:val="00110106"/>
    <w:rsid w:val="0011022C"/>
    <w:rsid w:val="00110405"/>
    <w:rsid w:val="00110519"/>
    <w:rsid w:val="001111C5"/>
    <w:rsid w:val="00111459"/>
    <w:rsid w:val="001117CA"/>
    <w:rsid w:val="001119CA"/>
    <w:rsid w:val="00111E62"/>
    <w:rsid w:val="00111F66"/>
    <w:rsid w:val="001120EE"/>
    <w:rsid w:val="001125C7"/>
    <w:rsid w:val="0011282A"/>
    <w:rsid w:val="00112B7B"/>
    <w:rsid w:val="00112E2D"/>
    <w:rsid w:val="0011301F"/>
    <w:rsid w:val="0011370B"/>
    <w:rsid w:val="00113DBB"/>
    <w:rsid w:val="00113FC4"/>
    <w:rsid w:val="001145CF"/>
    <w:rsid w:val="00114AE3"/>
    <w:rsid w:val="00114BC3"/>
    <w:rsid w:val="00114D58"/>
    <w:rsid w:val="00115230"/>
    <w:rsid w:val="00115DC9"/>
    <w:rsid w:val="00115F40"/>
    <w:rsid w:val="00115FD7"/>
    <w:rsid w:val="00116092"/>
    <w:rsid w:val="0011633B"/>
    <w:rsid w:val="001164AA"/>
    <w:rsid w:val="00117390"/>
    <w:rsid w:val="001175B2"/>
    <w:rsid w:val="001179AC"/>
    <w:rsid w:val="00117BB3"/>
    <w:rsid w:val="0012008A"/>
    <w:rsid w:val="001201E1"/>
    <w:rsid w:val="00120306"/>
    <w:rsid w:val="001204E4"/>
    <w:rsid w:val="001206BF"/>
    <w:rsid w:val="00120743"/>
    <w:rsid w:val="0012094F"/>
    <w:rsid w:val="001209D9"/>
    <w:rsid w:val="00120D25"/>
    <w:rsid w:val="001213B3"/>
    <w:rsid w:val="001213E5"/>
    <w:rsid w:val="00121E33"/>
    <w:rsid w:val="001220A3"/>
    <w:rsid w:val="001223F6"/>
    <w:rsid w:val="001223FC"/>
    <w:rsid w:val="00122B44"/>
    <w:rsid w:val="00122C5D"/>
    <w:rsid w:val="00122E34"/>
    <w:rsid w:val="00122F8E"/>
    <w:rsid w:val="00122FC3"/>
    <w:rsid w:val="00123A6C"/>
    <w:rsid w:val="001240CD"/>
    <w:rsid w:val="00124440"/>
    <w:rsid w:val="001246F4"/>
    <w:rsid w:val="00124CF2"/>
    <w:rsid w:val="00124D47"/>
    <w:rsid w:val="00125465"/>
    <w:rsid w:val="0012630B"/>
    <w:rsid w:val="00126BA8"/>
    <w:rsid w:val="001270A8"/>
    <w:rsid w:val="00127566"/>
    <w:rsid w:val="00127918"/>
    <w:rsid w:val="00127AE1"/>
    <w:rsid w:val="001301A8"/>
    <w:rsid w:val="001301CF"/>
    <w:rsid w:val="00130515"/>
    <w:rsid w:val="00130861"/>
    <w:rsid w:val="00130A65"/>
    <w:rsid w:val="00130DFC"/>
    <w:rsid w:val="00130EE5"/>
    <w:rsid w:val="00131367"/>
    <w:rsid w:val="001316CA"/>
    <w:rsid w:val="00131ACA"/>
    <w:rsid w:val="00131B4A"/>
    <w:rsid w:val="00131C1E"/>
    <w:rsid w:val="00131CD1"/>
    <w:rsid w:val="001324C1"/>
    <w:rsid w:val="00132892"/>
    <w:rsid w:val="001331A3"/>
    <w:rsid w:val="00133BA0"/>
    <w:rsid w:val="00133F36"/>
    <w:rsid w:val="00134185"/>
    <w:rsid w:val="00134448"/>
    <w:rsid w:val="001345F5"/>
    <w:rsid w:val="00134610"/>
    <w:rsid w:val="001346E9"/>
    <w:rsid w:val="00134DD0"/>
    <w:rsid w:val="00134F26"/>
    <w:rsid w:val="001358B2"/>
    <w:rsid w:val="00135C50"/>
    <w:rsid w:val="00135D5A"/>
    <w:rsid w:val="00135DEB"/>
    <w:rsid w:val="00136088"/>
    <w:rsid w:val="00136526"/>
    <w:rsid w:val="00136898"/>
    <w:rsid w:val="0013696C"/>
    <w:rsid w:val="00136AD3"/>
    <w:rsid w:val="00137FB3"/>
    <w:rsid w:val="00137FCF"/>
    <w:rsid w:val="00140103"/>
    <w:rsid w:val="001403E2"/>
    <w:rsid w:val="00140546"/>
    <w:rsid w:val="00140702"/>
    <w:rsid w:val="00140D9E"/>
    <w:rsid w:val="00140F7F"/>
    <w:rsid w:val="00141709"/>
    <w:rsid w:val="00141C1D"/>
    <w:rsid w:val="00141E07"/>
    <w:rsid w:val="00142C88"/>
    <w:rsid w:val="001436E6"/>
    <w:rsid w:val="001441C1"/>
    <w:rsid w:val="001441E4"/>
    <w:rsid w:val="001443CC"/>
    <w:rsid w:val="00144A49"/>
    <w:rsid w:val="00144C4C"/>
    <w:rsid w:val="00144D97"/>
    <w:rsid w:val="00145393"/>
    <w:rsid w:val="001455B3"/>
    <w:rsid w:val="00145AA7"/>
    <w:rsid w:val="00145F8C"/>
    <w:rsid w:val="00146660"/>
    <w:rsid w:val="00146F07"/>
    <w:rsid w:val="001470BD"/>
    <w:rsid w:val="00147118"/>
    <w:rsid w:val="00147ABB"/>
    <w:rsid w:val="00147C0D"/>
    <w:rsid w:val="00147D66"/>
    <w:rsid w:val="001500C8"/>
    <w:rsid w:val="00150354"/>
    <w:rsid w:val="00151197"/>
    <w:rsid w:val="00151387"/>
    <w:rsid w:val="001513DE"/>
    <w:rsid w:val="001514F1"/>
    <w:rsid w:val="0015162C"/>
    <w:rsid w:val="00151AB5"/>
    <w:rsid w:val="00151C9B"/>
    <w:rsid w:val="0015339A"/>
    <w:rsid w:val="00153806"/>
    <w:rsid w:val="0015412A"/>
    <w:rsid w:val="00154437"/>
    <w:rsid w:val="001547DE"/>
    <w:rsid w:val="001550F3"/>
    <w:rsid w:val="001554C4"/>
    <w:rsid w:val="001556B6"/>
    <w:rsid w:val="00155E2C"/>
    <w:rsid w:val="00155FDF"/>
    <w:rsid w:val="0015611B"/>
    <w:rsid w:val="00156973"/>
    <w:rsid w:val="0015723B"/>
    <w:rsid w:val="00157900"/>
    <w:rsid w:val="00157A2B"/>
    <w:rsid w:val="00157A93"/>
    <w:rsid w:val="00160ADC"/>
    <w:rsid w:val="00160FEA"/>
    <w:rsid w:val="0016105E"/>
    <w:rsid w:val="0016145F"/>
    <w:rsid w:val="001616E4"/>
    <w:rsid w:val="001618CC"/>
    <w:rsid w:val="00161A5D"/>
    <w:rsid w:val="001620A9"/>
    <w:rsid w:val="001621D7"/>
    <w:rsid w:val="00162325"/>
    <w:rsid w:val="00162761"/>
    <w:rsid w:val="00162875"/>
    <w:rsid w:val="00162DF1"/>
    <w:rsid w:val="001630A3"/>
    <w:rsid w:val="00163312"/>
    <w:rsid w:val="0016366D"/>
    <w:rsid w:val="00163C4D"/>
    <w:rsid w:val="00163C52"/>
    <w:rsid w:val="00163CB0"/>
    <w:rsid w:val="00163D52"/>
    <w:rsid w:val="00164034"/>
    <w:rsid w:val="0016427F"/>
    <w:rsid w:val="001642F0"/>
    <w:rsid w:val="00164333"/>
    <w:rsid w:val="0016446B"/>
    <w:rsid w:val="00164BD9"/>
    <w:rsid w:val="00164D0F"/>
    <w:rsid w:val="001651AF"/>
    <w:rsid w:val="00165913"/>
    <w:rsid w:val="00165E3A"/>
    <w:rsid w:val="00165F01"/>
    <w:rsid w:val="00166005"/>
    <w:rsid w:val="0016604E"/>
    <w:rsid w:val="0016610D"/>
    <w:rsid w:val="00166366"/>
    <w:rsid w:val="00166BBB"/>
    <w:rsid w:val="00166CE5"/>
    <w:rsid w:val="00167110"/>
    <w:rsid w:val="001671A3"/>
    <w:rsid w:val="0016736F"/>
    <w:rsid w:val="00167869"/>
    <w:rsid w:val="00167EB6"/>
    <w:rsid w:val="00167F43"/>
    <w:rsid w:val="00167FB2"/>
    <w:rsid w:val="00167FCA"/>
    <w:rsid w:val="00170141"/>
    <w:rsid w:val="0017044F"/>
    <w:rsid w:val="0017053B"/>
    <w:rsid w:val="001706E7"/>
    <w:rsid w:val="0017074F"/>
    <w:rsid w:val="00170B1A"/>
    <w:rsid w:val="00170C37"/>
    <w:rsid w:val="00171164"/>
    <w:rsid w:val="00171C77"/>
    <w:rsid w:val="00171CC9"/>
    <w:rsid w:val="00171DD9"/>
    <w:rsid w:val="00172029"/>
    <w:rsid w:val="001720C3"/>
    <w:rsid w:val="00172125"/>
    <w:rsid w:val="001722E0"/>
    <w:rsid w:val="00172351"/>
    <w:rsid w:val="001726A7"/>
    <w:rsid w:val="001727BB"/>
    <w:rsid w:val="001736AC"/>
    <w:rsid w:val="001736EE"/>
    <w:rsid w:val="001737A5"/>
    <w:rsid w:val="00173B2A"/>
    <w:rsid w:val="00173D8E"/>
    <w:rsid w:val="00173F37"/>
    <w:rsid w:val="001749F8"/>
    <w:rsid w:val="00174CFF"/>
    <w:rsid w:val="00174EFB"/>
    <w:rsid w:val="0017531C"/>
    <w:rsid w:val="0017543D"/>
    <w:rsid w:val="00175F55"/>
    <w:rsid w:val="00176257"/>
    <w:rsid w:val="00177AEA"/>
    <w:rsid w:val="00177F1E"/>
    <w:rsid w:val="0018013B"/>
    <w:rsid w:val="00180822"/>
    <w:rsid w:val="001808F2"/>
    <w:rsid w:val="00180B3F"/>
    <w:rsid w:val="00180E46"/>
    <w:rsid w:val="00181D63"/>
    <w:rsid w:val="0018283E"/>
    <w:rsid w:val="001829CD"/>
    <w:rsid w:val="00182F5F"/>
    <w:rsid w:val="00182F9B"/>
    <w:rsid w:val="00183A7A"/>
    <w:rsid w:val="00183C85"/>
    <w:rsid w:val="00183CCC"/>
    <w:rsid w:val="00183CE2"/>
    <w:rsid w:val="00183E30"/>
    <w:rsid w:val="0018412C"/>
    <w:rsid w:val="00184143"/>
    <w:rsid w:val="00184703"/>
    <w:rsid w:val="00184E9F"/>
    <w:rsid w:val="00184F2C"/>
    <w:rsid w:val="00185023"/>
    <w:rsid w:val="0018512C"/>
    <w:rsid w:val="00185288"/>
    <w:rsid w:val="0018541A"/>
    <w:rsid w:val="00185586"/>
    <w:rsid w:val="00185758"/>
    <w:rsid w:val="00185B6E"/>
    <w:rsid w:val="00185EDF"/>
    <w:rsid w:val="00186036"/>
    <w:rsid w:val="00186952"/>
    <w:rsid w:val="001869BE"/>
    <w:rsid w:val="00186AB7"/>
    <w:rsid w:val="00186C70"/>
    <w:rsid w:val="001872E1"/>
    <w:rsid w:val="0018741E"/>
    <w:rsid w:val="00187632"/>
    <w:rsid w:val="001876D0"/>
    <w:rsid w:val="0018782E"/>
    <w:rsid w:val="00187985"/>
    <w:rsid w:val="00187BDD"/>
    <w:rsid w:val="00190239"/>
    <w:rsid w:val="0019055C"/>
    <w:rsid w:val="001908BB"/>
    <w:rsid w:val="00190923"/>
    <w:rsid w:val="00190B1B"/>
    <w:rsid w:val="00190C01"/>
    <w:rsid w:val="00190D20"/>
    <w:rsid w:val="00191420"/>
    <w:rsid w:val="00191A4B"/>
    <w:rsid w:val="00191F91"/>
    <w:rsid w:val="00192586"/>
    <w:rsid w:val="001928D4"/>
    <w:rsid w:val="001929DC"/>
    <w:rsid w:val="00192A1F"/>
    <w:rsid w:val="00193A44"/>
    <w:rsid w:val="001940A2"/>
    <w:rsid w:val="0019433A"/>
    <w:rsid w:val="00194649"/>
    <w:rsid w:val="0019483B"/>
    <w:rsid w:val="00194A14"/>
    <w:rsid w:val="00194B0B"/>
    <w:rsid w:val="00194B0F"/>
    <w:rsid w:val="00194B6D"/>
    <w:rsid w:val="00194CA7"/>
    <w:rsid w:val="00194F00"/>
    <w:rsid w:val="00194F80"/>
    <w:rsid w:val="0019513B"/>
    <w:rsid w:val="00195A52"/>
    <w:rsid w:val="00195A70"/>
    <w:rsid w:val="00196572"/>
    <w:rsid w:val="001968BF"/>
    <w:rsid w:val="00196F60"/>
    <w:rsid w:val="001A0275"/>
    <w:rsid w:val="001A04A5"/>
    <w:rsid w:val="001A0ECD"/>
    <w:rsid w:val="001A14D7"/>
    <w:rsid w:val="001A1592"/>
    <w:rsid w:val="001A1629"/>
    <w:rsid w:val="001A16C2"/>
    <w:rsid w:val="001A20F9"/>
    <w:rsid w:val="001A2A70"/>
    <w:rsid w:val="001A2DEC"/>
    <w:rsid w:val="001A2EB2"/>
    <w:rsid w:val="001A309A"/>
    <w:rsid w:val="001A391A"/>
    <w:rsid w:val="001A41F6"/>
    <w:rsid w:val="001A467D"/>
    <w:rsid w:val="001A498E"/>
    <w:rsid w:val="001A4CC2"/>
    <w:rsid w:val="001A4E47"/>
    <w:rsid w:val="001A4E8C"/>
    <w:rsid w:val="001A4FFE"/>
    <w:rsid w:val="001A582B"/>
    <w:rsid w:val="001A5A3F"/>
    <w:rsid w:val="001A5DF4"/>
    <w:rsid w:val="001A61B8"/>
    <w:rsid w:val="001A61D8"/>
    <w:rsid w:val="001A6218"/>
    <w:rsid w:val="001A64AE"/>
    <w:rsid w:val="001A724C"/>
    <w:rsid w:val="001A7456"/>
    <w:rsid w:val="001A7695"/>
    <w:rsid w:val="001A7D58"/>
    <w:rsid w:val="001B0411"/>
    <w:rsid w:val="001B04B9"/>
    <w:rsid w:val="001B0D79"/>
    <w:rsid w:val="001B0E29"/>
    <w:rsid w:val="001B1095"/>
    <w:rsid w:val="001B11FC"/>
    <w:rsid w:val="001B1406"/>
    <w:rsid w:val="001B1ACF"/>
    <w:rsid w:val="001B1C0B"/>
    <w:rsid w:val="001B1E23"/>
    <w:rsid w:val="001B2023"/>
    <w:rsid w:val="001B2026"/>
    <w:rsid w:val="001B214A"/>
    <w:rsid w:val="001B2153"/>
    <w:rsid w:val="001B2620"/>
    <w:rsid w:val="001B28FD"/>
    <w:rsid w:val="001B381D"/>
    <w:rsid w:val="001B3CE2"/>
    <w:rsid w:val="001B3E15"/>
    <w:rsid w:val="001B3E5F"/>
    <w:rsid w:val="001B401A"/>
    <w:rsid w:val="001B401E"/>
    <w:rsid w:val="001B4084"/>
    <w:rsid w:val="001B408F"/>
    <w:rsid w:val="001B4294"/>
    <w:rsid w:val="001B4348"/>
    <w:rsid w:val="001B4469"/>
    <w:rsid w:val="001B4641"/>
    <w:rsid w:val="001B49BD"/>
    <w:rsid w:val="001B5041"/>
    <w:rsid w:val="001B5094"/>
    <w:rsid w:val="001B51E2"/>
    <w:rsid w:val="001B54B0"/>
    <w:rsid w:val="001B5AE7"/>
    <w:rsid w:val="001B5D26"/>
    <w:rsid w:val="001B5F9A"/>
    <w:rsid w:val="001B6061"/>
    <w:rsid w:val="001B63E2"/>
    <w:rsid w:val="001B6686"/>
    <w:rsid w:val="001B6729"/>
    <w:rsid w:val="001B681F"/>
    <w:rsid w:val="001B6C3A"/>
    <w:rsid w:val="001B6E25"/>
    <w:rsid w:val="001B75A8"/>
    <w:rsid w:val="001B75BC"/>
    <w:rsid w:val="001B7864"/>
    <w:rsid w:val="001B7AD5"/>
    <w:rsid w:val="001B7C87"/>
    <w:rsid w:val="001C0205"/>
    <w:rsid w:val="001C02A6"/>
    <w:rsid w:val="001C0631"/>
    <w:rsid w:val="001C1089"/>
    <w:rsid w:val="001C19AC"/>
    <w:rsid w:val="001C200E"/>
    <w:rsid w:val="001C207F"/>
    <w:rsid w:val="001C2659"/>
    <w:rsid w:val="001C2915"/>
    <w:rsid w:val="001C2A30"/>
    <w:rsid w:val="001C2C89"/>
    <w:rsid w:val="001C44E4"/>
    <w:rsid w:val="001C46D5"/>
    <w:rsid w:val="001C4747"/>
    <w:rsid w:val="001C52F3"/>
    <w:rsid w:val="001C54BF"/>
    <w:rsid w:val="001C593A"/>
    <w:rsid w:val="001C5F0C"/>
    <w:rsid w:val="001C6180"/>
    <w:rsid w:val="001C67A7"/>
    <w:rsid w:val="001C684B"/>
    <w:rsid w:val="001C688F"/>
    <w:rsid w:val="001C6993"/>
    <w:rsid w:val="001C6D39"/>
    <w:rsid w:val="001C749C"/>
    <w:rsid w:val="001C76ED"/>
    <w:rsid w:val="001C7730"/>
    <w:rsid w:val="001C7788"/>
    <w:rsid w:val="001C77CC"/>
    <w:rsid w:val="001C7CCE"/>
    <w:rsid w:val="001C7FE5"/>
    <w:rsid w:val="001D052C"/>
    <w:rsid w:val="001D09AF"/>
    <w:rsid w:val="001D0AD7"/>
    <w:rsid w:val="001D0F5D"/>
    <w:rsid w:val="001D10C3"/>
    <w:rsid w:val="001D1126"/>
    <w:rsid w:val="001D1427"/>
    <w:rsid w:val="001D14C6"/>
    <w:rsid w:val="001D189F"/>
    <w:rsid w:val="001D1D62"/>
    <w:rsid w:val="001D25F1"/>
    <w:rsid w:val="001D27A4"/>
    <w:rsid w:val="001D28F0"/>
    <w:rsid w:val="001D2DE4"/>
    <w:rsid w:val="001D2E23"/>
    <w:rsid w:val="001D2E5C"/>
    <w:rsid w:val="001D3849"/>
    <w:rsid w:val="001D38FD"/>
    <w:rsid w:val="001D3E16"/>
    <w:rsid w:val="001D42CC"/>
    <w:rsid w:val="001D4C10"/>
    <w:rsid w:val="001D4EF7"/>
    <w:rsid w:val="001D5D9D"/>
    <w:rsid w:val="001D5F41"/>
    <w:rsid w:val="001D5F88"/>
    <w:rsid w:val="001D63ED"/>
    <w:rsid w:val="001D64A7"/>
    <w:rsid w:val="001D70FB"/>
    <w:rsid w:val="001D77DA"/>
    <w:rsid w:val="001D797D"/>
    <w:rsid w:val="001D7D47"/>
    <w:rsid w:val="001D7DF9"/>
    <w:rsid w:val="001E0411"/>
    <w:rsid w:val="001E05F0"/>
    <w:rsid w:val="001E0842"/>
    <w:rsid w:val="001E08AB"/>
    <w:rsid w:val="001E0FE1"/>
    <w:rsid w:val="001E1062"/>
    <w:rsid w:val="001E1115"/>
    <w:rsid w:val="001E12CB"/>
    <w:rsid w:val="001E1893"/>
    <w:rsid w:val="001E1A58"/>
    <w:rsid w:val="001E1C5B"/>
    <w:rsid w:val="001E203E"/>
    <w:rsid w:val="001E217D"/>
    <w:rsid w:val="001E2299"/>
    <w:rsid w:val="001E350A"/>
    <w:rsid w:val="001E4258"/>
    <w:rsid w:val="001E4349"/>
    <w:rsid w:val="001E442D"/>
    <w:rsid w:val="001E45DA"/>
    <w:rsid w:val="001E4FC2"/>
    <w:rsid w:val="001E5172"/>
    <w:rsid w:val="001E57A3"/>
    <w:rsid w:val="001E57D6"/>
    <w:rsid w:val="001E5B45"/>
    <w:rsid w:val="001E6391"/>
    <w:rsid w:val="001E6815"/>
    <w:rsid w:val="001E6DBE"/>
    <w:rsid w:val="001E70D5"/>
    <w:rsid w:val="001E7724"/>
    <w:rsid w:val="001E78CF"/>
    <w:rsid w:val="001E7C57"/>
    <w:rsid w:val="001E7D3A"/>
    <w:rsid w:val="001F0007"/>
    <w:rsid w:val="001F00A5"/>
    <w:rsid w:val="001F08CC"/>
    <w:rsid w:val="001F0EFE"/>
    <w:rsid w:val="001F1018"/>
    <w:rsid w:val="001F148A"/>
    <w:rsid w:val="001F1518"/>
    <w:rsid w:val="001F16E4"/>
    <w:rsid w:val="001F1E6F"/>
    <w:rsid w:val="001F2548"/>
    <w:rsid w:val="001F2576"/>
    <w:rsid w:val="001F2A4D"/>
    <w:rsid w:val="001F2D13"/>
    <w:rsid w:val="001F3108"/>
    <w:rsid w:val="001F35B8"/>
    <w:rsid w:val="001F396B"/>
    <w:rsid w:val="001F3D26"/>
    <w:rsid w:val="001F3E59"/>
    <w:rsid w:val="001F487D"/>
    <w:rsid w:val="001F490E"/>
    <w:rsid w:val="001F50D8"/>
    <w:rsid w:val="001F54CC"/>
    <w:rsid w:val="001F5548"/>
    <w:rsid w:val="001F579F"/>
    <w:rsid w:val="001F5A1D"/>
    <w:rsid w:val="001F5C09"/>
    <w:rsid w:val="001F5DA2"/>
    <w:rsid w:val="001F6187"/>
    <w:rsid w:val="001F62E2"/>
    <w:rsid w:val="001F63DA"/>
    <w:rsid w:val="001F66A7"/>
    <w:rsid w:val="001F6AEE"/>
    <w:rsid w:val="001F7249"/>
    <w:rsid w:val="001F7417"/>
    <w:rsid w:val="001F75B3"/>
    <w:rsid w:val="001F7856"/>
    <w:rsid w:val="002000F4"/>
    <w:rsid w:val="00200327"/>
    <w:rsid w:val="0020064C"/>
    <w:rsid w:val="00200671"/>
    <w:rsid w:val="00200677"/>
    <w:rsid w:val="0020076B"/>
    <w:rsid w:val="00200CD7"/>
    <w:rsid w:val="0020156A"/>
    <w:rsid w:val="0020176C"/>
    <w:rsid w:val="00201833"/>
    <w:rsid w:val="00201E59"/>
    <w:rsid w:val="00201E68"/>
    <w:rsid w:val="00202605"/>
    <w:rsid w:val="002028EE"/>
    <w:rsid w:val="002030DB"/>
    <w:rsid w:val="0020317F"/>
    <w:rsid w:val="0020330B"/>
    <w:rsid w:val="00203E30"/>
    <w:rsid w:val="00204214"/>
    <w:rsid w:val="002045E9"/>
    <w:rsid w:val="0020467C"/>
    <w:rsid w:val="002049AD"/>
    <w:rsid w:val="0020529F"/>
    <w:rsid w:val="002055D2"/>
    <w:rsid w:val="00205A8B"/>
    <w:rsid w:val="00206047"/>
    <w:rsid w:val="002060E6"/>
    <w:rsid w:val="00206101"/>
    <w:rsid w:val="00206508"/>
    <w:rsid w:val="00206B45"/>
    <w:rsid w:val="00206E86"/>
    <w:rsid w:val="0020734E"/>
    <w:rsid w:val="00207886"/>
    <w:rsid w:val="002078F6"/>
    <w:rsid w:val="00207B80"/>
    <w:rsid w:val="00207EEF"/>
    <w:rsid w:val="00210933"/>
    <w:rsid w:val="00210B56"/>
    <w:rsid w:val="00210E87"/>
    <w:rsid w:val="00210F02"/>
    <w:rsid w:val="00210FEE"/>
    <w:rsid w:val="00211F9A"/>
    <w:rsid w:val="00211F9F"/>
    <w:rsid w:val="00211FF9"/>
    <w:rsid w:val="00212169"/>
    <w:rsid w:val="0021288D"/>
    <w:rsid w:val="0021297A"/>
    <w:rsid w:val="00212BF5"/>
    <w:rsid w:val="00212CE3"/>
    <w:rsid w:val="00212D69"/>
    <w:rsid w:val="0021337C"/>
    <w:rsid w:val="00213945"/>
    <w:rsid w:val="00213AEE"/>
    <w:rsid w:val="00213D97"/>
    <w:rsid w:val="00214220"/>
    <w:rsid w:val="00214274"/>
    <w:rsid w:val="0021472F"/>
    <w:rsid w:val="00214750"/>
    <w:rsid w:val="00214928"/>
    <w:rsid w:val="00214ECF"/>
    <w:rsid w:val="0021509C"/>
    <w:rsid w:val="00215548"/>
    <w:rsid w:val="00215A98"/>
    <w:rsid w:val="00215BF5"/>
    <w:rsid w:val="00215D4B"/>
    <w:rsid w:val="0021614A"/>
    <w:rsid w:val="00216521"/>
    <w:rsid w:val="00216643"/>
    <w:rsid w:val="002167E7"/>
    <w:rsid w:val="0021690F"/>
    <w:rsid w:val="0021698E"/>
    <w:rsid w:val="00217058"/>
    <w:rsid w:val="0021738C"/>
    <w:rsid w:val="002173ED"/>
    <w:rsid w:val="00217473"/>
    <w:rsid w:val="0021797C"/>
    <w:rsid w:val="00217D8D"/>
    <w:rsid w:val="00217E01"/>
    <w:rsid w:val="00217FC9"/>
    <w:rsid w:val="002204E8"/>
    <w:rsid w:val="00220F8B"/>
    <w:rsid w:val="00221018"/>
    <w:rsid w:val="00222705"/>
    <w:rsid w:val="002227B1"/>
    <w:rsid w:val="002230A9"/>
    <w:rsid w:val="00223A4E"/>
    <w:rsid w:val="00223D0A"/>
    <w:rsid w:val="00223F44"/>
    <w:rsid w:val="0022409B"/>
    <w:rsid w:val="002243F5"/>
    <w:rsid w:val="00224721"/>
    <w:rsid w:val="002249FA"/>
    <w:rsid w:val="00224A05"/>
    <w:rsid w:val="00224BC4"/>
    <w:rsid w:val="00224C52"/>
    <w:rsid w:val="00225212"/>
    <w:rsid w:val="00225405"/>
    <w:rsid w:val="002256A6"/>
    <w:rsid w:val="00225BD8"/>
    <w:rsid w:val="00225D21"/>
    <w:rsid w:val="002260E8"/>
    <w:rsid w:val="002264F8"/>
    <w:rsid w:val="0022674C"/>
    <w:rsid w:val="0022688E"/>
    <w:rsid w:val="002268BD"/>
    <w:rsid w:val="00227324"/>
    <w:rsid w:val="00227465"/>
    <w:rsid w:val="00227744"/>
    <w:rsid w:val="002278FF"/>
    <w:rsid w:val="00227B14"/>
    <w:rsid w:val="00227C51"/>
    <w:rsid w:val="00227E44"/>
    <w:rsid w:val="002301B5"/>
    <w:rsid w:val="00230355"/>
    <w:rsid w:val="0023066E"/>
    <w:rsid w:val="00230699"/>
    <w:rsid w:val="00230946"/>
    <w:rsid w:val="00230D38"/>
    <w:rsid w:val="00231A1B"/>
    <w:rsid w:val="00231B64"/>
    <w:rsid w:val="00231BB8"/>
    <w:rsid w:val="00231CE2"/>
    <w:rsid w:val="00231F35"/>
    <w:rsid w:val="002323F4"/>
    <w:rsid w:val="00232418"/>
    <w:rsid w:val="0023281B"/>
    <w:rsid w:val="00233825"/>
    <w:rsid w:val="00233EB9"/>
    <w:rsid w:val="00234124"/>
    <w:rsid w:val="002342A4"/>
    <w:rsid w:val="002348DD"/>
    <w:rsid w:val="00234D90"/>
    <w:rsid w:val="00234DC6"/>
    <w:rsid w:val="0023506C"/>
    <w:rsid w:val="002358C4"/>
    <w:rsid w:val="002359D3"/>
    <w:rsid w:val="002359FB"/>
    <w:rsid w:val="00235C77"/>
    <w:rsid w:val="00235E94"/>
    <w:rsid w:val="00235FCC"/>
    <w:rsid w:val="00235FD1"/>
    <w:rsid w:val="00236101"/>
    <w:rsid w:val="00236237"/>
    <w:rsid w:val="00236473"/>
    <w:rsid w:val="00236FE6"/>
    <w:rsid w:val="0023700A"/>
    <w:rsid w:val="002372AE"/>
    <w:rsid w:val="002377C8"/>
    <w:rsid w:val="00237C3B"/>
    <w:rsid w:val="002408EE"/>
    <w:rsid w:val="0024099A"/>
    <w:rsid w:val="00240B93"/>
    <w:rsid w:val="00240D1C"/>
    <w:rsid w:val="002414A2"/>
    <w:rsid w:val="002414A4"/>
    <w:rsid w:val="00241608"/>
    <w:rsid w:val="0024236A"/>
    <w:rsid w:val="002426F7"/>
    <w:rsid w:val="00242788"/>
    <w:rsid w:val="00242BBA"/>
    <w:rsid w:val="00242F6C"/>
    <w:rsid w:val="002434EA"/>
    <w:rsid w:val="002438AE"/>
    <w:rsid w:val="00243E78"/>
    <w:rsid w:val="00244328"/>
    <w:rsid w:val="002446B6"/>
    <w:rsid w:val="00244A62"/>
    <w:rsid w:val="00244D36"/>
    <w:rsid w:val="00244D9A"/>
    <w:rsid w:val="0024580D"/>
    <w:rsid w:val="002462B5"/>
    <w:rsid w:val="002466DD"/>
    <w:rsid w:val="00246BC6"/>
    <w:rsid w:val="00246D0A"/>
    <w:rsid w:val="00246E8F"/>
    <w:rsid w:val="0024702F"/>
    <w:rsid w:val="002474AA"/>
    <w:rsid w:val="0024795A"/>
    <w:rsid w:val="00247B08"/>
    <w:rsid w:val="00247DAF"/>
    <w:rsid w:val="00247E9F"/>
    <w:rsid w:val="00247F0A"/>
    <w:rsid w:val="002501DA"/>
    <w:rsid w:val="002503F5"/>
    <w:rsid w:val="0025041B"/>
    <w:rsid w:val="002504C9"/>
    <w:rsid w:val="00250734"/>
    <w:rsid w:val="00250854"/>
    <w:rsid w:val="00250C4E"/>
    <w:rsid w:val="00250EEA"/>
    <w:rsid w:val="0025165E"/>
    <w:rsid w:val="00251D88"/>
    <w:rsid w:val="00251E66"/>
    <w:rsid w:val="00251FE3"/>
    <w:rsid w:val="0025226F"/>
    <w:rsid w:val="002523D1"/>
    <w:rsid w:val="002524D4"/>
    <w:rsid w:val="00252770"/>
    <w:rsid w:val="00252893"/>
    <w:rsid w:val="00252CCA"/>
    <w:rsid w:val="00252E7A"/>
    <w:rsid w:val="00252F04"/>
    <w:rsid w:val="00253122"/>
    <w:rsid w:val="002534E1"/>
    <w:rsid w:val="00253812"/>
    <w:rsid w:val="00253CD1"/>
    <w:rsid w:val="00254245"/>
    <w:rsid w:val="002542C7"/>
    <w:rsid w:val="00254644"/>
    <w:rsid w:val="00254D36"/>
    <w:rsid w:val="00254F40"/>
    <w:rsid w:val="002557A7"/>
    <w:rsid w:val="00255876"/>
    <w:rsid w:val="0025592C"/>
    <w:rsid w:val="00256485"/>
    <w:rsid w:val="0025656A"/>
    <w:rsid w:val="00256E1E"/>
    <w:rsid w:val="002573BB"/>
    <w:rsid w:val="00257A38"/>
    <w:rsid w:val="002601E3"/>
    <w:rsid w:val="00260388"/>
    <w:rsid w:val="0026045D"/>
    <w:rsid w:val="00260BE3"/>
    <w:rsid w:val="00260E5B"/>
    <w:rsid w:val="00261106"/>
    <w:rsid w:val="002618CC"/>
    <w:rsid w:val="00261A86"/>
    <w:rsid w:val="00261E01"/>
    <w:rsid w:val="00261EA5"/>
    <w:rsid w:val="00261FDB"/>
    <w:rsid w:val="00262258"/>
    <w:rsid w:val="00262513"/>
    <w:rsid w:val="002627B5"/>
    <w:rsid w:val="002627EB"/>
    <w:rsid w:val="00262878"/>
    <w:rsid w:val="00262A90"/>
    <w:rsid w:val="00262CF4"/>
    <w:rsid w:val="00264558"/>
    <w:rsid w:val="0026466C"/>
    <w:rsid w:val="002648E5"/>
    <w:rsid w:val="00265641"/>
    <w:rsid w:val="002656F6"/>
    <w:rsid w:val="00265D9F"/>
    <w:rsid w:val="002662D2"/>
    <w:rsid w:val="00266CD2"/>
    <w:rsid w:val="002670FB"/>
    <w:rsid w:val="0026719A"/>
    <w:rsid w:val="0026732C"/>
    <w:rsid w:val="00267CFB"/>
    <w:rsid w:val="00267E73"/>
    <w:rsid w:val="002701E3"/>
    <w:rsid w:val="002707DC"/>
    <w:rsid w:val="00270867"/>
    <w:rsid w:val="00270947"/>
    <w:rsid w:val="0027098C"/>
    <w:rsid w:val="002709A4"/>
    <w:rsid w:val="00270C6D"/>
    <w:rsid w:val="00270D43"/>
    <w:rsid w:val="00270F6D"/>
    <w:rsid w:val="002712CF"/>
    <w:rsid w:val="0027152F"/>
    <w:rsid w:val="00271661"/>
    <w:rsid w:val="0027178A"/>
    <w:rsid w:val="00271DFD"/>
    <w:rsid w:val="0027229D"/>
    <w:rsid w:val="00272695"/>
    <w:rsid w:val="002727C3"/>
    <w:rsid w:val="002730D9"/>
    <w:rsid w:val="002738EE"/>
    <w:rsid w:val="00273D0F"/>
    <w:rsid w:val="00273D5C"/>
    <w:rsid w:val="002747EC"/>
    <w:rsid w:val="00274828"/>
    <w:rsid w:val="00274AC9"/>
    <w:rsid w:val="00274E8D"/>
    <w:rsid w:val="002752E6"/>
    <w:rsid w:val="0027556D"/>
    <w:rsid w:val="002756EA"/>
    <w:rsid w:val="00275C5E"/>
    <w:rsid w:val="00275FDF"/>
    <w:rsid w:val="002761C2"/>
    <w:rsid w:val="002766AC"/>
    <w:rsid w:val="00276A7C"/>
    <w:rsid w:val="00276B56"/>
    <w:rsid w:val="00276D32"/>
    <w:rsid w:val="00276FAA"/>
    <w:rsid w:val="00277E3B"/>
    <w:rsid w:val="002800D6"/>
    <w:rsid w:val="00280485"/>
    <w:rsid w:val="0028048D"/>
    <w:rsid w:val="00280570"/>
    <w:rsid w:val="0028059A"/>
    <w:rsid w:val="002805DC"/>
    <w:rsid w:val="00280608"/>
    <w:rsid w:val="00280964"/>
    <w:rsid w:val="00281079"/>
    <w:rsid w:val="00281132"/>
    <w:rsid w:val="00281670"/>
    <w:rsid w:val="00281E8D"/>
    <w:rsid w:val="00282486"/>
    <w:rsid w:val="00282C28"/>
    <w:rsid w:val="00283078"/>
    <w:rsid w:val="0028394D"/>
    <w:rsid w:val="00283A8C"/>
    <w:rsid w:val="00284455"/>
    <w:rsid w:val="0028487F"/>
    <w:rsid w:val="00284B2B"/>
    <w:rsid w:val="00284B40"/>
    <w:rsid w:val="002860BC"/>
    <w:rsid w:val="00286381"/>
    <w:rsid w:val="00286B99"/>
    <w:rsid w:val="00286C61"/>
    <w:rsid w:val="0028703E"/>
    <w:rsid w:val="00287D00"/>
    <w:rsid w:val="00287FF5"/>
    <w:rsid w:val="00290398"/>
    <w:rsid w:val="00290526"/>
    <w:rsid w:val="00290F09"/>
    <w:rsid w:val="00290F68"/>
    <w:rsid w:val="002912E5"/>
    <w:rsid w:val="002924B8"/>
    <w:rsid w:val="00292557"/>
    <w:rsid w:val="00292A55"/>
    <w:rsid w:val="00292B3E"/>
    <w:rsid w:val="00292C03"/>
    <w:rsid w:val="002930FD"/>
    <w:rsid w:val="0029355F"/>
    <w:rsid w:val="002935BC"/>
    <w:rsid w:val="002936D2"/>
    <w:rsid w:val="00294165"/>
    <w:rsid w:val="002958CB"/>
    <w:rsid w:val="00295B1A"/>
    <w:rsid w:val="00295EEC"/>
    <w:rsid w:val="00296197"/>
    <w:rsid w:val="00296954"/>
    <w:rsid w:val="00296DC1"/>
    <w:rsid w:val="002970B8"/>
    <w:rsid w:val="002974A8"/>
    <w:rsid w:val="00297788"/>
    <w:rsid w:val="00297801"/>
    <w:rsid w:val="002A0588"/>
    <w:rsid w:val="002A07F1"/>
    <w:rsid w:val="002A0863"/>
    <w:rsid w:val="002A0AC4"/>
    <w:rsid w:val="002A0D28"/>
    <w:rsid w:val="002A1B05"/>
    <w:rsid w:val="002A261D"/>
    <w:rsid w:val="002A30ED"/>
    <w:rsid w:val="002A3268"/>
    <w:rsid w:val="002A395D"/>
    <w:rsid w:val="002A3A1C"/>
    <w:rsid w:val="002A3F94"/>
    <w:rsid w:val="002A4757"/>
    <w:rsid w:val="002A4B5D"/>
    <w:rsid w:val="002A4C24"/>
    <w:rsid w:val="002A4DBD"/>
    <w:rsid w:val="002A50B2"/>
    <w:rsid w:val="002A50E8"/>
    <w:rsid w:val="002A52A1"/>
    <w:rsid w:val="002A5436"/>
    <w:rsid w:val="002A556C"/>
    <w:rsid w:val="002A560A"/>
    <w:rsid w:val="002A564C"/>
    <w:rsid w:val="002A664C"/>
    <w:rsid w:val="002A699C"/>
    <w:rsid w:val="002A6E6E"/>
    <w:rsid w:val="002A76EB"/>
    <w:rsid w:val="002A77AA"/>
    <w:rsid w:val="002A78E1"/>
    <w:rsid w:val="002A79F0"/>
    <w:rsid w:val="002A7ED9"/>
    <w:rsid w:val="002A7F66"/>
    <w:rsid w:val="002B0146"/>
    <w:rsid w:val="002B0435"/>
    <w:rsid w:val="002B045F"/>
    <w:rsid w:val="002B060E"/>
    <w:rsid w:val="002B08C1"/>
    <w:rsid w:val="002B0912"/>
    <w:rsid w:val="002B0A0C"/>
    <w:rsid w:val="002B0C74"/>
    <w:rsid w:val="002B11C8"/>
    <w:rsid w:val="002B167C"/>
    <w:rsid w:val="002B17E1"/>
    <w:rsid w:val="002B1C70"/>
    <w:rsid w:val="002B2602"/>
    <w:rsid w:val="002B2AEC"/>
    <w:rsid w:val="002B3442"/>
    <w:rsid w:val="002B3609"/>
    <w:rsid w:val="002B3B29"/>
    <w:rsid w:val="002B3F4D"/>
    <w:rsid w:val="002B40E0"/>
    <w:rsid w:val="002B4243"/>
    <w:rsid w:val="002B4667"/>
    <w:rsid w:val="002B4D0E"/>
    <w:rsid w:val="002B4E3E"/>
    <w:rsid w:val="002B5217"/>
    <w:rsid w:val="002B5551"/>
    <w:rsid w:val="002B607E"/>
    <w:rsid w:val="002B631D"/>
    <w:rsid w:val="002B6A2B"/>
    <w:rsid w:val="002B6A93"/>
    <w:rsid w:val="002B7119"/>
    <w:rsid w:val="002B7424"/>
    <w:rsid w:val="002B76C1"/>
    <w:rsid w:val="002B7CAA"/>
    <w:rsid w:val="002C03E1"/>
    <w:rsid w:val="002C0854"/>
    <w:rsid w:val="002C0A0F"/>
    <w:rsid w:val="002C0A1A"/>
    <w:rsid w:val="002C1079"/>
    <w:rsid w:val="002C107D"/>
    <w:rsid w:val="002C10D3"/>
    <w:rsid w:val="002C10D5"/>
    <w:rsid w:val="002C1467"/>
    <w:rsid w:val="002C1D54"/>
    <w:rsid w:val="002C244F"/>
    <w:rsid w:val="002C27EA"/>
    <w:rsid w:val="002C29F3"/>
    <w:rsid w:val="002C2B68"/>
    <w:rsid w:val="002C34BC"/>
    <w:rsid w:val="002C3619"/>
    <w:rsid w:val="002C36E3"/>
    <w:rsid w:val="002C3AE9"/>
    <w:rsid w:val="002C3CB1"/>
    <w:rsid w:val="002C429D"/>
    <w:rsid w:val="002C43AB"/>
    <w:rsid w:val="002C4889"/>
    <w:rsid w:val="002C4F7F"/>
    <w:rsid w:val="002C57BC"/>
    <w:rsid w:val="002C5D37"/>
    <w:rsid w:val="002C6030"/>
    <w:rsid w:val="002C6259"/>
    <w:rsid w:val="002C6651"/>
    <w:rsid w:val="002C7010"/>
    <w:rsid w:val="002C7171"/>
    <w:rsid w:val="002C7333"/>
    <w:rsid w:val="002C7F1C"/>
    <w:rsid w:val="002C7F1D"/>
    <w:rsid w:val="002D0384"/>
    <w:rsid w:val="002D071F"/>
    <w:rsid w:val="002D07B3"/>
    <w:rsid w:val="002D089A"/>
    <w:rsid w:val="002D0CC5"/>
    <w:rsid w:val="002D0DF7"/>
    <w:rsid w:val="002D0E77"/>
    <w:rsid w:val="002D0FE5"/>
    <w:rsid w:val="002D11BE"/>
    <w:rsid w:val="002D11D3"/>
    <w:rsid w:val="002D13B9"/>
    <w:rsid w:val="002D1467"/>
    <w:rsid w:val="002D175B"/>
    <w:rsid w:val="002D1E16"/>
    <w:rsid w:val="002D1EA8"/>
    <w:rsid w:val="002D21EA"/>
    <w:rsid w:val="002D261E"/>
    <w:rsid w:val="002D36D7"/>
    <w:rsid w:val="002D3C0C"/>
    <w:rsid w:val="002D3E75"/>
    <w:rsid w:val="002D4244"/>
    <w:rsid w:val="002D45CA"/>
    <w:rsid w:val="002D49B0"/>
    <w:rsid w:val="002D4BF0"/>
    <w:rsid w:val="002D5431"/>
    <w:rsid w:val="002D5784"/>
    <w:rsid w:val="002D5A1F"/>
    <w:rsid w:val="002D6481"/>
    <w:rsid w:val="002D6A42"/>
    <w:rsid w:val="002D6A82"/>
    <w:rsid w:val="002D744D"/>
    <w:rsid w:val="002D759F"/>
    <w:rsid w:val="002D7E9A"/>
    <w:rsid w:val="002E00A5"/>
    <w:rsid w:val="002E01E9"/>
    <w:rsid w:val="002E035C"/>
    <w:rsid w:val="002E04E6"/>
    <w:rsid w:val="002E1191"/>
    <w:rsid w:val="002E1608"/>
    <w:rsid w:val="002E1864"/>
    <w:rsid w:val="002E19F6"/>
    <w:rsid w:val="002E2229"/>
    <w:rsid w:val="002E3069"/>
    <w:rsid w:val="002E3477"/>
    <w:rsid w:val="002E34AE"/>
    <w:rsid w:val="002E40E7"/>
    <w:rsid w:val="002E58A3"/>
    <w:rsid w:val="002E5924"/>
    <w:rsid w:val="002E5A8C"/>
    <w:rsid w:val="002E6534"/>
    <w:rsid w:val="002E6D7B"/>
    <w:rsid w:val="002E705A"/>
    <w:rsid w:val="002E742B"/>
    <w:rsid w:val="002E7500"/>
    <w:rsid w:val="002E78F6"/>
    <w:rsid w:val="002E7C6E"/>
    <w:rsid w:val="002E7E59"/>
    <w:rsid w:val="002F0261"/>
    <w:rsid w:val="002F146B"/>
    <w:rsid w:val="002F1A5F"/>
    <w:rsid w:val="002F2262"/>
    <w:rsid w:val="002F2290"/>
    <w:rsid w:val="002F237F"/>
    <w:rsid w:val="002F252A"/>
    <w:rsid w:val="002F2F7E"/>
    <w:rsid w:val="002F2FCE"/>
    <w:rsid w:val="002F2FDD"/>
    <w:rsid w:val="002F40F0"/>
    <w:rsid w:val="002F49E8"/>
    <w:rsid w:val="002F4D09"/>
    <w:rsid w:val="002F5734"/>
    <w:rsid w:val="002F5802"/>
    <w:rsid w:val="002F59F3"/>
    <w:rsid w:val="002F5B36"/>
    <w:rsid w:val="002F65E1"/>
    <w:rsid w:val="002F65E3"/>
    <w:rsid w:val="002F6623"/>
    <w:rsid w:val="002F66D5"/>
    <w:rsid w:val="002F70B4"/>
    <w:rsid w:val="002F720A"/>
    <w:rsid w:val="002F7542"/>
    <w:rsid w:val="002F7B45"/>
    <w:rsid w:val="002F7B90"/>
    <w:rsid w:val="00300638"/>
    <w:rsid w:val="003007BD"/>
    <w:rsid w:val="00300E4B"/>
    <w:rsid w:val="00300E6C"/>
    <w:rsid w:val="003010A0"/>
    <w:rsid w:val="003016B7"/>
    <w:rsid w:val="00301821"/>
    <w:rsid w:val="0030182B"/>
    <w:rsid w:val="00301B13"/>
    <w:rsid w:val="00301B25"/>
    <w:rsid w:val="00301B2E"/>
    <w:rsid w:val="00302CC3"/>
    <w:rsid w:val="00302CE2"/>
    <w:rsid w:val="00302D6D"/>
    <w:rsid w:val="00302DCE"/>
    <w:rsid w:val="00302E43"/>
    <w:rsid w:val="0030309A"/>
    <w:rsid w:val="00303866"/>
    <w:rsid w:val="00303A59"/>
    <w:rsid w:val="00303BE5"/>
    <w:rsid w:val="00303C3F"/>
    <w:rsid w:val="00304472"/>
    <w:rsid w:val="003045CA"/>
    <w:rsid w:val="003050EA"/>
    <w:rsid w:val="00305143"/>
    <w:rsid w:val="003059DC"/>
    <w:rsid w:val="00305C50"/>
    <w:rsid w:val="003062AB"/>
    <w:rsid w:val="00306334"/>
    <w:rsid w:val="00306357"/>
    <w:rsid w:val="003063AC"/>
    <w:rsid w:val="003067EE"/>
    <w:rsid w:val="00307B15"/>
    <w:rsid w:val="00307B21"/>
    <w:rsid w:val="0031007D"/>
    <w:rsid w:val="003107B3"/>
    <w:rsid w:val="00310D8B"/>
    <w:rsid w:val="00310DF3"/>
    <w:rsid w:val="00310FA6"/>
    <w:rsid w:val="003110CC"/>
    <w:rsid w:val="0031114D"/>
    <w:rsid w:val="00311176"/>
    <w:rsid w:val="003112FC"/>
    <w:rsid w:val="00311450"/>
    <w:rsid w:val="003117B0"/>
    <w:rsid w:val="00311B2E"/>
    <w:rsid w:val="003122E5"/>
    <w:rsid w:val="00312EA4"/>
    <w:rsid w:val="00312F6B"/>
    <w:rsid w:val="00313202"/>
    <w:rsid w:val="003135FF"/>
    <w:rsid w:val="003136B7"/>
    <w:rsid w:val="00313AA7"/>
    <w:rsid w:val="00313B0D"/>
    <w:rsid w:val="00313EB8"/>
    <w:rsid w:val="0031414C"/>
    <w:rsid w:val="003141A3"/>
    <w:rsid w:val="0031420A"/>
    <w:rsid w:val="00314B1B"/>
    <w:rsid w:val="00314F67"/>
    <w:rsid w:val="00315202"/>
    <w:rsid w:val="003164D6"/>
    <w:rsid w:val="00316809"/>
    <w:rsid w:val="00316B63"/>
    <w:rsid w:val="00316C14"/>
    <w:rsid w:val="00317280"/>
    <w:rsid w:val="0031772F"/>
    <w:rsid w:val="003177BD"/>
    <w:rsid w:val="00317C97"/>
    <w:rsid w:val="00317ED9"/>
    <w:rsid w:val="0032009C"/>
    <w:rsid w:val="00320102"/>
    <w:rsid w:val="003207FB"/>
    <w:rsid w:val="00320FC4"/>
    <w:rsid w:val="003213B3"/>
    <w:rsid w:val="00321942"/>
    <w:rsid w:val="00321CC2"/>
    <w:rsid w:val="00322818"/>
    <w:rsid w:val="00322CAF"/>
    <w:rsid w:val="00322F1A"/>
    <w:rsid w:val="00323287"/>
    <w:rsid w:val="00323456"/>
    <w:rsid w:val="003238BA"/>
    <w:rsid w:val="003238F3"/>
    <w:rsid w:val="00323CE1"/>
    <w:rsid w:val="00323F06"/>
    <w:rsid w:val="0032403D"/>
    <w:rsid w:val="00324176"/>
    <w:rsid w:val="0032434B"/>
    <w:rsid w:val="00324541"/>
    <w:rsid w:val="003249A3"/>
    <w:rsid w:val="00324A74"/>
    <w:rsid w:val="00324A9E"/>
    <w:rsid w:val="00324B76"/>
    <w:rsid w:val="00324F3B"/>
    <w:rsid w:val="00325697"/>
    <w:rsid w:val="003259F4"/>
    <w:rsid w:val="00325D39"/>
    <w:rsid w:val="003261C0"/>
    <w:rsid w:val="00326985"/>
    <w:rsid w:val="00326A52"/>
    <w:rsid w:val="003277D1"/>
    <w:rsid w:val="0033041E"/>
    <w:rsid w:val="0033096C"/>
    <w:rsid w:val="00330FE4"/>
    <w:rsid w:val="0033186F"/>
    <w:rsid w:val="00331B27"/>
    <w:rsid w:val="00331D2F"/>
    <w:rsid w:val="00331FCB"/>
    <w:rsid w:val="00332257"/>
    <w:rsid w:val="00332305"/>
    <w:rsid w:val="003323C0"/>
    <w:rsid w:val="00332C98"/>
    <w:rsid w:val="00332E02"/>
    <w:rsid w:val="00332E18"/>
    <w:rsid w:val="00332EFA"/>
    <w:rsid w:val="0033322C"/>
    <w:rsid w:val="00333325"/>
    <w:rsid w:val="003338F5"/>
    <w:rsid w:val="00333A17"/>
    <w:rsid w:val="00333ACA"/>
    <w:rsid w:val="00334584"/>
    <w:rsid w:val="00334944"/>
    <w:rsid w:val="0033494B"/>
    <w:rsid w:val="00334BF9"/>
    <w:rsid w:val="00334EE0"/>
    <w:rsid w:val="00335004"/>
    <w:rsid w:val="00335064"/>
    <w:rsid w:val="00335112"/>
    <w:rsid w:val="00335252"/>
    <w:rsid w:val="003358DF"/>
    <w:rsid w:val="00335BB6"/>
    <w:rsid w:val="00335D18"/>
    <w:rsid w:val="00336231"/>
    <w:rsid w:val="0033664F"/>
    <w:rsid w:val="00336EC7"/>
    <w:rsid w:val="00337002"/>
    <w:rsid w:val="0033711D"/>
    <w:rsid w:val="0033721C"/>
    <w:rsid w:val="003375D8"/>
    <w:rsid w:val="00337918"/>
    <w:rsid w:val="0033798A"/>
    <w:rsid w:val="00337AB5"/>
    <w:rsid w:val="00337FBE"/>
    <w:rsid w:val="00340139"/>
    <w:rsid w:val="0034030B"/>
    <w:rsid w:val="00340693"/>
    <w:rsid w:val="003409D4"/>
    <w:rsid w:val="00340C73"/>
    <w:rsid w:val="00340DE9"/>
    <w:rsid w:val="00340E3A"/>
    <w:rsid w:val="003413B4"/>
    <w:rsid w:val="00341428"/>
    <w:rsid w:val="003416E4"/>
    <w:rsid w:val="00341703"/>
    <w:rsid w:val="0034174B"/>
    <w:rsid w:val="0034178F"/>
    <w:rsid w:val="00341899"/>
    <w:rsid w:val="0034214D"/>
    <w:rsid w:val="003421E6"/>
    <w:rsid w:val="003423EB"/>
    <w:rsid w:val="003424CE"/>
    <w:rsid w:val="00342A04"/>
    <w:rsid w:val="00342BF6"/>
    <w:rsid w:val="00343091"/>
    <w:rsid w:val="00343173"/>
    <w:rsid w:val="00343454"/>
    <w:rsid w:val="003437E3"/>
    <w:rsid w:val="00343803"/>
    <w:rsid w:val="0034396C"/>
    <w:rsid w:val="00343CD4"/>
    <w:rsid w:val="00344343"/>
    <w:rsid w:val="003445E7"/>
    <w:rsid w:val="00344A03"/>
    <w:rsid w:val="00344B56"/>
    <w:rsid w:val="00344D24"/>
    <w:rsid w:val="00344F7A"/>
    <w:rsid w:val="003450B9"/>
    <w:rsid w:val="00345119"/>
    <w:rsid w:val="00345138"/>
    <w:rsid w:val="003452A3"/>
    <w:rsid w:val="00345312"/>
    <w:rsid w:val="003456AB"/>
    <w:rsid w:val="00345BED"/>
    <w:rsid w:val="0034604E"/>
    <w:rsid w:val="00346076"/>
    <w:rsid w:val="00346291"/>
    <w:rsid w:val="00346A35"/>
    <w:rsid w:val="00346BF2"/>
    <w:rsid w:val="00346CF7"/>
    <w:rsid w:val="00346E5C"/>
    <w:rsid w:val="00346EF5"/>
    <w:rsid w:val="0034716B"/>
    <w:rsid w:val="00347530"/>
    <w:rsid w:val="00347566"/>
    <w:rsid w:val="003477EF"/>
    <w:rsid w:val="003479F5"/>
    <w:rsid w:val="003500F5"/>
    <w:rsid w:val="00350205"/>
    <w:rsid w:val="0035047B"/>
    <w:rsid w:val="00350DE9"/>
    <w:rsid w:val="00351388"/>
    <w:rsid w:val="003521EB"/>
    <w:rsid w:val="00352348"/>
    <w:rsid w:val="00352426"/>
    <w:rsid w:val="00352652"/>
    <w:rsid w:val="00352AE6"/>
    <w:rsid w:val="0035307D"/>
    <w:rsid w:val="0035321C"/>
    <w:rsid w:val="003535A0"/>
    <w:rsid w:val="00353626"/>
    <w:rsid w:val="0035373E"/>
    <w:rsid w:val="00353F27"/>
    <w:rsid w:val="00354361"/>
    <w:rsid w:val="00354392"/>
    <w:rsid w:val="00354549"/>
    <w:rsid w:val="003545E8"/>
    <w:rsid w:val="00354AF4"/>
    <w:rsid w:val="00354F45"/>
    <w:rsid w:val="00355CBF"/>
    <w:rsid w:val="0035606A"/>
    <w:rsid w:val="00356599"/>
    <w:rsid w:val="003566CB"/>
    <w:rsid w:val="00356AEB"/>
    <w:rsid w:val="00356E88"/>
    <w:rsid w:val="003570C5"/>
    <w:rsid w:val="003576F8"/>
    <w:rsid w:val="0035778D"/>
    <w:rsid w:val="00357814"/>
    <w:rsid w:val="003579CF"/>
    <w:rsid w:val="00357AEA"/>
    <w:rsid w:val="00360246"/>
    <w:rsid w:val="003602E7"/>
    <w:rsid w:val="003608D0"/>
    <w:rsid w:val="00360D3C"/>
    <w:rsid w:val="00360E7D"/>
    <w:rsid w:val="00361667"/>
    <w:rsid w:val="00361CF9"/>
    <w:rsid w:val="00361EE9"/>
    <w:rsid w:val="00362064"/>
    <w:rsid w:val="00362168"/>
    <w:rsid w:val="003622B3"/>
    <w:rsid w:val="00362519"/>
    <w:rsid w:val="00362684"/>
    <w:rsid w:val="00363545"/>
    <w:rsid w:val="003636DD"/>
    <w:rsid w:val="00363994"/>
    <w:rsid w:val="003639AF"/>
    <w:rsid w:val="00363E5B"/>
    <w:rsid w:val="00364175"/>
    <w:rsid w:val="0036472E"/>
    <w:rsid w:val="003651EF"/>
    <w:rsid w:val="0036534B"/>
    <w:rsid w:val="0036548A"/>
    <w:rsid w:val="00365B7F"/>
    <w:rsid w:val="00365E37"/>
    <w:rsid w:val="00365EB6"/>
    <w:rsid w:val="00365F05"/>
    <w:rsid w:val="0036605B"/>
    <w:rsid w:val="00366158"/>
    <w:rsid w:val="00366521"/>
    <w:rsid w:val="003665E7"/>
    <w:rsid w:val="00366721"/>
    <w:rsid w:val="00366B33"/>
    <w:rsid w:val="00366B99"/>
    <w:rsid w:val="003675F1"/>
    <w:rsid w:val="00367C9A"/>
    <w:rsid w:val="00367D8B"/>
    <w:rsid w:val="00367F66"/>
    <w:rsid w:val="00370103"/>
    <w:rsid w:val="00370253"/>
    <w:rsid w:val="00370414"/>
    <w:rsid w:val="0037098F"/>
    <w:rsid w:val="00370A46"/>
    <w:rsid w:val="00370A51"/>
    <w:rsid w:val="00370DD1"/>
    <w:rsid w:val="00370F85"/>
    <w:rsid w:val="003716F7"/>
    <w:rsid w:val="00371922"/>
    <w:rsid w:val="00371EBD"/>
    <w:rsid w:val="0037208F"/>
    <w:rsid w:val="00372174"/>
    <w:rsid w:val="00372A82"/>
    <w:rsid w:val="0037304F"/>
    <w:rsid w:val="003732E6"/>
    <w:rsid w:val="0037361B"/>
    <w:rsid w:val="00373A2C"/>
    <w:rsid w:val="00373E20"/>
    <w:rsid w:val="00373F11"/>
    <w:rsid w:val="00374004"/>
    <w:rsid w:val="003741CD"/>
    <w:rsid w:val="003743BC"/>
    <w:rsid w:val="00374A3E"/>
    <w:rsid w:val="00374A77"/>
    <w:rsid w:val="00374AC5"/>
    <w:rsid w:val="00374B34"/>
    <w:rsid w:val="00374BA0"/>
    <w:rsid w:val="00374E38"/>
    <w:rsid w:val="0037500F"/>
    <w:rsid w:val="00375177"/>
    <w:rsid w:val="0037531D"/>
    <w:rsid w:val="003753A7"/>
    <w:rsid w:val="00375463"/>
    <w:rsid w:val="00375600"/>
    <w:rsid w:val="00375922"/>
    <w:rsid w:val="00375CC9"/>
    <w:rsid w:val="00375F2B"/>
    <w:rsid w:val="0037627A"/>
    <w:rsid w:val="00376383"/>
    <w:rsid w:val="003767C6"/>
    <w:rsid w:val="00376815"/>
    <w:rsid w:val="003768D4"/>
    <w:rsid w:val="00377210"/>
    <w:rsid w:val="00377644"/>
    <w:rsid w:val="00377B38"/>
    <w:rsid w:val="00377D28"/>
    <w:rsid w:val="00377E11"/>
    <w:rsid w:val="00380331"/>
    <w:rsid w:val="0038085E"/>
    <w:rsid w:val="00380A07"/>
    <w:rsid w:val="00380A8D"/>
    <w:rsid w:val="00380AD3"/>
    <w:rsid w:val="003814BE"/>
    <w:rsid w:val="00381979"/>
    <w:rsid w:val="00381CD6"/>
    <w:rsid w:val="00381F27"/>
    <w:rsid w:val="00382411"/>
    <w:rsid w:val="00382D0D"/>
    <w:rsid w:val="0038305C"/>
    <w:rsid w:val="0038341C"/>
    <w:rsid w:val="00383593"/>
    <w:rsid w:val="003835D3"/>
    <w:rsid w:val="00383ABE"/>
    <w:rsid w:val="00383B44"/>
    <w:rsid w:val="00384275"/>
    <w:rsid w:val="003853DE"/>
    <w:rsid w:val="00385566"/>
    <w:rsid w:val="003857E2"/>
    <w:rsid w:val="00385865"/>
    <w:rsid w:val="00385964"/>
    <w:rsid w:val="00385A9E"/>
    <w:rsid w:val="003864ED"/>
    <w:rsid w:val="00386683"/>
    <w:rsid w:val="003869CC"/>
    <w:rsid w:val="00386FBB"/>
    <w:rsid w:val="003877FE"/>
    <w:rsid w:val="0038786B"/>
    <w:rsid w:val="0038797D"/>
    <w:rsid w:val="00387B83"/>
    <w:rsid w:val="00387FD0"/>
    <w:rsid w:val="0039029C"/>
    <w:rsid w:val="00390E3F"/>
    <w:rsid w:val="003911F9"/>
    <w:rsid w:val="003913CE"/>
    <w:rsid w:val="00391B2C"/>
    <w:rsid w:val="00391E5A"/>
    <w:rsid w:val="003925DC"/>
    <w:rsid w:val="00392926"/>
    <w:rsid w:val="00392D6F"/>
    <w:rsid w:val="00392E1C"/>
    <w:rsid w:val="00393015"/>
    <w:rsid w:val="00393022"/>
    <w:rsid w:val="00393188"/>
    <w:rsid w:val="003934AE"/>
    <w:rsid w:val="0039381B"/>
    <w:rsid w:val="003939F4"/>
    <w:rsid w:val="00393A94"/>
    <w:rsid w:val="00393F46"/>
    <w:rsid w:val="003943BE"/>
    <w:rsid w:val="0039461C"/>
    <w:rsid w:val="0039468E"/>
    <w:rsid w:val="003947DA"/>
    <w:rsid w:val="00394A9C"/>
    <w:rsid w:val="00394B5C"/>
    <w:rsid w:val="00394C46"/>
    <w:rsid w:val="00395871"/>
    <w:rsid w:val="00395ED7"/>
    <w:rsid w:val="0039648D"/>
    <w:rsid w:val="00396659"/>
    <w:rsid w:val="00396685"/>
    <w:rsid w:val="00396AF9"/>
    <w:rsid w:val="00396C1F"/>
    <w:rsid w:val="00396C6D"/>
    <w:rsid w:val="003978ED"/>
    <w:rsid w:val="00397D01"/>
    <w:rsid w:val="00397F53"/>
    <w:rsid w:val="003A0219"/>
    <w:rsid w:val="003A0337"/>
    <w:rsid w:val="003A05CB"/>
    <w:rsid w:val="003A0620"/>
    <w:rsid w:val="003A092B"/>
    <w:rsid w:val="003A0B92"/>
    <w:rsid w:val="003A0CEF"/>
    <w:rsid w:val="003A0EF3"/>
    <w:rsid w:val="003A1171"/>
    <w:rsid w:val="003A149E"/>
    <w:rsid w:val="003A1B1A"/>
    <w:rsid w:val="003A1C9D"/>
    <w:rsid w:val="003A22B5"/>
    <w:rsid w:val="003A2361"/>
    <w:rsid w:val="003A26B8"/>
    <w:rsid w:val="003A29AA"/>
    <w:rsid w:val="003A2B78"/>
    <w:rsid w:val="003A34B1"/>
    <w:rsid w:val="003A34E3"/>
    <w:rsid w:val="003A3BDB"/>
    <w:rsid w:val="003A3D8C"/>
    <w:rsid w:val="003A40A8"/>
    <w:rsid w:val="003A4300"/>
    <w:rsid w:val="003A471D"/>
    <w:rsid w:val="003A48EF"/>
    <w:rsid w:val="003A4A00"/>
    <w:rsid w:val="003A5300"/>
    <w:rsid w:val="003A5490"/>
    <w:rsid w:val="003A56CE"/>
    <w:rsid w:val="003A5871"/>
    <w:rsid w:val="003A5C80"/>
    <w:rsid w:val="003A5EF2"/>
    <w:rsid w:val="003A6AB8"/>
    <w:rsid w:val="003A6EC5"/>
    <w:rsid w:val="003A7A4C"/>
    <w:rsid w:val="003A7E27"/>
    <w:rsid w:val="003B0030"/>
    <w:rsid w:val="003B02E0"/>
    <w:rsid w:val="003B04C8"/>
    <w:rsid w:val="003B0699"/>
    <w:rsid w:val="003B06A1"/>
    <w:rsid w:val="003B08CA"/>
    <w:rsid w:val="003B11CD"/>
    <w:rsid w:val="003B162C"/>
    <w:rsid w:val="003B182D"/>
    <w:rsid w:val="003B1876"/>
    <w:rsid w:val="003B280E"/>
    <w:rsid w:val="003B2B04"/>
    <w:rsid w:val="003B3E48"/>
    <w:rsid w:val="003B47AB"/>
    <w:rsid w:val="003B4872"/>
    <w:rsid w:val="003B4D5F"/>
    <w:rsid w:val="003B5BF1"/>
    <w:rsid w:val="003B66A1"/>
    <w:rsid w:val="003B66D0"/>
    <w:rsid w:val="003B71FA"/>
    <w:rsid w:val="003B7626"/>
    <w:rsid w:val="003B76C1"/>
    <w:rsid w:val="003B7980"/>
    <w:rsid w:val="003B7A3F"/>
    <w:rsid w:val="003B7BDF"/>
    <w:rsid w:val="003B7C5B"/>
    <w:rsid w:val="003B7CA9"/>
    <w:rsid w:val="003C042D"/>
    <w:rsid w:val="003C07B6"/>
    <w:rsid w:val="003C07C6"/>
    <w:rsid w:val="003C093D"/>
    <w:rsid w:val="003C0AC7"/>
    <w:rsid w:val="003C1106"/>
    <w:rsid w:val="003C12B2"/>
    <w:rsid w:val="003C1BD2"/>
    <w:rsid w:val="003C1F88"/>
    <w:rsid w:val="003C279B"/>
    <w:rsid w:val="003C291E"/>
    <w:rsid w:val="003C2B6E"/>
    <w:rsid w:val="003C2C8E"/>
    <w:rsid w:val="003C2FED"/>
    <w:rsid w:val="003C3059"/>
    <w:rsid w:val="003C366E"/>
    <w:rsid w:val="003C369A"/>
    <w:rsid w:val="003C3A59"/>
    <w:rsid w:val="003C3DC6"/>
    <w:rsid w:val="003C3FBE"/>
    <w:rsid w:val="003C4123"/>
    <w:rsid w:val="003C43A5"/>
    <w:rsid w:val="003C4425"/>
    <w:rsid w:val="003C4664"/>
    <w:rsid w:val="003C4E09"/>
    <w:rsid w:val="003C510F"/>
    <w:rsid w:val="003C5182"/>
    <w:rsid w:val="003C5AAF"/>
    <w:rsid w:val="003C5C36"/>
    <w:rsid w:val="003C627E"/>
    <w:rsid w:val="003C686B"/>
    <w:rsid w:val="003C6C77"/>
    <w:rsid w:val="003C74AF"/>
    <w:rsid w:val="003C75AD"/>
    <w:rsid w:val="003C7C46"/>
    <w:rsid w:val="003D00F8"/>
    <w:rsid w:val="003D024B"/>
    <w:rsid w:val="003D0303"/>
    <w:rsid w:val="003D0359"/>
    <w:rsid w:val="003D0510"/>
    <w:rsid w:val="003D0772"/>
    <w:rsid w:val="003D1157"/>
    <w:rsid w:val="003D139F"/>
    <w:rsid w:val="003D1F91"/>
    <w:rsid w:val="003D1FEF"/>
    <w:rsid w:val="003D20D3"/>
    <w:rsid w:val="003D250C"/>
    <w:rsid w:val="003D2DF3"/>
    <w:rsid w:val="003D2E2C"/>
    <w:rsid w:val="003D374D"/>
    <w:rsid w:val="003D3ED5"/>
    <w:rsid w:val="003D4027"/>
    <w:rsid w:val="003D4F4C"/>
    <w:rsid w:val="003D59A8"/>
    <w:rsid w:val="003D5AA2"/>
    <w:rsid w:val="003D5B35"/>
    <w:rsid w:val="003D5C45"/>
    <w:rsid w:val="003D665B"/>
    <w:rsid w:val="003D67BC"/>
    <w:rsid w:val="003D6BE3"/>
    <w:rsid w:val="003D7133"/>
    <w:rsid w:val="003D71D6"/>
    <w:rsid w:val="003D7C96"/>
    <w:rsid w:val="003E01BF"/>
    <w:rsid w:val="003E0268"/>
    <w:rsid w:val="003E0504"/>
    <w:rsid w:val="003E0598"/>
    <w:rsid w:val="003E0873"/>
    <w:rsid w:val="003E095D"/>
    <w:rsid w:val="003E0DBA"/>
    <w:rsid w:val="003E0DE0"/>
    <w:rsid w:val="003E135F"/>
    <w:rsid w:val="003E13BB"/>
    <w:rsid w:val="003E141E"/>
    <w:rsid w:val="003E15CC"/>
    <w:rsid w:val="003E1B5C"/>
    <w:rsid w:val="003E1B7D"/>
    <w:rsid w:val="003E2323"/>
    <w:rsid w:val="003E2505"/>
    <w:rsid w:val="003E2AE0"/>
    <w:rsid w:val="003E2CC1"/>
    <w:rsid w:val="003E395C"/>
    <w:rsid w:val="003E3A60"/>
    <w:rsid w:val="003E3C80"/>
    <w:rsid w:val="003E3DF4"/>
    <w:rsid w:val="003E41DF"/>
    <w:rsid w:val="003E421E"/>
    <w:rsid w:val="003E433B"/>
    <w:rsid w:val="003E4898"/>
    <w:rsid w:val="003E4A21"/>
    <w:rsid w:val="003E4B52"/>
    <w:rsid w:val="003E4EA9"/>
    <w:rsid w:val="003E55A8"/>
    <w:rsid w:val="003E5773"/>
    <w:rsid w:val="003E59F0"/>
    <w:rsid w:val="003E5C8C"/>
    <w:rsid w:val="003E6300"/>
    <w:rsid w:val="003E63BC"/>
    <w:rsid w:val="003E6520"/>
    <w:rsid w:val="003E6A0B"/>
    <w:rsid w:val="003E70F7"/>
    <w:rsid w:val="003E7302"/>
    <w:rsid w:val="003E75FD"/>
    <w:rsid w:val="003E7696"/>
    <w:rsid w:val="003E7CBE"/>
    <w:rsid w:val="003E7F4A"/>
    <w:rsid w:val="003F03D6"/>
    <w:rsid w:val="003F0D5C"/>
    <w:rsid w:val="003F0E41"/>
    <w:rsid w:val="003F107C"/>
    <w:rsid w:val="003F17EA"/>
    <w:rsid w:val="003F1C35"/>
    <w:rsid w:val="003F1CE6"/>
    <w:rsid w:val="003F1FEE"/>
    <w:rsid w:val="003F21EA"/>
    <w:rsid w:val="003F2A6C"/>
    <w:rsid w:val="003F2C27"/>
    <w:rsid w:val="003F3048"/>
    <w:rsid w:val="003F31B1"/>
    <w:rsid w:val="003F32EF"/>
    <w:rsid w:val="003F378B"/>
    <w:rsid w:val="003F39D5"/>
    <w:rsid w:val="003F3CAB"/>
    <w:rsid w:val="003F3DA5"/>
    <w:rsid w:val="003F3EF8"/>
    <w:rsid w:val="003F4B45"/>
    <w:rsid w:val="003F4CCF"/>
    <w:rsid w:val="003F50B7"/>
    <w:rsid w:val="003F513A"/>
    <w:rsid w:val="003F530F"/>
    <w:rsid w:val="003F5B63"/>
    <w:rsid w:val="003F6525"/>
    <w:rsid w:val="003F66B8"/>
    <w:rsid w:val="003F6770"/>
    <w:rsid w:val="003F6B4E"/>
    <w:rsid w:val="003F6B64"/>
    <w:rsid w:val="003F7C39"/>
    <w:rsid w:val="003F7E33"/>
    <w:rsid w:val="003F7E95"/>
    <w:rsid w:val="003F7F67"/>
    <w:rsid w:val="003F7F99"/>
    <w:rsid w:val="004007DE"/>
    <w:rsid w:val="00400D30"/>
    <w:rsid w:val="00400ECD"/>
    <w:rsid w:val="00401252"/>
    <w:rsid w:val="0040146A"/>
    <w:rsid w:val="00401D6A"/>
    <w:rsid w:val="00401F56"/>
    <w:rsid w:val="00402665"/>
    <w:rsid w:val="0040447F"/>
    <w:rsid w:val="00404C23"/>
    <w:rsid w:val="00404EC5"/>
    <w:rsid w:val="00405245"/>
    <w:rsid w:val="00405B8F"/>
    <w:rsid w:val="00405F17"/>
    <w:rsid w:val="00405FC2"/>
    <w:rsid w:val="00406094"/>
    <w:rsid w:val="00406631"/>
    <w:rsid w:val="0040667B"/>
    <w:rsid w:val="0041010C"/>
    <w:rsid w:val="004101B0"/>
    <w:rsid w:val="00410B12"/>
    <w:rsid w:val="00410C1E"/>
    <w:rsid w:val="00410D36"/>
    <w:rsid w:val="0041132A"/>
    <w:rsid w:val="0041149E"/>
    <w:rsid w:val="00411560"/>
    <w:rsid w:val="0041186B"/>
    <w:rsid w:val="004122B7"/>
    <w:rsid w:val="00412431"/>
    <w:rsid w:val="004127FE"/>
    <w:rsid w:val="0041284F"/>
    <w:rsid w:val="00412B18"/>
    <w:rsid w:val="00412C01"/>
    <w:rsid w:val="00412F8E"/>
    <w:rsid w:val="00413C80"/>
    <w:rsid w:val="00414092"/>
    <w:rsid w:val="004143F1"/>
    <w:rsid w:val="0041474D"/>
    <w:rsid w:val="0041508F"/>
    <w:rsid w:val="00415650"/>
    <w:rsid w:val="004156A8"/>
    <w:rsid w:val="00415AA0"/>
    <w:rsid w:val="00415D20"/>
    <w:rsid w:val="00415DC6"/>
    <w:rsid w:val="004168E6"/>
    <w:rsid w:val="00416A93"/>
    <w:rsid w:val="00416B47"/>
    <w:rsid w:val="004172E1"/>
    <w:rsid w:val="004179CA"/>
    <w:rsid w:val="00417A20"/>
    <w:rsid w:val="00417A9D"/>
    <w:rsid w:val="00417B49"/>
    <w:rsid w:val="00417FC0"/>
    <w:rsid w:val="00420113"/>
    <w:rsid w:val="004207F8"/>
    <w:rsid w:val="004208EA"/>
    <w:rsid w:val="00420A8E"/>
    <w:rsid w:val="00420DD3"/>
    <w:rsid w:val="00420F9B"/>
    <w:rsid w:val="00421443"/>
    <w:rsid w:val="00421617"/>
    <w:rsid w:val="004217A0"/>
    <w:rsid w:val="004217A6"/>
    <w:rsid w:val="00421D61"/>
    <w:rsid w:val="0042231C"/>
    <w:rsid w:val="00422443"/>
    <w:rsid w:val="00422493"/>
    <w:rsid w:val="00422B5E"/>
    <w:rsid w:val="00423048"/>
    <w:rsid w:val="00424168"/>
    <w:rsid w:val="0042459F"/>
    <w:rsid w:val="00424834"/>
    <w:rsid w:val="004248BE"/>
    <w:rsid w:val="0042497C"/>
    <w:rsid w:val="004249B2"/>
    <w:rsid w:val="00425608"/>
    <w:rsid w:val="00425967"/>
    <w:rsid w:val="00425C26"/>
    <w:rsid w:val="00425CE8"/>
    <w:rsid w:val="004264B7"/>
    <w:rsid w:val="00426E83"/>
    <w:rsid w:val="00426EBD"/>
    <w:rsid w:val="004273DF"/>
    <w:rsid w:val="00427BDA"/>
    <w:rsid w:val="00430406"/>
    <w:rsid w:val="0043041D"/>
    <w:rsid w:val="00430786"/>
    <w:rsid w:val="00430D05"/>
    <w:rsid w:val="0043155E"/>
    <w:rsid w:val="0043156E"/>
    <w:rsid w:val="004316D7"/>
    <w:rsid w:val="00432BDD"/>
    <w:rsid w:val="00432C4B"/>
    <w:rsid w:val="0043305F"/>
    <w:rsid w:val="004331B5"/>
    <w:rsid w:val="00433792"/>
    <w:rsid w:val="00433D8D"/>
    <w:rsid w:val="004344AF"/>
    <w:rsid w:val="0043461F"/>
    <w:rsid w:val="004346B3"/>
    <w:rsid w:val="004346D8"/>
    <w:rsid w:val="004348F3"/>
    <w:rsid w:val="00434A4B"/>
    <w:rsid w:val="00434D55"/>
    <w:rsid w:val="0043572B"/>
    <w:rsid w:val="00435737"/>
    <w:rsid w:val="00435810"/>
    <w:rsid w:val="0043586B"/>
    <w:rsid w:val="00435A46"/>
    <w:rsid w:val="00435CD7"/>
    <w:rsid w:val="00435DFE"/>
    <w:rsid w:val="00436313"/>
    <w:rsid w:val="0043637D"/>
    <w:rsid w:val="00436610"/>
    <w:rsid w:val="004366D5"/>
    <w:rsid w:val="00436729"/>
    <w:rsid w:val="004371C3"/>
    <w:rsid w:val="00437E9B"/>
    <w:rsid w:val="004402C6"/>
    <w:rsid w:val="00440522"/>
    <w:rsid w:val="00440772"/>
    <w:rsid w:val="00440A26"/>
    <w:rsid w:val="00440BBD"/>
    <w:rsid w:val="00440EFD"/>
    <w:rsid w:val="00440FEC"/>
    <w:rsid w:val="0044104F"/>
    <w:rsid w:val="0044110E"/>
    <w:rsid w:val="00441224"/>
    <w:rsid w:val="0044160E"/>
    <w:rsid w:val="0044165F"/>
    <w:rsid w:val="00441927"/>
    <w:rsid w:val="00441CE2"/>
    <w:rsid w:val="004420AA"/>
    <w:rsid w:val="004422F3"/>
    <w:rsid w:val="004425D8"/>
    <w:rsid w:val="00442756"/>
    <w:rsid w:val="00442889"/>
    <w:rsid w:val="00442D6A"/>
    <w:rsid w:val="00442EB0"/>
    <w:rsid w:val="0044312A"/>
    <w:rsid w:val="0044324F"/>
    <w:rsid w:val="00443A67"/>
    <w:rsid w:val="0044502A"/>
    <w:rsid w:val="00445290"/>
    <w:rsid w:val="0044598D"/>
    <w:rsid w:val="00445E15"/>
    <w:rsid w:val="004461F7"/>
    <w:rsid w:val="0044690F"/>
    <w:rsid w:val="00446971"/>
    <w:rsid w:val="00446C25"/>
    <w:rsid w:val="00446E1B"/>
    <w:rsid w:val="00446E92"/>
    <w:rsid w:val="004472CA"/>
    <w:rsid w:val="0044765E"/>
    <w:rsid w:val="0044792D"/>
    <w:rsid w:val="00447934"/>
    <w:rsid w:val="0045000A"/>
    <w:rsid w:val="00450AF9"/>
    <w:rsid w:val="00450C4A"/>
    <w:rsid w:val="00450E2F"/>
    <w:rsid w:val="00450FFF"/>
    <w:rsid w:val="00451350"/>
    <w:rsid w:val="004522CE"/>
    <w:rsid w:val="004523C4"/>
    <w:rsid w:val="00452626"/>
    <w:rsid w:val="0045271B"/>
    <w:rsid w:val="00452B61"/>
    <w:rsid w:val="00453267"/>
    <w:rsid w:val="00453574"/>
    <w:rsid w:val="0045368B"/>
    <w:rsid w:val="00453C96"/>
    <w:rsid w:val="00454013"/>
    <w:rsid w:val="00454095"/>
    <w:rsid w:val="0045434F"/>
    <w:rsid w:val="004543D5"/>
    <w:rsid w:val="0045444D"/>
    <w:rsid w:val="00454D4A"/>
    <w:rsid w:val="004550C9"/>
    <w:rsid w:val="004559A1"/>
    <w:rsid w:val="00455C80"/>
    <w:rsid w:val="00455D7D"/>
    <w:rsid w:val="00455E7F"/>
    <w:rsid w:val="0045603F"/>
    <w:rsid w:val="0045620D"/>
    <w:rsid w:val="004562EB"/>
    <w:rsid w:val="0045667B"/>
    <w:rsid w:val="0045698F"/>
    <w:rsid w:val="00457208"/>
    <w:rsid w:val="00457C81"/>
    <w:rsid w:val="00460064"/>
    <w:rsid w:val="004600FC"/>
    <w:rsid w:val="0046014C"/>
    <w:rsid w:val="0046035B"/>
    <w:rsid w:val="0046041C"/>
    <w:rsid w:val="004605FF"/>
    <w:rsid w:val="004606D9"/>
    <w:rsid w:val="004607C1"/>
    <w:rsid w:val="00460C53"/>
    <w:rsid w:val="00460C90"/>
    <w:rsid w:val="004610CE"/>
    <w:rsid w:val="0046118A"/>
    <w:rsid w:val="0046157C"/>
    <w:rsid w:val="00461699"/>
    <w:rsid w:val="00461E6D"/>
    <w:rsid w:val="004627D7"/>
    <w:rsid w:val="00462B8A"/>
    <w:rsid w:val="004633E7"/>
    <w:rsid w:val="0046371F"/>
    <w:rsid w:val="00463ECB"/>
    <w:rsid w:val="00463F7D"/>
    <w:rsid w:val="00464AD8"/>
    <w:rsid w:val="00465100"/>
    <w:rsid w:val="00465C2A"/>
    <w:rsid w:val="00465D72"/>
    <w:rsid w:val="004665BA"/>
    <w:rsid w:val="00466961"/>
    <w:rsid w:val="00466975"/>
    <w:rsid w:val="00466E1F"/>
    <w:rsid w:val="00466F43"/>
    <w:rsid w:val="004671B4"/>
    <w:rsid w:val="00467CA5"/>
    <w:rsid w:val="00470612"/>
    <w:rsid w:val="004707BA"/>
    <w:rsid w:val="00470978"/>
    <w:rsid w:val="00470A49"/>
    <w:rsid w:val="00470C49"/>
    <w:rsid w:val="00470D71"/>
    <w:rsid w:val="004715A9"/>
    <w:rsid w:val="0047164D"/>
    <w:rsid w:val="00471C8A"/>
    <w:rsid w:val="00471DD7"/>
    <w:rsid w:val="00471E95"/>
    <w:rsid w:val="004724E3"/>
    <w:rsid w:val="00472ECC"/>
    <w:rsid w:val="00473020"/>
    <w:rsid w:val="004738C0"/>
    <w:rsid w:val="00473E37"/>
    <w:rsid w:val="0047418B"/>
    <w:rsid w:val="00474383"/>
    <w:rsid w:val="004743DC"/>
    <w:rsid w:val="00474489"/>
    <w:rsid w:val="004750BF"/>
    <w:rsid w:val="004757B2"/>
    <w:rsid w:val="0047587D"/>
    <w:rsid w:val="00475BC8"/>
    <w:rsid w:val="004764F7"/>
    <w:rsid w:val="004769C8"/>
    <w:rsid w:val="00476C3B"/>
    <w:rsid w:val="00477350"/>
    <w:rsid w:val="00477A05"/>
    <w:rsid w:val="00477C06"/>
    <w:rsid w:val="00477C27"/>
    <w:rsid w:val="00480705"/>
    <w:rsid w:val="004809A2"/>
    <w:rsid w:val="00480B91"/>
    <w:rsid w:val="00480BAD"/>
    <w:rsid w:val="00481181"/>
    <w:rsid w:val="004814E0"/>
    <w:rsid w:val="00481648"/>
    <w:rsid w:val="0048167D"/>
    <w:rsid w:val="00481F45"/>
    <w:rsid w:val="004824E4"/>
    <w:rsid w:val="00482508"/>
    <w:rsid w:val="004827D9"/>
    <w:rsid w:val="00482F4D"/>
    <w:rsid w:val="00482F4E"/>
    <w:rsid w:val="00482FB9"/>
    <w:rsid w:val="0048335A"/>
    <w:rsid w:val="00483BA7"/>
    <w:rsid w:val="00483CCF"/>
    <w:rsid w:val="00483DD2"/>
    <w:rsid w:val="00484103"/>
    <w:rsid w:val="00484895"/>
    <w:rsid w:val="00484A18"/>
    <w:rsid w:val="00485B70"/>
    <w:rsid w:val="00485BB2"/>
    <w:rsid w:val="00485FB5"/>
    <w:rsid w:val="004864FC"/>
    <w:rsid w:val="00486ED0"/>
    <w:rsid w:val="00487AEE"/>
    <w:rsid w:val="00487E5E"/>
    <w:rsid w:val="00490415"/>
    <w:rsid w:val="004907F8"/>
    <w:rsid w:val="00490865"/>
    <w:rsid w:val="00491750"/>
    <w:rsid w:val="00491F9C"/>
    <w:rsid w:val="0049234D"/>
    <w:rsid w:val="0049267F"/>
    <w:rsid w:val="00492695"/>
    <w:rsid w:val="0049279E"/>
    <w:rsid w:val="00492AFE"/>
    <w:rsid w:val="00492DE7"/>
    <w:rsid w:val="004931C5"/>
    <w:rsid w:val="0049346E"/>
    <w:rsid w:val="00493481"/>
    <w:rsid w:val="0049355E"/>
    <w:rsid w:val="004938B9"/>
    <w:rsid w:val="00494053"/>
    <w:rsid w:val="004954AA"/>
    <w:rsid w:val="00495518"/>
    <w:rsid w:val="004957CA"/>
    <w:rsid w:val="00496194"/>
    <w:rsid w:val="0049624A"/>
    <w:rsid w:val="00496961"/>
    <w:rsid w:val="00496A9C"/>
    <w:rsid w:val="00496FEE"/>
    <w:rsid w:val="004970A8"/>
    <w:rsid w:val="004970EC"/>
    <w:rsid w:val="0049766B"/>
    <w:rsid w:val="0049785C"/>
    <w:rsid w:val="004978D3"/>
    <w:rsid w:val="00497E40"/>
    <w:rsid w:val="004A0201"/>
    <w:rsid w:val="004A02BF"/>
    <w:rsid w:val="004A0405"/>
    <w:rsid w:val="004A06A9"/>
    <w:rsid w:val="004A06EF"/>
    <w:rsid w:val="004A0EB3"/>
    <w:rsid w:val="004A1282"/>
    <w:rsid w:val="004A12E6"/>
    <w:rsid w:val="004A1A2B"/>
    <w:rsid w:val="004A1D73"/>
    <w:rsid w:val="004A1DEC"/>
    <w:rsid w:val="004A1F71"/>
    <w:rsid w:val="004A1FD1"/>
    <w:rsid w:val="004A202B"/>
    <w:rsid w:val="004A2524"/>
    <w:rsid w:val="004A2DB7"/>
    <w:rsid w:val="004A3CD0"/>
    <w:rsid w:val="004A40C1"/>
    <w:rsid w:val="004A426A"/>
    <w:rsid w:val="004A467A"/>
    <w:rsid w:val="004A4A0A"/>
    <w:rsid w:val="004A591C"/>
    <w:rsid w:val="004A5FB1"/>
    <w:rsid w:val="004A6642"/>
    <w:rsid w:val="004A6E8F"/>
    <w:rsid w:val="004A6F1C"/>
    <w:rsid w:val="004A7145"/>
    <w:rsid w:val="004A7595"/>
    <w:rsid w:val="004A7779"/>
    <w:rsid w:val="004A7D70"/>
    <w:rsid w:val="004B002F"/>
    <w:rsid w:val="004B03E8"/>
    <w:rsid w:val="004B04CD"/>
    <w:rsid w:val="004B0825"/>
    <w:rsid w:val="004B1439"/>
    <w:rsid w:val="004B17D6"/>
    <w:rsid w:val="004B17E6"/>
    <w:rsid w:val="004B1AFE"/>
    <w:rsid w:val="004B2204"/>
    <w:rsid w:val="004B23FC"/>
    <w:rsid w:val="004B2C9B"/>
    <w:rsid w:val="004B2D96"/>
    <w:rsid w:val="004B2E65"/>
    <w:rsid w:val="004B32D9"/>
    <w:rsid w:val="004B35E3"/>
    <w:rsid w:val="004B35EB"/>
    <w:rsid w:val="004B394A"/>
    <w:rsid w:val="004B3A1B"/>
    <w:rsid w:val="004B3C1C"/>
    <w:rsid w:val="004B4072"/>
    <w:rsid w:val="004B4868"/>
    <w:rsid w:val="004B4968"/>
    <w:rsid w:val="004B4D97"/>
    <w:rsid w:val="004B4ECA"/>
    <w:rsid w:val="004B534A"/>
    <w:rsid w:val="004B53D1"/>
    <w:rsid w:val="004B60BE"/>
    <w:rsid w:val="004B64E0"/>
    <w:rsid w:val="004B67A0"/>
    <w:rsid w:val="004B69EF"/>
    <w:rsid w:val="004B6AD7"/>
    <w:rsid w:val="004B7060"/>
    <w:rsid w:val="004B70A1"/>
    <w:rsid w:val="004B71A9"/>
    <w:rsid w:val="004B74E6"/>
    <w:rsid w:val="004B766C"/>
    <w:rsid w:val="004B7789"/>
    <w:rsid w:val="004B7B53"/>
    <w:rsid w:val="004C002E"/>
    <w:rsid w:val="004C0126"/>
    <w:rsid w:val="004C03FA"/>
    <w:rsid w:val="004C0937"/>
    <w:rsid w:val="004C09E0"/>
    <w:rsid w:val="004C12DB"/>
    <w:rsid w:val="004C156F"/>
    <w:rsid w:val="004C15FB"/>
    <w:rsid w:val="004C1C0C"/>
    <w:rsid w:val="004C1EB9"/>
    <w:rsid w:val="004C1F83"/>
    <w:rsid w:val="004C202B"/>
    <w:rsid w:val="004C22B1"/>
    <w:rsid w:val="004C2435"/>
    <w:rsid w:val="004C2AA7"/>
    <w:rsid w:val="004C317B"/>
    <w:rsid w:val="004C31D6"/>
    <w:rsid w:val="004C35D3"/>
    <w:rsid w:val="004C379E"/>
    <w:rsid w:val="004C3C6B"/>
    <w:rsid w:val="004C3D5D"/>
    <w:rsid w:val="004C5635"/>
    <w:rsid w:val="004C5819"/>
    <w:rsid w:val="004C5A69"/>
    <w:rsid w:val="004C651B"/>
    <w:rsid w:val="004C6893"/>
    <w:rsid w:val="004C6C3D"/>
    <w:rsid w:val="004C7385"/>
    <w:rsid w:val="004C73F0"/>
    <w:rsid w:val="004C7BAE"/>
    <w:rsid w:val="004D0079"/>
    <w:rsid w:val="004D0084"/>
    <w:rsid w:val="004D0721"/>
    <w:rsid w:val="004D1277"/>
    <w:rsid w:val="004D134A"/>
    <w:rsid w:val="004D17AE"/>
    <w:rsid w:val="004D1B6E"/>
    <w:rsid w:val="004D1CBE"/>
    <w:rsid w:val="004D205D"/>
    <w:rsid w:val="004D2236"/>
    <w:rsid w:val="004D226B"/>
    <w:rsid w:val="004D230B"/>
    <w:rsid w:val="004D342B"/>
    <w:rsid w:val="004D3F8B"/>
    <w:rsid w:val="004D4339"/>
    <w:rsid w:val="004D4888"/>
    <w:rsid w:val="004D492D"/>
    <w:rsid w:val="004D49E2"/>
    <w:rsid w:val="004D4F24"/>
    <w:rsid w:val="004D5B3D"/>
    <w:rsid w:val="004D5CA8"/>
    <w:rsid w:val="004D5E36"/>
    <w:rsid w:val="004D6028"/>
    <w:rsid w:val="004D60B9"/>
    <w:rsid w:val="004D67B5"/>
    <w:rsid w:val="004D6851"/>
    <w:rsid w:val="004D6BB9"/>
    <w:rsid w:val="004D72A6"/>
    <w:rsid w:val="004D789B"/>
    <w:rsid w:val="004D7F26"/>
    <w:rsid w:val="004E01E3"/>
    <w:rsid w:val="004E0271"/>
    <w:rsid w:val="004E052A"/>
    <w:rsid w:val="004E0696"/>
    <w:rsid w:val="004E070A"/>
    <w:rsid w:val="004E093D"/>
    <w:rsid w:val="004E1286"/>
    <w:rsid w:val="004E1463"/>
    <w:rsid w:val="004E22EB"/>
    <w:rsid w:val="004E2381"/>
    <w:rsid w:val="004E267B"/>
    <w:rsid w:val="004E267E"/>
    <w:rsid w:val="004E2867"/>
    <w:rsid w:val="004E2953"/>
    <w:rsid w:val="004E491F"/>
    <w:rsid w:val="004E49CA"/>
    <w:rsid w:val="004E4B3A"/>
    <w:rsid w:val="004E4C80"/>
    <w:rsid w:val="004E4E26"/>
    <w:rsid w:val="004E5171"/>
    <w:rsid w:val="004E5893"/>
    <w:rsid w:val="004E59EC"/>
    <w:rsid w:val="004E5A25"/>
    <w:rsid w:val="004E5A40"/>
    <w:rsid w:val="004E6E60"/>
    <w:rsid w:val="004E72D1"/>
    <w:rsid w:val="004E7305"/>
    <w:rsid w:val="004E7608"/>
    <w:rsid w:val="004E7AB3"/>
    <w:rsid w:val="004E7BAE"/>
    <w:rsid w:val="004E7DB0"/>
    <w:rsid w:val="004F01F4"/>
    <w:rsid w:val="004F042A"/>
    <w:rsid w:val="004F06CA"/>
    <w:rsid w:val="004F120E"/>
    <w:rsid w:val="004F15D8"/>
    <w:rsid w:val="004F1AF7"/>
    <w:rsid w:val="004F1D6D"/>
    <w:rsid w:val="004F24E3"/>
    <w:rsid w:val="004F25CC"/>
    <w:rsid w:val="004F27A9"/>
    <w:rsid w:val="004F2C2F"/>
    <w:rsid w:val="004F2CFE"/>
    <w:rsid w:val="004F37EC"/>
    <w:rsid w:val="004F393E"/>
    <w:rsid w:val="004F3C91"/>
    <w:rsid w:val="004F3D14"/>
    <w:rsid w:val="004F3D19"/>
    <w:rsid w:val="004F3FFA"/>
    <w:rsid w:val="004F43F0"/>
    <w:rsid w:val="004F44CE"/>
    <w:rsid w:val="004F4C0F"/>
    <w:rsid w:val="004F4D2D"/>
    <w:rsid w:val="004F5254"/>
    <w:rsid w:val="004F53F5"/>
    <w:rsid w:val="004F53F8"/>
    <w:rsid w:val="004F5637"/>
    <w:rsid w:val="004F57BA"/>
    <w:rsid w:val="004F5DE8"/>
    <w:rsid w:val="004F6019"/>
    <w:rsid w:val="004F66C9"/>
    <w:rsid w:val="004F6959"/>
    <w:rsid w:val="004F6A6B"/>
    <w:rsid w:val="004F7091"/>
    <w:rsid w:val="004F7380"/>
    <w:rsid w:val="004F751A"/>
    <w:rsid w:val="004F7543"/>
    <w:rsid w:val="004F77A3"/>
    <w:rsid w:val="004F77A7"/>
    <w:rsid w:val="004F7882"/>
    <w:rsid w:val="004F7F1F"/>
    <w:rsid w:val="00500222"/>
    <w:rsid w:val="005006EE"/>
    <w:rsid w:val="005010DE"/>
    <w:rsid w:val="00501808"/>
    <w:rsid w:val="0050199A"/>
    <w:rsid w:val="00501D2A"/>
    <w:rsid w:val="00502001"/>
    <w:rsid w:val="0050240B"/>
    <w:rsid w:val="0050250E"/>
    <w:rsid w:val="00502701"/>
    <w:rsid w:val="005027BD"/>
    <w:rsid w:val="005028FF"/>
    <w:rsid w:val="00502A3E"/>
    <w:rsid w:val="00502F25"/>
    <w:rsid w:val="005030F9"/>
    <w:rsid w:val="00503632"/>
    <w:rsid w:val="00503881"/>
    <w:rsid w:val="00503C86"/>
    <w:rsid w:val="00503D52"/>
    <w:rsid w:val="00503E4C"/>
    <w:rsid w:val="0050407E"/>
    <w:rsid w:val="00504380"/>
    <w:rsid w:val="00504738"/>
    <w:rsid w:val="00504BB6"/>
    <w:rsid w:val="00505313"/>
    <w:rsid w:val="005053B2"/>
    <w:rsid w:val="00505550"/>
    <w:rsid w:val="00505CF5"/>
    <w:rsid w:val="00505E47"/>
    <w:rsid w:val="005061C3"/>
    <w:rsid w:val="00506533"/>
    <w:rsid w:val="00506597"/>
    <w:rsid w:val="0050694F"/>
    <w:rsid w:val="005069EF"/>
    <w:rsid w:val="00506E82"/>
    <w:rsid w:val="00507042"/>
    <w:rsid w:val="005070EA"/>
    <w:rsid w:val="005073E9"/>
    <w:rsid w:val="00507456"/>
    <w:rsid w:val="005074C2"/>
    <w:rsid w:val="0050794F"/>
    <w:rsid w:val="00507BCD"/>
    <w:rsid w:val="00507BF9"/>
    <w:rsid w:val="00507C1A"/>
    <w:rsid w:val="00507DD3"/>
    <w:rsid w:val="00507E52"/>
    <w:rsid w:val="00510137"/>
    <w:rsid w:val="00510682"/>
    <w:rsid w:val="005108F0"/>
    <w:rsid w:val="00510FBB"/>
    <w:rsid w:val="0051130B"/>
    <w:rsid w:val="005113BA"/>
    <w:rsid w:val="00513080"/>
    <w:rsid w:val="00513C28"/>
    <w:rsid w:val="00513D4B"/>
    <w:rsid w:val="00513FDA"/>
    <w:rsid w:val="005142AB"/>
    <w:rsid w:val="005145DC"/>
    <w:rsid w:val="00514628"/>
    <w:rsid w:val="00514993"/>
    <w:rsid w:val="00514AF5"/>
    <w:rsid w:val="00514D97"/>
    <w:rsid w:val="005150F7"/>
    <w:rsid w:val="00515B55"/>
    <w:rsid w:val="00516307"/>
    <w:rsid w:val="00516345"/>
    <w:rsid w:val="00516659"/>
    <w:rsid w:val="005170D5"/>
    <w:rsid w:val="00517852"/>
    <w:rsid w:val="005178A0"/>
    <w:rsid w:val="0051793E"/>
    <w:rsid w:val="00517B40"/>
    <w:rsid w:val="00517C4D"/>
    <w:rsid w:val="00517D32"/>
    <w:rsid w:val="00517E98"/>
    <w:rsid w:val="005201A7"/>
    <w:rsid w:val="00520AA0"/>
    <w:rsid w:val="00520E91"/>
    <w:rsid w:val="0052198A"/>
    <w:rsid w:val="0052229F"/>
    <w:rsid w:val="00522D1C"/>
    <w:rsid w:val="00522F18"/>
    <w:rsid w:val="00523C49"/>
    <w:rsid w:val="005242B4"/>
    <w:rsid w:val="0052439F"/>
    <w:rsid w:val="00524446"/>
    <w:rsid w:val="00524573"/>
    <w:rsid w:val="00524C64"/>
    <w:rsid w:val="00524FE1"/>
    <w:rsid w:val="0052519E"/>
    <w:rsid w:val="00525C02"/>
    <w:rsid w:val="005262F9"/>
    <w:rsid w:val="0052658D"/>
    <w:rsid w:val="00526757"/>
    <w:rsid w:val="0052692F"/>
    <w:rsid w:val="00526B86"/>
    <w:rsid w:val="00526E56"/>
    <w:rsid w:val="005273C3"/>
    <w:rsid w:val="005274F9"/>
    <w:rsid w:val="0052797D"/>
    <w:rsid w:val="005308EB"/>
    <w:rsid w:val="00530A2B"/>
    <w:rsid w:val="00530AF3"/>
    <w:rsid w:val="00531162"/>
    <w:rsid w:val="005312D0"/>
    <w:rsid w:val="00531687"/>
    <w:rsid w:val="00531AB7"/>
    <w:rsid w:val="00531EFA"/>
    <w:rsid w:val="00531F11"/>
    <w:rsid w:val="005323AF"/>
    <w:rsid w:val="005325AE"/>
    <w:rsid w:val="00532617"/>
    <w:rsid w:val="00532D55"/>
    <w:rsid w:val="00532FC7"/>
    <w:rsid w:val="0053309B"/>
    <w:rsid w:val="0053363C"/>
    <w:rsid w:val="0053363D"/>
    <w:rsid w:val="00533B41"/>
    <w:rsid w:val="00533C59"/>
    <w:rsid w:val="00533C88"/>
    <w:rsid w:val="00533D2A"/>
    <w:rsid w:val="00533D89"/>
    <w:rsid w:val="0053442C"/>
    <w:rsid w:val="005346B5"/>
    <w:rsid w:val="00534717"/>
    <w:rsid w:val="005354E7"/>
    <w:rsid w:val="00535548"/>
    <w:rsid w:val="0053595A"/>
    <w:rsid w:val="00535AA5"/>
    <w:rsid w:val="00535C6F"/>
    <w:rsid w:val="0053643A"/>
    <w:rsid w:val="0053647F"/>
    <w:rsid w:val="005364CA"/>
    <w:rsid w:val="00536BD3"/>
    <w:rsid w:val="00536C1C"/>
    <w:rsid w:val="00536E8F"/>
    <w:rsid w:val="00536F6F"/>
    <w:rsid w:val="00537ACD"/>
    <w:rsid w:val="00537C63"/>
    <w:rsid w:val="005400CF"/>
    <w:rsid w:val="005401B5"/>
    <w:rsid w:val="005402F2"/>
    <w:rsid w:val="00540539"/>
    <w:rsid w:val="0054082C"/>
    <w:rsid w:val="005408AE"/>
    <w:rsid w:val="005409AF"/>
    <w:rsid w:val="005409BB"/>
    <w:rsid w:val="005409F6"/>
    <w:rsid w:val="00541149"/>
    <w:rsid w:val="0054118B"/>
    <w:rsid w:val="0054153B"/>
    <w:rsid w:val="00541854"/>
    <w:rsid w:val="005419AA"/>
    <w:rsid w:val="005420D5"/>
    <w:rsid w:val="0054218D"/>
    <w:rsid w:val="0054230E"/>
    <w:rsid w:val="0054243E"/>
    <w:rsid w:val="00542BF4"/>
    <w:rsid w:val="00542CFB"/>
    <w:rsid w:val="005432CA"/>
    <w:rsid w:val="00543E7E"/>
    <w:rsid w:val="00544616"/>
    <w:rsid w:val="00544D5B"/>
    <w:rsid w:val="005453DD"/>
    <w:rsid w:val="0054552C"/>
    <w:rsid w:val="005459E2"/>
    <w:rsid w:val="005461C0"/>
    <w:rsid w:val="0054621D"/>
    <w:rsid w:val="00546425"/>
    <w:rsid w:val="00546626"/>
    <w:rsid w:val="00546762"/>
    <w:rsid w:val="00546928"/>
    <w:rsid w:val="00546FF0"/>
    <w:rsid w:val="005473E3"/>
    <w:rsid w:val="00547B58"/>
    <w:rsid w:val="00550887"/>
    <w:rsid w:val="0055090C"/>
    <w:rsid w:val="005517E3"/>
    <w:rsid w:val="00551D85"/>
    <w:rsid w:val="00551F62"/>
    <w:rsid w:val="005521AA"/>
    <w:rsid w:val="0055293E"/>
    <w:rsid w:val="00553113"/>
    <w:rsid w:val="0055335A"/>
    <w:rsid w:val="00553854"/>
    <w:rsid w:val="00553FB6"/>
    <w:rsid w:val="0055407C"/>
    <w:rsid w:val="005543B6"/>
    <w:rsid w:val="00554827"/>
    <w:rsid w:val="00554E43"/>
    <w:rsid w:val="00555405"/>
    <w:rsid w:val="00555F36"/>
    <w:rsid w:val="00556102"/>
    <w:rsid w:val="005561BF"/>
    <w:rsid w:val="005563BE"/>
    <w:rsid w:val="005563EC"/>
    <w:rsid w:val="0055652D"/>
    <w:rsid w:val="0055681B"/>
    <w:rsid w:val="0055685F"/>
    <w:rsid w:val="00557070"/>
    <w:rsid w:val="005570F2"/>
    <w:rsid w:val="0055718A"/>
    <w:rsid w:val="005571D2"/>
    <w:rsid w:val="00557482"/>
    <w:rsid w:val="005574F8"/>
    <w:rsid w:val="005579A5"/>
    <w:rsid w:val="00557AE5"/>
    <w:rsid w:val="00557C64"/>
    <w:rsid w:val="00557D86"/>
    <w:rsid w:val="00560053"/>
    <w:rsid w:val="00560382"/>
    <w:rsid w:val="0056051D"/>
    <w:rsid w:val="0056079F"/>
    <w:rsid w:val="005608F0"/>
    <w:rsid w:val="00560D8B"/>
    <w:rsid w:val="00560E0F"/>
    <w:rsid w:val="00560EF1"/>
    <w:rsid w:val="00560F23"/>
    <w:rsid w:val="005614ED"/>
    <w:rsid w:val="00561779"/>
    <w:rsid w:val="00562704"/>
    <w:rsid w:val="005627E6"/>
    <w:rsid w:val="005628CA"/>
    <w:rsid w:val="00562943"/>
    <w:rsid w:val="0056346A"/>
    <w:rsid w:val="005635CE"/>
    <w:rsid w:val="005638B8"/>
    <w:rsid w:val="00563C83"/>
    <w:rsid w:val="005641B1"/>
    <w:rsid w:val="005642D3"/>
    <w:rsid w:val="00564831"/>
    <w:rsid w:val="00565295"/>
    <w:rsid w:val="0056552F"/>
    <w:rsid w:val="00565BE1"/>
    <w:rsid w:val="005660B6"/>
    <w:rsid w:val="0056621A"/>
    <w:rsid w:val="00566456"/>
    <w:rsid w:val="00566482"/>
    <w:rsid w:val="005666C1"/>
    <w:rsid w:val="00566E52"/>
    <w:rsid w:val="00566EDF"/>
    <w:rsid w:val="005670C8"/>
    <w:rsid w:val="005670FE"/>
    <w:rsid w:val="0056763C"/>
    <w:rsid w:val="005677A2"/>
    <w:rsid w:val="00567B72"/>
    <w:rsid w:val="00567F01"/>
    <w:rsid w:val="005705B3"/>
    <w:rsid w:val="00570845"/>
    <w:rsid w:val="005709D6"/>
    <w:rsid w:val="00570BFF"/>
    <w:rsid w:val="00570C2A"/>
    <w:rsid w:val="00571135"/>
    <w:rsid w:val="0057128C"/>
    <w:rsid w:val="00571627"/>
    <w:rsid w:val="00572080"/>
    <w:rsid w:val="00572429"/>
    <w:rsid w:val="00572476"/>
    <w:rsid w:val="00572F41"/>
    <w:rsid w:val="0057300D"/>
    <w:rsid w:val="0057316F"/>
    <w:rsid w:val="0057336B"/>
    <w:rsid w:val="00573AAA"/>
    <w:rsid w:val="00573D0A"/>
    <w:rsid w:val="005740F1"/>
    <w:rsid w:val="0057428F"/>
    <w:rsid w:val="00574466"/>
    <w:rsid w:val="00574517"/>
    <w:rsid w:val="0057486B"/>
    <w:rsid w:val="00574C7E"/>
    <w:rsid w:val="00575376"/>
    <w:rsid w:val="00576152"/>
    <w:rsid w:val="00576452"/>
    <w:rsid w:val="0057652C"/>
    <w:rsid w:val="00576B49"/>
    <w:rsid w:val="00577049"/>
    <w:rsid w:val="00577AD6"/>
    <w:rsid w:val="00577C1A"/>
    <w:rsid w:val="00577EBE"/>
    <w:rsid w:val="00580739"/>
    <w:rsid w:val="00580FD1"/>
    <w:rsid w:val="00581050"/>
    <w:rsid w:val="00581330"/>
    <w:rsid w:val="005817F9"/>
    <w:rsid w:val="00582288"/>
    <w:rsid w:val="005828A1"/>
    <w:rsid w:val="00582F2D"/>
    <w:rsid w:val="005832B9"/>
    <w:rsid w:val="00583DF9"/>
    <w:rsid w:val="00583F1E"/>
    <w:rsid w:val="005841A3"/>
    <w:rsid w:val="005845C9"/>
    <w:rsid w:val="0058462C"/>
    <w:rsid w:val="00584A87"/>
    <w:rsid w:val="00584B36"/>
    <w:rsid w:val="005857E1"/>
    <w:rsid w:val="0058595E"/>
    <w:rsid w:val="00585BE4"/>
    <w:rsid w:val="00585FBB"/>
    <w:rsid w:val="0058684A"/>
    <w:rsid w:val="00586E1B"/>
    <w:rsid w:val="00586EC3"/>
    <w:rsid w:val="00587024"/>
    <w:rsid w:val="00587B3F"/>
    <w:rsid w:val="00587DFE"/>
    <w:rsid w:val="00587F53"/>
    <w:rsid w:val="005905F1"/>
    <w:rsid w:val="0059069B"/>
    <w:rsid w:val="00590B79"/>
    <w:rsid w:val="00590D5F"/>
    <w:rsid w:val="0059128D"/>
    <w:rsid w:val="00591A7F"/>
    <w:rsid w:val="00592BC3"/>
    <w:rsid w:val="00592E03"/>
    <w:rsid w:val="00593047"/>
    <w:rsid w:val="00593EEE"/>
    <w:rsid w:val="00594127"/>
    <w:rsid w:val="00594670"/>
    <w:rsid w:val="00594715"/>
    <w:rsid w:val="00594B65"/>
    <w:rsid w:val="00594E5E"/>
    <w:rsid w:val="005950DE"/>
    <w:rsid w:val="00595566"/>
    <w:rsid w:val="00595B19"/>
    <w:rsid w:val="00595B66"/>
    <w:rsid w:val="00595D5B"/>
    <w:rsid w:val="00595FA8"/>
    <w:rsid w:val="00596414"/>
    <w:rsid w:val="00596543"/>
    <w:rsid w:val="00596724"/>
    <w:rsid w:val="00596CD1"/>
    <w:rsid w:val="00596F74"/>
    <w:rsid w:val="00597065"/>
    <w:rsid w:val="00597604"/>
    <w:rsid w:val="00597D2B"/>
    <w:rsid w:val="005A030C"/>
    <w:rsid w:val="005A0443"/>
    <w:rsid w:val="005A0468"/>
    <w:rsid w:val="005A0BF2"/>
    <w:rsid w:val="005A1088"/>
    <w:rsid w:val="005A1418"/>
    <w:rsid w:val="005A1517"/>
    <w:rsid w:val="005A1A93"/>
    <w:rsid w:val="005A1DC8"/>
    <w:rsid w:val="005A1E1F"/>
    <w:rsid w:val="005A2587"/>
    <w:rsid w:val="005A26BD"/>
    <w:rsid w:val="005A2AE6"/>
    <w:rsid w:val="005A2F58"/>
    <w:rsid w:val="005A3095"/>
    <w:rsid w:val="005A326C"/>
    <w:rsid w:val="005A3AC5"/>
    <w:rsid w:val="005A3CAD"/>
    <w:rsid w:val="005A43C5"/>
    <w:rsid w:val="005A48A7"/>
    <w:rsid w:val="005A5C09"/>
    <w:rsid w:val="005A5F0E"/>
    <w:rsid w:val="005A5FB2"/>
    <w:rsid w:val="005A6328"/>
    <w:rsid w:val="005A6E0F"/>
    <w:rsid w:val="005A6F40"/>
    <w:rsid w:val="005A7416"/>
    <w:rsid w:val="005A76E9"/>
    <w:rsid w:val="005A7812"/>
    <w:rsid w:val="005A7B8E"/>
    <w:rsid w:val="005A7F71"/>
    <w:rsid w:val="005B061C"/>
    <w:rsid w:val="005B0674"/>
    <w:rsid w:val="005B0CFC"/>
    <w:rsid w:val="005B0F89"/>
    <w:rsid w:val="005B13EC"/>
    <w:rsid w:val="005B157F"/>
    <w:rsid w:val="005B18A9"/>
    <w:rsid w:val="005B19FE"/>
    <w:rsid w:val="005B1ED6"/>
    <w:rsid w:val="005B206E"/>
    <w:rsid w:val="005B2193"/>
    <w:rsid w:val="005B233B"/>
    <w:rsid w:val="005B246A"/>
    <w:rsid w:val="005B298F"/>
    <w:rsid w:val="005B2EB2"/>
    <w:rsid w:val="005B35EC"/>
    <w:rsid w:val="005B3695"/>
    <w:rsid w:val="005B3840"/>
    <w:rsid w:val="005B388F"/>
    <w:rsid w:val="005B3A9A"/>
    <w:rsid w:val="005B3AF5"/>
    <w:rsid w:val="005B3BF8"/>
    <w:rsid w:val="005B4AA3"/>
    <w:rsid w:val="005B4F63"/>
    <w:rsid w:val="005B52FB"/>
    <w:rsid w:val="005B54ED"/>
    <w:rsid w:val="005B5815"/>
    <w:rsid w:val="005B58E1"/>
    <w:rsid w:val="005B5D57"/>
    <w:rsid w:val="005B5F30"/>
    <w:rsid w:val="005B5F9F"/>
    <w:rsid w:val="005B6480"/>
    <w:rsid w:val="005B6AEE"/>
    <w:rsid w:val="005B6E8C"/>
    <w:rsid w:val="005B6EEE"/>
    <w:rsid w:val="005B718C"/>
    <w:rsid w:val="005B72D0"/>
    <w:rsid w:val="005B7397"/>
    <w:rsid w:val="005B7541"/>
    <w:rsid w:val="005B7630"/>
    <w:rsid w:val="005B7691"/>
    <w:rsid w:val="005B7778"/>
    <w:rsid w:val="005B7D51"/>
    <w:rsid w:val="005C03E7"/>
    <w:rsid w:val="005C0485"/>
    <w:rsid w:val="005C055D"/>
    <w:rsid w:val="005C08D1"/>
    <w:rsid w:val="005C0C60"/>
    <w:rsid w:val="005C0C80"/>
    <w:rsid w:val="005C0CB7"/>
    <w:rsid w:val="005C100A"/>
    <w:rsid w:val="005C1212"/>
    <w:rsid w:val="005C13AA"/>
    <w:rsid w:val="005C13B3"/>
    <w:rsid w:val="005C170E"/>
    <w:rsid w:val="005C1E1B"/>
    <w:rsid w:val="005C20F1"/>
    <w:rsid w:val="005C2513"/>
    <w:rsid w:val="005C26CB"/>
    <w:rsid w:val="005C273C"/>
    <w:rsid w:val="005C291E"/>
    <w:rsid w:val="005C2AF3"/>
    <w:rsid w:val="005C3068"/>
    <w:rsid w:val="005C334D"/>
    <w:rsid w:val="005C359A"/>
    <w:rsid w:val="005C366F"/>
    <w:rsid w:val="005C395F"/>
    <w:rsid w:val="005C3DA2"/>
    <w:rsid w:val="005C3E33"/>
    <w:rsid w:val="005C4272"/>
    <w:rsid w:val="005C42DA"/>
    <w:rsid w:val="005C44BE"/>
    <w:rsid w:val="005C49EF"/>
    <w:rsid w:val="005C5157"/>
    <w:rsid w:val="005C5902"/>
    <w:rsid w:val="005C5926"/>
    <w:rsid w:val="005C5BE4"/>
    <w:rsid w:val="005C5C98"/>
    <w:rsid w:val="005C5CD8"/>
    <w:rsid w:val="005C5FC9"/>
    <w:rsid w:val="005C6323"/>
    <w:rsid w:val="005C6590"/>
    <w:rsid w:val="005C6A6D"/>
    <w:rsid w:val="005C6DEF"/>
    <w:rsid w:val="005C6F32"/>
    <w:rsid w:val="005C7032"/>
    <w:rsid w:val="005C7B29"/>
    <w:rsid w:val="005C7B49"/>
    <w:rsid w:val="005C7B6B"/>
    <w:rsid w:val="005C7C83"/>
    <w:rsid w:val="005D05F7"/>
    <w:rsid w:val="005D05FC"/>
    <w:rsid w:val="005D0A1B"/>
    <w:rsid w:val="005D0C3B"/>
    <w:rsid w:val="005D0F12"/>
    <w:rsid w:val="005D1734"/>
    <w:rsid w:val="005D1A57"/>
    <w:rsid w:val="005D1B75"/>
    <w:rsid w:val="005D1DC0"/>
    <w:rsid w:val="005D2721"/>
    <w:rsid w:val="005D2A81"/>
    <w:rsid w:val="005D2DA7"/>
    <w:rsid w:val="005D34B4"/>
    <w:rsid w:val="005D40E8"/>
    <w:rsid w:val="005D41D5"/>
    <w:rsid w:val="005D4278"/>
    <w:rsid w:val="005D4650"/>
    <w:rsid w:val="005D4B45"/>
    <w:rsid w:val="005D4D73"/>
    <w:rsid w:val="005D4EC1"/>
    <w:rsid w:val="005D51F4"/>
    <w:rsid w:val="005D5320"/>
    <w:rsid w:val="005D5420"/>
    <w:rsid w:val="005D554D"/>
    <w:rsid w:val="005D55D7"/>
    <w:rsid w:val="005D5631"/>
    <w:rsid w:val="005D56AA"/>
    <w:rsid w:val="005D5B32"/>
    <w:rsid w:val="005D5BAB"/>
    <w:rsid w:val="005D5C5B"/>
    <w:rsid w:val="005D6CCA"/>
    <w:rsid w:val="005D6D58"/>
    <w:rsid w:val="005D6D80"/>
    <w:rsid w:val="005D7055"/>
    <w:rsid w:val="005D70A0"/>
    <w:rsid w:val="005D7336"/>
    <w:rsid w:val="005D7487"/>
    <w:rsid w:val="005D7F4E"/>
    <w:rsid w:val="005E0583"/>
    <w:rsid w:val="005E0669"/>
    <w:rsid w:val="005E0800"/>
    <w:rsid w:val="005E082A"/>
    <w:rsid w:val="005E0E6C"/>
    <w:rsid w:val="005E1027"/>
    <w:rsid w:val="005E24DA"/>
    <w:rsid w:val="005E2E40"/>
    <w:rsid w:val="005E3250"/>
    <w:rsid w:val="005E35E5"/>
    <w:rsid w:val="005E37E0"/>
    <w:rsid w:val="005E4D71"/>
    <w:rsid w:val="005E5027"/>
    <w:rsid w:val="005E5047"/>
    <w:rsid w:val="005E5693"/>
    <w:rsid w:val="005E60E8"/>
    <w:rsid w:val="005E61FA"/>
    <w:rsid w:val="005E67F4"/>
    <w:rsid w:val="005E68BD"/>
    <w:rsid w:val="005E6C3D"/>
    <w:rsid w:val="005E6E25"/>
    <w:rsid w:val="005E72AF"/>
    <w:rsid w:val="005E7525"/>
    <w:rsid w:val="005E7584"/>
    <w:rsid w:val="005E75A4"/>
    <w:rsid w:val="005F028E"/>
    <w:rsid w:val="005F0409"/>
    <w:rsid w:val="005F04B1"/>
    <w:rsid w:val="005F0777"/>
    <w:rsid w:val="005F081D"/>
    <w:rsid w:val="005F1514"/>
    <w:rsid w:val="005F1573"/>
    <w:rsid w:val="005F1604"/>
    <w:rsid w:val="005F2A1F"/>
    <w:rsid w:val="005F2BAD"/>
    <w:rsid w:val="005F2FE7"/>
    <w:rsid w:val="005F3115"/>
    <w:rsid w:val="005F328F"/>
    <w:rsid w:val="005F36D1"/>
    <w:rsid w:val="005F378E"/>
    <w:rsid w:val="005F3926"/>
    <w:rsid w:val="005F3E72"/>
    <w:rsid w:val="005F3FD5"/>
    <w:rsid w:val="005F44F3"/>
    <w:rsid w:val="005F4585"/>
    <w:rsid w:val="005F48C0"/>
    <w:rsid w:val="005F48DE"/>
    <w:rsid w:val="005F496D"/>
    <w:rsid w:val="005F603A"/>
    <w:rsid w:val="005F63B9"/>
    <w:rsid w:val="005F6589"/>
    <w:rsid w:val="005F6D50"/>
    <w:rsid w:val="005F6EB8"/>
    <w:rsid w:val="005F7704"/>
    <w:rsid w:val="005F7859"/>
    <w:rsid w:val="005F78AF"/>
    <w:rsid w:val="005F7B44"/>
    <w:rsid w:val="005F7C74"/>
    <w:rsid w:val="0060035E"/>
    <w:rsid w:val="00600667"/>
    <w:rsid w:val="006008C9"/>
    <w:rsid w:val="00601EBA"/>
    <w:rsid w:val="006026B5"/>
    <w:rsid w:val="00602B0A"/>
    <w:rsid w:val="00602EED"/>
    <w:rsid w:val="00603988"/>
    <w:rsid w:val="00603A3E"/>
    <w:rsid w:val="00603A48"/>
    <w:rsid w:val="00603B0D"/>
    <w:rsid w:val="00603BE1"/>
    <w:rsid w:val="00604018"/>
    <w:rsid w:val="0060427F"/>
    <w:rsid w:val="00604472"/>
    <w:rsid w:val="00604993"/>
    <w:rsid w:val="00604EE9"/>
    <w:rsid w:val="006054BB"/>
    <w:rsid w:val="0060562E"/>
    <w:rsid w:val="00605641"/>
    <w:rsid w:val="006058B7"/>
    <w:rsid w:val="00605CDA"/>
    <w:rsid w:val="00605F7E"/>
    <w:rsid w:val="006064D4"/>
    <w:rsid w:val="006065BE"/>
    <w:rsid w:val="00606CA2"/>
    <w:rsid w:val="00606EE7"/>
    <w:rsid w:val="0060711C"/>
    <w:rsid w:val="00607149"/>
    <w:rsid w:val="0060778B"/>
    <w:rsid w:val="00607D01"/>
    <w:rsid w:val="0061042D"/>
    <w:rsid w:val="00610677"/>
    <w:rsid w:val="006107CA"/>
    <w:rsid w:val="00610D06"/>
    <w:rsid w:val="0061108F"/>
    <w:rsid w:val="00611317"/>
    <w:rsid w:val="00611B86"/>
    <w:rsid w:val="00611BD1"/>
    <w:rsid w:val="00611BFF"/>
    <w:rsid w:val="00611FCB"/>
    <w:rsid w:val="00612700"/>
    <w:rsid w:val="006129A6"/>
    <w:rsid w:val="00612E10"/>
    <w:rsid w:val="00612E9A"/>
    <w:rsid w:val="00612F43"/>
    <w:rsid w:val="0061303B"/>
    <w:rsid w:val="00613041"/>
    <w:rsid w:val="0061313A"/>
    <w:rsid w:val="006132C6"/>
    <w:rsid w:val="0061353A"/>
    <w:rsid w:val="00613611"/>
    <w:rsid w:val="00613DAD"/>
    <w:rsid w:val="00614422"/>
    <w:rsid w:val="006146EA"/>
    <w:rsid w:val="00614C92"/>
    <w:rsid w:val="00614D8F"/>
    <w:rsid w:val="006150CA"/>
    <w:rsid w:val="0061539E"/>
    <w:rsid w:val="0061550B"/>
    <w:rsid w:val="00615715"/>
    <w:rsid w:val="00615A92"/>
    <w:rsid w:val="0061647C"/>
    <w:rsid w:val="006166C7"/>
    <w:rsid w:val="00616C15"/>
    <w:rsid w:val="00616FD8"/>
    <w:rsid w:val="006173DD"/>
    <w:rsid w:val="0061775E"/>
    <w:rsid w:val="00617846"/>
    <w:rsid w:val="00617980"/>
    <w:rsid w:val="006179A0"/>
    <w:rsid w:val="006200A4"/>
    <w:rsid w:val="006207B1"/>
    <w:rsid w:val="00620AEF"/>
    <w:rsid w:val="00620BD1"/>
    <w:rsid w:val="00620C8E"/>
    <w:rsid w:val="00620D79"/>
    <w:rsid w:val="00621010"/>
    <w:rsid w:val="00621082"/>
    <w:rsid w:val="006214DA"/>
    <w:rsid w:val="00621624"/>
    <w:rsid w:val="00621E80"/>
    <w:rsid w:val="00622342"/>
    <w:rsid w:val="00622575"/>
    <w:rsid w:val="0062295F"/>
    <w:rsid w:val="00622D10"/>
    <w:rsid w:val="00622ED0"/>
    <w:rsid w:val="00623020"/>
    <w:rsid w:val="00623109"/>
    <w:rsid w:val="0062344B"/>
    <w:rsid w:val="006234B3"/>
    <w:rsid w:val="00623819"/>
    <w:rsid w:val="00623837"/>
    <w:rsid w:val="00623971"/>
    <w:rsid w:val="006239A9"/>
    <w:rsid w:val="00623D50"/>
    <w:rsid w:val="00623F95"/>
    <w:rsid w:val="00624266"/>
    <w:rsid w:val="00624428"/>
    <w:rsid w:val="00624B5A"/>
    <w:rsid w:val="00624E85"/>
    <w:rsid w:val="00624FC8"/>
    <w:rsid w:val="006250B9"/>
    <w:rsid w:val="006250C7"/>
    <w:rsid w:val="00625868"/>
    <w:rsid w:val="0062685F"/>
    <w:rsid w:val="00626BA4"/>
    <w:rsid w:val="00626C1A"/>
    <w:rsid w:val="00626CB8"/>
    <w:rsid w:val="0062715F"/>
    <w:rsid w:val="00627696"/>
    <w:rsid w:val="006278B8"/>
    <w:rsid w:val="0062790D"/>
    <w:rsid w:val="00627A02"/>
    <w:rsid w:val="00627EB7"/>
    <w:rsid w:val="0063050E"/>
    <w:rsid w:val="006308CB"/>
    <w:rsid w:val="006309BC"/>
    <w:rsid w:val="00630BA4"/>
    <w:rsid w:val="00630E16"/>
    <w:rsid w:val="00630EAA"/>
    <w:rsid w:val="006310F0"/>
    <w:rsid w:val="00631158"/>
    <w:rsid w:val="006314D2"/>
    <w:rsid w:val="00631F3E"/>
    <w:rsid w:val="0063253D"/>
    <w:rsid w:val="006327C4"/>
    <w:rsid w:val="00632AAA"/>
    <w:rsid w:val="00632CDD"/>
    <w:rsid w:val="00632F40"/>
    <w:rsid w:val="006330C2"/>
    <w:rsid w:val="00633132"/>
    <w:rsid w:val="0063378C"/>
    <w:rsid w:val="00633DA3"/>
    <w:rsid w:val="00634781"/>
    <w:rsid w:val="00634E38"/>
    <w:rsid w:val="00635193"/>
    <w:rsid w:val="00635526"/>
    <w:rsid w:val="00635751"/>
    <w:rsid w:val="00635BAE"/>
    <w:rsid w:val="006366AD"/>
    <w:rsid w:val="006367F9"/>
    <w:rsid w:val="00636A38"/>
    <w:rsid w:val="00636BE4"/>
    <w:rsid w:val="006370FA"/>
    <w:rsid w:val="00640BAF"/>
    <w:rsid w:val="00640CF2"/>
    <w:rsid w:val="00641044"/>
    <w:rsid w:val="00641389"/>
    <w:rsid w:val="0064164C"/>
    <w:rsid w:val="006419C5"/>
    <w:rsid w:val="00641EDC"/>
    <w:rsid w:val="00642504"/>
    <w:rsid w:val="00642535"/>
    <w:rsid w:val="006426CC"/>
    <w:rsid w:val="006429E8"/>
    <w:rsid w:val="00642B30"/>
    <w:rsid w:val="0064318D"/>
    <w:rsid w:val="0064328A"/>
    <w:rsid w:val="006444E5"/>
    <w:rsid w:val="00644D57"/>
    <w:rsid w:val="00645113"/>
    <w:rsid w:val="00645652"/>
    <w:rsid w:val="00645C12"/>
    <w:rsid w:val="00645F37"/>
    <w:rsid w:val="00646328"/>
    <w:rsid w:val="00646391"/>
    <w:rsid w:val="00646B29"/>
    <w:rsid w:val="006470C9"/>
    <w:rsid w:val="00647144"/>
    <w:rsid w:val="006476B7"/>
    <w:rsid w:val="0064777F"/>
    <w:rsid w:val="00647A4A"/>
    <w:rsid w:val="00647B1D"/>
    <w:rsid w:val="00647DAE"/>
    <w:rsid w:val="006503EB"/>
    <w:rsid w:val="006505B3"/>
    <w:rsid w:val="0065087E"/>
    <w:rsid w:val="00650EF9"/>
    <w:rsid w:val="00650EFE"/>
    <w:rsid w:val="00651152"/>
    <w:rsid w:val="006511C6"/>
    <w:rsid w:val="00651399"/>
    <w:rsid w:val="00651ACC"/>
    <w:rsid w:val="00651B1A"/>
    <w:rsid w:val="00652A30"/>
    <w:rsid w:val="00652B16"/>
    <w:rsid w:val="00653247"/>
    <w:rsid w:val="00653A40"/>
    <w:rsid w:val="006545DB"/>
    <w:rsid w:val="00654D82"/>
    <w:rsid w:val="00654FBE"/>
    <w:rsid w:val="00655332"/>
    <w:rsid w:val="00655869"/>
    <w:rsid w:val="00655F32"/>
    <w:rsid w:val="00656523"/>
    <w:rsid w:val="00656B93"/>
    <w:rsid w:val="00656CA8"/>
    <w:rsid w:val="00656DC3"/>
    <w:rsid w:val="00656EB9"/>
    <w:rsid w:val="006571A7"/>
    <w:rsid w:val="0065739A"/>
    <w:rsid w:val="00657655"/>
    <w:rsid w:val="00660029"/>
    <w:rsid w:val="006606CF"/>
    <w:rsid w:val="0066075C"/>
    <w:rsid w:val="0066075F"/>
    <w:rsid w:val="00660A49"/>
    <w:rsid w:val="00660C6A"/>
    <w:rsid w:val="00660E00"/>
    <w:rsid w:val="00661021"/>
    <w:rsid w:val="00661591"/>
    <w:rsid w:val="006620DC"/>
    <w:rsid w:val="00662697"/>
    <w:rsid w:val="006626CD"/>
    <w:rsid w:val="0066277E"/>
    <w:rsid w:val="006627AC"/>
    <w:rsid w:val="00662818"/>
    <w:rsid w:val="00662823"/>
    <w:rsid w:val="006629F2"/>
    <w:rsid w:val="00663099"/>
    <w:rsid w:val="00663171"/>
    <w:rsid w:val="00663ECC"/>
    <w:rsid w:val="006642A7"/>
    <w:rsid w:val="006649C6"/>
    <w:rsid w:val="00664A5D"/>
    <w:rsid w:val="00664ABD"/>
    <w:rsid w:val="00664F78"/>
    <w:rsid w:val="006651EE"/>
    <w:rsid w:val="00665669"/>
    <w:rsid w:val="00665D28"/>
    <w:rsid w:val="00665E34"/>
    <w:rsid w:val="006661BD"/>
    <w:rsid w:val="00666496"/>
    <w:rsid w:val="0066693A"/>
    <w:rsid w:val="00666A0D"/>
    <w:rsid w:val="00666BD5"/>
    <w:rsid w:val="00667020"/>
    <w:rsid w:val="006674E3"/>
    <w:rsid w:val="00667A5F"/>
    <w:rsid w:val="00667F42"/>
    <w:rsid w:val="006702DE"/>
    <w:rsid w:val="00670330"/>
    <w:rsid w:val="0067094A"/>
    <w:rsid w:val="0067120B"/>
    <w:rsid w:val="006712F9"/>
    <w:rsid w:val="00671687"/>
    <w:rsid w:val="006718C4"/>
    <w:rsid w:val="00671CF4"/>
    <w:rsid w:val="00671E30"/>
    <w:rsid w:val="00671FB2"/>
    <w:rsid w:val="006724ED"/>
    <w:rsid w:val="00672824"/>
    <w:rsid w:val="00672942"/>
    <w:rsid w:val="00672AD3"/>
    <w:rsid w:val="00672C24"/>
    <w:rsid w:val="006731DF"/>
    <w:rsid w:val="006733AF"/>
    <w:rsid w:val="00673493"/>
    <w:rsid w:val="00673564"/>
    <w:rsid w:val="0067384D"/>
    <w:rsid w:val="006739CE"/>
    <w:rsid w:val="00673FEB"/>
    <w:rsid w:val="006741B6"/>
    <w:rsid w:val="00674545"/>
    <w:rsid w:val="00675171"/>
    <w:rsid w:val="006754F6"/>
    <w:rsid w:val="00675D24"/>
    <w:rsid w:val="00675E57"/>
    <w:rsid w:val="00676121"/>
    <w:rsid w:val="00676178"/>
    <w:rsid w:val="0067640E"/>
    <w:rsid w:val="006766AC"/>
    <w:rsid w:val="00676DC6"/>
    <w:rsid w:val="006771AE"/>
    <w:rsid w:val="00677397"/>
    <w:rsid w:val="00677982"/>
    <w:rsid w:val="00677A28"/>
    <w:rsid w:val="0068050F"/>
    <w:rsid w:val="006805BC"/>
    <w:rsid w:val="00680C1C"/>
    <w:rsid w:val="00680D4F"/>
    <w:rsid w:val="006811B9"/>
    <w:rsid w:val="00681282"/>
    <w:rsid w:val="00681634"/>
    <w:rsid w:val="0068249E"/>
    <w:rsid w:val="0068277E"/>
    <w:rsid w:val="00683041"/>
    <w:rsid w:val="00683607"/>
    <w:rsid w:val="0068375D"/>
    <w:rsid w:val="00683E15"/>
    <w:rsid w:val="00683EB6"/>
    <w:rsid w:val="00683EBB"/>
    <w:rsid w:val="00683F28"/>
    <w:rsid w:val="0068489D"/>
    <w:rsid w:val="00684EC5"/>
    <w:rsid w:val="00685749"/>
    <w:rsid w:val="006859F3"/>
    <w:rsid w:val="00685B7A"/>
    <w:rsid w:val="00685D5D"/>
    <w:rsid w:val="00685D8C"/>
    <w:rsid w:val="00686255"/>
    <w:rsid w:val="00686355"/>
    <w:rsid w:val="0068635B"/>
    <w:rsid w:val="00686AC5"/>
    <w:rsid w:val="00686FE4"/>
    <w:rsid w:val="00687050"/>
    <w:rsid w:val="00687199"/>
    <w:rsid w:val="00687943"/>
    <w:rsid w:val="00687E16"/>
    <w:rsid w:val="006904EB"/>
    <w:rsid w:val="00690685"/>
    <w:rsid w:val="00690A8A"/>
    <w:rsid w:val="00691452"/>
    <w:rsid w:val="00691789"/>
    <w:rsid w:val="006917BF"/>
    <w:rsid w:val="00691955"/>
    <w:rsid w:val="00691A8B"/>
    <w:rsid w:val="00691B1E"/>
    <w:rsid w:val="00691E2B"/>
    <w:rsid w:val="00691F81"/>
    <w:rsid w:val="00692275"/>
    <w:rsid w:val="006922C7"/>
    <w:rsid w:val="00692A53"/>
    <w:rsid w:val="00692BAF"/>
    <w:rsid w:val="00692FFF"/>
    <w:rsid w:val="0069345B"/>
    <w:rsid w:val="0069380A"/>
    <w:rsid w:val="00693B4A"/>
    <w:rsid w:val="00693C2F"/>
    <w:rsid w:val="00694005"/>
    <w:rsid w:val="00694150"/>
    <w:rsid w:val="006948DB"/>
    <w:rsid w:val="00694A8D"/>
    <w:rsid w:val="00695243"/>
    <w:rsid w:val="006952F3"/>
    <w:rsid w:val="00695557"/>
    <w:rsid w:val="0069570C"/>
    <w:rsid w:val="0069641B"/>
    <w:rsid w:val="00696423"/>
    <w:rsid w:val="00696607"/>
    <w:rsid w:val="0069705E"/>
    <w:rsid w:val="00697177"/>
    <w:rsid w:val="00697432"/>
    <w:rsid w:val="0069765D"/>
    <w:rsid w:val="006978A8"/>
    <w:rsid w:val="00697B4A"/>
    <w:rsid w:val="00697D9F"/>
    <w:rsid w:val="006A0657"/>
    <w:rsid w:val="006A1708"/>
    <w:rsid w:val="006A1794"/>
    <w:rsid w:val="006A2085"/>
    <w:rsid w:val="006A230C"/>
    <w:rsid w:val="006A26F2"/>
    <w:rsid w:val="006A2879"/>
    <w:rsid w:val="006A287D"/>
    <w:rsid w:val="006A2BDB"/>
    <w:rsid w:val="006A378C"/>
    <w:rsid w:val="006A3CD1"/>
    <w:rsid w:val="006A43CD"/>
    <w:rsid w:val="006A43E9"/>
    <w:rsid w:val="006A4562"/>
    <w:rsid w:val="006A45BF"/>
    <w:rsid w:val="006A477E"/>
    <w:rsid w:val="006A49DE"/>
    <w:rsid w:val="006A4E58"/>
    <w:rsid w:val="006A564B"/>
    <w:rsid w:val="006A59C0"/>
    <w:rsid w:val="006A5A8D"/>
    <w:rsid w:val="006A5C7E"/>
    <w:rsid w:val="006A6584"/>
    <w:rsid w:val="006A6634"/>
    <w:rsid w:val="006A6CE1"/>
    <w:rsid w:val="006A6D68"/>
    <w:rsid w:val="006A6E55"/>
    <w:rsid w:val="006A6F14"/>
    <w:rsid w:val="006A708E"/>
    <w:rsid w:val="006A7367"/>
    <w:rsid w:val="006A74D2"/>
    <w:rsid w:val="006A79C3"/>
    <w:rsid w:val="006A7AD2"/>
    <w:rsid w:val="006A7FD7"/>
    <w:rsid w:val="006B01DC"/>
    <w:rsid w:val="006B071D"/>
    <w:rsid w:val="006B0BA9"/>
    <w:rsid w:val="006B0BF9"/>
    <w:rsid w:val="006B1578"/>
    <w:rsid w:val="006B1674"/>
    <w:rsid w:val="006B1E30"/>
    <w:rsid w:val="006B2204"/>
    <w:rsid w:val="006B3004"/>
    <w:rsid w:val="006B370F"/>
    <w:rsid w:val="006B3B5C"/>
    <w:rsid w:val="006B3E90"/>
    <w:rsid w:val="006B4200"/>
    <w:rsid w:val="006B44E0"/>
    <w:rsid w:val="006B4E35"/>
    <w:rsid w:val="006B4ECF"/>
    <w:rsid w:val="006B55D6"/>
    <w:rsid w:val="006B5848"/>
    <w:rsid w:val="006B5B65"/>
    <w:rsid w:val="006B5F55"/>
    <w:rsid w:val="006B635B"/>
    <w:rsid w:val="006B6E16"/>
    <w:rsid w:val="006B7005"/>
    <w:rsid w:val="006B7079"/>
    <w:rsid w:val="006B720A"/>
    <w:rsid w:val="006B7256"/>
    <w:rsid w:val="006B72B5"/>
    <w:rsid w:val="006B7659"/>
    <w:rsid w:val="006B7C5A"/>
    <w:rsid w:val="006B7FE2"/>
    <w:rsid w:val="006C034D"/>
    <w:rsid w:val="006C04E1"/>
    <w:rsid w:val="006C067E"/>
    <w:rsid w:val="006C0803"/>
    <w:rsid w:val="006C0C25"/>
    <w:rsid w:val="006C1597"/>
    <w:rsid w:val="006C191F"/>
    <w:rsid w:val="006C1A16"/>
    <w:rsid w:val="006C1F92"/>
    <w:rsid w:val="006C2026"/>
    <w:rsid w:val="006C2067"/>
    <w:rsid w:val="006C21DC"/>
    <w:rsid w:val="006C23F7"/>
    <w:rsid w:val="006C2656"/>
    <w:rsid w:val="006C2684"/>
    <w:rsid w:val="006C287F"/>
    <w:rsid w:val="006C2F3B"/>
    <w:rsid w:val="006C3789"/>
    <w:rsid w:val="006C40B9"/>
    <w:rsid w:val="006C4A6F"/>
    <w:rsid w:val="006C4A89"/>
    <w:rsid w:val="006C4BB0"/>
    <w:rsid w:val="006C5B85"/>
    <w:rsid w:val="006C5C7B"/>
    <w:rsid w:val="006C5CA9"/>
    <w:rsid w:val="006C5D55"/>
    <w:rsid w:val="006C701E"/>
    <w:rsid w:val="006C7090"/>
    <w:rsid w:val="006C77B4"/>
    <w:rsid w:val="006C7A01"/>
    <w:rsid w:val="006C7B99"/>
    <w:rsid w:val="006D026C"/>
    <w:rsid w:val="006D0A03"/>
    <w:rsid w:val="006D0B08"/>
    <w:rsid w:val="006D0B75"/>
    <w:rsid w:val="006D0FB5"/>
    <w:rsid w:val="006D110F"/>
    <w:rsid w:val="006D1E60"/>
    <w:rsid w:val="006D2B1F"/>
    <w:rsid w:val="006D2F37"/>
    <w:rsid w:val="006D3416"/>
    <w:rsid w:val="006D4036"/>
    <w:rsid w:val="006D40C1"/>
    <w:rsid w:val="006D4117"/>
    <w:rsid w:val="006D428B"/>
    <w:rsid w:val="006D4847"/>
    <w:rsid w:val="006D4BF3"/>
    <w:rsid w:val="006D4EEC"/>
    <w:rsid w:val="006D4F31"/>
    <w:rsid w:val="006D507F"/>
    <w:rsid w:val="006D5207"/>
    <w:rsid w:val="006D534D"/>
    <w:rsid w:val="006D592D"/>
    <w:rsid w:val="006D5A30"/>
    <w:rsid w:val="006D6037"/>
    <w:rsid w:val="006D611B"/>
    <w:rsid w:val="006D63FC"/>
    <w:rsid w:val="006D6518"/>
    <w:rsid w:val="006D6B98"/>
    <w:rsid w:val="006D706D"/>
    <w:rsid w:val="006D7100"/>
    <w:rsid w:val="006D7301"/>
    <w:rsid w:val="006D7DCF"/>
    <w:rsid w:val="006D7F61"/>
    <w:rsid w:val="006D7F8A"/>
    <w:rsid w:val="006E022F"/>
    <w:rsid w:val="006E07BF"/>
    <w:rsid w:val="006E12E5"/>
    <w:rsid w:val="006E1666"/>
    <w:rsid w:val="006E19BE"/>
    <w:rsid w:val="006E1ECE"/>
    <w:rsid w:val="006E27C1"/>
    <w:rsid w:val="006E28BA"/>
    <w:rsid w:val="006E2AF2"/>
    <w:rsid w:val="006E3B55"/>
    <w:rsid w:val="006E3D5C"/>
    <w:rsid w:val="006E44E3"/>
    <w:rsid w:val="006E458C"/>
    <w:rsid w:val="006E4B27"/>
    <w:rsid w:val="006E4C08"/>
    <w:rsid w:val="006E4E05"/>
    <w:rsid w:val="006E4F30"/>
    <w:rsid w:val="006E53E1"/>
    <w:rsid w:val="006E5780"/>
    <w:rsid w:val="006E5B77"/>
    <w:rsid w:val="006E6470"/>
    <w:rsid w:val="006E66DB"/>
    <w:rsid w:val="006E6714"/>
    <w:rsid w:val="006E69B2"/>
    <w:rsid w:val="006E6A79"/>
    <w:rsid w:val="006E744A"/>
    <w:rsid w:val="006E760D"/>
    <w:rsid w:val="006E7E08"/>
    <w:rsid w:val="006F0281"/>
    <w:rsid w:val="006F1221"/>
    <w:rsid w:val="006F130E"/>
    <w:rsid w:val="006F159A"/>
    <w:rsid w:val="006F1B97"/>
    <w:rsid w:val="006F1D95"/>
    <w:rsid w:val="006F1E87"/>
    <w:rsid w:val="006F2903"/>
    <w:rsid w:val="006F2A95"/>
    <w:rsid w:val="006F305F"/>
    <w:rsid w:val="006F3141"/>
    <w:rsid w:val="006F3D00"/>
    <w:rsid w:val="006F3E58"/>
    <w:rsid w:val="006F40B7"/>
    <w:rsid w:val="006F41CB"/>
    <w:rsid w:val="006F4205"/>
    <w:rsid w:val="006F4BBB"/>
    <w:rsid w:val="006F4C63"/>
    <w:rsid w:val="006F512A"/>
    <w:rsid w:val="006F5862"/>
    <w:rsid w:val="006F591B"/>
    <w:rsid w:val="006F6013"/>
    <w:rsid w:val="006F6A9A"/>
    <w:rsid w:val="006F6AAC"/>
    <w:rsid w:val="006F6B28"/>
    <w:rsid w:val="006F6BE5"/>
    <w:rsid w:val="006F7159"/>
    <w:rsid w:val="006F752C"/>
    <w:rsid w:val="006F76DF"/>
    <w:rsid w:val="006F7792"/>
    <w:rsid w:val="006F7875"/>
    <w:rsid w:val="006F7D1C"/>
    <w:rsid w:val="007002FC"/>
    <w:rsid w:val="00700967"/>
    <w:rsid w:val="00700F9C"/>
    <w:rsid w:val="00701CB4"/>
    <w:rsid w:val="00701D61"/>
    <w:rsid w:val="00702177"/>
    <w:rsid w:val="00702184"/>
    <w:rsid w:val="00702449"/>
    <w:rsid w:val="00702888"/>
    <w:rsid w:val="00703D24"/>
    <w:rsid w:val="00703D91"/>
    <w:rsid w:val="00703E57"/>
    <w:rsid w:val="00703F07"/>
    <w:rsid w:val="00704046"/>
    <w:rsid w:val="0070439C"/>
    <w:rsid w:val="007047A7"/>
    <w:rsid w:val="00705518"/>
    <w:rsid w:val="007057E6"/>
    <w:rsid w:val="00706051"/>
    <w:rsid w:val="0070623C"/>
    <w:rsid w:val="00706A60"/>
    <w:rsid w:val="00707439"/>
    <w:rsid w:val="00707871"/>
    <w:rsid w:val="007078BB"/>
    <w:rsid w:val="007079B5"/>
    <w:rsid w:val="00707B07"/>
    <w:rsid w:val="00707B74"/>
    <w:rsid w:val="00707EF4"/>
    <w:rsid w:val="007100D6"/>
    <w:rsid w:val="00710273"/>
    <w:rsid w:val="007103BD"/>
    <w:rsid w:val="007105D1"/>
    <w:rsid w:val="007109EA"/>
    <w:rsid w:val="00710A6C"/>
    <w:rsid w:val="00710D3A"/>
    <w:rsid w:val="00711253"/>
    <w:rsid w:val="0071129A"/>
    <w:rsid w:val="00711635"/>
    <w:rsid w:val="007119D8"/>
    <w:rsid w:val="00711BC7"/>
    <w:rsid w:val="00712060"/>
    <w:rsid w:val="00712141"/>
    <w:rsid w:val="00712A33"/>
    <w:rsid w:val="00712D22"/>
    <w:rsid w:val="00712D5E"/>
    <w:rsid w:val="00712F0C"/>
    <w:rsid w:val="00713130"/>
    <w:rsid w:val="007131DB"/>
    <w:rsid w:val="00713355"/>
    <w:rsid w:val="0071396A"/>
    <w:rsid w:val="00713BA5"/>
    <w:rsid w:val="00713C5D"/>
    <w:rsid w:val="00713F15"/>
    <w:rsid w:val="00713FC4"/>
    <w:rsid w:val="00714631"/>
    <w:rsid w:val="00714C91"/>
    <w:rsid w:val="00714D6D"/>
    <w:rsid w:val="00715258"/>
    <w:rsid w:val="00715378"/>
    <w:rsid w:val="00715575"/>
    <w:rsid w:val="00715661"/>
    <w:rsid w:val="00715803"/>
    <w:rsid w:val="00715E1D"/>
    <w:rsid w:val="007165E2"/>
    <w:rsid w:val="00716942"/>
    <w:rsid w:val="00716EC4"/>
    <w:rsid w:val="0071741D"/>
    <w:rsid w:val="00717734"/>
    <w:rsid w:val="007202F3"/>
    <w:rsid w:val="00720454"/>
    <w:rsid w:val="007204E2"/>
    <w:rsid w:val="007209AD"/>
    <w:rsid w:val="00720EE4"/>
    <w:rsid w:val="00720F2F"/>
    <w:rsid w:val="00721077"/>
    <w:rsid w:val="007212D2"/>
    <w:rsid w:val="00721400"/>
    <w:rsid w:val="00721586"/>
    <w:rsid w:val="007217AE"/>
    <w:rsid w:val="00721991"/>
    <w:rsid w:val="00721AD7"/>
    <w:rsid w:val="00721D84"/>
    <w:rsid w:val="00722348"/>
    <w:rsid w:val="007225C9"/>
    <w:rsid w:val="00722819"/>
    <w:rsid w:val="00722BE8"/>
    <w:rsid w:val="00722EAD"/>
    <w:rsid w:val="00723092"/>
    <w:rsid w:val="00723562"/>
    <w:rsid w:val="0072357F"/>
    <w:rsid w:val="00723934"/>
    <w:rsid w:val="00724438"/>
    <w:rsid w:val="00724BD5"/>
    <w:rsid w:val="00724E8B"/>
    <w:rsid w:val="00724F8F"/>
    <w:rsid w:val="00725D1A"/>
    <w:rsid w:val="007260B8"/>
    <w:rsid w:val="0072660D"/>
    <w:rsid w:val="007267C9"/>
    <w:rsid w:val="00726B1D"/>
    <w:rsid w:val="00726C36"/>
    <w:rsid w:val="007273B7"/>
    <w:rsid w:val="007274C9"/>
    <w:rsid w:val="007275F1"/>
    <w:rsid w:val="0072792B"/>
    <w:rsid w:val="00727CE5"/>
    <w:rsid w:val="00730B7F"/>
    <w:rsid w:val="00730E09"/>
    <w:rsid w:val="00730EAD"/>
    <w:rsid w:val="0073132F"/>
    <w:rsid w:val="00731330"/>
    <w:rsid w:val="0073156E"/>
    <w:rsid w:val="00731AB4"/>
    <w:rsid w:val="00731BEB"/>
    <w:rsid w:val="0073215D"/>
    <w:rsid w:val="0073271C"/>
    <w:rsid w:val="00732A5B"/>
    <w:rsid w:val="00732CBF"/>
    <w:rsid w:val="00732D05"/>
    <w:rsid w:val="00732D78"/>
    <w:rsid w:val="00732EDB"/>
    <w:rsid w:val="00733086"/>
    <w:rsid w:val="007332CE"/>
    <w:rsid w:val="007333D5"/>
    <w:rsid w:val="00733A77"/>
    <w:rsid w:val="00733A9D"/>
    <w:rsid w:val="00733D0B"/>
    <w:rsid w:val="00733D8D"/>
    <w:rsid w:val="00733E4A"/>
    <w:rsid w:val="00733F5B"/>
    <w:rsid w:val="007342C0"/>
    <w:rsid w:val="00734469"/>
    <w:rsid w:val="007345CD"/>
    <w:rsid w:val="00734772"/>
    <w:rsid w:val="007353FA"/>
    <w:rsid w:val="00735632"/>
    <w:rsid w:val="00735E3C"/>
    <w:rsid w:val="0073709D"/>
    <w:rsid w:val="00737208"/>
    <w:rsid w:val="0073748D"/>
    <w:rsid w:val="00737670"/>
    <w:rsid w:val="00737770"/>
    <w:rsid w:val="00737CB6"/>
    <w:rsid w:val="007405B8"/>
    <w:rsid w:val="00740AFA"/>
    <w:rsid w:val="00740B78"/>
    <w:rsid w:val="007412C7"/>
    <w:rsid w:val="00741312"/>
    <w:rsid w:val="007419D7"/>
    <w:rsid w:val="00741D17"/>
    <w:rsid w:val="0074267F"/>
    <w:rsid w:val="00742BE8"/>
    <w:rsid w:val="00742D06"/>
    <w:rsid w:val="00742EE6"/>
    <w:rsid w:val="0074359C"/>
    <w:rsid w:val="007436F2"/>
    <w:rsid w:val="007437C1"/>
    <w:rsid w:val="00743990"/>
    <w:rsid w:val="00743DBD"/>
    <w:rsid w:val="00744407"/>
    <w:rsid w:val="00744542"/>
    <w:rsid w:val="007446AE"/>
    <w:rsid w:val="0074598C"/>
    <w:rsid w:val="007461A1"/>
    <w:rsid w:val="00746324"/>
    <w:rsid w:val="00746433"/>
    <w:rsid w:val="00746619"/>
    <w:rsid w:val="00746691"/>
    <w:rsid w:val="007466C4"/>
    <w:rsid w:val="0074695C"/>
    <w:rsid w:val="0074699B"/>
    <w:rsid w:val="00746A59"/>
    <w:rsid w:val="00747422"/>
    <w:rsid w:val="0074764A"/>
    <w:rsid w:val="007479B9"/>
    <w:rsid w:val="00747C4E"/>
    <w:rsid w:val="00747EA4"/>
    <w:rsid w:val="00747EB6"/>
    <w:rsid w:val="00747EE5"/>
    <w:rsid w:val="00747F3C"/>
    <w:rsid w:val="007502D9"/>
    <w:rsid w:val="007502DF"/>
    <w:rsid w:val="00750D5E"/>
    <w:rsid w:val="00750D95"/>
    <w:rsid w:val="00750DFD"/>
    <w:rsid w:val="00750EC4"/>
    <w:rsid w:val="0075109C"/>
    <w:rsid w:val="00751469"/>
    <w:rsid w:val="0075163D"/>
    <w:rsid w:val="00752060"/>
    <w:rsid w:val="007521EF"/>
    <w:rsid w:val="007524AF"/>
    <w:rsid w:val="00752517"/>
    <w:rsid w:val="00752ADC"/>
    <w:rsid w:val="0075312D"/>
    <w:rsid w:val="007533DB"/>
    <w:rsid w:val="007535A0"/>
    <w:rsid w:val="007539B5"/>
    <w:rsid w:val="00753CE4"/>
    <w:rsid w:val="00753D90"/>
    <w:rsid w:val="00753FC4"/>
    <w:rsid w:val="00754055"/>
    <w:rsid w:val="00754094"/>
    <w:rsid w:val="00755086"/>
    <w:rsid w:val="00755904"/>
    <w:rsid w:val="0075599F"/>
    <w:rsid w:val="007561EF"/>
    <w:rsid w:val="00756C47"/>
    <w:rsid w:val="00757744"/>
    <w:rsid w:val="0075775F"/>
    <w:rsid w:val="0075796B"/>
    <w:rsid w:val="007579C4"/>
    <w:rsid w:val="00757B7B"/>
    <w:rsid w:val="00757BF5"/>
    <w:rsid w:val="00757C0F"/>
    <w:rsid w:val="00757F05"/>
    <w:rsid w:val="0076017E"/>
    <w:rsid w:val="00760205"/>
    <w:rsid w:val="007606F6"/>
    <w:rsid w:val="00760C68"/>
    <w:rsid w:val="00760CA1"/>
    <w:rsid w:val="00760D6A"/>
    <w:rsid w:val="00760DC3"/>
    <w:rsid w:val="0076186D"/>
    <w:rsid w:val="00761991"/>
    <w:rsid w:val="00761D6D"/>
    <w:rsid w:val="0076252F"/>
    <w:rsid w:val="007626BB"/>
    <w:rsid w:val="0076289D"/>
    <w:rsid w:val="00762959"/>
    <w:rsid w:val="00762C62"/>
    <w:rsid w:val="00762ECD"/>
    <w:rsid w:val="00762FD8"/>
    <w:rsid w:val="007630FD"/>
    <w:rsid w:val="00763396"/>
    <w:rsid w:val="00763441"/>
    <w:rsid w:val="0076357D"/>
    <w:rsid w:val="00763588"/>
    <w:rsid w:val="00764386"/>
    <w:rsid w:val="00764498"/>
    <w:rsid w:val="0076462C"/>
    <w:rsid w:val="0076465C"/>
    <w:rsid w:val="0076466C"/>
    <w:rsid w:val="00764E50"/>
    <w:rsid w:val="0076555C"/>
    <w:rsid w:val="00765A77"/>
    <w:rsid w:val="00765ACF"/>
    <w:rsid w:val="00765AD0"/>
    <w:rsid w:val="007663C5"/>
    <w:rsid w:val="00766626"/>
    <w:rsid w:val="00766DF0"/>
    <w:rsid w:val="00766E64"/>
    <w:rsid w:val="007670AB"/>
    <w:rsid w:val="0076738A"/>
    <w:rsid w:val="0076795D"/>
    <w:rsid w:val="00767F70"/>
    <w:rsid w:val="00770932"/>
    <w:rsid w:val="00770C2F"/>
    <w:rsid w:val="0077101E"/>
    <w:rsid w:val="00771185"/>
    <w:rsid w:val="00771251"/>
    <w:rsid w:val="0077155F"/>
    <w:rsid w:val="0077188B"/>
    <w:rsid w:val="00771A12"/>
    <w:rsid w:val="0077209F"/>
    <w:rsid w:val="007720BA"/>
    <w:rsid w:val="007722E4"/>
    <w:rsid w:val="00772BB7"/>
    <w:rsid w:val="00772D38"/>
    <w:rsid w:val="00772E67"/>
    <w:rsid w:val="00773454"/>
    <w:rsid w:val="00773E27"/>
    <w:rsid w:val="0077453F"/>
    <w:rsid w:val="00774AD4"/>
    <w:rsid w:val="00775F42"/>
    <w:rsid w:val="00775F87"/>
    <w:rsid w:val="0077612F"/>
    <w:rsid w:val="00776538"/>
    <w:rsid w:val="0077669E"/>
    <w:rsid w:val="007768DA"/>
    <w:rsid w:val="00776CE0"/>
    <w:rsid w:val="00776D20"/>
    <w:rsid w:val="0077725E"/>
    <w:rsid w:val="007773F6"/>
    <w:rsid w:val="0077742D"/>
    <w:rsid w:val="00777BA2"/>
    <w:rsid w:val="00777C04"/>
    <w:rsid w:val="00777C99"/>
    <w:rsid w:val="00780858"/>
    <w:rsid w:val="0078094C"/>
    <w:rsid w:val="007813D1"/>
    <w:rsid w:val="00781579"/>
    <w:rsid w:val="007816F5"/>
    <w:rsid w:val="007817E2"/>
    <w:rsid w:val="00781AD5"/>
    <w:rsid w:val="00782045"/>
    <w:rsid w:val="00782DAD"/>
    <w:rsid w:val="007832D5"/>
    <w:rsid w:val="0078334B"/>
    <w:rsid w:val="0078398A"/>
    <w:rsid w:val="00783BCD"/>
    <w:rsid w:val="00783BDB"/>
    <w:rsid w:val="0078422E"/>
    <w:rsid w:val="00784779"/>
    <w:rsid w:val="00784978"/>
    <w:rsid w:val="00784EB7"/>
    <w:rsid w:val="00785F9F"/>
    <w:rsid w:val="0078615F"/>
    <w:rsid w:val="0078639F"/>
    <w:rsid w:val="00786487"/>
    <w:rsid w:val="00786996"/>
    <w:rsid w:val="00786CE7"/>
    <w:rsid w:val="00786D24"/>
    <w:rsid w:val="0078753A"/>
    <w:rsid w:val="0078781B"/>
    <w:rsid w:val="007878AD"/>
    <w:rsid w:val="00790057"/>
    <w:rsid w:val="007901DB"/>
    <w:rsid w:val="00790251"/>
    <w:rsid w:val="007902CE"/>
    <w:rsid w:val="00790337"/>
    <w:rsid w:val="0079076A"/>
    <w:rsid w:val="00790BC0"/>
    <w:rsid w:val="00791C16"/>
    <w:rsid w:val="00791C87"/>
    <w:rsid w:val="00791E39"/>
    <w:rsid w:val="00791FB0"/>
    <w:rsid w:val="00791FFC"/>
    <w:rsid w:val="007923B9"/>
    <w:rsid w:val="007928AC"/>
    <w:rsid w:val="007928F4"/>
    <w:rsid w:val="00792AE9"/>
    <w:rsid w:val="00792CAB"/>
    <w:rsid w:val="00793220"/>
    <w:rsid w:val="007937D4"/>
    <w:rsid w:val="00793EA9"/>
    <w:rsid w:val="007943FB"/>
    <w:rsid w:val="007948CC"/>
    <w:rsid w:val="00794B8E"/>
    <w:rsid w:val="0079531A"/>
    <w:rsid w:val="00795509"/>
    <w:rsid w:val="00795C3C"/>
    <w:rsid w:val="00795D41"/>
    <w:rsid w:val="00795D8B"/>
    <w:rsid w:val="00795FF2"/>
    <w:rsid w:val="00796486"/>
    <w:rsid w:val="0079679E"/>
    <w:rsid w:val="007969F8"/>
    <w:rsid w:val="007970D2"/>
    <w:rsid w:val="007973EB"/>
    <w:rsid w:val="00797577"/>
    <w:rsid w:val="007978D9"/>
    <w:rsid w:val="00797A4A"/>
    <w:rsid w:val="00797C39"/>
    <w:rsid w:val="007A0250"/>
    <w:rsid w:val="007A0376"/>
    <w:rsid w:val="007A0847"/>
    <w:rsid w:val="007A09F5"/>
    <w:rsid w:val="007A134F"/>
    <w:rsid w:val="007A13FB"/>
    <w:rsid w:val="007A16C2"/>
    <w:rsid w:val="007A1A95"/>
    <w:rsid w:val="007A1E62"/>
    <w:rsid w:val="007A20D6"/>
    <w:rsid w:val="007A2126"/>
    <w:rsid w:val="007A2D14"/>
    <w:rsid w:val="007A3577"/>
    <w:rsid w:val="007A35FF"/>
    <w:rsid w:val="007A36FD"/>
    <w:rsid w:val="007A3B98"/>
    <w:rsid w:val="007A4025"/>
    <w:rsid w:val="007A4300"/>
    <w:rsid w:val="007A45C8"/>
    <w:rsid w:val="007A48A1"/>
    <w:rsid w:val="007A4B50"/>
    <w:rsid w:val="007A4DD9"/>
    <w:rsid w:val="007A52E0"/>
    <w:rsid w:val="007A53B6"/>
    <w:rsid w:val="007A56AA"/>
    <w:rsid w:val="007A6280"/>
    <w:rsid w:val="007A64F5"/>
    <w:rsid w:val="007A6863"/>
    <w:rsid w:val="007A6D11"/>
    <w:rsid w:val="007A70F8"/>
    <w:rsid w:val="007A75FE"/>
    <w:rsid w:val="007A77A3"/>
    <w:rsid w:val="007A7E04"/>
    <w:rsid w:val="007B06F0"/>
    <w:rsid w:val="007B0897"/>
    <w:rsid w:val="007B0B00"/>
    <w:rsid w:val="007B0B3C"/>
    <w:rsid w:val="007B0C39"/>
    <w:rsid w:val="007B117C"/>
    <w:rsid w:val="007B14D4"/>
    <w:rsid w:val="007B197B"/>
    <w:rsid w:val="007B19D3"/>
    <w:rsid w:val="007B1E61"/>
    <w:rsid w:val="007B211D"/>
    <w:rsid w:val="007B2529"/>
    <w:rsid w:val="007B25B4"/>
    <w:rsid w:val="007B27E3"/>
    <w:rsid w:val="007B28B8"/>
    <w:rsid w:val="007B2ABA"/>
    <w:rsid w:val="007B2F33"/>
    <w:rsid w:val="007B306A"/>
    <w:rsid w:val="007B32F1"/>
    <w:rsid w:val="007B3A4A"/>
    <w:rsid w:val="007B3BF3"/>
    <w:rsid w:val="007B4692"/>
    <w:rsid w:val="007B48EE"/>
    <w:rsid w:val="007B4CD5"/>
    <w:rsid w:val="007B4D94"/>
    <w:rsid w:val="007B515B"/>
    <w:rsid w:val="007B52B4"/>
    <w:rsid w:val="007B5387"/>
    <w:rsid w:val="007B5398"/>
    <w:rsid w:val="007B5564"/>
    <w:rsid w:val="007B5623"/>
    <w:rsid w:val="007B57AE"/>
    <w:rsid w:val="007B59C0"/>
    <w:rsid w:val="007B5A81"/>
    <w:rsid w:val="007B71BF"/>
    <w:rsid w:val="007B7427"/>
    <w:rsid w:val="007B76EE"/>
    <w:rsid w:val="007C03EF"/>
    <w:rsid w:val="007C049D"/>
    <w:rsid w:val="007C0569"/>
    <w:rsid w:val="007C07C3"/>
    <w:rsid w:val="007C0832"/>
    <w:rsid w:val="007C08D5"/>
    <w:rsid w:val="007C0C67"/>
    <w:rsid w:val="007C1213"/>
    <w:rsid w:val="007C1255"/>
    <w:rsid w:val="007C1259"/>
    <w:rsid w:val="007C1393"/>
    <w:rsid w:val="007C149E"/>
    <w:rsid w:val="007C153F"/>
    <w:rsid w:val="007C1624"/>
    <w:rsid w:val="007C1E65"/>
    <w:rsid w:val="007C1E77"/>
    <w:rsid w:val="007C2048"/>
    <w:rsid w:val="007C22EE"/>
    <w:rsid w:val="007C2693"/>
    <w:rsid w:val="007C28B6"/>
    <w:rsid w:val="007C2F39"/>
    <w:rsid w:val="007C3052"/>
    <w:rsid w:val="007C3094"/>
    <w:rsid w:val="007C321C"/>
    <w:rsid w:val="007C3E78"/>
    <w:rsid w:val="007C4165"/>
    <w:rsid w:val="007C4711"/>
    <w:rsid w:val="007C4901"/>
    <w:rsid w:val="007C4D3F"/>
    <w:rsid w:val="007C4EAC"/>
    <w:rsid w:val="007C4FE9"/>
    <w:rsid w:val="007C4FF2"/>
    <w:rsid w:val="007C555D"/>
    <w:rsid w:val="007C57C9"/>
    <w:rsid w:val="007C57DC"/>
    <w:rsid w:val="007C5805"/>
    <w:rsid w:val="007C6875"/>
    <w:rsid w:val="007C68C7"/>
    <w:rsid w:val="007C6A2D"/>
    <w:rsid w:val="007C6C7F"/>
    <w:rsid w:val="007C6EE4"/>
    <w:rsid w:val="007C7D0A"/>
    <w:rsid w:val="007C7EB5"/>
    <w:rsid w:val="007D10CE"/>
    <w:rsid w:val="007D13EB"/>
    <w:rsid w:val="007D17AF"/>
    <w:rsid w:val="007D1B4B"/>
    <w:rsid w:val="007D2204"/>
    <w:rsid w:val="007D2C98"/>
    <w:rsid w:val="007D3156"/>
    <w:rsid w:val="007D344D"/>
    <w:rsid w:val="007D3477"/>
    <w:rsid w:val="007D36C2"/>
    <w:rsid w:val="007D371B"/>
    <w:rsid w:val="007D4534"/>
    <w:rsid w:val="007D48B5"/>
    <w:rsid w:val="007D4BE8"/>
    <w:rsid w:val="007D4D6F"/>
    <w:rsid w:val="007D515F"/>
    <w:rsid w:val="007D54ED"/>
    <w:rsid w:val="007D558C"/>
    <w:rsid w:val="007D576F"/>
    <w:rsid w:val="007D58A7"/>
    <w:rsid w:val="007D5B86"/>
    <w:rsid w:val="007D5C70"/>
    <w:rsid w:val="007D6847"/>
    <w:rsid w:val="007D685A"/>
    <w:rsid w:val="007D6A3C"/>
    <w:rsid w:val="007D6B32"/>
    <w:rsid w:val="007D6C1E"/>
    <w:rsid w:val="007D6E37"/>
    <w:rsid w:val="007D6FE0"/>
    <w:rsid w:val="007D732E"/>
    <w:rsid w:val="007D7838"/>
    <w:rsid w:val="007D7A79"/>
    <w:rsid w:val="007D7C27"/>
    <w:rsid w:val="007D7CD5"/>
    <w:rsid w:val="007E011D"/>
    <w:rsid w:val="007E01A8"/>
    <w:rsid w:val="007E0301"/>
    <w:rsid w:val="007E0633"/>
    <w:rsid w:val="007E168F"/>
    <w:rsid w:val="007E1DC6"/>
    <w:rsid w:val="007E2467"/>
    <w:rsid w:val="007E2B6A"/>
    <w:rsid w:val="007E2C1C"/>
    <w:rsid w:val="007E2D4B"/>
    <w:rsid w:val="007E2F6C"/>
    <w:rsid w:val="007E3986"/>
    <w:rsid w:val="007E3CE7"/>
    <w:rsid w:val="007E4508"/>
    <w:rsid w:val="007E46B0"/>
    <w:rsid w:val="007E47EF"/>
    <w:rsid w:val="007E498F"/>
    <w:rsid w:val="007E4CB4"/>
    <w:rsid w:val="007E4E0E"/>
    <w:rsid w:val="007E5491"/>
    <w:rsid w:val="007E595E"/>
    <w:rsid w:val="007E5A87"/>
    <w:rsid w:val="007E5B1A"/>
    <w:rsid w:val="007E6490"/>
    <w:rsid w:val="007E684B"/>
    <w:rsid w:val="007E6D86"/>
    <w:rsid w:val="007E701C"/>
    <w:rsid w:val="007E7577"/>
    <w:rsid w:val="007E765A"/>
    <w:rsid w:val="007E77AF"/>
    <w:rsid w:val="007E799B"/>
    <w:rsid w:val="007E79D4"/>
    <w:rsid w:val="007E7B77"/>
    <w:rsid w:val="007E7BBA"/>
    <w:rsid w:val="007E7DBD"/>
    <w:rsid w:val="007F01C1"/>
    <w:rsid w:val="007F02E7"/>
    <w:rsid w:val="007F0750"/>
    <w:rsid w:val="007F07A4"/>
    <w:rsid w:val="007F0843"/>
    <w:rsid w:val="007F0E6C"/>
    <w:rsid w:val="007F16D1"/>
    <w:rsid w:val="007F19D7"/>
    <w:rsid w:val="007F1A52"/>
    <w:rsid w:val="007F1D3D"/>
    <w:rsid w:val="007F231F"/>
    <w:rsid w:val="007F2B12"/>
    <w:rsid w:val="007F2C24"/>
    <w:rsid w:val="007F3AB7"/>
    <w:rsid w:val="007F3F27"/>
    <w:rsid w:val="007F40F5"/>
    <w:rsid w:val="007F4250"/>
    <w:rsid w:val="007F42A0"/>
    <w:rsid w:val="007F4622"/>
    <w:rsid w:val="007F4994"/>
    <w:rsid w:val="007F4F0B"/>
    <w:rsid w:val="007F4F93"/>
    <w:rsid w:val="007F555A"/>
    <w:rsid w:val="007F5771"/>
    <w:rsid w:val="007F5A72"/>
    <w:rsid w:val="007F640C"/>
    <w:rsid w:val="007F6AC6"/>
    <w:rsid w:val="007F6ECF"/>
    <w:rsid w:val="007F732C"/>
    <w:rsid w:val="007F7E36"/>
    <w:rsid w:val="008009B2"/>
    <w:rsid w:val="00800A0F"/>
    <w:rsid w:val="00800AD0"/>
    <w:rsid w:val="00800B53"/>
    <w:rsid w:val="00801283"/>
    <w:rsid w:val="00801C3D"/>
    <w:rsid w:val="00801D5E"/>
    <w:rsid w:val="00801D61"/>
    <w:rsid w:val="00802034"/>
    <w:rsid w:val="00802200"/>
    <w:rsid w:val="0080281F"/>
    <w:rsid w:val="0080288A"/>
    <w:rsid w:val="00802E87"/>
    <w:rsid w:val="0080321E"/>
    <w:rsid w:val="0080350F"/>
    <w:rsid w:val="008037D0"/>
    <w:rsid w:val="00803B21"/>
    <w:rsid w:val="0080412A"/>
    <w:rsid w:val="00804265"/>
    <w:rsid w:val="00804632"/>
    <w:rsid w:val="008048F6"/>
    <w:rsid w:val="0080576F"/>
    <w:rsid w:val="0080586A"/>
    <w:rsid w:val="0080614D"/>
    <w:rsid w:val="0080623D"/>
    <w:rsid w:val="008062C6"/>
    <w:rsid w:val="00806637"/>
    <w:rsid w:val="00807120"/>
    <w:rsid w:val="00807974"/>
    <w:rsid w:val="00807CB7"/>
    <w:rsid w:val="0081013F"/>
    <w:rsid w:val="00810942"/>
    <w:rsid w:val="0081094E"/>
    <w:rsid w:val="00810DDF"/>
    <w:rsid w:val="00811216"/>
    <w:rsid w:val="008124E4"/>
    <w:rsid w:val="00812558"/>
    <w:rsid w:val="0081271E"/>
    <w:rsid w:val="008127C4"/>
    <w:rsid w:val="00812986"/>
    <w:rsid w:val="0081299B"/>
    <w:rsid w:val="00812D14"/>
    <w:rsid w:val="00813259"/>
    <w:rsid w:val="008133F8"/>
    <w:rsid w:val="008136F9"/>
    <w:rsid w:val="00814011"/>
    <w:rsid w:val="00814368"/>
    <w:rsid w:val="008147C9"/>
    <w:rsid w:val="00814A68"/>
    <w:rsid w:val="00814BD2"/>
    <w:rsid w:val="00815CFF"/>
    <w:rsid w:val="00815E6D"/>
    <w:rsid w:val="0081636F"/>
    <w:rsid w:val="008168A4"/>
    <w:rsid w:val="008168E1"/>
    <w:rsid w:val="00816A50"/>
    <w:rsid w:val="0081707D"/>
    <w:rsid w:val="00817882"/>
    <w:rsid w:val="008179F8"/>
    <w:rsid w:val="00817DB0"/>
    <w:rsid w:val="00820151"/>
    <w:rsid w:val="00820215"/>
    <w:rsid w:val="008203F7"/>
    <w:rsid w:val="0082045A"/>
    <w:rsid w:val="00820B69"/>
    <w:rsid w:val="00820C9A"/>
    <w:rsid w:val="00820D36"/>
    <w:rsid w:val="00820D9F"/>
    <w:rsid w:val="0082165F"/>
    <w:rsid w:val="00821824"/>
    <w:rsid w:val="00821B34"/>
    <w:rsid w:val="00821BD6"/>
    <w:rsid w:val="00821D14"/>
    <w:rsid w:val="00821FCD"/>
    <w:rsid w:val="00822103"/>
    <w:rsid w:val="00822297"/>
    <w:rsid w:val="00822422"/>
    <w:rsid w:val="0082297E"/>
    <w:rsid w:val="00822D70"/>
    <w:rsid w:val="00822DD6"/>
    <w:rsid w:val="0082336B"/>
    <w:rsid w:val="008233DB"/>
    <w:rsid w:val="00823E8F"/>
    <w:rsid w:val="00823F5F"/>
    <w:rsid w:val="00824010"/>
    <w:rsid w:val="00824041"/>
    <w:rsid w:val="00824738"/>
    <w:rsid w:val="008248E1"/>
    <w:rsid w:val="00824B14"/>
    <w:rsid w:val="00824B95"/>
    <w:rsid w:val="00824E35"/>
    <w:rsid w:val="00826205"/>
    <w:rsid w:val="00826797"/>
    <w:rsid w:val="00826B37"/>
    <w:rsid w:val="00827147"/>
    <w:rsid w:val="00827298"/>
    <w:rsid w:val="008274FA"/>
    <w:rsid w:val="00827D41"/>
    <w:rsid w:val="008307EC"/>
    <w:rsid w:val="00830EA5"/>
    <w:rsid w:val="00831304"/>
    <w:rsid w:val="008317FF"/>
    <w:rsid w:val="00831928"/>
    <w:rsid w:val="00831942"/>
    <w:rsid w:val="00831D3A"/>
    <w:rsid w:val="00831F8D"/>
    <w:rsid w:val="00832269"/>
    <w:rsid w:val="0083234B"/>
    <w:rsid w:val="00832474"/>
    <w:rsid w:val="00832AAE"/>
    <w:rsid w:val="00832F69"/>
    <w:rsid w:val="0083326F"/>
    <w:rsid w:val="00833A4C"/>
    <w:rsid w:val="00833F2E"/>
    <w:rsid w:val="00834017"/>
    <w:rsid w:val="00834076"/>
    <w:rsid w:val="008341A2"/>
    <w:rsid w:val="00834379"/>
    <w:rsid w:val="00834506"/>
    <w:rsid w:val="008349E3"/>
    <w:rsid w:val="00835998"/>
    <w:rsid w:val="0083677C"/>
    <w:rsid w:val="00836A21"/>
    <w:rsid w:val="0083726F"/>
    <w:rsid w:val="00837A64"/>
    <w:rsid w:val="00837FEA"/>
    <w:rsid w:val="00840080"/>
    <w:rsid w:val="008400C5"/>
    <w:rsid w:val="0084024D"/>
    <w:rsid w:val="00840262"/>
    <w:rsid w:val="0084065D"/>
    <w:rsid w:val="0084098E"/>
    <w:rsid w:val="00840DB3"/>
    <w:rsid w:val="008415E4"/>
    <w:rsid w:val="008417AC"/>
    <w:rsid w:val="008420FA"/>
    <w:rsid w:val="00842C9E"/>
    <w:rsid w:val="00842EDA"/>
    <w:rsid w:val="00843948"/>
    <w:rsid w:val="00843E19"/>
    <w:rsid w:val="00843F08"/>
    <w:rsid w:val="008442C4"/>
    <w:rsid w:val="008451A8"/>
    <w:rsid w:val="008454C5"/>
    <w:rsid w:val="008455BF"/>
    <w:rsid w:val="008455F9"/>
    <w:rsid w:val="00845E51"/>
    <w:rsid w:val="00846969"/>
    <w:rsid w:val="00846B60"/>
    <w:rsid w:val="00846CFC"/>
    <w:rsid w:val="00847231"/>
    <w:rsid w:val="00847363"/>
    <w:rsid w:val="00847BD9"/>
    <w:rsid w:val="00847CD1"/>
    <w:rsid w:val="00847F79"/>
    <w:rsid w:val="00847FA7"/>
    <w:rsid w:val="008500F3"/>
    <w:rsid w:val="008502BB"/>
    <w:rsid w:val="008504EA"/>
    <w:rsid w:val="00850757"/>
    <w:rsid w:val="00850BCC"/>
    <w:rsid w:val="00850BDE"/>
    <w:rsid w:val="00850BE8"/>
    <w:rsid w:val="00850FF1"/>
    <w:rsid w:val="008515D3"/>
    <w:rsid w:val="008517AE"/>
    <w:rsid w:val="0085188D"/>
    <w:rsid w:val="00851CA5"/>
    <w:rsid w:val="00851CDA"/>
    <w:rsid w:val="00852343"/>
    <w:rsid w:val="0085263D"/>
    <w:rsid w:val="00852967"/>
    <w:rsid w:val="00852B48"/>
    <w:rsid w:val="008533ED"/>
    <w:rsid w:val="0085345D"/>
    <w:rsid w:val="008536DB"/>
    <w:rsid w:val="0085395C"/>
    <w:rsid w:val="00853A94"/>
    <w:rsid w:val="00854250"/>
    <w:rsid w:val="00854438"/>
    <w:rsid w:val="00854855"/>
    <w:rsid w:val="00854C06"/>
    <w:rsid w:val="00854CD2"/>
    <w:rsid w:val="00854F8A"/>
    <w:rsid w:val="00854FE3"/>
    <w:rsid w:val="00855336"/>
    <w:rsid w:val="00855D96"/>
    <w:rsid w:val="0085688A"/>
    <w:rsid w:val="00856ADB"/>
    <w:rsid w:val="00856E0B"/>
    <w:rsid w:val="00856E29"/>
    <w:rsid w:val="00856E42"/>
    <w:rsid w:val="00856E6D"/>
    <w:rsid w:val="00857467"/>
    <w:rsid w:val="008575B0"/>
    <w:rsid w:val="0085765E"/>
    <w:rsid w:val="008577CB"/>
    <w:rsid w:val="008579D3"/>
    <w:rsid w:val="008579EF"/>
    <w:rsid w:val="00857D16"/>
    <w:rsid w:val="00857D22"/>
    <w:rsid w:val="00860158"/>
    <w:rsid w:val="00860345"/>
    <w:rsid w:val="00860ABA"/>
    <w:rsid w:val="008616AF"/>
    <w:rsid w:val="0086173B"/>
    <w:rsid w:val="0086214E"/>
    <w:rsid w:val="00863538"/>
    <w:rsid w:val="00863F0A"/>
    <w:rsid w:val="008640E2"/>
    <w:rsid w:val="008644E6"/>
    <w:rsid w:val="0086473A"/>
    <w:rsid w:val="00864F48"/>
    <w:rsid w:val="00865050"/>
    <w:rsid w:val="008654E8"/>
    <w:rsid w:val="00865FD4"/>
    <w:rsid w:val="0086604A"/>
    <w:rsid w:val="00866197"/>
    <w:rsid w:val="00866280"/>
    <w:rsid w:val="00866EEA"/>
    <w:rsid w:val="0086708C"/>
    <w:rsid w:val="00867516"/>
    <w:rsid w:val="00867707"/>
    <w:rsid w:val="00870590"/>
    <w:rsid w:val="008709D9"/>
    <w:rsid w:val="00870DE2"/>
    <w:rsid w:val="00870F82"/>
    <w:rsid w:val="00871644"/>
    <w:rsid w:val="00871822"/>
    <w:rsid w:val="00871AE7"/>
    <w:rsid w:val="00871F0B"/>
    <w:rsid w:val="00872858"/>
    <w:rsid w:val="008728FD"/>
    <w:rsid w:val="008735E9"/>
    <w:rsid w:val="008737D0"/>
    <w:rsid w:val="00873E88"/>
    <w:rsid w:val="00873EE9"/>
    <w:rsid w:val="00873F2B"/>
    <w:rsid w:val="0087436B"/>
    <w:rsid w:val="008745D2"/>
    <w:rsid w:val="00875068"/>
    <w:rsid w:val="00875A0B"/>
    <w:rsid w:val="00875AFC"/>
    <w:rsid w:val="00875B7B"/>
    <w:rsid w:val="00875D29"/>
    <w:rsid w:val="00875E5B"/>
    <w:rsid w:val="00875ED9"/>
    <w:rsid w:val="00875FCC"/>
    <w:rsid w:val="00876376"/>
    <w:rsid w:val="00876534"/>
    <w:rsid w:val="00876641"/>
    <w:rsid w:val="008766EB"/>
    <w:rsid w:val="00877B71"/>
    <w:rsid w:val="00877ED8"/>
    <w:rsid w:val="00877FE0"/>
    <w:rsid w:val="008806C2"/>
    <w:rsid w:val="008806C6"/>
    <w:rsid w:val="00880A2D"/>
    <w:rsid w:val="00880BBB"/>
    <w:rsid w:val="00880CE8"/>
    <w:rsid w:val="00880EED"/>
    <w:rsid w:val="008810C9"/>
    <w:rsid w:val="0088114C"/>
    <w:rsid w:val="008815DD"/>
    <w:rsid w:val="00881630"/>
    <w:rsid w:val="008819AD"/>
    <w:rsid w:val="00881CCD"/>
    <w:rsid w:val="00882343"/>
    <w:rsid w:val="0088256D"/>
    <w:rsid w:val="00882689"/>
    <w:rsid w:val="0088295C"/>
    <w:rsid w:val="00882AD9"/>
    <w:rsid w:val="00883537"/>
    <w:rsid w:val="0088439F"/>
    <w:rsid w:val="00884F46"/>
    <w:rsid w:val="008850BB"/>
    <w:rsid w:val="00885144"/>
    <w:rsid w:val="008857E2"/>
    <w:rsid w:val="008859DA"/>
    <w:rsid w:val="00885A35"/>
    <w:rsid w:val="00885D2B"/>
    <w:rsid w:val="00886BB5"/>
    <w:rsid w:val="00886C5A"/>
    <w:rsid w:val="00887022"/>
    <w:rsid w:val="00887099"/>
    <w:rsid w:val="00887141"/>
    <w:rsid w:val="00887477"/>
    <w:rsid w:val="008905C1"/>
    <w:rsid w:val="00890F9A"/>
    <w:rsid w:val="0089189F"/>
    <w:rsid w:val="00891A2F"/>
    <w:rsid w:val="008920DF"/>
    <w:rsid w:val="008930B7"/>
    <w:rsid w:val="0089318D"/>
    <w:rsid w:val="008932F0"/>
    <w:rsid w:val="008933A3"/>
    <w:rsid w:val="008933FF"/>
    <w:rsid w:val="00894148"/>
    <w:rsid w:val="00894446"/>
    <w:rsid w:val="00894658"/>
    <w:rsid w:val="0089470F"/>
    <w:rsid w:val="008947FC"/>
    <w:rsid w:val="00894827"/>
    <w:rsid w:val="0089533B"/>
    <w:rsid w:val="00895441"/>
    <w:rsid w:val="00895C5F"/>
    <w:rsid w:val="00896294"/>
    <w:rsid w:val="008962A9"/>
    <w:rsid w:val="00896729"/>
    <w:rsid w:val="00896A84"/>
    <w:rsid w:val="00897340"/>
    <w:rsid w:val="00897CAF"/>
    <w:rsid w:val="008A0300"/>
    <w:rsid w:val="008A04D5"/>
    <w:rsid w:val="008A0C23"/>
    <w:rsid w:val="008A0D59"/>
    <w:rsid w:val="008A1117"/>
    <w:rsid w:val="008A1265"/>
    <w:rsid w:val="008A16F4"/>
    <w:rsid w:val="008A1B2D"/>
    <w:rsid w:val="008A1BBF"/>
    <w:rsid w:val="008A1DAA"/>
    <w:rsid w:val="008A214E"/>
    <w:rsid w:val="008A22C5"/>
    <w:rsid w:val="008A266B"/>
    <w:rsid w:val="008A2883"/>
    <w:rsid w:val="008A2FF0"/>
    <w:rsid w:val="008A3038"/>
    <w:rsid w:val="008A31BC"/>
    <w:rsid w:val="008A3C72"/>
    <w:rsid w:val="008A3EFB"/>
    <w:rsid w:val="008A4104"/>
    <w:rsid w:val="008A4238"/>
    <w:rsid w:val="008A424F"/>
    <w:rsid w:val="008A46CC"/>
    <w:rsid w:val="008A491E"/>
    <w:rsid w:val="008A4CFA"/>
    <w:rsid w:val="008A52F2"/>
    <w:rsid w:val="008A531C"/>
    <w:rsid w:val="008A5444"/>
    <w:rsid w:val="008A54FA"/>
    <w:rsid w:val="008A553C"/>
    <w:rsid w:val="008A56D1"/>
    <w:rsid w:val="008A5988"/>
    <w:rsid w:val="008A5EA1"/>
    <w:rsid w:val="008A61AE"/>
    <w:rsid w:val="008A6396"/>
    <w:rsid w:val="008A6F7A"/>
    <w:rsid w:val="008A73BB"/>
    <w:rsid w:val="008B0AFC"/>
    <w:rsid w:val="008B105D"/>
    <w:rsid w:val="008B14DA"/>
    <w:rsid w:val="008B164C"/>
    <w:rsid w:val="008B1766"/>
    <w:rsid w:val="008B17BD"/>
    <w:rsid w:val="008B19E0"/>
    <w:rsid w:val="008B1D53"/>
    <w:rsid w:val="008B2187"/>
    <w:rsid w:val="008B22EF"/>
    <w:rsid w:val="008B22F7"/>
    <w:rsid w:val="008B2334"/>
    <w:rsid w:val="008B2D05"/>
    <w:rsid w:val="008B307C"/>
    <w:rsid w:val="008B31C2"/>
    <w:rsid w:val="008B3778"/>
    <w:rsid w:val="008B39EE"/>
    <w:rsid w:val="008B39F1"/>
    <w:rsid w:val="008B3A63"/>
    <w:rsid w:val="008B3C11"/>
    <w:rsid w:val="008B3D41"/>
    <w:rsid w:val="008B45A5"/>
    <w:rsid w:val="008B47DF"/>
    <w:rsid w:val="008B4CF5"/>
    <w:rsid w:val="008B4D19"/>
    <w:rsid w:val="008B4EB1"/>
    <w:rsid w:val="008B4FA3"/>
    <w:rsid w:val="008B5428"/>
    <w:rsid w:val="008B57D2"/>
    <w:rsid w:val="008B5E82"/>
    <w:rsid w:val="008B655A"/>
    <w:rsid w:val="008B6A3C"/>
    <w:rsid w:val="008B71C7"/>
    <w:rsid w:val="008B76F3"/>
    <w:rsid w:val="008B77B6"/>
    <w:rsid w:val="008B7B01"/>
    <w:rsid w:val="008B7D9E"/>
    <w:rsid w:val="008B7FC9"/>
    <w:rsid w:val="008C0A6B"/>
    <w:rsid w:val="008C0B5F"/>
    <w:rsid w:val="008C104C"/>
    <w:rsid w:val="008C12FA"/>
    <w:rsid w:val="008C1403"/>
    <w:rsid w:val="008C140C"/>
    <w:rsid w:val="008C1603"/>
    <w:rsid w:val="008C1833"/>
    <w:rsid w:val="008C1A34"/>
    <w:rsid w:val="008C1DCD"/>
    <w:rsid w:val="008C1EB4"/>
    <w:rsid w:val="008C2140"/>
    <w:rsid w:val="008C2749"/>
    <w:rsid w:val="008C2B33"/>
    <w:rsid w:val="008C30FF"/>
    <w:rsid w:val="008C3183"/>
    <w:rsid w:val="008C31BC"/>
    <w:rsid w:val="008C33D1"/>
    <w:rsid w:val="008C3428"/>
    <w:rsid w:val="008C37E0"/>
    <w:rsid w:val="008C37E1"/>
    <w:rsid w:val="008C3AAD"/>
    <w:rsid w:val="008C3D07"/>
    <w:rsid w:val="008C4555"/>
    <w:rsid w:val="008C48B1"/>
    <w:rsid w:val="008C4E6F"/>
    <w:rsid w:val="008C4F64"/>
    <w:rsid w:val="008C4F6A"/>
    <w:rsid w:val="008C5088"/>
    <w:rsid w:val="008C5C35"/>
    <w:rsid w:val="008C6085"/>
    <w:rsid w:val="008C6494"/>
    <w:rsid w:val="008C678C"/>
    <w:rsid w:val="008C6BF7"/>
    <w:rsid w:val="008C7994"/>
    <w:rsid w:val="008D010C"/>
    <w:rsid w:val="008D1457"/>
    <w:rsid w:val="008D1826"/>
    <w:rsid w:val="008D1F3A"/>
    <w:rsid w:val="008D21DE"/>
    <w:rsid w:val="008D2266"/>
    <w:rsid w:val="008D23AE"/>
    <w:rsid w:val="008D26FC"/>
    <w:rsid w:val="008D2AB4"/>
    <w:rsid w:val="008D2E7C"/>
    <w:rsid w:val="008D3040"/>
    <w:rsid w:val="008D36AC"/>
    <w:rsid w:val="008D3DA8"/>
    <w:rsid w:val="008D4104"/>
    <w:rsid w:val="008D4340"/>
    <w:rsid w:val="008D4413"/>
    <w:rsid w:val="008D4AAE"/>
    <w:rsid w:val="008D4F81"/>
    <w:rsid w:val="008D5180"/>
    <w:rsid w:val="008D5C52"/>
    <w:rsid w:val="008D5C59"/>
    <w:rsid w:val="008D5CF1"/>
    <w:rsid w:val="008D63CD"/>
    <w:rsid w:val="008D670F"/>
    <w:rsid w:val="008D678C"/>
    <w:rsid w:val="008D6977"/>
    <w:rsid w:val="008D6BC7"/>
    <w:rsid w:val="008D6D10"/>
    <w:rsid w:val="008D75BC"/>
    <w:rsid w:val="008D77EF"/>
    <w:rsid w:val="008D7954"/>
    <w:rsid w:val="008E00EB"/>
    <w:rsid w:val="008E01C7"/>
    <w:rsid w:val="008E0219"/>
    <w:rsid w:val="008E047F"/>
    <w:rsid w:val="008E05E2"/>
    <w:rsid w:val="008E08D5"/>
    <w:rsid w:val="008E0D83"/>
    <w:rsid w:val="008E1125"/>
    <w:rsid w:val="008E12E4"/>
    <w:rsid w:val="008E160E"/>
    <w:rsid w:val="008E1DD1"/>
    <w:rsid w:val="008E1FE8"/>
    <w:rsid w:val="008E25BA"/>
    <w:rsid w:val="008E2C14"/>
    <w:rsid w:val="008E2CE9"/>
    <w:rsid w:val="008E345D"/>
    <w:rsid w:val="008E3467"/>
    <w:rsid w:val="008E3489"/>
    <w:rsid w:val="008E34AC"/>
    <w:rsid w:val="008E38A8"/>
    <w:rsid w:val="008E3980"/>
    <w:rsid w:val="008E3B9F"/>
    <w:rsid w:val="008E3D10"/>
    <w:rsid w:val="008E3EFD"/>
    <w:rsid w:val="008E4179"/>
    <w:rsid w:val="008E430C"/>
    <w:rsid w:val="008E4454"/>
    <w:rsid w:val="008E46A1"/>
    <w:rsid w:val="008E4C1C"/>
    <w:rsid w:val="008E4DF3"/>
    <w:rsid w:val="008E4F79"/>
    <w:rsid w:val="008E578A"/>
    <w:rsid w:val="008E5ABE"/>
    <w:rsid w:val="008E5AEE"/>
    <w:rsid w:val="008E5C76"/>
    <w:rsid w:val="008E5CB9"/>
    <w:rsid w:val="008E6154"/>
    <w:rsid w:val="008E628E"/>
    <w:rsid w:val="008E662B"/>
    <w:rsid w:val="008E698B"/>
    <w:rsid w:val="008E6B86"/>
    <w:rsid w:val="008E6F01"/>
    <w:rsid w:val="008E73DF"/>
    <w:rsid w:val="008E76FD"/>
    <w:rsid w:val="008E7D2F"/>
    <w:rsid w:val="008E7F5A"/>
    <w:rsid w:val="008F013A"/>
    <w:rsid w:val="008F02D5"/>
    <w:rsid w:val="008F0DE9"/>
    <w:rsid w:val="008F11DE"/>
    <w:rsid w:val="008F1713"/>
    <w:rsid w:val="008F174E"/>
    <w:rsid w:val="008F1A15"/>
    <w:rsid w:val="008F1B26"/>
    <w:rsid w:val="008F1EA6"/>
    <w:rsid w:val="008F2056"/>
    <w:rsid w:val="008F213B"/>
    <w:rsid w:val="008F2680"/>
    <w:rsid w:val="008F2D73"/>
    <w:rsid w:val="008F2D9F"/>
    <w:rsid w:val="008F323B"/>
    <w:rsid w:val="008F3C4C"/>
    <w:rsid w:val="008F3C6F"/>
    <w:rsid w:val="008F472D"/>
    <w:rsid w:val="008F4A39"/>
    <w:rsid w:val="008F4CC4"/>
    <w:rsid w:val="008F4E5C"/>
    <w:rsid w:val="008F4EC3"/>
    <w:rsid w:val="008F5580"/>
    <w:rsid w:val="008F55CA"/>
    <w:rsid w:val="008F576C"/>
    <w:rsid w:val="008F57CC"/>
    <w:rsid w:val="008F5BC7"/>
    <w:rsid w:val="008F5BDB"/>
    <w:rsid w:val="008F613E"/>
    <w:rsid w:val="008F6358"/>
    <w:rsid w:val="008F6416"/>
    <w:rsid w:val="008F68AE"/>
    <w:rsid w:val="008F6A90"/>
    <w:rsid w:val="008F6BA0"/>
    <w:rsid w:val="008F6BFD"/>
    <w:rsid w:val="008F6E08"/>
    <w:rsid w:val="008F7047"/>
    <w:rsid w:val="008F7197"/>
    <w:rsid w:val="008F7A68"/>
    <w:rsid w:val="008F7EE3"/>
    <w:rsid w:val="0090015D"/>
    <w:rsid w:val="009004A6"/>
    <w:rsid w:val="0090050B"/>
    <w:rsid w:val="0090112F"/>
    <w:rsid w:val="00901F2C"/>
    <w:rsid w:val="0090228F"/>
    <w:rsid w:val="009024A3"/>
    <w:rsid w:val="00902B8D"/>
    <w:rsid w:val="009030AC"/>
    <w:rsid w:val="00903626"/>
    <w:rsid w:val="00903F36"/>
    <w:rsid w:val="00904C7A"/>
    <w:rsid w:val="00904F1F"/>
    <w:rsid w:val="00905018"/>
    <w:rsid w:val="00905114"/>
    <w:rsid w:val="0090578D"/>
    <w:rsid w:val="00905A1E"/>
    <w:rsid w:val="00905D72"/>
    <w:rsid w:val="00906815"/>
    <w:rsid w:val="00907139"/>
    <w:rsid w:val="009075A1"/>
    <w:rsid w:val="00907747"/>
    <w:rsid w:val="009077D2"/>
    <w:rsid w:val="0091055F"/>
    <w:rsid w:val="00910723"/>
    <w:rsid w:val="00910A8F"/>
    <w:rsid w:val="00910CAA"/>
    <w:rsid w:val="00910DF2"/>
    <w:rsid w:val="00910F8D"/>
    <w:rsid w:val="009122D8"/>
    <w:rsid w:val="009127F8"/>
    <w:rsid w:val="00912DAE"/>
    <w:rsid w:val="00913578"/>
    <w:rsid w:val="00913641"/>
    <w:rsid w:val="00914879"/>
    <w:rsid w:val="00914DD1"/>
    <w:rsid w:val="00915758"/>
    <w:rsid w:val="00915970"/>
    <w:rsid w:val="00915AF9"/>
    <w:rsid w:val="00915B78"/>
    <w:rsid w:val="0091604B"/>
    <w:rsid w:val="0091618F"/>
    <w:rsid w:val="00917168"/>
    <w:rsid w:val="00917186"/>
    <w:rsid w:val="00917273"/>
    <w:rsid w:val="009174DE"/>
    <w:rsid w:val="00917A5D"/>
    <w:rsid w:val="0092047A"/>
    <w:rsid w:val="009209B0"/>
    <w:rsid w:val="00920E88"/>
    <w:rsid w:val="009210AE"/>
    <w:rsid w:val="009214C3"/>
    <w:rsid w:val="0092174F"/>
    <w:rsid w:val="0092176A"/>
    <w:rsid w:val="00921809"/>
    <w:rsid w:val="00921C1A"/>
    <w:rsid w:val="00921D1F"/>
    <w:rsid w:val="00921EA4"/>
    <w:rsid w:val="0092354C"/>
    <w:rsid w:val="009235F9"/>
    <w:rsid w:val="00923BA2"/>
    <w:rsid w:val="00923C41"/>
    <w:rsid w:val="0092426F"/>
    <w:rsid w:val="009243B3"/>
    <w:rsid w:val="009247AB"/>
    <w:rsid w:val="00924959"/>
    <w:rsid w:val="009249E0"/>
    <w:rsid w:val="009249F4"/>
    <w:rsid w:val="00924A4F"/>
    <w:rsid w:val="00924FD9"/>
    <w:rsid w:val="0092515D"/>
    <w:rsid w:val="00925212"/>
    <w:rsid w:val="009256B2"/>
    <w:rsid w:val="0092590B"/>
    <w:rsid w:val="0092595A"/>
    <w:rsid w:val="009259D6"/>
    <w:rsid w:val="00925C0A"/>
    <w:rsid w:val="00926157"/>
    <w:rsid w:val="009267E5"/>
    <w:rsid w:val="00926C32"/>
    <w:rsid w:val="00927325"/>
    <w:rsid w:val="00927FE2"/>
    <w:rsid w:val="009305DE"/>
    <w:rsid w:val="00930773"/>
    <w:rsid w:val="00930A77"/>
    <w:rsid w:val="00930B8E"/>
    <w:rsid w:val="00930CD4"/>
    <w:rsid w:val="00931A29"/>
    <w:rsid w:val="00931C4E"/>
    <w:rsid w:val="00931DE5"/>
    <w:rsid w:val="00932436"/>
    <w:rsid w:val="00932572"/>
    <w:rsid w:val="00932698"/>
    <w:rsid w:val="0093290F"/>
    <w:rsid w:val="0093298D"/>
    <w:rsid w:val="00932E8E"/>
    <w:rsid w:val="009332BC"/>
    <w:rsid w:val="00933A22"/>
    <w:rsid w:val="00933B37"/>
    <w:rsid w:val="00933FD3"/>
    <w:rsid w:val="00934465"/>
    <w:rsid w:val="00934C86"/>
    <w:rsid w:val="009350B2"/>
    <w:rsid w:val="00935473"/>
    <w:rsid w:val="00935955"/>
    <w:rsid w:val="00935D11"/>
    <w:rsid w:val="0093602E"/>
    <w:rsid w:val="0093603B"/>
    <w:rsid w:val="00936666"/>
    <w:rsid w:val="00936C8C"/>
    <w:rsid w:val="00936D5F"/>
    <w:rsid w:val="0093700B"/>
    <w:rsid w:val="00937254"/>
    <w:rsid w:val="0093742A"/>
    <w:rsid w:val="009375CF"/>
    <w:rsid w:val="00937704"/>
    <w:rsid w:val="0093784B"/>
    <w:rsid w:val="00937B92"/>
    <w:rsid w:val="00937FC1"/>
    <w:rsid w:val="009402A8"/>
    <w:rsid w:val="009402C8"/>
    <w:rsid w:val="00940365"/>
    <w:rsid w:val="0094085F"/>
    <w:rsid w:val="00941444"/>
    <w:rsid w:val="0094213B"/>
    <w:rsid w:val="009421D9"/>
    <w:rsid w:val="00942421"/>
    <w:rsid w:val="009425E2"/>
    <w:rsid w:val="009428DD"/>
    <w:rsid w:val="00942C07"/>
    <w:rsid w:val="00942C92"/>
    <w:rsid w:val="00942E12"/>
    <w:rsid w:val="00942F0E"/>
    <w:rsid w:val="009438D1"/>
    <w:rsid w:val="00943C13"/>
    <w:rsid w:val="0094416F"/>
    <w:rsid w:val="00944351"/>
    <w:rsid w:val="009445E9"/>
    <w:rsid w:val="00944957"/>
    <w:rsid w:val="00944A3B"/>
    <w:rsid w:val="009451ED"/>
    <w:rsid w:val="009459F9"/>
    <w:rsid w:val="00945B48"/>
    <w:rsid w:val="00945BCA"/>
    <w:rsid w:val="00946199"/>
    <w:rsid w:val="009463F5"/>
    <w:rsid w:val="00946862"/>
    <w:rsid w:val="009468FB"/>
    <w:rsid w:val="00946AFA"/>
    <w:rsid w:val="009477AE"/>
    <w:rsid w:val="00947832"/>
    <w:rsid w:val="00947CF4"/>
    <w:rsid w:val="00947E53"/>
    <w:rsid w:val="00950594"/>
    <w:rsid w:val="0095083A"/>
    <w:rsid w:val="0095088F"/>
    <w:rsid w:val="00950A90"/>
    <w:rsid w:val="00950DFE"/>
    <w:rsid w:val="00951493"/>
    <w:rsid w:val="00951495"/>
    <w:rsid w:val="00951866"/>
    <w:rsid w:val="009519FD"/>
    <w:rsid w:val="00951AD0"/>
    <w:rsid w:val="00951AE5"/>
    <w:rsid w:val="00952289"/>
    <w:rsid w:val="009526F9"/>
    <w:rsid w:val="00952896"/>
    <w:rsid w:val="0095338E"/>
    <w:rsid w:val="00953903"/>
    <w:rsid w:val="00953C5B"/>
    <w:rsid w:val="00953D24"/>
    <w:rsid w:val="00953D66"/>
    <w:rsid w:val="00953DF4"/>
    <w:rsid w:val="00953F13"/>
    <w:rsid w:val="00954155"/>
    <w:rsid w:val="009545CD"/>
    <w:rsid w:val="0095489B"/>
    <w:rsid w:val="00954C31"/>
    <w:rsid w:val="00954D02"/>
    <w:rsid w:val="009550CC"/>
    <w:rsid w:val="009559E9"/>
    <w:rsid w:val="00955A14"/>
    <w:rsid w:val="00955A53"/>
    <w:rsid w:val="00955A57"/>
    <w:rsid w:val="009564B2"/>
    <w:rsid w:val="009567A8"/>
    <w:rsid w:val="00956BA7"/>
    <w:rsid w:val="00956C60"/>
    <w:rsid w:val="00956C68"/>
    <w:rsid w:val="009575C4"/>
    <w:rsid w:val="00957830"/>
    <w:rsid w:val="009579AC"/>
    <w:rsid w:val="0096047F"/>
    <w:rsid w:val="009606EF"/>
    <w:rsid w:val="00961019"/>
    <w:rsid w:val="009613B2"/>
    <w:rsid w:val="00961439"/>
    <w:rsid w:val="00961642"/>
    <w:rsid w:val="009622E0"/>
    <w:rsid w:val="009623B4"/>
    <w:rsid w:val="009629FA"/>
    <w:rsid w:val="00962B51"/>
    <w:rsid w:val="00962CAF"/>
    <w:rsid w:val="00962F5D"/>
    <w:rsid w:val="0096372B"/>
    <w:rsid w:val="00963741"/>
    <w:rsid w:val="009638A6"/>
    <w:rsid w:val="00963F15"/>
    <w:rsid w:val="00964301"/>
    <w:rsid w:val="009647D5"/>
    <w:rsid w:val="00964CF2"/>
    <w:rsid w:val="0096500A"/>
    <w:rsid w:val="009650B9"/>
    <w:rsid w:val="009654FA"/>
    <w:rsid w:val="00965816"/>
    <w:rsid w:val="00965A50"/>
    <w:rsid w:val="00965AD6"/>
    <w:rsid w:val="009660BE"/>
    <w:rsid w:val="009662A2"/>
    <w:rsid w:val="009662A3"/>
    <w:rsid w:val="00966492"/>
    <w:rsid w:val="00966569"/>
    <w:rsid w:val="009666F6"/>
    <w:rsid w:val="0096677A"/>
    <w:rsid w:val="00966FF2"/>
    <w:rsid w:val="00967177"/>
    <w:rsid w:val="00967740"/>
    <w:rsid w:val="00967865"/>
    <w:rsid w:val="009704C6"/>
    <w:rsid w:val="00970892"/>
    <w:rsid w:val="00970C9F"/>
    <w:rsid w:val="00970F6F"/>
    <w:rsid w:val="00971188"/>
    <w:rsid w:val="0097164A"/>
    <w:rsid w:val="0097188B"/>
    <w:rsid w:val="00971A0D"/>
    <w:rsid w:val="00971AAF"/>
    <w:rsid w:val="00971CAB"/>
    <w:rsid w:val="00971EEA"/>
    <w:rsid w:val="00972017"/>
    <w:rsid w:val="00972216"/>
    <w:rsid w:val="009728BB"/>
    <w:rsid w:val="009729F0"/>
    <w:rsid w:val="00973203"/>
    <w:rsid w:val="009734AA"/>
    <w:rsid w:val="009734DB"/>
    <w:rsid w:val="009734DD"/>
    <w:rsid w:val="009739D1"/>
    <w:rsid w:val="00973AFC"/>
    <w:rsid w:val="00973C74"/>
    <w:rsid w:val="00973FFA"/>
    <w:rsid w:val="009746AC"/>
    <w:rsid w:val="00974774"/>
    <w:rsid w:val="00974AAC"/>
    <w:rsid w:val="00974CD4"/>
    <w:rsid w:val="00974FDE"/>
    <w:rsid w:val="009769DD"/>
    <w:rsid w:val="00976CA6"/>
    <w:rsid w:val="00976DCA"/>
    <w:rsid w:val="00976DF0"/>
    <w:rsid w:val="00977360"/>
    <w:rsid w:val="009773B5"/>
    <w:rsid w:val="00977DB9"/>
    <w:rsid w:val="00980B86"/>
    <w:rsid w:val="00981072"/>
    <w:rsid w:val="009812A1"/>
    <w:rsid w:val="009812C8"/>
    <w:rsid w:val="00981681"/>
    <w:rsid w:val="00981A73"/>
    <w:rsid w:val="00981EE7"/>
    <w:rsid w:val="00981EF0"/>
    <w:rsid w:val="009828DB"/>
    <w:rsid w:val="00982D0B"/>
    <w:rsid w:val="009831B3"/>
    <w:rsid w:val="0098323F"/>
    <w:rsid w:val="00983F04"/>
    <w:rsid w:val="0098457D"/>
    <w:rsid w:val="009848E1"/>
    <w:rsid w:val="009849CC"/>
    <w:rsid w:val="00984B80"/>
    <w:rsid w:val="009854D2"/>
    <w:rsid w:val="00985C91"/>
    <w:rsid w:val="00985EF6"/>
    <w:rsid w:val="00986780"/>
    <w:rsid w:val="0098697A"/>
    <w:rsid w:val="00986A9B"/>
    <w:rsid w:val="00986AA3"/>
    <w:rsid w:val="00986DB3"/>
    <w:rsid w:val="00986E8F"/>
    <w:rsid w:val="009870AF"/>
    <w:rsid w:val="0098742E"/>
    <w:rsid w:val="00987435"/>
    <w:rsid w:val="00987C9C"/>
    <w:rsid w:val="00987D65"/>
    <w:rsid w:val="009901AE"/>
    <w:rsid w:val="00990264"/>
    <w:rsid w:val="00990290"/>
    <w:rsid w:val="009905C7"/>
    <w:rsid w:val="0099075C"/>
    <w:rsid w:val="009907B1"/>
    <w:rsid w:val="009908E7"/>
    <w:rsid w:val="009909F3"/>
    <w:rsid w:val="00990A61"/>
    <w:rsid w:val="00990C99"/>
    <w:rsid w:val="0099177E"/>
    <w:rsid w:val="0099185E"/>
    <w:rsid w:val="00991D97"/>
    <w:rsid w:val="009923C6"/>
    <w:rsid w:val="0099264E"/>
    <w:rsid w:val="00992E4D"/>
    <w:rsid w:val="00993384"/>
    <w:rsid w:val="009937FE"/>
    <w:rsid w:val="009938AF"/>
    <w:rsid w:val="00993B48"/>
    <w:rsid w:val="00993E5C"/>
    <w:rsid w:val="00993EF7"/>
    <w:rsid w:val="00993F16"/>
    <w:rsid w:val="009945E7"/>
    <w:rsid w:val="00994951"/>
    <w:rsid w:val="00994F00"/>
    <w:rsid w:val="0099564B"/>
    <w:rsid w:val="009958CF"/>
    <w:rsid w:val="00995B1C"/>
    <w:rsid w:val="00995C13"/>
    <w:rsid w:val="00995CD0"/>
    <w:rsid w:val="00995D4C"/>
    <w:rsid w:val="00995D8A"/>
    <w:rsid w:val="00995FC3"/>
    <w:rsid w:val="00996157"/>
    <w:rsid w:val="009962B3"/>
    <w:rsid w:val="00997364"/>
    <w:rsid w:val="009975F6"/>
    <w:rsid w:val="00997AE3"/>
    <w:rsid w:val="00997B39"/>
    <w:rsid w:val="009A0A36"/>
    <w:rsid w:val="009A0A66"/>
    <w:rsid w:val="009A0B4D"/>
    <w:rsid w:val="009A0C82"/>
    <w:rsid w:val="009A1375"/>
    <w:rsid w:val="009A16E5"/>
    <w:rsid w:val="009A178C"/>
    <w:rsid w:val="009A1834"/>
    <w:rsid w:val="009A1968"/>
    <w:rsid w:val="009A2250"/>
    <w:rsid w:val="009A22B4"/>
    <w:rsid w:val="009A256D"/>
    <w:rsid w:val="009A314C"/>
    <w:rsid w:val="009A3254"/>
    <w:rsid w:val="009A33BD"/>
    <w:rsid w:val="009A352B"/>
    <w:rsid w:val="009A377B"/>
    <w:rsid w:val="009A38C4"/>
    <w:rsid w:val="009A3BCD"/>
    <w:rsid w:val="009A3BD1"/>
    <w:rsid w:val="009A3D4A"/>
    <w:rsid w:val="009A3E2F"/>
    <w:rsid w:val="009A41B8"/>
    <w:rsid w:val="009A41C9"/>
    <w:rsid w:val="009A41E4"/>
    <w:rsid w:val="009A43A9"/>
    <w:rsid w:val="009A4411"/>
    <w:rsid w:val="009A448A"/>
    <w:rsid w:val="009A4627"/>
    <w:rsid w:val="009A4F10"/>
    <w:rsid w:val="009A51C1"/>
    <w:rsid w:val="009A52C0"/>
    <w:rsid w:val="009A53FF"/>
    <w:rsid w:val="009A542D"/>
    <w:rsid w:val="009A57C7"/>
    <w:rsid w:val="009A582B"/>
    <w:rsid w:val="009A58A2"/>
    <w:rsid w:val="009A59B6"/>
    <w:rsid w:val="009A5B1C"/>
    <w:rsid w:val="009A5C60"/>
    <w:rsid w:val="009A645D"/>
    <w:rsid w:val="009A685A"/>
    <w:rsid w:val="009A6873"/>
    <w:rsid w:val="009A6AB2"/>
    <w:rsid w:val="009A6B01"/>
    <w:rsid w:val="009A6C63"/>
    <w:rsid w:val="009A71D7"/>
    <w:rsid w:val="009B01C7"/>
    <w:rsid w:val="009B0801"/>
    <w:rsid w:val="009B149A"/>
    <w:rsid w:val="009B1530"/>
    <w:rsid w:val="009B156E"/>
    <w:rsid w:val="009B177E"/>
    <w:rsid w:val="009B1888"/>
    <w:rsid w:val="009B2189"/>
    <w:rsid w:val="009B233E"/>
    <w:rsid w:val="009B24AB"/>
    <w:rsid w:val="009B24EE"/>
    <w:rsid w:val="009B259F"/>
    <w:rsid w:val="009B2CC3"/>
    <w:rsid w:val="009B302A"/>
    <w:rsid w:val="009B3114"/>
    <w:rsid w:val="009B356E"/>
    <w:rsid w:val="009B38AE"/>
    <w:rsid w:val="009B3C71"/>
    <w:rsid w:val="009B3F57"/>
    <w:rsid w:val="009B44A8"/>
    <w:rsid w:val="009B44B3"/>
    <w:rsid w:val="009B4681"/>
    <w:rsid w:val="009B48A9"/>
    <w:rsid w:val="009B4C83"/>
    <w:rsid w:val="009B4CFA"/>
    <w:rsid w:val="009B5040"/>
    <w:rsid w:val="009B5211"/>
    <w:rsid w:val="009B52BC"/>
    <w:rsid w:val="009B531D"/>
    <w:rsid w:val="009B5750"/>
    <w:rsid w:val="009B57AA"/>
    <w:rsid w:val="009B5B1B"/>
    <w:rsid w:val="009B5B75"/>
    <w:rsid w:val="009B5CAE"/>
    <w:rsid w:val="009B5E42"/>
    <w:rsid w:val="009B621C"/>
    <w:rsid w:val="009B6313"/>
    <w:rsid w:val="009B6888"/>
    <w:rsid w:val="009B6D46"/>
    <w:rsid w:val="009B7722"/>
    <w:rsid w:val="009C02EE"/>
    <w:rsid w:val="009C074E"/>
    <w:rsid w:val="009C0803"/>
    <w:rsid w:val="009C0810"/>
    <w:rsid w:val="009C12FD"/>
    <w:rsid w:val="009C17CC"/>
    <w:rsid w:val="009C1B6E"/>
    <w:rsid w:val="009C1C16"/>
    <w:rsid w:val="009C20E5"/>
    <w:rsid w:val="009C27F6"/>
    <w:rsid w:val="009C28B8"/>
    <w:rsid w:val="009C2F1B"/>
    <w:rsid w:val="009C2FF9"/>
    <w:rsid w:val="009C3BBB"/>
    <w:rsid w:val="009C3CDC"/>
    <w:rsid w:val="009C45EA"/>
    <w:rsid w:val="009C464D"/>
    <w:rsid w:val="009C4EDE"/>
    <w:rsid w:val="009C4F02"/>
    <w:rsid w:val="009C5221"/>
    <w:rsid w:val="009C5487"/>
    <w:rsid w:val="009C552F"/>
    <w:rsid w:val="009C585F"/>
    <w:rsid w:val="009C5954"/>
    <w:rsid w:val="009C59E8"/>
    <w:rsid w:val="009C5CFA"/>
    <w:rsid w:val="009C5DAD"/>
    <w:rsid w:val="009C6401"/>
    <w:rsid w:val="009C64CE"/>
    <w:rsid w:val="009C6636"/>
    <w:rsid w:val="009C6D26"/>
    <w:rsid w:val="009C6EC5"/>
    <w:rsid w:val="009C719C"/>
    <w:rsid w:val="009C74AB"/>
    <w:rsid w:val="009C7709"/>
    <w:rsid w:val="009C780E"/>
    <w:rsid w:val="009C79E2"/>
    <w:rsid w:val="009C7A83"/>
    <w:rsid w:val="009C7D43"/>
    <w:rsid w:val="009D0072"/>
    <w:rsid w:val="009D00AA"/>
    <w:rsid w:val="009D016E"/>
    <w:rsid w:val="009D036E"/>
    <w:rsid w:val="009D0495"/>
    <w:rsid w:val="009D0551"/>
    <w:rsid w:val="009D0FD7"/>
    <w:rsid w:val="009D1000"/>
    <w:rsid w:val="009D1275"/>
    <w:rsid w:val="009D13A8"/>
    <w:rsid w:val="009D1555"/>
    <w:rsid w:val="009D181B"/>
    <w:rsid w:val="009D1A61"/>
    <w:rsid w:val="009D1AFA"/>
    <w:rsid w:val="009D1BA0"/>
    <w:rsid w:val="009D1CB1"/>
    <w:rsid w:val="009D23B8"/>
    <w:rsid w:val="009D27D6"/>
    <w:rsid w:val="009D3376"/>
    <w:rsid w:val="009D33E3"/>
    <w:rsid w:val="009D3952"/>
    <w:rsid w:val="009D3C80"/>
    <w:rsid w:val="009D3EFE"/>
    <w:rsid w:val="009D435E"/>
    <w:rsid w:val="009D4426"/>
    <w:rsid w:val="009D4926"/>
    <w:rsid w:val="009D4FA4"/>
    <w:rsid w:val="009D4FA5"/>
    <w:rsid w:val="009D5B21"/>
    <w:rsid w:val="009D5B31"/>
    <w:rsid w:val="009D5C11"/>
    <w:rsid w:val="009D5CD5"/>
    <w:rsid w:val="009D5DE2"/>
    <w:rsid w:val="009D656F"/>
    <w:rsid w:val="009D683A"/>
    <w:rsid w:val="009D6CDB"/>
    <w:rsid w:val="009D6D4A"/>
    <w:rsid w:val="009D766E"/>
    <w:rsid w:val="009D770A"/>
    <w:rsid w:val="009D7A40"/>
    <w:rsid w:val="009D7AC7"/>
    <w:rsid w:val="009E076A"/>
    <w:rsid w:val="009E0F31"/>
    <w:rsid w:val="009E10BD"/>
    <w:rsid w:val="009E1953"/>
    <w:rsid w:val="009E1DA1"/>
    <w:rsid w:val="009E1F92"/>
    <w:rsid w:val="009E2150"/>
    <w:rsid w:val="009E2162"/>
    <w:rsid w:val="009E25EA"/>
    <w:rsid w:val="009E2809"/>
    <w:rsid w:val="009E2C44"/>
    <w:rsid w:val="009E451C"/>
    <w:rsid w:val="009E45A6"/>
    <w:rsid w:val="009E45FA"/>
    <w:rsid w:val="009E4ECC"/>
    <w:rsid w:val="009E527B"/>
    <w:rsid w:val="009E5674"/>
    <w:rsid w:val="009E56A5"/>
    <w:rsid w:val="009E59F4"/>
    <w:rsid w:val="009E5A54"/>
    <w:rsid w:val="009E5CE7"/>
    <w:rsid w:val="009E69C1"/>
    <w:rsid w:val="009E6C54"/>
    <w:rsid w:val="009E6C5E"/>
    <w:rsid w:val="009E6FAE"/>
    <w:rsid w:val="009E70C7"/>
    <w:rsid w:val="009E7225"/>
    <w:rsid w:val="009E73BD"/>
    <w:rsid w:val="009F02EC"/>
    <w:rsid w:val="009F0751"/>
    <w:rsid w:val="009F098C"/>
    <w:rsid w:val="009F0EB8"/>
    <w:rsid w:val="009F13AC"/>
    <w:rsid w:val="009F1587"/>
    <w:rsid w:val="009F1589"/>
    <w:rsid w:val="009F1ACF"/>
    <w:rsid w:val="009F2AB8"/>
    <w:rsid w:val="009F3EC8"/>
    <w:rsid w:val="009F44F0"/>
    <w:rsid w:val="009F48B0"/>
    <w:rsid w:val="009F4A96"/>
    <w:rsid w:val="009F4D71"/>
    <w:rsid w:val="009F54C5"/>
    <w:rsid w:val="009F565B"/>
    <w:rsid w:val="009F595E"/>
    <w:rsid w:val="009F5DBE"/>
    <w:rsid w:val="009F64A4"/>
    <w:rsid w:val="009F75FB"/>
    <w:rsid w:val="009F78BF"/>
    <w:rsid w:val="009F7A1A"/>
    <w:rsid w:val="009F7C5C"/>
    <w:rsid w:val="009F7EBE"/>
    <w:rsid w:val="00A00044"/>
    <w:rsid w:val="00A0038C"/>
    <w:rsid w:val="00A0046D"/>
    <w:rsid w:val="00A00817"/>
    <w:rsid w:val="00A00974"/>
    <w:rsid w:val="00A00B71"/>
    <w:rsid w:val="00A01373"/>
    <w:rsid w:val="00A016AF"/>
    <w:rsid w:val="00A01773"/>
    <w:rsid w:val="00A0184E"/>
    <w:rsid w:val="00A01985"/>
    <w:rsid w:val="00A01C05"/>
    <w:rsid w:val="00A01CFD"/>
    <w:rsid w:val="00A02048"/>
    <w:rsid w:val="00A023E5"/>
    <w:rsid w:val="00A026A5"/>
    <w:rsid w:val="00A02AD2"/>
    <w:rsid w:val="00A02F6E"/>
    <w:rsid w:val="00A030A2"/>
    <w:rsid w:val="00A039A7"/>
    <w:rsid w:val="00A03BA3"/>
    <w:rsid w:val="00A03E2F"/>
    <w:rsid w:val="00A03E42"/>
    <w:rsid w:val="00A04154"/>
    <w:rsid w:val="00A04A4F"/>
    <w:rsid w:val="00A05013"/>
    <w:rsid w:val="00A05DF3"/>
    <w:rsid w:val="00A0675F"/>
    <w:rsid w:val="00A06795"/>
    <w:rsid w:val="00A0679A"/>
    <w:rsid w:val="00A06A76"/>
    <w:rsid w:val="00A06B10"/>
    <w:rsid w:val="00A06B5C"/>
    <w:rsid w:val="00A06C7C"/>
    <w:rsid w:val="00A06D71"/>
    <w:rsid w:val="00A07A6D"/>
    <w:rsid w:val="00A10FD4"/>
    <w:rsid w:val="00A10FE4"/>
    <w:rsid w:val="00A115B4"/>
    <w:rsid w:val="00A11A93"/>
    <w:rsid w:val="00A11D76"/>
    <w:rsid w:val="00A120E9"/>
    <w:rsid w:val="00A122AC"/>
    <w:rsid w:val="00A122CE"/>
    <w:rsid w:val="00A12754"/>
    <w:rsid w:val="00A12E82"/>
    <w:rsid w:val="00A12F14"/>
    <w:rsid w:val="00A131C4"/>
    <w:rsid w:val="00A132F5"/>
    <w:rsid w:val="00A138E1"/>
    <w:rsid w:val="00A13A42"/>
    <w:rsid w:val="00A13C3F"/>
    <w:rsid w:val="00A13F3E"/>
    <w:rsid w:val="00A14025"/>
    <w:rsid w:val="00A14149"/>
    <w:rsid w:val="00A14546"/>
    <w:rsid w:val="00A146AF"/>
    <w:rsid w:val="00A1470C"/>
    <w:rsid w:val="00A149C8"/>
    <w:rsid w:val="00A14E99"/>
    <w:rsid w:val="00A151AE"/>
    <w:rsid w:val="00A15B89"/>
    <w:rsid w:val="00A15BA4"/>
    <w:rsid w:val="00A16169"/>
    <w:rsid w:val="00A161C5"/>
    <w:rsid w:val="00A16ED3"/>
    <w:rsid w:val="00A172F4"/>
    <w:rsid w:val="00A17536"/>
    <w:rsid w:val="00A17726"/>
    <w:rsid w:val="00A17858"/>
    <w:rsid w:val="00A17A24"/>
    <w:rsid w:val="00A20859"/>
    <w:rsid w:val="00A208D1"/>
    <w:rsid w:val="00A209CC"/>
    <w:rsid w:val="00A20AD5"/>
    <w:rsid w:val="00A21414"/>
    <w:rsid w:val="00A21A6C"/>
    <w:rsid w:val="00A222EB"/>
    <w:rsid w:val="00A22899"/>
    <w:rsid w:val="00A228A2"/>
    <w:rsid w:val="00A22CBE"/>
    <w:rsid w:val="00A234A4"/>
    <w:rsid w:val="00A234B9"/>
    <w:rsid w:val="00A236D2"/>
    <w:rsid w:val="00A241B4"/>
    <w:rsid w:val="00A242FA"/>
    <w:rsid w:val="00A2437F"/>
    <w:rsid w:val="00A2468D"/>
    <w:rsid w:val="00A24796"/>
    <w:rsid w:val="00A249A0"/>
    <w:rsid w:val="00A24C3E"/>
    <w:rsid w:val="00A24EE0"/>
    <w:rsid w:val="00A24F7D"/>
    <w:rsid w:val="00A24F81"/>
    <w:rsid w:val="00A252F4"/>
    <w:rsid w:val="00A25892"/>
    <w:rsid w:val="00A25CFA"/>
    <w:rsid w:val="00A26196"/>
    <w:rsid w:val="00A26C22"/>
    <w:rsid w:val="00A26DFB"/>
    <w:rsid w:val="00A27150"/>
    <w:rsid w:val="00A27265"/>
    <w:rsid w:val="00A2758C"/>
    <w:rsid w:val="00A275E8"/>
    <w:rsid w:val="00A2766D"/>
    <w:rsid w:val="00A27AAC"/>
    <w:rsid w:val="00A27FF1"/>
    <w:rsid w:val="00A3014F"/>
    <w:rsid w:val="00A301CB"/>
    <w:rsid w:val="00A305D3"/>
    <w:rsid w:val="00A31118"/>
    <w:rsid w:val="00A316D8"/>
    <w:rsid w:val="00A323CA"/>
    <w:rsid w:val="00A327D2"/>
    <w:rsid w:val="00A32E84"/>
    <w:rsid w:val="00A334F9"/>
    <w:rsid w:val="00A33552"/>
    <w:rsid w:val="00A3362B"/>
    <w:rsid w:val="00A339DE"/>
    <w:rsid w:val="00A33A6E"/>
    <w:rsid w:val="00A33BC4"/>
    <w:rsid w:val="00A34515"/>
    <w:rsid w:val="00A34987"/>
    <w:rsid w:val="00A34FD0"/>
    <w:rsid w:val="00A352AA"/>
    <w:rsid w:val="00A354F2"/>
    <w:rsid w:val="00A35A62"/>
    <w:rsid w:val="00A35FAF"/>
    <w:rsid w:val="00A3617A"/>
    <w:rsid w:val="00A36A8C"/>
    <w:rsid w:val="00A3710D"/>
    <w:rsid w:val="00A371C3"/>
    <w:rsid w:val="00A37F3D"/>
    <w:rsid w:val="00A40933"/>
    <w:rsid w:val="00A40BCB"/>
    <w:rsid w:val="00A40F9F"/>
    <w:rsid w:val="00A41583"/>
    <w:rsid w:val="00A418F0"/>
    <w:rsid w:val="00A41D6D"/>
    <w:rsid w:val="00A422B0"/>
    <w:rsid w:val="00A424F0"/>
    <w:rsid w:val="00A4258C"/>
    <w:rsid w:val="00A425FE"/>
    <w:rsid w:val="00A4265F"/>
    <w:rsid w:val="00A4298D"/>
    <w:rsid w:val="00A42ECB"/>
    <w:rsid w:val="00A4367F"/>
    <w:rsid w:val="00A43737"/>
    <w:rsid w:val="00A43D6F"/>
    <w:rsid w:val="00A43E25"/>
    <w:rsid w:val="00A451F1"/>
    <w:rsid w:val="00A4559B"/>
    <w:rsid w:val="00A455EE"/>
    <w:rsid w:val="00A46075"/>
    <w:rsid w:val="00A462E8"/>
    <w:rsid w:val="00A4654F"/>
    <w:rsid w:val="00A4691A"/>
    <w:rsid w:val="00A46B93"/>
    <w:rsid w:val="00A46D26"/>
    <w:rsid w:val="00A46D86"/>
    <w:rsid w:val="00A4712C"/>
    <w:rsid w:val="00A47287"/>
    <w:rsid w:val="00A47300"/>
    <w:rsid w:val="00A47393"/>
    <w:rsid w:val="00A47950"/>
    <w:rsid w:val="00A47AB8"/>
    <w:rsid w:val="00A5028F"/>
    <w:rsid w:val="00A50625"/>
    <w:rsid w:val="00A50648"/>
    <w:rsid w:val="00A50B93"/>
    <w:rsid w:val="00A50CE0"/>
    <w:rsid w:val="00A50DFA"/>
    <w:rsid w:val="00A50F27"/>
    <w:rsid w:val="00A515BA"/>
    <w:rsid w:val="00A515BD"/>
    <w:rsid w:val="00A5179E"/>
    <w:rsid w:val="00A51B29"/>
    <w:rsid w:val="00A51C99"/>
    <w:rsid w:val="00A51E9E"/>
    <w:rsid w:val="00A52A13"/>
    <w:rsid w:val="00A52DD1"/>
    <w:rsid w:val="00A52F49"/>
    <w:rsid w:val="00A53180"/>
    <w:rsid w:val="00A536E3"/>
    <w:rsid w:val="00A53B52"/>
    <w:rsid w:val="00A53F63"/>
    <w:rsid w:val="00A53FC7"/>
    <w:rsid w:val="00A5419F"/>
    <w:rsid w:val="00A54238"/>
    <w:rsid w:val="00A544FF"/>
    <w:rsid w:val="00A54913"/>
    <w:rsid w:val="00A54D7D"/>
    <w:rsid w:val="00A55997"/>
    <w:rsid w:val="00A55CAC"/>
    <w:rsid w:val="00A55DBF"/>
    <w:rsid w:val="00A56133"/>
    <w:rsid w:val="00A564A8"/>
    <w:rsid w:val="00A56586"/>
    <w:rsid w:val="00A56FB2"/>
    <w:rsid w:val="00A578C8"/>
    <w:rsid w:val="00A57C9B"/>
    <w:rsid w:val="00A60204"/>
    <w:rsid w:val="00A60245"/>
    <w:rsid w:val="00A60846"/>
    <w:rsid w:val="00A61352"/>
    <w:rsid w:val="00A61D20"/>
    <w:rsid w:val="00A61F27"/>
    <w:rsid w:val="00A61FA7"/>
    <w:rsid w:val="00A623DA"/>
    <w:rsid w:val="00A62BEE"/>
    <w:rsid w:val="00A62D47"/>
    <w:rsid w:val="00A63426"/>
    <w:rsid w:val="00A63768"/>
    <w:rsid w:val="00A63979"/>
    <w:rsid w:val="00A6410D"/>
    <w:rsid w:val="00A642FE"/>
    <w:rsid w:val="00A6452D"/>
    <w:rsid w:val="00A64CD5"/>
    <w:rsid w:val="00A64EE1"/>
    <w:rsid w:val="00A6540D"/>
    <w:rsid w:val="00A654EB"/>
    <w:rsid w:val="00A65884"/>
    <w:rsid w:val="00A6595C"/>
    <w:rsid w:val="00A65960"/>
    <w:rsid w:val="00A65E67"/>
    <w:rsid w:val="00A65F2F"/>
    <w:rsid w:val="00A65FF2"/>
    <w:rsid w:val="00A6610A"/>
    <w:rsid w:val="00A66123"/>
    <w:rsid w:val="00A6625E"/>
    <w:rsid w:val="00A662BD"/>
    <w:rsid w:val="00A66494"/>
    <w:rsid w:val="00A66919"/>
    <w:rsid w:val="00A669B7"/>
    <w:rsid w:val="00A67603"/>
    <w:rsid w:val="00A6783C"/>
    <w:rsid w:val="00A67A04"/>
    <w:rsid w:val="00A701D3"/>
    <w:rsid w:val="00A70618"/>
    <w:rsid w:val="00A70C90"/>
    <w:rsid w:val="00A70D0A"/>
    <w:rsid w:val="00A71184"/>
    <w:rsid w:val="00A71314"/>
    <w:rsid w:val="00A713CA"/>
    <w:rsid w:val="00A7163F"/>
    <w:rsid w:val="00A7185F"/>
    <w:rsid w:val="00A7186E"/>
    <w:rsid w:val="00A71A2C"/>
    <w:rsid w:val="00A71F68"/>
    <w:rsid w:val="00A71F7F"/>
    <w:rsid w:val="00A7228D"/>
    <w:rsid w:val="00A7277B"/>
    <w:rsid w:val="00A72A27"/>
    <w:rsid w:val="00A72C70"/>
    <w:rsid w:val="00A7372F"/>
    <w:rsid w:val="00A73889"/>
    <w:rsid w:val="00A741E8"/>
    <w:rsid w:val="00A745DE"/>
    <w:rsid w:val="00A74646"/>
    <w:rsid w:val="00A74E1B"/>
    <w:rsid w:val="00A75360"/>
    <w:rsid w:val="00A755FF"/>
    <w:rsid w:val="00A75669"/>
    <w:rsid w:val="00A75848"/>
    <w:rsid w:val="00A759E7"/>
    <w:rsid w:val="00A7627A"/>
    <w:rsid w:val="00A76414"/>
    <w:rsid w:val="00A76815"/>
    <w:rsid w:val="00A7690C"/>
    <w:rsid w:val="00A76D5B"/>
    <w:rsid w:val="00A77423"/>
    <w:rsid w:val="00A77855"/>
    <w:rsid w:val="00A77A13"/>
    <w:rsid w:val="00A8011F"/>
    <w:rsid w:val="00A801BD"/>
    <w:rsid w:val="00A8020A"/>
    <w:rsid w:val="00A808A6"/>
    <w:rsid w:val="00A808EC"/>
    <w:rsid w:val="00A80A47"/>
    <w:rsid w:val="00A80C59"/>
    <w:rsid w:val="00A81C7D"/>
    <w:rsid w:val="00A81D34"/>
    <w:rsid w:val="00A824B2"/>
    <w:rsid w:val="00A826FD"/>
    <w:rsid w:val="00A82BA3"/>
    <w:rsid w:val="00A82E1A"/>
    <w:rsid w:val="00A8315B"/>
    <w:rsid w:val="00A83C3D"/>
    <w:rsid w:val="00A83DDE"/>
    <w:rsid w:val="00A83E01"/>
    <w:rsid w:val="00A8452E"/>
    <w:rsid w:val="00A849C2"/>
    <w:rsid w:val="00A84B3D"/>
    <w:rsid w:val="00A859EE"/>
    <w:rsid w:val="00A85A3E"/>
    <w:rsid w:val="00A85C37"/>
    <w:rsid w:val="00A8654C"/>
    <w:rsid w:val="00A86AEA"/>
    <w:rsid w:val="00A86B16"/>
    <w:rsid w:val="00A87CEC"/>
    <w:rsid w:val="00A87FC9"/>
    <w:rsid w:val="00A90AD1"/>
    <w:rsid w:val="00A917D6"/>
    <w:rsid w:val="00A917DC"/>
    <w:rsid w:val="00A91BB0"/>
    <w:rsid w:val="00A923BF"/>
    <w:rsid w:val="00A9259F"/>
    <w:rsid w:val="00A93644"/>
    <w:rsid w:val="00A93E34"/>
    <w:rsid w:val="00A943C8"/>
    <w:rsid w:val="00A94578"/>
    <w:rsid w:val="00A948A1"/>
    <w:rsid w:val="00A94F58"/>
    <w:rsid w:val="00A95376"/>
    <w:rsid w:val="00A95F70"/>
    <w:rsid w:val="00A962C9"/>
    <w:rsid w:val="00A966D8"/>
    <w:rsid w:val="00A96BED"/>
    <w:rsid w:val="00A9713D"/>
    <w:rsid w:val="00A9722E"/>
    <w:rsid w:val="00A97244"/>
    <w:rsid w:val="00A9759E"/>
    <w:rsid w:val="00A97626"/>
    <w:rsid w:val="00A979F1"/>
    <w:rsid w:val="00A97D4E"/>
    <w:rsid w:val="00AA0DA6"/>
    <w:rsid w:val="00AA1102"/>
    <w:rsid w:val="00AA1391"/>
    <w:rsid w:val="00AA2094"/>
    <w:rsid w:val="00AA20A9"/>
    <w:rsid w:val="00AA22CA"/>
    <w:rsid w:val="00AA24EB"/>
    <w:rsid w:val="00AA2DF4"/>
    <w:rsid w:val="00AA2F49"/>
    <w:rsid w:val="00AA35B7"/>
    <w:rsid w:val="00AA4518"/>
    <w:rsid w:val="00AA455B"/>
    <w:rsid w:val="00AA466B"/>
    <w:rsid w:val="00AA4827"/>
    <w:rsid w:val="00AA4B85"/>
    <w:rsid w:val="00AA502E"/>
    <w:rsid w:val="00AA51FB"/>
    <w:rsid w:val="00AA5312"/>
    <w:rsid w:val="00AA54D9"/>
    <w:rsid w:val="00AA5668"/>
    <w:rsid w:val="00AA56D0"/>
    <w:rsid w:val="00AA5A71"/>
    <w:rsid w:val="00AA5A93"/>
    <w:rsid w:val="00AA60B8"/>
    <w:rsid w:val="00AA60DE"/>
    <w:rsid w:val="00AA62EA"/>
    <w:rsid w:val="00AA6464"/>
    <w:rsid w:val="00AA6A0F"/>
    <w:rsid w:val="00AA6A16"/>
    <w:rsid w:val="00AA6ACF"/>
    <w:rsid w:val="00AA6F44"/>
    <w:rsid w:val="00AA74C1"/>
    <w:rsid w:val="00AA74EB"/>
    <w:rsid w:val="00AA7699"/>
    <w:rsid w:val="00AB03D7"/>
    <w:rsid w:val="00AB0723"/>
    <w:rsid w:val="00AB0B99"/>
    <w:rsid w:val="00AB0BF7"/>
    <w:rsid w:val="00AB0DC5"/>
    <w:rsid w:val="00AB1117"/>
    <w:rsid w:val="00AB1691"/>
    <w:rsid w:val="00AB189C"/>
    <w:rsid w:val="00AB1A28"/>
    <w:rsid w:val="00AB1C5E"/>
    <w:rsid w:val="00AB27CE"/>
    <w:rsid w:val="00AB284D"/>
    <w:rsid w:val="00AB2996"/>
    <w:rsid w:val="00AB29FC"/>
    <w:rsid w:val="00AB2C07"/>
    <w:rsid w:val="00AB2D96"/>
    <w:rsid w:val="00AB2DC3"/>
    <w:rsid w:val="00AB35BB"/>
    <w:rsid w:val="00AB3D3B"/>
    <w:rsid w:val="00AB5F78"/>
    <w:rsid w:val="00AB604C"/>
    <w:rsid w:val="00AB6244"/>
    <w:rsid w:val="00AB66B3"/>
    <w:rsid w:val="00AB66C7"/>
    <w:rsid w:val="00AB688E"/>
    <w:rsid w:val="00AB7AEE"/>
    <w:rsid w:val="00AC05C8"/>
    <w:rsid w:val="00AC05F0"/>
    <w:rsid w:val="00AC06EC"/>
    <w:rsid w:val="00AC0AFC"/>
    <w:rsid w:val="00AC0E0B"/>
    <w:rsid w:val="00AC10B2"/>
    <w:rsid w:val="00AC10DD"/>
    <w:rsid w:val="00AC114B"/>
    <w:rsid w:val="00AC1603"/>
    <w:rsid w:val="00AC19D7"/>
    <w:rsid w:val="00AC20D3"/>
    <w:rsid w:val="00AC222B"/>
    <w:rsid w:val="00AC2453"/>
    <w:rsid w:val="00AC25F7"/>
    <w:rsid w:val="00AC3276"/>
    <w:rsid w:val="00AC373C"/>
    <w:rsid w:val="00AC3848"/>
    <w:rsid w:val="00AC39D0"/>
    <w:rsid w:val="00AC3ADD"/>
    <w:rsid w:val="00AC3FB5"/>
    <w:rsid w:val="00AC40A8"/>
    <w:rsid w:val="00AC4350"/>
    <w:rsid w:val="00AC43D9"/>
    <w:rsid w:val="00AC4878"/>
    <w:rsid w:val="00AC487B"/>
    <w:rsid w:val="00AC4D4D"/>
    <w:rsid w:val="00AC4FCE"/>
    <w:rsid w:val="00AC4FDC"/>
    <w:rsid w:val="00AC5096"/>
    <w:rsid w:val="00AC5193"/>
    <w:rsid w:val="00AC57E2"/>
    <w:rsid w:val="00AC60D6"/>
    <w:rsid w:val="00AC6180"/>
    <w:rsid w:val="00AC67DD"/>
    <w:rsid w:val="00AC6D00"/>
    <w:rsid w:val="00AC75EF"/>
    <w:rsid w:val="00AC7657"/>
    <w:rsid w:val="00AC78B2"/>
    <w:rsid w:val="00AC7F9E"/>
    <w:rsid w:val="00AD06C3"/>
    <w:rsid w:val="00AD06E9"/>
    <w:rsid w:val="00AD173F"/>
    <w:rsid w:val="00AD1F7E"/>
    <w:rsid w:val="00AD284D"/>
    <w:rsid w:val="00AD3083"/>
    <w:rsid w:val="00AD3367"/>
    <w:rsid w:val="00AD382B"/>
    <w:rsid w:val="00AD41B7"/>
    <w:rsid w:val="00AD4499"/>
    <w:rsid w:val="00AD46C9"/>
    <w:rsid w:val="00AD4730"/>
    <w:rsid w:val="00AD479C"/>
    <w:rsid w:val="00AD4BC5"/>
    <w:rsid w:val="00AD504D"/>
    <w:rsid w:val="00AD57FF"/>
    <w:rsid w:val="00AD6184"/>
    <w:rsid w:val="00AD643F"/>
    <w:rsid w:val="00AD6944"/>
    <w:rsid w:val="00AD6D8D"/>
    <w:rsid w:val="00AD6EF1"/>
    <w:rsid w:val="00AD6FD2"/>
    <w:rsid w:val="00AD70F8"/>
    <w:rsid w:val="00AD7115"/>
    <w:rsid w:val="00AD720C"/>
    <w:rsid w:val="00AD75CE"/>
    <w:rsid w:val="00AD7635"/>
    <w:rsid w:val="00AD77B1"/>
    <w:rsid w:val="00AD7D59"/>
    <w:rsid w:val="00AD7EA6"/>
    <w:rsid w:val="00AE0097"/>
    <w:rsid w:val="00AE0738"/>
    <w:rsid w:val="00AE0B21"/>
    <w:rsid w:val="00AE0D82"/>
    <w:rsid w:val="00AE14DF"/>
    <w:rsid w:val="00AE15DF"/>
    <w:rsid w:val="00AE160C"/>
    <w:rsid w:val="00AE18AE"/>
    <w:rsid w:val="00AE1C32"/>
    <w:rsid w:val="00AE20C3"/>
    <w:rsid w:val="00AE23E7"/>
    <w:rsid w:val="00AE25C5"/>
    <w:rsid w:val="00AE29EB"/>
    <w:rsid w:val="00AE2AAB"/>
    <w:rsid w:val="00AE30B2"/>
    <w:rsid w:val="00AE318D"/>
    <w:rsid w:val="00AE354A"/>
    <w:rsid w:val="00AE4332"/>
    <w:rsid w:val="00AE44D0"/>
    <w:rsid w:val="00AE45FD"/>
    <w:rsid w:val="00AE5004"/>
    <w:rsid w:val="00AE5229"/>
    <w:rsid w:val="00AE5308"/>
    <w:rsid w:val="00AE5309"/>
    <w:rsid w:val="00AE56F0"/>
    <w:rsid w:val="00AE5976"/>
    <w:rsid w:val="00AE5AD9"/>
    <w:rsid w:val="00AE5C57"/>
    <w:rsid w:val="00AE5DF7"/>
    <w:rsid w:val="00AE5E20"/>
    <w:rsid w:val="00AE5F9B"/>
    <w:rsid w:val="00AE62C2"/>
    <w:rsid w:val="00AE6A1F"/>
    <w:rsid w:val="00AE6B4F"/>
    <w:rsid w:val="00AE6D35"/>
    <w:rsid w:val="00AE7314"/>
    <w:rsid w:val="00AE735E"/>
    <w:rsid w:val="00AE75DC"/>
    <w:rsid w:val="00AE77A6"/>
    <w:rsid w:val="00AE77BF"/>
    <w:rsid w:val="00AE79F7"/>
    <w:rsid w:val="00AE7D7D"/>
    <w:rsid w:val="00AF0049"/>
    <w:rsid w:val="00AF00AC"/>
    <w:rsid w:val="00AF0E1D"/>
    <w:rsid w:val="00AF1071"/>
    <w:rsid w:val="00AF1881"/>
    <w:rsid w:val="00AF1B8B"/>
    <w:rsid w:val="00AF1C5F"/>
    <w:rsid w:val="00AF1D5D"/>
    <w:rsid w:val="00AF1F68"/>
    <w:rsid w:val="00AF236D"/>
    <w:rsid w:val="00AF29D4"/>
    <w:rsid w:val="00AF2CB6"/>
    <w:rsid w:val="00AF361B"/>
    <w:rsid w:val="00AF3719"/>
    <w:rsid w:val="00AF42CD"/>
    <w:rsid w:val="00AF4A4A"/>
    <w:rsid w:val="00AF4BC8"/>
    <w:rsid w:val="00AF4BE4"/>
    <w:rsid w:val="00AF4CF1"/>
    <w:rsid w:val="00AF4EB5"/>
    <w:rsid w:val="00AF543A"/>
    <w:rsid w:val="00AF5889"/>
    <w:rsid w:val="00AF5F2C"/>
    <w:rsid w:val="00AF6193"/>
    <w:rsid w:val="00AF6252"/>
    <w:rsid w:val="00AF6417"/>
    <w:rsid w:val="00AF646B"/>
    <w:rsid w:val="00AF6ABC"/>
    <w:rsid w:val="00AF6B4A"/>
    <w:rsid w:val="00AF7350"/>
    <w:rsid w:val="00AF736A"/>
    <w:rsid w:val="00AF74F0"/>
    <w:rsid w:val="00AF7882"/>
    <w:rsid w:val="00AF7CE7"/>
    <w:rsid w:val="00AF7DE3"/>
    <w:rsid w:val="00B00383"/>
    <w:rsid w:val="00B00F8F"/>
    <w:rsid w:val="00B01740"/>
    <w:rsid w:val="00B018A8"/>
    <w:rsid w:val="00B019BC"/>
    <w:rsid w:val="00B0218F"/>
    <w:rsid w:val="00B02405"/>
    <w:rsid w:val="00B0245B"/>
    <w:rsid w:val="00B02A05"/>
    <w:rsid w:val="00B02A7A"/>
    <w:rsid w:val="00B03554"/>
    <w:rsid w:val="00B036C8"/>
    <w:rsid w:val="00B03B1A"/>
    <w:rsid w:val="00B040B1"/>
    <w:rsid w:val="00B0431E"/>
    <w:rsid w:val="00B04707"/>
    <w:rsid w:val="00B05046"/>
    <w:rsid w:val="00B050D3"/>
    <w:rsid w:val="00B052BA"/>
    <w:rsid w:val="00B054BF"/>
    <w:rsid w:val="00B05772"/>
    <w:rsid w:val="00B05870"/>
    <w:rsid w:val="00B06781"/>
    <w:rsid w:val="00B06DB5"/>
    <w:rsid w:val="00B0761B"/>
    <w:rsid w:val="00B07630"/>
    <w:rsid w:val="00B078D6"/>
    <w:rsid w:val="00B07A53"/>
    <w:rsid w:val="00B07B06"/>
    <w:rsid w:val="00B07B96"/>
    <w:rsid w:val="00B102D7"/>
    <w:rsid w:val="00B103C4"/>
    <w:rsid w:val="00B10D76"/>
    <w:rsid w:val="00B11486"/>
    <w:rsid w:val="00B11A9A"/>
    <w:rsid w:val="00B11BD0"/>
    <w:rsid w:val="00B11D15"/>
    <w:rsid w:val="00B11E67"/>
    <w:rsid w:val="00B124EB"/>
    <w:rsid w:val="00B128FA"/>
    <w:rsid w:val="00B12BD3"/>
    <w:rsid w:val="00B1320D"/>
    <w:rsid w:val="00B13455"/>
    <w:rsid w:val="00B135B9"/>
    <w:rsid w:val="00B1370D"/>
    <w:rsid w:val="00B138CB"/>
    <w:rsid w:val="00B13F64"/>
    <w:rsid w:val="00B14472"/>
    <w:rsid w:val="00B15002"/>
    <w:rsid w:val="00B15665"/>
    <w:rsid w:val="00B15728"/>
    <w:rsid w:val="00B15D3F"/>
    <w:rsid w:val="00B15D9D"/>
    <w:rsid w:val="00B161EF"/>
    <w:rsid w:val="00B163DB"/>
    <w:rsid w:val="00B1698F"/>
    <w:rsid w:val="00B17343"/>
    <w:rsid w:val="00B17D0C"/>
    <w:rsid w:val="00B20061"/>
    <w:rsid w:val="00B20075"/>
    <w:rsid w:val="00B2025D"/>
    <w:rsid w:val="00B20374"/>
    <w:rsid w:val="00B212D5"/>
    <w:rsid w:val="00B2134E"/>
    <w:rsid w:val="00B216AF"/>
    <w:rsid w:val="00B21D8D"/>
    <w:rsid w:val="00B22181"/>
    <w:rsid w:val="00B221B5"/>
    <w:rsid w:val="00B22381"/>
    <w:rsid w:val="00B22470"/>
    <w:rsid w:val="00B225D8"/>
    <w:rsid w:val="00B226D5"/>
    <w:rsid w:val="00B227C8"/>
    <w:rsid w:val="00B2293F"/>
    <w:rsid w:val="00B229D6"/>
    <w:rsid w:val="00B22A86"/>
    <w:rsid w:val="00B22D0A"/>
    <w:rsid w:val="00B23BB0"/>
    <w:rsid w:val="00B23F10"/>
    <w:rsid w:val="00B2434F"/>
    <w:rsid w:val="00B24BF8"/>
    <w:rsid w:val="00B24C78"/>
    <w:rsid w:val="00B24C92"/>
    <w:rsid w:val="00B24FC4"/>
    <w:rsid w:val="00B25161"/>
    <w:rsid w:val="00B25A67"/>
    <w:rsid w:val="00B25EA6"/>
    <w:rsid w:val="00B264B2"/>
    <w:rsid w:val="00B265C1"/>
    <w:rsid w:val="00B26A01"/>
    <w:rsid w:val="00B26B35"/>
    <w:rsid w:val="00B26B47"/>
    <w:rsid w:val="00B26F62"/>
    <w:rsid w:val="00B2700B"/>
    <w:rsid w:val="00B272E6"/>
    <w:rsid w:val="00B27727"/>
    <w:rsid w:val="00B27CB7"/>
    <w:rsid w:val="00B27ED7"/>
    <w:rsid w:val="00B30C1B"/>
    <w:rsid w:val="00B31611"/>
    <w:rsid w:val="00B3162A"/>
    <w:rsid w:val="00B31A57"/>
    <w:rsid w:val="00B32599"/>
    <w:rsid w:val="00B327C4"/>
    <w:rsid w:val="00B331DA"/>
    <w:rsid w:val="00B334D1"/>
    <w:rsid w:val="00B337BF"/>
    <w:rsid w:val="00B3408E"/>
    <w:rsid w:val="00B34223"/>
    <w:rsid w:val="00B3422B"/>
    <w:rsid w:val="00B3439C"/>
    <w:rsid w:val="00B344B7"/>
    <w:rsid w:val="00B3488D"/>
    <w:rsid w:val="00B348FC"/>
    <w:rsid w:val="00B34E91"/>
    <w:rsid w:val="00B34FED"/>
    <w:rsid w:val="00B35136"/>
    <w:rsid w:val="00B353E8"/>
    <w:rsid w:val="00B35488"/>
    <w:rsid w:val="00B35A36"/>
    <w:rsid w:val="00B35C76"/>
    <w:rsid w:val="00B35F05"/>
    <w:rsid w:val="00B366A3"/>
    <w:rsid w:val="00B36EFA"/>
    <w:rsid w:val="00B37424"/>
    <w:rsid w:val="00B378E8"/>
    <w:rsid w:val="00B37C17"/>
    <w:rsid w:val="00B404E7"/>
    <w:rsid w:val="00B41611"/>
    <w:rsid w:val="00B416FE"/>
    <w:rsid w:val="00B4183D"/>
    <w:rsid w:val="00B41AE0"/>
    <w:rsid w:val="00B4207A"/>
    <w:rsid w:val="00B42381"/>
    <w:rsid w:val="00B424EB"/>
    <w:rsid w:val="00B42592"/>
    <w:rsid w:val="00B42C44"/>
    <w:rsid w:val="00B43154"/>
    <w:rsid w:val="00B43784"/>
    <w:rsid w:val="00B43B32"/>
    <w:rsid w:val="00B43DDA"/>
    <w:rsid w:val="00B43EAF"/>
    <w:rsid w:val="00B443F9"/>
    <w:rsid w:val="00B457A5"/>
    <w:rsid w:val="00B45D56"/>
    <w:rsid w:val="00B45FAA"/>
    <w:rsid w:val="00B45FBB"/>
    <w:rsid w:val="00B46636"/>
    <w:rsid w:val="00B47681"/>
    <w:rsid w:val="00B47D41"/>
    <w:rsid w:val="00B50AAC"/>
    <w:rsid w:val="00B50AD6"/>
    <w:rsid w:val="00B50BA6"/>
    <w:rsid w:val="00B50E62"/>
    <w:rsid w:val="00B50E7C"/>
    <w:rsid w:val="00B513B2"/>
    <w:rsid w:val="00B51910"/>
    <w:rsid w:val="00B51A62"/>
    <w:rsid w:val="00B51B15"/>
    <w:rsid w:val="00B520E5"/>
    <w:rsid w:val="00B52127"/>
    <w:rsid w:val="00B52329"/>
    <w:rsid w:val="00B5240A"/>
    <w:rsid w:val="00B537F9"/>
    <w:rsid w:val="00B53A13"/>
    <w:rsid w:val="00B53A45"/>
    <w:rsid w:val="00B54286"/>
    <w:rsid w:val="00B54335"/>
    <w:rsid w:val="00B54B3C"/>
    <w:rsid w:val="00B54B42"/>
    <w:rsid w:val="00B54EC9"/>
    <w:rsid w:val="00B5502B"/>
    <w:rsid w:val="00B5503D"/>
    <w:rsid w:val="00B5570B"/>
    <w:rsid w:val="00B55768"/>
    <w:rsid w:val="00B5590A"/>
    <w:rsid w:val="00B55BA3"/>
    <w:rsid w:val="00B55DCA"/>
    <w:rsid w:val="00B560C4"/>
    <w:rsid w:val="00B568E3"/>
    <w:rsid w:val="00B570E9"/>
    <w:rsid w:val="00B57782"/>
    <w:rsid w:val="00B57C66"/>
    <w:rsid w:val="00B57CC5"/>
    <w:rsid w:val="00B60004"/>
    <w:rsid w:val="00B6021B"/>
    <w:rsid w:val="00B60BE0"/>
    <w:rsid w:val="00B60CC4"/>
    <w:rsid w:val="00B60D36"/>
    <w:rsid w:val="00B60FFD"/>
    <w:rsid w:val="00B61046"/>
    <w:rsid w:val="00B61182"/>
    <w:rsid w:val="00B6136E"/>
    <w:rsid w:val="00B613BB"/>
    <w:rsid w:val="00B61781"/>
    <w:rsid w:val="00B617BF"/>
    <w:rsid w:val="00B621B7"/>
    <w:rsid w:val="00B6247F"/>
    <w:rsid w:val="00B626CA"/>
    <w:rsid w:val="00B62ADA"/>
    <w:rsid w:val="00B63204"/>
    <w:rsid w:val="00B637EF"/>
    <w:rsid w:val="00B63878"/>
    <w:rsid w:val="00B63A3D"/>
    <w:rsid w:val="00B63D02"/>
    <w:rsid w:val="00B63D44"/>
    <w:rsid w:val="00B63E7B"/>
    <w:rsid w:val="00B64710"/>
    <w:rsid w:val="00B64C09"/>
    <w:rsid w:val="00B64C31"/>
    <w:rsid w:val="00B64CA8"/>
    <w:rsid w:val="00B64D6A"/>
    <w:rsid w:val="00B64D73"/>
    <w:rsid w:val="00B654CA"/>
    <w:rsid w:val="00B65EFB"/>
    <w:rsid w:val="00B65FF0"/>
    <w:rsid w:val="00B663AB"/>
    <w:rsid w:val="00B6663A"/>
    <w:rsid w:val="00B66658"/>
    <w:rsid w:val="00B666DB"/>
    <w:rsid w:val="00B66B62"/>
    <w:rsid w:val="00B66B9E"/>
    <w:rsid w:val="00B670E4"/>
    <w:rsid w:val="00B67684"/>
    <w:rsid w:val="00B67A77"/>
    <w:rsid w:val="00B67D8B"/>
    <w:rsid w:val="00B70011"/>
    <w:rsid w:val="00B70203"/>
    <w:rsid w:val="00B70BA4"/>
    <w:rsid w:val="00B70C48"/>
    <w:rsid w:val="00B70C8C"/>
    <w:rsid w:val="00B70FD5"/>
    <w:rsid w:val="00B71246"/>
    <w:rsid w:val="00B713D9"/>
    <w:rsid w:val="00B714A9"/>
    <w:rsid w:val="00B714F4"/>
    <w:rsid w:val="00B71532"/>
    <w:rsid w:val="00B71883"/>
    <w:rsid w:val="00B71A75"/>
    <w:rsid w:val="00B71AD7"/>
    <w:rsid w:val="00B72277"/>
    <w:rsid w:val="00B722C7"/>
    <w:rsid w:val="00B7242C"/>
    <w:rsid w:val="00B72504"/>
    <w:rsid w:val="00B72A74"/>
    <w:rsid w:val="00B72CE1"/>
    <w:rsid w:val="00B72D82"/>
    <w:rsid w:val="00B72FD2"/>
    <w:rsid w:val="00B7319A"/>
    <w:rsid w:val="00B73430"/>
    <w:rsid w:val="00B73626"/>
    <w:rsid w:val="00B73796"/>
    <w:rsid w:val="00B73C49"/>
    <w:rsid w:val="00B73DA8"/>
    <w:rsid w:val="00B73FCD"/>
    <w:rsid w:val="00B74066"/>
    <w:rsid w:val="00B742C9"/>
    <w:rsid w:val="00B74BC1"/>
    <w:rsid w:val="00B75848"/>
    <w:rsid w:val="00B7599C"/>
    <w:rsid w:val="00B76723"/>
    <w:rsid w:val="00B7673E"/>
    <w:rsid w:val="00B769BF"/>
    <w:rsid w:val="00B76A7C"/>
    <w:rsid w:val="00B77051"/>
    <w:rsid w:val="00B77326"/>
    <w:rsid w:val="00B77602"/>
    <w:rsid w:val="00B77939"/>
    <w:rsid w:val="00B77A86"/>
    <w:rsid w:val="00B77EA5"/>
    <w:rsid w:val="00B77EBE"/>
    <w:rsid w:val="00B77F2C"/>
    <w:rsid w:val="00B77F44"/>
    <w:rsid w:val="00B77FE7"/>
    <w:rsid w:val="00B803CD"/>
    <w:rsid w:val="00B80596"/>
    <w:rsid w:val="00B80613"/>
    <w:rsid w:val="00B80BD6"/>
    <w:rsid w:val="00B80D1F"/>
    <w:rsid w:val="00B80F8C"/>
    <w:rsid w:val="00B8129E"/>
    <w:rsid w:val="00B817A5"/>
    <w:rsid w:val="00B81C74"/>
    <w:rsid w:val="00B81E58"/>
    <w:rsid w:val="00B82601"/>
    <w:rsid w:val="00B8296E"/>
    <w:rsid w:val="00B829B1"/>
    <w:rsid w:val="00B832B4"/>
    <w:rsid w:val="00B8351F"/>
    <w:rsid w:val="00B838DF"/>
    <w:rsid w:val="00B83BA1"/>
    <w:rsid w:val="00B83BE7"/>
    <w:rsid w:val="00B83D92"/>
    <w:rsid w:val="00B84227"/>
    <w:rsid w:val="00B848B9"/>
    <w:rsid w:val="00B84C98"/>
    <w:rsid w:val="00B84FF4"/>
    <w:rsid w:val="00B85530"/>
    <w:rsid w:val="00B85837"/>
    <w:rsid w:val="00B85ABA"/>
    <w:rsid w:val="00B85D4F"/>
    <w:rsid w:val="00B85EFB"/>
    <w:rsid w:val="00B8621B"/>
    <w:rsid w:val="00B86529"/>
    <w:rsid w:val="00B86C94"/>
    <w:rsid w:val="00B86E84"/>
    <w:rsid w:val="00B876DE"/>
    <w:rsid w:val="00B878E0"/>
    <w:rsid w:val="00B900FA"/>
    <w:rsid w:val="00B902A8"/>
    <w:rsid w:val="00B9045C"/>
    <w:rsid w:val="00B906D7"/>
    <w:rsid w:val="00B907B1"/>
    <w:rsid w:val="00B90992"/>
    <w:rsid w:val="00B90E65"/>
    <w:rsid w:val="00B9113D"/>
    <w:rsid w:val="00B92394"/>
    <w:rsid w:val="00B924F9"/>
    <w:rsid w:val="00B9270A"/>
    <w:rsid w:val="00B9329B"/>
    <w:rsid w:val="00B93DD6"/>
    <w:rsid w:val="00B940D9"/>
    <w:rsid w:val="00B9431E"/>
    <w:rsid w:val="00B94C71"/>
    <w:rsid w:val="00B94F6A"/>
    <w:rsid w:val="00B954BC"/>
    <w:rsid w:val="00B96009"/>
    <w:rsid w:val="00B966D8"/>
    <w:rsid w:val="00B96CF2"/>
    <w:rsid w:val="00B972FF"/>
    <w:rsid w:val="00B97620"/>
    <w:rsid w:val="00B97779"/>
    <w:rsid w:val="00B97B1E"/>
    <w:rsid w:val="00BA0C66"/>
    <w:rsid w:val="00BA0D73"/>
    <w:rsid w:val="00BA1891"/>
    <w:rsid w:val="00BA19BC"/>
    <w:rsid w:val="00BA22E5"/>
    <w:rsid w:val="00BA23DE"/>
    <w:rsid w:val="00BA24C5"/>
    <w:rsid w:val="00BA2764"/>
    <w:rsid w:val="00BA3075"/>
    <w:rsid w:val="00BA39E5"/>
    <w:rsid w:val="00BA434F"/>
    <w:rsid w:val="00BA46BC"/>
    <w:rsid w:val="00BA477B"/>
    <w:rsid w:val="00BA48CC"/>
    <w:rsid w:val="00BA4AD3"/>
    <w:rsid w:val="00BA4E29"/>
    <w:rsid w:val="00BA4E5A"/>
    <w:rsid w:val="00BA4E68"/>
    <w:rsid w:val="00BA5659"/>
    <w:rsid w:val="00BA5C69"/>
    <w:rsid w:val="00BA6041"/>
    <w:rsid w:val="00BA6578"/>
    <w:rsid w:val="00BA66DE"/>
    <w:rsid w:val="00BA6FA5"/>
    <w:rsid w:val="00BA7152"/>
    <w:rsid w:val="00BA77DE"/>
    <w:rsid w:val="00BB1A9A"/>
    <w:rsid w:val="00BB1C71"/>
    <w:rsid w:val="00BB1D0E"/>
    <w:rsid w:val="00BB226E"/>
    <w:rsid w:val="00BB22D4"/>
    <w:rsid w:val="00BB237D"/>
    <w:rsid w:val="00BB23B8"/>
    <w:rsid w:val="00BB248E"/>
    <w:rsid w:val="00BB256B"/>
    <w:rsid w:val="00BB2A61"/>
    <w:rsid w:val="00BB320F"/>
    <w:rsid w:val="00BB380A"/>
    <w:rsid w:val="00BB3B6B"/>
    <w:rsid w:val="00BB425D"/>
    <w:rsid w:val="00BB44AF"/>
    <w:rsid w:val="00BB4A0F"/>
    <w:rsid w:val="00BB4D3E"/>
    <w:rsid w:val="00BB4D92"/>
    <w:rsid w:val="00BB5316"/>
    <w:rsid w:val="00BB5CCE"/>
    <w:rsid w:val="00BB5D51"/>
    <w:rsid w:val="00BB5E6F"/>
    <w:rsid w:val="00BB5E9C"/>
    <w:rsid w:val="00BB6276"/>
    <w:rsid w:val="00BB62BD"/>
    <w:rsid w:val="00BB630C"/>
    <w:rsid w:val="00BB6E34"/>
    <w:rsid w:val="00BB7049"/>
    <w:rsid w:val="00BB7C4E"/>
    <w:rsid w:val="00BC0208"/>
    <w:rsid w:val="00BC06B3"/>
    <w:rsid w:val="00BC096E"/>
    <w:rsid w:val="00BC0A45"/>
    <w:rsid w:val="00BC1095"/>
    <w:rsid w:val="00BC1A29"/>
    <w:rsid w:val="00BC1DCF"/>
    <w:rsid w:val="00BC1FBB"/>
    <w:rsid w:val="00BC2102"/>
    <w:rsid w:val="00BC227A"/>
    <w:rsid w:val="00BC244A"/>
    <w:rsid w:val="00BC24AC"/>
    <w:rsid w:val="00BC26B2"/>
    <w:rsid w:val="00BC2774"/>
    <w:rsid w:val="00BC292E"/>
    <w:rsid w:val="00BC2AB7"/>
    <w:rsid w:val="00BC2EE2"/>
    <w:rsid w:val="00BC3731"/>
    <w:rsid w:val="00BC4006"/>
    <w:rsid w:val="00BC418A"/>
    <w:rsid w:val="00BC4C1E"/>
    <w:rsid w:val="00BC4D28"/>
    <w:rsid w:val="00BC53B8"/>
    <w:rsid w:val="00BC5406"/>
    <w:rsid w:val="00BC5452"/>
    <w:rsid w:val="00BC5C15"/>
    <w:rsid w:val="00BC5E79"/>
    <w:rsid w:val="00BC6C1B"/>
    <w:rsid w:val="00BC6FE2"/>
    <w:rsid w:val="00BC702D"/>
    <w:rsid w:val="00BD01CE"/>
    <w:rsid w:val="00BD02FC"/>
    <w:rsid w:val="00BD05B2"/>
    <w:rsid w:val="00BD0F6C"/>
    <w:rsid w:val="00BD0FF9"/>
    <w:rsid w:val="00BD108D"/>
    <w:rsid w:val="00BD1134"/>
    <w:rsid w:val="00BD117E"/>
    <w:rsid w:val="00BD18B1"/>
    <w:rsid w:val="00BD1A13"/>
    <w:rsid w:val="00BD1CB4"/>
    <w:rsid w:val="00BD1FFD"/>
    <w:rsid w:val="00BD2040"/>
    <w:rsid w:val="00BD2045"/>
    <w:rsid w:val="00BD22B1"/>
    <w:rsid w:val="00BD2B08"/>
    <w:rsid w:val="00BD2B96"/>
    <w:rsid w:val="00BD32CD"/>
    <w:rsid w:val="00BD3478"/>
    <w:rsid w:val="00BD370F"/>
    <w:rsid w:val="00BD3AEE"/>
    <w:rsid w:val="00BD43C8"/>
    <w:rsid w:val="00BD4586"/>
    <w:rsid w:val="00BD46B1"/>
    <w:rsid w:val="00BD48B9"/>
    <w:rsid w:val="00BD49C2"/>
    <w:rsid w:val="00BD4A1E"/>
    <w:rsid w:val="00BD5494"/>
    <w:rsid w:val="00BD558C"/>
    <w:rsid w:val="00BD571B"/>
    <w:rsid w:val="00BD583A"/>
    <w:rsid w:val="00BD5A3F"/>
    <w:rsid w:val="00BD5F4A"/>
    <w:rsid w:val="00BD6735"/>
    <w:rsid w:val="00BD6986"/>
    <w:rsid w:val="00BD6D0E"/>
    <w:rsid w:val="00BD6ED4"/>
    <w:rsid w:val="00BD71FC"/>
    <w:rsid w:val="00BD730E"/>
    <w:rsid w:val="00BD757F"/>
    <w:rsid w:val="00BD75E6"/>
    <w:rsid w:val="00BD779C"/>
    <w:rsid w:val="00BD7ECD"/>
    <w:rsid w:val="00BE0109"/>
    <w:rsid w:val="00BE027B"/>
    <w:rsid w:val="00BE0D90"/>
    <w:rsid w:val="00BE18E2"/>
    <w:rsid w:val="00BE1D76"/>
    <w:rsid w:val="00BE1EF7"/>
    <w:rsid w:val="00BE2C97"/>
    <w:rsid w:val="00BE2FD9"/>
    <w:rsid w:val="00BE3249"/>
    <w:rsid w:val="00BE3261"/>
    <w:rsid w:val="00BE3539"/>
    <w:rsid w:val="00BE374B"/>
    <w:rsid w:val="00BE379A"/>
    <w:rsid w:val="00BE37B6"/>
    <w:rsid w:val="00BE432B"/>
    <w:rsid w:val="00BE434D"/>
    <w:rsid w:val="00BE4666"/>
    <w:rsid w:val="00BE46C9"/>
    <w:rsid w:val="00BE47A7"/>
    <w:rsid w:val="00BE48D6"/>
    <w:rsid w:val="00BE4E37"/>
    <w:rsid w:val="00BE4F28"/>
    <w:rsid w:val="00BE5799"/>
    <w:rsid w:val="00BE58C2"/>
    <w:rsid w:val="00BE5A00"/>
    <w:rsid w:val="00BE5B09"/>
    <w:rsid w:val="00BE6538"/>
    <w:rsid w:val="00BE65B6"/>
    <w:rsid w:val="00BE6721"/>
    <w:rsid w:val="00BE6A87"/>
    <w:rsid w:val="00BE6ED6"/>
    <w:rsid w:val="00BE71C7"/>
    <w:rsid w:val="00BE7574"/>
    <w:rsid w:val="00BE7702"/>
    <w:rsid w:val="00BE7BA5"/>
    <w:rsid w:val="00BE7E67"/>
    <w:rsid w:val="00BF000D"/>
    <w:rsid w:val="00BF0CD4"/>
    <w:rsid w:val="00BF185E"/>
    <w:rsid w:val="00BF2128"/>
    <w:rsid w:val="00BF23C5"/>
    <w:rsid w:val="00BF26A0"/>
    <w:rsid w:val="00BF289A"/>
    <w:rsid w:val="00BF2B39"/>
    <w:rsid w:val="00BF2E1E"/>
    <w:rsid w:val="00BF2FAF"/>
    <w:rsid w:val="00BF30AC"/>
    <w:rsid w:val="00BF3233"/>
    <w:rsid w:val="00BF339F"/>
    <w:rsid w:val="00BF3524"/>
    <w:rsid w:val="00BF35BC"/>
    <w:rsid w:val="00BF3620"/>
    <w:rsid w:val="00BF38E0"/>
    <w:rsid w:val="00BF3AED"/>
    <w:rsid w:val="00BF3BDC"/>
    <w:rsid w:val="00BF3DA3"/>
    <w:rsid w:val="00BF4BAF"/>
    <w:rsid w:val="00BF5033"/>
    <w:rsid w:val="00BF5368"/>
    <w:rsid w:val="00BF598E"/>
    <w:rsid w:val="00BF65F6"/>
    <w:rsid w:val="00BF69FD"/>
    <w:rsid w:val="00BF6AB9"/>
    <w:rsid w:val="00BF7178"/>
    <w:rsid w:val="00BF732E"/>
    <w:rsid w:val="00C0025A"/>
    <w:rsid w:val="00C00806"/>
    <w:rsid w:val="00C0154F"/>
    <w:rsid w:val="00C015AD"/>
    <w:rsid w:val="00C01705"/>
    <w:rsid w:val="00C01EEA"/>
    <w:rsid w:val="00C020EB"/>
    <w:rsid w:val="00C02611"/>
    <w:rsid w:val="00C029B3"/>
    <w:rsid w:val="00C02AC9"/>
    <w:rsid w:val="00C02EA6"/>
    <w:rsid w:val="00C034B0"/>
    <w:rsid w:val="00C03BF9"/>
    <w:rsid w:val="00C03EF7"/>
    <w:rsid w:val="00C04653"/>
    <w:rsid w:val="00C048E8"/>
    <w:rsid w:val="00C04BCE"/>
    <w:rsid w:val="00C04E8B"/>
    <w:rsid w:val="00C05DC5"/>
    <w:rsid w:val="00C0659C"/>
    <w:rsid w:val="00C06662"/>
    <w:rsid w:val="00C0687C"/>
    <w:rsid w:val="00C06DA0"/>
    <w:rsid w:val="00C0793E"/>
    <w:rsid w:val="00C07F9F"/>
    <w:rsid w:val="00C10243"/>
    <w:rsid w:val="00C1051B"/>
    <w:rsid w:val="00C10D1C"/>
    <w:rsid w:val="00C1180B"/>
    <w:rsid w:val="00C11BF2"/>
    <w:rsid w:val="00C11DA5"/>
    <w:rsid w:val="00C12C8E"/>
    <w:rsid w:val="00C12E16"/>
    <w:rsid w:val="00C132E0"/>
    <w:rsid w:val="00C135FA"/>
    <w:rsid w:val="00C13673"/>
    <w:rsid w:val="00C1391F"/>
    <w:rsid w:val="00C13D0A"/>
    <w:rsid w:val="00C13D5C"/>
    <w:rsid w:val="00C13E2F"/>
    <w:rsid w:val="00C13FE7"/>
    <w:rsid w:val="00C146FA"/>
    <w:rsid w:val="00C148D1"/>
    <w:rsid w:val="00C150B3"/>
    <w:rsid w:val="00C155F3"/>
    <w:rsid w:val="00C15E2C"/>
    <w:rsid w:val="00C165F1"/>
    <w:rsid w:val="00C167D4"/>
    <w:rsid w:val="00C17576"/>
    <w:rsid w:val="00C176FA"/>
    <w:rsid w:val="00C17DA1"/>
    <w:rsid w:val="00C20086"/>
    <w:rsid w:val="00C2037C"/>
    <w:rsid w:val="00C20A15"/>
    <w:rsid w:val="00C20AD8"/>
    <w:rsid w:val="00C20E6F"/>
    <w:rsid w:val="00C20ECB"/>
    <w:rsid w:val="00C210BF"/>
    <w:rsid w:val="00C213F1"/>
    <w:rsid w:val="00C2198B"/>
    <w:rsid w:val="00C21D89"/>
    <w:rsid w:val="00C21F0F"/>
    <w:rsid w:val="00C224C6"/>
    <w:rsid w:val="00C2252F"/>
    <w:rsid w:val="00C2276A"/>
    <w:rsid w:val="00C22B10"/>
    <w:rsid w:val="00C22BA1"/>
    <w:rsid w:val="00C22BC2"/>
    <w:rsid w:val="00C23119"/>
    <w:rsid w:val="00C241D9"/>
    <w:rsid w:val="00C2439C"/>
    <w:rsid w:val="00C243D0"/>
    <w:rsid w:val="00C24681"/>
    <w:rsid w:val="00C2501F"/>
    <w:rsid w:val="00C2625B"/>
    <w:rsid w:val="00C262B4"/>
    <w:rsid w:val="00C2643B"/>
    <w:rsid w:val="00C2652C"/>
    <w:rsid w:val="00C27785"/>
    <w:rsid w:val="00C27DBD"/>
    <w:rsid w:val="00C27E60"/>
    <w:rsid w:val="00C30393"/>
    <w:rsid w:val="00C31B73"/>
    <w:rsid w:val="00C32279"/>
    <w:rsid w:val="00C32E62"/>
    <w:rsid w:val="00C32F9F"/>
    <w:rsid w:val="00C330EC"/>
    <w:rsid w:val="00C33637"/>
    <w:rsid w:val="00C3367E"/>
    <w:rsid w:val="00C33A4C"/>
    <w:rsid w:val="00C33D5F"/>
    <w:rsid w:val="00C3403A"/>
    <w:rsid w:val="00C3436C"/>
    <w:rsid w:val="00C343AB"/>
    <w:rsid w:val="00C34467"/>
    <w:rsid w:val="00C34541"/>
    <w:rsid w:val="00C34C46"/>
    <w:rsid w:val="00C351B1"/>
    <w:rsid w:val="00C3529B"/>
    <w:rsid w:val="00C356D4"/>
    <w:rsid w:val="00C35B16"/>
    <w:rsid w:val="00C35B79"/>
    <w:rsid w:val="00C35FAD"/>
    <w:rsid w:val="00C36223"/>
    <w:rsid w:val="00C36395"/>
    <w:rsid w:val="00C3698D"/>
    <w:rsid w:val="00C36EE7"/>
    <w:rsid w:val="00C36F14"/>
    <w:rsid w:val="00C372E3"/>
    <w:rsid w:val="00C37A44"/>
    <w:rsid w:val="00C37AEB"/>
    <w:rsid w:val="00C37B0B"/>
    <w:rsid w:val="00C37B2C"/>
    <w:rsid w:val="00C37BB7"/>
    <w:rsid w:val="00C37E13"/>
    <w:rsid w:val="00C403F9"/>
    <w:rsid w:val="00C40456"/>
    <w:rsid w:val="00C40C34"/>
    <w:rsid w:val="00C41106"/>
    <w:rsid w:val="00C41126"/>
    <w:rsid w:val="00C41557"/>
    <w:rsid w:val="00C41F27"/>
    <w:rsid w:val="00C423CA"/>
    <w:rsid w:val="00C42AFA"/>
    <w:rsid w:val="00C431AD"/>
    <w:rsid w:val="00C435F1"/>
    <w:rsid w:val="00C439B1"/>
    <w:rsid w:val="00C43ACA"/>
    <w:rsid w:val="00C44B07"/>
    <w:rsid w:val="00C44EF8"/>
    <w:rsid w:val="00C454DF"/>
    <w:rsid w:val="00C45A42"/>
    <w:rsid w:val="00C45D82"/>
    <w:rsid w:val="00C46204"/>
    <w:rsid w:val="00C46252"/>
    <w:rsid w:val="00C4625D"/>
    <w:rsid w:val="00C465DD"/>
    <w:rsid w:val="00C466F0"/>
    <w:rsid w:val="00C46840"/>
    <w:rsid w:val="00C4705D"/>
    <w:rsid w:val="00C472D7"/>
    <w:rsid w:val="00C4738B"/>
    <w:rsid w:val="00C4747A"/>
    <w:rsid w:val="00C4796E"/>
    <w:rsid w:val="00C479E8"/>
    <w:rsid w:val="00C47ABC"/>
    <w:rsid w:val="00C50348"/>
    <w:rsid w:val="00C50553"/>
    <w:rsid w:val="00C506DD"/>
    <w:rsid w:val="00C50B83"/>
    <w:rsid w:val="00C50EB1"/>
    <w:rsid w:val="00C50F2C"/>
    <w:rsid w:val="00C5109F"/>
    <w:rsid w:val="00C510D3"/>
    <w:rsid w:val="00C5158F"/>
    <w:rsid w:val="00C51804"/>
    <w:rsid w:val="00C5188D"/>
    <w:rsid w:val="00C51F30"/>
    <w:rsid w:val="00C51FA9"/>
    <w:rsid w:val="00C5209E"/>
    <w:rsid w:val="00C52527"/>
    <w:rsid w:val="00C53586"/>
    <w:rsid w:val="00C538FA"/>
    <w:rsid w:val="00C541D4"/>
    <w:rsid w:val="00C54877"/>
    <w:rsid w:val="00C5565E"/>
    <w:rsid w:val="00C55DA9"/>
    <w:rsid w:val="00C55DC8"/>
    <w:rsid w:val="00C55EF3"/>
    <w:rsid w:val="00C5607A"/>
    <w:rsid w:val="00C5614D"/>
    <w:rsid w:val="00C561BD"/>
    <w:rsid w:val="00C561D9"/>
    <w:rsid w:val="00C56262"/>
    <w:rsid w:val="00C566D1"/>
    <w:rsid w:val="00C56745"/>
    <w:rsid w:val="00C56934"/>
    <w:rsid w:val="00C56CD9"/>
    <w:rsid w:val="00C57393"/>
    <w:rsid w:val="00C57398"/>
    <w:rsid w:val="00C575DA"/>
    <w:rsid w:val="00C577F9"/>
    <w:rsid w:val="00C579D9"/>
    <w:rsid w:val="00C57D05"/>
    <w:rsid w:val="00C57DAD"/>
    <w:rsid w:val="00C60098"/>
    <w:rsid w:val="00C60777"/>
    <w:rsid w:val="00C60885"/>
    <w:rsid w:val="00C60B62"/>
    <w:rsid w:val="00C60D83"/>
    <w:rsid w:val="00C6147A"/>
    <w:rsid w:val="00C6166B"/>
    <w:rsid w:val="00C616A4"/>
    <w:rsid w:val="00C61829"/>
    <w:rsid w:val="00C618AE"/>
    <w:rsid w:val="00C61AB1"/>
    <w:rsid w:val="00C61C1A"/>
    <w:rsid w:val="00C625BE"/>
    <w:rsid w:val="00C626BF"/>
    <w:rsid w:val="00C62963"/>
    <w:rsid w:val="00C62A6F"/>
    <w:rsid w:val="00C62B42"/>
    <w:rsid w:val="00C62B8B"/>
    <w:rsid w:val="00C63207"/>
    <w:rsid w:val="00C638FD"/>
    <w:rsid w:val="00C63E2D"/>
    <w:rsid w:val="00C63FAF"/>
    <w:rsid w:val="00C64483"/>
    <w:rsid w:val="00C64EC9"/>
    <w:rsid w:val="00C64F1A"/>
    <w:rsid w:val="00C65A59"/>
    <w:rsid w:val="00C65A91"/>
    <w:rsid w:val="00C65C2E"/>
    <w:rsid w:val="00C66139"/>
    <w:rsid w:val="00C66237"/>
    <w:rsid w:val="00C66262"/>
    <w:rsid w:val="00C662AB"/>
    <w:rsid w:val="00C66331"/>
    <w:rsid w:val="00C666CB"/>
    <w:rsid w:val="00C66853"/>
    <w:rsid w:val="00C668C4"/>
    <w:rsid w:val="00C66986"/>
    <w:rsid w:val="00C66E0E"/>
    <w:rsid w:val="00C66E85"/>
    <w:rsid w:val="00C67BB5"/>
    <w:rsid w:val="00C708FC"/>
    <w:rsid w:val="00C70AB5"/>
    <w:rsid w:val="00C70B5E"/>
    <w:rsid w:val="00C70D8C"/>
    <w:rsid w:val="00C70E3F"/>
    <w:rsid w:val="00C7132E"/>
    <w:rsid w:val="00C71585"/>
    <w:rsid w:val="00C71C68"/>
    <w:rsid w:val="00C71D5E"/>
    <w:rsid w:val="00C7208D"/>
    <w:rsid w:val="00C720BF"/>
    <w:rsid w:val="00C72B3C"/>
    <w:rsid w:val="00C72BDA"/>
    <w:rsid w:val="00C7316F"/>
    <w:rsid w:val="00C73664"/>
    <w:rsid w:val="00C739B6"/>
    <w:rsid w:val="00C73D8C"/>
    <w:rsid w:val="00C74119"/>
    <w:rsid w:val="00C7415F"/>
    <w:rsid w:val="00C744B8"/>
    <w:rsid w:val="00C74DD0"/>
    <w:rsid w:val="00C7633B"/>
    <w:rsid w:val="00C763DF"/>
    <w:rsid w:val="00C76A60"/>
    <w:rsid w:val="00C772A0"/>
    <w:rsid w:val="00C774C6"/>
    <w:rsid w:val="00C77E6B"/>
    <w:rsid w:val="00C77F20"/>
    <w:rsid w:val="00C80F49"/>
    <w:rsid w:val="00C812FE"/>
    <w:rsid w:val="00C81955"/>
    <w:rsid w:val="00C81D08"/>
    <w:rsid w:val="00C81D6A"/>
    <w:rsid w:val="00C81DE4"/>
    <w:rsid w:val="00C8237F"/>
    <w:rsid w:val="00C828AD"/>
    <w:rsid w:val="00C82958"/>
    <w:rsid w:val="00C82F7C"/>
    <w:rsid w:val="00C8323B"/>
    <w:rsid w:val="00C83438"/>
    <w:rsid w:val="00C83583"/>
    <w:rsid w:val="00C83D91"/>
    <w:rsid w:val="00C83F2E"/>
    <w:rsid w:val="00C83FE2"/>
    <w:rsid w:val="00C84056"/>
    <w:rsid w:val="00C841C6"/>
    <w:rsid w:val="00C847BA"/>
    <w:rsid w:val="00C84839"/>
    <w:rsid w:val="00C84BEB"/>
    <w:rsid w:val="00C84E40"/>
    <w:rsid w:val="00C8549A"/>
    <w:rsid w:val="00C856F0"/>
    <w:rsid w:val="00C85825"/>
    <w:rsid w:val="00C85973"/>
    <w:rsid w:val="00C85E45"/>
    <w:rsid w:val="00C85E81"/>
    <w:rsid w:val="00C860EB"/>
    <w:rsid w:val="00C866CA"/>
    <w:rsid w:val="00C86CC2"/>
    <w:rsid w:val="00C875D0"/>
    <w:rsid w:val="00C878D3"/>
    <w:rsid w:val="00C87A3D"/>
    <w:rsid w:val="00C901D5"/>
    <w:rsid w:val="00C903F1"/>
    <w:rsid w:val="00C90A4C"/>
    <w:rsid w:val="00C90E8E"/>
    <w:rsid w:val="00C90F14"/>
    <w:rsid w:val="00C90F8D"/>
    <w:rsid w:val="00C9113A"/>
    <w:rsid w:val="00C9119C"/>
    <w:rsid w:val="00C919C3"/>
    <w:rsid w:val="00C919ED"/>
    <w:rsid w:val="00C91A02"/>
    <w:rsid w:val="00C91AB8"/>
    <w:rsid w:val="00C91FA0"/>
    <w:rsid w:val="00C92167"/>
    <w:rsid w:val="00C92414"/>
    <w:rsid w:val="00C92B2C"/>
    <w:rsid w:val="00C92CFB"/>
    <w:rsid w:val="00C93274"/>
    <w:rsid w:val="00C933E3"/>
    <w:rsid w:val="00C93980"/>
    <w:rsid w:val="00C9431E"/>
    <w:rsid w:val="00C945BE"/>
    <w:rsid w:val="00C94843"/>
    <w:rsid w:val="00C94870"/>
    <w:rsid w:val="00C949B4"/>
    <w:rsid w:val="00C949BA"/>
    <w:rsid w:val="00C94C0F"/>
    <w:rsid w:val="00C94E6E"/>
    <w:rsid w:val="00C94FDD"/>
    <w:rsid w:val="00C9528C"/>
    <w:rsid w:val="00C952FA"/>
    <w:rsid w:val="00C9551C"/>
    <w:rsid w:val="00C9565D"/>
    <w:rsid w:val="00C960A8"/>
    <w:rsid w:val="00C96715"/>
    <w:rsid w:val="00C967BA"/>
    <w:rsid w:val="00C96862"/>
    <w:rsid w:val="00C96869"/>
    <w:rsid w:val="00C96990"/>
    <w:rsid w:val="00C96D91"/>
    <w:rsid w:val="00C96EBA"/>
    <w:rsid w:val="00C97246"/>
    <w:rsid w:val="00C972D7"/>
    <w:rsid w:val="00C976F7"/>
    <w:rsid w:val="00C9776C"/>
    <w:rsid w:val="00C977BE"/>
    <w:rsid w:val="00C97A50"/>
    <w:rsid w:val="00C97A6E"/>
    <w:rsid w:val="00C97B7D"/>
    <w:rsid w:val="00C97C10"/>
    <w:rsid w:val="00C97CB6"/>
    <w:rsid w:val="00C97DC0"/>
    <w:rsid w:val="00C97E64"/>
    <w:rsid w:val="00CA053A"/>
    <w:rsid w:val="00CA05A5"/>
    <w:rsid w:val="00CA065D"/>
    <w:rsid w:val="00CA0826"/>
    <w:rsid w:val="00CA0BC0"/>
    <w:rsid w:val="00CA0EF9"/>
    <w:rsid w:val="00CA1694"/>
    <w:rsid w:val="00CA19C5"/>
    <w:rsid w:val="00CA1E00"/>
    <w:rsid w:val="00CA20A0"/>
    <w:rsid w:val="00CA2418"/>
    <w:rsid w:val="00CA2855"/>
    <w:rsid w:val="00CA2FBF"/>
    <w:rsid w:val="00CA334E"/>
    <w:rsid w:val="00CA3461"/>
    <w:rsid w:val="00CA3DED"/>
    <w:rsid w:val="00CA3EE4"/>
    <w:rsid w:val="00CA4A91"/>
    <w:rsid w:val="00CA4DD3"/>
    <w:rsid w:val="00CA5077"/>
    <w:rsid w:val="00CA55FD"/>
    <w:rsid w:val="00CA587F"/>
    <w:rsid w:val="00CA6848"/>
    <w:rsid w:val="00CA6CF0"/>
    <w:rsid w:val="00CA6DB1"/>
    <w:rsid w:val="00CA7168"/>
    <w:rsid w:val="00CA728B"/>
    <w:rsid w:val="00CA7A67"/>
    <w:rsid w:val="00CA7E40"/>
    <w:rsid w:val="00CA7E45"/>
    <w:rsid w:val="00CB0360"/>
    <w:rsid w:val="00CB072A"/>
    <w:rsid w:val="00CB07C5"/>
    <w:rsid w:val="00CB0C28"/>
    <w:rsid w:val="00CB10CC"/>
    <w:rsid w:val="00CB138A"/>
    <w:rsid w:val="00CB14C5"/>
    <w:rsid w:val="00CB1C0F"/>
    <w:rsid w:val="00CB2636"/>
    <w:rsid w:val="00CB2992"/>
    <w:rsid w:val="00CB31A9"/>
    <w:rsid w:val="00CB32FC"/>
    <w:rsid w:val="00CB367E"/>
    <w:rsid w:val="00CB3E5E"/>
    <w:rsid w:val="00CB3F14"/>
    <w:rsid w:val="00CB447B"/>
    <w:rsid w:val="00CB4716"/>
    <w:rsid w:val="00CB4A41"/>
    <w:rsid w:val="00CB4D66"/>
    <w:rsid w:val="00CB5AAE"/>
    <w:rsid w:val="00CB5F24"/>
    <w:rsid w:val="00CB62E8"/>
    <w:rsid w:val="00CB6969"/>
    <w:rsid w:val="00CB718B"/>
    <w:rsid w:val="00CB750F"/>
    <w:rsid w:val="00CB78CF"/>
    <w:rsid w:val="00CB7C95"/>
    <w:rsid w:val="00CC041A"/>
    <w:rsid w:val="00CC049A"/>
    <w:rsid w:val="00CC08A9"/>
    <w:rsid w:val="00CC0B5A"/>
    <w:rsid w:val="00CC0C49"/>
    <w:rsid w:val="00CC0CE7"/>
    <w:rsid w:val="00CC0CEA"/>
    <w:rsid w:val="00CC1449"/>
    <w:rsid w:val="00CC157C"/>
    <w:rsid w:val="00CC16B5"/>
    <w:rsid w:val="00CC16CD"/>
    <w:rsid w:val="00CC1ACD"/>
    <w:rsid w:val="00CC20F2"/>
    <w:rsid w:val="00CC2139"/>
    <w:rsid w:val="00CC2533"/>
    <w:rsid w:val="00CC2800"/>
    <w:rsid w:val="00CC28DF"/>
    <w:rsid w:val="00CC2A97"/>
    <w:rsid w:val="00CC3733"/>
    <w:rsid w:val="00CC393C"/>
    <w:rsid w:val="00CC3CFF"/>
    <w:rsid w:val="00CC4481"/>
    <w:rsid w:val="00CC48D9"/>
    <w:rsid w:val="00CC4A54"/>
    <w:rsid w:val="00CC4AA7"/>
    <w:rsid w:val="00CC4CF5"/>
    <w:rsid w:val="00CC4DA1"/>
    <w:rsid w:val="00CC561E"/>
    <w:rsid w:val="00CC5C73"/>
    <w:rsid w:val="00CC5CE1"/>
    <w:rsid w:val="00CC5D78"/>
    <w:rsid w:val="00CC6039"/>
    <w:rsid w:val="00CC60A3"/>
    <w:rsid w:val="00CC629D"/>
    <w:rsid w:val="00CC64D6"/>
    <w:rsid w:val="00CC6A91"/>
    <w:rsid w:val="00CC6AAF"/>
    <w:rsid w:val="00CC6B33"/>
    <w:rsid w:val="00CC6C9A"/>
    <w:rsid w:val="00CC6DDC"/>
    <w:rsid w:val="00CC6F4C"/>
    <w:rsid w:val="00CC790F"/>
    <w:rsid w:val="00CC7C26"/>
    <w:rsid w:val="00CC7E85"/>
    <w:rsid w:val="00CD0397"/>
    <w:rsid w:val="00CD03A9"/>
    <w:rsid w:val="00CD0BFA"/>
    <w:rsid w:val="00CD0C75"/>
    <w:rsid w:val="00CD1062"/>
    <w:rsid w:val="00CD13F2"/>
    <w:rsid w:val="00CD1517"/>
    <w:rsid w:val="00CD1DF2"/>
    <w:rsid w:val="00CD1EB7"/>
    <w:rsid w:val="00CD2182"/>
    <w:rsid w:val="00CD31B4"/>
    <w:rsid w:val="00CD3792"/>
    <w:rsid w:val="00CD3AF8"/>
    <w:rsid w:val="00CD3B09"/>
    <w:rsid w:val="00CD3BA4"/>
    <w:rsid w:val="00CD413E"/>
    <w:rsid w:val="00CD4307"/>
    <w:rsid w:val="00CD4930"/>
    <w:rsid w:val="00CD4E47"/>
    <w:rsid w:val="00CD5480"/>
    <w:rsid w:val="00CD5A38"/>
    <w:rsid w:val="00CD5AC0"/>
    <w:rsid w:val="00CD5AC3"/>
    <w:rsid w:val="00CD5BEA"/>
    <w:rsid w:val="00CD5E9C"/>
    <w:rsid w:val="00CD607A"/>
    <w:rsid w:val="00CD6295"/>
    <w:rsid w:val="00CD62A4"/>
    <w:rsid w:val="00CD6ABC"/>
    <w:rsid w:val="00CD6EDA"/>
    <w:rsid w:val="00CD74A2"/>
    <w:rsid w:val="00CD750F"/>
    <w:rsid w:val="00CD7970"/>
    <w:rsid w:val="00CD7A37"/>
    <w:rsid w:val="00CD7B51"/>
    <w:rsid w:val="00CD7B98"/>
    <w:rsid w:val="00CD7FAC"/>
    <w:rsid w:val="00CE0147"/>
    <w:rsid w:val="00CE01B0"/>
    <w:rsid w:val="00CE02B1"/>
    <w:rsid w:val="00CE02DB"/>
    <w:rsid w:val="00CE080A"/>
    <w:rsid w:val="00CE0883"/>
    <w:rsid w:val="00CE09AC"/>
    <w:rsid w:val="00CE1086"/>
    <w:rsid w:val="00CE13B9"/>
    <w:rsid w:val="00CE15BD"/>
    <w:rsid w:val="00CE19FA"/>
    <w:rsid w:val="00CE25AF"/>
    <w:rsid w:val="00CE2648"/>
    <w:rsid w:val="00CE2811"/>
    <w:rsid w:val="00CE2F5E"/>
    <w:rsid w:val="00CE3BD7"/>
    <w:rsid w:val="00CE40FF"/>
    <w:rsid w:val="00CE4256"/>
    <w:rsid w:val="00CE4834"/>
    <w:rsid w:val="00CE4BDA"/>
    <w:rsid w:val="00CE4D97"/>
    <w:rsid w:val="00CE53E6"/>
    <w:rsid w:val="00CE5460"/>
    <w:rsid w:val="00CE5CA4"/>
    <w:rsid w:val="00CE5D86"/>
    <w:rsid w:val="00CE6AF0"/>
    <w:rsid w:val="00CE6DB9"/>
    <w:rsid w:val="00CE6E07"/>
    <w:rsid w:val="00CE6E23"/>
    <w:rsid w:val="00CE704F"/>
    <w:rsid w:val="00CE7084"/>
    <w:rsid w:val="00CE72DF"/>
    <w:rsid w:val="00CE73F5"/>
    <w:rsid w:val="00CE786F"/>
    <w:rsid w:val="00CE78FA"/>
    <w:rsid w:val="00CE7C9F"/>
    <w:rsid w:val="00CE7D15"/>
    <w:rsid w:val="00CF00B8"/>
    <w:rsid w:val="00CF0743"/>
    <w:rsid w:val="00CF09E1"/>
    <w:rsid w:val="00CF09E3"/>
    <w:rsid w:val="00CF0B68"/>
    <w:rsid w:val="00CF0C01"/>
    <w:rsid w:val="00CF0DCC"/>
    <w:rsid w:val="00CF0FCD"/>
    <w:rsid w:val="00CF1ECF"/>
    <w:rsid w:val="00CF21F0"/>
    <w:rsid w:val="00CF2353"/>
    <w:rsid w:val="00CF2366"/>
    <w:rsid w:val="00CF23FA"/>
    <w:rsid w:val="00CF25F2"/>
    <w:rsid w:val="00CF278F"/>
    <w:rsid w:val="00CF293F"/>
    <w:rsid w:val="00CF2B49"/>
    <w:rsid w:val="00CF2BD3"/>
    <w:rsid w:val="00CF2C1C"/>
    <w:rsid w:val="00CF2E75"/>
    <w:rsid w:val="00CF38DA"/>
    <w:rsid w:val="00CF3A2D"/>
    <w:rsid w:val="00CF3AF1"/>
    <w:rsid w:val="00CF3C9B"/>
    <w:rsid w:val="00CF3E76"/>
    <w:rsid w:val="00CF4034"/>
    <w:rsid w:val="00CF42B4"/>
    <w:rsid w:val="00CF4404"/>
    <w:rsid w:val="00CF44F8"/>
    <w:rsid w:val="00CF4626"/>
    <w:rsid w:val="00CF4AD9"/>
    <w:rsid w:val="00CF4BF6"/>
    <w:rsid w:val="00CF4CEC"/>
    <w:rsid w:val="00CF5165"/>
    <w:rsid w:val="00CF5335"/>
    <w:rsid w:val="00CF5BB0"/>
    <w:rsid w:val="00CF6ED8"/>
    <w:rsid w:val="00CF74AE"/>
    <w:rsid w:val="00CF78CE"/>
    <w:rsid w:val="00CF7CD9"/>
    <w:rsid w:val="00D0061C"/>
    <w:rsid w:val="00D007BC"/>
    <w:rsid w:val="00D01694"/>
    <w:rsid w:val="00D02197"/>
    <w:rsid w:val="00D0231C"/>
    <w:rsid w:val="00D02384"/>
    <w:rsid w:val="00D026E7"/>
    <w:rsid w:val="00D027A7"/>
    <w:rsid w:val="00D02EC6"/>
    <w:rsid w:val="00D0351F"/>
    <w:rsid w:val="00D035C9"/>
    <w:rsid w:val="00D03B73"/>
    <w:rsid w:val="00D03C8B"/>
    <w:rsid w:val="00D03E30"/>
    <w:rsid w:val="00D0420C"/>
    <w:rsid w:val="00D044BA"/>
    <w:rsid w:val="00D044DC"/>
    <w:rsid w:val="00D04BDA"/>
    <w:rsid w:val="00D04C57"/>
    <w:rsid w:val="00D04F50"/>
    <w:rsid w:val="00D058F7"/>
    <w:rsid w:val="00D06787"/>
    <w:rsid w:val="00D06A81"/>
    <w:rsid w:val="00D07016"/>
    <w:rsid w:val="00D070F6"/>
    <w:rsid w:val="00D07384"/>
    <w:rsid w:val="00D0775E"/>
    <w:rsid w:val="00D07E93"/>
    <w:rsid w:val="00D07FDC"/>
    <w:rsid w:val="00D100A5"/>
    <w:rsid w:val="00D10136"/>
    <w:rsid w:val="00D103C4"/>
    <w:rsid w:val="00D105EA"/>
    <w:rsid w:val="00D10797"/>
    <w:rsid w:val="00D107E5"/>
    <w:rsid w:val="00D108F3"/>
    <w:rsid w:val="00D1192F"/>
    <w:rsid w:val="00D11AA1"/>
    <w:rsid w:val="00D11AC5"/>
    <w:rsid w:val="00D11CDD"/>
    <w:rsid w:val="00D1226B"/>
    <w:rsid w:val="00D1245A"/>
    <w:rsid w:val="00D128E0"/>
    <w:rsid w:val="00D132AD"/>
    <w:rsid w:val="00D137AE"/>
    <w:rsid w:val="00D13DDD"/>
    <w:rsid w:val="00D148D2"/>
    <w:rsid w:val="00D14F2E"/>
    <w:rsid w:val="00D14F6E"/>
    <w:rsid w:val="00D15133"/>
    <w:rsid w:val="00D15ACE"/>
    <w:rsid w:val="00D15D86"/>
    <w:rsid w:val="00D161EF"/>
    <w:rsid w:val="00D16ED7"/>
    <w:rsid w:val="00D17249"/>
    <w:rsid w:val="00D174B5"/>
    <w:rsid w:val="00D1764C"/>
    <w:rsid w:val="00D17918"/>
    <w:rsid w:val="00D1CDA3"/>
    <w:rsid w:val="00D20117"/>
    <w:rsid w:val="00D20248"/>
    <w:rsid w:val="00D20535"/>
    <w:rsid w:val="00D205C0"/>
    <w:rsid w:val="00D206C5"/>
    <w:rsid w:val="00D20AB2"/>
    <w:rsid w:val="00D20E00"/>
    <w:rsid w:val="00D214FF"/>
    <w:rsid w:val="00D2172C"/>
    <w:rsid w:val="00D217AD"/>
    <w:rsid w:val="00D21920"/>
    <w:rsid w:val="00D21AC0"/>
    <w:rsid w:val="00D21EC6"/>
    <w:rsid w:val="00D21FC6"/>
    <w:rsid w:val="00D2206D"/>
    <w:rsid w:val="00D2207B"/>
    <w:rsid w:val="00D222B5"/>
    <w:rsid w:val="00D2285A"/>
    <w:rsid w:val="00D2288E"/>
    <w:rsid w:val="00D228B7"/>
    <w:rsid w:val="00D23077"/>
    <w:rsid w:val="00D23263"/>
    <w:rsid w:val="00D238A2"/>
    <w:rsid w:val="00D239A1"/>
    <w:rsid w:val="00D23BF7"/>
    <w:rsid w:val="00D24096"/>
    <w:rsid w:val="00D242B8"/>
    <w:rsid w:val="00D24E1B"/>
    <w:rsid w:val="00D24F7A"/>
    <w:rsid w:val="00D258C8"/>
    <w:rsid w:val="00D265C0"/>
    <w:rsid w:val="00D26764"/>
    <w:rsid w:val="00D2703C"/>
    <w:rsid w:val="00D27069"/>
    <w:rsid w:val="00D2734C"/>
    <w:rsid w:val="00D2767D"/>
    <w:rsid w:val="00D276FA"/>
    <w:rsid w:val="00D27A7B"/>
    <w:rsid w:val="00D27B5B"/>
    <w:rsid w:val="00D27EE7"/>
    <w:rsid w:val="00D30182"/>
    <w:rsid w:val="00D3021C"/>
    <w:rsid w:val="00D303AC"/>
    <w:rsid w:val="00D303E4"/>
    <w:rsid w:val="00D3059D"/>
    <w:rsid w:val="00D30EE3"/>
    <w:rsid w:val="00D311A0"/>
    <w:rsid w:val="00D32267"/>
    <w:rsid w:val="00D32385"/>
    <w:rsid w:val="00D32646"/>
    <w:rsid w:val="00D3270B"/>
    <w:rsid w:val="00D32DAC"/>
    <w:rsid w:val="00D3352B"/>
    <w:rsid w:val="00D33531"/>
    <w:rsid w:val="00D33616"/>
    <w:rsid w:val="00D3374B"/>
    <w:rsid w:val="00D33EF2"/>
    <w:rsid w:val="00D3447B"/>
    <w:rsid w:val="00D345A7"/>
    <w:rsid w:val="00D34B38"/>
    <w:rsid w:val="00D34F5B"/>
    <w:rsid w:val="00D355A0"/>
    <w:rsid w:val="00D3569E"/>
    <w:rsid w:val="00D356B4"/>
    <w:rsid w:val="00D356CF"/>
    <w:rsid w:val="00D35D8B"/>
    <w:rsid w:val="00D35E20"/>
    <w:rsid w:val="00D35E75"/>
    <w:rsid w:val="00D36FC3"/>
    <w:rsid w:val="00D37074"/>
    <w:rsid w:val="00D370CD"/>
    <w:rsid w:val="00D371D2"/>
    <w:rsid w:val="00D37D66"/>
    <w:rsid w:val="00D37E23"/>
    <w:rsid w:val="00D37F2D"/>
    <w:rsid w:val="00D4011A"/>
    <w:rsid w:val="00D404BF"/>
    <w:rsid w:val="00D40530"/>
    <w:rsid w:val="00D405E2"/>
    <w:rsid w:val="00D40828"/>
    <w:rsid w:val="00D40B28"/>
    <w:rsid w:val="00D40DB9"/>
    <w:rsid w:val="00D41053"/>
    <w:rsid w:val="00D4158B"/>
    <w:rsid w:val="00D4162B"/>
    <w:rsid w:val="00D4170B"/>
    <w:rsid w:val="00D41C77"/>
    <w:rsid w:val="00D42783"/>
    <w:rsid w:val="00D427AD"/>
    <w:rsid w:val="00D42C20"/>
    <w:rsid w:val="00D42E65"/>
    <w:rsid w:val="00D435AF"/>
    <w:rsid w:val="00D444CF"/>
    <w:rsid w:val="00D4464F"/>
    <w:rsid w:val="00D448FE"/>
    <w:rsid w:val="00D44970"/>
    <w:rsid w:val="00D44FB6"/>
    <w:rsid w:val="00D45292"/>
    <w:rsid w:val="00D452A2"/>
    <w:rsid w:val="00D453D7"/>
    <w:rsid w:val="00D45699"/>
    <w:rsid w:val="00D45859"/>
    <w:rsid w:val="00D458CB"/>
    <w:rsid w:val="00D45D80"/>
    <w:rsid w:val="00D45E15"/>
    <w:rsid w:val="00D46033"/>
    <w:rsid w:val="00D46687"/>
    <w:rsid w:val="00D46716"/>
    <w:rsid w:val="00D46CB1"/>
    <w:rsid w:val="00D46CF7"/>
    <w:rsid w:val="00D471AD"/>
    <w:rsid w:val="00D47DF4"/>
    <w:rsid w:val="00D47ED0"/>
    <w:rsid w:val="00D501E2"/>
    <w:rsid w:val="00D50269"/>
    <w:rsid w:val="00D503E0"/>
    <w:rsid w:val="00D504FC"/>
    <w:rsid w:val="00D508D1"/>
    <w:rsid w:val="00D51754"/>
    <w:rsid w:val="00D52011"/>
    <w:rsid w:val="00D52574"/>
    <w:rsid w:val="00D5261B"/>
    <w:rsid w:val="00D52757"/>
    <w:rsid w:val="00D52AD9"/>
    <w:rsid w:val="00D52E4F"/>
    <w:rsid w:val="00D5332F"/>
    <w:rsid w:val="00D53750"/>
    <w:rsid w:val="00D53A30"/>
    <w:rsid w:val="00D5438D"/>
    <w:rsid w:val="00D54592"/>
    <w:rsid w:val="00D54697"/>
    <w:rsid w:val="00D54AD0"/>
    <w:rsid w:val="00D54EBF"/>
    <w:rsid w:val="00D54F00"/>
    <w:rsid w:val="00D5504B"/>
    <w:rsid w:val="00D5506E"/>
    <w:rsid w:val="00D55086"/>
    <w:rsid w:val="00D55283"/>
    <w:rsid w:val="00D55585"/>
    <w:rsid w:val="00D555E1"/>
    <w:rsid w:val="00D55B27"/>
    <w:rsid w:val="00D5686E"/>
    <w:rsid w:val="00D56C4C"/>
    <w:rsid w:val="00D56FA3"/>
    <w:rsid w:val="00D57059"/>
    <w:rsid w:val="00D57748"/>
    <w:rsid w:val="00D57A12"/>
    <w:rsid w:val="00D60929"/>
    <w:rsid w:val="00D61145"/>
    <w:rsid w:val="00D61B0D"/>
    <w:rsid w:val="00D62051"/>
    <w:rsid w:val="00D621F5"/>
    <w:rsid w:val="00D622B5"/>
    <w:rsid w:val="00D6239B"/>
    <w:rsid w:val="00D6273E"/>
    <w:rsid w:val="00D627BA"/>
    <w:rsid w:val="00D63248"/>
    <w:rsid w:val="00D63D1B"/>
    <w:rsid w:val="00D63E57"/>
    <w:rsid w:val="00D649F2"/>
    <w:rsid w:val="00D64AF3"/>
    <w:rsid w:val="00D64BF7"/>
    <w:rsid w:val="00D651CF"/>
    <w:rsid w:val="00D6558F"/>
    <w:rsid w:val="00D656D9"/>
    <w:rsid w:val="00D656EF"/>
    <w:rsid w:val="00D66161"/>
    <w:rsid w:val="00D664AA"/>
    <w:rsid w:val="00D664B1"/>
    <w:rsid w:val="00D66E04"/>
    <w:rsid w:val="00D67020"/>
    <w:rsid w:val="00D67411"/>
    <w:rsid w:val="00D67551"/>
    <w:rsid w:val="00D6774E"/>
    <w:rsid w:val="00D6789A"/>
    <w:rsid w:val="00D679FA"/>
    <w:rsid w:val="00D67BC8"/>
    <w:rsid w:val="00D67DCF"/>
    <w:rsid w:val="00D67E3F"/>
    <w:rsid w:val="00D705A7"/>
    <w:rsid w:val="00D70618"/>
    <w:rsid w:val="00D706FC"/>
    <w:rsid w:val="00D70C51"/>
    <w:rsid w:val="00D719B8"/>
    <w:rsid w:val="00D71D0C"/>
    <w:rsid w:val="00D71F54"/>
    <w:rsid w:val="00D722D6"/>
    <w:rsid w:val="00D729CF"/>
    <w:rsid w:val="00D72AE5"/>
    <w:rsid w:val="00D72C7C"/>
    <w:rsid w:val="00D72D8F"/>
    <w:rsid w:val="00D72DED"/>
    <w:rsid w:val="00D737B6"/>
    <w:rsid w:val="00D73980"/>
    <w:rsid w:val="00D73AA4"/>
    <w:rsid w:val="00D73AD2"/>
    <w:rsid w:val="00D740F2"/>
    <w:rsid w:val="00D74367"/>
    <w:rsid w:val="00D74522"/>
    <w:rsid w:val="00D7486B"/>
    <w:rsid w:val="00D749DC"/>
    <w:rsid w:val="00D74B0B"/>
    <w:rsid w:val="00D74CC7"/>
    <w:rsid w:val="00D75255"/>
    <w:rsid w:val="00D759AE"/>
    <w:rsid w:val="00D75ABD"/>
    <w:rsid w:val="00D75DF1"/>
    <w:rsid w:val="00D75E67"/>
    <w:rsid w:val="00D75EE1"/>
    <w:rsid w:val="00D761C4"/>
    <w:rsid w:val="00D76C64"/>
    <w:rsid w:val="00D770B2"/>
    <w:rsid w:val="00D77430"/>
    <w:rsid w:val="00D775AF"/>
    <w:rsid w:val="00D778BC"/>
    <w:rsid w:val="00D77939"/>
    <w:rsid w:val="00D77C2F"/>
    <w:rsid w:val="00D77F07"/>
    <w:rsid w:val="00D800D5"/>
    <w:rsid w:val="00D802D4"/>
    <w:rsid w:val="00D80B62"/>
    <w:rsid w:val="00D80C2E"/>
    <w:rsid w:val="00D80CD9"/>
    <w:rsid w:val="00D80D22"/>
    <w:rsid w:val="00D8153E"/>
    <w:rsid w:val="00D8158D"/>
    <w:rsid w:val="00D81667"/>
    <w:rsid w:val="00D82069"/>
    <w:rsid w:val="00D8289B"/>
    <w:rsid w:val="00D829B2"/>
    <w:rsid w:val="00D831AA"/>
    <w:rsid w:val="00D8326E"/>
    <w:rsid w:val="00D83BA8"/>
    <w:rsid w:val="00D840BC"/>
    <w:rsid w:val="00D84141"/>
    <w:rsid w:val="00D84499"/>
    <w:rsid w:val="00D8469A"/>
    <w:rsid w:val="00D8476F"/>
    <w:rsid w:val="00D84AEE"/>
    <w:rsid w:val="00D852A7"/>
    <w:rsid w:val="00D8573C"/>
    <w:rsid w:val="00D85757"/>
    <w:rsid w:val="00D8594E"/>
    <w:rsid w:val="00D85A99"/>
    <w:rsid w:val="00D85D1D"/>
    <w:rsid w:val="00D85E40"/>
    <w:rsid w:val="00D85FCE"/>
    <w:rsid w:val="00D85FDC"/>
    <w:rsid w:val="00D860D8"/>
    <w:rsid w:val="00D86433"/>
    <w:rsid w:val="00D865AF"/>
    <w:rsid w:val="00D86760"/>
    <w:rsid w:val="00D868A7"/>
    <w:rsid w:val="00D86BED"/>
    <w:rsid w:val="00D86FF0"/>
    <w:rsid w:val="00D87BC8"/>
    <w:rsid w:val="00D87F96"/>
    <w:rsid w:val="00D905BF"/>
    <w:rsid w:val="00D906B4"/>
    <w:rsid w:val="00D90F9D"/>
    <w:rsid w:val="00D9135C"/>
    <w:rsid w:val="00D91737"/>
    <w:rsid w:val="00D920EE"/>
    <w:rsid w:val="00D9269E"/>
    <w:rsid w:val="00D93648"/>
    <w:rsid w:val="00D93A26"/>
    <w:rsid w:val="00D93F38"/>
    <w:rsid w:val="00D93F85"/>
    <w:rsid w:val="00D9447D"/>
    <w:rsid w:val="00D94E6C"/>
    <w:rsid w:val="00D95415"/>
    <w:rsid w:val="00D959F7"/>
    <w:rsid w:val="00D963A2"/>
    <w:rsid w:val="00D9661B"/>
    <w:rsid w:val="00D96C82"/>
    <w:rsid w:val="00D96E69"/>
    <w:rsid w:val="00D96FAB"/>
    <w:rsid w:val="00D9708E"/>
    <w:rsid w:val="00D970D2"/>
    <w:rsid w:val="00D979BA"/>
    <w:rsid w:val="00D97D80"/>
    <w:rsid w:val="00DA023C"/>
    <w:rsid w:val="00DA02CD"/>
    <w:rsid w:val="00DA0577"/>
    <w:rsid w:val="00DA0A93"/>
    <w:rsid w:val="00DA0AFE"/>
    <w:rsid w:val="00DA0E5A"/>
    <w:rsid w:val="00DA1B18"/>
    <w:rsid w:val="00DA1E74"/>
    <w:rsid w:val="00DA225D"/>
    <w:rsid w:val="00DA275A"/>
    <w:rsid w:val="00DA2A07"/>
    <w:rsid w:val="00DA2D3F"/>
    <w:rsid w:val="00DA2E02"/>
    <w:rsid w:val="00DA30AB"/>
    <w:rsid w:val="00DA3400"/>
    <w:rsid w:val="00DA3675"/>
    <w:rsid w:val="00DA3FD0"/>
    <w:rsid w:val="00DA451F"/>
    <w:rsid w:val="00DA4538"/>
    <w:rsid w:val="00DA4541"/>
    <w:rsid w:val="00DA48A5"/>
    <w:rsid w:val="00DA4966"/>
    <w:rsid w:val="00DA5232"/>
    <w:rsid w:val="00DA5485"/>
    <w:rsid w:val="00DA54A8"/>
    <w:rsid w:val="00DA5D3C"/>
    <w:rsid w:val="00DA5DAD"/>
    <w:rsid w:val="00DA67D7"/>
    <w:rsid w:val="00DA6948"/>
    <w:rsid w:val="00DA714D"/>
    <w:rsid w:val="00DA7354"/>
    <w:rsid w:val="00DA73D4"/>
    <w:rsid w:val="00DA76F6"/>
    <w:rsid w:val="00DA78E2"/>
    <w:rsid w:val="00DB00FE"/>
    <w:rsid w:val="00DB03D3"/>
    <w:rsid w:val="00DB06E3"/>
    <w:rsid w:val="00DB1194"/>
    <w:rsid w:val="00DB1A76"/>
    <w:rsid w:val="00DB1BA1"/>
    <w:rsid w:val="00DB1CF5"/>
    <w:rsid w:val="00DB1EDC"/>
    <w:rsid w:val="00DB2820"/>
    <w:rsid w:val="00DB2BBC"/>
    <w:rsid w:val="00DB2D9F"/>
    <w:rsid w:val="00DB2F4C"/>
    <w:rsid w:val="00DB3107"/>
    <w:rsid w:val="00DB3650"/>
    <w:rsid w:val="00DB3A73"/>
    <w:rsid w:val="00DB48C5"/>
    <w:rsid w:val="00DB509F"/>
    <w:rsid w:val="00DB50B2"/>
    <w:rsid w:val="00DB5343"/>
    <w:rsid w:val="00DB552A"/>
    <w:rsid w:val="00DB55F3"/>
    <w:rsid w:val="00DB5BDC"/>
    <w:rsid w:val="00DB5DB7"/>
    <w:rsid w:val="00DB60F0"/>
    <w:rsid w:val="00DB6100"/>
    <w:rsid w:val="00DB6131"/>
    <w:rsid w:val="00DB6276"/>
    <w:rsid w:val="00DB6437"/>
    <w:rsid w:val="00DB6C64"/>
    <w:rsid w:val="00DB71A3"/>
    <w:rsid w:val="00DB7516"/>
    <w:rsid w:val="00DB7598"/>
    <w:rsid w:val="00DB777E"/>
    <w:rsid w:val="00DB7D31"/>
    <w:rsid w:val="00DC017A"/>
    <w:rsid w:val="00DC03CD"/>
    <w:rsid w:val="00DC0F5F"/>
    <w:rsid w:val="00DC10F9"/>
    <w:rsid w:val="00DC1323"/>
    <w:rsid w:val="00DC134B"/>
    <w:rsid w:val="00DC151E"/>
    <w:rsid w:val="00DC1B3A"/>
    <w:rsid w:val="00DC21A1"/>
    <w:rsid w:val="00DC2286"/>
    <w:rsid w:val="00DC27AF"/>
    <w:rsid w:val="00DC326C"/>
    <w:rsid w:val="00DC3450"/>
    <w:rsid w:val="00DC3612"/>
    <w:rsid w:val="00DC3C8F"/>
    <w:rsid w:val="00DC4059"/>
    <w:rsid w:val="00DC46C9"/>
    <w:rsid w:val="00DC4AC5"/>
    <w:rsid w:val="00DC4B07"/>
    <w:rsid w:val="00DC4BCB"/>
    <w:rsid w:val="00DC5046"/>
    <w:rsid w:val="00DC5117"/>
    <w:rsid w:val="00DC530E"/>
    <w:rsid w:val="00DC6070"/>
    <w:rsid w:val="00DC6202"/>
    <w:rsid w:val="00DC64A4"/>
    <w:rsid w:val="00DC661C"/>
    <w:rsid w:val="00DC6628"/>
    <w:rsid w:val="00DC6D9A"/>
    <w:rsid w:val="00DC718D"/>
    <w:rsid w:val="00DC74F0"/>
    <w:rsid w:val="00DC7582"/>
    <w:rsid w:val="00DC7590"/>
    <w:rsid w:val="00DC780B"/>
    <w:rsid w:val="00DC7A57"/>
    <w:rsid w:val="00DC7B77"/>
    <w:rsid w:val="00DD0591"/>
    <w:rsid w:val="00DD06A0"/>
    <w:rsid w:val="00DD077A"/>
    <w:rsid w:val="00DD07EC"/>
    <w:rsid w:val="00DD09FF"/>
    <w:rsid w:val="00DD0E5E"/>
    <w:rsid w:val="00DD110D"/>
    <w:rsid w:val="00DD19D5"/>
    <w:rsid w:val="00DD19DF"/>
    <w:rsid w:val="00DD1FA4"/>
    <w:rsid w:val="00DD22C3"/>
    <w:rsid w:val="00DD2354"/>
    <w:rsid w:val="00DD26BF"/>
    <w:rsid w:val="00DD2C2F"/>
    <w:rsid w:val="00DD317B"/>
    <w:rsid w:val="00DD3944"/>
    <w:rsid w:val="00DD3B26"/>
    <w:rsid w:val="00DD3CD4"/>
    <w:rsid w:val="00DD3F04"/>
    <w:rsid w:val="00DD4372"/>
    <w:rsid w:val="00DD470A"/>
    <w:rsid w:val="00DD4971"/>
    <w:rsid w:val="00DD49F0"/>
    <w:rsid w:val="00DD4AD8"/>
    <w:rsid w:val="00DD4EB8"/>
    <w:rsid w:val="00DD5215"/>
    <w:rsid w:val="00DD52DF"/>
    <w:rsid w:val="00DD53A3"/>
    <w:rsid w:val="00DD550B"/>
    <w:rsid w:val="00DD5516"/>
    <w:rsid w:val="00DD5582"/>
    <w:rsid w:val="00DD65AB"/>
    <w:rsid w:val="00DD6925"/>
    <w:rsid w:val="00DD6F0B"/>
    <w:rsid w:val="00DD6F34"/>
    <w:rsid w:val="00DD74F9"/>
    <w:rsid w:val="00DD7626"/>
    <w:rsid w:val="00DD7930"/>
    <w:rsid w:val="00DD7DAB"/>
    <w:rsid w:val="00DD7F5A"/>
    <w:rsid w:val="00DE03CD"/>
    <w:rsid w:val="00DE03EB"/>
    <w:rsid w:val="00DE03FD"/>
    <w:rsid w:val="00DE05AD"/>
    <w:rsid w:val="00DE0BBB"/>
    <w:rsid w:val="00DE10CA"/>
    <w:rsid w:val="00DE11D8"/>
    <w:rsid w:val="00DE13E9"/>
    <w:rsid w:val="00DE1A64"/>
    <w:rsid w:val="00DE207E"/>
    <w:rsid w:val="00DE2A9C"/>
    <w:rsid w:val="00DE2B78"/>
    <w:rsid w:val="00DE2BBE"/>
    <w:rsid w:val="00DE2C76"/>
    <w:rsid w:val="00DE2CD4"/>
    <w:rsid w:val="00DE2D6B"/>
    <w:rsid w:val="00DE2E2E"/>
    <w:rsid w:val="00DE317E"/>
    <w:rsid w:val="00DE3816"/>
    <w:rsid w:val="00DE387A"/>
    <w:rsid w:val="00DE3B65"/>
    <w:rsid w:val="00DE3C85"/>
    <w:rsid w:val="00DE4198"/>
    <w:rsid w:val="00DE42F7"/>
    <w:rsid w:val="00DE45CB"/>
    <w:rsid w:val="00DE4712"/>
    <w:rsid w:val="00DE47ED"/>
    <w:rsid w:val="00DE49DE"/>
    <w:rsid w:val="00DE4DBB"/>
    <w:rsid w:val="00DE5389"/>
    <w:rsid w:val="00DE5BD3"/>
    <w:rsid w:val="00DE5CFD"/>
    <w:rsid w:val="00DE69DA"/>
    <w:rsid w:val="00DE6A4E"/>
    <w:rsid w:val="00DE7D31"/>
    <w:rsid w:val="00DE7D50"/>
    <w:rsid w:val="00DF046E"/>
    <w:rsid w:val="00DF07A8"/>
    <w:rsid w:val="00DF0850"/>
    <w:rsid w:val="00DF088B"/>
    <w:rsid w:val="00DF094E"/>
    <w:rsid w:val="00DF0A47"/>
    <w:rsid w:val="00DF0C72"/>
    <w:rsid w:val="00DF0DB0"/>
    <w:rsid w:val="00DF11A8"/>
    <w:rsid w:val="00DF20AB"/>
    <w:rsid w:val="00DF2969"/>
    <w:rsid w:val="00DF29D1"/>
    <w:rsid w:val="00DF3501"/>
    <w:rsid w:val="00DF3D44"/>
    <w:rsid w:val="00DF4189"/>
    <w:rsid w:val="00DF42DD"/>
    <w:rsid w:val="00DF4728"/>
    <w:rsid w:val="00DF4C0B"/>
    <w:rsid w:val="00DF4D5E"/>
    <w:rsid w:val="00DF584E"/>
    <w:rsid w:val="00DF5DEB"/>
    <w:rsid w:val="00DF5E43"/>
    <w:rsid w:val="00DF5EDC"/>
    <w:rsid w:val="00DF617B"/>
    <w:rsid w:val="00DF632E"/>
    <w:rsid w:val="00DF647E"/>
    <w:rsid w:val="00DF656F"/>
    <w:rsid w:val="00DF6612"/>
    <w:rsid w:val="00DF6654"/>
    <w:rsid w:val="00DF6CED"/>
    <w:rsid w:val="00DF6DF7"/>
    <w:rsid w:val="00DF6E33"/>
    <w:rsid w:val="00DF7732"/>
    <w:rsid w:val="00DF7893"/>
    <w:rsid w:val="00DF7BAB"/>
    <w:rsid w:val="00DF7D90"/>
    <w:rsid w:val="00E0065E"/>
    <w:rsid w:val="00E009E2"/>
    <w:rsid w:val="00E00B34"/>
    <w:rsid w:val="00E00B69"/>
    <w:rsid w:val="00E00DEE"/>
    <w:rsid w:val="00E00FD5"/>
    <w:rsid w:val="00E0117E"/>
    <w:rsid w:val="00E011E1"/>
    <w:rsid w:val="00E01B9F"/>
    <w:rsid w:val="00E01C63"/>
    <w:rsid w:val="00E01CEA"/>
    <w:rsid w:val="00E02301"/>
    <w:rsid w:val="00E03084"/>
    <w:rsid w:val="00E03098"/>
    <w:rsid w:val="00E03817"/>
    <w:rsid w:val="00E044D2"/>
    <w:rsid w:val="00E0497E"/>
    <w:rsid w:val="00E04A81"/>
    <w:rsid w:val="00E04C1D"/>
    <w:rsid w:val="00E04C33"/>
    <w:rsid w:val="00E05BE8"/>
    <w:rsid w:val="00E05BF4"/>
    <w:rsid w:val="00E06AAA"/>
    <w:rsid w:val="00E07132"/>
    <w:rsid w:val="00E0734B"/>
    <w:rsid w:val="00E075BB"/>
    <w:rsid w:val="00E078C4"/>
    <w:rsid w:val="00E07BB9"/>
    <w:rsid w:val="00E07E41"/>
    <w:rsid w:val="00E10A86"/>
    <w:rsid w:val="00E10BF3"/>
    <w:rsid w:val="00E10F44"/>
    <w:rsid w:val="00E111DE"/>
    <w:rsid w:val="00E1147F"/>
    <w:rsid w:val="00E114A5"/>
    <w:rsid w:val="00E11AD8"/>
    <w:rsid w:val="00E132ED"/>
    <w:rsid w:val="00E1349E"/>
    <w:rsid w:val="00E13A08"/>
    <w:rsid w:val="00E13CB3"/>
    <w:rsid w:val="00E13FF9"/>
    <w:rsid w:val="00E142E4"/>
    <w:rsid w:val="00E142EA"/>
    <w:rsid w:val="00E143CD"/>
    <w:rsid w:val="00E1447D"/>
    <w:rsid w:val="00E14482"/>
    <w:rsid w:val="00E14691"/>
    <w:rsid w:val="00E14A87"/>
    <w:rsid w:val="00E14C34"/>
    <w:rsid w:val="00E14FED"/>
    <w:rsid w:val="00E151A1"/>
    <w:rsid w:val="00E151E4"/>
    <w:rsid w:val="00E15568"/>
    <w:rsid w:val="00E15C71"/>
    <w:rsid w:val="00E15E40"/>
    <w:rsid w:val="00E16663"/>
    <w:rsid w:val="00E16FC0"/>
    <w:rsid w:val="00E1731E"/>
    <w:rsid w:val="00E17A81"/>
    <w:rsid w:val="00E17E79"/>
    <w:rsid w:val="00E20487"/>
    <w:rsid w:val="00E2061D"/>
    <w:rsid w:val="00E20859"/>
    <w:rsid w:val="00E20880"/>
    <w:rsid w:val="00E20D89"/>
    <w:rsid w:val="00E21125"/>
    <w:rsid w:val="00E214BF"/>
    <w:rsid w:val="00E21A94"/>
    <w:rsid w:val="00E21D5E"/>
    <w:rsid w:val="00E21DA6"/>
    <w:rsid w:val="00E21E0D"/>
    <w:rsid w:val="00E21F94"/>
    <w:rsid w:val="00E227AB"/>
    <w:rsid w:val="00E228FE"/>
    <w:rsid w:val="00E22B54"/>
    <w:rsid w:val="00E23169"/>
    <w:rsid w:val="00E236FD"/>
    <w:rsid w:val="00E23A49"/>
    <w:rsid w:val="00E23DAA"/>
    <w:rsid w:val="00E24654"/>
    <w:rsid w:val="00E24797"/>
    <w:rsid w:val="00E24B48"/>
    <w:rsid w:val="00E24CFE"/>
    <w:rsid w:val="00E25DEF"/>
    <w:rsid w:val="00E267F4"/>
    <w:rsid w:val="00E26955"/>
    <w:rsid w:val="00E26F77"/>
    <w:rsid w:val="00E2700C"/>
    <w:rsid w:val="00E272DC"/>
    <w:rsid w:val="00E275AB"/>
    <w:rsid w:val="00E276BB"/>
    <w:rsid w:val="00E300D6"/>
    <w:rsid w:val="00E303F7"/>
    <w:rsid w:val="00E308F9"/>
    <w:rsid w:val="00E3098A"/>
    <w:rsid w:val="00E30B64"/>
    <w:rsid w:val="00E30F1E"/>
    <w:rsid w:val="00E315BE"/>
    <w:rsid w:val="00E319B0"/>
    <w:rsid w:val="00E3247F"/>
    <w:rsid w:val="00E328BD"/>
    <w:rsid w:val="00E32DED"/>
    <w:rsid w:val="00E33956"/>
    <w:rsid w:val="00E33C12"/>
    <w:rsid w:val="00E34262"/>
    <w:rsid w:val="00E3442F"/>
    <w:rsid w:val="00E346ED"/>
    <w:rsid w:val="00E34DA7"/>
    <w:rsid w:val="00E35073"/>
    <w:rsid w:val="00E3528D"/>
    <w:rsid w:val="00E35384"/>
    <w:rsid w:val="00E357D5"/>
    <w:rsid w:val="00E3622A"/>
    <w:rsid w:val="00E366B7"/>
    <w:rsid w:val="00E3694E"/>
    <w:rsid w:val="00E372AA"/>
    <w:rsid w:val="00E378D6"/>
    <w:rsid w:val="00E37DC1"/>
    <w:rsid w:val="00E37ECF"/>
    <w:rsid w:val="00E37FC7"/>
    <w:rsid w:val="00E400CB"/>
    <w:rsid w:val="00E401AE"/>
    <w:rsid w:val="00E40274"/>
    <w:rsid w:val="00E407FE"/>
    <w:rsid w:val="00E41124"/>
    <w:rsid w:val="00E41E23"/>
    <w:rsid w:val="00E41E95"/>
    <w:rsid w:val="00E42156"/>
    <w:rsid w:val="00E4296E"/>
    <w:rsid w:val="00E42AC8"/>
    <w:rsid w:val="00E43346"/>
    <w:rsid w:val="00E43470"/>
    <w:rsid w:val="00E4391E"/>
    <w:rsid w:val="00E43A6A"/>
    <w:rsid w:val="00E43E50"/>
    <w:rsid w:val="00E442B9"/>
    <w:rsid w:val="00E44653"/>
    <w:rsid w:val="00E44939"/>
    <w:rsid w:val="00E44A1B"/>
    <w:rsid w:val="00E44BB9"/>
    <w:rsid w:val="00E45199"/>
    <w:rsid w:val="00E4548D"/>
    <w:rsid w:val="00E45651"/>
    <w:rsid w:val="00E45889"/>
    <w:rsid w:val="00E45B3F"/>
    <w:rsid w:val="00E45D66"/>
    <w:rsid w:val="00E45E51"/>
    <w:rsid w:val="00E460D8"/>
    <w:rsid w:val="00E46523"/>
    <w:rsid w:val="00E468A9"/>
    <w:rsid w:val="00E47018"/>
    <w:rsid w:val="00E470F3"/>
    <w:rsid w:val="00E471F6"/>
    <w:rsid w:val="00E47289"/>
    <w:rsid w:val="00E477BD"/>
    <w:rsid w:val="00E50335"/>
    <w:rsid w:val="00E5034E"/>
    <w:rsid w:val="00E50644"/>
    <w:rsid w:val="00E50690"/>
    <w:rsid w:val="00E507D8"/>
    <w:rsid w:val="00E50B7F"/>
    <w:rsid w:val="00E50CB2"/>
    <w:rsid w:val="00E51348"/>
    <w:rsid w:val="00E5146C"/>
    <w:rsid w:val="00E5160B"/>
    <w:rsid w:val="00E5174A"/>
    <w:rsid w:val="00E5177B"/>
    <w:rsid w:val="00E51AC8"/>
    <w:rsid w:val="00E51D3E"/>
    <w:rsid w:val="00E51FBF"/>
    <w:rsid w:val="00E527FA"/>
    <w:rsid w:val="00E531A1"/>
    <w:rsid w:val="00E538A0"/>
    <w:rsid w:val="00E53E83"/>
    <w:rsid w:val="00E5413A"/>
    <w:rsid w:val="00E54859"/>
    <w:rsid w:val="00E54AC7"/>
    <w:rsid w:val="00E54BE5"/>
    <w:rsid w:val="00E54FEC"/>
    <w:rsid w:val="00E551B7"/>
    <w:rsid w:val="00E55394"/>
    <w:rsid w:val="00E556D2"/>
    <w:rsid w:val="00E557E2"/>
    <w:rsid w:val="00E55E31"/>
    <w:rsid w:val="00E55E9E"/>
    <w:rsid w:val="00E5624E"/>
    <w:rsid w:val="00E56295"/>
    <w:rsid w:val="00E5661C"/>
    <w:rsid w:val="00E57054"/>
    <w:rsid w:val="00E57637"/>
    <w:rsid w:val="00E57BF7"/>
    <w:rsid w:val="00E60165"/>
    <w:rsid w:val="00E6020B"/>
    <w:rsid w:val="00E6028A"/>
    <w:rsid w:val="00E606A3"/>
    <w:rsid w:val="00E60B82"/>
    <w:rsid w:val="00E60C4C"/>
    <w:rsid w:val="00E60E2B"/>
    <w:rsid w:val="00E6153D"/>
    <w:rsid w:val="00E617F2"/>
    <w:rsid w:val="00E61963"/>
    <w:rsid w:val="00E61D47"/>
    <w:rsid w:val="00E61F0F"/>
    <w:rsid w:val="00E629A2"/>
    <w:rsid w:val="00E63213"/>
    <w:rsid w:val="00E632E7"/>
    <w:rsid w:val="00E639FA"/>
    <w:rsid w:val="00E63C42"/>
    <w:rsid w:val="00E64136"/>
    <w:rsid w:val="00E64488"/>
    <w:rsid w:val="00E644D5"/>
    <w:rsid w:val="00E647A0"/>
    <w:rsid w:val="00E647C8"/>
    <w:rsid w:val="00E64E98"/>
    <w:rsid w:val="00E652A1"/>
    <w:rsid w:val="00E65683"/>
    <w:rsid w:val="00E6594E"/>
    <w:rsid w:val="00E65CB5"/>
    <w:rsid w:val="00E662BF"/>
    <w:rsid w:val="00E6634F"/>
    <w:rsid w:val="00E667A5"/>
    <w:rsid w:val="00E66BF7"/>
    <w:rsid w:val="00E66F8F"/>
    <w:rsid w:val="00E67AAB"/>
    <w:rsid w:val="00E707A5"/>
    <w:rsid w:val="00E70F73"/>
    <w:rsid w:val="00E7168B"/>
    <w:rsid w:val="00E7190B"/>
    <w:rsid w:val="00E71A04"/>
    <w:rsid w:val="00E71BA0"/>
    <w:rsid w:val="00E71BDC"/>
    <w:rsid w:val="00E71DFB"/>
    <w:rsid w:val="00E71E96"/>
    <w:rsid w:val="00E71E9F"/>
    <w:rsid w:val="00E71FBF"/>
    <w:rsid w:val="00E72404"/>
    <w:rsid w:val="00E72535"/>
    <w:rsid w:val="00E728C7"/>
    <w:rsid w:val="00E728F1"/>
    <w:rsid w:val="00E72BB5"/>
    <w:rsid w:val="00E72C8E"/>
    <w:rsid w:val="00E72E62"/>
    <w:rsid w:val="00E73663"/>
    <w:rsid w:val="00E73692"/>
    <w:rsid w:val="00E73A7B"/>
    <w:rsid w:val="00E73EBA"/>
    <w:rsid w:val="00E73F8E"/>
    <w:rsid w:val="00E7471F"/>
    <w:rsid w:val="00E749CD"/>
    <w:rsid w:val="00E7500E"/>
    <w:rsid w:val="00E759E0"/>
    <w:rsid w:val="00E75CA8"/>
    <w:rsid w:val="00E76A67"/>
    <w:rsid w:val="00E76B89"/>
    <w:rsid w:val="00E76EDE"/>
    <w:rsid w:val="00E7713D"/>
    <w:rsid w:val="00E77534"/>
    <w:rsid w:val="00E779A6"/>
    <w:rsid w:val="00E77D13"/>
    <w:rsid w:val="00E8034F"/>
    <w:rsid w:val="00E803CA"/>
    <w:rsid w:val="00E80866"/>
    <w:rsid w:val="00E81CC3"/>
    <w:rsid w:val="00E81F0A"/>
    <w:rsid w:val="00E82730"/>
    <w:rsid w:val="00E83050"/>
    <w:rsid w:val="00E83923"/>
    <w:rsid w:val="00E83AC4"/>
    <w:rsid w:val="00E83B82"/>
    <w:rsid w:val="00E84140"/>
    <w:rsid w:val="00E847CD"/>
    <w:rsid w:val="00E84A2A"/>
    <w:rsid w:val="00E853B7"/>
    <w:rsid w:val="00E8589E"/>
    <w:rsid w:val="00E85964"/>
    <w:rsid w:val="00E862DF"/>
    <w:rsid w:val="00E8698B"/>
    <w:rsid w:val="00E86C29"/>
    <w:rsid w:val="00E86E48"/>
    <w:rsid w:val="00E86EA7"/>
    <w:rsid w:val="00E874BD"/>
    <w:rsid w:val="00E8762B"/>
    <w:rsid w:val="00E904A6"/>
    <w:rsid w:val="00E90536"/>
    <w:rsid w:val="00E90623"/>
    <w:rsid w:val="00E90677"/>
    <w:rsid w:val="00E90AC8"/>
    <w:rsid w:val="00E90CE5"/>
    <w:rsid w:val="00E91251"/>
    <w:rsid w:val="00E91712"/>
    <w:rsid w:val="00E91C62"/>
    <w:rsid w:val="00E9202B"/>
    <w:rsid w:val="00E9237E"/>
    <w:rsid w:val="00E927A9"/>
    <w:rsid w:val="00E92CA1"/>
    <w:rsid w:val="00E92D08"/>
    <w:rsid w:val="00E9349E"/>
    <w:rsid w:val="00E9369E"/>
    <w:rsid w:val="00E93781"/>
    <w:rsid w:val="00E94155"/>
    <w:rsid w:val="00E942F8"/>
    <w:rsid w:val="00E94C75"/>
    <w:rsid w:val="00E94F2A"/>
    <w:rsid w:val="00E95452"/>
    <w:rsid w:val="00E95B6E"/>
    <w:rsid w:val="00E95D34"/>
    <w:rsid w:val="00E95EF1"/>
    <w:rsid w:val="00E960B8"/>
    <w:rsid w:val="00E961BF"/>
    <w:rsid w:val="00E96409"/>
    <w:rsid w:val="00E965BE"/>
    <w:rsid w:val="00E966DB"/>
    <w:rsid w:val="00E96770"/>
    <w:rsid w:val="00E968F5"/>
    <w:rsid w:val="00E9694F"/>
    <w:rsid w:val="00E96DD5"/>
    <w:rsid w:val="00E975F4"/>
    <w:rsid w:val="00E97620"/>
    <w:rsid w:val="00E97646"/>
    <w:rsid w:val="00E97B1A"/>
    <w:rsid w:val="00E97D10"/>
    <w:rsid w:val="00EA02AA"/>
    <w:rsid w:val="00EA0AC1"/>
    <w:rsid w:val="00EA0D4D"/>
    <w:rsid w:val="00EA0F3D"/>
    <w:rsid w:val="00EA129A"/>
    <w:rsid w:val="00EA1640"/>
    <w:rsid w:val="00EA1CFC"/>
    <w:rsid w:val="00EA1D5A"/>
    <w:rsid w:val="00EA1F05"/>
    <w:rsid w:val="00EA24D5"/>
    <w:rsid w:val="00EA25F3"/>
    <w:rsid w:val="00EA2794"/>
    <w:rsid w:val="00EA27EC"/>
    <w:rsid w:val="00EA2948"/>
    <w:rsid w:val="00EA2ECB"/>
    <w:rsid w:val="00EA2F23"/>
    <w:rsid w:val="00EA2F96"/>
    <w:rsid w:val="00EA38D5"/>
    <w:rsid w:val="00EA3A47"/>
    <w:rsid w:val="00EA3A94"/>
    <w:rsid w:val="00EA3F32"/>
    <w:rsid w:val="00EA415D"/>
    <w:rsid w:val="00EA43E1"/>
    <w:rsid w:val="00EA443D"/>
    <w:rsid w:val="00EA45AF"/>
    <w:rsid w:val="00EA4CA8"/>
    <w:rsid w:val="00EA4E55"/>
    <w:rsid w:val="00EA4F61"/>
    <w:rsid w:val="00EA50C6"/>
    <w:rsid w:val="00EA522E"/>
    <w:rsid w:val="00EA59B9"/>
    <w:rsid w:val="00EA5B26"/>
    <w:rsid w:val="00EA5E2B"/>
    <w:rsid w:val="00EA60C6"/>
    <w:rsid w:val="00EA632D"/>
    <w:rsid w:val="00EA66FE"/>
    <w:rsid w:val="00EA693B"/>
    <w:rsid w:val="00EA6A46"/>
    <w:rsid w:val="00EA6D7F"/>
    <w:rsid w:val="00EA6EB0"/>
    <w:rsid w:val="00EA738E"/>
    <w:rsid w:val="00EA7476"/>
    <w:rsid w:val="00EA78E1"/>
    <w:rsid w:val="00EA7B16"/>
    <w:rsid w:val="00EA7CA7"/>
    <w:rsid w:val="00EA7EF9"/>
    <w:rsid w:val="00EB001F"/>
    <w:rsid w:val="00EB0846"/>
    <w:rsid w:val="00EB0CA1"/>
    <w:rsid w:val="00EB1C51"/>
    <w:rsid w:val="00EB1CFE"/>
    <w:rsid w:val="00EB219D"/>
    <w:rsid w:val="00EB21DE"/>
    <w:rsid w:val="00EB2471"/>
    <w:rsid w:val="00EB268D"/>
    <w:rsid w:val="00EB2845"/>
    <w:rsid w:val="00EB2AAF"/>
    <w:rsid w:val="00EB2E6C"/>
    <w:rsid w:val="00EB330B"/>
    <w:rsid w:val="00EB33B5"/>
    <w:rsid w:val="00EB3526"/>
    <w:rsid w:val="00EB3740"/>
    <w:rsid w:val="00EB3CCE"/>
    <w:rsid w:val="00EB3EB8"/>
    <w:rsid w:val="00EB40CD"/>
    <w:rsid w:val="00EB4406"/>
    <w:rsid w:val="00EB444D"/>
    <w:rsid w:val="00EB451D"/>
    <w:rsid w:val="00EB4745"/>
    <w:rsid w:val="00EB4AC3"/>
    <w:rsid w:val="00EB4E88"/>
    <w:rsid w:val="00EB5043"/>
    <w:rsid w:val="00EB5112"/>
    <w:rsid w:val="00EB560F"/>
    <w:rsid w:val="00EB5EDC"/>
    <w:rsid w:val="00EB5FF3"/>
    <w:rsid w:val="00EB5FF8"/>
    <w:rsid w:val="00EB61C0"/>
    <w:rsid w:val="00EB62BA"/>
    <w:rsid w:val="00EB62CC"/>
    <w:rsid w:val="00EB6505"/>
    <w:rsid w:val="00EB67BE"/>
    <w:rsid w:val="00EB6993"/>
    <w:rsid w:val="00EB6B86"/>
    <w:rsid w:val="00EB6F83"/>
    <w:rsid w:val="00EB72A7"/>
    <w:rsid w:val="00EB77EF"/>
    <w:rsid w:val="00EB78E0"/>
    <w:rsid w:val="00EB7AA3"/>
    <w:rsid w:val="00EB7AC9"/>
    <w:rsid w:val="00EB7DC6"/>
    <w:rsid w:val="00EB7F1C"/>
    <w:rsid w:val="00EC01DC"/>
    <w:rsid w:val="00EC0245"/>
    <w:rsid w:val="00EC0DC3"/>
    <w:rsid w:val="00EC0DF8"/>
    <w:rsid w:val="00EC1022"/>
    <w:rsid w:val="00EC1165"/>
    <w:rsid w:val="00EC14B1"/>
    <w:rsid w:val="00EC16DC"/>
    <w:rsid w:val="00EC1A62"/>
    <w:rsid w:val="00EC29CD"/>
    <w:rsid w:val="00EC29DB"/>
    <w:rsid w:val="00EC2CCD"/>
    <w:rsid w:val="00EC3226"/>
    <w:rsid w:val="00EC3835"/>
    <w:rsid w:val="00EC3ED4"/>
    <w:rsid w:val="00EC3EF2"/>
    <w:rsid w:val="00EC442E"/>
    <w:rsid w:val="00EC44C5"/>
    <w:rsid w:val="00EC4718"/>
    <w:rsid w:val="00EC4B72"/>
    <w:rsid w:val="00EC4BFB"/>
    <w:rsid w:val="00EC4C45"/>
    <w:rsid w:val="00EC4EE3"/>
    <w:rsid w:val="00EC5279"/>
    <w:rsid w:val="00EC5508"/>
    <w:rsid w:val="00EC57C5"/>
    <w:rsid w:val="00EC5A77"/>
    <w:rsid w:val="00EC5E34"/>
    <w:rsid w:val="00EC623B"/>
    <w:rsid w:val="00EC65A3"/>
    <w:rsid w:val="00EC6617"/>
    <w:rsid w:val="00EC690E"/>
    <w:rsid w:val="00EC6C15"/>
    <w:rsid w:val="00EC6DB6"/>
    <w:rsid w:val="00EC75FA"/>
    <w:rsid w:val="00EC76DA"/>
    <w:rsid w:val="00EC78A3"/>
    <w:rsid w:val="00EC7BF0"/>
    <w:rsid w:val="00EC7D61"/>
    <w:rsid w:val="00ED0211"/>
    <w:rsid w:val="00ED0267"/>
    <w:rsid w:val="00ED09C6"/>
    <w:rsid w:val="00ED1211"/>
    <w:rsid w:val="00ED124D"/>
    <w:rsid w:val="00ED12D4"/>
    <w:rsid w:val="00ED169C"/>
    <w:rsid w:val="00ED17B6"/>
    <w:rsid w:val="00ED1DE0"/>
    <w:rsid w:val="00ED24EC"/>
    <w:rsid w:val="00ED2DAF"/>
    <w:rsid w:val="00ED2EE8"/>
    <w:rsid w:val="00ED3568"/>
    <w:rsid w:val="00ED36DD"/>
    <w:rsid w:val="00ED37F7"/>
    <w:rsid w:val="00ED3D96"/>
    <w:rsid w:val="00ED43E6"/>
    <w:rsid w:val="00ED46F9"/>
    <w:rsid w:val="00ED4908"/>
    <w:rsid w:val="00ED4EA8"/>
    <w:rsid w:val="00ED564C"/>
    <w:rsid w:val="00ED5CEB"/>
    <w:rsid w:val="00ED5EE8"/>
    <w:rsid w:val="00ED68E4"/>
    <w:rsid w:val="00ED6CC6"/>
    <w:rsid w:val="00ED7052"/>
    <w:rsid w:val="00ED7271"/>
    <w:rsid w:val="00ED75E7"/>
    <w:rsid w:val="00ED767F"/>
    <w:rsid w:val="00ED782C"/>
    <w:rsid w:val="00ED7C14"/>
    <w:rsid w:val="00ED7CDB"/>
    <w:rsid w:val="00EE0060"/>
    <w:rsid w:val="00EE0114"/>
    <w:rsid w:val="00EE01B0"/>
    <w:rsid w:val="00EE083A"/>
    <w:rsid w:val="00EE09F7"/>
    <w:rsid w:val="00EE0FE8"/>
    <w:rsid w:val="00EE1A96"/>
    <w:rsid w:val="00EE2252"/>
    <w:rsid w:val="00EE25AE"/>
    <w:rsid w:val="00EE27AA"/>
    <w:rsid w:val="00EE2C2D"/>
    <w:rsid w:val="00EE3226"/>
    <w:rsid w:val="00EE323F"/>
    <w:rsid w:val="00EE33B4"/>
    <w:rsid w:val="00EE33D0"/>
    <w:rsid w:val="00EE3C4D"/>
    <w:rsid w:val="00EE4039"/>
    <w:rsid w:val="00EE4129"/>
    <w:rsid w:val="00EE41E8"/>
    <w:rsid w:val="00EE49AF"/>
    <w:rsid w:val="00EE49D3"/>
    <w:rsid w:val="00EE5CF5"/>
    <w:rsid w:val="00EE5D42"/>
    <w:rsid w:val="00EE5F0E"/>
    <w:rsid w:val="00EE645E"/>
    <w:rsid w:val="00EE6A71"/>
    <w:rsid w:val="00EE74D5"/>
    <w:rsid w:val="00EE7A53"/>
    <w:rsid w:val="00EF00CE"/>
    <w:rsid w:val="00EF025D"/>
    <w:rsid w:val="00EF08D2"/>
    <w:rsid w:val="00EF0A1B"/>
    <w:rsid w:val="00EF0A76"/>
    <w:rsid w:val="00EF0AB4"/>
    <w:rsid w:val="00EF17AA"/>
    <w:rsid w:val="00EF1A32"/>
    <w:rsid w:val="00EF1AB4"/>
    <w:rsid w:val="00EF1E9B"/>
    <w:rsid w:val="00EF1F08"/>
    <w:rsid w:val="00EF210B"/>
    <w:rsid w:val="00EF2F86"/>
    <w:rsid w:val="00EF3326"/>
    <w:rsid w:val="00EF3475"/>
    <w:rsid w:val="00EF355D"/>
    <w:rsid w:val="00EF365A"/>
    <w:rsid w:val="00EF37C6"/>
    <w:rsid w:val="00EF3957"/>
    <w:rsid w:val="00EF3D1A"/>
    <w:rsid w:val="00EF3DA5"/>
    <w:rsid w:val="00EF3E10"/>
    <w:rsid w:val="00EF40AC"/>
    <w:rsid w:val="00EF486A"/>
    <w:rsid w:val="00EF4D4E"/>
    <w:rsid w:val="00EF4E6D"/>
    <w:rsid w:val="00EF517F"/>
    <w:rsid w:val="00EF51C7"/>
    <w:rsid w:val="00EF52EA"/>
    <w:rsid w:val="00EF54B4"/>
    <w:rsid w:val="00EF5675"/>
    <w:rsid w:val="00EF570D"/>
    <w:rsid w:val="00EF5A22"/>
    <w:rsid w:val="00EF64AA"/>
    <w:rsid w:val="00EF6547"/>
    <w:rsid w:val="00EF654D"/>
    <w:rsid w:val="00EF6625"/>
    <w:rsid w:val="00EF66AD"/>
    <w:rsid w:val="00EF6E39"/>
    <w:rsid w:val="00EF713C"/>
    <w:rsid w:val="00EF73CB"/>
    <w:rsid w:val="00EF767A"/>
    <w:rsid w:val="00EF7B7B"/>
    <w:rsid w:val="00F00350"/>
    <w:rsid w:val="00F01201"/>
    <w:rsid w:val="00F02077"/>
    <w:rsid w:val="00F0287B"/>
    <w:rsid w:val="00F02C6C"/>
    <w:rsid w:val="00F02FB3"/>
    <w:rsid w:val="00F034A9"/>
    <w:rsid w:val="00F03895"/>
    <w:rsid w:val="00F03B7E"/>
    <w:rsid w:val="00F03B86"/>
    <w:rsid w:val="00F03BE4"/>
    <w:rsid w:val="00F03C26"/>
    <w:rsid w:val="00F03E38"/>
    <w:rsid w:val="00F03FA6"/>
    <w:rsid w:val="00F0497E"/>
    <w:rsid w:val="00F05601"/>
    <w:rsid w:val="00F05F22"/>
    <w:rsid w:val="00F05F23"/>
    <w:rsid w:val="00F0659A"/>
    <w:rsid w:val="00F06B16"/>
    <w:rsid w:val="00F06BA4"/>
    <w:rsid w:val="00F06C3B"/>
    <w:rsid w:val="00F06EE5"/>
    <w:rsid w:val="00F0747E"/>
    <w:rsid w:val="00F078DF"/>
    <w:rsid w:val="00F07A76"/>
    <w:rsid w:val="00F07A94"/>
    <w:rsid w:val="00F07C0C"/>
    <w:rsid w:val="00F07F04"/>
    <w:rsid w:val="00F10190"/>
    <w:rsid w:val="00F10392"/>
    <w:rsid w:val="00F1099C"/>
    <w:rsid w:val="00F10BEC"/>
    <w:rsid w:val="00F10F6D"/>
    <w:rsid w:val="00F11001"/>
    <w:rsid w:val="00F11198"/>
    <w:rsid w:val="00F11214"/>
    <w:rsid w:val="00F113C5"/>
    <w:rsid w:val="00F11486"/>
    <w:rsid w:val="00F114DE"/>
    <w:rsid w:val="00F117EF"/>
    <w:rsid w:val="00F11AD8"/>
    <w:rsid w:val="00F11CF4"/>
    <w:rsid w:val="00F12378"/>
    <w:rsid w:val="00F1255D"/>
    <w:rsid w:val="00F125C7"/>
    <w:rsid w:val="00F129B6"/>
    <w:rsid w:val="00F13308"/>
    <w:rsid w:val="00F136AD"/>
    <w:rsid w:val="00F1392B"/>
    <w:rsid w:val="00F139E4"/>
    <w:rsid w:val="00F14BD1"/>
    <w:rsid w:val="00F14DF7"/>
    <w:rsid w:val="00F14FA0"/>
    <w:rsid w:val="00F15382"/>
    <w:rsid w:val="00F15509"/>
    <w:rsid w:val="00F15559"/>
    <w:rsid w:val="00F157EF"/>
    <w:rsid w:val="00F15FCA"/>
    <w:rsid w:val="00F160B0"/>
    <w:rsid w:val="00F16243"/>
    <w:rsid w:val="00F16244"/>
    <w:rsid w:val="00F164A1"/>
    <w:rsid w:val="00F1683A"/>
    <w:rsid w:val="00F168A2"/>
    <w:rsid w:val="00F1707D"/>
    <w:rsid w:val="00F17083"/>
    <w:rsid w:val="00F1708B"/>
    <w:rsid w:val="00F1751C"/>
    <w:rsid w:val="00F17DEF"/>
    <w:rsid w:val="00F17F91"/>
    <w:rsid w:val="00F17FDD"/>
    <w:rsid w:val="00F20033"/>
    <w:rsid w:val="00F2023F"/>
    <w:rsid w:val="00F203B4"/>
    <w:rsid w:val="00F20CC2"/>
    <w:rsid w:val="00F20D68"/>
    <w:rsid w:val="00F21870"/>
    <w:rsid w:val="00F219C5"/>
    <w:rsid w:val="00F21F67"/>
    <w:rsid w:val="00F225FD"/>
    <w:rsid w:val="00F22626"/>
    <w:rsid w:val="00F2309E"/>
    <w:rsid w:val="00F2344C"/>
    <w:rsid w:val="00F238FB"/>
    <w:rsid w:val="00F23988"/>
    <w:rsid w:val="00F24023"/>
    <w:rsid w:val="00F24078"/>
    <w:rsid w:val="00F242CF"/>
    <w:rsid w:val="00F24815"/>
    <w:rsid w:val="00F25267"/>
    <w:rsid w:val="00F25699"/>
    <w:rsid w:val="00F26264"/>
    <w:rsid w:val="00F266C7"/>
    <w:rsid w:val="00F2696B"/>
    <w:rsid w:val="00F2712D"/>
    <w:rsid w:val="00F27613"/>
    <w:rsid w:val="00F27954"/>
    <w:rsid w:val="00F27EC1"/>
    <w:rsid w:val="00F30111"/>
    <w:rsid w:val="00F302F8"/>
    <w:rsid w:val="00F30415"/>
    <w:rsid w:val="00F3056A"/>
    <w:rsid w:val="00F30973"/>
    <w:rsid w:val="00F30A9E"/>
    <w:rsid w:val="00F30EE5"/>
    <w:rsid w:val="00F311F7"/>
    <w:rsid w:val="00F317C1"/>
    <w:rsid w:val="00F31AED"/>
    <w:rsid w:val="00F320CC"/>
    <w:rsid w:val="00F321E3"/>
    <w:rsid w:val="00F32328"/>
    <w:rsid w:val="00F32769"/>
    <w:rsid w:val="00F32E15"/>
    <w:rsid w:val="00F32EC9"/>
    <w:rsid w:val="00F32F8C"/>
    <w:rsid w:val="00F3323D"/>
    <w:rsid w:val="00F3338E"/>
    <w:rsid w:val="00F3350B"/>
    <w:rsid w:val="00F336DC"/>
    <w:rsid w:val="00F338AA"/>
    <w:rsid w:val="00F33D62"/>
    <w:rsid w:val="00F340E2"/>
    <w:rsid w:val="00F341D8"/>
    <w:rsid w:val="00F347AC"/>
    <w:rsid w:val="00F351B8"/>
    <w:rsid w:val="00F35B98"/>
    <w:rsid w:val="00F3608B"/>
    <w:rsid w:val="00F362DF"/>
    <w:rsid w:val="00F3670D"/>
    <w:rsid w:val="00F36D6C"/>
    <w:rsid w:val="00F36ED1"/>
    <w:rsid w:val="00F36EFC"/>
    <w:rsid w:val="00F37268"/>
    <w:rsid w:val="00F374AD"/>
    <w:rsid w:val="00F37720"/>
    <w:rsid w:val="00F377BD"/>
    <w:rsid w:val="00F37BCC"/>
    <w:rsid w:val="00F400C7"/>
    <w:rsid w:val="00F40329"/>
    <w:rsid w:val="00F40A78"/>
    <w:rsid w:val="00F41079"/>
    <w:rsid w:val="00F41082"/>
    <w:rsid w:val="00F411B6"/>
    <w:rsid w:val="00F4197A"/>
    <w:rsid w:val="00F41C09"/>
    <w:rsid w:val="00F4291D"/>
    <w:rsid w:val="00F42FDE"/>
    <w:rsid w:val="00F434A7"/>
    <w:rsid w:val="00F43920"/>
    <w:rsid w:val="00F43BFE"/>
    <w:rsid w:val="00F43D42"/>
    <w:rsid w:val="00F43DCD"/>
    <w:rsid w:val="00F44103"/>
    <w:rsid w:val="00F441FA"/>
    <w:rsid w:val="00F447C7"/>
    <w:rsid w:val="00F44CE3"/>
    <w:rsid w:val="00F44DFF"/>
    <w:rsid w:val="00F44E35"/>
    <w:rsid w:val="00F44F38"/>
    <w:rsid w:val="00F45329"/>
    <w:rsid w:val="00F455E5"/>
    <w:rsid w:val="00F45DC3"/>
    <w:rsid w:val="00F45FAD"/>
    <w:rsid w:val="00F462FB"/>
    <w:rsid w:val="00F463BF"/>
    <w:rsid w:val="00F4644F"/>
    <w:rsid w:val="00F46BAE"/>
    <w:rsid w:val="00F46D09"/>
    <w:rsid w:val="00F4714E"/>
    <w:rsid w:val="00F477F7"/>
    <w:rsid w:val="00F50018"/>
    <w:rsid w:val="00F50306"/>
    <w:rsid w:val="00F507B9"/>
    <w:rsid w:val="00F50D45"/>
    <w:rsid w:val="00F51036"/>
    <w:rsid w:val="00F5118F"/>
    <w:rsid w:val="00F519B7"/>
    <w:rsid w:val="00F51B23"/>
    <w:rsid w:val="00F52653"/>
    <w:rsid w:val="00F52A42"/>
    <w:rsid w:val="00F52E56"/>
    <w:rsid w:val="00F52FF5"/>
    <w:rsid w:val="00F5313E"/>
    <w:rsid w:val="00F53258"/>
    <w:rsid w:val="00F5340B"/>
    <w:rsid w:val="00F53615"/>
    <w:rsid w:val="00F53947"/>
    <w:rsid w:val="00F542D5"/>
    <w:rsid w:val="00F544B5"/>
    <w:rsid w:val="00F548FD"/>
    <w:rsid w:val="00F54D25"/>
    <w:rsid w:val="00F55AEC"/>
    <w:rsid w:val="00F55E68"/>
    <w:rsid w:val="00F55F99"/>
    <w:rsid w:val="00F56199"/>
    <w:rsid w:val="00F5622C"/>
    <w:rsid w:val="00F565EF"/>
    <w:rsid w:val="00F56732"/>
    <w:rsid w:val="00F56806"/>
    <w:rsid w:val="00F568A6"/>
    <w:rsid w:val="00F56EF2"/>
    <w:rsid w:val="00F56F8A"/>
    <w:rsid w:val="00F57137"/>
    <w:rsid w:val="00F572AF"/>
    <w:rsid w:val="00F575DE"/>
    <w:rsid w:val="00F57A05"/>
    <w:rsid w:val="00F605E1"/>
    <w:rsid w:val="00F607B5"/>
    <w:rsid w:val="00F60C3C"/>
    <w:rsid w:val="00F60DFD"/>
    <w:rsid w:val="00F611C5"/>
    <w:rsid w:val="00F61215"/>
    <w:rsid w:val="00F616F8"/>
    <w:rsid w:val="00F6170B"/>
    <w:rsid w:val="00F61FB4"/>
    <w:rsid w:val="00F626F8"/>
    <w:rsid w:val="00F62775"/>
    <w:rsid w:val="00F62827"/>
    <w:rsid w:val="00F63289"/>
    <w:rsid w:val="00F63838"/>
    <w:rsid w:val="00F638B4"/>
    <w:rsid w:val="00F638E0"/>
    <w:rsid w:val="00F63D38"/>
    <w:rsid w:val="00F63D6D"/>
    <w:rsid w:val="00F644B7"/>
    <w:rsid w:val="00F64A4D"/>
    <w:rsid w:val="00F64E76"/>
    <w:rsid w:val="00F64F10"/>
    <w:rsid w:val="00F64F89"/>
    <w:rsid w:val="00F6512A"/>
    <w:rsid w:val="00F657AD"/>
    <w:rsid w:val="00F657EA"/>
    <w:rsid w:val="00F6599A"/>
    <w:rsid w:val="00F65E40"/>
    <w:rsid w:val="00F66063"/>
    <w:rsid w:val="00F6647D"/>
    <w:rsid w:val="00F66DB1"/>
    <w:rsid w:val="00F67459"/>
    <w:rsid w:val="00F676AE"/>
    <w:rsid w:val="00F6789F"/>
    <w:rsid w:val="00F67EF8"/>
    <w:rsid w:val="00F70661"/>
    <w:rsid w:val="00F708BC"/>
    <w:rsid w:val="00F714E1"/>
    <w:rsid w:val="00F71622"/>
    <w:rsid w:val="00F71840"/>
    <w:rsid w:val="00F71B42"/>
    <w:rsid w:val="00F720DE"/>
    <w:rsid w:val="00F721AE"/>
    <w:rsid w:val="00F734F5"/>
    <w:rsid w:val="00F737EA"/>
    <w:rsid w:val="00F7381E"/>
    <w:rsid w:val="00F73DB1"/>
    <w:rsid w:val="00F741ED"/>
    <w:rsid w:val="00F74877"/>
    <w:rsid w:val="00F75588"/>
    <w:rsid w:val="00F75BB7"/>
    <w:rsid w:val="00F76220"/>
    <w:rsid w:val="00F76295"/>
    <w:rsid w:val="00F76875"/>
    <w:rsid w:val="00F76F3E"/>
    <w:rsid w:val="00F76F64"/>
    <w:rsid w:val="00F773DB"/>
    <w:rsid w:val="00F777CD"/>
    <w:rsid w:val="00F779EC"/>
    <w:rsid w:val="00F807C8"/>
    <w:rsid w:val="00F80FDE"/>
    <w:rsid w:val="00F81655"/>
    <w:rsid w:val="00F81ABF"/>
    <w:rsid w:val="00F82471"/>
    <w:rsid w:val="00F82719"/>
    <w:rsid w:val="00F829C3"/>
    <w:rsid w:val="00F82BD0"/>
    <w:rsid w:val="00F82BFD"/>
    <w:rsid w:val="00F82D0A"/>
    <w:rsid w:val="00F82F94"/>
    <w:rsid w:val="00F8302B"/>
    <w:rsid w:val="00F830D3"/>
    <w:rsid w:val="00F83123"/>
    <w:rsid w:val="00F83C64"/>
    <w:rsid w:val="00F83F27"/>
    <w:rsid w:val="00F83FDF"/>
    <w:rsid w:val="00F84255"/>
    <w:rsid w:val="00F8465D"/>
    <w:rsid w:val="00F847B7"/>
    <w:rsid w:val="00F84CD6"/>
    <w:rsid w:val="00F84DCD"/>
    <w:rsid w:val="00F84F91"/>
    <w:rsid w:val="00F85436"/>
    <w:rsid w:val="00F8576B"/>
    <w:rsid w:val="00F85877"/>
    <w:rsid w:val="00F85E85"/>
    <w:rsid w:val="00F86113"/>
    <w:rsid w:val="00F86522"/>
    <w:rsid w:val="00F8689A"/>
    <w:rsid w:val="00F86A2A"/>
    <w:rsid w:val="00F86ED5"/>
    <w:rsid w:val="00F86F58"/>
    <w:rsid w:val="00F874F6"/>
    <w:rsid w:val="00F879FA"/>
    <w:rsid w:val="00F87A39"/>
    <w:rsid w:val="00F9056B"/>
    <w:rsid w:val="00F90942"/>
    <w:rsid w:val="00F90D2E"/>
    <w:rsid w:val="00F90DD6"/>
    <w:rsid w:val="00F91A55"/>
    <w:rsid w:val="00F92145"/>
    <w:rsid w:val="00F92630"/>
    <w:rsid w:val="00F92874"/>
    <w:rsid w:val="00F92E69"/>
    <w:rsid w:val="00F92F85"/>
    <w:rsid w:val="00F9321F"/>
    <w:rsid w:val="00F93A92"/>
    <w:rsid w:val="00F9463F"/>
    <w:rsid w:val="00F94915"/>
    <w:rsid w:val="00F949E6"/>
    <w:rsid w:val="00F94C65"/>
    <w:rsid w:val="00F94DB2"/>
    <w:rsid w:val="00F94FA5"/>
    <w:rsid w:val="00F955A9"/>
    <w:rsid w:val="00F95649"/>
    <w:rsid w:val="00F957C9"/>
    <w:rsid w:val="00F9639A"/>
    <w:rsid w:val="00F96AFD"/>
    <w:rsid w:val="00F96D8B"/>
    <w:rsid w:val="00F96F7A"/>
    <w:rsid w:val="00F97398"/>
    <w:rsid w:val="00F97473"/>
    <w:rsid w:val="00F97D07"/>
    <w:rsid w:val="00F97E8B"/>
    <w:rsid w:val="00FA01EE"/>
    <w:rsid w:val="00FA031C"/>
    <w:rsid w:val="00FA0412"/>
    <w:rsid w:val="00FA0756"/>
    <w:rsid w:val="00FA0A0F"/>
    <w:rsid w:val="00FA0DCD"/>
    <w:rsid w:val="00FA11E0"/>
    <w:rsid w:val="00FA12ED"/>
    <w:rsid w:val="00FA185D"/>
    <w:rsid w:val="00FA1D19"/>
    <w:rsid w:val="00FA1D2D"/>
    <w:rsid w:val="00FA1EF1"/>
    <w:rsid w:val="00FA2031"/>
    <w:rsid w:val="00FA203C"/>
    <w:rsid w:val="00FA20F3"/>
    <w:rsid w:val="00FA21E5"/>
    <w:rsid w:val="00FA23BB"/>
    <w:rsid w:val="00FA25BC"/>
    <w:rsid w:val="00FA26D6"/>
    <w:rsid w:val="00FA2720"/>
    <w:rsid w:val="00FA28BF"/>
    <w:rsid w:val="00FA2CF6"/>
    <w:rsid w:val="00FA2DA5"/>
    <w:rsid w:val="00FA2FB9"/>
    <w:rsid w:val="00FA3299"/>
    <w:rsid w:val="00FA3310"/>
    <w:rsid w:val="00FA3E73"/>
    <w:rsid w:val="00FA3EB0"/>
    <w:rsid w:val="00FA47B6"/>
    <w:rsid w:val="00FA47FE"/>
    <w:rsid w:val="00FA485B"/>
    <w:rsid w:val="00FA4D49"/>
    <w:rsid w:val="00FA4EE5"/>
    <w:rsid w:val="00FA4F68"/>
    <w:rsid w:val="00FA52AA"/>
    <w:rsid w:val="00FA5B1E"/>
    <w:rsid w:val="00FA5D06"/>
    <w:rsid w:val="00FA5FBA"/>
    <w:rsid w:val="00FA625B"/>
    <w:rsid w:val="00FA68F8"/>
    <w:rsid w:val="00FA697C"/>
    <w:rsid w:val="00FA6B88"/>
    <w:rsid w:val="00FA6CA0"/>
    <w:rsid w:val="00FA6D2B"/>
    <w:rsid w:val="00FA7EE4"/>
    <w:rsid w:val="00FB05C1"/>
    <w:rsid w:val="00FB1540"/>
    <w:rsid w:val="00FB1C43"/>
    <w:rsid w:val="00FB1F35"/>
    <w:rsid w:val="00FB1F61"/>
    <w:rsid w:val="00FB232E"/>
    <w:rsid w:val="00FB25DA"/>
    <w:rsid w:val="00FB275E"/>
    <w:rsid w:val="00FB2919"/>
    <w:rsid w:val="00FB2AC4"/>
    <w:rsid w:val="00FB30BB"/>
    <w:rsid w:val="00FB34B1"/>
    <w:rsid w:val="00FB3711"/>
    <w:rsid w:val="00FB38CF"/>
    <w:rsid w:val="00FB4257"/>
    <w:rsid w:val="00FB4564"/>
    <w:rsid w:val="00FB458C"/>
    <w:rsid w:val="00FB4D3A"/>
    <w:rsid w:val="00FB5A6B"/>
    <w:rsid w:val="00FB5AE5"/>
    <w:rsid w:val="00FB5C4A"/>
    <w:rsid w:val="00FB5D30"/>
    <w:rsid w:val="00FB6FA2"/>
    <w:rsid w:val="00FB7B10"/>
    <w:rsid w:val="00FB7FEE"/>
    <w:rsid w:val="00FC0399"/>
    <w:rsid w:val="00FC05D4"/>
    <w:rsid w:val="00FC17FC"/>
    <w:rsid w:val="00FC180B"/>
    <w:rsid w:val="00FC1C44"/>
    <w:rsid w:val="00FC1C7D"/>
    <w:rsid w:val="00FC1F8B"/>
    <w:rsid w:val="00FC25D6"/>
    <w:rsid w:val="00FC2F3F"/>
    <w:rsid w:val="00FC34A9"/>
    <w:rsid w:val="00FC34B2"/>
    <w:rsid w:val="00FC35DF"/>
    <w:rsid w:val="00FC3ADC"/>
    <w:rsid w:val="00FC3D7E"/>
    <w:rsid w:val="00FC3E13"/>
    <w:rsid w:val="00FC43F3"/>
    <w:rsid w:val="00FC47E6"/>
    <w:rsid w:val="00FC5471"/>
    <w:rsid w:val="00FC54F5"/>
    <w:rsid w:val="00FC555F"/>
    <w:rsid w:val="00FC566F"/>
    <w:rsid w:val="00FC5886"/>
    <w:rsid w:val="00FC6978"/>
    <w:rsid w:val="00FC69AF"/>
    <w:rsid w:val="00FC742D"/>
    <w:rsid w:val="00FC753A"/>
    <w:rsid w:val="00FC76C9"/>
    <w:rsid w:val="00FC77B0"/>
    <w:rsid w:val="00FC7BEB"/>
    <w:rsid w:val="00FD050D"/>
    <w:rsid w:val="00FD0C75"/>
    <w:rsid w:val="00FD0DF6"/>
    <w:rsid w:val="00FD19E8"/>
    <w:rsid w:val="00FD1EC9"/>
    <w:rsid w:val="00FD204A"/>
    <w:rsid w:val="00FD26A0"/>
    <w:rsid w:val="00FD29C2"/>
    <w:rsid w:val="00FD2A42"/>
    <w:rsid w:val="00FD3531"/>
    <w:rsid w:val="00FD358E"/>
    <w:rsid w:val="00FD38BB"/>
    <w:rsid w:val="00FD3EA5"/>
    <w:rsid w:val="00FD4044"/>
    <w:rsid w:val="00FD417D"/>
    <w:rsid w:val="00FD439A"/>
    <w:rsid w:val="00FD4A39"/>
    <w:rsid w:val="00FD4A5E"/>
    <w:rsid w:val="00FD4D03"/>
    <w:rsid w:val="00FD547E"/>
    <w:rsid w:val="00FD564B"/>
    <w:rsid w:val="00FD5652"/>
    <w:rsid w:val="00FD6119"/>
    <w:rsid w:val="00FD6126"/>
    <w:rsid w:val="00FD6349"/>
    <w:rsid w:val="00FD68A1"/>
    <w:rsid w:val="00FD699F"/>
    <w:rsid w:val="00FD6A95"/>
    <w:rsid w:val="00FD6AC5"/>
    <w:rsid w:val="00FD6DF5"/>
    <w:rsid w:val="00FD6F32"/>
    <w:rsid w:val="00FD75C2"/>
    <w:rsid w:val="00FD782A"/>
    <w:rsid w:val="00FD7973"/>
    <w:rsid w:val="00FD7DA5"/>
    <w:rsid w:val="00FE0132"/>
    <w:rsid w:val="00FE070B"/>
    <w:rsid w:val="00FE0803"/>
    <w:rsid w:val="00FE089A"/>
    <w:rsid w:val="00FE0DE0"/>
    <w:rsid w:val="00FE1328"/>
    <w:rsid w:val="00FE2045"/>
    <w:rsid w:val="00FE2448"/>
    <w:rsid w:val="00FE2484"/>
    <w:rsid w:val="00FE28F0"/>
    <w:rsid w:val="00FE2B5B"/>
    <w:rsid w:val="00FE2C31"/>
    <w:rsid w:val="00FE3942"/>
    <w:rsid w:val="00FE3D83"/>
    <w:rsid w:val="00FE3FF5"/>
    <w:rsid w:val="00FE4241"/>
    <w:rsid w:val="00FE4262"/>
    <w:rsid w:val="00FE4414"/>
    <w:rsid w:val="00FE4718"/>
    <w:rsid w:val="00FE4C02"/>
    <w:rsid w:val="00FE4C68"/>
    <w:rsid w:val="00FE4CA4"/>
    <w:rsid w:val="00FE4F19"/>
    <w:rsid w:val="00FE4F2D"/>
    <w:rsid w:val="00FE50F8"/>
    <w:rsid w:val="00FE5327"/>
    <w:rsid w:val="00FE588E"/>
    <w:rsid w:val="00FE5BFC"/>
    <w:rsid w:val="00FE5FD6"/>
    <w:rsid w:val="00FE60D5"/>
    <w:rsid w:val="00FE61FD"/>
    <w:rsid w:val="00FE6502"/>
    <w:rsid w:val="00FE6956"/>
    <w:rsid w:val="00FE6E1F"/>
    <w:rsid w:val="00FE6EA4"/>
    <w:rsid w:val="00FE7086"/>
    <w:rsid w:val="00FE70C5"/>
    <w:rsid w:val="00FE718E"/>
    <w:rsid w:val="00FE72F8"/>
    <w:rsid w:val="00FE7540"/>
    <w:rsid w:val="00FE7582"/>
    <w:rsid w:val="00FE7879"/>
    <w:rsid w:val="00FE7CE4"/>
    <w:rsid w:val="00FF01FB"/>
    <w:rsid w:val="00FF04D1"/>
    <w:rsid w:val="00FF052A"/>
    <w:rsid w:val="00FF0C10"/>
    <w:rsid w:val="00FF1F12"/>
    <w:rsid w:val="00FF26B0"/>
    <w:rsid w:val="00FF2869"/>
    <w:rsid w:val="00FF2D6E"/>
    <w:rsid w:val="00FF35B2"/>
    <w:rsid w:val="00FF38DF"/>
    <w:rsid w:val="00FF3D11"/>
    <w:rsid w:val="00FF44A2"/>
    <w:rsid w:val="00FF44DE"/>
    <w:rsid w:val="00FF4513"/>
    <w:rsid w:val="00FF4564"/>
    <w:rsid w:val="00FF4CDC"/>
    <w:rsid w:val="00FF5E05"/>
    <w:rsid w:val="00FF6639"/>
    <w:rsid w:val="00FF6CC0"/>
    <w:rsid w:val="00FF6CDA"/>
    <w:rsid w:val="00FF725E"/>
    <w:rsid w:val="00FF7485"/>
    <w:rsid w:val="00FF7854"/>
    <w:rsid w:val="00FF7A67"/>
    <w:rsid w:val="00FF7AD3"/>
    <w:rsid w:val="00FF7C82"/>
    <w:rsid w:val="0191226D"/>
    <w:rsid w:val="01DFD3BA"/>
    <w:rsid w:val="0272182B"/>
    <w:rsid w:val="027D55C9"/>
    <w:rsid w:val="027E33CD"/>
    <w:rsid w:val="02CF0943"/>
    <w:rsid w:val="0357344B"/>
    <w:rsid w:val="03E9FAB4"/>
    <w:rsid w:val="0413B632"/>
    <w:rsid w:val="044A0631"/>
    <w:rsid w:val="05AFD33F"/>
    <w:rsid w:val="05B4C418"/>
    <w:rsid w:val="05D5FBD3"/>
    <w:rsid w:val="0676726A"/>
    <w:rsid w:val="069967BB"/>
    <w:rsid w:val="0775854D"/>
    <w:rsid w:val="0782CA2E"/>
    <w:rsid w:val="079FE2F0"/>
    <w:rsid w:val="07B99907"/>
    <w:rsid w:val="08A50516"/>
    <w:rsid w:val="091BEE8A"/>
    <w:rsid w:val="09797098"/>
    <w:rsid w:val="09AF8445"/>
    <w:rsid w:val="09EA6FE5"/>
    <w:rsid w:val="09EAA898"/>
    <w:rsid w:val="09EE303F"/>
    <w:rsid w:val="0AAAAE6F"/>
    <w:rsid w:val="0B369C20"/>
    <w:rsid w:val="0B407340"/>
    <w:rsid w:val="0B794DA1"/>
    <w:rsid w:val="0BAD1AF9"/>
    <w:rsid w:val="0BB68685"/>
    <w:rsid w:val="0D99C4B1"/>
    <w:rsid w:val="0DF29542"/>
    <w:rsid w:val="0E0B259E"/>
    <w:rsid w:val="0E2607C0"/>
    <w:rsid w:val="0F5A225A"/>
    <w:rsid w:val="0FD268FC"/>
    <w:rsid w:val="0FF76560"/>
    <w:rsid w:val="10965C6F"/>
    <w:rsid w:val="110B16CB"/>
    <w:rsid w:val="11273B39"/>
    <w:rsid w:val="11A0EBD5"/>
    <w:rsid w:val="1238E850"/>
    <w:rsid w:val="12B0668B"/>
    <w:rsid w:val="12EB9232"/>
    <w:rsid w:val="131B06DF"/>
    <w:rsid w:val="139CFB2F"/>
    <w:rsid w:val="141DA52F"/>
    <w:rsid w:val="15470A23"/>
    <w:rsid w:val="167F7F1F"/>
    <w:rsid w:val="16E50C25"/>
    <w:rsid w:val="17691CD9"/>
    <w:rsid w:val="17EF10EA"/>
    <w:rsid w:val="17F93566"/>
    <w:rsid w:val="18E6B327"/>
    <w:rsid w:val="19EA6A52"/>
    <w:rsid w:val="1AFF2870"/>
    <w:rsid w:val="1B077917"/>
    <w:rsid w:val="1B288FD7"/>
    <w:rsid w:val="1B5325EE"/>
    <w:rsid w:val="1B6D4527"/>
    <w:rsid w:val="1B961D18"/>
    <w:rsid w:val="1C32CB7F"/>
    <w:rsid w:val="1C730095"/>
    <w:rsid w:val="1D0573C0"/>
    <w:rsid w:val="1D38A4A6"/>
    <w:rsid w:val="1DA8E72D"/>
    <w:rsid w:val="1DAE3E6A"/>
    <w:rsid w:val="1DD34CD6"/>
    <w:rsid w:val="20765111"/>
    <w:rsid w:val="2155061D"/>
    <w:rsid w:val="21728B6B"/>
    <w:rsid w:val="2267667D"/>
    <w:rsid w:val="239206F8"/>
    <w:rsid w:val="23ACD05B"/>
    <w:rsid w:val="2428DF81"/>
    <w:rsid w:val="248BC76E"/>
    <w:rsid w:val="2496A2CF"/>
    <w:rsid w:val="286B0A4C"/>
    <w:rsid w:val="2A9FD515"/>
    <w:rsid w:val="2AA04592"/>
    <w:rsid w:val="2AA4547E"/>
    <w:rsid w:val="2AACF47C"/>
    <w:rsid w:val="2AE8E224"/>
    <w:rsid w:val="2B18DBCE"/>
    <w:rsid w:val="2B78701A"/>
    <w:rsid w:val="2B9BD2F7"/>
    <w:rsid w:val="2C79E817"/>
    <w:rsid w:val="2CE5225A"/>
    <w:rsid w:val="2CEC150E"/>
    <w:rsid w:val="2CF317A3"/>
    <w:rsid w:val="2D002DE2"/>
    <w:rsid w:val="2D9F68CF"/>
    <w:rsid w:val="2DAA659E"/>
    <w:rsid w:val="2E04660D"/>
    <w:rsid w:val="2E8501CE"/>
    <w:rsid w:val="2EE22FB4"/>
    <w:rsid w:val="2F83D49D"/>
    <w:rsid w:val="2FCFC6AE"/>
    <w:rsid w:val="3024F94E"/>
    <w:rsid w:val="3032EF7D"/>
    <w:rsid w:val="30D59FD5"/>
    <w:rsid w:val="324F58A9"/>
    <w:rsid w:val="333557F4"/>
    <w:rsid w:val="33C5E63D"/>
    <w:rsid w:val="33EDF365"/>
    <w:rsid w:val="3482F810"/>
    <w:rsid w:val="3559F0BF"/>
    <w:rsid w:val="3636A3C8"/>
    <w:rsid w:val="3661C0E2"/>
    <w:rsid w:val="368998A2"/>
    <w:rsid w:val="36FEE5A6"/>
    <w:rsid w:val="375A4E22"/>
    <w:rsid w:val="378AD10E"/>
    <w:rsid w:val="37B13190"/>
    <w:rsid w:val="380B084D"/>
    <w:rsid w:val="386B1557"/>
    <w:rsid w:val="39EEC5BB"/>
    <w:rsid w:val="3A1CDE83"/>
    <w:rsid w:val="3B13E579"/>
    <w:rsid w:val="3B1FDA85"/>
    <w:rsid w:val="3C750D5E"/>
    <w:rsid w:val="3C9E7877"/>
    <w:rsid w:val="3C9E7FFC"/>
    <w:rsid w:val="3CB6B6F1"/>
    <w:rsid w:val="3CE101AD"/>
    <w:rsid w:val="3D01C52E"/>
    <w:rsid w:val="3E23D2C8"/>
    <w:rsid w:val="3E765CEC"/>
    <w:rsid w:val="3FB3AE41"/>
    <w:rsid w:val="3FD8511F"/>
    <w:rsid w:val="40E9F597"/>
    <w:rsid w:val="417B0713"/>
    <w:rsid w:val="42955FD2"/>
    <w:rsid w:val="432FC5AB"/>
    <w:rsid w:val="435FF6EE"/>
    <w:rsid w:val="4369AF68"/>
    <w:rsid w:val="4390EBBA"/>
    <w:rsid w:val="43A7FE52"/>
    <w:rsid w:val="450A831D"/>
    <w:rsid w:val="461075CB"/>
    <w:rsid w:val="46360D3E"/>
    <w:rsid w:val="46EB1934"/>
    <w:rsid w:val="47F9EB59"/>
    <w:rsid w:val="48605445"/>
    <w:rsid w:val="48AA9CEB"/>
    <w:rsid w:val="49B30B7D"/>
    <w:rsid w:val="49CC7090"/>
    <w:rsid w:val="4A84D920"/>
    <w:rsid w:val="4BBBAF4A"/>
    <w:rsid w:val="4C510270"/>
    <w:rsid w:val="4CEDDD67"/>
    <w:rsid w:val="4DA64383"/>
    <w:rsid w:val="4E4128CC"/>
    <w:rsid w:val="4F0FD97E"/>
    <w:rsid w:val="4F3688EE"/>
    <w:rsid w:val="4F8E2DB4"/>
    <w:rsid w:val="4FE72DDF"/>
    <w:rsid w:val="5064EEA0"/>
    <w:rsid w:val="509D7516"/>
    <w:rsid w:val="51ACE43C"/>
    <w:rsid w:val="52B0D06E"/>
    <w:rsid w:val="54527866"/>
    <w:rsid w:val="54D2327C"/>
    <w:rsid w:val="555B6911"/>
    <w:rsid w:val="556B382E"/>
    <w:rsid w:val="5589A9EF"/>
    <w:rsid w:val="5733364B"/>
    <w:rsid w:val="574ECFD7"/>
    <w:rsid w:val="57E1F032"/>
    <w:rsid w:val="584C004B"/>
    <w:rsid w:val="58975D92"/>
    <w:rsid w:val="589C7E97"/>
    <w:rsid w:val="58A38539"/>
    <w:rsid w:val="58F0C9DB"/>
    <w:rsid w:val="590D2DD7"/>
    <w:rsid w:val="59261820"/>
    <w:rsid w:val="5976F8B6"/>
    <w:rsid w:val="5AD72A49"/>
    <w:rsid w:val="5ADFE3F9"/>
    <w:rsid w:val="5B58DCFF"/>
    <w:rsid w:val="5BC019D1"/>
    <w:rsid w:val="5BC88B3B"/>
    <w:rsid w:val="5D1C388C"/>
    <w:rsid w:val="5D41AE8C"/>
    <w:rsid w:val="5D72984A"/>
    <w:rsid w:val="5D78AC7F"/>
    <w:rsid w:val="5D86CD36"/>
    <w:rsid w:val="5E18E182"/>
    <w:rsid w:val="61B86D21"/>
    <w:rsid w:val="61D34E0C"/>
    <w:rsid w:val="620BE526"/>
    <w:rsid w:val="6234FD0D"/>
    <w:rsid w:val="631A8FAE"/>
    <w:rsid w:val="63413C13"/>
    <w:rsid w:val="63744C15"/>
    <w:rsid w:val="642E787D"/>
    <w:rsid w:val="64762DF5"/>
    <w:rsid w:val="647D4FCE"/>
    <w:rsid w:val="6615D608"/>
    <w:rsid w:val="66A8A6A7"/>
    <w:rsid w:val="66B7D8D4"/>
    <w:rsid w:val="66C6DABA"/>
    <w:rsid w:val="67418591"/>
    <w:rsid w:val="684A74A3"/>
    <w:rsid w:val="698F38BA"/>
    <w:rsid w:val="6AB417E6"/>
    <w:rsid w:val="6AD9B665"/>
    <w:rsid w:val="6AE3AC27"/>
    <w:rsid w:val="6BE672D7"/>
    <w:rsid w:val="6C9CD68D"/>
    <w:rsid w:val="6C9E8612"/>
    <w:rsid w:val="6CB616CF"/>
    <w:rsid w:val="6CDF2FAC"/>
    <w:rsid w:val="6E960436"/>
    <w:rsid w:val="6EE95B8E"/>
    <w:rsid w:val="6F14ABBD"/>
    <w:rsid w:val="6F222955"/>
    <w:rsid w:val="6FD855E5"/>
    <w:rsid w:val="7053824B"/>
    <w:rsid w:val="7087ED7D"/>
    <w:rsid w:val="712D96F1"/>
    <w:rsid w:val="715C91DC"/>
    <w:rsid w:val="717A0892"/>
    <w:rsid w:val="722DF6A2"/>
    <w:rsid w:val="728737EC"/>
    <w:rsid w:val="7303AC86"/>
    <w:rsid w:val="73E46CCC"/>
    <w:rsid w:val="73E6A152"/>
    <w:rsid w:val="7409EE37"/>
    <w:rsid w:val="74235BD9"/>
    <w:rsid w:val="747444D1"/>
    <w:rsid w:val="7627DFC8"/>
    <w:rsid w:val="7641A34F"/>
    <w:rsid w:val="76876160"/>
    <w:rsid w:val="76F11B12"/>
    <w:rsid w:val="7783C510"/>
    <w:rsid w:val="77B1C047"/>
    <w:rsid w:val="79B4706C"/>
    <w:rsid w:val="7B007529"/>
    <w:rsid w:val="7B09431E"/>
    <w:rsid w:val="7B0E6C30"/>
    <w:rsid w:val="7B14FB62"/>
    <w:rsid w:val="7B657B82"/>
    <w:rsid w:val="7B6B2DF5"/>
    <w:rsid w:val="7B7E1E41"/>
    <w:rsid w:val="7CDB4BA8"/>
    <w:rsid w:val="7D45915A"/>
    <w:rsid w:val="7EC8C7D0"/>
    <w:rsid w:val="7FAF81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FE4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59C0"/>
    <w:pPr>
      <w:keepNext/>
      <w:keepLines/>
      <w:numPr>
        <w:numId w:val="22"/>
      </w:numPr>
      <w:shd w:val="clear" w:color="auto" w:fill="FFFFFF" w:themeFill="background1"/>
      <w:spacing w:before="480" w:after="60" w:line="264" w:lineRule="auto"/>
      <w:outlineLvl w:val="0"/>
    </w:pPr>
    <w:rPr>
      <w:rFonts w:asciiTheme="majorHAnsi" w:eastAsia="Times New Roman" w:hAnsiTheme="majorHAnsi" w:cstheme="majorHAnsi"/>
      <w:b/>
      <w:sz w:val="28"/>
      <w:szCs w:val="28"/>
    </w:rPr>
  </w:style>
  <w:style w:type="paragraph" w:styleId="Heading2">
    <w:name w:val="heading 2"/>
    <w:basedOn w:val="Heading1"/>
    <w:next w:val="Normal"/>
    <w:link w:val="Heading2Char"/>
    <w:unhideWhenUsed/>
    <w:qFormat/>
    <w:rsid w:val="006A59C0"/>
    <w:pPr>
      <w:numPr>
        <w:ilvl w:val="1"/>
      </w:numPr>
      <w:spacing w:before="0" w:after="160"/>
      <w:outlineLvl w:val="1"/>
    </w:pPr>
    <w:rPr>
      <w:rFonts w:eastAsia="Calibri"/>
      <w:sz w:val="24"/>
      <w:szCs w:val="22"/>
    </w:rPr>
  </w:style>
  <w:style w:type="paragraph" w:styleId="Heading3">
    <w:name w:val="heading 3"/>
    <w:basedOn w:val="Normal"/>
    <w:next w:val="Normal"/>
    <w:link w:val="Heading3Char"/>
    <w:unhideWhenUsed/>
    <w:qFormat/>
    <w:rsid w:val="006A59C0"/>
    <w:pPr>
      <w:numPr>
        <w:ilvl w:val="2"/>
        <w:numId w:val="22"/>
      </w:numPr>
      <w:shd w:val="clear" w:color="auto" w:fill="FFFFFF" w:themeFill="background1"/>
      <w:outlineLvl w:val="2"/>
    </w:pPr>
    <w:rPr>
      <w:rFonts w:asciiTheme="majorHAnsi" w:hAnsiTheme="majorHAnsi" w:cstheme="majorHAnsi"/>
      <w:b/>
      <w:i/>
    </w:rPr>
  </w:style>
  <w:style w:type="paragraph" w:styleId="Heading4">
    <w:name w:val="heading 4"/>
    <w:basedOn w:val="Normal"/>
    <w:next w:val="Normal"/>
    <w:link w:val="Heading4Char"/>
    <w:uiPriority w:val="9"/>
    <w:unhideWhenUsed/>
    <w:qFormat/>
    <w:rsid w:val="006A59C0"/>
    <w:pPr>
      <w:shd w:val="clear" w:color="auto" w:fill="FFFFFF" w:themeFill="background1"/>
      <w:outlineLvl w:val="3"/>
    </w:pPr>
    <w:rPr>
      <w:rFonts w:asciiTheme="majorHAnsi" w:hAnsiTheme="majorHAnsi" w:cstheme="majorHAnsi"/>
      <w:i/>
    </w:rPr>
  </w:style>
  <w:style w:type="paragraph" w:styleId="Heading5">
    <w:name w:val="heading 5"/>
    <w:basedOn w:val="Normal"/>
    <w:next w:val="Normal"/>
    <w:link w:val="Heading5Char"/>
    <w:uiPriority w:val="9"/>
    <w:semiHidden/>
    <w:unhideWhenUsed/>
    <w:qFormat/>
    <w:rsid w:val="00C165F1"/>
    <w:pPr>
      <w:keepNext/>
      <w:keepLines/>
      <w:numPr>
        <w:ilvl w:val="4"/>
        <w:numId w:val="2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165F1"/>
    <w:pPr>
      <w:keepNext/>
      <w:keepLines/>
      <w:numPr>
        <w:ilvl w:val="5"/>
        <w:numId w:val="2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165F1"/>
    <w:pPr>
      <w:keepNext/>
      <w:keepLines/>
      <w:numPr>
        <w:ilvl w:val="6"/>
        <w:numId w:val="2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165F1"/>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65F1"/>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A59C0"/>
    <w:rPr>
      <w:rFonts w:asciiTheme="majorHAnsi" w:hAnsiTheme="majorHAnsi" w:cstheme="majorHAnsi"/>
      <w:i/>
      <w:shd w:val="clear" w:color="auto" w:fill="FFFFFF" w:themeFill="background1"/>
    </w:rPr>
  </w:style>
  <w:style w:type="character" w:customStyle="1" w:styleId="Heading1Char">
    <w:name w:val="Heading 1 Char"/>
    <w:basedOn w:val="DefaultParagraphFont"/>
    <w:link w:val="Heading1"/>
    <w:uiPriority w:val="9"/>
    <w:rsid w:val="006A59C0"/>
    <w:rPr>
      <w:rFonts w:asciiTheme="majorHAnsi" w:eastAsia="Times New Roman" w:hAnsiTheme="majorHAnsi" w:cstheme="majorHAnsi"/>
      <w:b/>
      <w:sz w:val="28"/>
      <w:szCs w:val="28"/>
      <w:shd w:val="clear" w:color="auto" w:fill="FFFFFF" w:themeFill="background1"/>
    </w:rPr>
  </w:style>
  <w:style w:type="paragraph" w:styleId="TOCHeading">
    <w:name w:val="TOC Heading"/>
    <w:basedOn w:val="Heading1"/>
    <w:next w:val="Normal"/>
    <w:uiPriority w:val="39"/>
    <w:unhideWhenUsed/>
    <w:qFormat/>
    <w:rsid w:val="00A966D8"/>
    <w:pPr>
      <w:outlineLvl w:val="9"/>
    </w:pPr>
    <w:rPr>
      <w:bCs/>
    </w:rPr>
  </w:style>
  <w:style w:type="character" w:styleId="Hyperlink">
    <w:name w:val="Hyperlink"/>
    <w:uiPriority w:val="99"/>
    <w:unhideWhenUsed/>
    <w:rsid w:val="00244D9A"/>
    <w:rPr>
      <w:rFonts w:asciiTheme="majorHAnsi" w:hAnsiTheme="majorHAnsi"/>
      <w:strike w:val="0"/>
      <w:dstrike w:val="0"/>
      <w:color w:val="0033CC"/>
      <w:sz w:val="18"/>
      <w:u w:val="single"/>
      <w:effect w:val="none"/>
    </w:rPr>
  </w:style>
  <w:style w:type="paragraph" w:styleId="TOC2">
    <w:name w:val="toc 2"/>
    <w:basedOn w:val="Normal"/>
    <w:next w:val="Normal"/>
    <w:autoRedefine/>
    <w:uiPriority w:val="39"/>
    <w:unhideWhenUsed/>
    <w:qFormat/>
    <w:rsid w:val="001F7417"/>
    <w:pPr>
      <w:tabs>
        <w:tab w:val="left" w:pos="880"/>
        <w:tab w:val="right" w:pos="9016"/>
      </w:tabs>
      <w:spacing w:before="60" w:after="0"/>
      <w:ind w:left="851" w:hanging="630"/>
    </w:pPr>
    <w:rPr>
      <w:rFonts w:ascii="Calibri Light" w:hAnsi="Calibri Light" w:cstheme="minorHAnsi"/>
      <w:iCs/>
      <w:szCs w:val="20"/>
    </w:rPr>
  </w:style>
  <w:style w:type="paragraph" w:styleId="TOC1">
    <w:name w:val="toc 1"/>
    <w:basedOn w:val="Normal"/>
    <w:next w:val="Normal"/>
    <w:autoRedefine/>
    <w:uiPriority w:val="39"/>
    <w:unhideWhenUsed/>
    <w:qFormat/>
    <w:rsid w:val="00AB6244"/>
    <w:pPr>
      <w:tabs>
        <w:tab w:val="right" w:pos="9016"/>
      </w:tabs>
      <w:spacing w:before="120" w:after="120" w:line="240" w:lineRule="auto"/>
      <w:ind w:left="1134" w:hanging="1134"/>
    </w:pPr>
    <w:rPr>
      <w:rFonts w:ascii="Calibri Light" w:hAnsi="Calibri Light" w:cstheme="minorHAnsi"/>
      <w:b/>
      <w:bCs/>
      <w:noProof/>
      <w:szCs w:val="20"/>
    </w:rPr>
  </w:style>
  <w:style w:type="table" w:styleId="TableGrid">
    <w:name w:val="Table Grid"/>
    <w:basedOn w:val="TableNormal"/>
    <w:uiPriority w:val="39"/>
    <w:rsid w:val="008C7994"/>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w:basedOn w:val="Normal"/>
    <w:link w:val="FootnoteTextChar"/>
    <w:uiPriority w:val="99"/>
    <w:unhideWhenUsed/>
    <w:qFormat/>
    <w:rsid w:val="00F321E3"/>
    <w:pPr>
      <w:spacing w:after="0" w:line="240" w:lineRule="auto"/>
    </w:pPr>
    <w:rPr>
      <w:rFonts w:ascii="Times New Roman" w:eastAsia="Calibri" w:hAnsi="Times New Roman" w:cs="Times New Roman"/>
      <w:sz w:val="20"/>
      <w:szCs w:val="20"/>
    </w:rPr>
  </w:style>
  <w:style w:type="character" w:customStyle="1" w:styleId="FootnoteTextChar">
    <w:name w:val="Footnote Text Char"/>
    <w:aliases w:val="Footnote Char"/>
    <w:basedOn w:val="DefaultParagraphFont"/>
    <w:link w:val="FootnoteText"/>
    <w:uiPriority w:val="99"/>
    <w:rsid w:val="00F321E3"/>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F321E3"/>
    <w:rPr>
      <w:vertAlign w:val="superscript"/>
    </w:rPr>
  </w:style>
  <w:style w:type="character" w:customStyle="1" w:styleId="Heading2Char">
    <w:name w:val="Heading 2 Char"/>
    <w:basedOn w:val="DefaultParagraphFont"/>
    <w:link w:val="Heading2"/>
    <w:rsid w:val="006A59C0"/>
    <w:rPr>
      <w:rFonts w:asciiTheme="majorHAnsi" w:eastAsia="Calibri" w:hAnsiTheme="majorHAnsi" w:cstheme="majorHAnsi"/>
      <w:b/>
      <w:sz w:val="24"/>
      <w:shd w:val="clear" w:color="auto" w:fill="FFFFFF" w:themeFill="background1"/>
    </w:rPr>
  </w:style>
  <w:style w:type="paragraph" w:styleId="ListParagraph">
    <w:name w:val="List Paragraph"/>
    <w:aliases w:val="0Bullet,Bullet point,Bullets,Content descriptions,DDM Gen Text,Dot point 1.5 line spacing,Indented bullet,L,List Paragraph - bullets,List Paragraph Number,List Paragraph1,List Paragraph11,List Paragraph2,Recommendation,bullet point list"/>
    <w:basedOn w:val="Normal"/>
    <w:link w:val="ListParagraphChar"/>
    <w:uiPriority w:val="34"/>
    <w:qFormat/>
    <w:rsid w:val="0049267F"/>
    <w:pPr>
      <w:spacing w:after="0" w:line="240" w:lineRule="auto"/>
      <w:ind w:left="720" w:hanging="288"/>
      <w:contextualSpacing/>
    </w:pPr>
    <w:rPr>
      <w:rFonts w:ascii="Times New Roman" w:eastAsia="Calibri" w:hAnsi="Times New Roman" w:cs="Times New Roman"/>
      <w:color w:val="1F497D"/>
      <w:sz w:val="24"/>
    </w:rPr>
  </w:style>
  <w:style w:type="character" w:customStyle="1" w:styleId="ListParagraphChar">
    <w:name w:val="List Paragraph Char"/>
    <w:aliases w:val="0Bullet Char,Bullet point Char,Bullets Char,Content descriptions Char,DDM Gen Text Char,Dot point 1.5 line spacing Char,Indented bullet Char,L Char,List Paragraph - bullets Char,List Paragraph Number Char,List Paragraph1 Char"/>
    <w:basedOn w:val="DefaultParagraphFont"/>
    <w:link w:val="ListParagraph"/>
    <w:uiPriority w:val="34"/>
    <w:locked/>
    <w:rsid w:val="0049267F"/>
    <w:rPr>
      <w:rFonts w:ascii="Times New Roman" w:eastAsia="Calibri" w:hAnsi="Times New Roman" w:cs="Times New Roman"/>
      <w:color w:val="1F497D"/>
      <w:sz w:val="24"/>
    </w:rPr>
  </w:style>
  <w:style w:type="paragraph" w:styleId="Title">
    <w:name w:val="Title"/>
    <w:basedOn w:val="Normal"/>
    <w:next w:val="Normal"/>
    <w:link w:val="TitleChar"/>
    <w:uiPriority w:val="10"/>
    <w:qFormat/>
    <w:rsid w:val="009C464D"/>
    <w:pPr>
      <w:shd w:val="clear" w:color="auto" w:fill="FFFFFF" w:themeFill="background1"/>
    </w:pPr>
    <w:rPr>
      <w:rFonts w:asciiTheme="majorHAnsi" w:eastAsia="Times New Roman" w:hAnsiTheme="majorHAnsi" w:cstheme="majorHAnsi"/>
      <w:b/>
      <w:spacing w:val="30"/>
      <w:kern w:val="28"/>
      <w:sz w:val="56"/>
      <w:szCs w:val="56"/>
    </w:rPr>
  </w:style>
  <w:style w:type="character" w:customStyle="1" w:styleId="TitleChar">
    <w:name w:val="Title Char"/>
    <w:basedOn w:val="DefaultParagraphFont"/>
    <w:link w:val="Title"/>
    <w:uiPriority w:val="10"/>
    <w:rsid w:val="009C464D"/>
    <w:rPr>
      <w:rFonts w:asciiTheme="majorHAnsi" w:eastAsia="Times New Roman" w:hAnsiTheme="majorHAnsi" w:cstheme="majorHAnsi"/>
      <w:b/>
      <w:spacing w:val="30"/>
      <w:kern w:val="28"/>
      <w:sz w:val="56"/>
      <w:szCs w:val="56"/>
      <w:shd w:val="clear" w:color="auto" w:fill="FFFFFF" w:themeFill="background1"/>
    </w:rPr>
  </w:style>
  <w:style w:type="character" w:customStyle="1" w:styleId="Heading3Char">
    <w:name w:val="Heading 3 Char"/>
    <w:basedOn w:val="DefaultParagraphFont"/>
    <w:link w:val="Heading3"/>
    <w:rsid w:val="006A59C0"/>
    <w:rPr>
      <w:rFonts w:asciiTheme="majorHAnsi" w:hAnsiTheme="majorHAnsi" w:cstheme="majorHAnsi"/>
      <w:b/>
      <w:i/>
      <w:shd w:val="clear" w:color="auto" w:fill="FFFFFF" w:themeFill="background1"/>
    </w:rPr>
  </w:style>
  <w:style w:type="character" w:styleId="CommentReference">
    <w:name w:val="annotation reference"/>
    <w:basedOn w:val="DefaultParagraphFont"/>
    <w:uiPriority w:val="99"/>
    <w:semiHidden/>
    <w:unhideWhenUsed/>
    <w:rsid w:val="00F949E6"/>
    <w:rPr>
      <w:sz w:val="16"/>
      <w:szCs w:val="16"/>
    </w:rPr>
  </w:style>
  <w:style w:type="paragraph" w:styleId="CommentText">
    <w:name w:val="annotation text"/>
    <w:basedOn w:val="Normal"/>
    <w:link w:val="CommentTextChar"/>
    <w:uiPriority w:val="99"/>
    <w:unhideWhenUsed/>
    <w:rsid w:val="00F949E6"/>
    <w:pPr>
      <w:spacing w:before="120" w:after="120" w:line="240" w:lineRule="auto"/>
    </w:pPr>
    <w:rPr>
      <w:rFonts w:ascii="Arial" w:eastAsiaTheme="minorEastAsia" w:hAnsi="Arial"/>
      <w:sz w:val="20"/>
      <w:szCs w:val="20"/>
      <w:lang w:eastAsia="en-AU"/>
    </w:rPr>
  </w:style>
  <w:style w:type="character" w:customStyle="1" w:styleId="CommentTextChar">
    <w:name w:val="Comment Text Char"/>
    <w:basedOn w:val="DefaultParagraphFont"/>
    <w:link w:val="CommentText"/>
    <w:uiPriority w:val="99"/>
    <w:rsid w:val="00F949E6"/>
    <w:rPr>
      <w:rFonts w:ascii="Arial" w:eastAsiaTheme="minorEastAsia" w:hAnsi="Arial"/>
      <w:sz w:val="20"/>
      <w:szCs w:val="20"/>
      <w:lang w:eastAsia="en-AU"/>
    </w:rPr>
  </w:style>
  <w:style w:type="paragraph" w:styleId="BalloonText">
    <w:name w:val="Balloon Text"/>
    <w:basedOn w:val="Normal"/>
    <w:link w:val="BalloonTextChar"/>
    <w:uiPriority w:val="99"/>
    <w:semiHidden/>
    <w:unhideWhenUsed/>
    <w:rsid w:val="00F94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9E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21FC8"/>
    <w:pPr>
      <w:spacing w:before="0" w:after="160"/>
    </w:pPr>
    <w:rPr>
      <w:rFonts w:asciiTheme="minorHAnsi" w:eastAsiaTheme="minorHAnsi" w:hAnsiTheme="minorHAnsi"/>
      <w:b/>
      <w:bCs/>
      <w:lang w:eastAsia="en-US"/>
    </w:rPr>
  </w:style>
  <w:style w:type="character" w:customStyle="1" w:styleId="CommentSubjectChar">
    <w:name w:val="Comment Subject Char"/>
    <w:basedOn w:val="CommentTextChar"/>
    <w:link w:val="CommentSubject"/>
    <w:uiPriority w:val="99"/>
    <w:semiHidden/>
    <w:rsid w:val="00021FC8"/>
    <w:rPr>
      <w:rFonts w:ascii="Arial" w:eastAsiaTheme="minorEastAsia" w:hAnsi="Arial"/>
      <w:b/>
      <w:bCs/>
      <w:sz w:val="20"/>
      <w:szCs w:val="20"/>
      <w:lang w:eastAsia="en-AU"/>
    </w:rPr>
  </w:style>
  <w:style w:type="character" w:styleId="FollowedHyperlink">
    <w:name w:val="FollowedHyperlink"/>
    <w:basedOn w:val="DefaultParagraphFont"/>
    <w:uiPriority w:val="99"/>
    <w:semiHidden/>
    <w:unhideWhenUsed/>
    <w:rsid w:val="008420FA"/>
    <w:rPr>
      <w:color w:val="954F72" w:themeColor="followedHyperlink"/>
      <w:u w:val="single"/>
    </w:rPr>
  </w:style>
  <w:style w:type="paragraph" w:styleId="Header">
    <w:name w:val="header"/>
    <w:basedOn w:val="Normal"/>
    <w:link w:val="HeaderChar"/>
    <w:uiPriority w:val="99"/>
    <w:unhideWhenUsed/>
    <w:rsid w:val="00A30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14F"/>
  </w:style>
  <w:style w:type="paragraph" w:styleId="Footer">
    <w:name w:val="footer"/>
    <w:basedOn w:val="Normal"/>
    <w:link w:val="FooterChar"/>
    <w:uiPriority w:val="99"/>
    <w:unhideWhenUsed/>
    <w:rsid w:val="00A30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14F"/>
  </w:style>
  <w:style w:type="character" w:customStyle="1" w:styleId="Heading5Char">
    <w:name w:val="Heading 5 Char"/>
    <w:basedOn w:val="DefaultParagraphFont"/>
    <w:link w:val="Heading5"/>
    <w:uiPriority w:val="9"/>
    <w:semiHidden/>
    <w:rsid w:val="00C165F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165F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165F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165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165F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C165F1"/>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165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65F1"/>
    <w:rPr>
      <w:sz w:val="20"/>
      <w:szCs w:val="20"/>
    </w:rPr>
  </w:style>
  <w:style w:type="character" w:styleId="EndnoteReference">
    <w:name w:val="endnote reference"/>
    <w:basedOn w:val="DefaultParagraphFont"/>
    <w:uiPriority w:val="99"/>
    <w:semiHidden/>
    <w:unhideWhenUsed/>
    <w:rsid w:val="00C165F1"/>
    <w:rPr>
      <w:vertAlign w:val="superscript"/>
    </w:rPr>
  </w:style>
  <w:style w:type="paragraph" w:styleId="Revision">
    <w:name w:val="Revision"/>
    <w:hidden/>
    <w:uiPriority w:val="99"/>
    <w:semiHidden/>
    <w:rsid w:val="00C165F1"/>
    <w:pPr>
      <w:spacing w:after="0" w:line="240" w:lineRule="auto"/>
    </w:pPr>
  </w:style>
  <w:style w:type="paragraph" w:styleId="Quote">
    <w:name w:val="Quote"/>
    <w:basedOn w:val="Normal"/>
    <w:next w:val="Normal"/>
    <w:link w:val="QuoteChar"/>
    <w:uiPriority w:val="29"/>
    <w:qFormat/>
    <w:rsid w:val="001220A3"/>
    <w:pPr>
      <w:spacing w:before="120" w:after="120"/>
      <w:ind w:left="426" w:right="662"/>
    </w:pPr>
    <w:rPr>
      <w:rFonts w:asciiTheme="majorHAnsi" w:eastAsia="SimSun" w:hAnsiTheme="majorHAnsi" w:cstheme="majorHAnsi"/>
      <w:i/>
      <w:iCs/>
      <w:lang w:eastAsia="en-AU"/>
    </w:rPr>
  </w:style>
  <w:style w:type="character" w:customStyle="1" w:styleId="QuoteChar">
    <w:name w:val="Quote Char"/>
    <w:basedOn w:val="DefaultParagraphFont"/>
    <w:link w:val="Quote"/>
    <w:uiPriority w:val="29"/>
    <w:rsid w:val="001220A3"/>
    <w:rPr>
      <w:rFonts w:asciiTheme="majorHAnsi" w:eastAsia="SimSun" w:hAnsiTheme="majorHAnsi" w:cstheme="majorHAnsi"/>
      <w:i/>
      <w:iCs/>
      <w:lang w:eastAsia="en-AU"/>
    </w:rPr>
  </w:style>
  <w:style w:type="character" w:styleId="UnresolvedMention">
    <w:name w:val="Unresolved Mention"/>
    <w:basedOn w:val="DefaultParagraphFont"/>
    <w:uiPriority w:val="99"/>
    <w:unhideWhenUsed/>
    <w:rsid w:val="00C165F1"/>
    <w:rPr>
      <w:color w:val="605E5C"/>
      <w:shd w:val="clear" w:color="auto" w:fill="E1DFDD"/>
    </w:rPr>
  </w:style>
  <w:style w:type="numbering" w:customStyle="1" w:styleId="NoList1">
    <w:name w:val="No List1"/>
    <w:next w:val="NoList"/>
    <w:uiPriority w:val="99"/>
    <w:semiHidden/>
    <w:unhideWhenUsed/>
    <w:rsid w:val="006F159A"/>
  </w:style>
  <w:style w:type="paragraph" w:styleId="NormalWeb">
    <w:name w:val="Normal (Web)"/>
    <w:basedOn w:val="Normal"/>
    <w:uiPriority w:val="99"/>
    <w:semiHidden/>
    <w:unhideWhenUsed/>
    <w:rsid w:val="006F159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F159A"/>
    <w:rPr>
      <w:i/>
      <w:iCs/>
    </w:rPr>
  </w:style>
  <w:style w:type="table" w:customStyle="1" w:styleId="TableGrid1">
    <w:name w:val="Table Grid1"/>
    <w:basedOn w:val="TableNormal"/>
    <w:next w:val="TableGrid"/>
    <w:uiPriority w:val="39"/>
    <w:rsid w:val="006F1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
    <w:uiPriority w:val="49"/>
    <w:rsid w:val="006F159A"/>
    <w:pPr>
      <w:spacing w:after="0" w:line="240" w:lineRule="auto"/>
    </w:pPr>
    <w:rPr>
      <w:rFonts w:eastAsia="SimSun"/>
      <w:lang w:eastAsia="en-AU"/>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color w:val="FFFFFF"/>
      </w:rPr>
      <w:tblPr/>
      <w:tcPr>
        <w:tcBorders>
          <w:top w:val="single" w:sz="4" w:space="0" w:color="333333"/>
          <w:left w:val="single" w:sz="4" w:space="0" w:color="333333"/>
          <w:bottom w:val="single" w:sz="4" w:space="0" w:color="333333"/>
          <w:right w:val="single" w:sz="4" w:space="0" w:color="333333"/>
          <w:insideH w:val="nil"/>
          <w:insideV w:val="nil"/>
        </w:tcBorders>
        <w:shd w:val="clear" w:color="auto" w:fill="333333"/>
      </w:tcPr>
    </w:tblStylePr>
    <w:tblStylePr w:type="lastRow">
      <w:rPr>
        <w:b/>
        <w:bCs/>
      </w:rPr>
      <w:tblPr/>
      <w:tcPr>
        <w:tcBorders>
          <w:top w:val="double" w:sz="4" w:space="0" w:color="333333"/>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table" w:styleId="GridTable4">
    <w:name w:val="Grid Table 4"/>
    <w:basedOn w:val="TableNormal"/>
    <w:uiPriority w:val="49"/>
    <w:rsid w:val="006F15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ainbodytext">
    <w:name w:val="Main body text"/>
    <w:basedOn w:val="Normal"/>
    <w:link w:val="MainbodytextChar"/>
    <w:qFormat/>
    <w:rsid w:val="006F159A"/>
    <w:pPr>
      <w:spacing w:before="120" w:after="120" w:line="240" w:lineRule="auto"/>
    </w:pPr>
    <w:rPr>
      <w:rFonts w:ascii="Arial" w:eastAsiaTheme="minorEastAsia" w:hAnsi="Arial"/>
      <w:sz w:val="20"/>
      <w:lang w:eastAsia="en-AU"/>
    </w:rPr>
  </w:style>
  <w:style w:type="character" w:customStyle="1" w:styleId="MainbodytextChar">
    <w:name w:val="Main body text Char"/>
    <w:link w:val="Mainbodytext"/>
    <w:locked/>
    <w:rsid w:val="006F159A"/>
    <w:rPr>
      <w:rFonts w:ascii="Arial" w:eastAsiaTheme="minorEastAsia" w:hAnsi="Arial"/>
      <w:sz w:val="20"/>
      <w:lang w:eastAsia="en-AU"/>
    </w:rPr>
  </w:style>
  <w:style w:type="table" w:customStyle="1" w:styleId="GridTable411">
    <w:name w:val="Grid Table 411"/>
    <w:basedOn w:val="TableNormal"/>
    <w:next w:val="GridTable4"/>
    <w:uiPriority w:val="49"/>
    <w:rsid w:val="003639AF"/>
    <w:pPr>
      <w:spacing w:after="0" w:line="240" w:lineRule="auto"/>
    </w:pPr>
    <w:rPr>
      <w:rFonts w:eastAsia="SimSun"/>
      <w:lang w:eastAsia="en-AU"/>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color w:val="FFFFFF"/>
      </w:rPr>
      <w:tblPr/>
      <w:tcPr>
        <w:tcBorders>
          <w:top w:val="single" w:sz="4" w:space="0" w:color="333333"/>
          <w:left w:val="single" w:sz="4" w:space="0" w:color="333333"/>
          <w:bottom w:val="single" w:sz="4" w:space="0" w:color="333333"/>
          <w:right w:val="single" w:sz="4" w:space="0" w:color="333333"/>
          <w:insideH w:val="nil"/>
          <w:insideV w:val="nil"/>
        </w:tcBorders>
        <w:shd w:val="clear" w:color="auto" w:fill="333333"/>
      </w:tcPr>
    </w:tblStylePr>
    <w:tblStylePr w:type="lastRow">
      <w:rPr>
        <w:b/>
        <w:bCs/>
      </w:rPr>
      <w:tblPr/>
      <w:tcPr>
        <w:tcBorders>
          <w:top w:val="double" w:sz="4" w:space="0" w:color="333333"/>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table" w:customStyle="1" w:styleId="GridTable412">
    <w:name w:val="Grid Table 412"/>
    <w:basedOn w:val="TableNormal"/>
    <w:next w:val="GridTable4"/>
    <w:uiPriority w:val="49"/>
    <w:rsid w:val="003639AF"/>
    <w:pPr>
      <w:spacing w:after="0" w:line="240" w:lineRule="auto"/>
    </w:pPr>
    <w:rPr>
      <w:rFonts w:eastAsia="SimSun"/>
      <w:lang w:eastAsia="en-AU"/>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color w:val="FFFFFF"/>
      </w:rPr>
      <w:tblPr/>
      <w:tcPr>
        <w:tcBorders>
          <w:top w:val="single" w:sz="4" w:space="0" w:color="333333"/>
          <w:left w:val="single" w:sz="4" w:space="0" w:color="333333"/>
          <w:bottom w:val="single" w:sz="4" w:space="0" w:color="333333"/>
          <w:right w:val="single" w:sz="4" w:space="0" w:color="333333"/>
          <w:insideH w:val="nil"/>
          <w:insideV w:val="nil"/>
        </w:tcBorders>
        <w:shd w:val="clear" w:color="auto" w:fill="333333"/>
      </w:tcPr>
    </w:tblStylePr>
    <w:tblStylePr w:type="lastRow">
      <w:rPr>
        <w:b/>
        <w:bCs/>
      </w:rPr>
      <w:tblPr/>
      <w:tcPr>
        <w:tcBorders>
          <w:top w:val="double" w:sz="4" w:space="0" w:color="333333"/>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numbering" w:customStyle="1" w:styleId="NoList2">
    <w:name w:val="No List2"/>
    <w:next w:val="NoList"/>
    <w:uiPriority w:val="99"/>
    <w:semiHidden/>
    <w:unhideWhenUsed/>
    <w:rsid w:val="00B77EBE"/>
  </w:style>
  <w:style w:type="table" w:customStyle="1" w:styleId="GridTable413">
    <w:name w:val="Grid Table 413"/>
    <w:basedOn w:val="TableNormal"/>
    <w:next w:val="GridTable4"/>
    <w:uiPriority w:val="49"/>
    <w:rsid w:val="00B77EBE"/>
    <w:pPr>
      <w:spacing w:after="0" w:line="240" w:lineRule="auto"/>
    </w:pPr>
    <w:rPr>
      <w:rFonts w:eastAsia="SimSun"/>
      <w:lang w:eastAsia="en-AU"/>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color w:val="FFFFFF"/>
      </w:rPr>
      <w:tblPr/>
      <w:tcPr>
        <w:tcBorders>
          <w:top w:val="single" w:sz="4" w:space="0" w:color="333333"/>
          <w:left w:val="single" w:sz="4" w:space="0" w:color="333333"/>
          <w:bottom w:val="single" w:sz="4" w:space="0" w:color="333333"/>
          <w:right w:val="single" w:sz="4" w:space="0" w:color="333333"/>
          <w:insideH w:val="nil"/>
          <w:insideV w:val="nil"/>
        </w:tcBorders>
        <w:shd w:val="clear" w:color="auto" w:fill="333333"/>
      </w:tcPr>
    </w:tblStylePr>
    <w:tblStylePr w:type="lastRow">
      <w:rPr>
        <w:b/>
        <w:bCs/>
      </w:rPr>
      <w:tblPr/>
      <w:tcPr>
        <w:tcBorders>
          <w:top w:val="double" w:sz="4" w:space="0" w:color="333333"/>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table" w:customStyle="1" w:styleId="GridTable42">
    <w:name w:val="Grid Table 42"/>
    <w:basedOn w:val="TableNormal"/>
    <w:next w:val="GridTable4"/>
    <w:uiPriority w:val="49"/>
    <w:rsid w:val="00B77E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rsid w:val="00B77EBE"/>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qFormat/>
    <w:rsid w:val="00672942"/>
    <w:pPr>
      <w:keepNext/>
    </w:pPr>
    <w:rPr>
      <w:rFonts w:asciiTheme="majorHAnsi" w:hAnsiTheme="majorHAnsi" w:cstheme="majorHAnsi"/>
      <w:b/>
      <w:i w:val="0"/>
      <w:color w:val="000000" w:themeColor="text1"/>
    </w:rPr>
  </w:style>
  <w:style w:type="paragraph" w:customStyle="1" w:styleId="TableCell">
    <w:name w:val="Table Cell"/>
    <w:basedOn w:val="Normal"/>
    <w:qFormat/>
    <w:rsid w:val="00CC6C9A"/>
    <w:pPr>
      <w:spacing w:before="120" w:after="120" w:line="280" w:lineRule="exact"/>
    </w:pPr>
    <w:rPr>
      <w:rFonts w:ascii="Arial" w:eastAsiaTheme="minorEastAsia" w:hAnsi="Arial"/>
      <w:bCs/>
      <w:sz w:val="20"/>
      <w:szCs w:val="18"/>
      <w:lang w:eastAsia="en-AU"/>
    </w:rPr>
  </w:style>
  <w:style w:type="table" w:customStyle="1" w:styleId="Kantar">
    <w:name w:val="Kantar"/>
    <w:basedOn w:val="TableNormal"/>
    <w:uiPriority w:val="61"/>
    <w:rsid w:val="00CC6C9A"/>
    <w:pPr>
      <w:spacing w:before="120" w:after="120" w:line="280" w:lineRule="exact"/>
    </w:pPr>
    <w:rPr>
      <w:rFonts w:ascii="Arial" w:eastAsiaTheme="minorEastAsia" w:hAnsi="Arial"/>
    </w:rPr>
    <w:tblPr>
      <w:tblStyleRowBandSize w:val="1"/>
      <w:tblStyleColBandSize w:val="1"/>
      <w:tblInd w:w="0" w:type="nil"/>
      <w:tblBorders>
        <w:top w:val="single" w:sz="4" w:space="0" w:color="A6A6A6" w:themeColor="background1" w:themeShade="A6"/>
        <w:bottom w:val="single" w:sz="4" w:space="0" w:color="A6A6A6" w:themeColor="background1" w:themeShade="A6"/>
        <w:insideH w:val="single" w:sz="4" w:space="0" w:color="A6A6A6" w:themeColor="background1" w:themeShade="A6"/>
      </w:tblBorders>
    </w:tblPr>
    <w:tcPr>
      <w:shd w:val="clear" w:color="auto" w:fill="FFFFFF" w:themeFill="background1"/>
    </w:tcPr>
    <w:tblStylePr w:type="firstRow">
      <w:pPr>
        <w:spacing w:beforeLines="0" w:before="0" w:beforeAutospacing="0" w:afterLines="0" w:after="0" w:afterAutospacing="0" w:line="240" w:lineRule="auto"/>
      </w:pPr>
      <w:rPr>
        <w:rFonts w:ascii="Arial" w:hAnsi="Arial" w:cs="Arial" w:hint="default"/>
        <w:b/>
        <w:bCs/>
        <w:color w:val="FFFFFF"/>
        <w:sz w:val="22"/>
        <w:szCs w:val="22"/>
      </w:rPr>
      <w:tblPr/>
      <w:tcPr>
        <w:shd w:val="clear" w:color="auto" w:fill="5B9BD5" w:themeFill="accent1"/>
      </w:tcPr>
    </w:tblStylePr>
    <w:tblStylePr w:type="lastRow">
      <w:pPr>
        <w:spacing w:beforeLines="0" w:before="0" w:beforeAutospacing="0" w:afterLines="0" w:after="0" w:afterAutospacing="0" w:line="240" w:lineRule="auto"/>
      </w:pPr>
      <w:rPr>
        <w:rFonts w:ascii="Arial" w:hAnsi="Arial" w:cs="Arial" w:hint="default"/>
        <w:b w:val="0"/>
        <w:bCs/>
        <w:sz w:val="22"/>
        <w:szCs w:val="22"/>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3">
    <w:name w:val="toc 3"/>
    <w:basedOn w:val="Normal"/>
    <w:next w:val="Normal"/>
    <w:autoRedefine/>
    <w:uiPriority w:val="39"/>
    <w:unhideWhenUsed/>
    <w:rsid w:val="00FE6E1F"/>
    <w:pPr>
      <w:spacing w:after="0"/>
      <w:ind w:left="440"/>
    </w:pPr>
    <w:rPr>
      <w:rFonts w:cstheme="minorHAnsi"/>
      <w:sz w:val="20"/>
      <w:szCs w:val="20"/>
    </w:rPr>
  </w:style>
  <w:style w:type="character" w:customStyle="1" w:styleId="e24kjd">
    <w:name w:val="e24kjd"/>
    <w:basedOn w:val="DefaultParagraphFont"/>
    <w:rsid w:val="00854FE3"/>
  </w:style>
  <w:style w:type="paragraph" w:styleId="TOC4">
    <w:name w:val="toc 4"/>
    <w:basedOn w:val="Normal"/>
    <w:next w:val="Normal"/>
    <w:autoRedefine/>
    <w:uiPriority w:val="39"/>
    <w:unhideWhenUsed/>
    <w:rsid w:val="00746691"/>
    <w:pPr>
      <w:spacing w:after="0"/>
      <w:ind w:left="660"/>
    </w:pPr>
    <w:rPr>
      <w:rFonts w:cstheme="minorHAnsi"/>
      <w:sz w:val="20"/>
      <w:szCs w:val="20"/>
    </w:rPr>
  </w:style>
  <w:style w:type="paragraph" w:styleId="TOC5">
    <w:name w:val="toc 5"/>
    <w:basedOn w:val="Normal"/>
    <w:next w:val="Normal"/>
    <w:autoRedefine/>
    <w:uiPriority w:val="39"/>
    <w:unhideWhenUsed/>
    <w:rsid w:val="00746691"/>
    <w:pPr>
      <w:spacing w:after="0"/>
      <w:ind w:left="880"/>
    </w:pPr>
    <w:rPr>
      <w:rFonts w:cstheme="minorHAnsi"/>
      <w:sz w:val="20"/>
      <w:szCs w:val="20"/>
    </w:rPr>
  </w:style>
  <w:style w:type="paragraph" w:styleId="TOC6">
    <w:name w:val="toc 6"/>
    <w:basedOn w:val="Normal"/>
    <w:next w:val="Normal"/>
    <w:autoRedefine/>
    <w:uiPriority w:val="39"/>
    <w:unhideWhenUsed/>
    <w:rsid w:val="00746691"/>
    <w:pPr>
      <w:spacing w:after="0"/>
      <w:ind w:left="1100"/>
    </w:pPr>
    <w:rPr>
      <w:rFonts w:cstheme="minorHAnsi"/>
      <w:sz w:val="20"/>
      <w:szCs w:val="20"/>
    </w:rPr>
  </w:style>
  <w:style w:type="paragraph" w:styleId="TOC7">
    <w:name w:val="toc 7"/>
    <w:basedOn w:val="Normal"/>
    <w:next w:val="Normal"/>
    <w:autoRedefine/>
    <w:uiPriority w:val="39"/>
    <w:unhideWhenUsed/>
    <w:rsid w:val="00746691"/>
    <w:pPr>
      <w:spacing w:after="0"/>
      <w:ind w:left="1320"/>
    </w:pPr>
    <w:rPr>
      <w:rFonts w:cstheme="minorHAnsi"/>
      <w:sz w:val="20"/>
      <w:szCs w:val="20"/>
    </w:rPr>
  </w:style>
  <w:style w:type="paragraph" w:styleId="TOC8">
    <w:name w:val="toc 8"/>
    <w:basedOn w:val="Normal"/>
    <w:next w:val="Normal"/>
    <w:autoRedefine/>
    <w:uiPriority w:val="39"/>
    <w:unhideWhenUsed/>
    <w:rsid w:val="00746691"/>
    <w:pPr>
      <w:spacing w:after="0"/>
      <w:ind w:left="1540"/>
    </w:pPr>
    <w:rPr>
      <w:rFonts w:cstheme="minorHAnsi"/>
      <w:sz w:val="20"/>
      <w:szCs w:val="20"/>
    </w:rPr>
  </w:style>
  <w:style w:type="paragraph" w:styleId="TOC9">
    <w:name w:val="toc 9"/>
    <w:basedOn w:val="Normal"/>
    <w:next w:val="Normal"/>
    <w:autoRedefine/>
    <w:uiPriority w:val="39"/>
    <w:unhideWhenUsed/>
    <w:rsid w:val="00746691"/>
    <w:pPr>
      <w:spacing w:after="0"/>
      <w:ind w:left="1760"/>
    </w:pPr>
    <w:rPr>
      <w:rFonts w:cstheme="minorHAnsi"/>
      <w:sz w:val="20"/>
      <w:szCs w:val="20"/>
    </w:rPr>
  </w:style>
  <w:style w:type="character" w:styleId="Mention">
    <w:name w:val="Mention"/>
    <w:basedOn w:val="DefaultParagraphFont"/>
    <w:uiPriority w:val="99"/>
    <w:unhideWhenUsed/>
    <w:rsid w:val="009D016E"/>
    <w:rPr>
      <w:color w:val="2B579A"/>
      <w:shd w:val="clear" w:color="auto" w:fill="E1DFDD"/>
    </w:rPr>
  </w:style>
  <w:style w:type="character" w:styleId="Strong">
    <w:name w:val="Strong"/>
    <w:basedOn w:val="DefaultParagraphFont"/>
    <w:uiPriority w:val="22"/>
    <w:qFormat/>
    <w:rsid w:val="00445E15"/>
    <w:rPr>
      <w:b/>
      <w:bCs/>
    </w:rPr>
  </w:style>
  <w:style w:type="paragraph" w:customStyle="1" w:styleId="FigureTitle">
    <w:name w:val="Figure Title"/>
    <w:basedOn w:val="Caption"/>
    <w:qFormat/>
    <w:rsid w:val="00751469"/>
    <w:pPr>
      <w:keepNext/>
    </w:pPr>
    <w:rPr>
      <w:rFonts w:asciiTheme="majorHAnsi" w:hAnsiTheme="majorHAnsi" w:cstheme="majorHAnsi"/>
      <w:b/>
      <w:i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530122">
      <w:bodyDiv w:val="1"/>
      <w:marLeft w:val="0"/>
      <w:marRight w:val="0"/>
      <w:marTop w:val="0"/>
      <w:marBottom w:val="0"/>
      <w:divBdr>
        <w:top w:val="none" w:sz="0" w:space="0" w:color="auto"/>
        <w:left w:val="none" w:sz="0" w:space="0" w:color="auto"/>
        <w:bottom w:val="none" w:sz="0" w:space="0" w:color="auto"/>
        <w:right w:val="none" w:sz="0" w:space="0" w:color="auto"/>
      </w:divBdr>
    </w:div>
    <w:div w:id="690111667">
      <w:bodyDiv w:val="1"/>
      <w:marLeft w:val="0"/>
      <w:marRight w:val="0"/>
      <w:marTop w:val="0"/>
      <w:marBottom w:val="0"/>
      <w:divBdr>
        <w:top w:val="none" w:sz="0" w:space="0" w:color="auto"/>
        <w:left w:val="none" w:sz="0" w:space="0" w:color="auto"/>
        <w:bottom w:val="none" w:sz="0" w:space="0" w:color="auto"/>
        <w:right w:val="none" w:sz="0" w:space="0" w:color="auto"/>
      </w:divBdr>
    </w:div>
    <w:div w:id="1182819399">
      <w:bodyDiv w:val="1"/>
      <w:marLeft w:val="0"/>
      <w:marRight w:val="0"/>
      <w:marTop w:val="0"/>
      <w:marBottom w:val="0"/>
      <w:divBdr>
        <w:top w:val="none" w:sz="0" w:space="0" w:color="auto"/>
        <w:left w:val="none" w:sz="0" w:space="0" w:color="auto"/>
        <w:bottom w:val="none" w:sz="0" w:space="0" w:color="auto"/>
        <w:right w:val="none" w:sz="0" w:space="0" w:color="auto"/>
      </w:divBdr>
    </w:div>
    <w:div w:id="1532838933">
      <w:bodyDiv w:val="1"/>
      <w:marLeft w:val="0"/>
      <w:marRight w:val="0"/>
      <w:marTop w:val="0"/>
      <w:marBottom w:val="0"/>
      <w:divBdr>
        <w:top w:val="none" w:sz="0" w:space="0" w:color="auto"/>
        <w:left w:val="none" w:sz="0" w:space="0" w:color="auto"/>
        <w:bottom w:val="none" w:sz="0" w:space="0" w:color="auto"/>
        <w:right w:val="none" w:sz="0" w:space="0" w:color="auto"/>
      </w:divBdr>
    </w:div>
    <w:div w:id="1533613604">
      <w:bodyDiv w:val="1"/>
      <w:marLeft w:val="0"/>
      <w:marRight w:val="0"/>
      <w:marTop w:val="0"/>
      <w:marBottom w:val="0"/>
      <w:divBdr>
        <w:top w:val="none" w:sz="0" w:space="0" w:color="auto"/>
        <w:left w:val="none" w:sz="0" w:space="0" w:color="auto"/>
        <w:bottom w:val="none" w:sz="0" w:space="0" w:color="auto"/>
        <w:right w:val="none" w:sz="0" w:space="0" w:color="auto"/>
      </w:divBdr>
    </w:div>
    <w:div w:id="1561134800">
      <w:bodyDiv w:val="1"/>
      <w:marLeft w:val="0"/>
      <w:marRight w:val="0"/>
      <w:marTop w:val="0"/>
      <w:marBottom w:val="0"/>
      <w:divBdr>
        <w:top w:val="none" w:sz="0" w:space="0" w:color="auto"/>
        <w:left w:val="none" w:sz="0" w:space="0" w:color="auto"/>
        <w:bottom w:val="none" w:sz="0" w:space="0" w:color="auto"/>
        <w:right w:val="none" w:sz="0" w:space="0" w:color="auto"/>
      </w:divBdr>
    </w:div>
    <w:div w:id="2032338246">
      <w:bodyDiv w:val="1"/>
      <w:marLeft w:val="0"/>
      <w:marRight w:val="0"/>
      <w:marTop w:val="0"/>
      <w:marBottom w:val="0"/>
      <w:divBdr>
        <w:top w:val="none" w:sz="0" w:space="0" w:color="auto"/>
        <w:left w:val="none" w:sz="0" w:space="0" w:color="auto"/>
        <w:bottom w:val="none" w:sz="0" w:space="0" w:color="auto"/>
        <w:right w:val="none" w:sz="0" w:space="0" w:color="auto"/>
      </w:divBdr>
    </w:div>
    <w:div w:id="213046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www.industry.gov.au/data-and-publications/australian-innovation-system-report/australian-innovation-system-report-2017" TargetMode="External"/><Relationship Id="rId18" Type="http://schemas.openxmlformats.org/officeDocument/2006/relationships/hyperlink" Target="http://www.arc.gov.au" TargetMode="External"/><Relationship Id="rId26" Type="http://schemas.openxmlformats.org/officeDocument/2006/relationships/hyperlink" Target="https://www.abs.gov.au/AUSSTATS/abs@.nsf/Previousproducts/1297.0Main%20Features62008?opendocument&amp;tabname=Summary&amp;prodno=1297.0&amp;issue=2008&amp;num=&amp;view=" TargetMode="External"/><Relationship Id="rId39" Type="http://schemas.openxmlformats.org/officeDocument/2006/relationships/hyperlink" Target="https://www.arc.gov.au/policies-strategies/policy/arc-open-access-policy" TargetMode="External"/><Relationship Id="rId21" Type="http://schemas.openxmlformats.org/officeDocument/2006/relationships/hyperlink" Target="https://www.abs.gov.au/AUSSTATS/abs@.nsf/Previousproducts/1297.0Contents12008?opendocument&amp;tabname=Summary&amp;prodno=1297.0&amp;issue=2008&amp;num=&amp;view=" TargetMode="External"/><Relationship Id="rId34" Type="http://schemas.openxmlformats.org/officeDocument/2006/relationships/hyperlink" Target="https://www.arc.gov.au/grants/grant-application/eligibility-matters" TargetMode="External"/><Relationship Id="rId42" Type="http://schemas.openxmlformats.org/officeDocument/2006/relationships/hyperlink" Target="https://dataportal.arc.gov.au/ERA/NationalReport/2018/" TargetMode="External"/><Relationship Id="rId47" Type="http://schemas.openxmlformats.org/officeDocument/2006/relationships/hyperlink" Target="https://www.industry.gov.au/sites/default/files/2018-10/science_and_research_priorities_2015.pdf?acsf_files_redirect" TargetMode="External"/><Relationship Id="rId50" Type="http://schemas.openxmlformats.org/officeDocument/2006/relationships/hyperlink" Target="https://www.finance.gov.au/sites/default/files/2019-11/commonwealth-grants-rules-and-guidelines.pdf" TargetMode="External"/><Relationship Id="rId7" Type="http://schemas.openxmlformats.org/officeDocument/2006/relationships/hyperlink" Target="https://www.voced.edu.au/content/ngv%3A41605" TargetMode="External"/><Relationship Id="rId2" Type="http://schemas.openxmlformats.org/officeDocument/2006/relationships/hyperlink" Target="https://www.abs.gov.au/AUSSTATS/abs@.nsf/Previousproducts/1297.0Main%20Features42008?opendocument&amp;tabname=Summary&amp;prodno=1297.0&amp;issue=2008&amp;num=&amp;view=" TargetMode="External"/><Relationship Id="rId16" Type="http://schemas.openxmlformats.org/officeDocument/2006/relationships/hyperlink" Target="http://www.arc.gov.au" TargetMode="External"/><Relationship Id="rId29" Type="http://schemas.openxmlformats.org/officeDocument/2006/relationships/hyperlink" Target="https://docs.education.gov.au/node/53178" TargetMode="External"/><Relationship Id="rId11" Type="http://schemas.openxmlformats.org/officeDocument/2006/relationships/hyperlink" Target="https://www.arc.gov.au/policies-strategies/policy/arc-research-opportunity-and-performance-evidence-rope-statement" TargetMode="External"/><Relationship Id="rId24" Type="http://schemas.openxmlformats.org/officeDocument/2006/relationships/hyperlink" Target="https://www.arc.gov.au/policies-strategies/policy/arc-statement-support-interdisciplinary-research" TargetMode="External"/><Relationship Id="rId32" Type="http://schemas.openxmlformats.org/officeDocument/2006/relationships/hyperlink" Target="https://www.grants.gov.au/?event=public.GO.show&amp;GOUUID=A0D8A7AF-F1A8-6E4C-FE02E3BA72011F21&amp;keyword=GO3193" TargetMode="External"/><Relationship Id="rId37" Type="http://schemas.openxmlformats.org/officeDocument/2006/relationships/hyperlink" Target="https://www.arc.gov.au/about-arc/consultations/national-science-and-research-priorities-review" TargetMode="External"/><Relationship Id="rId40" Type="http://schemas.openxmlformats.org/officeDocument/2006/relationships/hyperlink" Target="http://www.arc.gov.au" TargetMode="External"/><Relationship Id="rId45" Type="http://schemas.openxmlformats.org/officeDocument/2006/relationships/hyperlink" Target="https://www.education.gov.au/selected-higher-education-statistics-2018-student-data" TargetMode="External"/><Relationship Id="rId5" Type="http://schemas.openxmlformats.org/officeDocument/2006/relationships/hyperlink" Target="https://www.finance.gov.au/sites/default/files/2019-11/commonwealth-grants-rules-and-guidelines.pdf" TargetMode="External"/><Relationship Id="rId15" Type="http://schemas.openxmlformats.org/officeDocument/2006/relationships/hyperlink" Target="https://www.industry.gov.au/data-and-publications/science-and-research-priorities" TargetMode="External"/><Relationship Id="rId23" Type="http://schemas.openxmlformats.org/officeDocument/2006/relationships/hyperlink" Target="https://parlinfo.aph.gov.au/parlInfo/download/committees/reportrep/024212/toc_pdf/AustralianGovernmentFundingArrangementsfornon-NHMRCResearch.pdf;fileType=application%2Fpdf" TargetMode="External"/><Relationship Id="rId28" Type="http://schemas.openxmlformats.org/officeDocument/2006/relationships/hyperlink" Target="http://uis.unesco.org/sites/default/files/documents/fs55-women-in-science-2019-en.pdf" TargetMode="External"/><Relationship Id="rId36" Type="http://schemas.openxmlformats.org/officeDocument/2006/relationships/hyperlink" Target="https://www.education.gov.au/research-block-grants-new-arrangements-allocation-calculation-methodology" TargetMode="External"/><Relationship Id="rId49" Type="http://schemas.openxmlformats.org/officeDocument/2006/relationships/hyperlink" Target="https://parlinfo.aph.gov.au/parlInfo/download/committees/reportrep/024212/toc_pdf/AustralianGovernmentFundingArrangementsfornon-NHMRCResearch.pdf;fileType=application%2Fpdf" TargetMode="External"/><Relationship Id="rId10" Type="http://schemas.openxmlformats.org/officeDocument/2006/relationships/hyperlink" Target="http://www.arc.gov.au" TargetMode="External"/><Relationship Id="rId19" Type="http://schemas.openxmlformats.org/officeDocument/2006/relationships/hyperlink" Target="https://www.arc.gov.au/policies-strategies/strategy/arc-research-workforce-statement" TargetMode="External"/><Relationship Id="rId31" Type="http://schemas.openxmlformats.org/officeDocument/2006/relationships/hyperlink" Target="https://docs.education.gov.au/system/files/doc/other/2018_section_2_-_all_students.pdf" TargetMode="External"/><Relationship Id="rId44" Type="http://schemas.openxmlformats.org/officeDocument/2006/relationships/hyperlink" Target="https://www.arc.gov.au/policies-strategies/policy/arc-policy-statement-eligibility-and-career-interruptions" TargetMode="External"/><Relationship Id="rId52" Type="http://schemas.openxmlformats.org/officeDocument/2006/relationships/hyperlink" Target="https://www.abs.gov.au/Ausstats/abs@.nsf/Previousproducts/1297.0Main%20Features42008?opendocument&amp;tabname=Summary&amp;prodno=1297.0&amp;issue=2008&amp;num=&amp;view=" TargetMode="External"/><Relationship Id="rId4" Type="http://schemas.openxmlformats.org/officeDocument/2006/relationships/hyperlink" Target="https://www.abs.gov.au/AUSSTATS/abs@.nsf/Previousproducts/1297.0Main%20Features42008?opendocument&amp;tabname=Summary&amp;prodno=1297.0&amp;issue=2008&amp;num=&amp;view=" TargetMode="External"/><Relationship Id="rId9" Type="http://schemas.openxmlformats.org/officeDocument/2006/relationships/hyperlink" Target="https://www.grants.gov.au/?event=public.FO.show&amp;FOUUID=9D5A301C-FF9F-8547-E68EF4E82698EFF6" TargetMode="External"/><Relationship Id="rId14" Type="http://schemas.openxmlformats.org/officeDocument/2006/relationships/hyperlink" Target="https://acola.org/research-social-economic-benefit-saf09/" TargetMode="External"/><Relationship Id="rId22" Type="http://schemas.openxmlformats.org/officeDocument/2006/relationships/hyperlink" Target="https://www.arc.gov.au/policies-strategies/policy/arc-medical-research-policy/arc-medical-research-policy-version-20181" TargetMode="External"/><Relationship Id="rId27" Type="http://schemas.openxmlformats.org/officeDocument/2006/relationships/hyperlink" Target="https://dataportal.arc.gov.au/ERA/GenderWorkforceReport/2018/" TargetMode="External"/><Relationship Id="rId30" Type="http://schemas.openxmlformats.org/officeDocument/2006/relationships/hyperlink" Target="https://www.arc.gov.au/policies-strategies/policy/aboriginal-and-torres-strait-islander-researchers/arc-statement-support-and-action-plan-2018-2019-aboriginal-and-torres-strait-islander-researchers" TargetMode="External"/><Relationship Id="rId35" Type="http://schemas.openxmlformats.org/officeDocument/2006/relationships/hyperlink" Target="http://www.education.gov.au" TargetMode="External"/><Relationship Id="rId43" Type="http://schemas.openxmlformats.org/officeDocument/2006/relationships/hyperlink" Target="https://www.education.gov.au/higher-education-research-data-collection-herdc" TargetMode="External"/><Relationship Id="rId48" Type="http://schemas.openxmlformats.org/officeDocument/2006/relationships/hyperlink" Target="https://www.industry.gov.au/sites/default/files/2018-10/science_and_research_priorities_2015.pdf?acsf_files_redirect" TargetMode="External"/><Relationship Id="rId8" Type="http://schemas.openxmlformats.org/officeDocument/2006/relationships/hyperlink" Target="https://www.arc.gov.au/policies-strategies/strategy/evaluation/arc-evaluation-strategy" TargetMode="External"/><Relationship Id="rId51" Type="http://schemas.openxmlformats.org/officeDocument/2006/relationships/hyperlink" Target="https://www.industry.gov.au/data-and-publications/science-research-and-innovation-sri-budget-tables" TargetMode="External"/><Relationship Id="rId3" Type="http://schemas.openxmlformats.org/officeDocument/2006/relationships/hyperlink" Target="https://www.abs.gov.au/AUSSTATS/abs@.nsf/Previousproducts/1297.0Main%20Features42008?opendocument&amp;tabname=Summary&amp;prodno=1297.0&amp;issue=2008&amp;num=&amp;view=" TargetMode="External"/><Relationship Id="rId12" Type="http://schemas.openxmlformats.org/officeDocument/2006/relationships/hyperlink" Target="https://acola.org/research-training-system-review-saf13/" TargetMode="External"/><Relationship Id="rId17" Type="http://schemas.openxmlformats.org/officeDocument/2006/relationships/hyperlink" Target="https://www.arc.gov.au/policies-strategies/policy/arc-open-access-policy" TargetMode="External"/><Relationship Id="rId25" Type="http://schemas.openxmlformats.org/officeDocument/2006/relationships/hyperlink" Target="https://www.abs.gov.au/AUSSTATS/abs@.nsf/Previousproducts/1297.0Main%20Features62008?opendocument&amp;tabname=Summary&amp;prodno=1297.0&amp;issue=2008&amp;num=&amp;view=" TargetMode="External"/><Relationship Id="rId33" Type="http://schemas.openxmlformats.org/officeDocument/2006/relationships/hyperlink" Target="http://www.arc.gov.au" TargetMode="External"/><Relationship Id="rId38" Type="http://schemas.openxmlformats.org/officeDocument/2006/relationships/hyperlink" Target="https://www.arc.gov.au/about-arc/consultations/national-science-and-research-priorities-review" TargetMode="External"/><Relationship Id="rId46" Type="http://schemas.openxmlformats.org/officeDocument/2006/relationships/hyperlink" Target="https://www1.health.gov.au/internet/publications/publishing.nsf/Content/mental-pubs-e-evalnurs-toc~mental-pubs-e-evalnurs-b~mental-pubs-e-evalnurs-b-4~mental-pubs-e-evalnurs-b-4-1" TargetMode="External"/><Relationship Id="rId20" Type="http://schemas.openxmlformats.org/officeDocument/2006/relationships/hyperlink" Target="https://www.arc.gov.au/policies-strategies/strategy/arc-research-workforce-statement" TargetMode="External"/><Relationship Id="rId41" Type="http://schemas.openxmlformats.org/officeDocument/2006/relationships/hyperlink" Target="https://www.arc.gov.au/policies-strategies/policy/arc-research-opportunity-and-performance-evidence-rope-statement" TargetMode="External"/><Relationship Id="rId1" Type="http://schemas.openxmlformats.org/officeDocument/2006/relationships/hyperlink" Target="https://www.abs.gov.au/AUSSTATS/abs@.nsf/Previousproducts/1297.0Main%20Features42008?opendocument&amp;tabname=Summary&amp;prodno=1297.0&amp;issue=2008&amp;num=&amp;view=" TargetMode="External"/><Relationship Id="rId6" Type="http://schemas.openxmlformats.org/officeDocument/2006/relationships/hyperlink" Target="https://www.finance.gov.au/sites/default/files/2019-11/commonwealth-grants-rules-and-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75331-AB2E-4D77-88BA-525C3C367A01}">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110</Pages>
  <Words>42975</Words>
  <Characters>244961</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287362</CharactersWithSpaces>
  <SharedDoc>false</SharedDoc>
  <HLinks>
    <vt:vector size="1116" baseType="variant">
      <vt:variant>
        <vt:i4>544014390</vt:i4>
      </vt:variant>
      <vt:variant>
        <vt:i4>915</vt:i4>
      </vt:variant>
      <vt:variant>
        <vt:i4>0</vt:i4>
      </vt:variant>
      <vt:variant>
        <vt:i4>5</vt:i4>
      </vt:variant>
      <vt:variant>
        <vt:lpwstr/>
      </vt:variant>
      <vt:variant>
        <vt:lpwstr>_Discovery_Projects’_role</vt:lpwstr>
      </vt:variant>
      <vt:variant>
        <vt:i4>543817752</vt:i4>
      </vt:variant>
      <vt:variant>
        <vt:i4>888</vt:i4>
      </vt:variant>
      <vt:variant>
        <vt:i4>0</vt:i4>
      </vt:variant>
      <vt:variant>
        <vt:i4>5</vt:i4>
      </vt:variant>
      <vt:variant>
        <vt:lpwstr/>
      </vt:variant>
      <vt:variant>
        <vt:lpwstr>_Stakeholder_feedback—appropriatenes</vt:lpwstr>
      </vt:variant>
      <vt:variant>
        <vt:i4>540344441</vt:i4>
      </vt:variant>
      <vt:variant>
        <vt:i4>885</vt:i4>
      </vt:variant>
      <vt:variant>
        <vt:i4>0</vt:i4>
      </vt:variant>
      <vt:variant>
        <vt:i4>5</vt:i4>
      </vt:variant>
      <vt:variant>
        <vt:lpwstr/>
      </vt:variant>
      <vt:variant>
        <vt:lpwstr>_ARC_data—funding_duration</vt:lpwstr>
      </vt:variant>
      <vt:variant>
        <vt:i4>543817752</vt:i4>
      </vt:variant>
      <vt:variant>
        <vt:i4>882</vt:i4>
      </vt:variant>
      <vt:variant>
        <vt:i4>0</vt:i4>
      </vt:variant>
      <vt:variant>
        <vt:i4>5</vt:i4>
      </vt:variant>
      <vt:variant>
        <vt:lpwstr/>
      </vt:variant>
      <vt:variant>
        <vt:lpwstr>_Stakeholder_feedback—appropriatenes</vt:lpwstr>
      </vt:variant>
      <vt:variant>
        <vt:i4>6750327</vt:i4>
      </vt:variant>
      <vt:variant>
        <vt:i4>879</vt:i4>
      </vt:variant>
      <vt:variant>
        <vt:i4>0</vt:i4>
      </vt:variant>
      <vt:variant>
        <vt:i4>5</vt:i4>
      </vt:variant>
      <vt:variant>
        <vt:lpwstr/>
      </vt:variant>
      <vt:variant>
        <vt:lpwstr>_Interdisciplinary_research</vt:lpwstr>
      </vt:variant>
      <vt:variant>
        <vt:i4>6750327</vt:i4>
      </vt:variant>
      <vt:variant>
        <vt:i4>876</vt:i4>
      </vt:variant>
      <vt:variant>
        <vt:i4>0</vt:i4>
      </vt:variant>
      <vt:variant>
        <vt:i4>5</vt:i4>
      </vt:variant>
      <vt:variant>
        <vt:lpwstr/>
      </vt:variant>
      <vt:variant>
        <vt:lpwstr>_Interdisciplinary_research</vt:lpwstr>
      </vt:variant>
      <vt:variant>
        <vt:i4>7798852</vt:i4>
      </vt:variant>
      <vt:variant>
        <vt:i4>873</vt:i4>
      </vt:variant>
      <vt:variant>
        <vt:i4>0</vt:i4>
      </vt:variant>
      <vt:variant>
        <vt:i4>5</vt:i4>
      </vt:variant>
      <vt:variant>
        <vt:lpwstr/>
      </vt:variant>
      <vt:variant>
        <vt:lpwstr>_Success_and_return</vt:lpwstr>
      </vt:variant>
      <vt:variant>
        <vt:i4>544473150</vt:i4>
      </vt:variant>
      <vt:variant>
        <vt:i4>870</vt:i4>
      </vt:variant>
      <vt:variant>
        <vt:i4>0</vt:i4>
      </vt:variant>
      <vt:variant>
        <vt:i4>5</vt:i4>
      </vt:variant>
      <vt:variant>
        <vt:lpwstr/>
      </vt:variant>
      <vt:variant>
        <vt:lpwstr>_ARC_data—career_age</vt:lpwstr>
      </vt:variant>
      <vt:variant>
        <vt:i4>541065246</vt:i4>
      </vt:variant>
      <vt:variant>
        <vt:i4>867</vt:i4>
      </vt:variant>
      <vt:variant>
        <vt:i4>0</vt:i4>
      </vt:variant>
      <vt:variant>
        <vt:i4>5</vt:i4>
      </vt:variant>
      <vt:variant>
        <vt:lpwstr/>
      </vt:variant>
      <vt:variant>
        <vt:lpwstr>_ARC_data—individuals_and</vt:lpwstr>
      </vt:variant>
      <vt:variant>
        <vt:i4>544473150</vt:i4>
      </vt:variant>
      <vt:variant>
        <vt:i4>864</vt:i4>
      </vt:variant>
      <vt:variant>
        <vt:i4>0</vt:i4>
      </vt:variant>
      <vt:variant>
        <vt:i4>5</vt:i4>
      </vt:variant>
      <vt:variant>
        <vt:lpwstr/>
      </vt:variant>
      <vt:variant>
        <vt:lpwstr>_ARC_data—career_age</vt:lpwstr>
      </vt:variant>
      <vt:variant>
        <vt:i4>4063244</vt:i4>
      </vt:variant>
      <vt:variant>
        <vt:i4>861</vt:i4>
      </vt:variant>
      <vt:variant>
        <vt:i4>0</vt:i4>
      </vt:variant>
      <vt:variant>
        <vt:i4>5</vt:i4>
      </vt:variant>
      <vt:variant>
        <vt:lpwstr/>
      </vt:variant>
      <vt:variant>
        <vt:lpwstr>_Supporting_HASS_and</vt:lpwstr>
      </vt:variant>
      <vt:variant>
        <vt:i4>524396</vt:i4>
      </vt:variant>
      <vt:variant>
        <vt:i4>858</vt:i4>
      </vt:variant>
      <vt:variant>
        <vt:i4>0</vt:i4>
      </vt:variant>
      <vt:variant>
        <vt:i4>5</vt:i4>
      </vt:variant>
      <vt:variant>
        <vt:lpwstr/>
      </vt:variant>
      <vt:variant>
        <vt:lpwstr>_Applications,_funded_projects</vt:lpwstr>
      </vt:variant>
      <vt:variant>
        <vt:i4>544473150</vt:i4>
      </vt:variant>
      <vt:variant>
        <vt:i4>855</vt:i4>
      </vt:variant>
      <vt:variant>
        <vt:i4>0</vt:i4>
      </vt:variant>
      <vt:variant>
        <vt:i4>5</vt:i4>
      </vt:variant>
      <vt:variant>
        <vt:lpwstr/>
      </vt:variant>
      <vt:variant>
        <vt:lpwstr>_ARC_data—career_age</vt:lpwstr>
      </vt:variant>
      <vt:variant>
        <vt:i4>541065246</vt:i4>
      </vt:variant>
      <vt:variant>
        <vt:i4>852</vt:i4>
      </vt:variant>
      <vt:variant>
        <vt:i4>0</vt:i4>
      </vt:variant>
      <vt:variant>
        <vt:i4>5</vt:i4>
      </vt:variant>
      <vt:variant>
        <vt:lpwstr/>
      </vt:variant>
      <vt:variant>
        <vt:lpwstr>_ARC_data—individuals_and</vt:lpwstr>
      </vt:variant>
      <vt:variant>
        <vt:i4>1310833</vt:i4>
      </vt:variant>
      <vt:variant>
        <vt:i4>849</vt:i4>
      </vt:variant>
      <vt:variant>
        <vt:i4>0</vt:i4>
      </vt:variant>
      <vt:variant>
        <vt:i4>5</vt:i4>
      </vt:variant>
      <vt:variant>
        <vt:lpwstr/>
      </vt:variant>
      <vt:variant>
        <vt:lpwstr>_Delivering_economic,_commercial,</vt:lpwstr>
      </vt:variant>
      <vt:variant>
        <vt:i4>2949166</vt:i4>
      </vt:variant>
      <vt:variant>
        <vt:i4>846</vt:i4>
      </vt:variant>
      <vt:variant>
        <vt:i4>0</vt:i4>
      </vt:variant>
      <vt:variant>
        <vt:i4>5</vt:i4>
      </vt:variant>
      <vt:variant>
        <vt:lpwstr/>
      </vt:variant>
      <vt:variant>
        <vt:lpwstr>_Quantitative_stakeholder_views_1</vt:lpwstr>
      </vt:variant>
      <vt:variant>
        <vt:i4>4653125</vt:i4>
      </vt:variant>
      <vt:variant>
        <vt:i4>843</vt:i4>
      </vt:variant>
      <vt:variant>
        <vt:i4>0</vt:i4>
      </vt:variant>
      <vt:variant>
        <vt:i4>5</vt:i4>
      </vt:variant>
      <vt:variant>
        <vt:lpwstr/>
      </vt:variant>
      <vt:variant>
        <vt:lpwstr>_Qualitative_stakeholder_feedback_4</vt:lpwstr>
      </vt:variant>
      <vt:variant>
        <vt:i4>4653125</vt:i4>
      </vt:variant>
      <vt:variant>
        <vt:i4>840</vt:i4>
      </vt:variant>
      <vt:variant>
        <vt:i4>0</vt:i4>
      </vt:variant>
      <vt:variant>
        <vt:i4>5</vt:i4>
      </vt:variant>
      <vt:variant>
        <vt:lpwstr/>
      </vt:variant>
      <vt:variant>
        <vt:lpwstr>_Qualitative_stakeholder_feedback_4</vt:lpwstr>
      </vt:variant>
      <vt:variant>
        <vt:i4>4653125</vt:i4>
      </vt:variant>
      <vt:variant>
        <vt:i4>837</vt:i4>
      </vt:variant>
      <vt:variant>
        <vt:i4>0</vt:i4>
      </vt:variant>
      <vt:variant>
        <vt:i4>5</vt:i4>
      </vt:variant>
      <vt:variant>
        <vt:lpwstr/>
      </vt:variant>
      <vt:variant>
        <vt:lpwstr>_Qualitative_stakeholder_feedback_3</vt:lpwstr>
      </vt:variant>
      <vt:variant>
        <vt:i4>4653125</vt:i4>
      </vt:variant>
      <vt:variant>
        <vt:i4>834</vt:i4>
      </vt:variant>
      <vt:variant>
        <vt:i4>0</vt:i4>
      </vt:variant>
      <vt:variant>
        <vt:i4>5</vt:i4>
      </vt:variant>
      <vt:variant>
        <vt:lpwstr/>
      </vt:variant>
      <vt:variant>
        <vt:lpwstr>_Qualitative_stakeholder_feedback_3</vt:lpwstr>
      </vt:variant>
      <vt:variant>
        <vt:i4>544997412</vt:i4>
      </vt:variant>
      <vt:variant>
        <vt:i4>831</vt:i4>
      </vt:variant>
      <vt:variant>
        <vt:i4>0</vt:i4>
      </vt:variant>
      <vt:variant>
        <vt:i4>5</vt:i4>
      </vt:variant>
      <vt:variant>
        <vt:lpwstr/>
      </vt:variant>
      <vt:variant>
        <vt:lpwstr>_Qualitative_stakeholder_feedback—ap</vt:lpwstr>
      </vt:variant>
      <vt:variant>
        <vt:i4>541917307</vt:i4>
      </vt:variant>
      <vt:variant>
        <vt:i4>828</vt:i4>
      </vt:variant>
      <vt:variant>
        <vt:i4>0</vt:i4>
      </vt:variant>
      <vt:variant>
        <vt:i4>5</vt:i4>
      </vt:variant>
      <vt:variant>
        <vt:lpwstr/>
      </vt:variant>
      <vt:variant>
        <vt:lpwstr>_Qualitative_stakeholder_feedback—ap_1</vt:lpwstr>
      </vt:variant>
      <vt:variant>
        <vt:i4>544997412</vt:i4>
      </vt:variant>
      <vt:variant>
        <vt:i4>825</vt:i4>
      </vt:variant>
      <vt:variant>
        <vt:i4>0</vt:i4>
      </vt:variant>
      <vt:variant>
        <vt:i4>5</vt:i4>
      </vt:variant>
      <vt:variant>
        <vt:lpwstr/>
      </vt:variant>
      <vt:variant>
        <vt:lpwstr>_Qualitative_stakeholder_feedback—ap</vt:lpwstr>
      </vt:variant>
      <vt:variant>
        <vt:i4>541917307</vt:i4>
      </vt:variant>
      <vt:variant>
        <vt:i4>822</vt:i4>
      </vt:variant>
      <vt:variant>
        <vt:i4>0</vt:i4>
      </vt:variant>
      <vt:variant>
        <vt:i4>5</vt:i4>
      </vt:variant>
      <vt:variant>
        <vt:lpwstr/>
      </vt:variant>
      <vt:variant>
        <vt:lpwstr>_Qualitative_stakeholder_feedback—ap_1</vt:lpwstr>
      </vt:variant>
      <vt:variant>
        <vt:i4>4653125</vt:i4>
      </vt:variant>
      <vt:variant>
        <vt:i4>819</vt:i4>
      </vt:variant>
      <vt:variant>
        <vt:i4>0</vt:i4>
      </vt:variant>
      <vt:variant>
        <vt:i4>5</vt:i4>
      </vt:variant>
      <vt:variant>
        <vt:lpwstr/>
      </vt:variant>
      <vt:variant>
        <vt:lpwstr>_Qualitative_stakeholder_feedback_2</vt:lpwstr>
      </vt:variant>
      <vt:variant>
        <vt:i4>4653125</vt:i4>
      </vt:variant>
      <vt:variant>
        <vt:i4>816</vt:i4>
      </vt:variant>
      <vt:variant>
        <vt:i4>0</vt:i4>
      </vt:variant>
      <vt:variant>
        <vt:i4>5</vt:i4>
      </vt:variant>
      <vt:variant>
        <vt:lpwstr/>
      </vt:variant>
      <vt:variant>
        <vt:lpwstr>_Qualitative_stakeholder_feedback_2</vt:lpwstr>
      </vt:variant>
      <vt:variant>
        <vt:i4>7471197</vt:i4>
      </vt:variant>
      <vt:variant>
        <vt:i4>813</vt:i4>
      </vt:variant>
      <vt:variant>
        <vt:i4>0</vt:i4>
      </vt:variant>
      <vt:variant>
        <vt:i4>5</vt:i4>
      </vt:variant>
      <vt:variant>
        <vt:lpwstr/>
      </vt:variant>
      <vt:variant>
        <vt:lpwstr>_Quantitative_stakeholder_views</vt:lpwstr>
      </vt:variant>
      <vt:variant>
        <vt:i4>541982744</vt:i4>
      </vt:variant>
      <vt:variant>
        <vt:i4>810</vt:i4>
      </vt:variant>
      <vt:variant>
        <vt:i4>0</vt:i4>
      </vt:variant>
      <vt:variant>
        <vt:i4>5</vt:i4>
      </vt:variant>
      <vt:variant>
        <vt:lpwstr/>
      </vt:variant>
      <vt:variant>
        <vt:lpwstr>_ARC_data—excellent_basic</vt:lpwstr>
      </vt:variant>
      <vt:variant>
        <vt:i4>544997412</vt:i4>
      </vt:variant>
      <vt:variant>
        <vt:i4>807</vt:i4>
      </vt:variant>
      <vt:variant>
        <vt:i4>0</vt:i4>
      </vt:variant>
      <vt:variant>
        <vt:i4>5</vt:i4>
      </vt:variant>
      <vt:variant>
        <vt:lpwstr/>
      </vt:variant>
      <vt:variant>
        <vt:lpwstr>_Qualitative_stakeholder_feedback—ap</vt:lpwstr>
      </vt:variant>
      <vt:variant>
        <vt:i4>541917307</vt:i4>
      </vt:variant>
      <vt:variant>
        <vt:i4>804</vt:i4>
      </vt:variant>
      <vt:variant>
        <vt:i4>0</vt:i4>
      </vt:variant>
      <vt:variant>
        <vt:i4>5</vt:i4>
      </vt:variant>
      <vt:variant>
        <vt:lpwstr/>
      </vt:variant>
      <vt:variant>
        <vt:lpwstr>_Qualitative_stakeholder_feedback—ap_1</vt:lpwstr>
      </vt:variant>
      <vt:variant>
        <vt:i4>543948857</vt:i4>
      </vt:variant>
      <vt:variant>
        <vt:i4>801</vt:i4>
      </vt:variant>
      <vt:variant>
        <vt:i4>0</vt:i4>
      </vt:variant>
      <vt:variant>
        <vt:i4>5</vt:i4>
      </vt:variant>
      <vt:variant>
        <vt:lpwstr/>
      </vt:variant>
      <vt:variant>
        <vt:lpwstr>_Quantitative_stakeholder_views—Disc</vt:lpwstr>
      </vt:variant>
      <vt:variant>
        <vt:i4>4456571</vt:i4>
      </vt:variant>
      <vt:variant>
        <vt:i4>798</vt:i4>
      </vt:variant>
      <vt:variant>
        <vt:i4>0</vt:i4>
      </vt:variant>
      <vt:variant>
        <vt:i4>5</vt:i4>
      </vt:variant>
      <vt:variant>
        <vt:lpwstr/>
      </vt:variant>
      <vt:variant>
        <vt:lpwstr>_Overview_of_Discovery</vt:lpwstr>
      </vt:variant>
      <vt:variant>
        <vt:i4>544997412</vt:i4>
      </vt:variant>
      <vt:variant>
        <vt:i4>795</vt:i4>
      </vt:variant>
      <vt:variant>
        <vt:i4>0</vt:i4>
      </vt:variant>
      <vt:variant>
        <vt:i4>5</vt:i4>
      </vt:variant>
      <vt:variant>
        <vt:lpwstr/>
      </vt:variant>
      <vt:variant>
        <vt:lpwstr>_Qualitative_stakeholder_feedback—ap</vt:lpwstr>
      </vt:variant>
      <vt:variant>
        <vt:i4>541917307</vt:i4>
      </vt:variant>
      <vt:variant>
        <vt:i4>792</vt:i4>
      </vt:variant>
      <vt:variant>
        <vt:i4>0</vt:i4>
      </vt:variant>
      <vt:variant>
        <vt:i4>5</vt:i4>
      </vt:variant>
      <vt:variant>
        <vt:lpwstr/>
      </vt:variant>
      <vt:variant>
        <vt:lpwstr>_Qualitative_stakeholder_feedback—ap_1</vt:lpwstr>
      </vt:variant>
      <vt:variant>
        <vt:i4>7471197</vt:i4>
      </vt:variant>
      <vt:variant>
        <vt:i4>780</vt:i4>
      </vt:variant>
      <vt:variant>
        <vt:i4>0</vt:i4>
      </vt:variant>
      <vt:variant>
        <vt:i4>5</vt:i4>
      </vt:variant>
      <vt:variant>
        <vt:lpwstr/>
      </vt:variant>
      <vt:variant>
        <vt:lpwstr>_Quantitative_stakeholder_views</vt:lpwstr>
      </vt:variant>
      <vt:variant>
        <vt:i4>4653125</vt:i4>
      </vt:variant>
      <vt:variant>
        <vt:i4>777</vt:i4>
      </vt:variant>
      <vt:variant>
        <vt:i4>0</vt:i4>
      </vt:variant>
      <vt:variant>
        <vt:i4>5</vt:i4>
      </vt:variant>
      <vt:variant>
        <vt:lpwstr/>
      </vt:variant>
      <vt:variant>
        <vt:lpwstr>_Qualitative_stakeholder_feedback_1</vt:lpwstr>
      </vt:variant>
      <vt:variant>
        <vt:i4>8192090</vt:i4>
      </vt:variant>
      <vt:variant>
        <vt:i4>774</vt:i4>
      </vt:variant>
      <vt:variant>
        <vt:i4>0</vt:i4>
      </vt:variant>
      <vt:variant>
        <vt:i4>5</vt:i4>
      </vt:variant>
      <vt:variant>
        <vt:lpwstr/>
      </vt:variant>
      <vt:variant>
        <vt:lpwstr>_Factors_affecting_project</vt:lpwstr>
      </vt:variant>
      <vt:variant>
        <vt:i4>4653125</vt:i4>
      </vt:variant>
      <vt:variant>
        <vt:i4>771</vt:i4>
      </vt:variant>
      <vt:variant>
        <vt:i4>0</vt:i4>
      </vt:variant>
      <vt:variant>
        <vt:i4>5</vt:i4>
      </vt:variant>
      <vt:variant>
        <vt:lpwstr/>
      </vt:variant>
      <vt:variant>
        <vt:lpwstr>_Qualitative_stakeholder_feedback_1</vt:lpwstr>
      </vt:variant>
      <vt:variant>
        <vt:i4>2949166</vt:i4>
      </vt:variant>
      <vt:variant>
        <vt:i4>759</vt:i4>
      </vt:variant>
      <vt:variant>
        <vt:i4>0</vt:i4>
      </vt:variant>
      <vt:variant>
        <vt:i4>5</vt:i4>
      </vt:variant>
      <vt:variant>
        <vt:lpwstr/>
      </vt:variant>
      <vt:variant>
        <vt:lpwstr>_Quantitative_stakeholder_views_1</vt:lpwstr>
      </vt:variant>
      <vt:variant>
        <vt:i4>7471197</vt:i4>
      </vt:variant>
      <vt:variant>
        <vt:i4>756</vt:i4>
      </vt:variant>
      <vt:variant>
        <vt:i4>0</vt:i4>
      </vt:variant>
      <vt:variant>
        <vt:i4>5</vt:i4>
      </vt:variant>
      <vt:variant>
        <vt:lpwstr/>
      </vt:variant>
      <vt:variant>
        <vt:lpwstr>_Quantitative_stakeholder_views</vt:lpwstr>
      </vt:variant>
      <vt:variant>
        <vt:i4>544473150</vt:i4>
      </vt:variant>
      <vt:variant>
        <vt:i4>753</vt:i4>
      </vt:variant>
      <vt:variant>
        <vt:i4>0</vt:i4>
      </vt:variant>
      <vt:variant>
        <vt:i4>5</vt:i4>
      </vt:variant>
      <vt:variant>
        <vt:lpwstr/>
      </vt:variant>
      <vt:variant>
        <vt:lpwstr>_ARC_data—career_age</vt:lpwstr>
      </vt:variant>
      <vt:variant>
        <vt:i4>7798852</vt:i4>
      </vt:variant>
      <vt:variant>
        <vt:i4>747</vt:i4>
      </vt:variant>
      <vt:variant>
        <vt:i4>0</vt:i4>
      </vt:variant>
      <vt:variant>
        <vt:i4>5</vt:i4>
      </vt:variant>
      <vt:variant>
        <vt:lpwstr/>
      </vt:variant>
      <vt:variant>
        <vt:lpwstr>_Success_and_return</vt:lpwstr>
      </vt:variant>
      <vt:variant>
        <vt:i4>3080231</vt:i4>
      </vt:variant>
      <vt:variant>
        <vt:i4>738</vt:i4>
      </vt:variant>
      <vt:variant>
        <vt:i4>0</vt:i4>
      </vt:variant>
      <vt:variant>
        <vt:i4>5</vt:i4>
      </vt:variant>
      <vt:variant>
        <vt:lpwstr/>
      </vt:variant>
      <vt:variant>
        <vt:lpwstr>_Return_rates</vt:lpwstr>
      </vt:variant>
      <vt:variant>
        <vt:i4>541982744</vt:i4>
      </vt:variant>
      <vt:variant>
        <vt:i4>732</vt:i4>
      </vt:variant>
      <vt:variant>
        <vt:i4>0</vt:i4>
      </vt:variant>
      <vt:variant>
        <vt:i4>5</vt:i4>
      </vt:variant>
      <vt:variant>
        <vt:lpwstr/>
      </vt:variant>
      <vt:variant>
        <vt:lpwstr>_ARC_data—excellent_basic</vt:lpwstr>
      </vt:variant>
      <vt:variant>
        <vt:i4>542441568</vt:i4>
      </vt:variant>
      <vt:variant>
        <vt:i4>729</vt:i4>
      </vt:variant>
      <vt:variant>
        <vt:i4>0</vt:i4>
      </vt:variant>
      <vt:variant>
        <vt:i4>5</vt:i4>
      </vt:variant>
      <vt:variant>
        <vt:lpwstr/>
      </vt:variant>
      <vt:variant>
        <vt:lpwstr>_Quantitative_stakeholder_views—appr_1</vt:lpwstr>
      </vt:variant>
      <vt:variant>
        <vt:i4>541917307</vt:i4>
      </vt:variant>
      <vt:variant>
        <vt:i4>726</vt:i4>
      </vt:variant>
      <vt:variant>
        <vt:i4>0</vt:i4>
      </vt:variant>
      <vt:variant>
        <vt:i4>5</vt:i4>
      </vt:variant>
      <vt:variant>
        <vt:lpwstr/>
      </vt:variant>
      <vt:variant>
        <vt:lpwstr>_Qualitative_stakeholder_feedback—ap_1</vt:lpwstr>
      </vt:variant>
      <vt:variant>
        <vt:i4>541982744</vt:i4>
      </vt:variant>
      <vt:variant>
        <vt:i4>723</vt:i4>
      </vt:variant>
      <vt:variant>
        <vt:i4>0</vt:i4>
      </vt:variant>
      <vt:variant>
        <vt:i4>5</vt:i4>
      </vt:variant>
      <vt:variant>
        <vt:lpwstr/>
      </vt:variant>
      <vt:variant>
        <vt:lpwstr>_ARC_data—excellent_basic</vt:lpwstr>
      </vt:variant>
      <vt:variant>
        <vt:i4>720954</vt:i4>
      </vt:variant>
      <vt:variant>
        <vt:i4>720</vt:i4>
      </vt:variant>
      <vt:variant>
        <vt:i4>0</vt:i4>
      </vt:variant>
      <vt:variant>
        <vt:i4>5</vt:i4>
      </vt:variant>
      <vt:variant>
        <vt:lpwstr/>
      </vt:variant>
      <vt:variant>
        <vt:lpwstr>_Enhancing_the_scale</vt:lpwstr>
      </vt:variant>
      <vt:variant>
        <vt:i4>544997412</vt:i4>
      </vt:variant>
      <vt:variant>
        <vt:i4>717</vt:i4>
      </vt:variant>
      <vt:variant>
        <vt:i4>0</vt:i4>
      </vt:variant>
      <vt:variant>
        <vt:i4>5</vt:i4>
      </vt:variant>
      <vt:variant>
        <vt:lpwstr/>
      </vt:variant>
      <vt:variant>
        <vt:lpwstr>_Qualitative_stakeholder_feedback—ap</vt:lpwstr>
      </vt:variant>
      <vt:variant>
        <vt:i4>543948857</vt:i4>
      </vt:variant>
      <vt:variant>
        <vt:i4>705</vt:i4>
      </vt:variant>
      <vt:variant>
        <vt:i4>0</vt:i4>
      </vt:variant>
      <vt:variant>
        <vt:i4>5</vt:i4>
      </vt:variant>
      <vt:variant>
        <vt:lpwstr/>
      </vt:variant>
      <vt:variant>
        <vt:lpwstr>_Quantitative_stakeholder_views—Disc</vt:lpwstr>
      </vt:variant>
      <vt:variant>
        <vt:i4>7340061</vt:i4>
      </vt:variant>
      <vt:variant>
        <vt:i4>666</vt:i4>
      </vt:variant>
      <vt:variant>
        <vt:i4>0</vt:i4>
      </vt:variant>
      <vt:variant>
        <vt:i4>5</vt:i4>
      </vt:variant>
      <vt:variant>
        <vt:lpwstr/>
      </vt:variant>
      <vt:variant>
        <vt:lpwstr>_Appendix_F:_Research</vt:lpwstr>
      </vt:variant>
      <vt:variant>
        <vt:i4>541982744</vt:i4>
      </vt:variant>
      <vt:variant>
        <vt:i4>663</vt:i4>
      </vt:variant>
      <vt:variant>
        <vt:i4>0</vt:i4>
      </vt:variant>
      <vt:variant>
        <vt:i4>5</vt:i4>
      </vt:variant>
      <vt:variant>
        <vt:lpwstr/>
      </vt:variant>
      <vt:variant>
        <vt:lpwstr>_ARC_data—excellent_basic</vt:lpwstr>
      </vt:variant>
      <vt:variant>
        <vt:i4>542834759</vt:i4>
      </vt:variant>
      <vt:variant>
        <vt:i4>660</vt:i4>
      </vt:variant>
      <vt:variant>
        <vt:i4>0</vt:i4>
      </vt:variant>
      <vt:variant>
        <vt:i4>5</vt:i4>
      </vt:variant>
      <vt:variant>
        <vt:lpwstr/>
      </vt:variant>
      <vt:variant>
        <vt:lpwstr>_Stakeholder_feedback—appropriatenes_1</vt:lpwstr>
      </vt:variant>
      <vt:variant>
        <vt:i4>2949166</vt:i4>
      </vt:variant>
      <vt:variant>
        <vt:i4>648</vt:i4>
      </vt:variant>
      <vt:variant>
        <vt:i4>0</vt:i4>
      </vt:variant>
      <vt:variant>
        <vt:i4>5</vt:i4>
      </vt:variant>
      <vt:variant>
        <vt:lpwstr/>
      </vt:variant>
      <vt:variant>
        <vt:lpwstr>_Quantitative_stakeholder_views_1</vt:lpwstr>
      </vt:variant>
      <vt:variant>
        <vt:i4>544473151</vt:i4>
      </vt:variant>
      <vt:variant>
        <vt:i4>645</vt:i4>
      </vt:variant>
      <vt:variant>
        <vt:i4>0</vt:i4>
      </vt:variant>
      <vt:variant>
        <vt:i4>5</vt:i4>
      </vt:variant>
      <vt:variant>
        <vt:lpwstr/>
      </vt:variant>
      <vt:variant>
        <vt:lpwstr>_ARC_data—benefits_delivered</vt:lpwstr>
      </vt:variant>
      <vt:variant>
        <vt:i4>2031718</vt:i4>
      </vt:variant>
      <vt:variant>
        <vt:i4>636</vt:i4>
      </vt:variant>
      <vt:variant>
        <vt:i4>0</vt:i4>
      </vt:variant>
      <vt:variant>
        <vt:i4>5</vt:i4>
      </vt:variant>
      <vt:variant>
        <vt:lpwstr/>
      </vt:variant>
      <vt:variant>
        <vt:lpwstr>_Appendix_E:_Translational</vt:lpwstr>
      </vt:variant>
      <vt:variant>
        <vt:i4>543424575</vt:i4>
      </vt:variant>
      <vt:variant>
        <vt:i4>633</vt:i4>
      </vt:variant>
      <vt:variant>
        <vt:i4>0</vt:i4>
      </vt:variant>
      <vt:variant>
        <vt:i4>5</vt:i4>
      </vt:variant>
      <vt:variant>
        <vt:lpwstr/>
      </vt:variant>
      <vt:variant>
        <vt:lpwstr>_Quantitative_stakeholder_views—appr</vt:lpwstr>
      </vt:variant>
      <vt:variant>
        <vt:i4>720954</vt:i4>
      </vt:variant>
      <vt:variant>
        <vt:i4>615</vt:i4>
      </vt:variant>
      <vt:variant>
        <vt:i4>0</vt:i4>
      </vt:variant>
      <vt:variant>
        <vt:i4>5</vt:i4>
      </vt:variant>
      <vt:variant>
        <vt:lpwstr/>
      </vt:variant>
      <vt:variant>
        <vt:lpwstr>_Enhancing_the_scale</vt:lpwstr>
      </vt:variant>
      <vt:variant>
        <vt:i4>544473150</vt:i4>
      </vt:variant>
      <vt:variant>
        <vt:i4>612</vt:i4>
      </vt:variant>
      <vt:variant>
        <vt:i4>0</vt:i4>
      </vt:variant>
      <vt:variant>
        <vt:i4>5</vt:i4>
      </vt:variant>
      <vt:variant>
        <vt:lpwstr/>
      </vt:variant>
      <vt:variant>
        <vt:lpwstr>_ARC_data—career_age</vt:lpwstr>
      </vt:variant>
      <vt:variant>
        <vt:i4>6357068</vt:i4>
      </vt:variant>
      <vt:variant>
        <vt:i4>597</vt:i4>
      </vt:variant>
      <vt:variant>
        <vt:i4>0</vt:i4>
      </vt:variant>
      <vt:variant>
        <vt:i4>5</vt:i4>
      </vt:variant>
      <vt:variant>
        <vt:lpwstr/>
      </vt:variant>
      <vt:variant>
        <vt:lpwstr>_Supporting_excellent_basic</vt:lpwstr>
      </vt:variant>
      <vt:variant>
        <vt:i4>7471197</vt:i4>
      </vt:variant>
      <vt:variant>
        <vt:i4>594</vt:i4>
      </vt:variant>
      <vt:variant>
        <vt:i4>0</vt:i4>
      </vt:variant>
      <vt:variant>
        <vt:i4>5</vt:i4>
      </vt:variant>
      <vt:variant>
        <vt:lpwstr/>
      </vt:variant>
      <vt:variant>
        <vt:lpwstr>_Quantitative_stakeholder_views</vt:lpwstr>
      </vt:variant>
      <vt:variant>
        <vt:i4>541982744</vt:i4>
      </vt:variant>
      <vt:variant>
        <vt:i4>573</vt:i4>
      </vt:variant>
      <vt:variant>
        <vt:i4>0</vt:i4>
      </vt:variant>
      <vt:variant>
        <vt:i4>5</vt:i4>
      </vt:variant>
      <vt:variant>
        <vt:lpwstr/>
      </vt:variant>
      <vt:variant>
        <vt:lpwstr>_ARC_data—excellent_basic</vt:lpwstr>
      </vt:variant>
      <vt:variant>
        <vt:i4>7471197</vt:i4>
      </vt:variant>
      <vt:variant>
        <vt:i4>564</vt:i4>
      </vt:variant>
      <vt:variant>
        <vt:i4>0</vt:i4>
      </vt:variant>
      <vt:variant>
        <vt:i4>5</vt:i4>
      </vt:variant>
      <vt:variant>
        <vt:lpwstr/>
      </vt:variant>
      <vt:variant>
        <vt:lpwstr>_Quantitative_stakeholder_views</vt:lpwstr>
      </vt:variant>
      <vt:variant>
        <vt:i4>541982744</vt:i4>
      </vt:variant>
      <vt:variant>
        <vt:i4>552</vt:i4>
      </vt:variant>
      <vt:variant>
        <vt:i4>0</vt:i4>
      </vt:variant>
      <vt:variant>
        <vt:i4>5</vt:i4>
      </vt:variant>
      <vt:variant>
        <vt:lpwstr/>
      </vt:variant>
      <vt:variant>
        <vt:lpwstr>_ARC_data—excellent_basic</vt:lpwstr>
      </vt:variant>
      <vt:variant>
        <vt:i4>541917307</vt:i4>
      </vt:variant>
      <vt:variant>
        <vt:i4>546</vt:i4>
      </vt:variant>
      <vt:variant>
        <vt:i4>0</vt:i4>
      </vt:variant>
      <vt:variant>
        <vt:i4>5</vt:i4>
      </vt:variant>
      <vt:variant>
        <vt:lpwstr/>
      </vt:variant>
      <vt:variant>
        <vt:lpwstr>_Qualitative_stakeholder_feedback—ap_1</vt:lpwstr>
      </vt:variant>
      <vt:variant>
        <vt:i4>327712</vt:i4>
      </vt:variant>
      <vt:variant>
        <vt:i4>531</vt:i4>
      </vt:variant>
      <vt:variant>
        <vt:i4>0</vt:i4>
      </vt:variant>
      <vt:variant>
        <vt:i4>5</vt:i4>
      </vt:variant>
      <vt:variant>
        <vt:lpwstr/>
      </vt:variant>
      <vt:variant>
        <vt:lpwstr>_Applications_and_funded</vt:lpwstr>
      </vt:variant>
      <vt:variant>
        <vt:i4>3866653</vt:i4>
      </vt:variant>
      <vt:variant>
        <vt:i4>492</vt:i4>
      </vt:variant>
      <vt:variant>
        <vt:i4>0</vt:i4>
      </vt:variant>
      <vt:variant>
        <vt:i4>5</vt:i4>
      </vt:variant>
      <vt:variant>
        <vt:lpwstr/>
      </vt:variant>
      <vt:variant>
        <vt:lpwstr>_Participating_organisation_contribu</vt:lpwstr>
      </vt:variant>
      <vt:variant>
        <vt:i4>543817752</vt:i4>
      </vt:variant>
      <vt:variant>
        <vt:i4>489</vt:i4>
      </vt:variant>
      <vt:variant>
        <vt:i4>0</vt:i4>
      </vt:variant>
      <vt:variant>
        <vt:i4>5</vt:i4>
      </vt:variant>
      <vt:variant>
        <vt:lpwstr/>
      </vt:variant>
      <vt:variant>
        <vt:lpwstr>_Stakeholder_feedback—appropriatenes</vt:lpwstr>
      </vt:variant>
      <vt:variant>
        <vt:i4>1114173</vt:i4>
      </vt:variant>
      <vt:variant>
        <vt:i4>486</vt:i4>
      </vt:variant>
      <vt:variant>
        <vt:i4>0</vt:i4>
      </vt:variant>
      <vt:variant>
        <vt:i4>5</vt:i4>
      </vt:variant>
      <vt:variant>
        <vt:lpwstr/>
      </vt:variant>
      <vt:variant>
        <vt:lpwstr>_Toc51917066</vt:lpwstr>
      </vt:variant>
      <vt:variant>
        <vt:i4>537002064</vt:i4>
      </vt:variant>
      <vt:variant>
        <vt:i4>483</vt:i4>
      </vt:variant>
      <vt:variant>
        <vt:i4>0</vt:i4>
      </vt:variant>
      <vt:variant>
        <vt:i4>5</vt:i4>
      </vt:variant>
      <vt:variant>
        <vt:lpwstr/>
      </vt:variant>
      <vt:variant>
        <vt:lpwstr>_ARC_data—Research_trainee</vt:lpwstr>
      </vt:variant>
      <vt:variant>
        <vt:i4>8192090</vt:i4>
      </vt:variant>
      <vt:variant>
        <vt:i4>474</vt:i4>
      </vt:variant>
      <vt:variant>
        <vt:i4>0</vt:i4>
      </vt:variant>
      <vt:variant>
        <vt:i4>5</vt:i4>
      </vt:variant>
      <vt:variant>
        <vt:lpwstr/>
      </vt:variant>
      <vt:variant>
        <vt:lpwstr>_Factors_affecting_project</vt:lpwstr>
      </vt:variant>
      <vt:variant>
        <vt:i4>7798852</vt:i4>
      </vt:variant>
      <vt:variant>
        <vt:i4>465</vt:i4>
      </vt:variant>
      <vt:variant>
        <vt:i4>0</vt:i4>
      </vt:variant>
      <vt:variant>
        <vt:i4>5</vt:i4>
      </vt:variant>
      <vt:variant>
        <vt:lpwstr/>
      </vt:variant>
      <vt:variant>
        <vt:lpwstr>_Success_and_return</vt:lpwstr>
      </vt:variant>
      <vt:variant>
        <vt:i4>524396</vt:i4>
      </vt:variant>
      <vt:variant>
        <vt:i4>462</vt:i4>
      </vt:variant>
      <vt:variant>
        <vt:i4>0</vt:i4>
      </vt:variant>
      <vt:variant>
        <vt:i4>5</vt:i4>
      </vt:variant>
      <vt:variant>
        <vt:lpwstr/>
      </vt:variant>
      <vt:variant>
        <vt:lpwstr>_Applications,_funded_projects</vt:lpwstr>
      </vt:variant>
      <vt:variant>
        <vt:i4>524396</vt:i4>
      </vt:variant>
      <vt:variant>
        <vt:i4>459</vt:i4>
      </vt:variant>
      <vt:variant>
        <vt:i4>0</vt:i4>
      </vt:variant>
      <vt:variant>
        <vt:i4>5</vt:i4>
      </vt:variant>
      <vt:variant>
        <vt:lpwstr/>
      </vt:variant>
      <vt:variant>
        <vt:lpwstr>_Applications,_funded_projects</vt:lpwstr>
      </vt:variant>
      <vt:variant>
        <vt:i4>1572910</vt:i4>
      </vt:variant>
      <vt:variant>
        <vt:i4>456</vt:i4>
      </vt:variant>
      <vt:variant>
        <vt:i4>0</vt:i4>
      </vt:variant>
      <vt:variant>
        <vt:i4>5</vt:i4>
      </vt:variant>
      <vt:variant>
        <vt:lpwstr/>
      </vt:variant>
      <vt:variant>
        <vt:lpwstr>_Qualitative_stakeholder_feedback</vt:lpwstr>
      </vt:variant>
      <vt:variant>
        <vt:i4>541982744</vt:i4>
      </vt:variant>
      <vt:variant>
        <vt:i4>453</vt:i4>
      </vt:variant>
      <vt:variant>
        <vt:i4>0</vt:i4>
      </vt:variant>
      <vt:variant>
        <vt:i4>5</vt:i4>
      </vt:variant>
      <vt:variant>
        <vt:lpwstr/>
      </vt:variant>
      <vt:variant>
        <vt:lpwstr>_ARC_data—excellent_basic</vt:lpwstr>
      </vt:variant>
      <vt:variant>
        <vt:i4>544997412</vt:i4>
      </vt:variant>
      <vt:variant>
        <vt:i4>450</vt:i4>
      </vt:variant>
      <vt:variant>
        <vt:i4>0</vt:i4>
      </vt:variant>
      <vt:variant>
        <vt:i4>5</vt:i4>
      </vt:variant>
      <vt:variant>
        <vt:lpwstr/>
      </vt:variant>
      <vt:variant>
        <vt:lpwstr>_Qualitative_stakeholder_feedback—ap</vt:lpwstr>
      </vt:variant>
      <vt:variant>
        <vt:i4>541917307</vt:i4>
      </vt:variant>
      <vt:variant>
        <vt:i4>447</vt:i4>
      </vt:variant>
      <vt:variant>
        <vt:i4>0</vt:i4>
      </vt:variant>
      <vt:variant>
        <vt:i4>5</vt:i4>
      </vt:variant>
      <vt:variant>
        <vt:lpwstr/>
      </vt:variant>
      <vt:variant>
        <vt:lpwstr>_Qualitative_stakeholder_feedback—ap_1</vt:lpwstr>
      </vt:variant>
      <vt:variant>
        <vt:i4>541917307</vt:i4>
      </vt:variant>
      <vt:variant>
        <vt:i4>408</vt:i4>
      </vt:variant>
      <vt:variant>
        <vt:i4>0</vt:i4>
      </vt:variant>
      <vt:variant>
        <vt:i4>5</vt:i4>
      </vt:variant>
      <vt:variant>
        <vt:lpwstr/>
      </vt:variant>
      <vt:variant>
        <vt:lpwstr>_Qualitative_stakeholder_feedback—ap_1</vt:lpwstr>
      </vt:variant>
      <vt:variant>
        <vt:i4>7667720</vt:i4>
      </vt:variant>
      <vt:variant>
        <vt:i4>360</vt:i4>
      </vt:variant>
      <vt:variant>
        <vt:i4>0</vt:i4>
      </vt:variant>
      <vt:variant>
        <vt:i4>5</vt:i4>
      </vt:variant>
      <vt:variant>
        <vt:lpwstr/>
      </vt:variant>
      <vt:variant>
        <vt:lpwstr>_Appendix_D:_Success</vt:lpwstr>
      </vt:variant>
      <vt:variant>
        <vt:i4>542703633</vt:i4>
      </vt:variant>
      <vt:variant>
        <vt:i4>309</vt:i4>
      </vt:variant>
      <vt:variant>
        <vt:i4>0</vt:i4>
      </vt:variant>
      <vt:variant>
        <vt:i4>5</vt:i4>
      </vt:variant>
      <vt:variant>
        <vt:lpwstr/>
      </vt:variant>
      <vt:variant>
        <vt:lpwstr>_ARC_data—participating_organisation</vt:lpwstr>
      </vt:variant>
      <vt:variant>
        <vt:i4>7667784</vt:i4>
      </vt:variant>
      <vt:variant>
        <vt:i4>306</vt:i4>
      </vt:variant>
      <vt:variant>
        <vt:i4>0</vt:i4>
      </vt:variant>
      <vt:variant>
        <vt:i4>5</vt:i4>
      </vt:variant>
      <vt:variant>
        <vt:lpwstr/>
      </vt:variant>
      <vt:variant>
        <vt:lpwstr>_Funding_requested_and</vt:lpwstr>
      </vt:variant>
      <vt:variant>
        <vt:i4>327712</vt:i4>
      </vt:variant>
      <vt:variant>
        <vt:i4>303</vt:i4>
      </vt:variant>
      <vt:variant>
        <vt:i4>0</vt:i4>
      </vt:variant>
      <vt:variant>
        <vt:i4>5</vt:i4>
      </vt:variant>
      <vt:variant>
        <vt:lpwstr/>
      </vt:variant>
      <vt:variant>
        <vt:lpwstr>_Applications_and_funded</vt:lpwstr>
      </vt:variant>
      <vt:variant>
        <vt:i4>7667784</vt:i4>
      </vt:variant>
      <vt:variant>
        <vt:i4>297</vt:i4>
      </vt:variant>
      <vt:variant>
        <vt:i4>0</vt:i4>
      </vt:variant>
      <vt:variant>
        <vt:i4>5</vt:i4>
      </vt:variant>
      <vt:variant>
        <vt:lpwstr/>
      </vt:variant>
      <vt:variant>
        <vt:lpwstr>_Funding_requested_and</vt:lpwstr>
      </vt:variant>
      <vt:variant>
        <vt:i4>3080231</vt:i4>
      </vt:variant>
      <vt:variant>
        <vt:i4>282</vt:i4>
      </vt:variant>
      <vt:variant>
        <vt:i4>0</vt:i4>
      </vt:variant>
      <vt:variant>
        <vt:i4>5</vt:i4>
      </vt:variant>
      <vt:variant>
        <vt:lpwstr/>
      </vt:variant>
      <vt:variant>
        <vt:lpwstr>_Return_rates</vt:lpwstr>
      </vt:variant>
      <vt:variant>
        <vt:i4>1507433</vt:i4>
      </vt:variant>
      <vt:variant>
        <vt:i4>276</vt:i4>
      </vt:variant>
      <vt:variant>
        <vt:i4>0</vt:i4>
      </vt:variant>
      <vt:variant>
        <vt:i4>5</vt:i4>
      </vt:variant>
      <vt:variant>
        <vt:lpwstr/>
      </vt:variant>
      <vt:variant>
        <vt:lpwstr>_Appendix_C:_Survey</vt:lpwstr>
      </vt:variant>
      <vt:variant>
        <vt:i4>8060953</vt:i4>
      </vt:variant>
      <vt:variant>
        <vt:i4>273</vt:i4>
      </vt:variant>
      <vt:variant>
        <vt:i4>0</vt:i4>
      </vt:variant>
      <vt:variant>
        <vt:i4>5</vt:i4>
      </vt:variant>
      <vt:variant>
        <vt:lpwstr/>
      </vt:variant>
      <vt:variant>
        <vt:lpwstr>_Appendix_A:_Opportunity</vt:lpwstr>
      </vt:variant>
      <vt:variant>
        <vt:i4>1703986</vt:i4>
      </vt:variant>
      <vt:variant>
        <vt:i4>266</vt:i4>
      </vt:variant>
      <vt:variant>
        <vt:i4>0</vt:i4>
      </vt:variant>
      <vt:variant>
        <vt:i4>5</vt:i4>
      </vt:variant>
      <vt:variant>
        <vt:lpwstr/>
      </vt:variant>
      <vt:variant>
        <vt:lpwstr>_Toc55544864</vt:lpwstr>
      </vt:variant>
      <vt:variant>
        <vt:i4>1900594</vt:i4>
      </vt:variant>
      <vt:variant>
        <vt:i4>260</vt:i4>
      </vt:variant>
      <vt:variant>
        <vt:i4>0</vt:i4>
      </vt:variant>
      <vt:variant>
        <vt:i4>5</vt:i4>
      </vt:variant>
      <vt:variant>
        <vt:lpwstr/>
      </vt:variant>
      <vt:variant>
        <vt:lpwstr>_Toc55544863</vt:lpwstr>
      </vt:variant>
      <vt:variant>
        <vt:i4>1835058</vt:i4>
      </vt:variant>
      <vt:variant>
        <vt:i4>254</vt:i4>
      </vt:variant>
      <vt:variant>
        <vt:i4>0</vt:i4>
      </vt:variant>
      <vt:variant>
        <vt:i4>5</vt:i4>
      </vt:variant>
      <vt:variant>
        <vt:lpwstr/>
      </vt:variant>
      <vt:variant>
        <vt:lpwstr>_Toc55544862</vt:lpwstr>
      </vt:variant>
      <vt:variant>
        <vt:i4>2031666</vt:i4>
      </vt:variant>
      <vt:variant>
        <vt:i4>248</vt:i4>
      </vt:variant>
      <vt:variant>
        <vt:i4>0</vt:i4>
      </vt:variant>
      <vt:variant>
        <vt:i4>5</vt:i4>
      </vt:variant>
      <vt:variant>
        <vt:lpwstr/>
      </vt:variant>
      <vt:variant>
        <vt:lpwstr>_Toc55544861</vt:lpwstr>
      </vt:variant>
      <vt:variant>
        <vt:i4>1966130</vt:i4>
      </vt:variant>
      <vt:variant>
        <vt:i4>242</vt:i4>
      </vt:variant>
      <vt:variant>
        <vt:i4>0</vt:i4>
      </vt:variant>
      <vt:variant>
        <vt:i4>5</vt:i4>
      </vt:variant>
      <vt:variant>
        <vt:lpwstr/>
      </vt:variant>
      <vt:variant>
        <vt:lpwstr>_Toc55544860</vt:lpwstr>
      </vt:variant>
      <vt:variant>
        <vt:i4>1507377</vt:i4>
      </vt:variant>
      <vt:variant>
        <vt:i4>236</vt:i4>
      </vt:variant>
      <vt:variant>
        <vt:i4>0</vt:i4>
      </vt:variant>
      <vt:variant>
        <vt:i4>5</vt:i4>
      </vt:variant>
      <vt:variant>
        <vt:lpwstr/>
      </vt:variant>
      <vt:variant>
        <vt:lpwstr>_Toc55544859</vt:lpwstr>
      </vt:variant>
      <vt:variant>
        <vt:i4>1703985</vt:i4>
      </vt:variant>
      <vt:variant>
        <vt:i4>230</vt:i4>
      </vt:variant>
      <vt:variant>
        <vt:i4>0</vt:i4>
      </vt:variant>
      <vt:variant>
        <vt:i4>5</vt:i4>
      </vt:variant>
      <vt:variant>
        <vt:lpwstr/>
      </vt:variant>
      <vt:variant>
        <vt:lpwstr>_Toc55544854</vt:lpwstr>
      </vt:variant>
      <vt:variant>
        <vt:i4>1507376</vt:i4>
      </vt:variant>
      <vt:variant>
        <vt:i4>224</vt:i4>
      </vt:variant>
      <vt:variant>
        <vt:i4>0</vt:i4>
      </vt:variant>
      <vt:variant>
        <vt:i4>5</vt:i4>
      </vt:variant>
      <vt:variant>
        <vt:lpwstr/>
      </vt:variant>
      <vt:variant>
        <vt:lpwstr>_Toc55544849</vt:lpwstr>
      </vt:variant>
      <vt:variant>
        <vt:i4>2031664</vt:i4>
      </vt:variant>
      <vt:variant>
        <vt:i4>218</vt:i4>
      </vt:variant>
      <vt:variant>
        <vt:i4>0</vt:i4>
      </vt:variant>
      <vt:variant>
        <vt:i4>5</vt:i4>
      </vt:variant>
      <vt:variant>
        <vt:lpwstr/>
      </vt:variant>
      <vt:variant>
        <vt:lpwstr>_Toc55544841</vt:lpwstr>
      </vt:variant>
      <vt:variant>
        <vt:i4>1900599</vt:i4>
      </vt:variant>
      <vt:variant>
        <vt:i4>212</vt:i4>
      </vt:variant>
      <vt:variant>
        <vt:i4>0</vt:i4>
      </vt:variant>
      <vt:variant>
        <vt:i4>5</vt:i4>
      </vt:variant>
      <vt:variant>
        <vt:lpwstr/>
      </vt:variant>
      <vt:variant>
        <vt:lpwstr>_Toc55544833</vt:lpwstr>
      </vt:variant>
      <vt:variant>
        <vt:i4>1835063</vt:i4>
      </vt:variant>
      <vt:variant>
        <vt:i4>206</vt:i4>
      </vt:variant>
      <vt:variant>
        <vt:i4>0</vt:i4>
      </vt:variant>
      <vt:variant>
        <vt:i4>5</vt:i4>
      </vt:variant>
      <vt:variant>
        <vt:lpwstr/>
      </vt:variant>
      <vt:variant>
        <vt:lpwstr>_Toc55544832</vt:lpwstr>
      </vt:variant>
      <vt:variant>
        <vt:i4>1507382</vt:i4>
      </vt:variant>
      <vt:variant>
        <vt:i4>200</vt:i4>
      </vt:variant>
      <vt:variant>
        <vt:i4>0</vt:i4>
      </vt:variant>
      <vt:variant>
        <vt:i4>5</vt:i4>
      </vt:variant>
      <vt:variant>
        <vt:lpwstr/>
      </vt:variant>
      <vt:variant>
        <vt:lpwstr>_Toc55544829</vt:lpwstr>
      </vt:variant>
      <vt:variant>
        <vt:i4>1769526</vt:i4>
      </vt:variant>
      <vt:variant>
        <vt:i4>194</vt:i4>
      </vt:variant>
      <vt:variant>
        <vt:i4>0</vt:i4>
      </vt:variant>
      <vt:variant>
        <vt:i4>5</vt:i4>
      </vt:variant>
      <vt:variant>
        <vt:lpwstr/>
      </vt:variant>
      <vt:variant>
        <vt:lpwstr>_Toc55544825</vt:lpwstr>
      </vt:variant>
      <vt:variant>
        <vt:i4>1703990</vt:i4>
      </vt:variant>
      <vt:variant>
        <vt:i4>188</vt:i4>
      </vt:variant>
      <vt:variant>
        <vt:i4>0</vt:i4>
      </vt:variant>
      <vt:variant>
        <vt:i4>5</vt:i4>
      </vt:variant>
      <vt:variant>
        <vt:lpwstr/>
      </vt:variant>
      <vt:variant>
        <vt:lpwstr>_Toc55544824</vt:lpwstr>
      </vt:variant>
      <vt:variant>
        <vt:i4>1441845</vt:i4>
      </vt:variant>
      <vt:variant>
        <vt:i4>182</vt:i4>
      </vt:variant>
      <vt:variant>
        <vt:i4>0</vt:i4>
      </vt:variant>
      <vt:variant>
        <vt:i4>5</vt:i4>
      </vt:variant>
      <vt:variant>
        <vt:lpwstr/>
      </vt:variant>
      <vt:variant>
        <vt:lpwstr>_Toc55544818</vt:lpwstr>
      </vt:variant>
      <vt:variant>
        <vt:i4>1769525</vt:i4>
      </vt:variant>
      <vt:variant>
        <vt:i4>176</vt:i4>
      </vt:variant>
      <vt:variant>
        <vt:i4>0</vt:i4>
      </vt:variant>
      <vt:variant>
        <vt:i4>5</vt:i4>
      </vt:variant>
      <vt:variant>
        <vt:lpwstr/>
      </vt:variant>
      <vt:variant>
        <vt:lpwstr>_Toc55544815</vt:lpwstr>
      </vt:variant>
      <vt:variant>
        <vt:i4>2031669</vt:i4>
      </vt:variant>
      <vt:variant>
        <vt:i4>170</vt:i4>
      </vt:variant>
      <vt:variant>
        <vt:i4>0</vt:i4>
      </vt:variant>
      <vt:variant>
        <vt:i4>5</vt:i4>
      </vt:variant>
      <vt:variant>
        <vt:lpwstr/>
      </vt:variant>
      <vt:variant>
        <vt:lpwstr>_Toc55544811</vt:lpwstr>
      </vt:variant>
      <vt:variant>
        <vt:i4>1638452</vt:i4>
      </vt:variant>
      <vt:variant>
        <vt:i4>164</vt:i4>
      </vt:variant>
      <vt:variant>
        <vt:i4>0</vt:i4>
      </vt:variant>
      <vt:variant>
        <vt:i4>5</vt:i4>
      </vt:variant>
      <vt:variant>
        <vt:lpwstr/>
      </vt:variant>
      <vt:variant>
        <vt:lpwstr>_Toc55544807</vt:lpwstr>
      </vt:variant>
      <vt:variant>
        <vt:i4>1900596</vt:i4>
      </vt:variant>
      <vt:variant>
        <vt:i4>158</vt:i4>
      </vt:variant>
      <vt:variant>
        <vt:i4>0</vt:i4>
      </vt:variant>
      <vt:variant>
        <vt:i4>5</vt:i4>
      </vt:variant>
      <vt:variant>
        <vt:lpwstr/>
      </vt:variant>
      <vt:variant>
        <vt:lpwstr>_Toc55544803</vt:lpwstr>
      </vt:variant>
      <vt:variant>
        <vt:i4>1835060</vt:i4>
      </vt:variant>
      <vt:variant>
        <vt:i4>152</vt:i4>
      </vt:variant>
      <vt:variant>
        <vt:i4>0</vt:i4>
      </vt:variant>
      <vt:variant>
        <vt:i4>5</vt:i4>
      </vt:variant>
      <vt:variant>
        <vt:lpwstr/>
      </vt:variant>
      <vt:variant>
        <vt:lpwstr>_Toc55544802</vt:lpwstr>
      </vt:variant>
      <vt:variant>
        <vt:i4>1376317</vt:i4>
      </vt:variant>
      <vt:variant>
        <vt:i4>146</vt:i4>
      </vt:variant>
      <vt:variant>
        <vt:i4>0</vt:i4>
      </vt:variant>
      <vt:variant>
        <vt:i4>5</vt:i4>
      </vt:variant>
      <vt:variant>
        <vt:lpwstr/>
      </vt:variant>
      <vt:variant>
        <vt:lpwstr>_Toc55544794</vt:lpwstr>
      </vt:variant>
      <vt:variant>
        <vt:i4>1114173</vt:i4>
      </vt:variant>
      <vt:variant>
        <vt:i4>140</vt:i4>
      </vt:variant>
      <vt:variant>
        <vt:i4>0</vt:i4>
      </vt:variant>
      <vt:variant>
        <vt:i4>5</vt:i4>
      </vt:variant>
      <vt:variant>
        <vt:lpwstr/>
      </vt:variant>
      <vt:variant>
        <vt:lpwstr>_Toc55544790</vt:lpwstr>
      </vt:variant>
      <vt:variant>
        <vt:i4>1572924</vt:i4>
      </vt:variant>
      <vt:variant>
        <vt:i4>134</vt:i4>
      </vt:variant>
      <vt:variant>
        <vt:i4>0</vt:i4>
      </vt:variant>
      <vt:variant>
        <vt:i4>5</vt:i4>
      </vt:variant>
      <vt:variant>
        <vt:lpwstr/>
      </vt:variant>
      <vt:variant>
        <vt:lpwstr>_Toc55544789</vt:lpwstr>
      </vt:variant>
      <vt:variant>
        <vt:i4>1507388</vt:i4>
      </vt:variant>
      <vt:variant>
        <vt:i4>128</vt:i4>
      </vt:variant>
      <vt:variant>
        <vt:i4>0</vt:i4>
      </vt:variant>
      <vt:variant>
        <vt:i4>5</vt:i4>
      </vt:variant>
      <vt:variant>
        <vt:lpwstr/>
      </vt:variant>
      <vt:variant>
        <vt:lpwstr>_Toc55544786</vt:lpwstr>
      </vt:variant>
      <vt:variant>
        <vt:i4>1310780</vt:i4>
      </vt:variant>
      <vt:variant>
        <vt:i4>122</vt:i4>
      </vt:variant>
      <vt:variant>
        <vt:i4>0</vt:i4>
      </vt:variant>
      <vt:variant>
        <vt:i4>5</vt:i4>
      </vt:variant>
      <vt:variant>
        <vt:lpwstr/>
      </vt:variant>
      <vt:variant>
        <vt:lpwstr>_Toc55544785</vt:lpwstr>
      </vt:variant>
      <vt:variant>
        <vt:i4>1179708</vt:i4>
      </vt:variant>
      <vt:variant>
        <vt:i4>116</vt:i4>
      </vt:variant>
      <vt:variant>
        <vt:i4>0</vt:i4>
      </vt:variant>
      <vt:variant>
        <vt:i4>5</vt:i4>
      </vt:variant>
      <vt:variant>
        <vt:lpwstr/>
      </vt:variant>
      <vt:variant>
        <vt:lpwstr>_Toc55544783</vt:lpwstr>
      </vt:variant>
      <vt:variant>
        <vt:i4>1507379</vt:i4>
      </vt:variant>
      <vt:variant>
        <vt:i4>110</vt:i4>
      </vt:variant>
      <vt:variant>
        <vt:i4>0</vt:i4>
      </vt:variant>
      <vt:variant>
        <vt:i4>5</vt:i4>
      </vt:variant>
      <vt:variant>
        <vt:lpwstr/>
      </vt:variant>
      <vt:variant>
        <vt:lpwstr>_Toc55544776</vt:lpwstr>
      </vt:variant>
      <vt:variant>
        <vt:i4>1310771</vt:i4>
      </vt:variant>
      <vt:variant>
        <vt:i4>104</vt:i4>
      </vt:variant>
      <vt:variant>
        <vt:i4>0</vt:i4>
      </vt:variant>
      <vt:variant>
        <vt:i4>5</vt:i4>
      </vt:variant>
      <vt:variant>
        <vt:lpwstr/>
      </vt:variant>
      <vt:variant>
        <vt:lpwstr>_Toc55544775</vt:lpwstr>
      </vt:variant>
      <vt:variant>
        <vt:i4>1376307</vt:i4>
      </vt:variant>
      <vt:variant>
        <vt:i4>98</vt:i4>
      </vt:variant>
      <vt:variant>
        <vt:i4>0</vt:i4>
      </vt:variant>
      <vt:variant>
        <vt:i4>5</vt:i4>
      </vt:variant>
      <vt:variant>
        <vt:lpwstr/>
      </vt:variant>
      <vt:variant>
        <vt:lpwstr>_Toc55544774</vt:lpwstr>
      </vt:variant>
      <vt:variant>
        <vt:i4>1048627</vt:i4>
      </vt:variant>
      <vt:variant>
        <vt:i4>92</vt:i4>
      </vt:variant>
      <vt:variant>
        <vt:i4>0</vt:i4>
      </vt:variant>
      <vt:variant>
        <vt:i4>5</vt:i4>
      </vt:variant>
      <vt:variant>
        <vt:lpwstr/>
      </vt:variant>
      <vt:variant>
        <vt:lpwstr>_Toc55544771</vt:lpwstr>
      </vt:variant>
      <vt:variant>
        <vt:i4>1114163</vt:i4>
      </vt:variant>
      <vt:variant>
        <vt:i4>86</vt:i4>
      </vt:variant>
      <vt:variant>
        <vt:i4>0</vt:i4>
      </vt:variant>
      <vt:variant>
        <vt:i4>5</vt:i4>
      </vt:variant>
      <vt:variant>
        <vt:lpwstr/>
      </vt:variant>
      <vt:variant>
        <vt:lpwstr>_Toc55544770</vt:lpwstr>
      </vt:variant>
      <vt:variant>
        <vt:i4>1507378</vt:i4>
      </vt:variant>
      <vt:variant>
        <vt:i4>80</vt:i4>
      </vt:variant>
      <vt:variant>
        <vt:i4>0</vt:i4>
      </vt:variant>
      <vt:variant>
        <vt:i4>5</vt:i4>
      </vt:variant>
      <vt:variant>
        <vt:lpwstr/>
      </vt:variant>
      <vt:variant>
        <vt:lpwstr>_Toc55544766</vt:lpwstr>
      </vt:variant>
      <vt:variant>
        <vt:i4>1310770</vt:i4>
      </vt:variant>
      <vt:variant>
        <vt:i4>74</vt:i4>
      </vt:variant>
      <vt:variant>
        <vt:i4>0</vt:i4>
      </vt:variant>
      <vt:variant>
        <vt:i4>5</vt:i4>
      </vt:variant>
      <vt:variant>
        <vt:lpwstr/>
      </vt:variant>
      <vt:variant>
        <vt:lpwstr>_Toc55544765</vt:lpwstr>
      </vt:variant>
      <vt:variant>
        <vt:i4>1245234</vt:i4>
      </vt:variant>
      <vt:variant>
        <vt:i4>68</vt:i4>
      </vt:variant>
      <vt:variant>
        <vt:i4>0</vt:i4>
      </vt:variant>
      <vt:variant>
        <vt:i4>5</vt:i4>
      </vt:variant>
      <vt:variant>
        <vt:lpwstr/>
      </vt:variant>
      <vt:variant>
        <vt:lpwstr>_Toc55544762</vt:lpwstr>
      </vt:variant>
      <vt:variant>
        <vt:i4>1048626</vt:i4>
      </vt:variant>
      <vt:variant>
        <vt:i4>62</vt:i4>
      </vt:variant>
      <vt:variant>
        <vt:i4>0</vt:i4>
      </vt:variant>
      <vt:variant>
        <vt:i4>5</vt:i4>
      </vt:variant>
      <vt:variant>
        <vt:lpwstr/>
      </vt:variant>
      <vt:variant>
        <vt:lpwstr>_Toc55544761</vt:lpwstr>
      </vt:variant>
      <vt:variant>
        <vt:i4>1114162</vt:i4>
      </vt:variant>
      <vt:variant>
        <vt:i4>56</vt:i4>
      </vt:variant>
      <vt:variant>
        <vt:i4>0</vt:i4>
      </vt:variant>
      <vt:variant>
        <vt:i4>5</vt:i4>
      </vt:variant>
      <vt:variant>
        <vt:lpwstr/>
      </vt:variant>
      <vt:variant>
        <vt:lpwstr>_Toc55544760</vt:lpwstr>
      </vt:variant>
      <vt:variant>
        <vt:i4>1572913</vt:i4>
      </vt:variant>
      <vt:variant>
        <vt:i4>50</vt:i4>
      </vt:variant>
      <vt:variant>
        <vt:i4>0</vt:i4>
      </vt:variant>
      <vt:variant>
        <vt:i4>5</vt:i4>
      </vt:variant>
      <vt:variant>
        <vt:lpwstr/>
      </vt:variant>
      <vt:variant>
        <vt:lpwstr>_Toc55544759</vt:lpwstr>
      </vt:variant>
      <vt:variant>
        <vt:i4>1638449</vt:i4>
      </vt:variant>
      <vt:variant>
        <vt:i4>44</vt:i4>
      </vt:variant>
      <vt:variant>
        <vt:i4>0</vt:i4>
      </vt:variant>
      <vt:variant>
        <vt:i4>5</vt:i4>
      </vt:variant>
      <vt:variant>
        <vt:lpwstr/>
      </vt:variant>
      <vt:variant>
        <vt:lpwstr>_Toc55544758</vt:lpwstr>
      </vt:variant>
      <vt:variant>
        <vt:i4>1441841</vt:i4>
      </vt:variant>
      <vt:variant>
        <vt:i4>38</vt:i4>
      </vt:variant>
      <vt:variant>
        <vt:i4>0</vt:i4>
      </vt:variant>
      <vt:variant>
        <vt:i4>5</vt:i4>
      </vt:variant>
      <vt:variant>
        <vt:lpwstr/>
      </vt:variant>
      <vt:variant>
        <vt:lpwstr>_Toc55544757</vt:lpwstr>
      </vt:variant>
      <vt:variant>
        <vt:i4>1507377</vt:i4>
      </vt:variant>
      <vt:variant>
        <vt:i4>32</vt:i4>
      </vt:variant>
      <vt:variant>
        <vt:i4>0</vt:i4>
      </vt:variant>
      <vt:variant>
        <vt:i4>5</vt:i4>
      </vt:variant>
      <vt:variant>
        <vt:lpwstr/>
      </vt:variant>
      <vt:variant>
        <vt:lpwstr>_Toc55544756</vt:lpwstr>
      </vt:variant>
      <vt:variant>
        <vt:i4>1310769</vt:i4>
      </vt:variant>
      <vt:variant>
        <vt:i4>26</vt:i4>
      </vt:variant>
      <vt:variant>
        <vt:i4>0</vt:i4>
      </vt:variant>
      <vt:variant>
        <vt:i4>5</vt:i4>
      </vt:variant>
      <vt:variant>
        <vt:lpwstr/>
      </vt:variant>
      <vt:variant>
        <vt:lpwstr>_Toc55544755</vt:lpwstr>
      </vt:variant>
      <vt:variant>
        <vt:i4>1376305</vt:i4>
      </vt:variant>
      <vt:variant>
        <vt:i4>20</vt:i4>
      </vt:variant>
      <vt:variant>
        <vt:i4>0</vt:i4>
      </vt:variant>
      <vt:variant>
        <vt:i4>5</vt:i4>
      </vt:variant>
      <vt:variant>
        <vt:lpwstr/>
      </vt:variant>
      <vt:variant>
        <vt:lpwstr>_Toc55544754</vt:lpwstr>
      </vt:variant>
      <vt:variant>
        <vt:i4>1179697</vt:i4>
      </vt:variant>
      <vt:variant>
        <vt:i4>14</vt:i4>
      </vt:variant>
      <vt:variant>
        <vt:i4>0</vt:i4>
      </vt:variant>
      <vt:variant>
        <vt:i4>5</vt:i4>
      </vt:variant>
      <vt:variant>
        <vt:lpwstr/>
      </vt:variant>
      <vt:variant>
        <vt:lpwstr>_Toc55544753</vt:lpwstr>
      </vt:variant>
      <vt:variant>
        <vt:i4>1245233</vt:i4>
      </vt:variant>
      <vt:variant>
        <vt:i4>8</vt:i4>
      </vt:variant>
      <vt:variant>
        <vt:i4>0</vt:i4>
      </vt:variant>
      <vt:variant>
        <vt:i4>5</vt:i4>
      </vt:variant>
      <vt:variant>
        <vt:lpwstr/>
      </vt:variant>
      <vt:variant>
        <vt:lpwstr>_Toc55544752</vt:lpwstr>
      </vt:variant>
      <vt:variant>
        <vt:i4>1048625</vt:i4>
      </vt:variant>
      <vt:variant>
        <vt:i4>2</vt:i4>
      </vt:variant>
      <vt:variant>
        <vt:i4>0</vt:i4>
      </vt:variant>
      <vt:variant>
        <vt:i4>5</vt:i4>
      </vt:variant>
      <vt:variant>
        <vt:lpwstr/>
      </vt:variant>
      <vt:variant>
        <vt:lpwstr>_Toc55544751</vt:lpwstr>
      </vt:variant>
      <vt:variant>
        <vt:i4>4456496</vt:i4>
      </vt:variant>
      <vt:variant>
        <vt:i4>159</vt:i4>
      </vt:variant>
      <vt:variant>
        <vt:i4>0</vt:i4>
      </vt:variant>
      <vt:variant>
        <vt:i4>5</vt:i4>
      </vt:variant>
      <vt:variant>
        <vt:lpwstr>https://www.abs.gov.au/Ausstats/abs@.nsf/Previousproducts/1297.0Main Features42008?opendocument&amp;tabname=Summary&amp;prodno=1297.0&amp;issue=2008&amp;num=&amp;view=</vt:lpwstr>
      </vt:variant>
      <vt:variant>
        <vt:lpwstr/>
      </vt:variant>
      <vt:variant>
        <vt:i4>7078008</vt:i4>
      </vt:variant>
      <vt:variant>
        <vt:i4>156</vt:i4>
      </vt:variant>
      <vt:variant>
        <vt:i4>0</vt:i4>
      </vt:variant>
      <vt:variant>
        <vt:i4>5</vt:i4>
      </vt:variant>
      <vt:variant>
        <vt:lpwstr>https://www.industry.gov.au/data-and-publications/science-research-and-innovation-sri-budget-tables</vt:lpwstr>
      </vt:variant>
      <vt:variant>
        <vt:lpwstr/>
      </vt:variant>
      <vt:variant>
        <vt:i4>2883696</vt:i4>
      </vt:variant>
      <vt:variant>
        <vt:i4>153</vt:i4>
      </vt:variant>
      <vt:variant>
        <vt:i4>0</vt:i4>
      </vt:variant>
      <vt:variant>
        <vt:i4>5</vt:i4>
      </vt:variant>
      <vt:variant>
        <vt:lpwstr>https://www.finance.gov.au/sites/default/files/2019-11/commonwealth-grants-rules-and-guidelines.pdf</vt:lpwstr>
      </vt:variant>
      <vt:variant>
        <vt:lpwstr/>
      </vt:variant>
      <vt:variant>
        <vt:i4>7667715</vt:i4>
      </vt:variant>
      <vt:variant>
        <vt:i4>150</vt:i4>
      </vt:variant>
      <vt:variant>
        <vt:i4>0</vt:i4>
      </vt:variant>
      <vt:variant>
        <vt:i4>5</vt:i4>
      </vt:variant>
      <vt:variant>
        <vt:lpwstr>https://parlinfo.aph.gov.au/parlInfo/download/committees/reportrep/024212/toc_pdf/AustralianGovernmentFundingArrangementsfornon-NHMRCResearch.pdf;fileType=application%2Fpdf</vt:lpwstr>
      </vt:variant>
      <vt:variant>
        <vt:lpwstr/>
      </vt:variant>
      <vt:variant>
        <vt:i4>7602285</vt:i4>
      </vt:variant>
      <vt:variant>
        <vt:i4>147</vt:i4>
      </vt:variant>
      <vt:variant>
        <vt:i4>0</vt:i4>
      </vt:variant>
      <vt:variant>
        <vt:i4>5</vt:i4>
      </vt:variant>
      <vt:variant>
        <vt:lpwstr>https://www.industry.gov.au/sites/default/files/2018-10/science_and_research_priorities_2015.pdf?acsf_files_redirect</vt:lpwstr>
      </vt:variant>
      <vt:variant>
        <vt:lpwstr/>
      </vt:variant>
      <vt:variant>
        <vt:i4>7602285</vt:i4>
      </vt:variant>
      <vt:variant>
        <vt:i4>144</vt:i4>
      </vt:variant>
      <vt:variant>
        <vt:i4>0</vt:i4>
      </vt:variant>
      <vt:variant>
        <vt:i4>5</vt:i4>
      </vt:variant>
      <vt:variant>
        <vt:lpwstr>https://www.industry.gov.au/sites/default/files/2018-10/science_and_research_priorities_2015.pdf?acsf_files_redirect</vt:lpwstr>
      </vt:variant>
      <vt:variant>
        <vt:lpwstr/>
      </vt:variant>
      <vt:variant>
        <vt:i4>7143541</vt:i4>
      </vt:variant>
      <vt:variant>
        <vt:i4>141</vt:i4>
      </vt:variant>
      <vt:variant>
        <vt:i4>0</vt:i4>
      </vt:variant>
      <vt:variant>
        <vt:i4>5</vt:i4>
      </vt:variant>
      <vt:variant>
        <vt:lpwstr>https://www1.health.gov.au/internet/publications/publishing.nsf/Content/mental-pubs-e-evalnurs-toc~mental-pubs-e-evalnurs-b~mental-pubs-e-evalnurs-b-4~mental-pubs-e-evalnurs-b-4-1</vt:lpwstr>
      </vt:variant>
      <vt:variant>
        <vt:lpwstr/>
      </vt:variant>
      <vt:variant>
        <vt:i4>3211386</vt:i4>
      </vt:variant>
      <vt:variant>
        <vt:i4>138</vt:i4>
      </vt:variant>
      <vt:variant>
        <vt:i4>0</vt:i4>
      </vt:variant>
      <vt:variant>
        <vt:i4>5</vt:i4>
      </vt:variant>
      <vt:variant>
        <vt:lpwstr>https://www.education.gov.au/selected-higher-education-statistics-2018-student-data</vt:lpwstr>
      </vt:variant>
      <vt:variant>
        <vt:lpwstr/>
      </vt:variant>
      <vt:variant>
        <vt:i4>2424880</vt:i4>
      </vt:variant>
      <vt:variant>
        <vt:i4>135</vt:i4>
      </vt:variant>
      <vt:variant>
        <vt:i4>0</vt:i4>
      </vt:variant>
      <vt:variant>
        <vt:i4>5</vt:i4>
      </vt:variant>
      <vt:variant>
        <vt:lpwstr>https://www.arc.gov.au/policies-strategies/policy/arc-policy-statement-eligibility-and-career-interruptions</vt:lpwstr>
      </vt:variant>
      <vt:variant>
        <vt:lpwstr/>
      </vt:variant>
      <vt:variant>
        <vt:i4>65567</vt:i4>
      </vt:variant>
      <vt:variant>
        <vt:i4>132</vt:i4>
      </vt:variant>
      <vt:variant>
        <vt:i4>0</vt:i4>
      </vt:variant>
      <vt:variant>
        <vt:i4>5</vt:i4>
      </vt:variant>
      <vt:variant>
        <vt:lpwstr>https://www.education.gov.au/higher-education-research-data-collection-herdc</vt:lpwstr>
      </vt:variant>
      <vt:variant>
        <vt:lpwstr/>
      </vt:variant>
      <vt:variant>
        <vt:i4>4063282</vt:i4>
      </vt:variant>
      <vt:variant>
        <vt:i4>129</vt:i4>
      </vt:variant>
      <vt:variant>
        <vt:i4>0</vt:i4>
      </vt:variant>
      <vt:variant>
        <vt:i4>5</vt:i4>
      </vt:variant>
      <vt:variant>
        <vt:lpwstr>https://dataportal.arc.gov.au/ERA/NationalReport/2018/</vt:lpwstr>
      </vt:variant>
      <vt:variant>
        <vt:lpwstr/>
      </vt:variant>
      <vt:variant>
        <vt:i4>2424958</vt:i4>
      </vt:variant>
      <vt:variant>
        <vt:i4>126</vt:i4>
      </vt:variant>
      <vt:variant>
        <vt:i4>0</vt:i4>
      </vt:variant>
      <vt:variant>
        <vt:i4>5</vt:i4>
      </vt:variant>
      <vt:variant>
        <vt:lpwstr>https://www.arc.gov.au/policies-strategies/policy/arc-research-opportunity-and-performance-evidence-rope-statement</vt:lpwstr>
      </vt:variant>
      <vt:variant>
        <vt:lpwstr/>
      </vt:variant>
      <vt:variant>
        <vt:i4>7733304</vt:i4>
      </vt:variant>
      <vt:variant>
        <vt:i4>123</vt:i4>
      </vt:variant>
      <vt:variant>
        <vt:i4>0</vt:i4>
      </vt:variant>
      <vt:variant>
        <vt:i4>5</vt:i4>
      </vt:variant>
      <vt:variant>
        <vt:lpwstr>http://www.arc.gov.au/</vt:lpwstr>
      </vt:variant>
      <vt:variant>
        <vt:lpwstr/>
      </vt:variant>
      <vt:variant>
        <vt:i4>2752559</vt:i4>
      </vt:variant>
      <vt:variant>
        <vt:i4>120</vt:i4>
      </vt:variant>
      <vt:variant>
        <vt:i4>0</vt:i4>
      </vt:variant>
      <vt:variant>
        <vt:i4>5</vt:i4>
      </vt:variant>
      <vt:variant>
        <vt:lpwstr>https://www.arc.gov.au/policies-strategies/policy/arc-open-access-policy</vt:lpwstr>
      </vt:variant>
      <vt:variant>
        <vt:lpwstr>:~:text=The%20ARC%20Open%20Access%20Policy%20applies%20to%20all,not%20include%20research%20data%20and%20research%20data%20outputs.</vt:lpwstr>
      </vt:variant>
      <vt:variant>
        <vt:i4>3670140</vt:i4>
      </vt:variant>
      <vt:variant>
        <vt:i4>117</vt:i4>
      </vt:variant>
      <vt:variant>
        <vt:i4>0</vt:i4>
      </vt:variant>
      <vt:variant>
        <vt:i4>5</vt:i4>
      </vt:variant>
      <vt:variant>
        <vt:lpwstr>https://www.arc.gov.au/about-arc/consultations/national-science-and-research-priorities-review</vt:lpwstr>
      </vt:variant>
      <vt:variant>
        <vt:lpwstr/>
      </vt:variant>
      <vt:variant>
        <vt:i4>3670140</vt:i4>
      </vt:variant>
      <vt:variant>
        <vt:i4>114</vt:i4>
      </vt:variant>
      <vt:variant>
        <vt:i4>0</vt:i4>
      </vt:variant>
      <vt:variant>
        <vt:i4>5</vt:i4>
      </vt:variant>
      <vt:variant>
        <vt:lpwstr>https://www.arc.gov.au/about-arc/consultations/national-science-and-research-priorities-review</vt:lpwstr>
      </vt:variant>
      <vt:variant>
        <vt:lpwstr/>
      </vt:variant>
      <vt:variant>
        <vt:i4>6684772</vt:i4>
      </vt:variant>
      <vt:variant>
        <vt:i4>111</vt:i4>
      </vt:variant>
      <vt:variant>
        <vt:i4>0</vt:i4>
      </vt:variant>
      <vt:variant>
        <vt:i4>5</vt:i4>
      </vt:variant>
      <vt:variant>
        <vt:lpwstr>https://www.education.gov.au/research-block-grants-new-arrangements-allocation-calculation-methodology</vt:lpwstr>
      </vt:variant>
      <vt:variant>
        <vt:lpwstr/>
      </vt:variant>
      <vt:variant>
        <vt:i4>131158</vt:i4>
      </vt:variant>
      <vt:variant>
        <vt:i4>108</vt:i4>
      </vt:variant>
      <vt:variant>
        <vt:i4>0</vt:i4>
      </vt:variant>
      <vt:variant>
        <vt:i4>5</vt:i4>
      </vt:variant>
      <vt:variant>
        <vt:lpwstr>http://www.education.gov.au/</vt:lpwstr>
      </vt:variant>
      <vt:variant>
        <vt:lpwstr/>
      </vt:variant>
      <vt:variant>
        <vt:i4>3932286</vt:i4>
      </vt:variant>
      <vt:variant>
        <vt:i4>105</vt:i4>
      </vt:variant>
      <vt:variant>
        <vt:i4>0</vt:i4>
      </vt:variant>
      <vt:variant>
        <vt:i4>5</vt:i4>
      </vt:variant>
      <vt:variant>
        <vt:lpwstr>https://www.arc.gov.au/grants/grant-application/eligibility-matters</vt:lpwstr>
      </vt:variant>
      <vt:variant>
        <vt:lpwstr/>
      </vt:variant>
      <vt:variant>
        <vt:i4>7733304</vt:i4>
      </vt:variant>
      <vt:variant>
        <vt:i4>102</vt:i4>
      </vt:variant>
      <vt:variant>
        <vt:i4>0</vt:i4>
      </vt:variant>
      <vt:variant>
        <vt:i4>5</vt:i4>
      </vt:variant>
      <vt:variant>
        <vt:lpwstr>http://www.arc.gov.au/</vt:lpwstr>
      </vt:variant>
      <vt:variant>
        <vt:lpwstr/>
      </vt:variant>
      <vt:variant>
        <vt:i4>5832797</vt:i4>
      </vt:variant>
      <vt:variant>
        <vt:i4>99</vt:i4>
      </vt:variant>
      <vt:variant>
        <vt:i4>0</vt:i4>
      </vt:variant>
      <vt:variant>
        <vt:i4>5</vt:i4>
      </vt:variant>
      <vt:variant>
        <vt:lpwstr>https://www.grants.gov.au/?event=public.GO.show&amp;GOUUID=A0D8A7AF-F1A8-6E4C-FE02E3BA72011F21&amp;keyword=GO3193</vt:lpwstr>
      </vt:variant>
      <vt:variant>
        <vt:lpwstr/>
      </vt:variant>
      <vt:variant>
        <vt:i4>1703976</vt:i4>
      </vt:variant>
      <vt:variant>
        <vt:i4>96</vt:i4>
      </vt:variant>
      <vt:variant>
        <vt:i4>0</vt:i4>
      </vt:variant>
      <vt:variant>
        <vt:i4>5</vt:i4>
      </vt:variant>
      <vt:variant>
        <vt:lpwstr>https://docs.education.gov.au/system/files/doc/other/2018_section_2_-_all_students.pdf</vt:lpwstr>
      </vt:variant>
      <vt:variant>
        <vt:lpwstr/>
      </vt:variant>
      <vt:variant>
        <vt:i4>1310814</vt:i4>
      </vt:variant>
      <vt:variant>
        <vt:i4>93</vt:i4>
      </vt:variant>
      <vt:variant>
        <vt:i4>0</vt:i4>
      </vt:variant>
      <vt:variant>
        <vt:i4>5</vt:i4>
      </vt:variant>
      <vt:variant>
        <vt:lpwstr>https://www.arc.gov.au/policies-strategies/policy/aboriginal-and-torres-strait-islander-researchers/arc-statement-support-and-action-plan-2018-2019-aboriginal-and-torres-strait-islander-researchers</vt:lpwstr>
      </vt:variant>
      <vt:variant>
        <vt:lpwstr/>
      </vt:variant>
      <vt:variant>
        <vt:i4>1179726</vt:i4>
      </vt:variant>
      <vt:variant>
        <vt:i4>90</vt:i4>
      </vt:variant>
      <vt:variant>
        <vt:i4>0</vt:i4>
      </vt:variant>
      <vt:variant>
        <vt:i4>5</vt:i4>
      </vt:variant>
      <vt:variant>
        <vt:lpwstr>https://docs.education.gov.au/node/53178</vt:lpwstr>
      </vt:variant>
      <vt:variant>
        <vt:lpwstr/>
      </vt:variant>
      <vt:variant>
        <vt:i4>5636187</vt:i4>
      </vt:variant>
      <vt:variant>
        <vt:i4>87</vt:i4>
      </vt:variant>
      <vt:variant>
        <vt:i4>0</vt:i4>
      </vt:variant>
      <vt:variant>
        <vt:i4>5</vt:i4>
      </vt:variant>
      <vt:variant>
        <vt:lpwstr>http://uis.unesco.org/sites/default/files/documents/fs55-women-in-science-2019-en.pdf</vt:lpwstr>
      </vt:variant>
      <vt:variant>
        <vt:lpwstr/>
      </vt:variant>
      <vt:variant>
        <vt:i4>4849684</vt:i4>
      </vt:variant>
      <vt:variant>
        <vt:i4>84</vt:i4>
      </vt:variant>
      <vt:variant>
        <vt:i4>0</vt:i4>
      </vt:variant>
      <vt:variant>
        <vt:i4>5</vt:i4>
      </vt:variant>
      <vt:variant>
        <vt:lpwstr>https://dataportal.arc.gov.au/ERA/GenderWorkforceReport/2018/</vt:lpwstr>
      </vt:variant>
      <vt:variant>
        <vt:lpwstr/>
      </vt:variant>
      <vt:variant>
        <vt:i4>4587568</vt:i4>
      </vt:variant>
      <vt:variant>
        <vt:i4>81</vt:i4>
      </vt:variant>
      <vt:variant>
        <vt:i4>0</vt:i4>
      </vt:variant>
      <vt:variant>
        <vt:i4>5</vt:i4>
      </vt:variant>
      <vt:variant>
        <vt:lpwstr>https://www.abs.gov.au/AUSSTATS/abs@.nsf/Previousproducts/1297.0Main Features62008?opendocument&amp;tabname=Summary&amp;prodno=1297.0&amp;issue=2008&amp;num=&amp;view=</vt:lpwstr>
      </vt:variant>
      <vt:variant>
        <vt:lpwstr/>
      </vt:variant>
      <vt:variant>
        <vt:i4>4587568</vt:i4>
      </vt:variant>
      <vt:variant>
        <vt:i4>78</vt:i4>
      </vt:variant>
      <vt:variant>
        <vt:i4>0</vt:i4>
      </vt:variant>
      <vt:variant>
        <vt:i4>5</vt:i4>
      </vt:variant>
      <vt:variant>
        <vt:lpwstr>https://www.abs.gov.au/AUSSTATS/abs@.nsf/Previousproducts/1297.0Main Features62008?opendocument&amp;tabname=Summary&amp;prodno=1297.0&amp;issue=2008&amp;num=&amp;view=</vt:lpwstr>
      </vt:variant>
      <vt:variant>
        <vt:lpwstr/>
      </vt:variant>
      <vt:variant>
        <vt:i4>3407933</vt:i4>
      </vt:variant>
      <vt:variant>
        <vt:i4>75</vt:i4>
      </vt:variant>
      <vt:variant>
        <vt:i4>0</vt:i4>
      </vt:variant>
      <vt:variant>
        <vt:i4>5</vt:i4>
      </vt:variant>
      <vt:variant>
        <vt:lpwstr>https://www.arc.gov.au/policies-strategies/policy/arc-statement-support-interdisciplinary-research</vt:lpwstr>
      </vt:variant>
      <vt:variant>
        <vt:lpwstr/>
      </vt:variant>
      <vt:variant>
        <vt:i4>7667715</vt:i4>
      </vt:variant>
      <vt:variant>
        <vt:i4>72</vt:i4>
      </vt:variant>
      <vt:variant>
        <vt:i4>0</vt:i4>
      </vt:variant>
      <vt:variant>
        <vt:i4>5</vt:i4>
      </vt:variant>
      <vt:variant>
        <vt:lpwstr>https://parlinfo.aph.gov.au/parlInfo/download/committees/reportrep/024212/toc_pdf/AustralianGovernmentFundingArrangementsfornon-NHMRCResearch.pdf;fileType=application%2Fpdf</vt:lpwstr>
      </vt:variant>
      <vt:variant>
        <vt:lpwstr/>
      </vt:variant>
      <vt:variant>
        <vt:i4>7536678</vt:i4>
      </vt:variant>
      <vt:variant>
        <vt:i4>69</vt:i4>
      </vt:variant>
      <vt:variant>
        <vt:i4>0</vt:i4>
      </vt:variant>
      <vt:variant>
        <vt:i4>5</vt:i4>
      </vt:variant>
      <vt:variant>
        <vt:lpwstr>https://www.arc.gov.au/policies-strategies/policy/arc-medical-research-policy/arc-medical-research-policy-version-20181</vt:lpwstr>
      </vt:variant>
      <vt:variant>
        <vt:lpwstr/>
      </vt:variant>
      <vt:variant>
        <vt:i4>5505070</vt:i4>
      </vt:variant>
      <vt:variant>
        <vt:i4>66</vt:i4>
      </vt:variant>
      <vt:variant>
        <vt:i4>0</vt:i4>
      </vt:variant>
      <vt:variant>
        <vt:i4>5</vt:i4>
      </vt:variant>
      <vt:variant>
        <vt:lpwstr>https://www.abs.gov.au/AUSSTATS/abs@.nsf/Previousproducts/1297.0Contents12008?opendocument&amp;tabname=Summary&amp;prodno=1297.0&amp;issue=2008&amp;num=&amp;view=</vt:lpwstr>
      </vt:variant>
      <vt:variant>
        <vt:lpwstr/>
      </vt:variant>
      <vt:variant>
        <vt:i4>1507418</vt:i4>
      </vt:variant>
      <vt:variant>
        <vt:i4>63</vt:i4>
      </vt:variant>
      <vt:variant>
        <vt:i4>0</vt:i4>
      </vt:variant>
      <vt:variant>
        <vt:i4>5</vt:i4>
      </vt:variant>
      <vt:variant>
        <vt:lpwstr>https://www.arc.gov.au/policies-strategies/strategy/arc-research-workforce-statement</vt:lpwstr>
      </vt:variant>
      <vt:variant>
        <vt:lpwstr/>
      </vt:variant>
      <vt:variant>
        <vt:i4>1507418</vt:i4>
      </vt:variant>
      <vt:variant>
        <vt:i4>60</vt:i4>
      </vt:variant>
      <vt:variant>
        <vt:i4>0</vt:i4>
      </vt:variant>
      <vt:variant>
        <vt:i4>5</vt:i4>
      </vt:variant>
      <vt:variant>
        <vt:lpwstr>https://www.arc.gov.au/policies-strategies/strategy/arc-research-workforce-statement</vt:lpwstr>
      </vt:variant>
      <vt:variant>
        <vt:lpwstr/>
      </vt:variant>
      <vt:variant>
        <vt:i4>7733304</vt:i4>
      </vt:variant>
      <vt:variant>
        <vt:i4>57</vt:i4>
      </vt:variant>
      <vt:variant>
        <vt:i4>0</vt:i4>
      </vt:variant>
      <vt:variant>
        <vt:i4>5</vt:i4>
      </vt:variant>
      <vt:variant>
        <vt:lpwstr>http://www.arc.gov.au/</vt:lpwstr>
      </vt:variant>
      <vt:variant>
        <vt:lpwstr/>
      </vt:variant>
      <vt:variant>
        <vt:i4>2752559</vt:i4>
      </vt:variant>
      <vt:variant>
        <vt:i4>54</vt:i4>
      </vt:variant>
      <vt:variant>
        <vt:i4>0</vt:i4>
      </vt:variant>
      <vt:variant>
        <vt:i4>5</vt:i4>
      </vt:variant>
      <vt:variant>
        <vt:lpwstr>https://www.arc.gov.au/policies-strategies/policy/arc-open-access-policy</vt:lpwstr>
      </vt:variant>
      <vt:variant>
        <vt:lpwstr>:~:text=The%20ARC%20Open%20Access%20Policy%20applies%20to%20all,not%20include%20research%20data%20and%20research%20data%20outputs.</vt:lpwstr>
      </vt:variant>
      <vt:variant>
        <vt:i4>7733304</vt:i4>
      </vt:variant>
      <vt:variant>
        <vt:i4>51</vt:i4>
      </vt:variant>
      <vt:variant>
        <vt:i4>0</vt:i4>
      </vt:variant>
      <vt:variant>
        <vt:i4>5</vt:i4>
      </vt:variant>
      <vt:variant>
        <vt:lpwstr>http://www.arc.gov.au/</vt:lpwstr>
      </vt:variant>
      <vt:variant>
        <vt:lpwstr/>
      </vt:variant>
      <vt:variant>
        <vt:i4>6094877</vt:i4>
      </vt:variant>
      <vt:variant>
        <vt:i4>48</vt:i4>
      </vt:variant>
      <vt:variant>
        <vt:i4>0</vt:i4>
      </vt:variant>
      <vt:variant>
        <vt:i4>5</vt:i4>
      </vt:variant>
      <vt:variant>
        <vt:lpwstr>https://www.industry.gov.au/data-and-publications/science-and-research-priorities</vt:lpwstr>
      </vt:variant>
      <vt:variant>
        <vt:lpwstr/>
      </vt:variant>
      <vt:variant>
        <vt:i4>1704023</vt:i4>
      </vt:variant>
      <vt:variant>
        <vt:i4>45</vt:i4>
      </vt:variant>
      <vt:variant>
        <vt:i4>0</vt:i4>
      </vt:variant>
      <vt:variant>
        <vt:i4>5</vt:i4>
      </vt:variant>
      <vt:variant>
        <vt:lpwstr>https://acola.org/research-social-economic-benefit-saf09/</vt:lpwstr>
      </vt:variant>
      <vt:variant>
        <vt:lpwstr/>
      </vt:variant>
      <vt:variant>
        <vt:i4>3342393</vt:i4>
      </vt:variant>
      <vt:variant>
        <vt:i4>42</vt:i4>
      </vt:variant>
      <vt:variant>
        <vt:i4>0</vt:i4>
      </vt:variant>
      <vt:variant>
        <vt:i4>5</vt:i4>
      </vt:variant>
      <vt:variant>
        <vt:lpwstr>https://www.industry.gov.au/data-and-publications/australian-innovation-system-report/australian-innovation-system-report-2017</vt:lpwstr>
      </vt:variant>
      <vt:variant>
        <vt:lpwstr/>
      </vt:variant>
      <vt:variant>
        <vt:i4>1835017</vt:i4>
      </vt:variant>
      <vt:variant>
        <vt:i4>39</vt:i4>
      </vt:variant>
      <vt:variant>
        <vt:i4>0</vt:i4>
      </vt:variant>
      <vt:variant>
        <vt:i4>5</vt:i4>
      </vt:variant>
      <vt:variant>
        <vt:lpwstr>https://acola.org/research-training-system-review-saf13/</vt:lpwstr>
      </vt:variant>
      <vt:variant>
        <vt:lpwstr/>
      </vt:variant>
      <vt:variant>
        <vt:i4>2424958</vt:i4>
      </vt:variant>
      <vt:variant>
        <vt:i4>36</vt:i4>
      </vt:variant>
      <vt:variant>
        <vt:i4>0</vt:i4>
      </vt:variant>
      <vt:variant>
        <vt:i4>5</vt:i4>
      </vt:variant>
      <vt:variant>
        <vt:lpwstr>https://www.arc.gov.au/policies-strategies/policy/arc-research-opportunity-and-performance-evidence-rope-statement</vt:lpwstr>
      </vt:variant>
      <vt:variant>
        <vt:lpwstr/>
      </vt:variant>
      <vt:variant>
        <vt:i4>7733304</vt:i4>
      </vt:variant>
      <vt:variant>
        <vt:i4>33</vt:i4>
      </vt:variant>
      <vt:variant>
        <vt:i4>0</vt:i4>
      </vt:variant>
      <vt:variant>
        <vt:i4>5</vt:i4>
      </vt:variant>
      <vt:variant>
        <vt:lpwstr>http://www.arc.gov.au/</vt:lpwstr>
      </vt:variant>
      <vt:variant>
        <vt:lpwstr/>
      </vt:variant>
      <vt:variant>
        <vt:i4>7405608</vt:i4>
      </vt:variant>
      <vt:variant>
        <vt:i4>30</vt:i4>
      </vt:variant>
      <vt:variant>
        <vt:i4>0</vt:i4>
      </vt:variant>
      <vt:variant>
        <vt:i4>5</vt:i4>
      </vt:variant>
      <vt:variant>
        <vt:lpwstr>https://www.grants.gov.au/?event=public.FO.show&amp;FOUUID=9D5A301C-FF9F-8547-E68EF4E82698EFF6</vt:lpwstr>
      </vt:variant>
      <vt:variant>
        <vt:lpwstr/>
      </vt:variant>
      <vt:variant>
        <vt:i4>2883696</vt:i4>
      </vt:variant>
      <vt:variant>
        <vt:i4>27</vt:i4>
      </vt:variant>
      <vt:variant>
        <vt:i4>0</vt:i4>
      </vt:variant>
      <vt:variant>
        <vt:i4>5</vt:i4>
      </vt:variant>
      <vt:variant>
        <vt:lpwstr>https://www.finance.gov.au/sites/default/files/2019-11/commonwealth-grants-rules-and-guidelines.pdf</vt:lpwstr>
      </vt:variant>
      <vt:variant>
        <vt:lpwstr/>
      </vt:variant>
      <vt:variant>
        <vt:i4>8192021</vt:i4>
      </vt:variant>
      <vt:variant>
        <vt:i4>24</vt:i4>
      </vt:variant>
      <vt:variant>
        <vt:i4>0</vt:i4>
      </vt:variant>
      <vt:variant>
        <vt:i4>5</vt:i4>
      </vt:variant>
      <vt:variant>
        <vt:lpwstr/>
      </vt:variant>
      <vt:variant>
        <vt:lpwstr>_Appendix_B:_Stakeholder</vt:lpwstr>
      </vt:variant>
      <vt:variant>
        <vt:i4>7340068</vt:i4>
      </vt:variant>
      <vt:variant>
        <vt:i4>21</vt:i4>
      </vt:variant>
      <vt:variant>
        <vt:i4>0</vt:i4>
      </vt:variant>
      <vt:variant>
        <vt:i4>5</vt:i4>
      </vt:variant>
      <vt:variant>
        <vt:lpwstr>https://www.arc.gov.au/policies-strategies/strategy/evaluation/arc-evaluation-strategy</vt:lpwstr>
      </vt:variant>
      <vt:variant>
        <vt:lpwstr/>
      </vt:variant>
      <vt:variant>
        <vt:i4>5439511</vt:i4>
      </vt:variant>
      <vt:variant>
        <vt:i4>18</vt:i4>
      </vt:variant>
      <vt:variant>
        <vt:i4>0</vt:i4>
      </vt:variant>
      <vt:variant>
        <vt:i4>5</vt:i4>
      </vt:variant>
      <vt:variant>
        <vt:lpwstr>https://www.voced.edu.au/content/ngv%3A41605</vt:lpwstr>
      </vt:variant>
      <vt:variant>
        <vt:lpwstr/>
      </vt:variant>
      <vt:variant>
        <vt:i4>2883696</vt:i4>
      </vt:variant>
      <vt:variant>
        <vt:i4>15</vt:i4>
      </vt:variant>
      <vt:variant>
        <vt:i4>0</vt:i4>
      </vt:variant>
      <vt:variant>
        <vt:i4>5</vt:i4>
      </vt:variant>
      <vt:variant>
        <vt:lpwstr>https://www.finance.gov.au/sites/default/files/2019-11/commonwealth-grants-rules-and-guidelines.pdf</vt:lpwstr>
      </vt:variant>
      <vt:variant>
        <vt:lpwstr/>
      </vt:variant>
      <vt:variant>
        <vt:i4>2883696</vt:i4>
      </vt:variant>
      <vt:variant>
        <vt:i4>12</vt:i4>
      </vt:variant>
      <vt:variant>
        <vt:i4>0</vt:i4>
      </vt:variant>
      <vt:variant>
        <vt:i4>5</vt:i4>
      </vt:variant>
      <vt:variant>
        <vt:lpwstr>https://www.finance.gov.au/sites/default/files/2019-11/commonwealth-grants-rules-and-guidelines.pdf</vt:lpwstr>
      </vt:variant>
      <vt:variant>
        <vt:lpwstr/>
      </vt:variant>
      <vt:variant>
        <vt:i4>4456496</vt:i4>
      </vt:variant>
      <vt:variant>
        <vt:i4>9</vt:i4>
      </vt:variant>
      <vt:variant>
        <vt:i4>0</vt:i4>
      </vt:variant>
      <vt:variant>
        <vt:i4>5</vt:i4>
      </vt:variant>
      <vt:variant>
        <vt:lpwstr>https://www.abs.gov.au/AUSSTATS/abs@.nsf/Previousproducts/1297.0Main Features42008?opendocument&amp;tabname=Summary&amp;prodno=1297.0&amp;issue=2008&amp;num=&amp;view=</vt:lpwstr>
      </vt:variant>
      <vt:variant>
        <vt:lpwstr/>
      </vt:variant>
      <vt:variant>
        <vt:i4>4456496</vt:i4>
      </vt:variant>
      <vt:variant>
        <vt:i4>6</vt:i4>
      </vt:variant>
      <vt:variant>
        <vt:i4>0</vt:i4>
      </vt:variant>
      <vt:variant>
        <vt:i4>5</vt:i4>
      </vt:variant>
      <vt:variant>
        <vt:lpwstr>https://www.abs.gov.au/AUSSTATS/abs@.nsf/Previousproducts/1297.0Main Features42008?opendocument&amp;tabname=Summary&amp;prodno=1297.0&amp;issue=2008&amp;num=&amp;view=</vt:lpwstr>
      </vt:variant>
      <vt:variant>
        <vt:lpwstr/>
      </vt:variant>
      <vt:variant>
        <vt:i4>4456496</vt:i4>
      </vt:variant>
      <vt:variant>
        <vt:i4>3</vt:i4>
      </vt:variant>
      <vt:variant>
        <vt:i4>0</vt:i4>
      </vt:variant>
      <vt:variant>
        <vt:i4>5</vt:i4>
      </vt:variant>
      <vt:variant>
        <vt:lpwstr>https://www.abs.gov.au/AUSSTATS/abs@.nsf/Previousproducts/1297.0Main Features42008?opendocument&amp;tabname=Summary&amp;prodno=1297.0&amp;issue=2008&amp;num=&amp;view=</vt:lpwstr>
      </vt:variant>
      <vt:variant>
        <vt:lpwstr/>
      </vt:variant>
      <vt:variant>
        <vt:i4>4456496</vt:i4>
      </vt:variant>
      <vt:variant>
        <vt:i4>0</vt:i4>
      </vt:variant>
      <vt:variant>
        <vt:i4>0</vt:i4>
      </vt:variant>
      <vt:variant>
        <vt:i4>5</vt:i4>
      </vt:variant>
      <vt:variant>
        <vt:lpwstr>https://www.abs.gov.au/AUSSTATS/abs@.nsf/Previousproducts/1297.0Main Features42008?opendocument&amp;tabname=Summary&amp;prodno=1297.0&amp;issue=2008&amp;num=&amp;view=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2022-06-20T03:22:00Z</dcterms:created>
  <dcterms:modified xsi:type="dcterms:W3CDTF">2022-06-20T03:22:00Z</dcterms:modified>
</cp:coreProperties>
</file>