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42499" w14:textId="77777777" w:rsidR="00BE4B33" w:rsidRDefault="00BE4B33" w:rsidP="00BE4B33">
      <w:pPr>
        <w:jc w:val="center"/>
      </w:pPr>
      <w:r>
        <w:rPr>
          <w:noProof/>
          <w:lang w:eastAsia="en-AU"/>
        </w:rPr>
        <w:drawing>
          <wp:inline distT="0" distB="0" distL="0" distR="0" wp14:anchorId="18F54438" wp14:editId="2FCFD13B">
            <wp:extent cx="2762250" cy="1718451"/>
            <wp:effectExtent l="0" t="0" r="0" b="0"/>
            <wp:docPr id="6" name="Picture 6" descr="ARC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webarchive.nla.gov.au/gov/wayback/20171113003242/http:/www.arc.gov.au/sites/default/files/filedepot/Public/Media%20&amp;%20Resources%20Centre/Images/ARC_logos/STACKED/PC/ARC_stack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889" cy="1723825"/>
                    </a:xfrm>
                    <a:prstGeom prst="rect">
                      <a:avLst/>
                    </a:prstGeom>
                    <a:noFill/>
                    <a:ln>
                      <a:noFill/>
                    </a:ln>
                  </pic:spPr>
                </pic:pic>
              </a:graphicData>
            </a:graphic>
          </wp:inline>
        </w:drawing>
      </w:r>
    </w:p>
    <w:p w14:paraId="54ECFC8A" w14:textId="77777777" w:rsidR="00BE4B33" w:rsidRDefault="00BE4B33" w:rsidP="00BE4B33"/>
    <w:p w14:paraId="22A116D2" w14:textId="77777777" w:rsidR="00BE4B33" w:rsidRDefault="00BE4B33" w:rsidP="00BE4B33"/>
    <w:p w14:paraId="3CD1A731" w14:textId="77777777" w:rsidR="00424DAA" w:rsidRDefault="00CB373D" w:rsidP="00CB373D">
      <w:pPr>
        <w:pStyle w:val="Title"/>
      </w:pPr>
      <w:bookmarkStart w:id="0" w:name="_GoBack"/>
      <w:r w:rsidRPr="00D24FF4">
        <w:t xml:space="preserve">Evaluation </w:t>
      </w:r>
      <w:r>
        <w:t xml:space="preserve">of the </w:t>
      </w:r>
      <w:r w:rsidR="007E5484">
        <w:t>Industrial Transformation Research Program process and priorities</w:t>
      </w:r>
    </w:p>
    <w:bookmarkEnd w:id="0"/>
    <w:p w14:paraId="20971C76" w14:textId="77777777" w:rsidR="00424DAA" w:rsidRPr="00424DAA" w:rsidRDefault="00424DAA" w:rsidP="00CB373D">
      <w:pPr>
        <w:pStyle w:val="Title"/>
        <w:rPr>
          <w:sz w:val="40"/>
          <w:szCs w:val="40"/>
        </w:rPr>
      </w:pPr>
    </w:p>
    <w:p w14:paraId="018D97B0" w14:textId="61BFE1A9" w:rsidR="00066F58" w:rsidRPr="00424DAA" w:rsidRDefault="00424DAA" w:rsidP="00424DAA">
      <w:pPr>
        <w:pStyle w:val="Title"/>
        <w:rPr>
          <w:sz w:val="40"/>
          <w:szCs w:val="40"/>
        </w:rPr>
      </w:pPr>
      <w:r w:rsidRPr="00424DAA">
        <w:rPr>
          <w:sz w:val="40"/>
          <w:szCs w:val="40"/>
        </w:rPr>
        <w:t>Final report</w:t>
      </w:r>
    </w:p>
    <w:p w14:paraId="2640A156" w14:textId="77777777" w:rsidR="00424DAA" w:rsidRPr="00424DAA" w:rsidRDefault="00424DAA" w:rsidP="00424DAA">
      <w:pPr>
        <w:rPr>
          <w:szCs w:val="24"/>
        </w:rPr>
      </w:pPr>
    </w:p>
    <w:p w14:paraId="5FD33C5B" w14:textId="43823FB8" w:rsidR="00424DAA" w:rsidRDefault="00424DAA" w:rsidP="00424DAA">
      <w:pPr>
        <w:rPr>
          <w:szCs w:val="24"/>
        </w:rPr>
      </w:pPr>
      <w:r w:rsidRPr="00424DAA">
        <w:rPr>
          <w:szCs w:val="24"/>
        </w:rPr>
        <w:t xml:space="preserve">Australian </w:t>
      </w:r>
      <w:r>
        <w:rPr>
          <w:szCs w:val="24"/>
        </w:rPr>
        <w:t>Research Council</w:t>
      </w:r>
    </w:p>
    <w:p w14:paraId="76D344F7" w14:textId="6CBC5024" w:rsidR="00424DAA" w:rsidRDefault="00424DAA" w:rsidP="00424DAA">
      <w:pPr>
        <w:rPr>
          <w:szCs w:val="24"/>
        </w:rPr>
      </w:pPr>
      <w:r>
        <w:rPr>
          <w:szCs w:val="24"/>
        </w:rPr>
        <w:t>Program Evaluation Section</w:t>
      </w:r>
    </w:p>
    <w:p w14:paraId="0F5B5716" w14:textId="54831CB1" w:rsidR="00424DAA" w:rsidRDefault="00424DAA" w:rsidP="00424DAA">
      <w:pPr>
        <w:rPr>
          <w:szCs w:val="24"/>
        </w:rPr>
      </w:pPr>
    </w:p>
    <w:p w14:paraId="44F08B77" w14:textId="692C6AC7" w:rsidR="00424DAA" w:rsidRPr="00066F58" w:rsidRDefault="006A2C6B" w:rsidP="00424DAA">
      <w:pPr>
        <w:rPr>
          <w:szCs w:val="24"/>
        </w:rPr>
      </w:pPr>
      <w:r>
        <w:rPr>
          <w:szCs w:val="24"/>
        </w:rPr>
        <w:t>June</w:t>
      </w:r>
      <w:r w:rsidR="00424DAA">
        <w:rPr>
          <w:szCs w:val="24"/>
        </w:rPr>
        <w:t xml:space="preserve"> 2019</w:t>
      </w:r>
    </w:p>
    <w:p w14:paraId="43779447" w14:textId="77777777" w:rsidR="00424DAA" w:rsidRDefault="00424DAA">
      <w:pPr>
        <w:rPr>
          <w:szCs w:val="24"/>
        </w:rPr>
      </w:pPr>
    </w:p>
    <w:p w14:paraId="3FD83E45" w14:textId="04942C63" w:rsidR="00066F58" w:rsidRPr="00424DAA" w:rsidRDefault="00066F58">
      <w:pPr>
        <w:rPr>
          <w:szCs w:val="24"/>
        </w:rPr>
      </w:pPr>
      <w:r w:rsidRPr="00424DAA">
        <w:rPr>
          <w:szCs w:val="24"/>
        </w:rPr>
        <w:br w:type="page"/>
      </w:r>
    </w:p>
    <w:sdt>
      <w:sdtPr>
        <w:rPr>
          <w:rFonts w:ascii="Times New Roman" w:eastAsia="Calibri" w:hAnsi="Times New Roman"/>
          <w:b/>
          <w:bCs w:val="0"/>
          <w:color w:val="auto"/>
          <w:sz w:val="24"/>
          <w:szCs w:val="22"/>
        </w:rPr>
        <w:id w:val="-322665776"/>
        <w:docPartObj>
          <w:docPartGallery w:val="Table of Contents"/>
          <w:docPartUnique/>
        </w:docPartObj>
      </w:sdtPr>
      <w:sdtEndPr>
        <w:rPr>
          <w:noProof/>
        </w:rPr>
      </w:sdtEndPr>
      <w:sdtContent>
        <w:p w14:paraId="2197128F" w14:textId="5DF40B4E" w:rsidR="005708F6" w:rsidRPr="007E5484" w:rsidRDefault="005708F6">
          <w:pPr>
            <w:pStyle w:val="TOCHeading"/>
            <w:rPr>
              <w:b/>
            </w:rPr>
          </w:pPr>
          <w:r w:rsidRPr="007E5484">
            <w:rPr>
              <w:b/>
            </w:rPr>
            <w:t>Contents</w:t>
          </w:r>
        </w:p>
        <w:p w14:paraId="6D2DDFD3" w14:textId="148F9677" w:rsidR="00F459ED" w:rsidRDefault="004A2F4C">
          <w:pPr>
            <w:pStyle w:val="TOC1"/>
            <w:rPr>
              <w:rFonts w:asciiTheme="minorHAnsi" w:eastAsiaTheme="minorEastAsia" w:hAnsiTheme="minorHAnsi" w:cstheme="minorBidi"/>
              <w:b w:val="0"/>
              <w:bCs w:val="0"/>
              <w:iCs w:val="0"/>
              <w:noProof/>
              <w:color w:val="auto"/>
              <w:sz w:val="22"/>
              <w:szCs w:val="22"/>
              <w:lang w:eastAsia="en-AU"/>
            </w:rPr>
          </w:pPr>
          <w:r>
            <w:rPr>
              <w:b w:val="0"/>
              <w:bCs w:val="0"/>
              <w:iCs w:val="0"/>
              <w:noProof/>
            </w:rPr>
            <w:fldChar w:fldCharType="begin"/>
          </w:r>
          <w:r>
            <w:rPr>
              <w:b w:val="0"/>
              <w:bCs w:val="0"/>
              <w:iCs w:val="0"/>
              <w:noProof/>
            </w:rPr>
            <w:instrText xml:space="preserve"> TOC \o "1-2" \h \z \u </w:instrText>
          </w:r>
          <w:r>
            <w:rPr>
              <w:b w:val="0"/>
              <w:bCs w:val="0"/>
              <w:iCs w:val="0"/>
              <w:noProof/>
            </w:rPr>
            <w:fldChar w:fldCharType="separate"/>
          </w:r>
          <w:hyperlink w:anchor="_Toc13057463" w:history="1">
            <w:r w:rsidR="00F459ED" w:rsidRPr="00E0400C">
              <w:rPr>
                <w:rStyle w:val="Hyperlink"/>
                <w:noProof/>
              </w:rPr>
              <w:t>Abbreviations and glossary</w:t>
            </w:r>
            <w:r w:rsidR="00F459ED">
              <w:rPr>
                <w:noProof/>
                <w:webHidden/>
              </w:rPr>
              <w:tab/>
            </w:r>
            <w:r w:rsidR="00F459ED">
              <w:rPr>
                <w:noProof/>
                <w:webHidden/>
              </w:rPr>
              <w:fldChar w:fldCharType="begin"/>
            </w:r>
            <w:r w:rsidR="00F459ED">
              <w:rPr>
                <w:noProof/>
                <w:webHidden/>
              </w:rPr>
              <w:instrText xml:space="preserve"> PAGEREF _Toc13057463 \h </w:instrText>
            </w:r>
            <w:r w:rsidR="00F459ED">
              <w:rPr>
                <w:noProof/>
                <w:webHidden/>
              </w:rPr>
            </w:r>
            <w:r w:rsidR="00F459ED">
              <w:rPr>
                <w:noProof/>
                <w:webHidden/>
              </w:rPr>
              <w:fldChar w:fldCharType="separate"/>
            </w:r>
            <w:r w:rsidR="00F459ED">
              <w:rPr>
                <w:noProof/>
                <w:webHidden/>
              </w:rPr>
              <w:t>3</w:t>
            </w:r>
            <w:r w:rsidR="00F459ED">
              <w:rPr>
                <w:noProof/>
                <w:webHidden/>
              </w:rPr>
              <w:fldChar w:fldCharType="end"/>
            </w:r>
          </w:hyperlink>
        </w:p>
        <w:p w14:paraId="13F099B1" w14:textId="7D0A5E26" w:rsidR="00F459ED" w:rsidRDefault="00C44B80">
          <w:pPr>
            <w:pStyle w:val="TOC1"/>
            <w:rPr>
              <w:rFonts w:asciiTheme="minorHAnsi" w:eastAsiaTheme="minorEastAsia" w:hAnsiTheme="minorHAnsi" w:cstheme="minorBidi"/>
              <w:b w:val="0"/>
              <w:bCs w:val="0"/>
              <w:iCs w:val="0"/>
              <w:noProof/>
              <w:color w:val="auto"/>
              <w:sz w:val="22"/>
              <w:szCs w:val="22"/>
              <w:lang w:eastAsia="en-AU"/>
            </w:rPr>
          </w:pPr>
          <w:hyperlink w:anchor="_Toc13057464" w:history="1">
            <w:r w:rsidR="00F459ED" w:rsidRPr="00E0400C">
              <w:rPr>
                <w:rStyle w:val="Hyperlink"/>
                <w:noProof/>
              </w:rPr>
              <w:t>Structure of this report</w:t>
            </w:r>
            <w:r w:rsidR="00F459ED">
              <w:rPr>
                <w:noProof/>
                <w:webHidden/>
              </w:rPr>
              <w:tab/>
            </w:r>
            <w:r w:rsidR="00F459ED">
              <w:rPr>
                <w:noProof/>
                <w:webHidden/>
              </w:rPr>
              <w:fldChar w:fldCharType="begin"/>
            </w:r>
            <w:r w:rsidR="00F459ED">
              <w:rPr>
                <w:noProof/>
                <w:webHidden/>
              </w:rPr>
              <w:instrText xml:space="preserve"> PAGEREF _Toc13057464 \h </w:instrText>
            </w:r>
            <w:r w:rsidR="00F459ED">
              <w:rPr>
                <w:noProof/>
                <w:webHidden/>
              </w:rPr>
            </w:r>
            <w:r w:rsidR="00F459ED">
              <w:rPr>
                <w:noProof/>
                <w:webHidden/>
              </w:rPr>
              <w:fldChar w:fldCharType="separate"/>
            </w:r>
            <w:r w:rsidR="00F459ED">
              <w:rPr>
                <w:noProof/>
                <w:webHidden/>
              </w:rPr>
              <w:t>3</w:t>
            </w:r>
            <w:r w:rsidR="00F459ED">
              <w:rPr>
                <w:noProof/>
                <w:webHidden/>
              </w:rPr>
              <w:fldChar w:fldCharType="end"/>
            </w:r>
          </w:hyperlink>
        </w:p>
        <w:p w14:paraId="1044CE7B" w14:textId="15B4C9C9" w:rsidR="00F459ED" w:rsidRDefault="00C44B80">
          <w:pPr>
            <w:pStyle w:val="TOC1"/>
            <w:rPr>
              <w:rFonts w:asciiTheme="minorHAnsi" w:eastAsiaTheme="minorEastAsia" w:hAnsiTheme="minorHAnsi" w:cstheme="minorBidi"/>
              <w:b w:val="0"/>
              <w:bCs w:val="0"/>
              <w:iCs w:val="0"/>
              <w:noProof/>
              <w:color w:val="auto"/>
              <w:sz w:val="22"/>
              <w:szCs w:val="22"/>
              <w:lang w:eastAsia="en-AU"/>
            </w:rPr>
          </w:pPr>
          <w:hyperlink w:anchor="_Toc13057465" w:history="1">
            <w:r w:rsidR="00F459ED" w:rsidRPr="00E0400C">
              <w:rPr>
                <w:rStyle w:val="Hyperlink"/>
                <w:noProof/>
              </w:rPr>
              <w:t>Executive summary</w:t>
            </w:r>
            <w:r w:rsidR="00F459ED">
              <w:rPr>
                <w:noProof/>
                <w:webHidden/>
              </w:rPr>
              <w:tab/>
            </w:r>
            <w:r w:rsidR="00F459ED">
              <w:rPr>
                <w:noProof/>
                <w:webHidden/>
              </w:rPr>
              <w:fldChar w:fldCharType="begin"/>
            </w:r>
            <w:r w:rsidR="00F459ED">
              <w:rPr>
                <w:noProof/>
                <w:webHidden/>
              </w:rPr>
              <w:instrText xml:space="preserve"> PAGEREF _Toc13057465 \h </w:instrText>
            </w:r>
            <w:r w:rsidR="00F459ED">
              <w:rPr>
                <w:noProof/>
                <w:webHidden/>
              </w:rPr>
            </w:r>
            <w:r w:rsidR="00F459ED">
              <w:rPr>
                <w:noProof/>
                <w:webHidden/>
              </w:rPr>
              <w:fldChar w:fldCharType="separate"/>
            </w:r>
            <w:r w:rsidR="00F459ED">
              <w:rPr>
                <w:noProof/>
                <w:webHidden/>
              </w:rPr>
              <w:t>4</w:t>
            </w:r>
            <w:r w:rsidR="00F459ED">
              <w:rPr>
                <w:noProof/>
                <w:webHidden/>
              </w:rPr>
              <w:fldChar w:fldCharType="end"/>
            </w:r>
          </w:hyperlink>
        </w:p>
        <w:p w14:paraId="3AB1FA7C" w14:textId="7FC7C090" w:rsidR="00F459ED" w:rsidRDefault="00C44B80">
          <w:pPr>
            <w:pStyle w:val="TOC1"/>
            <w:rPr>
              <w:rFonts w:asciiTheme="minorHAnsi" w:eastAsiaTheme="minorEastAsia" w:hAnsiTheme="minorHAnsi" w:cstheme="minorBidi"/>
              <w:b w:val="0"/>
              <w:bCs w:val="0"/>
              <w:iCs w:val="0"/>
              <w:noProof/>
              <w:color w:val="auto"/>
              <w:sz w:val="22"/>
              <w:szCs w:val="22"/>
              <w:lang w:eastAsia="en-AU"/>
            </w:rPr>
          </w:pPr>
          <w:hyperlink w:anchor="_Toc13057466" w:history="1">
            <w:r w:rsidR="00F459ED" w:rsidRPr="00E0400C">
              <w:rPr>
                <w:rStyle w:val="Hyperlink"/>
                <w:noProof/>
              </w:rPr>
              <w:t>Background</w:t>
            </w:r>
            <w:r w:rsidR="00F459ED">
              <w:rPr>
                <w:noProof/>
                <w:webHidden/>
              </w:rPr>
              <w:tab/>
            </w:r>
            <w:r w:rsidR="00F459ED">
              <w:rPr>
                <w:noProof/>
                <w:webHidden/>
              </w:rPr>
              <w:fldChar w:fldCharType="begin"/>
            </w:r>
            <w:r w:rsidR="00F459ED">
              <w:rPr>
                <w:noProof/>
                <w:webHidden/>
              </w:rPr>
              <w:instrText xml:space="preserve"> PAGEREF _Toc13057466 \h </w:instrText>
            </w:r>
            <w:r w:rsidR="00F459ED">
              <w:rPr>
                <w:noProof/>
                <w:webHidden/>
              </w:rPr>
            </w:r>
            <w:r w:rsidR="00F459ED">
              <w:rPr>
                <w:noProof/>
                <w:webHidden/>
              </w:rPr>
              <w:fldChar w:fldCharType="separate"/>
            </w:r>
            <w:r w:rsidR="00F459ED">
              <w:rPr>
                <w:noProof/>
                <w:webHidden/>
              </w:rPr>
              <w:t>5</w:t>
            </w:r>
            <w:r w:rsidR="00F459ED">
              <w:rPr>
                <w:noProof/>
                <w:webHidden/>
              </w:rPr>
              <w:fldChar w:fldCharType="end"/>
            </w:r>
          </w:hyperlink>
        </w:p>
        <w:p w14:paraId="58E32A8E" w14:textId="7E0636BF"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67" w:history="1">
            <w:r w:rsidR="00F459ED" w:rsidRPr="00E0400C">
              <w:rPr>
                <w:rStyle w:val="Hyperlink"/>
                <w:noProof/>
              </w:rPr>
              <w:t>The Industrial Transformation Research Program</w:t>
            </w:r>
            <w:r w:rsidR="00F459ED">
              <w:rPr>
                <w:noProof/>
                <w:webHidden/>
              </w:rPr>
              <w:tab/>
            </w:r>
            <w:r w:rsidR="00F459ED">
              <w:rPr>
                <w:noProof/>
                <w:webHidden/>
              </w:rPr>
              <w:fldChar w:fldCharType="begin"/>
            </w:r>
            <w:r w:rsidR="00F459ED">
              <w:rPr>
                <w:noProof/>
                <w:webHidden/>
              </w:rPr>
              <w:instrText xml:space="preserve"> PAGEREF _Toc13057467 \h </w:instrText>
            </w:r>
            <w:r w:rsidR="00F459ED">
              <w:rPr>
                <w:noProof/>
                <w:webHidden/>
              </w:rPr>
            </w:r>
            <w:r w:rsidR="00F459ED">
              <w:rPr>
                <w:noProof/>
                <w:webHidden/>
              </w:rPr>
              <w:fldChar w:fldCharType="separate"/>
            </w:r>
            <w:r w:rsidR="00F459ED">
              <w:rPr>
                <w:noProof/>
                <w:webHidden/>
              </w:rPr>
              <w:t>5</w:t>
            </w:r>
            <w:r w:rsidR="00F459ED">
              <w:rPr>
                <w:noProof/>
                <w:webHidden/>
              </w:rPr>
              <w:fldChar w:fldCharType="end"/>
            </w:r>
          </w:hyperlink>
        </w:p>
        <w:p w14:paraId="1DE47CAE" w14:textId="10A2E563" w:rsidR="00F459ED" w:rsidRDefault="00C44B80">
          <w:pPr>
            <w:pStyle w:val="TOC1"/>
            <w:rPr>
              <w:rFonts w:asciiTheme="minorHAnsi" w:eastAsiaTheme="minorEastAsia" w:hAnsiTheme="minorHAnsi" w:cstheme="minorBidi"/>
              <w:b w:val="0"/>
              <w:bCs w:val="0"/>
              <w:iCs w:val="0"/>
              <w:noProof/>
              <w:color w:val="auto"/>
              <w:sz w:val="22"/>
              <w:szCs w:val="22"/>
              <w:lang w:eastAsia="en-AU"/>
            </w:rPr>
          </w:pPr>
          <w:hyperlink w:anchor="_Toc13057468" w:history="1">
            <w:r w:rsidR="00F459ED" w:rsidRPr="00E0400C">
              <w:rPr>
                <w:rStyle w:val="Hyperlink"/>
                <w:noProof/>
              </w:rPr>
              <w:t>Evaluation overview</w:t>
            </w:r>
            <w:r w:rsidR="00F459ED">
              <w:rPr>
                <w:noProof/>
                <w:webHidden/>
              </w:rPr>
              <w:tab/>
            </w:r>
            <w:r w:rsidR="00F459ED">
              <w:rPr>
                <w:noProof/>
                <w:webHidden/>
              </w:rPr>
              <w:fldChar w:fldCharType="begin"/>
            </w:r>
            <w:r w:rsidR="00F459ED">
              <w:rPr>
                <w:noProof/>
                <w:webHidden/>
              </w:rPr>
              <w:instrText xml:space="preserve"> PAGEREF _Toc13057468 \h </w:instrText>
            </w:r>
            <w:r w:rsidR="00F459ED">
              <w:rPr>
                <w:noProof/>
                <w:webHidden/>
              </w:rPr>
            </w:r>
            <w:r w:rsidR="00F459ED">
              <w:rPr>
                <w:noProof/>
                <w:webHidden/>
              </w:rPr>
              <w:fldChar w:fldCharType="separate"/>
            </w:r>
            <w:r w:rsidR="00F459ED">
              <w:rPr>
                <w:noProof/>
                <w:webHidden/>
              </w:rPr>
              <w:t>6</w:t>
            </w:r>
            <w:r w:rsidR="00F459ED">
              <w:rPr>
                <w:noProof/>
                <w:webHidden/>
              </w:rPr>
              <w:fldChar w:fldCharType="end"/>
            </w:r>
          </w:hyperlink>
        </w:p>
        <w:p w14:paraId="618FD2AF" w14:textId="15988210"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69" w:history="1">
            <w:r w:rsidR="00F459ED" w:rsidRPr="00E0400C">
              <w:rPr>
                <w:rStyle w:val="Hyperlink"/>
                <w:noProof/>
              </w:rPr>
              <w:t>Authorisation and management</w:t>
            </w:r>
            <w:r w:rsidR="00F459ED">
              <w:rPr>
                <w:noProof/>
                <w:webHidden/>
              </w:rPr>
              <w:tab/>
            </w:r>
            <w:r w:rsidR="00F459ED">
              <w:rPr>
                <w:noProof/>
                <w:webHidden/>
              </w:rPr>
              <w:fldChar w:fldCharType="begin"/>
            </w:r>
            <w:r w:rsidR="00F459ED">
              <w:rPr>
                <w:noProof/>
                <w:webHidden/>
              </w:rPr>
              <w:instrText xml:space="preserve"> PAGEREF _Toc13057469 \h </w:instrText>
            </w:r>
            <w:r w:rsidR="00F459ED">
              <w:rPr>
                <w:noProof/>
                <w:webHidden/>
              </w:rPr>
            </w:r>
            <w:r w:rsidR="00F459ED">
              <w:rPr>
                <w:noProof/>
                <w:webHidden/>
              </w:rPr>
              <w:fldChar w:fldCharType="separate"/>
            </w:r>
            <w:r w:rsidR="00F459ED">
              <w:rPr>
                <w:noProof/>
                <w:webHidden/>
              </w:rPr>
              <w:t>6</w:t>
            </w:r>
            <w:r w:rsidR="00F459ED">
              <w:rPr>
                <w:noProof/>
                <w:webHidden/>
              </w:rPr>
              <w:fldChar w:fldCharType="end"/>
            </w:r>
          </w:hyperlink>
        </w:p>
        <w:p w14:paraId="65927B9B" w14:textId="3F88DB47"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0" w:history="1">
            <w:r w:rsidR="00F459ED" w:rsidRPr="00E0400C">
              <w:rPr>
                <w:rStyle w:val="Hyperlink"/>
                <w:noProof/>
              </w:rPr>
              <w:t>Reasons for the evaluation</w:t>
            </w:r>
            <w:r w:rsidR="00F459ED">
              <w:rPr>
                <w:noProof/>
                <w:webHidden/>
              </w:rPr>
              <w:tab/>
            </w:r>
            <w:r w:rsidR="00F459ED">
              <w:rPr>
                <w:noProof/>
                <w:webHidden/>
              </w:rPr>
              <w:fldChar w:fldCharType="begin"/>
            </w:r>
            <w:r w:rsidR="00F459ED">
              <w:rPr>
                <w:noProof/>
                <w:webHidden/>
              </w:rPr>
              <w:instrText xml:space="preserve"> PAGEREF _Toc13057470 \h </w:instrText>
            </w:r>
            <w:r w:rsidR="00F459ED">
              <w:rPr>
                <w:noProof/>
                <w:webHidden/>
              </w:rPr>
            </w:r>
            <w:r w:rsidR="00F459ED">
              <w:rPr>
                <w:noProof/>
                <w:webHidden/>
              </w:rPr>
              <w:fldChar w:fldCharType="separate"/>
            </w:r>
            <w:r w:rsidR="00F459ED">
              <w:rPr>
                <w:noProof/>
                <w:webHidden/>
              </w:rPr>
              <w:t>6</w:t>
            </w:r>
            <w:r w:rsidR="00F459ED">
              <w:rPr>
                <w:noProof/>
                <w:webHidden/>
              </w:rPr>
              <w:fldChar w:fldCharType="end"/>
            </w:r>
          </w:hyperlink>
        </w:p>
        <w:p w14:paraId="3F9CE910" w14:textId="2A5005A3"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1" w:history="1">
            <w:r w:rsidR="00F459ED" w:rsidRPr="00E0400C">
              <w:rPr>
                <w:rStyle w:val="Hyperlink"/>
                <w:noProof/>
              </w:rPr>
              <w:t>Purpose and scope</w:t>
            </w:r>
            <w:r w:rsidR="00F459ED">
              <w:rPr>
                <w:noProof/>
                <w:webHidden/>
              </w:rPr>
              <w:tab/>
            </w:r>
            <w:r w:rsidR="00F459ED">
              <w:rPr>
                <w:noProof/>
                <w:webHidden/>
              </w:rPr>
              <w:fldChar w:fldCharType="begin"/>
            </w:r>
            <w:r w:rsidR="00F459ED">
              <w:rPr>
                <w:noProof/>
                <w:webHidden/>
              </w:rPr>
              <w:instrText xml:space="preserve"> PAGEREF _Toc13057471 \h </w:instrText>
            </w:r>
            <w:r w:rsidR="00F459ED">
              <w:rPr>
                <w:noProof/>
                <w:webHidden/>
              </w:rPr>
            </w:r>
            <w:r w:rsidR="00F459ED">
              <w:rPr>
                <w:noProof/>
                <w:webHidden/>
              </w:rPr>
              <w:fldChar w:fldCharType="separate"/>
            </w:r>
            <w:r w:rsidR="00F459ED">
              <w:rPr>
                <w:noProof/>
                <w:webHidden/>
              </w:rPr>
              <w:t>6</w:t>
            </w:r>
            <w:r w:rsidR="00F459ED">
              <w:rPr>
                <w:noProof/>
                <w:webHidden/>
              </w:rPr>
              <w:fldChar w:fldCharType="end"/>
            </w:r>
          </w:hyperlink>
        </w:p>
        <w:p w14:paraId="01A5D90B" w14:textId="6697866F"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2" w:history="1">
            <w:r w:rsidR="00F459ED" w:rsidRPr="00E0400C">
              <w:rPr>
                <w:rStyle w:val="Hyperlink"/>
                <w:noProof/>
              </w:rPr>
              <w:t>Terms of reference</w:t>
            </w:r>
            <w:r w:rsidR="00F459ED">
              <w:rPr>
                <w:noProof/>
                <w:webHidden/>
              </w:rPr>
              <w:tab/>
            </w:r>
            <w:r w:rsidR="00F459ED">
              <w:rPr>
                <w:noProof/>
                <w:webHidden/>
              </w:rPr>
              <w:fldChar w:fldCharType="begin"/>
            </w:r>
            <w:r w:rsidR="00F459ED">
              <w:rPr>
                <w:noProof/>
                <w:webHidden/>
              </w:rPr>
              <w:instrText xml:space="preserve"> PAGEREF _Toc13057472 \h </w:instrText>
            </w:r>
            <w:r w:rsidR="00F459ED">
              <w:rPr>
                <w:noProof/>
                <w:webHidden/>
              </w:rPr>
            </w:r>
            <w:r w:rsidR="00F459ED">
              <w:rPr>
                <w:noProof/>
                <w:webHidden/>
              </w:rPr>
              <w:fldChar w:fldCharType="separate"/>
            </w:r>
            <w:r w:rsidR="00F459ED">
              <w:rPr>
                <w:noProof/>
                <w:webHidden/>
              </w:rPr>
              <w:t>7</w:t>
            </w:r>
            <w:r w:rsidR="00F459ED">
              <w:rPr>
                <w:noProof/>
                <w:webHidden/>
              </w:rPr>
              <w:fldChar w:fldCharType="end"/>
            </w:r>
          </w:hyperlink>
        </w:p>
        <w:p w14:paraId="52842062" w14:textId="785CF33C"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3" w:history="1">
            <w:r w:rsidR="00F459ED" w:rsidRPr="00E0400C">
              <w:rPr>
                <w:rStyle w:val="Hyperlink"/>
                <w:noProof/>
              </w:rPr>
              <w:t>Evaluation questions</w:t>
            </w:r>
            <w:r w:rsidR="00F459ED">
              <w:rPr>
                <w:noProof/>
                <w:webHidden/>
              </w:rPr>
              <w:tab/>
            </w:r>
            <w:r w:rsidR="00F459ED">
              <w:rPr>
                <w:noProof/>
                <w:webHidden/>
              </w:rPr>
              <w:fldChar w:fldCharType="begin"/>
            </w:r>
            <w:r w:rsidR="00F459ED">
              <w:rPr>
                <w:noProof/>
                <w:webHidden/>
              </w:rPr>
              <w:instrText xml:space="preserve"> PAGEREF _Toc13057473 \h </w:instrText>
            </w:r>
            <w:r w:rsidR="00F459ED">
              <w:rPr>
                <w:noProof/>
                <w:webHidden/>
              </w:rPr>
            </w:r>
            <w:r w:rsidR="00F459ED">
              <w:rPr>
                <w:noProof/>
                <w:webHidden/>
              </w:rPr>
              <w:fldChar w:fldCharType="separate"/>
            </w:r>
            <w:r w:rsidR="00F459ED">
              <w:rPr>
                <w:noProof/>
                <w:webHidden/>
              </w:rPr>
              <w:t>7</w:t>
            </w:r>
            <w:r w:rsidR="00F459ED">
              <w:rPr>
                <w:noProof/>
                <w:webHidden/>
              </w:rPr>
              <w:fldChar w:fldCharType="end"/>
            </w:r>
          </w:hyperlink>
        </w:p>
        <w:p w14:paraId="31DB41F2" w14:textId="39888A09"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4" w:history="1">
            <w:r w:rsidR="00F459ED" w:rsidRPr="00E0400C">
              <w:rPr>
                <w:rStyle w:val="Hyperlink"/>
                <w:noProof/>
              </w:rPr>
              <w:t>Methodology</w:t>
            </w:r>
            <w:r w:rsidR="00F459ED">
              <w:rPr>
                <w:noProof/>
                <w:webHidden/>
              </w:rPr>
              <w:tab/>
            </w:r>
            <w:r w:rsidR="00F459ED">
              <w:rPr>
                <w:noProof/>
                <w:webHidden/>
              </w:rPr>
              <w:fldChar w:fldCharType="begin"/>
            </w:r>
            <w:r w:rsidR="00F459ED">
              <w:rPr>
                <w:noProof/>
                <w:webHidden/>
              </w:rPr>
              <w:instrText xml:space="preserve"> PAGEREF _Toc13057474 \h </w:instrText>
            </w:r>
            <w:r w:rsidR="00F459ED">
              <w:rPr>
                <w:noProof/>
                <w:webHidden/>
              </w:rPr>
            </w:r>
            <w:r w:rsidR="00F459ED">
              <w:rPr>
                <w:noProof/>
                <w:webHidden/>
              </w:rPr>
              <w:fldChar w:fldCharType="separate"/>
            </w:r>
            <w:r w:rsidR="00F459ED">
              <w:rPr>
                <w:noProof/>
                <w:webHidden/>
              </w:rPr>
              <w:t>8</w:t>
            </w:r>
            <w:r w:rsidR="00F459ED">
              <w:rPr>
                <w:noProof/>
                <w:webHidden/>
              </w:rPr>
              <w:fldChar w:fldCharType="end"/>
            </w:r>
          </w:hyperlink>
        </w:p>
        <w:p w14:paraId="437DA6E6" w14:textId="73B4B616" w:rsidR="00F459ED" w:rsidRDefault="00C44B80">
          <w:pPr>
            <w:pStyle w:val="TOC1"/>
            <w:rPr>
              <w:rFonts w:asciiTheme="minorHAnsi" w:eastAsiaTheme="minorEastAsia" w:hAnsiTheme="minorHAnsi" w:cstheme="minorBidi"/>
              <w:b w:val="0"/>
              <w:bCs w:val="0"/>
              <w:iCs w:val="0"/>
              <w:noProof/>
              <w:color w:val="auto"/>
              <w:sz w:val="22"/>
              <w:szCs w:val="22"/>
              <w:lang w:eastAsia="en-AU"/>
            </w:rPr>
          </w:pPr>
          <w:hyperlink w:anchor="_Toc13057475" w:history="1">
            <w:r w:rsidR="00F459ED" w:rsidRPr="00E0400C">
              <w:rPr>
                <w:rStyle w:val="Hyperlink"/>
                <w:noProof/>
              </w:rPr>
              <w:t>Key findings</w:t>
            </w:r>
            <w:r w:rsidR="00F459ED">
              <w:rPr>
                <w:noProof/>
                <w:webHidden/>
              </w:rPr>
              <w:tab/>
            </w:r>
            <w:r w:rsidR="00F459ED">
              <w:rPr>
                <w:noProof/>
                <w:webHidden/>
              </w:rPr>
              <w:fldChar w:fldCharType="begin"/>
            </w:r>
            <w:r w:rsidR="00F459ED">
              <w:rPr>
                <w:noProof/>
                <w:webHidden/>
              </w:rPr>
              <w:instrText xml:space="preserve"> PAGEREF _Toc13057475 \h </w:instrText>
            </w:r>
            <w:r w:rsidR="00F459ED">
              <w:rPr>
                <w:noProof/>
                <w:webHidden/>
              </w:rPr>
            </w:r>
            <w:r w:rsidR="00F459ED">
              <w:rPr>
                <w:noProof/>
                <w:webHidden/>
              </w:rPr>
              <w:fldChar w:fldCharType="separate"/>
            </w:r>
            <w:r w:rsidR="00F459ED">
              <w:rPr>
                <w:noProof/>
                <w:webHidden/>
              </w:rPr>
              <w:t>10</w:t>
            </w:r>
            <w:r w:rsidR="00F459ED">
              <w:rPr>
                <w:noProof/>
                <w:webHidden/>
              </w:rPr>
              <w:fldChar w:fldCharType="end"/>
            </w:r>
          </w:hyperlink>
        </w:p>
        <w:p w14:paraId="4678920E" w14:textId="4273D04E"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6" w:history="1">
            <w:r w:rsidR="00F459ED" w:rsidRPr="00E0400C">
              <w:rPr>
                <w:rStyle w:val="Hyperlink"/>
                <w:noProof/>
              </w:rPr>
              <w:t>ITRP objectives</w:t>
            </w:r>
            <w:r w:rsidR="00F459ED">
              <w:rPr>
                <w:noProof/>
                <w:webHidden/>
              </w:rPr>
              <w:tab/>
            </w:r>
            <w:r w:rsidR="00F459ED">
              <w:rPr>
                <w:noProof/>
                <w:webHidden/>
              </w:rPr>
              <w:fldChar w:fldCharType="begin"/>
            </w:r>
            <w:r w:rsidR="00F459ED">
              <w:rPr>
                <w:noProof/>
                <w:webHidden/>
              </w:rPr>
              <w:instrText xml:space="preserve"> PAGEREF _Toc13057476 \h </w:instrText>
            </w:r>
            <w:r w:rsidR="00F459ED">
              <w:rPr>
                <w:noProof/>
                <w:webHidden/>
              </w:rPr>
            </w:r>
            <w:r w:rsidR="00F459ED">
              <w:rPr>
                <w:noProof/>
                <w:webHidden/>
              </w:rPr>
              <w:fldChar w:fldCharType="separate"/>
            </w:r>
            <w:r w:rsidR="00F459ED">
              <w:rPr>
                <w:noProof/>
                <w:webHidden/>
              </w:rPr>
              <w:t>10</w:t>
            </w:r>
            <w:r w:rsidR="00F459ED">
              <w:rPr>
                <w:noProof/>
                <w:webHidden/>
              </w:rPr>
              <w:fldChar w:fldCharType="end"/>
            </w:r>
          </w:hyperlink>
        </w:p>
        <w:p w14:paraId="1A880E63" w14:textId="706EAFBE"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7" w:history="1">
            <w:r w:rsidR="00F459ED" w:rsidRPr="00E0400C">
              <w:rPr>
                <w:rStyle w:val="Hyperlink"/>
                <w:noProof/>
              </w:rPr>
              <w:t>ITRP support for industry focused research collaboration</w:t>
            </w:r>
            <w:r w:rsidR="00F459ED">
              <w:rPr>
                <w:noProof/>
                <w:webHidden/>
              </w:rPr>
              <w:tab/>
            </w:r>
            <w:r w:rsidR="00F459ED">
              <w:rPr>
                <w:noProof/>
                <w:webHidden/>
              </w:rPr>
              <w:fldChar w:fldCharType="begin"/>
            </w:r>
            <w:r w:rsidR="00F459ED">
              <w:rPr>
                <w:noProof/>
                <w:webHidden/>
              </w:rPr>
              <w:instrText xml:space="preserve"> PAGEREF _Toc13057477 \h </w:instrText>
            </w:r>
            <w:r w:rsidR="00F459ED">
              <w:rPr>
                <w:noProof/>
                <w:webHidden/>
              </w:rPr>
            </w:r>
            <w:r w:rsidR="00F459ED">
              <w:rPr>
                <w:noProof/>
                <w:webHidden/>
              </w:rPr>
              <w:fldChar w:fldCharType="separate"/>
            </w:r>
            <w:r w:rsidR="00F459ED">
              <w:rPr>
                <w:noProof/>
                <w:webHidden/>
              </w:rPr>
              <w:t>10</w:t>
            </w:r>
            <w:r w:rsidR="00F459ED">
              <w:rPr>
                <w:noProof/>
                <w:webHidden/>
              </w:rPr>
              <w:fldChar w:fldCharType="end"/>
            </w:r>
          </w:hyperlink>
        </w:p>
        <w:p w14:paraId="709CA3A2" w14:textId="58B84541"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8" w:history="1">
            <w:r w:rsidR="00F459ED" w:rsidRPr="00E0400C">
              <w:rPr>
                <w:rStyle w:val="Hyperlink"/>
                <w:noProof/>
              </w:rPr>
              <w:t>ITRP support for industry focused research training</w:t>
            </w:r>
            <w:r w:rsidR="00F459ED">
              <w:rPr>
                <w:noProof/>
                <w:webHidden/>
              </w:rPr>
              <w:tab/>
            </w:r>
            <w:r w:rsidR="00F459ED">
              <w:rPr>
                <w:noProof/>
                <w:webHidden/>
              </w:rPr>
              <w:fldChar w:fldCharType="begin"/>
            </w:r>
            <w:r w:rsidR="00F459ED">
              <w:rPr>
                <w:noProof/>
                <w:webHidden/>
              </w:rPr>
              <w:instrText xml:space="preserve"> PAGEREF _Toc13057478 \h </w:instrText>
            </w:r>
            <w:r w:rsidR="00F459ED">
              <w:rPr>
                <w:noProof/>
                <w:webHidden/>
              </w:rPr>
            </w:r>
            <w:r w:rsidR="00F459ED">
              <w:rPr>
                <w:noProof/>
                <w:webHidden/>
              </w:rPr>
              <w:fldChar w:fldCharType="separate"/>
            </w:r>
            <w:r w:rsidR="00F459ED">
              <w:rPr>
                <w:noProof/>
                <w:webHidden/>
              </w:rPr>
              <w:t>11</w:t>
            </w:r>
            <w:r w:rsidR="00F459ED">
              <w:rPr>
                <w:noProof/>
                <w:webHidden/>
              </w:rPr>
              <w:fldChar w:fldCharType="end"/>
            </w:r>
          </w:hyperlink>
        </w:p>
        <w:p w14:paraId="443E7C7B" w14:textId="061A6ABC"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79" w:history="1">
            <w:r w:rsidR="00F459ED" w:rsidRPr="00E0400C">
              <w:rPr>
                <w:rStyle w:val="Hyperlink"/>
                <w:noProof/>
              </w:rPr>
              <w:t>Engagement with Industry Growth Centres</w:t>
            </w:r>
            <w:r w:rsidR="00F459ED">
              <w:rPr>
                <w:noProof/>
                <w:webHidden/>
              </w:rPr>
              <w:tab/>
            </w:r>
            <w:r w:rsidR="00F459ED">
              <w:rPr>
                <w:noProof/>
                <w:webHidden/>
              </w:rPr>
              <w:fldChar w:fldCharType="begin"/>
            </w:r>
            <w:r w:rsidR="00F459ED">
              <w:rPr>
                <w:noProof/>
                <w:webHidden/>
              </w:rPr>
              <w:instrText xml:space="preserve"> PAGEREF _Toc13057479 \h </w:instrText>
            </w:r>
            <w:r w:rsidR="00F459ED">
              <w:rPr>
                <w:noProof/>
                <w:webHidden/>
              </w:rPr>
            </w:r>
            <w:r w:rsidR="00F459ED">
              <w:rPr>
                <w:noProof/>
                <w:webHidden/>
              </w:rPr>
              <w:fldChar w:fldCharType="separate"/>
            </w:r>
            <w:r w:rsidR="00F459ED">
              <w:rPr>
                <w:noProof/>
                <w:webHidden/>
              </w:rPr>
              <w:t>11</w:t>
            </w:r>
            <w:r w:rsidR="00F459ED">
              <w:rPr>
                <w:noProof/>
                <w:webHidden/>
              </w:rPr>
              <w:fldChar w:fldCharType="end"/>
            </w:r>
          </w:hyperlink>
        </w:p>
        <w:p w14:paraId="2C3A53A0" w14:textId="1F22C71D"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80" w:history="1">
            <w:r w:rsidR="00F459ED" w:rsidRPr="00E0400C">
              <w:rPr>
                <w:rStyle w:val="Hyperlink"/>
                <w:noProof/>
              </w:rPr>
              <w:t>ITRP fit with other Australian Government programs</w:t>
            </w:r>
            <w:r w:rsidR="00F459ED">
              <w:rPr>
                <w:noProof/>
                <w:webHidden/>
              </w:rPr>
              <w:tab/>
            </w:r>
            <w:r w:rsidR="00F459ED">
              <w:rPr>
                <w:noProof/>
                <w:webHidden/>
              </w:rPr>
              <w:fldChar w:fldCharType="begin"/>
            </w:r>
            <w:r w:rsidR="00F459ED">
              <w:rPr>
                <w:noProof/>
                <w:webHidden/>
              </w:rPr>
              <w:instrText xml:space="preserve"> PAGEREF _Toc13057480 \h </w:instrText>
            </w:r>
            <w:r w:rsidR="00F459ED">
              <w:rPr>
                <w:noProof/>
                <w:webHidden/>
              </w:rPr>
            </w:r>
            <w:r w:rsidR="00F459ED">
              <w:rPr>
                <w:noProof/>
                <w:webHidden/>
              </w:rPr>
              <w:fldChar w:fldCharType="separate"/>
            </w:r>
            <w:r w:rsidR="00F459ED">
              <w:rPr>
                <w:noProof/>
                <w:webHidden/>
              </w:rPr>
              <w:t>11</w:t>
            </w:r>
            <w:r w:rsidR="00F459ED">
              <w:rPr>
                <w:noProof/>
                <w:webHidden/>
              </w:rPr>
              <w:fldChar w:fldCharType="end"/>
            </w:r>
          </w:hyperlink>
        </w:p>
        <w:p w14:paraId="54A6EBE7" w14:textId="179F7D71"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81" w:history="1">
            <w:r w:rsidR="00F459ED" w:rsidRPr="00E0400C">
              <w:rPr>
                <w:rStyle w:val="Hyperlink"/>
                <w:noProof/>
              </w:rPr>
              <w:t>ARC implementation of the ITRP process</w:t>
            </w:r>
            <w:r w:rsidR="00F459ED">
              <w:rPr>
                <w:noProof/>
                <w:webHidden/>
              </w:rPr>
              <w:tab/>
            </w:r>
            <w:r w:rsidR="00F459ED">
              <w:rPr>
                <w:noProof/>
                <w:webHidden/>
              </w:rPr>
              <w:fldChar w:fldCharType="begin"/>
            </w:r>
            <w:r w:rsidR="00F459ED">
              <w:rPr>
                <w:noProof/>
                <w:webHidden/>
              </w:rPr>
              <w:instrText xml:space="preserve"> PAGEREF _Toc13057481 \h </w:instrText>
            </w:r>
            <w:r w:rsidR="00F459ED">
              <w:rPr>
                <w:noProof/>
                <w:webHidden/>
              </w:rPr>
            </w:r>
            <w:r w:rsidR="00F459ED">
              <w:rPr>
                <w:noProof/>
                <w:webHidden/>
              </w:rPr>
              <w:fldChar w:fldCharType="separate"/>
            </w:r>
            <w:r w:rsidR="00F459ED">
              <w:rPr>
                <w:noProof/>
                <w:webHidden/>
              </w:rPr>
              <w:t>12</w:t>
            </w:r>
            <w:r w:rsidR="00F459ED">
              <w:rPr>
                <w:noProof/>
                <w:webHidden/>
              </w:rPr>
              <w:fldChar w:fldCharType="end"/>
            </w:r>
          </w:hyperlink>
        </w:p>
        <w:p w14:paraId="22B4E166" w14:textId="1E749F3A" w:rsidR="00F459ED" w:rsidRDefault="00C44B80">
          <w:pPr>
            <w:pStyle w:val="TOC1"/>
            <w:rPr>
              <w:rFonts w:asciiTheme="minorHAnsi" w:eastAsiaTheme="minorEastAsia" w:hAnsiTheme="minorHAnsi" w:cstheme="minorBidi"/>
              <w:b w:val="0"/>
              <w:bCs w:val="0"/>
              <w:iCs w:val="0"/>
              <w:noProof/>
              <w:color w:val="auto"/>
              <w:sz w:val="22"/>
              <w:szCs w:val="22"/>
              <w:lang w:eastAsia="en-AU"/>
            </w:rPr>
          </w:pPr>
          <w:hyperlink w:anchor="_Toc13057482" w:history="1">
            <w:r w:rsidR="00F459ED" w:rsidRPr="00E0400C">
              <w:rPr>
                <w:rStyle w:val="Hyperlink"/>
                <w:noProof/>
              </w:rPr>
              <w:t>Recommendations</w:t>
            </w:r>
            <w:r w:rsidR="00F459ED">
              <w:rPr>
                <w:noProof/>
                <w:webHidden/>
              </w:rPr>
              <w:tab/>
            </w:r>
            <w:r w:rsidR="00F459ED">
              <w:rPr>
                <w:noProof/>
                <w:webHidden/>
              </w:rPr>
              <w:fldChar w:fldCharType="begin"/>
            </w:r>
            <w:r w:rsidR="00F459ED">
              <w:rPr>
                <w:noProof/>
                <w:webHidden/>
              </w:rPr>
              <w:instrText xml:space="preserve"> PAGEREF _Toc13057482 \h </w:instrText>
            </w:r>
            <w:r w:rsidR="00F459ED">
              <w:rPr>
                <w:noProof/>
                <w:webHidden/>
              </w:rPr>
            </w:r>
            <w:r w:rsidR="00F459ED">
              <w:rPr>
                <w:noProof/>
                <w:webHidden/>
              </w:rPr>
              <w:fldChar w:fldCharType="separate"/>
            </w:r>
            <w:r w:rsidR="00F459ED">
              <w:rPr>
                <w:noProof/>
                <w:webHidden/>
              </w:rPr>
              <w:t>12</w:t>
            </w:r>
            <w:r w:rsidR="00F459ED">
              <w:rPr>
                <w:noProof/>
                <w:webHidden/>
              </w:rPr>
              <w:fldChar w:fldCharType="end"/>
            </w:r>
          </w:hyperlink>
        </w:p>
        <w:p w14:paraId="1037CFCA" w14:textId="47E58ABB"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83" w:history="1">
            <w:r w:rsidR="00F459ED" w:rsidRPr="00E0400C">
              <w:rPr>
                <w:rStyle w:val="Hyperlink"/>
                <w:noProof/>
              </w:rPr>
              <w:t>Recommendation 1: Industrial Transformation Priorities</w:t>
            </w:r>
            <w:r w:rsidR="00F459ED">
              <w:rPr>
                <w:noProof/>
                <w:webHidden/>
              </w:rPr>
              <w:tab/>
            </w:r>
            <w:r w:rsidR="00F459ED">
              <w:rPr>
                <w:noProof/>
                <w:webHidden/>
              </w:rPr>
              <w:fldChar w:fldCharType="begin"/>
            </w:r>
            <w:r w:rsidR="00F459ED">
              <w:rPr>
                <w:noProof/>
                <w:webHidden/>
              </w:rPr>
              <w:instrText xml:space="preserve"> PAGEREF _Toc13057483 \h </w:instrText>
            </w:r>
            <w:r w:rsidR="00F459ED">
              <w:rPr>
                <w:noProof/>
                <w:webHidden/>
              </w:rPr>
            </w:r>
            <w:r w:rsidR="00F459ED">
              <w:rPr>
                <w:noProof/>
                <w:webHidden/>
              </w:rPr>
              <w:fldChar w:fldCharType="separate"/>
            </w:r>
            <w:r w:rsidR="00F459ED">
              <w:rPr>
                <w:noProof/>
                <w:webHidden/>
              </w:rPr>
              <w:t>12</w:t>
            </w:r>
            <w:r w:rsidR="00F459ED">
              <w:rPr>
                <w:noProof/>
                <w:webHidden/>
              </w:rPr>
              <w:fldChar w:fldCharType="end"/>
            </w:r>
          </w:hyperlink>
        </w:p>
        <w:p w14:paraId="482B21AB" w14:textId="19646F6A"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84" w:history="1">
            <w:r w:rsidR="00F459ED" w:rsidRPr="00E0400C">
              <w:rPr>
                <w:rStyle w:val="Hyperlink"/>
                <w:noProof/>
              </w:rPr>
              <w:t>Recommendation 2: Information on HDR students and PDRs</w:t>
            </w:r>
            <w:r w:rsidR="00F459ED">
              <w:rPr>
                <w:noProof/>
                <w:webHidden/>
              </w:rPr>
              <w:tab/>
            </w:r>
            <w:r w:rsidR="00F459ED">
              <w:rPr>
                <w:noProof/>
                <w:webHidden/>
              </w:rPr>
              <w:fldChar w:fldCharType="begin"/>
            </w:r>
            <w:r w:rsidR="00F459ED">
              <w:rPr>
                <w:noProof/>
                <w:webHidden/>
              </w:rPr>
              <w:instrText xml:space="preserve"> PAGEREF _Toc13057484 \h </w:instrText>
            </w:r>
            <w:r w:rsidR="00F459ED">
              <w:rPr>
                <w:noProof/>
                <w:webHidden/>
              </w:rPr>
            </w:r>
            <w:r w:rsidR="00F459ED">
              <w:rPr>
                <w:noProof/>
                <w:webHidden/>
              </w:rPr>
              <w:fldChar w:fldCharType="separate"/>
            </w:r>
            <w:r w:rsidR="00F459ED">
              <w:rPr>
                <w:noProof/>
                <w:webHidden/>
              </w:rPr>
              <w:t>13</w:t>
            </w:r>
            <w:r w:rsidR="00F459ED">
              <w:rPr>
                <w:noProof/>
                <w:webHidden/>
              </w:rPr>
              <w:fldChar w:fldCharType="end"/>
            </w:r>
          </w:hyperlink>
        </w:p>
        <w:p w14:paraId="39B77A2F" w14:textId="2C2CD83B"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85" w:history="1">
            <w:r w:rsidR="00F459ED" w:rsidRPr="00E0400C">
              <w:rPr>
                <w:rStyle w:val="Hyperlink"/>
                <w:noProof/>
              </w:rPr>
              <w:t>Recommendation 3: Data and monitoring</w:t>
            </w:r>
            <w:r w:rsidR="00F459ED">
              <w:rPr>
                <w:noProof/>
                <w:webHidden/>
              </w:rPr>
              <w:tab/>
            </w:r>
            <w:r w:rsidR="00F459ED">
              <w:rPr>
                <w:noProof/>
                <w:webHidden/>
              </w:rPr>
              <w:fldChar w:fldCharType="begin"/>
            </w:r>
            <w:r w:rsidR="00F459ED">
              <w:rPr>
                <w:noProof/>
                <w:webHidden/>
              </w:rPr>
              <w:instrText xml:space="preserve"> PAGEREF _Toc13057485 \h </w:instrText>
            </w:r>
            <w:r w:rsidR="00F459ED">
              <w:rPr>
                <w:noProof/>
                <w:webHidden/>
              </w:rPr>
            </w:r>
            <w:r w:rsidR="00F459ED">
              <w:rPr>
                <w:noProof/>
                <w:webHidden/>
              </w:rPr>
              <w:fldChar w:fldCharType="separate"/>
            </w:r>
            <w:r w:rsidR="00F459ED">
              <w:rPr>
                <w:noProof/>
                <w:webHidden/>
              </w:rPr>
              <w:t>13</w:t>
            </w:r>
            <w:r w:rsidR="00F459ED">
              <w:rPr>
                <w:noProof/>
                <w:webHidden/>
              </w:rPr>
              <w:fldChar w:fldCharType="end"/>
            </w:r>
          </w:hyperlink>
        </w:p>
        <w:p w14:paraId="4ED7277A" w14:textId="68AD19E7"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86" w:history="1">
            <w:r w:rsidR="00F459ED" w:rsidRPr="00E0400C">
              <w:rPr>
                <w:rStyle w:val="Hyperlink"/>
                <w:noProof/>
              </w:rPr>
              <w:t>Recommendation 4: Engagement, advice and outreach</w:t>
            </w:r>
            <w:r w:rsidR="00F459ED">
              <w:rPr>
                <w:noProof/>
                <w:webHidden/>
              </w:rPr>
              <w:tab/>
            </w:r>
            <w:r w:rsidR="00F459ED">
              <w:rPr>
                <w:noProof/>
                <w:webHidden/>
              </w:rPr>
              <w:fldChar w:fldCharType="begin"/>
            </w:r>
            <w:r w:rsidR="00F459ED">
              <w:rPr>
                <w:noProof/>
                <w:webHidden/>
              </w:rPr>
              <w:instrText xml:space="preserve"> PAGEREF _Toc13057486 \h </w:instrText>
            </w:r>
            <w:r w:rsidR="00F459ED">
              <w:rPr>
                <w:noProof/>
                <w:webHidden/>
              </w:rPr>
            </w:r>
            <w:r w:rsidR="00F459ED">
              <w:rPr>
                <w:noProof/>
                <w:webHidden/>
              </w:rPr>
              <w:fldChar w:fldCharType="separate"/>
            </w:r>
            <w:r w:rsidR="00F459ED">
              <w:rPr>
                <w:noProof/>
                <w:webHidden/>
              </w:rPr>
              <w:t>13</w:t>
            </w:r>
            <w:r w:rsidR="00F459ED">
              <w:rPr>
                <w:noProof/>
                <w:webHidden/>
              </w:rPr>
              <w:fldChar w:fldCharType="end"/>
            </w:r>
          </w:hyperlink>
        </w:p>
        <w:p w14:paraId="2F125B52" w14:textId="39C9782F" w:rsidR="00F459ED" w:rsidRDefault="00C44B80">
          <w:pPr>
            <w:pStyle w:val="TOC1"/>
            <w:rPr>
              <w:rFonts w:asciiTheme="minorHAnsi" w:eastAsiaTheme="minorEastAsia" w:hAnsiTheme="minorHAnsi" w:cstheme="minorBidi"/>
              <w:b w:val="0"/>
              <w:bCs w:val="0"/>
              <w:iCs w:val="0"/>
              <w:noProof/>
              <w:color w:val="auto"/>
              <w:sz w:val="22"/>
              <w:szCs w:val="22"/>
              <w:lang w:eastAsia="en-AU"/>
            </w:rPr>
          </w:pPr>
          <w:hyperlink w:anchor="_Toc13057487" w:history="1">
            <w:r w:rsidR="00F459ED" w:rsidRPr="00E0400C">
              <w:rPr>
                <w:rStyle w:val="Hyperlink"/>
                <w:noProof/>
              </w:rPr>
              <w:t>APPENDIX 1: Analysis of ARC data and information</w:t>
            </w:r>
            <w:r w:rsidR="00F459ED">
              <w:rPr>
                <w:noProof/>
                <w:webHidden/>
              </w:rPr>
              <w:tab/>
            </w:r>
            <w:r w:rsidR="00F459ED">
              <w:rPr>
                <w:noProof/>
                <w:webHidden/>
              </w:rPr>
              <w:fldChar w:fldCharType="begin"/>
            </w:r>
            <w:r w:rsidR="00F459ED">
              <w:rPr>
                <w:noProof/>
                <w:webHidden/>
              </w:rPr>
              <w:instrText xml:space="preserve"> PAGEREF _Toc13057487 \h </w:instrText>
            </w:r>
            <w:r w:rsidR="00F459ED">
              <w:rPr>
                <w:noProof/>
                <w:webHidden/>
              </w:rPr>
            </w:r>
            <w:r w:rsidR="00F459ED">
              <w:rPr>
                <w:noProof/>
                <w:webHidden/>
              </w:rPr>
              <w:fldChar w:fldCharType="separate"/>
            </w:r>
            <w:r w:rsidR="00F459ED">
              <w:rPr>
                <w:noProof/>
                <w:webHidden/>
              </w:rPr>
              <w:t>15</w:t>
            </w:r>
            <w:r w:rsidR="00F459ED">
              <w:rPr>
                <w:noProof/>
                <w:webHidden/>
              </w:rPr>
              <w:fldChar w:fldCharType="end"/>
            </w:r>
          </w:hyperlink>
        </w:p>
        <w:p w14:paraId="6E46371F" w14:textId="1362F8E1"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88" w:history="1">
            <w:r w:rsidR="00F459ED" w:rsidRPr="00E0400C">
              <w:rPr>
                <w:rStyle w:val="Hyperlink"/>
                <w:noProof/>
              </w:rPr>
              <w:t>ITRP support for industry focused research collaboration</w:t>
            </w:r>
            <w:r w:rsidR="00F459ED">
              <w:rPr>
                <w:noProof/>
                <w:webHidden/>
              </w:rPr>
              <w:tab/>
            </w:r>
            <w:r w:rsidR="00F459ED">
              <w:rPr>
                <w:noProof/>
                <w:webHidden/>
              </w:rPr>
              <w:fldChar w:fldCharType="begin"/>
            </w:r>
            <w:r w:rsidR="00F459ED">
              <w:rPr>
                <w:noProof/>
                <w:webHidden/>
              </w:rPr>
              <w:instrText xml:space="preserve"> PAGEREF _Toc13057488 \h </w:instrText>
            </w:r>
            <w:r w:rsidR="00F459ED">
              <w:rPr>
                <w:noProof/>
                <w:webHidden/>
              </w:rPr>
            </w:r>
            <w:r w:rsidR="00F459ED">
              <w:rPr>
                <w:noProof/>
                <w:webHidden/>
              </w:rPr>
              <w:fldChar w:fldCharType="separate"/>
            </w:r>
            <w:r w:rsidR="00F459ED">
              <w:rPr>
                <w:noProof/>
                <w:webHidden/>
              </w:rPr>
              <w:t>15</w:t>
            </w:r>
            <w:r w:rsidR="00F459ED">
              <w:rPr>
                <w:noProof/>
                <w:webHidden/>
              </w:rPr>
              <w:fldChar w:fldCharType="end"/>
            </w:r>
          </w:hyperlink>
        </w:p>
        <w:p w14:paraId="16BD9467" w14:textId="3E179B52"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89" w:history="1">
            <w:r w:rsidR="00F459ED" w:rsidRPr="00E0400C">
              <w:rPr>
                <w:rStyle w:val="Hyperlink"/>
                <w:noProof/>
              </w:rPr>
              <w:t>ITRP support for industry focused research training</w:t>
            </w:r>
            <w:r w:rsidR="00F459ED">
              <w:rPr>
                <w:noProof/>
                <w:webHidden/>
              </w:rPr>
              <w:tab/>
            </w:r>
            <w:r w:rsidR="00F459ED">
              <w:rPr>
                <w:noProof/>
                <w:webHidden/>
              </w:rPr>
              <w:fldChar w:fldCharType="begin"/>
            </w:r>
            <w:r w:rsidR="00F459ED">
              <w:rPr>
                <w:noProof/>
                <w:webHidden/>
              </w:rPr>
              <w:instrText xml:space="preserve"> PAGEREF _Toc13057489 \h </w:instrText>
            </w:r>
            <w:r w:rsidR="00F459ED">
              <w:rPr>
                <w:noProof/>
                <w:webHidden/>
              </w:rPr>
            </w:r>
            <w:r w:rsidR="00F459ED">
              <w:rPr>
                <w:noProof/>
                <w:webHidden/>
              </w:rPr>
              <w:fldChar w:fldCharType="separate"/>
            </w:r>
            <w:r w:rsidR="00F459ED">
              <w:rPr>
                <w:noProof/>
                <w:webHidden/>
              </w:rPr>
              <w:t>20</w:t>
            </w:r>
            <w:r w:rsidR="00F459ED">
              <w:rPr>
                <w:noProof/>
                <w:webHidden/>
              </w:rPr>
              <w:fldChar w:fldCharType="end"/>
            </w:r>
          </w:hyperlink>
        </w:p>
        <w:p w14:paraId="01F2FBE1" w14:textId="1D064C7D"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90" w:history="1">
            <w:r w:rsidR="00F459ED" w:rsidRPr="00E0400C">
              <w:rPr>
                <w:rStyle w:val="Hyperlink"/>
                <w:noProof/>
              </w:rPr>
              <w:t>Engagement with Industry Growth Centres</w:t>
            </w:r>
            <w:r w:rsidR="00F459ED">
              <w:rPr>
                <w:noProof/>
                <w:webHidden/>
              </w:rPr>
              <w:tab/>
            </w:r>
            <w:r w:rsidR="00F459ED">
              <w:rPr>
                <w:noProof/>
                <w:webHidden/>
              </w:rPr>
              <w:fldChar w:fldCharType="begin"/>
            </w:r>
            <w:r w:rsidR="00F459ED">
              <w:rPr>
                <w:noProof/>
                <w:webHidden/>
              </w:rPr>
              <w:instrText xml:space="preserve"> PAGEREF _Toc13057490 \h </w:instrText>
            </w:r>
            <w:r w:rsidR="00F459ED">
              <w:rPr>
                <w:noProof/>
                <w:webHidden/>
              </w:rPr>
            </w:r>
            <w:r w:rsidR="00F459ED">
              <w:rPr>
                <w:noProof/>
                <w:webHidden/>
              </w:rPr>
              <w:fldChar w:fldCharType="separate"/>
            </w:r>
            <w:r w:rsidR="00F459ED">
              <w:rPr>
                <w:noProof/>
                <w:webHidden/>
              </w:rPr>
              <w:t>21</w:t>
            </w:r>
            <w:r w:rsidR="00F459ED">
              <w:rPr>
                <w:noProof/>
                <w:webHidden/>
              </w:rPr>
              <w:fldChar w:fldCharType="end"/>
            </w:r>
          </w:hyperlink>
        </w:p>
        <w:p w14:paraId="61B58CA6" w14:textId="4003ABE9" w:rsidR="00F459ED" w:rsidRDefault="00C44B80">
          <w:pPr>
            <w:pStyle w:val="TOC2"/>
            <w:tabs>
              <w:tab w:val="right" w:leader="underscore" w:pos="9038"/>
            </w:tabs>
            <w:rPr>
              <w:rFonts w:asciiTheme="minorHAnsi" w:eastAsiaTheme="minorEastAsia" w:hAnsiTheme="minorHAnsi" w:cstheme="minorBidi"/>
              <w:b w:val="0"/>
              <w:bCs w:val="0"/>
              <w:noProof/>
              <w:lang w:eastAsia="en-AU"/>
            </w:rPr>
          </w:pPr>
          <w:hyperlink w:anchor="_Toc13057491" w:history="1">
            <w:r w:rsidR="00F459ED" w:rsidRPr="00E0400C">
              <w:rPr>
                <w:rStyle w:val="Hyperlink"/>
                <w:noProof/>
              </w:rPr>
              <w:t>ITRP fit with other Australian Government programs</w:t>
            </w:r>
            <w:r w:rsidR="00F459ED">
              <w:rPr>
                <w:noProof/>
                <w:webHidden/>
              </w:rPr>
              <w:tab/>
            </w:r>
            <w:r w:rsidR="00F459ED">
              <w:rPr>
                <w:noProof/>
                <w:webHidden/>
              </w:rPr>
              <w:fldChar w:fldCharType="begin"/>
            </w:r>
            <w:r w:rsidR="00F459ED">
              <w:rPr>
                <w:noProof/>
                <w:webHidden/>
              </w:rPr>
              <w:instrText xml:space="preserve"> PAGEREF _Toc13057491 \h </w:instrText>
            </w:r>
            <w:r w:rsidR="00F459ED">
              <w:rPr>
                <w:noProof/>
                <w:webHidden/>
              </w:rPr>
            </w:r>
            <w:r w:rsidR="00F459ED">
              <w:rPr>
                <w:noProof/>
                <w:webHidden/>
              </w:rPr>
              <w:fldChar w:fldCharType="separate"/>
            </w:r>
            <w:r w:rsidR="00F459ED">
              <w:rPr>
                <w:noProof/>
                <w:webHidden/>
              </w:rPr>
              <w:t>22</w:t>
            </w:r>
            <w:r w:rsidR="00F459ED">
              <w:rPr>
                <w:noProof/>
                <w:webHidden/>
              </w:rPr>
              <w:fldChar w:fldCharType="end"/>
            </w:r>
          </w:hyperlink>
        </w:p>
        <w:p w14:paraId="0CE1B911" w14:textId="69942006" w:rsidR="00F459ED" w:rsidRDefault="00C44B80">
          <w:pPr>
            <w:pStyle w:val="TOC1"/>
            <w:rPr>
              <w:rFonts w:asciiTheme="minorHAnsi" w:eastAsiaTheme="minorEastAsia" w:hAnsiTheme="minorHAnsi" w:cstheme="minorBidi"/>
              <w:b w:val="0"/>
              <w:bCs w:val="0"/>
              <w:iCs w:val="0"/>
              <w:noProof/>
              <w:color w:val="auto"/>
              <w:sz w:val="22"/>
              <w:szCs w:val="22"/>
              <w:lang w:eastAsia="en-AU"/>
            </w:rPr>
          </w:pPr>
          <w:hyperlink w:anchor="_Toc13057492" w:history="1">
            <w:r w:rsidR="00F459ED" w:rsidRPr="00E0400C">
              <w:rPr>
                <w:rStyle w:val="Hyperlink"/>
                <w:noProof/>
              </w:rPr>
              <w:t>APPENDIX 2: Survey and interview findings report (ARTD Consultants)</w:t>
            </w:r>
            <w:r w:rsidR="00F459ED">
              <w:rPr>
                <w:noProof/>
                <w:webHidden/>
              </w:rPr>
              <w:tab/>
            </w:r>
            <w:r w:rsidR="00F459ED">
              <w:rPr>
                <w:noProof/>
                <w:webHidden/>
              </w:rPr>
              <w:fldChar w:fldCharType="begin"/>
            </w:r>
            <w:r w:rsidR="00F459ED">
              <w:rPr>
                <w:noProof/>
                <w:webHidden/>
              </w:rPr>
              <w:instrText xml:space="preserve"> PAGEREF _Toc13057492 \h </w:instrText>
            </w:r>
            <w:r w:rsidR="00F459ED">
              <w:rPr>
                <w:noProof/>
                <w:webHidden/>
              </w:rPr>
            </w:r>
            <w:r w:rsidR="00F459ED">
              <w:rPr>
                <w:noProof/>
                <w:webHidden/>
              </w:rPr>
              <w:fldChar w:fldCharType="separate"/>
            </w:r>
            <w:r w:rsidR="00F459ED">
              <w:rPr>
                <w:noProof/>
                <w:webHidden/>
              </w:rPr>
              <w:t>27</w:t>
            </w:r>
            <w:r w:rsidR="00F459ED">
              <w:rPr>
                <w:noProof/>
                <w:webHidden/>
              </w:rPr>
              <w:fldChar w:fldCharType="end"/>
            </w:r>
          </w:hyperlink>
        </w:p>
        <w:p w14:paraId="3BAFC7D3" w14:textId="66232420" w:rsidR="005708F6" w:rsidRDefault="004A2F4C">
          <w:r>
            <w:rPr>
              <w:b/>
              <w:bCs/>
              <w:iCs/>
              <w:noProof/>
              <w:color w:val="215868"/>
              <w:szCs w:val="24"/>
            </w:rPr>
            <w:fldChar w:fldCharType="end"/>
          </w:r>
        </w:p>
      </w:sdtContent>
    </w:sdt>
    <w:p w14:paraId="0392A9F1" w14:textId="77777777" w:rsidR="005708F6" w:rsidRDefault="005708F6">
      <w:pPr>
        <w:rPr>
          <w:b/>
          <w:color w:val="FF0000"/>
          <w:szCs w:val="24"/>
        </w:rPr>
      </w:pPr>
    </w:p>
    <w:p w14:paraId="54889318" w14:textId="77777777" w:rsidR="00190470" w:rsidRDefault="00190470">
      <w:pPr>
        <w:rPr>
          <w:b/>
          <w:color w:val="FF0000"/>
          <w:szCs w:val="24"/>
        </w:rPr>
      </w:pPr>
      <w:r>
        <w:rPr>
          <w:b/>
          <w:color w:val="FF0000"/>
          <w:szCs w:val="24"/>
        </w:rPr>
        <w:br w:type="page"/>
      </w:r>
    </w:p>
    <w:p w14:paraId="21F31F87" w14:textId="4F26E372" w:rsidR="00190470" w:rsidRDefault="00190470" w:rsidP="00190470">
      <w:pPr>
        <w:pStyle w:val="Heading1"/>
      </w:pPr>
      <w:bookmarkStart w:id="1" w:name="_Toc13057463"/>
      <w:r>
        <w:t>Abbreviations and glossary</w:t>
      </w:r>
      <w:bookmarkEnd w:id="1"/>
    </w:p>
    <w:p w14:paraId="30C32202" w14:textId="77777777" w:rsidR="00190470" w:rsidRDefault="00190470">
      <w:pPr>
        <w:rPr>
          <w:b/>
          <w:color w:val="FF000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bbreviations and glossary"/>
        <w:tblDescription w:val="Abbreviations and glossary"/>
      </w:tblPr>
      <w:tblGrid>
        <w:gridCol w:w="2694"/>
        <w:gridCol w:w="6344"/>
      </w:tblGrid>
      <w:tr w:rsidR="00190470" w:rsidRPr="00C05246" w14:paraId="0E0BBB89" w14:textId="77777777" w:rsidTr="00167DA5">
        <w:trPr>
          <w:tblHeader/>
        </w:trPr>
        <w:tc>
          <w:tcPr>
            <w:tcW w:w="2694" w:type="dxa"/>
          </w:tcPr>
          <w:p w14:paraId="01E146D2" w14:textId="77777777" w:rsidR="00190470" w:rsidRPr="00C05246" w:rsidRDefault="00190470" w:rsidP="00225CA2">
            <w:pPr>
              <w:spacing w:after="240"/>
              <w:rPr>
                <w:szCs w:val="24"/>
              </w:rPr>
            </w:pPr>
            <w:r w:rsidRPr="00C05246">
              <w:rPr>
                <w:szCs w:val="24"/>
              </w:rPr>
              <w:t>ARC</w:t>
            </w:r>
          </w:p>
        </w:tc>
        <w:tc>
          <w:tcPr>
            <w:tcW w:w="6344" w:type="dxa"/>
          </w:tcPr>
          <w:p w14:paraId="3A669FC2" w14:textId="77777777" w:rsidR="00190470" w:rsidRPr="00C05246" w:rsidRDefault="00190470" w:rsidP="00225CA2">
            <w:pPr>
              <w:spacing w:after="240"/>
              <w:rPr>
                <w:szCs w:val="24"/>
              </w:rPr>
            </w:pPr>
            <w:r w:rsidRPr="00C05246">
              <w:rPr>
                <w:szCs w:val="24"/>
              </w:rPr>
              <w:t>Australian Research Council</w:t>
            </w:r>
          </w:p>
        </w:tc>
      </w:tr>
      <w:tr w:rsidR="00190470" w:rsidRPr="00C05246" w14:paraId="6129FDBD" w14:textId="77777777" w:rsidTr="00167DA5">
        <w:trPr>
          <w:tblHeader/>
        </w:trPr>
        <w:tc>
          <w:tcPr>
            <w:tcW w:w="2694" w:type="dxa"/>
          </w:tcPr>
          <w:p w14:paraId="73262A05" w14:textId="77777777" w:rsidR="00190470" w:rsidRPr="00C05246" w:rsidRDefault="00190470" w:rsidP="00225CA2">
            <w:pPr>
              <w:spacing w:after="240"/>
              <w:rPr>
                <w:szCs w:val="24"/>
              </w:rPr>
            </w:pPr>
            <w:r w:rsidRPr="00C05246">
              <w:rPr>
                <w:szCs w:val="24"/>
              </w:rPr>
              <w:t>CEO</w:t>
            </w:r>
          </w:p>
        </w:tc>
        <w:tc>
          <w:tcPr>
            <w:tcW w:w="6344" w:type="dxa"/>
          </w:tcPr>
          <w:p w14:paraId="1A26E4F3" w14:textId="77777777" w:rsidR="00190470" w:rsidRPr="00C05246" w:rsidRDefault="00190470" w:rsidP="00225CA2">
            <w:pPr>
              <w:spacing w:after="240"/>
              <w:rPr>
                <w:szCs w:val="24"/>
              </w:rPr>
            </w:pPr>
            <w:r w:rsidRPr="00C05246">
              <w:rPr>
                <w:szCs w:val="24"/>
              </w:rPr>
              <w:t>Chief Executive Officer</w:t>
            </w:r>
          </w:p>
        </w:tc>
      </w:tr>
      <w:tr w:rsidR="00190470" w:rsidRPr="00C05246" w14:paraId="5EA2DCD0" w14:textId="77777777" w:rsidTr="00167DA5">
        <w:trPr>
          <w:tblHeader/>
        </w:trPr>
        <w:tc>
          <w:tcPr>
            <w:tcW w:w="2694" w:type="dxa"/>
          </w:tcPr>
          <w:p w14:paraId="22F83618" w14:textId="77777777" w:rsidR="00190470" w:rsidRPr="00C05246" w:rsidRDefault="00190470" w:rsidP="00225CA2">
            <w:pPr>
              <w:spacing w:after="240"/>
              <w:rPr>
                <w:szCs w:val="24"/>
              </w:rPr>
            </w:pPr>
            <w:r w:rsidRPr="00C05246">
              <w:rPr>
                <w:szCs w:val="24"/>
              </w:rPr>
              <w:t>CI</w:t>
            </w:r>
          </w:p>
        </w:tc>
        <w:tc>
          <w:tcPr>
            <w:tcW w:w="6344" w:type="dxa"/>
          </w:tcPr>
          <w:p w14:paraId="274008EB" w14:textId="77777777" w:rsidR="00190470" w:rsidRPr="00C05246" w:rsidRDefault="00190470" w:rsidP="00225CA2">
            <w:pPr>
              <w:spacing w:after="240"/>
              <w:rPr>
                <w:szCs w:val="24"/>
              </w:rPr>
            </w:pPr>
            <w:r w:rsidRPr="00C05246">
              <w:rPr>
                <w:szCs w:val="24"/>
              </w:rPr>
              <w:t>Chief Investigator</w:t>
            </w:r>
          </w:p>
        </w:tc>
      </w:tr>
      <w:tr w:rsidR="00190470" w:rsidRPr="00C05246" w14:paraId="0F958CCF" w14:textId="77777777" w:rsidTr="00167DA5">
        <w:trPr>
          <w:tblHeader/>
        </w:trPr>
        <w:tc>
          <w:tcPr>
            <w:tcW w:w="2694" w:type="dxa"/>
          </w:tcPr>
          <w:p w14:paraId="28FDEF4E" w14:textId="0FDEB550" w:rsidR="00190470" w:rsidRPr="00C05246" w:rsidRDefault="00190470" w:rsidP="00225CA2">
            <w:pPr>
              <w:spacing w:after="240"/>
              <w:rPr>
                <w:szCs w:val="24"/>
              </w:rPr>
            </w:pPr>
            <w:r>
              <w:rPr>
                <w:szCs w:val="24"/>
              </w:rPr>
              <w:t>CRC</w:t>
            </w:r>
          </w:p>
        </w:tc>
        <w:tc>
          <w:tcPr>
            <w:tcW w:w="6344" w:type="dxa"/>
          </w:tcPr>
          <w:p w14:paraId="30D251B6" w14:textId="6EADD060" w:rsidR="00190470" w:rsidRPr="00C05246" w:rsidRDefault="00190470" w:rsidP="00225CA2">
            <w:pPr>
              <w:spacing w:after="240"/>
              <w:rPr>
                <w:szCs w:val="24"/>
              </w:rPr>
            </w:pPr>
            <w:r>
              <w:rPr>
                <w:szCs w:val="24"/>
              </w:rPr>
              <w:t>Cooperative Research Centres</w:t>
            </w:r>
          </w:p>
        </w:tc>
      </w:tr>
      <w:tr w:rsidR="00190470" w:rsidRPr="00C05246" w14:paraId="1D8EC40F" w14:textId="77777777" w:rsidTr="00167DA5">
        <w:trPr>
          <w:tblHeader/>
        </w:trPr>
        <w:tc>
          <w:tcPr>
            <w:tcW w:w="2694" w:type="dxa"/>
          </w:tcPr>
          <w:p w14:paraId="7747A4EE" w14:textId="7CBEA3A6" w:rsidR="00190470" w:rsidRPr="00C05246" w:rsidRDefault="00190470" w:rsidP="00225CA2">
            <w:pPr>
              <w:spacing w:after="240"/>
              <w:rPr>
                <w:szCs w:val="24"/>
              </w:rPr>
            </w:pPr>
            <w:r>
              <w:rPr>
                <w:szCs w:val="24"/>
              </w:rPr>
              <w:t>CRC-P</w:t>
            </w:r>
          </w:p>
        </w:tc>
        <w:tc>
          <w:tcPr>
            <w:tcW w:w="6344" w:type="dxa"/>
          </w:tcPr>
          <w:p w14:paraId="128F4675" w14:textId="4A40A0E3" w:rsidR="00190470" w:rsidRPr="00C05246" w:rsidRDefault="00190470" w:rsidP="00225CA2">
            <w:pPr>
              <w:spacing w:after="240"/>
              <w:rPr>
                <w:szCs w:val="24"/>
              </w:rPr>
            </w:pPr>
            <w:r>
              <w:rPr>
                <w:szCs w:val="24"/>
              </w:rPr>
              <w:t>Cooperative Research Centres Projects</w:t>
            </w:r>
          </w:p>
        </w:tc>
      </w:tr>
      <w:tr w:rsidR="00CA5C1A" w:rsidRPr="00C05246" w14:paraId="7888161B" w14:textId="77777777" w:rsidTr="00167DA5">
        <w:trPr>
          <w:tblHeader/>
        </w:trPr>
        <w:tc>
          <w:tcPr>
            <w:tcW w:w="2694" w:type="dxa"/>
          </w:tcPr>
          <w:p w14:paraId="1076E8EE" w14:textId="3734C303" w:rsidR="00CA5C1A" w:rsidRDefault="00CA5C1A" w:rsidP="00225CA2">
            <w:pPr>
              <w:spacing w:after="240"/>
              <w:rPr>
                <w:szCs w:val="24"/>
              </w:rPr>
            </w:pPr>
            <w:r>
              <w:rPr>
                <w:szCs w:val="24"/>
              </w:rPr>
              <w:t>DIIS</w:t>
            </w:r>
          </w:p>
        </w:tc>
        <w:tc>
          <w:tcPr>
            <w:tcW w:w="6344" w:type="dxa"/>
          </w:tcPr>
          <w:p w14:paraId="3CD2A81C" w14:textId="0E237A52" w:rsidR="00CA5C1A" w:rsidRDefault="00CA5C1A" w:rsidP="00225CA2">
            <w:pPr>
              <w:spacing w:after="240"/>
              <w:rPr>
                <w:szCs w:val="24"/>
              </w:rPr>
            </w:pPr>
            <w:r>
              <w:rPr>
                <w:szCs w:val="24"/>
              </w:rPr>
              <w:t>Department of Industry, Innovation and Science</w:t>
            </w:r>
          </w:p>
        </w:tc>
      </w:tr>
      <w:tr w:rsidR="00CA5C1A" w:rsidRPr="00C05246" w14:paraId="446F69A7" w14:textId="77777777" w:rsidTr="00167DA5">
        <w:trPr>
          <w:tblHeader/>
        </w:trPr>
        <w:tc>
          <w:tcPr>
            <w:tcW w:w="2694" w:type="dxa"/>
          </w:tcPr>
          <w:p w14:paraId="23E0D1C2" w14:textId="52A0417B" w:rsidR="00CA5C1A" w:rsidRDefault="00CA5C1A" w:rsidP="00225CA2">
            <w:pPr>
              <w:spacing w:after="240"/>
              <w:rPr>
                <w:szCs w:val="24"/>
              </w:rPr>
            </w:pPr>
            <w:r>
              <w:rPr>
                <w:szCs w:val="24"/>
              </w:rPr>
              <w:t>HDR</w:t>
            </w:r>
          </w:p>
        </w:tc>
        <w:tc>
          <w:tcPr>
            <w:tcW w:w="6344" w:type="dxa"/>
          </w:tcPr>
          <w:p w14:paraId="02DBC70A" w14:textId="781E9D9E" w:rsidR="00CA5C1A" w:rsidRDefault="00CA5C1A" w:rsidP="00225CA2">
            <w:pPr>
              <w:spacing w:after="240"/>
              <w:rPr>
                <w:szCs w:val="24"/>
              </w:rPr>
            </w:pPr>
            <w:r>
              <w:rPr>
                <w:szCs w:val="24"/>
              </w:rPr>
              <w:t>Higher degree by research</w:t>
            </w:r>
          </w:p>
        </w:tc>
      </w:tr>
      <w:tr w:rsidR="00CA5C1A" w:rsidRPr="00C05246" w14:paraId="46C90734" w14:textId="77777777" w:rsidTr="00167DA5">
        <w:trPr>
          <w:tblHeader/>
        </w:trPr>
        <w:tc>
          <w:tcPr>
            <w:tcW w:w="2694" w:type="dxa"/>
          </w:tcPr>
          <w:p w14:paraId="4C695C2D" w14:textId="34E6AC2E" w:rsidR="00CA5C1A" w:rsidRDefault="00CA5C1A" w:rsidP="00225CA2">
            <w:pPr>
              <w:spacing w:after="240"/>
              <w:rPr>
                <w:szCs w:val="24"/>
              </w:rPr>
            </w:pPr>
            <w:r>
              <w:rPr>
                <w:szCs w:val="24"/>
              </w:rPr>
              <w:t>IGC / Growth Centres</w:t>
            </w:r>
          </w:p>
        </w:tc>
        <w:tc>
          <w:tcPr>
            <w:tcW w:w="6344" w:type="dxa"/>
          </w:tcPr>
          <w:p w14:paraId="01020D68" w14:textId="2DFEC943" w:rsidR="00CA5C1A" w:rsidRDefault="00CA5C1A" w:rsidP="00225CA2">
            <w:pPr>
              <w:spacing w:after="240"/>
              <w:rPr>
                <w:szCs w:val="24"/>
              </w:rPr>
            </w:pPr>
            <w:r>
              <w:rPr>
                <w:szCs w:val="24"/>
              </w:rPr>
              <w:t>Industry Growth Centres</w:t>
            </w:r>
          </w:p>
        </w:tc>
      </w:tr>
      <w:tr w:rsidR="00190470" w:rsidRPr="00C05246" w14:paraId="5A6FF908" w14:textId="77777777" w:rsidTr="00167DA5">
        <w:trPr>
          <w:tblHeader/>
        </w:trPr>
        <w:tc>
          <w:tcPr>
            <w:tcW w:w="2694" w:type="dxa"/>
          </w:tcPr>
          <w:p w14:paraId="600190F6" w14:textId="05911E54" w:rsidR="00190470" w:rsidRDefault="00190470" w:rsidP="00190470">
            <w:pPr>
              <w:spacing w:after="240"/>
              <w:rPr>
                <w:szCs w:val="24"/>
              </w:rPr>
            </w:pPr>
            <w:r>
              <w:rPr>
                <w:szCs w:val="24"/>
              </w:rPr>
              <w:t>ITRH</w:t>
            </w:r>
            <w:r w:rsidR="00D153C4">
              <w:rPr>
                <w:szCs w:val="24"/>
              </w:rPr>
              <w:t xml:space="preserve"> / Research Hubs</w:t>
            </w:r>
          </w:p>
        </w:tc>
        <w:tc>
          <w:tcPr>
            <w:tcW w:w="6344" w:type="dxa"/>
          </w:tcPr>
          <w:p w14:paraId="372325DA" w14:textId="1737F367" w:rsidR="00190470" w:rsidRDefault="00190470" w:rsidP="00225CA2">
            <w:pPr>
              <w:spacing w:after="240"/>
              <w:rPr>
                <w:szCs w:val="24"/>
              </w:rPr>
            </w:pPr>
            <w:r>
              <w:rPr>
                <w:szCs w:val="24"/>
              </w:rPr>
              <w:t>Industrial Transformation Research Hubs</w:t>
            </w:r>
          </w:p>
        </w:tc>
      </w:tr>
      <w:tr w:rsidR="00190470" w:rsidRPr="00C05246" w14:paraId="1B870515" w14:textId="77777777" w:rsidTr="00167DA5">
        <w:trPr>
          <w:tblHeader/>
        </w:trPr>
        <w:tc>
          <w:tcPr>
            <w:tcW w:w="2694" w:type="dxa"/>
          </w:tcPr>
          <w:p w14:paraId="7D814739" w14:textId="741A3E29" w:rsidR="00190470" w:rsidRPr="00C05246" w:rsidRDefault="00190470" w:rsidP="00225CA2">
            <w:pPr>
              <w:spacing w:after="240"/>
              <w:rPr>
                <w:szCs w:val="24"/>
              </w:rPr>
            </w:pPr>
            <w:r>
              <w:rPr>
                <w:szCs w:val="24"/>
              </w:rPr>
              <w:t>ITRP</w:t>
            </w:r>
          </w:p>
        </w:tc>
        <w:tc>
          <w:tcPr>
            <w:tcW w:w="6344" w:type="dxa"/>
          </w:tcPr>
          <w:p w14:paraId="639663FE" w14:textId="6FDFBEBD" w:rsidR="00190470" w:rsidRPr="00C05246" w:rsidRDefault="00190470" w:rsidP="00225CA2">
            <w:pPr>
              <w:spacing w:after="240"/>
              <w:rPr>
                <w:szCs w:val="24"/>
              </w:rPr>
            </w:pPr>
            <w:r>
              <w:rPr>
                <w:szCs w:val="24"/>
              </w:rPr>
              <w:t>Industrial Transformation Research Program</w:t>
            </w:r>
          </w:p>
        </w:tc>
      </w:tr>
      <w:tr w:rsidR="00190470" w:rsidRPr="00C05246" w14:paraId="42C6B20B" w14:textId="77777777" w:rsidTr="00167DA5">
        <w:trPr>
          <w:tblHeader/>
        </w:trPr>
        <w:tc>
          <w:tcPr>
            <w:tcW w:w="2694" w:type="dxa"/>
          </w:tcPr>
          <w:p w14:paraId="66319354" w14:textId="79AFDD55" w:rsidR="00190470" w:rsidRDefault="00190470" w:rsidP="00190470">
            <w:pPr>
              <w:spacing w:after="240"/>
              <w:rPr>
                <w:szCs w:val="24"/>
              </w:rPr>
            </w:pPr>
            <w:r>
              <w:rPr>
                <w:szCs w:val="24"/>
              </w:rPr>
              <w:t>ITTC</w:t>
            </w:r>
            <w:r w:rsidR="00D153C4">
              <w:rPr>
                <w:szCs w:val="24"/>
              </w:rPr>
              <w:t xml:space="preserve"> / Training Centres</w:t>
            </w:r>
          </w:p>
        </w:tc>
        <w:tc>
          <w:tcPr>
            <w:tcW w:w="6344" w:type="dxa"/>
          </w:tcPr>
          <w:p w14:paraId="16EDFB19" w14:textId="4F76749A" w:rsidR="00190470" w:rsidRDefault="00190470" w:rsidP="00225CA2">
            <w:pPr>
              <w:spacing w:after="240"/>
              <w:rPr>
                <w:szCs w:val="24"/>
              </w:rPr>
            </w:pPr>
            <w:r>
              <w:rPr>
                <w:szCs w:val="24"/>
              </w:rPr>
              <w:t>Industrial Transformation Training Centres</w:t>
            </w:r>
          </w:p>
        </w:tc>
      </w:tr>
      <w:tr w:rsidR="00190470" w:rsidRPr="00C05246" w14:paraId="3860AC11" w14:textId="77777777" w:rsidTr="00167DA5">
        <w:trPr>
          <w:tblHeader/>
        </w:trPr>
        <w:tc>
          <w:tcPr>
            <w:tcW w:w="2694" w:type="dxa"/>
          </w:tcPr>
          <w:p w14:paraId="090426DB" w14:textId="77777777" w:rsidR="00190470" w:rsidRPr="00C05246" w:rsidRDefault="00190470" w:rsidP="00225CA2">
            <w:pPr>
              <w:spacing w:after="240"/>
              <w:rPr>
                <w:szCs w:val="24"/>
              </w:rPr>
            </w:pPr>
            <w:r w:rsidRPr="00C05246">
              <w:rPr>
                <w:szCs w:val="24"/>
              </w:rPr>
              <w:t>NISA</w:t>
            </w:r>
          </w:p>
        </w:tc>
        <w:tc>
          <w:tcPr>
            <w:tcW w:w="6344" w:type="dxa"/>
          </w:tcPr>
          <w:p w14:paraId="7F5343E5" w14:textId="77777777" w:rsidR="00190470" w:rsidRPr="00C05246" w:rsidRDefault="00190470" w:rsidP="00225CA2">
            <w:pPr>
              <w:spacing w:after="240"/>
              <w:rPr>
                <w:szCs w:val="24"/>
              </w:rPr>
            </w:pPr>
            <w:r w:rsidRPr="00C05246">
              <w:rPr>
                <w:szCs w:val="24"/>
              </w:rPr>
              <w:t>National Innovation and Science Agenda</w:t>
            </w:r>
          </w:p>
        </w:tc>
      </w:tr>
      <w:tr w:rsidR="00CA5C1A" w:rsidRPr="00C05246" w14:paraId="1C5B5044" w14:textId="77777777" w:rsidTr="00167DA5">
        <w:trPr>
          <w:tblHeader/>
        </w:trPr>
        <w:tc>
          <w:tcPr>
            <w:tcW w:w="2694" w:type="dxa"/>
          </w:tcPr>
          <w:p w14:paraId="3BB46C8B" w14:textId="0A6F44FC" w:rsidR="00CA5C1A" w:rsidRPr="00C05246" w:rsidRDefault="00CA5C1A" w:rsidP="00225CA2">
            <w:pPr>
              <w:spacing w:after="240"/>
              <w:rPr>
                <w:szCs w:val="24"/>
              </w:rPr>
            </w:pPr>
            <w:r>
              <w:rPr>
                <w:szCs w:val="24"/>
              </w:rPr>
              <w:t>PDR</w:t>
            </w:r>
          </w:p>
        </w:tc>
        <w:tc>
          <w:tcPr>
            <w:tcW w:w="6344" w:type="dxa"/>
          </w:tcPr>
          <w:p w14:paraId="13B4DBA7" w14:textId="3A7D6BD9" w:rsidR="00CA5C1A" w:rsidRPr="00C05246" w:rsidRDefault="00AC7F39" w:rsidP="00225CA2">
            <w:pPr>
              <w:spacing w:after="240"/>
              <w:rPr>
                <w:szCs w:val="24"/>
              </w:rPr>
            </w:pPr>
            <w:r>
              <w:rPr>
                <w:szCs w:val="24"/>
              </w:rPr>
              <w:t>Post</w:t>
            </w:r>
            <w:r w:rsidR="00CA5C1A">
              <w:rPr>
                <w:szCs w:val="24"/>
              </w:rPr>
              <w:t>doctoral researcher</w:t>
            </w:r>
          </w:p>
        </w:tc>
      </w:tr>
      <w:tr w:rsidR="00190470" w:rsidRPr="00C05246" w14:paraId="1C79C7A9" w14:textId="77777777" w:rsidTr="00167DA5">
        <w:trPr>
          <w:tblHeader/>
        </w:trPr>
        <w:tc>
          <w:tcPr>
            <w:tcW w:w="2694" w:type="dxa"/>
          </w:tcPr>
          <w:p w14:paraId="6FB5D606" w14:textId="77777777" w:rsidR="00190470" w:rsidRPr="00C05246" w:rsidRDefault="00190470" w:rsidP="00225CA2">
            <w:pPr>
              <w:spacing w:after="240"/>
              <w:rPr>
                <w:szCs w:val="24"/>
              </w:rPr>
            </w:pPr>
            <w:r w:rsidRPr="00C05246">
              <w:rPr>
                <w:szCs w:val="24"/>
              </w:rPr>
              <w:t>PI</w:t>
            </w:r>
          </w:p>
        </w:tc>
        <w:tc>
          <w:tcPr>
            <w:tcW w:w="6344" w:type="dxa"/>
          </w:tcPr>
          <w:p w14:paraId="2DE099D2" w14:textId="77777777" w:rsidR="00190470" w:rsidRPr="00C05246" w:rsidRDefault="00190470" w:rsidP="00225CA2">
            <w:pPr>
              <w:spacing w:after="240"/>
              <w:rPr>
                <w:szCs w:val="24"/>
              </w:rPr>
            </w:pPr>
            <w:r w:rsidRPr="00C05246">
              <w:rPr>
                <w:szCs w:val="24"/>
              </w:rPr>
              <w:t>Partner Investigator</w:t>
            </w:r>
          </w:p>
        </w:tc>
      </w:tr>
      <w:tr w:rsidR="00190470" w:rsidRPr="00C05246" w14:paraId="441FF215" w14:textId="77777777" w:rsidTr="00167DA5">
        <w:trPr>
          <w:tblHeader/>
        </w:trPr>
        <w:tc>
          <w:tcPr>
            <w:tcW w:w="2694" w:type="dxa"/>
          </w:tcPr>
          <w:p w14:paraId="06ED64FB" w14:textId="77777777" w:rsidR="00190470" w:rsidRPr="00C05246" w:rsidRDefault="00190470" w:rsidP="00225CA2">
            <w:pPr>
              <w:spacing w:after="240"/>
              <w:rPr>
                <w:szCs w:val="24"/>
              </w:rPr>
            </w:pPr>
            <w:r w:rsidRPr="00C05246">
              <w:rPr>
                <w:szCs w:val="24"/>
              </w:rPr>
              <w:t>Return rate</w:t>
            </w:r>
          </w:p>
        </w:tc>
        <w:tc>
          <w:tcPr>
            <w:tcW w:w="6344" w:type="dxa"/>
          </w:tcPr>
          <w:p w14:paraId="5C47A8B4" w14:textId="77777777" w:rsidR="00190470" w:rsidRPr="00C05246" w:rsidRDefault="00190470" w:rsidP="00225CA2">
            <w:pPr>
              <w:spacing w:after="240"/>
              <w:rPr>
                <w:szCs w:val="24"/>
              </w:rPr>
            </w:pPr>
            <w:r w:rsidRPr="00C05246">
              <w:rPr>
                <w:szCs w:val="24"/>
              </w:rPr>
              <w:t>The amount of ARC funding awarded as a percentage of funding requested in successful applications</w:t>
            </w:r>
          </w:p>
        </w:tc>
      </w:tr>
      <w:tr w:rsidR="00190470" w:rsidRPr="00C05246" w14:paraId="719F2998" w14:textId="77777777" w:rsidTr="00167DA5">
        <w:trPr>
          <w:tblHeader/>
        </w:trPr>
        <w:tc>
          <w:tcPr>
            <w:tcW w:w="2694" w:type="dxa"/>
          </w:tcPr>
          <w:p w14:paraId="1896F0AA" w14:textId="77777777" w:rsidR="00190470" w:rsidRPr="00C05246" w:rsidRDefault="00190470" w:rsidP="00225CA2">
            <w:pPr>
              <w:spacing w:after="240"/>
              <w:rPr>
                <w:szCs w:val="24"/>
              </w:rPr>
            </w:pPr>
            <w:r w:rsidRPr="00C05246">
              <w:rPr>
                <w:szCs w:val="24"/>
              </w:rPr>
              <w:t>RMS</w:t>
            </w:r>
          </w:p>
        </w:tc>
        <w:tc>
          <w:tcPr>
            <w:tcW w:w="6344" w:type="dxa"/>
          </w:tcPr>
          <w:p w14:paraId="719B65D9" w14:textId="77777777" w:rsidR="00190470" w:rsidRPr="00C05246" w:rsidRDefault="00190470" w:rsidP="00225CA2">
            <w:pPr>
              <w:spacing w:after="240"/>
              <w:rPr>
                <w:szCs w:val="24"/>
              </w:rPr>
            </w:pPr>
            <w:r w:rsidRPr="00C05246">
              <w:rPr>
                <w:szCs w:val="24"/>
              </w:rPr>
              <w:t>Research Management System</w:t>
            </w:r>
          </w:p>
        </w:tc>
      </w:tr>
      <w:tr w:rsidR="00190470" w:rsidRPr="00C05246" w14:paraId="009C4728" w14:textId="77777777" w:rsidTr="00167DA5">
        <w:trPr>
          <w:tblHeader/>
        </w:trPr>
        <w:tc>
          <w:tcPr>
            <w:tcW w:w="2694" w:type="dxa"/>
          </w:tcPr>
          <w:p w14:paraId="4F017338" w14:textId="77777777" w:rsidR="00190470" w:rsidRPr="00C05246" w:rsidRDefault="00190470" w:rsidP="00225CA2">
            <w:pPr>
              <w:spacing w:after="240"/>
              <w:rPr>
                <w:szCs w:val="24"/>
              </w:rPr>
            </w:pPr>
            <w:r w:rsidRPr="00C05246">
              <w:rPr>
                <w:szCs w:val="24"/>
              </w:rPr>
              <w:t>Success rate</w:t>
            </w:r>
          </w:p>
        </w:tc>
        <w:tc>
          <w:tcPr>
            <w:tcW w:w="6344" w:type="dxa"/>
          </w:tcPr>
          <w:p w14:paraId="05AE0902" w14:textId="77777777" w:rsidR="00190470" w:rsidRPr="00C05246" w:rsidRDefault="00190470" w:rsidP="00225CA2">
            <w:pPr>
              <w:spacing w:after="240"/>
              <w:rPr>
                <w:szCs w:val="24"/>
              </w:rPr>
            </w:pPr>
            <w:r w:rsidRPr="00C05246">
              <w:rPr>
                <w:szCs w:val="24"/>
              </w:rPr>
              <w:t>The number of funded projects as a percentage of applications submitted</w:t>
            </w:r>
          </w:p>
        </w:tc>
      </w:tr>
    </w:tbl>
    <w:p w14:paraId="5D8FE11D" w14:textId="77777777" w:rsidR="00225CA2" w:rsidRDefault="00225CA2" w:rsidP="00225CA2">
      <w:pPr>
        <w:pStyle w:val="Heading1"/>
      </w:pPr>
      <w:bookmarkStart w:id="2" w:name="_Toc13057464"/>
      <w:r>
        <w:t>Structure of this report</w:t>
      </w:r>
      <w:bookmarkEnd w:id="2"/>
    </w:p>
    <w:p w14:paraId="18092D02" w14:textId="77777777" w:rsidR="00225CA2" w:rsidRPr="00225CA2" w:rsidRDefault="00225CA2">
      <w:pPr>
        <w:rPr>
          <w:szCs w:val="24"/>
        </w:rPr>
      </w:pPr>
    </w:p>
    <w:p w14:paraId="77782B8A" w14:textId="5FDB0353" w:rsidR="00AB585D" w:rsidRPr="00AB585D" w:rsidRDefault="00AB585D">
      <w:pPr>
        <w:rPr>
          <w:szCs w:val="24"/>
        </w:rPr>
      </w:pPr>
      <w:r>
        <w:rPr>
          <w:szCs w:val="24"/>
        </w:rPr>
        <w:t xml:space="preserve">This report on the evaluation </w:t>
      </w:r>
      <w:r w:rsidRPr="00AB585D">
        <w:rPr>
          <w:szCs w:val="24"/>
        </w:rPr>
        <w:t xml:space="preserve">of the Industrial Transformation Research Program </w:t>
      </w:r>
      <w:r>
        <w:rPr>
          <w:szCs w:val="24"/>
        </w:rPr>
        <w:t xml:space="preserve">(ITRP) </w:t>
      </w:r>
      <w:r w:rsidRPr="00AB585D">
        <w:rPr>
          <w:szCs w:val="24"/>
        </w:rPr>
        <w:t xml:space="preserve">process and priorities is </w:t>
      </w:r>
      <w:r>
        <w:rPr>
          <w:szCs w:val="24"/>
        </w:rPr>
        <w:t>structured as follows</w:t>
      </w:r>
      <w:r w:rsidRPr="00AB585D">
        <w:rPr>
          <w:szCs w:val="24"/>
        </w:rPr>
        <w:t>:</w:t>
      </w:r>
    </w:p>
    <w:p w14:paraId="0C186FF0" w14:textId="1051E560" w:rsidR="00AB585D" w:rsidRPr="00AB585D" w:rsidRDefault="00AB585D">
      <w:pPr>
        <w:rPr>
          <w:szCs w:val="24"/>
        </w:rPr>
      </w:pPr>
    </w:p>
    <w:p w14:paraId="1B191E77" w14:textId="763EDC6A" w:rsidR="00AB585D" w:rsidRPr="006A2C6B" w:rsidRDefault="00AB585D" w:rsidP="00AB585D">
      <w:pPr>
        <w:pStyle w:val="ListParagraph"/>
        <w:numPr>
          <w:ilvl w:val="0"/>
          <w:numId w:val="29"/>
        </w:numPr>
        <w:rPr>
          <w:color w:val="auto"/>
          <w:szCs w:val="24"/>
        </w:rPr>
      </w:pPr>
      <w:r w:rsidRPr="00AB585D">
        <w:rPr>
          <w:color w:val="auto"/>
          <w:szCs w:val="24"/>
        </w:rPr>
        <w:t>The main body provides information on the</w:t>
      </w:r>
      <w:r w:rsidR="00C96DB5">
        <w:rPr>
          <w:color w:val="auto"/>
          <w:szCs w:val="24"/>
        </w:rPr>
        <w:t xml:space="preserve"> evaluation’s</w:t>
      </w:r>
      <w:r w:rsidRPr="00AB585D">
        <w:rPr>
          <w:color w:val="auto"/>
          <w:szCs w:val="24"/>
        </w:rPr>
        <w:t xml:space="preserve"> background, purpose, terms of reference, evaluation </w:t>
      </w:r>
      <w:r w:rsidRPr="006A2C6B">
        <w:rPr>
          <w:color w:val="auto"/>
          <w:szCs w:val="24"/>
        </w:rPr>
        <w:t xml:space="preserve">questions and methodology. It also presents the </w:t>
      </w:r>
      <w:r w:rsidR="00C96DB5" w:rsidRPr="006A2C6B">
        <w:rPr>
          <w:color w:val="auto"/>
          <w:szCs w:val="24"/>
        </w:rPr>
        <w:t xml:space="preserve">evaluation’s key </w:t>
      </w:r>
      <w:r w:rsidRPr="006A2C6B">
        <w:rPr>
          <w:color w:val="auto"/>
          <w:szCs w:val="24"/>
        </w:rPr>
        <w:t>findings and recommendations</w:t>
      </w:r>
      <w:r w:rsidR="00C96DB5" w:rsidRPr="006A2C6B">
        <w:rPr>
          <w:color w:val="auto"/>
          <w:szCs w:val="24"/>
        </w:rPr>
        <w:t xml:space="preserve">, informed by the analysis in Appendices 1 and 2. </w:t>
      </w:r>
    </w:p>
    <w:p w14:paraId="702C35D6" w14:textId="3AAF9E5F" w:rsidR="00AB585D" w:rsidRPr="006A2C6B" w:rsidRDefault="00C96DB5" w:rsidP="00AB585D">
      <w:pPr>
        <w:pStyle w:val="ListParagraph"/>
        <w:numPr>
          <w:ilvl w:val="0"/>
          <w:numId w:val="29"/>
        </w:numPr>
        <w:rPr>
          <w:color w:val="auto"/>
          <w:szCs w:val="24"/>
        </w:rPr>
      </w:pPr>
      <w:r w:rsidRPr="006A2C6B">
        <w:rPr>
          <w:color w:val="auto"/>
          <w:szCs w:val="24"/>
        </w:rPr>
        <w:t>Appendix 1 presents</w:t>
      </w:r>
      <w:r w:rsidR="00AB585D" w:rsidRPr="006A2C6B">
        <w:rPr>
          <w:color w:val="auto"/>
          <w:szCs w:val="24"/>
        </w:rPr>
        <w:t xml:space="preserve"> analysis of ARC documents, data and information on the ITRP undertaken by the </w:t>
      </w:r>
      <w:r w:rsidRPr="006A2C6B">
        <w:rPr>
          <w:color w:val="auto"/>
          <w:szCs w:val="24"/>
        </w:rPr>
        <w:t>ARC Program Evaluation section.</w:t>
      </w:r>
    </w:p>
    <w:p w14:paraId="752BA680" w14:textId="3A275427" w:rsidR="00C96DB5" w:rsidRDefault="00AB585D" w:rsidP="00C96DB5">
      <w:pPr>
        <w:pStyle w:val="ListParagraph"/>
        <w:numPr>
          <w:ilvl w:val="0"/>
          <w:numId w:val="29"/>
        </w:numPr>
        <w:rPr>
          <w:color w:val="auto"/>
          <w:szCs w:val="24"/>
        </w:rPr>
      </w:pPr>
      <w:r w:rsidRPr="006A2C6B">
        <w:rPr>
          <w:color w:val="auto"/>
          <w:szCs w:val="24"/>
        </w:rPr>
        <w:t xml:space="preserve">Appendix 2 </w:t>
      </w:r>
      <w:r w:rsidR="00C96DB5" w:rsidRPr="006A2C6B">
        <w:rPr>
          <w:color w:val="auto"/>
          <w:szCs w:val="24"/>
        </w:rPr>
        <w:t>presents analysis of ITRP</w:t>
      </w:r>
      <w:r w:rsidR="00C96DB5">
        <w:rPr>
          <w:color w:val="auto"/>
          <w:szCs w:val="24"/>
        </w:rPr>
        <w:t xml:space="preserve"> stakeholder surveys and interviews undertaken by ARTD Consultants Pty Ltd.</w:t>
      </w:r>
    </w:p>
    <w:p w14:paraId="5F35A021" w14:textId="5156A38B" w:rsidR="00DC7EC0" w:rsidRDefault="00DC7EC0">
      <w:pPr>
        <w:rPr>
          <w:szCs w:val="24"/>
          <w:highlight w:val="yellow"/>
        </w:rPr>
      </w:pPr>
      <w:r>
        <w:rPr>
          <w:szCs w:val="24"/>
          <w:highlight w:val="yellow"/>
        </w:rPr>
        <w:br w:type="page"/>
      </w:r>
    </w:p>
    <w:p w14:paraId="2E3822A8" w14:textId="3A229A3C" w:rsidR="00CB373D" w:rsidRDefault="00CB373D" w:rsidP="00CB373D">
      <w:pPr>
        <w:pStyle w:val="Heading1"/>
      </w:pPr>
      <w:bookmarkStart w:id="3" w:name="_Toc13057465"/>
      <w:r>
        <w:t>Executive summary</w:t>
      </w:r>
      <w:bookmarkEnd w:id="3"/>
    </w:p>
    <w:p w14:paraId="4200A100" w14:textId="77777777" w:rsidR="00407D53" w:rsidRDefault="00407D53" w:rsidP="00407D53"/>
    <w:p w14:paraId="3767C715" w14:textId="7326DE2B" w:rsidR="00407D53" w:rsidRPr="00407D53" w:rsidRDefault="00407D53" w:rsidP="00407D53">
      <w:r w:rsidRPr="00407D53">
        <w:t xml:space="preserve">The </w:t>
      </w:r>
      <w:r>
        <w:t xml:space="preserve">Australian Research Council (ARC) </w:t>
      </w:r>
      <w:r w:rsidRPr="00407D53">
        <w:t xml:space="preserve">Industrial Transformation Research Program (ITRP) supports collaboration between university researchers and industry to find solutions to industry problems and transform Australian industries. </w:t>
      </w:r>
      <w:r w:rsidR="00AC7F39">
        <w:t xml:space="preserve">The ITRP </w:t>
      </w:r>
      <w:r w:rsidRPr="00407D53">
        <w:t>consists of Industrial Transformation Research Hubs—</w:t>
      </w:r>
      <w:r>
        <w:t xml:space="preserve">supporting </w:t>
      </w:r>
      <w:r w:rsidRPr="00407D53">
        <w:t>collaborative research that benefits industry partners—and Industrial Transformation Tra</w:t>
      </w:r>
      <w:r w:rsidR="00AC7F39">
        <w:t xml:space="preserve">ining Centres—supporting </w:t>
      </w:r>
      <w:r>
        <w:t>industry focused</w:t>
      </w:r>
      <w:r w:rsidR="00AC7F39">
        <w:t xml:space="preserve"> training for higher degree by research (HDR) students and postdoctoral researchers (PDR)</w:t>
      </w:r>
      <w:r w:rsidRPr="00407D53">
        <w:t xml:space="preserve">. </w:t>
      </w:r>
      <w:r w:rsidR="00AC7F39">
        <w:t xml:space="preserve">It </w:t>
      </w:r>
      <w:r>
        <w:t xml:space="preserve">supports </w:t>
      </w:r>
      <w:r w:rsidR="00AC7F39">
        <w:t>research in key growth areas (</w:t>
      </w:r>
      <w:r w:rsidRPr="00407D53">
        <w:t>Industrial Transformation Priorities</w:t>
      </w:r>
      <w:r w:rsidR="00AC7F39">
        <w:t>)</w:t>
      </w:r>
      <w:r w:rsidRPr="00407D53">
        <w:t>, which are consistent with the Government’s Industry Growth Centres initiative.</w:t>
      </w:r>
    </w:p>
    <w:p w14:paraId="234D2FA5" w14:textId="0BAE0305" w:rsidR="00407D53" w:rsidRDefault="00407D53" w:rsidP="00407D53"/>
    <w:p w14:paraId="4D3EBA70" w14:textId="4CA99788" w:rsidR="00AC7F39" w:rsidRPr="00C96CC0" w:rsidRDefault="00AC7F39" w:rsidP="00AC7F39">
      <w:r w:rsidRPr="00C96CC0">
        <w:t xml:space="preserve">The </w:t>
      </w:r>
      <w:r>
        <w:t>ARC undertook an</w:t>
      </w:r>
      <w:r w:rsidRPr="00C96CC0">
        <w:t xml:space="preserve"> evaluation </w:t>
      </w:r>
      <w:r>
        <w:t xml:space="preserve">to </w:t>
      </w:r>
      <w:r w:rsidRPr="00C96CC0">
        <w:t>asses</w:t>
      </w:r>
      <w:r w:rsidR="00DE35D1">
        <w:t>s</w:t>
      </w:r>
      <w:r w:rsidRPr="00C96CC0">
        <w:t xml:space="preserve"> the effectiveness and efficiency of ITRP processes </w:t>
      </w:r>
      <w:r w:rsidR="00DE35D1">
        <w:t xml:space="preserve">and priorities </w:t>
      </w:r>
      <w:r w:rsidRPr="00C96CC0">
        <w:t xml:space="preserve">in </w:t>
      </w:r>
      <w:r w:rsidR="00F90259">
        <w:t>supporting industry focused research and research training, and its role and contribution among other relevant Australian Government programs.</w:t>
      </w:r>
      <w:r w:rsidRPr="00C96CC0">
        <w:t xml:space="preserve"> The evaluation focused primarily on the design, implementation </w:t>
      </w:r>
      <w:r w:rsidR="00DE35D1">
        <w:t xml:space="preserve">and administration of the ITRP. It </w:t>
      </w:r>
      <w:r w:rsidRPr="00C96CC0">
        <w:t>did not focus on the outcomes</w:t>
      </w:r>
      <w:r w:rsidR="00DE35D1">
        <w:t xml:space="preserve"> and benefits</w:t>
      </w:r>
      <w:r w:rsidRPr="00C96CC0">
        <w:t xml:space="preserve"> of funded research or </w:t>
      </w:r>
      <w:r w:rsidR="00DE35D1">
        <w:t>research training</w:t>
      </w:r>
      <w:r w:rsidRPr="00C96CC0">
        <w:t>.</w:t>
      </w:r>
      <w:r w:rsidR="00DE35D1">
        <w:t xml:space="preserve"> The evaluation drew upon ARC policy and program documents, data and information, </w:t>
      </w:r>
      <w:r w:rsidR="00F90259">
        <w:t>as well as</w:t>
      </w:r>
      <w:r w:rsidR="00DE35D1">
        <w:t xml:space="preserve"> independent stakeholder survey and interview research conducted by ARTD Consultants Pty Ltd.</w:t>
      </w:r>
    </w:p>
    <w:p w14:paraId="2DB68F8A" w14:textId="277956A5" w:rsidR="00AC7F39" w:rsidRDefault="00AC7F39" w:rsidP="00407D53"/>
    <w:p w14:paraId="74FDBF0C" w14:textId="39C6727E" w:rsidR="009C66F7" w:rsidRDefault="005F16C0" w:rsidP="00407D53">
      <w:r>
        <w:t>The evaluation found that, in general, ITRP stakeholders consider the scheme to be effective in supporting high quality</w:t>
      </w:r>
      <w:r w:rsidR="008A0973">
        <w:t>,</w:t>
      </w:r>
      <w:r>
        <w:t xml:space="preserve"> industry focused research collaboration and integrated research training</w:t>
      </w:r>
      <w:r w:rsidR="008A0973">
        <w:t xml:space="preserve">. </w:t>
      </w:r>
      <w:r w:rsidR="00D10CC4">
        <w:t>T</w:t>
      </w:r>
      <w:r w:rsidR="008A0973">
        <w:t xml:space="preserve">he ITRP has attracted the </w:t>
      </w:r>
      <w:r w:rsidR="00D10CC4">
        <w:t>participation</w:t>
      </w:r>
      <w:r w:rsidR="008A0973">
        <w:t xml:space="preserve"> of increasing numbers of partner organisations</w:t>
      </w:r>
      <w:r w:rsidR="00D10CC4">
        <w:t xml:space="preserve"> over time, although different stakeholder groups had different perceptions of the </w:t>
      </w:r>
      <w:r w:rsidR="00694728">
        <w:t>nature of partner organisation involvement</w:t>
      </w:r>
      <w:r w:rsidR="00D10CC4">
        <w:t xml:space="preserve"> in </w:t>
      </w:r>
      <w:r w:rsidR="003F5D4E">
        <w:t xml:space="preserve">various </w:t>
      </w:r>
      <w:r w:rsidR="00D10CC4">
        <w:t>ITRP processes.</w:t>
      </w:r>
    </w:p>
    <w:p w14:paraId="6B0F5411" w14:textId="74354EE4" w:rsidR="003F5D4E" w:rsidRDefault="003F5D4E" w:rsidP="00407D53"/>
    <w:p w14:paraId="3C2071D2" w14:textId="23E1B3D9" w:rsidR="003F5D4E" w:rsidRDefault="003F5D4E" w:rsidP="00407D53">
      <w:r>
        <w:t xml:space="preserve">Stakeholders predominantly felt that the ITRP supports research training that is of high academic quality and applicable to industry skills. However, </w:t>
      </w:r>
      <w:r w:rsidR="00694728">
        <w:t xml:space="preserve">the evaluation found that </w:t>
      </w:r>
      <w:r>
        <w:t xml:space="preserve">ARC data collection processes do not currently support accurate reporting and monitoring of HDR and PDR training delivery under the ITRP. </w:t>
      </w:r>
    </w:p>
    <w:p w14:paraId="0ED4597D" w14:textId="74C1DDDB" w:rsidR="00B1506D" w:rsidRDefault="00B1506D" w:rsidP="00407D53"/>
    <w:p w14:paraId="4C690B40" w14:textId="2A9C26CE" w:rsidR="00B1506D" w:rsidRDefault="002004E0" w:rsidP="00407D53">
      <w:r>
        <w:t>Although</w:t>
      </w:r>
      <w:r w:rsidR="00B1506D">
        <w:t xml:space="preserve"> stakeholders saw benefits in the scheme’s interaction with Industry Growth Centres, </w:t>
      </w:r>
      <w:r w:rsidR="00694728">
        <w:t>some expressed</w:t>
      </w:r>
      <w:r w:rsidR="00B1506D">
        <w:t xml:space="preserve"> uncertainty about </w:t>
      </w:r>
      <w:r w:rsidR="00A42AC1">
        <w:t>the Growth Centres’ role</w:t>
      </w:r>
      <w:r>
        <w:t xml:space="preserve">. </w:t>
      </w:r>
      <w:r w:rsidR="00694728">
        <w:t>Additionally, w</w:t>
      </w:r>
      <w:r>
        <w:t xml:space="preserve">hile </w:t>
      </w:r>
      <w:r w:rsidR="00A42AC1">
        <w:t xml:space="preserve">most </w:t>
      </w:r>
      <w:r w:rsidR="00B1506D">
        <w:t xml:space="preserve">felt that the Industrial Transformation Priorities </w:t>
      </w:r>
      <w:r w:rsidR="00694728">
        <w:t>effectively focus</w:t>
      </w:r>
      <w:r w:rsidR="00A42AC1">
        <w:t xml:space="preserve"> research i</w:t>
      </w:r>
      <w:r w:rsidR="00B1506D">
        <w:t xml:space="preserve">n </w:t>
      </w:r>
      <w:r w:rsidR="00A42AC1">
        <w:t xml:space="preserve">key </w:t>
      </w:r>
      <w:r>
        <w:t xml:space="preserve">areas, some </w:t>
      </w:r>
      <w:r w:rsidR="00A42AC1">
        <w:t xml:space="preserve">stakeholders </w:t>
      </w:r>
      <w:r>
        <w:t xml:space="preserve">perceived them to have gaps or be </w:t>
      </w:r>
      <w:r w:rsidR="00B1506D">
        <w:t>narrow</w:t>
      </w:r>
      <w:r w:rsidR="00694728">
        <w:t>. More broadly, t</w:t>
      </w:r>
      <w:r w:rsidR="00A42AC1">
        <w:t xml:space="preserve">he ITRP was generally considered to be unique, even though </w:t>
      </w:r>
      <w:proofErr w:type="gramStart"/>
      <w:r w:rsidR="00694728">
        <w:t>a</w:t>
      </w:r>
      <w:r w:rsidR="00A42AC1">
        <w:t xml:space="preserve"> majority of</w:t>
      </w:r>
      <w:proofErr w:type="gramEnd"/>
      <w:r w:rsidR="00A42AC1">
        <w:t xml:space="preserve"> stakeholders perceived overlaps</w:t>
      </w:r>
      <w:r w:rsidR="00694728" w:rsidRPr="00694728">
        <w:t xml:space="preserve"> </w:t>
      </w:r>
      <w:r w:rsidR="00694728">
        <w:t>with other Australian Government programs</w:t>
      </w:r>
      <w:r w:rsidR="00A42AC1">
        <w:t>.</w:t>
      </w:r>
    </w:p>
    <w:p w14:paraId="06E355DE" w14:textId="751F0A99" w:rsidR="00694728" w:rsidRDefault="00694728" w:rsidP="00407D53"/>
    <w:p w14:paraId="42E67C4E" w14:textId="41D60740" w:rsidR="00694728" w:rsidRDefault="00694728" w:rsidP="00407D53">
      <w:r>
        <w:t>Most stakeholders considered the ITRP process</w:t>
      </w:r>
      <w:r w:rsidR="000A0E17">
        <w:t xml:space="preserve"> overall</w:t>
      </w:r>
      <w:r>
        <w:t xml:space="preserve"> to be effective and efficient. </w:t>
      </w:r>
      <w:r w:rsidR="000A0E17">
        <w:t>C</w:t>
      </w:r>
      <w:r>
        <w:t xml:space="preserve">hallenges </w:t>
      </w:r>
      <w:r w:rsidR="000A0E17">
        <w:t>they identified</w:t>
      </w:r>
      <w:r>
        <w:t xml:space="preserve"> included negotiating and finalising partnership arrangements, application size and timeframes, and domestic student recruitment.</w:t>
      </w:r>
    </w:p>
    <w:p w14:paraId="1C3416AC" w14:textId="1ACF6354" w:rsidR="00407D53" w:rsidRPr="00407D53" w:rsidRDefault="00407D53" w:rsidP="00407D53">
      <w:pPr>
        <w:rPr>
          <w:highlight w:val="yellow"/>
        </w:rPr>
      </w:pPr>
    </w:p>
    <w:p w14:paraId="3BB97ECC" w14:textId="27FD891F" w:rsidR="005F2428" w:rsidRPr="005F2428" w:rsidRDefault="005F2428" w:rsidP="005F2428">
      <w:pPr>
        <w:rPr>
          <w:szCs w:val="24"/>
        </w:rPr>
      </w:pPr>
      <w:r w:rsidRPr="005F2428">
        <w:rPr>
          <w:szCs w:val="24"/>
        </w:rPr>
        <w:t xml:space="preserve">The evaluation makes four recommendations to the ARC to improve the effectiveness and efficiency of its implementation of the </w:t>
      </w:r>
      <w:r>
        <w:rPr>
          <w:szCs w:val="24"/>
        </w:rPr>
        <w:t>ITRP</w:t>
      </w:r>
      <w:r w:rsidRPr="005F2428">
        <w:rPr>
          <w:szCs w:val="24"/>
        </w:rPr>
        <w:t>:</w:t>
      </w:r>
    </w:p>
    <w:p w14:paraId="11CF2034" w14:textId="6D033FFE" w:rsidR="005F2428" w:rsidRPr="005F2428" w:rsidRDefault="00D97C83" w:rsidP="005F2428">
      <w:pPr>
        <w:pStyle w:val="ListParagraph"/>
        <w:numPr>
          <w:ilvl w:val="0"/>
          <w:numId w:val="45"/>
        </w:numPr>
        <w:rPr>
          <w:color w:val="auto"/>
          <w:szCs w:val="24"/>
        </w:rPr>
      </w:pPr>
      <w:r>
        <w:rPr>
          <w:color w:val="auto"/>
          <w:szCs w:val="24"/>
        </w:rPr>
        <w:t>C</w:t>
      </w:r>
      <w:r w:rsidR="005F2428" w:rsidRPr="005F2428">
        <w:rPr>
          <w:color w:val="auto"/>
          <w:szCs w:val="24"/>
        </w:rPr>
        <w:t>onsider revisions to improve the flexibility and clarity of the ITRP process with respect to the Industrial Transformation Priorities and the role of Industry Growth Centres</w:t>
      </w:r>
    </w:p>
    <w:p w14:paraId="787046B1" w14:textId="64DD2332" w:rsidR="005F2428" w:rsidRPr="005F2428" w:rsidRDefault="00D97C83" w:rsidP="005F2428">
      <w:pPr>
        <w:pStyle w:val="ListParagraph"/>
        <w:numPr>
          <w:ilvl w:val="0"/>
          <w:numId w:val="45"/>
        </w:numPr>
        <w:rPr>
          <w:color w:val="auto"/>
          <w:szCs w:val="24"/>
        </w:rPr>
      </w:pPr>
      <w:r>
        <w:rPr>
          <w:color w:val="auto"/>
          <w:szCs w:val="24"/>
        </w:rPr>
        <w:t>C</w:t>
      </w:r>
      <w:r w:rsidR="005F2428" w:rsidRPr="005F2428">
        <w:rPr>
          <w:color w:val="auto"/>
          <w:szCs w:val="24"/>
        </w:rPr>
        <w:t>ollect additional data on HDR students and PDRs through Training Centre and Research Hub final reports</w:t>
      </w:r>
    </w:p>
    <w:p w14:paraId="28E961F8" w14:textId="2D54D066" w:rsidR="005F2428" w:rsidRPr="005F2428" w:rsidRDefault="00D97C83" w:rsidP="005F2428">
      <w:pPr>
        <w:pStyle w:val="ListParagraph"/>
        <w:numPr>
          <w:ilvl w:val="0"/>
          <w:numId w:val="45"/>
        </w:numPr>
        <w:rPr>
          <w:color w:val="auto"/>
          <w:szCs w:val="24"/>
        </w:rPr>
      </w:pPr>
      <w:r>
        <w:rPr>
          <w:color w:val="auto"/>
          <w:szCs w:val="24"/>
        </w:rPr>
        <w:t>C</w:t>
      </w:r>
      <w:r w:rsidR="005F2428" w:rsidRPr="005F2428">
        <w:rPr>
          <w:color w:val="auto"/>
          <w:szCs w:val="24"/>
        </w:rPr>
        <w:t>onsider using the metrics provided in this evaluation’s analysis as benchmarks to monitor performance of the ITRP and inform improvements</w:t>
      </w:r>
    </w:p>
    <w:p w14:paraId="54D9105D" w14:textId="50E48BD0" w:rsidR="005F2428" w:rsidRPr="005F2428" w:rsidRDefault="00D97C83" w:rsidP="005F2428">
      <w:pPr>
        <w:pStyle w:val="ListParagraph"/>
        <w:numPr>
          <w:ilvl w:val="0"/>
          <w:numId w:val="45"/>
        </w:numPr>
        <w:rPr>
          <w:color w:val="auto"/>
          <w:szCs w:val="24"/>
        </w:rPr>
      </w:pPr>
      <w:r>
        <w:rPr>
          <w:color w:val="auto"/>
          <w:szCs w:val="24"/>
        </w:rPr>
        <w:t>A</w:t>
      </w:r>
      <w:r w:rsidR="005F2428" w:rsidRPr="005F2428">
        <w:rPr>
          <w:color w:val="auto"/>
          <w:szCs w:val="24"/>
        </w:rPr>
        <w:t xml:space="preserve">ddress issues highlighted in this evaluation </w:t>
      </w:r>
      <w:r w:rsidR="00D328E7">
        <w:rPr>
          <w:color w:val="auto"/>
          <w:szCs w:val="24"/>
        </w:rPr>
        <w:t>in</w:t>
      </w:r>
      <w:r w:rsidR="005F2428" w:rsidRPr="005F2428">
        <w:rPr>
          <w:color w:val="auto"/>
          <w:szCs w:val="24"/>
        </w:rPr>
        <w:t xml:space="preserve"> ongoing ITRP stakeholder engagement, advice and outreach.</w:t>
      </w:r>
    </w:p>
    <w:p w14:paraId="202A6EAC" w14:textId="6DF5C6B7" w:rsidR="005816E7" w:rsidRPr="005F2428" w:rsidRDefault="005816E7">
      <w:pPr>
        <w:rPr>
          <w:szCs w:val="24"/>
        </w:rPr>
      </w:pPr>
    </w:p>
    <w:p w14:paraId="4D83C171" w14:textId="64A09F2B" w:rsidR="00CB373D" w:rsidRDefault="00CB373D" w:rsidP="00CB373D">
      <w:pPr>
        <w:pStyle w:val="Heading1"/>
      </w:pPr>
      <w:bookmarkStart w:id="4" w:name="_Toc13057466"/>
      <w:r>
        <w:t>Background</w:t>
      </w:r>
      <w:bookmarkEnd w:id="4"/>
    </w:p>
    <w:p w14:paraId="637C032C" w14:textId="77777777" w:rsidR="00A21012" w:rsidRPr="003317C2" w:rsidRDefault="00A21012" w:rsidP="003317C2"/>
    <w:p w14:paraId="77965BD2" w14:textId="1C8BFF42" w:rsidR="009C175D" w:rsidRPr="003C64D9" w:rsidRDefault="00DB3A32" w:rsidP="00CB373D">
      <w:pPr>
        <w:pStyle w:val="Heading2"/>
      </w:pPr>
      <w:bookmarkStart w:id="5" w:name="_Toc13057467"/>
      <w:r>
        <w:t xml:space="preserve">The </w:t>
      </w:r>
      <w:r w:rsidR="007E5484">
        <w:t>Industrial Transformation Research Program</w:t>
      </w:r>
      <w:bookmarkEnd w:id="5"/>
    </w:p>
    <w:p w14:paraId="5E4D895D" w14:textId="77777777" w:rsidR="009C175D" w:rsidRPr="003C64D9" w:rsidRDefault="009C175D" w:rsidP="009C175D">
      <w:pPr>
        <w:rPr>
          <w:u w:val="single"/>
        </w:rPr>
      </w:pPr>
    </w:p>
    <w:p w14:paraId="008E20C5" w14:textId="453721B0" w:rsidR="00751424" w:rsidRPr="00752E9D" w:rsidRDefault="00751424" w:rsidP="00751424">
      <w:r w:rsidRPr="008410AE">
        <w:t>The Industrial Transformation Research Program (ITRP)</w:t>
      </w:r>
      <w:r w:rsidR="0006237E">
        <w:rPr>
          <w:rStyle w:val="FootnoteReference"/>
        </w:rPr>
        <w:footnoteReference w:id="1"/>
      </w:r>
      <w:r w:rsidRPr="008410AE">
        <w:t xml:space="preserve"> supports collaboration between university researchers and industry to find solutions to industry problems and develop new products, processes and services to transform Australian industries. The ITRP consists of Industrial Transformation Research Hubs (ITRH</w:t>
      </w:r>
      <w:r w:rsidR="00D00E03">
        <w:t>, or Research Hubs</w:t>
      </w:r>
      <w:r w:rsidRPr="008410AE">
        <w:t>)—providing funding for collaborative research that benefits industry partners—and Industrial Transformation Training Centres (ITTC</w:t>
      </w:r>
      <w:r w:rsidR="00D00E03">
        <w:t>, or Training Centres</w:t>
      </w:r>
      <w:r w:rsidRPr="008410AE">
        <w:t xml:space="preserve">)—supporting partnerships to provide innovative higher degree by research and postdoctoral training for end-user focused research in industries vital to Australia’s future. ITRP funding is provided for research in key growth areas (Industrial Transformation Priorities), which are consistent with the Government’s Industry Growth </w:t>
      </w:r>
      <w:r w:rsidRPr="00752E9D">
        <w:t>Centres initiative.</w:t>
      </w:r>
      <w:r w:rsidR="005A3421">
        <w:rPr>
          <w:rStyle w:val="FootnoteReference"/>
        </w:rPr>
        <w:footnoteReference w:id="2"/>
      </w:r>
    </w:p>
    <w:p w14:paraId="678BCCD4" w14:textId="77777777" w:rsidR="00751424" w:rsidRPr="00752E9D" w:rsidRDefault="00751424" w:rsidP="00751424"/>
    <w:p w14:paraId="0955333A" w14:textId="77777777" w:rsidR="00752E9D" w:rsidRPr="00752E9D" w:rsidRDefault="00752E9D" w:rsidP="00751424">
      <w:r w:rsidRPr="00752E9D">
        <w:t xml:space="preserve">The Research Hub objectives are to: </w:t>
      </w:r>
    </w:p>
    <w:p w14:paraId="1D1E7F6C" w14:textId="77777777" w:rsidR="00752E9D" w:rsidRPr="00752E9D" w:rsidRDefault="00752E9D" w:rsidP="00751424"/>
    <w:p w14:paraId="710684B6" w14:textId="77777777" w:rsidR="00752E9D" w:rsidRPr="00752E9D" w:rsidRDefault="00752E9D" w:rsidP="00752E9D">
      <w:pPr>
        <w:pStyle w:val="ListParagraph"/>
        <w:numPr>
          <w:ilvl w:val="0"/>
          <w:numId w:val="30"/>
        </w:numPr>
        <w:rPr>
          <w:color w:val="auto"/>
        </w:rPr>
      </w:pPr>
      <w:r w:rsidRPr="00752E9D">
        <w:rPr>
          <w:color w:val="auto"/>
        </w:rPr>
        <w:t xml:space="preserve">encourage collaborative R&amp;D projects between universities and organisations outside the Australian higher education sector that will engage in cutting-edge research on new technologies to create economic, commercial and social </w:t>
      </w:r>
      <w:proofErr w:type="gramStart"/>
      <w:r w:rsidRPr="00752E9D">
        <w:rPr>
          <w:color w:val="auto"/>
        </w:rPr>
        <w:t>transformation;</w:t>
      </w:r>
      <w:proofErr w:type="gramEnd"/>
      <w:r w:rsidRPr="00752E9D">
        <w:rPr>
          <w:color w:val="auto"/>
        </w:rPr>
        <w:t xml:space="preserve"> </w:t>
      </w:r>
    </w:p>
    <w:p w14:paraId="131B5707" w14:textId="77777777" w:rsidR="00752E9D" w:rsidRPr="00752E9D" w:rsidRDefault="00752E9D" w:rsidP="00752E9D">
      <w:pPr>
        <w:pStyle w:val="ListParagraph"/>
        <w:numPr>
          <w:ilvl w:val="0"/>
          <w:numId w:val="30"/>
        </w:numPr>
        <w:rPr>
          <w:color w:val="auto"/>
        </w:rPr>
      </w:pPr>
      <w:r w:rsidRPr="00752E9D">
        <w:rPr>
          <w:color w:val="auto"/>
        </w:rPr>
        <w:t xml:space="preserve">leverage national and international investment in targeted industry sectors, including from industry and other research end-users; and </w:t>
      </w:r>
    </w:p>
    <w:p w14:paraId="7B6663F3" w14:textId="2C018EA7" w:rsidR="00752E9D" w:rsidRPr="00752E9D" w:rsidRDefault="00752E9D" w:rsidP="00752E9D">
      <w:pPr>
        <w:pStyle w:val="ListParagraph"/>
        <w:numPr>
          <w:ilvl w:val="0"/>
          <w:numId w:val="30"/>
        </w:numPr>
        <w:rPr>
          <w:color w:val="auto"/>
        </w:rPr>
      </w:pPr>
      <w:r w:rsidRPr="00752E9D">
        <w:rPr>
          <w:color w:val="auto"/>
        </w:rPr>
        <w:t>drive growth, productivity and competitiveness within the Industrial Transformation Priorities.</w:t>
      </w:r>
    </w:p>
    <w:p w14:paraId="6A9D6D7E" w14:textId="6B0EB7E1" w:rsidR="00752E9D" w:rsidRPr="00752E9D" w:rsidRDefault="00752E9D" w:rsidP="00752E9D"/>
    <w:p w14:paraId="612BE1E4" w14:textId="1A7B4F51" w:rsidR="00752E9D" w:rsidRPr="00752E9D" w:rsidRDefault="00752E9D" w:rsidP="00752E9D">
      <w:r w:rsidRPr="00752E9D">
        <w:t>The Training Centre objectives are to:</w:t>
      </w:r>
    </w:p>
    <w:p w14:paraId="079E936C" w14:textId="77777777" w:rsidR="00752E9D" w:rsidRPr="00752E9D" w:rsidRDefault="00752E9D" w:rsidP="00752E9D"/>
    <w:p w14:paraId="259B53B8" w14:textId="77777777" w:rsidR="00752E9D" w:rsidRPr="00752E9D" w:rsidRDefault="00752E9D" w:rsidP="00752E9D">
      <w:pPr>
        <w:pStyle w:val="ListParagraph"/>
        <w:numPr>
          <w:ilvl w:val="0"/>
          <w:numId w:val="31"/>
        </w:numPr>
        <w:rPr>
          <w:color w:val="auto"/>
        </w:rPr>
      </w:pPr>
      <w:r w:rsidRPr="00752E9D">
        <w:rPr>
          <w:color w:val="auto"/>
        </w:rPr>
        <w:t xml:space="preserve">support opportunities for HDR candidates and postdoctoral researchers to pursue industrial </w:t>
      </w:r>
      <w:proofErr w:type="gramStart"/>
      <w:r w:rsidRPr="00752E9D">
        <w:rPr>
          <w:color w:val="auto"/>
        </w:rPr>
        <w:t>training;</w:t>
      </w:r>
      <w:proofErr w:type="gramEnd"/>
      <w:r w:rsidRPr="00752E9D">
        <w:rPr>
          <w:color w:val="auto"/>
        </w:rPr>
        <w:t xml:space="preserve"> </w:t>
      </w:r>
    </w:p>
    <w:p w14:paraId="2803C1DC" w14:textId="2CC53BFE" w:rsidR="00752E9D" w:rsidRPr="00752E9D" w:rsidRDefault="00752E9D" w:rsidP="00752E9D">
      <w:pPr>
        <w:pStyle w:val="ListParagraph"/>
        <w:numPr>
          <w:ilvl w:val="0"/>
          <w:numId w:val="31"/>
        </w:numPr>
        <w:rPr>
          <w:color w:val="auto"/>
        </w:rPr>
      </w:pPr>
      <w:r w:rsidRPr="00752E9D">
        <w:rPr>
          <w:color w:val="auto"/>
        </w:rPr>
        <w:t xml:space="preserve">drive growth, productivity and competitiveness by linking to the relevant </w:t>
      </w:r>
      <w:proofErr w:type="gramStart"/>
      <w:r w:rsidRPr="00752E9D">
        <w:rPr>
          <w:color w:val="auto"/>
        </w:rPr>
        <w:t>sectors;</w:t>
      </w:r>
      <w:proofErr w:type="gramEnd"/>
      <w:r w:rsidRPr="00752E9D">
        <w:rPr>
          <w:color w:val="auto"/>
        </w:rPr>
        <w:t xml:space="preserve"> </w:t>
      </w:r>
    </w:p>
    <w:p w14:paraId="1AF0CB49" w14:textId="77777777" w:rsidR="00752E9D" w:rsidRPr="00752E9D" w:rsidRDefault="00752E9D" w:rsidP="00752E9D">
      <w:pPr>
        <w:pStyle w:val="ListParagraph"/>
        <w:numPr>
          <w:ilvl w:val="0"/>
          <w:numId w:val="31"/>
        </w:numPr>
        <w:rPr>
          <w:color w:val="auto"/>
        </w:rPr>
      </w:pPr>
      <w:r w:rsidRPr="00752E9D">
        <w:rPr>
          <w:color w:val="auto"/>
        </w:rPr>
        <w:t xml:space="preserve">enhance competitive research collaboration between universities and organisations outside the Australian higher education sector; and </w:t>
      </w:r>
    </w:p>
    <w:p w14:paraId="71F4A991" w14:textId="0E0426BE" w:rsidR="00751424" w:rsidRPr="00752E9D" w:rsidRDefault="00752E9D" w:rsidP="00752E9D">
      <w:pPr>
        <w:pStyle w:val="ListParagraph"/>
        <w:numPr>
          <w:ilvl w:val="0"/>
          <w:numId w:val="31"/>
        </w:numPr>
        <w:rPr>
          <w:color w:val="auto"/>
        </w:rPr>
      </w:pPr>
      <w:r w:rsidRPr="00752E9D">
        <w:rPr>
          <w:color w:val="auto"/>
        </w:rPr>
        <w:t>strengthen the capabilities of industry and research end-users in identified Industrial Transformation Priority areas.</w:t>
      </w:r>
      <w:r>
        <w:rPr>
          <w:rStyle w:val="FootnoteReference"/>
          <w:color w:val="auto"/>
        </w:rPr>
        <w:footnoteReference w:id="3"/>
      </w:r>
    </w:p>
    <w:p w14:paraId="521A1516" w14:textId="77777777" w:rsidR="00751424" w:rsidRPr="00752E9D" w:rsidRDefault="00751424" w:rsidP="00751424"/>
    <w:p w14:paraId="4DA7DF1C" w14:textId="37EF316B" w:rsidR="00751424" w:rsidRPr="00752E9D" w:rsidRDefault="00751424" w:rsidP="00751424">
      <w:r w:rsidRPr="00752E9D">
        <w:t xml:space="preserve">The Industrial Transformation Training Priorities are </w:t>
      </w:r>
      <w:r w:rsidR="00C53248">
        <w:t xml:space="preserve">subject to review from round to </w:t>
      </w:r>
      <w:proofErr w:type="gramStart"/>
      <w:r w:rsidR="00C53248">
        <w:t>round, but</w:t>
      </w:r>
      <w:proofErr w:type="gramEnd"/>
      <w:r w:rsidR="00C53248">
        <w:t xml:space="preserve"> have been aligned with the priority areas for the Industry Growth Centres initiative since its introduction in 2015.</w:t>
      </w:r>
      <w:r w:rsidRPr="00752E9D">
        <w:t xml:space="preserve"> The current Industrial Transformation Priorities</w:t>
      </w:r>
      <w:r w:rsidR="00B7393D" w:rsidRPr="00752E9D">
        <w:t xml:space="preserve"> </w:t>
      </w:r>
      <w:r w:rsidRPr="00752E9D">
        <w:t>are:</w:t>
      </w:r>
    </w:p>
    <w:p w14:paraId="3C270126" w14:textId="77777777" w:rsidR="00751424" w:rsidRPr="00752E9D" w:rsidRDefault="00751424" w:rsidP="00751424"/>
    <w:p w14:paraId="3F63EFB0" w14:textId="77777777" w:rsidR="00751424" w:rsidRPr="00752E9D" w:rsidRDefault="00751424" w:rsidP="00751424">
      <w:pPr>
        <w:pStyle w:val="ListParagraph"/>
        <w:numPr>
          <w:ilvl w:val="0"/>
          <w:numId w:val="26"/>
        </w:numPr>
        <w:rPr>
          <w:color w:val="auto"/>
        </w:rPr>
      </w:pPr>
      <w:r w:rsidRPr="00752E9D">
        <w:rPr>
          <w:color w:val="auto"/>
        </w:rPr>
        <w:t>Advanced Manufacturing</w:t>
      </w:r>
    </w:p>
    <w:p w14:paraId="77EF0774" w14:textId="77777777" w:rsidR="00751424" w:rsidRPr="008410AE" w:rsidRDefault="00751424" w:rsidP="00751424">
      <w:pPr>
        <w:pStyle w:val="ListParagraph"/>
        <w:numPr>
          <w:ilvl w:val="0"/>
          <w:numId w:val="26"/>
        </w:numPr>
        <w:rPr>
          <w:color w:val="auto"/>
        </w:rPr>
      </w:pPr>
      <w:r w:rsidRPr="008410AE">
        <w:rPr>
          <w:color w:val="auto"/>
        </w:rPr>
        <w:t>Cyber Security</w:t>
      </w:r>
    </w:p>
    <w:p w14:paraId="27FDE926" w14:textId="77777777" w:rsidR="00751424" w:rsidRPr="008410AE" w:rsidRDefault="00751424" w:rsidP="00751424">
      <w:pPr>
        <w:pStyle w:val="ListParagraph"/>
        <w:numPr>
          <w:ilvl w:val="0"/>
          <w:numId w:val="26"/>
        </w:numPr>
        <w:rPr>
          <w:color w:val="auto"/>
        </w:rPr>
      </w:pPr>
      <w:r w:rsidRPr="008410AE">
        <w:rPr>
          <w:color w:val="auto"/>
        </w:rPr>
        <w:t>Food and Agribusiness</w:t>
      </w:r>
    </w:p>
    <w:p w14:paraId="52E621F5" w14:textId="77777777" w:rsidR="00751424" w:rsidRPr="008410AE" w:rsidRDefault="00751424" w:rsidP="00751424">
      <w:pPr>
        <w:pStyle w:val="ListParagraph"/>
        <w:numPr>
          <w:ilvl w:val="0"/>
          <w:numId w:val="26"/>
        </w:numPr>
        <w:rPr>
          <w:color w:val="auto"/>
        </w:rPr>
      </w:pPr>
      <w:r w:rsidRPr="008410AE">
        <w:rPr>
          <w:color w:val="auto"/>
        </w:rPr>
        <w:t>Medical Technologies and Pharmaceuticals</w:t>
      </w:r>
    </w:p>
    <w:p w14:paraId="0B7C0117" w14:textId="77777777" w:rsidR="00751424" w:rsidRPr="008410AE" w:rsidRDefault="00751424" w:rsidP="00751424">
      <w:pPr>
        <w:pStyle w:val="ListParagraph"/>
        <w:numPr>
          <w:ilvl w:val="0"/>
          <w:numId w:val="26"/>
        </w:numPr>
        <w:rPr>
          <w:color w:val="auto"/>
        </w:rPr>
      </w:pPr>
      <w:r w:rsidRPr="008410AE">
        <w:rPr>
          <w:color w:val="auto"/>
        </w:rPr>
        <w:t>Mining Equipment, Technology and Services</w:t>
      </w:r>
    </w:p>
    <w:p w14:paraId="7CAD3FDE" w14:textId="77777777" w:rsidR="00751424" w:rsidRPr="008410AE" w:rsidRDefault="00751424" w:rsidP="00751424">
      <w:pPr>
        <w:pStyle w:val="ListParagraph"/>
        <w:numPr>
          <w:ilvl w:val="0"/>
          <w:numId w:val="26"/>
        </w:numPr>
        <w:rPr>
          <w:color w:val="auto"/>
        </w:rPr>
      </w:pPr>
      <w:r w:rsidRPr="008410AE">
        <w:rPr>
          <w:color w:val="auto"/>
        </w:rPr>
        <w:t>Oil, Gas and Energy Resources.</w:t>
      </w:r>
    </w:p>
    <w:p w14:paraId="79966DE1" w14:textId="0CE58840" w:rsidR="00CB373D" w:rsidRDefault="00CB373D" w:rsidP="00CB373D">
      <w:pPr>
        <w:pStyle w:val="Heading1"/>
      </w:pPr>
      <w:bookmarkStart w:id="6" w:name="_Toc13057468"/>
      <w:r>
        <w:t>Evaluation overview</w:t>
      </w:r>
      <w:bookmarkEnd w:id="6"/>
    </w:p>
    <w:p w14:paraId="437A98C7" w14:textId="475819EF" w:rsidR="00CB373D" w:rsidRDefault="00CB373D" w:rsidP="009C175D"/>
    <w:p w14:paraId="474538F9" w14:textId="77777777" w:rsidR="00CB373D" w:rsidRPr="00700D47" w:rsidRDefault="00CB373D" w:rsidP="00CB373D">
      <w:pPr>
        <w:pStyle w:val="Heading2"/>
      </w:pPr>
      <w:bookmarkStart w:id="7" w:name="_Toc13057469"/>
      <w:r>
        <w:t>Authorisation and management</w:t>
      </w:r>
      <w:bookmarkEnd w:id="7"/>
    </w:p>
    <w:p w14:paraId="45A78A17" w14:textId="77777777" w:rsidR="00CB373D" w:rsidRDefault="00CB373D" w:rsidP="00CB373D"/>
    <w:p w14:paraId="476961D5" w14:textId="77777777" w:rsidR="00CB373D" w:rsidRDefault="00CB373D" w:rsidP="00CB373D">
      <w:r>
        <w:t>This</w:t>
      </w:r>
      <w:r w:rsidRPr="00700D47">
        <w:t xml:space="preserve"> evaluation was </w:t>
      </w:r>
      <w:r>
        <w:t xml:space="preserve">authorised and undertaken in accordance with the </w:t>
      </w:r>
      <w:r w:rsidRPr="003317C2">
        <w:t>ARC Evaluation Strategy and Strategic Evaluation Plan</w:t>
      </w:r>
      <w:r>
        <w:t>.</w:t>
      </w:r>
      <w:r w:rsidRPr="003317C2">
        <w:rPr>
          <w:rStyle w:val="FootnoteReference"/>
        </w:rPr>
        <w:footnoteReference w:id="4"/>
      </w:r>
    </w:p>
    <w:p w14:paraId="30DAFB2D" w14:textId="77777777" w:rsidR="00CB373D" w:rsidRPr="00700D47" w:rsidRDefault="00CB373D" w:rsidP="00CB373D"/>
    <w:p w14:paraId="5BE2BC2C" w14:textId="77777777" w:rsidR="00CB373D" w:rsidRDefault="00CB373D" w:rsidP="00CB373D">
      <w:r w:rsidRPr="003C64D9">
        <w:t xml:space="preserve">The evaluation </w:t>
      </w:r>
      <w:r>
        <w:t>was</w:t>
      </w:r>
      <w:r w:rsidRPr="003C64D9">
        <w:t xml:space="preserve"> managed and conducted by </w:t>
      </w:r>
      <w:r>
        <w:t>the ARC Program Evaluation Section, which sits within the Corporate Services Branch and is independent from policy and program functions within the ARC organisational structure.</w:t>
      </w:r>
      <w:r w:rsidRPr="002445CB">
        <w:t xml:space="preserve"> </w:t>
      </w:r>
    </w:p>
    <w:p w14:paraId="2459C11F" w14:textId="77777777" w:rsidR="00CB373D" w:rsidRDefault="00CB373D" w:rsidP="00CB373D"/>
    <w:p w14:paraId="225293A3" w14:textId="77777777" w:rsidR="00CB373D" w:rsidRDefault="00CB373D" w:rsidP="00CB373D">
      <w:r>
        <w:t xml:space="preserve">The Program Evaluation Section consulted with relevant ARC line areas to identify the priorities and issues addressed in the evaluation, seek advice on policy and program matters, and </w:t>
      </w:r>
      <w:r w:rsidRPr="003C64D9">
        <w:t xml:space="preserve">access </w:t>
      </w:r>
      <w:r>
        <w:t>policy and program data, documents and information.</w:t>
      </w:r>
    </w:p>
    <w:p w14:paraId="54F691BB" w14:textId="77777777" w:rsidR="00CB373D" w:rsidRDefault="00CB373D" w:rsidP="00CB373D"/>
    <w:p w14:paraId="0A6767E8" w14:textId="36A64130" w:rsidR="00EE5A8A" w:rsidRDefault="00EE5A8A" w:rsidP="00EE5A8A">
      <w:r w:rsidRPr="00ED3637">
        <w:t xml:space="preserve">The Program Evaluation Section engaged </w:t>
      </w:r>
      <w:r>
        <w:t>ARTD Consultants</w:t>
      </w:r>
      <w:r w:rsidRPr="00ED3637">
        <w:t xml:space="preserve"> to conduct independent survey and interview research with external and internal stakeholders </w:t>
      </w:r>
      <w:r>
        <w:t xml:space="preserve">as an input to the evaluation. ARTD Consultants’ stakeholder engagement services were procured under the </w:t>
      </w:r>
      <w:r w:rsidRPr="00CB476B">
        <w:t xml:space="preserve">whole-of-government Research, Evaluation and Data </w:t>
      </w:r>
      <w:r>
        <w:t xml:space="preserve">panel arrangement, </w:t>
      </w:r>
      <w:r w:rsidRPr="00CB476B">
        <w:t>administered by the Department of Social Services</w:t>
      </w:r>
      <w:r>
        <w:t>.</w:t>
      </w:r>
    </w:p>
    <w:p w14:paraId="5F92407B" w14:textId="08C09DCE" w:rsidR="00CB373D" w:rsidRDefault="00CB373D" w:rsidP="009C175D"/>
    <w:p w14:paraId="4CEDFA35" w14:textId="065B3E7D" w:rsidR="009C175D" w:rsidRPr="003C64D9" w:rsidRDefault="009C175D" w:rsidP="00CB373D">
      <w:pPr>
        <w:pStyle w:val="Heading2"/>
      </w:pPr>
      <w:bookmarkStart w:id="8" w:name="_Toc13057470"/>
      <w:r w:rsidRPr="003C64D9">
        <w:t xml:space="preserve">Reasons for </w:t>
      </w:r>
      <w:r w:rsidR="00B676FC">
        <w:t xml:space="preserve">the </w:t>
      </w:r>
      <w:r w:rsidRPr="003C64D9">
        <w:t>evaluation</w:t>
      </w:r>
      <w:bookmarkEnd w:id="8"/>
    </w:p>
    <w:p w14:paraId="60A4AD20" w14:textId="597BDBDA" w:rsidR="009C175D" w:rsidRDefault="009C175D" w:rsidP="009C175D">
      <w:pPr>
        <w:rPr>
          <w:u w:val="single"/>
        </w:rPr>
      </w:pPr>
    </w:p>
    <w:p w14:paraId="7FAE2770" w14:textId="3F8A179B" w:rsidR="00EE5A8A" w:rsidRPr="003C64D9" w:rsidRDefault="00EE3713" w:rsidP="00EE5A8A">
      <w:pPr>
        <w:rPr>
          <w:u w:val="single"/>
        </w:rPr>
      </w:pPr>
      <w:r>
        <w:t xml:space="preserve">Since its introduction in </w:t>
      </w:r>
      <w:r w:rsidR="00EE5A8A" w:rsidRPr="00EE3713">
        <w:t>2012</w:t>
      </w:r>
      <w:r>
        <w:t xml:space="preserve">, the ITRP has </w:t>
      </w:r>
      <w:r w:rsidR="00EE5A8A" w:rsidRPr="00EE3713">
        <w:t xml:space="preserve">not been </w:t>
      </w:r>
      <w:r w:rsidR="00C167C1">
        <w:t xml:space="preserve">formally </w:t>
      </w:r>
      <w:r w:rsidR="00EE5A8A" w:rsidRPr="00EE3713">
        <w:t>evaluated. Th</w:t>
      </w:r>
      <w:r>
        <w:t xml:space="preserve">is </w:t>
      </w:r>
      <w:r w:rsidR="00EE5A8A" w:rsidRPr="00EE3713">
        <w:t xml:space="preserve">evaluation </w:t>
      </w:r>
      <w:r w:rsidR="00912084">
        <w:t xml:space="preserve">was therefore undertaken to </w:t>
      </w:r>
      <w:r w:rsidR="00EE5A8A" w:rsidRPr="00EE3713">
        <w:t xml:space="preserve">assess the ITRP’s </w:t>
      </w:r>
      <w:r>
        <w:t xml:space="preserve">effectiveness in </w:t>
      </w:r>
      <w:r w:rsidR="00EE5A8A" w:rsidRPr="00EE3713">
        <w:t>supporting research collaboration, tra</w:t>
      </w:r>
      <w:r w:rsidR="00C167C1">
        <w:t xml:space="preserve">nslation and commercialisation—particularly to </w:t>
      </w:r>
      <w:r w:rsidR="00C167C1" w:rsidRPr="00EE3713">
        <w:t>address</w:t>
      </w:r>
      <w:r w:rsidR="00C167C1">
        <w:t xml:space="preserve"> </w:t>
      </w:r>
      <w:r w:rsidR="00C167C1" w:rsidRPr="00EE3713">
        <w:t>industry issues</w:t>
      </w:r>
      <w:r w:rsidR="00C167C1">
        <w:t>—and</w:t>
      </w:r>
      <w:r w:rsidR="00C167C1" w:rsidRPr="00C167C1">
        <w:t xml:space="preserve"> </w:t>
      </w:r>
      <w:r w:rsidRPr="00C167C1">
        <w:t>its alignment with g</w:t>
      </w:r>
      <w:r w:rsidR="00C167C1">
        <w:t>overnment innovation priorities.</w:t>
      </w:r>
      <w:r w:rsidR="00EE5A8A" w:rsidRPr="00EE3713">
        <w:t xml:space="preserve"> In that context, there is a need to assess the efficiency and effectiveness of the administration of the ITRP in supporting potentially complex collaborative research and research training arrangements. It is also important to assess the ITRP’s role and contribution to supporting industry focused research along with other programs such as Industry Growth Centres, Cooperative Research Centres (CRC), Cooperative Research Centres Projects (CRC-P) and the Global Innovation Linkages Program.</w:t>
      </w:r>
    </w:p>
    <w:p w14:paraId="1AD32152" w14:textId="77777777" w:rsidR="009C175D" w:rsidRPr="003C64D9" w:rsidRDefault="009C175D" w:rsidP="009C175D"/>
    <w:p w14:paraId="30B21876" w14:textId="21BABF8C" w:rsidR="009C175D" w:rsidRPr="003C64D9" w:rsidRDefault="00AA6C5F" w:rsidP="00CB373D">
      <w:pPr>
        <w:pStyle w:val="Heading2"/>
      </w:pPr>
      <w:bookmarkStart w:id="9" w:name="_Toc13057471"/>
      <w:r>
        <w:t>P</w:t>
      </w:r>
      <w:r w:rsidR="009C175D" w:rsidRPr="003C64D9">
        <w:t>urpose and scope</w:t>
      </w:r>
      <w:bookmarkEnd w:id="9"/>
    </w:p>
    <w:p w14:paraId="3B614042" w14:textId="77777777" w:rsidR="009C175D" w:rsidRPr="003C64D9" w:rsidRDefault="009C175D" w:rsidP="009C175D">
      <w:pPr>
        <w:rPr>
          <w:u w:val="single"/>
        </w:rPr>
      </w:pPr>
    </w:p>
    <w:p w14:paraId="31627EDF" w14:textId="41BCAE83" w:rsidR="00EE5A8A" w:rsidRPr="00C96CC0" w:rsidRDefault="00912084" w:rsidP="00EE5A8A">
      <w:r w:rsidRPr="00C96CC0">
        <w:t>The purpose of the evaluation was</w:t>
      </w:r>
      <w:r w:rsidR="00C96CC0" w:rsidRPr="00C96CC0">
        <w:t xml:space="preserve"> to provide evidence, and asses </w:t>
      </w:r>
      <w:r w:rsidR="00EE5A8A" w:rsidRPr="00C96CC0">
        <w:t xml:space="preserve">the effectiveness and efficiency of ITRP processes in meeting their objectives and supporting government priorities. The evaluation </w:t>
      </w:r>
      <w:r w:rsidRPr="00C96CC0">
        <w:t>focused</w:t>
      </w:r>
      <w:r w:rsidR="00EE5A8A" w:rsidRPr="00C96CC0">
        <w:t xml:space="preserve"> primarily on the design, implementation </w:t>
      </w:r>
      <w:r w:rsidR="00D00E03">
        <w:t>and administration of the ITRP. The evaluation’s scope included all ITRP activity since its introduction in 2012.</w:t>
      </w:r>
    </w:p>
    <w:p w14:paraId="2AAA0DA0" w14:textId="77777777" w:rsidR="00EE5A8A" w:rsidRPr="00C96CC0" w:rsidRDefault="00EE5A8A" w:rsidP="00EE5A8A"/>
    <w:p w14:paraId="3CAF7762" w14:textId="1EA26A2C" w:rsidR="00912084" w:rsidRPr="00C96CC0" w:rsidRDefault="00912084" w:rsidP="00912084">
      <w:r w:rsidRPr="00C96CC0">
        <w:t>The evaluation did not focus on the outcomes of funded research or assess the effectiveness of the ITRP in supporting research that solves challenging industry issues</w:t>
      </w:r>
      <w:r w:rsidR="00C96CC0" w:rsidRPr="00C96CC0">
        <w:t>,</w:t>
      </w:r>
      <w:r w:rsidRPr="00C96CC0">
        <w:t xml:space="preserve"> and driving growth, productivity and competitiveness. As the activities of the majority of funded </w:t>
      </w:r>
      <w:r w:rsidR="00D00E03">
        <w:t>Research Hubs</w:t>
      </w:r>
      <w:r w:rsidRPr="00C96CC0">
        <w:t xml:space="preserve"> and </w:t>
      </w:r>
      <w:r w:rsidR="00D00E03">
        <w:t>Training Centres</w:t>
      </w:r>
      <w:r w:rsidRPr="00C96CC0">
        <w:t xml:space="preserve"> are still underway, it was too early to assess the outcomes arising from completed research and research training under the ITRP.</w:t>
      </w:r>
    </w:p>
    <w:p w14:paraId="61BE4A24" w14:textId="6E37A95C" w:rsidR="00912084" w:rsidRDefault="00912084" w:rsidP="00EE5A8A"/>
    <w:p w14:paraId="03DABF02" w14:textId="7A072995" w:rsidR="00C96CC0" w:rsidRPr="000779F1" w:rsidRDefault="00C96CC0" w:rsidP="00EE5A8A">
      <w:r w:rsidRPr="000779F1">
        <w:t xml:space="preserve">The primary intended use of the evaluation is to inform </w:t>
      </w:r>
      <w:r w:rsidR="00634B7B">
        <w:t xml:space="preserve">whether any changes or improvements should be made to the implementation of ITRP processes and priorities by the ARC. </w:t>
      </w:r>
      <w:r w:rsidR="00634B7B" w:rsidRPr="00634B7B">
        <w:t xml:space="preserve">The evaluation’s findings </w:t>
      </w:r>
      <w:r w:rsidR="00634B7B">
        <w:t>may</w:t>
      </w:r>
      <w:r w:rsidR="00634B7B" w:rsidRPr="00634B7B">
        <w:t xml:space="preserve"> also be useful for informing the </w:t>
      </w:r>
      <w:r w:rsidR="00634B7B">
        <w:t xml:space="preserve">university </w:t>
      </w:r>
      <w:r w:rsidR="00634B7B" w:rsidRPr="00634B7B">
        <w:t>research sector</w:t>
      </w:r>
      <w:r w:rsidR="00634B7B">
        <w:t xml:space="preserve"> (including researchers and research trainees), industry and other ITRP partner organisations</w:t>
      </w:r>
      <w:r w:rsidR="00634B7B" w:rsidRPr="00634B7B">
        <w:t xml:space="preserve"> about issues relevant to </w:t>
      </w:r>
      <w:r w:rsidR="00634B7B">
        <w:t xml:space="preserve">developing collaboration and applications under the </w:t>
      </w:r>
      <w:r w:rsidR="00CC303F">
        <w:t xml:space="preserve">ITRP, as well as </w:t>
      </w:r>
      <w:r w:rsidR="00634B7B">
        <w:t xml:space="preserve">establishing </w:t>
      </w:r>
      <w:r w:rsidR="00D00E03">
        <w:t>Research Hubs and Training Centres</w:t>
      </w:r>
      <w:r w:rsidR="00634B7B" w:rsidRPr="00634B7B">
        <w:t>.</w:t>
      </w:r>
    </w:p>
    <w:p w14:paraId="2BE68E24" w14:textId="70D9C849" w:rsidR="00EE5A8A" w:rsidRPr="00C96CC0" w:rsidRDefault="00EE5A8A" w:rsidP="00EE5A8A">
      <w:pPr>
        <w:rPr>
          <w:highlight w:val="yellow"/>
        </w:rPr>
      </w:pPr>
    </w:p>
    <w:p w14:paraId="36122A50" w14:textId="77777777" w:rsidR="009C175D" w:rsidRPr="008773D5" w:rsidRDefault="009C175D" w:rsidP="00CB373D">
      <w:pPr>
        <w:pStyle w:val="Heading2"/>
      </w:pPr>
      <w:bookmarkStart w:id="10" w:name="_Toc13057472"/>
      <w:r w:rsidRPr="008773D5">
        <w:t>Terms of reference</w:t>
      </w:r>
      <w:bookmarkEnd w:id="10"/>
    </w:p>
    <w:p w14:paraId="71EE0D49" w14:textId="77777777" w:rsidR="009C175D" w:rsidRPr="003C64D9" w:rsidRDefault="009C175D" w:rsidP="009C175D"/>
    <w:p w14:paraId="54809BA2" w14:textId="4EA61076" w:rsidR="009C175D" w:rsidRPr="003C64D9" w:rsidRDefault="00DB3A32" w:rsidP="009C175D">
      <w:r>
        <w:t>The evaluation’s terms of reference were to</w:t>
      </w:r>
      <w:r w:rsidR="009C175D" w:rsidRPr="003C64D9">
        <w:t>:</w:t>
      </w:r>
    </w:p>
    <w:p w14:paraId="64DF8844" w14:textId="77777777" w:rsidR="009C175D" w:rsidRPr="003C64D9" w:rsidRDefault="009C175D" w:rsidP="009C175D"/>
    <w:p w14:paraId="074881F9" w14:textId="77777777" w:rsidR="0018183A" w:rsidRDefault="0018183A" w:rsidP="0018183A">
      <w:pPr>
        <w:pStyle w:val="ListParagraph"/>
        <w:numPr>
          <w:ilvl w:val="0"/>
          <w:numId w:val="18"/>
        </w:numPr>
        <w:rPr>
          <w:color w:val="auto"/>
        </w:rPr>
      </w:pPr>
      <w:r w:rsidRPr="00013C29">
        <w:rPr>
          <w:color w:val="auto"/>
        </w:rPr>
        <w:t xml:space="preserve">Assess the effectiveness and efficiency of ITRP </w:t>
      </w:r>
      <w:r>
        <w:rPr>
          <w:color w:val="auto"/>
        </w:rPr>
        <w:t xml:space="preserve">scheme design, </w:t>
      </w:r>
      <w:r w:rsidRPr="00EE471C">
        <w:rPr>
          <w:color w:val="auto"/>
        </w:rPr>
        <w:t>processes and administration</w:t>
      </w:r>
      <w:r>
        <w:rPr>
          <w:color w:val="auto"/>
        </w:rPr>
        <w:t xml:space="preserve"> in </w:t>
      </w:r>
      <w:r w:rsidRPr="00240DDF">
        <w:rPr>
          <w:color w:val="auto"/>
        </w:rPr>
        <w:t>meeting the objectives of</w:t>
      </w:r>
      <w:r>
        <w:rPr>
          <w:color w:val="auto"/>
        </w:rPr>
        <w:t xml:space="preserve"> supporting industry focused</w:t>
      </w:r>
      <w:r w:rsidRPr="00240DDF">
        <w:rPr>
          <w:color w:val="auto"/>
        </w:rPr>
        <w:t xml:space="preserve"> </w:t>
      </w:r>
      <w:r>
        <w:rPr>
          <w:color w:val="auto"/>
        </w:rPr>
        <w:t>collaborative re</w:t>
      </w:r>
      <w:r w:rsidRPr="00240DDF">
        <w:rPr>
          <w:color w:val="auto"/>
        </w:rPr>
        <w:t>search (through ITRH)</w:t>
      </w:r>
      <w:r>
        <w:rPr>
          <w:color w:val="auto"/>
        </w:rPr>
        <w:t xml:space="preserve"> and </w:t>
      </w:r>
      <w:r w:rsidRPr="00240DDF">
        <w:rPr>
          <w:color w:val="auto"/>
        </w:rPr>
        <w:t>higher degree by research and postdoctoral training (through ITTC)</w:t>
      </w:r>
      <w:r>
        <w:rPr>
          <w:color w:val="auto"/>
        </w:rPr>
        <w:t xml:space="preserve">, as well as </w:t>
      </w:r>
      <w:r w:rsidRPr="00CB1430">
        <w:rPr>
          <w:color w:val="auto"/>
        </w:rPr>
        <w:t>addressing issues involved in the management of potentially complex collaborative projects.</w:t>
      </w:r>
    </w:p>
    <w:p w14:paraId="27C30B56" w14:textId="65481F5B" w:rsidR="009C175D" w:rsidRDefault="0018183A" w:rsidP="0018183A">
      <w:pPr>
        <w:pStyle w:val="ListParagraph"/>
        <w:numPr>
          <w:ilvl w:val="0"/>
          <w:numId w:val="18"/>
        </w:numPr>
        <w:rPr>
          <w:color w:val="auto"/>
        </w:rPr>
      </w:pPr>
      <w:r w:rsidRPr="00013C29">
        <w:rPr>
          <w:color w:val="auto"/>
        </w:rPr>
        <w:t xml:space="preserve">Assess </w:t>
      </w:r>
      <w:r>
        <w:rPr>
          <w:color w:val="auto"/>
        </w:rPr>
        <w:t>the role</w:t>
      </w:r>
      <w:r w:rsidRPr="00013C29">
        <w:rPr>
          <w:color w:val="auto"/>
        </w:rPr>
        <w:t xml:space="preserve"> </w:t>
      </w:r>
      <w:r>
        <w:rPr>
          <w:color w:val="auto"/>
        </w:rPr>
        <w:t xml:space="preserve">and contribution </w:t>
      </w:r>
      <w:r w:rsidRPr="00013C29">
        <w:rPr>
          <w:color w:val="auto"/>
        </w:rPr>
        <w:t xml:space="preserve">of the ITRP </w:t>
      </w:r>
      <w:r>
        <w:rPr>
          <w:color w:val="auto"/>
        </w:rPr>
        <w:t xml:space="preserve">in the broader context of Australian Government programs that support </w:t>
      </w:r>
      <w:r w:rsidRPr="00013C29">
        <w:rPr>
          <w:color w:val="auto"/>
        </w:rPr>
        <w:t>industry focused research</w:t>
      </w:r>
      <w:r>
        <w:rPr>
          <w:color w:val="auto"/>
        </w:rPr>
        <w:t xml:space="preserve">, including its potential </w:t>
      </w:r>
      <w:r w:rsidRPr="00013C29">
        <w:rPr>
          <w:color w:val="auto"/>
        </w:rPr>
        <w:t xml:space="preserve">complementarity and overlaps </w:t>
      </w:r>
      <w:r>
        <w:rPr>
          <w:color w:val="auto"/>
        </w:rPr>
        <w:t xml:space="preserve">with </w:t>
      </w:r>
      <w:r w:rsidRPr="00013C29">
        <w:rPr>
          <w:color w:val="auto"/>
        </w:rPr>
        <w:t>Industry Growth Centre</w:t>
      </w:r>
      <w:r>
        <w:rPr>
          <w:color w:val="auto"/>
        </w:rPr>
        <w:t>s, CRC, CRC-P and the Global Innovation Linkages Program</w:t>
      </w:r>
      <w:r w:rsidRPr="00013C29">
        <w:rPr>
          <w:color w:val="auto"/>
        </w:rPr>
        <w:t>.</w:t>
      </w:r>
    </w:p>
    <w:p w14:paraId="1AE7C1A0" w14:textId="77777777" w:rsidR="001473E5" w:rsidRPr="001473E5" w:rsidRDefault="001473E5" w:rsidP="001473E5"/>
    <w:p w14:paraId="3734D9E1" w14:textId="77777777" w:rsidR="00DB3A32" w:rsidRPr="008773D5" w:rsidRDefault="00DB3A32" w:rsidP="00CB373D">
      <w:pPr>
        <w:pStyle w:val="Heading2"/>
      </w:pPr>
      <w:bookmarkStart w:id="11" w:name="_Toc13057473"/>
      <w:r w:rsidRPr="008773D5">
        <w:t>Evaluation questions</w:t>
      </w:r>
      <w:bookmarkEnd w:id="11"/>
    </w:p>
    <w:p w14:paraId="019762AF" w14:textId="74CF9E0B" w:rsidR="00DB3A32" w:rsidRDefault="00DB3A32" w:rsidP="00DB3A32"/>
    <w:p w14:paraId="5BEEF592" w14:textId="41C39829" w:rsidR="00DB308D" w:rsidRDefault="00DB308D" w:rsidP="00DB3A32">
      <w:r w:rsidRPr="003673FA">
        <w:t>To address the terms of reference, the evaluation sought to answer the following questions:</w:t>
      </w:r>
    </w:p>
    <w:p w14:paraId="04290EF5" w14:textId="77777777" w:rsidR="00DB308D" w:rsidRPr="003C64D9" w:rsidRDefault="00DB308D" w:rsidP="00DB3A32"/>
    <w:p w14:paraId="6D0C334B" w14:textId="77777777" w:rsidR="0018183A" w:rsidRPr="00E6030C" w:rsidRDefault="0018183A" w:rsidP="0018183A">
      <w:pPr>
        <w:pStyle w:val="ListParagraph"/>
        <w:numPr>
          <w:ilvl w:val="0"/>
          <w:numId w:val="19"/>
        </w:numPr>
        <w:rPr>
          <w:color w:val="auto"/>
        </w:rPr>
      </w:pPr>
      <w:r w:rsidRPr="00E6030C">
        <w:rPr>
          <w:color w:val="auto"/>
        </w:rPr>
        <w:t>Does the ITRP effectively support industry focused research collaboration?</w:t>
      </w:r>
    </w:p>
    <w:p w14:paraId="0818B8EA" w14:textId="77777777" w:rsidR="0018183A" w:rsidRPr="00E6030C" w:rsidRDefault="0018183A" w:rsidP="0018183A">
      <w:pPr>
        <w:pStyle w:val="ListParagraph"/>
        <w:numPr>
          <w:ilvl w:val="1"/>
          <w:numId w:val="19"/>
        </w:numPr>
        <w:rPr>
          <w:color w:val="auto"/>
        </w:rPr>
      </w:pPr>
      <w:r w:rsidRPr="00E6030C">
        <w:rPr>
          <w:color w:val="auto"/>
        </w:rPr>
        <w:t>How many partner organisations have been involved?</w:t>
      </w:r>
    </w:p>
    <w:p w14:paraId="377A9571" w14:textId="77777777" w:rsidR="0018183A" w:rsidRPr="00E6030C" w:rsidRDefault="0018183A" w:rsidP="0018183A">
      <w:pPr>
        <w:pStyle w:val="ListParagraph"/>
        <w:numPr>
          <w:ilvl w:val="1"/>
          <w:numId w:val="19"/>
        </w:numPr>
        <w:rPr>
          <w:color w:val="auto"/>
        </w:rPr>
      </w:pPr>
      <w:r w:rsidRPr="00E6030C">
        <w:rPr>
          <w:color w:val="auto"/>
        </w:rPr>
        <w:t>What types of partner organisations have been involved?</w:t>
      </w:r>
    </w:p>
    <w:p w14:paraId="74C3DEDF" w14:textId="77777777" w:rsidR="0018183A" w:rsidRPr="00E6030C" w:rsidRDefault="0018183A" w:rsidP="0018183A">
      <w:pPr>
        <w:pStyle w:val="ListParagraph"/>
        <w:numPr>
          <w:ilvl w:val="1"/>
          <w:numId w:val="19"/>
        </w:numPr>
        <w:rPr>
          <w:color w:val="auto"/>
        </w:rPr>
      </w:pPr>
      <w:r w:rsidRPr="00E6030C">
        <w:rPr>
          <w:color w:val="auto"/>
        </w:rPr>
        <w:t>How many collaborations were new and how many already existed?</w:t>
      </w:r>
    </w:p>
    <w:p w14:paraId="194A1483" w14:textId="77777777" w:rsidR="0018183A" w:rsidRPr="00E6030C" w:rsidRDefault="0018183A" w:rsidP="0018183A">
      <w:pPr>
        <w:pStyle w:val="ListParagraph"/>
        <w:numPr>
          <w:ilvl w:val="1"/>
          <w:numId w:val="19"/>
        </w:numPr>
        <w:rPr>
          <w:color w:val="auto"/>
        </w:rPr>
      </w:pPr>
      <w:r w:rsidRPr="00E6030C">
        <w:rPr>
          <w:color w:val="auto"/>
        </w:rPr>
        <w:t>How much and what kind of contributions (cash/in kind) have partner organisations provided? What is the impact of different types of contributions on successful collaboration?</w:t>
      </w:r>
    </w:p>
    <w:p w14:paraId="4A01B709" w14:textId="77777777" w:rsidR="0018183A" w:rsidRPr="00E6030C" w:rsidRDefault="0018183A" w:rsidP="0018183A">
      <w:pPr>
        <w:pStyle w:val="ListParagraph"/>
        <w:numPr>
          <w:ilvl w:val="1"/>
          <w:numId w:val="19"/>
        </w:numPr>
        <w:rPr>
          <w:color w:val="auto"/>
        </w:rPr>
      </w:pPr>
      <w:r w:rsidRPr="00E6030C">
        <w:rPr>
          <w:color w:val="auto"/>
        </w:rPr>
        <w:t>How have partner organisations been involved in the development of ITRP applications and the design of programs and projects? Is expertise related to research translation and commercialisation typically included in program and project design?</w:t>
      </w:r>
    </w:p>
    <w:p w14:paraId="3ED7BF1E" w14:textId="77777777" w:rsidR="0018183A" w:rsidRPr="00E6030C" w:rsidRDefault="0018183A" w:rsidP="0018183A">
      <w:pPr>
        <w:pStyle w:val="ListParagraph"/>
        <w:numPr>
          <w:ilvl w:val="0"/>
          <w:numId w:val="19"/>
        </w:numPr>
        <w:rPr>
          <w:color w:val="auto"/>
        </w:rPr>
      </w:pPr>
      <w:r w:rsidRPr="00E6030C">
        <w:rPr>
          <w:color w:val="auto"/>
        </w:rPr>
        <w:t>Does the ITRP effectively support industry focused research training?</w:t>
      </w:r>
    </w:p>
    <w:p w14:paraId="75CBBC7C" w14:textId="758D84E7" w:rsidR="0018183A" w:rsidRPr="00E6030C" w:rsidRDefault="0018183A" w:rsidP="0018183A">
      <w:pPr>
        <w:pStyle w:val="ListParagraph"/>
        <w:numPr>
          <w:ilvl w:val="1"/>
          <w:numId w:val="19"/>
        </w:numPr>
        <w:rPr>
          <w:color w:val="auto"/>
        </w:rPr>
      </w:pPr>
      <w:r w:rsidRPr="00E6030C">
        <w:rPr>
          <w:color w:val="auto"/>
        </w:rPr>
        <w:t xml:space="preserve">How many higher </w:t>
      </w:r>
      <w:proofErr w:type="gramStart"/>
      <w:r w:rsidRPr="00E6030C">
        <w:rPr>
          <w:color w:val="auto"/>
        </w:rPr>
        <w:t>degree</w:t>
      </w:r>
      <w:proofErr w:type="gramEnd"/>
      <w:r w:rsidRPr="00E6030C">
        <w:rPr>
          <w:color w:val="auto"/>
        </w:rPr>
        <w:t xml:space="preserve"> by r</w:t>
      </w:r>
      <w:r w:rsidR="00AC7F39">
        <w:rPr>
          <w:color w:val="auto"/>
        </w:rPr>
        <w:t>esearch (HDR) students and post</w:t>
      </w:r>
      <w:r w:rsidRPr="00E6030C">
        <w:rPr>
          <w:color w:val="auto"/>
        </w:rPr>
        <w:t>doctoral researchers (PDR) have been involved?</w:t>
      </w:r>
    </w:p>
    <w:p w14:paraId="240AD20A" w14:textId="77777777" w:rsidR="0018183A" w:rsidRPr="00E6030C" w:rsidRDefault="0018183A" w:rsidP="0018183A">
      <w:pPr>
        <w:pStyle w:val="ListParagraph"/>
        <w:numPr>
          <w:ilvl w:val="1"/>
          <w:numId w:val="19"/>
        </w:numPr>
        <w:rPr>
          <w:color w:val="auto"/>
        </w:rPr>
      </w:pPr>
      <w:r w:rsidRPr="00E6030C">
        <w:rPr>
          <w:color w:val="auto"/>
        </w:rPr>
        <w:t>What roles have HDR students and PDRs played in ITRP projects?</w:t>
      </w:r>
      <w:r>
        <w:rPr>
          <w:color w:val="auto"/>
        </w:rPr>
        <w:t xml:space="preserve"> What types of industry placements have they had?</w:t>
      </w:r>
    </w:p>
    <w:p w14:paraId="4E28A02D" w14:textId="77777777" w:rsidR="0018183A" w:rsidRDefault="0018183A" w:rsidP="0018183A">
      <w:pPr>
        <w:pStyle w:val="ListParagraph"/>
        <w:numPr>
          <w:ilvl w:val="1"/>
          <w:numId w:val="19"/>
        </w:numPr>
        <w:rPr>
          <w:color w:val="auto"/>
        </w:rPr>
      </w:pPr>
      <w:r w:rsidRPr="00E6030C">
        <w:rPr>
          <w:color w:val="auto"/>
        </w:rPr>
        <w:t xml:space="preserve">Why do HDR students and PDRs choose to be involved in </w:t>
      </w:r>
      <w:r>
        <w:rPr>
          <w:color w:val="auto"/>
        </w:rPr>
        <w:t xml:space="preserve">the </w:t>
      </w:r>
      <w:r w:rsidRPr="00E6030C">
        <w:rPr>
          <w:color w:val="auto"/>
        </w:rPr>
        <w:t xml:space="preserve">ITRP </w:t>
      </w:r>
      <w:r>
        <w:rPr>
          <w:color w:val="auto"/>
        </w:rPr>
        <w:t>(as opposed to other opportunities for industry experience)</w:t>
      </w:r>
      <w:r w:rsidRPr="00E6030C">
        <w:rPr>
          <w:color w:val="auto"/>
        </w:rPr>
        <w:t>?</w:t>
      </w:r>
    </w:p>
    <w:p w14:paraId="0795B053" w14:textId="768A9368" w:rsidR="0018183A" w:rsidRPr="00E6030C" w:rsidRDefault="0018183A" w:rsidP="0018183A">
      <w:pPr>
        <w:pStyle w:val="ListParagraph"/>
        <w:numPr>
          <w:ilvl w:val="1"/>
          <w:numId w:val="19"/>
        </w:numPr>
        <w:rPr>
          <w:color w:val="auto"/>
        </w:rPr>
      </w:pPr>
      <w:r>
        <w:rPr>
          <w:color w:val="auto"/>
        </w:rPr>
        <w:t>How have partner organisations been involved in the development and design of ITRP placements?</w:t>
      </w:r>
    </w:p>
    <w:p w14:paraId="149A08B1" w14:textId="77777777" w:rsidR="0018183A" w:rsidRPr="00E6030C" w:rsidRDefault="0018183A" w:rsidP="0018183A">
      <w:pPr>
        <w:pStyle w:val="ListParagraph"/>
        <w:numPr>
          <w:ilvl w:val="0"/>
          <w:numId w:val="19"/>
        </w:numPr>
        <w:rPr>
          <w:color w:val="auto"/>
        </w:rPr>
      </w:pPr>
      <w:r w:rsidRPr="00E6030C">
        <w:rPr>
          <w:color w:val="auto"/>
        </w:rPr>
        <w:t>How effective is engagement with Industry Growth Centres as part of ITRP processes?</w:t>
      </w:r>
    </w:p>
    <w:p w14:paraId="744C2C0A" w14:textId="77777777" w:rsidR="0018183A" w:rsidRPr="00E6030C" w:rsidRDefault="0018183A" w:rsidP="0018183A">
      <w:pPr>
        <w:pStyle w:val="ListParagraph"/>
        <w:numPr>
          <w:ilvl w:val="1"/>
          <w:numId w:val="19"/>
        </w:numPr>
        <w:rPr>
          <w:color w:val="auto"/>
        </w:rPr>
      </w:pPr>
      <w:r w:rsidRPr="00E6030C">
        <w:rPr>
          <w:color w:val="auto"/>
        </w:rPr>
        <w:t>How useful and important is the advice provided</w:t>
      </w:r>
      <w:r>
        <w:rPr>
          <w:color w:val="auto"/>
        </w:rPr>
        <w:t xml:space="preserve"> by Growth Centres to universities, researchers</w:t>
      </w:r>
      <w:r w:rsidRPr="00E6030C">
        <w:rPr>
          <w:color w:val="auto"/>
        </w:rPr>
        <w:t xml:space="preserve"> and partner organisations?</w:t>
      </w:r>
    </w:p>
    <w:p w14:paraId="29426F40" w14:textId="77777777" w:rsidR="0018183A" w:rsidRPr="005B1853" w:rsidRDefault="0018183A" w:rsidP="0018183A">
      <w:pPr>
        <w:pStyle w:val="ListParagraph"/>
        <w:numPr>
          <w:ilvl w:val="1"/>
          <w:numId w:val="19"/>
        </w:numPr>
        <w:rPr>
          <w:color w:val="auto"/>
        </w:rPr>
      </w:pPr>
      <w:r w:rsidRPr="00E6030C">
        <w:rPr>
          <w:color w:val="auto"/>
        </w:rPr>
        <w:t>Does it support opportunities for collaborat</w:t>
      </w:r>
      <w:r>
        <w:rPr>
          <w:color w:val="auto"/>
        </w:rPr>
        <w:t xml:space="preserve">ion that may not otherwise occur, or that </w:t>
      </w:r>
      <w:r w:rsidRPr="005B1853">
        <w:rPr>
          <w:color w:val="auto"/>
        </w:rPr>
        <w:t xml:space="preserve">add to existing collaboration? </w:t>
      </w:r>
      <w:r>
        <w:rPr>
          <w:color w:val="auto"/>
        </w:rPr>
        <w:t>What do these opportunities add</w:t>
      </w:r>
      <w:r w:rsidRPr="005B1853">
        <w:rPr>
          <w:color w:val="auto"/>
        </w:rPr>
        <w:t>?</w:t>
      </w:r>
    </w:p>
    <w:p w14:paraId="74B2A836" w14:textId="77777777" w:rsidR="0018183A" w:rsidRPr="00E6030C" w:rsidRDefault="0018183A" w:rsidP="0018183A">
      <w:pPr>
        <w:pStyle w:val="ListParagraph"/>
        <w:numPr>
          <w:ilvl w:val="1"/>
          <w:numId w:val="19"/>
        </w:numPr>
        <w:rPr>
          <w:color w:val="auto"/>
        </w:rPr>
      </w:pPr>
      <w:r w:rsidRPr="00E6030C">
        <w:rPr>
          <w:color w:val="auto"/>
        </w:rPr>
        <w:t>Does it support innovative research and the development of well targeted, industry focused projects?</w:t>
      </w:r>
    </w:p>
    <w:p w14:paraId="04EC2824" w14:textId="77777777" w:rsidR="0018183A" w:rsidRPr="00E6030C" w:rsidRDefault="0018183A" w:rsidP="0018183A">
      <w:pPr>
        <w:pStyle w:val="ListParagraph"/>
        <w:numPr>
          <w:ilvl w:val="1"/>
          <w:numId w:val="19"/>
        </w:numPr>
        <w:rPr>
          <w:color w:val="auto"/>
        </w:rPr>
      </w:pPr>
      <w:r w:rsidRPr="00E6030C">
        <w:rPr>
          <w:color w:val="auto"/>
        </w:rPr>
        <w:t xml:space="preserve">Does engagement </w:t>
      </w:r>
      <w:r>
        <w:rPr>
          <w:color w:val="auto"/>
        </w:rPr>
        <w:t>with Growth Centres extend beyond the proposal stage? If so, in what form?</w:t>
      </w:r>
    </w:p>
    <w:p w14:paraId="72CC9EC1" w14:textId="77777777" w:rsidR="0018183A" w:rsidRPr="00E6030C" w:rsidRDefault="0018183A" w:rsidP="0018183A">
      <w:pPr>
        <w:pStyle w:val="ListParagraph"/>
        <w:numPr>
          <w:ilvl w:val="0"/>
          <w:numId w:val="19"/>
        </w:numPr>
        <w:rPr>
          <w:color w:val="auto"/>
        </w:rPr>
      </w:pPr>
      <w:r w:rsidRPr="00E6030C">
        <w:rPr>
          <w:color w:val="auto"/>
        </w:rPr>
        <w:t xml:space="preserve">How well does the ITRP </w:t>
      </w:r>
      <w:r>
        <w:rPr>
          <w:color w:val="auto"/>
        </w:rPr>
        <w:t xml:space="preserve">fit with other Australian Government programs that support industry focused research and innovation, including </w:t>
      </w:r>
      <w:r w:rsidRPr="00E6030C">
        <w:rPr>
          <w:color w:val="auto"/>
        </w:rPr>
        <w:t xml:space="preserve">Growth Centres, </w:t>
      </w:r>
      <w:r>
        <w:rPr>
          <w:color w:val="auto"/>
        </w:rPr>
        <w:t>CRC, CRC-P and the Global Innovation Linkages Program</w:t>
      </w:r>
      <w:r w:rsidRPr="00E6030C">
        <w:rPr>
          <w:color w:val="auto"/>
        </w:rPr>
        <w:t>?</w:t>
      </w:r>
    </w:p>
    <w:p w14:paraId="2EF33C5D" w14:textId="77777777" w:rsidR="0018183A" w:rsidRPr="00E6030C" w:rsidRDefault="0018183A" w:rsidP="0018183A">
      <w:pPr>
        <w:pStyle w:val="ListParagraph"/>
        <w:numPr>
          <w:ilvl w:val="1"/>
          <w:numId w:val="19"/>
        </w:numPr>
        <w:rPr>
          <w:color w:val="auto"/>
        </w:rPr>
      </w:pPr>
      <w:r w:rsidRPr="00E6030C">
        <w:rPr>
          <w:color w:val="auto"/>
        </w:rPr>
        <w:t xml:space="preserve">Why do administering </w:t>
      </w:r>
      <w:r>
        <w:rPr>
          <w:color w:val="auto"/>
        </w:rPr>
        <w:t xml:space="preserve">organisations and their partners seek support under the ITRP rather than </w:t>
      </w:r>
      <w:r w:rsidRPr="00E6030C">
        <w:rPr>
          <w:color w:val="auto"/>
        </w:rPr>
        <w:t>other</w:t>
      </w:r>
      <w:r>
        <w:rPr>
          <w:color w:val="auto"/>
        </w:rPr>
        <w:t xml:space="preserve"> industry focused research</w:t>
      </w:r>
      <w:r w:rsidRPr="00E6030C">
        <w:rPr>
          <w:color w:val="auto"/>
        </w:rPr>
        <w:t xml:space="preserve"> schemes? </w:t>
      </w:r>
      <w:r>
        <w:rPr>
          <w:color w:val="auto"/>
        </w:rPr>
        <w:t>Do they submit applications to multiple schemes</w:t>
      </w:r>
      <w:r w:rsidRPr="00E6030C">
        <w:rPr>
          <w:color w:val="auto"/>
        </w:rPr>
        <w:t>?</w:t>
      </w:r>
    </w:p>
    <w:p w14:paraId="445F8524" w14:textId="77777777" w:rsidR="0018183A" w:rsidRPr="00E6030C" w:rsidRDefault="0018183A" w:rsidP="0018183A">
      <w:pPr>
        <w:pStyle w:val="ListParagraph"/>
        <w:numPr>
          <w:ilvl w:val="1"/>
          <w:numId w:val="19"/>
        </w:numPr>
        <w:rPr>
          <w:color w:val="auto"/>
        </w:rPr>
      </w:pPr>
      <w:r w:rsidRPr="00E6030C">
        <w:rPr>
          <w:color w:val="auto"/>
        </w:rPr>
        <w:t xml:space="preserve">Do the Industrial Transformation Priorities (which match the areas of focus for the Growth Centres) effectively </w:t>
      </w:r>
      <w:r>
        <w:rPr>
          <w:color w:val="auto"/>
        </w:rPr>
        <w:t>focus</w:t>
      </w:r>
      <w:r w:rsidRPr="00E6030C">
        <w:rPr>
          <w:color w:val="auto"/>
        </w:rPr>
        <w:t xml:space="preserve"> </w:t>
      </w:r>
      <w:r>
        <w:rPr>
          <w:color w:val="auto"/>
        </w:rPr>
        <w:t>applications on</w:t>
      </w:r>
      <w:r w:rsidRPr="00E6030C">
        <w:rPr>
          <w:color w:val="auto"/>
        </w:rPr>
        <w:t xml:space="preserve"> key </w:t>
      </w:r>
      <w:r>
        <w:rPr>
          <w:color w:val="auto"/>
        </w:rPr>
        <w:t xml:space="preserve">industry </w:t>
      </w:r>
      <w:r w:rsidRPr="00E6030C">
        <w:rPr>
          <w:color w:val="auto"/>
        </w:rPr>
        <w:t>priority areas?</w:t>
      </w:r>
    </w:p>
    <w:p w14:paraId="1F838940" w14:textId="77777777" w:rsidR="0018183A" w:rsidRPr="00E6030C" w:rsidRDefault="0018183A" w:rsidP="0018183A">
      <w:pPr>
        <w:pStyle w:val="ListParagraph"/>
        <w:numPr>
          <w:ilvl w:val="1"/>
          <w:numId w:val="19"/>
        </w:numPr>
        <w:rPr>
          <w:color w:val="auto"/>
        </w:rPr>
      </w:pPr>
      <w:r>
        <w:rPr>
          <w:color w:val="auto"/>
        </w:rPr>
        <w:t xml:space="preserve">Are there potential </w:t>
      </w:r>
      <w:r w:rsidRPr="00E6030C">
        <w:rPr>
          <w:color w:val="auto"/>
        </w:rPr>
        <w:t xml:space="preserve">overlaps </w:t>
      </w:r>
      <w:r>
        <w:rPr>
          <w:color w:val="auto"/>
        </w:rPr>
        <w:t>or inconsistencies between the ITRP and other industry focused research</w:t>
      </w:r>
      <w:r w:rsidRPr="00E6030C">
        <w:rPr>
          <w:color w:val="auto"/>
        </w:rPr>
        <w:t xml:space="preserve"> schemes?</w:t>
      </w:r>
    </w:p>
    <w:p w14:paraId="1435278E" w14:textId="77777777" w:rsidR="0018183A" w:rsidRPr="00E6030C" w:rsidRDefault="0018183A" w:rsidP="0018183A">
      <w:pPr>
        <w:pStyle w:val="ListParagraph"/>
        <w:numPr>
          <w:ilvl w:val="0"/>
          <w:numId w:val="19"/>
        </w:numPr>
        <w:rPr>
          <w:color w:val="auto"/>
        </w:rPr>
      </w:pPr>
      <w:r w:rsidRPr="00E6030C">
        <w:rPr>
          <w:color w:val="auto"/>
        </w:rPr>
        <w:t>How effective and efficient is the implementation of the ITRP process, and the associated advice provided by the ARC</w:t>
      </w:r>
      <w:r>
        <w:rPr>
          <w:color w:val="auto"/>
        </w:rPr>
        <w:t xml:space="preserve"> to ITRP applicants and other stakeholders</w:t>
      </w:r>
      <w:r w:rsidRPr="00E6030C">
        <w:rPr>
          <w:color w:val="auto"/>
        </w:rPr>
        <w:t>, including</w:t>
      </w:r>
      <w:r>
        <w:rPr>
          <w:color w:val="auto"/>
        </w:rPr>
        <w:t xml:space="preserve"> in relation to</w:t>
      </w:r>
      <w:r w:rsidRPr="00E6030C">
        <w:rPr>
          <w:color w:val="auto"/>
        </w:rPr>
        <w:t>:</w:t>
      </w:r>
    </w:p>
    <w:p w14:paraId="563B3B1E" w14:textId="77777777" w:rsidR="0018183A" w:rsidRPr="00E6030C" w:rsidRDefault="0018183A" w:rsidP="0018183A">
      <w:pPr>
        <w:pStyle w:val="ListParagraph"/>
        <w:numPr>
          <w:ilvl w:val="1"/>
          <w:numId w:val="19"/>
        </w:numPr>
        <w:rPr>
          <w:color w:val="auto"/>
        </w:rPr>
      </w:pPr>
      <w:r w:rsidRPr="00E6030C">
        <w:rPr>
          <w:color w:val="auto"/>
        </w:rPr>
        <w:t>Establishing collaboration (for example, through project development, negotiation, and planning)</w:t>
      </w:r>
    </w:p>
    <w:p w14:paraId="3957C125" w14:textId="77777777" w:rsidR="0018183A" w:rsidRPr="00E6030C" w:rsidRDefault="0018183A" w:rsidP="0018183A">
      <w:pPr>
        <w:pStyle w:val="ListParagraph"/>
        <w:numPr>
          <w:ilvl w:val="1"/>
          <w:numId w:val="19"/>
        </w:numPr>
        <w:rPr>
          <w:color w:val="auto"/>
        </w:rPr>
      </w:pPr>
      <w:r w:rsidRPr="00E6030C">
        <w:rPr>
          <w:color w:val="auto"/>
        </w:rPr>
        <w:t>Application and assessment processes</w:t>
      </w:r>
    </w:p>
    <w:p w14:paraId="76997AB6" w14:textId="77777777" w:rsidR="0018183A" w:rsidRPr="00E6030C" w:rsidRDefault="0018183A" w:rsidP="0018183A">
      <w:pPr>
        <w:pStyle w:val="ListParagraph"/>
        <w:numPr>
          <w:ilvl w:val="1"/>
          <w:numId w:val="19"/>
        </w:numPr>
        <w:rPr>
          <w:color w:val="auto"/>
        </w:rPr>
      </w:pPr>
      <w:r w:rsidRPr="00E6030C">
        <w:rPr>
          <w:color w:val="auto"/>
        </w:rPr>
        <w:t>Project impl</w:t>
      </w:r>
      <w:r>
        <w:rPr>
          <w:color w:val="auto"/>
        </w:rPr>
        <w:t>ementation issues (for example, establishment, contracts, recruitment, intellectual property</w:t>
      </w:r>
      <w:r w:rsidRPr="00E6030C">
        <w:rPr>
          <w:color w:val="auto"/>
        </w:rPr>
        <w:t xml:space="preserve"> </w:t>
      </w:r>
      <w:r>
        <w:rPr>
          <w:color w:val="auto"/>
        </w:rPr>
        <w:t>and commercialisation arrangements</w:t>
      </w:r>
      <w:r w:rsidRPr="00E6030C">
        <w:rPr>
          <w:color w:val="auto"/>
        </w:rPr>
        <w:t>)?</w:t>
      </w:r>
    </w:p>
    <w:p w14:paraId="012A7376" w14:textId="700CB192" w:rsidR="002052CA" w:rsidRPr="00136937" w:rsidRDefault="002052CA"/>
    <w:p w14:paraId="18F5C699" w14:textId="55CEFF71" w:rsidR="009C175D" w:rsidRPr="003C64D9" w:rsidRDefault="00AA6C5F" w:rsidP="00AA6C5F">
      <w:pPr>
        <w:pStyle w:val="Heading2"/>
      </w:pPr>
      <w:bookmarkStart w:id="12" w:name="_Toc13057474"/>
      <w:r>
        <w:t>M</w:t>
      </w:r>
      <w:r w:rsidR="009C175D" w:rsidRPr="003C64D9">
        <w:t>ethodology</w:t>
      </w:r>
      <w:bookmarkEnd w:id="12"/>
    </w:p>
    <w:p w14:paraId="4448412C" w14:textId="4DF66604" w:rsidR="00FA3F60" w:rsidRDefault="00FA3F60" w:rsidP="009C175D"/>
    <w:p w14:paraId="0B4013C2" w14:textId="5A52CC8F" w:rsidR="009C175D" w:rsidRDefault="001756CC" w:rsidP="009C175D">
      <w:r>
        <w:t>The evaluation</w:t>
      </w:r>
      <w:r w:rsidR="00DB308D">
        <w:t xml:space="preserve"> questions were addressed through </w:t>
      </w:r>
      <w:r>
        <w:t xml:space="preserve">analysis of the </w:t>
      </w:r>
      <w:r w:rsidR="00B35FD7">
        <w:t xml:space="preserve">following </w:t>
      </w:r>
      <w:r w:rsidR="00FA3F60" w:rsidRPr="00136937">
        <w:t xml:space="preserve">sources of </w:t>
      </w:r>
      <w:r w:rsidR="00B35FD7" w:rsidRPr="00136937">
        <w:t>data and information</w:t>
      </w:r>
      <w:r w:rsidR="009C175D" w:rsidRPr="003C64D9">
        <w:t>:</w:t>
      </w:r>
    </w:p>
    <w:p w14:paraId="357E6B95" w14:textId="77777777" w:rsidR="00DB308D" w:rsidRPr="003C64D9" w:rsidRDefault="00DB308D" w:rsidP="009C175D"/>
    <w:p w14:paraId="411B2729" w14:textId="32396C14" w:rsidR="003868DF" w:rsidRPr="006765FC" w:rsidRDefault="00136937" w:rsidP="006765FC">
      <w:pPr>
        <w:pStyle w:val="ListParagraph"/>
        <w:numPr>
          <w:ilvl w:val="0"/>
          <w:numId w:val="5"/>
        </w:numPr>
        <w:rPr>
          <w:color w:val="auto"/>
        </w:rPr>
      </w:pPr>
      <w:r>
        <w:rPr>
          <w:color w:val="auto"/>
        </w:rPr>
        <w:t>ARC policy and program documents</w:t>
      </w:r>
      <w:r w:rsidR="006765FC">
        <w:rPr>
          <w:color w:val="auto"/>
        </w:rPr>
        <w:t xml:space="preserve">, and </w:t>
      </w:r>
      <w:r w:rsidR="003868DF" w:rsidRPr="006765FC">
        <w:rPr>
          <w:color w:val="auto"/>
        </w:rPr>
        <w:t>quantitative and qualitative</w:t>
      </w:r>
      <w:r w:rsidR="00424DAA">
        <w:rPr>
          <w:color w:val="auto"/>
        </w:rPr>
        <w:t xml:space="preserve"> ARC</w:t>
      </w:r>
      <w:r w:rsidR="003868DF" w:rsidRPr="006765FC">
        <w:rPr>
          <w:color w:val="auto"/>
        </w:rPr>
        <w:t xml:space="preserve"> program management data </w:t>
      </w:r>
      <w:r w:rsidRPr="006765FC">
        <w:rPr>
          <w:color w:val="auto"/>
        </w:rPr>
        <w:t>and informati</w:t>
      </w:r>
      <w:r w:rsidR="00424DAA">
        <w:rPr>
          <w:color w:val="auto"/>
        </w:rPr>
        <w:t>on</w:t>
      </w:r>
    </w:p>
    <w:p w14:paraId="5AA03F82" w14:textId="3A2A045E" w:rsidR="00DB308D" w:rsidRPr="00DB308D" w:rsidRDefault="003868DF" w:rsidP="00136937">
      <w:pPr>
        <w:pStyle w:val="ListParagraph"/>
        <w:numPr>
          <w:ilvl w:val="0"/>
          <w:numId w:val="5"/>
        </w:numPr>
        <w:rPr>
          <w:color w:val="auto"/>
        </w:rPr>
      </w:pPr>
      <w:r w:rsidRPr="003C64D9">
        <w:rPr>
          <w:color w:val="auto"/>
        </w:rPr>
        <w:t>qualitative</w:t>
      </w:r>
      <w:r>
        <w:rPr>
          <w:color w:val="auto"/>
        </w:rPr>
        <w:t xml:space="preserve"> and quantitative</w:t>
      </w:r>
      <w:r w:rsidRPr="003C64D9">
        <w:rPr>
          <w:color w:val="auto"/>
        </w:rPr>
        <w:t xml:space="preserve"> stakeholder feedback collected through </w:t>
      </w:r>
      <w:r>
        <w:rPr>
          <w:color w:val="auto"/>
        </w:rPr>
        <w:t xml:space="preserve">surveys and interviews </w:t>
      </w:r>
      <w:r w:rsidRPr="003C64D9">
        <w:rPr>
          <w:color w:val="auto"/>
        </w:rPr>
        <w:t>co</w:t>
      </w:r>
      <w:r>
        <w:rPr>
          <w:color w:val="auto"/>
        </w:rPr>
        <w:t>nducted by ARTD Consultants.</w:t>
      </w:r>
    </w:p>
    <w:p w14:paraId="4E908BD0" w14:textId="77777777" w:rsidR="00DB308D" w:rsidRDefault="00DB308D" w:rsidP="00136937"/>
    <w:p w14:paraId="56D874F9" w14:textId="752BCE89" w:rsidR="00136937" w:rsidRDefault="00136937" w:rsidP="00136937">
      <w:pPr>
        <w:pStyle w:val="Heading3"/>
      </w:pPr>
      <w:r>
        <w:t>ARC policy and program documents</w:t>
      </w:r>
      <w:r w:rsidR="006765FC">
        <w:t>, data and information</w:t>
      </w:r>
    </w:p>
    <w:p w14:paraId="490C4AB3" w14:textId="77777777" w:rsidR="00136937" w:rsidRDefault="00136937" w:rsidP="00136937"/>
    <w:p w14:paraId="779A917C" w14:textId="636697CC" w:rsidR="00136937" w:rsidRDefault="00136937" w:rsidP="009A1D24">
      <w:r w:rsidRPr="00AB086A">
        <w:t xml:space="preserve">A range of ARC policy and program </w:t>
      </w:r>
      <w:r w:rsidR="00F80FA0">
        <w:t>information</w:t>
      </w:r>
      <w:r w:rsidRPr="00AB086A">
        <w:t xml:space="preserve"> and materials were used to inform the development of the evaluation and the analysis presented in this report. These included publicly available sources such as the ARC </w:t>
      </w:r>
      <w:r w:rsidR="00AB086A">
        <w:t>ITRP</w:t>
      </w:r>
      <w:r w:rsidRPr="00AB086A">
        <w:t xml:space="preserve"> webpage,</w:t>
      </w:r>
      <w:r w:rsidRPr="00AB086A">
        <w:rPr>
          <w:rStyle w:val="FootnoteReference"/>
        </w:rPr>
        <w:footnoteReference w:id="5"/>
      </w:r>
      <w:r w:rsidRPr="00AB086A">
        <w:t xml:space="preserve"> grant guidelines and funding rules,</w:t>
      </w:r>
      <w:r w:rsidRPr="00AB086A">
        <w:rPr>
          <w:rStyle w:val="FootnoteReference"/>
        </w:rPr>
        <w:footnoteReference w:id="6"/>
      </w:r>
      <w:r w:rsidRPr="00AB086A">
        <w:t xml:space="preserve"> as well as internal policy </w:t>
      </w:r>
      <w:r w:rsidR="002F6202">
        <w:t xml:space="preserve">and program management </w:t>
      </w:r>
      <w:r w:rsidR="00F80FA0">
        <w:t>documents</w:t>
      </w:r>
      <w:r w:rsidRPr="00AB086A">
        <w:t xml:space="preserve"> </w:t>
      </w:r>
      <w:r w:rsidR="002F6202">
        <w:t xml:space="preserve">such as scheme timelines, </w:t>
      </w:r>
      <w:r w:rsidR="009A1D24">
        <w:t xml:space="preserve">stakeholder engagement materials (such as presentations), </w:t>
      </w:r>
      <w:r w:rsidR="002F6202">
        <w:t xml:space="preserve">ITRH and ITTC </w:t>
      </w:r>
      <w:r w:rsidR="00F80FA0">
        <w:t>progress and</w:t>
      </w:r>
      <w:r w:rsidR="002F6202">
        <w:t xml:space="preserve"> final </w:t>
      </w:r>
      <w:r w:rsidR="00F80FA0">
        <w:t xml:space="preserve">reports, </w:t>
      </w:r>
      <w:r w:rsidR="009A1D24">
        <w:t xml:space="preserve">reports from </w:t>
      </w:r>
      <w:r w:rsidR="00F80FA0">
        <w:t>ad hoc ITRH and ITTC</w:t>
      </w:r>
      <w:r w:rsidR="009A1D24" w:rsidRPr="009A1D24">
        <w:t xml:space="preserve"> </w:t>
      </w:r>
      <w:r w:rsidR="009A1D24">
        <w:t>reviews conducted by the ARC, and</w:t>
      </w:r>
      <w:r w:rsidR="009A1D24" w:rsidRPr="009A1D24">
        <w:t xml:space="preserve"> </w:t>
      </w:r>
      <w:r w:rsidR="009A1D24">
        <w:t>previous stakeholder feedback.</w:t>
      </w:r>
    </w:p>
    <w:p w14:paraId="59C14F4D" w14:textId="77777777" w:rsidR="00AC7DF3" w:rsidRDefault="00AC7DF3" w:rsidP="009C175D"/>
    <w:p w14:paraId="4780B3F6" w14:textId="0B39B1CC" w:rsidR="00E349D9" w:rsidRPr="00D00E03" w:rsidRDefault="00D6250E" w:rsidP="00E349D9">
      <w:r w:rsidRPr="00D00E03">
        <w:t>P</w:t>
      </w:r>
      <w:r w:rsidR="001B505D" w:rsidRPr="00D00E03">
        <w:t xml:space="preserve">rogram management data on the </w:t>
      </w:r>
      <w:r w:rsidR="00D00E03" w:rsidRPr="00D00E03">
        <w:t xml:space="preserve">ITRP </w:t>
      </w:r>
      <w:r w:rsidR="001B505D" w:rsidRPr="00D00E03">
        <w:t>were sourced from the ARC’s Research Management System (RMS)</w:t>
      </w:r>
      <w:r w:rsidR="005751CF">
        <w:t>, and</w:t>
      </w:r>
      <w:r w:rsidR="00D00E03" w:rsidRPr="00D00E03">
        <w:t xml:space="preserve"> included</w:t>
      </w:r>
      <w:r w:rsidR="001B505D" w:rsidRPr="00D00E03">
        <w:t xml:space="preserve"> application, outcome, funding, part</w:t>
      </w:r>
      <w:r w:rsidRPr="00D00E03">
        <w:t>n</w:t>
      </w:r>
      <w:r w:rsidR="004E6182" w:rsidRPr="00D00E03">
        <w:t>er organisation and other data.</w:t>
      </w:r>
      <w:r w:rsidR="00D00E03" w:rsidRPr="00D00E03">
        <w:t xml:space="preserve"> </w:t>
      </w:r>
      <w:r w:rsidR="00E349D9" w:rsidRPr="00D00E03">
        <w:t xml:space="preserve">Advice on interpretation, complexities and caveats associated with the data was provided by relevant policy and program owners and administrators within the ARC. </w:t>
      </w:r>
    </w:p>
    <w:p w14:paraId="6322A553" w14:textId="77777777" w:rsidR="00E349D9" w:rsidRPr="00D00E03" w:rsidRDefault="00E349D9" w:rsidP="009C175D"/>
    <w:p w14:paraId="275630E6" w14:textId="421EA90D" w:rsidR="00B35FD7" w:rsidRPr="006A2C6B" w:rsidRDefault="006765FC" w:rsidP="009C175D">
      <w:r w:rsidRPr="006A2C6B">
        <w:t xml:space="preserve">Detail on the analysis </w:t>
      </w:r>
      <w:r w:rsidR="00424DAA" w:rsidRPr="006A2C6B">
        <w:t xml:space="preserve">of ARC documents, data and information on the ITRP is provided in </w:t>
      </w:r>
      <w:r w:rsidR="005751CF" w:rsidRPr="006A2C6B">
        <w:t>Appendix 1</w:t>
      </w:r>
      <w:r w:rsidRPr="006A2C6B">
        <w:t>.</w:t>
      </w:r>
    </w:p>
    <w:p w14:paraId="2A5044E2" w14:textId="77777777" w:rsidR="006765FC" w:rsidRPr="006A2C6B" w:rsidRDefault="006765FC" w:rsidP="009C175D"/>
    <w:p w14:paraId="01E1C56A" w14:textId="506B8462" w:rsidR="00B35FD7" w:rsidRDefault="00B35FD7" w:rsidP="00B35FD7">
      <w:pPr>
        <w:pStyle w:val="Heading3"/>
      </w:pPr>
      <w:r w:rsidRPr="006A2C6B">
        <w:t>Stakeholder surveys</w:t>
      </w:r>
      <w:r>
        <w:t xml:space="preserve"> and interviews</w:t>
      </w:r>
    </w:p>
    <w:p w14:paraId="2F2BDB0B" w14:textId="4AFA6C54" w:rsidR="00EE5A8A" w:rsidRDefault="00EE5A8A" w:rsidP="00EE5A8A"/>
    <w:p w14:paraId="6133DA23" w14:textId="33E30D32" w:rsidR="00F850A3" w:rsidRPr="00D709AC" w:rsidRDefault="002A4122" w:rsidP="009C175D">
      <w:r w:rsidRPr="00D709AC">
        <w:t xml:space="preserve">The stakeholder engagement undertaken by </w:t>
      </w:r>
      <w:r w:rsidR="00916527" w:rsidRPr="00D709AC">
        <w:t>ARTD Consultants</w:t>
      </w:r>
      <w:r w:rsidRPr="00D709AC">
        <w:t xml:space="preserve"> </w:t>
      </w:r>
      <w:r w:rsidR="00B35715" w:rsidRPr="00D709AC">
        <w:t xml:space="preserve">included delivery of </w:t>
      </w:r>
      <w:r w:rsidRPr="00D709AC">
        <w:t xml:space="preserve">surveys </w:t>
      </w:r>
      <w:r w:rsidR="00B35715" w:rsidRPr="00D709AC">
        <w:t>and interviews, collection and analysis of</w:t>
      </w:r>
      <w:r w:rsidR="00A96143" w:rsidRPr="00D709AC">
        <w:t xml:space="preserve"> quantitative and qualitative </w:t>
      </w:r>
      <w:r w:rsidR="00B35715" w:rsidRPr="00D709AC">
        <w:t>response data, and reporting to the ARC.</w:t>
      </w:r>
    </w:p>
    <w:p w14:paraId="1197ACD2" w14:textId="2277ABE0" w:rsidR="00B35715" w:rsidRPr="00D709AC" w:rsidRDefault="00B35715" w:rsidP="009C175D"/>
    <w:p w14:paraId="64098617" w14:textId="490FD2A6" w:rsidR="00B35715" w:rsidRDefault="00B35715" w:rsidP="009C175D">
      <w:r w:rsidRPr="00D709AC">
        <w:t xml:space="preserve">Surveys were </w:t>
      </w:r>
      <w:r w:rsidR="00383F5B" w:rsidRPr="00D709AC">
        <w:t>tailored</w:t>
      </w:r>
      <w:r w:rsidRPr="00D709AC">
        <w:t xml:space="preserve"> and delivered to </w:t>
      </w:r>
      <w:r w:rsidR="00916527" w:rsidRPr="00D709AC">
        <w:t>the following ITRP</w:t>
      </w:r>
      <w:r w:rsidRPr="00D709AC">
        <w:t xml:space="preserve"> stakeholder groups:</w:t>
      </w:r>
    </w:p>
    <w:p w14:paraId="7F110198" w14:textId="77777777" w:rsidR="00DB308D" w:rsidRPr="00D709AC" w:rsidRDefault="00DB308D" w:rsidP="009C175D"/>
    <w:p w14:paraId="12BB3D47" w14:textId="622696D7" w:rsidR="00916527" w:rsidRPr="00D709AC" w:rsidRDefault="00916527" w:rsidP="00916527">
      <w:pPr>
        <w:pStyle w:val="ListParagraph"/>
        <w:numPr>
          <w:ilvl w:val="0"/>
          <w:numId w:val="13"/>
        </w:numPr>
        <w:rPr>
          <w:color w:val="auto"/>
        </w:rPr>
      </w:pPr>
      <w:r w:rsidRPr="00D709AC">
        <w:rPr>
          <w:color w:val="auto"/>
        </w:rPr>
        <w:t>research offices at universities involved with successful applications for ITRP funding</w:t>
      </w:r>
    </w:p>
    <w:p w14:paraId="342A951A" w14:textId="08C41583" w:rsidR="00916527" w:rsidRPr="00D709AC" w:rsidRDefault="00916527" w:rsidP="00916527">
      <w:pPr>
        <w:pStyle w:val="ListParagraph"/>
        <w:numPr>
          <w:ilvl w:val="0"/>
          <w:numId w:val="13"/>
        </w:numPr>
        <w:rPr>
          <w:color w:val="auto"/>
        </w:rPr>
      </w:pPr>
      <w:r w:rsidRPr="00D709AC">
        <w:rPr>
          <w:color w:val="auto"/>
        </w:rPr>
        <w:t>Research Hub and Training Centre directors and managers involved with successful applications for ITRP funding</w:t>
      </w:r>
    </w:p>
    <w:p w14:paraId="60A6C4C9" w14:textId="56D771B9" w:rsidR="00916527" w:rsidRPr="00D709AC" w:rsidRDefault="00916527" w:rsidP="00916527">
      <w:pPr>
        <w:pStyle w:val="ListParagraph"/>
        <w:numPr>
          <w:ilvl w:val="0"/>
          <w:numId w:val="13"/>
        </w:numPr>
        <w:rPr>
          <w:color w:val="auto"/>
        </w:rPr>
      </w:pPr>
      <w:r w:rsidRPr="00D709AC">
        <w:rPr>
          <w:color w:val="auto"/>
        </w:rPr>
        <w:t>Chief Investigators (CIs) involved with successful applications for ITRP funding</w:t>
      </w:r>
    </w:p>
    <w:p w14:paraId="78D831A7" w14:textId="4A789FA2" w:rsidR="00916527" w:rsidRPr="00D709AC" w:rsidRDefault="00916527" w:rsidP="00916527">
      <w:pPr>
        <w:pStyle w:val="ListParagraph"/>
        <w:numPr>
          <w:ilvl w:val="0"/>
          <w:numId w:val="13"/>
        </w:numPr>
        <w:rPr>
          <w:color w:val="auto"/>
        </w:rPr>
      </w:pPr>
      <w:r w:rsidRPr="00D709AC">
        <w:rPr>
          <w:color w:val="auto"/>
        </w:rPr>
        <w:t>Partner Investigators (PIs) involved with successful applications for ITRP funding</w:t>
      </w:r>
    </w:p>
    <w:p w14:paraId="5A5CDDFD" w14:textId="24138F56" w:rsidR="00D709AC" w:rsidRPr="00D709AC" w:rsidRDefault="00916527" w:rsidP="00B35715">
      <w:pPr>
        <w:pStyle w:val="ListParagraph"/>
        <w:numPr>
          <w:ilvl w:val="0"/>
          <w:numId w:val="13"/>
        </w:numPr>
        <w:rPr>
          <w:color w:val="auto"/>
        </w:rPr>
      </w:pPr>
      <w:r w:rsidRPr="00D709AC">
        <w:rPr>
          <w:color w:val="auto"/>
        </w:rPr>
        <w:t>higher degree by r</w:t>
      </w:r>
      <w:r w:rsidR="00AC7F39">
        <w:rPr>
          <w:color w:val="auto"/>
        </w:rPr>
        <w:t>esearch (HDR) students and post</w:t>
      </w:r>
      <w:r w:rsidRPr="00D709AC">
        <w:rPr>
          <w:color w:val="auto"/>
        </w:rPr>
        <w:t>doctoral researchers (PDRs) who had undertaken research training within a Research Hub or Training Centre</w:t>
      </w:r>
    </w:p>
    <w:p w14:paraId="23160D9E" w14:textId="6712E15F" w:rsidR="00916527" w:rsidRPr="00D709AC" w:rsidRDefault="00916527" w:rsidP="00B35715">
      <w:pPr>
        <w:pStyle w:val="ListParagraph"/>
        <w:numPr>
          <w:ilvl w:val="0"/>
          <w:numId w:val="13"/>
        </w:numPr>
        <w:rPr>
          <w:color w:val="auto"/>
        </w:rPr>
      </w:pPr>
      <w:r w:rsidRPr="00D709AC">
        <w:rPr>
          <w:color w:val="auto"/>
        </w:rPr>
        <w:t>Industry Growth Centre representatives.</w:t>
      </w:r>
    </w:p>
    <w:p w14:paraId="0CDCB519" w14:textId="77777777" w:rsidR="00916527" w:rsidRPr="00D709AC" w:rsidRDefault="00916527" w:rsidP="00B35715"/>
    <w:p w14:paraId="79F71831" w14:textId="38885483" w:rsidR="00916527" w:rsidRDefault="00916527" w:rsidP="0082316E">
      <w:r w:rsidRPr="00D709AC">
        <w:t>A total of 33 interviews were also held with members of the following ITRP stakeholder groups:</w:t>
      </w:r>
    </w:p>
    <w:p w14:paraId="611EF529" w14:textId="77777777" w:rsidR="00DB308D" w:rsidRPr="00D709AC" w:rsidRDefault="00DB308D" w:rsidP="0082316E"/>
    <w:p w14:paraId="506EA587" w14:textId="3D5482D7" w:rsidR="00916527" w:rsidRPr="00D709AC" w:rsidRDefault="00916527" w:rsidP="00916527">
      <w:pPr>
        <w:pStyle w:val="ListParagraph"/>
        <w:numPr>
          <w:ilvl w:val="0"/>
          <w:numId w:val="13"/>
        </w:numPr>
        <w:rPr>
          <w:color w:val="auto"/>
        </w:rPr>
      </w:pPr>
      <w:r w:rsidRPr="00D709AC">
        <w:rPr>
          <w:color w:val="auto"/>
        </w:rPr>
        <w:t>university research office representatives (seven)</w:t>
      </w:r>
    </w:p>
    <w:p w14:paraId="3FD10A14" w14:textId="394DDAC7" w:rsidR="00916527" w:rsidRPr="00916527" w:rsidRDefault="00916527" w:rsidP="00916527">
      <w:pPr>
        <w:pStyle w:val="ListParagraph"/>
        <w:numPr>
          <w:ilvl w:val="0"/>
          <w:numId w:val="13"/>
        </w:numPr>
        <w:rPr>
          <w:color w:val="auto"/>
        </w:rPr>
      </w:pPr>
      <w:r>
        <w:rPr>
          <w:color w:val="auto"/>
        </w:rPr>
        <w:t xml:space="preserve">Research Hub and Training Centre </w:t>
      </w:r>
      <w:r w:rsidRPr="00916527">
        <w:rPr>
          <w:color w:val="auto"/>
        </w:rPr>
        <w:t>direct</w:t>
      </w:r>
      <w:r>
        <w:rPr>
          <w:color w:val="auto"/>
        </w:rPr>
        <w:t xml:space="preserve">ors and managers (20 interviews </w:t>
      </w:r>
      <w:r w:rsidRPr="00916527">
        <w:rPr>
          <w:color w:val="auto"/>
        </w:rPr>
        <w:t xml:space="preserve">representing ten </w:t>
      </w:r>
      <w:r>
        <w:rPr>
          <w:color w:val="auto"/>
        </w:rPr>
        <w:t>Research Hubs</w:t>
      </w:r>
      <w:r w:rsidRPr="00916527">
        <w:rPr>
          <w:color w:val="auto"/>
        </w:rPr>
        <w:t xml:space="preserve"> and ten Training Centres)</w:t>
      </w:r>
    </w:p>
    <w:p w14:paraId="517C7988" w14:textId="4F00845A" w:rsidR="00916527" w:rsidRPr="00916527" w:rsidRDefault="00916527" w:rsidP="00916527">
      <w:pPr>
        <w:pStyle w:val="ListParagraph"/>
        <w:numPr>
          <w:ilvl w:val="0"/>
          <w:numId w:val="13"/>
        </w:numPr>
        <w:rPr>
          <w:color w:val="auto"/>
        </w:rPr>
      </w:pPr>
      <w:r w:rsidRPr="00916527">
        <w:rPr>
          <w:color w:val="auto"/>
        </w:rPr>
        <w:t>ARC representatives (two)</w:t>
      </w:r>
    </w:p>
    <w:p w14:paraId="25E8D2AB" w14:textId="40C5026B" w:rsidR="00916527" w:rsidRPr="00916527" w:rsidRDefault="00916527" w:rsidP="00916527">
      <w:pPr>
        <w:pStyle w:val="ListParagraph"/>
        <w:numPr>
          <w:ilvl w:val="0"/>
          <w:numId w:val="13"/>
        </w:numPr>
        <w:rPr>
          <w:color w:val="auto"/>
        </w:rPr>
      </w:pPr>
      <w:r>
        <w:rPr>
          <w:color w:val="auto"/>
        </w:rPr>
        <w:t>Department of Industry, Innovation and Science (DIIS)</w:t>
      </w:r>
      <w:r w:rsidRPr="00916527">
        <w:rPr>
          <w:color w:val="auto"/>
        </w:rPr>
        <w:t xml:space="preserve"> representatives (two).</w:t>
      </w:r>
    </w:p>
    <w:p w14:paraId="33F44E10" w14:textId="77777777" w:rsidR="00916527" w:rsidRDefault="00916527" w:rsidP="0082316E">
      <w:pPr>
        <w:rPr>
          <w:highlight w:val="yellow"/>
        </w:rPr>
      </w:pPr>
    </w:p>
    <w:p w14:paraId="3DDB3F7F" w14:textId="235B5292" w:rsidR="00C451E7" w:rsidRPr="00E84832" w:rsidRDefault="00ED220B" w:rsidP="00F8728A">
      <w:r w:rsidRPr="00E84832">
        <w:t>It is important to note that o</w:t>
      </w:r>
      <w:r w:rsidR="00C451E7" w:rsidRPr="00E84832">
        <w:t xml:space="preserve">nly </w:t>
      </w:r>
      <w:r w:rsidR="00E84832">
        <w:t xml:space="preserve">research offices, directors, managers, </w:t>
      </w:r>
      <w:r w:rsidR="00C451E7" w:rsidRPr="00E84832">
        <w:t>CIs</w:t>
      </w:r>
      <w:r w:rsidR="00E84832">
        <w:t xml:space="preserve"> and</w:t>
      </w:r>
      <w:r w:rsidR="00C451E7" w:rsidRPr="00E84832">
        <w:t xml:space="preserve"> PIs </w:t>
      </w:r>
      <w:r w:rsidR="00E84832">
        <w:t>involved with successful ITRP applications</w:t>
      </w:r>
      <w:r w:rsidR="00C451E7" w:rsidRPr="00E84832">
        <w:t xml:space="preserve"> were included in the surveys and interviews</w:t>
      </w:r>
      <w:r w:rsidRPr="00E84832">
        <w:t xml:space="preserve"> (although some of these stakeholders had also been involved in unsuccessful applications). </w:t>
      </w:r>
      <w:r w:rsidR="00E84832" w:rsidRPr="00E84832">
        <w:t xml:space="preserve">This was largely due to the better availability of current contact details for successful stakeholders. </w:t>
      </w:r>
      <w:r w:rsidR="00E84832">
        <w:t xml:space="preserve">This </w:t>
      </w:r>
      <w:r w:rsidR="00190470">
        <w:t xml:space="preserve">represents a </w:t>
      </w:r>
      <w:r w:rsidR="00E84832">
        <w:t xml:space="preserve">limitation in the evaluation’s methodology, as stakeholders who had not been involved in successful applications may have </w:t>
      </w:r>
      <w:r w:rsidR="00190470">
        <w:t xml:space="preserve">provided very different responses. </w:t>
      </w:r>
    </w:p>
    <w:p w14:paraId="54F4CE06" w14:textId="77777777" w:rsidR="00C451E7" w:rsidRPr="003868DF" w:rsidRDefault="00C451E7" w:rsidP="00F8728A">
      <w:pPr>
        <w:rPr>
          <w:highlight w:val="yellow"/>
        </w:rPr>
      </w:pPr>
    </w:p>
    <w:p w14:paraId="71758853" w14:textId="39FFEC0A" w:rsidR="0040185D" w:rsidRDefault="0040185D" w:rsidP="0040185D">
      <w:r w:rsidRPr="00D709AC">
        <w:t xml:space="preserve">Contact details for all stakeholder groups were provided confidentially to </w:t>
      </w:r>
      <w:r w:rsidR="00D709AC">
        <w:t>ARTD Consultants</w:t>
      </w:r>
      <w:r w:rsidRPr="00D709AC">
        <w:t xml:space="preserve"> by the ARC. </w:t>
      </w:r>
      <w:r w:rsidR="00D709AC">
        <w:t>ARTD Consultants</w:t>
      </w:r>
      <w:r w:rsidRPr="00D709AC">
        <w:t xml:space="preserve"> de-identified all survey and interview responses and </w:t>
      </w:r>
      <w:r w:rsidRPr="00CE656B">
        <w:t>destroyed all stakeholders’ contact details upon completion of the services</w:t>
      </w:r>
      <w:r w:rsidRPr="00D709AC">
        <w:t>.</w:t>
      </w:r>
    </w:p>
    <w:p w14:paraId="34AFCA18" w14:textId="77777777" w:rsidR="0040185D" w:rsidRDefault="0040185D" w:rsidP="0040185D"/>
    <w:p w14:paraId="7B3C1823" w14:textId="6B79BFD8" w:rsidR="0040185D" w:rsidRDefault="006765FC" w:rsidP="00F8728A">
      <w:r w:rsidRPr="006A2C6B">
        <w:t>D</w:t>
      </w:r>
      <w:r w:rsidR="00D709AC" w:rsidRPr="006A2C6B">
        <w:t>etail on the survey and interview</w:t>
      </w:r>
      <w:r w:rsidR="00190470" w:rsidRPr="006A2C6B">
        <w:t xml:space="preserve"> methodology</w:t>
      </w:r>
      <w:r w:rsidR="00D709AC" w:rsidRPr="006A2C6B">
        <w:t xml:space="preserve">, analysis of </w:t>
      </w:r>
      <w:r w:rsidR="00C068DA" w:rsidRPr="006A2C6B">
        <w:t xml:space="preserve">the </w:t>
      </w:r>
      <w:r w:rsidR="00D709AC" w:rsidRPr="006A2C6B">
        <w:t xml:space="preserve">responses and </w:t>
      </w:r>
      <w:r w:rsidR="00C068DA" w:rsidRPr="006A2C6B">
        <w:t xml:space="preserve">the </w:t>
      </w:r>
      <w:r w:rsidR="00D709AC" w:rsidRPr="006A2C6B">
        <w:t xml:space="preserve">key findings identified by ARTD </w:t>
      </w:r>
      <w:r w:rsidR="00C068DA" w:rsidRPr="006A2C6B">
        <w:t xml:space="preserve">Consultants are provided in </w:t>
      </w:r>
      <w:r w:rsidR="001D41C5" w:rsidRPr="006A2C6B">
        <w:t>the</w:t>
      </w:r>
      <w:r w:rsidR="00DB308D" w:rsidRPr="006A2C6B">
        <w:t xml:space="preserve">ir final report to the ARC, in </w:t>
      </w:r>
      <w:r w:rsidR="0040185D" w:rsidRPr="006A2C6B">
        <w:t xml:space="preserve">Appendix </w:t>
      </w:r>
      <w:r w:rsidR="00D709AC" w:rsidRPr="006A2C6B">
        <w:t>2.</w:t>
      </w:r>
    </w:p>
    <w:p w14:paraId="498718F0" w14:textId="7C01E994" w:rsidR="00225CA2" w:rsidRPr="00225CA2" w:rsidRDefault="00225CA2" w:rsidP="00225CA2"/>
    <w:p w14:paraId="0C7C9C03" w14:textId="77777777" w:rsidR="005751CF" w:rsidRDefault="005751CF">
      <w:pPr>
        <w:rPr>
          <w:rFonts w:ascii="Arial" w:eastAsia="Times New Roman" w:hAnsi="Arial"/>
          <w:b/>
          <w:bCs/>
          <w:color w:val="FFFFFF"/>
          <w:sz w:val="32"/>
          <w:szCs w:val="28"/>
        </w:rPr>
      </w:pPr>
      <w:r>
        <w:br w:type="page"/>
      </w:r>
    </w:p>
    <w:p w14:paraId="64332BB9" w14:textId="49B82522" w:rsidR="00225CA2" w:rsidRDefault="00766FC3" w:rsidP="00225CA2">
      <w:pPr>
        <w:pStyle w:val="Heading1"/>
      </w:pPr>
      <w:bookmarkStart w:id="13" w:name="_Toc13057475"/>
      <w:r>
        <w:t>Key f</w:t>
      </w:r>
      <w:r w:rsidR="00225CA2">
        <w:t>indings</w:t>
      </w:r>
      <w:bookmarkEnd w:id="13"/>
    </w:p>
    <w:p w14:paraId="08B19B9F" w14:textId="6E4B8CC0" w:rsidR="00293225" w:rsidRDefault="00293225" w:rsidP="00293225"/>
    <w:p w14:paraId="2EEAC951" w14:textId="77777777" w:rsidR="00841635" w:rsidRDefault="00841635" w:rsidP="00841635">
      <w:r w:rsidRPr="006A2C6B">
        <w:t>These findings are drawn from analysis of ARC documents, data and information on the ITRP (Appendix 1) and stakeholder survey and interview research conducted by ARTD Consultants (Appendix 2).</w:t>
      </w:r>
    </w:p>
    <w:p w14:paraId="003A0378" w14:textId="77777777" w:rsidR="00841635" w:rsidRDefault="00841635" w:rsidP="00841635"/>
    <w:p w14:paraId="4CA3BA4E" w14:textId="77777777" w:rsidR="00841635" w:rsidRDefault="00841635" w:rsidP="00841635">
      <w:pPr>
        <w:pStyle w:val="Heading2"/>
      </w:pPr>
      <w:bookmarkStart w:id="14" w:name="_Toc13057476"/>
      <w:r w:rsidRPr="00AF0F99">
        <w:t>ITRP objectives</w:t>
      </w:r>
      <w:bookmarkEnd w:id="14"/>
    </w:p>
    <w:p w14:paraId="402F2684" w14:textId="77777777" w:rsidR="00841635" w:rsidRPr="00EC091E" w:rsidRDefault="00841635" w:rsidP="00841635"/>
    <w:p w14:paraId="6BE5788E" w14:textId="77777777" w:rsidR="00841635" w:rsidRDefault="00841635" w:rsidP="00841635">
      <w:pPr>
        <w:pStyle w:val="ListParagraph"/>
        <w:numPr>
          <w:ilvl w:val="0"/>
          <w:numId w:val="37"/>
        </w:numPr>
        <w:rPr>
          <w:color w:val="auto"/>
          <w:szCs w:val="24"/>
        </w:rPr>
      </w:pPr>
      <w:r>
        <w:rPr>
          <w:color w:val="auto"/>
          <w:szCs w:val="24"/>
        </w:rPr>
        <w:t xml:space="preserve">In general, stakeholders </w:t>
      </w:r>
      <w:r w:rsidRPr="00AF0F99">
        <w:rPr>
          <w:color w:val="auto"/>
          <w:szCs w:val="24"/>
        </w:rPr>
        <w:t>agreed that the ITRP both fosters important research partnerships and supports research trainees to gain skills in industry priority areas.</w:t>
      </w:r>
    </w:p>
    <w:p w14:paraId="5D4EE149" w14:textId="77777777" w:rsidR="00841635" w:rsidRPr="00EC091E" w:rsidRDefault="00841635" w:rsidP="00841635">
      <w:pPr>
        <w:rPr>
          <w:szCs w:val="24"/>
        </w:rPr>
      </w:pPr>
    </w:p>
    <w:p w14:paraId="3625978B" w14:textId="77777777" w:rsidR="00841635" w:rsidRDefault="00841635" w:rsidP="00841635">
      <w:pPr>
        <w:pStyle w:val="Heading2"/>
      </w:pPr>
      <w:bookmarkStart w:id="15" w:name="_Toc13057477"/>
      <w:r>
        <w:t>ITRP support for industry focused research collaboration</w:t>
      </w:r>
      <w:bookmarkEnd w:id="15"/>
    </w:p>
    <w:p w14:paraId="5B338A28" w14:textId="77777777" w:rsidR="00841635" w:rsidRPr="00EC091E" w:rsidRDefault="00841635" w:rsidP="00841635"/>
    <w:p w14:paraId="6348187D" w14:textId="77777777" w:rsidR="00841635" w:rsidRPr="00666449" w:rsidRDefault="00841635" w:rsidP="00841635">
      <w:pPr>
        <w:pStyle w:val="ListParagraph"/>
        <w:numPr>
          <w:ilvl w:val="0"/>
          <w:numId w:val="37"/>
        </w:numPr>
        <w:rPr>
          <w:color w:val="auto"/>
          <w:szCs w:val="24"/>
        </w:rPr>
      </w:pPr>
      <w:r w:rsidRPr="00666449">
        <w:rPr>
          <w:color w:val="auto"/>
          <w:szCs w:val="24"/>
        </w:rPr>
        <w:t>Overall, university and partner organisation stakeholders felt that the ITRP effectively supports industry focused research collaboration.</w:t>
      </w:r>
    </w:p>
    <w:p w14:paraId="5FE06C31" w14:textId="77777777" w:rsidR="00841635" w:rsidRPr="00666449" w:rsidRDefault="00841635" w:rsidP="00841635">
      <w:pPr>
        <w:pStyle w:val="ListParagraph"/>
        <w:numPr>
          <w:ilvl w:val="1"/>
          <w:numId w:val="37"/>
        </w:numPr>
        <w:rPr>
          <w:color w:val="auto"/>
          <w:szCs w:val="24"/>
        </w:rPr>
      </w:pPr>
      <w:r w:rsidRPr="00666449">
        <w:rPr>
          <w:color w:val="auto"/>
          <w:szCs w:val="24"/>
        </w:rPr>
        <w:t>Perceived strengths included providing industry with access to research expertise and providing researchers with advice on industry needs.</w:t>
      </w:r>
    </w:p>
    <w:p w14:paraId="3FA38C83" w14:textId="77777777" w:rsidR="00841635" w:rsidRPr="00666449" w:rsidRDefault="00841635" w:rsidP="00841635">
      <w:pPr>
        <w:pStyle w:val="ListParagraph"/>
        <w:numPr>
          <w:ilvl w:val="1"/>
          <w:numId w:val="37"/>
        </w:numPr>
        <w:rPr>
          <w:color w:val="auto"/>
          <w:szCs w:val="24"/>
        </w:rPr>
      </w:pPr>
      <w:r w:rsidRPr="00666449">
        <w:rPr>
          <w:color w:val="auto"/>
          <w:szCs w:val="24"/>
        </w:rPr>
        <w:t>Stakeholders generally felt that the ITRP supports high quality, reliable partnerships.</w:t>
      </w:r>
    </w:p>
    <w:p w14:paraId="005248F9" w14:textId="77777777" w:rsidR="00841635" w:rsidRPr="00666449" w:rsidRDefault="00841635" w:rsidP="00841635">
      <w:pPr>
        <w:pStyle w:val="ListParagraph"/>
        <w:numPr>
          <w:ilvl w:val="0"/>
          <w:numId w:val="37"/>
        </w:numPr>
        <w:rPr>
          <w:color w:val="auto"/>
          <w:szCs w:val="24"/>
        </w:rPr>
      </w:pPr>
      <w:r w:rsidRPr="00666449">
        <w:rPr>
          <w:color w:val="auto"/>
          <w:szCs w:val="24"/>
        </w:rPr>
        <w:t>The number of partner organisations involved in funded Research Hubs and Training Centres has increased over time, indicating that the ITRP’s effectiveness in supporting collaboration may have improved as it has matured.</w:t>
      </w:r>
    </w:p>
    <w:p w14:paraId="6FC62197" w14:textId="77777777" w:rsidR="00841635" w:rsidRPr="00666449" w:rsidRDefault="00841635" w:rsidP="00841635">
      <w:pPr>
        <w:pStyle w:val="ListParagraph"/>
        <w:numPr>
          <w:ilvl w:val="1"/>
          <w:numId w:val="37"/>
        </w:numPr>
        <w:rPr>
          <w:color w:val="auto"/>
          <w:szCs w:val="24"/>
        </w:rPr>
      </w:pPr>
      <w:r w:rsidRPr="00666449">
        <w:rPr>
          <w:color w:val="auto"/>
          <w:szCs w:val="24"/>
        </w:rPr>
        <w:t>The average number of partner organisations has grown from 3.25 to 11 per Research Hub, and from 4.75 to 11.86 per Training Centre.</w:t>
      </w:r>
    </w:p>
    <w:p w14:paraId="1F039359" w14:textId="77777777" w:rsidR="00841635" w:rsidRPr="00666449" w:rsidRDefault="00841635" w:rsidP="00841635">
      <w:pPr>
        <w:pStyle w:val="ListParagraph"/>
        <w:numPr>
          <w:ilvl w:val="0"/>
          <w:numId w:val="37"/>
        </w:numPr>
        <w:rPr>
          <w:color w:val="auto"/>
          <w:szCs w:val="24"/>
        </w:rPr>
      </w:pPr>
      <w:r w:rsidRPr="00666449">
        <w:rPr>
          <w:color w:val="auto"/>
          <w:szCs w:val="24"/>
        </w:rPr>
        <w:t>Consistent with the ITRP’s focus on industry issues, 75 per cent of all partner organisations have been from industry and business. The ITTC has had a slightly more diverse mix of partner organisation types than the ITRH.</w:t>
      </w:r>
    </w:p>
    <w:p w14:paraId="67387800" w14:textId="77777777" w:rsidR="00841635" w:rsidRPr="00666449" w:rsidRDefault="00841635" w:rsidP="00841635">
      <w:pPr>
        <w:pStyle w:val="ListParagraph"/>
        <w:numPr>
          <w:ilvl w:val="0"/>
          <w:numId w:val="37"/>
        </w:numPr>
        <w:rPr>
          <w:color w:val="auto"/>
          <w:szCs w:val="24"/>
        </w:rPr>
      </w:pPr>
      <w:r w:rsidRPr="00666449">
        <w:rPr>
          <w:color w:val="auto"/>
          <w:szCs w:val="24"/>
        </w:rPr>
        <w:t>International partner organisations have accounted for 16.4 per cent of all partner organisations in both Research Hubs and Training Centres.</w:t>
      </w:r>
    </w:p>
    <w:p w14:paraId="7C607A74" w14:textId="77777777" w:rsidR="00841635" w:rsidRPr="00666449" w:rsidRDefault="00841635" w:rsidP="00841635">
      <w:pPr>
        <w:pStyle w:val="ListParagraph"/>
        <w:numPr>
          <w:ilvl w:val="0"/>
          <w:numId w:val="37"/>
        </w:numPr>
        <w:rPr>
          <w:color w:val="auto"/>
          <w:szCs w:val="24"/>
        </w:rPr>
      </w:pPr>
      <w:r w:rsidRPr="00666449">
        <w:rPr>
          <w:color w:val="auto"/>
          <w:szCs w:val="24"/>
        </w:rPr>
        <w:t>In line with the different requirements of the ITRH and ITTC:</w:t>
      </w:r>
    </w:p>
    <w:p w14:paraId="1C46A7E8" w14:textId="77777777" w:rsidR="00841635" w:rsidRPr="00666449" w:rsidRDefault="00841635" w:rsidP="00841635">
      <w:pPr>
        <w:pStyle w:val="ListParagraph"/>
        <w:numPr>
          <w:ilvl w:val="1"/>
          <w:numId w:val="37"/>
        </w:numPr>
        <w:rPr>
          <w:color w:val="auto"/>
          <w:szCs w:val="24"/>
        </w:rPr>
      </w:pPr>
      <w:r w:rsidRPr="00666449">
        <w:rPr>
          <w:color w:val="auto"/>
          <w:szCs w:val="24"/>
        </w:rPr>
        <w:t xml:space="preserve">combined cash and </w:t>
      </w:r>
      <w:proofErr w:type="gramStart"/>
      <w:r w:rsidRPr="00666449">
        <w:rPr>
          <w:color w:val="auto"/>
          <w:szCs w:val="24"/>
        </w:rPr>
        <w:t>in kind</w:t>
      </w:r>
      <w:proofErr w:type="gramEnd"/>
      <w:r w:rsidRPr="00666449">
        <w:rPr>
          <w:color w:val="auto"/>
          <w:szCs w:val="24"/>
        </w:rPr>
        <w:t xml:space="preserve"> contributions from partner organisations have amounted to 154 per cent of the total funding requested from the ARC in successful ITRH applications and 92 per cent in successful ITTC applications</w:t>
      </w:r>
    </w:p>
    <w:p w14:paraId="5DA43B2F" w14:textId="77777777" w:rsidR="00841635" w:rsidRPr="00666449" w:rsidRDefault="00841635" w:rsidP="00841635">
      <w:pPr>
        <w:pStyle w:val="ListParagraph"/>
        <w:numPr>
          <w:ilvl w:val="1"/>
          <w:numId w:val="37"/>
        </w:numPr>
        <w:rPr>
          <w:color w:val="auto"/>
          <w:szCs w:val="24"/>
        </w:rPr>
      </w:pPr>
      <w:r w:rsidRPr="00666449">
        <w:rPr>
          <w:color w:val="auto"/>
          <w:szCs w:val="24"/>
        </w:rPr>
        <w:t xml:space="preserve">ITTC partner organisations’ average in kind contributions have been consistently higher in value than their cash contributions, while ITRH partner organisations’ cash and </w:t>
      </w:r>
      <w:proofErr w:type="gramStart"/>
      <w:r w:rsidRPr="00666449">
        <w:rPr>
          <w:color w:val="auto"/>
          <w:szCs w:val="24"/>
        </w:rPr>
        <w:t>in kind</w:t>
      </w:r>
      <w:proofErr w:type="gramEnd"/>
      <w:r w:rsidRPr="00666449">
        <w:rPr>
          <w:color w:val="auto"/>
          <w:szCs w:val="24"/>
        </w:rPr>
        <w:t xml:space="preserve"> contributions have tended to be more even.</w:t>
      </w:r>
    </w:p>
    <w:p w14:paraId="007F53FE" w14:textId="77777777" w:rsidR="00841635" w:rsidRDefault="00841635" w:rsidP="00841635">
      <w:pPr>
        <w:pStyle w:val="ListParagraph"/>
        <w:numPr>
          <w:ilvl w:val="0"/>
          <w:numId w:val="37"/>
        </w:numPr>
        <w:rPr>
          <w:color w:val="auto"/>
          <w:szCs w:val="24"/>
        </w:rPr>
      </w:pPr>
      <w:r w:rsidRPr="00666449">
        <w:rPr>
          <w:color w:val="auto"/>
          <w:szCs w:val="24"/>
        </w:rPr>
        <w:t>Stakeholders reported that collaboration under the ITRP has most commonly been initiated through existing relationships. They also indicated that new collaborations were more common in Training Centres than in Research Hubs.</w:t>
      </w:r>
    </w:p>
    <w:p w14:paraId="2FC5E98D" w14:textId="77777777" w:rsidR="00841635" w:rsidRPr="00394D86" w:rsidRDefault="00841635" w:rsidP="00841635">
      <w:pPr>
        <w:pStyle w:val="ListParagraph"/>
        <w:numPr>
          <w:ilvl w:val="0"/>
          <w:numId w:val="37"/>
        </w:numPr>
        <w:rPr>
          <w:color w:val="auto"/>
          <w:szCs w:val="24"/>
        </w:rPr>
      </w:pPr>
      <w:r w:rsidRPr="00394D86">
        <w:rPr>
          <w:color w:val="auto"/>
          <w:szCs w:val="24"/>
        </w:rPr>
        <w:t>Stakeholder groups had differing perceptions of the ways partner organisations were involved in the development of ITRP applications.</w:t>
      </w:r>
    </w:p>
    <w:p w14:paraId="569D9B7E" w14:textId="77777777" w:rsidR="00841635" w:rsidRDefault="00841635" w:rsidP="00841635">
      <w:pPr>
        <w:pStyle w:val="ListParagraph"/>
        <w:numPr>
          <w:ilvl w:val="1"/>
          <w:numId w:val="37"/>
        </w:numPr>
        <w:rPr>
          <w:color w:val="auto"/>
          <w:szCs w:val="24"/>
        </w:rPr>
      </w:pPr>
      <w:r>
        <w:rPr>
          <w:color w:val="auto"/>
          <w:szCs w:val="24"/>
        </w:rPr>
        <w:t>85 per cent of university stakeholders and only 60 per cent of PIs reported that partners were consulted in the development of the entire Research Hub or Training Centre research program.</w:t>
      </w:r>
    </w:p>
    <w:p w14:paraId="77630ADF" w14:textId="77777777" w:rsidR="00841635" w:rsidRDefault="00841635" w:rsidP="00841635">
      <w:pPr>
        <w:pStyle w:val="ListParagraph"/>
        <w:numPr>
          <w:ilvl w:val="1"/>
          <w:numId w:val="37"/>
        </w:numPr>
        <w:rPr>
          <w:color w:val="auto"/>
          <w:szCs w:val="24"/>
        </w:rPr>
      </w:pPr>
      <w:r>
        <w:rPr>
          <w:color w:val="auto"/>
          <w:szCs w:val="24"/>
        </w:rPr>
        <w:t>71 per cent of university stakeholders and only 30 per cent of PIs reported that partners were involved in consulting with Industry Growth Centres.</w:t>
      </w:r>
    </w:p>
    <w:p w14:paraId="2DA50A4B" w14:textId="77777777" w:rsidR="00841635" w:rsidRDefault="00841635" w:rsidP="00841635">
      <w:pPr>
        <w:pStyle w:val="ListParagraph"/>
        <w:numPr>
          <w:ilvl w:val="0"/>
          <w:numId w:val="37"/>
        </w:numPr>
        <w:rPr>
          <w:color w:val="auto"/>
          <w:szCs w:val="24"/>
        </w:rPr>
      </w:pPr>
      <w:r>
        <w:rPr>
          <w:color w:val="auto"/>
          <w:szCs w:val="24"/>
        </w:rPr>
        <w:t>Half of</w:t>
      </w:r>
      <w:r w:rsidRPr="00394D86">
        <w:rPr>
          <w:color w:val="auto"/>
          <w:szCs w:val="24"/>
        </w:rPr>
        <w:t xml:space="preserve"> </w:t>
      </w:r>
      <w:r>
        <w:rPr>
          <w:color w:val="auto"/>
          <w:szCs w:val="24"/>
        </w:rPr>
        <w:t>director, manager and CI participants reported partner organisations dropping out during the life of the Research Hub or Training Centre.</w:t>
      </w:r>
    </w:p>
    <w:p w14:paraId="2F88ADB3" w14:textId="77777777" w:rsidR="00841635" w:rsidRPr="00EC091E" w:rsidRDefault="00841635" w:rsidP="00841635">
      <w:pPr>
        <w:ind w:left="360"/>
        <w:rPr>
          <w:szCs w:val="24"/>
        </w:rPr>
      </w:pPr>
    </w:p>
    <w:p w14:paraId="297C6653" w14:textId="77777777" w:rsidR="00841635" w:rsidRDefault="00841635" w:rsidP="00841635">
      <w:pPr>
        <w:pStyle w:val="Heading2"/>
      </w:pPr>
      <w:bookmarkStart w:id="16" w:name="_Toc13057478"/>
      <w:r w:rsidRPr="00666449">
        <w:t>ITRP support for industry focused research training</w:t>
      </w:r>
      <w:bookmarkEnd w:id="16"/>
    </w:p>
    <w:p w14:paraId="246E3DC5" w14:textId="77777777" w:rsidR="00841635" w:rsidRPr="00EC091E" w:rsidRDefault="00841635" w:rsidP="00841635"/>
    <w:p w14:paraId="34446A36" w14:textId="77777777" w:rsidR="00841635" w:rsidRDefault="00841635" w:rsidP="00841635">
      <w:pPr>
        <w:pStyle w:val="ListParagraph"/>
        <w:numPr>
          <w:ilvl w:val="0"/>
          <w:numId w:val="37"/>
        </w:numPr>
        <w:rPr>
          <w:color w:val="auto"/>
          <w:szCs w:val="24"/>
        </w:rPr>
      </w:pPr>
      <w:r>
        <w:rPr>
          <w:color w:val="auto"/>
          <w:szCs w:val="24"/>
        </w:rPr>
        <w:t xml:space="preserve">Stakeholders predominantly felt that the ITRP performs well in supporting integrated research training that is of high academic quality and </w:t>
      </w:r>
      <w:proofErr w:type="gramStart"/>
      <w:r>
        <w:rPr>
          <w:color w:val="auto"/>
          <w:szCs w:val="24"/>
        </w:rPr>
        <w:t>relevance, and</w:t>
      </w:r>
      <w:proofErr w:type="gramEnd"/>
      <w:r>
        <w:rPr>
          <w:color w:val="auto"/>
          <w:szCs w:val="24"/>
        </w:rPr>
        <w:t xml:space="preserve"> is applicable to industry skills.</w:t>
      </w:r>
    </w:p>
    <w:p w14:paraId="3FAB6392" w14:textId="77777777" w:rsidR="00841635" w:rsidRDefault="00841635" w:rsidP="00841635">
      <w:pPr>
        <w:pStyle w:val="ListParagraph"/>
        <w:numPr>
          <w:ilvl w:val="0"/>
          <w:numId w:val="37"/>
        </w:numPr>
        <w:rPr>
          <w:color w:val="auto"/>
          <w:szCs w:val="24"/>
        </w:rPr>
      </w:pPr>
      <w:r w:rsidRPr="00D62C6F">
        <w:rPr>
          <w:color w:val="auto"/>
          <w:szCs w:val="24"/>
        </w:rPr>
        <w:t xml:space="preserve">Current ARC data collection processes do not support accurate reporting on the total number of HDR students and PDRs involved over the life of each Research Hub and Training Centre. </w:t>
      </w:r>
    </w:p>
    <w:p w14:paraId="2D17BC98" w14:textId="77777777" w:rsidR="00841635" w:rsidRPr="00D62C6F" w:rsidRDefault="00841635" w:rsidP="00841635">
      <w:pPr>
        <w:pStyle w:val="ListParagraph"/>
        <w:numPr>
          <w:ilvl w:val="1"/>
          <w:numId w:val="47"/>
        </w:numPr>
        <w:rPr>
          <w:color w:val="auto"/>
          <w:szCs w:val="24"/>
        </w:rPr>
      </w:pPr>
      <w:r w:rsidRPr="00D62C6F">
        <w:rPr>
          <w:color w:val="auto"/>
          <w:szCs w:val="24"/>
        </w:rPr>
        <w:t xml:space="preserve">Changes to ITRP reporting processes would support </w:t>
      </w:r>
      <w:r w:rsidRPr="00D62C6F">
        <w:rPr>
          <w:color w:val="auto"/>
        </w:rPr>
        <w:t>improved monitoring and evaluation of ITRP support for industry focused research training.</w:t>
      </w:r>
    </w:p>
    <w:p w14:paraId="02AAE3EC" w14:textId="77777777" w:rsidR="00841635" w:rsidRDefault="00841635" w:rsidP="00841635">
      <w:pPr>
        <w:pStyle w:val="ListParagraph"/>
        <w:numPr>
          <w:ilvl w:val="1"/>
          <w:numId w:val="47"/>
        </w:numPr>
        <w:rPr>
          <w:color w:val="auto"/>
          <w:szCs w:val="24"/>
        </w:rPr>
      </w:pPr>
      <w:r>
        <w:rPr>
          <w:color w:val="auto"/>
          <w:szCs w:val="24"/>
        </w:rPr>
        <w:t>Further s</w:t>
      </w:r>
      <w:r w:rsidRPr="000E6F30">
        <w:rPr>
          <w:color w:val="auto"/>
          <w:szCs w:val="24"/>
        </w:rPr>
        <w:t>urvey research with HDR students and PDRs in future m</w:t>
      </w:r>
      <w:r>
        <w:rPr>
          <w:color w:val="auto"/>
          <w:szCs w:val="24"/>
        </w:rPr>
        <w:t>a</w:t>
      </w:r>
      <w:r w:rsidRPr="000E6F30">
        <w:rPr>
          <w:color w:val="auto"/>
          <w:szCs w:val="24"/>
        </w:rPr>
        <w:t xml:space="preserve">y help the ARC to </w:t>
      </w:r>
      <w:r>
        <w:rPr>
          <w:color w:val="auto"/>
          <w:szCs w:val="24"/>
        </w:rPr>
        <w:t>better understand</w:t>
      </w:r>
      <w:r w:rsidRPr="000E6F30">
        <w:rPr>
          <w:color w:val="auto"/>
          <w:szCs w:val="24"/>
        </w:rPr>
        <w:t xml:space="preserve"> </w:t>
      </w:r>
      <w:r>
        <w:rPr>
          <w:color w:val="auto"/>
          <w:szCs w:val="24"/>
        </w:rPr>
        <w:t>employment and other outcomes for ITRP research trainees.</w:t>
      </w:r>
    </w:p>
    <w:p w14:paraId="70F679E5" w14:textId="77777777" w:rsidR="00841635" w:rsidRPr="008F1F4B" w:rsidRDefault="00841635" w:rsidP="00841635">
      <w:pPr>
        <w:pStyle w:val="ListParagraph"/>
        <w:numPr>
          <w:ilvl w:val="0"/>
          <w:numId w:val="37"/>
        </w:numPr>
        <w:rPr>
          <w:color w:val="auto"/>
          <w:szCs w:val="24"/>
        </w:rPr>
      </w:pPr>
      <w:r>
        <w:rPr>
          <w:color w:val="auto"/>
          <w:szCs w:val="24"/>
        </w:rPr>
        <w:t>Many university and partner organisation stakeholders noted that recruitment of HDR students and PDRs was a challenge.</w:t>
      </w:r>
    </w:p>
    <w:p w14:paraId="3AAF49FE" w14:textId="77777777" w:rsidR="00841635" w:rsidRDefault="00841635" w:rsidP="00841635">
      <w:pPr>
        <w:pStyle w:val="ListParagraph"/>
        <w:numPr>
          <w:ilvl w:val="0"/>
          <w:numId w:val="37"/>
        </w:numPr>
        <w:rPr>
          <w:color w:val="auto"/>
          <w:szCs w:val="24"/>
        </w:rPr>
      </w:pPr>
      <w:r>
        <w:rPr>
          <w:color w:val="auto"/>
          <w:szCs w:val="24"/>
        </w:rPr>
        <w:t>HDR students and PDRs expressed the view that more, higher quality research training opportunities through industry placements and skills development courses were required.</w:t>
      </w:r>
    </w:p>
    <w:p w14:paraId="71B67328" w14:textId="77777777" w:rsidR="00841635" w:rsidRDefault="00841635" w:rsidP="00841635">
      <w:pPr>
        <w:pStyle w:val="ListParagraph"/>
        <w:numPr>
          <w:ilvl w:val="0"/>
          <w:numId w:val="37"/>
        </w:numPr>
        <w:rPr>
          <w:color w:val="auto"/>
          <w:szCs w:val="24"/>
        </w:rPr>
      </w:pPr>
      <w:r w:rsidRPr="00DA6232">
        <w:rPr>
          <w:color w:val="auto"/>
          <w:szCs w:val="24"/>
        </w:rPr>
        <w:t>Stakeholder groups had differing perceptions of partner org</w:t>
      </w:r>
      <w:r>
        <w:rPr>
          <w:color w:val="auto"/>
          <w:szCs w:val="24"/>
        </w:rPr>
        <w:t>anisation involvement</w:t>
      </w:r>
      <w:r w:rsidRPr="00DA6232">
        <w:rPr>
          <w:color w:val="auto"/>
          <w:szCs w:val="24"/>
        </w:rPr>
        <w:t xml:space="preserve"> in the development of </w:t>
      </w:r>
      <w:r>
        <w:rPr>
          <w:color w:val="auto"/>
          <w:szCs w:val="24"/>
        </w:rPr>
        <w:t xml:space="preserve">research training programs, with 85 per cent of university stakeholders and only 64 </w:t>
      </w:r>
      <w:r w:rsidRPr="00DA6232">
        <w:rPr>
          <w:color w:val="auto"/>
          <w:szCs w:val="24"/>
        </w:rPr>
        <w:t>per cent of PIs report</w:t>
      </w:r>
      <w:r>
        <w:rPr>
          <w:color w:val="auto"/>
          <w:szCs w:val="24"/>
        </w:rPr>
        <w:t xml:space="preserve">ing </w:t>
      </w:r>
      <w:r w:rsidRPr="00DA6232">
        <w:rPr>
          <w:color w:val="auto"/>
          <w:szCs w:val="24"/>
        </w:rPr>
        <w:t>that partners were</w:t>
      </w:r>
      <w:r>
        <w:rPr>
          <w:color w:val="auto"/>
          <w:szCs w:val="24"/>
        </w:rPr>
        <w:t xml:space="preserve"> involved</w:t>
      </w:r>
      <w:r w:rsidRPr="00DA6232">
        <w:rPr>
          <w:color w:val="auto"/>
          <w:szCs w:val="24"/>
        </w:rPr>
        <w:t>.</w:t>
      </w:r>
    </w:p>
    <w:p w14:paraId="7F6CB638" w14:textId="77777777" w:rsidR="00841635" w:rsidRPr="00EC091E" w:rsidRDefault="00841635" w:rsidP="00841635">
      <w:pPr>
        <w:rPr>
          <w:szCs w:val="24"/>
        </w:rPr>
      </w:pPr>
    </w:p>
    <w:p w14:paraId="089789BE" w14:textId="77777777" w:rsidR="00841635" w:rsidRDefault="00841635" w:rsidP="00841635">
      <w:pPr>
        <w:pStyle w:val="Heading2"/>
      </w:pPr>
      <w:bookmarkStart w:id="17" w:name="_Toc13057479"/>
      <w:r>
        <w:t>Engagement with Industry Growth Centres</w:t>
      </w:r>
      <w:bookmarkEnd w:id="17"/>
    </w:p>
    <w:p w14:paraId="388BFA31" w14:textId="77777777" w:rsidR="00841635" w:rsidRPr="00EC091E" w:rsidRDefault="00841635" w:rsidP="00841635"/>
    <w:p w14:paraId="6D09FE2B" w14:textId="77777777" w:rsidR="00841635" w:rsidRDefault="00841635" w:rsidP="00841635">
      <w:pPr>
        <w:pStyle w:val="ListParagraph"/>
        <w:numPr>
          <w:ilvl w:val="0"/>
          <w:numId w:val="37"/>
        </w:numPr>
        <w:rPr>
          <w:color w:val="auto"/>
          <w:szCs w:val="24"/>
        </w:rPr>
      </w:pPr>
      <w:r>
        <w:rPr>
          <w:color w:val="auto"/>
          <w:szCs w:val="24"/>
        </w:rPr>
        <w:t>The benefits of Growth Centre engagement that stakeholders cited most commonly were identifying and enabling partnerships, support in the application and program design process, and the provision of market advice.</w:t>
      </w:r>
    </w:p>
    <w:p w14:paraId="3368A5B1" w14:textId="77777777" w:rsidR="00841635" w:rsidRDefault="00841635" w:rsidP="00841635">
      <w:pPr>
        <w:pStyle w:val="ListParagraph"/>
        <w:numPr>
          <w:ilvl w:val="0"/>
          <w:numId w:val="37"/>
        </w:numPr>
        <w:rPr>
          <w:color w:val="auto"/>
          <w:szCs w:val="24"/>
        </w:rPr>
      </w:pPr>
      <w:r>
        <w:rPr>
          <w:color w:val="auto"/>
          <w:szCs w:val="24"/>
        </w:rPr>
        <w:t>PIs felt Growth Centres were more useful for identifying university partners than university stakeholders felt they were for identifying industry partners.</w:t>
      </w:r>
    </w:p>
    <w:p w14:paraId="50A94AB2" w14:textId="77777777" w:rsidR="00841635" w:rsidRPr="00B2558C" w:rsidRDefault="00841635" w:rsidP="00841635">
      <w:pPr>
        <w:pStyle w:val="ListParagraph"/>
        <w:numPr>
          <w:ilvl w:val="0"/>
          <w:numId w:val="37"/>
        </w:numPr>
        <w:rPr>
          <w:color w:val="auto"/>
          <w:szCs w:val="24"/>
        </w:rPr>
      </w:pPr>
      <w:r>
        <w:rPr>
          <w:color w:val="auto"/>
          <w:szCs w:val="24"/>
        </w:rPr>
        <w:t>While most stakeholders found Growth Centres easy to reach and responsive, s</w:t>
      </w:r>
      <w:r w:rsidRPr="007C306E">
        <w:rPr>
          <w:color w:val="auto"/>
          <w:szCs w:val="24"/>
        </w:rPr>
        <w:t xml:space="preserve">ome </w:t>
      </w:r>
      <w:r w:rsidRPr="00B2558C">
        <w:rPr>
          <w:color w:val="auto"/>
          <w:szCs w:val="24"/>
        </w:rPr>
        <w:t>reported difficulties in contacting and engaging with them.</w:t>
      </w:r>
    </w:p>
    <w:p w14:paraId="09A36EE0" w14:textId="77777777" w:rsidR="00841635" w:rsidRPr="00B2558C" w:rsidRDefault="00841635" w:rsidP="00841635">
      <w:pPr>
        <w:pStyle w:val="ListParagraph"/>
        <w:numPr>
          <w:ilvl w:val="0"/>
          <w:numId w:val="37"/>
        </w:numPr>
        <w:rPr>
          <w:color w:val="auto"/>
          <w:szCs w:val="24"/>
        </w:rPr>
      </w:pPr>
      <w:r w:rsidRPr="00B2558C">
        <w:rPr>
          <w:color w:val="auto"/>
          <w:szCs w:val="24"/>
        </w:rPr>
        <w:t xml:space="preserve">Stakeholders expressed some uncertainty and a need for greater clarity about the Growth Centres’ role in ITRP application and assessment processes. </w:t>
      </w:r>
    </w:p>
    <w:p w14:paraId="5DE1438A" w14:textId="77777777" w:rsidR="00841635" w:rsidRPr="00B2558C" w:rsidRDefault="00841635" w:rsidP="00841635">
      <w:pPr>
        <w:pStyle w:val="ListParagraph"/>
        <w:numPr>
          <w:ilvl w:val="1"/>
          <w:numId w:val="47"/>
        </w:numPr>
        <w:rPr>
          <w:color w:val="auto"/>
          <w:szCs w:val="24"/>
        </w:rPr>
      </w:pPr>
      <w:r w:rsidRPr="00B2558C">
        <w:rPr>
          <w:color w:val="auto"/>
          <w:szCs w:val="24"/>
        </w:rPr>
        <w:t>The ARC has provided additional advice in the latest ITRP grant guidelines, but further stakeholder engagement on this issue may be valuable.</w:t>
      </w:r>
    </w:p>
    <w:p w14:paraId="25E8FFDE" w14:textId="77777777" w:rsidR="00841635" w:rsidRPr="00B2558C" w:rsidRDefault="00841635" w:rsidP="00841635">
      <w:pPr>
        <w:pStyle w:val="ListParagraph"/>
        <w:numPr>
          <w:ilvl w:val="0"/>
          <w:numId w:val="37"/>
        </w:numPr>
        <w:rPr>
          <w:color w:val="auto"/>
          <w:szCs w:val="24"/>
        </w:rPr>
      </w:pPr>
      <w:proofErr w:type="gramStart"/>
      <w:r w:rsidRPr="00B2558C">
        <w:rPr>
          <w:color w:val="auto"/>
          <w:szCs w:val="24"/>
        </w:rPr>
        <w:t>The majority of</w:t>
      </w:r>
      <w:proofErr w:type="gramEnd"/>
      <w:r w:rsidRPr="00B2558C">
        <w:rPr>
          <w:color w:val="auto"/>
          <w:szCs w:val="24"/>
        </w:rPr>
        <w:t xml:space="preserve"> stakeholders reported that engagement with Growth Centres had extended beyond the Research Hub or Training Centre program development phase.</w:t>
      </w:r>
    </w:p>
    <w:p w14:paraId="76ACAF5A" w14:textId="77777777" w:rsidR="00841635" w:rsidRDefault="00841635" w:rsidP="00841635">
      <w:pPr>
        <w:pStyle w:val="ListParagraph"/>
        <w:numPr>
          <w:ilvl w:val="0"/>
          <w:numId w:val="37"/>
        </w:numPr>
        <w:rPr>
          <w:color w:val="auto"/>
          <w:szCs w:val="24"/>
        </w:rPr>
      </w:pPr>
      <w:r w:rsidRPr="00B2558C">
        <w:rPr>
          <w:color w:val="auto"/>
          <w:szCs w:val="24"/>
        </w:rPr>
        <w:t>Growth Centre stakeholders felt that interaction between the ITRP and the Growth Centres supports both programs in achieving their objectives.</w:t>
      </w:r>
    </w:p>
    <w:p w14:paraId="59D00961" w14:textId="77777777" w:rsidR="00841635" w:rsidRPr="00EC091E" w:rsidRDefault="00841635" w:rsidP="00841635">
      <w:pPr>
        <w:rPr>
          <w:szCs w:val="24"/>
        </w:rPr>
      </w:pPr>
    </w:p>
    <w:p w14:paraId="1D04A77B" w14:textId="77777777" w:rsidR="00841635" w:rsidRDefault="00841635" w:rsidP="00841635">
      <w:pPr>
        <w:pStyle w:val="Heading2"/>
      </w:pPr>
      <w:bookmarkStart w:id="18" w:name="_Toc13057480"/>
      <w:r w:rsidRPr="00B2558C">
        <w:t>ITRP fit with other Australian Government</w:t>
      </w:r>
      <w:r>
        <w:t xml:space="preserve"> programs</w:t>
      </w:r>
      <w:bookmarkEnd w:id="18"/>
    </w:p>
    <w:p w14:paraId="5699D9F9" w14:textId="77777777" w:rsidR="00841635" w:rsidRPr="00EC091E" w:rsidRDefault="00841635" w:rsidP="00841635"/>
    <w:p w14:paraId="674BF973" w14:textId="77777777" w:rsidR="00841635" w:rsidRPr="00B2558C" w:rsidRDefault="00841635" w:rsidP="00841635">
      <w:pPr>
        <w:pStyle w:val="ListParagraph"/>
        <w:numPr>
          <w:ilvl w:val="0"/>
          <w:numId w:val="37"/>
        </w:numPr>
        <w:rPr>
          <w:color w:val="auto"/>
          <w:szCs w:val="24"/>
        </w:rPr>
      </w:pPr>
      <w:r w:rsidRPr="00B2558C">
        <w:rPr>
          <w:color w:val="auto"/>
          <w:szCs w:val="24"/>
        </w:rPr>
        <w:t xml:space="preserve">Stakeholders generally perceived the ITRP to be unique in its support for integrated collaborative research and research training, </w:t>
      </w:r>
      <w:r>
        <w:rPr>
          <w:color w:val="auto"/>
          <w:szCs w:val="24"/>
        </w:rPr>
        <w:t xml:space="preserve">and </w:t>
      </w:r>
      <w:r w:rsidRPr="00B2558C">
        <w:rPr>
          <w:color w:val="auto"/>
          <w:szCs w:val="24"/>
        </w:rPr>
        <w:t xml:space="preserve">the scale of research collaboration </w:t>
      </w:r>
      <w:r>
        <w:rPr>
          <w:color w:val="auto"/>
          <w:szCs w:val="24"/>
        </w:rPr>
        <w:t>supported</w:t>
      </w:r>
      <w:r w:rsidRPr="00B2558C">
        <w:rPr>
          <w:color w:val="auto"/>
          <w:szCs w:val="24"/>
        </w:rPr>
        <w:t xml:space="preserve">. They perceived </w:t>
      </w:r>
      <w:r>
        <w:rPr>
          <w:color w:val="auto"/>
          <w:szCs w:val="24"/>
        </w:rPr>
        <w:t>it</w:t>
      </w:r>
      <w:r w:rsidRPr="00B2558C">
        <w:rPr>
          <w:color w:val="auto"/>
          <w:szCs w:val="24"/>
        </w:rPr>
        <w:t xml:space="preserve"> to effectively complement other Australian Government programs.</w:t>
      </w:r>
    </w:p>
    <w:p w14:paraId="68ADA25E" w14:textId="563CA611" w:rsidR="00841635" w:rsidRPr="00CF5EB8" w:rsidRDefault="003C76FB" w:rsidP="003C76FB">
      <w:pPr>
        <w:pStyle w:val="ListParagraph"/>
        <w:numPr>
          <w:ilvl w:val="0"/>
          <w:numId w:val="37"/>
        </w:numPr>
        <w:rPr>
          <w:color w:val="auto"/>
          <w:szCs w:val="24"/>
        </w:rPr>
      </w:pPr>
      <w:r w:rsidRPr="003C76FB">
        <w:rPr>
          <w:color w:val="auto"/>
          <w:szCs w:val="24"/>
        </w:rPr>
        <w:t>Stakeholders had mixed views on whether the ITRP overlaps with other Australian Government programs, with just over half (54 per cent) agreeing that to some extent it does. The research did not clearly identify the nature of the perceived over</w:t>
      </w:r>
      <w:r>
        <w:rPr>
          <w:color w:val="auto"/>
          <w:szCs w:val="24"/>
        </w:rPr>
        <w:t>laps or test whether they exist</w:t>
      </w:r>
      <w:r w:rsidR="00841635">
        <w:rPr>
          <w:color w:val="auto"/>
          <w:szCs w:val="24"/>
        </w:rPr>
        <w:t xml:space="preserve">. </w:t>
      </w:r>
    </w:p>
    <w:p w14:paraId="25B0B0E4" w14:textId="77777777" w:rsidR="00517B90" w:rsidRDefault="00517B90">
      <w:pPr>
        <w:rPr>
          <w:szCs w:val="24"/>
        </w:rPr>
      </w:pPr>
      <w:r>
        <w:rPr>
          <w:szCs w:val="24"/>
        </w:rPr>
        <w:br w:type="page"/>
      </w:r>
    </w:p>
    <w:p w14:paraId="683AD812" w14:textId="52190A65" w:rsidR="00841635" w:rsidRDefault="00841635" w:rsidP="00841635">
      <w:pPr>
        <w:pStyle w:val="ListParagraph"/>
        <w:numPr>
          <w:ilvl w:val="0"/>
          <w:numId w:val="37"/>
        </w:numPr>
        <w:rPr>
          <w:color w:val="auto"/>
          <w:szCs w:val="24"/>
        </w:rPr>
      </w:pPr>
      <w:r>
        <w:rPr>
          <w:color w:val="auto"/>
          <w:szCs w:val="24"/>
        </w:rPr>
        <w:t>Stakeholders generally</w:t>
      </w:r>
      <w:r w:rsidRPr="00CF5EB8">
        <w:rPr>
          <w:color w:val="auto"/>
          <w:szCs w:val="24"/>
        </w:rPr>
        <w:t xml:space="preserve"> felt that the Industrial Transformation Priorities </w:t>
      </w:r>
      <w:r>
        <w:rPr>
          <w:color w:val="auto"/>
          <w:szCs w:val="24"/>
        </w:rPr>
        <w:t xml:space="preserve">(which align with the Industry Growth Centre priority areas) </w:t>
      </w:r>
      <w:r w:rsidRPr="00CF5EB8">
        <w:rPr>
          <w:color w:val="auto"/>
          <w:szCs w:val="24"/>
        </w:rPr>
        <w:t xml:space="preserve">effectively focus applications </w:t>
      </w:r>
      <w:r>
        <w:rPr>
          <w:color w:val="auto"/>
          <w:szCs w:val="24"/>
        </w:rPr>
        <w:t xml:space="preserve">on key industry priority areas, although </w:t>
      </w:r>
      <w:r w:rsidRPr="00CF5EB8">
        <w:rPr>
          <w:color w:val="auto"/>
          <w:szCs w:val="24"/>
        </w:rPr>
        <w:t>some perceived them to have gaps or to be narrow</w:t>
      </w:r>
      <w:r>
        <w:rPr>
          <w:color w:val="auto"/>
          <w:szCs w:val="24"/>
        </w:rPr>
        <w:t>.</w:t>
      </w:r>
    </w:p>
    <w:p w14:paraId="34802845" w14:textId="77777777" w:rsidR="00841635" w:rsidRDefault="00841635" w:rsidP="00841635">
      <w:pPr>
        <w:pStyle w:val="ListParagraph"/>
        <w:numPr>
          <w:ilvl w:val="1"/>
          <w:numId w:val="47"/>
        </w:numPr>
        <w:rPr>
          <w:color w:val="auto"/>
          <w:szCs w:val="24"/>
        </w:rPr>
      </w:pPr>
      <w:r>
        <w:rPr>
          <w:color w:val="auto"/>
          <w:szCs w:val="24"/>
        </w:rPr>
        <w:t xml:space="preserve">It may be possible to revise elements of the ITRP’s design and guidelines to </w:t>
      </w:r>
      <w:r w:rsidRPr="00CA4144">
        <w:rPr>
          <w:color w:val="auto"/>
          <w:szCs w:val="24"/>
        </w:rPr>
        <w:t xml:space="preserve">allow more flexibility </w:t>
      </w:r>
      <w:r>
        <w:rPr>
          <w:color w:val="auto"/>
          <w:szCs w:val="24"/>
        </w:rPr>
        <w:t>in the Industrial Transformation Priorities and to clarify the Growth Centres’ role in the process.</w:t>
      </w:r>
    </w:p>
    <w:p w14:paraId="3395B0F7" w14:textId="77777777" w:rsidR="00841635" w:rsidRPr="00EC091E" w:rsidRDefault="00841635" w:rsidP="00841635">
      <w:pPr>
        <w:rPr>
          <w:szCs w:val="24"/>
        </w:rPr>
      </w:pPr>
    </w:p>
    <w:p w14:paraId="10B2BBAA" w14:textId="77777777" w:rsidR="00841635" w:rsidRDefault="00841635" w:rsidP="00841635">
      <w:pPr>
        <w:pStyle w:val="Heading2"/>
      </w:pPr>
      <w:bookmarkStart w:id="19" w:name="_Toc13057481"/>
      <w:r>
        <w:t>ARC implementation of the ITRP process</w:t>
      </w:r>
      <w:bookmarkEnd w:id="19"/>
    </w:p>
    <w:p w14:paraId="33D62A9F" w14:textId="77777777" w:rsidR="00841635" w:rsidRPr="00EC091E" w:rsidRDefault="00841635" w:rsidP="00841635"/>
    <w:p w14:paraId="3A2DE2A4" w14:textId="77777777" w:rsidR="00841635" w:rsidRDefault="00841635" w:rsidP="00841635">
      <w:pPr>
        <w:pStyle w:val="ListParagraph"/>
        <w:numPr>
          <w:ilvl w:val="0"/>
          <w:numId w:val="37"/>
        </w:numPr>
        <w:rPr>
          <w:color w:val="auto"/>
          <w:szCs w:val="24"/>
        </w:rPr>
      </w:pPr>
      <w:r>
        <w:rPr>
          <w:color w:val="auto"/>
          <w:szCs w:val="24"/>
        </w:rPr>
        <w:t>Overall, m</w:t>
      </w:r>
      <w:r w:rsidRPr="00196D11">
        <w:rPr>
          <w:color w:val="auto"/>
          <w:szCs w:val="24"/>
        </w:rPr>
        <w:t xml:space="preserve">ost stakeholders </w:t>
      </w:r>
      <w:r>
        <w:rPr>
          <w:color w:val="auto"/>
          <w:szCs w:val="24"/>
        </w:rPr>
        <w:t xml:space="preserve">considered </w:t>
      </w:r>
      <w:r w:rsidRPr="00196D11">
        <w:rPr>
          <w:color w:val="auto"/>
          <w:szCs w:val="24"/>
        </w:rPr>
        <w:t xml:space="preserve">the ITRP </w:t>
      </w:r>
      <w:r>
        <w:rPr>
          <w:color w:val="auto"/>
          <w:szCs w:val="24"/>
        </w:rPr>
        <w:t>process to be effective and efficient.</w:t>
      </w:r>
    </w:p>
    <w:p w14:paraId="0D5C6EFE" w14:textId="77777777" w:rsidR="00841635" w:rsidRPr="00AF0F99" w:rsidRDefault="00841635" w:rsidP="00841635">
      <w:pPr>
        <w:pStyle w:val="ListParagraph"/>
        <w:numPr>
          <w:ilvl w:val="0"/>
          <w:numId w:val="37"/>
        </w:numPr>
        <w:rPr>
          <w:color w:val="auto"/>
          <w:szCs w:val="24"/>
        </w:rPr>
      </w:pPr>
      <w:r>
        <w:rPr>
          <w:color w:val="auto"/>
          <w:szCs w:val="24"/>
        </w:rPr>
        <w:t>S</w:t>
      </w:r>
      <w:r w:rsidRPr="00AF0F99">
        <w:rPr>
          <w:color w:val="auto"/>
          <w:szCs w:val="24"/>
        </w:rPr>
        <w:t xml:space="preserve">takeholders were mostly positive about the usefulness of the ARC’s advice and information at various stages of the ITRP process. </w:t>
      </w:r>
      <w:r>
        <w:rPr>
          <w:color w:val="auto"/>
          <w:szCs w:val="24"/>
        </w:rPr>
        <w:t>However, s</w:t>
      </w:r>
      <w:r w:rsidRPr="00AF0F99">
        <w:rPr>
          <w:color w:val="auto"/>
          <w:szCs w:val="24"/>
        </w:rPr>
        <w:t>ome sources (for example, grant guidelines and associated documents) were clearly seen as more useful than others (ARC feedback on progress and final reports).</w:t>
      </w:r>
    </w:p>
    <w:p w14:paraId="2E1ACFB4" w14:textId="77777777" w:rsidR="00841635" w:rsidRDefault="00841635" w:rsidP="00841635">
      <w:pPr>
        <w:pStyle w:val="ListParagraph"/>
        <w:numPr>
          <w:ilvl w:val="0"/>
          <w:numId w:val="37"/>
        </w:numPr>
        <w:rPr>
          <w:color w:val="auto"/>
          <w:szCs w:val="24"/>
        </w:rPr>
      </w:pPr>
      <w:r>
        <w:rPr>
          <w:color w:val="auto"/>
          <w:szCs w:val="24"/>
        </w:rPr>
        <w:t>As identified by stakeholders:</w:t>
      </w:r>
    </w:p>
    <w:p w14:paraId="559F0687" w14:textId="77777777" w:rsidR="00841635" w:rsidRDefault="00841635" w:rsidP="00841635">
      <w:pPr>
        <w:pStyle w:val="ListParagraph"/>
        <w:numPr>
          <w:ilvl w:val="1"/>
          <w:numId w:val="47"/>
        </w:numPr>
        <w:rPr>
          <w:color w:val="auto"/>
          <w:szCs w:val="24"/>
        </w:rPr>
      </w:pPr>
      <w:r>
        <w:rPr>
          <w:color w:val="auto"/>
          <w:szCs w:val="24"/>
        </w:rPr>
        <w:t>challenging aspects of the application process included negotiation of partnership, intellectual property and commercialisation arrangements, the timeframes for the application process and the size of applications</w:t>
      </w:r>
    </w:p>
    <w:p w14:paraId="50CA5696" w14:textId="77777777" w:rsidR="00841635" w:rsidRPr="00394D86" w:rsidRDefault="00841635" w:rsidP="00841635">
      <w:pPr>
        <w:pStyle w:val="ListParagraph"/>
        <w:numPr>
          <w:ilvl w:val="1"/>
          <w:numId w:val="47"/>
        </w:numPr>
        <w:rPr>
          <w:color w:val="auto"/>
          <w:szCs w:val="24"/>
        </w:rPr>
      </w:pPr>
      <w:r>
        <w:rPr>
          <w:color w:val="auto"/>
          <w:szCs w:val="24"/>
        </w:rPr>
        <w:t>challenging aspects of the establishment process included domestic student recruitment, along with negotiating, finalising and managing partnership, intellectual property and commercialisation arrangements.</w:t>
      </w:r>
    </w:p>
    <w:p w14:paraId="7D68A7C2" w14:textId="77777777" w:rsidR="00841635" w:rsidRDefault="00841635" w:rsidP="00841635">
      <w:pPr>
        <w:rPr>
          <w:szCs w:val="24"/>
        </w:rPr>
      </w:pPr>
    </w:p>
    <w:p w14:paraId="593EFC43" w14:textId="7349788F" w:rsidR="00766FC3" w:rsidRDefault="00766FC3" w:rsidP="00766FC3">
      <w:pPr>
        <w:pStyle w:val="Heading1"/>
      </w:pPr>
      <w:bookmarkStart w:id="20" w:name="_Toc13057482"/>
      <w:r>
        <w:t>Recommendations</w:t>
      </w:r>
      <w:bookmarkEnd w:id="20"/>
    </w:p>
    <w:p w14:paraId="0C05B3FB" w14:textId="77777777" w:rsidR="00293225" w:rsidRDefault="00293225">
      <w:pPr>
        <w:rPr>
          <w:szCs w:val="24"/>
        </w:rPr>
      </w:pPr>
    </w:p>
    <w:p w14:paraId="42989BF0" w14:textId="597CAFA8" w:rsidR="005816E7" w:rsidRDefault="006456B1" w:rsidP="006456B1">
      <w:pPr>
        <w:pStyle w:val="Heading2"/>
      </w:pPr>
      <w:bookmarkStart w:id="21" w:name="_Toc13057483"/>
      <w:r>
        <w:t>Recommendation 1: Industrial Transformation Priorities</w:t>
      </w:r>
      <w:bookmarkEnd w:id="21"/>
    </w:p>
    <w:p w14:paraId="1F6BA496" w14:textId="262000B8" w:rsidR="006456B1" w:rsidRDefault="006456B1" w:rsidP="005816E7">
      <w:pPr>
        <w:rPr>
          <w:szCs w:val="24"/>
        </w:rPr>
      </w:pPr>
    </w:p>
    <w:p w14:paraId="2035CC9B" w14:textId="2CB6CE11" w:rsidR="004554AE" w:rsidRDefault="00670E1A" w:rsidP="006A0A83">
      <w:r>
        <w:t xml:space="preserve">The ARC should </w:t>
      </w:r>
      <w:r w:rsidRPr="00272FA1">
        <w:rPr>
          <w:b/>
        </w:rPr>
        <w:t xml:space="preserve">consider </w:t>
      </w:r>
      <w:r w:rsidR="004554AE">
        <w:rPr>
          <w:b/>
        </w:rPr>
        <w:t>revisi</w:t>
      </w:r>
      <w:r w:rsidR="005F2428">
        <w:rPr>
          <w:b/>
        </w:rPr>
        <w:t xml:space="preserve">ons to improve the flexibility and clarity of </w:t>
      </w:r>
      <w:r w:rsidRPr="00272FA1">
        <w:rPr>
          <w:b/>
        </w:rPr>
        <w:t xml:space="preserve">the ITRP process </w:t>
      </w:r>
      <w:r w:rsidR="00272FA1" w:rsidRPr="00272FA1">
        <w:rPr>
          <w:b/>
        </w:rPr>
        <w:t>with respect to</w:t>
      </w:r>
      <w:r w:rsidRPr="00272FA1">
        <w:rPr>
          <w:b/>
        </w:rPr>
        <w:t xml:space="preserve"> the Industrial Transformation Priorities and the rol</w:t>
      </w:r>
      <w:r w:rsidR="00272FA1" w:rsidRPr="00272FA1">
        <w:rPr>
          <w:b/>
        </w:rPr>
        <w:t>e of Industry Growth Centres</w:t>
      </w:r>
      <w:r w:rsidR="00272FA1">
        <w:t>.</w:t>
      </w:r>
      <w:r w:rsidR="00455005">
        <w:t xml:space="preserve"> </w:t>
      </w:r>
    </w:p>
    <w:p w14:paraId="3B94026C" w14:textId="77777777" w:rsidR="004554AE" w:rsidRDefault="004554AE" w:rsidP="006A0A83"/>
    <w:p w14:paraId="34141CAE" w14:textId="72551DE9" w:rsidR="006A0A83" w:rsidRPr="00B7587A" w:rsidRDefault="004554AE" w:rsidP="006A0A83">
      <w:r>
        <w:t>Such</w:t>
      </w:r>
      <w:r w:rsidR="00272FA1">
        <w:t xml:space="preserve"> revisions should seek t</w:t>
      </w:r>
      <w:r w:rsidR="006A0A83">
        <w:t xml:space="preserve">o address </w:t>
      </w:r>
      <w:r w:rsidR="00670E1A">
        <w:t xml:space="preserve">stakeholder perceptions that the Industrial Transformation Priorities </w:t>
      </w:r>
      <w:r w:rsidR="00272FA1">
        <w:t>are</w:t>
      </w:r>
      <w:r w:rsidR="00670E1A">
        <w:t xml:space="preserve"> narrow (finding 23), </w:t>
      </w:r>
      <w:r w:rsidR="00272FA1">
        <w:t>that the</w:t>
      </w:r>
      <w:r w:rsidR="00670E1A">
        <w:t xml:space="preserve"> Industry Growth Centres’ role in the ITRP process is unclear (finding 18)</w:t>
      </w:r>
      <w:r w:rsidR="00455005">
        <w:t>,</w:t>
      </w:r>
      <w:r w:rsidR="00670E1A">
        <w:t xml:space="preserve"> and</w:t>
      </w:r>
      <w:r w:rsidR="00272FA1">
        <w:t xml:space="preserve"> some reported difficulties in engagement with the Growth Centres (finding 17)</w:t>
      </w:r>
      <w:r w:rsidR="00455005">
        <w:t>. They may include the following elements:</w:t>
      </w:r>
    </w:p>
    <w:p w14:paraId="029D20C6" w14:textId="77777777" w:rsidR="006A0A83" w:rsidRPr="00B7587A" w:rsidRDefault="006A0A83" w:rsidP="006A0A83"/>
    <w:p w14:paraId="035615B7" w14:textId="77777777" w:rsidR="005F508B" w:rsidRDefault="006A0A83" w:rsidP="005F508B">
      <w:pPr>
        <w:pStyle w:val="ListParagraph"/>
        <w:numPr>
          <w:ilvl w:val="0"/>
          <w:numId w:val="36"/>
        </w:numPr>
        <w:rPr>
          <w:color w:val="auto"/>
        </w:rPr>
      </w:pPr>
      <w:r w:rsidRPr="00B7587A">
        <w:rPr>
          <w:color w:val="auto"/>
        </w:rPr>
        <w:t>In the ITRP grant guidelines, retain the requirement for applications to address one or more of the Industrial Transformation Priorities.</w:t>
      </w:r>
    </w:p>
    <w:p w14:paraId="343C3CBE" w14:textId="66BD33E6" w:rsidR="006A0A83" w:rsidRPr="005F508B" w:rsidRDefault="006A0A83" w:rsidP="005F508B">
      <w:pPr>
        <w:pStyle w:val="ListParagraph"/>
        <w:numPr>
          <w:ilvl w:val="0"/>
          <w:numId w:val="36"/>
        </w:numPr>
        <w:rPr>
          <w:color w:val="auto"/>
        </w:rPr>
      </w:pPr>
      <w:r w:rsidRPr="005F508B">
        <w:rPr>
          <w:color w:val="auto"/>
        </w:rPr>
        <w:t>Continue to include all Industry Growth Centre priority areas in the Industrial Transformation Priorities</w:t>
      </w:r>
      <w:r w:rsidR="004554AE" w:rsidRPr="005F508B">
        <w:rPr>
          <w:color w:val="auto"/>
        </w:rPr>
        <w:t>,</w:t>
      </w:r>
      <w:r w:rsidRPr="005F508B">
        <w:rPr>
          <w:color w:val="auto"/>
        </w:rPr>
        <w:t xml:space="preserve"> but also consider the inclusion of additional priorities </w:t>
      </w:r>
      <w:r w:rsidR="002549B9" w:rsidRPr="005F508B">
        <w:rPr>
          <w:color w:val="auto"/>
        </w:rPr>
        <w:t>for</w:t>
      </w:r>
      <w:r w:rsidR="005F508B" w:rsidRPr="005F508B">
        <w:rPr>
          <w:color w:val="auto"/>
        </w:rPr>
        <w:t xml:space="preserve"> each roun</w:t>
      </w:r>
      <w:r w:rsidR="005F508B">
        <w:rPr>
          <w:color w:val="auto"/>
        </w:rPr>
        <w:t>d—</w:t>
      </w:r>
      <w:r w:rsidRPr="005F508B">
        <w:rPr>
          <w:color w:val="auto"/>
        </w:rPr>
        <w:t xml:space="preserve">in consultation with appropriate stakeholders, including relevant </w:t>
      </w:r>
      <w:r w:rsidR="004554AE" w:rsidRPr="005F508B">
        <w:rPr>
          <w:color w:val="auto"/>
        </w:rPr>
        <w:t>m</w:t>
      </w:r>
      <w:r w:rsidRPr="005F508B">
        <w:rPr>
          <w:color w:val="auto"/>
        </w:rPr>
        <w:t>inisters and DIIS.</w:t>
      </w:r>
    </w:p>
    <w:p w14:paraId="05F31C9E" w14:textId="54EE52E5" w:rsidR="006A0A83" w:rsidRDefault="006A0A83" w:rsidP="006A0A83">
      <w:pPr>
        <w:pStyle w:val="ListParagraph"/>
        <w:numPr>
          <w:ilvl w:val="0"/>
          <w:numId w:val="36"/>
        </w:numPr>
        <w:rPr>
          <w:color w:val="auto"/>
        </w:rPr>
      </w:pPr>
      <w:r w:rsidRPr="00B7587A">
        <w:rPr>
          <w:color w:val="auto"/>
        </w:rPr>
        <w:t xml:space="preserve">Amend the ITRP guidelines </w:t>
      </w:r>
      <w:r w:rsidR="004554AE">
        <w:rPr>
          <w:color w:val="auto"/>
        </w:rPr>
        <w:t>to</w:t>
      </w:r>
      <w:r w:rsidRPr="00B7587A">
        <w:rPr>
          <w:color w:val="auto"/>
        </w:rPr>
        <w:t xml:space="preserve"> </w:t>
      </w:r>
      <w:r w:rsidRPr="00B7587A">
        <w:rPr>
          <w:i/>
          <w:color w:val="auto"/>
        </w:rPr>
        <w:t>require</w:t>
      </w:r>
      <w:r w:rsidRPr="00B7587A">
        <w:rPr>
          <w:color w:val="auto"/>
        </w:rPr>
        <w:t xml:space="preserve"> applicants to engage with </w:t>
      </w:r>
      <w:r>
        <w:rPr>
          <w:color w:val="auto"/>
        </w:rPr>
        <w:t xml:space="preserve">relevant </w:t>
      </w:r>
      <w:r w:rsidRPr="00B7587A">
        <w:rPr>
          <w:color w:val="auto"/>
        </w:rPr>
        <w:t xml:space="preserve">industry experts (such as, but not exclusively, Growth Centres) </w:t>
      </w:r>
      <w:r w:rsidR="004554AE">
        <w:rPr>
          <w:color w:val="auto"/>
        </w:rPr>
        <w:t>to ensure</w:t>
      </w:r>
      <w:r w:rsidRPr="00B7587A">
        <w:rPr>
          <w:color w:val="auto"/>
        </w:rPr>
        <w:t xml:space="preserve"> the proposed research is targeted to support growth in the </w:t>
      </w:r>
      <w:r w:rsidR="002549B9">
        <w:rPr>
          <w:color w:val="auto"/>
        </w:rPr>
        <w:t xml:space="preserve">relevant </w:t>
      </w:r>
      <w:r w:rsidRPr="00B7587A">
        <w:rPr>
          <w:color w:val="auto"/>
        </w:rPr>
        <w:t>Ind</w:t>
      </w:r>
      <w:r>
        <w:rPr>
          <w:color w:val="auto"/>
        </w:rPr>
        <w:t>ustrial Transformation Priorit</w:t>
      </w:r>
      <w:r w:rsidR="002549B9">
        <w:rPr>
          <w:color w:val="auto"/>
        </w:rPr>
        <w:t>y areas.</w:t>
      </w:r>
    </w:p>
    <w:p w14:paraId="5A9D99D6" w14:textId="6AF7966C" w:rsidR="006A0A83" w:rsidRDefault="006A0A83" w:rsidP="006A0A83">
      <w:pPr>
        <w:pStyle w:val="ListParagraph"/>
        <w:numPr>
          <w:ilvl w:val="0"/>
          <w:numId w:val="36"/>
        </w:numPr>
        <w:rPr>
          <w:color w:val="auto"/>
        </w:rPr>
      </w:pPr>
      <w:r w:rsidRPr="00B7587A">
        <w:rPr>
          <w:color w:val="auto"/>
        </w:rPr>
        <w:t xml:space="preserve">Amend the </w:t>
      </w:r>
      <w:r>
        <w:rPr>
          <w:color w:val="auto"/>
        </w:rPr>
        <w:t>ITRH and ITTC assessment</w:t>
      </w:r>
      <w:r w:rsidRPr="00B7587A">
        <w:rPr>
          <w:color w:val="auto"/>
        </w:rPr>
        <w:t xml:space="preserve"> criteria</w:t>
      </w:r>
      <w:r>
        <w:rPr>
          <w:color w:val="auto"/>
        </w:rPr>
        <w:t xml:space="preserve"> </w:t>
      </w:r>
      <w:r w:rsidR="002549B9">
        <w:rPr>
          <w:color w:val="auto"/>
        </w:rPr>
        <w:t>to require applicants</w:t>
      </w:r>
      <w:r>
        <w:rPr>
          <w:color w:val="auto"/>
        </w:rPr>
        <w:t xml:space="preserve"> to describe the ways in which engagement with industry experts (such as, but not exclusively, Growth Centres) has</w:t>
      </w:r>
      <w:r w:rsidR="002549B9">
        <w:rPr>
          <w:color w:val="auto"/>
        </w:rPr>
        <w:t xml:space="preserve"> ensured</w:t>
      </w:r>
      <w:r>
        <w:rPr>
          <w:color w:val="auto"/>
        </w:rPr>
        <w:t xml:space="preserve"> that the proposed research is targeted to support growth in the relevant Industrial Transformation Priorit</w:t>
      </w:r>
      <w:r w:rsidR="002549B9">
        <w:rPr>
          <w:color w:val="auto"/>
        </w:rPr>
        <w:t>y areas</w:t>
      </w:r>
      <w:r>
        <w:rPr>
          <w:color w:val="auto"/>
        </w:rPr>
        <w:t>.</w:t>
      </w:r>
    </w:p>
    <w:p w14:paraId="6B2388AC" w14:textId="578E708D" w:rsidR="006A0A83" w:rsidRPr="008B2DF8" w:rsidRDefault="002549B9" w:rsidP="006A0A83">
      <w:pPr>
        <w:pStyle w:val="ListParagraph"/>
        <w:numPr>
          <w:ilvl w:val="0"/>
          <w:numId w:val="36"/>
        </w:numPr>
        <w:rPr>
          <w:color w:val="auto"/>
        </w:rPr>
      </w:pPr>
      <w:r>
        <w:rPr>
          <w:color w:val="auto"/>
        </w:rPr>
        <w:t>E</w:t>
      </w:r>
      <w:r w:rsidR="006A0A83">
        <w:rPr>
          <w:color w:val="auto"/>
        </w:rPr>
        <w:t xml:space="preserve">nsure </w:t>
      </w:r>
      <w:r>
        <w:rPr>
          <w:color w:val="auto"/>
        </w:rPr>
        <w:t xml:space="preserve">that industry expertise on ITRP Selection Advisory Committees </w:t>
      </w:r>
      <w:r w:rsidR="006A0A83">
        <w:rPr>
          <w:color w:val="auto"/>
        </w:rPr>
        <w:t>cover</w:t>
      </w:r>
      <w:r>
        <w:rPr>
          <w:color w:val="auto"/>
        </w:rPr>
        <w:t>s</w:t>
      </w:r>
      <w:r w:rsidR="006A0A83">
        <w:rPr>
          <w:color w:val="auto"/>
        </w:rPr>
        <w:t xml:space="preserve"> any </w:t>
      </w:r>
      <w:r w:rsidR="006A0A83" w:rsidRPr="008B2DF8">
        <w:rPr>
          <w:color w:val="auto"/>
        </w:rPr>
        <w:t>additiona</w:t>
      </w:r>
      <w:r w:rsidR="006A0A83">
        <w:rPr>
          <w:color w:val="auto"/>
        </w:rPr>
        <w:t>l priority areas identified for each round.</w:t>
      </w:r>
      <w:r w:rsidR="006A0A83" w:rsidRPr="008B2DF8">
        <w:rPr>
          <w:color w:val="auto"/>
        </w:rPr>
        <w:t xml:space="preserve"> </w:t>
      </w:r>
    </w:p>
    <w:p w14:paraId="4D3F17D5" w14:textId="77777777" w:rsidR="006A0A83" w:rsidRPr="006A00A9" w:rsidRDefault="006A0A83" w:rsidP="006A0A83"/>
    <w:p w14:paraId="08822F35" w14:textId="4BB23400" w:rsidR="006A0A83" w:rsidRDefault="00455005" w:rsidP="006A0A83">
      <w:r>
        <w:t>T</w:t>
      </w:r>
      <w:r w:rsidR="006A0A83">
        <w:t xml:space="preserve">he ARC </w:t>
      </w:r>
      <w:r>
        <w:t>sh</w:t>
      </w:r>
      <w:r w:rsidR="006A0A83">
        <w:t>ould continue to work closely with DIIS and the Growth Centres in relation to their interaction with the ITRP and continue to emphasise the value of engagement with the Growth Centres in its ITRP advice and outreach activities.</w:t>
      </w:r>
    </w:p>
    <w:p w14:paraId="0396D4E0" w14:textId="77777777" w:rsidR="00316FA8" w:rsidRDefault="00316FA8" w:rsidP="005816E7">
      <w:pPr>
        <w:rPr>
          <w:szCs w:val="24"/>
        </w:rPr>
      </w:pPr>
    </w:p>
    <w:p w14:paraId="46528ED3" w14:textId="4B251D80" w:rsidR="006456B1" w:rsidRDefault="006456B1" w:rsidP="006456B1">
      <w:pPr>
        <w:pStyle w:val="Heading2"/>
      </w:pPr>
      <w:bookmarkStart w:id="22" w:name="_Toc13057484"/>
      <w:r>
        <w:t xml:space="preserve">Recommendation 2: </w:t>
      </w:r>
      <w:r w:rsidR="000C4816">
        <w:t>Information</w:t>
      </w:r>
      <w:r>
        <w:t xml:space="preserve"> on HDR students and PDRs</w:t>
      </w:r>
      <w:bookmarkEnd w:id="22"/>
    </w:p>
    <w:p w14:paraId="409FD349" w14:textId="65D28CFC" w:rsidR="006456B1" w:rsidRDefault="006456B1" w:rsidP="005816E7">
      <w:pPr>
        <w:rPr>
          <w:szCs w:val="24"/>
        </w:rPr>
      </w:pPr>
    </w:p>
    <w:p w14:paraId="4266600F" w14:textId="77E89BEE" w:rsidR="00365D64" w:rsidRDefault="00365D64" w:rsidP="00365D64">
      <w:pPr>
        <w:rPr>
          <w:szCs w:val="24"/>
        </w:rPr>
      </w:pPr>
      <w:r>
        <w:rPr>
          <w:szCs w:val="24"/>
        </w:rPr>
        <w:t>T</w:t>
      </w:r>
      <w:r w:rsidRPr="00365D64">
        <w:rPr>
          <w:szCs w:val="24"/>
        </w:rPr>
        <w:t xml:space="preserve">he ARC </w:t>
      </w:r>
      <w:r>
        <w:rPr>
          <w:szCs w:val="24"/>
        </w:rPr>
        <w:t>should</w:t>
      </w:r>
      <w:r w:rsidRPr="00365D64">
        <w:rPr>
          <w:szCs w:val="24"/>
        </w:rPr>
        <w:t xml:space="preserve"> </w:t>
      </w:r>
      <w:r w:rsidRPr="00365D64">
        <w:rPr>
          <w:b/>
          <w:szCs w:val="24"/>
        </w:rPr>
        <w:t xml:space="preserve">collect additional data on HDR students and PDRs through </w:t>
      </w:r>
      <w:r w:rsidR="00E6406B">
        <w:rPr>
          <w:b/>
          <w:szCs w:val="24"/>
        </w:rPr>
        <w:t>Training Centre and Research Hub</w:t>
      </w:r>
      <w:r w:rsidRPr="00365D64">
        <w:rPr>
          <w:b/>
          <w:szCs w:val="24"/>
        </w:rPr>
        <w:t xml:space="preserve"> final reports</w:t>
      </w:r>
      <w:r>
        <w:rPr>
          <w:szCs w:val="24"/>
        </w:rPr>
        <w:t xml:space="preserve">. </w:t>
      </w:r>
    </w:p>
    <w:p w14:paraId="73750E6C" w14:textId="77777777" w:rsidR="00365D64" w:rsidRDefault="00365D64" w:rsidP="00365D64">
      <w:pPr>
        <w:rPr>
          <w:szCs w:val="24"/>
        </w:rPr>
      </w:pPr>
    </w:p>
    <w:p w14:paraId="265CB271" w14:textId="106819A5" w:rsidR="00365D64" w:rsidRPr="00365D64" w:rsidRDefault="00365D64" w:rsidP="00365D64">
      <w:pPr>
        <w:rPr>
          <w:szCs w:val="24"/>
        </w:rPr>
      </w:pPr>
      <w:r w:rsidRPr="00365D64">
        <w:rPr>
          <w:szCs w:val="24"/>
        </w:rPr>
        <w:t xml:space="preserve">To support improved monitoring and evaluation of ITRP support for industry focused research training, </w:t>
      </w:r>
      <w:r w:rsidR="00E6406B">
        <w:rPr>
          <w:szCs w:val="24"/>
        </w:rPr>
        <w:t>this</w:t>
      </w:r>
      <w:r w:rsidRPr="00365D64">
        <w:rPr>
          <w:szCs w:val="24"/>
        </w:rPr>
        <w:t xml:space="preserve"> should include data on the total number of HDR students and PDRs who participated over the life of the </w:t>
      </w:r>
      <w:r w:rsidR="009A6A80">
        <w:rPr>
          <w:szCs w:val="24"/>
        </w:rPr>
        <w:t>Training Centre or Research Hub</w:t>
      </w:r>
      <w:r w:rsidRPr="00365D64">
        <w:rPr>
          <w:szCs w:val="24"/>
        </w:rPr>
        <w:t>, the nature of their involvement, whether they completed their training, and whether they were supported by ARC funding, partner organisation contributions, or other sources.</w:t>
      </w:r>
    </w:p>
    <w:p w14:paraId="4D36615B" w14:textId="77777777" w:rsidR="00365D64" w:rsidRPr="00365D64" w:rsidRDefault="00365D64" w:rsidP="00365D64">
      <w:pPr>
        <w:rPr>
          <w:szCs w:val="24"/>
        </w:rPr>
      </w:pPr>
    </w:p>
    <w:p w14:paraId="3A41C4C3" w14:textId="1A7A5D33" w:rsidR="00365D64" w:rsidRDefault="00E6406B" w:rsidP="00365D64">
      <w:pPr>
        <w:rPr>
          <w:szCs w:val="24"/>
        </w:rPr>
      </w:pPr>
      <w:r>
        <w:rPr>
          <w:szCs w:val="24"/>
        </w:rPr>
        <w:t xml:space="preserve">In addition, the ARC </w:t>
      </w:r>
      <w:r w:rsidR="00365D64" w:rsidRPr="00365D64">
        <w:rPr>
          <w:szCs w:val="24"/>
        </w:rPr>
        <w:t xml:space="preserve">may wish to consider </w:t>
      </w:r>
      <w:r>
        <w:rPr>
          <w:szCs w:val="24"/>
        </w:rPr>
        <w:t>undertaking</w:t>
      </w:r>
      <w:r w:rsidR="00365D64" w:rsidRPr="00365D64">
        <w:rPr>
          <w:szCs w:val="24"/>
        </w:rPr>
        <w:t xml:space="preserve"> </w:t>
      </w:r>
      <w:r>
        <w:rPr>
          <w:szCs w:val="24"/>
        </w:rPr>
        <w:t xml:space="preserve">further survey research with HDR </w:t>
      </w:r>
      <w:r w:rsidR="00365D64" w:rsidRPr="00365D64">
        <w:rPr>
          <w:szCs w:val="24"/>
        </w:rPr>
        <w:t>students and PDRs in future</w:t>
      </w:r>
      <w:r>
        <w:rPr>
          <w:szCs w:val="24"/>
        </w:rPr>
        <w:t xml:space="preserve"> to better understand employment outcomes for ITRP research trainees (finding 1</w:t>
      </w:r>
      <w:r w:rsidR="00662BC2">
        <w:rPr>
          <w:szCs w:val="24"/>
        </w:rPr>
        <w:t>1</w:t>
      </w:r>
      <w:r>
        <w:rPr>
          <w:szCs w:val="24"/>
        </w:rPr>
        <w:t>)</w:t>
      </w:r>
      <w:r w:rsidR="00365D64" w:rsidRPr="00365D64">
        <w:rPr>
          <w:szCs w:val="24"/>
        </w:rPr>
        <w:t>.</w:t>
      </w:r>
    </w:p>
    <w:p w14:paraId="2469E7BF" w14:textId="77777777" w:rsidR="00E6406B" w:rsidRPr="00365D64" w:rsidRDefault="00E6406B" w:rsidP="00365D64">
      <w:pPr>
        <w:rPr>
          <w:szCs w:val="24"/>
        </w:rPr>
      </w:pPr>
    </w:p>
    <w:p w14:paraId="320291A1" w14:textId="4F1731A3" w:rsidR="006456B1" w:rsidRPr="005816E7" w:rsidRDefault="006456B1" w:rsidP="006456B1">
      <w:pPr>
        <w:pStyle w:val="Heading2"/>
      </w:pPr>
      <w:bookmarkStart w:id="23" w:name="_Toc13057485"/>
      <w:r>
        <w:t>Recommendation 3: Data and monitoring</w:t>
      </w:r>
      <w:bookmarkEnd w:id="23"/>
    </w:p>
    <w:p w14:paraId="54CB55CF" w14:textId="12DD74BF" w:rsidR="005816E7" w:rsidRPr="005816E7" w:rsidRDefault="005816E7" w:rsidP="005816E7">
      <w:pPr>
        <w:rPr>
          <w:szCs w:val="24"/>
        </w:rPr>
      </w:pPr>
    </w:p>
    <w:p w14:paraId="198A90CA" w14:textId="68B2DFF2" w:rsidR="005816E7" w:rsidRDefault="009A6A80" w:rsidP="005816E7">
      <w:pPr>
        <w:rPr>
          <w:szCs w:val="24"/>
        </w:rPr>
      </w:pPr>
      <w:r w:rsidRPr="009A6A80">
        <w:rPr>
          <w:szCs w:val="24"/>
        </w:rPr>
        <w:t xml:space="preserve">The ARC should </w:t>
      </w:r>
      <w:r w:rsidRPr="009A6A80">
        <w:rPr>
          <w:b/>
          <w:szCs w:val="24"/>
        </w:rPr>
        <w:t xml:space="preserve">consider </w:t>
      </w:r>
      <w:r>
        <w:rPr>
          <w:b/>
          <w:szCs w:val="24"/>
        </w:rPr>
        <w:t>using the</w:t>
      </w:r>
      <w:r w:rsidRPr="009A6A80">
        <w:rPr>
          <w:b/>
          <w:szCs w:val="24"/>
        </w:rPr>
        <w:t xml:space="preserve"> metrics </w:t>
      </w:r>
      <w:r>
        <w:rPr>
          <w:b/>
          <w:szCs w:val="24"/>
        </w:rPr>
        <w:t>provided</w:t>
      </w:r>
      <w:r w:rsidRPr="009A6A80">
        <w:rPr>
          <w:b/>
          <w:szCs w:val="24"/>
        </w:rPr>
        <w:t xml:space="preserve"> in this </w:t>
      </w:r>
      <w:r>
        <w:rPr>
          <w:b/>
          <w:szCs w:val="24"/>
        </w:rPr>
        <w:t>evaluation’s analysis</w:t>
      </w:r>
      <w:r w:rsidRPr="009A6A80">
        <w:rPr>
          <w:b/>
          <w:szCs w:val="24"/>
        </w:rPr>
        <w:t xml:space="preserve"> as benchmarks to monitor performance of the ITRP and inform improvements</w:t>
      </w:r>
      <w:r>
        <w:rPr>
          <w:szCs w:val="24"/>
        </w:rPr>
        <w:t>.</w:t>
      </w:r>
    </w:p>
    <w:p w14:paraId="172873F6" w14:textId="78EA4EC9" w:rsidR="009A6A80" w:rsidRPr="00645663" w:rsidRDefault="009A6A80" w:rsidP="005816E7">
      <w:pPr>
        <w:rPr>
          <w:szCs w:val="24"/>
        </w:rPr>
      </w:pPr>
    </w:p>
    <w:p w14:paraId="0C60D2D2" w14:textId="2D84C260" w:rsidR="00422C14" w:rsidRPr="00645663" w:rsidRDefault="00422C14" w:rsidP="005816E7">
      <w:pPr>
        <w:rPr>
          <w:szCs w:val="24"/>
        </w:rPr>
      </w:pPr>
      <w:r w:rsidRPr="00645663">
        <w:rPr>
          <w:szCs w:val="24"/>
        </w:rPr>
        <w:t>Useful metrics from existing ARC data collections may include:</w:t>
      </w:r>
    </w:p>
    <w:p w14:paraId="29C08808" w14:textId="713B0122" w:rsidR="00422C14" w:rsidRPr="00645663" w:rsidRDefault="00422C14" w:rsidP="00422C14">
      <w:pPr>
        <w:pStyle w:val="ListParagraph"/>
        <w:numPr>
          <w:ilvl w:val="0"/>
          <w:numId w:val="42"/>
        </w:numPr>
        <w:rPr>
          <w:color w:val="auto"/>
          <w:szCs w:val="24"/>
        </w:rPr>
      </w:pPr>
      <w:r w:rsidRPr="00645663">
        <w:rPr>
          <w:color w:val="auto"/>
          <w:szCs w:val="24"/>
        </w:rPr>
        <w:t>number of partner organisations involved in funded projects (finding 3)</w:t>
      </w:r>
    </w:p>
    <w:p w14:paraId="22AB9126" w14:textId="60C5B4ED" w:rsidR="00422C14" w:rsidRPr="00645663" w:rsidRDefault="00422C14" w:rsidP="00422C14">
      <w:pPr>
        <w:pStyle w:val="ListParagraph"/>
        <w:numPr>
          <w:ilvl w:val="0"/>
          <w:numId w:val="42"/>
        </w:numPr>
        <w:rPr>
          <w:color w:val="auto"/>
          <w:szCs w:val="24"/>
        </w:rPr>
      </w:pPr>
      <w:r w:rsidRPr="00645663">
        <w:rPr>
          <w:color w:val="auto"/>
          <w:szCs w:val="24"/>
        </w:rPr>
        <w:t>types of partner organisations involved in funded projects (finding 4)</w:t>
      </w:r>
    </w:p>
    <w:p w14:paraId="1BBAD6B2" w14:textId="56A5B222" w:rsidR="00422C14" w:rsidRPr="00645663" w:rsidRDefault="00422C14" w:rsidP="00422C14">
      <w:pPr>
        <w:pStyle w:val="ListParagraph"/>
        <w:numPr>
          <w:ilvl w:val="0"/>
          <w:numId w:val="42"/>
        </w:numPr>
        <w:rPr>
          <w:color w:val="auto"/>
          <w:szCs w:val="24"/>
        </w:rPr>
      </w:pPr>
      <w:r w:rsidRPr="00645663">
        <w:rPr>
          <w:color w:val="auto"/>
          <w:szCs w:val="24"/>
        </w:rPr>
        <w:t>international partner organisations involved in funded projects (finding 5)</w:t>
      </w:r>
    </w:p>
    <w:p w14:paraId="2DAFB571" w14:textId="5BD0537B" w:rsidR="00422C14" w:rsidRPr="00645663" w:rsidRDefault="00422C14" w:rsidP="00422C14">
      <w:pPr>
        <w:pStyle w:val="ListParagraph"/>
        <w:numPr>
          <w:ilvl w:val="0"/>
          <w:numId w:val="42"/>
        </w:numPr>
        <w:rPr>
          <w:color w:val="auto"/>
          <w:szCs w:val="24"/>
        </w:rPr>
      </w:pPr>
      <w:r w:rsidRPr="00645663">
        <w:rPr>
          <w:color w:val="auto"/>
          <w:szCs w:val="24"/>
        </w:rPr>
        <w:t xml:space="preserve">value of partner organisation cash and </w:t>
      </w:r>
      <w:proofErr w:type="gramStart"/>
      <w:r w:rsidRPr="00645663">
        <w:rPr>
          <w:color w:val="auto"/>
          <w:szCs w:val="24"/>
        </w:rPr>
        <w:t>in kind</w:t>
      </w:r>
      <w:proofErr w:type="gramEnd"/>
      <w:r w:rsidRPr="00645663">
        <w:rPr>
          <w:color w:val="auto"/>
          <w:szCs w:val="24"/>
        </w:rPr>
        <w:t xml:space="preserve"> contributions (finding 6).</w:t>
      </w:r>
    </w:p>
    <w:p w14:paraId="621F6B53" w14:textId="1B1680F5" w:rsidR="00422C14" w:rsidRPr="00645663" w:rsidRDefault="00422C14" w:rsidP="00422C14">
      <w:pPr>
        <w:rPr>
          <w:szCs w:val="24"/>
        </w:rPr>
      </w:pPr>
    </w:p>
    <w:p w14:paraId="55029BAB" w14:textId="145C36D2" w:rsidR="005816E7" w:rsidRPr="00645663" w:rsidRDefault="00394D86" w:rsidP="005F2428">
      <w:pPr>
        <w:pStyle w:val="Heading2"/>
      </w:pPr>
      <w:bookmarkStart w:id="24" w:name="_Toc13057486"/>
      <w:r w:rsidRPr="00645663">
        <w:t xml:space="preserve">Recommendation 4: </w:t>
      </w:r>
      <w:r w:rsidR="005F2428">
        <w:t>E</w:t>
      </w:r>
      <w:r w:rsidRPr="00645663">
        <w:t>ngagement</w:t>
      </w:r>
      <w:r w:rsidR="005F2428">
        <w:t>,</w:t>
      </w:r>
      <w:r w:rsidRPr="00645663">
        <w:t xml:space="preserve"> advice</w:t>
      </w:r>
      <w:r w:rsidR="005F2428" w:rsidRPr="005F2428">
        <w:t xml:space="preserve"> </w:t>
      </w:r>
      <w:r w:rsidR="005F2428">
        <w:t>and o</w:t>
      </w:r>
      <w:r w:rsidR="005F2428" w:rsidRPr="00645663">
        <w:t>utreach</w:t>
      </w:r>
      <w:bookmarkEnd w:id="24"/>
    </w:p>
    <w:p w14:paraId="3851EE8E" w14:textId="56EB9402" w:rsidR="005816E7" w:rsidRDefault="005816E7">
      <w:pPr>
        <w:rPr>
          <w:szCs w:val="24"/>
        </w:rPr>
      </w:pPr>
    </w:p>
    <w:p w14:paraId="2699E64C" w14:textId="1CF92857" w:rsidR="005816E7" w:rsidRPr="00160B54" w:rsidRDefault="005F2428">
      <w:pPr>
        <w:rPr>
          <w:szCs w:val="24"/>
        </w:rPr>
      </w:pPr>
      <w:r w:rsidRPr="00160B54">
        <w:rPr>
          <w:szCs w:val="24"/>
        </w:rPr>
        <w:t xml:space="preserve">The ARC should </w:t>
      </w:r>
      <w:r w:rsidRPr="00160B54">
        <w:rPr>
          <w:b/>
          <w:szCs w:val="24"/>
        </w:rPr>
        <w:t xml:space="preserve">address issues highlighted in this evaluation </w:t>
      </w:r>
      <w:r w:rsidR="00D328E7" w:rsidRPr="00160B54">
        <w:rPr>
          <w:b/>
          <w:szCs w:val="24"/>
        </w:rPr>
        <w:t>in</w:t>
      </w:r>
      <w:r w:rsidRPr="00160B54">
        <w:rPr>
          <w:b/>
          <w:szCs w:val="24"/>
        </w:rPr>
        <w:t xml:space="preserve"> ongoing ITRP stakeholder engagement, advice and outreach</w:t>
      </w:r>
      <w:r w:rsidRPr="00160B54">
        <w:rPr>
          <w:szCs w:val="24"/>
        </w:rPr>
        <w:t>.</w:t>
      </w:r>
    </w:p>
    <w:p w14:paraId="1FC5FA02" w14:textId="34EF2C92" w:rsidR="005F2428" w:rsidRPr="00160B54" w:rsidRDefault="005F2428">
      <w:pPr>
        <w:rPr>
          <w:szCs w:val="24"/>
        </w:rPr>
      </w:pPr>
    </w:p>
    <w:p w14:paraId="56831D36" w14:textId="77777777" w:rsidR="00662BC2" w:rsidRPr="00160B54" w:rsidRDefault="00E90736" w:rsidP="00662BC2">
      <w:pPr>
        <w:rPr>
          <w:szCs w:val="24"/>
        </w:rPr>
      </w:pPr>
      <w:r w:rsidRPr="00160B54">
        <w:rPr>
          <w:szCs w:val="24"/>
        </w:rPr>
        <w:t>In particular, the evaluation</w:t>
      </w:r>
      <w:r w:rsidR="00662BC2" w:rsidRPr="00160B54">
        <w:rPr>
          <w:szCs w:val="24"/>
        </w:rPr>
        <w:t>’s findings can help to inform the ARC’s</w:t>
      </w:r>
      <w:r w:rsidRPr="00160B54">
        <w:rPr>
          <w:szCs w:val="24"/>
        </w:rPr>
        <w:t xml:space="preserve"> advice to stakeholders</w:t>
      </w:r>
      <w:r w:rsidR="00662BC2" w:rsidRPr="00160B54">
        <w:rPr>
          <w:szCs w:val="24"/>
        </w:rPr>
        <w:t xml:space="preserve"> </w:t>
      </w:r>
      <w:proofErr w:type="gramStart"/>
      <w:r w:rsidR="00662BC2" w:rsidRPr="00160B54">
        <w:rPr>
          <w:szCs w:val="24"/>
        </w:rPr>
        <w:t>in particular areas</w:t>
      </w:r>
      <w:proofErr w:type="gramEnd"/>
      <w:r w:rsidR="00662BC2" w:rsidRPr="00160B54">
        <w:rPr>
          <w:szCs w:val="24"/>
        </w:rPr>
        <w:t>, such as:</w:t>
      </w:r>
    </w:p>
    <w:p w14:paraId="3C798F65" w14:textId="0858B83E" w:rsidR="00662BC2" w:rsidRPr="00160B54" w:rsidRDefault="00594FBF" w:rsidP="00662BC2">
      <w:pPr>
        <w:pStyle w:val="ListParagraph"/>
        <w:numPr>
          <w:ilvl w:val="0"/>
          <w:numId w:val="49"/>
        </w:numPr>
        <w:rPr>
          <w:color w:val="auto"/>
          <w:szCs w:val="24"/>
        </w:rPr>
      </w:pPr>
      <w:r>
        <w:rPr>
          <w:color w:val="auto"/>
          <w:szCs w:val="24"/>
        </w:rPr>
        <w:t xml:space="preserve">finding the right partners, including </w:t>
      </w:r>
      <w:r w:rsidR="00662BC2" w:rsidRPr="00160B54">
        <w:rPr>
          <w:color w:val="auto"/>
          <w:szCs w:val="24"/>
        </w:rPr>
        <w:t xml:space="preserve">the importance of managing expectations and the dimensions of collaboration </w:t>
      </w:r>
      <w:r>
        <w:rPr>
          <w:color w:val="auto"/>
          <w:szCs w:val="24"/>
        </w:rPr>
        <w:t xml:space="preserve">involved </w:t>
      </w:r>
      <w:r w:rsidR="00662BC2" w:rsidRPr="00160B54">
        <w:rPr>
          <w:color w:val="auto"/>
          <w:szCs w:val="24"/>
        </w:rPr>
        <w:t>under the ITRP (findings 8, 14)</w:t>
      </w:r>
    </w:p>
    <w:p w14:paraId="75000487" w14:textId="6926CFC4" w:rsidR="00662BC2" w:rsidRPr="00160B54" w:rsidRDefault="00662BC2" w:rsidP="00662BC2">
      <w:pPr>
        <w:pStyle w:val="ListParagraph"/>
        <w:numPr>
          <w:ilvl w:val="0"/>
          <w:numId w:val="49"/>
        </w:numPr>
        <w:rPr>
          <w:color w:val="auto"/>
          <w:szCs w:val="24"/>
        </w:rPr>
      </w:pPr>
      <w:r w:rsidRPr="00160B54">
        <w:rPr>
          <w:color w:val="auto"/>
          <w:szCs w:val="24"/>
        </w:rPr>
        <w:t xml:space="preserve">the views of HDR students and </w:t>
      </w:r>
      <w:r w:rsidR="00160B54" w:rsidRPr="00160B54">
        <w:rPr>
          <w:color w:val="auto"/>
          <w:szCs w:val="24"/>
        </w:rPr>
        <w:t>PDRs in relation to research training (finding 13)</w:t>
      </w:r>
    </w:p>
    <w:p w14:paraId="10FD78A2" w14:textId="4A5227B1" w:rsidR="00160B54" w:rsidRPr="00160B54" w:rsidRDefault="00160B54" w:rsidP="00662BC2">
      <w:pPr>
        <w:pStyle w:val="ListParagraph"/>
        <w:numPr>
          <w:ilvl w:val="0"/>
          <w:numId w:val="49"/>
        </w:numPr>
        <w:rPr>
          <w:color w:val="auto"/>
          <w:szCs w:val="24"/>
        </w:rPr>
      </w:pPr>
      <w:r w:rsidRPr="00160B54">
        <w:rPr>
          <w:color w:val="auto"/>
          <w:szCs w:val="24"/>
        </w:rPr>
        <w:t>addressing key challenges in the ITRP application and establishment processes (findings 12 and 26).</w:t>
      </w:r>
    </w:p>
    <w:p w14:paraId="129EAD67" w14:textId="3C1D3DE9" w:rsidR="00E90736" w:rsidRPr="00160B54" w:rsidRDefault="00E90736">
      <w:pPr>
        <w:rPr>
          <w:szCs w:val="24"/>
        </w:rPr>
      </w:pPr>
    </w:p>
    <w:p w14:paraId="48DCF427" w14:textId="078524ED" w:rsidR="00E90736" w:rsidRPr="00160B54" w:rsidRDefault="00E90736">
      <w:pPr>
        <w:rPr>
          <w:szCs w:val="24"/>
        </w:rPr>
      </w:pPr>
      <w:r w:rsidRPr="00160B54">
        <w:rPr>
          <w:szCs w:val="24"/>
        </w:rPr>
        <w:t>In addition, there may be opportunities for the ARC to use regular and ongoing engagement mechanisms to seek further information</w:t>
      </w:r>
      <w:r w:rsidR="003C55E7">
        <w:rPr>
          <w:szCs w:val="24"/>
        </w:rPr>
        <w:t xml:space="preserve"> and feedback</w:t>
      </w:r>
      <w:r w:rsidRPr="00160B54">
        <w:rPr>
          <w:szCs w:val="24"/>
        </w:rPr>
        <w:t xml:space="preserve"> from stakeholders on issues </w:t>
      </w:r>
      <w:r w:rsidR="00160B54">
        <w:rPr>
          <w:szCs w:val="24"/>
        </w:rPr>
        <w:t xml:space="preserve">raised in this evaluation, </w:t>
      </w:r>
      <w:r w:rsidRPr="00160B54">
        <w:rPr>
          <w:szCs w:val="24"/>
        </w:rPr>
        <w:t>such as:</w:t>
      </w:r>
    </w:p>
    <w:p w14:paraId="608B59D9" w14:textId="6BBAF8F5" w:rsidR="00E90736" w:rsidRDefault="00E90736" w:rsidP="00E90736">
      <w:pPr>
        <w:pStyle w:val="ListParagraph"/>
        <w:numPr>
          <w:ilvl w:val="0"/>
          <w:numId w:val="46"/>
        </w:numPr>
        <w:rPr>
          <w:color w:val="auto"/>
          <w:szCs w:val="24"/>
        </w:rPr>
      </w:pPr>
      <w:r w:rsidRPr="00160B54">
        <w:rPr>
          <w:color w:val="auto"/>
          <w:szCs w:val="24"/>
        </w:rPr>
        <w:t>the initiation of collaboration under the ITRP (finding 7)</w:t>
      </w:r>
    </w:p>
    <w:p w14:paraId="7EEDAFF5" w14:textId="42054243" w:rsidR="00160B54" w:rsidRPr="00160B54" w:rsidRDefault="00160B54" w:rsidP="00E90736">
      <w:pPr>
        <w:pStyle w:val="ListParagraph"/>
        <w:numPr>
          <w:ilvl w:val="0"/>
          <w:numId w:val="46"/>
        </w:numPr>
        <w:rPr>
          <w:color w:val="auto"/>
          <w:szCs w:val="24"/>
        </w:rPr>
      </w:pPr>
      <w:r>
        <w:rPr>
          <w:color w:val="auto"/>
          <w:szCs w:val="24"/>
        </w:rPr>
        <w:t>issues in the retention of partner organisations (finding 9)</w:t>
      </w:r>
    </w:p>
    <w:p w14:paraId="7396599B" w14:textId="4D90D9E7" w:rsidR="00E90736" w:rsidRPr="00160B54" w:rsidRDefault="00160B54" w:rsidP="00E90736">
      <w:pPr>
        <w:pStyle w:val="ListParagraph"/>
        <w:numPr>
          <w:ilvl w:val="0"/>
          <w:numId w:val="46"/>
        </w:numPr>
        <w:rPr>
          <w:color w:val="auto"/>
          <w:szCs w:val="24"/>
        </w:rPr>
      </w:pPr>
      <w:r>
        <w:rPr>
          <w:color w:val="auto"/>
          <w:szCs w:val="24"/>
        </w:rPr>
        <w:t>the usefulness of ARC advice and information (including, for example, in relation to the role of Growth Centres in the process) (finding 18).</w:t>
      </w:r>
    </w:p>
    <w:p w14:paraId="46A3E0E9" w14:textId="77777777" w:rsidR="00594FBF" w:rsidRDefault="00594FBF">
      <w:pPr>
        <w:rPr>
          <w:szCs w:val="24"/>
        </w:rPr>
      </w:pPr>
    </w:p>
    <w:p w14:paraId="5F3DC7C4" w14:textId="5DC76CC0" w:rsidR="00BE3BED" w:rsidRDefault="00BE3BED">
      <w:pPr>
        <w:rPr>
          <w:szCs w:val="24"/>
        </w:rPr>
      </w:pPr>
      <w:r>
        <w:rPr>
          <w:szCs w:val="24"/>
        </w:rPr>
        <w:br w:type="page"/>
      </w:r>
    </w:p>
    <w:p w14:paraId="43FFA067" w14:textId="53D9E53B" w:rsidR="00AA6C5F" w:rsidRDefault="0000635C" w:rsidP="00AA6C5F">
      <w:pPr>
        <w:pStyle w:val="Heading1"/>
      </w:pPr>
      <w:bookmarkStart w:id="25" w:name="_Toc13057487"/>
      <w:r>
        <w:t>A</w:t>
      </w:r>
      <w:r w:rsidR="006765FC">
        <w:t>PPENDIX</w:t>
      </w:r>
      <w:r>
        <w:t xml:space="preserve"> 1: </w:t>
      </w:r>
      <w:r w:rsidR="006765FC">
        <w:t xml:space="preserve">Analysis of </w:t>
      </w:r>
      <w:r>
        <w:t>ARC data and information</w:t>
      </w:r>
      <w:bookmarkEnd w:id="25"/>
    </w:p>
    <w:p w14:paraId="6CE8E6EE" w14:textId="67DDA87B" w:rsidR="00AA6C5F" w:rsidRDefault="00AA6C5F" w:rsidP="005D392C"/>
    <w:p w14:paraId="565117C9" w14:textId="0601048C" w:rsidR="00DB308D" w:rsidRPr="006A2C6B" w:rsidRDefault="001F167F" w:rsidP="005D392C">
      <w:r w:rsidRPr="00DB308D">
        <w:t xml:space="preserve">This </w:t>
      </w:r>
      <w:r w:rsidR="00E666F4">
        <w:t>appendix</w:t>
      </w:r>
      <w:r w:rsidRPr="00DB308D">
        <w:t xml:space="preserve"> </w:t>
      </w:r>
      <w:r w:rsidR="004B4EF3">
        <w:t xml:space="preserve">provides </w:t>
      </w:r>
      <w:r w:rsidRPr="00DB308D">
        <w:t xml:space="preserve">analysis </w:t>
      </w:r>
      <w:r w:rsidR="00DB308D">
        <w:t xml:space="preserve">of ARC documents, data and information </w:t>
      </w:r>
      <w:r w:rsidR="00F32E46">
        <w:t>on</w:t>
      </w:r>
      <w:r w:rsidR="00DB308D">
        <w:t xml:space="preserve"> ITRP</w:t>
      </w:r>
      <w:r w:rsidR="00E666F4">
        <w:t xml:space="preserve"> process</w:t>
      </w:r>
      <w:r w:rsidR="00F32E46">
        <w:t>es</w:t>
      </w:r>
      <w:r w:rsidR="00E666F4">
        <w:t xml:space="preserve"> and priorities</w:t>
      </w:r>
      <w:r w:rsidR="00F32E46">
        <w:t xml:space="preserve">. </w:t>
      </w:r>
      <w:r w:rsidR="00F32E46" w:rsidRPr="00F32E46">
        <w:t xml:space="preserve">It </w:t>
      </w:r>
      <w:r w:rsidR="00801073">
        <w:t>addresses</w:t>
      </w:r>
      <w:r w:rsidR="001A6015">
        <w:t xml:space="preserve"> </w:t>
      </w:r>
      <w:r w:rsidR="00801073">
        <w:t xml:space="preserve">a </w:t>
      </w:r>
      <w:r w:rsidR="001A6015">
        <w:t xml:space="preserve">number of </w:t>
      </w:r>
      <w:r w:rsidR="00801073">
        <w:t>particular</w:t>
      </w:r>
      <w:r w:rsidR="001A6015">
        <w:t xml:space="preserve"> issues raised in</w:t>
      </w:r>
      <w:r w:rsidR="00F32E46">
        <w:t xml:space="preserve"> </w:t>
      </w:r>
      <w:r w:rsidR="00E666F4">
        <w:t xml:space="preserve">the </w:t>
      </w:r>
      <w:r w:rsidR="004B4EF3">
        <w:t xml:space="preserve">evaluation </w:t>
      </w:r>
      <w:proofErr w:type="gramStart"/>
      <w:r w:rsidR="004B4EF3">
        <w:t>questions</w:t>
      </w:r>
      <w:r w:rsidR="001A6015">
        <w:t>, but</w:t>
      </w:r>
      <w:proofErr w:type="gramEnd"/>
      <w:r w:rsidR="001A6015">
        <w:t xml:space="preserve"> does not comprehensively address all of the evaluation questions. It </w:t>
      </w:r>
      <w:r w:rsidR="005E6118">
        <w:t xml:space="preserve">is intended to complement—and </w:t>
      </w:r>
      <w:r w:rsidR="001A6015">
        <w:t xml:space="preserve">should </w:t>
      </w:r>
      <w:r w:rsidR="001A6015" w:rsidRPr="006A2C6B">
        <w:t xml:space="preserve">be </w:t>
      </w:r>
      <w:r w:rsidR="00E666F4" w:rsidRPr="006A2C6B">
        <w:t>read in conjunction</w:t>
      </w:r>
      <w:r w:rsidR="00F32E46" w:rsidRPr="006A2C6B">
        <w:t xml:space="preserve"> with</w:t>
      </w:r>
      <w:r w:rsidR="005E6118" w:rsidRPr="006A2C6B">
        <w:t>—</w:t>
      </w:r>
      <w:r w:rsidR="00E666F4" w:rsidRPr="006A2C6B">
        <w:t>the survey and interview find</w:t>
      </w:r>
      <w:r w:rsidR="001A6015" w:rsidRPr="006A2C6B">
        <w:t xml:space="preserve">ings report by ARTD Consultants, in </w:t>
      </w:r>
      <w:r w:rsidR="00E666F4" w:rsidRPr="006A2C6B">
        <w:t>Appendix 2</w:t>
      </w:r>
      <w:r w:rsidR="00790333" w:rsidRPr="006A2C6B">
        <w:t>.</w:t>
      </w:r>
    </w:p>
    <w:p w14:paraId="33255F90" w14:textId="194C2CA7" w:rsidR="00DB308D" w:rsidRPr="006A2C6B" w:rsidRDefault="00DB308D" w:rsidP="005D392C"/>
    <w:p w14:paraId="522DCBAF" w14:textId="71FDCDAD" w:rsidR="00C71693" w:rsidRDefault="00C71693" w:rsidP="005D392C">
      <w:r w:rsidRPr="006A2C6B">
        <w:t xml:space="preserve">The </w:t>
      </w:r>
      <w:r w:rsidR="006A1A58" w:rsidRPr="006A2C6B">
        <w:t xml:space="preserve">analysis </w:t>
      </w:r>
      <w:r w:rsidR="00494AE3" w:rsidRPr="006A2C6B">
        <w:t xml:space="preserve">presented here </w:t>
      </w:r>
      <w:r w:rsidRPr="006A2C6B">
        <w:t>include</w:t>
      </w:r>
      <w:r w:rsidR="006A1A58" w:rsidRPr="006A2C6B">
        <w:t>s</w:t>
      </w:r>
      <w:r w:rsidR="00C51B72" w:rsidRPr="006A2C6B">
        <w:t xml:space="preserve"> application, outcome</w:t>
      </w:r>
      <w:r w:rsidR="00C51B72">
        <w:t xml:space="preserve">, funding, partner organisation and other data from </w:t>
      </w:r>
      <w:r>
        <w:t xml:space="preserve">all </w:t>
      </w:r>
      <w:r w:rsidR="00C51B72">
        <w:t xml:space="preserve">ITRP </w:t>
      </w:r>
      <w:r>
        <w:t xml:space="preserve">rounds from the </w:t>
      </w:r>
      <w:r w:rsidR="00C51B72">
        <w:t>commencement</w:t>
      </w:r>
      <w:r>
        <w:t xml:space="preserve"> of the scheme in 2012 to the </w:t>
      </w:r>
      <w:r w:rsidR="00DF691D">
        <w:t xml:space="preserve">most recently </w:t>
      </w:r>
      <w:r>
        <w:t xml:space="preserve">completed round in 2018. </w:t>
      </w:r>
      <w:r w:rsidR="00C51B72">
        <w:t xml:space="preserve">The 2019 round </w:t>
      </w:r>
      <w:r w:rsidR="00494AE3">
        <w:t xml:space="preserve">was underway </w:t>
      </w:r>
      <w:r w:rsidR="006A1A58">
        <w:t xml:space="preserve">but </w:t>
      </w:r>
      <w:r w:rsidR="00C51B72">
        <w:t>had not been completed</w:t>
      </w:r>
      <w:r w:rsidR="00E55690" w:rsidRPr="00E55690">
        <w:t xml:space="preserve"> </w:t>
      </w:r>
      <w:r w:rsidR="00E55690">
        <w:t>at the time of this report’s preparation</w:t>
      </w:r>
      <w:r w:rsidR="009345C4">
        <w:t>. Data from that round has</w:t>
      </w:r>
      <w:r w:rsidR="00C51B72">
        <w:t xml:space="preserve"> therefore not</w:t>
      </w:r>
      <w:r w:rsidR="009345C4">
        <w:t xml:space="preserve"> been</w:t>
      </w:r>
      <w:r w:rsidR="00C51B72">
        <w:t xml:space="preserve"> included</w:t>
      </w:r>
      <w:r w:rsidR="009345C4">
        <w:t>, but the analysis does include reference to key program documents for that round as they are the most recent available.</w:t>
      </w:r>
    </w:p>
    <w:p w14:paraId="5FDA7AD4" w14:textId="6A2736F2" w:rsidR="00C71693" w:rsidRDefault="00C71693" w:rsidP="005D392C"/>
    <w:p w14:paraId="7D73CF02" w14:textId="411A2737" w:rsidR="00E154B4" w:rsidRDefault="00E55690" w:rsidP="005D392C">
      <w:r>
        <w:t xml:space="preserve">The analysis </w:t>
      </w:r>
      <w:r w:rsidR="00336571">
        <w:t>involves</w:t>
      </w:r>
      <w:r>
        <w:t xml:space="preserve"> data for both ITRP schemes (ITRH and ITTC), with ITRH rounds signified by an ‘H’ (for example</w:t>
      </w:r>
      <w:r w:rsidR="00B75365">
        <w:t>,</w:t>
      </w:r>
      <w:r>
        <w:t xml:space="preserve"> 201</w:t>
      </w:r>
      <w:r w:rsidR="00336571">
        <w:t>8</w:t>
      </w:r>
      <w:r>
        <w:t xml:space="preserve"> H) and ITTC rounds signified by a ‘C’ (for example</w:t>
      </w:r>
      <w:r w:rsidR="00B75365">
        <w:t xml:space="preserve">, </w:t>
      </w:r>
      <w:r>
        <w:t>201</w:t>
      </w:r>
      <w:r w:rsidR="00336571">
        <w:t>8</w:t>
      </w:r>
      <w:r>
        <w:t xml:space="preserve"> C). </w:t>
      </w:r>
      <w:r w:rsidR="00093E70">
        <w:t>Further, t</w:t>
      </w:r>
      <w:r>
        <w:t>wo ITRH rounds</w:t>
      </w:r>
      <w:r w:rsidR="00336571">
        <w:t xml:space="preserve"> were conducted</w:t>
      </w:r>
      <w:r w:rsidR="008A20A8">
        <w:t xml:space="preserve"> </w:t>
      </w:r>
      <w:r w:rsidR="005A0FE8">
        <w:t>for</w:t>
      </w:r>
      <w:r w:rsidR="008A20A8">
        <w:t xml:space="preserve"> 2013</w:t>
      </w:r>
      <w:r w:rsidR="00093E70">
        <w:t>, and</w:t>
      </w:r>
      <w:r w:rsidR="00BE35A6">
        <w:t xml:space="preserve"> </w:t>
      </w:r>
      <w:r w:rsidR="008A20A8">
        <w:t>are</w:t>
      </w:r>
      <w:r w:rsidR="00336571">
        <w:t xml:space="preserve"> identified </w:t>
      </w:r>
      <w:r w:rsidR="00093E70">
        <w:t xml:space="preserve">in the analysis </w:t>
      </w:r>
      <w:r w:rsidR="00336571">
        <w:t>as 2013 H1 and 2013 H2.</w:t>
      </w:r>
    </w:p>
    <w:p w14:paraId="1B97C86F" w14:textId="77777777" w:rsidR="00F32E46" w:rsidRDefault="00F32E46" w:rsidP="005D392C"/>
    <w:p w14:paraId="13D7277F" w14:textId="6F873428" w:rsidR="009706EA" w:rsidRDefault="00441FCB" w:rsidP="009706EA">
      <w:pPr>
        <w:pStyle w:val="Heading2"/>
      </w:pPr>
      <w:bookmarkStart w:id="26" w:name="_Toc13057488"/>
      <w:r>
        <w:t>ITRP support for industry focused research collaboration</w:t>
      </w:r>
      <w:bookmarkEnd w:id="26"/>
    </w:p>
    <w:p w14:paraId="4E046688" w14:textId="79BF95D5" w:rsidR="005D392C" w:rsidRDefault="005D392C" w:rsidP="005D392C"/>
    <w:p w14:paraId="45E3F9C6" w14:textId="290AE0D6" w:rsidR="00D837FF" w:rsidRDefault="00892692" w:rsidP="00892692">
      <w:pPr>
        <w:pStyle w:val="Heading3"/>
      </w:pPr>
      <w:r>
        <w:t xml:space="preserve">Applications and </w:t>
      </w:r>
      <w:r w:rsidR="00EE1258">
        <w:t>funding</w:t>
      </w:r>
    </w:p>
    <w:p w14:paraId="6C862268" w14:textId="7F86144B" w:rsidR="00892692" w:rsidRDefault="00892692" w:rsidP="005D392C"/>
    <w:p w14:paraId="4E7510B7" w14:textId="7918FD37" w:rsidR="0091788B" w:rsidRDefault="00892692" w:rsidP="00892692">
      <w:r w:rsidRPr="00892692">
        <w:t xml:space="preserve">Among ARC schemes, the ITRP provides relatively </w:t>
      </w:r>
      <w:proofErr w:type="gramStart"/>
      <w:r w:rsidRPr="00892692">
        <w:t>large scale</w:t>
      </w:r>
      <w:proofErr w:type="gramEnd"/>
      <w:r w:rsidRPr="00892692">
        <w:t xml:space="preserve"> support to a small number of projects. </w:t>
      </w:r>
      <w:r w:rsidR="0091788B">
        <w:t>A total of 30 Research Hubs and 38 Training Centres have been funded under the ITRP since its inception</w:t>
      </w:r>
      <w:r w:rsidR="00A413D4">
        <w:t xml:space="preserve">. </w:t>
      </w:r>
    </w:p>
    <w:p w14:paraId="5ED5E126" w14:textId="77777777" w:rsidR="00A413D4" w:rsidRDefault="00A413D4" w:rsidP="00892692"/>
    <w:p w14:paraId="2F679D7C" w14:textId="70E962EE" w:rsidR="00BB49C5" w:rsidRDefault="0091788B" w:rsidP="005D392C">
      <w:r>
        <w:t xml:space="preserve">As </w:t>
      </w:r>
      <w:r w:rsidRPr="006A2C6B">
        <w:t xml:space="preserve">shown in </w:t>
      </w:r>
      <w:hyperlink w:anchor="Figure1" w:history="1">
        <w:r w:rsidRPr="005E5526">
          <w:rPr>
            <w:rStyle w:val="Hyperlink"/>
          </w:rPr>
          <w:t xml:space="preserve">Figure </w:t>
        </w:r>
        <w:r w:rsidR="006A2C6B" w:rsidRPr="005E5526">
          <w:rPr>
            <w:rStyle w:val="Hyperlink"/>
          </w:rPr>
          <w:t>1</w:t>
        </w:r>
      </w:hyperlink>
      <w:r w:rsidRPr="006A2C6B">
        <w:t>, the number</w:t>
      </w:r>
      <w:r>
        <w:t xml:space="preserve"> of </w:t>
      </w:r>
      <w:r w:rsidR="00A413D4">
        <w:t xml:space="preserve">ITRP </w:t>
      </w:r>
      <w:r>
        <w:t xml:space="preserve">applications </w:t>
      </w:r>
      <w:r w:rsidR="00A413D4">
        <w:t xml:space="preserve">submitted </w:t>
      </w:r>
      <w:r>
        <w:t xml:space="preserve">has fluctuated </w:t>
      </w:r>
      <w:r w:rsidR="00842AE1">
        <w:t xml:space="preserve">between </w:t>
      </w:r>
      <w:r>
        <w:t xml:space="preserve">relatively </w:t>
      </w:r>
      <w:r w:rsidR="002640A5">
        <w:t>small values, particularly</w:t>
      </w:r>
      <w:r w:rsidR="00102DA9">
        <w:t xml:space="preserve"> </w:t>
      </w:r>
      <w:r w:rsidR="00842AE1">
        <w:t>in</w:t>
      </w:r>
      <w:r w:rsidR="00CB7374">
        <w:t xml:space="preserve"> </w:t>
      </w:r>
      <w:r w:rsidR="00102DA9">
        <w:t>t</w:t>
      </w:r>
      <w:r w:rsidR="005C3A85">
        <w:t xml:space="preserve">he ITRH. While ITRH applications peaked </w:t>
      </w:r>
      <w:r w:rsidR="00247272">
        <w:t xml:space="preserve">at 15 </w:t>
      </w:r>
      <w:r w:rsidR="005C3A85">
        <w:t xml:space="preserve">in </w:t>
      </w:r>
      <w:r w:rsidR="00842AE1">
        <w:t>the 2013</w:t>
      </w:r>
      <w:r w:rsidR="00136F5D">
        <w:t xml:space="preserve"> (round 2) and</w:t>
      </w:r>
      <w:r w:rsidR="00842AE1">
        <w:t xml:space="preserve"> </w:t>
      </w:r>
      <w:r w:rsidR="005C3A85">
        <w:t>2014 round</w:t>
      </w:r>
      <w:r w:rsidR="00136F5D">
        <w:t>s</w:t>
      </w:r>
      <w:r w:rsidR="005C3A85">
        <w:t>,</w:t>
      </w:r>
      <w:r w:rsidR="00842AE1">
        <w:t xml:space="preserve"> the number of</w:t>
      </w:r>
      <w:r w:rsidR="005C3A85">
        <w:t xml:space="preserve"> </w:t>
      </w:r>
      <w:r w:rsidR="002640A5">
        <w:t>ITTC applications ha</w:t>
      </w:r>
      <w:r w:rsidR="00842AE1">
        <w:t>s</w:t>
      </w:r>
      <w:r w:rsidR="00CB7374">
        <w:t xml:space="preserve"> generally increased over time</w:t>
      </w:r>
      <w:r w:rsidR="005C3A85">
        <w:t>, with</w:t>
      </w:r>
      <w:r w:rsidR="00102DA9">
        <w:t xml:space="preserve"> </w:t>
      </w:r>
      <w:r w:rsidR="00690989">
        <w:t>clearly</w:t>
      </w:r>
      <w:r w:rsidR="00842AE1">
        <w:t xml:space="preserve"> more submitted in </w:t>
      </w:r>
      <w:r w:rsidR="00CB7374" w:rsidRPr="00102DA9">
        <w:t>the 2016, 20</w:t>
      </w:r>
      <w:r w:rsidR="005C3A85">
        <w:t>17 and 2018 rounds</w:t>
      </w:r>
      <w:r w:rsidR="00247272">
        <w:t xml:space="preserve"> (27, 26 and 28 applications, respectively)</w:t>
      </w:r>
      <w:r w:rsidR="00102DA9">
        <w:t>.</w:t>
      </w:r>
      <w:r w:rsidR="00136F5D">
        <w:t xml:space="preserve"> </w:t>
      </w:r>
    </w:p>
    <w:p w14:paraId="43AC6C4E" w14:textId="3C0D106B" w:rsidR="00BB49C5" w:rsidRDefault="00BB49C5" w:rsidP="005D392C"/>
    <w:p w14:paraId="5C3BA8F8" w14:textId="74599B1A" w:rsidR="00BB49C5" w:rsidRDefault="00BB49C5" w:rsidP="005D392C">
      <w:r>
        <w:t xml:space="preserve">Similarly, the number of funded projects has also fluctuated, with the ITRH peaking at seven projects in its second 2013 round and the ITTC reaching a peak of nine projects in its 2017 round. </w:t>
      </w:r>
      <w:r w:rsidR="00247272">
        <w:t>S</w:t>
      </w:r>
      <w:r>
        <w:t>uccess rate</w:t>
      </w:r>
      <w:r w:rsidR="00247272">
        <w:t>s</w:t>
      </w:r>
      <w:r>
        <w:t xml:space="preserve"> (t</w:t>
      </w:r>
      <w:r w:rsidRPr="00BB49C5">
        <w:t>he number of funded projects as a percentage of applications submitted</w:t>
      </w:r>
      <w:r>
        <w:t xml:space="preserve">) </w:t>
      </w:r>
      <w:r w:rsidR="00247272">
        <w:t>have also varied, ranging from 33 per cent (in 2012) to 60 per cent (in 2017) for the ITRH, and from 22 per cent (in 2016) to 54 per cent (in 2014) for the ITTC.</w:t>
      </w:r>
    </w:p>
    <w:p w14:paraId="2DF80329" w14:textId="77777777" w:rsidR="00B03A59" w:rsidRDefault="00B03A59" w:rsidP="005D392C"/>
    <w:p w14:paraId="24E149E0" w14:textId="1DD0D84D" w:rsidR="00A50E0F" w:rsidRDefault="00A50E0F" w:rsidP="00A50E0F">
      <w:pPr>
        <w:pStyle w:val="Heading4"/>
      </w:pPr>
      <w:bookmarkStart w:id="27" w:name="_Figure_1:_ITRP"/>
      <w:bookmarkStart w:id="28" w:name="Figure1"/>
      <w:bookmarkEnd w:id="27"/>
      <w:bookmarkEnd w:id="28"/>
      <w:r w:rsidRPr="006A2C6B">
        <w:t xml:space="preserve">Figure </w:t>
      </w:r>
      <w:r w:rsidR="006A2C6B" w:rsidRPr="006A2C6B">
        <w:t>1</w:t>
      </w:r>
      <w:r w:rsidRPr="006A2C6B">
        <w:t xml:space="preserve">: </w:t>
      </w:r>
      <w:r w:rsidR="0051691F" w:rsidRPr="006A2C6B">
        <w:t>ITRP a</w:t>
      </w:r>
      <w:r w:rsidRPr="006A2C6B">
        <w:t>pplications</w:t>
      </w:r>
      <w:r>
        <w:t xml:space="preserve"> and success rates</w:t>
      </w:r>
    </w:p>
    <w:p w14:paraId="65684C23" w14:textId="6DED721A" w:rsidR="0018183A" w:rsidRPr="00A50E0F" w:rsidRDefault="001A399F" w:rsidP="005D392C">
      <w:pPr>
        <w:rPr>
          <w:sz w:val="20"/>
          <w:szCs w:val="20"/>
        </w:rPr>
      </w:pPr>
      <w:r>
        <w:rPr>
          <w:noProof/>
          <w:sz w:val="20"/>
          <w:szCs w:val="20"/>
          <w:lang w:eastAsia="en-AU"/>
        </w:rPr>
        <w:drawing>
          <wp:inline distT="0" distB="0" distL="0" distR="0" wp14:anchorId="647FAD3F" wp14:editId="7B44CF2A">
            <wp:extent cx="5736590" cy="3091180"/>
            <wp:effectExtent l="0" t="0" r="0" b="0"/>
            <wp:docPr id="1" name="Picture 1" descr="Figure 1 shows the total number of applications funded and not funded, and the success rate for each ITRH and ITTC round from 2012 to 2018." title="Figure 1: ITRP applications and success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590" cy="3091180"/>
                    </a:xfrm>
                    <a:prstGeom prst="rect">
                      <a:avLst/>
                    </a:prstGeom>
                    <a:noFill/>
                  </pic:spPr>
                </pic:pic>
              </a:graphicData>
            </a:graphic>
          </wp:inline>
        </w:drawing>
      </w:r>
      <w:r w:rsidR="00A50E0F">
        <w:rPr>
          <w:sz w:val="20"/>
          <w:szCs w:val="20"/>
        </w:rPr>
        <w:t>Source: ARC data.</w:t>
      </w:r>
    </w:p>
    <w:p w14:paraId="211273FF" w14:textId="1F514473" w:rsidR="00EE1258" w:rsidRDefault="00EE1258" w:rsidP="005D392C"/>
    <w:p w14:paraId="2F10D294" w14:textId="23532928" w:rsidR="005059CA" w:rsidRDefault="002579E7" w:rsidP="005D392C">
      <w:r>
        <w:t xml:space="preserve">The total funding awarded in each ITRP round and the average funding awarded to each project have also fluctuated somewhat, as </w:t>
      </w:r>
      <w:r w:rsidRPr="006A2C6B">
        <w:t xml:space="preserve">shown in </w:t>
      </w:r>
      <w:hyperlink w:anchor="Figure2" w:history="1">
        <w:r w:rsidRPr="005E5526">
          <w:rPr>
            <w:rStyle w:val="Hyperlink"/>
          </w:rPr>
          <w:t xml:space="preserve">Figure </w:t>
        </w:r>
        <w:r w:rsidR="006A2C6B" w:rsidRPr="005E5526">
          <w:rPr>
            <w:rStyle w:val="Hyperlink"/>
          </w:rPr>
          <w:t>2</w:t>
        </w:r>
      </w:hyperlink>
      <w:r w:rsidRPr="006A2C6B">
        <w:t xml:space="preserve">. For the ITRH, the </w:t>
      </w:r>
      <w:r w:rsidR="002A08D0" w:rsidRPr="006A2C6B">
        <w:t xml:space="preserve">pattern of </w:t>
      </w:r>
      <w:r w:rsidRPr="006A2C6B">
        <w:t>total funding levels appear</w:t>
      </w:r>
      <w:r w:rsidR="002A08D0" w:rsidRPr="006A2C6B">
        <w:t>s</w:t>
      </w:r>
      <w:r w:rsidRPr="006A2C6B">
        <w:t xml:space="preserve"> to </w:t>
      </w:r>
      <w:r w:rsidR="005059CA" w:rsidRPr="006A2C6B">
        <w:t>broadly</w:t>
      </w:r>
      <w:r w:rsidRPr="006A2C6B">
        <w:t xml:space="preserve"> align with the number of </w:t>
      </w:r>
      <w:r w:rsidR="005059CA" w:rsidRPr="006A2C6B">
        <w:t>funded</w:t>
      </w:r>
      <w:r w:rsidR="005059CA">
        <w:t xml:space="preserve"> projects</w:t>
      </w:r>
      <w:r>
        <w:t xml:space="preserve">, </w:t>
      </w:r>
      <w:r w:rsidR="005059CA">
        <w:t xml:space="preserve">except in the 2014 round, </w:t>
      </w:r>
      <w:r w:rsidR="00512CDD">
        <w:t>when</w:t>
      </w:r>
      <w:r w:rsidR="005059CA">
        <w:t xml:space="preserve"> the average funding per project peaked at $4,670,467—over $1 million more than the average </w:t>
      </w:r>
      <w:r w:rsidR="000B6825">
        <w:t>in</w:t>
      </w:r>
      <w:r w:rsidR="005059CA">
        <w:t xml:space="preserve"> every other ITRH round </w:t>
      </w:r>
      <w:r w:rsidR="00512CDD">
        <w:t>except</w:t>
      </w:r>
      <w:r w:rsidR="005059CA">
        <w:t xml:space="preserve"> 2018 ($4,492,975). Total ITTC funding increased in each round to </w:t>
      </w:r>
      <w:r w:rsidR="000B6825">
        <w:t xml:space="preserve">2017, when it </w:t>
      </w:r>
      <w:r w:rsidR="00690989">
        <w:t>jumped sharply to reach</w:t>
      </w:r>
      <w:r w:rsidR="000B6825">
        <w:t xml:space="preserve"> nearly $37 million, before </w:t>
      </w:r>
      <w:r w:rsidR="00F979BB">
        <w:t xml:space="preserve">dropping </w:t>
      </w:r>
      <w:r w:rsidR="000B6825">
        <w:t xml:space="preserve">to </w:t>
      </w:r>
      <w:r w:rsidR="00690989">
        <w:t xml:space="preserve">its second highest total of </w:t>
      </w:r>
      <w:r w:rsidR="000B6825">
        <w:t>just under $29 million</w:t>
      </w:r>
      <w:r w:rsidR="00F979BB">
        <w:t xml:space="preserve"> </w:t>
      </w:r>
      <w:r w:rsidR="000B6825">
        <w:t>in 2018</w:t>
      </w:r>
      <w:r w:rsidR="00F979BB">
        <w:t xml:space="preserve">. </w:t>
      </w:r>
      <w:r w:rsidR="00512CDD">
        <w:t>In line with changes in the ITTC funding rules, the</w:t>
      </w:r>
      <w:r w:rsidR="00F979BB">
        <w:t xml:space="preserve"> average ITTC funding per project was notably lower in the 2013 and 2014 rounds</w:t>
      </w:r>
      <w:r w:rsidR="00512CDD">
        <w:t xml:space="preserve"> (whe</w:t>
      </w:r>
      <w:r w:rsidR="002A08D0">
        <w:t>n</w:t>
      </w:r>
      <w:r w:rsidR="00512CDD">
        <w:t xml:space="preserve"> the funding period was three years)</w:t>
      </w:r>
      <w:r w:rsidR="00F979BB">
        <w:t xml:space="preserve"> </w:t>
      </w:r>
      <w:r w:rsidR="00512CDD">
        <w:t>than in the 2015-2018 rounds (whe</w:t>
      </w:r>
      <w:r w:rsidR="00B65000">
        <w:t>n</w:t>
      </w:r>
      <w:r w:rsidR="00512CDD">
        <w:t xml:space="preserve"> the funding period was four to five years).</w:t>
      </w:r>
    </w:p>
    <w:p w14:paraId="67C9C146" w14:textId="404C02FF" w:rsidR="00175CA6" w:rsidRDefault="00175CA6" w:rsidP="005D392C"/>
    <w:p w14:paraId="3F1BD770" w14:textId="545463B6" w:rsidR="00175CA6" w:rsidRDefault="00175CA6" w:rsidP="00175CA6">
      <w:pPr>
        <w:pStyle w:val="Heading4"/>
      </w:pPr>
      <w:bookmarkStart w:id="29" w:name="Figure2"/>
      <w:bookmarkEnd w:id="29"/>
      <w:r w:rsidRPr="006A2C6B">
        <w:t xml:space="preserve">Figure </w:t>
      </w:r>
      <w:r w:rsidR="006A2C6B" w:rsidRPr="006A2C6B">
        <w:t>2</w:t>
      </w:r>
      <w:r w:rsidRPr="006A2C6B">
        <w:t>: Total</w:t>
      </w:r>
      <w:r>
        <w:t xml:space="preserve"> and average funding awarded</w:t>
      </w:r>
    </w:p>
    <w:p w14:paraId="6C838B3D" w14:textId="292EFC63" w:rsidR="00175CA6" w:rsidRPr="00A50E0F" w:rsidRDefault="005C0915" w:rsidP="00175CA6">
      <w:pPr>
        <w:rPr>
          <w:sz w:val="20"/>
          <w:szCs w:val="20"/>
        </w:rPr>
      </w:pPr>
      <w:r>
        <w:rPr>
          <w:noProof/>
          <w:sz w:val="20"/>
          <w:szCs w:val="20"/>
          <w:lang w:eastAsia="en-AU"/>
        </w:rPr>
        <w:drawing>
          <wp:inline distT="0" distB="0" distL="0" distR="0" wp14:anchorId="42632CB9" wp14:editId="3BF1958E">
            <wp:extent cx="5749290" cy="3261360"/>
            <wp:effectExtent l="0" t="0" r="3810" b="0"/>
            <wp:docPr id="2" name="Picture 2" descr="Figure 2 shows the total funding awarded and the average funding awarded per project for each ITRH and ITTC round from 2012 to 2018." title="Figure 2: Total and average funding awa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9290" cy="3261360"/>
                    </a:xfrm>
                    <a:prstGeom prst="rect">
                      <a:avLst/>
                    </a:prstGeom>
                    <a:noFill/>
                  </pic:spPr>
                </pic:pic>
              </a:graphicData>
            </a:graphic>
          </wp:inline>
        </w:drawing>
      </w:r>
      <w:r w:rsidR="00175CA6">
        <w:rPr>
          <w:sz w:val="20"/>
          <w:szCs w:val="20"/>
        </w:rPr>
        <w:t>Source: ARC data.</w:t>
      </w:r>
    </w:p>
    <w:p w14:paraId="01BDA756" w14:textId="1788EA55" w:rsidR="00175CA6" w:rsidRDefault="00175CA6" w:rsidP="005D392C"/>
    <w:p w14:paraId="0797BBF5" w14:textId="0E5A0E8E" w:rsidR="00D5197B" w:rsidRDefault="00690989" w:rsidP="00D5197B">
      <w:r>
        <w:t>Given the relatively small numbers of ITRP app</w:t>
      </w:r>
      <w:r w:rsidR="00D5197B" w:rsidRPr="00690989">
        <w:t>lications and funded projects</w:t>
      </w:r>
      <w:r w:rsidR="002B249F">
        <w:t xml:space="preserve"> overall</w:t>
      </w:r>
      <w:r>
        <w:t>, it is difficult to identify many significant trends in these data. Further</w:t>
      </w:r>
      <w:r w:rsidR="002B249F">
        <w:t>more</w:t>
      </w:r>
      <w:r>
        <w:t xml:space="preserve">, </w:t>
      </w:r>
      <w:r w:rsidR="00D5197B" w:rsidRPr="00690989">
        <w:t>the focus, characteristics and operation of different Re</w:t>
      </w:r>
      <w:r>
        <w:t xml:space="preserve">search Hubs and Training Centres vary </w:t>
      </w:r>
      <w:r w:rsidR="00280B27">
        <w:t>greatly</w:t>
      </w:r>
      <w:r>
        <w:t>,</w:t>
      </w:r>
      <w:r w:rsidR="002B249F">
        <w:t xml:space="preserve"> creating additional challenges </w:t>
      </w:r>
      <w:r w:rsidR="000E0F8F">
        <w:t>in</w:t>
      </w:r>
      <w:r w:rsidR="002B249F">
        <w:t xml:space="preserve"> attempting to draw clear conclusions from the data alone</w:t>
      </w:r>
      <w:r w:rsidR="00D5197B" w:rsidRPr="00690989">
        <w:t>.</w:t>
      </w:r>
    </w:p>
    <w:p w14:paraId="63DD6AB3" w14:textId="77777777" w:rsidR="00EE1258" w:rsidRDefault="00EE1258" w:rsidP="005D392C"/>
    <w:p w14:paraId="7F4FBDC4" w14:textId="1EE5332E" w:rsidR="00892692" w:rsidRDefault="00892692" w:rsidP="00892692">
      <w:pPr>
        <w:pStyle w:val="Heading3"/>
      </w:pPr>
      <w:r>
        <w:t>Number of partner organisations</w:t>
      </w:r>
    </w:p>
    <w:p w14:paraId="744D4AD6" w14:textId="21294A94" w:rsidR="00892692" w:rsidRDefault="00892692" w:rsidP="005D392C"/>
    <w:p w14:paraId="14E89808" w14:textId="3FE7DF77" w:rsidR="00B714B8" w:rsidRDefault="00417C6C" w:rsidP="005D392C">
      <w:r w:rsidRPr="00463606">
        <w:t xml:space="preserve">The ITRP </w:t>
      </w:r>
      <w:r w:rsidR="00463606">
        <w:t xml:space="preserve">is designed to support collaboration between university researchers and industry and other research end users. </w:t>
      </w:r>
      <w:r w:rsidR="00676CB4">
        <w:t xml:space="preserve">As </w:t>
      </w:r>
      <w:r w:rsidR="00676CB4" w:rsidRPr="006A2C6B">
        <w:t xml:space="preserve">shown in </w:t>
      </w:r>
      <w:hyperlink w:anchor="Figure3" w:history="1">
        <w:r w:rsidR="00676CB4" w:rsidRPr="005E5526">
          <w:rPr>
            <w:rStyle w:val="Hyperlink"/>
          </w:rPr>
          <w:t xml:space="preserve">Figure </w:t>
        </w:r>
        <w:r w:rsidR="006A2C6B" w:rsidRPr="005E5526">
          <w:rPr>
            <w:rStyle w:val="Hyperlink"/>
          </w:rPr>
          <w:t>3</w:t>
        </w:r>
      </w:hyperlink>
      <w:r w:rsidR="00676CB4" w:rsidRPr="006A2C6B">
        <w:t xml:space="preserve">, </w:t>
      </w:r>
      <w:r w:rsidR="00C74759" w:rsidRPr="006A2C6B">
        <w:t>the num</w:t>
      </w:r>
      <w:r w:rsidR="00C74759">
        <w:t xml:space="preserve">ber of </w:t>
      </w:r>
      <w:r w:rsidR="00676CB4">
        <w:t xml:space="preserve">partner </w:t>
      </w:r>
      <w:r w:rsidR="00497B0F">
        <w:t>organisation</w:t>
      </w:r>
      <w:r w:rsidR="00C74759">
        <w:t>s</w:t>
      </w:r>
      <w:r w:rsidR="00497B0F">
        <w:t xml:space="preserve"> </w:t>
      </w:r>
      <w:r w:rsidR="00C74759">
        <w:t>involved in</w:t>
      </w:r>
      <w:r w:rsidR="006A2BE5">
        <w:t xml:space="preserve"> </w:t>
      </w:r>
      <w:r w:rsidR="00CA1CEB">
        <w:t xml:space="preserve">funded projects </w:t>
      </w:r>
      <w:r w:rsidR="00497B0F">
        <w:t>ha</w:t>
      </w:r>
      <w:r w:rsidR="00C74759">
        <w:t>s increased over time</w:t>
      </w:r>
      <w:r w:rsidR="00CA1CEB">
        <w:t xml:space="preserve"> at both the</w:t>
      </w:r>
      <w:r w:rsidR="00497B0F">
        <w:t xml:space="preserve"> scheme </w:t>
      </w:r>
      <w:r w:rsidR="00CA1CEB">
        <w:t xml:space="preserve">round </w:t>
      </w:r>
      <w:r w:rsidR="00497B0F">
        <w:t xml:space="preserve">and </w:t>
      </w:r>
      <w:r w:rsidR="002B20B4">
        <w:t>project (</w:t>
      </w:r>
      <w:r w:rsidR="00A6351C">
        <w:t>i.e.</w:t>
      </w:r>
      <w:r w:rsidR="002B20B4">
        <w:t xml:space="preserve"> </w:t>
      </w:r>
      <w:r w:rsidR="00CA1CEB">
        <w:t xml:space="preserve">Research Hub </w:t>
      </w:r>
      <w:r w:rsidR="002B20B4">
        <w:t>or</w:t>
      </w:r>
      <w:r w:rsidR="00CA1CEB">
        <w:t xml:space="preserve"> Training Centre</w:t>
      </w:r>
      <w:r w:rsidR="002B20B4">
        <w:t>)</w:t>
      </w:r>
      <w:r w:rsidR="00497B0F">
        <w:t xml:space="preserve"> </w:t>
      </w:r>
      <w:r w:rsidR="00CA1CEB">
        <w:t>levels</w:t>
      </w:r>
      <w:r w:rsidR="003B3019">
        <w:t xml:space="preserve">, </w:t>
      </w:r>
      <w:r w:rsidR="00FC6C30">
        <w:t>which may indicate</w:t>
      </w:r>
      <w:r w:rsidR="003B3019">
        <w:t xml:space="preserve"> that the ITRP’s effectiveness in supporting collaboration has improved as it has matured</w:t>
      </w:r>
      <w:r w:rsidR="00CA1CEB">
        <w:t>—though not always consistently.</w:t>
      </w:r>
      <w:r w:rsidR="00525BE7">
        <w:t xml:space="preserve"> </w:t>
      </w:r>
    </w:p>
    <w:p w14:paraId="39CB1A77" w14:textId="77777777" w:rsidR="00B714B8" w:rsidRDefault="00B714B8" w:rsidP="005D392C"/>
    <w:p w14:paraId="52EF536F" w14:textId="2641B47D" w:rsidR="00F413C1" w:rsidRDefault="00CA1CEB" w:rsidP="005D392C">
      <w:r>
        <w:t xml:space="preserve">The number of ITRH partner organisations grew from 13 in the 2012 round </w:t>
      </w:r>
      <w:r w:rsidR="006A2BE5" w:rsidRPr="00CA1CEB">
        <w:t>to 44 in</w:t>
      </w:r>
      <w:r>
        <w:t xml:space="preserve"> the </w:t>
      </w:r>
      <w:r w:rsidR="006A2BE5" w:rsidRPr="00CA1CEB">
        <w:t>2018</w:t>
      </w:r>
      <w:r>
        <w:t xml:space="preserve"> round</w:t>
      </w:r>
      <w:r w:rsidR="006A2BE5" w:rsidRPr="00CA1CEB">
        <w:t xml:space="preserve">, and </w:t>
      </w:r>
      <w:r>
        <w:t>the</w:t>
      </w:r>
      <w:r w:rsidR="006A2BE5" w:rsidRPr="00CA1CEB">
        <w:t xml:space="preserve"> ITTC </w:t>
      </w:r>
      <w:r>
        <w:t xml:space="preserve">saw an increase </w:t>
      </w:r>
      <w:r w:rsidR="006A2BE5" w:rsidRPr="00CA1CEB">
        <w:t xml:space="preserve">from </w:t>
      </w:r>
      <w:r w:rsidR="00D45C99" w:rsidRPr="00CA1CEB">
        <w:t xml:space="preserve">19 in </w:t>
      </w:r>
      <w:r>
        <w:t xml:space="preserve">the </w:t>
      </w:r>
      <w:r w:rsidR="00D45C99" w:rsidRPr="00CA1CEB">
        <w:t>2013</w:t>
      </w:r>
      <w:r>
        <w:t xml:space="preserve"> round</w:t>
      </w:r>
      <w:r w:rsidR="00D45C99" w:rsidRPr="00CA1CEB">
        <w:t xml:space="preserve"> to 83 in both 2017 and 2018</w:t>
      </w:r>
      <w:r w:rsidR="00F413C1">
        <w:t xml:space="preserve">, when it attracted </w:t>
      </w:r>
      <w:r w:rsidR="005E1BD4">
        <w:t>considerably</w:t>
      </w:r>
      <w:r w:rsidR="00F413C1">
        <w:t xml:space="preserve"> more partner organisations than the ITRH.</w:t>
      </w:r>
    </w:p>
    <w:p w14:paraId="0238FECB" w14:textId="77777777" w:rsidR="00F413C1" w:rsidRDefault="00F413C1" w:rsidP="005D392C"/>
    <w:p w14:paraId="481EC3D8" w14:textId="1A5718CA" w:rsidR="00417C6C" w:rsidRDefault="00CA1CEB" w:rsidP="005D392C">
      <w:r>
        <w:t xml:space="preserve">The average number of partner organisations per Research Hub grew from </w:t>
      </w:r>
      <w:r w:rsidR="002D216A">
        <w:t>3.25 in</w:t>
      </w:r>
      <w:r w:rsidR="00AF2ED5">
        <w:t xml:space="preserve"> the</w:t>
      </w:r>
      <w:r w:rsidR="002D216A">
        <w:t xml:space="preserve"> 2012</w:t>
      </w:r>
      <w:r w:rsidR="00AF2ED5">
        <w:t xml:space="preserve"> round</w:t>
      </w:r>
      <w:r w:rsidR="002D216A">
        <w:t xml:space="preserve"> to 11 in 2018, al</w:t>
      </w:r>
      <w:r w:rsidR="00072E01">
        <w:t>though this was interrupted by</w:t>
      </w:r>
      <w:r w:rsidR="002D216A">
        <w:t xml:space="preserve"> decline</w:t>
      </w:r>
      <w:r w:rsidR="00072E01">
        <w:t>s</w:t>
      </w:r>
      <w:r w:rsidR="002D216A">
        <w:t xml:space="preserve"> in 2013 round 2 and 2014. The average per Training Centre </w:t>
      </w:r>
      <w:r w:rsidR="00AF2ED5">
        <w:t>grew</w:t>
      </w:r>
      <w:r w:rsidR="002D216A">
        <w:t xml:space="preserve"> steadily from 4.75 in 2013 to 11.86 in 2018.</w:t>
      </w:r>
    </w:p>
    <w:p w14:paraId="5B3A9DE5" w14:textId="77777777" w:rsidR="00D5197B" w:rsidRDefault="00D5197B" w:rsidP="005D392C"/>
    <w:p w14:paraId="66EF17CB" w14:textId="136F82AF" w:rsidR="00A50E0F" w:rsidRDefault="002012B1" w:rsidP="002012B1">
      <w:pPr>
        <w:pStyle w:val="Heading4"/>
      </w:pPr>
      <w:bookmarkStart w:id="30" w:name="Figure3"/>
      <w:bookmarkEnd w:id="30"/>
      <w:r w:rsidRPr="006A2C6B">
        <w:t xml:space="preserve">Figure </w:t>
      </w:r>
      <w:r w:rsidR="006A2C6B" w:rsidRPr="006A2C6B">
        <w:t>3</w:t>
      </w:r>
      <w:r w:rsidRPr="006A2C6B">
        <w:t xml:space="preserve">: </w:t>
      </w:r>
      <w:r w:rsidR="006F522B" w:rsidRPr="006A2C6B">
        <w:t>P</w:t>
      </w:r>
      <w:r w:rsidRPr="006A2C6B">
        <w:t>artner</w:t>
      </w:r>
      <w:r>
        <w:t xml:space="preserve"> organisations </w:t>
      </w:r>
      <w:r w:rsidR="006F522B">
        <w:t>(funded projects) – total and average per project</w:t>
      </w:r>
    </w:p>
    <w:p w14:paraId="396592DF" w14:textId="2D35DDF1" w:rsidR="002012B1" w:rsidRPr="00A50E0F" w:rsidRDefault="005C0915" w:rsidP="002012B1">
      <w:pPr>
        <w:rPr>
          <w:sz w:val="20"/>
          <w:szCs w:val="20"/>
        </w:rPr>
      </w:pPr>
      <w:r>
        <w:rPr>
          <w:noProof/>
          <w:sz w:val="20"/>
          <w:szCs w:val="20"/>
          <w:lang w:eastAsia="en-AU"/>
        </w:rPr>
        <w:drawing>
          <wp:inline distT="0" distB="0" distL="0" distR="0" wp14:anchorId="748A3F82" wp14:editId="12FAC12D">
            <wp:extent cx="5749290" cy="2517775"/>
            <wp:effectExtent l="0" t="0" r="3810" b="0"/>
            <wp:docPr id="3" name="Picture 3" descr="Figure 3 shows the total number of partner organisations involved in funded projects and the average number of partner organisations involved per funded project for each ITRH and ITTC round from 2012 to 2018." title="Figure 3: Partner organisations (funded projects) – total and average per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9290" cy="2517775"/>
                    </a:xfrm>
                    <a:prstGeom prst="rect">
                      <a:avLst/>
                    </a:prstGeom>
                    <a:noFill/>
                  </pic:spPr>
                </pic:pic>
              </a:graphicData>
            </a:graphic>
          </wp:inline>
        </w:drawing>
      </w:r>
      <w:r w:rsidR="002012B1">
        <w:rPr>
          <w:sz w:val="20"/>
          <w:szCs w:val="20"/>
        </w:rPr>
        <w:t>Source: ARC data.</w:t>
      </w:r>
    </w:p>
    <w:p w14:paraId="7B10467D" w14:textId="46191DAB" w:rsidR="005D257F" w:rsidRDefault="005D257F" w:rsidP="005D392C"/>
    <w:p w14:paraId="5C44795B" w14:textId="032A8466" w:rsidR="00E34410" w:rsidRDefault="00892692" w:rsidP="00892692">
      <w:pPr>
        <w:pStyle w:val="Heading3"/>
      </w:pPr>
      <w:r>
        <w:t>Types of partner organisations</w:t>
      </w:r>
    </w:p>
    <w:p w14:paraId="1FB552CA" w14:textId="62942DAF" w:rsidR="00417C6C" w:rsidRPr="00417C6C" w:rsidRDefault="00417C6C" w:rsidP="00417C6C"/>
    <w:p w14:paraId="68385659" w14:textId="1DCA0CE1" w:rsidR="00525BE7" w:rsidRDefault="00C44B80" w:rsidP="005D392C">
      <w:hyperlink w:anchor="Figure4" w:history="1">
        <w:r w:rsidR="00B000CB" w:rsidRPr="005E5526">
          <w:rPr>
            <w:rStyle w:val="Hyperlink"/>
          </w:rPr>
          <w:t xml:space="preserve">Figure </w:t>
        </w:r>
        <w:r w:rsidR="006A2C6B" w:rsidRPr="005E5526">
          <w:rPr>
            <w:rStyle w:val="Hyperlink"/>
          </w:rPr>
          <w:t>4</w:t>
        </w:r>
      </w:hyperlink>
      <w:r w:rsidR="00B000CB" w:rsidRPr="006A2C6B">
        <w:t xml:space="preserve"> shows the types of partner organisations involved in the ITRP. </w:t>
      </w:r>
      <w:r w:rsidR="00A31450" w:rsidRPr="006A2C6B">
        <w:t>C</w:t>
      </w:r>
      <w:r w:rsidR="00831CE5" w:rsidRPr="006A2C6B">
        <w:t xml:space="preserve">onsistent with </w:t>
      </w:r>
      <w:r w:rsidR="00A31450" w:rsidRPr="006A2C6B">
        <w:t xml:space="preserve">the </w:t>
      </w:r>
      <w:r w:rsidR="00B000CB" w:rsidRPr="006A2C6B">
        <w:t xml:space="preserve">ITRP’s </w:t>
      </w:r>
      <w:r w:rsidR="00A31450" w:rsidRPr="006A2C6B">
        <w:t>focus on industry issues</w:t>
      </w:r>
      <w:r w:rsidR="00831CE5" w:rsidRPr="006A2C6B">
        <w:t xml:space="preserve">, </w:t>
      </w:r>
      <w:r w:rsidR="00B000CB" w:rsidRPr="006A2C6B">
        <w:t xml:space="preserve">75 per cent have been from </w:t>
      </w:r>
      <w:r w:rsidR="00831CE5" w:rsidRPr="006A2C6B">
        <w:t>industry and business</w:t>
      </w:r>
      <w:r w:rsidR="008338CF" w:rsidRPr="006A2C6B">
        <w:t xml:space="preserve"> </w:t>
      </w:r>
      <w:r w:rsidR="00B000CB" w:rsidRPr="006A2C6B">
        <w:t>(identified</w:t>
      </w:r>
      <w:r w:rsidR="005E25C4" w:rsidRPr="006A2C6B">
        <w:t xml:space="preserve"> as </w:t>
      </w:r>
      <w:r w:rsidR="005E25C4" w:rsidRPr="006A2C6B">
        <w:rPr>
          <w:szCs w:val="24"/>
        </w:rPr>
        <w:t>‘Australian Company</w:t>
      </w:r>
      <w:r w:rsidR="005E25C4" w:rsidRPr="003673FA">
        <w:rPr>
          <w:szCs w:val="24"/>
        </w:rPr>
        <w:t xml:space="preserve"> Industry Body’ and ‘International Company Industry Body’</w:t>
      </w:r>
      <w:r w:rsidR="005E25C4">
        <w:rPr>
          <w:szCs w:val="24"/>
        </w:rPr>
        <w:t>)</w:t>
      </w:r>
      <w:r w:rsidR="008338CF">
        <w:t>.</w:t>
      </w:r>
    </w:p>
    <w:p w14:paraId="0E4036CE" w14:textId="77777777" w:rsidR="00525BE7" w:rsidRDefault="00525BE7" w:rsidP="005D392C"/>
    <w:p w14:paraId="36FD8503" w14:textId="7CD3F945" w:rsidR="00223CAF" w:rsidRPr="003B22FE" w:rsidRDefault="00B000CB" w:rsidP="005D392C">
      <w:pPr>
        <w:rPr>
          <w:i/>
        </w:rPr>
      </w:pPr>
      <w:r>
        <w:t>T</w:t>
      </w:r>
      <w:r w:rsidR="008338CF">
        <w:t xml:space="preserve">he ITTC has </w:t>
      </w:r>
      <w:r w:rsidR="00952013">
        <w:t>attracted</w:t>
      </w:r>
      <w:r w:rsidR="008338CF">
        <w:t xml:space="preserve"> a slightly more diverse mix of partner or</w:t>
      </w:r>
      <w:r w:rsidR="00952013">
        <w:t xml:space="preserve">ganisation types </w:t>
      </w:r>
      <w:r w:rsidR="00F461DC">
        <w:t xml:space="preserve">than the ITRH. </w:t>
      </w:r>
      <w:r w:rsidR="003B22FE">
        <w:t>In the ITRH, 8</w:t>
      </w:r>
      <w:r w:rsidR="00F461DC">
        <w:t xml:space="preserve">1 per cent of </w:t>
      </w:r>
      <w:r w:rsidR="003B22FE">
        <w:t>partner organisations have been from industry and business, and 9 per cent have been government organisations (</w:t>
      </w:r>
      <w:r w:rsidR="003B22FE" w:rsidRPr="003673FA">
        <w:rPr>
          <w:szCs w:val="24"/>
        </w:rPr>
        <w:t>Commonwealth, State and Local, and International</w:t>
      </w:r>
      <w:r w:rsidR="003B22FE">
        <w:t xml:space="preserve">). By contrast, 72 per cent of ITTC partner organisations have been from industry and business, and 15 per cent have been government organisations. In both schemes, around five per cent have been </w:t>
      </w:r>
      <w:r w:rsidR="005809DA">
        <w:t>non-profit organisation</w:t>
      </w:r>
      <w:r w:rsidR="003B22FE">
        <w:t>s</w:t>
      </w:r>
      <w:r w:rsidR="0015383A">
        <w:t xml:space="preserve">, and the remainder (‘Higher Education International’ and ‘Other’) have accounted for around 5 per cent of </w:t>
      </w:r>
      <w:r>
        <w:t xml:space="preserve">partner organisations </w:t>
      </w:r>
      <w:r w:rsidR="0015383A">
        <w:t>in the ITRH and 9 per cent in the ITTC.</w:t>
      </w:r>
      <w:r>
        <w:rPr>
          <w:rStyle w:val="FootnoteReference"/>
        </w:rPr>
        <w:footnoteReference w:id="7"/>
      </w:r>
    </w:p>
    <w:p w14:paraId="4C729CAD" w14:textId="702F088F" w:rsidR="005E25C4" w:rsidRDefault="005E25C4" w:rsidP="005D392C"/>
    <w:p w14:paraId="4EFFD9CD" w14:textId="3FB4706D" w:rsidR="00E34410" w:rsidRDefault="00E34410" w:rsidP="00E34410">
      <w:pPr>
        <w:pStyle w:val="Heading4"/>
      </w:pPr>
      <w:bookmarkStart w:id="31" w:name="Figure4"/>
      <w:bookmarkEnd w:id="31"/>
      <w:r w:rsidRPr="006A2C6B">
        <w:t xml:space="preserve">Figure </w:t>
      </w:r>
      <w:r w:rsidR="006A2C6B" w:rsidRPr="006A2C6B">
        <w:t>4</w:t>
      </w:r>
      <w:r w:rsidRPr="006A2C6B">
        <w:t>:</w:t>
      </w:r>
      <w:r w:rsidRPr="00E6401F">
        <w:t xml:space="preserve"> </w:t>
      </w:r>
      <w:r w:rsidR="00764564">
        <w:t>P</w:t>
      </w:r>
      <w:r w:rsidR="00435818" w:rsidRPr="00E6401F">
        <w:t>artner organisations by type</w:t>
      </w:r>
      <w:r w:rsidR="00B04647">
        <w:t xml:space="preserve"> (funded projects)</w:t>
      </w:r>
    </w:p>
    <w:p w14:paraId="79A44D1B" w14:textId="22ACD617" w:rsidR="00E34410" w:rsidRDefault="00203A9B" w:rsidP="005D392C">
      <w:r w:rsidRPr="00203A9B">
        <w:rPr>
          <w:noProof/>
          <w:lang w:eastAsia="en-AU"/>
        </w:rPr>
        <w:drawing>
          <wp:inline distT="0" distB="0" distL="0" distR="0" wp14:anchorId="351872C6" wp14:editId="33848EDF">
            <wp:extent cx="5743575" cy="4467225"/>
            <wp:effectExtent l="0" t="0" r="9525" b="9525"/>
            <wp:docPr id="15" name="Picture 15" descr="Figure 4 shows the total number and types of partner organisations involved in funded projects in each ITRH and ITTC round from 2012 to 2018." title="Figure 4: Partner organisations by type (funde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3575" cy="4467225"/>
                    </a:xfrm>
                    <a:prstGeom prst="rect">
                      <a:avLst/>
                    </a:prstGeom>
                    <a:noFill/>
                    <a:ln>
                      <a:noFill/>
                    </a:ln>
                  </pic:spPr>
                </pic:pic>
              </a:graphicData>
            </a:graphic>
          </wp:inline>
        </w:drawing>
      </w:r>
      <w:r w:rsidR="00435818">
        <w:rPr>
          <w:sz w:val="20"/>
          <w:szCs w:val="20"/>
        </w:rPr>
        <w:t>Source: ARC data.</w:t>
      </w:r>
    </w:p>
    <w:p w14:paraId="6787C691" w14:textId="1F748B0F" w:rsidR="003E2E45" w:rsidRDefault="003E2E45" w:rsidP="005D392C"/>
    <w:p w14:paraId="3B329022" w14:textId="04088A2E" w:rsidR="00892692" w:rsidRDefault="008A4A7B" w:rsidP="005D392C">
      <w:r>
        <w:t xml:space="preserve">Over the life of the ITRP to 2018 H and 2018 C, 16.4 per cent of partner organisations </w:t>
      </w:r>
      <w:r w:rsidR="001C6D02">
        <w:t xml:space="preserve">on funded projects </w:t>
      </w:r>
      <w:r>
        <w:t>have been international</w:t>
      </w:r>
      <w:r w:rsidR="00A768FE">
        <w:t xml:space="preserve">. </w:t>
      </w:r>
      <w:r w:rsidR="000157A9">
        <w:t xml:space="preserve">The </w:t>
      </w:r>
      <w:r w:rsidR="00A768FE">
        <w:t>prop</w:t>
      </w:r>
      <w:r w:rsidR="000157A9">
        <w:t>ortion has been the same in</w:t>
      </w:r>
      <w:r w:rsidR="00A768FE">
        <w:t xml:space="preserve"> b</w:t>
      </w:r>
      <w:r>
        <w:t xml:space="preserve">oth </w:t>
      </w:r>
      <w:r w:rsidR="006602D8">
        <w:t xml:space="preserve">the ITRH and the ITTC. While the total number of international organisations in the ITRH has fluctuated between </w:t>
      </w:r>
      <w:r w:rsidR="000157A9">
        <w:t xml:space="preserve">rounds (from </w:t>
      </w:r>
      <w:r w:rsidR="006602D8">
        <w:t xml:space="preserve">one in 2013 H1 </w:t>
      </w:r>
      <w:r w:rsidR="000157A9">
        <w:t>to</w:t>
      </w:r>
      <w:r w:rsidR="006602D8">
        <w:t xml:space="preserve"> eight</w:t>
      </w:r>
      <w:r w:rsidR="000157A9">
        <w:t xml:space="preserve"> </w:t>
      </w:r>
      <w:r w:rsidR="006602D8">
        <w:t>in 2018 H), the total</w:t>
      </w:r>
      <w:r w:rsidR="000157A9">
        <w:t xml:space="preserve"> number in the ITTC has </w:t>
      </w:r>
      <w:r w:rsidR="006710E3">
        <w:t>increased quite consistently</w:t>
      </w:r>
      <w:r w:rsidR="000157A9">
        <w:t xml:space="preserve"> (</w:t>
      </w:r>
      <w:r w:rsidR="006602D8">
        <w:t>from one in 2013 C to 20 in 2018 C</w:t>
      </w:r>
      <w:r w:rsidR="000157A9">
        <w:t>)</w:t>
      </w:r>
      <w:r w:rsidR="006602D8">
        <w:t>.</w:t>
      </w:r>
      <w:r>
        <w:rPr>
          <w:rStyle w:val="FootnoteReference"/>
        </w:rPr>
        <w:footnoteReference w:id="8"/>
      </w:r>
    </w:p>
    <w:p w14:paraId="5C8FCFB7" w14:textId="77777777" w:rsidR="006602D8" w:rsidRDefault="006602D8" w:rsidP="005D392C"/>
    <w:p w14:paraId="4A9E5E48" w14:textId="6046EDC6" w:rsidR="00892692" w:rsidRDefault="00892692" w:rsidP="00892692">
      <w:pPr>
        <w:pStyle w:val="Heading3"/>
      </w:pPr>
      <w:r>
        <w:t>Partner organisation contributions</w:t>
      </w:r>
    </w:p>
    <w:p w14:paraId="4C3419C3" w14:textId="77777777" w:rsidR="00892692" w:rsidRDefault="00892692" w:rsidP="005D392C"/>
    <w:p w14:paraId="06317E43" w14:textId="5DF9079B" w:rsidR="00894DBC" w:rsidRDefault="00C44B80" w:rsidP="005D392C">
      <w:hyperlink w:anchor="Figure5" w:history="1">
        <w:r w:rsidR="006A2C6B" w:rsidRPr="005E5526">
          <w:rPr>
            <w:rStyle w:val="Hyperlink"/>
          </w:rPr>
          <w:t>Figure 5</w:t>
        </w:r>
      </w:hyperlink>
      <w:r w:rsidR="00894DBC" w:rsidRPr="006A2C6B">
        <w:t xml:space="preserve"> shows the total partner organisation cash and </w:t>
      </w:r>
      <w:proofErr w:type="gramStart"/>
      <w:r w:rsidR="00894DBC" w:rsidRPr="006A2C6B">
        <w:t>in kind</w:t>
      </w:r>
      <w:proofErr w:type="gramEnd"/>
      <w:r w:rsidR="00894DBC" w:rsidRPr="006A2C6B">
        <w:t xml:space="preserve"> contributions for each ITRP round. As with the application and funding data discussed above, it is difficult to draw many clear conclusions from these data as they are based on a small number of considerably different Research Hubs and Training Centres. However, there are clear differences in the nature of the contributions that ha</w:t>
      </w:r>
      <w:r w:rsidR="00894DBC">
        <w:t>ve been provided over the life of the ITRH (52 per cent cash, 48 per cent in kind) and the ITTC (26 per cent cash, 74 per cent in kind).</w:t>
      </w:r>
      <w:r w:rsidR="00894DBC">
        <w:rPr>
          <w:rStyle w:val="FootnoteReference"/>
        </w:rPr>
        <w:footnoteReference w:id="9"/>
      </w:r>
    </w:p>
    <w:p w14:paraId="21B0E694" w14:textId="2F740C31" w:rsidR="00752E9D" w:rsidRDefault="00752E9D" w:rsidP="005D392C"/>
    <w:p w14:paraId="42A1096A" w14:textId="5E44D54D" w:rsidR="00892692" w:rsidRDefault="00894DBC" w:rsidP="005D392C">
      <w:r>
        <w:t xml:space="preserve">These differences reflect </w:t>
      </w:r>
      <w:r w:rsidR="002F30EB">
        <w:t>distinct</w:t>
      </w:r>
      <w:r>
        <w:t xml:space="preserve"> requ</w:t>
      </w:r>
      <w:r w:rsidR="00840991">
        <w:t xml:space="preserve">irements </w:t>
      </w:r>
      <w:r w:rsidR="002F30EB">
        <w:t>of</w:t>
      </w:r>
      <w:r>
        <w:t xml:space="preserve"> the two schemes</w:t>
      </w:r>
      <w:r w:rsidR="00840991">
        <w:t xml:space="preserve">. In the ITRH, the combined cash and </w:t>
      </w:r>
      <w:proofErr w:type="gramStart"/>
      <w:r w:rsidR="00840991">
        <w:t>in kind</w:t>
      </w:r>
      <w:proofErr w:type="gramEnd"/>
      <w:r w:rsidR="00840991">
        <w:t xml:space="preserve"> contributions from partner organisations must match or exceed the funding requested from the ARC. In addition, where any partner organisation has more than 100 employees, the combined partner organisation cash contributions must be at least 75 per cent of the funding requested from the ARC. </w:t>
      </w:r>
      <w:r w:rsidR="00BF1304">
        <w:t>T</w:t>
      </w:r>
      <w:r w:rsidR="00840991">
        <w:t>he ITTC,</w:t>
      </w:r>
      <w:r w:rsidR="00BF1304">
        <w:t xml:space="preserve"> </w:t>
      </w:r>
      <w:r w:rsidR="00517108">
        <w:t>in contrast</w:t>
      </w:r>
      <w:r w:rsidR="00BF1304">
        <w:t xml:space="preserve">, requires that cash and </w:t>
      </w:r>
      <w:proofErr w:type="gramStart"/>
      <w:r w:rsidR="00BF1304">
        <w:t>in</w:t>
      </w:r>
      <w:r w:rsidR="00066DB0">
        <w:t xml:space="preserve"> </w:t>
      </w:r>
      <w:r w:rsidR="00BF1304">
        <w:t>kind</w:t>
      </w:r>
      <w:proofErr w:type="gramEnd"/>
      <w:r w:rsidR="00BF1304">
        <w:t xml:space="preserve"> contributions (along with the requested ARC funding) be sufficient to support all research project</w:t>
      </w:r>
      <w:r w:rsidR="00517108">
        <w:t>s</w:t>
      </w:r>
      <w:r w:rsidR="00BF1304">
        <w:t xml:space="preserve"> described in the application</w:t>
      </w:r>
      <w:r w:rsidR="00517108">
        <w:t>, particularly those of HDRs and PDRs</w:t>
      </w:r>
      <w:r w:rsidR="00BF1304">
        <w:t>.</w:t>
      </w:r>
      <w:r w:rsidR="00BF1304">
        <w:rPr>
          <w:rStyle w:val="FootnoteReference"/>
        </w:rPr>
        <w:footnoteReference w:id="10"/>
      </w:r>
    </w:p>
    <w:p w14:paraId="11B7C1BE" w14:textId="01A2D2EF" w:rsidR="002F30EB" w:rsidRDefault="002F30EB" w:rsidP="005D392C"/>
    <w:p w14:paraId="5E82C48F" w14:textId="1CAFFC0E" w:rsidR="002F30EB" w:rsidRDefault="002F30EB" w:rsidP="005D392C">
      <w:r>
        <w:t xml:space="preserve">It is interesting to note that the value of combined cash and </w:t>
      </w:r>
      <w:proofErr w:type="gramStart"/>
      <w:r>
        <w:t>in kind</w:t>
      </w:r>
      <w:proofErr w:type="gramEnd"/>
      <w:r>
        <w:t xml:space="preserve"> contributions from partner organisations has amounted to 154 per cent of the total funding requested from the ARC in successful ITRH applications and 92 per cent in successful ITTC applications.</w:t>
      </w:r>
      <w:r>
        <w:rPr>
          <w:rStyle w:val="FootnoteReference"/>
        </w:rPr>
        <w:footnoteReference w:id="11"/>
      </w:r>
    </w:p>
    <w:p w14:paraId="6FF11FE0" w14:textId="77777777" w:rsidR="00434807" w:rsidRDefault="00434807" w:rsidP="005D392C"/>
    <w:p w14:paraId="010FE14C" w14:textId="14052B47" w:rsidR="00CF646F" w:rsidRDefault="00CF646F" w:rsidP="00CF646F">
      <w:pPr>
        <w:pStyle w:val="Heading4"/>
      </w:pPr>
      <w:bookmarkStart w:id="32" w:name="Figure5"/>
      <w:bookmarkEnd w:id="32"/>
      <w:r w:rsidRPr="006A2C6B">
        <w:t xml:space="preserve">Figure </w:t>
      </w:r>
      <w:r w:rsidR="006A2C6B" w:rsidRPr="006A2C6B">
        <w:t>5</w:t>
      </w:r>
      <w:r w:rsidRPr="006A2C6B">
        <w:t xml:space="preserve">: </w:t>
      </w:r>
      <w:r w:rsidR="00354689" w:rsidRPr="006A2C6B">
        <w:t>Total</w:t>
      </w:r>
      <w:r w:rsidR="00354689">
        <w:t xml:space="preserve"> </w:t>
      </w:r>
      <w:r w:rsidRPr="00E6401F">
        <w:t>partner organisation contributions</w:t>
      </w:r>
      <w:r w:rsidR="00B04647">
        <w:t xml:space="preserve"> (funded projects)</w:t>
      </w:r>
    </w:p>
    <w:p w14:paraId="0F6A0793" w14:textId="6882B6BE" w:rsidR="00C85C19" w:rsidRDefault="00203A9B" w:rsidP="005D392C">
      <w:pPr>
        <w:rPr>
          <w:sz w:val="20"/>
          <w:szCs w:val="20"/>
        </w:rPr>
      </w:pPr>
      <w:r>
        <w:rPr>
          <w:noProof/>
          <w:sz w:val="20"/>
          <w:szCs w:val="20"/>
          <w:lang w:eastAsia="en-AU"/>
        </w:rPr>
        <w:drawing>
          <wp:inline distT="0" distB="0" distL="0" distR="0" wp14:anchorId="728D7A86" wp14:editId="13BBBC5C">
            <wp:extent cx="5718810" cy="2676525"/>
            <wp:effectExtent l="0" t="0" r="0" b="9525"/>
            <wp:docPr id="18" name="Picture 18" descr="Figure 5 shows the total value of partner organisation cash and in kind contributions for each ITRH and ITTC round from 2012 to 2018." title="Figure 5: Total partner organisation contributions (funde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8810" cy="2676525"/>
                    </a:xfrm>
                    <a:prstGeom prst="rect">
                      <a:avLst/>
                    </a:prstGeom>
                    <a:noFill/>
                  </pic:spPr>
                </pic:pic>
              </a:graphicData>
            </a:graphic>
          </wp:inline>
        </w:drawing>
      </w:r>
      <w:r w:rsidR="00CF646F">
        <w:rPr>
          <w:sz w:val="20"/>
          <w:szCs w:val="20"/>
        </w:rPr>
        <w:t>Source: ARC data.</w:t>
      </w:r>
    </w:p>
    <w:p w14:paraId="3F3589B1" w14:textId="6B74BDBC" w:rsidR="000E4A92" w:rsidRDefault="000E4A92" w:rsidP="000E4A92"/>
    <w:p w14:paraId="65E2E5B8" w14:textId="375CA38A" w:rsidR="000E4A92" w:rsidRDefault="00C44B80" w:rsidP="000E4A92">
      <w:hyperlink w:anchor="Figure6" w:history="1">
        <w:r w:rsidR="002807C5" w:rsidRPr="005E5526">
          <w:rPr>
            <w:rStyle w:val="Hyperlink"/>
          </w:rPr>
          <w:t xml:space="preserve">Figure </w:t>
        </w:r>
        <w:r w:rsidR="006A2C6B" w:rsidRPr="005E5526">
          <w:rPr>
            <w:rStyle w:val="Hyperlink"/>
          </w:rPr>
          <w:t>6</w:t>
        </w:r>
      </w:hyperlink>
      <w:r w:rsidR="002807C5" w:rsidRPr="006A2C6B">
        <w:t xml:space="preserve"> provides additional insights into the nature of partner organisation contributions at the funded project</w:t>
      </w:r>
      <w:r w:rsidR="002807C5">
        <w:t xml:space="preserve"> and individual partner organisation levels. </w:t>
      </w:r>
      <w:proofErr w:type="gramStart"/>
      <w:r w:rsidR="002807C5">
        <w:t>In particular, it</w:t>
      </w:r>
      <w:proofErr w:type="gramEnd"/>
      <w:r w:rsidR="002807C5">
        <w:t xml:space="preserve"> shows that</w:t>
      </w:r>
      <w:r w:rsidR="00E3510D">
        <w:t xml:space="preserve">, on average, </w:t>
      </w:r>
      <w:r w:rsidR="002807C5">
        <w:t xml:space="preserve">Research Hubs have tended to attract higher value contributions than Training Centres, particularly in relation to cash contributions (consistent with the discussion above). It also shows that ITTC partner organisations’ average in kind contributions have been consistently </w:t>
      </w:r>
      <w:r w:rsidR="00E3510D">
        <w:t xml:space="preserve">higher than their cash contributions, </w:t>
      </w:r>
      <w:r w:rsidR="002809C0">
        <w:t xml:space="preserve">but </w:t>
      </w:r>
      <w:r w:rsidR="00E3510D">
        <w:t xml:space="preserve">the balance between average </w:t>
      </w:r>
      <w:r w:rsidR="002807C5">
        <w:t>IT</w:t>
      </w:r>
      <w:r w:rsidR="00E3510D">
        <w:t xml:space="preserve">RH partner </w:t>
      </w:r>
      <w:r w:rsidR="002807C5">
        <w:t>orga</w:t>
      </w:r>
      <w:r w:rsidR="00E3510D">
        <w:t>nisations’ cash and in kind contributions has tended to be more even (</w:t>
      </w:r>
      <w:r w:rsidR="00012EDD">
        <w:t xml:space="preserve">with </w:t>
      </w:r>
      <w:r w:rsidR="002809C0">
        <w:t xml:space="preserve">the </w:t>
      </w:r>
      <w:r w:rsidR="00012EDD">
        <w:t>exception</w:t>
      </w:r>
      <w:r w:rsidR="002809C0">
        <w:t xml:space="preserve"> of</w:t>
      </w:r>
      <w:r w:rsidR="00012EDD">
        <w:t xml:space="preserve"> </w:t>
      </w:r>
      <w:r w:rsidR="00E3510D">
        <w:t xml:space="preserve">the 2014 round, </w:t>
      </w:r>
      <w:r w:rsidR="002809C0">
        <w:t>in which</w:t>
      </w:r>
      <w:r w:rsidR="00012EDD">
        <w:t xml:space="preserve"> </w:t>
      </w:r>
      <w:r w:rsidR="00E3510D">
        <w:t xml:space="preserve">one of </w:t>
      </w:r>
      <w:r w:rsidR="002809C0">
        <w:t xml:space="preserve">the </w:t>
      </w:r>
      <w:r w:rsidR="00E3510D">
        <w:t xml:space="preserve">four funded projects </w:t>
      </w:r>
      <w:r w:rsidR="002809C0">
        <w:t>involved</w:t>
      </w:r>
      <w:r w:rsidR="00E3510D">
        <w:t xml:space="preserve"> </w:t>
      </w:r>
      <w:r w:rsidR="00012EDD">
        <w:t xml:space="preserve">a particularly low level of in kind </w:t>
      </w:r>
      <w:r w:rsidR="00160698">
        <w:t>contributions</w:t>
      </w:r>
      <w:r w:rsidR="00E3510D">
        <w:t>).</w:t>
      </w:r>
      <w:r w:rsidR="00012EDD">
        <w:rPr>
          <w:rStyle w:val="FootnoteReference"/>
        </w:rPr>
        <w:footnoteReference w:id="12"/>
      </w:r>
    </w:p>
    <w:p w14:paraId="3AA2B42D" w14:textId="77777777" w:rsidR="002807C5" w:rsidRDefault="002807C5" w:rsidP="000E4A92"/>
    <w:p w14:paraId="4950A64D" w14:textId="55869C01" w:rsidR="000E4A92" w:rsidRDefault="000E4A92" w:rsidP="000E4A92">
      <w:pPr>
        <w:pStyle w:val="Heading4"/>
      </w:pPr>
      <w:bookmarkStart w:id="33" w:name="Figure6"/>
      <w:bookmarkEnd w:id="33"/>
      <w:r w:rsidRPr="006A2C6B">
        <w:t xml:space="preserve">Figure </w:t>
      </w:r>
      <w:r w:rsidR="006A2C6B" w:rsidRPr="006A2C6B">
        <w:t>6</w:t>
      </w:r>
      <w:r w:rsidRPr="006A2C6B">
        <w:t>: Average</w:t>
      </w:r>
      <w:r>
        <w:t xml:space="preserve"> </w:t>
      </w:r>
      <w:r w:rsidR="00CF6BC1">
        <w:t xml:space="preserve">partner organisation </w:t>
      </w:r>
      <w:r>
        <w:t>contributions (funded projects</w:t>
      </w:r>
      <w:r w:rsidR="00CF6BC1">
        <w:t>)</w:t>
      </w:r>
    </w:p>
    <w:p w14:paraId="0D3E0743" w14:textId="27CFEB5D" w:rsidR="00CF646F" w:rsidRPr="000E4A92" w:rsidRDefault="00203A9B" w:rsidP="005D392C">
      <w:pPr>
        <w:rPr>
          <w:sz w:val="20"/>
          <w:szCs w:val="20"/>
        </w:rPr>
      </w:pPr>
      <w:r>
        <w:rPr>
          <w:noProof/>
          <w:sz w:val="20"/>
          <w:szCs w:val="20"/>
          <w:lang w:eastAsia="en-AU"/>
        </w:rPr>
        <w:drawing>
          <wp:inline distT="0" distB="0" distL="0" distR="0" wp14:anchorId="324A1BF7" wp14:editId="12850861">
            <wp:extent cx="5755005" cy="2719070"/>
            <wp:effectExtent l="0" t="0" r="0" b="5080"/>
            <wp:docPr id="20" name="Picture 20" descr="Figure 6 shows the average partner organisation cash and in kind contributions to funded projects, both per project and per organisation, for each round of the ITRH and ITTC from 2012 to 2018." title="Figure 6: Average partner organisation contributions (funde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005" cy="2719070"/>
                    </a:xfrm>
                    <a:prstGeom prst="rect">
                      <a:avLst/>
                    </a:prstGeom>
                    <a:noFill/>
                  </pic:spPr>
                </pic:pic>
              </a:graphicData>
            </a:graphic>
          </wp:inline>
        </w:drawing>
      </w:r>
      <w:r w:rsidR="000E4A92">
        <w:rPr>
          <w:sz w:val="20"/>
          <w:szCs w:val="20"/>
        </w:rPr>
        <w:t>Source: ARC data.</w:t>
      </w:r>
    </w:p>
    <w:p w14:paraId="550AD514" w14:textId="7614EA75" w:rsidR="00E6401F" w:rsidRPr="005D392C" w:rsidRDefault="00E6401F" w:rsidP="005D392C"/>
    <w:p w14:paraId="7302988C" w14:textId="43CC6791" w:rsidR="009706EA" w:rsidRDefault="00441FCB" w:rsidP="009706EA">
      <w:pPr>
        <w:pStyle w:val="Heading2"/>
      </w:pPr>
      <w:bookmarkStart w:id="34" w:name="_Toc13057489"/>
      <w:r>
        <w:t>ITRP support for industry focused research training</w:t>
      </w:r>
      <w:bookmarkEnd w:id="34"/>
    </w:p>
    <w:p w14:paraId="006549B0" w14:textId="6F6CF694" w:rsidR="0092757A" w:rsidRDefault="0092757A" w:rsidP="005D392C"/>
    <w:p w14:paraId="2FD3DE1E" w14:textId="7806534E" w:rsidR="008F6107" w:rsidRDefault="008F6107" w:rsidP="008F6107">
      <w:pPr>
        <w:pStyle w:val="Heading3"/>
      </w:pPr>
      <w:r w:rsidRPr="008F6107">
        <w:t>Number of HDR students and PDR</w:t>
      </w:r>
      <w:r>
        <w:t>s</w:t>
      </w:r>
      <w:r w:rsidRPr="008F6107">
        <w:t xml:space="preserve"> involved</w:t>
      </w:r>
    </w:p>
    <w:p w14:paraId="4B05D7C1" w14:textId="64BA91D8" w:rsidR="008F6107" w:rsidRDefault="008F6107" w:rsidP="005D392C"/>
    <w:p w14:paraId="712E476D" w14:textId="43B3D360" w:rsidR="00D95358" w:rsidRDefault="00DD7076" w:rsidP="005D392C">
      <w:r>
        <w:t xml:space="preserve">ARC data collections </w:t>
      </w:r>
      <w:r w:rsidR="00EB0681">
        <w:t>do</w:t>
      </w:r>
      <w:r>
        <w:t xml:space="preserve"> not currently provide for accurate reporting on the total </w:t>
      </w:r>
      <w:r w:rsidR="00D155C7">
        <w:t>number of HDR students a</w:t>
      </w:r>
      <w:r w:rsidR="00D95358">
        <w:t xml:space="preserve">nd PDRs involved over the life of each Research Hub and Training Centre. </w:t>
      </w:r>
      <w:r w:rsidR="00336BFC">
        <w:t>T</w:t>
      </w:r>
      <w:r w:rsidR="00D95358">
        <w:t xml:space="preserve">his is an especially important issue for monitoring the performance of the ITTC </w:t>
      </w:r>
      <w:r>
        <w:t xml:space="preserve">(which has an </w:t>
      </w:r>
      <w:r w:rsidR="00934211">
        <w:t>objective to ‘</w:t>
      </w:r>
      <w:r w:rsidR="00934211" w:rsidRPr="00934211">
        <w:t>support opportunities for HDR candidates and postdoctoral researchers to pursue industrial training</w:t>
      </w:r>
      <w:r w:rsidR="00934211">
        <w:t>’</w:t>
      </w:r>
      <w:r w:rsidR="00D95358">
        <w:t xml:space="preserve">), </w:t>
      </w:r>
      <w:r w:rsidR="00336BFC">
        <w:t>but</w:t>
      </w:r>
      <w:r w:rsidR="00D95358">
        <w:t xml:space="preserve"> is also relevant to the </w:t>
      </w:r>
      <w:r>
        <w:t>ITRH (which can support industrial research training, but does not have a specific objective to do so</w:t>
      </w:r>
      <w:r w:rsidR="00D95358">
        <w:t>).</w:t>
      </w:r>
    </w:p>
    <w:p w14:paraId="5E3132E5" w14:textId="70636669" w:rsidR="00D95358" w:rsidRDefault="00D95358" w:rsidP="005D392C"/>
    <w:p w14:paraId="305CC46E" w14:textId="76E5B119" w:rsidR="00D95358" w:rsidRDefault="00294C2E" w:rsidP="005D392C">
      <w:r>
        <w:t xml:space="preserve">The </w:t>
      </w:r>
      <w:r w:rsidR="00336BFC">
        <w:t xml:space="preserve">funding rules and grant guidelines </w:t>
      </w:r>
      <w:r>
        <w:t xml:space="preserve">for all ITTC rounds since 2013 have reflected </w:t>
      </w:r>
      <w:r w:rsidR="00D12068">
        <w:t>the</w:t>
      </w:r>
      <w:r>
        <w:t xml:space="preserve"> intention that </w:t>
      </w:r>
      <w:r w:rsidR="00D12068">
        <w:t xml:space="preserve">ARC funding for each Training Centre should support </w:t>
      </w:r>
      <w:r>
        <w:t xml:space="preserve">stipends for </w:t>
      </w:r>
      <w:r w:rsidR="00D12068">
        <w:t>at</w:t>
      </w:r>
      <w:r>
        <w:t xml:space="preserve"> least ten HDR candidates and salaries for at least three PDRs.</w:t>
      </w:r>
      <w:r w:rsidR="00D12068">
        <w:rPr>
          <w:rStyle w:val="FootnoteReference"/>
        </w:rPr>
        <w:footnoteReference w:id="13"/>
      </w:r>
      <w:r w:rsidR="00D12068">
        <w:t xml:space="preserve"> </w:t>
      </w:r>
      <w:r w:rsidR="009A0C98">
        <w:t>Since</w:t>
      </w:r>
      <w:r w:rsidR="000A2A03">
        <w:t xml:space="preserve"> the 2016 ITTC round, </w:t>
      </w:r>
      <w:r w:rsidR="009A0C98">
        <w:t xml:space="preserve">applicants have been asked for how many </w:t>
      </w:r>
      <w:r w:rsidR="000A2A03">
        <w:t xml:space="preserve">HDR students and PDRs </w:t>
      </w:r>
      <w:r w:rsidR="009A0C98">
        <w:t xml:space="preserve">ARC </w:t>
      </w:r>
      <w:r w:rsidR="000A2A03">
        <w:t>funding was</w:t>
      </w:r>
      <w:r w:rsidR="009A0C98">
        <w:t xml:space="preserve"> requested</w:t>
      </w:r>
      <w:r w:rsidR="000A2A03">
        <w:t>. Across the three</w:t>
      </w:r>
      <w:r w:rsidR="009A0C98">
        <w:t xml:space="preserve"> subsequently</w:t>
      </w:r>
      <w:r w:rsidR="000A2A03">
        <w:t xml:space="preserve"> completed ITTC rounds (2016 C, 2017 C and 2018 C), successful applications requested funding for an average of</w:t>
      </w:r>
      <w:r w:rsidR="00747416">
        <w:t xml:space="preserve"> 12.2 HDR students and 3.9 PDRs.</w:t>
      </w:r>
      <w:r w:rsidR="000A2A03">
        <w:rPr>
          <w:rStyle w:val="FootnoteReference"/>
        </w:rPr>
        <w:footnoteReference w:id="14"/>
      </w:r>
      <w:r w:rsidR="000A2A03">
        <w:t xml:space="preserve"> </w:t>
      </w:r>
      <w:r w:rsidR="00747416">
        <w:t xml:space="preserve">However, these data do not </w:t>
      </w:r>
      <w:r w:rsidR="009A0C98">
        <w:t>indicate how many research trainees actually are (or have been) involved.</w:t>
      </w:r>
    </w:p>
    <w:p w14:paraId="1ED6BF29" w14:textId="5ED36BBA" w:rsidR="000A2A03" w:rsidRDefault="000A2A03" w:rsidP="005D392C"/>
    <w:p w14:paraId="6FD8B57B" w14:textId="72B5FF0E" w:rsidR="000A2A03" w:rsidRDefault="009A0C98" w:rsidP="005D392C">
      <w:r>
        <w:t xml:space="preserve">Training </w:t>
      </w:r>
      <w:r w:rsidR="009C5431">
        <w:t>Centres</w:t>
      </w:r>
      <w:r>
        <w:t xml:space="preserve"> and Research </w:t>
      </w:r>
      <w:r w:rsidR="009C5431">
        <w:t>Hubs provide further information on their research training activities through annual progress reports to the ARC, which record their performance against agreed Key Performance Indicator (KPI) targets for each year</w:t>
      </w:r>
      <w:r w:rsidR="00747416">
        <w:t xml:space="preserve"> (for example, number of HDR students enrolled at a Training Centre)</w:t>
      </w:r>
      <w:r w:rsidR="009C5431">
        <w:t xml:space="preserve">. </w:t>
      </w:r>
      <w:r w:rsidR="00747416">
        <w:t>Given that HDR students or PDRs may be enrolled or employed over multiple years, these annual reports cannot be</w:t>
      </w:r>
      <w:r w:rsidR="009C5431">
        <w:t xml:space="preserve"> used to provide</w:t>
      </w:r>
      <w:r w:rsidR="00747416">
        <w:t xml:space="preserve"> reliable</w:t>
      </w:r>
      <w:r w:rsidR="009C5431">
        <w:t xml:space="preserve"> insights on </w:t>
      </w:r>
      <w:r w:rsidR="00747416">
        <w:t xml:space="preserve">levels of </w:t>
      </w:r>
      <w:r w:rsidR="009C5431">
        <w:t>research training activity over the life of a Research Hub or Training Centre.</w:t>
      </w:r>
    </w:p>
    <w:p w14:paraId="5997E199" w14:textId="77777777" w:rsidR="00D95358" w:rsidRDefault="00D95358" w:rsidP="005D392C"/>
    <w:p w14:paraId="72B9B3CB" w14:textId="2DBF598E" w:rsidR="00653E65" w:rsidRDefault="00B623AB" w:rsidP="005D392C">
      <w:r>
        <w:t xml:space="preserve">To enable ARTD Consultants to </w:t>
      </w:r>
      <w:r w:rsidR="00BB116C">
        <w:t>conduct surveys of HDR students and PDRs</w:t>
      </w:r>
      <w:r>
        <w:t xml:space="preserve"> as</w:t>
      </w:r>
      <w:r w:rsidR="00E258CF">
        <w:t xml:space="preserve"> part of this evaluation, the ARC </w:t>
      </w:r>
      <w:r>
        <w:t>sought contact details</w:t>
      </w:r>
      <w:r w:rsidR="00E258CF">
        <w:t xml:space="preserve"> for ‘</w:t>
      </w:r>
      <w:r w:rsidR="00E258CF" w:rsidRPr="00256C55">
        <w:t>all current and past research trainees involved in</w:t>
      </w:r>
      <w:r w:rsidR="00E258CF">
        <w:t>’ each Research Hub and Training Centre</w:t>
      </w:r>
      <w:r>
        <w:t xml:space="preserve">. </w:t>
      </w:r>
      <w:r w:rsidR="007933F8">
        <w:t>T</w:t>
      </w:r>
      <w:r>
        <w:t xml:space="preserve">he data </w:t>
      </w:r>
      <w:r w:rsidR="009A0C98">
        <w:t xml:space="preserve">from </w:t>
      </w:r>
      <w:r>
        <w:t xml:space="preserve">Research Hubs and Training Centres </w:t>
      </w:r>
      <w:r w:rsidR="00550DFF">
        <w:t xml:space="preserve">that provided responses </w:t>
      </w:r>
      <w:r>
        <w:t xml:space="preserve">give </w:t>
      </w:r>
      <w:r w:rsidR="009A0C98">
        <w:t>a very rough</w:t>
      </w:r>
      <w:r>
        <w:t xml:space="preserve"> indication of the scale of research training supported by the ITRP</w:t>
      </w:r>
      <w:r w:rsidR="009A0C98">
        <w:t>. A</w:t>
      </w:r>
      <w:r w:rsidR="007933F8">
        <w:t xml:space="preserve">s </w:t>
      </w:r>
      <w:r w:rsidR="007933F8" w:rsidRPr="006A2C6B">
        <w:t xml:space="preserve">shown in </w:t>
      </w:r>
      <w:hyperlink w:anchor="Table1" w:history="1">
        <w:r w:rsidR="007933F8" w:rsidRPr="001343A7">
          <w:rPr>
            <w:rStyle w:val="Hyperlink"/>
          </w:rPr>
          <w:t xml:space="preserve">Table </w:t>
        </w:r>
        <w:r w:rsidR="006A2C6B" w:rsidRPr="001343A7">
          <w:rPr>
            <w:rStyle w:val="Hyperlink"/>
          </w:rPr>
          <w:t>1</w:t>
        </w:r>
      </w:hyperlink>
      <w:r w:rsidRPr="006A2C6B">
        <w:t>.</w:t>
      </w:r>
      <w:r w:rsidR="00550DFF" w:rsidRPr="006A2C6B">
        <w:t xml:space="preserve"> Research</w:t>
      </w:r>
      <w:r w:rsidR="00550DFF">
        <w:t xml:space="preserve"> Hubs provided contact details for an average of </w:t>
      </w:r>
      <w:r w:rsidR="00FA6444">
        <w:t>17</w:t>
      </w:r>
      <w:r w:rsidR="00961176">
        <w:t xml:space="preserve"> HDR students and seven</w:t>
      </w:r>
      <w:r w:rsidR="00550DFF">
        <w:t xml:space="preserve"> PDRs, while the numbers for Training Centres were 15 and </w:t>
      </w:r>
      <w:r w:rsidR="00961176">
        <w:t>five</w:t>
      </w:r>
      <w:r w:rsidR="00550DFF">
        <w:t>, respectively.</w:t>
      </w:r>
    </w:p>
    <w:p w14:paraId="7D0F54CB" w14:textId="77777777" w:rsidR="00653E65" w:rsidRDefault="00653E65" w:rsidP="005D392C"/>
    <w:p w14:paraId="4AE01A71" w14:textId="00D27300" w:rsidR="00747416" w:rsidRDefault="00747416">
      <w:r>
        <w:t>N</w:t>
      </w:r>
      <w:r w:rsidR="00092264">
        <w:t>ote that t</w:t>
      </w:r>
      <w:r w:rsidR="00653E65">
        <w:t>he ARC’s request did</w:t>
      </w:r>
      <w:r w:rsidR="00CF17AC">
        <w:t xml:space="preserve"> not</w:t>
      </w:r>
      <w:r w:rsidR="00653E65">
        <w:t xml:space="preserve"> </w:t>
      </w:r>
      <w:r>
        <w:t>ask</w:t>
      </w:r>
      <w:r w:rsidR="00CF17AC">
        <w:t xml:space="preserve"> Research Hubs and Training Centres to identify whether the contacts were </w:t>
      </w:r>
      <w:r>
        <w:t>cur</w:t>
      </w:r>
      <w:r w:rsidR="00CF17AC">
        <w:t>rent or</w:t>
      </w:r>
      <w:r>
        <w:t xml:space="preserve"> past</w:t>
      </w:r>
      <w:r w:rsidR="00550DFF">
        <w:t xml:space="preserve"> </w:t>
      </w:r>
      <w:r>
        <w:t>research trainees</w:t>
      </w:r>
      <w:r w:rsidR="00CF17AC">
        <w:t xml:space="preserve">, or to elaborate on the </w:t>
      </w:r>
      <w:r w:rsidR="00550DFF">
        <w:t xml:space="preserve">nature of </w:t>
      </w:r>
      <w:r w:rsidR="00CF17AC">
        <w:t>their</w:t>
      </w:r>
      <w:r w:rsidR="00550DFF">
        <w:t xml:space="preserve"> involvement</w:t>
      </w:r>
      <w:r w:rsidR="00CF17AC">
        <w:t xml:space="preserve"> (that is, whether they were</w:t>
      </w:r>
      <w:r w:rsidR="00550DFF">
        <w:t xml:space="preserve"> </w:t>
      </w:r>
      <w:r w:rsidR="00653E65">
        <w:t>enrolled</w:t>
      </w:r>
      <w:r w:rsidR="00CF17AC">
        <w:t>/employed</w:t>
      </w:r>
      <w:r w:rsidR="00550DFF">
        <w:t>, undertook placements</w:t>
      </w:r>
      <w:r w:rsidR="00CF17AC">
        <w:t>, received mentoring</w:t>
      </w:r>
      <w:r w:rsidR="00550DFF">
        <w:t>,</w:t>
      </w:r>
      <w:r w:rsidR="00653E65">
        <w:t xml:space="preserve"> or </w:t>
      </w:r>
      <w:r w:rsidR="00550DFF">
        <w:t xml:space="preserve">were </w:t>
      </w:r>
      <w:r w:rsidR="00653E65">
        <w:t>involved</w:t>
      </w:r>
      <w:r w:rsidR="00550DFF">
        <w:t xml:space="preserve"> in other way</w:t>
      </w:r>
      <w:r w:rsidR="008F6107">
        <w:t>s</w:t>
      </w:r>
      <w:r w:rsidR="00CF17AC">
        <w:t>)</w:t>
      </w:r>
      <w:r w:rsidR="00550DFF">
        <w:t>.</w:t>
      </w:r>
      <w:r w:rsidR="00CF17AC">
        <w:t xml:space="preserve"> Therefore, these numbers can only be considered as broadly indicative. Some insights into the number of research trainees who undertook placements are provided in the </w:t>
      </w:r>
      <w:r w:rsidR="008850F1">
        <w:t xml:space="preserve">survey responses discussed </w:t>
      </w:r>
      <w:r w:rsidR="008850F1" w:rsidRPr="006A2C6B">
        <w:t>in Appendix 2</w:t>
      </w:r>
      <w:r w:rsidR="008F6107" w:rsidRPr="006A2C6B">
        <w:t>,</w:t>
      </w:r>
      <w:r w:rsidR="00CF17AC">
        <w:t xml:space="preserve"> </w:t>
      </w:r>
      <w:r w:rsidR="008F6107">
        <w:t xml:space="preserve">indicating </w:t>
      </w:r>
      <w:r w:rsidR="008850F1">
        <w:t>an average of five HDR and four PDR placements in Research Hubs, and six HDR and two PDR placements in Training Centres.</w:t>
      </w:r>
      <w:r w:rsidR="008850F1">
        <w:rPr>
          <w:rStyle w:val="FootnoteReference"/>
        </w:rPr>
        <w:footnoteReference w:id="15"/>
      </w:r>
    </w:p>
    <w:p w14:paraId="1BFA6889" w14:textId="77777777" w:rsidR="00CF17AC" w:rsidRPr="006A2C6B" w:rsidRDefault="00CF17AC" w:rsidP="00CF17AC"/>
    <w:p w14:paraId="0E796770" w14:textId="6AE07B9E" w:rsidR="007933F8" w:rsidRDefault="007933F8" w:rsidP="007933F8">
      <w:pPr>
        <w:pStyle w:val="Heading4"/>
      </w:pPr>
      <w:bookmarkStart w:id="35" w:name="Table1"/>
      <w:bookmarkEnd w:id="35"/>
      <w:r w:rsidRPr="006A2C6B">
        <w:t xml:space="preserve">Table </w:t>
      </w:r>
      <w:r w:rsidR="006A2C6B" w:rsidRPr="006A2C6B">
        <w:t>1</w:t>
      </w:r>
      <w:r w:rsidRPr="006A2C6B">
        <w:t>: Average</w:t>
      </w:r>
      <w:r>
        <w:t xml:space="preserve"> number of research trainees involved in Research Hubs and Training Centres</w:t>
      </w:r>
    </w:p>
    <w:tbl>
      <w:tblPr>
        <w:tblStyle w:val="GridTable5Dark-Accent1"/>
        <w:tblW w:w="0" w:type="auto"/>
        <w:tblLook w:val="04A0" w:firstRow="1" w:lastRow="0" w:firstColumn="1" w:lastColumn="0" w:noHBand="0" w:noVBand="1"/>
        <w:tblCaption w:val="Average number of research trainees involved in Research Hubs and Training Centres"/>
        <w:tblDescription w:val="Average number of research trainees involved in Research Hubs and Training Centres"/>
      </w:tblPr>
      <w:tblGrid>
        <w:gridCol w:w="1980"/>
        <w:gridCol w:w="3529"/>
        <w:gridCol w:w="3529"/>
      </w:tblGrid>
      <w:tr w:rsidR="007933F8" w14:paraId="440C312D" w14:textId="77777777" w:rsidTr="00167D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69F9643D" w14:textId="77777777" w:rsidR="007933F8" w:rsidRPr="00172462" w:rsidRDefault="007933F8" w:rsidP="00172462">
            <w:pPr>
              <w:spacing w:before="120" w:after="120"/>
              <w:jc w:val="center"/>
              <w:rPr>
                <w:sz w:val="22"/>
              </w:rPr>
            </w:pPr>
          </w:p>
        </w:tc>
        <w:tc>
          <w:tcPr>
            <w:tcW w:w="3529" w:type="dxa"/>
          </w:tcPr>
          <w:p w14:paraId="1F875A05" w14:textId="18C3FA2B" w:rsidR="007933F8" w:rsidRPr="00172462" w:rsidRDefault="007933F8" w:rsidP="00172462">
            <w:pPr>
              <w:spacing w:before="120" w:after="120"/>
              <w:jc w:val="center"/>
              <w:cnfStyle w:val="100000000000" w:firstRow="1" w:lastRow="0" w:firstColumn="0" w:lastColumn="0" w:oddVBand="0" w:evenVBand="0" w:oddHBand="0" w:evenHBand="0" w:firstRowFirstColumn="0" w:firstRowLastColumn="0" w:lastRowFirstColumn="0" w:lastRowLastColumn="0"/>
              <w:rPr>
                <w:sz w:val="22"/>
              </w:rPr>
            </w:pPr>
            <w:r w:rsidRPr="00172462">
              <w:rPr>
                <w:sz w:val="22"/>
              </w:rPr>
              <w:t>ITRH</w:t>
            </w:r>
          </w:p>
        </w:tc>
        <w:tc>
          <w:tcPr>
            <w:tcW w:w="3529" w:type="dxa"/>
          </w:tcPr>
          <w:p w14:paraId="26952DD6" w14:textId="588D2A3A" w:rsidR="007933F8" w:rsidRPr="00172462" w:rsidRDefault="007933F8" w:rsidP="00172462">
            <w:pPr>
              <w:spacing w:before="120" w:after="120"/>
              <w:jc w:val="center"/>
              <w:cnfStyle w:val="100000000000" w:firstRow="1" w:lastRow="0" w:firstColumn="0" w:lastColumn="0" w:oddVBand="0" w:evenVBand="0" w:oddHBand="0" w:evenHBand="0" w:firstRowFirstColumn="0" w:firstRowLastColumn="0" w:lastRowFirstColumn="0" w:lastRowLastColumn="0"/>
              <w:rPr>
                <w:sz w:val="22"/>
              </w:rPr>
            </w:pPr>
            <w:r w:rsidRPr="00172462">
              <w:rPr>
                <w:sz w:val="22"/>
              </w:rPr>
              <w:t>ITTC</w:t>
            </w:r>
          </w:p>
        </w:tc>
      </w:tr>
      <w:tr w:rsidR="007933F8" w14:paraId="3E565AC6" w14:textId="77777777" w:rsidTr="007933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C75B4C" w14:textId="5A2F6A78" w:rsidR="007933F8" w:rsidRPr="00172462" w:rsidRDefault="007933F8" w:rsidP="007933F8">
            <w:pPr>
              <w:jc w:val="center"/>
              <w:rPr>
                <w:sz w:val="22"/>
              </w:rPr>
            </w:pPr>
            <w:r w:rsidRPr="00172462">
              <w:rPr>
                <w:sz w:val="22"/>
              </w:rPr>
              <w:t>HDR</w:t>
            </w:r>
          </w:p>
        </w:tc>
        <w:tc>
          <w:tcPr>
            <w:tcW w:w="3529" w:type="dxa"/>
          </w:tcPr>
          <w:p w14:paraId="5506452E" w14:textId="15FA3E7F" w:rsidR="007933F8" w:rsidRPr="00172462" w:rsidRDefault="007933F8" w:rsidP="00172462">
            <w:pPr>
              <w:spacing w:after="120"/>
              <w:jc w:val="center"/>
              <w:cnfStyle w:val="000000100000" w:firstRow="0" w:lastRow="0" w:firstColumn="0" w:lastColumn="0" w:oddVBand="0" w:evenVBand="0" w:oddHBand="1" w:evenHBand="0" w:firstRowFirstColumn="0" w:firstRowLastColumn="0" w:lastRowFirstColumn="0" w:lastRowLastColumn="0"/>
              <w:rPr>
                <w:sz w:val="22"/>
              </w:rPr>
            </w:pPr>
            <w:r w:rsidRPr="00172462">
              <w:rPr>
                <w:sz w:val="22"/>
              </w:rPr>
              <w:t>16.6</w:t>
            </w:r>
          </w:p>
        </w:tc>
        <w:tc>
          <w:tcPr>
            <w:tcW w:w="3529" w:type="dxa"/>
          </w:tcPr>
          <w:p w14:paraId="6C98D5FE" w14:textId="634BA893" w:rsidR="007933F8" w:rsidRPr="00172462" w:rsidRDefault="007933F8" w:rsidP="00172462">
            <w:pPr>
              <w:spacing w:after="120"/>
              <w:jc w:val="center"/>
              <w:cnfStyle w:val="000000100000" w:firstRow="0" w:lastRow="0" w:firstColumn="0" w:lastColumn="0" w:oddVBand="0" w:evenVBand="0" w:oddHBand="1" w:evenHBand="0" w:firstRowFirstColumn="0" w:firstRowLastColumn="0" w:lastRowFirstColumn="0" w:lastRowLastColumn="0"/>
              <w:rPr>
                <w:sz w:val="22"/>
              </w:rPr>
            </w:pPr>
            <w:r w:rsidRPr="00172462">
              <w:rPr>
                <w:sz w:val="22"/>
              </w:rPr>
              <w:t>15.0</w:t>
            </w:r>
          </w:p>
        </w:tc>
      </w:tr>
      <w:tr w:rsidR="007933F8" w14:paraId="5070207E" w14:textId="77777777" w:rsidTr="007933F8">
        <w:tc>
          <w:tcPr>
            <w:cnfStyle w:val="001000000000" w:firstRow="0" w:lastRow="0" w:firstColumn="1" w:lastColumn="0" w:oddVBand="0" w:evenVBand="0" w:oddHBand="0" w:evenHBand="0" w:firstRowFirstColumn="0" w:firstRowLastColumn="0" w:lastRowFirstColumn="0" w:lastRowLastColumn="0"/>
            <w:tcW w:w="1980" w:type="dxa"/>
          </w:tcPr>
          <w:p w14:paraId="11E52E2E" w14:textId="58AE6E3E" w:rsidR="007933F8" w:rsidRPr="00172462" w:rsidRDefault="007933F8" w:rsidP="007933F8">
            <w:pPr>
              <w:jc w:val="center"/>
              <w:rPr>
                <w:sz w:val="22"/>
              </w:rPr>
            </w:pPr>
            <w:r w:rsidRPr="00172462">
              <w:rPr>
                <w:sz w:val="22"/>
              </w:rPr>
              <w:t>PDR</w:t>
            </w:r>
          </w:p>
        </w:tc>
        <w:tc>
          <w:tcPr>
            <w:tcW w:w="3529" w:type="dxa"/>
          </w:tcPr>
          <w:p w14:paraId="202962CB" w14:textId="7E3DBD03" w:rsidR="007933F8" w:rsidRPr="00172462" w:rsidRDefault="007933F8" w:rsidP="00172462">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172462">
              <w:rPr>
                <w:sz w:val="22"/>
              </w:rPr>
              <w:t>7.4</w:t>
            </w:r>
          </w:p>
        </w:tc>
        <w:tc>
          <w:tcPr>
            <w:tcW w:w="3529" w:type="dxa"/>
          </w:tcPr>
          <w:p w14:paraId="6EBFD58B" w14:textId="1B174754" w:rsidR="007933F8" w:rsidRPr="00172462" w:rsidRDefault="007933F8" w:rsidP="00172462">
            <w:pPr>
              <w:spacing w:after="120"/>
              <w:jc w:val="center"/>
              <w:cnfStyle w:val="000000000000" w:firstRow="0" w:lastRow="0" w:firstColumn="0" w:lastColumn="0" w:oddVBand="0" w:evenVBand="0" w:oddHBand="0" w:evenHBand="0" w:firstRowFirstColumn="0" w:firstRowLastColumn="0" w:lastRowFirstColumn="0" w:lastRowLastColumn="0"/>
              <w:rPr>
                <w:sz w:val="22"/>
              </w:rPr>
            </w:pPr>
            <w:r w:rsidRPr="00172462">
              <w:rPr>
                <w:sz w:val="22"/>
              </w:rPr>
              <w:t>4.9</w:t>
            </w:r>
          </w:p>
        </w:tc>
      </w:tr>
    </w:tbl>
    <w:p w14:paraId="7BD494C4" w14:textId="1ED48A4F" w:rsidR="007933F8" w:rsidRPr="00182F89" w:rsidRDefault="007933F8" w:rsidP="007933F8">
      <w:pPr>
        <w:rPr>
          <w:sz w:val="20"/>
          <w:szCs w:val="20"/>
        </w:rPr>
      </w:pPr>
      <w:r w:rsidRPr="00FA63EB">
        <w:rPr>
          <w:sz w:val="20"/>
          <w:szCs w:val="20"/>
        </w:rPr>
        <w:t>Source: ARC data.</w:t>
      </w:r>
      <w:r>
        <w:rPr>
          <w:sz w:val="20"/>
          <w:szCs w:val="20"/>
        </w:rPr>
        <w:t xml:space="preserve"> </w:t>
      </w:r>
      <w:r w:rsidRPr="00182F89">
        <w:rPr>
          <w:i/>
          <w:sz w:val="20"/>
          <w:szCs w:val="20"/>
        </w:rPr>
        <w:t xml:space="preserve">Note: Data derived from contact </w:t>
      </w:r>
      <w:r>
        <w:rPr>
          <w:i/>
          <w:sz w:val="20"/>
          <w:szCs w:val="20"/>
        </w:rPr>
        <w:t xml:space="preserve">details </w:t>
      </w:r>
      <w:r w:rsidRPr="00182F89">
        <w:rPr>
          <w:i/>
          <w:sz w:val="20"/>
          <w:szCs w:val="20"/>
        </w:rPr>
        <w:t>provided to the ARC by Research Hubs</w:t>
      </w:r>
      <w:r>
        <w:rPr>
          <w:i/>
          <w:sz w:val="20"/>
          <w:szCs w:val="20"/>
        </w:rPr>
        <w:t xml:space="preserve"> (n=19) and </w:t>
      </w:r>
      <w:r w:rsidRPr="00182F89">
        <w:rPr>
          <w:i/>
          <w:sz w:val="20"/>
          <w:szCs w:val="20"/>
        </w:rPr>
        <w:t>Training Centres</w:t>
      </w:r>
      <w:r>
        <w:rPr>
          <w:i/>
          <w:sz w:val="20"/>
          <w:szCs w:val="20"/>
        </w:rPr>
        <w:t xml:space="preserve"> (n=14)</w:t>
      </w:r>
      <w:r w:rsidRPr="00182F89">
        <w:rPr>
          <w:i/>
          <w:sz w:val="20"/>
          <w:szCs w:val="20"/>
        </w:rPr>
        <w:t xml:space="preserve"> </w:t>
      </w:r>
      <w:r>
        <w:rPr>
          <w:i/>
          <w:sz w:val="20"/>
          <w:szCs w:val="20"/>
        </w:rPr>
        <w:t>to enable</w:t>
      </w:r>
      <w:r w:rsidRPr="00182F89">
        <w:rPr>
          <w:i/>
          <w:sz w:val="20"/>
          <w:szCs w:val="20"/>
        </w:rPr>
        <w:t xml:space="preserve"> </w:t>
      </w:r>
      <w:r>
        <w:rPr>
          <w:i/>
          <w:sz w:val="20"/>
          <w:szCs w:val="20"/>
        </w:rPr>
        <w:t>HDR and PDR surveys</w:t>
      </w:r>
      <w:r w:rsidR="00077B3E">
        <w:rPr>
          <w:i/>
          <w:sz w:val="20"/>
          <w:szCs w:val="20"/>
        </w:rPr>
        <w:t xml:space="preserve"> to be</w:t>
      </w:r>
      <w:r>
        <w:rPr>
          <w:i/>
          <w:sz w:val="20"/>
          <w:szCs w:val="20"/>
        </w:rPr>
        <w:t xml:space="preserve"> conducted</w:t>
      </w:r>
      <w:r w:rsidRPr="00182F89">
        <w:rPr>
          <w:i/>
          <w:sz w:val="20"/>
          <w:szCs w:val="20"/>
        </w:rPr>
        <w:t xml:space="preserve"> by </w:t>
      </w:r>
      <w:r>
        <w:rPr>
          <w:i/>
          <w:sz w:val="20"/>
          <w:szCs w:val="20"/>
        </w:rPr>
        <w:t>ARTD Consultants.</w:t>
      </w:r>
    </w:p>
    <w:p w14:paraId="3AA6219F" w14:textId="3CA3FB58" w:rsidR="007933F8" w:rsidRDefault="007933F8" w:rsidP="007933F8"/>
    <w:p w14:paraId="21EE42C1" w14:textId="7BD51041" w:rsidR="00C76DFB" w:rsidRDefault="00A959CC" w:rsidP="005D392C">
      <w:r>
        <w:t xml:space="preserve">To support improved monitoring and evaluation of </w:t>
      </w:r>
      <w:r w:rsidR="00365D64">
        <w:t xml:space="preserve">ITRP </w:t>
      </w:r>
      <w:r>
        <w:t>support for industry focused research training, the ARC may wish to consider collecting further information through</w:t>
      </w:r>
      <w:r w:rsidR="00365D64">
        <w:t xml:space="preserve"> Training Centre and Research Hub</w:t>
      </w:r>
      <w:r>
        <w:t xml:space="preserve"> final reports. This </w:t>
      </w:r>
      <w:r w:rsidR="00365D64">
        <w:t>should</w:t>
      </w:r>
      <w:r>
        <w:t xml:space="preserve"> include data on the total number of HDR students and PDRs who participated over the life of the </w:t>
      </w:r>
      <w:r w:rsidR="009A6A80">
        <w:t>Training Centre or Research Hub</w:t>
      </w:r>
      <w:r>
        <w:t>, the nature of their involvement (enrolled, employed, placement, mentoring or other involvement), whether they completed their training, and whether they were supported by ARC funding, partner organisation contributions, or other sources.</w:t>
      </w:r>
    </w:p>
    <w:p w14:paraId="7BCE8B23" w14:textId="2B489497" w:rsidR="00A91F62" w:rsidRDefault="00A91F62" w:rsidP="005D392C"/>
    <w:p w14:paraId="1A792C31" w14:textId="2B464638" w:rsidR="00A91F62" w:rsidRDefault="00FF6859" w:rsidP="005D392C">
      <w:r>
        <w:t>W</w:t>
      </w:r>
      <w:r w:rsidR="00A91F62">
        <w:t>hile t</w:t>
      </w:r>
      <w:r w:rsidR="00A91F62" w:rsidRPr="00A91F62">
        <w:t>he outcomes of</w:t>
      </w:r>
      <w:r>
        <w:t xml:space="preserve"> ITRP funded research activity we</w:t>
      </w:r>
      <w:r w:rsidR="00A91F62" w:rsidRPr="00A91F62">
        <w:t>re outs</w:t>
      </w:r>
      <w:r w:rsidR="00A91F62">
        <w:t>ide the scope of th</w:t>
      </w:r>
      <w:r>
        <w:t>is</w:t>
      </w:r>
      <w:r w:rsidR="00A91F62">
        <w:t xml:space="preserve"> evaluation, the surveys </w:t>
      </w:r>
      <w:r>
        <w:t>conducted with</w:t>
      </w:r>
      <w:r w:rsidR="00A91F62">
        <w:t xml:space="preserve"> HDR students and PDRs </w:t>
      </w:r>
      <w:r>
        <w:t>did ask whether</w:t>
      </w:r>
      <w:r w:rsidR="00A91F62">
        <w:t xml:space="preserve"> they had completed their ITRP supported training, and if so, whether they were in further study or</w:t>
      </w:r>
      <w:r>
        <w:t xml:space="preserve"> employment (and in which sector).</w:t>
      </w:r>
      <w:r>
        <w:rPr>
          <w:rStyle w:val="FootnoteReference"/>
        </w:rPr>
        <w:footnoteReference w:id="16"/>
      </w:r>
      <w:r>
        <w:t xml:space="preserve"> To better understand ITRP research trainees’ </w:t>
      </w:r>
      <w:r w:rsidR="00B804F2">
        <w:t xml:space="preserve">employment and other </w:t>
      </w:r>
      <w:r>
        <w:t>outcomes</w:t>
      </w:r>
      <w:r w:rsidR="00B804F2">
        <w:t>,</w:t>
      </w:r>
      <w:r w:rsidR="002922F2">
        <w:t xml:space="preserve"> and their perspectives on the value of </w:t>
      </w:r>
      <w:r w:rsidR="002A6BCB">
        <w:t>participation in the ITRP</w:t>
      </w:r>
      <w:r>
        <w:t xml:space="preserve">, the ARC </w:t>
      </w:r>
      <w:r w:rsidR="002922F2">
        <w:t xml:space="preserve">may wish to consider </w:t>
      </w:r>
      <w:r>
        <w:t xml:space="preserve">building upon these survey questions to </w:t>
      </w:r>
      <w:r w:rsidR="002A6BCB">
        <w:t>inform</w:t>
      </w:r>
      <w:r>
        <w:t xml:space="preserve"> </w:t>
      </w:r>
      <w:r w:rsidR="002A6BCB">
        <w:t xml:space="preserve">more detailed and targeted </w:t>
      </w:r>
      <w:r>
        <w:t>surveys with HDR students and PDRs in</w:t>
      </w:r>
      <w:r w:rsidR="002A6BCB">
        <w:t xml:space="preserve"> future.</w:t>
      </w:r>
    </w:p>
    <w:p w14:paraId="3650770D" w14:textId="77777777" w:rsidR="00A91F62" w:rsidRDefault="00A91F62" w:rsidP="005D392C"/>
    <w:p w14:paraId="33988508" w14:textId="336255E8" w:rsidR="009706EA" w:rsidRDefault="00441FCB" w:rsidP="009706EA">
      <w:pPr>
        <w:pStyle w:val="Heading2"/>
      </w:pPr>
      <w:bookmarkStart w:id="36" w:name="_Toc13057490"/>
      <w:r>
        <w:t>Engagement with Industry Growth Centres</w:t>
      </w:r>
      <w:bookmarkEnd w:id="36"/>
    </w:p>
    <w:p w14:paraId="6225AF64" w14:textId="4F52AB88" w:rsidR="0092757A" w:rsidRPr="005D392C" w:rsidRDefault="0092757A" w:rsidP="005D392C"/>
    <w:p w14:paraId="726B7DE2" w14:textId="03B9D005" w:rsidR="004342E1" w:rsidRDefault="00393B33" w:rsidP="00A435E8">
      <w:r>
        <w:t xml:space="preserve">Stakeholder feedback </w:t>
      </w:r>
      <w:r w:rsidR="006E7F40">
        <w:t>indicated</w:t>
      </w:r>
      <w:r>
        <w:t xml:space="preserve"> </w:t>
      </w:r>
      <w:r w:rsidR="005A428A">
        <w:t xml:space="preserve">some uncertainty </w:t>
      </w:r>
      <w:r>
        <w:t>and a need for greater clarity regarding aspects of the Growth Centres</w:t>
      </w:r>
      <w:r w:rsidR="00EC2A86">
        <w:t>’ role</w:t>
      </w:r>
      <w:r>
        <w:t xml:space="preserve"> in the ITRP </w:t>
      </w:r>
      <w:r w:rsidR="00EC2A86">
        <w:t xml:space="preserve">application and assessment </w:t>
      </w:r>
      <w:r>
        <w:t>process</w:t>
      </w:r>
      <w:r w:rsidR="00EC2A86">
        <w:t>es</w:t>
      </w:r>
      <w:r w:rsidR="00A435E8">
        <w:t>, including whether they play an advocacy role or are involved in assessing applications</w:t>
      </w:r>
      <w:r>
        <w:t>.</w:t>
      </w:r>
      <w:r>
        <w:rPr>
          <w:rStyle w:val="FootnoteReference"/>
        </w:rPr>
        <w:footnoteReference w:id="17"/>
      </w:r>
      <w:r w:rsidR="004342E1">
        <w:t xml:space="preserve"> </w:t>
      </w:r>
      <w:r w:rsidR="00C55FDA">
        <w:t>T</w:t>
      </w:r>
      <w:r w:rsidR="004342E1">
        <w:t xml:space="preserve">he </w:t>
      </w:r>
      <w:r w:rsidR="00C55FDA">
        <w:t xml:space="preserve">ITRP </w:t>
      </w:r>
      <w:r w:rsidR="004342E1">
        <w:t>funding rules for funding commencing in 2018 did state that applications ‘may be subject to additional assessment, such as…consultation with the Industry Growth Centres’,</w:t>
      </w:r>
      <w:r w:rsidR="004342E1">
        <w:rPr>
          <w:rStyle w:val="FootnoteReference"/>
        </w:rPr>
        <w:footnoteReference w:id="18"/>
      </w:r>
      <w:r w:rsidR="004342E1">
        <w:t xml:space="preserve"> </w:t>
      </w:r>
      <w:r w:rsidR="00C55FDA">
        <w:t xml:space="preserve">but </w:t>
      </w:r>
      <w:r w:rsidR="004342E1">
        <w:t xml:space="preserve">they did not elaborate on what this entailed. </w:t>
      </w:r>
    </w:p>
    <w:p w14:paraId="168AE625" w14:textId="77777777" w:rsidR="004342E1" w:rsidRDefault="004342E1" w:rsidP="00A435E8"/>
    <w:p w14:paraId="53E3AFBA" w14:textId="45F6ABC3" w:rsidR="00A435E8" w:rsidRDefault="00AE4897" w:rsidP="00A435E8">
      <w:r>
        <w:t>This</w:t>
      </w:r>
      <w:r w:rsidR="00C55FDA">
        <w:t xml:space="preserve"> lack of clarity</w:t>
      </w:r>
      <w:r>
        <w:t xml:space="preserve"> has been addressed in the</w:t>
      </w:r>
      <w:r w:rsidR="00A435E8">
        <w:t xml:space="preserve"> latest ITRP grant guidelines</w:t>
      </w:r>
      <w:r w:rsidR="004342E1">
        <w:t xml:space="preserve"> (for funding commencing in 2019), </w:t>
      </w:r>
      <w:r>
        <w:t xml:space="preserve">which </w:t>
      </w:r>
      <w:r w:rsidR="00A435E8">
        <w:t xml:space="preserve">provide the following advice regarding the </w:t>
      </w:r>
      <w:r w:rsidR="004342E1">
        <w:t>provision of</w:t>
      </w:r>
      <w:r w:rsidR="00C55FDA">
        <w:t xml:space="preserve"> applications</w:t>
      </w:r>
      <w:r w:rsidR="00A435E8">
        <w:t xml:space="preserve"> to Growth Centres during the assessment process: </w:t>
      </w:r>
    </w:p>
    <w:p w14:paraId="066EAC22" w14:textId="77777777" w:rsidR="004342E1" w:rsidRPr="00C55FDA" w:rsidRDefault="004342E1" w:rsidP="00A435E8"/>
    <w:p w14:paraId="321611C5" w14:textId="76A049FB" w:rsidR="00A435E8" w:rsidRDefault="00674E4B" w:rsidP="00A435E8">
      <w:r>
        <w:rPr>
          <w:i/>
        </w:rPr>
        <w:t>‘</w:t>
      </w:r>
      <w:r w:rsidR="00A435E8" w:rsidRPr="00A435E8">
        <w:rPr>
          <w:i/>
        </w:rPr>
        <w:t>Applications may be provided to the relevant Industry Growth Centre, subject to any Conflicts of Interest. Applications will not be provided to the relevant Industry Growth Centre when that Growth Centre is listed as a Partner Organisation in an application. If asked, the Growth Centre provides comments to [the ARC] on the applications for the [Selection Advisory Committee]’s consideration.</w:t>
      </w:r>
      <w:r>
        <w:rPr>
          <w:i/>
        </w:rPr>
        <w:t>’</w:t>
      </w:r>
      <w:r w:rsidR="00A435E8">
        <w:rPr>
          <w:rStyle w:val="FootnoteReference"/>
        </w:rPr>
        <w:footnoteReference w:id="19"/>
      </w:r>
      <w:r w:rsidR="00A435E8">
        <w:t xml:space="preserve"> </w:t>
      </w:r>
    </w:p>
    <w:p w14:paraId="372670F6" w14:textId="508E2623" w:rsidR="00C5673F" w:rsidRDefault="00C5673F" w:rsidP="00945637"/>
    <w:p w14:paraId="7859E401" w14:textId="4571AA2D" w:rsidR="00C55FDA" w:rsidRDefault="00201AE3" w:rsidP="00945637">
      <w:r>
        <w:t>There may be value in the ARC seeking the views of ITRP stakeholders—through its regular engagement and outreach activities (for example, forums, induction sessions and feedback surveys)—on whether they perceive this advice to have clarified the role of the Growth Centres.</w:t>
      </w:r>
    </w:p>
    <w:p w14:paraId="3085B540" w14:textId="77777777" w:rsidR="00442BA2" w:rsidRPr="005D392C" w:rsidRDefault="00442BA2" w:rsidP="005D392C"/>
    <w:p w14:paraId="614CA727" w14:textId="41F6E3CE" w:rsidR="009706EA" w:rsidRDefault="00441FCB" w:rsidP="009706EA">
      <w:pPr>
        <w:pStyle w:val="Heading2"/>
      </w:pPr>
      <w:bookmarkStart w:id="37" w:name="_Toc13057491"/>
      <w:r>
        <w:t>ITRP fit with other Australian Government programs</w:t>
      </w:r>
      <w:bookmarkEnd w:id="37"/>
    </w:p>
    <w:p w14:paraId="3CDB1B48" w14:textId="355AF190" w:rsidR="005D392C" w:rsidRDefault="005D392C" w:rsidP="005D392C"/>
    <w:p w14:paraId="5608EB8F" w14:textId="0B6BC1BE" w:rsidR="004A6907" w:rsidRDefault="004A6907" w:rsidP="004A6907">
      <w:pPr>
        <w:pStyle w:val="Heading3"/>
      </w:pPr>
      <w:r>
        <w:t>Industrial Transformation Priorities</w:t>
      </w:r>
    </w:p>
    <w:p w14:paraId="0D3D8ADE" w14:textId="1550390F" w:rsidR="004A6907" w:rsidRDefault="004A6907" w:rsidP="005D392C"/>
    <w:p w14:paraId="77596022" w14:textId="0C76059E" w:rsidR="008F52B9" w:rsidRDefault="008628E7" w:rsidP="008628E7">
      <w:r>
        <w:t>The funding rules and grant guidelines for all ITRP rounds (except 2013 C) have required that applications address one or more of the Industrial Transformation Priorities in order to be eligible.</w:t>
      </w:r>
      <w:r w:rsidR="008F52B9">
        <w:t xml:space="preserve"> Addressing the priorities has also been included within in the selection criteria for each round.</w:t>
      </w:r>
      <w:r>
        <w:rPr>
          <w:rStyle w:val="FootnoteReference"/>
        </w:rPr>
        <w:footnoteReference w:id="20"/>
      </w:r>
      <w:r>
        <w:t xml:space="preserve"> </w:t>
      </w:r>
    </w:p>
    <w:p w14:paraId="16CCC2DA" w14:textId="77777777" w:rsidR="008F52B9" w:rsidRDefault="008F52B9" w:rsidP="008628E7"/>
    <w:p w14:paraId="2C4F7690" w14:textId="055C83C5" w:rsidR="008628E7" w:rsidRDefault="008628E7" w:rsidP="008628E7">
      <w:r>
        <w:t xml:space="preserve">The Industrial Transformation Priorities have changed </w:t>
      </w:r>
      <w:proofErr w:type="gramStart"/>
      <w:r>
        <w:t>a number of</w:t>
      </w:r>
      <w:proofErr w:type="gramEnd"/>
      <w:r>
        <w:t xml:space="preserve"> times over the life of the ITRP. These changes are </w:t>
      </w:r>
      <w:r w:rsidRPr="006A2C6B">
        <w:t xml:space="preserve">detailed in </w:t>
      </w:r>
      <w:hyperlink w:anchor="Table2" w:history="1">
        <w:r w:rsidRPr="001343A7">
          <w:rPr>
            <w:rStyle w:val="Hyperlink"/>
          </w:rPr>
          <w:t xml:space="preserve">Table </w:t>
        </w:r>
        <w:r w:rsidR="006A2C6B" w:rsidRPr="001343A7">
          <w:rPr>
            <w:rStyle w:val="Hyperlink"/>
          </w:rPr>
          <w:t>2</w:t>
        </w:r>
      </w:hyperlink>
      <w:r w:rsidRPr="006A2C6B">
        <w:t xml:space="preserve">, </w:t>
      </w:r>
      <w:r w:rsidR="00764AAA" w:rsidRPr="006A2C6B">
        <w:t>where</w:t>
      </w:r>
      <w:r w:rsidRPr="006A2C6B">
        <w:t xml:space="preserve"> the priorities</w:t>
      </w:r>
      <w:r>
        <w:t xml:space="preserve"> for different ITRP rounds </w:t>
      </w:r>
      <w:r w:rsidR="00764AAA">
        <w:t xml:space="preserve">are </w:t>
      </w:r>
      <w:r>
        <w:t>grouped into six broad priority areas</w:t>
      </w:r>
      <w:r w:rsidR="00AD78D8">
        <w:t xml:space="preserve"> </w:t>
      </w:r>
      <w:r w:rsidR="00764AAA">
        <w:t>that</w:t>
      </w:r>
      <w:r w:rsidR="00AD78D8">
        <w:t xml:space="preserve"> have been used </w:t>
      </w:r>
      <w:r w:rsidR="00764AAA">
        <w:t xml:space="preserve">for the purposes of the analysis in this section. </w:t>
      </w:r>
      <w:r>
        <w:t>Initially, there were five priorities</w:t>
      </w:r>
      <w:r w:rsidR="00FA5764">
        <w:t xml:space="preserve"> </w:t>
      </w:r>
      <w:r w:rsidR="0097202E">
        <w:t>in the area of</w:t>
      </w:r>
      <w:r w:rsidR="00FA5764">
        <w:t xml:space="preserve"> Food</w:t>
      </w:r>
      <w:r>
        <w:t xml:space="preserve"> for 2012 H and 2013 C, </w:t>
      </w:r>
      <w:r w:rsidR="00764AAA">
        <w:t>and</w:t>
      </w:r>
      <w:r>
        <w:t xml:space="preserve"> four priorities</w:t>
      </w:r>
      <w:r w:rsidR="0097202E">
        <w:t xml:space="preserve"> in Manufacturing</w:t>
      </w:r>
      <w:r>
        <w:t xml:space="preserve"> </w:t>
      </w:r>
      <w:r w:rsidR="00764AAA">
        <w:t xml:space="preserve">were </w:t>
      </w:r>
      <w:r>
        <w:t>added for 2013 H1 and 2014 C. These were revised from 201</w:t>
      </w:r>
      <w:r w:rsidR="0097202E">
        <w:t>3 H2 and 2015 C to include one F</w:t>
      </w:r>
      <w:r>
        <w:t xml:space="preserve">ood priority and one </w:t>
      </w:r>
      <w:r w:rsidR="0097202E">
        <w:t>M</w:t>
      </w:r>
      <w:r>
        <w:t xml:space="preserve">anufacturing priority, </w:t>
      </w:r>
      <w:r w:rsidR="00764AAA">
        <w:t>along with additional</w:t>
      </w:r>
      <w:r>
        <w:t xml:space="preserve"> priorities</w:t>
      </w:r>
      <w:r w:rsidR="00D031DF">
        <w:t xml:space="preserve"> </w:t>
      </w:r>
      <w:r>
        <w:t xml:space="preserve">in </w:t>
      </w:r>
      <w:r w:rsidR="00D031DF">
        <w:t xml:space="preserve">the areas of </w:t>
      </w:r>
      <w:r w:rsidR="0097202E">
        <w:t>O</w:t>
      </w:r>
      <w:r>
        <w:t xml:space="preserve">il and gas, </w:t>
      </w:r>
      <w:r w:rsidR="0097202E">
        <w:t>M</w:t>
      </w:r>
      <w:r>
        <w:t>in</w:t>
      </w:r>
      <w:r w:rsidR="00D031DF">
        <w:t xml:space="preserve">ing and </w:t>
      </w:r>
      <w:r w:rsidR="0097202E">
        <w:t>M</w:t>
      </w:r>
      <w:r w:rsidR="00D031DF">
        <w:t>edical technology</w:t>
      </w:r>
      <w:r>
        <w:t>. Cyber security was added as a sixth</w:t>
      </w:r>
      <w:r w:rsidR="003B03EE">
        <w:t xml:space="preserve"> priority for 2018 H and 2018 C</w:t>
      </w:r>
      <w:r>
        <w:t>.</w:t>
      </w:r>
    </w:p>
    <w:p w14:paraId="1D977086" w14:textId="620A97D3" w:rsidR="00B41095" w:rsidRDefault="00B41095" w:rsidP="004A6907"/>
    <w:p w14:paraId="627BB098" w14:textId="0DF98041" w:rsidR="004A6907" w:rsidRPr="004A6907" w:rsidRDefault="004A6907" w:rsidP="004A6907">
      <w:pPr>
        <w:pStyle w:val="Heading4"/>
      </w:pPr>
      <w:bookmarkStart w:id="38" w:name="Table2"/>
      <w:bookmarkEnd w:id="38"/>
      <w:r w:rsidRPr="006A2C6B">
        <w:t xml:space="preserve">Table </w:t>
      </w:r>
      <w:r w:rsidR="006A2C6B" w:rsidRPr="006A2C6B">
        <w:t>2</w:t>
      </w:r>
      <w:r w:rsidRPr="006A2C6B">
        <w:t xml:space="preserve">: </w:t>
      </w:r>
      <w:r w:rsidR="0081464C" w:rsidRPr="006A2C6B">
        <w:t>Industrial</w:t>
      </w:r>
      <w:r w:rsidR="0081464C">
        <w:t xml:space="preserve"> Transformation Priorities</w:t>
      </w:r>
    </w:p>
    <w:tbl>
      <w:tblPr>
        <w:tblStyle w:val="GridTable5Dark-Accent1"/>
        <w:tblW w:w="0" w:type="auto"/>
        <w:tblLook w:val="04A0" w:firstRow="1" w:lastRow="0" w:firstColumn="1" w:lastColumn="0" w:noHBand="0" w:noVBand="1"/>
        <w:tblCaption w:val="Industrial Transformation Priorities"/>
        <w:tblDescription w:val="Industrial Transformation Priorities"/>
      </w:tblPr>
      <w:tblGrid>
        <w:gridCol w:w="1646"/>
        <w:gridCol w:w="2744"/>
        <w:gridCol w:w="4648"/>
      </w:tblGrid>
      <w:tr w:rsidR="003C7CF1" w:rsidRPr="004A6907" w14:paraId="5F7D9B0A" w14:textId="77777777" w:rsidTr="00167DA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46" w:type="dxa"/>
            <w:tcBorders>
              <w:bottom w:val="single" w:sz="4" w:space="0" w:color="FFFFFF" w:themeColor="background1"/>
              <w:right w:val="single" w:sz="4" w:space="0" w:color="4F81BD" w:themeColor="accent1"/>
            </w:tcBorders>
          </w:tcPr>
          <w:p w14:paraId="05F11959" w14:textId="7AD52F9B" w:rsidR="003C7CF1" w:rsidRPr="004A6907" w:rsidRDefault="003C7CF1" w:rsidP="00823AC1">
            <w:pPr>
              <w:keepNext/>
              <w:spacing w:before="120" w:after="120"/>
              <w:rPr>
                <w:sz w:val="22"/>
              </w:rPr>
            </w:pPr>
            <w:r>
              <w:rPr>
                <w:sz w:val="22"/>
              </w:rPr>
              <w:t>Priority area</w:t>
            </w:r>
          </w:p>
        </w:tc>
        <w:tc>
          <w:tcPr>
            <w:tcW w:w="2744" w:type="dxa"/>
            <w:tcBorders>
              <w:left w:val="single" w:sz="4" w:space="0" w:color="4F81BD" w:themeColor="accent1"/>
              <w:bottom w:val="single" w:sz="4" w:space="0" w:color="FFFFFF" w:themeColor="background1"/>
              <w:right w:val="single" w:sz="4" w:space="0" w:color="4F81BD" w:themeColor="accent1"/>
            </w:tcBorders>
          </w:tcPr>
          <w:p w14:paraId="05EEE8AA" w14:textId="00F026A3" w:rsidR="003C7CF1" w:rsidRDefault="003C7CF1" w:rsidP="00823AC1">
            <w:pPr>
              <w:keepNext/>
              <w:spacing w:before="120" w:after="120"/>
              <w:cnfStyle w:val="100000000000" w:firstRow="1" w:lastRow="0" w:firstColumn="0" w:lastColumn="0" w:oddVBand="0" w:evenVBand="0" w:oddHBand="0" w:evenHBand="0" w:firstRowFirstColumn="0" w:firstRowLastColumn="0" w:lastRowFirstColumn="0" w:lastRowLastColumn="0"/>
              <w:rPr>
                <w:sz w:val="22"/>
              </w:rPr>
            </w:pPr>
            <w:r>
              <w:rPr>
                <w:sz w:val="22"/>
              </w:rPr>
              <w:t>ITRP rounds</w:t>
            </w:r>
          </w:p>
        </w:tc>
        <w:tc>
          <w:tcPr>
            <w:tcW w:w="4648" w:type="dxa"/>
            <w:tcBorders>
              <w:left w:val="single" w:sz="4" w:space="0" w:color="4F81BD" w:themeColor="accent1"/>
              <w:bottom w:val="single" w:sz="4" w:space="0" w:color="FFFFFF" w:themeColor="background1"/>
            </w:tcBorders>
          </w:tcPr>
          <w:p w14:paraId="7D9BDD16" w14:textId="3CF8B3EC" w:rsidR="003C7CF1" w:rsidRPr="004A6907" w:rsidRDefault="003C7CF1" w:rsidP="00823AC1">
            <w:pPr>
              <w:keepNext/>
              <w:spacing w:before="120" w:after="120"/>
              <w:cnfStyle w:val="100000000000" w:firstRow="1" w:lastRow="0" w:firstColumn="0" w:lastColumn="0" w:oddVBand="0" w:evenVBand="0" w:oddHBand="0" w:evenHBand="0" w:firstRowFirstColumn="0" w:firstRowLastColumn="0" w:lastRowFirstColumn="0" w:lastRowLastColumn="0"/>
              <w:rPr>
                <w:sz w:val="22"/>
              </w:rPr>
            </w:pPr>
            <w:r>
              <w:rPr>
                <w:sz w:val="22"/>
              </w:rPr>
              <w:t>Industrial Transformation Priorities</w:t>
            </w:r>
          </w:p>
        </w:tc>
      </w:tr>
      <w:tr w:rsidR="003C7CF1" w:rsidRPr="004A6907" w14:paraId="34A8F2FC" w14:textId="77777777" w:rsidTr="00823AC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4" w:space="0" w:color="FFFFFF" w:themeColor="background1"/>
            </w:tcBorders>
          </w:tcPr>
          <w:p w14:paraId="6B337060" w14:textId="1CAD3AEA" w:rsidR="003C7CF1" w:rsidRPr="004A6907" w:rsidRDefault="003C7CF1" w:rsidP="00823AC1">
            <w:pPr>
              <w:keepNext/>
              <w:rPr>
                <w:sz w:val="22"/>
              </w:rPr>
            </w:pPr>
            <w:r w:rsidRPr="004A6907">
              <w:rPr>
                <w:sz w:val="22"/>
              </w:rPr>
              <w:t>Food</w:t>
            </w:r>
          </w:p>
        </w:tc>
        <w:tc>
          <w:tcPr>
            <w:tcW w:w="2744" w:type="dxa"/>
            <w:tcBorders>
              <w:top w:val="single" w:sz="4" w:space="0" w:color="FFFFFF" w:themeColor="background1"/>
            </w:tcBorders>
          </w:tcPr>
          <w:p w14:paraId="4475B0DB" w14:textId="01A740B8" w:rsidR="003C7CF1"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Pr>
                <w:sz w:val="22"/>
              </w:rPr>
              <w:t>2012 H; 2013 C</w:t>
            </w:r>
          </w:p>
        </w:tc>
        <w:tc>
          <w:tcPr>
            <w:tcW w:w="4648" w:type="dxa"/>
            <w:tcBorders>
              <w:top w:val="single" w:sz="4" w:space="0" w:color="FFFFFF" w:themeColor="background1"/>
            </w:tcBorders>
          </w:tcPr>
          <w:p w14:paraId="2F6AF0E9" w14:textId="67013928"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Future food storage; Food processing; Manufacturing capabilities; Product opportunities; Other food related research</w:t>
            </w:r>
          </w:p>
        </w:tc>
      </w:tr>
      <w:tr w:rsidR="003C7CF1" w:rsidRPr="004A6907" w14:paraId="51B1505A" w14:textId="77777777" w:rsidTr="00823AC1">
        <w:trPr>
          <w:trHeight w:val="378"/>
        </w:trPr>
        <w:tc>
          <w:tcPr>
            <w:cnfStyle w:val="001000000000" w:firstRow="0" w:lastRow="0" w:firstColumn="1" w:lastColumn="0" w:oddVBand="0" w:evenVBand="0" w:oddHBand="0" w:evenHBand="0" w:firstRowFirstColumn="0" w:firstRowLastColumn="0" w:lastRowFirstColumn="0" w:lastRowLastColumn="0"/>
            <w:tcW w:w="1646" w:type="dxa"/>
            <w:vMerge/>
          </w:tcPr>
          <w:p w14:paraId="5F37AC4F" w14:textId="77777777" w:rsidR="003C7CF1" w:rsidRPr="004A6907" w:rsidRDefault="003C7CF1" w:rsidP="00823AC1">
            <w:pPr>
              <w:keepNext/>
              <w:rPr>
                <w:sz w:val="22"/>
              </w:rPr>
            </w:pPr>
          </w:p>
        </w:tc>
        <w:tc>
          <w:tcPr>
            <w:tcW w:w="2744" w:type="dxa"/>
          </w:tcPr>
          <w:p w14:paraId="3735752A" w14:textId="10832EA8" w:rsidR="003C7CF1"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Pr>
                <w:sz w:val="22"/>
              </w:rPr>
              <w:t>2013 H1; 2014 C</w:t>
            </w:r>
          </w:p>
        </w:tc>
        <w:tc>
          <w:tcPr>
            <w:tcW w:w="4648" w:type="dxa"/>
          </w:tcPr>
          <w:p w14:paraId="75DA45B6" w14:textId="550EF0B4" w:rsidR="003C7CF1"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 xml:space="preserve">Future food </w:t>
            </w:r>
            <w:r w:rsidR="00E8126E">
              <w:rPr>
                <w:sz w:val="22"/>
              </w:rPr>
              <w:t>storage; Food processing; Food m</w:t>
            </w:r>
            <w:r w:rsidRPr="004A6907">
              <w:rPr>
                <w:sz w:val="22"/>
              </w:rPr>
              <w:t>anufacturing capabilities; Product opportunities; Other food related research</w:t>
            </w:r>
          </w:p>
        </w:tc>
      </w:tr>
      <w:tr w:rsidR="003C7CF1" w:rsidRPr="004A6907" w14:paraId="7545B11F" w14:textId="77777777" w:rsidTr="00823AC1">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646" w:type="dxa"/>
            <w:vMerge/>
          </w:tcPr>
          <w:p w14:paraId="1A6462A4" w14:textId="77777777" w:rsidR="003C7CF1" w:rsidRPr="004A6907" w:rsidRDefault="003C7CF1" w:rsidP="00823AC1">
            <w:pPr>
              <w:keepNext/>
              <w:rPr>
                <w:sz w:val="22"/>
              </w:rPr>
            </w:pPr>
          </w:p>
        </w:tc>
        <w:tc>
          <w:tcPr>
            <w:tcW w:w="2744" w:type="dxa"/>
          </w:tcPr>
          <w:p w14:paraId="6358A4B3" w14:textId="7C374355" w:rsidR="003C7CF1"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Pr>
                <w:sz w:val="22"/>
              </w:rPr>
              <w:t>2013 H2; 2014 H; 2015 C</w:t>
            </w:r>
          </w:p>
        </w:tc>
        <w:tc>
          <w:tcPr>
            <w:tcW w:w="4648" w:type="dxa"/>
          </w:tcPr>
          <w:p w14:paraId="1828EE2B" w14:textId="7DB954C1" w:rsidR="003C7CF1"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Food and agriculture</w:t>
            </w:r>
          </w:p>
        </w:tc>
      </w:tr>
      <w:tr w:rsidR="003C7CF1" w:rsidRPr="004A6907" w14:paraId="4CF3E6B4" w14:textId="77777777" w:rsidTr="00823AC1">
        <w:trPr>
          <w:trHeight w:val="325"/>
        </w:trPr>
        <w:tc>
          <w:tcPr>
            <w:cnfStyle w:val="001000000000" w:firstRow="0" w:lastRow="0" w:firstColumn="1" w:lastColumn="0" w:oddVBand="0" w:evenVBand="0" w:oddHBand="0" w:evenHBand="0" w:firstRowFirstColumn="0" w:firstRowLastColumn="0" w:lastRowFirstColumn="0" w:lastRowLastColumn="0"/>
            <w:tcW w:w="1646" w:type="dxa"/>
            <w:vMerge/>
            <w:tcBorders>
              <w:bottom w:val="single" w:sz="4" w:space="0" w:color="FFFFFF" w:themeColor="background1"/>
            </w:tcBorders>
          </w:tcPr>
          <w:p w14:paraId="0DA8F9BC" w14:textId="77777777" w:rsidR="003C7CF1" w:rsidRPr="004A6907" w:rsidRDefault="003C7CF1" w:rsidP="00823AC1">
            <w:pPr>
              <w:keepNext/>
              <w:rPr>
                <w:sz w:val="22"/>
              </w:rPr>
            </w:pPr>
          </w:p>
        </w:tc>
        <w:tc>
          <w:tcPr>
            <w:tcW w:w="2744" w:type="dxa"/>
            <w:tcBorders>
              <w:bottom w:val="single" w:sz="4" w:space="0" w:color="auto"/>
            </w:tcBorders>
          </w:tcPr>
          <w:p w14:paraId="2F2498C3" w14:textId="43F10B04"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2015 H</w:t>
            </w:r>
            <w:r>
              <w:rPr>
                <w:sz w:val="22"/>
              </w:rPr>
              <w:t>;</w:t>
            </w:r>
            <w:r w:rsidRPr="004A6907">
              <w:rPr>
                <w:sz w:val="22"/>
              </w:rPr>
              <w:t xml:space="preserve"> 2016 C</w:t>
            </w:r>
            <w:r>
              <w:rPr>
                <w:sz w:val="22"/>
              </w:rPr>
              <w:t>;</w:t>
            </w:r>
            <w:r w:rsidRPr="004A6907">
              <w:rPr>
                <w:sz w:val="22"/>
              </w:rPr>
              <w:t xml:space="preserve"> 2017 C</w:t>
            </w:r>
            <w:r>
              <w:rPr>
                <w:sz w:val="22"/>
              </w:rPr>
              <w:t>;</w:t>
            </w:r>
            <w:r w:rsidRPr="004A6907">
              <w:rPr>
                <w:sz w:val="22"/>
              </w:rPr>
              <w:t xml:space="preserve"> 2017 H</w:t>
            </w:r>
            <w:r>
              <w:rPr>
                <w:sz w:val="22"/>
              </w:rPr>
              <w:t>;</w:t>
            </w:r>
            <w:r w:rsidRPr="004A6907">
              <w:rPr>
                <w:sz w:val="22"/>
              </w:rPr>
              <w:t xml:space="preserve"> 2018 C</w:t>
            </w:r>
            <w:r>
              <w:rPr>
                <w:sz w:val="22"/>
              </w:rPr>
              <w:t>; 2018 H</w:t>
            </w:r>
          </w:p>
        </w:tc>
        <w:tc>
          <w:tcPr>
            <w:tcW w:w="4648" w:type="dxa"/>
            <w:tcBorders>
              <w:bottom w:val="single" w:sz="4" w:space="0" w:color="auto"/>
            </w:tcBorders>
          </w:tcPr>
          <w:p w14:paraId="2681645C" w14:textId="0DAA6AF9" w:rsidR="003C7CF1"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Food and agribusiness</w:t>
            </w:r>
          </w:p>
        </w:tc>
      </w:tr>
      <w:tr w:rsidR="003C7CF1" w:rsidRPr="004A6907" w14:paraId="2DF5065E" w14:textId="77777777" w:rsidTr="00823AC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4" w:space="0" w:color="FFFFFF" w:themeColor="background1"/>
            </w:tcBorders>
          </w:tcPr>
          <w:p w14:paraId="70B1A6D2" w14:textId="77777777" w:rsidR="003C7CF1" w:rsidRPr="004A6907" w:rsidRDefault="003C7CF1" w:rsidP="00823AC1">
            <w:pPr>
              <w:keepNext/>
              <w:rPr>
                <w:sz w:val="22"/>
              </w:rPr>
            </w:pPr>
            <w:r w:rsidRPr="004A6907">
              <w:rPr>
                <w:sz w:val="22"/>
              </w:rPr>
              <w:t>Manufacturing</w:t>
            </w:r>
          </w:p>
        </w:tc>
        <w:tc>
          <w:tcPr>
            <w:tcW w:w="2744" w:type="dxa"/>
            <w:tcBorders>
              <w:top w:val="single" w:sz="4" w:space="0" w:color="auto"/>
            </w:tcBorders>
          </w:tcPr>
          <w:p w14:paraId="273A1074" w14:textId="71C38987"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2013 H1</w:t>
            </w:r>
            <w:r>
              <w:rPr>
                <w:sz w:val="22"/>
              </w:rPr>
              <w:t>; 2014 C</w:t>
            </w:r>
          </w:p>
        </w:tc>
        <w:tc>
          <w:tcPr>
            <w:tcW w:w="4648" w:type="dxa"/>
            <w:tcBorders>
              <w:top w:val="single" w:sz="4" w:space="0" w:color="auto"/>
            </w:tcBorders>
          </w:tcPr>
          <w:p w14:paraId="14702981" w14:textId="2B26D1FA"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Product design and development; Manufacturing techniques; Defence manufacturing; Firm organisation and management</w:t>
            </w:r>
          </w:p>
        </w:tc>
      </w:tr>
      <w:tr w:rsidR="003C7CF1" w:rsidRPr="004A6907" w14:paraId="1605B7CB" w14:textId="77777777" w:rsidTr="00823AC1">
        <w:trPr>
          <w:trHeight w:val="455"/>
        </w:trPr>
        <w:tc>
          <w:tcPr>
            <w:cnfStyle w:val="001000000000" w:firstRow="0" w:lastRow="0" w:firstColumn="1" w:lastColumn="0" w:oddVBand="0" w:evenVBand="0" w:oddHBand="0" w:evenHBand="0" w:firstRowFirstColumn="0" w:firstRowLastColumn="0" w:lastRowFirstColumn="0" w:lastRowLastColumn="0"/>
            <w:tcW w:w="1646" w:type="dxa"/>
            <w:vMerge/>
          </w:tcPr>
          <w:p w14:paraId="7C2D6AFA" w14:textId="77777777" w:rsidR="003C7CF1" w:rsidRPr="004A6907" w:rsidRDefault="003C7CF1" w:rsidP="00823AC1">
            <w:pPr>
              <w:keepNext/>
              <w:rPr>
                <w:sz w:val="22"/>
              </w:rPr>
            </w:pPr>
          </w:p>
        </w:tc>
        <w:tc>
          <w:tcPr>
            <w:tcW w:w="2744" w:type="dxa"/>
          </w:tcPr>
          <w:p w14:paraId="0BFA71FF" w14:textId="0B7AD22E"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2013 H2</w:t>
            </w:r>
            <w:r>
              <w:rPr>
                <w:sz w:val="22"/>
              </w:rPr>
              <w:t>;</w:t>
            </w:r>
            <w:r w:rsidRPr="004A6907">
              <w:rPr>
                <w:sz w:val="22"/>
              </w:rPr>
              <w:t xml:space="preserve"> 2014 H</w:t>
            </w:r>
            <w:r>
              <w:rPr>
                <w:sz w:val="22"/>
              </w:rPr>
              <w:t>; 2015 C</w:t>
            </w:r>
          </w:p>
        </w:tc>
        <w:tc>
          <w:tcPr>
            <w:tcW w:w="4648" w:type="dxa"/>
          </w:tcPr>
          <w:p w14:paraId="756DF2BA" w14:textId="771D3F33"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Pr>
                <w:sz w:val="22"/>
              </w:rPr>
              <w:t>Manufacturing</w:t>
            </w:r>
          </w:p>
        </w:tc>
      </w:tr>
      <w:tr w:rsidR="003C7CF1" w:rsidRPr="004A6907" w14:paraId="36DA15D8" w14:textId="77777777" w:rsidTr="00823AC1">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646" w:type="dxa"/>
            <w:vMerge/>
            <w:tcBorders>
              <w:bottom w:val="single" w:sz="4" w:space="0" w:color="FFFFFF" w:themeColor="background1"/>
            </w:tcBorders>
          </w:tcPr>
          <w:p w14:paraId="7468A1B6" w14:textId="77777777" w:rsidR="003C7CF1" w:rsidRPr="004A6907" w:rsidRDefault="003C7CF1" w:rsidP="00823AC1">
            <w:pPr>
              <w:keepNext/>
              <w:rPr>
                <w:sz w:val="22"/>
              </w:rPr>
            </w:pPr>
          </w:p>
        </w:tc>
        <w:tc>
          <w:tcPr>
            <w:tcW w:w="2744" w:type="dxa"/>
            <w:tcBorders>
              <w:bottom w:val="single" w:sz="4" w:space="0" w:color="auto"/>
            </w:tcBorders>
          </w:tcPr>
          <w:p w14:paraId="29D448C2" w14:textId="5BEB41D4"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2015 H</w:t>
            </w:r>
            <w:r>
              <w:rPr>
                <w:sz w:val="22"/>
              </w:rPr>
              <w:t>;</w:t>
            </w:r>
            <w:r w:rsidRPr="004A6907">
              <w:rPr>
                <w:sz w:val="22"/>
              </w:rPr>
              <w:t xml:space="preserve"> 2016 C</w:t>
            </w:r>
            <w:r>
              <w:rPr>
                <w:sz w:val="22"/>
              </w:rPr>
              <w:t>;</w:t>
            </w:r>
            <w:r w:rsidRPr="004A6907">
              <w:rPr>
                <w:sz w:val="22"/>
              </w:rPr>
              <w:t xml:space="preserve"> 2017 C</w:t>
            </w:r>
            <w:r>
              <w:rPr>
                <w:sz w:val="22"/>
              </w:rPr>
              <w:t>;</w:t>
            </w:r>
            <w:r w:rsidRPr="004A6907">
              <w:rPr>
                <w:sz w:val="22"/>
              </w:rPr>
              <w:t xml:space="preserve"> 2017 H</w:t>
            </w:r>
            <w:r>
              <w:rPr>
                <w:sz w:val="22"/>
              </w:rPr>
              <w:t>;</w:t>
            </w:r>
            <w:r w:rsidRPr="004A6907">
              <w:rPr>
                <w:sz w:val="22"/>
              </w:rPr>
              <w:t xml:space="preserve"> 2018 C</w:t>
            </w:r>
            <w:r>
              <w:rPr>
                <w:sz w:val="22"/>
              </w:rPr>
              <w:t>; 2018 H</w:t>
            </w:r>
          </w:p>
        </w:tc>
        <w:tc>
          <w:tcPr>
            <w:tcW w:w="4648" w:type="dxa"/>
            <w:tcBorders>
              <w:bottom w:val="single" w:sz="4" w:space="0" w:color="auto"/>
            </w:tcBorders>
          </w:tcPr>
          <w:p w14:paraId="6D10C172" w14:textId="369596D4"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Advanced manufacturing</w:t>
            </w:r>
          </w:p>
        </w:tc>
      </w:tr>
      <w:tr w:rsidR="003C7CF1" w:rsidRPr="004A6907" w14:paraId="550110F8" w14:textId="77777777" w:rsidTr="00823AC1">
        <w:trPr>
          <w:trHeight w:val="503"/>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4" w:space="0" w:color="FFFFFF" w:themeColor="background1"/>
            </w:tcBorders>
          </w:tcPr>
          <w:p w14:paraId="2C020916" w14:textId="77777777" w:rsidR="003C7CF1" w:rsidRPr="004A6907" w:rsidRDefault="003C7CF1" w:rsidP="00823AC1">
            <w:pPr>
              <w:keepNext/>
              <w:rPr>
                <w:sz w:val="22"/>
              </w:rPr>
            </w:pPr>
            <w:r w:rsidRPr="004A6907">
              <w:rPr>
                <w:sz w:val="22"/>
              </w:rPr>
              <w:t>Oil and gas</w:t>
            </w:r>
          </w:p>
        </w:tc>
        <w:tc>
          <w:tcPr>
            <w:tcW w:w="2744" w:type="dxa"/>
            <w:tcBorders>
              <w:top w:val="single" w:sz="4" w:space="0" w:color="auto"/>
            </w:tcBorders>
          </w:tcPr>
          <w:p w14:paraId="777BA3C6" w14:textId="5D34486D"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2013 H2</w:t>
            </w:r>
            <w:r>
              <w:rPr>
                <w:sz w:val="22"/>
              </w:rPr>
              <w:t>;</w:t>
            </w:r>
            <w:r w:rsidRPr="004A6907">
              <w:rPr>
                <w:sz w:val="22"/>
              </w:rPr>
              <w:t xml:space="preserve"> 2014 H</w:t>
            </w:r>
            <w:r>
              <w:rPr>
                <w:sz w:val="22"/>
              </w:rPr>
              <w:t>; 2015 C</w:t>
            </w:r>
          </w:p>
        </w:tc>
        <w:tc>
          <w:tcPr>
            <w:tcW w:w="4648" w:type="dxa"/>
            <w:tcBorders>
              <w:top w:val="single" w:sz="4" w:space="0" w:color="auto"/>
            </w:tcBorders>
          </w:tcPr>
          <w:p w14:paraId="15A77A07" w14:textId="47855A24"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Oil and gas, including petroleum</w:t>
            </w:r>
          </w:p>
        </w:tc>
      </w:tr>
      <w:tr w:rsidR="003C7CF1" w:rsidRPr="004A6907" w14:paraId="5AB0F9C0" w14:textId="77777777" w:rsidTr="00823AC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646" w:type="dxa"/>
            <w:vMerge/>
            <w:tcBorders>
              <w:bottom w:val="single" w:sz="4" w:space="0" w:color="FFFFFF" w:themeColor="background1"/>
            </w:tcBorders>
          </w:tcPr>
          <w:p w14:paraId="7BF9CF92" w14:textId="77777777" w:rsidR="003C7CF1" w:rsidRPr="004A6907" w:rsidRDefault="003C7CF1" w:rsidP="00823AC1">
            <w:pPr>
              <w:keepNext/>
              <w:rPr>
                <w:sz w:val="22"/>
              </w:rPr>
            </w:pPr>
          </w:p>
        </w:tc>
        <w:tc>
          <w:tcPr>
            <w:tcW w:w="2744" w:type="dxa"/>
            <w:tcBorders>
              <w:bottom w:val="single" w:sz="4" w:space="0" w:color="auto"/>
            </w:tcBorders>
          </w:tcPr>
          <w:p w14:paraId="00488659" w14:textId="5364482B"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2015 H</w:t>
            </w:r>
            <w:r>
              <w:rPr>
                <w:sz w:val="22"/>
              </w:rPr>
              <w:t>;</w:t>
            </w:r>
            <w:r w:rsidRPr="004A6907">
              <w:rPr>
                <w:sz w:val="22"/>
              </w:rPr>
              <w:t xml:space="preserve"> 2016 C</w:t>
            </w:r>
            <w:r>
              <w:rPr>
                <w:sz w:val="22"/>
              </w:rPr>
              <w:t>;</w:t>
            </w:r>
            <w:r w:rsidRPr="004A6907">
              <w:rPr>
                <w:sz w:val="22"/>
              </w:rPr>
              <w:t xml:space="preserve"> 2017 C</w:t>
            </w:r>
            <w:r>
              <w:rPr>
                <w:sz w:val="22"/>
              </w:rPr>
              <w:t>;</w:t>
            </w:r>
            <w:r w:rsidRPr="004A6907">
              <w:rPr>
                <w:sz w:val="22"/>
              </w:rPr>
              <w:t xml:space="preserve"> 2017 H</w:t>
            </w:r>
            <w:r>
              <w:rPr>
                <w:sz w:val="22"/>
              </w:rPr>
              <w:t>;</w:t>
            </w:r>
            <w:r w:rsidRPr="004A6907">
              <w:rPr>
                <w:sz w:val="22"/>
              </w:rPr>
              <w:t xml:space="preserve"> 2018 C</w:t>
            </w:r>
            <w:r>
              <w:rPr>
                <w:sz w:val="22"/>
              </w:rPr>
              <w:t>;</w:t>
            </w:r>
            <w:r w:rsidRPr="004A6907">
              <w:rPr>
                <w:sz w:val="22"/>
              </w:rPr>
              <w:t xml:space="preserve"> 2018 H</w:t>
            </w:r>
          </w:p>
        </w:tc>
        <w:tc>
          <w:tcPr>
            <w:tcW w:w="4648" w:type="dxa"/>
            <w:tcBorders>
              <w:bottom w:val="single" w:sz="4" w:space="0" w:color="auto"/>
            </w:tcBorders>
          </w:tcPr>
          <w:p w14:paraId="399D1810" w14:textId="76701BF2"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Oil, gas and energy resources</w:t>
            </w:r>
          </w:p>
        </w:tc>
      </w:tr>
      <w:tr w:rsidR="003C7CF1" w:rsidRPr="004A6907" w14:paraId="52C8409D" w14:textId="77777777" w:rsidTr="00823AC1">
        <w:trPr>
          <w:trHeight w:val="503"/>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4" w:space="0" w:color="FFFFFF" w:themeColor="background1"/>
            </w:tcBorders>
          </w:tcPr>
          <w:p w14:paraId="24F4DD4D" w14:textId="77777777" w:rsidR="003C7CF1" w:rsidRPr="004A6907" w:rsidRDefault="003C7CF1" w:rsidP="00823AC1">
            <w:pPr>
              <w:keepNext/>
              <w:rPr>
                <w:sz w:val="22"/>
              </w:rPr>
            </w:pPr>
            <w:r w:rsidRPr="004A6907">
              <w:rPr>
                <w:sz w:val="22"/>
              </w:rPr>
              <w:t>Mining</w:t>
            </w:r>
          </w:p>
        </w:tc>
        <w:tc>
          <w:tcPr>
            <w:tcW w:w="2744" w:type="dxa"/>
            <w:tcBorders>
              <w:top w:val="single" w:sz="4" w:space="0" w:color="auto"/>
            </w:tcBorders>
          </w:tcPr>
          <w:p w14:paraId="0F746AC3" w14:textId="54C3C120"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2013 H2</w:t>
            </w:r>
            <w:r>
              <w:rPr>
                <w:sz w:val="22"/>
              </w:rPr>
              <w:t>;</w:t>
            </w:r>
            <w:r w:rsidRPr="004A6907">
              <w:rPr>
                <w:sz w:val="22"/>
              </w:rPr>
              <w:t xml:space="preserve"> 2014 H</w:t>
            </w:r>
            <w:r>
              <w:rPr>
                <w:sz w:val="22"/>
              </w:rPr>
              <w:t>;</w:t>
            </w:r>
            <w:r w:rsidRPr="004A6907">
              <w:rPr>
                <w:sz w:val="22"/>
              </w:rPr>
              <w:t xml:space="preserve"> 2015 C</w:t>
            </w:r>
          </w:p>
        </w:tc>
        <w:tc>
          <w:tcPr>
            <w:tcW w:w="4648" w:type="dxa"/>
            <w:tcBorders>
              <w:top w:val="single" w:sz="4" w:space="0" w:color="auto"/>
            </w:tcBorders>
          </w:tcPr>
          <w:p w14:paraId="3D391ADC" w14:textId="763F0C37"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Min</w:t>
            </w:r>
            <w:r>
              <w:rPr>
                <w:sz w:val="22"/>
              </w:rPr>
              <w:t>ing and mining services</w:t>
            </w:r>
          </w:p>
        </w:tc>
      </w:tr>
      <w:tr w:rsidR="003C7CF1" w:rsidRPr="004A6907" w14:paraId="6A1A3FF7" w14:textId="77777777" w:rsidTr="00823AC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646" w:type="dxa"/>
            <w:vMerge/>
            <w:tcBorders>
              <w:bottom w:val="single" w:sz="4" w:space="0" w:color="FFFFFF" w:themeColor="background1"/>
            </w:tcBorders>
          </w:tcPr>
          <w:p w14:paraId="6D3540A7" w14:textId="77777777" w:rsidR="003C7CF1" w:rsidRPr="004A6907" w:rsidRDefault="003C7CF1" w:rsidP="00823AC1">
            <w:pPr>
              <w:keepNext/>
              <w:rPr>
                <w:sz w:val="22"/>
              </w:rPr>
            </w:pPr>
          </w:p>
        </w:tc>
        <w:tc>
          <w:tcPr>
            <w:tcW w:w="2744" w:type="dxa"/>
            <w:tcBorders>
              <w:bottom w:val="single" w:sz="4" w:space="0" w:color="auto"/>
            </w:tcBorders>
          </w:tcPr>
          <w:p w14:paraId="5FA58CD5" w14:textId="47341102"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2015 H</w:t>
            </w:r>
            <w:r>
              <w:rPr>
                <w:sz w:val="22"/>
              </w:rPr>
              <w:t>;</w:t>
            </w:r>
            <w:r w:rsidRPr="004A6907">
              <w:rPr>
                <w:sz w:val="22"/>
              </w:rPr>
              <w:t xml:space="preserve"> 2016 C</w:t>
            </w:r>
            <w:r>
              <w:rPr>
                <w:sz w:val="22"/>
              </w:rPr>
              <w:t>;</w:t>
            </w:r>
            <w:r w:rsidRPr="004A6907">
              <w:rPr>
                <w:sz w:val="22"/>
              </w:rPr>
              <w:t xml:space="preserve"> 2017 C</w:t>
            </w:r>
            <w:r>
              <w:rPr>
                <w:sz w:val="22"/>
              </w:rPr>
              <w:t>;</w:t>
            </w:r>
            <w:r w:rsidRPr="004A6907">
              <w:rPr>
                <w:sz w:val="22"/>
              </w:rPr>
              <w:t xml:space="preserve"> 2017 H</w:t>
            </w:r>
            <w:r>
              <w:rPr>
                <w:sz w:val="22"/>
              </w:rPr>
              <w:t>;</w:t>
            </w:r>
            <w:r w:rsidRPr="004A6907">
              <w:rPr>
                <w:sz w:val="22"/>
              </w:rPr>
              <w:t xml:space="preserve"> 2018 C</w:t>
            </w:r>
            <w:r>
              <w:rPr>
                <w:sz w:val="22"/>
              </w:rPr>
              <w:t>;</w:t>
            </w:r>
            <w:r w:rsidRPr="004A6907">
              <w:rPr>
                <w:sz w:val="22"/>
              </w:rPr>
              <w:t xml:space="preserve"> 2018 H</w:t>
            </w:r>
          </w:p>
        </w:tc>
        <w:tc>
          <w:tcPr>
            <w:tcW w:w="4648" w:type="dxa"/>
            <w:tcBorders>
              <w:bottom w:val="single" w:sz="4" w:space="0" w:color="auto"/>
            </w:tcBorders>
          </w:tcPr>
          <w:p w14:paraId="2EFE3A95" w14:textId="551E6B7E"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Mining equipment, technology and services</w:t>
            </w:r>
          </w:p>
        </w:tc>
      </w:tr>
      <w:tr w:rsidR="003C7CF1" w:rsidRPr="004A6907" w14:paraId="5493C08C" w14:textId="77777777" w:rsidTr="00823AC1">
        <w:trPr>
          <w:trHeight w:val="503"/>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4" w:space="0" w:color="FFFFFF" w:themeColor="background1"/>
            </w:tcBorders>
          </w:tcPr>
          <w:p w14:paraId="6763A6F1" w14:textId="20381064" w:rsidR="003C7CF1" w:rsidRPr="004A6907" w:rsidRDefault="003C7CF1" w:rsidP="00823AC1">
            <w:pPr>
              <w:keepNext/>
              <w:rPr>
                <w:sz w:val="22"/>
              </w:rPr>
            </w:pPr>
            <w:r w:rsidRPr="004A6907">
              <w:rPr>
                <w:sz w:val="22"/>
              </w:rPr>
              <w:t>Medical</w:t>
            </w:r>
            <w:r>
              <w:rPr>
                <w:sz w:val="22"/>
              </w:rPr>
              <w:t xml:space="preserve"> technology</w:t>
            </w:r>
          </w:p>
        </w:tc>
        <w:tc>
          <w:tcPr>
            <w:tcW w:w="2744" w:type="dxa"/>
            <w:tcBorders>
              <w:top w:val="single" w:sz="4" w:space="0" w:color="auto"/>
            </w:tcBorders>
          </w:tcPr>
          <w:p w14:paraId="69D30903" w14:textId="57C19C7E"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2013 H2</w:t>
            </w:r>
            <w:r>
              <w:rPr>
                <w:sz w:val="22"/>
              </w:rPr>
              <w:t>;</w:t>
            </w:r>
            <w:r w:rsidRPr="004A6907">
              <w:rPr>
                <w:sz w:val="22"/>
              </w:rPr>
              <w:t xml:space="preserve"> 2014 H</w:t>
            </w:r>
            <w:r>
              <w:rPr>
                <w:sz w:val="22"/>
              </w:rPr>
              <w:t>;</w:t>
            </w:r>
            <w:r w:rsidRPr="004A6907">
              <w:rPr>
                <w:sz w:val="22"/>
              </w:rPr>
              <w:t xml:space="preserve"> 2015 C</w:t>
            </w:r>
          </w:p>
        </w:tc>
        <w:tc>
          <w:tcPr>
            <w:tcW w:w="4648" w:type="dxa"/>
            <w:tcBorders>
              <w:top w:val="single" w:sz="4" w:space="0" w:color="auto"/>
            </w:tcBorders>
          </w:tcPr>
          <w:p w14:paraId="5C3ABDE4" w14:textId="39B539ED"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Me</w:t>
            </w:r>
            <w:r>
              <w:rPr>
                <w:sz w:val="22"/>
              </w:rPr>
              <w:t>dical devices and biotechnology</w:t>
            </w:r>
          </w:p>
        </w:tc>
      </w:tr>
      <w:tr w:rsidR="003C7CF1" w:rsidRPr="004A6907" w14:paraId="3A48D919" w14:textId="77777777" w:rsidTr="00823AC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646" w:type="dxa"/>
            <w:vMerge/>
            <w:tcBorders>
              <w:bottom w:val="single" w:sz="4" w:space="0" w:color="FFFFFF" w:themeColor="background1"/>
            </w:tcBorders>
          </w:tcPr>
          <w:p w14:paraId="49A33C39" w14:textId="77777777" w:rsidR="003C7CF1" w:rsidRPr="004A6907" w:rsidRDefault="003C7CF1" w:rsidP="00823AC1">
            <w:pPr>
              <w:keepNext/>
              <w:rPr>
                <w:sz w:val="22"/>
              </w:rPr>
            </w:pPr>
          </w:p>
        </w:tc>
        <w:tc>
          <w:tcPr>
            <w:tcW w:w="2744" w:type="dxa"/>
            <w:tcBorders>
              <w:bottom w:val="single" w:sz="4" w:space="0" w:color="auto"/>
            </w:tcBorders>
          </w:tcPr>
          <w:p w14:paraId="0991E4DA" w14:textId="115DCA59"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2015 H</w:t>
            </w:r>
            <w:r>
              <w:rPr>
                <w:sz w:val="22"/>
              </w:rPr>
              <w:t>;</w:t>
            </w:r>
            <w:r w:rsidRPr="004A6907">
              <w:rPr>
                <w:sz w:val="22"/>
              </w:rPr>
              <w:t xml:space="preserve"> 2016 C</w:t>
            </w:r>
            <w:r>
              <w:rPr>
                <w:sz w:val="22"/>
              </w:rPr>
              <w:t>;</w:t>
            </w:r>
            <w:r w:rsidRPr="004A6907">
              <w:rPr>
                <w:sz w:val="22"/>
              </w:rPr>
              <w:t xml:space="preserve"> 2017 C</w:t>
            </w:r>
            <w:r>
              <w:rPr>
                <w:sz w:val="22"/>
              </w:rPr>
              <w:t>;</w:t>
            </w:r>
            <w:r w:rsidRPr="004A6907">
              <w:rPr>
                <w:sz w:val="22"/>
              </w:rPr>
              <w:t xml:space="preserve"> 2017 H</w:t>
            </w:r>
            <w:r>
              <w:rPr>
                <w:sz w:val="22"/>
              </w:rPr>
              <w:t>;</w:t>
            </w:r>
            <w:r w:rsidRPr="004A6907">
              <w:rPr>
                <w:sz w:val="22"/>
              </w:rPr>
              <w:t xml:space="preserve"> 2018 C</w:t>
            </w:r>
            <w:r>
              <w:rPr>
                <w:sz w:val="22"/>
              </w:rPr>
              <w:t>;</w:t>
            </w:r>
            <w:r w:rsidRPr="004A6907">
              <w:rPr>
                <w:sz w:val="22"/>
              </w:rPr>
              <w:t xml:space="preserve"> 2018 H</w:t>
            </w:r>
          </w:p>
        </w:tc>
        <w:tc>
          <w:tcPr>
            <w:tcW w:w="4648" w:type="dxa"/>
            <w:tcBorders>
              <w:bottom w:val="single" w:sz="4" w:space="0" w:color="auto"/>
            </w:tcBorders>
          </w:tcPr>
          <w:p w14:paraId="164A4514" w14:textId="23BBD41E" w:rsidR="003C7CF1" w:rsidRPr="004A6907" w:rsidRDefault="003C7CF1" w:rsidP="00823AC1">
            <w:pPr>
              <w:keepNext/>
              <w:spacing w:after="120"/>
              <w:cnfStyle w:val="000000100000" w:firstRow="0" w:lastRow="0" w:firstColumn="0" w:lastColumn="0" w:oddVBand="0" w:evenVBand="0" w:oddHBand="1" w:evenHBand="0" w:firstRowFirstColumn="0" w:firstRowLastColumn="0" w:lastRowFirstColumn="0" w:lastRowLastColumn="0"/>
              <w:rPr>
                <w:sz w:val="22"/>
              </w:rPr>
            </w:pPr>
            <w:r w:rsidRPr="004A6907">
              <w:rPr>
                <w:sz w:val="22"/>
              </w:rPr>
              <w:t>Medical technologies and pharmaceuticals</w:t>
            </w:r>
          </w:p>
        </w:tc>
      </w:tr>
      <w:tr w:rsidR="003C7CF1" w:rsidRPr="004A6907" w14:paraId="43CD2B0A" w14:textId="77777777" w:rsidTr="00823AC1">
        <w:tc>
          <w:tcPr>
            <w:cnfStyle w:val="001000000000" w:firstRow="0" w:lastRow="0" w:firstColumn="1" w:lastColumn="0" w:oddVBand="0" w:evenVBand="0" w:oddHBand="0" w:evenHBand="0" w:firstRowFirstColumn="0" w:firstRowLastColumn="0" w:lastRowFirstColumn="0" w:lastRowLastColumn="0"/>
            <w:tcW w:w="1646" w:type="dxa"/>
            <w:tcBorders>
              <w:top w:val="single" w:sz="4" w:space="0" w:color="FFFFFF" w:themeColor="background1"/>
            </w:tcBorders>
          </w:tcPr>
          <w:p w14:paraId="434EAA34" w14:textId="77777777" w:rsidR="003C7CF1" w:rsidRPr="004A6907" w:rsidRDefault="003C7CF1" w:rsidP="00823AC1">
            <w:pPr>
              <w:keepNext/>
              <w:rPr>
                <w:sz w:val="22"/>
              </w:rPr>
            </w:pPr>
            <w:r w:rsidRPr="004A6907">
              <w:rPr>
                <w:sz w:val="22"/>
              </w:rPr>
              <w:t>Cyber security</w:t>
            </w:r>
          </w:p>
        </w:tc>
        <w:tc>
          <w:tcPr>
            <w:tcW w:w="2744" w:type="dxa"/>
            <w:tcBorders>
              <w:top w:val="single" w:sz="4" w:space="0" w:color="auto"/>
            </w:tcBorders>
          </w:tcPr>
          <w:p w14:paraId="0D027050" w14:textId="69FE7BE0"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2018 C</w:t>
            </w:r>
            <w:r>
              <w:rPr>
                <w:sz w:val="22"/>
              </w:rPr>
              <w:t>; 2018 H</w:t>
            </w:r>
          </w:p>
        </w:tc>
        <w:tc>
          <w:tcPr>
            <w:tcW w:w="4648" w:type="dxa"/>
            <w:tcBorders>
              <w:top w:val="single" w:sz="4" w:space="0" w:color="auto"/>
            </w:tcBorders>
          </w:tcPr>
          <w:p w14:paraId="3BE46395" w14:textId="6919DFEA" w:rsidR="003C7CF1" w:rsidRPr="004A6907" w:rsidRDefault="003C7CF1" w:rsidP="00823AC1">
            <w:pPr>
              <w:keepNext/>
              <w:spacing w:after="120"/>
              <w:cnfStyle w:val="000000000000" w:firstRow="0" w:lastRow="0" w:firstColumn="0" w:lastColumn="0" w:oddVBand="0" w:evenVBand="0" w:oddHBand="0" w:evenHBand="0" w:firstRowFirstColumn="0" w:firstRowLastColumn="0" w:lastRowFirstColumn="0" w:lastRowLastColumn="0"/>
              <w:rPr>
                <w:sz w:val="22"/>
              </w:rPr>
            </w:pPr>
            <w:r w:rsidRPr="004A6907">
              <w:rPr>
                <w:sz w:val="22"/>
              </w:rPr>
              <w:t>Cyber Security</w:t>
            </w:r>
          </w:p>
        </w:tc>
      </w:tr>
    </w:tbl>
    <w:p w14:paraId="30F8E54B" w14:textId="081E420F" w:rsidR="004A6907" w:rsidRDefault="004A6907" w:rsidP="004A6907"/>
    <w:p w14:paraId="7392576C" w14:textId="5FC9DCCF" w:rsidR="008F52B9" w:rsidRDefault="008628E7" w:rsidP="005D392C">
      <w:r>
        <w:t xml:space="preserve">While stakeholders </w:t>
      </w:r>
      <w:r w:rsidR="000D3C12">
        <w:t xml:space="preserve">who participated in interviews </w:t>
      </w:r>
      <w:r>
        <w:t xml:space="preserve">generally felt </w:t>
      </w:r>
      <w:r w:rsidR="003B03EE">
        <w:t xml:space="preserve">that </w:t>
      </w:r>
      <w:r>
        <w:t>the Industrial Transformation Priorities effectively focus applications on key industry priority areas, some perceived them to have gaps or to be narrow, or felt that under the ITRP some areas receive more focus than others.</w:t>
      </w:r>
      <w:r>
        <w:rPr>
          <w:rStyle w:val="FootnoteReference"/>
        </w:rPr>
        <w:footnoteReference w:id="21"/>
      </w:r>
    </w:p>
    <w:p w14:paraId="09002435" w14:textId="77777777" w:rsidR="008F52B9" w:rsidRPr="006A2C6B" w:rsidRDefault="008F52B9" w:rsidP="005D392C"/>
    <w:p w14:paraId="666B0A29" w14:textId="0E0AEF68" w:rsidR="007C7557" w:rsidRDefault="00C44B80" w:rsidP="00440545">
      <w:hyperlink w:anchor="Figure7" w:history="1">
        <w:r w:rsidR="0042406A" w:rsidRPr="001343A7">
          <w:rPr>
            <w:rStyle w:val="Hyperlink"/>
          </w:rPr>
          <w:t xml:space="preserve">Figure </w:t>
        </w:r>
        <w:r w:rsidR="006A2C6B" w:rsidRPr="001343A7">
          <w:rPr>
            <w:rStyle w:val="Hyperlink"/>
          </w:rPr>
          <w:t>7</w:t>
        </w:r>
      </w:hyperlink>
      <w:r w:rsidR="003B03EE" w:rsidRPr="006A2C6B">
        <w:t xml:space="preserve"> provides some insights into the extent to which the</w:t>
      </w:r>
      <w:r w:rsidR="008F52B9" w:rsidRPr="006A2C6B">
        <w:t xml:space="preserve"> different</w:t>
      </w:r>
      <w:r w:rsidR="009151CE" w:rsidRPr="006A2C6B">
        <w:t xml:space="preserve"> priority areas</w:t>
      </w:r>
      <w:r w:rsidR="003B03EE" w:rsidRPr="006A2C6B">
        <w:t xml:space="preserve"> have been ad</w:t>
      </w:r>
      <w:r w:rsidR="00D031DF" w:rsidRPr="006A2C6B">
        <w:t xml:space="preserve">dressed by funded projects in </w:t>
      </w:r>
      <w:r w:rsidR="003B03EE" w:rsidRPr="006A2C6B">
        <w:t>each ITRP round. It shows the average number of priorities addressed per funded project</w:t>
      </w:r>
      <w:r w:rsidR="00DC3AC1" w:rsidRPr="00895A86">
        <w:t xml:space="preserve"> (y axis), </w:t>
      </w:r>
      <w:r w:rsidR="009151CE" w:rsidRPr="00895A86">
        <w:t xml:space="preserve">and </w:t>
      </w:r>
      <w:r w:rsidR="0084005F" w:rsidRPr="00895A86">
        <w:t>the proportion</w:t>
      </w:r>
      <w:r w:rsidR="00EB5CE2" w:rsidRPr="00895A86">
        <w:t xml:space="preserve"> that</w:t>
      </w:r>
      <w:r w:rsidR="0084005F" w:rsidRPr="00895A86">
        <w:t xml:space="preserve"> each priority area represented in each round</w:t>
      </w:r>
      <w:r w:rsidR="009151CE" w:rsidRPr="00895A86">
        <w:t xml:space="preserve"> </w:t>
      </w:r>
      <w:r w:rsidR="00CE0FBE" w:rsidRPr="00895A86">
        <w:t>(colours</w:t>
      </w:r>
      <w:r w:rsidR="0084005F" w:rsidRPr="00895A86">
        <w:t xml:space="preserve"> within</w:t>
      </w:r>
      <w:r w:rsidR="009151CE" w:rsidRPr="00895A86">
        <w:t xml:space="preserve"> bars</w:t>
      </w:r>
      <w:r w:rsidR="00CE0FBE" w:rsidRPr="00895A86">
        <w:t>).</w:t>
      </w:r>
      <w:r w:rsidR="00097FA6">
        <w:t xml:space="preserve"> </w:t>
      </w:r>
      <w:r w:rsidR="00FE0CDB" w:rsidRPr="00FE0CDB">
        <w:t>For example, in 2015 H</w:t>
      </w:r>
      <w:r w:rsidR="007C7557">
        <w:t>:</w:t>
      </w:r>
    </w:p>
    <w:p w14:paraId="22087D88" w14:textId="32E9C1C5" w:rsidR="007C7557" w:rsidRDefault="007C7557" w:rsidP="007C7557">
      <w:pPr>
        <w:pStyle w:val="ListParagraph"/>
        <w:numPr>
          <w:ilvl w:val="0"/>
          <w:numId w:val="32"/>
        </w:numPr>
        <w:rPr>
          <w:color w:val="auto"/>
        </w:rPr>
      </w:pPr>
      <w:r w:rsidRPr="007C7557">
        <w:rPr>
          <w:color w:val="auto"/>
        </w:rPr>
        <w:t>funded projects addressed an average of 1.</w:t>
      </w:r>
      <w:r>
        <w:rPr>
          <w:color w:val="auto"/>
        </w:rPr>
        <w:t>8</w:t>
      </w:r>
      <w:r w:rsidRPr="007C7557">
        <w:rPr>
          <w:color w:val="auto"/>
        </w:rPr>
        <w:t xml:space="preserve"> priorities</w:t>
      </w:r>
    </w:p>
    <w:p w14:paraId="45FF8BCC" w14:textId="6DBDA72B" w:rsidR="0084005F" w:rsidRPr="007C7557" w:rsidRDefault="007C7557" w:rsidP="007C7557">
      <w:pPr>
        <w:pStyle w:val="ListParagraph"/>
        <w:numPr>
          <w:ilvl w:val="0"/>
          <w:numId w:val="32"/>
        </w:numPr>
        <w:rPr>
          <w:color w:val="auto"/>
        </w:rPr>
      </w:pPr>
      <w:r>
        <w:rPr>
          <w:color w:val="auto"/>
        </w:rPr>
        <w:t xml:space="preserve">three priority areas were addressed </w:t>
      </w:r>
      <w:r w:rsidR="00E16622">
        <w:rPr>
          <w:color w:val="auto"/>
        </w:rPr>
        <w:t>across all</w:t>
      </w:r>
      <w:r>
        <w:rPr>
          <w:color w:val="auto"/>
        </w:rPr>
        <w:t xml:space="preserve"> funded projects, </w:t>
      </w:r>
      <w:r w:rsidR="00FE0CDB" w:rsidRPr="007C7557">
        <w:rPr>
          <w:color w:val="auto"/>
        </w:rPr>
        <w:t xml:space="preserve">with Manufacturing </w:t>
      </w:r>
      <w:r>
        <w:rPr>
          <w:color w:val="auto"/>
        </w:rPr>
        <w:t xml:space="preserve">addressed most </w:t>
      </w:r>
      <w:r w:rsidR="004D0100">
        <w:rPr>
          <w:color w:val="auto"/>
        </w:rPr>
        <w:t>often</w:t>
      </w:r>
      <w:r>
        <w:rPr>
          <w:color w:val="auto"/>
        </w:rPr>
        <w:t xml:space="preserve"> (56 per cent of </w:t>
      </w:r>
      <w:r w:rsidR="00FE0CDB" w:rsidRPr="007C7557">
        <w:rPr>
          <w:color w:val="auto"/>
        </w:rPr>
        <w:t xml:space="preserve">all </w:t>
      </w:r>
      <w:r w:rsidR="00E16622">
        <w:rPr>
          <w:color w:val="auto"/>
        </w:rPr>
        <w:t>instances</w:t>
      </w:r>
      <w:r w:rsidR="00FE0CDB" w:rsidRPr="007C7557">
        <w:rPr>
          <w:color w:val="auto"/>
        </w:rPr>
        <w:t>), followed by Medical Technology (</w:t>
      </w:r>
      <w:r>
        <w:rPr>
          <w:color w:val="auto"/>
        </w:rPr>
        <w:t>3</w:t>
      </w:r>
      <w:r w:rsidR="004D0100">
        <w:rPr>
          <w:color w:val="auto"/>
        </w:rPr>
        <w:t>3</w:t>
      </w:r>
      <w:r>
        <w:rPr>
          <w:color w:val="auto"/>
        </w:rPr>
        <w:t xml:space="preserve"> per cent</w:t>
      </w:r>
      <w:r w:rsidR="00FE0CDB" w:rsidRPr="007C7557">
        <w:rPr>
          <w:color w:val="auto"/>
        </w:rPr>
        <w:t>) and Mining (</w:t>
      </w:r>
      <w:r>
        <w:rPr>
          <w:color w:val="auto"/>
        </w:rPr>
        <w:t>11 per cent</w:t>
      </w:r>
      <w:r w:rsidR="00FE0CDB" w:rsidRPr="007C7557">
        <w:rPr>
          <w:color w:val="auto"/>
        </w:rPr>
        <w:t>).</w:t>
      </w:r>
    </w:p>
    <w:p w14:paraId="20EB2720" w14:textId="6ACD6471" w:rsidR="00C01B97" w:rsidRPr="004A6907" w:rsidRDefault="00C01B97" w:rsidP="005D392C"/>
    <w:p w14:paraId="3FCE86F9" w14:textId="433232C0" w:rsidR="00F01036" w:rsidRDefault="00AC0255" w:rsidP="00AC0255">
      <w:pPr>
        <w:pStyle w:val="Heading4"/>
      </w:pPr>
      <w:bookmarkStart w:id="39" w:name="Figure7"/>
      <w:bookmarkEnd w:id="39"/>
      <w:r w:rsidRPr="006A2C6B">
        <w:t xml:space="preserve">Figure </w:t>
      </w:r>
      <w:r w:rsidR="006A2C6B" w:rsidRPr="006A2C6B">
        <w:t>7</w:t>
      </w:r>
      <w:r w:rsidRPr="006A2C6B">
        <w:t>: Industrial Transformation</w:t>
      </w:r>
      <w:r>
        <w:t xml:space="preserve"> Priorities</w:t>
      </w:r>
      <w:r w:rsidR="008B7DED">
        <w:t xml:space="preserve"> </w:t>
      </w:r>
      <w:r>
        <w:t>addressed per funded project</w:t>
      </w:r>
      <w:r w:rsidR="002B6E84">
        <w:t xml:space="preserve"> (average)</w:t>
      </w:r>
    </w:p>
    <w:p w14:paraId="33520542" w14:textId="5E933749" w:rsidR="00B11FF3" w:rsidRPr="000E4A92" w:rsidRDefault="00203A9B" w:rsidP="004A6907">
      <w:pPr>
        <w:rPr>
          <w:sz w:val="20"/>
          <w:szCs w:val="20"/>
        </w:rPr>
      </w:pPr>
      <w:r>
        <w:rPr>
          <w:noProof/>
          <w:sz w:val="20"/>
          <w:szCs w:val="20"/>
          <w:lang w:eastAsia="en-AU"/>
        </w:rPr>
        <w:drawing>
          <wp:inline distT="0" distB="0" distL="0" distR="0" wp14:anchorId="3C55E274" wp14:editId="20D6CA59">
            <wp:extent cx="5706110" cy="3072765"/>
            <wp:effectExtent l="0" t="0" r="8890" b="0"/>
            <wp:docPr id="21" name="Picture 21" descr="For each ITRP round, Figure 7 shows the average number of Industrial Transformation Priorities addressed per funded project, and the proportion that each priority area represented." title="Figure 7: Industrial Transformation Priorities addressed per funded project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6110" cy="3072765"/>
                    </a:xfrm>
                    <a:prstGeom prst="rect">
                      <a:avLst/>
                    </a:prstGeom>
                    <a:noFill/>
                  </pic:spPr>
                </pic:pic>
              </a:graphicData>
            </a:graphic>
          </wp:inline>
        </w:drawing>
      </w:r>
      <w:r w:rsidR="00B11FF3">
        <w:rPr>
          <w:sz w:val="20"/>
          <w:szCs w:val="20"/>
        </w:rPr>
        <w:t xml:space="preserve">Source: ARC data. </w:t>
      </w:r>
      <w:r w:rsidR="00E04A68">
        <w:rPr>
          <w:i/>
          <w:sz w:val="20"/>
          <w:szCs w:val="20"/>
        </w:rPr>
        <w:t xml:space="preserve">Note: Priority areas </w:t>
      </w:r>
      <w:r w:rsidR="004B7AED">
        <w:rPr>
          <w:i/>
          <w:sz w:val="20"/>
          <w:szCs w:val="20"/>
        </w:rPr>
        <w:t>are as</w:t>
      </w:r>
      <w:r w:rsidR="00E04A68">
        <w:rPr>
          <w:i/>
          <w:sz w:val="20"/>
          <w:szCs w:val="20"/>
        </w:rPr>
        <w:t xml:space="preserve"> </w:t>
      </w:r>
      <w:r w:rsidR="00E04A68" w:rsidRPr="006A2C6B">
        <w:rPr>
          <w:i/>
          <w:sz w:val="20"/>
          <w:szCs w:val="20"/>
        </w:rPr>
        <w:t xml:space="preserve">outlined in </w:t>
      </w:r>
      <w:hyperlink w:anchor="Table2" w:history="1">
        <w:r w:rsidR="00E04A68" w:rsidRPr="001343A7">
          <w:rPr>
            <w:rStyle w:val="Hyperlink"/>
            <w:i/>
            <w:sz w:val="20"/>
            <w:szCs w:val="20"/>
          </w:rPr>
          <w:t xml:space="preserve">Table </w:t>
        </w:r>
        <w:r w:rsidR="006A2C6B" w:rsidRPr="001343A7">
          <w:rPr>
            <w:rStyle w:val="Hyperlink"/>
            <w:i/>
            <w:sz w:val="20"/>
            <w:szCs w:val="20"/>
          </w:rPr>
          <w:t>2</w:t>
        </w:r>
      </w:hyperlink>
      <w:r w:rsidR="00E04A68" w:rsidRPr="006A2C6B">
        <w:rPr>
          <w:i/>
          <w:sz w:val="20"/>
          <w:szCs w:val="20"/>
        </w:rPr>
        <w:t>. Where</w:t>
      </w:r>
      <w:r w:rsidR="00E04A68">
        <w:rPr>
          <w:i/>
          <w:sz w:val="20"/>
          <w:szCs w:val="20"/>
        </w:rPr>
        <w:t xml:space="preserve"> a project from 2012 H, 2013 H1, 2013 C or 2014 C addressed more than one priority in the areas of Food or Manufacturing, these</w:t>
      </w:r>
      <w:r w:rsidR="007D1E2E">
        <w:rPr>
          <w:i/>
          <w:sz w:val="20"/>
          <w:szCs w:val="20"/>
        </w:rPr>
        <w:t xml:space="preserve"> have been consolidated. </w:t>
      </w:r>
      <w:r w:rsidR="004B1228">
        <w:rPr>
          <w:i/>
          <w:sz w:val="20"/>
          <w:szCs w:val="20"/>
        </w:rPr>
        <w:t>Fo</w:t>
      </w:r>
      <w:r w:rsidR="00BD29E4">
        <w:rPr>
          <w:i/>
          <w:sz w:val="20"/>
          <w:szCs w:val="20"/>
        </w:rPr>
        <w:t xml:space="preserve">r example, a </w:t>
      </w:r>
      <w:r w:rsidR="004A6907" w:rsidRPr="004A6907">
        <w:rPr>
          <w:i/>
          <w:sz w:val="20"/>
          <w:szCs w:val="20"/>
        </w:rPr>
        <w:t>pr</w:t>
      </w:r>
      <w:r w:rsidR="0097202E">
        <w:rPr>
          <w:i/>
          <w:sz w:val="20"/>
          <w:szCs w:val="20"/>
        </w:rPr>
        <w:t>oject in 2013 C address</w:t>
      </w:r>
      <w:r w:rsidR="00BD29E4">
        <w:rPr>
          <w:i/>
          <w:sz w:val="20"/>
          <w:szCs w:val="20"/>
        </w:rPr>
        <w:t>ing</w:t>
      </w:r>
      <w:r w:rsidR="0097202E">
        <w:rPr>
          <w:i/>
          <w:sz w:val="20"/>
          <w:szCs w:val="20"/>
        </w:rPr>
        <w:t xml:space="preserve"> three different Food </w:t>
      </w:r>
      <w:r w:rsidR="00BD29E4">
        <w:rPr>
          <w:i/>
          <w:sz w:val="20"/>
          <w:szCs w:val="20"/>
        </w:rPr>
        <w:t xml:space="preserve">priorities would be </w:t>
      </w:r>
      <w:r w:rsidR="004A6907" w:rsidRPr="004A6907">
        <w:rPr>
          <w:i/>
          <w:sz w:val="20"/>
          <w:szCs w:val="20"/>
        </w:rPr>
        <w:t>counted</w:t>
      </w:r>
      <w:r w:rsidR="00BD29E4">
        <w:rPr>
          <w:i/>
          <w:sz w:val="20"/>
          <w:szCs w:val="20"/>
        </w:rPr>
        <w:t xml:space="preserve"> </w:t>
      </w:r>
      <w:r w:rsidR="004A6907" w:rsidRPr="004A6907">
        <w:rPr>
          <w:i/>
          <w:sz w:val="20"/>
          <w:szCs w:val="20"/>
        </w:rPr>
        <w:t xml:space="preserve">as addressing </w:t>
      </w:r>
      <w:r w:rsidR="00C16CB0">
        <w:rPr>
          <w:i/>
          <w:sz w:val="20"/>
          <w:szCs w:val="20"/>
        </w:rPr>
        <w:t xml:space="preserve">only </w:t>
      </w:r>
      <w:r w:rsidR="004A6907" w:rsidRPr="004A6907">
        <w:rPr>
          <w:i/>
          <w:sz w:val="20"/>
          <w:szCs w:val="20"/>
        </w:rPr>
        <w:t>one priority</w:t>
      </w:r>
      <w:r w:rsidR="00C16CB0">
        <w:rPr>
          <w:i/>
          <w:sz w:val="20"/>
          <w:szCs w:val="20"/>
        </w:rPr>
        <w:t xml:space="preserve"> (Food). </w:t>
      </w:r>
      <w:r w:rsidR="00BD29E4">
        <w:rPr>
          <w:i/>
          <w:sz w:val="20"/>
          <w:szCs w:val="20"/>
        </w:rPr>
        <w:t>A</w:t>
      </w:r>
      <w:r w:rsidR="004A6907" w:rsidRPr="004A6907">
        <w:rPr>
          <w:i/>
          <w:sz w:val="20"/>
          <w:szCs w:val="20"/>
        </w:rPr>
        <w:t xml:space="preserve"> pr</w:t>
      </w:r>
      <w:r w:rsidR="00BD29E4">
        <w:rPr>
          <w:i/>
          <w:sz w:val="20"/>
          <w:szCs w:val="20"/>
        </w:rPr>
        <w:t>oject in 2013 H1 addressing</w:t>
      </w:r>
      <w:r w:rsidR="0097202E">
        <w:rPr>
          <w:i/>
          <w:sz w:val="20"/>
          <w:szCs w:val="20"/>
        </w:rPr>
        <w:t xml:space="preserve"> one Food </w:t>
      </w:r>
      <w:r w:rsidR="004A6907" w:rsidRPr="004A6907">
        <w:rPr>
          <w:i/>
          <w:sz w:val="20"/>
          <w:szCs w:val="20"/>
        </w:rPr>
        <w:t xml:space="preserve">priority and two </w:t>
      </w:r>
      <w:r w:rsidR="0097202E">
        <w:rPr>
          <w:i/>
          <w:sz w:val="20"/>
          <w:szCs w:val="20"/>
        </w:rPr>
        <w:t>M</w:t>
      </w:r>
      <w:r w:rsidR="004A6907" w:rsidRPr="004A6907">
        <w:rPr>
          <w:i/>
          <w:sz w:val="20"/>
          <w:szCs w:val="20"/>
        </w:rPr>
        <w:t>a</w:t>
      </w:r>
      <w:r w:rsidR="00C16CB0">
        <w:rPr>
          <w:i/>
          <w:sz w:val="20"/>
          <w:szCs w:val="20"/>
        </w:rPr>
        <w:t>nufacturing priorities</w:t>
      </w:r>
      <w:r w:rsidR="00BD29E4">
        <w:rPr>
          <w:i/>
          <w:sz w:val="20"/>
          <w:szCs w:val="20"/>
        </w:rPr>
        <w:t xml:space="preserve"> would be</w:t>
      </w:r>
      <w:r w:rsidR="00C16CB0">
        <w:rPr>
          <w:i/>
          <w:sz w:val="20"/>
          <w:szCs w:val="20"/>
        </w:rPr>
        <w:t xml:space="preserve"> counted as</w:t>
      </w:r>
      <w:r w:rsidR="004A6907" w:rsidRPr="004A6907">
        <w:rPr>
          <w:i/>
          <w:sz w:val="20"/>
          <w:szCs w:val="20"/>
        </w:rPr>
        <w:t xml:space="preserve"> addressing</w:t>
      </w:r>
      <w:r w:rsidR="00C16CB0">
        <w:rPr>
          <w:i/>
          <w:sz w:val="20"/>
          <w:szCs w:val="20"/>
        </w:rPr>
        <w:t xml:space="preserve"> only</w:t>
      </w:r>
      <w:r w:rsidR="004A6907" w:rsidRPr="004A6907">
        <w:rPr>
          <w:i/>
          <w:sz w:val="20"/>
          <w:szCs w:val="20"/>
        </w:rPr>
        <w:t xml:space="preserve"> two prioritie</w:t>
      </w:r>
      <w:r w:rsidR="00C16CB0">
        <w:rPr>
          <w:i/>
          <w:sz w:val="20"/>
          <w:szCs w:val="20"/>
        </w:rPr>
        <w:t>s</w:t>
      </w:r>
      <w:r w:rsidR="004A6907" w:rsidRPr="004A6907">
        <w:rPr>
          <w:i/>
          <w:sz w:val="20"/>
          <w:szCs w:val="20"/>
        </w:rPr>
        <w:t xml:space="preserve"> (Food and Manufacturing).</w:t>
      </w:r>
    </w:p>
    <w:p w14:paraId="2ADB0818" w14:textId="54B78D08" w:rsidR="00721CF8" w:rsidRDefault="00721CF8" w:rsidP="005D392C"/>
    <w:p w14:paraId="42BCC368" w14:textId="2CF068EE" w:rsidR="0046440C" w:rsidRPr="006A2C6B" w:rsidRDefault="004D0100" w:rsidP="005D392C">
      <w:r>
        <w:t xml:space="preserve">Overall, </w:t>
      </w:r>
      <w:r w:rsidR="0097202E">
        <w:t>Manufacturing has been the most commonly addressed priority area</w:t>
      </w:r>
      <w:r w:rsidR="00481BD8">
        <w:t xml:space="preserve">, having </w:t>
      </w:r>
      <w:r w:rsidR="00A22E3B">
        <w:t xml:space="preserve">been </w:t>
      </w:r>
      <w:r w:rsidR="0046440C">
        <w:t xml:space="preserve">introduced early in the life of the ITRP </w:t>
      </w:r>
      <w:r w:rsidR="00A22E3B">
        <w:t xml:space="preserve">and </w:t>
      </w:r>
      <w:r w:rsidR="00481BD8">
        <w:t>tend</w:t>
      </w:r>
      <w:r w:rsidR="007109F3">
        <w:t>ing to remain</w:t>
      </w:r>
      <w:r w:rsidR="00EB5CE2">
        <w:t xml:space="preserve"> comparatively </w:t>
      </w:r>
      <w:r w:rsidR="007109F3">
        <w:t>prominent</w:t>
      </w:r>
      <w:r w:rsidR="00481BD8">
        <w:t xml:space="preserve"> from round to round</w:t>
      </w:r>
      <w:r w:rsidR="00A22E3B">
        <w:t xml:space="preserve">. </w:t>
      </w:r>
      <w:r w:rsidR="00481BD8">
        <w:t xml:space="preserve">This has been followed by Food, which was the only priority area </w:t>
      </w:r>
      <w:r w:rsidR="00246CEF">
        <w:t>for</w:t>
      </w:r>
      <w:r w:rsidR="00481BD8">
        <w:t xml:space="preserve"> the first rounds of the </w:t>
      </w:r>
      <w:proofErr w:type="gramStart"/>
      <w:r w:rsidR="00481BD8">
        <w:t>ITRP</w:t>
      </w:r>
      <w:r w:rsidR="00246CEF">
        <w:t>,</w:t>
      </w:r>
      <w:r w:rsidR="00481BD8">
        <w:t xml:space="preserve"> but</w:t>
      </w:r>
      <w:proofErr w:type="gramEnd"/>
      <w:r w:rsidR="00481BD8">
        <w:t xml:space="preserve"> has </w:t>
      </w:r>
      <w:r w:rsidR="001E4EC7">
        <w:t xml:space="preserve">tended to </w:t>
      </w:r>
      <w:r w:rsidR="00565581">
        <w:t>feature</w:t>
      </w:r>
      <w:r w:rsidR="00246CEF">
        <w:t xml:space="preserve"> less </w:t>
      </w:r>
      <w:r w:rsidR="00481BD8">
        <w:t xml:space="preserve">in </w:t>
      </w:r>
      <w:r w:rsidR="001E4EC7">
        <w:t xml:space="preserve">more </w:t>
      </w:r>
      <w:r w:rsidR="00EB5CE2">
        <w:t xml:space="preserve">recent rounds. </w:t>
      </w:r>
      <w:r w:rsidR="00565581">
        <w:t xml:space="preserve">While Medical technology was included in the priorities for </w:t>
      </w:r>
      <w:r w:rsidR="00565581" w:rsidRPr="00565581">
        <w:t>2013 H2</w:t>
      </w:r>
      <w:r w:rsidR="00565581">
        <w:t xml:space="preserve">, 2014 H and </w:t>
      </w:r>
      <w:r w:rsidR="00565581" w:rsidRPr="00565581">
        <w:t>2015 C</w:t>
      </w:r>
      <w:r w:rsidR="00565581">
        <w:t xml:space="preserve">, it was not addressed in any funded </w:t>
      </w:r>
      <w:r w:rsidR="00565581" w:rsidRPr="006A2C6B">
        <w:t xml:space="preserve">projects in those </w:t>
      </w:r>
      <w:proofErr w:type="gramStart"/>
      <w:r w:rsidR="00565581" w:rsidRPr="006A2C6B">
        <w:t>rounds, but</w:t>
      </w:r>
      <w:proofErr w:type="gramEnd"/>
      <w:r w:rsidR="00565581" w:rsidRPr="006A2C6B">
        <w:t xml:space="preserve"> has been fairly consistently represented in </w:t>
      </w:r>
      <w:r w:rsidR="00246CEF" w:rsidRPr="006A2C6B">
        <w:t>subsequent</w:t>
      </w:r>
      <w:r w:rsidR="00565581" w:rsidRPr="006A2C6B">
        <w:t xml:space="preserve"> round</w:t>
      </w:r>
      <w:r w:rsidR="00E16622" w:rsidRPr="006A2C6B">
        <w:t>s</w:t>
      </w:r>
      <w:r w:rsidR="00565581" w:rsidRPr="006A2C6B">
        <w:t xml:space="preserve">. Cyber security, which was introduced </w:t>
      </w:r>
      <w:r w:rsidR="000C4CC1" w:rsidRPr="006A2C6B">
        <w:t>for</w:t>
      </w:r>
      <w:r w:rsidR="00565581" w:rsidRPr="006A2C6B">
        <w:t xml:space="preserve"> 2018 H and 2018 C, has not yet been addressed in any funded project.</w:t>
      </w:r>
    </w:p>
    <w:p w14:paraId="3228BF6A" w14:textId="56A11742" w:rsidR="00F268C6" w:rsidRPr="006A2C6B" w:rsidRDefault="00F268C6" w:rsidP="005D392C"/>
    <w:p w14:paraId="3AD77080" w14:textId="769321D4" w:rsidR="00246CEF" w:rsidRPr="006A2C6B" w:rsidRDefault="000C4CC1" w:rsidP="005D392C">
      <w:r w:rsidRPr="00714048">
        <w:t xml:space="preserve">To provide a </w:t>
      </w:r>
      <w:proofErr w:type="gramStart"/>
      <w:r w:rsidRPr="00714048">
        <w:t>higher level</w:t>
      </w:r>
      <w:proofErr w:type="gramEnd"/>
      <w:r w:rsidRPr="00714048">
        <w:t xml:space="preserve"> picture</w:t>
      </w:r>
      <w:r w:rsidR="00246CEF" w:rsidRPr="00714048">
        <w:t>,</w:t>
      </w:r>
      <w:r w:rsidR="00440545" w:rsidRPr="00714048">
        <w:t xml:space="preserve"> </w:t>
      </w:r>
      <w:hyperlink w:anchor="Figure8" w:history="1">
        <w:r w:rsidR="001E4EC7" w:rsidRPr="001343A7">
          <w:rPr>
            <w:rStyle w:val="Hyperlink"/>
          </w:rPr>
          <w:t xml:space="preserve">Figure </w:t>
        </w:r>
        <w:r w:rsidR="00714048" w:rsidRPr="001343A7">
          <w:rPr>
            <w:rStyle w:val="Hyperlink"/>
          </w:rPr>
          <w:t>8</w:t>
        </w:r>
      </w:hyperlink>
      <w:r w:rsidR="001E4EC7" w:rsidRPr="00714048">
        <w:t xml:space="preserve"> </w:t>
      </w:r>
      <w:r w:rsidR="00246CEF" w:rsidRPr="00714048">
        <w:t xml:space="preserve">shows the priorities’ </w:t>
      </w:r>
      <w:r w:rsidR="004D0100" w:rsidRPr="00714048">
        <w:t>aggregate</w:t>
      </w:r>
      <w:r w:rsidR="00246CEF" w:rsidRPr="00714048">
        <w:t xml:space="preserve"> </w:t>
      </w:r>
      <w:r w:rsidR="00440545" w:rsidRPr="00714048">
        <w:t>representation</w:t>
      </w:r>
      <w:r w:rsidR="0012063A" w:rsidRPr="00714048">
        <w:t xml:space="preserve"> in applications and funded projects</w:t>
      </w:r>
      <w:r w:rsidR="001E4EC7" w:rsidRPr="00714048">
        <w:t xml:space="preserve"> since the ITRP commenced</w:t>
      </w:r>
      <w:r w:rsidRPr="006A2C6B">
        <w:t xml:space="preserve">. </w:t>
      </w:r>
      <w:r w:rsidR="00246CEF" w:rsidRPr="006A2C6B">
        <w:t>T</w:t>
      </w:r>
      <w:r w:rsidR="001E4EC7" w:rsidRPr="006A2C6B">
        <w:t>h</w:t>
      </w:r>
      <w:r w:rsidR="0012063A" w:rsidRPr="006A2C6B">
        <w:t>e proportions</w:t>
      </w:r>
      <w:r w:rsidR="004A2581" w:rsidRPr="006A2C6B">
        <w:t xml:space="preserve"> appear quite similar</w:t>
      </w:r>
      <w:r w:rsidR="00B14045" w:rsidRPr="006A2C6B">
        <w:t xml:space="preserve"> with respect to applications and funded project</w:t>
      </w:r>
      <w:r w:rsidR="0012063A" w:rsidRPr="006A2C6B">
        <w:t>s</w:t>
      </w:r>
      <w:r w:rsidR="00B14045" w:rsidRPr="006A2C6B">
        <w:t>—and for Mining (12 per cent) and Oil and gas (nine per cent), they are the same. This suggests</w:t>
      </w:r>
      <w:r w:rsidR="004A2581" w:rsidRPr="006A2C6B">
        <w:t xml:space="preserve"> that </w:t>
      </w:r>
      <w:r w:rsidR="0012063A" w:rsidRPr="006A2C6B">
        <w:t>the level of</w:t>
      </w:r>
      <w:r w:rsidR="004A2581" w:rsidRPr="006A2C6B">
        <w:t xml:space="preserve"> focus on </w:t>
      </w:r>
      <w:r w:rsidR="0012063A" w:rsidRPr="006A2C6B">
        <w:t xml:space="preserve">each priority has </w:t>
      </w:r>
      <w:r w:rsidR="00246CEF" w:rsidRPr="006A2C6B">
        <w:t xml:space="preserve">largely </w:t>
      </w:r>
      <w:r w:rsidR="00B14045" w:rsidRPr="006A2C6B">
        <w:t xml:space="preserve">been </w:t>
      </w:r>
      <w:r w:rsidR="0012063A" w:rsidRPr="006A2C6B">
        <w:t>driven by</w:t>
      </w:r>
      <w:r w:rsidR="00B14045" w:rsidRPr="006A2C6B">
        <w:t xml:space="preserve"> the</w:t>
      </w:r>
      <w:r w:rsidR="004A2581" w:rsidRPr="006A2C6B">
        <w:t xml:space="preserve"> content of </w:t>
      </w:r>
      <w:r w:rsidR="0012063A" w:rsidRPr="006A2C6B">
        <w:t xml:space="preserve">the </w:t>
      </w:r>
      <w:r w:rsidR="004A2581" w:rsidRPr="006A2C6B">
        <w:t>applications</w:t>
      </w:r>
      <w:r w:rsidR="00B14045" w:rsidRPr="006A2C6B">
        <w:t xml:space="preserve"> submitted</w:t>
      </w:r>
      <w:r w:rsidR="001E4EC7" w:rsidRPr="006A2C6B">
        <w:t xml:space="preserve">. </w:t>
      </w:r>
      <w:r w:rsidR="00B14045" w:rsidRPr="006A2C6B">
        <w:t>However,</w:t>
      </w:r>
      <w:r w:rsidR="0012063A" w:rsidRPr="006A2C6B">
        <w:t xml:space="preserve"> the success of research in </w:t>
      </w:r>
      <w:r w:rsidR="004D0100" w:rsidRPr="006A2C6B">
        <w:t>different</w:t>
      </w:r>
      <w:r w:rsidR="0012063A" w:rsidRPr="006A2C6B">
        <w:t xml:space="preserve"> areas has varied somewhat. </w:t>
      </w:r>
      <w:r w:rsidR="00B82D0E" w:rsidRPr="006A2C6B">
        <w:t>M</w:t>
      </w:r>
      <w:r w:rsidR="001E4EC7" w:rsidRPr="006A2C6B">
        <w:t xml:space="preserve">anufacturing </w:t>
      </w:r>
      <w:r w:rsidR="00FA7A56" w:rsidRPr="006A2C6B">
        <w:t xml:space="preserve">has </w:t>
      </w:r>
      <w:r w:rsidR="0008473E" w:rsidRPr="006A2C6B">
        <w:t xml:space="preserve">been better </w:t>
      </w:r>
      <w:r w:rsidR="00FA7A56" w:rsidRPr="006A2C6B">
        <w:t xml:space="preserve">represented </w:t>
      </w:r>
      <w:r w:rsidR="0008473E" w:rsidRPr="006A2C6B">
        <w:t>in</w:t>
      </w:r>
      <w:r w:rsidR="00FA7A56" w:rsidRPr="006A2C6B">
        <w:t xml:space="preserve"> funded projects (35 per cent) </w:t>
      </w:r>
      <w:r w:rsidR="00246CEF" w:rsidRPr="006A2C6B">
        <w:t xml:space="preserve">than in </w:t>
      </w:r>
      <w:r w:rsidR="00FA7A56" w:rsidRPr="006A2C6B">
        <w:t xml:space="preserve">applications (26 per cent), </w:t>
      </w:r>
      <w:r w:rsidR="00246CEF" w:rsidRPr="006A2C6B">
        <w:t xml:space="preserve">indicating that </w:t>
      </w:r>
      <w:r w:rsidR="00FA7A56" w:rsidRPr="006A2C6B">
        <w:t xml:space="preserve">research in that area </w:t>
      </w:r>
      <w:r w:rsidR="00246CEF" w:rsidRPr="006A2C6B">
        <w:t xml:space="preserve">has </w:t>
      </w:r>
      <w:r w:rsidR="0012063A" w:rsidRPr="006A2C6B">
        <w:t xml:space="preserve">fared </w:t>
      </w:r>
      <w:r w:rsidR="00494900" w:rsidRPr="006A2C6B">
        <w:t xml:space="preserve">relatively </w:t>
      </w:r>
      <w:r w:rsidR="0012063A" w:rsidRPr="006A2C6B">
        <w:t xml:space="preserve">well in the ITRP process. Conversely, research in </w:t>
      </w:r>
      <w:r w:rsidR="004D0100" w:rsidRPr="006A2C6B">
        <w:t xml:space="preserve">Medical technology (21 per cent in applications, 16 per cent in funded projects), </w:t>
      </w:r>
      <w:r w:rsidRPr="006A2C6B">
        <w:t>F</w:t>
      </w:r>
      <w:r w:rsidR="001E4EC7" w:rsidRPr="006A2C6B">
        <w:t>ood (31 per cent in applications, 28 per cent in funded projects) and Cyber security (one per cent in applications, not yet add</w:t>
      </w:r>
      <w:r w:rsidRPr="006A2C6B">
        <w:t>ressed in any funded projects)</w:t>
      </w:r>
      <w:r w:rsidR="0012063A" w:rsidRPr="006A2C6B">
        <w:t xml:space="preserve"> </w:t>
      </w:r>
      <w:r w:rsidR="00494900" w:rsidRPr="006A2C6B">
        <w:t>has</w:t>
      </w:r>
      <w:r w:rsidR="0012063A" w:rsidRPr="006A2C6B">
        <w:t xml:space="preserve"> been less successful.</w:t>
      </w:r>
    </w:p>
    <w:p w14:paraId="60ECE0D4" w14:textId="77777777" w:rsidR="00005C17" w:rsidRPr="006A2C6B" w:rsidRDefault="00005C17" w:rsidP="005D392C"/>
    <w:p w14:paraId="0BF4CDA5" w14:textId="7E4B5617" w:rsidR="00721CF8" w:rsidRPr="006A2C6B" w:rsidRDefault="000F6347" w:rsidP="000F6347">
      <w:pPr>
        <w:pStyle w:val="Heading4"/>
      </w:pPr>
      <w:bookmarkStart w:id="40" w:name="Figure8"/>
      <w:bookmarkEnd w:id="40"/>
      <w:r w:rsidRPr="006A2C6B">
        <w:t xml:space="preserve">Figure </w:t>
      </w:r>
      <w:r w:rsidR="006A2C6B" w:rsidRPr="006A2C6B">
        <w:t>8</w:t>
      </w:r>
      <w:r w:rsidRPr="006A2C6B">
        <w:t>: Overall representation of Industrial Transformation Priorities</w:t>
      </w:r>
    </w:p>
    <w:p w14:paraId="430B7A24" w14:textId="25EE6C1F" w:rsidR="000F6347" w:rsidRPr="00E85BCB" w:rsidRDefault="00203A9B" w:rsidP="005D392C">
      <w:pPr>
        <w:rPr>
          <w:sz w:val="20"/>
          <w:szCs w:val="20"/>
        </w:rPr>
      </w:pPr>
      <w:r>
        <w:rPr>
          <w:noProof/>
          <w:sz w:val="20"/>
          <w:szCs w:val="20"/>
          <w:lang w:eastAsia="en-AU"/>
        </w:rPr>
        <w:drawing>
          <wp:inline distT="0" distB="0" distL="0" distR="0" wp14:anchorId="0A7ED84A" wp14:editId="0D7BD169">
            <wp:extent cx="5358765" cy="2987040"/>
            <wp:effectExtent l="0" t="0" r="0" b="3810"/>
            <wp:docPr id="22" name="Picture 22" descr="Figure 8 shows the overall representation of each of the Industrial Transformation Priorities since the ITRP commenced, as proporations, both in applications and funded projects." title="Figure 8: Overall representation of Industrial Transformation Pri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8765" cy="2987040"/>
                    </a:xfrm>
                    <a:prstGeom prst="rect">
                      <a:avLst/>
                    </a:prstGeom>
                    <a:noFill/>
                  </pic:spPr>
                </pic:pic>
              </a:graphicData>
            </a:graphic>
          </wp:inline>
        </w:drawing>
      </w:r>
      <w:r w:rsidR="00E85BCB" w:rsidRPr="006A2C6B">
        <w:rPr>
          <w:sz w:val="20"/>
          <w:szCs w:val="20"/>
        </w:rPr>
        <w:t xml:space="preserve">Source: ARC data. </w:t>
      </w:r>
      <w:r w:rsidR="00F24C7C" w:rsidRPr="006A2C6B">
        <w:rPr>
          <w:i/>
          <w:sz w:val="20"/>
          <w:szCs w:val="20"/>
        </w:rPr>
        <w:t xml:space="preserve">Note: </w:t>
      </w:r>
      <w:r w:rsidR="004B7AED" w:rsidRPr="006A2C6B">
        <w:rPr>
          <w:i/>
          <w:sz w:val="20"/>
          <w:szCs w:val="20"/>
        </w:rPr>
        <w:t xml:space="preserve">Priority areas are as outlined in </w:t>
      </w:r>
      <w:hyperlink w:anchor="Table2" w:history="1">
        <w:r w:rsidR="004B7AED" w:rsidRPr="001343A7">
          <w:rPr>
            <w:rStyle w:val="Hyperlink"/>
            <w:i/>
            <w:sz w:val="20"/>
            <w:szCs w:val="20"/>
          </w:rPr>
          <w:t xml:space="preserve">Table </w:t>
        </w:r>
        <w:r w:rsidR="006A2C6B" w:rsidRPr="001343A7">
          <w:rPr>
            <w:rStyle w:val="Hyperlink"/>
            <w:i/>
            <w:sz w:val="20"/>
            <w:szCs w:val="20"/>
          </w:rPr>
          <w:t>2</w:t>
        </w:r>
      </w:hyperlink>
      <w:r w:rsidR="004B7AED" w:rsidRPr="006A2C6B">
        <w:rPr>
          <w:i/>
          <w:sz w:val="20"/>
          <w:szCs w:val="20"/>
        </w:rPr>
        <w:t xml:space="preserve">. Priorities addressed in applications and funded projects have been counted as </w:t>
      </w:r>
      <w:r w:rsidR="00BD54A7" w:rsidRPr="006A2C6B">
        <w:rPr>
          <w:i/>
          <w:sz w:val="20"/>
          <w:szCs w:val="20"/>
        </w:rPr>
        <w:t>outlined in</w:t>
      </w:r>
      <w:r w:rsidR="004B7AED" w:rsidRPr="006A2C6B">
        <w:rPr>
          <w:i/>
          <w:sz w:val="20"/>
          <w:szCs w:val="20"/>
        </w:rPr>
        <w:t xml:space="preserve"> </w:t>
      </w:r>
      <w:hyperlink w:anchor="Figure7" w:history="1">
        <w:r w:rsidR="004B7AED" w:rsidRPr="001343A7">
          <w:rPr>
            <w:rStyle w:val="Hyperlink"/>
            <w:i/>
            <w:sz w:val="20"/>
            <w:szCs w:val="20"/>
          </w:rPr>
          <w:t xml:space="preserve">Figure </w:t>
        </w:r>
        <w:r w:rsidR="006A2C6B" w:rsidRPr="001343A7">
          <w:rPr>
            <w:rStyle w:val="Hyperlink"/>
            <w:i/>
            <w:sz w:val="20"/>
            <w:szCs w:val="20"/>
          </w:rPr>
          <w:t>7</w:t>
        </w:r>
      </w:hyperlink>
      <w:r w:rsidR="004B7AED" w:rsidRPr="006A2C6B">
        <w:rPr>
          <w:i/>
          <w:sz w:val="20"/>
          <w:szCs w:val="20"/>
        </w:rPr>
        <w:t xml:space="preserve"> and </w:t>
      </w:r>
      <w:r w:rsidR="00501D97" w:rsidRPr="006A2C6B">
        <w:rPr>
          <w:i/>
          <w:sz w:val="20"/>
          <w:szCs w:val="20"/>
        </w:rPr>
        <w:t>aggregated across</w:t>
      </w:r>
      <w:r w:rsidR="00362863" w:rsidRPr="006A2C6B">
        <w:rPr>
          <w:i/>
          <w:sz w:val="20"/>
          <w:szCs w:val="20"/>
        </w:rPr>
        <w:t xml:space="preserve"> all</w:t>
      </w:r>
      <w:r w:rsidR="00501D97" w:rsidRPr="006A2C6B">
        <w:rPr>
          <w:i/>
          <w:sz w:val="20"/>
          <w:szCs w:val="20"/>
        </w:rPr>
        <w:t xml:space="preserve"> </w:t>
      </w:r>
      <w:r w:rsidR="006A7AD7" w:rsidRPr="006A2C6B">
        <w:rPr>
          <w:i/>
          <w:sz w:val="20"/>
          <w:szCs w:val="20"/>
        </w:rPr>
        <w:t xml:space="preserve">ITRP </w:t>
      </w:r>
      <w:r w:rsidR="00501D97" w:rsidRPr="006A2C6B">
        <w:rPr>
          <w:i/>
          <w:sz w:val="20"/>
          <w:szCs w:val="20"/>
        </w:rPr>
        <w:t>rounds</w:t>
      </w:r>
      <w:r w:rsidR="006A7AD7" w:rsidRPr="006A2C6B">
        <w:rPr>
          <w:i/>
          <w:sz w:val="20"/>
          <w:szCs w:val="20"/>
        </w:rPr>
        <w:t xml:space="preserve"> to 2018 C and 2018 H</w:t>
      </w:r>
      <w:r w:rsidR="004B7AED" w:rsidRPr="006A2C6B">
        <w:rPr>
          <w:i/>
          <w:sz w:val="20"/>
          <w:szCs w:val="20"/>
        </w:rPr>
        <w:t>.</w:t>
      </w:r>
    </w:p>
    <w:p w14:paraId="16BE8B13" w14:textId="5A3FAA22" w:rsidR="00C55FDA" w:rsidRDefault="00C55FDA" w:rsidP="00C55FDA"/>
    <w:p w14:paraId="575C130D" w14:textId="7D70CCFD" w:rsidR="00C55FDA" w:rsidRDefault="002115D2" w:rsidP="00201AE3">
      <w:pPr>
        <w:pStyle w:val="Heading3"/>
      </w:pPr>
      <w:r>
        <w:t>Alignment of priorities with Industry Growth Centre priority areas</w:t>
      </w:r>
    </w:p>
    <w:p w14:paraId="5582E8B5" w14:textId="77777777" w:rsidR="00C55FDA" w:rsidRDefault="00C55FDA" w:rsidP="00C55FDA"/>
    <w:p w14:paraId="32EAE936" w14:textId="6E0D0C91" w:rsidR="00C55FDA" w:rsidRDefault="00C55FDA" w:rsidP="00C55FDA">
      <w:r>
        <w:t xml:space="preserve">Beyond the role of the Growth Centres in </w:t>
      </w:r>
      <w:r w:rsidRPr="006A2C6B">
        <w:t xml:space="preserve">the </w:t>
      </w:r>
      <w:r w:rsidR="008279D4" w:rsidRPr="006A2C6B">
        <w:t xml:space="preserve">ITRP </w:t>
      </w:r>
      <w:r w:rsidRPr="006A2C6B">
        <w:t>assessment process</w:t>
      </w:r>
      <w:r w:rsidR="002115D2" w:rsidRPr="006A2C6B">
        <w:t xml:space="preserve"> (discussed under </w:t>
      </w:r>
      <w:r w:rsidR="006A2C6B" w:rsidRPr="006A2C6B">
        <w:t>‘Engagement with Industry Growth Centres’, above</w:t>
      </w:r>
      <w:r w:rsidR="002115D2" w:rsidRPr="006A2C6B">
        <w:t>)</w:t>
      </w:r>
      <w:r w:rsidRPr="006A2C6B">
        <w:t>, there</w:t>
      </w:r>
      <w:r>
        <w:t xml:space="preserve"> </w:t>
      </w:r>
      <w:r w:rsidR="002115D2">
        <w:t>is a level of ambiguity in</w:t>
      </w:r>
      <w:r>
        <w:t xml:space="preserve"> the way the</w:t>
      </w:r>
      <w:r w:rsidR="002115D2">
        <w:t xml:space="preserve"> Growth Centres’</w:t>
      </w:r>
      <w:r>
        <w:t xml:space="preserve"> </w:t>
      </w:r>
      <w:r w:rsidR="002115D2">
        <w:t xml:space="preserve">relationship to the </w:t>
      </w:r>
      <w:r>
        <w:t>Industrial Transformation Priorit</w:t>
      </w:r>
      <w:r w:rsidR="002115D2">
        <w:t>i</w:t>
      </w:r>
      <w:r>
        <w:t>es</w:t>
      </w:r>
      <w:r w:rsidR="008279D4">
        <w:t xml:space="preserve"> is addressed</w:t>
      </w:r>
      <w:r>
        <w:t>.</w:t>
      </w:r>
    </w:p>
    <w:p w14:paraId="79019541" w14:textId="77777777" w:rsidR="00C55FDA" w:rsidRDefault="00C55FDA" w:rsidP="00C55FDA"/>
    <w:p w14:paraId="4CC7DA3F" w14:textId="253A81B4" w:rsidR="00C55FDA" w:rsidRDefault="00C55FDA" w:rsidP="00C55FDA">
      <w:r>
        <w:t>The Industrial Transformation Priorities have aligned with</w:t>
      </w:r>
      <w:r w:rsidR="004C3A98">
        <w:t xml:space="preserve"> (in fact, exactly</w:t>
      </w:r>
      <w:r w:rsidR="00486B64">
        <w:t xml:space="preserve"> matched</w:t>
      </w:r>
      <w:r w:rsidR="002115D2">
        <w:t>)</w:t>
      </w:r>
      <w:r>
        <w:t xml:space="preserve"> the Growth Centre priority areas since that initiative was introduced in 2015</w:t>
      </w:r>
      <w:r w:rsidR="003A6DA5">
        <w:t xml:space="preserve">. This construction underpins the </w:t>
      </w:r>
      <w:r w:rsidR="00A86CD9">
        <w:t xml:space="preserve">focus in the ITRP on </w:t>
      </w:r>
      <w:r w:rsidR="003A6DA5">
        <w:t>engagement between applicants and Growth Centres</w:t>
      </w:r>
      <w:r w:rsidR="00A86CD9">
        <w:t xml:space="preserve"> </w:t>
      </w:r>
      <w:r w:rsidR="003A6DA5">
        <w:t>to ensure</w:t>
      </w:r>
      <w:r w:rsidR="00CE234C">
        <w:t xml:space="preserve"> </w:t>
      </w:r>
      <w:r w:rsidR="00A86CD9">
        <w:t xml:space="preserve">support for </w:t>
      </w:r>
      <w:r w:rsidR="003A6DA5">
        <w:t>research and research training</w:t>
      </w:r>
      <w:r w:rsidR="00CE234C">
        <w:t xml:space="preserve"> </w:t>
      </w:r>
      <w:r w:rsidR="003A6DA5">
        <w:t>in government identified priority areas.</w:t>
      </w:r>
      <w:r>
        <w:t xml:space="preserve"> However, while addressing the Industrial Transformation Priorities is an ITRP eligibility requirement</w:t>
      </w:r>
      <w:r w:rsidR="002115D2">
        <w:t xml:space="preserve"> (as discussed above)</w:t>
      </w:r>
      <w:r>
        <w:t xml:space="preserve">, engagement with the Growth Centres is not expressed as being mandatory. The most recent grant guidelines state that: </w:t>
      </w:r>
    </w:p>
    <w:p w14:paraId="2A0C71A3" w14:textId="77777777" w:rsidR="00C55FDA" w:rsidRDefault="00C55FDA" w:rsidP="00C55FDA"/>
    <w:p w14:paraId="3A705062" w14:textId="40FE31F9" w:rsidR="00C55FDA" w:rsidRDefault="00674E4B" w:rsidP="00C55FDA">
      <w:r>
        <w:rPr>
          <w:i/>
        </w:rPr>
        <w:t>‘</w:t>
      </w:r>
      <w:r w:rsidR="00C55FDA" w:rsidRPr="00AE4897">
        <w:rPr>
          <w:i/>
        </w:rPr>
        <w:t>The research and training programs of the proposed Research Hub or Training Centre must address one or more of the Industrial Transformation Priorities. Prior to applying, potential applicants are strongly encouraged to engage with the relevant industry growth centre.</w:t>
      </w:r>
      <w:r>
        <w:rPr>
          <w:i/>
        </w:rPr>
        <w:t>’</w:t>
      </w:r>
      <w:r w:rsidR="00C55FDA">
        <w:rPr>
          <w:rStyle w:val="FootnoteReference"/>
        </w:rPr>
        <w:footnoteReference w:id="22"/>
      </w:r>
    </w:p>
    <w:p w14:paraId="01C89519" w14:textId="77777777" w:rsidR="00C55FDA" w:rsidRDefault="00C55FDA" w:rsidP="00C55FDA"/>
    <w:p w14:paraId="070C9D3A" w14:textId="0526B9DF" w:rsidR="00C55FDA" w:rsidRDefault="00486B64" w:rsidP="00C55FDA">
      <w:r>
        <w:t>Engagement with the Growth Centres</w:t>
      </w:r>
      <w:r w:rsidR="00A86CD9">
        <w:t xml:space="preserve"> is then captured in an assessment criterion</w:t>
      </w:r>
      <w:r w:rsidR="00C55FDA">
        <w:t xml:space="preserve"> for both the ITRH (‘the extent to which the proposed Research Hub engages, and will continue to engage, meaningfully with the relevant Industry Growth Centre(s)’)</w:t>
      </w:r>
      <w:r w:rsidR="00C55FDA">
        <w:rPr>
          <w:rStyle w:val="FootnoteReference"/>
        </w:rPr>
        <w:footnoteReference w:id="23"/>
      </w:r>
      <w:r w:rsidR="00C55FDA">
        <w:t xml:space="preserve"> and the ITTC (‘the extent to which the proposed Training Centre will engage meaningfully with the relevant Industry Growth Centre(s)’).</w:t>
      </w:r>
      <w:r w:rsidR="00C55FDA">
        <w:rPr>
          <w:rStyle w:val="FootnoteReference"/>
        </w:rPr>
        <w:footnoteReference w:id="24"/>
      </w:r>
      <w:r w:rsidR="00C55FDA">
        <w:t xml:space="preserve"> </w:t>
      </w:r>
      <w:r w:rsidR="00B87ED0">
        <w:t>It should also be noted that</w:t>
      </w:r>
      <w:r w:rsidR="00C55FDA">
        <w:t xml:space="preserve">, despite being nearly identical, these criteria appear under different categories for the ITRH (‘Benefit’) and the ITTC </w:t>
      </w:r>
      <w:r>
        <w:t>(‘Feasibility and Commitment’).</w:t>
      </w:r>
    </w:p>
    <w:p w14:paraId="09F875F2" w14:textId="7724DB01" w:rsidR="00C55FDA" w:rsidRDefault="00C55FDA" w:rsidP="00C55FDA"/>
    <w:p w14:paraId="7EE7336A" w14:textId="490044AF" w:rsidR="007C231F" w:rsidRPr="007C231F" w:rsidRDefault="007C231F" w:rsidP="00C55FDA">
      <w:r w:rsidRPr="007C231F">
        <w:t>While</w:t>
      </w:r>
      <w:r>
        <w:t xml:space="preserve"> the importance of </w:t>
      </w:r>
      <w:r w:rsidRPr="007C231F">
        <w:t xml:space="preserve">engagement </w:t>
      </w:r>
      <w:r>
        <w:t xml:space="preserve">with Growth Centres is also emphasised in other ARC advice (including through forums and other outreach activities), the Growth Centres initiative sits outside the ARC’s control and it is not possible for the ARC to enforce that engagement </w:t>
      </w:r>
      <w:r w:rsidR="00D758B2">
        <w:t>as part of the ITRP process. Indeed, some</w:t>
      </w:r>
      <w:r w:rsidR="006C5498">
        <w:t xml:space="preserve"> survey and interview</w:t>
      </w:r>
      <w:r w:rsidR="00D758B2">
        <w:t xml:space="preserve"> participants—</w:t>
      </w:r>
      <w:r w:rsidR="006C5498">
        <w:t>albeit a minority</w:t>
      </w:r>
      <w:r w:rsidR="00D758B2">
        <w:t>—reported</w:t>
      </w:r>
      <w:r w:rsidR="006C5498">
        <w:t xml:space="preserve"> </w:t>
      </w:r>
      <w:r w:rsidR="00D758B2">
        <w:t xml:space="preserve">difficulties in engaging with </w:t>
      </w:r>
      <w:r w:rsidR="006C5498">
        <w:t>Growth Centres</w:t>
      </w:r>
      <w:r w:rsidR="00D758B2">
        <w:t>, including a lack of responsiveness.</w:t>
      </w:r>
      <w:r w:rsidR="006C5498">
        <w:rPr>
          <w:rStyle w:val="FootnoteReference"/>
        </w:rPr>
        <w:footnoteReference w:id="25"/>
      </w:r>
    </w:p>
    <w:p w14:paraId="60582304" w14:textId="610ECE22" w:rsidR="007C231F" w:rsidRDefault="007C231F" w:rsidP="00C55FDA"/>
    <w:p w14:paraId="24D2ECD7" w14:textId="3DD05AAC" w:rsidR="00E80101" w:rsidRPr="00B7587A" w:rsidRDefault="00E80101" w:rsidP="00C55FDA">
      <w:r>
        <w:t>I</w:t>
      </w:r>
      <w:r w:rsidR="00B87ED0">
        <w:t>n light of these tensions, some revisions</w:t>
      </w:r>
      <w:r>
        <w:t xml:space="preserve"> to the design of the ITRP </w:t>
      </w:r>
      <w:r w:rsidR="00B87ED0">
        <w:t xml:space="preserve">process and priorities </w:t>
      </w:r>
      <w:r>
        <w:t xml:space="preserve">may be possible to help clarify the Growth Centres’ role and allow more flexibility to address concerns, discussed above, that the Industrial Transformation Priorities have gaps or are too </w:t>
      </w:r>
      <w:r w:rsidRPr="00B7587A">
        <w:t>narrow. For example, the ARC may wish to consider all or some elements of the following approach:</w:t>
      </w:r>
    </w:p>
    <w:p w14:paraId="048242EA" w14:textId="77777777" w:rsidR="00E80101" w:rsidRPr="00B7587A" w:rsidRDefault="00E80101" w:rsidP="00C55FDA"/>
    <w:p w14:paraId="4C373E35" w14:textId="7CC7568D" w:rsidR="00E80101" w:rsidRPr="00B7587A" w:rsidRDefault="004B0C0D" w:rsidP="002549B9">
      <w:pPr>
        <w:pStyle w:val="ListParagraph"/>
        <w:numPr>
          <w:ilvl w:val="0"/>
          <w:numId w:val="41"/>
        </w:numPr>
        <w:rPr>
          <w:color w:val="auto"/>
        </w:rPr>
      </w:pPr>
      <w:r w:rsidRPr="00B7587A">
        <w:rPr>
          <w:color w:val="auto"/>
        </w:rPr>
        <w:t>In the ITRP grant guidelines, r</w:t>
      </w:r>
      <w:r w:rsidR="00E80101" w:rsidRPr="00B7587A">
        <w:rPr>
          <w:color w:val="auto"/>
        </w:rPr>
        <w:t>etain the requirement for applications to address one or more of the Industrial Transformation Priorities.</w:t>
      </w:r>
    </w:p>
    <w:p w14:paraId="6741E89D" w14:textId="3D385A4D" w:rsidR="00E80101" w:rsidRPr="005F508B" w:rsidRDefault="00E80101" w:rsidP="005F508B">
      <w:pPr>
        <w:pStyle w:val="ListParagraph"/>
        <w:numPr>
          <w:ilvl w:val="0"/>
          <w:numId w:val="41"/>
        </w:numPr>
        <w:rPr>
          <w:color w:val="auto"/>
        </w:rPr>
      </w:pPr>
      <w:r w:rsidRPr="00B7587A">
        <w:rPr>
          <w:color w:val="auto"/>
        </w:rPr>
        <w:t xml:space="preserve">Continue to include all Industry Growth Centre priority areas in the Industrial Transformation Priorities but </w:t>
      </w:r>
      <w:r w:rsidR="008B2DF8">
        <w:rPr>
          <w:color w:val="auto"/>
        </w:rPr>
        <w:t xml:space="preserve">also </w:t>
      </w:r>
      <w:r w:rsidR="009A4ACD" w:rsidRPr="00B7587A">
        <w:rPr>
          <w:color w:val="auto"/>
        </w:rPr>
        <w:t xml:space="preserve">consider the inclusion of </w:t>
      </w:r>
      <w:r w:rsidRPr="00B7587A">
        <w:rPr>
          <w:color w:val="auto"/>
        </w:rPr>
        <w:t>additional priorities</w:t>
      </w:r>
      <w:r w:rsidR="00B87ED0" w:rsidRPr="00B7587A">
        <w:rPr>
          <w:color w:val="auto"/>
        </w:rPr>
        <w:t xml:space="preserve"> beyond the scope of the Growth Centres</w:t>
      </w:r>
      <w:r w:rsidR="008B2DF8">
        <w:rPr>
          <w:color w:val="auto"/>
        </w:rPr>
        <w:t xml:space="preserve"> </w:t>
      </w:r>
      <w:r w:rsidR="002549B9">
        <w:rPr>
          <w:color w:val="auto"/>
        </w:rPr>
        <w:t>for</w:t>
      </w:r>
      <w:r w:rsidR="008B2DF8">
        <w:rPr>
          <w:color w:val="auto"/>
        </w:rPr>
        <w:t xml:space="preserve"> each round</w:t>
      </w:r>
      <w:r w:rsidR="00B87ED0" w:rsidRPr="00B7587A">
        <w:rPr>
          <w:color w:val="auto"/>
        </w:rPr>
        <w:t xml:space="preserve">. </w:t>
      </w:r>
      <w:r w:rsidR="005F508B">
        <w:rPr>
          <w:color w:val="auto"/>
        </w:rPr>
        <w:t>These additional priorities sh</w:t>
      </w:r>
      <w:r w:rsidR="00B87ED0" w:rsidRPr="005F508B">
        <w:rPr>
          <w:color w:val="auto"/>
        </w:rPr>
        <w:t xml:space="preserve">ould be identified in consultation with </w:t>
      </w:r>
      <w:r w:rsidR="00B0199E" w:rsidRPr="005F508B">
        <w:rPr>
          <w:color w:val="auto"/>
        </w:rPr>
        <w:t>appropriate</w:t>
      </w:r>
      <w:r w:rsidR="006F3822" w:rsidRPr="005F508B">
        <w:rPr>
          <w:color w:val="auto"/>
        </w:rPr>
        <w:t xml:space="preserve"> </w:t>
      </w:r>
      <w:r w:rsidR="00B0199E" w:rsidRPr="005F508B">
        <w:rPr>
          <w:color w:val="auto"/>
        </w:rPr>
        <w:t xml:space="preserve">stakeholders, including relevant </w:t>
      </w:r>
      <w:r w:rsidR="004554AE" w:rsidRPr="005F508B">
        <w:rPr>
          <w:color w:val="auto"/>
        </w:rPr>
        <w:t>m</w:t>
      </w:r>
      <w:r w:rsidR="00B87ED0" w:rsidRPr="005F508B">
        <w:rPr>
          <w:color w:val="auto"/>
        </w:rPr>
        <w:t xml:space="preserve">inisters and </w:t>
      </w:r>
      <w:r w:rsidR="00B7587A" w:rsidRPr="005F508B">
        <w:rPr>
          <w:color w:val="auto"/>
        </w:rPr>
        <w:t>DIIS</w:t>
      </w:r>
      <w:r w:rsidR="006F3822" w:rsidRPr="005F508B">
        <w:rPr>
          <w:color w:val="auto"/>
        </w:rPr>
        <w:t>,</w:t>
      </w:r>
      <w:r w:rsidR="004554AE" w:rsidRPr="005F508B">
        <w:rPr>
          <w:color w:val="auto"/>
        </w:rPr>
        <w:t xml:space="preserve"> to ensure consistency</w:t>
      </w:r>
      <w:r w:rsidR="00B87ED0" w:rsidRPr="005F508B">
        <w:rPr>
          <w:color w:val="auto"/>
        </w:rPr>
        <w:t xml:space="preserve"> with the </w:t>
      </w:r>
      <w:r w:rsidR="00B7587A" w:rsidRPr="005F508B">
        <w:rPr>
          <w:color w:val="auto"/>
        </w:rPr>
        <w:t>ITRP’s purpose</w:t>
      </w:r>
      <w:r w:rsidR="00B87ED0" w:rsidRPr="005F508B">
        <w:rPr>
          <w:color w:val="auto"/>
        </w:rPr>
        <w:t xml:space="preserve"> of supporting industry growth in areas that are important to Australia.</w:t>
      </w:r>
    </w:p>
    <w:p w14:paraId="7185AA22" w14:textId="6054D2B8" w:rsidR="008B2DF8" w:rsidRDefault="004B0C0D" w:rsidP="002549B9">
      <w:pPr>
        <w:pStyle w:val="ListParagraph"/>
        <w:numPr>
          <w:ilvl w:val="0"/>
          <w:numId w:val="41"/>
        </w:numPr>
        <w:rPr>
          <w:color w:val="auto"/>
        </w:rPr>
      </w:pPr>
      <w:r w:rsidRPr="00B7587A">
        <w:rPr>
          <w:color w:val="auto"/>
        </w:rPr>
        <w:t>Amend th</w:t>
      </w:r>
      <w:r w:rsidR="009A4ACD" w:rsidRPr="00B7587A">
        <w:rPr>
          <w:color w:val="auto"/>
        </w:rPr>
        <w:t xml:space="preserve">e ITRP guidelines </w:t>
      </w:r>
      <w:r w:rsidRPr="00B7587A">
        <w:rPr>
          <w:color w:val="auto"/>
        </w:rPr>
        <w:t xml:space="preserve">so that </w:t>
      </w:r>
      <w:r w:rsidR="009A4ACD" w:rsidRPr="00B7587A">
        <w:rPr>
          <w:color w:val="auto"/>
        </w:rPr>
        <w:t xml:space="preserve">rather than </w:t>
      </w:r>
      <w:r w:rsidR="009A4ACD" w:rsidRPr="00B7587A">
        <w:rPr>
          <w:i/>
          <w:color w:val="auto"/>
        </w:rPr>
        <w:t>strongly encouraging</w:t>
      </w:r>
      <w:r w:rsidR="009A4ACD" w:rsidRPr="00B7587A">
        <w:rPr>
          <w:color w:val="auto"/>
        </w:rPr>
        <w:t xml:space="preserve"> </w:t>
      </w:r>
      <w:r w:rsidRPr="00B7587A">
        <w:rPr>
          <w:color w:val="auto"/>
        </w:rPr>
        <w:t xml:space="preserve">potential </w:t>
      </w:r>
      <w:r w:rsidR="009A4ACD" w:rsidRPr="00B7587A">
        <w:rPr>
          <w:color w:val="auto"/>
        </w:rPr>
        <w:t xml:space="preserve">applicants to engage with the relevant </w:t>
      </w:r>
      <w:r w:rsidR="00B7587A" w:rsidRPr="00B7587A">
        <w:rPr>
          <w:color w:val="auto"/>
        </w:rPr>
        <w:t xml:space="preserve">Growth Centres, they </w:t>
      </w:r>
      <w:r w:rsidR="00B7587A" w:rsidRPr="00B7587A">
        <w:rPr>
          <w:i/>
          <w:color w:val="auto"/>
        </w:rPr>
        <w:t>require</w:t>
      </w:r>
      <w:r w:rsidR="00B7587A" w:rsidRPr="00B7587A">
        <w:rPr>
          <w:color w:val="auto"/>
        </w:rPr>
        <w:t xml:space="preserve"> applicants to engage with </w:t>
      </w:r>
      <w:r w:rsidR="00B7587A">
        <w:rPr>
          <w:color w:val="auto"/>
        </w:rPr>
        <w:t xml:space="preserve">relevant </w:t>
      </w:r>
      <w:r w:rsidR="00B7587A" w:rsidRPr="00B7587A">
        <w:rPr>
          <w:color w:val="auto"/>
        </w:rPr>
        <w:t xml:space="preserve">industry experts (such as, but not exclusively, Growth Centres) </w:t>
      </w:r>
      <w:r w:rsidR="002549B9">
        <w:rPr>
          <w:color w:val="auto"/>
        </w:rPr>
        <w:t>to ensure</w:t>
      </w:r>
      <w:r w:rsidR="00B7587A" w:rsidRPr="00B7587A">
        <w:rPr>
          <w:color w:val="auto"/>
        </w:rPr>
        <w:t xml:space="preserve"> the proposed research is targeted to support growth in the relevant Ind</w:t>
      </w:r>
      <w:r w:rsidR="00FB0032">
        <w:rPr>
          <w:color w:val="auto"/>
        </w:rPr>
        <w:t>ustrial Transformation Priorit</w:t>
      </w:r>
      <w:r w:rsidR="002549B9">
        <w:rPr>
          <w:color w:val="auto"/>
        </w:rPr>
        <w:t>y areas</w:t>
      </w:r>
      <w:r w:rsidR="00B7587A" w:rsidRPr="00B7587A">
        <w:rPr>
          <w:color w:val="auto"/>
        </w:rPr>
        <w:t xml:space="preserve">. </w:t>
      </w:r>
    </w:p>
    <w:p w14:paraId="3953C82F" w14:textId="63F81073" w:rsidR="008B2DF8" w:rsidRDefault="00B7587A" w:rsidP="002549B9">
      <w:pPr>
        <w:pStyle w:val="ListParagraph"/>
        <w:numPr>
          <w:ilvl w:val="0"/>
          <w:numId w:val="41"/>
        </w:numPr>
        <w:rPr>
          <w:color w:val="auto"/>
        </w:rPr>
      </w:pPr>
      <w:r w:rsidRPr="00B7587A">
        <w:rPr>
          <w:color w:val="auto"/>
        </w:rPr>
        <w:t xml:space="preserve">Amend the </w:t>
      </w:r>
      <w:r w:rsidR="006A00A9">
        <w:rPr>
          <w:color w:val="auto"/>
        </w:rPr>
        <w:t>ITRH and ITTC assessment</w:t>
      </w:r>
      <w:r w:rsidRPr="00B7587A">
        <w:rPr>
          <w:color w:val="auto"/>
        </w:rPr>
        <w:t xml:space="preserve"> criteria</w:t>
      </w:r>
      <w:r w:rsidR="006A00A9">
        <w:rPr>
          <w:color w:val="auto"/>
        </w:rPr>
        <w:t xml:space="preserve"> so that rather than describing</w:t>
      </w:r>
      <w:r>
        <w:rPr>
          <w:color w:val="auto"/>
        </w:rPr>
        <w:t xml:space="preserve"> the extent to which a Research Hub or Training Centre </w:t>
      </w:r>
      <w:r w:rsidR="006A00A9">
        <w:rPr>
          <w:color w:val="auto"/>
        </w:rPr>
        <w:t xml:space="preserve">will </w:t>
      </w:r>
      <w:r w:rsidR="001B6243">
        <w:rPr>
          <w:color w:val="auto"/>
        </w:rPr>
        <w:t>‘</w:t>
      </w:r>
      <w:r w:rsidR="006A00A9">
        <w:rPr>
          <w:color w:val="auto"/>
        </w:rPr>
        <w:t>engage meaningfully</w:t>
      </w:r>
      <w:r w:rsidR="001B6243">
        <w:rPr>
          <w:color w:val="auto"/>
        </w:rPr>
        <w:t>’</w:t>
      </w:r>
      <w:r w:rsidRPr="00B7587A">
        <w:rPr>
          <w:color w:val="auto"/>
        </w:rPr>
        <w:t xml:space="preserve"> </w:t>
      </w:r>
      <w:r w:rsidR="006A00A9">
        <w:rPr>
          <w:color w:val="auto"/>
        </w:rPr>
        <w:t>with the relevant Growth Centres, applicants are required to describe the ways in which engagement with industry experts (such as, but not exclusively, Growth Centres) has ensured that the proposed research is targeted to support growth in the relevant Industrial Transformation Priorit</w:t>
      </w:r>
      <w:r w:rsidR="002549B9">
        <w:rPr>
          <w:color w:val="auto"/>
        </w:rPr>
        <w:t>y areas</w:t>
      </w:r>
      <w:r w:rsidR="006A00A9">
        <w:rPr>
          <w:color w:val="auto"/>
        </w:rPr>
        <w:t>.</w:t>
      </w:r>
    </w:p>
    <w:p w14:paraId="17AF6F83" w14:textId="5D2E5C59" w:rsidR="008B2DF8" w:rsidRPr="008B2DF8" w:rsidRDefault="00FB0032" w:rsidP="002549B9">
      <w:pPr>
        <w:pStyle w:val="ListParagraph"/>
        <w:numPr>
          <w:ilvl w:val="0"/>
          <w:numId w:val="41"/>
        </w:numPr>
        <w:rPr>
          <w:color w:val="auto"/>
        </w:rPr>
      </w:pPr>
      <w:r>
        <w:rPr>
          <w:color w:val="auto"/>
        </w:rPr>
        <w:t>Noting that</w:t>
      </w:r>
      <w:r w:rsidR="008B2DF8" w:rsidRPr="008B2DF8">
        <w:rPr>
          <w:color w:val="auto"/>
        </w:rPr>
        <w:t xml:space="preserve"> </w:t>
      </w:r>
      <w:r w:rsidR="008B2DF8">
        <w:rPr>
          <w:color w:val="auto"/>
        </w:rPr>
        <w:t xml:space="preserve">ITRP Selection Advisory Committees include </w:t>
      </w:r>
      <w:r w:rsidR="0009513B">
        <w:rPr>
          <w:color w:val="auto"/>
        </w:rPr>
        <w:t xml:space="preserve">members with relevant </w:t>
      </w:r>
      <w:r w:rsidR="008B2DF8">
        <w:rPr>
          <w:color w:val="auto"/>
        </w:rPr>
        <w:t>industry expert</w:t>
      </w:r>
      <w:r w:rsidR="0009513B">
        <w:rPr>
          <w:color w:val="auto"/>
        </w:rPr>
        <w:t>ise</w:t>
      </w:r>
      <w:r>
        <w:rPr>
          <w:color w:val="auto"/>
        </w:rPr>
        <w:t>, t</w:t>
      </w:r>
      <w:r w:rsidR="008B2DF8">
        <w:rPr>
          <w:color w:val="auto"/>
        </w:rPr>
        <w:t xml:space="preserve">he ARC would need to ensure </w:t>
      </w:r>
      <w:r w:rsidR="0009513B">
        <w:rPr>
          <w:color w:val="auto"/>
        </w:rPr>
        <w:t xml:space="preserve">this expertise covered any </w:t>
      </w:r>
      <w:r w:rsidR="008B2DF8" w:rsidRPr="008B2DF8">
        <w:rPr>
          <w:color w:val="auto"/>
        </w:rPr>
        <w:t>additiona</w:t>
      </w:r>
      <w:r>
        <w:rPr>
          <w:color w:val="auto"/>
        </w:rPr>
        <w:t xml:space="preserve">l priority areas identified </w:t>
      </w:r>
      <w:r w:rsidR="0009513B">
        <w:rPr>
          <w:color w:val="auto"/>
        </w:rPr>
        <w:t>for each round</w:t>
      </w:r>
      <w:r>
        <w:rPr>
          <w:color w:val="auto"/>
        </w:rPr>
        <w:t>.</w:t>
      </w:r>
      <w:r w:rsidR="008B2DF8" w:rsidRPr="008B2DF8">
        <w:rPr>
          <w:color w:val="auto"/>
        </w:rPr>
        <w:t xml:space="preserve"> </w:t>
      </w:r>
    </w:p>
    <w:p w14:paraId="30249453" w14:textId="77777777" w:rsidR="006A00A9" w:rsidRPr="006A00A9" w:rsidRDefault="006A00A9" w:rsidP="006A00A9"/>
    <w:p w14:paraId="32326611" w14:textId="2AC4C108" w:rsidR="00E80101" w:rsidRDefault="00455005" w:rsidP="00C55FDA">
      <w:r>
        <w:t xml:space="preserve">These changes would provide extra flexibility and remove ambiguities associated with the ARC’s lack of control over the operation of the Growth Centres, while allowing </w:t>
      </w:r>
      <w:r w:rsidR="000F45D4">
        <w:t xml:space="preserve">the </w:t>
      </w:r>
      <w:r w:rsidR="006A00A9">
        <w:t>ITRP to continue to alig</w:t>
      </w:r>
      <w:r>
        <w:t>n with them</w:t>
      </w:r>
      <w:r w:rsidR="003579B9">
        <w:t xml:space="preserve">. </w:t>
      </w:r>
      <w:r w:rsidR="00973590">
        <w:t>G</w:t>
      </w:r>
      <w:r w:rsidR="003579B9">
        <w:t xml:space="preserve">iven the important role of the Growth Centres in Australia’s innovation policy landscape, the ARC </w:t>
      </w:r>
      <w:r>
        <w:t>sh</w:t>
      </w:r>
      <w:r w:rsidR="003579B9">
        <w:t xml:space="preserve">ould continue to work closely with DIIS and the Growth Centres in relation to their interaction with the ITRP and continue to emphasise the value of engagement with the Growth Centres </w:t>
      </w:r>
      <w:r w:rsidR="000F45D4">
        <w:t>in</w:t>
      </w:r>
      <w:r w:rsidR="003579B9">
        <w:t xml:space="preserve"> its ITRP advice and outreach activities.</w:t>
      </w:r>
    </w:p>
    <w:p w14:paraId="592E2A45" w14:textId="77777777" w:rsidR="00D15DE0" w:rsidRDefault="00D15DE0" w:rsidP="00C55FDA"/>
    <w:p w14:paraId="569D738A" w14:textId="059B3EA0" w:rsidR="00711E51" w:rsidRPr="0068285B" w:rsidRDefault="00711E51" w:rsidP="00B664CF">
      <w:pPr>
        <w:rPr>
          <w:b/>
          <w:szCs w:val="24"/>
        </w:rPr>
      </w:pPr>
    </w:p>
    <w:sectPr w:rsidR="00711E51" w:rsidRPr="0068285B" w:rsidSect="00DD046E">
      <w:footerReference w:type="default" r:id="rId17"/>
      <w:headerReference w:type="first" r:id="rId18"/>
      <w:footerReference w:type="first" r:id="rId19"/>
      <w:pgSz w:w="11906" w:h="16838"/>
      <w:pgMar w:top="851" w:right="1440" w:bottom="709" w:left="1418" w:header="708"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D82C" w14:textId="77777777" w:rsidR="00C44B80" w:rsidRDefault="00C44B80" w:rsidP="00050E60">
      <w:r>
        <w:separator/>
      </w:r>
    </w:p>
  </w:endnote>
  <w:endnote w:type="continuationSeparator" w:id="0">
    <w:p w14:paraId="30687C09" w14:textId="77777777" w:rsidR="00C44B80" w:rsidRDefault="00C44B80" w:rsidP="000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085762"/>
      <w:docPartObj>
        <w:docPartGallery w:val="Page Numbers (Bottom of Page)"/>
        <w:docPartUnique/>
      </w:docPartObj>
    </w:sdtPr>
    <w:sdtEndPr>
      <w:rPr>
        <w:noProof/>
      </w:rPr>
    </w:sdtEndPr>
    <w:sdtContent>
      <w:p w14:paraId="66200AF9" w14:textId="78719B59" w:rsidR="00640144" w:rsidRDefault="00640144">
        <w:pPr>
          <w:pStyle w:val="Footer"/>
          <w:jc w:val="right"/>
        </w:pPr>
        <w:r>
          <w:fldChar w:fldCharType="begin"/>
        </w:r>
        <w:r>
          <w:instrText xml:space="preserve"> PAGE   \* MERGEFORMAT </w:instrText>
        </w:r>
        <w:r>
          <w:fldChar w:fldCharType="separate"/>
        </w:r>
        <w:r w:rsidR="00D524F8">
          <w:rPr>
            <w:noProof/>
          </w:rPr>
          <w:t>4</w:t>
        </w:r>
        <w:r>
          <w:rPr>
            <w:noProof/>
          </w:rPr>
          <w:fldChar w:fldCharType="end"/>
        </w:r>
      </w:p>
    </w:sdtContent>
  </w:sdt>
  <w:p w14:paraId="183FE425" w14:textId="77777777" w:rsidR="00640144" w:rsidRDefault="0064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4A15" w14:textId="77777777" w:rsidR="00640144" w:rsidRDefault="00640144" w:rsidP="00F221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89DD" w14:textId="77777777" w:rsidR="00C44B80" w:rsidRDefault="00C44B80" w:rsidP="00050E60">
      <w:r>
        <w:separator/>
      </w:r>
    </w:p>
  </w:footnote>
  <w:footnote w:type="continuationSeparator" w:id="0">
    <w:p w14:paraId="7BCF282D" w14:textId="77777777" w:rsidR="00C44B80" w:rsidRDefault="00C44B80" w:rsidP="00050E60">
      <w:r>
        <w:continuationSeparator/>
      </w:r>
    </w:p>
  </w:footnote>
  <w:footnote w:id="1">
    <w:p w14:paraId="41825A35" w14:textId="6AD65CC3" w:rsidR="00640144" w:rsidRPr="00C15311" w:rsidRDefault="00640144">
      <w:pPr>
        <w:pStyle w:val="FootnoteText"/>
      </w:pPr>
      <w:r w:rsidRPr="00C15311">
        <w:rPr>
          <w:rStyle w:val="FootnoteReference"/>
        </w:rPr>
        <w:footnoteRef/>
      </w:r>
      <w:r w:rsidRPr="00C15311">
        <w:t xml:space="preserve"> </w:t>
      </w:r>
      <w:hyperlink r:id="rId1" w:history="1">
        <w:r w:rsidRPr="00C15311">
          <w:t>www.arc.gov.au</w:t>
        </w:r>
      </w:hyperlink>
      <w:r w:rsidRPr="00C15311">
        <w:t xml:space="preserve"> &gt; Grants &gt; Linkage Program&gt; </w:t>
      </w:r>
      <w:hyperlink r:id="rId2" w:history="1">
        <w:r w:rsidRPr="00C15311">
          <w:rPr>
            <w:rStyle w:val="Hyperlink"/>
          </w:rPr>
          <w:t>Industrial Transformation Research Program</w:t>
        </w:r>
      </w:hyperlink>
      <w:r w:rsidRPr="00C15311">
        <w:t>.</w:t>
      </w:r>
    </w:p>
  </w:footnote>
  <w:footnote w:id="2">
    <w:p w14:paraId="6F1437BF" w14:textId="49C78415" w:rsidR="00640144" w:rsidRPr="00C15311" w:rsidRDefault="00640144">
      <w:pPr>
        <w:pStyle w:val="FootnoteText"/>
      </w:pPr>
      <w:r w:rsidRPr="00C15311">
        <w:rPr>
          <w:rStyle w:val="FootnoteReference"/>
        </w:rPr>
        <w:footnoteRef/>
      </w:r>
      <w:r w:rsidRPr="00C15311">
        <w:t xml:space="preserve"> </w:t>
      </w:r>
      <w:hyperlink r:id="rId3" w:history="1">
        <w:r w:rsidRPr="00C15311">
          <w:t>www.industry.gov.au</w:t>
        </w:r>
      </w:hyperlink>
      <w:r w:rsidRPr="00C15311">
        <w:t xml:space="preserve"> &gt; Strategies for the future&gt; </w:t>
      </w:r>
      <w:hyperlink r:id="rId4" w:history="1">
        <w:r w:rsidRPr="00C15311">
          <w:rPr>
            <w:rStyle w:val="Hyperlink"/>
          </w:rPr>
          <w:t>Industry Growth Centres</w:t>
        </w:r>
      </w:hyperlink>
      <w:r w:rsidRPr="00C15311">
        <w:t>.</w:t>
      </w:r>
    </w:p>
  </w:footnote>
  <w:footnote w:id="3">
    <w:p w14:paraId="504EF494" w14:textId="21973303" w:rsidR="00640144" w:rsidRPr="00752E9D" w:rsidRDefault="00640144">
      <w:pPr>
        <w:pStyle w:val="FootnoteText"/>
        <w:rPr>
          <w:lang w:val="en-US"/>
        </w:rPr>
      </w:pPr>
      <w:r w:rsidRPr="00C15311">
        <w:rPr>
          <w:rStyle w:val="FootnoteReference"/>
        </w:rPr>
        <w:footnoteRef/>
      </w:r>
      <w:r w:rsidRPr="00C15311">
        <w:t xml:space="preserve"> </w:t>
      </w:r>
      <w:r w:rsidRPr="00C15311">
        <w:rPr>
          <w:i/>
        </w:rPr>
        <w:t>Grant Guidelines for the Industrial Transformation Research Program (2018) for funding commencing in 2019</w:t>
      </w:r>
      <w:r w:rsidRPr="00C15311">
        <w:t xml:space="preserve">, </w:t>
      </w:r>
      <w:r>
        <w:t xml:space="preserve">available at </w:t>
      </w:r>
      <w:hyperlink r:id="rId5" w:history="1">
        <w:r w:rsidRPr="00C15311">
          <w:t>www.grants.gov.au</w:t>
        </w:r>
      </w:hyperlink>
      <w:r>
        <w:t xml:space="preserve"> &gt; </w:t>
      </w:r>
      <w:hyperlink r:id="rId6" w:history="1">
        <w:r w:rsidRPr="00C15311">
          <w:rPr>
            <w:rStyle w:val="Hyperlink"/>
          </w:rPr>
          <w:t>Forecast Opportunity View - ITRP2019</w:t>
        </w:r>
      </w:hyperlink>
      <w:r>
        <w:t xml:space="preserve">. </w:t>
      </w:r>
      <w:r w:rsidRPr="00C15311">
        <w:t xml:space="preserve">Note: analysis by ARTD Consultants (Appendix 2) addressed the objectives in ITRH and ITTC </w:t>
      </w:r>
      <w:r w:rsidRPr="00C15311">
        <w:rPr>
          <w:i/>
        </w:rPr>
        <w:t>Funding Rules for funding commencing in 2018</w:t>
      </w:r>
      <w:r w:rsidRPr="00C15311">
        <w:t>, available at</w:t>
      </w:r>
      <w:r>
        <w:t xml:space="preserve"> </w:t>
      </w:r>
      <w:hyperlink r:id="rId7" w:history="1">
        <w:r w:rsidRPr="00C15311">
          <w:t>www.arc.gov.au</w:t>
        </w:r>
      </w:hyperlink>
      <w:r>
        <w:t xml:space="preserve"> &gt; Grants &gt; Grant application &gt; Funding Rules/Grant Guidelines &gt; </w:t>
      </w:r>
      <w:hyperlink r:id="rId8" w:history="1">
        <w:r w:rsidRPr="00C15311">
          <w:rPr>
            <w:rStyle w:val="Hyperlink"/>
          </w:rPr>
          <w:t>Linkage Program Funding Rules/Grant Guidelines</w:t>
        </w:r>
      </w:hyperlink>
      <w:r>
        <w:t>.</w:t>
      </w:r>
    </w:p>
  </w:footnote>
  <w:footnote w:id="4">
    <w:p w14:paraId="787D3131" w14:textId="5879F9C8" w:rsidR="00640144" w:rsidRPr="00700D47" w:rsidRDefault="00640144" w:rsidP="00CB373D">
      <w:pPr>
        <w:pStyle w:val="FootnoteText"/>
        <w:rPr>
          <w:lang w:val="en-US"/>
        </w:rPr>
      </w:pPr>
      <w:r>
        <w:rPr>
          <w:rStyle w:val="FootnoteReference"/>
        </w:rPr>
        <w:footnoteRef/>
      </w:r>
      <w:r>
        <w:t xml:space="preserve"> </w:t>
      </w:r>
      <w:r w:rsidRPr="00713013">
        <w:t>www.arc.gov.au</w:t>
      </w:r>
      <w:r>
        <w:t xml:space="preserve"> &gt; Policies &amp; S</w:t>
      </w:r>
      <w:r w:rsidRPr="00713013">
        <w:t>trategies</w:t>
      </w:r>
      <w:r>
        <w:t xml:space="preserve"> &gt; S</w:t>
      </w:r>
      <w:r w:rsidRPr="00713013">
        <w:t>trategy</w:t>
      </w:r>
      <w:r>
        <w:t xml:space="preserve"> &gt; E</w:t>
      </w:r>
      <w:r w:rsidRPr="00713013">
        <w:t>valuation</w:t>
      </w:r>
      <w:r>
        <w:t xml:space="preserve"> &gt; </w:t>
      </w:r>
      <w:hyperlink r:id="rId9" w:history="1">
        <w:r w:rsidRPr="00713013">
          <w:rPr>
            <w:rStyle w:val="Hyperlink"/>
          </w:rPr>
          <w:t>ARC Evaluation Strategy</w:t>
        </w:r>
      </w:hyperlink>
      <w:r>
        <w:rPr>
          <w:rStyle w:val="Hyperlink"/>
        </w:rPr>
        <w:t>.</w:t>
      </w:r>
    </w:p>
  </w:footnote>
  <w:footnote w:id="5">
    <w:p w14:paraId="5AEB196D" w14:textId="29620A2D" w:rsidR="00640144" w:rsidRPr="00EE1E6A" w:rsidRDefault="00640144" w:rsidP="00136937">
      <w:pPr>
        <w:pStyle w:val="FootnoteText"/>
        <w:rPr>
          <w:lang w:val="en-US"/>
        </w:rPr>
      </w:pPr>
      <w:r>
        <w:rPr>
          <w:rStyle w:val="FootnoteReference"/>
        </w:rPr>
        <w:footnoteRef/>
      </w:r>
      <w:r>
        <w:t xml:space="preserve"> </w:t>
      </w:r>
      <w:r w:rsidRPr="00EE1E6A">
        <w:t xml:space="preserve">www.arc.gov.au &gt; Grants &gt; Linkage Program &gt; </w:t>
      </w:r>
      <w:hyperlink r:id="rId10" w:history="1">
        <w:r w:rsidRPr="00EE1E6A">
          <w:rPr>
            <w:rStyle w:val="Hyperlink"/>
          </w:rPr>
          <w:t>Industrial Transformation Research Program</w:t>
        </w:r>
      </w:hyperlink>
      <w:r w:rsidRPr="00EE1E6A">
        <w:rPr>
          <w:rStyle w:val="Hyperlink"/>
        </w:rPr>
        <w:t>.</w:t>
      </w:r>
    </w:p>
  </w:footnote>
  <w:footnote w:id="6">
    <w:p w14:paraId="083B4CFB" w14:textId="41934280" w:rsidR="00640144" w:rsidRPr="00FB1BA7" w:rsidRDefault="00640144" w:rsidP="00136937">
      <w:pPr>
        <w:pStyle w:val="FootnoteText"/>
        <w:rPr>
          <w:lang w:val="en-US"/>
        </w:rPr>
      </w:pPr>
      <w:r w:rsidRPr="00EE1E6A">
        <w:rPr>
          <w:rStyle w:val="FootnoteReference"/>
        </w:rPr>
        <w:footnoteRef/>
      </w:r>
      <w:r w:rsidRPr="00EE1E6A">
        <w:rPr>
          <w:lang w:val="en-US"/>
        </w:rPr>
        <w:t xml:space="preserve"> </w:t>
      </w:r>
      <w:r>
        <w:rPr>
          <w:lang w:val="en-US"/>
        </w:rPr>
        <w:t xml:space="preserve">See </w:t>
      </w:r>
      <w:hyperlink r:id="rId11" w:history="1">
        <w:r w:rsidRPr="00C15311">
          <w:t>www.arc.gov.au</w:t>
        </w:r>
      </w:hyperlink>
      <w:r>
        <w:t xml:space="preserve"> &gt; Grants &gt; Grant application &gt; Funding Rules/Grant Guidelines &gt; </w:t>
      </w:r>
      <w:hyperlink r:id="rId12" w:history="1">
        <w:r w:rsidRPr="00C15311">
          <w:rPr>
            <w:rStyle w:val="Hyperlink"/>
          </w:rPr>
          <w:t>Linkage Program Funding Rules/Grant Guidelines</w:t>
        </w:r>
      </w:hyperlink>
      <w:r>
        <w:t xml:space="preserve">; and </w:t>
      </w:r>
      <w:hyperlink r:id="rId13" w:history="1">
        <w:r w:rsidRPr="00C15311">
          <w:t>www.grants.gov.au</w:t>
        </w:r>
      </w:hyperlink>
      <w:r>
        <w:t xml:space="preserve"> &gt; </w:t>
      </w:r>
      <w:hyperlink r:id="rId14" w:history="1">
        <w:r w:rsidRPr="00C15311">
          <w:rPr>
            <w:rStyle w:val="Hyperlink"/>
          </w:rPr>
          <w:t>Forecast Opportunity View - ITRP2019</w:t>
        </w:r>
      </w:hyperlink>
      <w:r>
        <w:t>.</w:t>
      </w:r>
    </w:p>
  </w:footnote>
  <w:footnote w:id="7">
    <w:p w14:paraId="6B0EC2C0" w14:textId="36313D2F" w:rsidR="00640144" w:rsidRPr="007964DB" w:rsidRDefault="00640144">
      <w:pPr>
        <w:pStyle w:val="FootnoteText"/>
        <w:rPr>
          <w:lang w:val="en-US"/>
        </w:rPr>
      </w:pPr>
      <w:r>
        <w:rPr>
          <w:rStyle w:val="FootnoteReference"/>
        </w:rPr>
        <w:footnoteRef/>
      </w:r>
      <w:r>
        <w:t xml:space="preserve"> </w:t>
      </w:r>
      <w:r w:rsidRPr="007964DB">
        <w:rPr>
          <w:lang w:val="en-US"/>
        </w:rPr>
        <w:t>ARC data. Note: ITTC figures do not total 100 per cent due to rounding.</w:t>
      </w:r>
    </w:p>
  </w:footnote>
  <w:footnote w:id="8">
    <w:p w14:paraId="27764E25" w14:textId="2BAF0F98" w:rsidR="00640144" w:rsidRPr="008A4A7B" w:rsidRDefault="00640144">
      <w:pPr>
        <w:pStyle w:val="FootnoteText"/>
        <w:rPr>
          <w:lang w:val="en-US"/>
        </w:rPr>
      </w:pPr>
      <w:r>
        <w:rPr>
          <w:rStyle w:val="FootnoteReference"/>
        </w:rPr>
        <w:footnoteRef/>
      </w:r>
      <w:r>
        <w:t xml:space="preserve"> </w:t>
      </w:r>
      <w:r>
        <w:rPr>
          <w:lang w:val="en-US"/>
        </w:rPr>
        <w:t>ARC data.</w:t>
      </w:r>
    </w:p>
  </w:footnote>
  <w:footnote w:id="9">
    <w:p w14:paraId="4D295FC3" w14:textId="374C8D37" w:rsidR="00640144" w:rsidRPr="007964DB" w:rsidRDefault="00640144">
      <w:pPr>
        <w:pStyle w:val="FootnoteText"/>
        <w:rPr>
          <w:lang w:val="en-US"/>
        </w:rPr>
      </w:pPr>
      <w:r w:rsidRPr="007964DB">
        <w:rPr>
          <w:rStyle w:val="FootnoteReference"/>
        </w:rPr>
        <w:footnoteRef/>
      </w:r>
      <w:r w:rsidRPr="007964DB">
        <w:t xml:space="preserve"> </w:t>
      </w:r>
      <w:r w:rsidRPr="007964DB">
        <w:rPr>
          <w:lang w:val="en-US"/>
        </w:rPr>
        <w:t>ARC data.</w:t>
      </w:r>
    </w:p>
  </w:footnote>
  <w:footnote w:id="10">
    <w:p w14:paraId="3983F7F9" w14:textId="2703A265" w:rsidR="00640144" w:rsidRPr="00BF1304" w:rsidRDefault="00640144">
      <w:pPr>
        <w:pStyle w:val="FootnoteText"/>
        <w:rPr>
          <w:lang w:val="en-US"/>
        </w:rPr>
      </w:pPr>
      <w:r>
        <w:rPr>
          <w:rStyle w:val="FootnoteReference"/>
        </w:rPr>
        <w:footnoteRef/>
      </w:r>
      <w:r>
        <w:t xml:space="preserve"> </w:t>
      </w:r>
      <w:r w:rsidRPr="00F459ED">
        <w:t xml:space="preserve">These requirements have been specified in the funding rules and grant guidelines for all ITRH and ITTC rounds. </w:t>
      </w:r>
      <w:r>
        <w:rPr>
          <w:lang w:val="en-US"/>
        </w:rPr>
        <w:t xml:space="preserve">See </w:t>
      </w:r>
      <w:hyperlink r:id="rId15" w:history="1">
        <w:r w:rsidRPr="00C15311">
          <w:t>www.arc.gov.au</w:t>
        </w:r>
      </w:hyperlink>
      <w:r>
        <w:t xml:space="preserve"> &gt; Grants &gt; Grant application &gt; Funding Rules/Grant Guidelines &gt; </w:t>
      </w:r>
      <w:hyperlink r:id="rId16" w:history="1">
        <w:r w:rsidRPr="00C15311">
          <w:rPr>
            <w:rStyle w:val="Hyperlink"/>
          </w:rPr>
          <w:t>Linkage Program Funding Rules/Grant Guidelines</w:t>
        </w:r>
      </w:hyperlink>
      <w:r>
        <w:t xml:space="preserve">; and </w:t>
      </w:r>
      <w:hyperlink r:id="rId17" w:history="1">
        <w:r w:rsidRPr="00C15311">
          <w:t>www.grants.gov.au</w:t>
        </w:r>
      </w:hyperlink>
      <w:r>
        <w:t xml:space="preserve"> &gt; </w:t>
      </w:r>
      <w:hyperlink r:id="rId18" w:history="1">
        <w:r w:rsidRPr="00C15311">
          <w:rPr>
            <w:rStyle w:val="Hyperlink"/>
          </w:rPr>
          <w:t>Forecast Opportunity View - ITRP2019</w:t>
        </w:r>
      </w:hyperlink>
      <w:r>
        <w:t>.</w:t>
      </w:r>
    </w:p>
  </w:footnote>
  <w:footnote w:id="11">
    <w:p w14:paraId="228EF0BB" w14:textId="5C8E829A" w:rsidR="00640144" w:rsidRPr="002F30EB" w:rsidRDefault="00640144">
      <w:pPr>
        <w:pStyle w:val="FootnoteText"/>
        <w:rPr>
          <w:lang w:val="en-US"/>
        </w:rPr>
      </w:pPr>
      <w:r>
        <w:rPr>
          <w:rStyle w:val="FootnoteReference"/>
        </w:rPr>
        <w:footnoteRef/>
      </w:r>
      <w:r>
        <w:t xml:space="preserve"> </w:t>
      </w:r>
      <w:r>
        <w:rPr>
          <w:lang w:val="en-US"/>
        </w:rPr>
        <w:t>ARC data.</w:t>
      </w:r>
    </w:p>
  </w:footnote>
  <w:footnote w:id="12">
    <w:p w14:paraId="1435F7E6" w14:textId="56882E71" w:rsidR="00640144" w:rsidRPr="00012EDD" w:rsidRDefault="00640144">
      <w:pPr>
        <w:pStyle w:val="FootnoteText"/>
        <w:rPr>
          <w:lang w:val="en-US"/>
        </w:rPr>
      </w:pPr>
      <w:r>
        <w:rPr>
          <w:rStyle w:val="FootnoteReference"/>
        </w:rPr>
        <w:footnoteRef/>
      </w:r>
      <w:r>
        <w:t xml:space="preserve"> </w:t>
      </w:r>
      <w:r>
        <w:rPr>
          <w:lang w:val="en-US"/>
        </w:rPr>
        <w:t>ARC data.</w:t>
      </w:r>
    </w:p>
  </w:footnote>
  <w:footnote w:id="13">
    <w:p w14:paraId="3D373B8D" w14:textId="382CBDBD" w:rsidR="00640144" w:rsidRPr="00F459ED" w:rsidRDefault="00640144">
      <w:pPr>
        <w:pStyle w:val="FootnoteText"/>
        <w:rPr>
          <w:lang w:val="en-US"/>
        </w:rPr>
      </w:pPr>
      <w:r w:rsidRPr="00F459ED">
        <w:rPr>
          <w:rStyle w:val="FootnoteReference"/>
        </w:rPr>
        <w:footnoteRef/>
      </w:r>
      <w:r w:rsidRPr="00F459ED">
        <w:t xml:space="preserve"> </w:t>
      </w:r>
      <w:r>
        <w:rPr>
          <w:lang w:val="en-US"/>
        </w:rPr>
        <w:t xml:space="preserve">See </w:t>
      </w:r>
      <w:hyperlink r:id="rId19" w:history="1">
        <w:r w:rsidRPr="00C15311">
          <w:t>www.arc.gov.au</w:t>
        </w:r>
      </w:hyperlink>
      <w:r>
        <w:t xml:space="preserve"> &gt; Grants &gt; Grant application &gt; Funding Rules/Grant Guidelines &gt; </w:t>
      </w:r>
      <w:hyperlink r:id="rId20" w:history="1">
        <w:r w:rsidRPr="00C15311">
          <w:rPr>
            <w:rStyle w:val="Hyperlink"/>
          </w:rPr>
          <w:t>Linkage Program Funding Rules/Grant Guidelines</w:t>
        </w:r>
      </w:hyperlink>
      <w:r>
        <w:t xml:space="preserve">; and </w:t>
      </w:r>
      <w:hyperlink r:id="rId21" w:history="1">
        <w:r w:rsidRPr="00C15311">
          <w:t>www.grants.gov.au</w:t>
        </w:r>
      </w:hyperlink>
      <w:r>
        <w:t xml:space="preserve"> &gt; </w:t>
      </w:r>
      <w:hyperlink r:id="rId22" w:history="1">
        <w:r w:rsidRPr="00C15311">
          <w:rPr>
            <w:rStyle w:val="Hyperlink"/>
          </w:rPr>
          <w:t>Forecast Opportunity View - ITRP2019</w:t>
        </w:r>
      </w:hyperlink>
      <w:r>
        <w:t>.</w:t>
      </w:r>
    </w:p>
  </w:footnote>
  <w:footnote w:id="14">
    <w:p w14:paraId="6DCAAAAE" w14:textId="2D6F5DFC" w:rsidR="00640144" w:rsidRPr="000A2A03" w:rsidRDefault="00640144">
      <w:pPr>
        <w:pStyle w:val="FootnoteText"/>
        <w:rPr>
          <w:lang w:val="en-US"/>
        </w:rPr>
      </w:pPr>
      <w:r w:rsidRPr="00F459ED">
        <w:rPr>
          <w:rStyle w:val="FootnoteReference"/>
        </w:rPr>
        <w:footnoteRef/>
      </w:r>
      <w:r w:rsidRPr="00F459ED">
        <w:t xml:space="preserve"> </w:t>
      </w:r>
      <w:r w:rsidRPr="00F459ED">
        <w:rPr>
          <w:lang w:val="en-US"/>
        </w:rPr>
        <w:t>ARC data.</w:t>
      </w:r>
    </w:p>
  </w:footnote>
  <w:footnote w:id="15">
    <w:p w14:paraId="4AFB1124" w14:textId="05E7021F" w:rsidR="00640144" w:rsidRPr="006A2C6B" w:rsidRDefault="00640144">
      <w:pPr>
        <w:pStyle w:val="FootnoteText"/>
        <w:rPr>
          <w:lang w:val="en-US"/>
        </w:rPr>
      </w:pPr>
      <w:r>
        <w:rPr>
          <w:rStyle w:val="FootnoteReference"/>
        </w:rPr>
        <w:footnoteRef/>
      </w:r>
      <w:r>
        <w:t xml:space="preserve"> </w:t>
      </w:r>
      <w:r>
        <w:rPr>
          <w:lang w:val="en-US"/>
        </w:rPr>
        <w:t xml:space="preserve">ARTD </w:t>
      </w:r>
      <w:r w:rsidRPr="006A2C6B">
        <w:rPr>
          <w:lang w:val="en-US"/>
        </w:rPr>
        <w:t>Consultants, Appendix 2, p. 15.</w:t>
      </w:r>
    </w:p>
  </w:footnote>
  <w:footnote w:id="16">
    <w:p w14:paraId="721148F2" w14:textId="6B34535C" w:rsidR="00640144" w:rsidRPr="006A2C6B" w:rsidRDefault="00640144">
      <w:pPr>
        <w:pStyle w:val="FootnoteText"/>
        <w:rPr>
          <w:lang w:val="en-US"/>
        </w:rPr>
      </w:pPr>
      <w:r w:rsidRPr="006A2C6B">
        <w:rPr>
          <w:rStyle w:val="FootnoteReference"/>
        </w:rPr>
        <w:footnoteRef/>
      </w:r>
      <w:r w:rsidRPr="006A2C6B">
        <w:t xml:space="preserve"> </w:t>
      </w:r>
      <w:r w:rsidRPr="006A2C6B">
        <w:rPr>
          <w:lang w:val="en-US"/>
        </w:rPr>
        <w:t>ARTD Consultants, Appendix 2, pp. 15-16.</w:t>
      </w:r>
    </w:p>
  </w:footnote>
  <w:footnote w:id="17">
    <w:p w14:paraId="5106E0D3" w14:textId="057F9C89" w:rsidR="00640144" w:rsidRPr="00393B33" w:rsidRDefault="00640144">
      <w:pPr>
        <w:pStyle w:val="FootnoteText"/>
        <w:rPr>
          <w:lang w:val="en-US"/>
        </w:rPr>
      </w:pPr>
      <w:r w:rsidRPr="006A2C6B">
        <w:rPr>
          <w:rStyle w:val="FootnoteReference"/>
        </w:rPr>
        <w:footnoteRef/>
      </w:r>
      <w:r w:rsidRPr="006A2C6B">
        <w:t xml:space="preserve"> </w:t>
      </w:r>
      <w:r w:rsidRPr="006A2C6B">
        <w:rPr>
          <w:lang w:val="en-US"/>
        </w:rPr>
        <w:t>ARTD Consultants, Appendix 2, pp. 18</w:t>
      </w:r>
      <w:r>
        <w:rPr>
          <w:lang w:val="en-US"/>
        </w:rPr>
        <w:t>-19.</w:t>
      </w:r>
    </w:p>
  </w:footnote>
  <w:footnote w:id="18">
    <w:p w14:paraId="68454014" w14:textId="0D431F43" w:rsidR="00640144" w:rsidRPr="004342E1" w:rsidRDefault="00640144">
      <w:pPr>
        <w:pStyle w:val="FootnoteText"/>
        <w:rPr>
          <w:lang w:val="en-US"/>
        </w:rPr>
      </w:pPr>
      <w:r>
        <w:rPr>
          <w:rStyle w:val="FootnoteReference"/>
        </w:rPr>
        <w:footnoteRef/>
      </w:r>
      <w:r>
        <w:t xml:space="preserve"> </w:t>
      </w:r>
      <w:r w:rsidRPr="004342E1">
        <w:rPr>
          <w:i/>
        </w:rPr>
        <w:t>Funding Rules for schemes under the Linkage Program (2017 edition)</w:t>
      </w:r>
      <w:r>
        <w:t xml:space="preserve">, paragraphs B10.1.1 (for ITRP) and C11.1.1 (for ITTC). </w:t>
      </w:r>
      <w:r>
        <w:rPr>
          <w:lang w:val="en-US"/>
        </w:rPr>
        <w:t xml:space="preserve">See </w:t>
      </w:r>
      <w:hyperlink r:id="rId23" w:history="1">
        <w:r w:rsidRPr="00C15311">
          <w:t>www.arc.gov.au</w:t>
        </w:r>
      </w:hyperlink>
      <w:r>
        <w:t xml:space="preserve"> &gt; Grants &gt; Grant application &gt; Funding Rules/Grant Guidelines &gt; </w:t>
      </w:r>
      <w:hyperlink r:id="rId24" w:history="1">
        <w:r w:rsidRPr="00C15311">
          <w:rPr>
            <w:rStyle w:val="Hyperlink"/>
          </w:rPr>
          <w:t>Linkage Program Funding Rules/Grant Guidelines</w:t>
        </w:r>
      </w:hyperlink>
      <w:r>
        <w:t>.</w:t>
      </w:r>
    </w:p>
  </w:footnote>
  <w:footnote w:id="19">
    <w:p w14:paraId="136B98B5" w14:textId="4BA543A6" w:rsidR="00640144" w:rsidRPr="00684EF5" w:rsidRDefault="00640144" w:rsidP="00A435E8">
      <w:pPr>
        <w:pStyle w:val="FootnoteText"/>
        <w:rPr>
          <w:lang w:val="en-US"/>
        </w:rPr>
      </w:pPr>
      <w:r>
        <w:rPr>
          <w:rStyle w:val="FootnoteReference"/>
        </w:rPr>
        <w:footnoteRef/>
      </w:r>
      <w:r>
        <w:t xml:space="preserve"> </w:t>
      </w:r>
      <w:r w:rsidRPr="00B11F49">
        <w:rPr>
          <w:i/>
        </w:rPr>
        <w:t>Grant Guidelines for the Industrial Transformation Research Program (2018) for funding commencing in 2019</w:t>
      </w:r>
      <w:r>
        <w:t>,</w:t>
      </w:r>
      <w:r w:rsidRPr="00A435E8">
        <w:rPr>
          <w:lang w:val="en-US"/>
        </w:rPr>
        <w:t xml:space="preserve"> </w:t>
      </w:r>
      <w:r>
        <w:rPr>
          <w:lang w:val="en-US"/>
        </w:rPr>
        <w:t>paragraph 9</w:t>
      </w:r>
      <w:r w:rsidRPr="00F459ED">
        <w:rPr>
          <w:lang w:val="en-US"/>
        </w:rPr>
        <w:t>.14.f</w:t>
      </w:r>
      <w:r w:rsidRPr="00F459ED">
        <w:t xml:space="preserve">. </w:t>
      </w:r>
      <w:r w:rsidRPr="00F459ED">
        <w:rPr>
          <w:lang w:val="en-US"/>
        </w:rPr>
        <w:t xml:space="preserve">See </w:t>
      </w:r>
      <w:hyperlink r:id="rId25" w:history="1">
        <w:r w:rsidRPr="00F459ED">
          <w:rPr>
            <w:lang w:val="en-US"/>
          </w:rPr>
          <w:t>www.grants.gov.au</w:t>
        </w:r>
      </w:hyperlink>
      <w:r w:rsidRPr="00F459ED">
        <w:rPr>
          <w:lang w:val="en-US"/>
        </w:rPr>
        <w:t xml:space="preserve"> &gt;</w:t>
      </w:r>
      <w:r>
        <w:t xml:space="preserve"> </w:t>
      </w:r>
      <w:hyperlink r:id="rId26" w:history="1">
        <w:r w:rsidRPr="00C15311">
          <w:rPr>
            <w:rStyle w:val="Hyperlink"/>
          </w:rPr>
          <w:t>Forecast Opportunity View - ITRP2019</w:t>
        </w:r>
      </w:hyperlink>
      <w:r>
        <w:t>.</w:t>
      </w:r>
    </w:p>
  </w:footnote>
  <w:footnote w:id="20">
    <w:p w14:paraId="19D42AC0" w14:textId="6ED4A853" w:rsidR="00640144" w:rsidRPr="008628E7" w:rsidRDefault="00640144">
      <w:pPr>
        <w:pStyle w:val="FootnoteText"/>
        <w:rPr>
          <w:lang w:val="en-US"/>
        </w:rPr>
      </w:pPr>
      <w:r>
        <w:rPr>
          <w:rStyle w:val="FootnoteReference"/>
        </w:rPr>
        <w:footnoteRef/>
      </w:r>
      <w:r>
        <w:t xml:space="preserve"> </w:t>
      </w:r>
      <w:r>
        <w:rPr>
          <w:lang w:val="en-US"/>
        </w:rPr>
        <w:t xml:space="preserve">See </w:t>
      </w:r>
      <w:hyperlink r:id="rId27" w:history="1">
        <w:r w:rsidRPr="00C15311">
          <w:t>www.arc.gov.au</w:t>
        </w:r>
      </w:hyperlink>
      <w:r>
        <w:t xml:space="preserve"> &gt; Grants &gt; Grant application &gt; Funding Rules/Grant Guidelines &gt; </w:t>
      </w:r>
      <w:hyperlink r:id="rId28" w:history="1">
        <w:r w:rsidRPr="00C15311">
          <w:rPr>
            <w:rStyle w:val="Hyperlink"/>
          </w:rPr>
          <w:t>Linkage Program Funding Rules/Grant Guidelines</w:t>
        </w:r>
      </w:hyperlink>
      <w:r>
        <w:t xml:space="preserve">; and </w:t>
      </w:r>
      <w:hyperlink r:id="rId29" w:history="1">
        <w:r w:rsidRPr="00C15311">
          <w:t>www.grants.gov.au</w:t>
        </w:r>
      </w:hyperlink>
      <w:r>
        <w:t xml:space="preserve"> &gt; </w:t>
      </w:r>
      <w:hyperlink r:id="rId30" w:history="1">
        <w:r w:rsidRPr="00C15311">
          <w:rPr>
            <w:rStyle w:val="Hyperlink"/>
          </w:rPr>
          <w:t>Forecast Opportunity View - ITRP2019</w:t>
        </w:r>
      </w:hyperlink>
      <w:r>
        <w:t>.</w:t>
      </w:r>
    </w:p>
  </w:footnote>
  <w:footnote w:id="21">
    <w:p w14:paraId="49CB0509" w14:textId="518DD547" w:rsidR="00640144" w:rsidRPr="006C344C" w:rsidRDefault="00640144" w:rsidP="008628E7">
      <w:pPr>
        <w:pStyle w:val="FootnoteText"/>
        <w:rPr>
          <w:lang w:val="en-US"/>
        </w:rPr>
      </w:pPr>
      <w:r>
        <w:rPr>
          <w:rStyle w:val="FootnoteReference"/>
        </w:rPr>
        <w:footnoteRef/>
      </w:r>
      <w:r>
        <w:t xml:space="preserve"> </w:t>
      </w:r>
      <w:r w:rsidRPr="006C344C">
        <w:rPr>
          <w:lang w:val="en-US"/>
        </w:rPr>
        <w:t xml:space="preserve">ARTD </w:t>
      </w:r>
      <w:r w:rsidRPr="006A2C6B">
        <w:rPr>
          <w:lang w:val="en-US"/>
        </w:rPr>
        <w:t>Consultants, Appendix 2, pp. 26</w:t>
      </w:r>
      <w:r>
        <w:rPr>
          <w:lang w:val="en-US"/>
        </w:rPr>
        <w:t>-27.</w:t>
      </w:r>
    </w:p>
  </w:footnote>
  <w:footnote w:id="22">
    <w:p w14:paraId="6EABCE9A" w14:textId="5D2F7D89" w:rsidR="00640144" w:rsidRPr="00442BA2" w:rsidRDefault="00640144" w:rsidP="00C55FDA">
      <w:pPr>
        <w:pStyle w:val="FootnoteText"/>
        <w:rPr>
          <w:lang w:val="en-US"/>
        </w:rPr>
      </w:pPr>
      <w:r>
        <w:rPr>
          <w:rStyle w:val="FootnoteReference"/>
        </w:rPr>
        <w:footnoteRef/>
      </w:r>
      <w:r>
        <w:t xml:space="preserve"> </w:t>
      </w:r>
      <w:r w:rsidRPr="00B11F49">
        <w:rPr>
          <w:i/>
        </w:rPr>
        <w:t>Grant Guidelines for the Industrial Transformation Research Program (2018) for funding commencing in 2019</w:t>
      </w:r>
      <w:r>
        <w:t>,</w:t>
      </w:r>
      <w:r w:rsidRPr="00A435E8">
        <w:rPr>
          <w:lang w:val="en-US"/>
        </w:rPr>
        <w:t xml:space="preserve"> </w:t>
      </w:r>
      <w:r>
        <w:rPr>
          <w:lang w:val="en-US"/>
        </w:rPr>
        <w:t>paragraph 3.6</w:t>
      </w:r>
      <w:r>
        <w:t xml:space="preserve">. </w:t>
      </w:r>
      <w:r w:rsidRPr="00F459ED">
        <w:rPr>
          <w:lang w:val="en-US"/>
        </w:rPr>
        <w:t xml:space="preserve">See </w:t>
      </w:r>
      <w:hyperlink r:id="rId31" w:history="1">
        <w:r w:rsidRPr="00F459ED">
          <w:rPr>
            <w:lang w:val="en-US"/>
          </w:rPr>
          <w:t>www.grants.gov.au</w:t>
        </w:r>
      </w:hyperlink>
      <w:r w:rsidRPr="00F459ED">
        <w:rPr>
          <w:lang w:val="en-US"/>
        </w:rPr>
        <w:t xml:space="preserve"> &gt;</w:t>
      </w:r>
      <w:r>
        <w:t xml:space="preserve"> </w:t>
      </w:r>
      <w:hyperlink r:id="rId32" w:history="1">
        <w:r w:rsidRPr="00C15311">
          <w:rPr>
            <w:rStyle w:val="Hyperlink"/>
          </w:rPr>
          <w:t>Forecast Opportunity View - ITRP2019</w:t>
        </w:r>
      </w:hyperlink>
      <w:r>
        <w:t>.</w:t>
      </w:r>
    </w:p>
  </w:footnote>
  <w:footnote w:id="23">
    <w:p w14:paraId="5021D76A" w14:textId="77777777" w:rsidR="00640144" w:rsidRPr="001D4416" w:rsidRDefault="00640144" w:rsidP="00C55FDA">
      <w:pPr>
        <w:pStyle w:val="FootnoteText"/>
        <w:rPr>
          <w:lang w:val="en-US"/>
        </w:rPr>
      </w:pPr>
      <w:r>
        <w:rPr>
          <w:rStyle w:val="FootnoteReference"/>
        </w:rPr>
        <w:footnoteRef/>
      </w:r>
      <w:r>
        <w:t xml:space="preserve"> Ibid, paragraph A5.1c.</w:t>
      </w:r>
    </w:p>
  </w:footnote>
  <w:footnote w:id="24">
    <w:p w14:paraId="3D51E5E2" w14:textId="77777777" w:rsidR="00640144" w:rsidRPr="001D4416" w:rsidRDefault="00640144" w:rsidP="00C55FDA">
      <w:pPr>
        <w:pStyle w:val="FootnoteText"/>
        <w:rPr>
          <w:lang w:val="en-US"/>
        </w:rPr>
      </w:pPr>
      <w:r>
        <w:rPr>
          <w:rStyle w:val="FootnoteReference"/>
        </w:rPr>
        <w:footnoteRef/>
      </w:r>
      <w:r>
        <w:t xml:space="preserve"> Ibid, paragraph B5.1b.</w:t>
      </w:r>
    </w:p>
  </w:footnote>
  <w:footnote w:id="25">
    <w:p w14:paraId="3EDEABA3" w14:textId="79D6246B" w:rsidR="00640144" w:rsidRPr="006C5498" w:rsidRDefault="00640144">
      <w:pPr>
        <w:pStyle w:val="FootnoteText"/>
        <w:rPr>
          <w:lang w:val="en-US"/>
        </w:rPr>
      </w:pPr>
      <w:r>
        <w:rPr>
          <w:rStyle w:val="FootnoteReference"/>
        </w:rPr>
        <w:footnoteRef/>
      </w:r>
      <w:r>
        <w:t xml:space="preserve"> </w:t>
      </w:r>
      <w:r w:rsidRPr="006C344C">
        <w:rPr>
          <w:lang w:val="en-US"/>
        </w:rPr>
        <w:t xml:space="preserve">ARTD </w:t>
      </w:r>
      <w:r w:rsidRPr="006A2C6B">
        <w:rPr>
          <w:lang w:val="en-US"/>
        </w:rPr>
        <w:t>Consultants, Appendix 2, pp. 18-</w:t>
      </w:r>
      <w:r>
        <w:rPr>
          <w:lang w:val="en-US"/>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5C130" w14:textId="77777777" w:rsidR="00640144" w:rsidRPr="0056076E" w:rsidRDefault="00640144" w:rsidP="0056076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C92"/>
    <w:multiLevelType w:val="hybridMultilevel"/>
    <w:tmpl w:val="E79CD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7138"/>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4332DC"/>
    <w:multiLevelType w:val="hybridMultilevel"/>
    <w:tmpl w:val="722676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A07B1"/>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35772E"/>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6517AE"/>
    <w:multiLevelType w:val="hybridMultilevel"/>
    <w:tmpl w:val="2EBE9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634FF"/>
    <w:multiLevelType w:val="hybridMultilevel"/>
    <w:tmpl w:val="18F48E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1B55DC"/>
    <w:multiLevelType w:val="hybridMultilevel"/>
    <w:tmpl w:val="183640EA"/>
    <w:lvl w:ilvl="0" w:tplc="A55AE88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2358E6"/>
    <w:multiLevelType w:val="hybridMultilevel"/>
    <w:tmpl w:val="17821524"/>
    <w:lvl w:ilvl="0" w:tplc="25B4C146">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BB2B2F"/>
    <w:multiLevelType w:val="hybridMultilevel"/>
    <w:tmpl w:val="0E682054"/>
    <w:lvl w:ilvl="0" w:tplc="9F2618C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B4E"/>
    <w:multiLevelType w:val="hybridMultilevel"/>
    <w:tmpl w:val="E0BE7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531848"/>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AB4C71"/>
    <w:multiLevelType w:val="hybridMultilevel"/>
    <w:tmpl w:val="1E481E2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B85205"/>
    <w:multiLevelType w:val="hybridMultilevel"/>
    <w:tmpl w:val="8F9A9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62942"/>
    <w:multiLevelType w:val="hybridMultilevel"/>
    <w:tmpl w:val="E1120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66186B"/>
    <w:multiLevelType w:val="hybridMultilevel"/>
    <w:tmpl w:val="0CE62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F7D81"/>
    <w:multiLevelType w:val="hybridMultilevel"/>
    <w:tmpl w:val="90AC9F28"/>
    <w:lvl w:ilvl="0" w:tplc="6DDC0CC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D36E9D"/>
    <w:multiLevelType w:val="hybridMultilevel"/>
    <w:tmpl w:val="7EB4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887308"/>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8F41FF"/>
    <w:multiLevelType w:val="hybridMultilevel"/>
    <w:tmpl w:val="3796E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B879F1"/>
    <w:multiLevelType w:val="hybridMultilevel"/>
    <w:tmpl w:val="292A787C"/>
    <w:lvl w:ilvl="0" w:tplc="6D8862F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5607C8"/>
    <w:multiLevelType w:val="hybridMultilevel"/>
    <w:tmpl w:val="4684A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8C5263"/>
    <w:multiLevelType w:val="hybridMultilevel"/>
    <w:tmpl w:val="B95A2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686317"/>
    <w:multiLevelType w:val="hybridMultilevel"/>
    <w:tmpl w:val="5BDC97E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A45B40"/>
    <w:multiLevelType w:val="hybridMultilevel"/>
    <w:tmpl w:val="C136BF6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802D18"/>
    <w:multiLevelType w:val="hybridMultilevel"/>
    <w:tmpl w:val="DD9405D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5E0193"/>
    <w:multiLevelType w:val="hybridMultilevel"/>
    <w:tmpl w:val="061A5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DB0921"/>
    <w:multiLevelType w:val="hybridMultilevel"/>
    <w:tmpl w:val="BCC6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48306F"/>
    <w:multiLevelType w:val="hybridMultilevel"/>
    <w:tmpl w:val="8BE2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750ADD"/>
    <w:multiLevelType w:val="hybridMultilevel"/>
    <w:tmpl w:val="E6DC3D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5101DB"/>
    <w:multiLevelType w:val="hybridMultilevel"/>
    <w:tmpl w:val="30545402"/>
    <w:lvl w:ilvl="0" w:tplc="2EC46370">
      <w:start w:val="1"/>
      <w:numFmt w:val="decimal"/>
      <w:lvlText w:val="%1."/>
      <w:lvlJc w:val="left"/>
      <w:pPr>
        <w:ind w:left="780" w:hanging="360"/>
      </w:pPr>
      <w:rPr>
        <w:rFonts w:ascii="Times New Roman" w:eastAsia="Calibri" w:hAnsi="Times New Roman" w:cs="Times New Roman"/>
      </w:rPr>
    </w:lvl>
    <w:lvl w:ilvl="1" w:tplc="04090001">
      <w:start w:val="1"/>
      <w:numFmt w:val="bullet"/>
      <w:lvlText w:val=""/>
      <w:lvlJc w:val="left"/>
      <w:pPr>
        <w:ind w:left="1500" w:hanging="360"/>
      </w:pPr>
      <w:rPr>
        <w:rFonts w:ascii="Symbol" w:hAnsi="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26A7EC2"/>
    <w:multiLevelType w:val="hybridMultilevel"/>
    <w:tmpl w:val="4046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225863"/>
    <w:multiLevelType w:val="hybridMultilevel"/>
    <w:tmpl w:val="1E481E2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081E6C"/>
    <w:multiLevelType w:val="hybridMultilevel"/>
    <w:tmpl w:val="760C3E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396EB3"/>
    <w:multiLevelType w:val="hybridMultilevel"/>
    <w:tmpl w:val="23BA22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576E4F56"/>
    <w:multiLevelType w:val="hybridMultilevel"/>
    <w:tmpl w:val="A58A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A568A0"/>
    <w:multiLevelType w:val="hybridMultilevel"/>
    <w:tmpl w:val="1F16E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5B1B51"/>
    <w:multiLevelType w:val="hybridMultilevel"/>
    <w:tmpl w:val="6862F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720FCE"/>
    <w:multiLevelType w:val="hybridMultilevel"/>
    <w:tmpl w:val="1E481E2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A13E29"/>
    <w:multiLevelType w:val="hybridMultilevel"/>
    <w:tmpl w:val="22AA2A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78C3F33"/>
    <w:multiLevelType w:val="hybridMultilevel"/>
    <w:tmpl w:val="5574A7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A796A54"/>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A905F6F"/>
    <w:multiLevelType w:val="hybridMultilevel"/>
    <w:tmpl w:val="D25A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7C4C0E"/>
    <w:multiLevelType w:val="hybridMultilevel"/>
    <w:tmpl w:val="122EA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0245B3"/>
    <w:multiLevelType w:val="hybridMultilevel"/>
    <w:tmpl w:val="71AA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917A29"/>
    <w:multiLevelType w:val="hybridMultilevel"/>
    <w:tmpl w:val="8158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C3757B"/>
    <w:multiLevelType w:val="hybridMultilevel"/>
    <w:tmpl w:val="30545402"/>
    <w:lvl w:ilvl="0" w:tplc="2EC46370">
      <w:start w:val="1"/>
      <w:numFmt w:val="decimal"/>
      <w:lvlText w:val="%1."/>
      <w:lvlJc w:val="left"/>
      <w:pPr>
        <w:ind w:left="780" w:hanging="360"/>
      </w:pPr>
      <w:rPr>
        <w:rFonts w:ascii="Times New Roman" w:eastAsia="Calibri" w:hAnsi="Times New Roman" w:cs="Times New Roman"/>
      </w:rPr>
    </w:lvl>
    <w:lvl w:ilvl="1" w:tplc="04090001">
      <w:start w:val="1"/>
      <w:numFmt w:val="bullet"/>
      <w:lvlText w:val=""/>
      <w:lvlJc w:val="left"/>
      <w:pPr>
        <w:ind w:left="1500" w:hanging="360"/>
      </w:pPr>
      <w:rPr>
        <w:rFonts w:ascii="Symbol" w:hAnsi="Symbo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7A8C14BD"/>
    <w:multiLevelType w:val="hybridMultilevel"/>
    <w:tmpl w:val="9C6AF9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DBD22B1"/>
    <w:multiLevelType w:val="hybridMultilevel"/>
    <w:tmpl w:val="451A6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27"/>
  </w:num>
  <w:num w:numId="4">
    <w:abstractNumId w:val="29"/>
  </w:num>
  <w:num w:numId="5">
    <w:abstractNumId w:val="47"/>
  </w:num>
  <w:num w:numId="6">
    <w:abstractNumId w:val="37"/>
  </w:num>
  <w:num w:numId="7">
    <w:abstractNumId w:val="14"/>
  </w:num>
  <w:num w:numId="8">
    <w:abstractNumId w:val="3"/>
  </w:num>
  <w:num w:numId="9">
    <w:abstractNumId w:val="1"/>
  </w:num>
  <w:num w:numId="10">
    <w:abstractNumId w:val="18"/>
  </w:num>
  <w:num w:numId="11">
    <w:abstractNumId w:val="39"/>
  </w:num>
  <w:num w:numId="12">
    <w:abstractNumId w:val="4"/>
  </w:num>
  <w:num w:numId="13">
    <w:abstractNumId w:val="34"/>
  </w:num>
  <w:num w:numId="14">
    <w:abstractNumId w:val="42"/>
  </w:num>
  <w:num w:numId="15">
    <w:abstractNumId w:val="35"/>
  </w:num>
  <w:num w:numId="16">
    <w:abstractNumId w:val="5"/>
  </w:num>
  <w:num w:numId="17">
    <w:abstractNumId w:val="43"/>
  </w:num>
  <w:num w:numId="18">
    <w:abstractNumId w:val="24"/>
  </w:num>
  <w:num w:numId="19">
    <w:abstractNumId w:val="23"/>
  </w:num>
  <w:num w:numId="20">
    <w:abstractNumId w:val="41"/>
  </w:num>
  <w:num w:numId="21">
    <w:abstractNumId w:val="11"/>
  </w:num>
  <w:num w:numId="22">
    <w:abstractNumId w:val="45"/>
  </w:num>
  <w:num w:numId="23">
    <w:abstractNumId w:val="7"/>
  </w:num>
  <w:num w:numId="24">
    <w:abstractNumId w:val="36"/>
  </w:num>
  <w:num w:numId="25">
    <w:abstractNumId w:val="44"/>
  </w:num>
  <w:num w:numId="26">
    <w:abstractNumId w:val="22"/>
  </w:num>
  <w:num w:numId="27">
    <w:abstractNumId w:val="9"/>
  </w:num>
  <w:num w:numId="28">
    <w:abstractNumId w:val="8"/>
  </w:num>
  <w:num w:numId="29">
    <w:abstractNumId w:val="2"/>
  </w:num>
  <w:num w:numId="30">
    <w:abstractNumId w:val="21"/>
  </w:num>
  <w:num w:numId="31">
    <w:abstractNumId w:val="48"/>
  </w:num>
  <w:num w:numId="32">
    <w:abstractNumId w:val="31"/>
  </w:num>
  <w:num w:numId="33">
    <w:abstractNumId w:val="26"/>
  </w:num>
  <w:num w:numId="34">
    <w:abstractNumId w:val="16"/>
  </w:num>
  <w:num w:numId="35">
    <w:abstractNumId w:val="20"/>
  </w:num>
  <w:num w:numId="36">
    <w:abstractNumId w:val="46"/>
  </w:num>
  <w:num w:numId="37">
    <w:abstractNumId w:val="25"/>
  </w:num>
  <w:num w:numId="38">
    <w:abstractNumId w:val="0"/>
  </w:num>
  <w:num w:numId="39">
    <w:abstractNumId w:val="32"/>
  </w:num>
  <w:num w:numId="40">
    <w:abstractNumId w:val="38"/>
  </w:num>
  <w:num w:numId="41">
    <w:abstractNumId w:val="30"/>
  </w:num>
  <w:num w:numId="42">
    <w:abstractNumId w:val="10"/>
  </w:num>
  <w:num w:numId="43">
    <w:abstractNumId w:val="15"/>
  </w:num>
  <w:num w:numId="44">
    <w:abstractNumId w:val="33"/>
  </w:num>
  <w:num w:numId="45">
    <w:abstractNumId w:val="40"/>
  </w:num>
  <w:num w:numId="46">
    <w:abstractNumId w:val="28"/>
  </w:num>
  <w:num w:numId="47">
    <w:abstractNumId w:val="12"/>
  </w:num>
  <w:num w:numId="48">
    <w:abstractNumId w:val="13"/>
  </w:num>
  <w:num w:numId="4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23"/>
    <w:rsid w:val="00001C37"/>
    <w:rsid w:val="00001F27"/>
    <w:rsid w:val="00003D1F"/>
    <w:rsid w:val="000045ED"/>
    <w:rsid w:val="00005C17"/>
    <w:rsid w:val="0000635C"/>
    <w:rsid w:val="00006E8F"/>
    <w:rsid w:val="00007094"/>
    <w:rsid w:val="000126A6"/>
    <w:rsid w:val="00012EDD"/>
    <w:rsid w:val="00013C29"/>
    <w:rsid w:val="000157A9"/>
    <w:rsid w:val="0001600C"/>
    <w:rsid w:val="00017169"/>
    <w:rsid w:val="000175AE"/>
    <w:rsid w:val="0002195A"/>
    <w:rsid w:val="00022BE2"/>
    <w:rsid w:val="00023010"/>
    <w:rsid w:val="0002361F"/>
    <w:rsid w:val="0002464A"/>
    <w:rsid w:val="00024B00"/>
    <w:rsid w:val="0002559F"/>
    <w:rsid w:val="0002655A"/>
    <w:rsid w:val="00026D54"/>
    <w:rsid w:val="000305AF"/>
    <w:rsid w:val="0003297D"/>
    <w:rsid w:val="00032B53"/>
    <w:rsid w:val="00040234"/>
    <w:rsid w:val="000411E8"/>
    <w:rsid w:val="00042EA9"/>
    <w:rsid w:val="00043755"/>
    <w:rsid w:val="00044079"/>
    <w:rsid w:val="000447C6"/>
    <w:rsid w:val="00045829"/>
    <w:rsid w:val="000472D4"/>
    <w:rsid w:val="000502D0"/>
    <w:rsid w:val="00050E60"/>
    <w:rsid w:val="00052845"/>
    <w:rsid w:val="00052D1A"/>
    <w:rsid w:val="000533D6"/>
    <w:rsid w:val="000539B3"/>
    <w:rsid w:val="000541A1"/>
    <w:rsid w:val="0006169A"/>
    <w:rsid w:val="00061C70"/>
    <w:rsid w:val="00061F48"/>
    <w:rsid w:val="0006215C"/>
    <w:rsid w:val="0006237E"/>
    <w:rsid w:val="000646CA"/>
    <w:rsid w:val="00066DB0"/>
    <w:rsid w:val="00066F58"/>
    <w:rsid w:val="00071336"/>
    <w:rsid w:val="0007170D"/>
    <w:rsid w:val="00072263"/>
    <w:rsid w:val="00072E01"/>
    <w:rsid w:val="00073BA1"/>
    <w:rsid w:val="00074492"/>
    <w:rsid w:val="000754DA"/>
    <w:rsid w:val="0007697F"/>
    <w:rsid w:val="000779F1"/>
    <w:rsid w:val="00077B3E"/>
    <w:rsid w:val="00080D69"/>
    <w:rsid w:val="00081BF0"/>
    <w:rsid w:val="00081F3E"/>
    <w:rsid w:val="00081FF0"/>
    <w:rsid w:val="00083858"/>
    <w:rsid w:val="00083F53"/>
    <w:rsid w:val="000841F3"/>
    <w:rsid w:val="000843D8"/>
    <w:rsid w:val="0008473E"/>
    <w:rsid w:val="00090360"/>
    <w:rsid w:val="00091133"/>
    <w:rsid w:val="00092264"/>
    <w:rsid w:val="00093E70"/>
    <w:rsid w:val="0009436C"/>
    <w:rsid w:val="0009440D"/>
    <w:rsid w:val="0009513B"/>
    <w:rsid w:val="0009763D"/>
    <w:rsid w:val="00097FA6"/>
    <w:rsid w:val="000A0E17"/>
    <w:rsid w:val="000A194F"/>
    <w:rsid w:val="000A2A03"/>
    <w:rsid w:val="000A3417"/>
    <w:rsid w:val="000A4064"/>
    <w:rsid w:val="000A408C"/>
    <w:rsid w:val="000A4F4C"/>
    <w:rsid w:val="000B0A61"/>
    <w:rsid w:val="000B6212"/>
    <w:rsid w:val="000B6825"/>
    <w:rsid w:val="000C1466"/>
    <w:rsid w:val="000C1AF4"/>
    <w:rsid w:val="000C1D2C"/>
    <w:rsid w:val="000C1DEC"/>
    <w:rsid w:val="000C3B10"/>
    <w:rsid w:val="000C4816"/>
    <w:rsid w:val="000C4CC1"/>
    <w:rsid w:val="000C4E24"/>
    <w:rsid w:val="000C5CA7"/>
    <w:rsid w:val="000C708F"/>
    <w:rsid w:val="000C719F"/>
    <w:rsid w:val="000C7B5C"/>
    <w:rsid w:val="000D2988"/>
    <w:rsid w:val="000D37C5"/>
    <w:rsid w:val="000D3C12"/>
    <w:rsid w:val="000D3DF7"/>
    <w:rsid w:val="000D425C"/>
    <w:rsid w:val="000D78DE"/>
    <w:rsid w:val="000E004D"/>
    <w:rsid w:val="000E0F69"/>
    <w:rsid w:val="000E0F8F"/>
    <w:rsid w:val="000E238E"/>
    <w:rsid w:val="000E25D2"/>
    <w:rsid w:val="000E461A"/>
    <w:rsid w:val="000E497C"/>
    <w:rsid w:val="000E4A92"/>
    <w:rsid w:val="000E6A39"/>
    <w:rsid w:val="000E6F30"/>
    <w:rsid w:val="000F2240"/>
    <w:rsid w:val="000F2618"/>
    <w:rsid w:val="000F27BC"/>
    <w:rsid w:val="000F45D4"/>
    <w:rsid w:val="000F51CB"/>
    <w:rsid w:val="000F5F01"/>
    <w:rsid w:val="000F6347"/>
    <w:rsid w:val="000F661E"/>
    <w:rsid w:val="001002B4"/>
    <w:rsid w:val="0010099F"/>
    <w:rsid w:val="00101CAF"/>
    <w:rsid w:val="00102DA9"/>
    <w:rsid w:val="0010345F"/>
    <w:rsid w:val="00105CFF"/>
    <w:rsid w:val="00107AFD"/>
    <w:rsid w:val="00110366"/>
    <w:rsid w:val="001110D5"/>
    <w:rsid w:val="0011273F"/>
    <w:rsid w:val="0011301E"/>
    <w:rsid w:val="00113346"/>
    <w:rsid w:val="00113A26"/>
    <w:rsid w:val="00115140"/>
    <w:rsid w:val="0012063A"/>
    <w:rsid w:val="00121503"/>
    <w:rsid w:val="0012256C"/>
    <w:rsid w:val="001237A5"/>
    <w:rsid w:val="0012448B"/>
    <w:rsid w:val="0012710B"/>
    <w:rsid w:val="00127175"/>
    <w:rsid w:val="00130AA4"/>
    <w:rsid w:val="001317C1"/>
    <w:rsid w:val="00132079"/>
    <w:rsid w:val="001343A7"/>
    <w:rsid w:val="00135079"/>
    <w:rsid w:val="00135231"/>
    <w:rsid w:val="00136937"/>
    <w:rsid w:val="00136F5D"/>
    <w:rsid w:val="00137CA7"/>
    <w:rsid w:val="001423A5"/>
    <w:rsid w:val="00144729"/>
    <w:rsid w:val="00146395"/>
    <w:rsid w:val="001473E5"/>
    <w:rsid w:val="001479D7"/>
    <w:rsid w:val="00152B81"/>
    <w:rsid w:val="00152E6B"/>
    <w:rsid w:val="0015318D"/>
    <w:rsid w:val="0015383A"/>
    <w:rsid w:val="001601B1"/>
    <w:rsid w:val="001604AC"/>
    <w:rsid w:val="00160698"/>
    <w:rsid w:val="00160B54"/>
    <w:rsid w:val="001610F1"/>
    <w:rsid w:val="00161DAA"/>
    <w:rsid w:val="00163698"/>
    <w:rsid w:val="00166818"/>
    <w:rsid w:val="00166AA0"/>
    <w:rsid w:val="00167A8C"/>
    <w:rsid w:val="00167DA5"/>
    <w:rsid w:val="00170B82"/>
    <w:rsid w:val="00172462"/>
    <w:rsid w:val="00173705"/>
    <w:rsid w:val="001756CC"/>
    <w:rsid w:val="00175CA6"/>
    <w:rsid w:val="001766E1"/>
    <w:rsid w:val="001769E4"/>
    <w:rsid w:val="00180651"/>
    <w:rsid w:val="001809A8"/>
    <w:rsid w:val="0018183A"/>
    <w:rsid w:val="001821CC"/>
    <w:rsid w:val="00182F89"/>
    <w:rsid w:val="00183002"/>
    <w:rsid w:val="00183D9B"/>
    <w:rsid w:val="00184734"/>
    <w:rsid w:val="00186D82"/>
    <w:rsid w:val="00190470"/>
    <w:rsid w:val="001914DB"/>
    <w:rsid w:val="0019573E"/>
    <w:rsid w:val="001964BB"/>
    <w:rsid w:val="00196C4B"/>
    <w:rsid w:val="00196D11"/>
    <w:rsid w:val="001A0D5E"/>
    <w:rsid w:val="001A2E70"/>
    <w:rsid w:val="001A399F"/>
    <w:rsid w:val="001A4E77"/>
    <w:rsid w:val="001A6015"/>
    <w:rsid w:val="001A6150"/>
    <w:rsid w:val="001A7AC2"/>
    <w:rsid w:val="001B010E"/>
    <w:rsid w:val="001B1B91"/>
    <w:rsid w:val="001B24A7"/>
    <w:rsid w:val="001B36A0"/>
    <w:rsid w:val="001B381B"/>
    <w:rsid w:val="001B4485"/>
    <w:rsid w:val="001B505D"/>
    <w:rsid w:val="001B5127"/>
    <w:rsid w:val="001B53B6"/>
    <w:rsid w:val="001B6243"/>
    <w:rsid w:val="001C07F7"/>
    <w:rsid w:val="001C159F"/>
    <w:rsid w:val="001C3388"/>
    <w:rsid w:val="001C6C89"/>
    <w:rsid w:val="001C6D02"/>
    <w:rsid w:val="001C752F"/>
    <w:rsid w:val="001D08AA"/>
    <w:rsid w:val="001D367D"/>
    <w:rsid w:val="001D41C5"/>
    <w:rsid w:val="001D4416"/>
    <w:rsid w:val="001D4BFE"/>
    <w:rsid w:val="001D5241"/>
    <w:rsid w:val="001D6226"/>
    <w:rsid w:val="001E0878"/>
    <w:rsid w:val="001E2150"/>
    <w:rsid w:val="001E374D"/>
    <w:rsid w:val="001E3ADB"/>
    <w:rsid w:val="001E4AD6"/>
    <w:rsid w:val="001E4EC7"/>
    <w:rsid w:val="001E5FE3"/>
    <w:rsid w:val="001E6F9D"/>
    <w:rsid w:val="001E7F14"/>
    <w:rsid w:val="001F02B1"/>
    <w:rsid w:val="001F167F"/>
    <w:rsid w:val="001F1D4B"/>
    <w:rsid w:val="001F2321"/>
    <w:rsid w:val="001F32B0"/>
    <w:rsid w:val="001F42C4"/>
    <w:rsid w:val="001F5015"/>
    <w:rsid w:val="001F5060"/>
    <w:rsid w:val="001F718F"/>
    <w:rsid w:val="002004E0"/>
    <w:rsid w:val="002012B1"/>
    <w:rsid w:val="00201AE3"/>
    <w:rsid w:val="00203A9B"/>
    <w:rsid w:val="0020508B"/>
    <w:rsid w:val="002052CA"/>
    <w:rsid w:val="00207BE7"/>
    <w:rsid w:val="002102D4"/>
    <w:rsid w:val="002115D2"/>
    <w:rsid w:val="00211A3A"/>
    <w:rsid w:val="002159E6"/>
    <w:rsid w:val="002212E8"/>
    <w:rsid w:val="00223845"/>
    <w:rsid w:val="00223CAF"/>
    <w:rsid w:val="00224249"/>
    <w:rsid w:val="00225472"/>
    <w:rsid w:val="00225CA2"/>
    <w:rsid w:val="002303DA"/>
    <w:rsid w:val="002307E9"/>
    <w:rsid w:val="00233D33"/>
    <w:rsid w:val="00235540"/>
    <w:rsid w:val="00236C01"/>
    <w:rsid w:val="00237FB3"/>
    <w:rsid w:val="002423E3"/>
    <w:rsid w:val="00242B1C"/>
    <w:rsid w:val="00243171"/>
    <w:rsid w:val="002445CB"/>
    <w:rsid w:val="00246CEF"/>
    <w:rsid w:val="00247272"/>
    <w:rsid w:val="00252490"/>
    <w:rsid w:val="002538B7"/>
    <w:rsid w:val="002549B9"/>
    <w:rsid w:val="00255201"/>
    <w:rsid w:val="00256055"/>
    <w:rsid w:val="00256C55"/>
    <w:rsid w:val="002579E7"/>
    <w:rsid w:val="00260257"/>
    <w:rsid w:val="00261CDF"/>
    <w:rsid w:val="002640A5"/>
    <w:rsid w:val="00265B60"/>
    <w:rsid w:val="0026620E"/>
    <w:rsid w:val="00267268"/>
    <w:rsid w:val="002701D0"/>
    <w:rsid w:val="00272B2F"/>
    <w:rsid w:val="00272FA1"/>
    <w:rsid w:val="00273140"/>
    <w:rsid w:val="002735EA"/>
    <w:rsid w:val="0027383D"/>
    <w:rsid w:val="0027459D"/>
    <w:rsid w:val="0027617B"/>
    <w:rsid w:val="002764A1"/>
    <w:rsid w:val="0027668C"/>
    <w:rsid w:val="00277748"/>
    <w:rsid w:val="00280016"/>
    <w:rsid w:val="002807C5"/>
    <w:rsid w:val="002809C0"/>
    <w:rsid w:val="00280B27"/>
    <w:rsid w:val="00280EBB"/>
    <w:rsid w:val="002839A8"/>
    <w:rsid w:val="00284281"/>
    <w:rsid w:val="002845EA"/>
    <w:rsid w:val="00284F45"/>
    <w:rsid w:val="00285394"/>
    <w:rsid w:val="00285E87"/>
    <w:rsid w:val="0028792E"/>
    <w:rsid w:val="00290734"/>
    <w:rsid w:val="00291739"/>
    <w:rsid w:val="00291BE7"/>
    <w:rsid w:val="002922F2"/>
    <w:rsid w:val="00293225"/>
    <w:rsid w:val="00294939"/>
    <w:rsid w:val="00294C2E"/>
    <w:rsid w:val="002958F9"/>
    <w:rsid w:val="002A08D0"/>
    <w:rsid w:val="002A1F17"/>
    <w:rsid w:val="002A2029"/>
    <w:rsid w:val="002A2A67"/>
    <w:rsid w:val="002A32B9"/>
    <w:rsid w:val="002A4122"/>
    <w:rsid w:val="002A6BCB"/>
    <w:rsid w:val="002A7F92"/>
    <w:rsid w:val="002B0D8F"/>
    <w:rsid w:val="002B14C5"/>
    <w:rsid w:val="002B20B4"/>
    <w:rsid w:val="002B249F"/>
    <w:rsid w:val="002B335E"/>
    <w:rsid w:val="002B4D1F"/>
    <w:rsid w:val="002B6E84"/>
    <w:rsid w:val="002B6E93"/>
    <w:rsid w:val="002B7126"/>
    <w:rsid w:val="002C0A34"/>
    <w:rsid w:val="002C0C87"/>
    <w:rsid w:val="002C12C8"/>
    <w:rsid w:val="002C1CB6"/>
    <w:rsid w:val="002C219D"/>
    <w:rsid w:val="002C273F"/>
    <w:rsid w:val="002C30C1"/>
    <w:rsid w:val="002C3EFC"/>
    <w:rsid w:val="002C4404"/>
    <w:rsid w:val="002C4475"/>
    <w:rsid w:val="002C5FFD"/>
    <w:rsid w:val="002C61F8"/>
    <w:rsid w:val="002C6B2A"/>
    <w:rsid w:val="002C7052"/>
    <w:rsid w:val="002D1C5E"/>
    <w:rsid w:val="002D216A"/>
    <w:rsid w:val="002D29D5"/>
    <w:rsid w:val="002D37BD"/>
    <w:rsid w:val="002D4A04"/>
    <w:rsid w:val="002D6D35"/>
    <w:rsid w:val="002E0A58"/>
    <w:rsid w:val="002E39B8"/>
    <w:rsid w:val="002E5B03"/>
    <w:rsid w:val="002E5F52"/>
    <w:rsid w:val="002E6BE4"/>
    <w:rsid w:val="002F0850"/>
    <w:rsid w:val="002F21A5"/>
    <w:rsid w:val="002F30EB"/>
    <w:rsid w:val="002F34E9"/>
    <w:rsid w:val="002F6202"/>
    <w:rsid w:val="002F79F2"/>
    <w:rsid w:val="0030259E"/>
    <w:rsid w:val="00303DE6"/>
    <w:rsid w:val="003045D4"/>
    <w:rsid w:val="00305D9E"/>
    <w:rsid w:val="00306176"/>
    <w:rsid w:val="003063F6"/>
    <w:rsid w:val="00307355"/>
    <w:rsid w:val="0031006B"/>
    <w:rsid w:val="00311823"/>
    <w:rsid w:val="003153F6"/>
    <w:rsid w:val="00316FA8"/>
    <w:rsid w:val="003171EA"/>
    <w:rsid w:val="00321246"/>
    <w:rsid w:val="00321B93"/>
    <w:rsid w:val="003221AD"/>
    <w:rsid w:val="00322324"/>
    <w:rsid w:val="00325B53"/>
    <w:rsid w:val="00325DFA"/>
    <w:rsid w:val="00327410"/>
    <w:rsid w:val="003306CD"/>
    <w:rsid w:val="00330A9E"/>
    <w:rsid w:val="00330F6D"/>
    <w:rsid w:val="0033158E"/>
    <w:rsid w:val="003317C2"/>
    <w:rsid w:val="00332A4B"/>
    <w:rsid w:val="00333B6C"/>
    <w:rsid w:val="00334194"/>
    <w:rsid w:val="00336571"/>
    <w:rsid w:val="00336BFC"/>
    <w:rsid w:val="00336E05"/>
    <w:rsid w:val="00341234"/>
    <w:rsid w:val="00347CCC"/>
    <w:rsid w:val="00350E70"/>
    <w:rsid w:val="00352996"/>
    <w:rsid w:val="00354689"/>
    <w:rsid w:val="00354DC2"/>
    <w:rsid w:val="00354EAB"/>
    <w:rsid w:val="00356853"/>
    <w:rsid w:val="00356C3D"/>
    <w:rsid w:val="003579B9"/>
    <w:rsid w:val="0036275D"/>
    <w:rsid w:val="00362863"/>
    <w:rsid w:val="0036396B"/>
    <w:rsid w:val="00363EFE"/>
    <w:rsid w:val="00365D64"/>
    <w:rsid w:val="00365DC5"/>
    <w:rsid w:val="00365E86"/>
    <w:rsid w:val="00367FD6"/>
    <w:rsid w:val="003708C6"/>
    <w:rsid w:val="00372369"/>
    <w:rsid w:val="00373562"/>
    <w:rsid w:val="00375080"/>
    <w:rsid w:val="00375126"/>
    <w:rsid w:val="0037569D"/>
    <w:rsid w:val="00376B9B"/>
    <w:rsid w:val="00376E8E"/>
    <w:rsid w:val="0038182C"/>
    <w:rsid w:val="003818C5"/>
    <w:rsid w:val="00382197"/>
    <w:rsid w:val="00382973"/>
    <w:rsid w:val="00382CAD"/>
    <w:rsid w:val="00383F5B"/>
    <w:rsid w:val="003844E3"/>
    <w:rsid w:val="003868DF"/>
    <w:rsid w:val="00390327"/>
    <w:rsid w:val="0039053A"/>
    <w:rsid w:val="0039217E"/>
    <w:rsid w:val="0039374C"/>
    <w:rsid w:val="00393B33"/>
    <w:rsid w:val="00393DFD"/>
    <w:rsid w:val="00394428"/>
    <w:rsid w:val="0039477D"/>
    <w:rsid w:val="00394D86"/>
    <w:rsid w:val="00395F37"/>
    <w:rsid w:val="00396749"/>
    <w:rsid w:val="00397F27"/>
    <w:rsid w:val="003A0229"/>
    <w:rsid w:val="003A0AB8"/>
    <w:rsid w:val="003A1375"/>
    <w:rsid w:val="003A190C"/>
    <w:rsid w:val="003A19BC"/>
    <w:rsid w:val="003A28DF"/>
    <w:rsid w:val="003A2C6E"/>
    <w:rsid w:val="003A2D93"/>
    <w:rsid w:val="003A479A"/>
    <w:rsid w:val="003A4AB8"/>
    <w:rsid w:val="003A6DA5"/>
    <w:rsid w:val="003B03EE"/>
    <w:rsid w:val="003B0BEC"/>
    <w:rsid w:val="003B22FE"/>
    <w:rsid w:val="003B2593"/>
    <w:rsid w:val="003B3019"/>
    <w:rsid w:val="003B55CC"/>
    <w:rsid w:val="003B6D20"/>
    <w:rsid w:val="003B6F5F"/>
    <w:rsid w:val="003B70EC"/>
    <w:rsid w:val="003B7406"/>
    <w:rsid w:val="003B75FC"/>
    <w:rsid w:val="003C0143"/>
    <w:rsid w:val="003C2BE1"/>
    <w:rsid w:val="003C2E22"/>
    <w:rsid w:val="003C3087"/>
    <w:rsid w:val="003C3154"/>
    <w:rsid w:val="003C51C2"/>
    <w:rsid w:val="003C55E7"/>
    <w:rsid w:val="003C76FB"/>
    <w:rsid w:val="003C7A8A"/>
    <w:rsid w:val="003C7CF1"/>
    <w:rsid w:val="003D0306"/>
    <w:rsid w:val="003D16CE"/>
    <w:rsid w:val="003D1BD7"/>
    <w:rsid w:val="003D1C3A"/>
    <w:rsid w:val="003D3FC0"/>
    <w:rsid w:val="003D660E"/>
    <w:rsid w:val="003D75C1"/>
    <w:rsid w:val="003E0B16"/>
    <w:rsid w:val="003E1557"/>
    <w:rsid w:val="003E2594"/>
    <w:rsid w:val="003E2E45"/>
    <w:rsid w:val="003E637C"/>
    <w:rsid w:val="003E693C"/>
    <w:rsid w:val="003E6A1F"/>
    <w:rsid w:val="003E7931"/>
    <w:rsid w:val="003E79AD"/>
    <w:rsid w:val="003E7ED7"/>
    <w:rsid w:val="003E7FE2"/>
    <w:rsid w:val="003F03D6"/>
    <w:rsid w:val="003F169C"/>
    <w:rsid w:val="003F2C55"/>
    <w:rsid w:val="003F4781"/>
    <w:rsid w:val="003F4A34"/>
    <w:rsid w:val="003F5D4E"/>
    <w:rsid w:val="003F6112"/>
    <w:rsid w:val="003F63ED"/>
    <w:rsid w:val="003F67D8"/>
    <w:rsid w:val="003F70F7"/>
    <w:rsid w:val="003F7751"/>
    <w:rsid w:val="004008AE"/>
    <w:rsid w:val="0040185D"/>
    <w:rsid w:val="00401A2A"/>
    <w:rsid w:val="00401C9E"/>
    <w:rsid w:val="00401E61"/>
    <w:rsid w:val="00404F19"/>
    <w:rsid w:val="00404F87"/>
    <w:rsid w:val="00407062"/>
    <w:rsid w:val="00407D53"/>
    <w:rsid w:val="00410B6D"/>
    <w:rsid w:val="00410C72"/>
    <w:rsid w:val="00412AC0"/>
    <w:rsid w:val="00414D51"/>
    <w:rsid w:val="00414DFF"/>
    <w:rsid w:val="004170E9"/>
    <w:rsid w:val="00417C6C"/>
    <w:rsid w:val="0042112F"/>
    <w:rsid w:val="0042153D"/>
    <w:rsid w:val="00422C14"/>
    <w:rsid w:val="0042406A"/>
    <w:rsid w:val="00424DAA"/>
    <w:rsid w:val="004326DC"/>
    <w:rsid w:val="004337FC"/>
    <w:rsid w:val="004342E1"/>
    <w:rsid w:val="004344D7"/>
    <w:rsid w:val="004344F7"/>
    <w:rsid w:val="00434807"/>
    <w:rsid w:val="0043484E"/>
    <w:rsid w:val="00435818"/>
    <w:rsid w:val="0043665D"/>
    <w:rsid w:val="00436EB3"/>
    <w:rsid w:val="004404FC"/>
    <w:rsid w:val="00440545"/>
    <w:rsid w:val="0044088E"/>
    <w:rsid w:val="00440F17"/>
    <w:rsid w:val="00441FCB"/>
    <w:rsid w:val="00442A83"/>
    <w:rsid w:val="00442BA2"/>
    <w:rsid w:val="00443E1D"/>
    <w:rsid w:val="00444131"/>
    <w:rsid w:val="00452A49"/>
    <w:rsid w:val="00455005"/>
    <w:rsid w:val="004554AE"/>
    <w:rsid w:val="00455890"/>
    <w:rsid w:val="00455B9A"/>
    <w:rsid w:val="004575FD"/>
    <w:rsid w:val="00460854"/>
    <w:rsid w:val="00460F16"/>
    <w:rsid w:val="00462207"/>
    <w:rsid w:val="00463606"/>
    <w:rsid w:val="00464144"/>
    <w:rsid w:val="0046440C"/>
    <w:rsid w:val="0046471A"/>
    <w:rsid w:val="00464E47"/>
    <w:rsid w:val="004665D0"/>
    <w:rsid w:val="00466F23"/>
    <w:rsid w:val="00467E5D"/>
    <w:rsid w:val="00471C3D"/>
    <w:rsid w:val="00471D23"/>
    <w:rsid w:val="0047251D"/>
    <w:rsid w:val="00473595"/>
    <w:rsid w:val="0047397A"/>
    <w:rsid w:val="00475FE2"/>
    <w:rsid w:val="0047666F"/>
    <w:rsid w:val="00476A75"/>
    <w:rsid w:val="00477700"/>
    <w:rsid w:val="00477E26"/>
    <w:rsid w:val="00480588"/>
    <w:rsid w:val="004817C8"/>
    <w:rsid w:val="00481BD8"/>
    <w:rsid w:val="00482433"/>
    <w:rsid w:val="004829A7"/>
    <w:rsid w:val="00486482"/>
    <w:rsid w:val="00486B64"/>
    <w:rsid w:val="004877AB"/>
    <w:rsid w:val="00494900"/>
    <w:rsid w:val="00494AE3"/>
    <w:rsid w:val="004960DA"/>
    <w:rsid w:val="00496DAD"/>
    <w:rsid w:val="00497338"/>
    <w:rsid w:val="00497B0F"/>
    <w:rsid w:val="004A07DB"/>
    <w:rsid w:val="004A0B6E"/>
    <w:rsid w:val="004A1ED3"/>
    <w:rsid w:val="004A2581"/>
    <w:rsid w:val="004A2F4C"/>
    <w:rsid w:val="004A552D"/>
    <w:rsid w:val="004A64FF"/>
    <w:rsid w:val="004A6907"/>
    <w:rsid w:val="004B0C0D"/>
    <w:rsid w:val="004B1228"/>
    <w:rsid w:val="004B23CB"/>
    <w:rsid w:val="004B3109"/>
    <w:rsid w:val="004B4EF3"/>
    <w:rsid w:val="004B5C3A"/>
    <w:rsid w:val="004B7908"/>
    <w:rsid w:val="004B7AED"/>
    <w:rsid w:val="004C0241"/>
    <w:rsid w:val="004C1888"/>
    <w:rsid w:val="004C2345"/>
    <w:rsid w:val="004C2509"/>
    <w:rsid w:val="004C2F7F"/>
    <w:rsid w:val="004C3A98"/>
    <w:rsid w:val="004D0100"/>
    <w:rsid w:val="004D07FD"/>
    <w:rsid w:val="004D0B45"/>
    <w:rsid w:val="004D0D4C"/>
    <w:rsid w:val="004D17A4"/>
    <w:rsid w:val="004D2586"/>
    <w:rsid w:val="004D2868"/>
    <w:rsid w:val="004D3ECE"/>
    <w:rsid w:val="004D5B3E"/>
    <w:rsid w:val="004E047C"/>
    <w:rsid w:val="004E05A5"/>
    <w:rsid w:val="004E1370"/>
    <w:rsid w:val="004E1D3A"/>
    <w:rsid w:val="004E233C"/>
    <w:rsid w:val="004E340A"/>
    <w:rsid w:val="004E375B"/>
    <w:rsid w:val="004E3809"/>
    <w:rsid w:val="004E3928"/>
    <w:rsid w:val="004E3E2E"/>
    <w:rsid w:val="004E3EEF"/>
    <w:rsid w:val="004E51B7"/>
    <w:rsid w:val="004E5243"/>
    <w:rsid w:val="004E52D9"/>
    <w:rsid w:val="004E599D"/>
    <w:rsid w:val="004E6182"/>
    <w:rsid w:val="004F027A"/>
    <w:rsid w:val="004F14A1"/>
    <w:rsid w:val="004F3D00"/>
    <w:rsid w:val="004F3F5A"/>
    <w:rsid w:val="004F4797"/>
    <w:rsid w:val="004F4937"/>
    <w:rsid w:val="004F50A6"/>
    <w:rsid w:val="004F6B24"/>
    <w:rsid w:val="00500C73"/>
    <w:rsid w:val="00501D97"/>
    <w:rsid w:val="00502159"/>
    <w:rsid w:val="00502B06"/>
    <w:rsid w:val="005044E1"/>
    <w:rsid w:val="005059CA"/>
    <w:rsid w:val="00506C84"/>
    <w:rsid w:val="00507DF3"/>
    <w:rsid w:val="00510854"/>
    <w:rsid w:val="00511CE4"/>
    <w:rsid w:val="00512CDD"/>
    <w:rsid w:val="0051348D"/>
    <w:rsid w:val="00514269"/>
    <w:rsid w:val="0051597D"/>
    <w:rsid w:val="00516364"/>
    <w:rsid w:val="0051691F"/>
    <w:rsid w:val="00517108"/>
    <w:rsid w:val="00517B90"/>
    <w:rsid w:val="00520099"/>
    <w:rsid w:val="00520BCA"/>
    <w:rsid w:val="00524204"/>
    <w:rsid w:val="0052470B"/>
    <w:rsid w:val="00524EC5"/>
    <w:rsid w:val="00525BE7"/>
    <w:rsid w:val="00526CD1"/>
    <w:rsid w:val="0053021F"/>
    <w:rsid w:val="00531374"/>
    <w:rsid w:val="00531652"/>
    <w:rsid w:val="00531F02"/>
    <w:rsid w:val="0053476A"/>
    <w:rsid w:val="0053495E"/>
    <w:rsid w:val="0053568E"/>
    <w:rsid w:val="005370AB"/>
    <w:rsid w:val="005401C0"/>
    <w:rsid w:val="00541049"/>
    <w:rsid w:val="0054183F"/>
    <w:rsid w:val="00543188"/>
    <w:rsid w:val="00544434"/>
    <w:rsid w:val="00545DF1"/>
    <w:rsid w:val="00547E7B"/>
    <w:rsid w:val="00550DFF"/>
    <w:rsid w:val="005550A7"/>
    <w:rsid w:val="00555521"/>
    <w:rsid w:val="00556F3B"/>
    <w:rsid w:val="005570A2"/>
    <w:rsid w:val="00557DC4"/>
    <w:rsid w:val="00560273"/>
    <w:rsid w:val="0056076E"/>
    <w:rsid w:val="005614A5"/>
    <w:rsid w:val="00562871"/>
    <w:rsid w:val="00562B0C"/>
    <w:rsid w:val="00563056"/>
    <w:rsid w:val="005647BA"/>
    <w:rsid w:val="00564875"/>
    <w:rsid w:val="0056542F"/>
    <w:rsid w:val="00565581"/>
    <w:rsid w:val="00570064"/>
    <w:rsid w:val="0057087D"/>
    <w:rsid w:val="005708F6"/>
    <w:rsid w:val="00571BFE"/>
    <w:rsid w:val="005720D5"/>
    <w:rsid w:val="00573170"/>
    <w:rsid w:val="00574C0E"/>
    <w:rsid w:val="005751CF"/>
    <w:rsid w:val="00575ECD"/>
    <w:rsid w:val="00576E91"/>
    <w:rsid w:val="00577720"/>
    <w:rsid w:val="005809DA"/>
    <w:rsid w:val="005816E7"/>
    <w:rsid w:val="005821D1"/>
    <w:rsid w:val="0058299F"/>
    <w:rsid w:val="00583B69"/>
    <w:rsid w:val="005846AB"/>
    <w:rsid w:val="00584AF0"/>
    <w:rsid w:val="00587D2D"/>
    <w:rsid w:val="005900D6"/>
    <w:rsid w:val="00591478"/>
    <w:rsid w:val="00591D45"/>
    <w:rsid w:val="00594FBF"/>
    <w:rsid w:val="00595B9A"/>
    <w:rsid w:val="00595C0D"/>
    <w:rsid w:val="00597AF2"/>
    <w:rsid w:val="00597CFF"/>
    <w:rsid w:val="005A01C2"/>
    <w:rsid w:val="005A0FE8"/>
    <w:rsid w:val="005A212C"/>
    <w:rsid w:val="005A2BFA"/>
    <w:rsid w:val="005A3421"/>
    <w:rsid w:val="005A428A"/>
    <w:rsid w:val="005A521F"/>
    <w:rsid w:val="005B031B"/>
    <w:rsid w:val="005B11A0"/>
    <w:rsid w:val="005B2271"/>
    <w:rsid w:val="005B29C9"/>
    <w:rsid w:val="005B3C2A"/>
    <w:rsid w:val="005B6BD0"/>
    <w:rsid w:val="005C0915"/>
    <w:rsid w:val="005C22CD"/>
    <w:rsid w:val="005C2A9B"/>
    <w:rsid w:val="005C3A85"/>
    <w:rsid w:val="005C4BB2"/>
    <w:rsid w:val="005C5C13"/>
    <w:rsid w:val="005C63CC"/>
    <w:rsid w:val="005C6F41"/>
    <w:rsid w:val="005C7EF7"/>
    <w:rsid w:val="005D160D"/>
    <w:rsid w:val="005D257F"/>
    <w:rsid w:val="005D392C"/>
    <w:rsid w:val="005D5E9E"/>
    <w:rsid w:val="005D6C51"/>
    <w:rsid w:val="005D7EF3"/>
    <w:rsid w:val="005E02D9"/>
    <w:rsid w:val="005E1140"/>
    <w:rsid w:val="005E1BD4"/>
    <w:rsid w:val="005E1EEE"/>
    <w:rsid w:val="005E2128"/>
    <w:rsid w:val="005E25C4"/>
    <w:rsid w:val="005E32A6"/>
    <w:rsid w:val="005E3576"/>
    <w:rsid w:val="005E4E2A"/>
    <w:rsid w:val="005E5526"/>
    <w:rsid w:val="005E57FA"/>
    <w:rsid w:val="005E598F"/>
    <w:rsid w:val="005E6118"/>
    <w:rsid w:val="005F0365"/>
    <w:rsid w:val="005F0FE9"/>
    <w:rsid w:val="005F16C0"/>
    <w:rsid w:val="005F21E0"/>
    <w:rsid w:val="005F2428"/>
    <w:rsid w:val="005F4A8D"/>
    <w:rsid w:val="005F508B"/>
    <w:rsid w:val="005F5615"/>
    <w:rsid w:val="005F58C4"/>
    <w:rsid w:val="005F5B50"/>
    <w:rsid w:val="005F5D56"/>
    <w:rsid w:val="005F6AA6"/>
    <w:rsid w:val="005F6B0C"/>
    <w:rsid w:val="005F7D3C"/>
    <w:rsid w:val="0060210F"/>
    <w:rsid w:val="00602D17"/>
    <w:rsid w:val="0060416D"/>
    <w:rsid w:val="00604882"/>
    <w:rsid w:val="00607B6F"/>
    <w:rsid w:val="00611677"/>
    <w:rsid w:val="0061182D"/>
    <w:rsid w:val="00611D77"/>
    <w:rsid w:val="00613A62"/>
    <w:rsid w:val="00613E26"/>
    <w:rsid w:val="006151A2"/>
    <w:rsid w:val="00620095"/>
    <w:rsid w:val="00622A43"/>
    <w:rsid w:val="006242D1"/>
    <w:rsid w:val="00625E47"/>
    <w:rsid w:val="00627495"/>
    <w:rsid w:val="00630D5D"/>
    <w:rsid w:val="006311E8"/>
    <w:rsid w:val="00633792"/>
    <w:rsid w:val="00634B7B"/>
    <w:rsid w:val="0063778A"/>
    <w:rsid w:val="00637C6B"/>
    <w:rsid w:val="00640144"/>
    <w:rsid w:val="00640E0A"/>
    <w:rsid w:val="00642584"/>
    <w:rsid w:val="00643B47"/>
    <w:rsid w:val="0064491C"/>
    <w:rsid w:val="00645663"/>
    <w:rsid w:val="006456B1"/>
    <w:rsid w:val="00652819"/>
    <w:rsid w:val="00653E65"/>
    <w:rsid w:val="00654EDD"/>
    <w:rsid w:val="006557F6"/>
    <w:rsid w:val="00656D9C"/>
    <w:rsid w:val="00657871"/>
    <w:rsid w:val="006578AC"/>
    <w:rsid w:val="006602D8"/>
    <w:rsid w:val="00661DD6"/>
    <w:rsid w:val="00662422"/>
    <w:rsid w:val="00662BC2"/>
    <w:rsid w:val="0066455E"/>
    <w:rsid w:val="00666270"/>
    <w:rsid w:val="00666449"/>
    <w:rsid w:val="00666E31"/>
    <w:rsid w:val="0067028F"/>
    <w:rsid w:val="0067097D"/>
    <w:rsid w:val="00670E1A"/>
    <w:rsid w:val="006710E3"/>
    <w:rsid w:val="006719C0"/>
    <w:rsid w:val="00673DC2"/>
    <w:rsid w:val="00673E21"/>
    <w:rsid w:val="006748A7"/>
    <w:rsid w:val="00674E4B"/>
    <w:rsid w:val="006765FC"/>
    <w:rsid w:val="00676CB4"/>
    <w:rsid w:val="00676E7C"/>
    <w:rsid w:val="006775C1"/>
    <w:rsid w:val="006813D4"/>
    <w:rsid w:val="0068285B"/>
    <w:rsid w:val="006829FC"/>
    <w:rsid w:val="00684EF5"/>
    <w:rsid w:val="006859B8"/>
    <w:rsid w:val="006864D6"/>
    <w:rsid w:val="00690989"/>
    <w:rsid w:val="00690B11"/>
    <w:rsid w:val="00693F23"/>
    <w:rsid w:val="00694728"/>
    <w:rsid w:val="00696765"/>
    <w:rsid w:val="0069781E"/>
    <w:rsid w:val="006A00A9"/>
    <w:rsid w:val="006A0A83"/>
    <w:rsid w:val="006A1A58"/>
    <w:rsid w:val="006A2BE5"/>
    <w:rsid w:val="006A2C6B"/>
    <w:rsid w:val="006A4DA9"/>
    <w:rsid w:val="006A6A73"/>
    <w:rsid w:val="006A7AD7"/>
    <w:rsid w:val="006B100A"/>
    <w:rsid w:val="006B19E3"/>
    <w:rsid w:val="006B3872"/>
    <w:rsid w:val="006B4E82"/>
    <w:rsid w:val="006B5287"/>
    <w:rsid w:val="006B5A83"/>
    <w:rsid w:val="006B5E2C"/>
    <w:rsid w:val="006B6929"/>
    <w:rsid w:val="006C05FD"/>
    <w:rsid w:val="006C2F47"/>
    <w:rsid w:val="006C344C"/>
    <w:rsid w:val="006C43B2"/>
    <w:rsid w:val="006C5498"/>
    <w:rsid w:val="006C628B"/>
    <w:rsid w:val="006C62BE"/>
    <w:rsid w:val="006D003F"/>
    <w:rsid w:val="006D093F"/>
    <w:rsid w:val="006E0316"/>
    <w:rsid w:val="006E4134"/>
    <w:rsid w:val="006E5108"/>
    <w:rsid w:val="006E55A3"/>
    <w:rsid w:val="006E67D3"/>
    <w:rsid w:val="006E6EF8"/>
    <w:rsid w:val="006E7E67"/>
    <w:rsid w:val="006E7F40"/>
    <w:rsid w:val="006F1661"/>
    <w:rsid w:val="006F27C8"/>
    <w:rsid w:val="006F31D7"/>
    <w:rsid w:val="006F3822"/>
    <w:rsid w:val="006F45FB"/>
    <w:rsid w:val="006F522B"/>
    <w:rsid w:val="006F59AC"/>
    <w:rsid w:val="00700D47"/>
    <w:rsid w:val="00700F16"/>
    <w:rsid w:val="007013EA"/>
    <w:rsid w:val="00703AA5"/>
    <w:rsid w:val="00705866"/>
    <w:rsid w:val="007074AC"/>
    <w:rsid w:val="00707EE0"/>
    <w:rsid w:val="007109F3"/>
    <w:rsid w:val="00711E51"/>
    <w:rsid w:val="00713013"/>
    <w:rsid w:val="00713F7F"/>
    <w:rsid w:val="00714048"/>
    <w:rsid w:val="00714B21"/>
    <w:rsid w:val="007171FB"/>
    <w:rsid w:val="00717A1F"/>
    <w:rsid w:val="0072050F"/>
    <w:rsid w:val="0072090A"/>
    <w:rsid w:val="007217E5"/>
    <w:rsid w:val="0072189F"/>
    <w:rsid w:val="00721B7F"/>
    <w:rsid w:val="00721CF8"/>
    <w:rsid w:val="0072419C"/>
    <w:rsid w:val="00730EBF"/>
    <w:rsid w:val="0073103A"/>
    <w:rsid w:val="0073199A"/>
    <w:rsid w:val="00731E60"/>
    <w:rsid w:val="007324BD"/>
    <w:rsid w:val="0073401A"/>
    <w:rsid w:val="0073495D"/>
    <w:rsid w:val="00735A67"/>
    <w:rsid w:val="0074223C"/>
    <w:rsid w:val="0074303B"/>
    <w:rsid w:val="00743FAA"/>
    <w:rsid w:val="007467EA"/>
    <w:rsid w:val="00747416"/>
    <w:rsid w:val="0074769F"/>
    <w:rsid w:val="00750128"/>
    <w:rsid w:val="007507B9"/>
    <w:rsid w:val="00751424"/>
    <w:rsid w:val="007523AD"/>
    <w:rsid w:val="00752A0B"/>
    <w:rsid w:val="00752D0F"/>
    <w:rsid w:val="00752E9D"/>
    <w:rsid w:val="00754789"/>
    <w:rsid w:val="00754875"/>
    <w:rsid w:val="0075573A"/>
    <w:rsid w:val="00756C5B"/>
    <w:rsid w:val="00757CEB"/>
    <w:rsid w:val="00761C6E"/>
    <w:rsid w:val="00762A56"/>
    <w:rsid w:val="00762A9E"/>
    <w:rsid w:val="0076418D"/>
    <w:rsid w:val="00764564"/>
    <w:rsid w:val="00764AAA"/>
    <w:rsid w:val="0076557A"/>
    <w:rsid w:val="00765927"/>
    <w:rsid w:val="00766DAE"/>
    <w:rsid w:val="00766FC3"/>
    <w:rsid w:val="007678CC"/>
    <w:rsid w:val="007706FC"/>
    <w:rsid w:val="00770756"/>
    <w:rsid w:val="00770ADC"/>
    <w:rsid w:val="007751C1"/>
    <w:rsid w:val="00776B45"/>
    <w:rsid w:val="00780D96"/>
    <w:rsid w:val="007822D0"/>
    <w:rsid w:val="0078242C"/>
    <w:rsid w:val="00782887"/>
    <w:rsid w:val="0078292D"/>
    <w:rsid w:val="0078368F"/>
    <w:rsid w:val="0078419A"/>
    <w:rsid w:val="0078473A"/>
    <w:rsid w:val="00784A63"/>
    <w:rsid w:val="00784C37"/>
    <w:rsid w:val="0078634A"/>
    <w:rsid w:val="00790333"/>
    <w:rsid w:val="00790B7F"/>
    <w:rsid w:val="0079103A"/>
    <w:rsid w:val="0079123E"/>
    <w:rsid w:val="007933F8"/>
    <w:rsid w:val="00793416"/>
    <w:rsid w:val="0079519C"/>
    <w:rsid w:val="007964DB"/>
    <w:rsid w:val="00796725"/>
    <w:rsid w:val="00797C14"/>
    <w:rsid w:val="007A1CB1"/>
    <w:rsid w:val="007A444C"/>
    <w:rsid w:val="007A53B5"/>
    <w:rsid w:val="007A57B0"/>
    <w:rsid w:val="007A5E80"/>
    <w:rsid w:val="007A70A8"/>
    <w:rsid w:val="007B010D"/>
    <w:rsid w:val="007B0261"/>
    <w:rsid w:val="007B0E07"/>
    <w:rsid w:val="007B103F"/>
    <w:rsid w:val="007B1B37"/>
    <w:rsid w:val="007B2FE1"/>
    <w:rsid w:val="007B348E"/>
    <w:rsid w:val="007B379C"/>
    <w:rsid w:val="007B4BCE"/>
    <w:rsid w:val="007B51A4"/>
    <w:rsid w:val="007B57D9"/>
    <w:rsid w:val="007C0556"/>
    <w:rsid w:val="007C0940"/>
    <w:rsid w:val="007C14B0"/>
    <w:rsid w:val="007C231F"/>
    <w:rsid w:val="007C306E"/>
    <w:rsid w:val="007C30FF"/>
    <w:rsid w:val="007C5A9D"/>
    <w:rsid w:val="007C5D06"/>
    <w:rsid w:val="007C7557"/>
    <w:rsid w:val="007D00D3"/>
    <w:rsid w:val="007D1E2E"/>
    <w:rsid w:val="007D1E8B"/>
    <w:rsid w:val="007D21CF"/>
    <w:rsid w:val="007D2E22"/>
    <w:rsid w:val="007D42F5"/>
    <w:rsid w:val="007D6EF4"/>
    <w:rsid w:val="007D7BAF"/>
    <w:rsid w:val="007E07C6"/>
    <w:rsid w:val="007E1292"/>
    <w:rsid w:val="007E148E"/>
    <w:rsid w:val="007E168C"/>
    <w:rsid w:val="007E2C58"/>
    <w:rsid w:val="007E4EC3"/>
    <w:rsid w:val="007E5484"/>
    <w:rsid w:val="007E64AD"/>
    <w:rsid w:val="007F17A7"/>
    <w:rsid w:val="007F17FA"/>
    <w:rsid w:val="007F37C2"/>
    <w:rsid w:val="007F4701"/>
    <w:rsid w:val="007F4D5D"/>
    <w:rsid w:val="007F589C"/>
    <w:rsid w:val="007F61B3"/>
    <w:rsid w:val="007F7419"/>
    <w:rsid w:val="007F7928"/>
    <w:rsid w:val="007F7F5E"/>
    <w:rsid w:val="00801073"/>
    <w:rsid w:val="008020CF"/>
    <w:rsid w:val="008022DC"/>
    <w:rsid w:val="00803956"/>
    <w:rsid w:val="00804F1E"/>
    <w:rsid w:val="00805C56"/>
    <w:rsid w:val="00805F3C"/>
    <w:rsid w:val="0080655C"/>
    <w:rsid w:val="0080663E"/>
    <w:rsid w:val="008070B0"/>
    <w:rsid w:val="00811616"/>
    <w:rsid w:val="008140A7"/>
    <w:rsid w:val="0081464C"/>
    <w:rsid w:val="00814EFE"/>
    <w:rsid w:val="00815A67"/>
    <w:rsid w:val="008178EA"/>
    <w:rsid w:val="008200F3"/>
    <w:rsid w:val="0082031F"/>
    <w:rsid w:val="00820A41"/>
    <w:rsid w:val="0082218D"/>
    <w:rsid w:val="0082316E"/>
    <w:rsid w:val="00823AC1"/>
    <w:rsid w:val="008245AC"/>
    <w:rsid w:val="008279D4"/>
    <w:rsid w:val="00831069"/>
    <w:rsid w:val="00831CE5"/>
    <w:rsid w:val="0083383A"/>
    <w:rsid w:val="008338CF"/>
    <w:rsid w:val="00836705"/>
    <w:rsid w:val="00837B63"/>
    <w:rsid w:val="00840022"/>
    <w:rsid w:val="0084005F"/>
    <w:rsid w:val="008402E8"/>
    <w:rsid w:val="00840991"/>
    <w:rsid w:val="008410AE"/>
    <w:rsid w:val="00841635"/>
    <w:rsid w:val="00841E20"/>
    <w:rsid w:val="00842AE1"/>
    <w:rsid w:val="0084397A"/>
    <w:rsid w:val="00844A7F"/>
    <w:rsid w:val="008455F0"/>
    <w:rsid w:val="0084618C"/>
    <w:rsid w:val="00847A96"/>
    <w:rsid w:val="00850E15"/>
    <w:rsid w:val="008522AB"/>
    <w:rsid w:val="008533F1"/>
    <w:rsid w:val="00853DA8"/>
    <w:rsid w:val="0085530B"/>
    <w:rsid w:val="00856F2F"/>
    <w:rsid w:val="0085727A"/>
    <w:rsid w:val="008628E7"/>
    <w:rsid w:val="00863040"/>
    <w:rsid w:val="0086340D"/>
    <w:rsid w:val="008647C2"/>
    <w:rsid w:val="00864BDC"/>
    <w:rsid w:val="00865784"/>
    <w:rsid w:val="008674D7"/>
    <w:rsid w:val="00871E22"/>
    <w:rsid w:val="0087310C"/>
    <w:rsid w:val="00873A20"/>
    <w:rsid w:val="00875D37"/>
    <w:rsid w:val="00876F7B"/>
    <w:rsid w:val="008770B2"/>
    <w:rsid w:val="008773D5"/>
    <w:rsid w:val="008810F4"/>
    <w:rsid w:val="0088383A"/>
    <w:rsid w:val="008850F1"/>
    <w:rsid w:val="008852F9"/>
    <w:rsid w:val="00886072"/>
    <w:rsid w:val="00891EC3"/>
    <w:rsid w:val="0089226B"/>
    <w:rsid w:val="0089228A"/>
    <w:rsid w:val="00892692"/>
    <w:rsid w:val="00894DBC"/>
    <w:rsid w:val="00895A86"/>
    <w:rsid w:val="008A07DA"/>
    <w:rsid w:val="008A0973"/>
    <w:rsid w:val="008A20A8"/>
    <w:rsid w:val="008A3F16"/>
    <w:rsid w:val="008A4A7B"/>
    <w:rsid w:val="008A537C"/>
    <w:rsid w:val="008A550C"/>
    <w:rsid w:val="008A5581"/>
    <w:rsid w:val="008A5891"/>
    <w:rsid w:val="008A5B95"/>
    <w:rsid w:val="008A7C0C"/>
    <w:rsid w:val="008B1A63"/>
    <w:rsid w:val="008B277C"/>
    <w:rsid w:val="008B2DF8"/>
    <w:rsid w:val="008B4FDD"/>
    <w:rsid w:val="008B7DED"/>
    <w:rsid w:val="008C28ED"/>
    <w:rsid w:val="008C4033"/>
    <w:rsid w:val="008C553B"/>
    <w:rsid w:val="008C59FB"/>
    <w:rsid w:val="008D168E"/>
    <w:rsid w:val="008D2903"/>
    <w:rsid w:val="008D4069"/>
    <w:rsid w:val="008D4DFB"/>
    <w:rsid w:val="008D67FA"/>
    <w:rsid w:val="008D6C5D"/>
    <w:rsid w:val="008E4A5F"/>
    <w:rsid w:val="008E77B4"/>
    <w:rsid w:val="008F0286"/>
    <w:rsid w:val="008F09C0"/>
    <w:rsid w:val="008F0D62"/>
    <w:rsid w:val="008F1F4B"/>
    <w:rsid w:val="008F34A0"/>
    <w:rsid w:val="008F397C"/>
    <w:rsid w:val="008F3DF7"/>
    <w:rsid w:val="008F52B9"/>
    <w:rsid w:val="008F6107"/>
    <w:rsid w:val="008F74C8"/>
    <w:rsid w:val="008F7769"/>
    <w:rsid w:val="00901C36"/>
    <w:rsid w:val="009029A7"/>
    <w:rsid w:val="009041C3"/>
    <w:rsid w:val="009050AB"/>
    <w:rsid w:val="00905123"/>
    <w:rsid w:val="00912084"/>
    <w:rsid w:val="009137AB"/>
    <w:rsid w:val="00913A0E"/>
    <w:rsid w:val="009151CE"/>
    <w:rsid w:val="00916527"/>
    <w:rsid w:val="00916C13"/>
    <w:rsid w:val="00916C70"/>
    <w:rsid w:val="00916F57"/>
    <w:rsid w:val="0091788B"/>
    <w:rsid w:val="009202D6"/>
    <w:rsid w:val="0092095A"/>
    <w:rsid w:val="0092111D"/>
    <w:rsid w:val="009212BB"/>
    <w:rsid w:val="00921A06"/>
    <w:rsid w:val="00922195"/>
    <w:rsid w:val="0092219B"/>
    <w:rsid w:val="00923C22"/>
    <w:rsid w:val="00925F93"/>
    <w:rsid w:val="0092757A"/>
    <w:rsid w:val="00927890"/>
    <w:rsid w:val="009301A3"/>
    <w:rsid w:val="0093149D"/>
    <w:rsid w:val="00931D81"/>
    <w:rsid w:val="00933329"/>
    <w:rsid w:val="00934211"/>
    <w:rsid w:val="009345C4"/>
    <w:rsid w:val="0093481F"/>
    <w:rsid w:val="00936731"/>
    <w:rsid w:val="00936EA0"/>
    <w:rsid w:val="00941302"/>
    <w:rsid w:val="00941BA5"/>
    <w:rsid w:val="00941D84"/>
    <w:rsid w:val="0094230A"/>
    <w:rsid w:val="009437F5"/>
    <w:rsid w:val="00943BA9"/>
    <w:rsid w:val="00945637"/>
    <w:rsid w:val="00946BCE"/>
    <w:rsid w:val="00952013"/>
    <w:rsid w:val="00954BF5"/>
    <w:rsid w:val="00955D69"/>
    <w:rsid w:val="0095686A"/>
    <w:rsid w:val="00960D1E"/>
    <w:rsid w:val="00961176"/>
    <w:rsid w:val="009611BC"/>
    <w:rsid w:val="0096155A"/>
    <w:rsid w:val="00963A31"/>
    <w:rsid w:val="00963DC2"/>
    <w:rsid w:val="009645F8"/>
    <w:rsid w:val="00964D69"/>
    <w:rsid w:val="00966FED"/>
    <w:rsid w:val="009706EA"/>
    <w:rsid w:val="0097139F"/>
    <w:rsid w:val="00971CC7"/>
    <w:rsid w:val="0097202E"/>
    <w:rsid w:val="00972166"/>
    <w:rsid w:val="00973590"/>
    <w:rsid w:val="00973649"/>
    <w:rsid w:val="009776DD"/>
    <w:rsid w:val="009841A0"/>
    <w:rsid w:val="0098445C"/>
    <w:rsid w:val="00984F49"/>
    <w:rsid w:val="00985972"/>
    <w:rsid w:val="0098705F"/>
    <w:rsid w:val="00990139"/>
    <w:rsid w:val="00990B5F"/>
    <w:rsid w:val="009930B0"/>
    <w:rsid w:val="00993F30"/>
    <w:rsid w:val="00994F85"/>
    <w:rsid w:val="009957E5"/>
    <w:rsid w:val="009A039A"/>
    <w:rsid w:val="009A0C98"/>
    <w:rsid w:val="009A1A5E"/>
    <w:rsid w:val="009A1D24"/>
    <w:rsid w:val="009A278E"/>
    <w:rsid w:val="009A2FD6"/>
    <w:rsid w:val="009A4095"/>
    <w:rsid w:val="009A456A"/>
    <w:rsid w:val="009A4ACD"/>
    <w:rsid w:val="009A6A80"/>
    <w:rsid w:val="009B09D3"/>
    <w:rsid w:val="009B13EC"/>
    <w:rsid w:val="009B3842"/>
    <w:rsid w:val="009B3CD8"/>
    <w:rsid w:val="009B71C0"/>
    <w:rsid w:val="009C0324"/>
    <w:rsid w:val="009C0B66"/>
    <w:rsid w:val="009C0C89"/>
    <w:rsid w:val="009C13B0"/>
    <w:rsid w:val="009C175D"/>
    <w:rsid w:val="009C2AE6"/>
    <w:rsid w:val="009C3D01"/>
    <w:rsid w:val="009C401A"/>
    <w:rsid w:val="009C415A"/>
    <w:rsid w:val="009C5431"/>
    <w:rsid w:val="009C5BB7"/>
    <w:rsid w:val="009C66F7"/>
    <w:rsid w:val="009C786B"/>
    <w:rsid w:val="009C792B"/>
    <w:rsid w:val="009D0985"/>
    <w:rsid w:val="009D09A3"/>
    <w:rsid w:val="009D2AA5"/>
    <w:rsid w:val="009D4BBA"/>
    <w:rsid w:val="009D6A36"/>
    <w:rsid w:val="009D78E0"/>
    <w:rsid w:val="009E24A4"/>
    <w:rsid w:val="009E3F7E"/>
    <w:rsid w:val="009E408C"/>
    <w:rsid w:val="009E4DDB"/>
    <w:rsid w:val="009E4EF9"/>
    <w:rsid w:val="009E58C9"/>
    <w:rsid w:val="009E73E8"/>
    <w:rsid w:val="009E74A7"/>
    <w:rsid w:val="009E78B7"/>
    <w:rsid w:val="009F5259"/>
    <w:rsid w:val="009F6E2B"/>
    <w:rsid w:val="00A0099D"/>
    <w:rsid w:val="00A00F38"/>
    <w:rsid w:val="00A015CE"/>
    <w:rsid w:val="00A13185"/>
    <w:rsid w:val="00A13AA3"/>
    <w:rsid w:val="00A13BE1"/>
    <w:rsid w:val="00A144FB"/>
    <w:rsid w:val="00A15B08"/>
    <w:rsid w:val="00A17A7C"/>
    <w:rsid w:val="00A17C62"/>
    <w:rsid w:val="00A21012"/>
    <w:rsid w:val="00A2102A"/>
    <w:rsid w:val="00A2221A"/>
    <w:rsid w:val="00A22E3B"/>
    <w:rsid w:val="00A264F9"/>
    <w:rsid w:val="00A27EE9"/>
    <w:rsid w:val="00A305D7"/>
    <w:rsid w:val="00A31450"/>
    <w:rsid w:val="00A32CE1"/>
    <w:rsid w:val="00A342A7"/>
    <w:rsid w:val="00A35624"/>
    <w:rsid w:val="00A36FEB"/>
    <w:rsid w:val="00A374CB"/>
    <w:rsid w:val="00A40123"/>
    <w:rsid w:val="00A41112"/>
    <w:rsid w:val="00A413D4"/>
    <w:rsid w:val="00A427CC"/>
    <w:rsid w:val="00A42AC1"/>
    <w:rsid w:val="00A42E7B"/>
    <w:rsid w:val="00A43569"/>
    <w:rsid w:val="00A435E8"/>
    <w:rsid w:val="00A44F35"/>
    <w:rsid w:val="00A44FFB"/>
    <w:rsid w:val="00A45643"/>
    <w:rsid w:val="00A46335"/>
    <w:rsid w:val="00A469F0"/>
    <w:rsid w:val="00A50B13"/>
    <w:rsid w:val="00A50E0F"/>
    <w:rsid w:val="00A50F5A"/>
    <w:rsid w:val="00A55D60"/>
    <w:rsid w:val="00A60A5A"/>
    <w:rsid w:val="00A62EEB"/>
    <w:rsid w:val="00A6309A"/>
    <w:rsid w:val="00A6351C"/>
    <w:rsid w:val="00A650A5"/>
    <w:rsid w:val="00A6565C"/>
    <w:rsid w:val="00A66D7B"/>
    <w:rsid w:val="00A7070F"/>
    <w:rsid w:val="00A72779"/>
    <w:rsid w:val="00A72A54"/>
    <w:rsid w:val="00A734AC"/>
    <w:rsid w:val="00A73A6A"/>
    <w:rsid w:val="00A757DC"/>
    <w:rsid w:val="00A76044"/>
    <w:rsid w:val="00A768FE"/>
    <w:rsid w:val="00A8571B"/>
    <w:rsid w:val="00A85D36"/>
    <w:rsid w:val="00A86CD9"/>
    <w:rsid w:val="00A912E8"/>
    <w:rsid w:val="00A91F62"/>
    <w:rsid w:val="00A925CB"/>
    <w:rsid w:val="00A93D12"/>
    <w:rsid w:val="00A94F76"/>
    <w:rsid w:val="00A959CC"/>
    <w:rsid w:val="00A96143"/>
    <w:rsid w:val="00A96835"/>
    <w:rsid w:val="00A97DF2"/>
    <w:rsid w:val="00AA331D"/>
    <w:rsid w:val="00AA6C5F"/>
    <w:rsid w:val="00AA72B9"/>
    <w:rsid w:val="00AB086A"/>
    <w:rsid w:val="00AB2BEF"/>
    <w:rsid w:val="00AB388C"/>
    <w:rsid w:val="00AB3C88"/>
    <w:rsid w:val="00AB3DE9"/>
    <w:rsid w:val="00AB3E46"/>
    <w:rsid w:val="00AB4DD7"/>
    <w:rsid w:val="00AB5624"/>
    <w:rsid w:val="00AB585D"/>
    <w:rsid w:val="00AB6942"/>
    <w:rsid w:val="00AC0255"/>
    <w:rsid w:val="00AC39D9"/>
    <w:rsid w:val="00AC6EBD"/>
    <w:rsid w:val="00AC7AE4"/>
    <w:rsid w:val="00AC7DF3"/>
    <w:rsid w:val="00AC7F39"/>
    <w:rsid w:val="00AD2FC8"/>
    <w:rsid w:val="00AD7846"/>
    <w:rsid w:val="00AD78D8"/>
    <w:rsid w:val="00AD7DBD"/>
    <w:rsid w:val="00AE13A8"/>
    <w:rsid w:val="00AE145D"/>
    <w:rsid w:val="00AE1956"/>
    <w:rsid w:val="00AE1DB2"/>
    <w:rsid w:val="00AE3889"/>
    <w:rsid w:val="00AE4452"/>
    <w:rsid w:val="00AE4897"/>
    <w:rsid w:val="00AE5F15"/>
    <w:rsid w:val="00AE6FC0"/>
    <w:rsid w:val="00AF0F99"/>
    <w:rsid w:val="00AF1869"/>
    <w:rsid w:val="00AF22EA"/>
    <w:rsid w:val="00AF2ED5"/>
    <w:rsid w:val="00AF3458"/>
    <w:rsid w:val="00AF44CA"/>
    <w:rsid w:val="00AF7256"/>
    <w:rsid w:val="00B000CB"/>
    <w:rsid w:val="00B00B8E"/>
    <w:rsid w:val="00B0199E"/>
    <w:rsid w:val="00B023F8"/>
    <w:rsid w:val="00B03A59"/>
    <w:rsid w:val="00B04647"/>
    <w:rsid w:val="00B04D8B"/>
    <w:rsid w:val="00B0598A"/>
    <w:rsid w:val="00B07538"/>
    <w:rsid w:val="00B07FFA"/>
    <w:rsid w:val="00B108CB"/>
    <w:rsid w:val="00B10E49"/>
    <w:rsid w:val="00B11711"/>
    <w:rsid w:val="00B11F49"/>
    <w:rsid w:val="00B11FF3"/>
    <w:rsid w:val="00B14045"/>
    <w:rsid w:val="00B147A0"/>
    <w:rsid w:val="00B148FF"/>
    <w:rsid w:val="00B1506D"/>
    <w:rsid w:val="00B1584A"/>
    <w:rsid w:val="00B17806"/>
    <w:rsid w:val="00B20670"/>
    <w:rsid w:val="00B253CD"/>
    <w:rsid w:val="00B2558C"/>
    <w:rsid w:val="00B26A41"/>
    <w:rsid w:val="00B2712E"/>
    <w:rsid w:val="00B32591"/>
    <w:rsid w:val="00B333FC"/>
    <w:rsid w:val="00B34398"/>
    <w:rsid w:val="00B35715"/>
    <w:rsid w:val="00B35D40"/>
    <w:rsid w:val="00B35FD7"/>
    <w:rsid w:val="00B35FFE"/>
    <w:rsid w:val="00B40682"/>
    <w:rsid w:val="00B41095"/>
    <w:rsid w:val="00B43E80"/>
    <w:rsid w:val="00B45BDA"/>
    <w:rsid w:val="00B463DB"/>
    <w:rsid w:val="00B46B5E"/>
    <w:rsid w:val="00B47967"/>
    <w:rsid w:val="00B50512"/>
    <w:rsid w:val="00B51563"/>
    <w:rsid w:val="00B52FB1"/>
    <w:rsid w:val="00B538EC"/>
    <w:rsid w:val="00B54482"/>
    <w:rsid w:val="00B552DF"/>
    <w:rsid w:val="00B56038"/>
    <w:rsid w:val="00B56632"/>
    <w:rsid w:val="00B5684F"/>
    <w:rsid w:val="00B623AB"/>
    <w:rsid w:val="00B65000"/>
    <w:rsid w:val="00B6545C"/>
    <w:rsid w:val="00B664CF"/>
    <w:rsid w:val="00B66BCD"/>
    <w:rsid w:val="00B676FC"/>
    <w:rsid w:val="00B71188"/>
    <w:rsid w:val="00B714B8"/>
    <w:rsid w:val="00B7254A"/>
    <w:rsid w:val="00B72B12"/>
    <w:rsid w:val="00B7393D"/>
    <w:rsid w:val="00B74A09"/>
    <w:rsid w:val="00B74BF5"/>
    <w:rsid w:val="00B75365"/>
    <w:rsid w:val="00B7587A"/>
    <w:rsid w:val="00B75A0F"/>
    <w:rsid w:val="00B772AC"/>
    <w:rsid w:val="00B804F2"/>
    <w:rsid w:val="00B81AB8"/>
    <w:rsid w:val="00B82D0E"/>
    <w:rsid w:val="00B847C6"/>
    <w:rsid w:val="00B85761"/>
    <w:rsid w:val="00B86856"/>
    <w:rsid w:val="00B86FD3"/>
    <w:rsid w:val="00B87ED0"/>
    <w:rsid w:val="00B900DD"/>
    <w:rsid w:val="00B9155B"/>
    <w:rsid w:val="00B91DD3"/>
    <w:rsid w:val="00B95DF1"/>
    <w:rsid w:val="00B96A9B"/>
    <w:rsid w:val="00BA0001"/>
    <w:rsid w:val="00BA03F8"/>
    <w:rsid w:val="00BA1BE8"/>
    <w:rsid w:val="00BA220A"/>
    <w:rsid w:val="00BA6BA3"/>
    <w:rsid w:val="00BA6D8D"/>
    <w:rsid w:val="00BB116C"/>
    <w:rsid w:val="00BB1458"/>
    <w:rsid w:val="00BB49C5"/>
    <w:rsid w:val="00BC073D"/>
    <w:rsid w:val="00BC3DCF"/>
    <w:rsid w:val="00BC658A"/>
    <w:rsid w:val="00BD2869"/>
    <w:rsid w:val="00BD29E4"/>
    <w:rsid w:val="00BD2B84"/>
    <w:rsid w:val="00BD4216"/>
    <w:rsid w:val="00BD54A7"/>
    <w:rsid w:val="00BD5D5F"/>
    <w:rsid w:val="00BD7678"/>
    <w:rsid w:val="00BE147D"/>
    <w:rsid w:val="00BE1661"/>
    <w:rsid w:val="00BE2A9A"/>
    <w:rsid w:val="00BE3275"/>
    <w:rsid w:val="00BE35A6"/>
    <w:rsid w:val="00BE3BED"/>
    <w:rsid w:val="00BE442F"/>
    <w:rsid w:val="00BE4B33"/>
    <w:rsid w:val="00BE4BA9"/>
    <w:rsid w:val="00BE5D99"/>
    <w:rsid w:val="00BE69C3"/>
    <w:rsid w:val="00BE747D"/>
    <w:rsid w:val="00BF0D7D"/>
    <w:rsid w:val="00BF1304"/>
    <w:rsid w:val="00BF362F"/>
    <w:rsid w:val="00BF45F4"/>
    <w:rsid w:val="00BF6157"/>
    <w:rsid w:val="00BF6E12"/>
    <w:rsid w:val="00BF7C33"/>
    <w:rsid w:val="00C00429"/>
    <w:rsid w:val="00C01B97"/>
    <w:rsid w:val="00C01CDB"/>
    <w:rsid w:val="00C028C8"/>
    <w:rsid w:val="00C036D3"/>
    <w:rsid w:val="00C03A09"/>
    <w:rsid w:val="00C041CE"/>
    <w:rsid w:val="00C05EAC"/>
    <w:rsid w:val="00C05FCC"/>
    <w:rsid w:val="00C068DA"/>
    <w:rsid w:val="00C079FD"/>
    <w:rsid w:val="00C10A57"/>
    <w:rsid w:val="00C10C70"/>
    <w:rsid w:val="00C15311"/>
    <w:rsid w:val="00C167C1"/>
    <w:rsid w:val="00C16CB0"/>
    <w:rsid w:val="00C17539"/>
    <w:rsid w:val="00C23563"/>
    <w:rsid w:val="00C2742B"/>
    <w:rsid w:val="00C31516"/>
    <w:rsid w:val="00C3278B"/>
    <w:rsid w:val="00C33DB9"/>
    <w:rsid w:val="00C34DEC"/>
    <w:rsid w:val="00C359B6"/>
    <w:rsid w:val="00C43865"/>
    <w:rsid w:val="00C43B16"/>
    <w:rsid w:val="00C44B80"/>
    <w:rsid w:val="00C451E7"/>
    <w:rsid w:val="00C46EB9"/>
    <w:rsid w:val="00C47BE3"/>
    <w:rsid w:val="00C47E93"/>
    <w:rsid w:val="00C51284"/>
    <w:rsid w:val="00C51B72"/>
    <w:rsid w:val="00C51D56"/>
    <w:rsid w:val="00C53248"/>
    <w:rsid w:val="00C55FDA"/>
    <w:rsid w:val="00C56646"/>
    <w:rsid w:val="00C5673F"/>
    <w:rsid w:val="00C61995"/>
    <w:rsid w:val="00C625D3"/>
    <w:rsid w:val="00C632CD"/>
    <w:rsid w:val="00C6398D"/>
    <w:rsid w:val="00C647ED"/>
    <w:rsid w:val="00C65540"/>
    <w:rsid w:val="00C66255"/>
    <w:rsid w:val="00C66AA8"/>
    <w:rsid w:val="00C66FEB"/>
    <w:rsid w:val="00C7023A"/>
    <w:rsid w:val="00C71693"/>
    <w:rsid w:val="00C716A2"/>
    <w:rsid w:val="00C74377"/>
    <w:rsid w:val="00C74759"/>
    <w:rsid w:val="00C76357"/>
    <w:rsid w:val="00C76DFB"/>
    <w:rsid w:val="00C81578"/>
    <w:rsid w:val="00C83307"/>
    <w:rsid w:val="00C853AC"/>
    <w:rsid w:val="00C85C19"/>
    <w:rsid w:val="00C879C5"/>
    <w:rsid w:val="00C87F50"/>
    <w:rsid w:val="00C90110"/>
    <w:rsid w:val="00C91753"/>
    <w:rsid w:val="00C92BCF"/>
    <w:rsid w:val="00C93CA7"/>
    <w:rsid w:val="00C96937"/>
    <w:rsid w:val="00C96AA2"/>
    <w:rsid w:val="00C96CC0"/>
    <w:rsid w:val="00C96DB5"/>
    <w:rsid w:val="00C972B0"/>
    <w:rsid w:val="00CA053A"/>
    <w:rsid w:val="00CA19FD"/>
    <w:rsid w:val="00CA1CEB"/>
    <w:rsid w:val="00CA1EDE"/>
    <w:rsid w:val="00CA2FC5"/>
    <w:rsid w:val="00CA3906"/>
    <w:rsid w:val="00CA4144"/>
    <w:rsid w:val="00CA48A7"/>
    <w:rsid w:val="00CA4932"/>
    <w:rsid w:val="00CA4C4B"/>
    <w:rsid w:val="00CA579E"/>
    <w:rsid w:val="00CA5C1A"/>
    <w:rsid w:val="00CA6216"/>
    <w:rsid w:val="00CB23C7"/>
    <w:rsid w:val="00CB24BD"/>
    <w:rsid w:val="00CB373D"/>
    <w:rsid w:val="00CB412F"/>
    <w:rsid w:val="00CB476B"/>
    <w:rsid w:val="00CB5B83"/>
    <w:rsid w:val="00CB7374"/>
    <w:rsid w:val="00CB75BB"/>
    <w:rsid w:val="00CC1E0B"/>
    <w:rsid w:val="00CC27D3"/>
    <w:rsid w:val="00CC303F"/>
    <w:rsid w:val="00CC378C"/>
    <w:rsid w:val="00CC57F2"/>
    <w:rsid w:val="00CC5BA0"/>
    <w:rsid w:val="00CC7854"/>
    <w:rsid w:val="00CD16C4"/>
    <w:rsid w:val="00CD1AFC"/>
    <w:rsid w:val="00CD225C"/>
    <w:rsid w:val="00CD3EC2"/>
    <w:rsid w:val="00CD44A6"/>
    <w:rsid w:val="00CD46F6"/>
    <w:rsid w:val="00CD5C86"/>
    <w:rsid w:val="00CD625B"/>
    <w:rsid w:val="00CD683C"/>
    <w:rsid w:val="00CD6B3C"/>
    <w:rsid w:val="00CD75C9"/>
    <w:rsid w:val="00CE0FBE"/>
    <w:rsid w:val="00CE13E3"/>
    <w:rsid w:val="00CE1873"/>
    <w:rsid w:val="00CE234C"/>
    <w:rsid w:val="00CE2F63"/>
    <w:rsid w:val="00CE31C3"/>
    <w:rsid w:val="00CE3D08"/>
    <w:rsid w:val="00CE656B"/>
    <w:rsid w:val="00CE7629"/>
    <w:rsid w:val="00CE7971"/>
    <w:rsid w:val="00CE7D43"/>
    <w:rsid w:val="00CF17AC"/>
    <w:rsid w:val="00CF18C9"/>
    <w:rsid w:val="00CF2F3D"/>
    <w:rsid w:val="00CF32FC"/>
    <w:rsid w:val="00CF52EF"/>
    <w:rsid w:val="00CF5EB8"/>
    <w:rsid w:val="00CF646F"/>
    <w:rsid w:val="00CF64F7"/>
    <w:rsid w:val="00CF6BC1"/>
    <w:rsid w:val="00D00E03"/>
    <w:rsid w:val="00D01DAB"/>
    <w:rsid w:val="00D01DB1"/>
    <w:rsid w:val="00D0218E"/>
    <w:rsid w:val="00D031DF"/>
    <w:rsid w:val="00D04747"/>
    <w:rsid w:val="00D0493A"/>
    <w:rsid w:val="00D05095"/>
    <w:rsid w:val="00D05349"/>
    <w:rsid w:val="00D069B9"/>
    <w:rsid w:val="00D0742E"/>
    <w:rsid w:val="00D103AD"/>
    <w:rsid w:val="00D104E4"/>
    <w:rsid w:val="00D10C3E"/>
    <w:rsid w:val="00D10CC4"/>
    <w:rsid w:val="00D12068"/>
    <w:rsid w:val="00D12B01"/>
    <w:rsid w:val="00D152C0"/>
    <w:rsid w:val="00D153C4"/>
    <w:rsid w:val="00D155C7"/>
    <w:rsid w:val="00D15DE0"/>
    <w:rsid w:val="00D16139"/>
    <w:rsid w:val="00D16AF0"/>
    <w:rsid w:val="00D16C6D"/>
    <w:rsid w:val="00D17960"/>
    <w:rsid w:val="00D2177B"/>
    <w:rsid w:val="00D224DB"/>
    <w:rsid w:val="00D24FF4"/>
    <w:rsid w:val="00D27454"/>
    <w:rsid w:val="00D2749D"/>
    <w:rsid w:val="00D27E2D"/>
    <w:rsid w:val="00D313A7"/>
    <w:rsid w:val="00D328E7"/>
    <w:rsid w:val="00D34FAE"/>
    <w:rsid w:val="00D35A21"/>
    <w:rsid w:val="00D367EA"/>
    <w:rsid w:val="00D40424"/>
    <w:rsid w:val="00D45C99"/>
    <w:rsid w:val="00D516E6"/>
    <w:rsid w:val="00D51807"/>
    <w:rsid w:val="00D5197B"/>
    <w:rsid w:val="00D524F8"/>
    <w:rsid w:val="00D55537"/>
    <w:rsid w:val="00D55F2F"/>
    <w:rsid w:val="00D6250E"/>
    <w:rsid w:val="00D62C6F"/>
    <w:rsid w:val="00D633E5"/>
    <w:rsid w:val="00D709AC"/>
    <w:rsid w:val="00D709B8"/>
    <w:rsid w:val="00D719BD"/>
    <w:rsid w:val="00D71B63"/>
    <w:rsid w:val="00D7244E"/>
    <w:rsid w:val="00D73DAD"/>
    <w:rsid w:val="00D74E3C"/>
    <w:rsid w:val="00D758B2"/>
    <w:rsid w:val="00D7643C"/>
    <w:rsid w:val="00D77747"/>
    <w:rsid w:val="00D80CB0"/>
    <w:rsid w:val="00D82A57"/>
    <w:rsid w:val="00D83759"/>
    <w:rsid w:val="00D837FF"/>
    <w:rsid w:val="00D85713"/>
    <w:rsid w:val="00D86F69"/>
    <w:rsid w:val="00D8708C"/>
    <w:rsid w:val="00D87129"/>
    <w:rsid w:val="00D87B17"/>
    <w:rsid w:val="00D919FB"/>
    <w:rsid w:val="00D9489F"/>
    <w:rsid w:val="00D95358"/>
    <w:rsid w:val="00D96439"/>
    <w:rsid w:val="00D97367"/>
    <w:rsid w:val="00D97C83"/>
    <w:rsid w:val="00D97CFC"/>
    <w:rsid w:val="00DA0A6C"/>
    <w:rsid w:val="00DA152E"/>
    <w:rsid w:val="00DA20EE"/>
    <w:rsid w:val="00DA35A1"/>
    <w:rsid w:val="00DA4CB2"/>
    <w:rsid w:val="00DA5904"/>
    <w:rsid w:val="00DA5982"/>
    <w:rsid w:val="00DA6232"/>
    <w:rsid w:val="00DA69D9"/>
    <w:rsid w:val="00DA6D83"/>
    <w:rsid w:val="00DA6F15"/>
    <w:rsid w:val="00DA6F2E"/>
    <w:rsid w:val="00DA6F63"/>
    <w:rsid w:val="00DA7EA6"/>
    <w:rsid w:val="00DB03F3"/>
    <w:rsid w:val="00DB308D"/>
    <w:rsid w:val="00DB3A32"/>
    <w:rsid w:val="00DB403D"/>
    <w:rsid w:val="00DB44C8"/>
    <w:rsid w:val="00DB4D9E"/>
    <w:rsid w:val="00DB5FC0"/>
    <w:rsid w:val="00DC05E3"/>
    <w:rsid w:val="00DC2E23"/>
    <w:rsid w:val="00DC3AC1"/>
    <w:rsid w:val="00DC3CE6"/>
    <w:rsid w:val="00DC3D0A"/>
    <w:rsid w:val="00DC5896"/>
    <w:rsid w:val="00DC5BDC"/>
    <w:rsid w:val="00DC7EC0"/>
    <w:rsid w:val="00DD046E"/>
    <w:rsid w:val="00DD0992"/>
    <w:rsid w:val="00DD22AF"/>
    <w:rsid w:val="00DD35E4"/>
    <w:rsid w:val="00DD38DA"/>
    <w:rsid w:val="00DD3AAF"/>
    <w:rsid w:val="00DD5CFE"/>
    <w:rsid w:val="00DD7076"/>
    <w:rsid w:val="00DD7AB7"/>
    <w:rsid w:val="00DE132B"/>
    <w:rsid w:val="00DE28D9"/>
    <w:rsid w:val="00DE2F09"/>
    <w:rsid w:val="00DE35D1"/>
    <w:rsid w:val="00DE38A1"/>
    <w:rsid w:val="00DE50F5"/>
    <w:rsid w:val="00DF02AB"/>
    <w:rsid w:val="00DF2B19"/>
    <w:rsid w:val="00DF4540"/>
    <w:rsid w:val="00DF593D"/>
    <w:rsid w:val="00DF6643"/>
    <w:rsid w:val="00DF691D"/>
    <w:rsid w:val="00E00547"/>
    <w:rsid w:val="00E0112D"/>
    <w:rsid w:val="00E01636"/>
    <w:rsid w:val="00E02239"/>
    <w:rsid w:val="00E03584"/>
    <w:rsid w:val="00E04A68"/>
    <w:rsid w:val="00E07152"/>
    <w:rsid w:val="00E077A6"/>
    <w:rsid w:val="00E07AAE"/>
    <w:rsid w:val="00E11513"/>
    <w:rsid w:val="00E13F3D"/>
    <w:rsid w:val="00E13F9F"/>
    <w:rsid w:val="00E153CB"/>
    <w:rsid w:val="00E154B4"/>
    <w:rsid w:val="00E164C4"/>
    <w:rsid w:val="00E16622"/>
    <w:rsid w:val="00E1777B"/>
    <w:rsid w:val="00E213DD"/>
    <w:rsid w:val="00E21E76"/>
    <w:rsid w:val="00E22485"/>
    <w:rsid w:val="00E2322A"/>
    <w:rsid w:val="00E234D1"/>
    <w:rsid w:val="00E235F7"/>
    <w:rsid w:val="00E24569"/>
    <w:rsid w:val="00E258CF"/>
    <w:rsid w:val="00E26355"/>
    <w:rsid w:val="00E26989"/>
    <w:rsid w:val="00E26E9E"/>
    <w:rsid w:val="00E2738B"/>
    <w:rsid w:val="00E2739A"/>
    <w:rsid w:val="00E3017D"/>
    <w:rsid w:val="00E302FB"/>
    <w:rsid w:val="00E34179"/>
    <w:rsid w:val="00E34410"/>
    <w:rsid w:val="00E349D9"/>
    <w:rsid w:val="00E34EB3"/>
    <w:rsid w:val="00E3510D"/>
    <w:rsid w:val="00E36CD5"/>
    <w:rsid w:val="00E377F9"/>
    <w:rsid w:val="00E43785"/>
    <w:rsid w:val="00E43B9C"/>
    <w:rsid w:val="00E454C4"/>
    <w:rsid w:val="00E45C6A"/>
    <w:rsid w:val="00E469F7"/>
    <w:rsid w:val="00E51928"/>
    <w:rsid w:val="00E51E76"/>
    <w:rsid w:val="00E55690"/>
    <w:rsid w:val="00E60855"/>
    <w:rsid w:val="00E60BD5"/>
    <w:rsid w:val="00E615BA"/>
    <w:rsid w:val="00E623F3"/>
    <w:rsid w:val="00E6337A"/>
    <w:rsid w:val="00E6401F"/>
    <w:rsid w:val="00E6406B"/>
    <w:rsid w:val="00E6566F"/>
    <w:rsid w:val="00E666F4"/>
    <w:rsid w:val="00E67710"/>
    <w:rsid w:val="00E67B84"/>
    <w:rsid w:val="00E7029B"/>
    <w:rsid w:val="00E71A9E"/>
    <w:rsid w:val="00E80101"/>
    <w:rsid w:val="00E8126E"/>
    <w:rsid w:val="00E823EE"/>
    <w:rsid w:val="00E83714"/>
    <w:rsid w:val="00E84832"/>
    <w:rsid w:val="00E8496D"/>
    <w:rsid w:val="00E853B6"/>
    <w:rsid w:val="00E85BCB"/>
    <w:rsid w:val="00E8797E"/>
    <w:rsid w:val="00E87FFB"/>
    <w:rsid w:val="00E903B8"/>
    <w:rsid w:val="00E90736"/>
    <w:rsid w:val="00E908E8"/>
    <w:rsid w:val="00E9216C"/>
    <w:rsid w:val="00E96A34"/>
    <w:rsid w:val="00E974EC"/>
    <w:rsid w:val="00EA15D8"/>
    <w:rsid w:val="00EA5653"/>
    <w:rsid w:val="00EA59C7"/>
    <w:rsid w:val="00EA5D2F"/>
    <w:rsid w:val="00EA77D5"/>
    <w:rsid w:val="00EB0681"/>
    <w:rsid w:val="00EB297E"/>
    <w:rsid w:val="00EB4FA3"/>
    <w:rsid w:val="00EB5A3F"/>
    <w:rsid w:val="00EB5CE2"/>
    <w:rsid w:val="00EB7123"/>
    <w:rsid w:val="00EC03BA"/>
    <w:rsid w:val="00EC13DF"/>
    <w:rsid w:val="00EC195C"/>
    <w:rsid w:val="00EC2A86"/>
    <w:rsid w:val="00EC2D0D"/>
    <w:rsid w:val="00EC3DAA"/>
    <w:rsid w:val="00EC42B7"/>
    <w:rsid w:val="00EC4631"/>
    <w:rsid w:val="00EC488C"/>
    <w:rsid w:val="00EC6E79"/>
    <w:rsid w:val="00EC7A14"/>
    <w:rsid w:val="00ED0FFB"/>
    <w:rsid w:val="00ED13D0"/>
    <w:rsid w:val="00ED220B"/>
    <w:rsid w:val="00ED2860"/>
    <w:rsid w:val="00ED7E3C"/>
    <w:rsid w:val="00EE1258"/>
    <w:rsid w:val="00EE193A"/>
    <w:rsid w:val="00EE1E6A"/>
    <w:rsid w:val="00EE3713"/>
    <w:rsid w:val="00EE3A70"/>
    <w:rsid w:val="00EE59CA"/>
    <w:rsid w:val="00EE5A8A"/>
    <w:rsid w:val="00EE5AEF"/>
    <w:rsid w:val="00EE72F2"/>
    <w:rsid w:val="00EF2B0C"/>
    <w:rsid w:val="00EF6548"/>
    <w:rsid w:val="00EF66EA"/>
    <w:rsid w:val="00EF6A94"/>
    <w:rsid w:val="00F01036"/>
    <w:rsid w:val="00F03986"/>
    <w:rsid w:val="00F04552"/>
    <w:rsid w:val="00F05D55"/>
    <w:rsid w:val="00F05D96"/>
    <w:rsid w:val="00F06660"/>
    <w:rsid w:val="00F11447"/>
    <w:rsid w:val="00F12DD0"/>
    <w:rsid w:val="00F12FB8"/>
    <w:rsid w:val="00F141D1"/>
    <w:rsid w:val="00F1424D"/>
    <w:rsid w:val="00F20E5B"/>
    <w:rsid w:val="00F22134"/>
    <w:rsid w:val="00F221F7"/>
    <w:rsid w:val="00F22F5D"/>
    <w:rsid w:val="00F23A0B"/>
    <w:rsid w:val="00F23CD0"/>
    <w:rsid w:val="00F23D85"/>
    <w:rsid w:val="00F24C7C"/>
    <w:rsid w:val="00F268C6"/>
    <w:rsid w:val="00F27FCD"/>
    <w:rsid w:val="00F30315"/>
    <w:rsid w:val="00F3293A"/>
    <w:rsid w:val="00F32B6C"/>
    <w:rsid w:val="00F32BCF"/>
    <w:rsid w:val="00F32E46"/>
    <w:rsid w:val="00F33B8A"/>
    <w:rsid w:val="00F413C1"/>
    <w:rsid w:val="00F42C19"/>
    <w:rsid w:val="00F44B6D"/>
    <w:rsid w:val="00F459ED"/>
    <w:rsid w:val="00F4603F"/>
    <w:rsid w:val="00F461DC"/>
    <w:rsid w:val="00F4696C"/>
    <w:rsid w:val="00F47FC8"/>
    <w:rsid w:val="00F51724"/>
    <w:rsid w:val="00F51D3B"/>
    <w:rsid w:val="00F54217"/>
    <w:rsid w:val="00F5720C"/>
    <w:rsid w:val="00F6029D"/>
    <w:rsid w:val="00F622A3"/>
    <w:rsid w:val="00F63356"/>
    <w:rsid w:val="00F63955"/>
    <w:rsid w:val="00F63CF1"/>
    <w:rsid w:val="00F6461E"/>
    <w:rsid w:val="00F6490E"/>
    <w:rsid w:val="00F657BF"/>
    <w:rsid w:val="00F72EE7"/>
    <w:rsid w:val="00F7547A"/>
    <w:rsid w:val="00F802D4"/>
    <w:rsid w:val="00F80363"/>
    <w:rsid w:val="00F80FA0"/>
    <w:rsid w:val="00F83EE4"/>
    <w:rsid w:val="00F84983"/>
    <w:rsid w:val="00F850A3"/>
    <w:rsid w:val="00F867C4"/>
    <w:rsid w:val="00F8728A"/>
    <w:rsid w:val="00F90259"/>
    <w:rsid w:val="00F915B0"/>
    <w:rsid w:val="00F945E3"/>
    <w:rsid w:val="00F96F5C"/>
    <w:rsid w:val="00F979BB"/>
    <w:rsid w:val="00FA02B7"/>
    <w:rsid w:val="00FA055D"/>
    <w:rsid w:val="00FA3D43"/>
    <w:rsid w:val="00FA3F60"/>
    <w:rsid w:val="00FA401A"/>
    <w:rsid w:val="00FA4CB8"/>
    <w:rsid w:val="00FA5764"/>
    <w:rsid w:val="00FA5F6F"/>
    <w:rsid w:val="00FA63EB"/>
    <w:rsid w:val="00FA6444"/>
    <w:rsid w:val="00FA7A56"/>
    <w:rsid w:val="00FB0032"/>
    <w:rsid w:val="00FB1B42"/>
    <w:rsid w:val="00FB1BA7"/>
    <w:rsid w:val="00FB1DD8"/>
    <w:rsid w:val="00FB27D2"/>
    <w:rsid w:val="00FB2D42"/>
    <w:rsid w:val="00FB4F35"/>
    <w:rsid w:val="00FB7F0B"/>
    <w:rsid w:val="00FC13C9"/>
    <w:rsid w:val="00FC2116"/>
    <w:rsid w:val="00FC2CF8"/>
    <w:rsid w:val="00FC31CC"/>
    <w:rsid w:val="00FC4319"/>
    <w:rsid w:val="00FC5BF5"/>
    <w:rsid w:val="00FC69F4"/>
    <w:rsid w:val="00FC6C30"/>
    <w:rsid w:val="00FD013F"/>
    <w:rsid w:val="00FD25BD"/>
    <w:rsid w:val="00FE0470"/>
    <w:rsid w:val="00FE0CDB"/>
    <w:rsid w:val="00FE2A94"/>
    <w:rsid w:val="00FE4009"/>
    <w:rsid w:val="00FE46A8"/>
    <w:rsid w:val="00FE595A"/>
    <w:rsid w:val="00FE5DD7"/>
    <w:rsid w:val="00FE6585"/>
    <w:rsid w:val="00FF21B1"/>
    <w:rsid w:val="00FF395B"/>
    <w:rsid w:val="00FF3F3F"/>
    <w:rsid w:val="00FF56DE"/>
    <w:rsid w:val="00FF6859"/>
    <w:rsid w:val="00FF717C"/>
    <w:rsid w:val="00FF7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7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A83"/>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Normal"/>
    <w:next w:val="Normal"/>
    <w:link w:val="Heading2Char"/>
    <w:uiPriority w:val="9"/>
    <w:unhideWhenUsed/>
    <w:qFormat/>
    <w:rsid w:val="00486482"/>
    <w:pPr>
      <w:keepNext/>
      <w:keepLines/>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486482"/>
    <w:pPr>
      <w:keepNext/>
      <w:keepLines/>
      <w:spacing w:after="60"/>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486482"/>
    <w:rPr>
      <w:rFonts w:ascii="Arial" w:eastAsia="Times New Roman" w:hAnsi="Arial" w:cs="Times New Roman"/>
      <w:b/>
      <w:bCs/>
      <w:i/>
      <w:sz w:val="28"/>
      <w:szCs w:val="26"/>
    </w:rPr>
  </w:style>
  <w:style w:type="character" w:customStyle="1" w:styleId="Heading3Char">
    <w:name w:val="Heading 3 Char"/>
    <w:link w:val="Heading3"/>
    <w:uiPriority w:val="9"/>
    <w:rsid w:val="00486482"/>
    <w:rPr>
      <w:rFonts w:ascii="Arial" w:eastAsia="Times New Roman" w:hAnsi="Arial" w:cs="Times New Roman"/>
      <w:b/>
      <w:bCs/>
      <w:sz w:val="24"/>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semiHidden/>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FA5F6F"/>
    <w:pPr>
      <w:spacing w:before="120"/>
      <w:ind w:left="210"/>
    </w:pPr>
    <w:rPr>
      <w:b/>
      <w:bCs/>
      <w:sz w:val="22"/>
    </w:rPr>
  </w:style>
  <w:style w:type="paragraph" w:styleId="TOC1">
    <w:name w:val="toc 1"/>
    <w:basedOn w:val="Normal"/>
    <w:next w:val="Normal"/>
    <w:autoRedefine/>
    <w:uiPriority w:val="39"/>
    <w:unhideWhenUsed/>
    <w:qFormat/>
    <w:rsid w:val="00960D1E"/>
    <w:pPr>
      <w:tabs>
        <w:tab w:val="right" w:leader="underscore" w:pos="9038"/>
      </w:tabs>
      <w:spacing w:before="120"/>
    </w:pPr>
    <w:rPr>
      <w:b/>
      <w:bCs/>
      <w:iCs/>
      <w:color w:val="215868"/>
      <w:szCs w:val="24"/>
    </w:rPr>
  </w:style>
  <w:style w:type="paragraph" w:styleId="TOC3">
    <w:name w:val="toc 3"/>
    <w:basedOn w:val="Normal"/>
    <w:next w:val="Normal"/>
    <w:autoRedefine/>
    <w:uiPriority w:val="39"/>
    <w:unhideWhenUsed/>
    <w:qFormat/>
    <w:rsid w:val="00FA5F6F"/>
    <w:pPr>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table" w:styleId="TableGrid">
    <w:name w:val="Table Grid"/>
    <w:basedOn w:val="TableNormal"/>
    <w:uiPriority w:val="59"/>
    <w:rsid w:val="009A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398D"/>
    <w:rPr>
      <w:color w:val="800080" w:themeColor="followedHyperlink"/>
      <w:u w:val="single"/>
    </w:rPr>
  </w:style>
  <w:style w:type="table" w:customStyle="1" w:styleId="TableGrid1">
    <w:name w:val="Table Grid1"/>
    <w:basedOn w:val="TableNormal"/>
    <w:next w:val="TableGrid"/>
    <w:rsid w:val="00D224DB"/>
    <w:pPr>
      <w:spacing w:line="168" w:lineRule="auto"/>
    </w:pPr>
    <w:rPr>
      <w:rFonts w:ascii="Malgun Gothic" w:eastAsia="Times New Roman" w:hAnsi="Malgun Gothic"/>
      <w:sz w:val="18"/>
      <w:szCs w:val="18"/>
      <w:lang w:eastAsia="en-US"/>
    </w:rPr>
    <w:tblPr>
      <w:tblInd w:w="1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15" w:type="dxa"/>
        <w:bottom w:w="72" w:type="dxa"/>
        <w:right w:w="115" w:type="dxa"/>
      </w:tblCellMar>
    </w:tblPr>
    <w:trPr>
      <w:cantSplit/>
    </w:trPr>
    <w:tblStylePr w:type="firstRow">
      <w:pPr>
        <w:wordWrap/>
        <w:mirrorIndents w:val="0"/>
        <w:jc w:val="center"/>
      </w:pPr>
      <w:rPr>
        <w:rFonts w:eastAsia="Arial Bold" w:hAnsi="Arial Bold"/>
        <w:b/>
        <w:i w:val="0"/>
        <w:sz w:val="18"/>
      </w:rPr>
      <w:tblPr/>
      <w:trPr>
        <w:cantSplit w:val="0"/>
        <w:tblHeader/>
      </w:trPr>
      <w:tcPr>
        <w:vAlign w:val="center"/>
      </w:tcPr>
    </w:tblStylePr>
    <w:tblStylePr w:type="nwCell">
      <w:pPr>
        <w:wordWrap/>
        <w:jc w:val="left"/>
      </w:pPr>
    </w:tblStylePr>
  </w:style>
  <w:style w:type="character" w:styleId="CommentReference">
    <w:name w:val="annotation reference"/>
    <w:basedOn w:val="DefaultParagraphFont"/>
    <w:uiPriority w:val="99"/>
    <w:semiHidden/>
    <w:unhideWhenUsed/>
    <w:rsid w:val="00013C29"/>
    <w:rPr>
      <w:sz w:val="16"/>
      <w:szCs w:val="16"/>
    </w:rPr>
  </w:style>
  <w:style w:type="paragraph" w:styleId="CommentText">
    <w:name w:val="annotation text"/>
    <w:basedOn w:val="Normal"/>
    <w:link w:val="CommentTextChar"/>
    <w:uiPriority w:val="99"/>
    <w:semiHidden/>
    <w:unhideWhenUsed/>
    <w:rsid w:val="00013C2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3C2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21246"/>
    <w:pPr>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321246"/>
    <w:rPr>
      <w:rFonts w:ascii="Times New Roman" w:eastAsiaTheme="minorHAnsi" w:hAnsi="Times New Roman" w:cstheme="minorBidi"/>
      <w:b/>
      <w:bCs/>
      <w:lang w:eastAsia="en-US"/>
    </w:rPr>
  </w:style>
  <w:style w:type="paragraph" w:styleId="FootnoteText">
    <w:name w:val="footnote text"/>
    <w:basedOn w:val="Normal"/>
    <w:link w:val="FootnoteTextChar"/>
    <w:uiPriority w:val="99"/>
    <w:semiHidden/>
    <w:unhideWhenUsed/>
    <w:rsid w:val="009C175D"/>
    <w:rPr>
      <w:sz w:val="20"/>
      <w:szCs w:val="20"/>
    </w:rPr>
  </w:style>
  <w:style w:type="character" w:customStyle="1" w:styleId="FootnoteTextChar">
    <w:name w:val="Footnote Text Char"/>
    <w:basedOn w:val="DefaultParagraphFont"/>
    <w:link w:val="FootnoteText"/>
    <w:uiPriority w:val="99"/>
    <w:semiHidden/>
    <w:rsid w:val="009C175D"/>
    <w:rPr>
      <w:rFonts w:ascii="Times New Roman" w:hAnsi="Times New Roman"/>
      <w:lang w:eastAsia="en-US"/>
    </w:rPr>
  </w:style>
  <w:style w:type="character" w:styleId="FootnoteReference">
    <w:name w:val="footnote reference"/>
    <w:basedOn w:val="DefaultParagraphFont"/>
    <w:uiPriority w:val="99"/>
    <w:semiHidden/>
    <w:unhideWhenUsed/>
    <w:rsid w:val="009C175D"/>
    <w:rPr>
      <w:vertAlign w:val="superscript"/>
    </w:rPr>
  </w:style>
  <w:style w:type="table" w:styleId="GridTable1Light">
    <w:name w:val="Grid Table 1 Light"/>
    <w:basedOn w:val="TableNormal"/>
    <w:uiPriority w:val="46"/>
    <w:rsid w:val="008231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231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8231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8231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CA2F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CA2F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719943703">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arc.gov.au/grants/grant-application/funding-rulesgrant-guidelines/linkage-program-funding-rulesgrant-guidelines" TargetMode="External"/><Relationship Id="rId13" Type="http://schemas.openxmlformats.org/officeDocument/2006/relationships/hyperlink" Target="http://www.grants.gov.au" TargetMode="External"/><Relationship Id="rId18" Type="http://schemas.openxmlformats.org/officeDocument/2006/relationships/hyperlink" Target="https://www.grants.gov.au/?event=public.FO.show&amp;FOUUID=5B5652AD-FA06-3E4F-913E6DF3E7D79304" TargetMode="External"/><Relationship Id="rId26" Type="http://schemas.openxmlformats.org/officeDocument/2006/relationships/hyperlink" Target="https://www.grants.gov.au/?event=public.FO.show&amp;FOUUID=5B5652AD-FA06-3E4F-913E6DF3E7D79304" TargetMode="External"/><Relationship Id="rId3" Type="http://schemas.openxmlformats.org/officeDocument/2006/relationships/hyperlink" Target="http://www.industry.gov.au" TargetMode="External"/><Relationship Id="rId21" Type="http://schemas.openxmlformats.org/officeDocument/2006/relationships/hyperlink" Target="http://www.grants.gov.au" TargetMode="External"/><Relationship Id="rId7" Type="http://schemas.openxmlformats.org/officeDocument/2006/relationships/hyperlink" Target="http://www.arc.gov.au" TargetMode="External"/><Relationship Id="rId12" Type="http://schemas.openxmlformats.org/officeDocument/2006/relationships/hyperlink" Target="https://www.arc.gov.au/grants/grant-application/funding-rulesgrant-guidelines/linkage-program-funding-rulesgrant-guidelines" TargetMode="External"/><Relationship Id="rId17" Type="http://schemas.openxmlformats.org/officeDocument/2006/relationships/hyperlink" Target="http://www.grants.gov.au" TargetMode="External"/><Relationship Id="rId25" Type="http://schemas.openxmlformats.org/officeDocument/2006/relationships/hyperlink" Target="http://www.grants.gov.au" TargetMode="External"/><Relationship Id="rId2" Type="http://schemas.openxmlformats.org/officeDocument/2006/relationships/hyperlink" Target="https://www.arc.gov.au/grants/linkage-program/industrial-transformation-research-program" TargetMode="External"/><Relationship Id="rId16" Type="http://schemas.openxmlformats.org/officeDocument/2006/relationships/hyperlink" Target="https://www.arc.gov.au/grants/grant-application/funding-rulesgrant-guidelines/linkage-program-funding-rulesgrant-guidelines" TargetMode="External"/><Relationship Id="rId20" Type="http://schemas.openxmlformats.org/officeDocument/2006/relationships/hyperlink" Target="https://www.arc.gov.au/grants/grant-application/funding-rulesgrant-guidelines/linkage-program-funding-rulesgrant-guidelines" TargetMode="External"/><Relationship Id="rId29" Type="http://schemas.openxmlformats.org/officeDocument/2006/relationships/hyperlink" Target="http://www.grants.gov.au" TargetMode="External"/><Relationship Id="rId1" Type="http://schemas.openxmlformats.org/officeDocument/2006/relationships/hyperlink" Target="http://www.arc.gov.au" TargetMode="External"/><Relationship Id="rId6" Type="http://schemas.openxmlformats.org/officeDocument/2006/relationships/hyperlink" Target="https://www.grants.gov.au/?event=public.FO.show&amp;FOUUID=5B5652AD-FA06-3E4F-913E6DF3E7D79304" TargetMode="External"/><Relationship Id="rId11" Type="http://schemas.openxmlformats.org/officeDocument/2006/relationships/hyperlink" Target="http://www.arc.gov.au" TargetMode="External"/><Relationship Id="rId24" Type="http://schemas.openxmlformats.org/officeDocument/2006/relationships/hyperlink" Target="https://www.arc.gov.au/grants/grant-application/funding-rulesgrant-guidelines/linkage-program-funding-rulesgrant-guidelines" TargetMode="External"/><Relationship Id="rId32" Type="http://schemas.openxmlformats.org/officeDocument/2006/relationships/hyperlink" Target="https://www.grants.gov.au/?event=public.FO.show&amp;FOUUID=5B5652AD-FA06-3E4F-913E6DF3E7D79304" TargetMode="External"/><Relationship Id="rId5" Type="http://schemas.openxmlformats.org/officeDocument/2006/relationships/hyperlink" Target="http://www.grants.gov.au" TargetMode="External"/><Relationship Id="rId15" Type="http://schemas.openxmlformats.org/officeDocument/2006/relationships/hyperlink" Target="http://www.arc.gov.au" TargetMode="External"/><Relationship Id="rId23" Type="http://schemas.openxmlformats.org/officeDocument/2006/relationships/hyperlink" Target="http://www.arc.gov.au" TargetMode="External"/><Relationship Id="rId28" Type="http://schemas.openxmlformats.org/officeDocument/2006/relationships/hyperlink" Target="https://www.arc.gov.au/grants/grant-application/funding-rulesgrant-guidelines/linkage-program-funding-rulesgrant-guidelines" TargetMode="External"/><Relationship Id="rId10" Type="http://schemas.openxmlformats.org/officeDocument/2006/relationships/hyperlink" Target="https://www.arc.gov.au/grants/linkage-program/industrial-transformation-research-program" TargetMode="External"/><Relationship Id="rId19" Type="http://schemas.openxmlformats.org/officeDocument/2006/relationships/hyperlink" Target="http://www.arc.gov.au" TargetMode="External"/><Relationship Id="rId31" Type="http://schemas.openxmlformats.org/officeDocument/2006/relationships/hyperlink" Target="http://www.grants.gov.au" TargetMode="External"/><Relationship Id="rId4" Type="http://schemas.openxmlformats.org/officeDocument/2006/relationships/hyperlink" Target="https://www.industry.gov.au/strategies-for-the-future/industry-growth-centres" TargetMode="External"/><Relationship Id="rId9" Type="http://schemas.openxmlformats.org/officeDocument/2006/relationships/hyperlink" Target="https://www.arc.gov.au/policies-strategies/strategy/evaluation/arc-evaluation-strategy" TargetMode="External"/><Relationship Id="rId14" Type="http://schemas.openxmlformats.org/officeDocument/2006/relationships/hyperlink" Target="https://www.grants.gov.au/?event=public.FO.show&amp;FOUUID=5B5652AD-FA06-3E4F-913E6DF3E7D79304" TargetMode="External"/><Relationship Id="rId22" Type="http://schemas.openxmlformats.org/officeDocument/2006/relationships/hyperlink" Target="https://www.grants.gov.au/?event=public.FO.show&amp;FOUUID=5B5652AD-FA06-3E4F-913E6DF3E7D79304" TargetMode="External"/><Relationship Id="rId27" Type="http://schemas.openxmlformats.org/officeDocument/2006/relationships/hyperlink" Target="http://www.arc.gov.au" TargetMode="External"/><Relationship Id="rId30" Type="http://schemas.openxmlformats.org/officeDocument/2006/relationships/hyperlink" Target="https://www.grants.gov.au/?event=public.FO.show&amp;FOUUID=5B5652AD-FA06-3E4F-913E6DF3E7D79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69BE-50CF-4B8A-BBDD-58E4318E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8701</Words>
  <Characters>49601</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ARC Policy</vt:lpstr>
    </vt:vector>
  </TitlesOfParts>
  <Manager/>
  <Company/>
  <LinksUpToDate>false</LinksUpToDate>
  <CharactersWithSpaces>58186</CharactersWithSpaces>
  <SharedDoc>false</SharedDoc>
  <HLinks>
    <vt:vector size="78" baseType="variant">
      <vt:variant>
        <vt:i4>7733304</vt:i4>
      </vt:variant>
      <vt:variant>
        <vt:i4>72</vt:i4>
      </vt:variant>
      <vt:variant>
        <vt:i4>0</vt:i4>
      </vt:variant>
      <vt:variant>
        <vt:i4>5</vt:i4>
      </vt:variant>
      <vt:variant>
        <vt:lpwstr>http://www.arc.gov.au/</vt:lpwstr>
      </vt:variant>
      <vt:variant>
        <vt:lpwstr/>
      </vt:variant>
      <vt:variant>
        <vt:i4>4063327</vt:i4>
      </vt:variant>
      <vt:variant>
        <vt:i4>69</vt:i4>
      </vt:variant>
      <vt:variant>
        <vt:i4>0</vt:i4>
      </vt:variant>
      <vt:variant>
        <vt:i4>5</vt:i4>
      </vt:variant>
      <vt:variant>
        <vt:lpwstr>mailto:communications@arc.gov.au</vt:lpwstr>
      </vt:variant>
      <vt:variant>
        <vt:lpwstr/>
      </vt:variant>
      <vt:variant>
        <vt:i4>1048624</vt:i4>
      </vt:variant>
      <vt:variant>
        <vt:i4>62</vt:i4>
      </vt:variant>
      <vt:variant>
        <vt:i4>0</vt:i4>
      </vt:variant>
      <vt:variant>
        <vt:i4>5</vt:i4>
      </vt:variant>
      <vt:variant>
        <vt:lpwstr/>
      </vt:variant>
      <vt:variant>
        <vt:lpwstr>_Toc398199265</vt:lpwstr>
      </vt:variant>
      <vt:variant>
        <vt:i4>1048624</vt:i4>
      </vt:variant>
      <vt:variant>
        <vt:i4>56</vt:i4>
      </vt:variant>
      <vt:variant>
        <vt:i4>0</vt:i4>
      </vt:variant>
      <vt:variant>
        <vt:i4>5</vt:i4>
      </vt:variant>
      <vt:variant>
        <vt:lpwstr/>
      </vt:variant>
      <vt:variant>
        <vt:lpwstr>_Toc398199264</vt:lpwstr>
      </vt:variant>
      <vt:variant>
        <vt:i4>1048624</vt:i4>
      </vt:variant>
      <vt:variant>
        <vt:i4>50</vt:i4>
      </vt:variant>
      <vt:variant>
        <vt:i4>0</vt:i4>
      </vt:variant>
      <vt:variant>
        <vt:i4>5</vt:i4>
      </vt:variant>
      <vt:variant>
        <vt:lpwstr/>
      </vt:variant>
      <vt:variant>
        <vt:lpwstr>_Toc398199263</vt:lpwstr>
      </vt:variant>
      <vt:variant>
        <vt:i4>1048624</vt:i4>
      </vt:variant>
      <vt:variant>
        <vt:i4>44</vt:i4>
      </vt:variant>
      <vt:variant>
        <vt:i4>0</vt:i4>
      </vt:variant>
      <vt:variant>
        <vt:i4>5</vt:i4>
      </vt:variant>
      <vt:variant>
        <vt:lpwstr/>
      </vt:variant>
      <vt:variant>
        <vt:lpwstr>_Toc398199262</vt:lpwstr>
      </vt:variant>
      <vt:variant>
        <vt:i4>1048624</vt:i4>
      </vt:variant>
      <vt:variant>
        <vt:i4>38</vt:i4>
      </vt:variant>
      <vt:variant>
        <vt:i4>0</vt:i4>
      </vt:variant>
      <vt:variant>
        <vt:i4>5</vt:i4>
      </vt:variant>
      <vt:variant>
        <vt:lpwstr/>
      </vt:variant>
      <vt:variant>
        <vt:lpwstr>_Toc398199261</vt:lpwstr>
      </vt:variant>
      <vt:variant>
        <vt:i4>1048624</vt:i4>
      </vt:variant>
      <vt:variant>
        <vt:i4>32</vt:i4>
      </vt:variant>
      <vt:variant>
        <vt:i4>0</vt:i4>
      </vt:variant>
      <vt:variant>
        <vt:i4>5</vt:i4>
      </vt:variant>
      <vt:variant>
        <vt:lpwstr/>
      </vt:variant>
      <vt:variant>
        <vt:lpwstr>_Toc398199260</vt:lpwstr>
      </vt:variant>
      <vt:variant>
        <vt:i4>1245232</vt:i4>
      </vt:variant>
      <vt:variant>
        <vt:i4>26</vt:i4>
      </vt:variant>
      <vt:variant>
        <vt:i4>0</vt:i4>
      </vt:variant>
      <vt:variant>
        <vt:i4>5</vt:i4>
      </vt:variant>
      <vt:variant>
        <vt:lpwstr/>
      </vt:variant>
      <vt:variant>
        <vt:lpwstr>_Toc398199259</vt:lpwstr>
      </vt:variant>
      <vt:variant>
        <vt:i4>1245232</vt:i4>
      </vt:variant>
      <vt:variant>
        <vt:i4>20</vt:i4>
      </vt:variant>
      <vt:variant>
        <vt:i4>0</vt:i4>
      </vt:variant>
      <vt:variant>
        <vt:i4>5</vt:i4>
      </vt:variant>
      <vt:variant>
        <vt:lpwstr/>
      </vt:variant>
      <vt:variant>
        <vt:lpwstr>_Toc398199258</vt:lpwstr>
      </vt:variant>
      <vt:variant>
        <vt:i4>1245232</vt:i4>
      </vt:variant>
      <vt:variant>
        <vt:i4>14</vt:i4>
      </vt:variant>
      <vt:variant>
        <vt:i4>0</vt:i4>
      </vt:variant>
      <vt:variant>
        <vt:i4>5</vt:i4>
      </vt:variant>
      <vt:variant>
        <vt:lpwstr/>
      </vt:variant>
      <vt:variant>
        <vt:lpwstr>_Toc398199257</vt:lpwstr>
      </vt:variant>
      <vt:variant>
        <vt:i4>1245232</vt:i4>
      </vt:variant>
      <vt:variant>
        <vt:i4>8</vt:i4>
      </vt:variant>
      <vt:variant>
        <vt:i4>0</vt:i4>
      </vt:variant>
      <vt:variant>
        <vt:i4>5</vt:i4>
      </vt:variant>
      <vt:variant>
        <vt:lpwstr/>
      </vt:variant>
      <vt:variant>
        <vt:lpwstr>_Toc398199256</vt:lpwstr>
      </vt:variant>
      <vt:variant>
        <vt:i4>1245232</vt:i4>
      </vt:variant>
      <vt:variant>
        <vt:i4>2</vt:i4>
      </vt:variant>
      <vt:variant>
        <vt:i4>0</vt:i4>
      </vt:variant>
      <vt:variant>
        <vt:i4>5</vt:i4>
      </vt:variant>
      <vt:variant>
        <vt:lpwstr/>
      </vt:variant>
      <vt:variant>
        <vt:lpwstr>_Toc398199255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Industrial Transformation Research Program process and priorities</dc:title>
  <dc:subject>ARC Policy</dc:subject>
  <dc:creator/>
  <cp:keywords/>
  <dc:description/>
  <cp:lastModifiedBy/>
  <cp:revision>1</cp:revision>
  <dcterms:created xsi:type="dcterms:W3CDTF">2020-01-20T00:40:00Z</dcterms:created>
  <dcterms:modified xsi:type="dcterms:W3CDTF">2020-02-14T03:34:00Z</dcterms:modified>
</cp:coreProperties>
</file>