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style3.xml" ContentType="application/vnd.ms-office.chartstyle+xml"/>
  <Override PartName="/word/charts/colors3.xml" ContentType="application/vnd.ms-office.chartcolorstyle+xml"/>
  <Override PartName="/word/theme/theme1.xml" ContentType="application/vnd.openxmlformats-officedocument.theme+xml"/>
  <Override PartName="/word/charts/colors2.xml" ContentType="application/vnd.ms-office.chartcolorstyle+xml"/>
  <Override PartName="/word/charts/chart4.xml" ContentType="application/vnd.openxmlformats-officedocument.drawingml.chart+xml"/>
  <Override PartName="/word/charts/chart3.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B1C9" w14:textId="77777777" w:rsidR="00433AA5" w:rsidRDefault="00433AA5" w:rsidP="00433AA5">
      <w:pPr>
        <w:spacing w:after="200" w:line="276" w:lineRule="auto"/>
        <w:jc w:val="center"/>
        <w:rPr>
          <w:noProof/>
          <w:lang w:eastAsia="en-AU"/>
        </w:rPr>
      </w:pPr>
      <w:bookmarkStart w:id="0" w:name="_Hlk72921771"/>
      <w:r>
        <w:rPr>
          <w:noProof/>
          <w:lang w:eastAsia="en-AU"/>
        </w:rPr>
        <w:drawing>
          <wp:anchor distT="0" distB="0" distL="114300" distR="114300" simplePos="0" relativeHeight="251658240" behindDoc="0" locked="0" layoutInCell="1" allowOverlap="1" wp14:anchorId="0ED0519F" wp14:editId="68D8017F">
            <wp:simplePos x="0" y="0"/>
            <wp:positionH relativeFrom="margin">
              <wp:posOffset>-919480</wp:posOffset>
            </wp:positionH>
            <wp:positionV relativeFrom="margin">
              <wp:posOffset>-1254760</wp:posOffset>
            </wp:positionV>
            <wp:extent cx="863600" cy="11382375"/>
            <wp:effectExtent l="0" t="0" r="0" b="9525"/>
            <wp:wrapSquare wrapText="bothSides"/>
            <wp:docPr id="2"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1382375"/>
                    </a:xfrm>
                    <a:prstGeom prst="rect">
                      <a:avLst/>
                    </a:prstGeom>
                    <a:noFill/>
                    <a:ln>
                      <a:noFill/>
                    </a:ln>
                  </pic:spPr>
                </pic:pic>
              </a:graphicData>
            </a:graphic>
            <wp14:sizeRelV relativeFrom="margin">
              <wp14:pctHeight>0</wp14:pctHeight>
            </wp14:sizeRelV>
          </wp:anchor>
        </w:drawing>
      </w:r>
      <w:r>
        <w:rPr>
          <w:noProof/>
        </w:rPr>
        <w:drawing>
          <wp:inline distT="0" distB="0" distL="0" distR="0" wp14:anchorId="41BE62F1" wp14:editId="3FE6906B">
            <wp:extent cx="2964180" cy="1847698"/>
            <wp:effectExtent l="0" t="0" r="7620" b="635"/>
            <wp:docPr id="5" name="Picture 2" descr="Australian Research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Research Council logo&#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4180" cy="1847698"/>
                    </a:xfrm>
                    <a:prstGeom prst="rect">
                      <a:avLst/>
                    </a:prstGeom>
                  </pic:spPr>
                </pic:pic>
              </a:graphicData>
            </a:graphic>
          </wp:inline>
        </w:drawing>
      </w:r>
    </w:p>
    <w:p w14:paraId="380F634E" w14:textId="77777777" w:rsidR="00433AA5" w:rsidRDefault="00433AA5" w:rsidP="00433AA5">
      <w:pPr>
        <w:spacing w:after="200" w:line="276" w:lineRule="auto"/>
        <w:jc w:val="center"/>
        <w:rPr>
          <w:noProof/>
          <w:lang w:eastAsia="en-AU"/>
        </w:rPr>
      </w:pPr>
    </w:p>
    <w:p w14:paraId="416187C5" w14:textId="77777777" w:rsidR="00433AA5" w:rsidRPr="00B81AB8" w:rsidRDefault="00433AA5" w:rsidP="00433AA5">
      <w:pPr>
        <w:spacing w:after="200" w:line="276" w:lineRule="auto"/>
        <w:jc w:val="center"/>
        <w:rPr>
          <w:noProof/>
          <w:lang w:eastAsia="en-AU"/>
        </w:rPr>
      </w:pPr>
    </w:p>
    <w:p w14:paraId="55A261A3" w14:textId="77777777" w:rsidR="00433AA5" w:rsidRPr="00B81AB8" w:rsidRDefault="00433AA5" w:rsidP="00433AA5">
      <w:pPr>
        <w:spacing w:after="200" w:line="276" w:lineRule="auto"/>
        <w:jc w:val="center"/>
        <w:rPr>
          <w:noProof/>
          <w:lang w:eastAsia="en-AU"/>
        </w:rPr>
      </w:pPr>
    </w:p>
    <w:p w14:paraId="51889895" w14:textId="35954D95" w:rsidR="00433AA5" w:rsidRPr="00FA5F6F" w:rsidRDefault="00A77158" w:rsidP="00433AA5">
      <w:pPr>
        <w:pStyle w:val="Title"/>
        <w:pBdr>
          <w:top w:val="single" w:sz="18" w:space="1" w:color="4F81BD"/>
          <w:bottom w:val="single" w:sz="18" w:space="1" w:color="4F81BD"/>
        </w:pBdr>
        <w:spacing w:before="240" w:after="240"/>
        <w:contextualSpacing w:val="0"/>
        <w:jc w:val="center"/>
        <w:rPr>
          <w:color w:val="auto"/>
          <w:spacing w:val="0"/>
        </w:rPr>
      </w:pPr>
      <w:r>
        <w:rPr>
          <w:color w:val="auto"/>
          <w:spacing w:val="0"/>
        </w:rPr>
        <w:t>Gender Equality Statement</w:t>
      </w:r>
    </w:p>
    <w:p w14:paraId="00527B54" w14:textId="77777777" w:rsidR="00433AA5" w:rsidRDefault="00433AA5" w:rsidP="00433AA5">
      <w:pPr>
        <w:ind w:left="1276" w:firstLine="851"/>
        <w:rPr>
          <w:rStyle w:val="Strong"/>
        </w:rPr>
      </w:pPr>
    </w:p>
    <w:p w14:paraId="7751E7E8" w14:textId="77777777" w:rsidR="00433AA5" w:rsidRDefault="00433AA5" w:rsidP="00433AA5">
      <w:pPr>
        <w:ind w:left="1276" w:firstLine="851"/>
        <w:rPr>
          <w:rStyle w:val="Strong"/>
        </w:rPr>
      </w:pPr>
    </w:p>
    <w:p w14:paraId="1C3A9770" w14:textId="77777777" w:rsidR="00433AA5" w:rsidRDefault="00433AA5" w:rsidP="00433AA5">
      <w:pPr>
        <w:rPr>
          <w:rStyle w:val="Strong"/>
        </w:rPr>
      </w:pPr>
      <w:r>
        <w:rPr>
          <w:rStyle w:val="Strong"/>
        </w:rPr>
        <w:br w:type="page"/>
      </w:r>
    </w:p>
    <w:p w14:paraId="5C546049" w14:textId="69C06BDE" w:rsidR="0073667C" w:rsidRDefault="0073667C" w:rsidP="4A14C3FD">
      <w:pPr>
        <w:rPr>
          <w:rFonts w:asciiTheme="majorHAnsi" w:hAnsiTheme="majorHAnsi"/>
          <w:sz w:val="24"/>
          <w:szCs w:val="24"/>
        </w:rPr>
      </w:pPr>
      <w:bookmarkStart w:id="1" w:name="_Hlk68678290"/>
      <w:bookmarkStart w:id="2" w:name="_Hlk68692918"/>
      <w:r w:rsidRPr="4A14C3FD">
        <w:rPr>
          <w:rFonts w:asciiTheme="majorHAnsi" w:hAnsiTheme="majorHAnsi"/>
          <w:sz w:val="24"/>
          <w:szCs w:val="24"/>
          <w:lang w:val="en"/>
        </w:rPr>
        <w:lastRenderedPageBreak/>
        <w:t xml:space="preserve">The ARC, as a </w:t>
      </w:r>
      <w:r w:rsidR="00F45E4C">
        <w:rPr>
          <w:rFonts w:asciiTheme="majorHAnsi" w:hAnsiTheme="majorHAnsi"/>
          <w:sz w:val="24"/>
          <w:szCs w:val="24"/>
          <w:lang w:val="en"/>
        </w:rPr>
        <w:t xml:space="preserve">key </w:t>
      </w:r>
      <w:r w:rsidR="0B287FB7" w:rsidRPr="215F36A7">
        <w:rPr>
          <w:rFonts w:asciiTheme="majorHAnsi" w:hAnsiTheme="majorHAnsi"/>
          <w:sz w:val="24"/>
          <w:szCs w:val="24"/>
          <w:lang w:val="en"/>
        </w:rPr>
        <w:t>organisation</w:t>
      </w:r>
      <w:r w:rsidRPr="4A14C3FD">
        <w:rPr>
          <w:rFonts w:asciiTheme="majorHAnsi" w:hAnsiTheme="majorHAnsi"/>
          <w:sz w:val="24"/>
          <w:szCs w:val="24"/>
          <w:lang w:val="en"/>
        </w:rPr>
        <w:t xml:space="preserve"> in the Australian research sector, has an important role </w:t>
      </w:r>
      <w:r w:rsidR="00402C68">
        <w:rPr>
          <w:rFonts w:asciiTheme="majorHAnsi" w:hAnsiTheme="majorHAnsi"/>
          <w:sz w:val="24"/>
          <w:szCs w:val="24"/>
          <w:lang w:val="en"/>
        </w:rPr>
        <w:t>in</w:t>
      </w:r>
      <w:r w:rsidRPr="4A14C3FD">
        <w:rPr>
          <w:rFonts w:asciiTheme="majorHAnsi" w:hAnsiTheme="majorHAnsi"/>
          <w:sz w:val="24"/>
          <w:szCs w:val="24"/>
          <w:lang w:val="en"/>
        </w:rPr>
        <w:t xml:space="preserve"> driv</w:t>
      </w:r>
      <w:r w:rsidR="00402C68">
        <w:rPr>
          <w:rFonts w:asciiTheme="majorHAnsi" w:hAnsiTheme="majorHAnsi"/>
          <w:sz w:val="24"/>
          <w:szCs w:val="24"/>
          <w:lang w:val="en"/>
        </w:rPr>
        <w:t>ing</w:t>
      </w:r>
      <w:r w:rsidRPr="4A14C3FD">
        <w:rPr>
          <w:rFonts w:asciiTheme="majorHAnsi" w:hAnsiTheme="majorHAnsi"/>
          <w:sz w:val="24"/>
          <w:szCs w:val="24"/>
          <w:lang w:val="en"/>
        </w:rPr>
        <w:t xml:space="preserve"> and </w:t>
      </w:r>
      <w:r w:rsidR="00402C68" w:rsidRPr="4A14C3FD">
        <w:rPr>
          <w:rFonts w:asciiTheme="majorHAnsi" w:hAnsiTheme="majorHAnsi"/>
          <w:sz w:val="24"/>
          <w:szCs w:val="24"/>
          <w:lang w:val="en"/>
        </w:rPr>
        <w:t>advocat</w:t>
      </w:r>
      <w:r w:rsidR="00402C68">
        <w:rPr>
          <w:rFonts w:asciiTheme="majorHAnsi" w:hAnsiTheme="majorHAnsi"/>
          <w:sz w:val="24"/>
          <w:szCs w:val="24"/>
          <w:lang w:val="en"/>
        </w:rPr>
        <w:t>ing</w:t>
      </w:r>
      <w:r w:rsidR="00402C68" w:rsidRPr="4A14C3FD">
        <w:rPr>
          <w:rFonts w:asciiTheme="majorHAnsi" w:hAnsiTheme="majorHAnsi"/>
          <w:sz w:val="24"/>
          <w:szCs w:val="24"/>
          <w:lang w:val="en"/>
        </w:rPr>
        <w:t xml:space="preserve"> </w:t>
      </w:r>
      <w:r w:rsidRPr="4A14C3FD">
        <w:rPr>
          <w:rFonts w:asciiTheme="majorHAnsi" w:hAnsiTheme="majorHAnsi"/>
          <w:sz w:val="24"/>
          <w:szCs w:val="24"/>
          <w:lang w:val="en"/>
        </w:rPr>
        <w:t xml:space="preserve">for </w:t>
      </w:r>
      <w:r w:rsidR="009F7877">
        <w:rPr>
          <w:rFonts w:asciiTheme="majorHAnsi" w:hAnsiTheme="majorHAnsi"/>
          <w:sz w:val="24"/>
          <w:szCs w:val="24"/>
          <w:lang w:val="en"/>
        </w:rPr>
        <w:t>equality, diversity</w:t>
      </w:r>
      <w:r w:rsidR="00C1793B">
        <w:rPr>
          <w:rFonts w:asciiTheme="majorHAnsi" w:hAnsiTheme="majorHAnsi"/>
          <w:sz w:val="24"/>
          <w:szCs w:val="24"/>
          <w:lang w:val="en"/>
        </w:rPr>
        <w:t>,</w:t>
      </w:r>
      <w:r w:rsidR="009F7877">
        <w:rPr>
          <w:rFonts w:asciiTheme="majorHAnsi" w:hAnsiTheme="majorHAnsi"/>
          <w:sz w:val="24"/>
          <w:szCs w:val="24"/>
          <w:lang w:val="en"/>
        </w:rPr>
        <w:t xml:space="preserve"> and inclusion </w:t>
      </w:r>
      <w:r w:rsidRPr="4A14C3FD">
        <w:rPr>
          <w:rFonts w:asciiTheme="majorHAnsi" w:hAnsiTheme="majorHAnsi"/>
          <w:sz w:val="24"/>
          <w:szCs w:val="24"/>
          <w:lang w:val="en"/>
        </w:rPr>
        <w:t>in the research workforce</w:t>
      </w:r>
      <w:r w:rsidR="00993031">
        <w:rPr>
          <w:rFonts w:asciiTheme="majorHAnsi" w:hAnsiTheme="majorHAnsi"/>
          <w:sz w:val="24"/>
          <w:szCs w:val="24"/>
          <w:lang w:val="en"/>
        </w:rPr>
        <w:t>.</w:t>
      </w:r>
      <w:r w:rsidR="005C2124">
        <w:rPr>
          <w:rFonts w:asciiTheme="majorHAnsi" w:hAnsiTheme="majorHAnsi"/>
          <w:sz w:val="24"/>
          <w:szCs w:val="24"/>
          <w:lang w:val="en"/>
        </w:rPr>
        <w:t xml:space="preserve"> </w:t>
      </w:r>
      <w:r w:rsidR="00993031">
        <w:rPr>
          <w:rFonts w:asciiTheme="majorHAnsi" w:hAnsiTheme="majorHAnsi"/>
          <w:sz w:val="24"/>
          <w:szCs w:val="24"/>
          <w:lang w:val="en"/>
        </w:rPr>
        <w:t xml:space="preserve">The ARC is </w:t>
      </w:r>
      <w:r w:rsidRPr="4A14C3FD">
        <w:rPr>
          <w:rFonts w:asciiTheme="majorHAnsi" w:hAnsiTheme="majorHAnsi"/>
          <w:sz w:val="24"/>
          <w:szCs w:val="24"/>
          <w:lang w:val="en"/>
        </w:rPr>
        <w:t xml:space="preserve">working with </w:t>
      </w:r>
      <w:r w:rsidR="006663FA">
        <w:rPr>
          <w:rFonts w:asciiTheme="majorHAnsi" w:hAnsiTheme="majorHAnsi"/>
          <w:sz w:val="24"/>
          <w:szCs w:val="24"/>
          <w:lang w:val="en"/>
        </w:rPr>
        <w:t xml:space="preserve">Australian research </w:t>
      </w:r>
      <w:r w:rsidR="00416560">
        <w:rPr>
          <w:rFonts w:asciiTheme="majorHAnsi" w:hAnsiTheme="majorHAnsi"/>
          <w:sz w:val="24"/>
          <w:szCs w:val="24"/>
          <w:lang w:val="en"/>
        </w:rPr>
        <w:t>organisations</w:t>
      </w:r>
      <w:r w:rsidR="006663FA">
        <w:rPr>
          <w:rFonts w:asciiTheme="majorHAnsi" w:hAnsiTheme="majorHAnsi"/>
          <w:sz w:val="24"/>
          <w:szCs w:val="24"/>
          <w:lang w:val="en"/>
        </w:rPr>
        <w:t xml:space="preserve">, </w:t>
      </w:r>
      <w:r w:rsidRPr="4A14C3FD">
        <w:rPr>
          <w:rFonts w:asciiTheme="majorHAnsi" w:hAnsiTheme="majorHAnsi"/>
          <w:sz w:val="24"/>
          <w:szCs w:val="24"/>
        </w:rPr>
        <w:t>government</w:t>
      </w:r>
      <w:r w:rsidR="006663FA">
        <w:rPr>
          <w:rFonts w:asciiTheme="majorHAnsi" w:hAnsiTheme="majorHAnsi"/>
          <w:sz w:val="24"/>
          <w:szCs w:val="24"/>
        </w:rPr>
        <w:t xml:space="preserve"> departments and agencies</w:t>
      </w:r>
      <w:r w:rsidRPr="4A14C3FD">
        <w:rPr>
          <w:rFonts w:asciiTheme="majorHAnsi" w:hAnsiTheme="majorHAnsi"/>
          <w:sz w:val="24"/>
          <w:szCs w:val="24"/>
        </w:rPr>
        <w:t>, industry</w:t>
      </w:r>
      <w:r w:rsidR="00323B76">
        <w:rPr>
          <w:rFonts w:asciiTheme="majorHAnsi" w:hAnsiTheme="majorHAnsi"/>
          <w:sz w:val="24"/>
          <w:szCs w:val="24"/>
        </w:rPr>
        <w:t>,</w:t>
      </w:r>
      <w:r w:rsidRPr="4A14C3FD">
        <w:rPr>
          <w:rFonts w:asciiTheme="majorHAnsi" w:hAnsiTheme="majorHAnsi"/>
          <w:sz w:val="24"/>
          <w:szCs w:val="24"/>
        </w:rPr>
        <w:t xml:space="preserve"> </w:t>
      </w:r>
      <w:r w:rsidR="006663FA">
        <w:rPr>
          <w:rFonts w:asciiTheme="majorHAnsi" w:hAnsiTheme="majorHAnsi"/>
          <w:sz w:val="24"/>
          <w:szCs w:val="24"/>
        </w:rPr>
        <w:t>peak bodies</w:t>
      </w:r>
      <w:r w:rsidR="00CA2213">
        <w:rPr>
          <w:rFonts w:asciiTheme="majorHAnsi" w:hAnsiTheme="majorHAnsi"/>
          <w:sz w:val="24"/>
          <w:szCs w:val="24"/>
        </w:rPr>
        <w:t>,</w:t>
      </w:r>
      <w:r w:rsidR="006663FA">
        <w:rPr>
          <w:rFonts w:asciiTheme="majorHAnsi" w:hAnsiTheme="majorHAnsi"/>
          <w:sz w:val="24"/>
          <w:szCs w:val="24"/>
        </w:rPr>
        <w:t xml:space="preserve"> </w:t>
      </w:r>
      <w:r w:rsidRPr="4A14C3FD">
        <w:rPr>
          <w:rFonts w:asciiTheme="majorHAnsi" w:hAnsiTheme="majorHAnsi"/>
          <w:sz w:val="24"/>
          <w:szCs w:val="24"/>
        </w:rPr>
        <w:t xml:space="preserve">and the broader community to create a </w:t>
      </w:r>
      <w:r w:rsidR="00323B76" w:rsidRPr="007D79C7">
        <w:rPr>
          <w:rFonts w:asciiTheme="majorHAnsi" w:hAnsiTheme="majorHAnsi"/>
          <w:sz w:val="24"/>
          <w:szCs w:val="24"/>
        </w:rPr>
        <w:t>dynamic, and constructive</w:t>
      </w:r>
      <w:r w:rsidR="00323B76">
        <w:rPr>
          <w:rFonts w:asciiTheme="majorHAnsi" w:hAnsiTheme="majorHAnsi"/>
          <w:sz w:val="24"/>
          <w:szCs w:val="24"/>
        </w:rPr>
        <w:t xml:space="preserve"> </w:t>
      </w:r>
      <w:r w:rsidRPr="4A14C3FD">
        <w:rPr>
          <w:rFonts w:asciiTheme="majorHAnsi" w:hAnsiTheme="majorHAnsi"/>
          <w:sz w:val="24"/>
          <w:szCs w:val="24"/>
        </w:rPr>
        <w:t xml:space="preserve">environment for all researchers to </w:t>
      </w:r>
      <w:r w:rsidR="007615C0">
        <w:rPr>
          <w:rFonts w:asciiTheme="majorHAnsi" w:hAnsiTheme="majorHAnsi"/>
          <w:sz w:val="24"/>
          <w:szCs w:val="24"/>
        </w:rPr>
        <w:t xml:space="preserve">equitably </w:t>
      </w:r>
      <w:r w:rsidR="005A27BF">
        <w:rPr>
          <w:rFonts w:asciiTheme="majorHAnsi" w:hAnsiTheme="majorHAnsi"/>
          <w:sz w:val="24"/>
          <w:szCs w:val="24"/>
        </w:rPr>
        <w:t xml:space="preserve">participate, </w:t>
      </w:r>
      <w:r w:rsidRPr="4A14C3FD">
        <w:rPr>
          <w:rFonts w:asciiTheme="majorHAnsi" w:hAnsiTheme="majorHAnsi"/>
          <w:sz w:val="24"/>
          <w:szCs w:val="24"/>
        </w:rPr>
        <w:t>achieve excellence</w:t>
      </w:r>
      <w:r w:rsidR="00A0452C">
        <w:rPr>
          <w:rFonts w:asciiTheme="majorHAnsi" w:hAnsiTheme="majorHAnsi"/>
          <w:sz w:val="24"/>
          <w:szCs w:val="24"/>
        </w:rPr>
        <w:t xml:space="preserve"> </w:t>
      </w:r>
      <w:r w:rsidR="00A0452C">
        <w:rPr>
          <w:rFonts w:asciiTheme="majorHAnsi" w:hAnsiTheme="majorHAnsi"/>
          <w:bCs/>
          <w:sz w:val="24"/>
          <w:szCs w:val="24"/>
        </w:rPr>
        <w:t>and c</w:t>
      </w:r>
      <w:r w:rsidR="00A0452C" w:rsidRPr="00A0452C">
        <w:rPr>
          <w:rFonts w:asciiTheme="majorHAnsi" w:hAnsiTheme="majorHAnsi"/>
          <w:bCs/>
          <w:sz w:val="24"/>
          <w:szCs w:val="24"/>
        </w:rPr>
        <w:t>ontribute to Australia’s research and innovation goals</w:t>
      </w:r>
      <w:r w:rsidR="00A0452C">
        <w:rPr>
          <w:rFonts w:asciiTheme="majorHAnsi" w:hAnsiTheme="majorHAnsi"/>
          <w:bCs/>
          <w:sz w:val="24"/>
          <w:szCs w:val="24"/>
        </w:rPr>
        <w:t>.</w:t>
      </w:r>
      <w:bookmarkEnd w:id="1"/>
    </w:p>
    <w:p w14:paraId="18F2BD72" w14:textId="77777777" w:rsidR="00F04102" w:rsidRPr="00F04102" w:rsidRDefault="00F04102" w:rsidP="00F04102">
      <w:pPr>
        <w:spacing w:after="0"/>
        <w:jc w:val="center"/>
        <w:rPr>
          <w:rFonts w:asciiTheme="majorHAnsi" w:hAnsiTheme="majorHAnsi" w:cstheme="majorBidi"/>
          <w:b/>
          <w:bCs/>
          <w:sz w:val="26"/>
          <w:szCs w:val="26"/>
        </w:rPr>
      </w:pPr>
      <w:bookmarkStart w:id="3" w:name="_Hlk68678324"/>
      <w:bookmarkEnd w:id="2"/>
      <w:r w:rsidRPr="00F04102">
        <w:rPr>
          <w:rFonts w:asciiTheme="majorHAnsi" w:hAnsiTheme="majorHAnsi" w:cstheme="majorBidi"/>
          <w:b/>
          <w:bCs/>
          <w:sz w:val="26"/>
          <w:szCs w:val="26"/>
        </w:rPr>
        <w:t>Gender Equality—Vision: Equal opportunities for all researchers</w:t>
      </w:r>
    </w:p>
    <w:p w14:paraId="335A726A" w14:textId="124F25D6" w:rsidR="00F04102" w:rsidRPr="00F04102" w:rsidRDefault="00F04102" w:rsidP="00C240CC">
      <w:pPr>
        <w:jc w:val="center"/>
        <w:rPr>
          <w:rFonts w:asciiTheme="majorHAnsi" w:hAnsiTheme="majorHAnsi" w:cstheme="majorHAnsi"/>
          <w:b/>
          <w:bCs/>
          <w:sz w:val="26"/>
          <w:szCs w:val="26"/>
        </w:rPr>
      </w:pPr>
      <w:r w:rsidRPr="00F04102">
        <w:rPr>
          <w:rFonts w:asciiTheme="majorHAnsi" w:hAnsiTheme="majorHAnsi" w:cstheme="majorHAnsi"/>
          <w:b/>
          <w:bCs/>
          <w:sz w:val="26"/>
          <w:szCs w:val="26"/>
        </w:rPr>
        <w:t>to undertake research for a creative, innovative</w:t>
      </w:r>
      <w:r>
        <w:rPr>
          <w:rFonts w:asciiTheme="majorHAnsi" w:hAnsiTheme="majorHAnsi" w:cstheme="majorHAnsi"/>
          <w:b/>
          <w:bCs/>
          <w:sz w:val="26"/>
          <w:szCs w:val="26"/>
        </w:rPr>
        <w:t>,</w:t>
      </w:r>
      <w:r w:rsidRPr="00F04102">
        <w:rPr>
          <w:rFonts w:asciiTheme="majorHAnsi" w:hAnsiTheme="majorHAnsi" w:cstheme="majorHAnsi"/>
          <w:b/>
          <w:bCs/>
          <w:sz w:val="26"/>
          <w:szCs w:val="26"/>
        </w:rPr>
        <w:t xml:space="preserve"> and productive Australia.</w:t>
      </w:r>
    </w:p>
    <w:p w14:paraId="40FE9566" w14:textId="1D1459BB" w:rsidR="003627B4" w:rsidRPr="00C240CC" w:rsidRDefault="68F073F0" w:rsidP="00C240CC">
      <w:pPr>
        <w:rPr>
          <w:rFonts w:asciiTheme="majorHAnsi" w:hAnsiTheme="majorHAnsi"/>
          <w:sz w:val="24"/>
          <w:szCs w:val="24"/>
          <w:lang w:val="en"/>
        </w:rPr>
      </w:pPr>
      <w:r w:rsidRPr="4A14C3FD">
        <w:rPr>
          <w:rFonts w:asciiTheme="majorHAnsi" w:hAnsiTheme="majorHAnsi"/>
          <w:sz w:val="24"/>
          <w:szCs w:val="24"/>
        </w:rPr>
        <w:t xml:space="preserve">The ARC’s vision for gender equality </w:t>
      </w:r>
      <w:r w:rsidR="00993031">
        <w:rPr>
          <w:rFonts w:asciiTheme="majorHAnsi" w:hAnsiTheme="majorHAnsi"/>
          <w:sz w:val="24"/>
          <w:szCs w:val="24"/>
        </w:rPr>
        <w:t>encompasses</w:t>
      </w:r>
      <w:r w:rsidRPr="4A14C3FD">
        <w:rPr>
          <w:rFonts w:asciiTheme="majorHAnsi" w:hAnsiTheme="majorHAnsi"/>
          <w:sz w:val="24"/>
          <w:szCs w:val="24"/>
        </w:rPr>
        <w:t xml:space="preserve"> all our key business activities and an overa</w:t>
      </w:r>
      <w:r w:rsidR="000D2628">
        <w:rPr>
          <w:rFonts w:asciiTheme="majorHAnsi" w:hAnsiTheme="majorHAnsi"/>
          <w:sz w:val="24"/>
          <w:szCs w:val="24"/>
        </w:rPr>
        <w:t>rching</w:t>
      </w:r>
      <w:r w:rsidRPr="4A14C3FD">
        <w:rPr>
          <w:rFonts w:asciiTheme="majorHAnsi" w:hAnsiTheme="majorHAnsi"/>
          <w:sz w:val="24"/>
          <w:szCs w:val="24"/>
        </w:rPr>
        <w:t xml:space="preserve"> commitment to advancing women in the researcher sector.</w:t>
      </w:r>
      <w:r w:rsidRPr="4A14C3FD">
        <w:rPr>
          <w:rFonts w:asciiTheme="majorHAnsi" w:hAnsiTheme="majorHAnsi"/>
          <w:b/>
          <w:bCs/>
          <w:sz w:val="24"/>
          <w:szCs w:val="24"/>
        </w:rPr>
        <w:t xml:space="preserve"> </w:t>
      </w:r>
      <w:bookmarkEnd w:id="3"/>
      <w:r w:rsidR="00A51D58" w:rsidRPr="00A51D58">
        <w:rPr>
          <w:rFonts w:asciiTheme="majorHAnsi" w:hAnsiTheme="majorHAnsi"/>
          <w:sz w:val="24"/>
          <w:szCs w:val="24"/>
        </w:rPr>
        <w:t xml:space="preserve">Achieving </w:t>
      </w:r>
      <w:r w:rsidR="00A51D58">
        <w:rPr>
          <w:rFonts w:asciiTheme="majorHAnsi" w:hAnsiTheme="majorHAnsi"/>
          <w:sz w:val="24"/>
          <w:szCs w:val="24"/>
        </w:rPr>
        <w:t>g</w:t>
      </w:r>
      <w:r w:rsidR="57B57341" w:rsidRPr="4A14C3FD">
        <w:rPr>
          <w:rFonts w:asciiTheme="majorHAnsi" w:hAnsiTheme="majorHAnsi"/>
          <w:sz w:val="24"/>
          <w:szCs w:val="24"/>
        </w:rPr>
        <w:t>ender equality means equal opportunities, rights</w:t>
      </w:r>
      <w:r w:rsidR="00D23F20">
        <w:rPr>
          <w:rFonts w:asciiTheme="majorHAnsi" w:hAnsiTheme="majorHAnsi"/>
          <w:sz w:val="24"/>
          <w:szCs w:val="24"/>
        </w:rPr>
        <w:t>,</w:t>
      </w:r>
      <w:r w:rsidR="57B57341" w:rsidRPr="4A14C3FD">
        <w:rPr>
          <w:rFonts w:asciiTheme="majorHAnsi" w:hAnsiTheme="majorHAnsi"/>
          <w:sz w:val="24"/>
          <w:szCs w:val="24"/>
        </w:rPr>
        <w:t xml:space="preserve"> and responsibilities </w:t>
      </w:r>
      <w:r w:rsidR="00382BB5">
        <w:rPr>
          <w:rFonts w:asciiTheme="majorHAnsi" w:hAnsiTheme="majorHAnsi"/>
          <w:sz w:val="24"/>
          <w:szCs w:val="24"/>
        </w:rPr>
        <w:t>irrespective</w:t>
      </w:r>
      <w:r w:rsidR="00135E22">
        <w:rPr>
          <w:rFonts w:asciiTheme="majorHAnsi" w:hAnsiTheme="majorHAnsi"/>
          <w:sz w:val="24"/>
          <w:szCs w:val="24"/>
        </w:rPr>
        <w:t xml:space="preserve"> of gender</w:t>
      </w:r>
      <w:r w:rsidR="00F04102">
        <w:rPr>
          <w:rFonts w:asciiTheme="majorHAnsi" w:hAnsiTheme="majorHAnsi"/>
          <w:sz w:val="24"/>
          <w:szCs w:val="24"/>
        </w:rPr>
        <w:t>, for all researchers</w:t>
      </w:r>
      <w:r w:rsidR="00906922">
        <w:rPr>
          <w:rFonts w:asciiTheme="majorHAnsi" w:hAnsiTheme="majorHAnsi"/>
          <w:sz w:val="24"/>
          <w:szCs w:val="24"/>
        </w:rPr>
        <w:t xml:space="preserve">. </w:t>
      </w:r>
      <w:r w:rsidR="57B57341" w:rsidRPr="4A14C3FD">
        <w:rPr>
          <w:rFonts w:asciiTheme="majorHAnsi" w:hAnsiTheme="majorHAnsi"/>
          <w:sz w:val="24"/>
          <w:szCs w:val="24"/>
        </w:rPr>
        <w:t xml:space="preserve"> </w:t>
      </w:r>
      <w:r w:rsidR="0073667C" w:rsidRPr="4A14C3FD">
        <w:rPr>
          <w:rFonts w:asciiTheme="majorHAnsi" w:hAnsiTheme="majorHAnsi"/>
          <w:sz w:val="24"/>
          <w:szCs w:val="24"/>
        </w:rPr>
        <w:t>The ARC recognises the benefits</w:t>
      </w:r>
      <w:r w:rsidR="009C7B02">
        <w:rPr>
          <w:rFonts w:asciiTheme="majorHAnsi" w:hAnsiTheme="majorHAnsi"/>
          <w:sz w:val="24"/>
          <w:szCs w:val="24"/>
        </w:rPr>
        <w:t>,</w:t>
      </w:r>
      <w:r w:rsidR="0073667C" w:rsidRPr="4A14C3FD">
        <w:rPr>
          <w:rFonts w:asciiTheme="majorHAnsi" w:hAnsiTheme="majorHAnsi"/>
          <w:sz w:val="24"/>
          <w:szCs w:val="24"/>
        </w:rPr>
        <w:t xml:space="preserve"> both organisationally and</w:t>
      </w:r>
      <w:r w:rsidR="00323B76">
        <w:rPr>
          <w:rFonts w:asciiTheme="majorHAnsi" w:hAnsiTheme="majorHAnsi"/>
          <w:sz w:val="24"/>
          <w:szCs w:val="24"/>
        </w:rPr>
        <w:t xml:space="preserve"> in the sector,</w:t>
      </w:r>
      <w:r w:rsidR="0073667C" w:rsidRPr="4A14C3FD">
        <w:rPr>
          <w:rFonts w:asciiTheme="majorHAnsi" w:hAnsiTheme="majorHAnsi"/>
          <w:sz w:val="24"/>
          <w:szCs w:val="24"/>
        </w:rPr>
        <w:t xml:space="preserve"> of achieving</w:t>
      </w:r>
      <w:r w:rsidR="0073667C" w:rsidRPr="4A14C3FD">
        <w:rPr>
          <w:rFonts w:asciiTheme="majorHAnsi" w:hAnsiTheme="majorHAnsi"/>
          <w:sz w:val="24"/>
          <w:szCs w:val="24"/>
          <w:lang w:val="en"/>
        </w:rPr>
        <w:t xml:space="preserve"> gender equality, including economic growth, improved organisational performance, workforce attraction and retention and </w:t>
      </w:r>
      <w:r w:rsidR="00D004A1">
        <w:rPr>
          <w:rFonts w:asciiTheme="majorHAnsi" w:hAnsiTheme="majorHAnsi"/>
          <w:sz w:val="24"/>
          <w:szCs w:val="24"/>
          <w:lang w:val="en"/>
        </w:rPr>
        <w:t>enhanced</w:t>
      </w:r>
      <w:r w:rsidR="00D004A1" w:rsidRPr="4A14C3FD">
        <w:rPr>
          <w:rFonts w:asciiTheme="majorHAnsi" w:hAnsiTheme="majorHAnsi"/>
          <w:sz w:val="24"/>
          <w:szCs w:val="24"/>
          <w:lang w:val="en"/>
        </w:rPr>
        <w:t xml:space="preserve"> </w:t>
      </w:r>
      <w:r w:rsidR="0073667C" w:rsidRPr="4A14C3FD">
        <w:rPr>
          <w:rFonts w:asciiTheme="majorHAnsi" w:hAnsiTheme="majorHAnsi"/>
          <w:sz w:val="24"/>
          <w:szCs w:val="24"/>
          <w:lang w:val="en"/>
        </w:rPr>
        <w:t>reputation</w:t>
      </w:r>
      <w:r w:rsidR="00993031">
        <w:rPr>
          <w:rStyle w:val="FootnoteReference"/>
          <w:rFonts w:asciiTheme="majorHAnsi" w:hAnsiTheme="majorHAnsi"/>
          <w:sz w:val="24"/>
          <w:szCs w:val="24"/>
          <w:lang w:val="en"/>
        </w:rPr>
        <w:footnoteReference w:id="2"/>
      </w:r>
      <w:r w:rsidR="0073667C" w:rsidRPr="4A14C3FD">
        <w:rPr>
          <w:rFonts w:asciiTheme="majorHAnsi" w:hAnsiTheme="majorHAnsi"/>
          <w:sz w:val="24"/>
          <w:szCs w:val="24"/>
          <w:lang w:val="en"/>
        </w:rPr>
        <w:t xml:space="preserve">. The ARC’s goals for achieving gender equality focus not only on the immediate impact of ARC activities, but contributing to broader goals for equality, diversity and inclusion across the </w:t>
      </w:r>
      <w:r w:rsidR="00B317FD">
        <w:rPr>
          <w:rFonts w:asciiTheme="majorHAnsi" w:hAnsiTheme="majorHAnsi"/>
          <w:sz w:val="24"/>
          <w:szCs w:val="24"/>
          <w:lang w:val="en"/>
        </w:rPr>
        <w:t xml:space="preserve">Australian </w:t>
      </w:r>
      <w:r w:rsidR="0073667C" w:rsidRPr="4A14C3FD">
        <w:rPr>
          <w:rFonts w:asciiTheme="majorHAnsi" w:hAnsiTheme="majorHAnsi"/>
          <w:sz w:val="24"/>
          <w:szCs w:val="24"/>
          <w:lang w:val="en"/>
        </w:rPr>
        <w:t xml:space="preserve">research sector that will provide inspiration </w:t>
      </w:r>
      <w:r w:rsidR="00C717A3">
        <w:rPr>
          <w:rFonts w:asciiTheme="majorHAnsi" w:hAnsiTheme="majorHAnsi"/>
          <w:sz w:val="24"/>
          <w:szCs w:val="24"/>
          <w:lang w:val="en"/>
        </w:rPr>
        <w:t xml:space="preserve">and opportunities </w:t>
      </w:r>
      <w:r w:rsidR="0073667C" w:rsidRPr="4A14C3FD">
        <w:rPr>
          <w:rFonts w:asciiTheme="majorHAnsi" w:hAnsiTheme="majorHAnsi"/>
          <w:sz w:val="24"/>
          <w:szCs w:val="24"/>
          <w:lang w:val="en"/>
        </w:rPr>
        <w:t xml:space="preserve">for women to commence and continue in research careers. </w:t>
      </w:r>
      <w:r w:rsidR="003627B4" w:rsidRPr="00C240CC">
        <w:rPr>
          <w:rFonts w:asciiTheme="majorHAnsi" w:hAnsiTheme="majorHAnsi"/>
          <w:sz w:val="24"/>
          <w:szCs w:val="24"/>
          <w:lang w:val="en"/>
        </w:rPr>
        <w:t xml:space="preserve">The </w:t>
      </w:r>
      <w:r w:rsidR="00580E75" w:rsidRPr="00580E75">
        <w:rPr>
          <w:rFonts w:asciiTheme="majorHAnsi" w:hAnsiTheme="majorHAnsi"/>
          <w:i/>
          <w:iCs/>
          <w:sz w:val="24"/>
          <w:szCs w:val="24"/>
          <w:lang w:val="en"/>
        </w:rPr>
        <w:t xml:space="preserve">Gender </w:t>
      </w:r>
      <w:r w:rsidR="006E6224">
        <w:rPr>
          <w:rFonts w:asciiTheme="majorHAnsi" w:hAnsiTheme="majorHAnsi"/>
          <w:i/>
          <w:iCs/>
          <w:sz w:val="24"/>
          <w:szCs w:val="24"/>
          <w:lang w:val="en"/>
        </w:rPr>
        <w:t>Equality</w:t>
      </w:r>
      <w:r w:rsidR="006E6224" w:rsidRPr="00580E75">
        <w:rPr>
          <w:rFonts w:asciiTheme="majorHAnsi" w:hAnsiTheme="majorHAnsi"/>
          <w:i/>
          <w:iCs/>
          <w:sz w:val="24"/>
          <w:szCs w:val="24"/>
          <w:lang w:val="en"/>
        </w:rPr>
        <w:t xml:space="preserve"> </w:t>
      </w:r>
      <w:r w:rsidR="00580E75" w:rsidRPr="00580E75">
        <w:rPr>
          <w:rFonts w:asciiTheme="majorHAnsi" w:hAnsiTheme="majorHAnsi"/>
          <w:i/>
          <w:iCs/>
          <w:sz w:val="24"/>
          <w:szCs w:val="24"/>
          <w:lang w:val="en"/>
        </w:rPr>
        <w:t>Statement</w:t>
      </w:r>
      <w:r w:rsidR="00580E75">
        <w:rPr>
          <w:rFonts w:asciiTheme="majorHAnsi" w:hAnsiTheme="majorHAnsi"/>
          <w:sz w:val="24"/>
          <w:szCs w:val="24"/>
          <w:lang w:val="en"/>
        </w:rPr>
        <w:t xml:space="preserve"> </w:t>
      </w:r>
      <w:r w:rsidR="003627B4" w:rsidRPr="00C240CC">
        <w:rPr>
          <w:rFonts w:asciiTheme="majorHAnsi" w:hAnsiTheme="majorHAnsi"/>
          <w:sz w:val="24"/>
          <w:szCs w:val="24"/>
          <w:lang w:val="en"/>
        </w:rPr>
        <w:t xml:space="preserve">is a component of the ARC’s research workforce policy framework, which comprises a range of </w:t>
      </w:r>
      <w:r w:rsidR="00B277AC" w:rsidRPr="00C240CC">
        <w:rPr>
          <w:rFonts w:asciiTheme="majorHAnsi" w:hAnsiTheme="majorHAnsi"/>
          <w:sz w:val="24"/>
          <w:szCs w:val="24"/>
          <w:lang w:val="en"/>
        </w:rPr>
        <w:t xml:space="preserve">policies </w:t>
      </w:r>
      <w:r w:rsidR="003627B4" w:rsidRPr="00C240CC">
        <w:rPr>
          <w:rFonts w:asciiTheme="majorHAnsi" w:hAnsiTheme="majorHAnsi"/>
          <w:sz w:val="24"/>
          <w:szCs w:val="24"/>
          <w:lang w:val="en"/>
        </w:rPr>
        <w:t>that facilitate equitable access to the N</w:t>
      </w:r>
      <w:r w:rsidR="00F42617" w:rsidRPr="00C240CC">
        <w:rPr>
          <w:rFonts w:asciiTheme="majorHAnsi" w:hAnsiTheme="majorHAnsi"/>
          <w:sz w:val="24"/>
          <w:szCs w:val="24"/>
          <w:lang w:val="en"/>
        </w:rPr>
        <w:t xml:space="preserve">ational </w:t>
      </w:r>
      <w:r w:rsidR="003627B4" w:rsidRPr="00C240CC">
        <w:rPr>
          <w:rFonts w:asciiTheme="majorHAnsi" w:hAnsiTheme="majorHAnsi"/>
          <w:sz w:val="24"/>
          <w:szCs w:val="24"/>
          <w:lang w:val="en"/>
        </w:rPr>
        <w:t>C</w:t>
      </w:r>
      <w:r w:rsidR="00F42617" w:rsidRPr="00C240CC">
        <w:rPr>
          <w:rFonts w:asciiTheme="majorHAnsi" w:hAnsiTheme="majorHAnsi"/>
          <w:sz w:val="24"/>
          <w:szCs w:val="24"/>
          <w:lang w:val="en"/>
        </w:rPr>
        <w:t xml:space="preserve">ompetitive </w:t>
      </w:r>
      <w:r w:rsidR="003627B4" w:rsidRPr="00C240CC">
        <w:rPr>
          <w:rFonts w:asciiTheme="majorHAnsi" w:hAnsiTheme="majorHAnsi"/>
          <w:sz w:val="24"/>
          <w:szCs w:val="24"/>
          <w:lang w:val="en"/>
        </w:rPr>
        <w:t>G</w:t>
      </w:r>
      <w:r w:rsidR="00F42617" w:rsidRPr="00C240CC">
        <w:rPr>
          <w:rFonts w:asciiTheme="majorHAnsi" w:hAnsiTheme="majorHAnsi"/>
          <w:sz w:val="24"/>
          <w:szCs w:val="24"/>
          <w:lang w:val="en"/>
        </w:rPr>
        <w:t xml:space="preserve">rants </w:t>
      </w:r>
      <w:r w:rsidR="003627B4" w:rsidRPr="00C240CC">
        <w:rPr>
          <w:rFonts w:asciiTheme="majorHAnsi" w:hAnsiTheme="majorHAnsi"/>
          <w:sz w:val="24"/>
          <w:szCs w:val="24"/>
          <w:lang w:val="en"/>
        </w:rPr>
        <w:t>P</w:t>
      </w:r>
      <w:r w:rsidR="00F42617" w:rsidRPr="00C240CC">
        <w:rPr>
          <w:rFonts w:asciiTheme="majorHAnsi" w:hAnsiTheme="majorHAnsi"/>
          <w:sz w:val="24"/>
          <w:szCs w:val="24"/>
          <w:lang w:val="en"/>
        </w:rPr>
        <w:t>rogram</w:t>
      </w:r>
      <w:r w:rsidR="00166D45" w:rsidRPr="00C240CC">
        <w:rPr>
          <w:rFonts w:asciiTheme="majorHAnsi" w:hAnsiTheme="majorHAnsi"/>
          <w:sz w:val="24"/>
          <w:szCs w:val="24"/>
          <w:lang w:val="en"/>
        </w:rPr>
        <w:t xml:space="preserve"> (NCGP)</w:t>
      </w:r>
      <w:r w:rsidR="003627B4" w:rsidRPr="00C240CC">
        <w:rPr>
          <w:rFonts w:asciiTheme="majorHAnsi" w:hAnsiTheme="majorHAnsi"/>
          <w:sz w:val="24"/>
          <w:szCs w:val="24"/>
          <w:lang w:val="en"/>
        </w:rPr>
        <w:t xml:space="preserve"> for eligible researchers, including those in groups </w:t>
      </w:r>
      <w:r w:rsidR="003E32D3">
        <w:rPr>
          <w:rFonts w:asciiTheme="majorHAnsi" w:hAnsiTheme="majorHAnsi"/>
          <w:sz w:val="24"/>
          <w:szCs w:val="24"/>
          <w:lang w:val="en"/>
        </w:rPr>
        <w:t xml:space="preserve">often </w:t>
      </w:r>
      <w:r w:rsidR="003627B4" w:rsidRPr="00C240CC">
        <w:rPr>
          <w:rFonts w:asciiTheme="majorHAnsi" w:hAnsiTheme="majorHAnsi"/>
          <w:sz w:val="24"/>
          <w:szCs w:val="24"/>
          <w:lang w:val="en"/>
        </w:rPr>
        <w:t>under-represented in the research sector.</w:t>
      </w:r>
    </w:p>
    <w:p w14:paraId="5CAD9701" w14:textId="3E864B2B" w:rsidR="0073667C" w:rsidRPr="00231B55" w:rsidRDefault="0073667C" w:rsidP="00231B55">
      <w:pPr>
        <w:pStyle w:val="Heading1"/>
        <w:spacing w:after="240"/>
      </w:pPr>
      <w:r w:rsidRPr="00231B55">
        <w:t>Purpose</w:t>
      </w:r>
    </w:p>
    <w:p w14:paraId="745896C0" w14:textId="379F627F" w:rsidR="00E272C7" w:rsidRDefault="0073667C" w:rsidP="00E272C7">
      <w:pPr>
        <w:rPr>
          <w:rFonts w:asciiTheme="majorHAnsi" w:hAnsiTheme="majorHAnsi"/>
          <w:sz w:val="24"/>
          <w:szCs w:val="24"/>
        </w:rPr>
      </w:pPr>
      <w:r>
        <w:rPr>
          <w:rFonts w:asciiTheme="majorHAnsi" w:hAnsiTheme="majorHAnsi"/>
          <w:sz w:val="24"/>
          <w:szCs w:val="24"/>
          <w:lang w:val="en"/>
        </w:rPr>
        <w:t>The</w:t>
      </w:r>
      <w:r w:rsidRPr="003B27F7">
        <w:rPr>
          <w:rFonts w:asciiTheme="majorHAnsi" w:hAnsiTheme="majorHAnsi"/>
          <w:sz w:val="24"/>
          <w:szCs w:val="24"/>
        </w:rPr>
        <w:t xml:space="preserve"> ARC’s purpose is to </w:t>
      </w:r>
      <w:r w:rsidRPr="00802A97">
        <w:rPr>
          <w:rFonts w:asciiTheme="majorHAnsi" w:hAnsiTheme="majorHAnsi"/>
          <w:sz w:val="24"/>
          <w:szCs w:val="24"/>
        </w:rPr>
        <w:t>grow knowledge and innovation</w:t>
      </w:r>
      <w:r w:rsidRPr="003B27F7">
        <w:rPr>
          <w:rFonts w:asciiTheme="majorHAnsi" w:hAnsiTheme="majorHAnsi"/>
          <w:sz w:val="24"/>
          <w:szCs w:val="24"/>
        </w:rPr>
        <w:t> for the benefit of the Australian community through funding the highest quality research, assessing the quality, engagement and impact of research and providing advice on research matters.</w:t>
      </w:r>
      <w:r w:rsidR="00472F1E">
        <w:rPr>
          <w:rFonts w:asciiTheme="majorHAnsi" w:hAnsiTheme="majorHAnsi"/>
          <w:sz w:val="24"/>
          <w:szCs w:val="24"/>
        </w:rPr>
        <w:t xml:space="preserve"> </w:t>
      </w:r>
    </w:p>
    <w:p w14:paraId="18A747D6" w14:textId="18A3C634" w:rsidR="00B12AB1" w:rsidRPr="007576BC" w:rsidRDefault="0073667C" w:rsidP="00B12AB1">
      <w:pPr>
        <w:rPr>
          <w:rFonts w:asciiTheme="majorHAnsi" w:hAnsiTheme="majorHAnsi"/>
          <w:sz w:val="24"/>
          <w:szCs w:val="24"/>
        </w:rPr>
      </w:pPr>
      <w:r w:rsidRPr="007576BC">
        <w:rPr>
          <w:rFonts w:asciiTheme="majorHAnsi" w:hAnsiTheme="majorHAnsi"/>
          <w:sz w:val="24"/>
          <w:szCs w:val="24"/>
          <w:lang w:val="en"/>
        </w:rPr>
        <w:t xml:space="preserve">To achieve </w:t>
      </w:r>
      <w:r>
        <w:rPr>
          <w:rFonts w:asciiTheme="majorHAnsi" w:hAnsiTheme="majorHAnsi"/>
          <w:sz w:val="24"/>
          <w:szCs w:val="24"/>
          <w:lang w:val="en"/>
        </w:rPr>
        <w:t>our purpose, t</w:t>
      </w:r>
      <w:r w:rsidRPr="007576BC">
        <w:rPr>
          <w:rFonts w:asciiTheme="majorHAnsi" w:hAnsiTheme="majorHAnsi"/>
          <w:sz w:val="24"/>
          <w:szCs w:val="24"/>
          <w:lang w:val="en"/>
        </w:rPr>
        <w:t>he ARC considers support for gender equality</w:t>
      </w:r>
      <w:r w:rsidR="005C2124">
        <w:rPr>
          <w:rFonts w:asciiTheme="majorHAnsi" w:hAnsiTheme="majorHAnsi"/>
          <w:sz w:val="24"/>
          <w:szCs w:val="24"/>
          <w:lang w:val="en"/>
        </w:rPr>
        <w:t xml:space="preserve">, </w:t>
      </w:r>
      <w:r w:rsidRPr="007576BC">
        <w:rPr>
          <w:rFonts w:asciiTheme="majorHAnsi" w:hAnsiTheme="majorHAnsi"/>
          <w:sz w:val="24"/>
          <w:szCs w:val="24"/>
          <w:lang w:val="en"/>
        </w:rPr>
        <w:t>within a diverse research workforce</w:t>
      </w:r>
      <w:r>
        <w:rPr>
          <w:rFonts w:asciiTheme="majorHAnsi" w:hAnsiTheme="majorHAnsi"/>
          <w:sz w:val="24"/>
          <w:szCs w:val="24"/>
          <w:lang w:val="en"/>
        </w:rPr>
        <w:t>,</w:t>
      </w:r>
      <w:r w:rsidRPr="007576BC">
        <w:rPr>
          <w:rFonts w:asciiTheme="majorHAnsi" w:hAnsiTheme="majorHAnsi"/>
          <w:sz w:val="24"/>
          <w:szCs w:val="24"/>
          <w:lang w:val="en"/>
        </w:rPr>
        <w:t xml:space="preserve"> </w:t>
      </w:r>
      <w:r w:rsidR="005C2124">
        <w:rPr>
          <w:rFonts w:asciiTheme="majorHAnsi" w:hAnsiTheme="majorHAnsi"/>
          <w:sz w:val="24"/>
          <w:szCs w:val="24"/>
          <w:lang w:val="en"/>
        </w:rPr>
        <w:t xml:space="preserve">which is reflective of the diversity of the Australian community, </w:t>
      </w:r>
      <w:r w:rsidRPr="007576BC">
        <w:rPr>
          <w:rFonts w:asciiTheme="majorHAnsi" w:hAnsiTheme="majorHAnsi"/>
          <w:sz w:val="24"/>
          <w:szCs w:val="24"/>
          <w:lang w:val="en"/>
        </w:rPr>
        <w:t xml:space="preserve">to be essential. </w:t>
      </w:r>
      <w:r w:rsidR="007044D8">
        <w:rPr>
          <w:rFonts w:asciiTheme="majorHAnsi" w:hAnsiTheme="majorHAnsi"/>
          <w:sz w:val="24"/>
          <w:szCs w:val="24"/>
          <w:lang w:val="en"/>
        </w:rPr>
        <w:t xml:space="preserve">The </w:t>
      </w:r>
      <w:r w:rsidR="00B12AB1">
        <w:rPr>
          <w:rFonts w:asciiTheme="majorHAnsi" w:hAnsiTheme="majorHAnsi"/>
          <w:sz w:val="24"/>
          <w:szCs w:val="24"/>
          <w:lang w:val="en"/>
        </w:rPr>
        <w:t>ARC’s</w:t>
      </w:r>
      <w:r w:rsidR="00B12AB1" w:rsidRPr="007576BC">
        <w:rPr>
          <w:rFonts w:asciiTheme="majorHAnsi" w:hAnsiTheme="majorHAnsi"/>
          <w:sz w:val="24"/>
          <w:szCs w:val="24"/>
          <w:lang w:val="en"/>
        </w:rPr>
        <w:t xml:space="preserve"> </w:t>
      </w:r>
      <w:r w:rsidR="00B12AB1">
        <w:rPr>
          <w:rFonts w:asciiTheme="majorHAnsi" w:hAnsiTheme="majorHAnsi"/>
          <w:sz w:val="24"/>
          <w:szCs w:val="24"/>
          <w:lang w:val="en"/>
        </w:rPr>
        <w:t xml:space="preserve">intention </w:t>
      </w:r>
      <w:r w:rsidR="00B12AB1" w:rsidRPr="007576BC">
        <w:rPr>
          <w:rFonts w:asciiTheme="majorHAnsi" w:hAnsiTheme="majorHAnsi"/>
          <w:sz w:val="24"/>
          <w:szCs w:val="24"/>
          <w:lang w:val="en"/>
        </w:rPr>
        <w:t xml:space="preserve">is </w:t>
      </w:r>
      <w:r w:rsidR="00B12AB1">
        <w:rPr>
          <w:rFonts w:asciiTheme="majorHAnsi" w:hAnsiTheme="majorHAnsi"/>
          <w:sz w:val="24"/>
          <w:szCs w:val="24"/>
          <w:lang w:val="en"/>
        </w:rPr>
        <w:t xml:space="preserve">to </w:t>
      </w:r>
      <w:r w:rsidR="00B12AB1" w:rsidRPr="007576BC">
        <w:rPr>
          <w:rFonts w:asciiTheme="majorHAnsi" w:hAnsiTheme="majorHAnsi"/>
          <w:sz w:val="24"/>
          <w:szCs w:val="24"/>
          <w:lang w:val="en"/>
        </w:rPr>
        <w:t>ensur</w:t>
      </w:r>
      <w:r w:rsidR="00B12AB1">
        <w:rPr>
          <w:rFonts w:asciiTheme="majorHAnsi" w:hAnsiTheme="majorHAnsi"/>
          <w:sz w:val="24"/>
          <w:szCs w:val="24"/>
          <w:lang w:val="en"/>
        </w:rPr>
        <w:t>e</w:t>
      </w:r>
      <w:r w:rsidR="00B12AB1" w:rsidRPr="007576BC">
        <w:rPr>
          <w:rFonts w:asciiTheme="majorHAnsi" w:hAnsiTheme="majorHAnsi"/>
          <w:sz w:val="24"/>
          <w:szCs w:val="24"/>
          <w:lang w:val="en"/>
        </w:rPr>
        <w:t xml:space="preserve"> that all eligible researchers</w:t>
      </w:r>
      <w:r w:rsidR="00C15844">
        <w:rPr>
          <w:rFonts w:asciiTheme="majorHAnsi" w:hAnsiTheme="majorHAnsi"/>
          <w:sz w:val="24"/>
          <w:szCs w:val="24"/>
          <w:lang w:val="en"/>
        </w:rPr>
        <w:t>, irrespective of diversity,</w:t>
      </w:r>
      <w:r w:rsidR="00B12AB1" w:rsidRPr="007576BC">
        <w:rPr>
          <w:rFonts w:asciiTheme="majorHAnsi" w:hAnsiTheme="majorHAnsi"/>
          <w:sz w:val="24"/>
          <w:szCs w:val="24"/>
          <w:lang w:val="en"/>
        </w:rPr>
        <w:t xml:space="preserve"> have an equal opportunity to participate in NCGP funding schemes</w:t>
      </w:r>
      <w:r w:rsidR="00C15844">
        <w:rPr>
          <w:rFonts w:asciiTheme="majorHAnsi" w:hAnsiTheme="majorHAnsi"/>
          <w:sz w:val="24"/>
          <w:szCs w:val="24"/>
          <w:lang w:val="en"/>
        </w:rPr>
        <w:t xml:space="preserve">. </w:t>
      </w:r>
      <w:r w:rsidR="00B12AB1" w:rsidRPr="007576BC">
        <w:rPr>
          <w:rFonts w:asciiTheme="majorHAnsi" w:hAnsiTheme="majorHAnsi"/>
          <w:sz w:val="24"/>
          <w:szCs w:val="24"/>
          <w:lang w:val="en"/>
        </w:rPr>
        <w:t xml:space="preserve"> </w:t>
      </w:r>
    </w:p>
    <w:p w14:paraId="395D3F3B" w14:textId="77777777" w:rsidR="0073667C" w:rsidRPr="00F3415B" w:rsidRDefault="0073667C" w:rsidP="00F3415B">
      <w:pPr>
        <w:pStyle w:val="Heading1"/>
        <w:spacing w:after="240"/>
      </w:pPr>
      <w:r w:rsidRPr="00F3415B">
        <w:t>Principles</w:t>
      </w:r>
    </w:p>
    <w:p w14:paraId="2DA525CD" w14:textId="46DF43D0" w:rsidR="00960DDF" w:rsidRDefault="0073667C" w:rsidP="00960DDF">
      <w:pPr>
        <w:rPr>
          <w:rFonts w:asciiTheme="majorHAnsi" w:hAnsiTheme="majorHAnsi"/>
          <w:sz w:val="24"/>
          <w:szCs w:val="24"/>
          <w:lang w:val="en"/>
        </w:rPr>
      </w:pPr>
      <w:r w:rsidRPr="47042EA4">
        <w:rPr>
          <w:rFonts w:asciiTheme="majorHAnsi" w:hAnsiTheme="majorHAnsi"/>
          <w:sz w:val="24"/>
          <w:szCs w:val="24"/>
          <w:lang w:val="en"/>
        </w:rPr>
        <w:t>Underrepresentation of women in the Australian research sector is an acknowledged issue</w:t>
      </w:r>
      <w:r>
        <w:rPr>
          <w:rFonts w:asciiTheme="majorHAnsi" w:hAnsiTheme="majorHAnsi"/>
          <w:sz w:val="24"/>
          <w:szCs w:val="24"/>
          <w:lang w:val="en"/>
        </w:rPr>
        <w:t xml:space="preserve"> </w:t>
      </w:r>
      <w:r w:rsidRPr="47042EA4">
        <w:rPr>
          <w:rFonts w:asciiTheme="majorHAnsi" w:hAnsiTheme="majorHAnsi"/>
          <w:sz w:val="24"/>
          <w:szCs w:val="24"/>
          <w:lang w:val="en"/>
        </w:rPr>
        <w:t xml:space="preserve">and </w:t>
      </w:r>
      <w:r w:rsidR="00B006C5">
        <w:rPr>
          <w:rFonts w:asciiTheme="majorHAnsi" w:hAnsiTheme="majorHAnsi"/>
          <w:sz w:val="24"/>
          <w:szCs w:val="24"/>
          <w:lang w:val="en"/>
        </w:rPr>
        <w:t xml:space="preserve">supporting and </w:t>
      </w:r>
      <w:r w:rsidRPr="47042EA4">
        <w:rPr>
          <w:rFonts w:asciiTheme="majorHAnsi" w:hAnsiTheme="majorHAnsi"/>
          <w:sz w:val="24"/>
          <w:szCs w:val="24"/>
          <w:lang w:val="en"/>
        </w:rPr>
        <w:t xml:space="preserve">advancing women in the research sector is therefore a priority for the ARC. </w:t>
      </w:r>
      <w:r>
        <w:rPr>
          <w:rFonts w:asciiTheme="majorHAnsi" w:hAnsiTheme="majorHAnsi"/>
          <w:sz w:val="24"/>
          <w:szCs w:val="24"/>
          <w:lang w:val="en"/>
        </w:rPr>
        <w:t xml:space="preserve">A range of mechanisms, introduced under the NCGP to support women in research, have </w:t>
      </w:r>
      <w:r w:rsidRPr="00771EAB">
        <w:rPr>
          <w:rFonts w:asciiTheme="majorHAnsi" w:hAnsiTheme="majorHAnsi"/>
          <w:sz w:val="24"/>
          <w:szCs w:val="24"/>
          <w:lang w:val="en"/>
        </w:rPr>
        <w:t xml:space="preserve">contributed to continuous improvement in success rates for women, which </w:t>
      </w:r>
      <w:r>
        <w:rPr>
          <w:rFonts w:asciiTheme="majorHAnsi" w:hAnsiTheme="majorHAnsi"/>
          <w:sz w:val="24"/>
          <w:szCs w:val="24"/>
          <w:lang w:val="en"/>
        </w:rPr>
        <w:t xml:space="preserve">in the </w:t>
      </w:r>
      <w:r w:rsidR="00B006C5">
        <w:rPr>
          <w:rFonts w:asciiTheme="majorHAnsi" w:hAnsiTheme="majorHAnsi"/>
          <w:sz w:val="24"/>
          <w:szCs w:val="24"/>
          <w:lang w:val="en"/>
        </w:rPr>
        <w:t xml:space="preserve">majority of </w:t>
      </w:r>
      <w:r w:rsidR="00F11FB4">
        <w:rPr>
          <w:rFonts w:asciiTheme="majorHAnsi" w:hAnsiTheme="majorHAnsi"/>
          <w:sz w:val="24"/>
          <w:szCs w:val="24"/>
          <w:lang w:val="en"/>
        </w:rPr>
        <w:t xml:space="preserve">funding </w:t>
      </w:r>
      <w:r>
        <w:rPr>
          <w:rFonts w:asciiTheme="majorHAnsi" w:hAnsiTheme="majorHAnsi"/>
          <w:sz w:val="24"/>
          <w:szCs w:val="24"/>
          <w:lang w:val="en"/>
        </w:rPr>
        <w:t>rounds have been</w:t>
      </w:r>
      <w:r w:rsidRPr="00771EAB">
        <w:rPr>
          <w:rFonts w:asciiTheme="majorHAnsi" w:hAnsiTheme="majorHAnsi"/>
          <w:sz w:val="24"/>
          <w:szCs w:val="24"/>
          <w:lang w:val="en"/>
        </w:rPr>
        <w:t xml:space="preserve"> equivalent to or higher than men</w:t>
      </w:r>
      <w:r w:rsidR="00387A86">
        <w:rPr>
          <w:rFonts w:asciiTheme="majorHAnsi" w:hAnsiTheme="majorHAnsi"/>
          <w:sz w:val="24"/>
          <w:szCs w:val="24"/>
          <w:lang w:val="en"/>
        </w:rPr>
        <w:t>.</w:t>
      </w:r>
      <w:r w:rsidRPr="00771EAB">
        <w:rPr>
          <w:rFonts w:asciiTheme="majorHAnsi" w:hAnsiTheme="majorHAnsi"/>
          <w:sz w:val="24"/>
          <w:szCs w:val="24"/>
          <w:lang w:val="en"/>
        </w:rPr>
        <w:t xml:space="preserve"> </w:t>
      </w:r>
      <w:r w:rsidR="00960DDF">
        <w:rPr>
          <w:rFonts w:asciiTheme="majorHAnsi" w:hAnsiTheme="majorHAnsi"/>
          <w:sz w:val="24"/>
          <w:szCs w:val="24"/>
          <w:lang w:val="en"/>
        </w:rPr>
        <w:t xml:space="preserve">These mechanisms also </w:t>
      </w:r>
      <w:r w:rsidR="00960DDF" w:rsidRPr="007576BC">
        <w:rPr>
          <w:rFonts w:asciiTheme="majorHAnsi" w:hAnsiTheme="majorHAnsi"/>
          <w:sz w:val="24"/>
          <w:szCs w:val="24"/>
          <w:lang w:val="en"/>
        </w:rPr>
        <w:t xml:space="preserve">address some of </w:t>
      </w:r>
      <w:r w:rsidR="00960DDF">
        <w:rPr>
          <w:rFonts w:asciiTheme="majorHAnsi" w:hAnsiTheme="majorHAnsi"/>
          <w:sz w:val="24"/>
          <w:szCs w:val="24"/>
          <w:lang w:val="en"/>
        </w:rPr>
        <w:t xml:space="preserve">the most significant areas of disparity for gender equality in the </w:t>
      </w:r>
      <w:r w:rsidR="00FD7E1A">
        <w:rPr>
          <w:rFonts w:asciiTheme="majorHAnsi" w:hAnsiTheme="majorHAnsi"/>
          <w:sz w:val="24"/>
          <w:szCs w:val="24"/>
          <w:lang w:val="en"/>
        </w:rPr>
        <w:t xml:space="preserve">broader </w:t>
      </w:r>
      <w:r w:rsidR="00960DDF">
        <w:rPr>
          <w:rFonts w:asciiTheme="majorHAnsi" w:hAnsiTheme="majorHAnsi"/>
          <w:sz w:val="24"/>
          <w:szCs w:val="24"/>
          <w:lang w:val="en"/>
        </w:rPr>
        <w:t>research workforce</w:t>
      </w:r>
      <w:r w:rsidR="00960DDF" w:rsidRPr="007576BC">
        <w:rPr>
          <w:rFonts w:asciiTheme="majorHAnsi" w:hAnsiTheme="majorHAnsi"/>
          <w:sz w:val="24"/>
          <w:szCs w:val="24"/>
          <w:lang w:val="en"/>
        </w:rPr>
        <w:t>: equal pay</w:t>
      </w:r>
      <w:r w:rsidR="00960DDF">
        <w:rPr>
          <w:rFonts w:asciiTheme="majorHAnsi" w:hAnsiTheme="majorHAnsi"/>
          <w:sz w:val="24"/>
          <w:szCs w:val="24"/>
          <w:lang w:val="en"/>
        </w:rPr>
        <w:t xml:space="preserve"> for fellowships and awards</w:t>
      </w:r>
      <w:r w:rsidR="00960DDF" w:rsidRPr="007576BC">
        <w:rPr>
          <w:rFonts w:asciiTheme="majorHAnsi" w:hAnsiTheme="majorHAnsi"/>
          <w:sz w:val="24"/>
          <w:szCs w:val="24"/>
          <w:lang w:val="en"/>
        </w:rPr>
        <w:t xml:space="preserve">, access to leadership roles, </w:t>
      </w:r>
      <w:r w:rsidR="00960DDF">
        <w:rPr>
          <w:rFonts w:asciiTheme="majorHAnsi" w:hAnsiTheme="majorHAnsi"/>
          <w:sz w:val="24"/>
          <w:szCs w:val="24"/>
          <w:lang w:val="en"/>
        </w:rPr>
        <w:lastRenderedPageBreak/>
        <w:t>addressing</w:t>
      </w:r>
      <w:r w:rsidR="00960DDF" w:rsidRPr="007576BC">
        <w:rPr>
          <w:rFonts w:asciiTheme="majorHAnsi" w:hAnsiTheme="majorHAnsi"/>
          <w:sz w:val="24"/>
          <w:szCs w:val="24"/>
          <w:lang w:val="en"/>
        </w:rPr>
        <w:t xml:space="preserve"> bias arising from car</w:t>
      </w:r>
      <w:r w:rsidR="00960DDF">
        <w:rPr>
          <w:rFonts w:asciiTheme="majorHAnsi" w:hAnsiTheme="majorHAnsi"/>
          <w:sz w:val="24"/>
          <w:szCs w:val="24"/>
          <w:lang w:val="en"/>
        </w:rPr>
        <w:t>eer interruptions,</w:t>
      </w:r>
      <w:r w:rsidR="00960DDF" w:rsidRPr="007576BC">
        <w:rPr>
          <w:rFonts w:asciiTheme="majorHAnsi" w:hAnsiTheme="majorHAnsi"/>
          <w:sz w:val="24"/>
          <w:szCs w:val="24"/>
          <w:lang w:val="en"/>
        </w:rPr>
        <w:t xml:space="preserve"> and equal access to </w:t>
      </w:r>
      <w:r w:rsidR="00960DDF">
        <w:rPr>
          <w:rFonts w:asciiTheme="majorHAnsi" w:hAnsiTheme="majorHAnsi"/>
          <w:sz w:val="24"/>
          <w:szCs w:val="24"/>
          <w:lang w:val="en"/>
        </w:rPr>
        <w:t xml:space="preserve">funding for </w:t>
      </w:r>
      <w:r w:rsidR="00960DDF" w:rsidRPr="007576BC">
        <w:rPr>
          <w:rFonts w:asciiTheme="majorHAnsi" w:hAnsiTheme="majorHAnsi"/>
          <w:sz w:val="24"/>
          <w:szCs w:val="24"/>
          <w:lang w:val="en"/>
        </w:rPr>
        <w:t>all disciplines, including science, technology, engineering</w:t>
      </w:r>
      <w:r w:rsidR="00960DDF">
        <w:rPr>
          <w:rFonts w:asciiTheme="majorHAnsi" w:hAnsiTheme="majorHAnsi"/>
          <w:sz w:val="24"/>
          <w:szCs w:val="24"/>
          <w:lang w:val="en"/>
        </w:rPr>
        <w:t>,</w:t>
      </w:r>
      <w:r w:rsidR="00960DDF" w:rsidRPr="007576BC">
        <w:rPr>
          <w:rFonts w:asciiTheme="majorHAnsi" w:hAnsiTheme="majorHAnsi"/>
          <w:sz w:val="24"/>
          <w:szCs w:val="24"/>
          <w:lang w:val="en"/>
        </w:rPr>
        <w:t xml:space="preserve"> and mathematics (STEM)</w:t>
      </w:r>
      <w:r w:rsidR="00960DDF">
        <w:rPr>
          <w:rFonts w:asciiTheme="majorHAnsi" w:hAnsiTheme="majorHAnsi"/>
          <w:sz w:val="24"/>
          <w:szCs w:val="24"/>
          <w:lang w:val="en"/>
        </w:rPr>
        <w:t xml:space="preserve">, in which women are commonly underrepresented. </w:t>
      </w:r>
    </w:p>
    <w:p w14:paraId="0C03BE19" w14:textId="5DF775F5" w:rsidR="0073667C" w:rsidRPr="005A659F" w:rsidRDefault="00E82A5F" w:rsidP="0073667C">
      <w:pPr>
        <w:rPr>
          <w:rFonts w:asciiTheme="majorHAnsi" w:hAnsiTheme="majorHAnsi"/>
          <w:sz w:val="24"/>
          <w:szCs w:val="24"/>
          <w:lang w:val="en"/>
        </w:rPr>
      </w:pPr>
      <w:r>
        <w:rPr>
          <w:rFonts w:asciiTheme="majorHAnsi" w:hAnsiTheme="majorHAnsi"/>
          <w:sz w:val="24"/>
          <w:szCs w:val="24"/>
          <w:lang w:val="en"/>
        </w:rPr>
        <w:t>T</w:t>
      </w:r>
      <w:r w:rsidR="0073667C" w:rsidRPr="00771EAB">
        <w:rPr>
          <w:rFonts w:asciiTheme="majorHAnsi" w:hAnsiTheme="majorHAnsi"/>
          <w:sz w:val="24"/>
          <w:szCs w:val="24"/>
          <w:lang w:val="en"/>
        </w:rPr>
        <w:t xml:space="preserve">he ARC recognises that addressing </w:t>
      </w:r>
      <w:r w:rsidR="00FD7F0A">
        <w:rPr>
          <w:rFonts w:asciiTheme="majorHAnsi" w:hAnsiTheme="majorHAnsi"/>
          <w:sz w:val="24"/>
          <w:szCs w:val="24"/>
          <w:lang w:val="en"/>
        </w:rPr>
        <w:t xml:space="preserve">both </w:t>
      </w:r>
      <w:r w:rsidR="0073667C" w:rsidRPr="00771EAB">
        <w:rPr>
          <w:rFonts w:asciiTheme="majorHAnsi" w:hAnsiTheme="majorHAnsi"/>
          <w:sz w:val="24"/>
          <w:szCs w:val="24"/>
          <w:lang w:val="en"/>
        </w:rPr>
        <w:t xml:space="preserve">the significant disparity in application rates under the NCGP, </w:t>
      </w:r>
      <w:r w:rsidR="00B006C5">
        <w:rPr>
          <w:rFonts w:asciiTheme="majorHAnsi" w:hAnsiTheme="majorHAnsi"/>
          <w:sz w:val="24"/>
          <w:szCs w:val="24"/>
          <w:lang w:val="en"/>
        </w:rPr>
        <w:t xml:space="preserve">as well as </w:t>
      </w:r>
      <w:r w:rsidR="00B006C5" w:rsidRPr="00323B76">
        <w:rPr>
          <w:rFonts w:asciiTheme="majorHAnsi" w:hAnsiTheme="majorHAnsi"/>
          <w:sz w:val="24"/>
          <w:szCs w:val="24"/>
          <w:lang w:val="en"/>
        </w:rPr>
        <w:t>a</w:t>
      </w:r>
      <w:r w:rsidR="00B006C5" w:rsidRPr="00771EAB">
        <w:rPr>
          <w:rFonts w:asciiTheme="majorHAnsi" w:hAnsiTheme="majorHAnsi"/>
          <w:sz w:val="24"/>
          <w:szCs w:val="24"/>
          <w:lang w:val="en"/>
        </w:rPr>
        <w:t xml:space="preserve"> </w:t>
      </w:r>
      <w:r w:rsidR="0073667C" w:rsidRPr="00771EAB">
        <w:rPr>
          <w:rFonts w:asciiTheme="majorHAnsi" w:hAnsiTheme="majorHAnsi"/>
          <w:sz w:val="24"/>
          <w:szCs w:val="24"/>
          <w:lang w:val="en"/>
        </w:rPr>
        <w:t xml:space="preserve">broader underrepresentation of women in the </w:t>
      </w:r>
      <w:r w:rsidR="006B4CAD">
        <w:rPr>
          <w:rFonts w:asciiTheme="majorHAnsi" w:hAnsiTheme="majorHAnsi"/>
          <w:sz w:val="24"/>
          <w:szCs w:val="24"/>
          <w:lang w:val="en"/>
        </w:rPr>
        <w:t xml:space="preserve">Australian </w:t>
      </w:r>
      <w:r w:rsidR="0073667C" w:rsidRPr="00771EAB">
        <w:rPr>
          <w:rFonts w:asciiTheme="majorHAnsi" w:hAnsiTheme="majorHAnsi"/>
          <w:sz w:val="24"/>
          <w:szCs w:val="24"/>
          <w:lang w:val="en"/>
        </w:rPr>
        <w:t>research workforce</w:t>
      </w:r>
      <w:r w:rsidR="00FD7F0A">
        <w:rPr>
          <w:rFonts w:asciiTheme="majorHAnsi" w:hAnsiTheme="majorHAnsi"/>
          <w:sz w:val="24"/>
          <w:szCs w:val="24"/>
          <w:lang w:val="en"/>
        </w:rPr>
        <w:t>,</w:t>
      </w:r>
      <w:r w:rsidR="0073667C" w:rsidRPr="00771EAB">
        <w:rPr>
          <w:rFonts w:asciiTheme="majorHAnsi" w:hAnsiTheme="majorHAnsi"/>
          <w:sz w:val="24"/>
          <w:szCs w:val="24"/>
          <w:lang w:val="en"/>
        </w:rPr>
        <w:t xml:space="preserve"> is </w:t>
      </w:r>
      <w:r w:rsidR="00543EA3">
        <w:rPr>
          <w:rFonts w:asciiTheme="majorHAnsi" w:hAnsiTheme="majorHAnsi"/>
          <w:sz w:val="24"/>
          <w:szCs w:val="24"/>
          <w:lang w:val="en"/>
        </w:rPr>
        <w:t>es</w:t>
      </w:r>
      <w:r w:rsidR="00DF6922">
        <w:rPr>
          <w:rFonts w:asciiTheme="majorHAnsi" w:hAnsiTheme="majorHAnsi"/>
          <w:sz w:val="24"/>
          <w:szCs w:val="24"/>
          <w:lang w:val="en"/>
        </w:rPr>
        <w:t>s</w:t>
      </w:r>
      <w:r w:rsidR="00543EA3">
        <w:rPr>
          <w:rFonts w:asciiTheme="majorHAnsi" w:hAnsiTheme="majorHAnsi"/>
          <w:sz w:val="24"/>
          <w:szCs w:val="24"/>
          <w:lang w:val="en"/>
        </w:rPr>
        <w:t>ential</w:t>
      </w:r>
      <w:r w:rsidR="0073667C" w:rsidRPr="00771EAB">
        <w:rPr>
          <w:rFonts w:asciiTheme="majorHAnsi" w:hAnsiTheme="majorHAnsi"/>
          <w:sz w:val="24"/>
          <w:szCs w:val="24"/>
          <w:lang w:val="en"/>
        </w:rPr>
        <w:t xml:space="preserve">. </w:t>
      </w:r>
      <w:bookmarkStart w:id="4" w:name="_Hlk68678353"/>
      <w:r w:rsidR="0073667C" w:rsidRPr="47042EA4">
        <w:rPr>
          <w:rFonts w:asciiTheme="majorHAnsi" w:hAnsiTheme="majorHAnsi"/>
          <w:sz w:val="24"/>
          <w:szCs w:val="24"/>
          <w:lang w:val="en"/>
        </w:rPr>
        <w:t>The ARC</w:t>
      </w:r>
      <w:r w:rsidR="00A11CA1">
        <w:rPr>
          <w:rFonts w:asciiTheme="majorHAnsi" w:hAnsiTheme="majorHAnsi"/>
          <w:sz w:val="24"/>
          <w:szCs w:val="24"/>
          <w:lang w:val="en"/>
        </w:rPr>
        <w:t xml:space="preserve"> aims</w:t>
      </w:r>
      <w:r w:rsidR="0073667C" w:rsidRPr="47042EA4">
        <w:rPr>
          <w:rFonts w:asciiTheme="majorHAnsi" w:hAnsiTheme="majorHAnsi"/>
          <w:sz w:val="24"/>
          <w:szCs w:val="24"/>
          <w:lang w:val="en"/>
        </w:rPr>
        <w:t xml:space="preserve"> to be an integral part of </w:t>
      </w:r>
      <w:r w:rsidR="0073667C">
        <w:rPr>
          <w:rFonts w:asciiTheme="majorHAnsi" w:hAnsiTheme="majorHAnsi"/>
          <w:sz w:val="24"/>
          <w:szCs w:val="24"/>
          <w:lang w:val="en"/>
        </w:rPr>
        <w:t xml:space="preserve">a </w:t>
      </w:r>
      <w:r w:rsidR="0073667C" w:rsidRPr="00CE24BD">
        <w:rPr>
          <w:rFonts w:asciiTheme="majorHAnsi" w:hAnsiTheme="majorHAnsi"/>
          <w:sz w:val="24"/>
          <w:szCs w:val="24"/>
          <w:lang w:val="en"/>
        </w:rPr>
        <w:t>responsive and supportive</w:t>
      </w:r>
      <w:r w:rsidR="0073667C">
        <w:rPr>
          <w:rFonts w:asciiTheme="majorHAnsi" w:hAnsiTheme="majorHAnsi"/>
          <w:sz w:val="24"/>
          <w:szCs w:val="24"/>
          <w:lang w:val="en"/>
        </w:rPr>
        <w:t xml:space="preserve"> </w:t>
      </w:r>
      <w:r w:rsidR="0073667C" w:rsidRPr="47042EA4">
        <w:rPr>
          <w:rFonts w:asciiTheme="majorHAnsi" w:hAnsiTheme="majorHAnsi"/>
          <w:sz w:val="24"/>
          <w:szCs w:val="24"/>
          <w:lang w:val="en"/>
        </w:rPr>
        <w:t>research sector that is committed to gender equality and diversity.</w:t>
      </w:r>
      <w:r w:rsidR="0073667C">
        <w:rPr>
          <w:rFonts w:asciiTheme="majorHAnsi" w:hAnsiTheme="majorHAnsi"/>
          <w:sz w:val="24"/>
          <w:szCs w:val="24"/>
          <w:lang w:val="en"/>
        </w:rPr>
        <w:t xml:space="preserve"> To achieve this, the ARC has committed to:</w:t>
      </w:r>
    </w:p>
    <w:bookmarkEnd w:id="4"/>
    <w:p w14:paraId="06A07D22" w14:textId="1E7FEC1F" w:rsidR="0073667C" w:rsidRPr="000C4697" w:rsidRDefault="0073667C" w:rsidP="0073667C">
      <w:pPr>
        <w:pStyle w:val="ListParagraph"/>
        <w:numPr>
          <w:ilvl w:val="0"/>
          <w:numId w:val="3"/>
        </w:numPr>
        <w:ind w:left="360"/>
        <w:rPr>
          <w:rFonts w:asciiTheme="majorHAnsi" w:eastAsiaTheme="majorEastAsia" w:hAnsiTheme="majorHAnsi" w:cstheme="majorBidi"/>
          <w:color w:val="000000" w:themeColor="text1"/>
          <w:sz w:val="24"/>
          <w:szCs w:val="24"/>
          <w:lang w:val="en"/>
        </w:rPr>
      </w:pPr>
      <w:r w:rsidRPr="00E83AC0">
        <w:rPr>
          <w:rFonts w:asciiTheme="majorHAnsi" w:hAnsiTheme="majorHAnsi"/>
          <w:sz w:val="24"/>
          <w:szCs w:val="24"/>
          <w:lang w:val="en"/>
        </w:rPr>
        <w:t>Supporting women researchers</w:t>
      </w:r>
      <w:r w:rsidR="00E35D01">
        <w:rPr>
          <w:rFonts w:asciiTheme="majorHAnsi" w:hAnsiTheme="majorHAnsi"/>
          <w:sz w:val="24"/>
          <w:szCs w:val="24"/>
          <w:lang w:val="en"/>
        </w:rPr>
        <w:t>,</w:t>
      </w:r>
      <w:r w:rsidRPr="00E83AC0">
        <w:rPr>
          <w:rFonts w:asciiTheme="majorHAnsi" w:hAnsiTheme="majorHAnsi"/>
          <w:sz w:val="24"/>
          <w:szCs w:val="24"/>
          <w:lang w:val="en"/>
        </w:rPr>
        <w:t xml:space="preserve"> at all career stages</w:t>
      </w:r>
      <w:r w:rsidR="00E35D01">
        <w:rPr>
          <w:rFonts w:asciiTheme="majorHAnsi" w:hAnsiTheme="majorHAnsi"/>
          <w:sz w:val="24"/>
          <w:szCs w:val="24"/>
          <w:lang w:val="en"/>
        </w:rPr>
        <w:t>,</w:t>
      </w:r>
      <w:r w:rsidRPr="00E83AC0">
        <w:rPr>
          <w:rFonts w:asciiTheme="majorHAnsi" w:hAnsiTheme="majorHAnsi"/>
          <w:sz w:val="24"/>
          <w:szCs w:val="24"/>
          <w:lang w:val="en"/>
        </w:rPr>
        <w:t xml:space="preserve"> </w:t>
      </w:r>
      <w:r>
        <w:rPr>
          <w:rFonts w:asciiTheme="majorHAnsi" w:hAnsiTheme="majorHAnsi"/>
          <w:sz w:val="24"/>
          <w:szCs w:val="24"/>
          <w:lang w:val="en"/>
        </w:rPr>
        <w:t xml:space="preserve">under the NCGP </w:t>
      </w:r>
      <w:r w:rsidRPr="00E83AC0">
        <w:rPr>
          <w:rFonts w:asciiTheme="majorHAnsi" w:hAnsiTheme="majorHAnsi"/>
          <w:sz w:val="24"/>
          <w:szCs w:val="24"/>
          <w:lang w:val="en"/>
        </w:rPr>
        <w:t xml:space="preserve">to facilitate a </w:t>
      </w:r>
      <w:r w:rsidRPr="00DA4CF4">
        <w:rPr>
          <w:rFonts w:asciiTheme="majorHAnsi" w:hAnsiTheme="majorHAnsi"/>
          <w:sz w:val="24"/>
          <w:szCs w:val="24"/>
          <w:lang w:val="en"/>
        </w:rPr>
        <w:t>dynamic, inclusive, and progressive</w:t>
      </w:r>
      <w:r w:rsidRPr="00E83AC0">
        <w:rPr>
          <w:rFonts w:asciiTheme="majorHAnsi" w:hAnsiTheme="majorHAnsi"/>
          <w:sz w:val="24"/>
          <w:szCs w:val="24"/>
          <w:lang w:val="en"/>
        </w:rPr>
        <w:t xml:space="preserve"> research workforce</w:t>
      </w:r>
      <w:r>
        <w:rPr>
          <w:rFonts w:asciiTheme="majorHAnsi" w:hAnsiTheme="majorHAnsi"/>
          <w:sz w:val="24"/>
          <w:szCs w:val="24"/>
          <w:lang w:val="en"/>
        </w:rPr>
        <w:t>.</w:t>
      </w:r>
    </w:p>
    <w:p w14:paraId="55ED2FBB" w14:textId="04BF810B" w:rsidR="0073667C" w:rsidRPr="004C03FC" w:rsidRDefault="00A11CA1" w:rsidP="4A14C3FD">
      <w:pPr>
        <w:pStyle w:val="ListParagraph"/>
        <w:numPr>
          <w:ilvl w:val="0"/>
          <w:numId w:val="3"/>
        </w:numPr>
        <w:ind w:left="360"/>
        <w:rPr>
          <w:rFonts w:asciiTheme="majorHAnsi" w:eastAsiaTheme="majorEastAsia" w:hAnsiTheme="majorHAnsi" w:cstheme="majorBidi"/>
          <w:color w:val="000000" w:themeColor="text1"/>
          <w:sz w:val="24"/>
          <w:szCs w:val="24"/>
          <w:lang w:val="en"/>
        </w:rPr>
      </w:pPr>
      <w:r w:rsidRPr="4A14C3FD">
        <w:rPr>
          <w:rFonts w:asciiTheme="majorHAnsi" w:hAnsiTheme="majorHAnsi"/>
          <w:sz w:val="24"/>
          <w:szCs w:val="24"/>
          <w:lang w:val="en"/>
        </w:rPr>
        <w:t>P</w:t>
      </w:r>
      <w:r w:rsidR="00323B76">
        <w:rPr>
          <w:rFonts w:asciiTheme="majorHAnsi" w:hAnsiTheme="majorHAnsi"/>
          <w:sz w:val="24"/>
          <w:szCs w:val="24"/>
          <w:lang w:val="en"/>
        </w:rPr>
        <w:t>romoting</w:t>
      </w:r>
      <w:r>
        <w:rPr>
          <w:rFonts w:asciiTheme="majorHAnsi" w:hAnsiTheme="majorHAnsi"/>
          <w:sz w:val="24"/>
          <w:szCs w:val="24"/>
          <w:lang w:val="en"/>
        </w:rPr>
        <w:t xml:space="preserve"> </w:t>
      </w:r>
      <w:r w:rsidR="0073667C" w:rsidRPr="4A14C3FD">
        <w:rPr>
          <w:rFonts w:asciiTheme="majorHAnsi" w:hAnsiTheme="majorHAnsi"/>
          <w:sz w:val="24"/>
          <w:szCs w:val="24"/>
          <w:lang w:val="en"/>
        </w:rPr>
        <w:t xml:space="preserve">outstanding </w:t>
      </w:r>
      <w:r>
        <w:rPr>
          <w:rFonts w:asciiTheme="majorHAnsi" w:hAnsiTheme="majorHAnsi"/>
          <w:sz w:val="24"/>
          <w:szCs w:val="24"/>
          <w:lang w:val="en"/>
        </w:rPr>
        <w:t xml:space="preserve">women </w:t>
      </w:r>
      <w:r w:rsidR="0073667C" w:rsidRPr="4A14C3FD">
        <w:rPr>
          <w:rFonts w:asciiTheme="majorHAnsi" w:hAnsiTheme="majorHAnsi"/>
          <w:sz w:val="24"/>
          <w:szCs w:val="24"/>
          <w:lang w:val="en"/>
        </w:rPr>
        <w:t>researchers, to improve the visibility of role models and research leaders</w:t>
      </w:r>
      <w:r w:rsidR="00BB4768">
        <w:rPr>
          <w:rFonts w:asciiTheme="majorHAnsi" w:hAnsiTheme="majorHAnsi"/>
          <w:sz w:val="24"/>
          <w:szCs w:val="24"/>
          <w:lang w:val="en"/>
        </w:rPr>
        <w:t>,</w:t>
      </w:r>
      <w:r w:rsidR="0073667C" w:rsidRPr="4A14C3FD">
        <w:rPr>
          <w:rFonts w:asciiTheme="majorHAnsi" w:hAnsiTheme="majorHAnsi"/>
          <w:sz w:val="24"/>
          <w:szCs w:val="24"/>
          <w:lang w:val="en"/>
        </w:rPr>
        <w:t xml:space="preserve"> to inspire the next </w:t>
      </w:r>
      <w:r w:rsidR="0073667C" w:rsidRPr="00323B76">
        <w:rPr>
          <w:rFonts w:asciiTheme="majorHAnsi" w:hAnsiTheme="majorHAnsi"/>
          <w:sz w:val="24"/>
          <w:szCs w:val="24"/>
          <w:lang w:val="en"/>
        </w:rPr>
        <w:t>generation</w:t>
      </w:r>
      <w:r w:rsidR="0073667C" w:rsidRPr="4A14C3FD">
        <w:rPr>
          <w:rFonts w:asciiTheme="majorHAnsi" w:hAnsiTheme="majorHAnsi"/>
          <w:sz w:val="24"/>
          <w:szCs w:val="24"/>
          <w:lang w:val="en"/>
        </w:rPr>
        <w:t xml:space="preserve"> of researchers in Australia.</w:t>
      </w:r>
    </w:p>
    <w:p w14:paraId="074D037C" w14:textId="5AD4C018" w:rsidR="0073667C" w:rsidRDefault="0073667C" w:rsidP="0073667C">
      <w:pPr>
        <w:pStyle w:val="ListParagraph"/>
        <w:numPr>
          <w:ilvl w:val="0"/>
          <w:numId w:val="2"/>
        </w:numPr>
        <w:ind w:left="360"/>
        <w:rPr>
          <w:rFonts w:asciiTheme="majorHAnsi" w:hAnsiTheme="majorHAnsi"/>
          <w:sz w:val="24"/>
          <w:szCs w:val="24"/>
          <w:lang w:val="en"/>
        </w:rPr>
      </w:pPr>
      <w:r>
        <w:rPr>
          <w:rFonts w:asciiTheme="majorHAnsi" w:hAnsiTheme="majorHAnsi"/>
          <w:sz w:val="24"/>
          <w:szCs w:val="24"/>
          <w:lang w:val="en"/>
        </w:rPr>
        <w:t>Leading change by p</w:t>
      </w:r>
      <w:r w:rsidRPr="005A659F">
        <w:rPr>
          <w:rFonts w:asciiTheme="majorHAnsi" w:hAnsiTheme="majorHAnsi"/>
          <w:sz w:val="24"/>
          <w:szCs w:val="24"/>
          <w:lang w:val="en"/>
        </w:rPr>
        <w:t xml:space="preserve">romoting gender equality through </w:t>
      </w:r>
      <w:r>
        <w:rPr>
          <w:rFonts w:asciiTheme="majorHAnsi" w:hAnsiTheme="majorHAnsi"/>
          <w:sz w:val="24"/>
          <w:szCs w:val="24"/>
          <w:lang w:val="en"/>
        </w:rPr>
        <w:t xml:space="preserve">program design and implementation, best practice policies </w:t>
      </w:r>
      <w:r w:rsidRPr="005A659F">
        <w:rPr>
          <w:rFonts w:asciiTheme="majorHAnsi" w:hAnsiTheme="majorHAnsi"/>
          <w:sz w:val="24"/>
          <w:szCs w:val="24"/>
          <w:lang w:val="en"/>
        </w:rPr>
        <w:t xml:space="preserve">and </w:t>
      </w:r>
      <w:r w:rsidR="00A11CA1">
        <w:rPr>
          <w:rFonts w:asciiTheme="majorHAnsi" w:hAnsiTheme="majorHAnsi"/>
          <w:sz w:val="24"/>
          <w:szCs w:val="24"/>
          <w:lang w:val="en"/>
        </w:rPr>
        <w:t xml:space="preserve">ongoing </w:t>
      </w:r>
      <w:r w:rsidRPr="005A659F">
        <w:rPr>
          <w:rFonts w:asciiTheme="majorHAnsi" w:hAnsiTheme="majorHAnsi"/>
          <w:sz w:val="24"/>
          <w:szCs w:val="24"/>
          <w:lang w:val="en"/>
        </w:rPr>
        <w:t>engagement with the research sector</w:t>
      </w:r>
      <w:r>
        <w:rPr>
          <w:rFonts w:asciiTheme="majorHAnsi" w:hAnsiTheme="majorHAnsi"/>
          <w:sz w:val="24"/>
          <w:szCs w:val="24"/>
          <w:lang w:val="en"/>
        </w:rPr>
        <w:t>.</w:t>
      </w:r>
    </w:p>
    <w:p w14:paraId="308B6AC3" w14:textId="73A181E5" w:rsidR="0073667C" w:rsidRDefault="0073667C" w:rsidP="0073667C">
      <w:pPr>
        <w:pStyle w:val="ListParagraph"/>
        <w:numPr>
          <w:ilvl w:val="0"/>
          <w:numId w:val="2"/>
        </w:numPr>
        <w:ind w:left="360"/>
        <w:rPr>
          <w:rFonts w:asciiTheme="majorHAnsi" w:hAnsiTheme="majorHAnsi"/>
          <w:sz w:val="24"/>
          <w:szCs w:val="24"/>
          <w:lang w:val="en"/>
        </w:rPr>
      </w:pPr>
      <w:r w:rsidRPr="005A659F">
        <w:rPr>
          <w:rFonts w:asciiTheme="majorHAnsi" w:hAnsiTheme="majorHAnsi"/>
          <w:sz w:val="24"/>
          <w:szCs w:val="24"/>
          <w:lang w:val="en"/>
        </w:rPr>
        <w:t xml:space="preserve">Maintaining a peer review process predicated on research excellence that has fairness, </w:t>
      </w:r>
      <w:r>
        <w:rPr>
          <w:rFonts w:asciiTheme="majorHAnsi" w:hAnsiTheme="majorHAnsi"/>
          <w:sz w:val="24"/>
          <w:szCs w:val="24"/>
          <w:lang w:val="en"/>
        </w:rPr>
        <w:t>expertise, administrative transparency, impartiality, and integrity</w:t>
      </w:r>
      <w:r w:rsidR="00A11CA1">
        <w:rPr>
          <w:rFonts w:asciiTheme="majorHAnsi" w:hAnsiTheme="majorHAnsi"/>
          <w:sz w:val="24"/>
          <w:szCs w:val="24"/>
          <w:lang w:val="en"/>
        </w:rPr>
        <w:t xml:space="preserve"> as core principles</w:t>
      </w:r>
      <w:r>
        <w:rPr>
          <w:rFonts w:asciiTheme="majorHAnsi" w:hAnsiTheme="majorHAnsi"/>
          <w:sz w:val="24"/>
          <w:szCs w:val="24"/>
          <w:lang w:val="en"/>
        </w:rPr>
        <w:t>.</w:t>
      </w:r>
    </w:p>
    <w:p w14:paraId="54E16A22" w14:textId="57D5C0B9" w:rsidR="00B82778" w:rsidRPr="005A659F" w:rsidRDefault="00B82778" w:rsidP="0073667C">
      <w:pPr>
        <w:pStyle w:val="ListParagraph"/>
        <w:numPr>
          <w:ilvl w:val="0"/>
          <w:numId w:val="2"/>
        </w:numPr>
        <w:ind w:left="360"/>
        <w:rPr>
          <w:rFonts w:asciiTheme="majorHAnsi" w:hAnsiTheme="majorHAnsi"/>
          <w:sz w:val="24"/>
          <w:szCs w:val="24"/>
          <w:lang w:val="en"/>
        </w:rPr>
      </w:pPr>
      <w:r>
        <w:rPr>
          <w:rFonts w:asciiTheme="majorHAnsi" w:hAnsiTheme="majorHAnsi"/>
          <w:sz w:val="24"/>
          <w:szCs w:val="24"/>
          <w:lang w:val="en"/>
        </w:rPr>
        <w:t xml:space="preserve">Endorsing mechanisms to improve the participation of women in the research workforce, including improving </w:t>
      </w:r>
      <w:r w:rsidR="00DD1E74">
        <w:rPr>
          <w:rFonts w:asciiTheme="majorHAnsi" w:hAnsiTheme="majorHAnsi"/>
          <w:sz w:val="24"/>
          <w:szCs w:val="24"/>
          <w:lang w:val="en"/>
        </w:rPr>
        <w:t xml:space="preserve">the </w:t>
      </w:r>
      <w:r>
        <w:rPr>
          <w:rFonts w:asciiTheme="majorHAnsi" w:hAnsiTheme="majorHAnsi"/>
          <w:sz w:val="24"/>
          <w:szCs w:val="24"/>
          <w:lang w:val="en"/>
        </w:rPr>
        <w:t>gender balance in research teams.</w:t>
      </w:r>
    </w:p>
    <w:p w14:paraId="6F8B95F3" w14:textId="66A63AF9" w:rsidR="0073667C" w:rsidRDefault="0073667C" w:rsidP="0073667C">
      <w:pPr>
        <w:pStyle w:val="ListParagraph"/>
        <w:numPr>
          <w:ilvl w:val="0"/>
          <w:numId w:val="2"/>
        </w:numPr>
        <w:ind w:left="360"/>
        <w:rPr>
          <w:rFonts w:asciiTheme="majorHAnsi" w:hAnsiTheme="majorHAnsi"/>
          <w:sz w:val="24"/>
          <w:szCs w:val="24"/>
          <w:lang w:val="en"/>
        </w:rPr>
      </w:pPr>
      <w:r w:rsidRPr="0080047A">
        <w:rPr>
          <w:rFonts w:asciiTheme="majorHAnsi" w:hAnsiTheme="majorHAnsi"/>
          <w:sz w:val="24"/>
          <w:szCs w:val="24"/>
          <w:lang w:val="en"/>
        </w:rPr>
        <w:t xml:space="preserve">Promoting </w:t>
      </w:r>
      <w:r>
        <w:rPr>
          <w:rFonts w:asciiTheme="majorHAnsi" w:hAnsiTheme="majorHAnsi"/>
          <w:sz w:val="24"/>
          <w:szCs w:val="24"/>
          <w:lang w:val="en"/>
        </w:rPr>
        <w:t>excellent</w:t>
      </w:r>
      <w:r w:rsidRPr="0080047A">
        <w:rPr>
          <w:rFonts w:asciiTheme="majorHAnsi" w:hAnsiTheme="majorHAnsi"/>
          <w:sz w:val="24"/>
          <w:szCs w:val="24"/>
          <w:lang w:val="en"/>
        </w:rPr>
        <w:t xml:space="preserve"> research outcomes and impact across all ARC funded disciplines to showcase innovation, ingenuity, and creativity—featuring the work of outstanding women researchers</w:t>
      </w:r>
      <w:r>
        <w:rPr>
          <w:rFonts w:asciiTheme="majorHAnsi" w:hAnsiTheme="majorHAnsi"/>
          <w:sz w:val="24"/>
          <w:szCs w:val="24"/>
          <w:lang w:val="en"/>
        </w:rPr>
        <w:t>.</w:t>
      </w:r>
    </w:p>
    <w:p w14:paraId="590486AF" w14:textId="1D7702E7" w:rsidR="0073667C" w:rsidRDefault="0073667C" w:rsidP="0073667C">
      <w:pPr>
        <w:pStyle w:val="ListParagraph"/>
        <w:numPr>
          <w:ilvl w:val="0"/>
          <w:numId w:val="2"/>
        </w:numPr>
        <w:ind w:left="360"/>
        <w:rPr>
          <w:rFonts w:asciiTheme="majorHAnsi" w:hAnsiTheme="majorHAnsi"/>
          <w:sz w:val="24"/>
          <w:szCs w:val="24"/>
          <w:lang w:val="en"/>
        </w:rPr>
      </w:pPr>
      <w:r>
        <w:rPr>
          <w:rFonts w:asciiTheme="majorHAnsi" w:hAnsiTheme="majorHAnsi"/>
          <w:sz w:val="24"/>
          <w:szCs w:val="24"/>
          <w:lang w:val="en"/>
        </w:rPr>
        <w:t xml:space="preserve">Contributing to productive research environments that are built upon equal opportunities for </w:t>
      </w:r>
      <w:r w:rsidR="00A11CA1">
        <w:rPr>
          <w:rFonts w:asciiTheme="majorHAnsi" w:hAnsiTheme="majorHAnsi"/>
          <w:sz w:val="24"/>
          <w:szCs w:val="24"/>
          <w:lang w:val="en"/>
        </w:rPr>
        <w:t xml:space="preserve">both </w:t>
      </w:r>
      <w:r>
        <w:rPr>
          <w:rFonts w:asciiTheme="majorHAnsi" w:hAnsiTheme="majorHAnsi"/>
          <w:sz w:val="24"/>
          <w:szCs w:val="24"/>
          <w:lang w:val="en"/>
        </w:rPr>
        <w:t>women and men.</w:t>
      </w:r>
    </w:p>
    <w:p w14:paraId="1DAFC7B6" w14:textId="6F880D0C" w:rsidR="0073667C" w:rsidRDefault="0073667C" w:rsidP="0073667C">
      <w:pPr>
        <w:pStyle w:val="ListParagraph"/>
        <w:numPr>
          <w:ilvl w:val="0"/>
          <w:numId w:val="2"/>
        </w:numPr>
        <w:ind w:left="360"/>
        <w:rPr>
          <w:rFonts w:asciiTheme="majorHAnsi" w:hAnsiTheme="majorHAnsi"/>
          <w:sz w:val="24"/>
          <w:szCs w:val="24"/>
          <w:lang w:val="en"/>
        </w:rPr>
      </w:pPr>
      <w:r>
        <w:rPr>
          <w:rFonts w:asciiTheme="majorHAnsi" w:hAnsiTheme="majorHAnsi"/>
          <w:sz w:val="24"/>
          <w:szCs w:val="24"/>
          <w:lang w:val="en"/>
        </w:rPr>
        <w:t>Publishing NCGP</w:t>
      </w:r>
      <w:r w:rsidR="009E1520">
        <w:rPr>
          <w:rFonts w:asciiTheme="majorHAnsi" w:hAnsiTheme="majorHAnsi"/>
          <w:sz w:val="24"/>
          <w:szCs w:val="24"/>
          <w:lang w:val="en"/>
        </w:rPr>
        <w:t>,</w:t>
      </w:r>
      <w:r>
        <w:rPr>
          <w:rFonts w:asciiTheme="majorHAnsi" w:hAnsiTheme="majorHAnsi"/>
          <w:sz w:val="24"/>
          <w:szCs w:val="24"/>
          <w:lang w:val="en"/>
        </w:rPr>
        <w:t xml:space="preserve"> and the broader research workforce</w:t>
      </w:r>
      <w:r w:rsidR="009E1520">
        <w:rPr>
          <w:rFonts w:asciiTheme="majorHAnsi" w:hAnsiTheme="majorHAnsi"/>
          <w:sz w:val="24"/>
          <w:szCs w:val="24"/>
          <w:lang w:val="en"/>
        </w:rPr>
        <w:t>,</w:t>
      </w:r>
      <w:r>
        <w:rPr>
          <w:rFonts w:asciiTheme="majorHAnsi" w:hAnsiTheme="majorHAnsi"/>
          <w:sz w:val="24"/>
          <w:szCs w:val="24"/>
          <w:lang w:val="en"/>
        </w:rPr>
        <w:t xml:space="preserve"> gender data and analysis to identify and address trends and inform policy development and implementation.</w:t>
      </w:r>
    </w:p>
    <w:p w14:paraId="7B8D4650" w14:textId="77777777" w:rsidR="0073667C" w:rsidRDefault="0073667C" w:rsidP="0073667C">
      <w:pPr>
        <w:pStyle w:val="ListParagraph"/>
        <w:numPr>
          <w:ilvl w:val="0"/>
          <w:numId w:val="2"/>
        </w:numPr>
        <w:ind w:left="360"/>
        <w:rPr>
          <w:rFonts w:asciiTheme="majorHAnsi" w:hAnsiTheme="majorHAnsi"/>
          <w:sz w:val="24"/>
          <w:szCs w:val="24"/>
          <w:lang w:val="en"/>
        </w:rPr>
      </w:pPr>
      <w:r w:rsidRPr="00A04571">
        <w:rPr>
          <w:rFonts w:asciiTheme="majorHAnsi" w:hAnsiTheme="majorHAnsi"/>
          <w:sz w:val="24"/>
          <w:szCs w:val="24"/>
          <w:lang w:val="en"/>
        </w:rPr>
        <w:t>Aligning with Australian Government initiatives to achieve focused and effective gender equality outcomes.</w:t>
      </w:r>
    </w:p>
    <w:p w14:paraId="7AFF1A09" w14:textId="78598388" w:rsidR="0073667C" w:rsidRPr="00F3415B" w:rsidRDefault="0073667C" w:rsidP="00F3415B">
      <w:pPr>
        <w:pStyle w:val="Heading1"/>
        <w:spacing w:after="240"/>
      </w:pPr>
      <w:r w:rsidRPr="00F3415B">
        <w:t>Implementation</w:t>
      </w:r>
    </w:p>
    <w:p w14:paraId="601CA649" w14:textId="77777777" w:rsidR="0073667C" w:rsidRPr="00527F24" w:rsidRDefault="0073667C" w:rsidP="00E619E1">
      <w:pPr>
        <w:autoSpaceDE w:val="0"/>
        <w:autoSpaceDN w:val="0"/>
        <w:adjustRightInd w:val="0"/>
        <w:spacing w:before="120" w:after="120" w:line="240" w:lineRule="auto"/>
        <w:rPr>
          <w:b/>
          <w:i/>
        </w:rPr>
      </w:pPr>
      <w:r w:rsidRPr="00E619E1">
        <w:rPr>
          <w:rFonts w:ascii="Arial" w:hAnsi="Arial" w:cs="Arial"/>
          <w:b/>
          <w:sz w:val="24"/>
          <w:szCs w:val="24"/>
        </w:rPr>
        <w:t>National Competitive Grants Program (NCGP)</w:t>
      </w:r>
    </w:p>
    <w:p w14:paraId="3CB5307F" w14:textId="77777777" w:rsidR="00CA2213" w:rsidRDefault="00CA2213" w:rsidP="00CA2213">
      <w:pPr>
        <w:rPr>
          <w:rFonts w:asciiTheme="majorHAnsi" w:hAnsiTheme="majorHAnsi"/>
          <w:sz w:val="24"/>
          <w:szCs w:val="24"/>
          <w:lang w:val="en"/>
        </w:rPr>
      </w:pPr>
      <w:r w:rsidRPr="007576BC">
        <w:rPr>
          <w:rFonts w:asciiTheme="majorHAnsi" w:hAnsiTheme="majorHAnsi"/>
          <w:sz w:val="24"/>
          <w:szCs w:val="24"/>
          <w:lang w:val="en"/>
        </w:rPr>
        <w:t xml:space="preserve">NCGP schemes provide a range of opportunities for researchers </w:t>
      </w:r>
      <w:r>
        <w:rPr>
          <w:rFonts w:asciiTheme="majorHAnsi" w:hAnsiTheme="majorHAnsi"/>
          <w:sz w:val="24"/>
          <w:szCs w:val="24"/>
          <w:lang w:val="en"/>
        </w:rPr>
        <w:t xml:space="preserve">from diverse career backgrounds, </w:t>
      </w:r>
      <w:r w:rsidRPr="007576BC">
        <w:rPr>
          <w:rFonts w:asciiTheme="majorHAnsi" w:hAnsiTheme="majorHAnsi"/>
          <w:sz w:val="24"/>
          <w:szCs w:val="24"/>
          <w:lang w:val="en"/>
        </w:rPr>
        <w:t>at all career stages, across disciplines,</w:t>
      </w:r>
      <w:r>
        <w:rPr>
          <w:rFonts w:asciiTheme="majorHAnsi" w:hAnsiTheme="majorHAnsi"/>
          <w:sz w:val="24"/>
          <w:szCs w:val="24"/>
          <w:lang w:val="en"/>
        </w:rPr>
        <w:t xml:space="preserve"> and</w:t>
      </w:r>
      <w:r w:rsidRPr="007576BC">
        <w:rPr>
          <w:rFonts w:asciiTheme="majorHAnsi" w:hAnsiTheme="majorHAnsi"/>
          <w:sz w:val="24"/>
          <w:szCs w:val="24"/>
          <w:lang w:val="en"/>
        </w:rPr>
        <w:t xml:space="preserve"> from Australia and overseas</w:t>
      </w:r>
      <w:r>
        <w:rPr>
          <w:rFonts w:asciiTheme="majorHAnsi" w:hAnsiTheme="majorHAnsi"/>
          <w:sz w:val="24"/>
          <w:szCs w:val="24"/>
          <w:lang w:val="en"/>
        </w:rPr>
        <w:t>.</w:t>
      </w:r>
      <w:r w:rsidRPr="007576BC">
        <w:rPr>
          <w:rFonts w:asciiTheme="majorHAnsi" w:hAnsiTheme="majorHAnsi"/>
          <w:sz w:val="24"/>
          <w:szCs w:val="24"/>
          <w:lang w:val="en"/>
        </w:rPr>
        <w:t xml:space="preserve"> </w:t>
      </w:r>
    </w:p>
    <w:p w14:paraId="0FFF03B2" w14:textId="7177EB5F" w:rsidR="003F7D31" w:rsidRDefault="00BF5FB7" w:rsidP="003F7D31">
      <w:pPr>
        <w:rPr>
          <w:rFonts w:asciiTheme="majorHAnsi" w:hAnsiTheme="majorHAnsi"/>
          <w:sz w:val="24"/>
          <w:szCs w:val="24"/>
          <w:lang w:val="en"/>
        </w:rPr>
      </w:pPr>
      <w:r w:rsidRPr="4A14C3FD">
        <w:rPr>
          <w:rFonts w:asciiTheme="majorHAnsi" w:hAnsiTheme="majorHAnsi"/>
          <w:sz w:val="24"/>
          <w:szCs w:val="24"/>
          <w:lang w:val="en"/>
        </w:rPr>
        <w:t xml:space="preserve">The ARC is committed to contributing to a research workforce, which benefits from fair and equitable access for all </w:t>
      </w:r>
      <w:r w:rsidR="005916EA">
        <w:rPr>
          <w:rFonts w:asciiTheme="majorHAnsi" w:hAnsiTheme="majorHAnsi"/>
          <w:sz w:val="24"/>
          <w:szCs w:val="24"/>
          <w:lang w:val="en"/>
        </w:rPr>
        <w:t xml:space="preserve">eligible </w:t>
      </w:r>
      <w:r w:rsidRPr="4A14C3FD">
        <w:rPr>
          <w:rFonts w:asciiTheme="majorHAnsi" w:hAnsiTheme="majorHAnsi"/>
          <w:sz w:val="24"/>
          <w:szCs w:val="24"/>
          <w:lang w:val="en"/>
        </w:rPr>
        <w:t>researchers to NCGP research funding.</w:t>
      </w:r>
      <w:r>
        <w:rPr>
          <w:rFonts w:asciiTheme="majorHAnsi" w:hAnsiTheme="majorHAnsi"/>
          <w:sz w:val="24"/>
          <w:szCs w:val="24"/>
          <w:lang w:val="en"/>
        </w:rPr>
        <w:t xml:space="preserve"> </w:t>
      </w:r>
      <w:r w:rsidR="003F7D31">
        <w:rPr>
          <w:rFonts w:asciiTheme="majorHAnsi" w:hAnsiTheme="majorHAnsi"/>
          <w:sz w:val="24"/>
          <w:szCs w:val="24"/>
          <w:lang w:val="en"/>
        </w:rPr>
        <w:t>The</w:t>
      </w:r>
      <w:r w:rsidR="003F7D31" w:rsidRPr="00D249F2">
        <w:rPr>
          <w:rFonts w:asciiTheme="majorHAnsi" w:hAnsiTheme="majorHAnsi"/>
          <w:sz w:val="24"/>
          <w:szCs w:val="24"/>
          <w:lang w:val="en"/>
        </w:rPr>
        <w:t xml:space="preserve"> ARC has focused on a </w:t>
      </w:r>
      <w:r w:rsidR="007F5E0B">
        <w:rPr>
          <w:rFonts w:asciiTheme="majorHAnsi" w:hAnsiTheme="majorHAnsi"/>
          <w:sz w:val="24"/>
          <w:szCs w:val="24"/>
          <w:lang w:val="en"/>
        </w:rPr>
        <w:t>consc</w:t>
      </w:r>
      <w:r w:rsidR="007E3C5D">
        <w:rPr>
          <w:rFonts w:asciiTheme="majorHAnsi" w:hAnsiTheme="majorHAnsi"/>
          <w:sz w:val="24"/>
          <w:szCs w:val="24"/>
          <w:lang w:val="en"/>
        </w:rPr>
        <w:t>ious</w:t>
      </w:r>
      <w:r w:rsidR="007F5E0B" w:rsidRPr="00D249F2">
        <w:rPr>
          <w:rFonts w:asciiTheme="majorHAnsi" w:hAnsiTheme="majorHAnsi"/>
          <w:sz w:val="24"/>
          <w:szCs w:val="24"/>
          <w:lang w:val="en"/>
        </w:rPr>
        <w:t xml:space="preserve"> </w:t>
      </w:r>
      <w:r w:rsidR="003F7D31" w:rsidRPr="00D249F2">
        <w:rPr>
          <w:rFonts w:asciiTheme="majorHAnsi" w:hAnsiTheme="majorHAnsi"/>
          <w:sz w:val="24"/>
          <w:szCs w:val="24"/>
          <w:lang w:val="en"/>
        </w:rPr>
        <w:t xml:space="preserve">and systematic approach to providing </w:t>
      </w:r>
      <w:r w:rsidR="003F7D31">
        <w:rPr>
          <w:rFonts w:asciiTheme="majorHAnsi" w:hAnsiTheme="majorHAnsi"/>
          <w:sz w:val="24"/>
          <w:szCs w:val="24"/>
          <w:lang w:val="en"/>
        </w:rPr>
        <w:t xml:space="preserve">women with equal access to the </w:t>
      </w:r>
      <w:r w:rsidR="003F7D31" w:rsidRPr="00D249F2">
        <w:rPr>
          <w:rFonts w:asciiTheme="majorHAnsi" w:hAnsiTheme="majorHAnsi"/>
          <w:sz w:val="24"/>
          <w:szCs w:val="24"/>
          <w:lang w:val="en"/>
        </w:rPr>
        <w:t>diverse opportunities</w:t>
      </w:r>
      <w:r w:rsidR="003F7D31">
        <w:rPr>
          <w:rFonts w:asciiTheme="majorHAnsi" w:hAnsiTheme="majorHAnsi"/>
          <w:sz w:val="24"/>
          <w:szCs w:val="24"/>
          <w:lang w:val="en"/>
        </w:rPr>
        <w:t xml:space="preserve"> available</w:t>
      </w:r>
      <w:r w:rsidR="0034009A">
        <w:rPr>
          <w:rFonts w:asciiTheme="majorHAnsi" w:hAnsiTheme="majorHAnsi"/>
          <w:sz w:val="24"/>
          <w:szCs w:val="24"/>
          <w:lang w:val="en"/>
        </w:rPr>
        <w:t>,</w:t>
      </w:r>
      <w:r w:rsidR="003F7D31" w:rsidRPr="00586230">
        <w:rPr>
          <w:rFonts w:asciiTheme="majorHAnsi" w:hAnsiTheme="majorHAnsi"/>
          <w:sz w:val="24"/>
          <w:szCs w:val="24"/>
          <w:lang w:val="en"/>
        </w:rPr>
        <w:t xml:space="preserve"> </w:t>
      </w:r>
      <w:r w:rsidR="003F7D31">
        <w:rPr>
          <w:rFonts w:asciiTheme="majorHAnsi" w:hAnsiTheme="majorHAnsi"/>
          <w:sz w:val="24"/>
          <w:szCs w:val="24"/>
          <w:lang w:val="en"/>
        </w:rPr>
        <w:t xml:space="preserve">under </w:t>
      </w:r>
      <w:r w:rsidR="003F7D31" w:rsidRPr="00D249F2">
        <w:rPr>
          <w:rFonts w:asciiTheme="majorHAnsi" w:hAnsiTheme="majorHAnsi"/>
          <w:sz w:val="24"/>
          <w:szCs w:val="24"/>
          <w:lang w:val="en"/>
        </w:rPr>
        <w:t xml:space="preserve">all </w:t>
      </w:r>
      <w:r w:rsidR="003F7D31">
        <w:rPr>
          <w:rFonts w:asciiTheme="majorHAnsi" w:hAnsiTheme="majorHAnsi"/>
          <w:sz w:val="24"/>
          <w:szCs w:val="24"/>
          <w:lang w:val="en"/>
        </w:rPr>
        <w:t xml:space="preserve">NCGP </w:t>
      </w:r>
      <w:r w:rsidR="003F7D31" w:rsidRPr="00D249F2">
        <w:rPr>
          <w:rFonts w:asciiTheme="majorHAnsi" w:hAnsiTheme="majorHAnsi"/>
          <w:sz w:val="24"/>
          <w:szCs w:val="24"/>
          <w:lang w:val="en"/>
        </w:rPr>
        <w:t>schemes</w:t>
      </w:r>
      <w:r w:rsidR="0034009A">
        <w:rPr>
          <w:rFonts w:asciiTheme="majorHAnsi" w:hAnsiTheme="majorHAnsi"/>
          <w:sz w:val="24"/>
          <w:szCs w:val="24"/>
          <w:lang w:val="en"/>
        </w:rPr>
        <w:t>,</w:t>
      </w:r>
      <w:r w:rsidR="003F7D31">
        <w:rPr>
          <w:rFonts w:asciiTheme="majorHAnsi" w:hAnsiTheme="majorHAnsi"/>
          <w:sz w:val="24"/>
          <w:szCs w:val="24"/>
          <w:lang w:val="en"/>
        </w:rPr>
        <w:t xml:space="preserve"> for researchers at all career stages</w:t>
      </w:r>
      <w:r w:rsidR="003F7D31" w:rsidRPr="00D249F2">
        <w:rPr>
          <w:rFonts w:asciiTheme="majorHAnsi" w:hAnsiTheme="majorHAnsi"/>
          <w:sz w:val="24"/>
          <w:szCs w:val="24"/>
          <w:lang w:val="en"/>
        </w:rPr>
        <w:t>.</w:t>
      </w:r>
      <w:r w:rsidR="00A577F0">
        <w:rPr>
          <w:rFonts w:asciiTheme="majorHAnsi" w:hAnsiTheme="majorHAnsi"/>
          <w:sz w:val="24"/>
          <w:szCs w:val="24"/>
          <w:lang w:val="en"/>
        </w:rPr>
        <w:t xml:space="preserve"> As part of this approach all NCGP information </w:t>
      </w:r>
      <w:r w:rsidR="00B5069D">
        <w:rPr>
          <w:rFonts w:asciiTheme="majorHAnsi" w:hAnsiTheme="majorHAnsi"/>
          <w:sz w:val="24"/>
          <w:szCs w:val="24"/>
          <w:lang w:val="en"/>
        </w:rPr>
        <w:t>complies with Australian Government accessibility requirements</w:t>
      </w:r>
      <w:r w:rsidR="001A5BD9">
        <w:rPr>
          <w:rFonts w:asciiTheme="majorHAnsi" w:hAnsiTheme="majorHAnsi"/>
          <w:sz w:val="24"/>
          <w:szCs w:val="24"/>
          <w:lang w:val="en"/>
        </w:rPr>
        <w:t xml:space="preserve"> and guidelines, including </w:t>
      </w:r>
      <w:r w:rsidR="00EF10BE">
        <w:rPr>
          <w:rFonts w:asciiTheme="majorHAnsi" w:hAnsiTheme="majorHAnsi"/>
          <w:sz w:val="24"/>
          <w:szCs w:val="24"/>
          <w:lang w:val="en"/>
        </w:rPr>
        <w:t xml:space="preserve">gender neutral language, inclusive content, </w:t>
      </w:r>
      <w:r w:rsidR="00512D47">
        <w:rPr>
          <w:rFonts w:asciiTheme="majorHAnsi" w:hAnsiTheme="majorHAnsi"/>
          <w:sz w:val="24"/>
          <w:szCs w:val="24"/>
          <w:lang w:val="en"/>
        </w:rPr>
        <w:t>culturally appropriate and respectful language</w:t>
      </w:r>
      <w:r w:rsidR="00EF10BE">
        <w:rPr>
          <w:rFonts w:asciiTheme="majorHAnsi" w:hAnsiTheme="majorHAnsi"/>
          <w:sz w:val="24"/>
          <w:szCs w:val="24"/>
          <w:lang w:val="en"/>
        </w:rPr>
        <w:t xml:space="preserve"> </w:t>
      </w:r>
      <w:r w:rsidR="00E63B16">
        <w:rPr>
          <w:rFonts w:asciiTheme="majorHAnsi" w:hAnsiTheme="majorHAnsi"/>
          <w:sz w:val="24"/>
          <w:szCs w:val="24"/>
          <w:lang w:val="en"/>
        </w:rPr>
        <w:t xml:space="preserve">and </w:t>
      </w:r>
      <w:r w:rsidR="00C51EF0">
        <w:rPr>
          <w:rFonts w:asciiTheme="majorHAnsi" w:hAnsiTheme="majorHAnsi"/>
          <w:sz w:val="24"/>
          <w:szCs w:val="24"/>
          <w:lang w:val="en"/>
        </w:rPr>
        <w:t xml:space="preserve">non-discriminatory </w:t>
      </w:r>
      <w:r w:rsidR="003C58AC">
        <w:rPr>
          <w:rFonts w:asciiTheme="majorHAnsi" w:hAnsiTheme="majorHAnsi"/>
          <w:sz w:val="24"/>
          <w:szCs w:val="24"/>
          <w:lang w:val="en"/>
        </w:rPr>
        <w:t>content</w:t>
      </w:r>
      <w:r w:rsidR="00C51EF0">
        <w:rPr>
          <w:rFonts w:asciiTheme="majorHAnsi" w:hAnsiTheme="majorHAnsi"/>
          <w:sz w:val="24"/>
          <w:szCs w:val="24"/>
          <w:lang w:val="en"/>
        </w:rPr>
        <w:t>.</w:t>
      </w:r>
    </w:p>
    <w:p w14:paraId="4484C75D" w14:textId="79751343" w:rsidR="004C3783" w:rsidRPr="00D0649A" w:rsidRDefault="004C3783" w:rsidP="004C3783">
      <w:pPr>
        <w:spacing w:before="120" w:after="120" w:line="276" w:lineRule="auto"/>
        <w:rPr>
          <w:rFonts w:asciiTheme="majorHAnsi" w:hAnsiTheme="majorHAnsi"/>
          <w:sz w:val="24"/>
          <w:szCs w:val="24"/>
          <w:lang w:val="en"/>
        </w:rPr>
      </w:pPr>
      <w:r w:rsidRPr="00D0649A">
        <w:rPr>
          <w:rFonts w:asciiTheme="majorHAnsi" w:hAnsiTheme="majorHAnsi"/>
          <w:sz w:val="24"/>
          <w:szCs w:val="24"/>
          <w:lang w:val="en"/>
        </w:rPr>
        <w:lastRenderedPageBreak/>
        <w:t xml:space="preserve">Under the NCGP, early and mid-career researchers, research leaders, and Aboriginal and Torres Strait Islander researchers can apply for fellowships and awards under the Discovery Early Career Researcher Award (DECRA), Future Fellowships, Australian Laureate Fellowships and Discovery Indigenous schemes. Early and mid-career researchers and higher degree research students can work directly with research leaders, through the Centres of Excellence; Industrial Transformation Research Program (ITRP); and Australian Laureate Fellowships schemes.  </w:t>
      </w:r>
    </w:p>
    <w:p w14:paraId="34E10D82" w14:textId="77777777" w:rsidR="004C3783" w:rsidRPr="00D0649A" w:rsidRDefault="004C3783" w:rsidP="004C3783">
      <w:pPr>
        <w:spacing w:before="120" w:after="120" w:line="276" w:lineRule="auto"/>
        <w:rPr>
          <w:rFonts w:asciiTheme="majorHAnsi" w:hAnsiTheme="majorHAnsi"/>
          <w:sz w:val="24"/>
          <w:szCs w:val="24"/>
          <w:lang w:val="en"/>
        </w:rPr>
      </w:pPr>
      <w:r w:rsidRPr="00D0649A">
        <w:rPr>
          <w:rFonts w:asciiTheme="majorHAnsi" w:hAnsiTheme="majorHAnsi"/>
          <w:sz w:val="24"/>
          <w:szCs w:val="24"/>
          <w:lang w:val="en"/>
        </w:rPr>
        <w:t xml:space="preserve">Aboriginal and Torres Strait Islander higher degree students, and uniquely under the NCGP </w:t>
      </w:r>
      <w:proofErr w:type="spellStart"/>
      <w:r w:rsidRPr="00D0649A">
        <w:rPr>
          <w:rFonts w:asciiTheme="majorHAnsi" w:hAnsiTheme="majorHAnsi"/>
          <w:sz w:val="24"/>
          <w:szCs w:val="24"/>
          <w:lang w:val="en"/>
        </w:rPr>
        <w:t>honours</w:t>
      </w:r>
      <w:proofErr w:type="spellEnd"/>
      <w:r w:rsidRPr="00D0649A">
        <w:rPr>
          <w:rFonts w:asciiTheme="majorHAnsi" w:hAnsiTheme="majorHAnsi"/>
          <w:sz w:val="24"/>
          <w:szCs w:val="24"/>
          <w:lang w:val="en"/>
        </w:rPr>
        <w:t xml:space="preserve"> students, can work with Aboriginal and/or Torres Strait Islander researchers, and research leaders under the Discovery Indigenous scheme, which exclusively funds projects and awards led by an Aboriginal or Torres Strait Islander researcher.  </w:t>
      </w:r>
    </w:p>
    <w:p w14:paraId="38CFFC15" w14:textId="77777777" w:rsidR="004C3783" w:rsidRPr="00D0649A" w:rsidRDefault="004C3783" w:rsidP="004C3783">
      <w:pPr>
        <w:spacing w:before="120" w:after="120" w:line="276" w:lineRule="auto"/>
        <w:rPr>
          <w:rFonts w:asciiTheme="majorHAnsi" w:hAnsiTheme="majorHAnsi"/>
          <w:sz w:val="24"/>
          <w:szCs w:val="24"/>
          <w:lang w:val="en"/>
        </w:rPr>
      </w:pPr>
      <w:r w:rsidRPr="00D0649A">
        <w:rPr>
          <w:rFonts w:asciiTheme="majorHAnsi" w:hAnsiTheme="majorHAnsi"/>
          <w:sz w:val="24"/>
          <w:szCs w:val="24"/>
          <w:lang w:val="en"/>
        </w:rPr>
        <w:t xml:space="preserve">University-based researchers can work with industry through the Linkage Projects and ITRP schemes and all researchers can access infrastructure through the Linkage Infrastructure, Equipment and Facilities scheme.  </w:t>
      </w:r>
    </w:p>
    <w:p w14:paraId="1E0692E3" w14:textId="77777777" w:rsidR="004C3783" w:rsidRPr="00D0649A" w:rsidRDefault="004C3783" w:rsidP="004C3783">
      <w:pPr>
        <w:shd w:val="clear" w:color="auto" w:fill="FFFFFF"/>
        <w:spacing w:before="120" w:after="120" w:line="276" w:lineRule="auto"/>
        <w:rPr>
          <w:rFonts w:asciiTheme="majorHAnsi" w:hAnsiTheme="majorHAnsi"/>
          <w:sz w:val="24"/>
          <w:szCs w:val="24"/>
          <w:lang w:val="en"/>
        </w:rPr>
      </w:pPr>
      <w:r w:rsidRPr="00D0649A">
        <w:rPr>
          <w:rFonts w:asciiTheme="majorHAnsi" w:hAnsiTheme="majorHAnsi"/>
          <w:sz w:val="24"/>
          <w:szCs w:val="24"/>
          <w:lang w:val="en"/>
        </w:rPr>
        <w:t>Within this framework, in support of our commitment to advancing women in research, the ARC has implemented a range of initiatives under NCGP schemes:</w:t>
      </w:r>
    </w:p>
    <w:tbl>
      <w:tblPr>
        <w:tblStyle w:val="TableGrid"/>
        <w:tblW w:w="0" w:type="auto"/>
        <w:tblLook w:val="04A0" w:firstRow="1" w:lastRow="0" w:firstColumn="1" w:lastColumn="0" w:noHBand="0" w:noVBand="1"/>
      </w:tblPr>
      <w:tblGrid>
        <w:gridCol w:w="9016"/>
      </w:tblGrid>
      <w:tr w:rsidR="004C3783" w14:paraId="49B29945" w14:textId="77777777" w:rsidTr="009F1A5B">
        <w:tc>
          <w:tcPr>
            <w:tcW w:w="9016" w:type="dxa"/>
            <w:tcBorders>
              <w:top w:val="nil"/>
              <w:left w:val="nil"/>
              <w:bottom w:val="nil"/>
              <w:right w:val="nil"/>
            </w:tcBorders>
            <w:shd w:val="clear" w:color="auto" w:fill="auto"/>
          </w:tcPr>
          <w:p w14:paraId="7D3DDF75" w14:textId="77777777" w:rsidR="004C3783" w:rsidRPr="004B5B70" w:rsidRDefault="004C3783" w:rsidP="00E619E1">
            <w:pPr>
              <w:autoSpaceDE w:val="0"/>
              <w:autoSpaceDN w:val="0"/>
              <w:adjustRightInd w:val="0"/>
              <w:spacing w:before="120" w:after="120"/>
              <w:ind w:left="-109"/>
              <w:rPr>
                <w:rFonts w:ascii="Arial" w:hAnsi="Arial" w:cs="Arial"/>
                <w:b/>
                <w:bCs/>
                <w:color w:val="FFFFFF" w:themeColor="background1"/>
                <w:sz w:val="24"/>
                <w:szCs w:val="24"/>
              </w:rPr>
            </w:pPr>
            <w:r w:rsidRPr="009F1A5B">
              <w:rPr>
                <w:rFonts w:ascii="Arial" w:hAnsi="Arial" w:cs="Arial"/>
                <w:b/>
                <w:bCs/>
                <w:sz w:val="24"/>
                <w:szCs w:val="24"/>
              </w:rPr>
              <w:t>Targeted Funding – Kathleen Fitzpatrick and Georgina Sweet Australian Laureate Fellowships</w:t>
            </w:r>
          </w:p>
        </w:tc>
      </w:tr>
      <w:tr w:rsidR="004C3783" w14:paraId="1A267642" w14:textId="77777777" w:rsidTr="00E73AF9">
        <w:trPr>
          <w:trHeight w:val="1746"/>
        </w:trPr>
        <w:tc>
          <w:tcPr>
            <w:tcW w:w="9016" w:type="dxa"/>
            <w:tcBorders>
              <w:top w:val="nil"/>
              <w:left w:val="nil"/>
              <w:bottom w:val="single" w:sz="18" w:space="0" w:color="auto"/>
              <w:right w:val="nil"/>
            </w:tcBorders>
          </w:tcPr>
          <w:p w14:paraId="63AEB904" w14:textId="77777777" w:rsidR="004C3783" w:rsidRPr="00EE5DEE" w:rsidRDefault="004C3783" w:rsidP="00981064">
            <w:pPr>
              <w:pStyle w:val="ListParagraph"/>
              <w:numPr>
                <w:ilvl w:val="0"/>
                <w:numId w:val="1"/>
              </w:numPr>
              <w:autoSpaceDE w:val="0"/>
              <w:autoSpaceDN w:val="0"/>
              <w:adjustRightInd w:val="0"/>
              <w:spacing w:before="120" w:after="120" w:line="276" w:lineRule="auto"/>
              <w:ind w:left="596" w:hanging="284"/>
              <w:contextualSpacing w:val="0"/>
              <w:jc w:val="both"/>
              <w:rPr>
                <w:rFonts w:asciiTheme="majorHAnsi" w:hAnsiTheme="majorHAnsi" w:cstheme="majorHAnsi"/>
                <w:b/>
                <w:sz w:val="24"/>
                <w:szCs w:val="24"/>
              </w:rPr>
            </w:pPr>
            <w:r w:rsidRPr="00EE5DEE">
              <w:rPr>
                <w:rFonts w:asciiTheme="majorHAnsi" w:hAnsiTheme="majorHAnsi" w:cstheme="majorHAnsi"/>
                <w:sz w:val="24"/>
                <w:szCs w:val="24"/>
              </w:rPr>
              <w:t xml:space="preserve">Women researchers can be supported under all NCGP schemes, and exclusively under the Kathleen Fitzpatrick, humanities, arts, and social sciences disciplines, and Georgina Sweet, science and technology disciplines, (named) Australian Laureate Fellowships. </w:t>
            </w:r>
          </w:p>
          <w:p w14:paraId="40FCBD33" w14:textId="7E1A974C" w:rsidR="004C3783" w:rsidRPr="00EE5DEE" w:rsidRDefault="004C3783" w:rsidP="00981064">
            <w:pPr>
              <w:pStyle w:val="ListParagraph"/>
              <w:numPr>
                <w:ilvl w:val="0"/>
                <w:numId w:val="1"/>
              </w:numPr>
              <w:autoSpaceDE w:val="0"/>
              <w:autoSpaceDN w:val="0"/>
              <w:adjustRightInd w:val="0"/>
              <w:spacing w:before="120" w:after="120" w:line="276" w:lineRule="auto"/>
              <w:ind w:left="596" w:hanging="284"/>
              <w:contextualSpacing w:val="0"/>
              <w:rPr>
                <w:rFonts w:asciiTheme="majorHAnsi" w:hAnsiTheme="majorHAnsi" w:cstheme="majorHAnsi"/>
                <w:sz w:val="24"/>
                <w:szCs w:val="24"/>
              </w:rPr>
            </w:pPr>
            <w:r w:rsidRPr="00EE5DEE">
              <w:rPr>
                <w:rFonts w:asciiTheme="majorHAnsi" w:hAnsiTheme="majorHAnsi" w:cstheme="majorHAnsi"/>
                <w:sz w:val="24"/>
                <w:szCs w:val="24"/>
              </w:rPr>
              <w:t>The named Australian Laureate Fellowships are awarded annually to women who are successful in the Australian Laureate Fellowships scheme round, and who a</w:t>
            </w:r>
            <w:r w:rsidR="00137CB6">
              <w:rPr>
                <w:rFonts w:asciiTheme="majorHAnsi" w:hAnsiTheme="majorHAnsi" w:cstheme="majorHAnsi"/>
                <w:sz w:val="24"/>
                <w:szCs w:val="24"/>
              </w:rPr>
              <w:t xml:space="preserve">lso </w:t>
            </w:r>
            <w:r w:rsidRPr="00EE5DEE">
              <w:rPr>
                <w:rFonts w:asciiTheme="majorHAnsi" w:hAnsiTheme="majorHAnsi" w:cstheme="majorHAnsi"/>
                <w:sz w:val="24"/>
                <w:szCs w:val="24"/>
              </w:rPr>
              <w:t xml:space="preserve">applied for one of the named Fellowships. </w:t>
            </w:r>
          </w:p>
          <w:p w14:paraId="3AF312D6" w14:textId="77777777" w:rsidR="004C3783" w:rsidRDefault="004C3783" w:rsidP="00981064">
            <w:pPr>
              <w:pStyle w:val="ListParagraph"/>
              <w:numPr>
                <w:ilvl w:val="0"/>
                <w:numId w:val="1"/>
              </w:numPr>
              <w:spacing w:before="120" w:after="120" w:line="276" w:lineRule="auto"/>
              <w:ind w:left="596" w:hanging="284"/>
              <w:contextualSpacing w:val="0"/>
            </w:pPr>
            <w:r w:rsidRPr="00EE5DEE">
              <w:rPr>
                <w:rFonts w:asciiTheme="majorHAnsi" w:hAnsiTheme="majorHAnsi" w:cstheme="majorHAnsi"/>
                <w:sz w:val="24"/>
                <w:szCs w:val="24"/>
              </w:rPr>
              <w:t>The recipients of the named fellowships receive additional funding to undertake an ambassadorial role to promote women in research and mentor early career researchers, particularly women, to encourage them to enter and establish research careers in Australia.</w:t>
            </w:r>
          </w:p>
        </w:tc>
      </w:tr>
      <w:tr w:rsidR="004C3783" w14:paraId="467A98E1" w14:textId="77777777" w:rsidTr="00E73AF9">
        <w:tc>
          <w:tcPr>
            <w:tcW w:w="9016" w:type="dxa"/>
            <w:tcBorders>
              <w:top w:val="single" w:sz="18" w:space="0" w:color="auto"/>
              <w:left w:val="single" w:sz="18" w:space="0" w:color="auto"/>
              <w:bottom w:val="single" w:sz="18" w:space="0" w:color="auto"/>
              <w:right w:val="single" w:sz="18" w:space="0" w:color="auto"/>
            </w:tcBorders>
            <w:shd w:val="clear" w:color="auto" w:fill="auto"/>
          </w:tcPr>
          <w:p w14:paraId="509385A3" w14:textId="77777777" w:rsidR="004C3783" w:rsidRPr="00823437" w:rsidRDefault="004C3783" w:rsidP="00981064">
            <w:pPr>
              <w:autoSpaceDE w:val="0"/>
              <w:autoSpaceDN w:val="0"/>
              <w:adjustRightInd w:val="0"/>
              <w:spacing w:before="120" w:after="120"/>
              <w:jc w:val="both"/>
              <w:rPr>
                <w:rFonts w:ascii="Arial" w:hAnsi="Arial" w:cs="Arial"/>
                <w:b/>
                <w:bCs/>
                <w:color w:val="1F3864" w:themeColor="accent1" w:themeShade="80"/>
                <w:sz w:val="20"/>
                <w:szCs w:val="20"/>
              </w:rPr>
            </w:pPr>
            <w:r w:rsidRPr="00823437">
              <w:rPr>
                <w:rFonts w:ascii="Arial" w:hAnsi="Arial" w:cs="Arial"/>
                <w:b/>
                <w:bCs/>
                <w:color w:val="1F3864" w:themeColor="accent1" w:themeShade="80"/>
                <w:sz w:val="20"/>
                <w:szCs w:val="20"/>
              </w:rPr>
              <w:t>Kathleen Fitzpatrick and Georgina Sweet Australian Laureate Fellows</w:t>
            </w:r>
          </w:p>
        </w:tc>
      </w:tr>
      <w:tr w:rsidR="004C3783" w14:paraId="23D0D2AA" w14:textId="77777777" w:rsidTr="003E020E">
        <w:trPr>
          <w:trHeight w:val="558"/>
        </w:trPr>
        <w:tc>
          <w:tcPr>
            <w:tcW w:w="9016" w:type="dxa"/>
            <w:tcBorders>
              <w:top w:val="single" w:sz="18" w:space="0" w:color="auto"/>
              <w:left w:val="single" w:sz="18" w:space="0" w:color="auto"/>
              <w:bottom w:val="single" w:sz="18" w:space="0" w:color="auto"/>
              <w:right w:val="single" w:sz="18" w:space="0" w:color="auto"/>
            </w:tcBorders>
            <w:shd w:val="clear" w:color="auto" w:fill="auto"/>
          </w:tcPr>
          <w:p w14:paraId="6847C155" w14:textId="77777777" w:rsidR="004C3783" w:rsidRPr="005363D3" w:rsidRDefault="004C3783" w:rsidP="00981064">
            <w:pPr>
              <w:spacing w:before="120" w:after="120" w:line="276" w:lineRule="auto"/>
              <w:rPr>
                <w:rFonts w:ascii="Arial" w:hAnsi="Arial" w:cs="Arial"/>
                <w:sz w:val="20"/>
                <w:szCs w:val="20"/>
              </w:rPr>
            </w:pPr>
            <w:r w:rsidRPr="005363D3">
              <w:rPr>
                <w:rFonts w:ascii="Arial" w:hAnsi="Arial" w:cs="Arial"/>
                <w:sz w:val="20"/>
                <w:szCs w:val="20"/>
              </w:rPr>
              <w:t xml:space="preserve">The named Australian Laureate Fellowships were introduced in 2011 to recognise outstanding women in research. The impact of this initiative has been multi-faceted, highlighting the research careers and outcomes of excellent women researchers, and also establishing a network of highly visible research leaders and champions to inspire young women in research. The additional funding has enabled each named Australian Laureate Fellow to support and mentor early-career researchers, particularly women. Initiatives implemented by named Australian Laureate Fellows under this scheme include: </w:t>
            </w:r>
            <w:hyperlink r:id="rId10" w:history="1">
              <w:r w:rsidRPr="005363D3">
                <w:rPr>
                  <w:rStyle w:val="Hyperlink"/>
                  <w:rFonts w:ascii="Arial" w:hAnsi="Arial" w:cs="Arial"/>
                  <w:sz w:val="20"/>
                  <w:szCs w:val="20"/>
                </w:rPr>
                <w:t>Science in Australia Gender Equity (SAGE)</w:t>
              </w:r>
            </w:hyperlink>
            <w:r w:rsidRPr="005363D3">
              <w:rPr>
                <w:rFonts w:ascii="Arial" w:hAnsi="Arial" w:cs="Arial"/>
                <w:sz w:val="20"/>
                <w:szCs w:val="20"/>
              </w:rPr>
              <w:t xml:space="preserve">, which aims to improve gender equity in the Australian higher education and research sector; initiated and led by Professor Nalini Joshi (2012 Georgina Sweet Australian Laureate Fellow); The </w:t>
            </w:r>
            <w:hyperlink r:id="rId11" w:history="1">
              <w:r w:rsidRPr="005363D3">
                <w:rPr>
                  <w:rStyle w:val="Hyperlink"/>
                  <w:rFonts w:ascii="Arial" w:hAnsi="Arial" w:cs="Arial"/>
                  <w:sz w:val="20"/>
                  <w:szCs w:val="20"/>
                </w:rPr>
                <w:t>Georgina Sweet Awards for Women in Quantitative Biomedical Science</w:t>
              </w:r>
            </w:hyperlink>
            <w:r w:rsidRPr="005363D3">
              <w:rPr>
                <w:rFonts w:ascii="Arial" w:hAnsi="Arial" w:cs="Arial"/>
                <w:sz w:val="20"/>
                <w:szCs w:val="20"/>
              </w:rPr>
              <w:t xml:space="preserve">, which promote and support female scientists who </w:t>
            </w:r>
            <w:r w:rsidRPr="005363D3">
              <w:rPr>
                <w:rFonts w:ascii="Arial" w:hAnsi="Arial" w:cs="Arial"/>
                <w:sz w:val="20"/>
                <w:szCs w:val="20"/>
              </w:rPr>
              <w:lastRenderedPageBreak/>
              <w:t xml:space="preserve">demonstrate excellence in the area of quantitative biomedical science established by Professor Leann Tilley (2015 Georgina Sweet Australian Laureate Fellow);  </w:t>
            </w:r>
            <w:hyperlink r:id="rId12" w:history="1">
              <w:r w:rsidRPr="005363D3">
                <w:rPr>
                  <w:rStyle w:val="Hyperlink"/>
                  <w:rFonts w:ascii="Arial" w:hAnsi="Arial" w:cs="Arial"/>
                  <w:sz w:val="20"/>
                  <w:szCs w:val="20"/>
                </w:rPr>
                <w:t>the Kathleen Fitzpatrick Mentoring Fellowship</w:t>
              </w:r>
            </w:hyperlink>
            <w:r w:rsidRPr="005363D3">
              <w:rPr>
                <w:rFonts w:ascii="Arial" w:hAnsi="Arial" w:cs="Arial"/>
                <w:sz w:val="20"/>
                <w:szCs w:val="20"/>
              </w:rPr>
              <w:t xml:space="preserve">, a residential program for Indigenous women early career researchers established by Professor Lynette Russell (2019 Kathleen Fitzpatrick Australian Laureate Fellow) and </w:t>
            </w:r>
            <w:hyperlink r:id="rId13" w:history="1">
              <w:r w:rsidRPr="005363D3">
                <w:rPr>
                  <w:rStyle w:val="Hyperlink"/>
                  <w:rFonts w:ascii="Arial" w:hAnsi="Arial" w:cs="Arial"/>
                  <w:sz w:val="20"/>
                  <w:szCs w:val="20"/>
                </w:rPr>
                <w:t>Women in Research</w:t>
              </w:r>
            </w:hyperlink>
            <w:r w:rsidRPr="005363D3">
              <w:rPr>
                <w:rFonts w:ascii="Arial" w:hAnsi="Arial" w:cs="Arial"/>
                <w:sz w:val="20"/>
                <w:szCs w:val="20"/>
              </w:rPr>
              <w:t xml:space="preserve"> an on-line resource to support female researchers and enhance gender diversity in Australian institutions established by Professor Sharon Parker (2016 Kathleen Fitzpatrick Australian Laureate Fellow).</w:t>
            </w:r>
          </w:p>
        </w:tc>
      </w:tr>
    </w:tbl>
    <w:p w14:paraId="1D2E961B" w14:textId="77777777" w:rsidR="004C3783" w:rsidRDefault="004C3783" w:rsidP="004B5B70">
      <w:pPr>
        <w:spacing w:after="0"/>
        <w:jc w:val="center"/>
      </w:pPr>
    </w:p>
    <w:tbl>
      <w:tblPr>
        <w:tblStyle w:val="TableGrid"/>
        <w:tblW w:w="0" w:type="auto"/>
        <w:tblLook w:val="04A0" w:firstRow="1" w:lastRow="0" w:firstColumn="1" w:lastColumn="0" w:noHBand="0" w:noVBand="1"/>
      </w:tblPr>
      <w:tblGrid>
        <w:gridCol w:w="9016"/>
      </w:tblGrid>
      <w:tr w:rsidR="004C3783" w14:paraId="1A818350" w14:textId="77777777" w:rsidTr="009F1A5B">
        <w:tc>
          <w:tcPr>
            <w:tcW w:w="9016" w:type="dxa"/>
            <w:tcBorders>
              <w:top w:val="nil"/>
              <w:left w:val="nil"/>
              <w:bottom w:val="nil"/>
              <w:right w:val="nil"/>
            </w:tcBorders>
            <w:shd w:val="clear" w:color="auto" w:fill="auto"/>
          </w:tcPr>
          <w:p w14:paraId="286DE1F0" w14:textId="77777777" w:rsidR="004C3783" w:rsidRPr="004B5B70" w:rsidRDefault="004C3783" w:rsidP="00307F25">
            <w:pPr>
              <w:tabs>
                <w:tab w:val="left" w:pos="567"/>
              </w:tabs>
              <w:autoSpaceDE w:val="0"/>
              <w:autoSpaceDN w:val="0"/>
              <w:adjustRightInd w:val="0"/>
              <w:spacing w:before="120" w:after="120"/>
              <w:rPr>
                <w:rFonts w:ascii="Arial" w:hAnsi="Arial" w:cs="Arial"/>
                <w:b/>
                <w:bCs/>
                <w:color w:val="FFFFFF" w:themeColor="background1"/>
                <w:sz w:val="24"/>
                <w:szCs w:val="24"/>
              </w:rPr>
            </w:pPr>
            <w:r w:rsidRPr="009F1A5B">
              <w:rPr>
                <w:rFonts w:ascii="Arial" w:hAnsi="Arial" w:cs="Arial"/>
                <w:b/>
                <w:bCs/>
                <w:sz w:val="24"/>
                <w:szCs w:val="24"/>
              </w:rPr>
              <w:t>Eligibility </w:t>
            </w:r>
          </w:p>
        </w:tc>
      </w:tr>
      <w:tr w:rsidR="004C3783" w14:paraId="46C909A5" w14:textId="77777777" w:rsidTr="009F1A5B">
        <w:tc>
          <w:tcPr>
            <w:tcW w:w="9016" w:type="dxa"/>
            <w:tcBorders>
              <w:top w:val="nil"/>
              <w:left w:val="nil"/>
              <w:bottom w:val="nil"/>
              <w:right w:val="nil"/>
            </w:tcBorders>
          </w:tcPr>
          <w:p w14:paraId="759766B5" w14:textId="77777777" w:rsidR="004C3783" w:rsidRPr="00EE5DEE" w:rsidRDefault="004C3783" w:rsidP="00981064">
            <w:pPr>
              <w:pStyle w:val="ListParagraph"/>
              <w:numPr>
                <w:ilvl w:val="0"/>
                <w:numId w:val="1"/>
              </w:numPr>
              <w:autoSpaceDE w:val="0"/>
              <w:autoSpaceDN w:val="0"/>
              <w:adjustRightInd w:val="0"/>
              <w:spacing w:before="120" w:after="120" w:line="276" w:lineRule="auto"/>
              <w:ind w:left="596" w:hanging="284"/>
              <w:contextualSpacing w:val="0"/>
              <w:rPr>
                <w:rFonts w:asciiTheme="majorHAnsi" w:hAnsiTheme="majorHAnsi" w:cstheme="majorHAnsi"/>
                <w:b/>
                <w:bCs/>
                <w:sz w:val="24"/>
                <w:szCs w:val="24"/>
              </w:rPr>
            </w:pPr>
            <w:r w:rsidRPr="00EE5DEE">
              <w:rPr>
                <w:rFonts w:asciiTheme="majorHAnsi" w:hAnsiTheme="majorHAnsi" w:cstheme="majorHAnsi"/>
                <w:sz w:val="24"/>
                <w:szCs w:val="24"/>
              </w:rPr>
              <w:t>Under the </w:t>
            </w:r>
            <w:r w:rsidRPr="00EE5DEE">
              <w:rPr>
                <w:rFonts w:asciiTheme="majorHAnsi" w:hAnsiTheme="majorHAnsi" w:cstheme="majorHAnsi"/>
                <w:i/>
                <w:iCs/>
                <w:sz w:val="24"/>
                <w:szCs w:val="24"/>
              </w:rPr>
              <w:t>Discovery Early Career Researcher Award</w:t>
            </w:r>
            <w:r w:rsidRPr="00EE5DEE">
              <w:rPr>
                <w:rFonts w:asciiTheme="majorHAnsi" w:hAnsiTheme="majorHAnsi" w:cstheme="majorHAnsi"/>
                <w:sz w:val="24"/>
                <w:szCs w:val="24"/>
              </w:rPr>
              <w:t> and </w:t>
            </w:r>
            <w:r w:rsidRPr="00EE5DEE">
              <w:rPr>
                <w:rFonts w:asciiTheme="majorHAnsi" w:hAnsiTheme="majorHAnsi" w:cstheme="majorHAnsi"/>
                <w:i/>
                <w:iCs/>
                <w:sz w:val="24"/>
                <w:szCs w:val="24"/>
              </w:rPr>
              <w:t>Future Fellowships</w:t>
            </w:r>
            <w:r w:rsidRPr="00EE5DEE">
              <w:rPr>
                <w:rFonts w:asciiTheme="majorHAnsi" w:hAnsiTheme="majorHAnsi" w:cstheme="majorHAnsi"/>
                <w:sz w:val="24"/>
                <w:szCs w:val="24"/>
              </w:rPr>
              <w:t xml:space="preserve"> schemes the eligibility periods for early and mid-career researchers can be extended for specified career interruptions, in recognition of the potentially significant impact of interruptions at these career stages, particularly for women. </w:t>
            </w:r>
          </w:p>
          <w:p w14:paraId="4C4C1501" w14:textId="77777777" w:rsidR="004C3783" w:rsidRPr="00EE5DEE" w:rsidRDefault="004C3783" w:rsidP="00981064">
            <w:pPr>
              <w:pStyle w:val="ListParagraph"/>
              <w:numPr>
                <w:ilvl w:val="0"/>
                <w:numId w:val="1"/>
              </w:numPr>
              <w:autoSpaceDE w:val="0"/>
              <w:autoSpaceDN w:val="0"/>
              <w:adjustRightInd w:val="0"/>
              <w:spacing w:before="120" w:after="120" w:line="276" w:lineRule="auto"/>
              <w:ind w:left="596" w:hanging="284"/>
              <w:contextualSpacing w:val="0"/>
              <w:rPr>
                <w:rFonts w:asciiTheme="majorHAnsi" w:hAnsiTheme="majorHAnsi" w:cstheme="majorHAnsi"/>
                <w:b/>
                <w:bCs/>
                <w:sz w:val="24"/>
                <w:szCs w:val="24"/>
              </w:rPr>
            </w:pPr>
            <w:r w:rsidRPr="00EE5DEE">
              <w:rPr>
                <w:rFonts w:asciiTheme="majorHAnsi" w:hAnsiTheme="majorHAnsi" w:cstheme="majorHAnsi"/>
                <w:sz w:val="24"/>
                <w:szCs w:val="24"/>
              </w:rPr>
              <w:t>Eligible career interruptions include parental and caring responsibilities, medical conditions, unemployment, and non-research employment. Further information is provided in the </w:t>
            </w:r>
            <w:hyperlink r:id="rId14" w:history="1">
              <w:r w:rsidRPr="00EE5DEE">
                <w:rPr>
                  <w:rStyle w:val="Hyperlink"/>
                  <w:rFonts w:asciiTheme="majorHAnsi" w:hAnsiTheme="majorHAnsi" w:cstheme="majorHAnsi"/>
                  <w:i/>
                  <w:iCs/>
                  <w:sz w:val="24"/>
                  <w:szCs w:val="24"/>
                </w:rPr>
                <w:t>Eligibility and Career Interruptions Statement</w:t>
              </w:r>
            </w:hyperlink>
            <w:r w:rsidRPr="00EE5DEE">
              <w:rPr>
                <w:rFonts w:asciiTheme="majorHAnsi" w:hAnsiTheme="majorHAnsi" w:cstheme="majorHAnsi"/>
                <w:sz w:val="24"/>
                <w:szCs w:val="24"/>
              </w:rPr>
              <w:t>. </w:t>
            </w:r>
          </w:p>
          <w:p w14:paraId="1DCEACE5" w14:textId="77777777" w:rsidR="004C3783" w:rsidRPr="00EE5DEE" w:rsidRDefault="004C3783" w:rsidP="00981064">
            <w:pPr>
              <w:pStyle w:val="ListParagraph"/>
              <w:numPr>
                <w:ilvl w:val="0"/>
                <w:numId w:val="1"/>
              </w:numPr>
              <w:autoSpaceDE w:val="0"/>
              <w:autoSpaceDN w:val="0"/>
              <w:adjustRightInd w:val="0"/>
              <w:spacing w:before="120" w:after="120" w:line="276" w:lineRule="auto"/>
              <w:ind w:left="596" w:hanging="284"/>
              <w:contextualSpacing w:val="0"/>
              <w:rPr>
                <w:rFonts w:asciiTheme="majorHAnsi" w:hAnsiTheme="majorHAnsi" w:cstheme="majorHAnsi"/>
                <w:b/>
                <w:bCs/>
                <w:sz w:val="24"/>
                <w:szCs w:val="24"/>
              </w:rPr>
            </w:pPr>
            <w:r w:rsidRPr="00EE5DEE">
              <w:rPr>
                <w:rFonts w:asciiTheme="majorHAnsi" w:hAnsiTheme="majorHAnsi" w:cstheme="majorHAnsi"/>
                <w:sz w:val="24"/>
                <w:szCs w:val="24"/>
              </w:rPr>
              <w:t>The ARC recognises that COVID-19 has created a new dimension to career interruption, the impacts of which may last long after the actual interruption has ended. Two additional categories of career interruption are now included under the eligibility criterion, applicable for both the DECRA and </w:t>
            </w:r>
            <w:r w:rsidRPr="00EE5DEE">
              <w:rPr>
                <w:rFonts w:asciiTheme="majorHAnsi" w:hAnsiTheme="majorHAnsi" w:cstheme="majorHAnsi"/>
                <w:i/>
                <w:iCs/>
                <w:sz w:val="24"/>
                <w:szCs w:val="24"/>
              </w:rPr>
              <w:t>Future Fellowships</w:t>
            </w:r>
            <w:r w:rsidRPr="00EE5DEE">
              <w:rPr>
                <w:rFonts w:asciiTheme="majorHAnsi" w:hAnsiTheme="majorHAnsi" w:cstheme="majorHAnsi"/>
                <w:sz w:val="24"/>
                <w:szCs w:val="24"/>
              </w:rPr>
              <w:t> schemes: disaster management and recovery, and limited or no access to facilities and resources—such as through workplace interruptions. </w:t>
            </w:r>
          </w:p>
          <w:p w14:paraId="1CCB8564" w14:textId="77777777" w:rsidR="004C3783" w:rsidRDefault="004C3783" w:rsidP="00981064">
            <w:pPr>
              <w:pStyle w:val="ListParagraph"/>
              <w:numPr>
                <w:ilvl w:val="0"/>
                <w:numId w:val="1"/>
              </w:numPr>
              <w:spacing w:before="120" w:after="120" w:line="276" w:lineRule="auto"/>
              <w:ind w:left="596" w:hanging="284"/>
              <w:contextualSpacing w:val="0"/>
            </w:pPr>
            <w:r w:rsidRPr="00EE5DEE">
              <w:rPr>
                <w:rFonts w:asciiTheme="majorHAnsi" w:hAnsiTheme="majorHAnsi" w:cstheme="majorHAnsi"/>
                <w:sz w:val="24"/>
                <w:szCs w:val="24"/>
              </w:rPr>
              <w:t>Chief Investigators, under all project schemes, must be an employee for at least 20 per cent of full time equivalent at an Eligible Organisation. This criterion ensures that researchers with part-time positions, who are often women, are eligible to apply for NCGP funding.</w:t>
            </w:r>
            <w:r w:rsidRPr="003A20C8">
              <w:rPr>
                <w:rFonts w:asciiTheme="majorHAnsi" w:hAnsiTheme="majorHAnsi" w:cstheme="majorBidi"/>
                <w:sz w:val="24"/>
                <w:szCs w:val="24"/>
              </w:rPr>
              <w:t> </w:t>
            </w:r>
          </w:p>
        </w:tc>
      </w:tr>
      <w:tr w:rsidR="004C3783" w14:paraId="28A41E6C" w14:textId="77777777" w:rsidTr="00CE030D">
        <w:tc>
          <w:tcPr>
            <w:tcW w:w="9016" w:type="dxa"/>
            <w:tcBorders>
              <w:top w:val="nil"/>
              <w:left w:val="nil"/>
              <w:bottom w:val="nil"/>
              <w:right w:val="nil"/>
            </w:tcBorders>
            <w:shd w:val="clear" w:color="auto" w:fill="auto"/>
          </w:tcPr>
          <w:p w14:paraId="17B2278E" w14:textId="77777777" w:rsidR="004C3783" w:rsidRPr="004B5B70" w:rsidRDefault="004C3783" w:rsidP="00981064">
            <w:pPr>
              <w:tabs>
                <w:tab w:val="left" w:pos="567"/>
              </w:tabs>
              <w:autoSpaceDE w:val="0"/>
              <w:autoSpaceDN w:val="0"/>
              <w:adjustRightInd w:val="0"/>
              <w:spacing w:before="120" w:after="120"/>
              <w:rPr>
                <w:rFonts w:ascii="Arial" w:hAnsi="Arial" w:cs="Arial"/>
                <w:b/>
                <w:bCs/>
                <w:color w:val="FFFFFF" w:themeColor="background1"/>
                <w:sz w:val="24"/>
                <w:szCs w:val="24"/>
              </w:rPr>
            </w:pPr>
            <w:r w:rsidRPr="009F1A5B">
              <w:rPr>
                <w:rFonts w:ascii="Arial" w:hAnsi="Arial" w:cs="Arial"/>
                <w:b/>
                <w:bCs/>
                <w:sz w:val="24"/>
                <w:szCs w:val="24"/>
              </w:rPr>
              <w:t>Assessment</w:t>
            </w:r>
          </w:p>
        </w:tc>
      </w:tr>
      <w:tr w:rsidR="004C3783" w14:paraId="7200B1BC" w14:textId="77777777" w:rsidTr="00CE030D">
        <w:tc>
          <w:tcPr>
            <w:tcW w:w="9016" w:type="dxa"/>
            <w:tcBorders>
              <w:top w:val="nil"/>
              <w:left w:val="nil"/>
              <w:bottom w:val="nil"/>
              <w:right w:val="nil"/>
            </w:tcBorders>
          </w:tcPr>
          <w:p w14:paraId="3B2FD2AD" w14:textId="77777777" w:rsidR="004C3783" w:rsidRPr="00EE5DEE" w:rsidRDefault="004C3783" w:rsidP="00981064">
            <w:pPr>
              <w:autoSpaceDE w:val="0"/>
              <w:autoSpaceDN w:val="0"/>
              <w:adjustRightInd w:val="0"/>
              <w:spacing w:before="120" w:after="120" w:line="276" w:lineRule="auto"/>
              <w:rPr>
                <w:rFonts w:asciiTheme="majorHAnsi" w:hAnsiTheme="majorHAnsi" w:cstheme="majorHAnsi"/>
                <w:b/>
                <w:sz w:val="24"/>
                <w:szCs w:val="24"/>
              </w:rPr>
            </w:pPr>
            <w:r w:rsidRPr="00EE5DEE">
              <w:rPr>
                <w:rFonts w:asciiTheme="majorHAnsi" w:hAnsiTheme="majorHAnsi" w:cstheme="majorHAnsi"/>
                <w:sz w:val="24"/>
                <w:szCs w:val="24"/>
              </w:rPr>
              <w:t xml:space="preserve">The award of ARC funding is predicated on research excellence determined through a fair, rigorous, and competitive peer review process. </w:t>
            </w:r>
          </w:p>
          <w:p w14:paraId="34B20E97" w14:textId="77777777" w:rsidR="004C3783" w:rsidRPr="00EE5DEE" w:rsidRDefault="004C3783" w:rsidP="00981064">
            <w:pPr>
              <w:pStyle w:val="ListParagraph"/>
              <w:numPr>
                <w:ilvl w:val="0"/>
                <w:numId w:val="1"/>
              </w:numPr>
              <w:autoSpaceDE w:val="0"/>
              <w:autoSpaceDN w:val="0"/>
              <w:adjustRightInd w:val="0"/>
              <w:spacing w:before="120" w:after="120" w:line="276" w:lineRule="auto"/>
              <w:ind w:left="596" w:hanging="283"/>
              <w:contextualSpacing w:val="0"/>
              <w:rPr>
                <w:rFonts w:asciiTheme="majorHAnsi" w:hAnsiTheme="majorHAnsi" w:cstheme="majorHAnsi"/>
                <w:b/>
                <w:sz w:val="24"/>
                <w:szCs w:val="24"/>
              </w:rPr>
            </w:pPr>
            <w:r w:rsidRPr="00EE5DEE">
              <w:rPr>
                <w:rFonts w:asciiTheme="majorHAnsi" w:hAnsiTheme="majorHAnsi" w:cstheme="majorHAnsi"/>
                <w:sz w:val="24"/>
                <w:szCs w:val="24"/>
              </w:rPr>
              <w:t xml:space="preserve">The Research Opportunity and Performance Evidence (ROPE) assessment criterion is used in most NCGP schemes to recognise research excellence in the context of diverse career and life opportunities and experiences. </w:t>
            </w:r>
          </w:p>
          <w:p w14:paraId="2DE6853B" w14:textId="77777777" w:rsidR="004C3783" w:rsidRPr="00EE5DEE" w:rsidRDefault="004C3783" w:rsidP="003459F1">
            <w:pPr>
              <w:pStyle w:val="ListParagraph"/>
              <w:numPr>
                <w:ilvl w:val="0"/>
                <w:numId w:val="1"/>
              </w:numPr>
              <w:autoSpaceDE w:val="0"/>
              <w:autoSpaceDN w:val="0"/>
              <w:adjustRightInd w:val="0"/>
              <w:spacing w:after="120" w:line="276" w:lineRule="auto"/>
              <w:ind w:left="596" w:hanging="283"/>
              <w:contextualSpacing w:val="0"/>
              <w:rPr>
                <w:rFonts w:asciiTheme="majorHAnsi" w:hAnsiTheme="majorHAnsi" w:cstheme="majorHAnsi"/>
                <w:b/>
                <w:sz w:val="24"/>
                <w:szCs w:val="24"/>
              </w:rPr>
            </w:pPr>
            <w:r w:rsidRPr="00EE5DEE">
              <w:rPr>
                <w:rFonts w:asciiTheme="majorHAnsi" w:hAnsiTheme="majorHAnsi" w:cstheme="majorHAnsi"/>
                <w:sz w:val="24"/>
                <w:szCs w:val="24"/>
              </w:rPr>
              <w:t xml:space="preserve">ROPE considers a researcher’s capacity, productivity, and contribution, relative to opportunity and experience, recognising the impact of career interruptions for any reason. Further information is provided in the </w:t>
            </w:r>
            <w:hyperlink r:id="rId15" w:history="1">
              <w:r w:rsidRPr="00EE5DEE">
                <w:rPr>
                  <w:rStyle w:val="Hyperlink"/>
                  <w:rFonts w:asciiTheme="majorHAnsi" w:hAnsiTheme="majorHAnsi" w:cstheme="majorHAnsi"/>
                  <w:i/>
                  <w:iCs/>
                  <w:sz w:val="24"/>
                  <w:szCs w:val="24"/>
                </w:rPr>
                <w:t>Research Opportunity and Performance Evidence Statement</w:t>
              </w:r>
            </w:hyperlink>
            <w:r w:rsidRPr="00EE5DEE">
              <w:rPr>
                <w:rFonts w:asciiTheme="majorHAnsi" w:hAnsiTheme="majorHAnsi" w:cstheme="majorHAnsi"/>
                <w:sz w:val="24"/>
                <w:szCs w:val="24"/>
              </w:rPr>
              <w:t>.</w:t>
            </w:r>
          </w:p>
          <w:p w14:paraId="7F92021F" w14:textId="77777777" w:rsidR="004C3783" w:rsidRPr="00EE5DEE" w:rsidRDefault="004C3783" w:rsidP="00981064">
            <w:pPr>
              <w:pStyle w:val="ListParagraph"/>
              <w:numPr>
                <w:ilvl w:val="0"/>
                <w:numId w:val="1"/>
              </w:numPr>
              <w:autoSpaceDE w:val="0"/>
              <w:autoSpaceDN w:val="0"/>
              <w:adjustRightInd w:val="0"/>
              <w:spacing w:before="120" w:after="120" w:line="276" w:lineRule="auto"/>
              <w:ind w:left="596" w:hanging="283"/>
              <w:contextualSpacing w:val="0"/>
              <w:rPr>
                <w:rFonts w:asciiTheme="majorHAnsi" w:hAnsiTheme="majorHAnsi" w:cstheme="majorHAnsi"/>
                <w:b/>
                <w:sz w:val="24"/>
                <w:szCs w:val="24"/>
              </w:rPr>
            </w:pPr>
            <w:r w:rsidRPr="00EE5DEE">
              <w:rPr>
                <w:rFonts w:asciiTheme="majorHAnsi" w:hAnsiTheme="majorHAnsi" w:cstheme="majorHAnsi"/>
                <w:sz w:val="24"/>
                <w:szCs w:val="24"/>
              </w:rPr>
              <w:lastRenderedPageBreak/>
              <w:t>Assessors, including ARC College of Experts members, are provided with guidance and training in the application of the ROPE criterion.</w:t>
            </w:r>
          </w:p>
          <w:p w14:paraId="1F68495D" w14:textId="77777777" w:rsidR="004C3783" w:rsidRPr="00EE5DEE" w:rsidRDefault="004C3783" w:rsidP="00981064">
            <w:pPr>
              <w:pStyle w:val="ListParagraph"/>
              <w:numPr>
                <w:ilvl w:val="0"/>
                <w:numId w:val="1"/>
              </w:numPr>
              <w:autoSpaceDE w:val="0"/>
              <w:autoSpaceDN w:val="0"/>
              <w:adjustRightInd w:val="0"/>
              <w:spacing w:before="120" w:after="120" w:line="276" w:lineRule="auto"/>
              <w:ind w:left="596" w:hanging="283"/>
              <w:contextualSpacing w:val="0"/>
              <w:rPr>
                <w:rFonts w:asciiTheme="majorHAnsi" w:hAnsiTheme="majorHAnsi" w:cstheme="majorHAnsi"/>
                <w:b/>
                <w:sz w:val="24"/>
                <w:szCs w:val="24"/>
              </w:rPr>
            </w:pPr>
            <w:r w:rsidRPr="00EE5DEE">
              <w:rPr>
                <w:rFonts w:asciiTheme="majorHAnsi" w:hAnsiTheme="majorHAnsi" w:cstheme="majorHAnsi"/>
                <w:sz w:val="24"/>
                <w:szCs w:val="24"/>
              </w:rPr>
              <w:t xml:space="preserve">The gender balance of membership on ARC selection committees, relative to the overall gender balance in particular fields of research, is actively considered and managed to ensure balanced gender representation. Further information on the gender balance of ARC committees, including the College of Experts is provided on the </w:t>
            </w:r>
            <w:hyperlink r:id="rId16" w:history="1">
              <w:r w:rsidRPr="00EE5DEE">
                <w:rPr>
                  <w:rStyle w:val="Hyperlink"/>
                  <w:rFonts w:asciiTheme="majorHAnsi" w:hAnsiTheme="majorHAnsi" w:cstheme="majorHAnsi"/>
                  <w:sz w:val="24"/>
                  <w:szCs w:val="24"/>
                </w:rPr>
                <w:t>ARC website</w:t>
              </w:r>
            </w:hyperlink>
            <w:r w:rsidRPr="00EE5DEE">
              <w:rPr>
                <w:rFonts w:asciiTheme="majorHAnsi" w:hAnsiTheme="majorHAnsi" w:cstheme="majorHAnsi"/>
                <w:sz w:val="24"/>
                <w:szCs w:val="24"/>
              </w:rPr>
              <w:t>.</w:t>
            </w:r>
          </w:p>
          <w:p w14:paraId="7ED3300D" w14:textId="77777777" w:rsidR="004C3783" w:rsidRPr="00EE5DEE" w:rsidRDefault="004C3783" w:rsidP="00981064">
            <w:pPr>
              <w:pStyle w:val="ListParagraph"/>
              <w:numPr>
                <w:ilvl w:val="0"/>
                <w:numId w:val="1"/>
              </w:numPr>
              <w:tabs>
                <w:tab w:val="left" w:pos="567"/>
              </w:tabs>
              <w:autoSpaceDE w:val="0"/>
              <w:autoSpaceDN w:val="0"/>
              <w:adjustRightInd w:val="0"/>
              <w:spacing w:before="120" w:after="120" w:line="276" w:lineRule="auto"/>
              <w:ind w:left="596" w:hanging="283"/>
              <w:contextualSpacing w:val="0"/>
              <w:rPr>
                <w:rFonts w:asciiTheme="majorHAnsi" w:hAnsiTheme="majorHAnsi" w:cstheme="majorHAnsi"/>
                <w:sz w:val="24"/>
                <w:szCs w:val="24"/>
              </w:rPr>
            </w:pPr>
            <w:r w:rsidRPr="00EE5DEE">
              <w:rPr>
                <w:rFonts w:asciiTheme="majorHAnsi" w:hAnsiTheme="majorHAnsi" w:cstheme="majorHAnsi"/>
                <w:sz w:val="24"/>
                <w:szCs w:val="24"/>
              </w:rPr>
              <w:t xml:space="preserve">ARC assessor guidance materials for general and detailed assessors encourages assessor awareness to address unconscious bias; the induction for ARC College of Experts members includes specific unconscious bias training. </w:t>
            </w:r>
          </w:p>
          <w:p w14:paraId="06E75691" w14:textId="77777777" w:rsidR="004C3783" w:rsidRPr="00EE5DEE" w:rsidRDefault="004C3783" w:rsidP="00981064">
            <w:pPr>
              <w:pStyle w:val="ListParagraph"/>
              <w:numPr>
                <w:ilvl w:val="0"/>
                <w:numId w:val="1"/>
              </w:numPr>
              <w:tabs>
                <w:tab w:val="left" w:pos="567"/>
              </w:tabs>
              <w:autoSpaceDE w:val="0"/>
              <w:autoSpaceDN w:val="0"/>
              <w:adjustRightInd w:val="0"/>
              <w:spacing w:before="120" w:after="120" w:line="276" w:lineRule="auto"/>
              <w:ind w:left="596" w:hanging="283"/>
              <w:contextualSpacing w:val="0"/>
              <w:rPr>
                <w:rFonts w:asciiTheme="majorHAnsi" w:hAnsiTheme="majorHAnsi" w:cstheme="majorHAnsi"/>
                <w:bCs/>
                <w:sz w:val="24"/>
                <w:szCs w:val="24"/>
              </w:rPr>
            </w:pPr>
            <w:r w:rsidRPr="00EE5DEE">
              <w:rPr>
                <w:rFonts w:asciiTheme="majorHAnsi" w:hAnsiTheme="majorHAnsi" w:cstheme="majorHAnsi"/>
                <w:sz w:val="24"/>
                <w:szCs w:val="24"/>
              </w:rPr>
              <w:t>The ARC supports the use of gender-neutral language in applications to further offset the potential risk of unconscious bias during assessment.</w:t>
            </w:r>
          </w:p>
          <w:p w14:paraId="73F0A541" w14:textId="77777777" w:rsidR="004C3783" w:rsidRPr="00EE5DEE" w:rsidRDefault="004C3783" w:rsidP="00981064">
            <w:pPr>
              <w:pStyle w:val="ListParagraph"/>
              <w:numPr>
                <w:ilvl w:val="0"/>
                <w:numId w:val="1"/>
              </w:numPr>
              <w:spacing w:before="120" w:after="120" w:line="276" w:lineRule="auto"/>
              <w:ind w:left="596" w:hanging="283"/>
              <w:contextualSpacing w:val="0"/>
              <w:rPr>
                <w:rFonts w:asciiTheme="majorHAnsi" w:hAnsiTheme="majorHAnsi" w:cstheme="majorHAnsi"/>
                <w:sz w:val="24"/>
                <w:szCs w:val="24"/>
              </w:rPr>
            </w:pPr>
            <w:r w:rsidRPr="00EE5DEE">
              <w:rPr>
                <w:rFonts w:asciiTheme="majorHAnsi" w:hAnsiTheme="majorHAnsi" w:cstheme="majorHAnsi"/>
                <w:sz w:val="24"/>
                <w:szCs w:val="24"/>
              </w:rPr>
              <w:t>The ARC appeals process is designed to ensure that applicants for funding under all NCGP schemes are treated fairly and consistently in selection processes.</w:t>
            </w:r>
          </w:p>
        </w:tc>
      </w:tr>
      <w:tr w:rsidR="002804F8" w14:paraId="3FD3F677" w14:textId="77777777" w:rsidTr="00CE030D">
        <w:tc>
          <w:tcPr>
            <w:tcW w:w="9016" w:type="dxa"/>
            <w:tcBorders>
              <w:top w:val="nil"/>
              <w:left w:val="nil"/>
              <w:bottom w:val="single" w:sz="18" w:space="0" w:color="auto"/>
              <w:right w:val="nil"/>
            </w:tcBorders>
          </w:tcPr>
          <w:p w14:paraId="7E9F4982" w14:textId="79379F22" w:rsidR="002804F8" w:rsidRPr="00EE5DEE" w:rsidRDefault="002804F8" w:rsidP="00FF2409">
            <w:pPr>
              <w:autoSpaceDE w:val="0"/>
              <w:autoSpaceDN w:val="0"/>
              <w:adjustRightInd w:val="0"/>
              <w:spacing w:before="120" w:after="120" w:line="276" w:lineRule="auto"/>
              <w:rPr>
                <w:rFonts w:asciiTheme="majorHAnsi" w:hAnsiTheme="majorHAnsi" w:cstheme="majorHAnsi"/>
                <w:sz w:val="24"/>
                <w:szCs w:val="24"/>
              </w:rPr>
            </w:pPr>
          </w:p>
        </w:tc>
      </w:tr>
      <w:tr w:rsidR="004C3783" w14:paraId="291CFD86" w14:textId="77777777" w:rsidTr="001D4355">
        <w:tc>
          <w:tcPr>
            <w:tcW w:w="9016" w:type="dxa"/>
            <w:tcBorders>
              <w:top w:val="single" w:sz="18" w:space="0" w:color="auto"/>
              <w:left w:val="single" w:sz="18" w:space="0" w:color="auto"/>
              <w:bottom w:val="single" w:sz="18" w:space="0" w:color="auto"/>
              <w:right w:val="single" w:sz="18" w:space="0" w:color="auto"/>
            </w:tcBorders>
            <w:shd w:val="clear" w:color="auto" w:fill="auto"/>
          </w:tcPr>
          <w:p w14:paraId="1FAF74B5" w14:textId="77777777" w:rsidR="004C3783" w:rsidRPr="005363D3" w:rsidRDefault="004C3783" w:rsidP="00981064">
            <w:pPr>
              <w:tabs>
                <w:tab w:val="left" w:pos="567"/>
              </w:tabs>
              <w:autoSpaceDE w:val="0"/>
              <w:autoSpaceDN w:val="0"/>
              <w:adjustRightInd w:val="0"/>
              <w:spacing w:before="120" w:after="120"/>
              <w:rPr>
                <w:rFonts w:ascii="Arial" w:hAnsi="Arial" w:cs="Arial"/>
                <w:b/>
                <w:bCs/>
                <w:sz w:val="20"/>
                <w:szCs w:val="20"/>
              </w:rPr>
            </w:pPr>
            <w:r w:rsidRPr="00CF71A8">
              <w:rPr>
                <w:rFonts w:ascii="Arial" w:hAnsi="Arial" w:cs="Arial"/>
                <w:b/>
                <w:bCs/>
                <w:color w:val="1F3864" w:themeColor="accent1" w:themeShade="80"/>
                <w:sz w:val="20"/>
                <w:szCs w:val="20"/>
              </w:rPr>
              <w:t>Membership of the ARC College of Experts</w:t>
            </w:r>
          </w:p>
        </w:tc>
      </w:tr>
      <w:tr w:rsidR="004C3783" w14:paraId="4B38F803" w14:textId="77777777" w:rsidTr="00BC5ABD">
        <w:tc>
          <w:tcPr>
            <w:tcW w:w="9016" w:type="dxa"/>
            <w:tcBorders>
              <w:top w:val="single" w:sz="18" w:space="0" w:color="auto"/>
              <w:left w:val="single" w:sz="18" w:space="0" w:color="auto"/>
              <w:bottom w:val="single" w:sz="18" w:space="0" w:color="auto"/>
              <w:right w:val="single" w:sz="18" w:space="0" w:color="auto"/>
            </w:tcBorders>
            <w:shd w:val="clear" w:color="auto" w:fill="auto"/>
          </w:tcPr>
          <w:p w14:paraId="5836D93E" w14:textId="77777777" w:rsidR="004C3783" w:rsidRPr="005363D3" w:rsidRDefault="004C3783" w:rsidP="00981064">
            <w:pPr>
              <w:spacing w:before="120" w:after="120" w:line="276" w:lineRule="auto"/>
              <w:rPr>
                <w:rFonts w:ascii="Arial" w:hAnsi="Arial" w:cs="Arial"/>
                <w:sz w:val="18"/>
                <w:szCs w:val="18"/>
              </w:rPr>
            </w:pPr>
            <w:r w:rsidRPr="005363D3">
              <w:rPr>
                <w:rFonts w:ascii="Arial" w:hAnsi="Arial" w:cs="Arial"/>
                <w:sz w:val="20"/>
                <w:szCs w:val="20"/>
              </w:rPr>
              <w:t>The overall gender composition of the ARC College of Experts has continued to improve, increasing from a total of 29 per cent women in 2015, to 48 per cent in 2021. The ARC remains committed to increasing membership in disciplines with traditionally lower participation by women, notably in STEM. Women’s membership in STEM disciplines has continued to increase with engineering, information and computing sciences increasing from 14 women and 29 men in 2019, to 20 women and 26 men in 2021. Similarly, mathematics, physics, chemistry, and earth sciences increased from 17 women and 26 men in 2019 to 20 women and 24 men in 2021.</w:t>
            </w:r>
          </w:p>
        </w:tc>
      </w:tr>
    </w:tbl>
    <w:p w14:paraId="12198DDD" w14:textId="61C03EFF" w:rsidR="004C3783" w:rsidRDefault="004C3783" w:rsidP="004C3783"/>
    <w:tbl>
      <w:tblPr>
        <w:tblStyle w:val="TableGrid"/>
        <w:tblW w:w="0" w:type="auto"/>
        <w:tblLook w:val="04A0" w:firstRow="1" w:lastRow="0" w:firstColumn="1" w:lastColumn="0" w:noHBand="0" w:noVBand="1"/>
      </w:tblPr>
      <w:tblGrid>
        <w:gridCol w:w="9016"/>
      </w:tblGrid>
      <w:tr w:rsidR="004C3783" w14:paraId="10FD29FC" w14:textId="77777777" w:rsidTr="00CE45D6">
        <w:tc>
          <w:tcPr>
            <w:tcW w:w="9016" w:type="dxa"/>
            <w:tcBorders>
              <w:top w:val="nil"/>
              <w:left w:val="nil"/>
              <w:bottom w:val="nil"/>
              <w:right w:val="nil"/>
            </w:tcBorders>
            <w:shd w:val="clear" w:color="auto" w:fill="auto"/>
          </w:tcPr>
          <w:p w14:paraId="79641EC3" w14:textId="77777777" w:rsidR="004C3783" w:rsidRPr="004B5B70" w:rsidRDefault="004C3783" w:rsidP="00981064">
            <w:pPr>
              <w:tabs>
                <w:tab w:val="left" w:pos="567"/>
              </w:tabs>
              <w:autoSpaceDE w:val="0"/>
              <w:autoSpaceDN w:val="0"/>
              <w:adjustRightInd w:val="0"/>
              <w:spacing w:before="120" w:after="120"/>
              <w:rPr>
                <w:rFonts w:asciiTheme="majorHAnsi" w:hAnsiTheme="majorHAnsi" w:cstheme="majorHAnsi"/>
                <w:color w:val="FFFFFF" w:themeColor="background1"/>
                <w:sz w:val="24"/>
                <w:szCs w:val="24"/>
              </w:rPr>
            </w:pPr>
            <w:r w:rsidRPr="009F1A5B">
              <w:rPr>
                <w:rFonts w:ascii="Arial" w:hAnsi="Arial" w:cs="Arial"/>
                <w:b/>
                <w:bCs/>
                <w:sz w:val="24"/>
                <w:szCs w:val="24"/>
              </w:rPr>
              <w:t>Grant conditions</w:t>
            </w:r>
          </w:p>
        </w:tc>
      </w:tr>
      <w:tr w:rsidR="004C3783" w:rsidRPr="002F13D4" w14:paraId="60958867" w14:textId="77777777" w:rsidTr="003C12BF">
        <w:tc>
          <w:tcPr>
            <w:tcW w:w="9016" w:type="dxa"/>
            <w:tcBorders>
              <w:top w:val="nil"/>
              <w:left w:val="nil"/>
              <w:bottom w:val="nil"/>
              <w:right w:val="nil"/>
            </w:tcBorders>
          </w:tcPr>
          <w:p w14:paraId="5B4067DC" w14:textId="1E20E702" w:rsidR="004C3783" w:rsidRPr="002F13D4" w:rsidRDefault="004C3783" w:rsidP="00981064">
            <w:pPr>
              <w:autoSpaceDE w:val="0"/>
              <w:autoSpaceDN w:val="0"/>
              <w:adjustRightInd w:val="0"/>
              <w:spacing w:before="120" w:after="120" w:line="264" w:lineRule="auto"/>
              <w:rPr>
                <w:rFonts w:asciiTheme="majorHAnsi" w:hAnsiTheme="majorHAnsi" w:cstheme="majorHAnsi"/>
                <w:b/>
                <w:bCs/>
                <w:sz w:val="24"/>
                <w:szCs w:val="24"/>
              </w:rPr>
            </w:pPr>
            <w:r w:rsidRPr="002F13D4">
              <w:rPr>
                <w:rFonts w:asciiTheme="majorHAnsi" w:hAnsiTheme="majorHAnsi" w:cstheme="majorHAnsi"/>
                <w:sz w:val="24"/>
                <w:szCs w:val="24"/>
              </w:rPr>
              <w:t xml:space="preserve">The NCGP is administered in accordance with the </w:t>
            </w:r>
            <w:hyperlink r:id="rId17" w:history="1">
              <w:r w:rsidRPr="002F13D4">
                <w:rPr>
                  <w:rStyle w:val="Hyperlink"/>
                  <w:rFonts w:asciiTheme="majorHAnsi" w:hAnsiTheme="majorHAnsi" w:cstheme="majorHAnsi"/>
                  <w:i/>
                  <w:iCs/>
                  <w:sz w:val="24"/>
                  <w:szCs w:val="24"/>
                </w:rPr>
                <w:t>Commonwealth Grants Rules and Guidelines</w:t>
              </w:r>
            </w:hyperlink>
            <w:r w:rsidRPr="002F13D4">
              <w:rPr>
                <w:rFonts w:asciiTheme="majorHAnsi" w:hAnsiTheme="majorHAnsi" w:cstheme="majorHAnsi"/>
                <w:i/>
                <w:iCs/>
                <w:sz w:val="24"/>
                <w:szCs w:val="24"/>
              </w:rPr>
              <w:t>.</w:t>
            </w:r>
            <w:r w:rsidRPr="002F13D4">
              <w:rPr>
                <w:rFonts w:asciiTheme="majorHAnsi" w:hAnsiTheme="majorHAnsi" w:cstheme="majorHAnsi"/>
                <w:sz w:val="24"/>
                <w:szCs w:val="24"/>
              </w:rPr>
              <w:t xml:space="preserve"> Grants are awarded in accordance with ARC grant guidelines and policies.</w:t>
            </w:r>
          </w:p>
          <w:p w14:paraId="50DD4F6B" w14:textId="77777777" w:rsidR="004C3783" w:rsidRPr="002F13D4" w:rsidRDefault="004C3783" w:rsidP="00981064">
            <w:pPr>
              <w:pStyle w:val="ListParagraph"/>
              <w:numPr>
                <w:ilvl w:val="0"/>
                <w:numId w:val="1"/>
              </w:numPr>
              <w:autoSpaceDE w:val="0"/>
              <w:autoSpaceDN w:val="0"/>
              <w:adjustRightInd w:val="0"/>
              <w:spacing w:before="120" w:after="120" w:line="264" w:lineRule="auto"/>
              <w:ind w:left="596" w:hanging="283"/>
              <w:contextualSpacing w:val="0"/>
              <w:rPr>
                <w:rFonts w:asciiTheme="majorHAnsi" w:hAnsiTheme="majorHAnsi" w:cstheme="majorHAnsi"/>
                <w:b/>
                <w:sz w:val="24"/>
                <w:szCs w:val="24"/>
              </w:rPr>
            </w:pPr>
            <w:r w:rsidRPr="002F13D4">
              <w:rPr>
                <w:rFonts w:asciiTheme="majorHAnsi" w:hAnsiTheme="majorHAnsi" w:cstheme="majorHAnsi"/>
                <w:sz w:val="24"/>
                <w:szCs w:val="24"/>
              </w:rPr>
              <w:t>The ARC supports eligible researchers under all NCGP schemes.</w:t>
            </w:r>
          </w:p>
          <w:p w14:paraId="553C964F" w14:textId="77777777" w:rsidR="004C3783" w:rsidRPr="002F13D4" w:rsidRDefault="004C3783" w:rsidP="00981064">
            <w:pPr>
              <w:pStyle w:val="ListParagraph"/>
              <w:numPr>
                <w:ilvl w:val="0"/>
                <w:numId w:val="1"/>
              </w:numPr>
              <w:autoSpaceDE w:val="0"/>
              <w:autoSpaceDN w:val="0"/>
              <w:adjustRightInd w:val="0"/>
              <w:spacing w:before="120" w:after="120" w:line="264" w:lineRule="auto"/>
              <w:ind w:left="596" w:hanging="283"/>
              <w:contextualSpacing w:val="0"/>
              <w:rPr>
                <w:rFonts w:asciiTheme="majorHAnsi" w:hAnsiTheme="majorHAnsi" w:cstheme="majorHAnsi"/>
                <w:b/>
                <w:sz w:val="24"/>
                <w:szCs w:val="24"/>
              </w:rPr>
            </w:pPr>
            <w:r w:rsidRPr="002F13D4">
              <w:rPr>
                <w:rFonts w:asciiTheme="majorHAnsi" w:hAnsiTheme="majorHAnsi" w:cstheme="majorHAnsi"/>
                <w:sz w:val="24"/>
                <w:szCs w:val="24"/>
              </w:rPr>
              <w:t xml:space="preserve">Fellowship and Award salaries are provided at equal pay rates for both men and women. </w:t>
            </w:r>
          </w:p>
          <w:p w14:paraId="105F37C2" w14:textId="77777777" w:rsidR="004C3783" w:rsidRPr="002F13D4" w:rsidRDefault="004C3783" w:rsidP="00981064">
            <w:pPr>
              <w:pStyle w:val="ListParagraph"/>
              <w:numPr>
                <w:ilvl w:val="0"/>
                <w:numId w:val="1"/>
              </w:numPr>
              <w:spacing w:before="120" w:after="120" w:line="264" w:lineRule="auto"/>
              <w:ind w:left="596" w:hanging="283"/>
              <w:contextualSpacing w:val="0"/>
              <w:rPr>
                <w:rFonts w:asciiTheme="majorHAnsi" w:hAnsiTheme="majorHAnsi" w:cstheme="majorHAnsi"/>
                <w:b/>
                <w:sz w:val="24"/>
                <w:szCs w:val="24"/>
              </w:rPr>
            </w:pPr>
            <w:r w:rsidRPr="002F13D4">
              <w:rPr>
                <w:rFonts w:asciiTheme="majorHAnsi" w:hAnsiTheme="majorHAnsi" w:cstheme="majorHAnsi"/>
                <w:sz w:val="24"/>
                <w:szCs w:val="24"/>
              </w:rPr>
              <w:t xml:space="preserve">Parental leave is available under all Fellowship and Award schemes. </w:t>
            </w:r>
          </w:p>
          <w:p w14:paraId="2FEAC5E6" w14:textId="26A5F3D5" w:rsidR="004C3783" w:rsidRPr="002F13D4" w:rsidRDefault="004C3783" w:rsidP="00981064">
            <w:pPr>
              <w:pStyle w:val="ListParagraph"/>
              <w:numPr>
                <w:ilvl w:val="0"/>
                <w:numId w:val="1"/>
              </w:numPr>
              <w:spacing w:before="120" w:after="120" w:line="264" w:lineRule="auto"/>
              <w:ind w:left="596" w:hanging="283"/>
              <w:contextualSpacing w:val="0"/>
              <w:rPr>
                <w:rFonts w:asciiTheme="majorHAnsi" w:hAnsiTheme="majorHAnsi" w:cstheme="majorHAnsi"/>
                <w:b/>
                <w:sz w:val="24"/>
                <w:szCs w:val="24"/>
              </w:rPr>
            </w:pPr>
            <w:r w:rsidRPr="002F13D4">
              <w:rPr>
                <w:rFonts w:asciiTheme="majorHAnsi" w:hAnsiTheme="majorHAnsi" w:cstheme="majorHAnsi"/>
                <w:sz w:val="24"/>
                <w:szCs w:val="24"/>
              </w:rPr>
              <w:t>Funding for reasonable, essential costs to allow a researcher who is a carer, or who personally requires care or assistance, to undertake travel essential to a project is available under most schemes</w:t>
            </w:r>
            <w:r w:rsidR="004429BB">
              <w:rPr>
                <w:rFonts w:asciiTheme="majorHAnsi" w:hAnsiTheme="majorHAnsi" w:cstheme="majorHAnsi"/>
                <w:sz w:val="24"/>
                <w:szCs w:val="24"/>
              </w:rPr>
              <w:t>.</w:t>
            </w:r>
          </w:p>
          <w:p w14:paraId="5CB6D9C7" w14:textId="77777777" w:rsidR="004C3783" w:rsidRPr="002F13D4" w:rsidRDefault="004C3783" w:rsidP="00981064">
            <w:pPr>
              <w:pStyle w:val="ListParagraph"/>
              <w:numPr>
                <w:ilvl w:val="0"/>
                <w:numId w:val="1"/>
              </w:numPr>
              <w:spacing w:before="120" w:after="120" w:line="264" w:lineRule="auto"/>
              <w:ind w:left="596" w:hanging="283"/>
              <w:contextualSpacing w:val="0"/>
              <w:rPr>
                <w:rFonts w:asciiTheme="majorHAnsi" w:hAnsiTheme="majorHAnsi" w:cstheme="majorHAnsi"/>
                <w:b/>
                <w:sz w:val="24"/>
                <w:szCs w:val="24"/>
              </w:rPr>
            </w:pPr>
            <w:r w:rsidRPr="002F13D4">
              <w:rPr>
                <w:rFonts w:asciiTheme="majorHAnsi" w:hAnsiTheme="majorHAnsi" w:cstheme="majorHAnsi"/>
                <w:sz w:val="24"/>
                <w:szCs w:val="24"/>
              </w:rPr>
              <w:lastRenderedPageBreak/>
              <w:t xml:space="preserve">ARC Centres of Excellence and Industrial Transformation Research Hubs and Training Centres are required to implement a centre/hub-specific gender equality and diversity plan. </w:t>
            </w:r>
          </w:p>
          <w:p w14:paraId="6DCD7D3C" w14:textId="77777777" w:rsidR="004C3783" w:rsidRPr="002F13D4" w:rsidRDefault="004C3783" w:rsidP="00981064">
            <w:pPr>
              <w:pStyle w:val="ListParagraph"/>
              <w:numPr>
                <w:ilvl w:val="0"/>
                <w:numId w:val="1"/>
              </w:numPr>
              <w:spacing w:before="120" w:after="120" w:line="264" w:lineRule="auto"/>
              <w:ind w:left="596" w:hanging="283"/>
              <w:contextualSpacing w:val="0"/>
              <w:rPr>
                <w:rFonts w:asciiTheme="majorHAnsi" w:hAnsiTheme="majorHAnsi" w:cstheme="majorHAnsi"/>
                <w:b/>
                <w:sz w:val="24"/>
                <w:szCs w:val="24"/>
              </w:rPr>
            </w:pPr>
            <w:r w:rsidRPr="002F13D4">
              <w:rPr>
                <w:rFonts w:asciiTheme="majorHAnsi" w:hAnsiTheme="majorHAnsi" w:cstheme="majorHAnsi"/>
                <w:sz w:val="24"/>
                <w:szCs w:val="24"/>
              </w:rPr>
              <w:t xml:space="preserve">Administering Organisations are required to acknowledge and comply with all relevant laws and regulations, including obligations under the </w:t>
            </w:r>
            <w:r w:rsidRPr="002F13D4">
              <w:rPr>
                <w:rFonts w:asciiTheme="majorHAnsi" w:hAnsiTheme="majorHAnsi" w:cstheme="majorHAnsi"/>
                <w:i/>
                <w:iCs/>
                <w:sz w:val="24"/>
                <w:szCs w:val="24"/>
              </w:rPr>
              <w:t>Workplace Gender Equality Act</w:t>
            </w:r>
            <w:r w:rsidRPr="002F13D4">
              <w:rPr>
                <w:rFonts w:asciiTheme="majorHAnsi" w:hAnsiTheme="majorHAnsi" w:cstheme="majorHAnsi"/>
                <w:sz w:val="24"/>
                <w:szCs w:val="24"/>
              </w:rPr>
              <w:t xml:space="preserve"> 2012. </w:t>
            </w:r>
          </w:p>
          <w:p w14:paraId="7F4A4DBF" w14:textId="77777777" w:rsidR="004C3783" w:rsidRPr="002F13D4" w:rsidRDefault="004C3783" w:rsidP="00981064">
            <w:pPr>
              <w:pStyle w:val="ListParagraph"/>
              <w:numPr>
                <w:ilvl w:val="0"/>
                <w:numId w:val="1"/>
              </w:numPr>
              <w:spacing w:before="120" w:after="120" w:line="264" w:lineRule="auto"/>
              <w:ind w:left="596" w:hanging="283"/>
              <w:rPr>
                <w:sz w:val="24"/>
                <w:szCs w:val="24"/>
              </w:rPr>
            </w:pPr>
            <w:r w:rsidRPr="002F13D4">
              <w:rPr>
                <w:rFonts w:asciiTheme="majorHAnsi" w:hAnsiTheme="majorHAnsi" w:cstheme="majorHAnsi"/>
                <w:sz w:val="24"/>
                <w:szCs w:val="24"/>
              </w:rPr>
              <w:t>Administering Organisations are also expected to have implemented gender equality policies, which include provisions to support the progression and retention of women in the research workforce.</w:t>
            </w:r>
          </w:p>
        </w:tc>
      </w:tr>
      <w:tr w:rsidR="00D3792D" w:rsidRPr="002F13D4" w14:paraId="53B20A8A" w14:textId="77777777" w:rsidTr="00EE2AF3">
        <w:tc>
          <w:tcPr>
            <w:tcW w:w="9016" w:type="dxa"/>
            <w:tcBorders>
              <w:top w:val="nil"/>
              <w:left w:val="nil"/>
              <w:bottom w:val="single" w:sz="18" w:space="0" w:color="auto"/>
              <w:right w:val="nil"/>
            </w:tcBorders>
          </w:tcPr>
          <w:p w14:paraId="381689D2" w14:textId="77777777" w:rsidR="00D3792D" w:rsidRPr="002F13D4" w:rsidRDefault="00D3792D" w:rsidP="00981064">
            <w:pPr>
              <w:autoSpaceDE w:val="0"/>
              <w:autoSpaceDN w:val="0"/>
              <w:adjustRightInd w:val="0"/>
              <w:spacing w:before="120" w:after="120" w:line="264" w:lineRule="auto"/>
              <w:rPr>
                <w:rFonts w:asciiTheme="majorHAnsi" w:hAnsiTheme="majorHAnsi" w:cstheme="majorHAnsi"/>
                <w:sz w:val="24"/>
                <w:szCs w:val="24"/>
              </w:rPr>
            </w:pPr>
          </w:p>
        </w:tc>
      </w:tr>
      <w:tr w:rsidR="00EE2AF3" w14:paraId="510292A5" w14:textId="77777777" w:rsidTr="00BC5ABD">
        <w:tc>
          <w:tcPr>
            <w:tcW w:w="9016" w:type="dxa"/>
            <w:tcBorders>
              <w:top w:val="single" w:sz="18" w:space="0" w:color="auto"/>
              <w:left w:val="single" w:sz="18" w:space="0" w:color="auto"/>
              <w:bottom w:val="single" w:sz="18" w:space="0" w:color="auto"/>
              <w:right w:val="single" w:sz="18" w:space="0" w:color="auto"/>
            </w:tcBorders>
            <w:shd w:val="clear" w:color="auto" w:fill="auto"/>
          </w:tcPr>
          <w:p w14:paraId="03FB0BDB" w14:textId="11147424" w:rsidR="00EE2AF3" w:rsidRPr="005363D3" w:rsidRDefault="00EE2AF3" w:rsidP="00EE2AF3">
            <w:pPr>
              <w:keepNext/>
              <w:keepLines/>
              <w:autoSpaceDE w:val="0"/>
              <w:autoSpaceDN w:val="0"/>
              <w:adjustRightInd w:val="0"/>
              <w:spacing w:before="120" w:after="120"/>
              <w:rPr>
                <w:rFonts w:ascii="Arial" w:hAnsi="Arial" w:cs="Arial"/>
                <w:sz w:val="20"/>
                <w:szCs w:val="20"/>
              </w:rPr>
            </w:pPr>
            <w:r w:rsidRPr="00EE2AF3">
              <w:rPr>
                <w:rFonts w:ascii="Arial" w:hAnsi="Arial" w:cs="Arial"/>
                <w:b/>
                <w:bCs/>
                <w:color w:val="1F3864" w:themeColor="accent1" w:themeShade="80"/>
                <w:sz w:val="20"/>
                <w:szCs w:val="20"/>
              </w:rPr>
              <w:t>ARC funded researchers and research advancing gender equality</w:t>
            </w:r>
          </w:p>
        </w:tc>
      </w:tr>
      <w:tr w:rsidR="004C3783" w14:paraId="1506E8FF" w14:textId="77777777" w:rsidTr="00BC5ABD">
        <w:tc>
          <w:tcPr>
            <w:tcW w:w="9016" w:type="dxa"/>
            <w:tcBorders>
              <w:top w:val="single" w:sz="18" w:space="0" w:color="auto"/>
              <w:left w:val="single" w:sz="18" w:space="0" w:color="auto"/>
              <w:bottom w:val="single" w:sz="18" w:space="0" w:color="auto"/>
              <w:right w:val="single" w:sz="18" w:space="0" w:color="auto"/>
            </w:tcBorders>
            <w:shd w:val="clear" w:color="auto" w:fill="auto"/>
          </w:tcPr>
          <w:p w14:paraId="16A6ECA5" w14:textId="77777777" w:rsidR="004C3783" w:rsidRPr="005363D3" w:rsidRDefault="004C3783" w:rsidP="00981064">
            <w:pPr>
              <w:keepNext/>
              <w:keepLines/>
              <w:autoSpaceDE w:val="0"/>
              <w:autoSpaceDN w:val="0"/>
              <w:adjustRightInd w:val="0"/>
              <w:spacing w:before="120" w:after="120" w:line="264" w:lineRule="auto"/>
              <w:rPr>
                <w:rFonts w:ascii="Arial" w:hAnsi="Arial" w:cs="Arial"/>
                <w:sz w:val="20"/>
                <w:szCs w:val="20"/>
              </w:rPr>
            </w:pPr>
            <w:r w:rsidRPr="005363D3">
              <w:rPr>
                <w:rFonts w:ascii="Arial" w:hAnsi="Arial" w:cs="Arial"/>
                <w:sz w:val="20"/>
                <w:szCs w:val="20"/>
              </w:rPr>
              <w:t>The ARC funds research under all disciplines including projects that investigate gender equality, seek to address gender imbalance, and promote equality and diversity. The inclusion of gender dimension and analysis in research projects is encouraged, where relevant.</w:t>
            </w:r>
          </w:p>
          <w:p w14:paraId="1CD13B7A" w14:textId="77777777" w:rsidR="004C3783" w:rsidRPr="005363D3" w:rsidRDefault="004C3783" w:rsidP="00981064">
            <w:pPr>
              <w:keepNext/>
              <w:keepLines/>
              <w:autoSpaceDE w:val="0"/>
              <w:autoSpaceDN w:val="0"/>
              <w:adjustRightInd w:val="0"/>
              <w:spacing w:before="120" w:after="120" w:line="264" w:lineRule="auto"/>
              <w:rPr>
                <w:rFonts w:ascii="Arial" w:hAnsi="Arial" w:cs="Arial"/>
                <w:sz w:val="20"/>
                <w:szCs w:val="20"/>
              </w:rPr>
            </w:pPr>
            <w:r w:rsidRPr="005363D3">
              <w:rPr>
                <w:rFonts w:ascii="Arial" w:hAnsi="Arial" w:cs="Arial"/>
                <w:sz w:val="20"/>
                <w:szCs w:val="20"/>
              </w:rPr>
              <w:t>ARC-funded researchers and centres, have also been showing leadership, and taking action, in advancing gender equality:</w:t>
            </w:r>
          </w:p>
          <w:p w14:paraId="21E38061" w14:textId="77777777" w:rsidR="004C3783" w:rsidRPr="005363D3" w:rsidRDefault="004C3783" w:rsidP="004C3783">
            <w:pPr>
              <w:pStyle w:val="ListParagraph"/>
              <w:keepNext/>
              <w:keepLines/>
              <w:numPr>
                <w:ilvl w:val="0"/>
                <w:numId w:val="10"/>
              </w:numPr>
              <w:autoSpaceDE w:val="0"/>
              <w:autoSpaceDN w:val="0"/>
              <w:adjustRightInd w:val="0"/>
              <w:spacing w:before="120" w:after="120" w:line="264" w:lineRule="auto"/>
              <w:ind w:left="596" w:hanging="283"/>
              <w:contextualSpacing w:val="0"/>
              <w:rPr>
                <w:rFonts w:ascii="Arial" w:hAnsi="Arial" w:cs="Arial"/>
                <w:sz w:val="20"/>
                <w:szCs w:val="20"/>
              </w:rPr>
            </w:pPr>
            <w:r w:rsidRPr="005363D3">
              <w:rPr>
                <w:rFonts w:ascii="Arial" w:hAnsi="Arial" w:cs="Arial"/>
                <w:sz w:val="20"/>
                <w:szCs w:val="20"/>
              </w:rPr>
              <w:t xml:space="preserve">Professor Lisa </w:t>
            </w:r>
            <w:proofErr w:type="spellStart"/>
            <w:r w:rsidRPr="005363D3">
              <w:rPr>
                <w:rFonts w:ascii="Arial" w:hAnsi="Arial" w:cs="Arial"/>
                <w:sz w:val="20"/>
                <w:szCs w:val="20"/>
              </w:rPr>
              <w:t>Kewley’s</w:t>
            </w:r>
            <w:proofErr w:type="spellEnd"/>
            <w:r w:rsidRPr="005363D3">
              <w:rPr>
                <w:rFonts w:ascii="Arial" w:hAnsi="Arial" w:cs="Arial"/>
                <w:sz w:val="20"/>
                <w:szCs w:val="20"/>
              </w:rPr>
              <w:t xml:space="preserve"> (Director) ARC Centre of Excellence in All Sky Astrophysics in 3D (ASTRO 3D) has committed to equality of opportunity and to a pro-active and inclusive approach to equality, which supports and encourages all under-represented groups, promotes an inclusive culture and values diversity. ASTRO 3D aims to achieve 50:50 diversity at all levels and has developed a comprehensive </w:t>
            </w:r>
            <w:hyperlink r:id="rId18" w:history="1">
              <w:r w:rsidRPr="005363D3">
                <w:rPr>
                  <w:rStyle w:val="Hyperlink"/>
                  <w:rFonts w:ascii="Arial" w:hAnsi="Arial" w:cs="Arial"/>
                  <w:sz w:val="20"/>
                  <w:szCs w:val="20"/>
                </w:rPr>
                <w:t>equality and diversity plan</w:t>
              </w:r>
            </w:hyperlink>
            <w:r w:rsidRPr="005363D3">
              <w:rPr>
                <w:rFonts w:ascii="Arial" w:hAnsi="Arial" w:cs="Arial"/>
                <w:sz w:val="20"/>
                <w:szCs w:val="20"/>
              </w:rPr>
              <w:t>.</w:t>
            </w:r>
          </w:p>
          <w:p w14:paraId="2FC0C089" w14:textId="77777777" w:rsidR="004C3783" w:rsidRPr="005363D3" w:rsidRDefault="004C3783" w:rsidP="00BC5ABD">
            <w:pPr>
              <w:pStyle w:val="NormalWeb"/>
              <w:numPr>
                <w:ilvl w:val="0"/>
                <w:numId w:val="10"/>
              </w:numPr>
              <w:spacing w:before="120" w:beforeAutospacing="0" w:after="120" w:afterAutospacing="0" w:line="264" w:lineRule="auto"/>
              <w:ind w:left="596" w:hanging="283"/>
              <w:rPr>
                <w:rFonts w:ascii="Arial" w:eastAsiaTheme="minorHAnsi" w:hAnsi="Arial" w:cs="Arial"/>
                <w:b/>
                <w:bCs/>
                <w:sz w:val="20"/>
                <w:szCs w:val="20"/>
                <w:lang w:eastAsia="en-US"/>
              </w:rPr>
            </w:pPr>
            <w:r w:rsidRPr="005363D3">
              <w:rPr>
                <w:rFonts w:ascii="Arial" w:eastAsiaTheme="minorHAnsi" w:hAnsi="Arial" w:cs="Arial"/>
                <w:sz w:val="20"/>
                <w:szCs w:val="20"/>
                <w:lang w:eastAsia="en-US"/>
              </w:rPr>
              <w:t xml:space="preserve">The </w:t>
            </w:r>
            <w:hyperlink r:id="rId19" w:anchor=":~:text=The%20Innovative%20Measurement%20of%20Australian%20Gender%20(IN)Equality%20(IMAGINE,measuring%20gender%20equality%20in%20Australia." w:history="1">
              <w:r w:rsidRPr="005363D3">
                <w:rPr>
                  <w:rStyle w:val="Hyperlink"/>
                  <w:rFonts w:ascii="Arial" w:eastAsiaTheme="minorHAnsi" w:hAnsi="Arial" w:cs="Arial"/>
                  <w:sz w:val="20"/>
                  <w:szCs w:val="20"/>
                  <w:lang w:eastAsia="en-US"/>
                </w:rPr>
                <w:t>Innovative Measurement of Australian Gender (IN)Equality (IMAGINE)</w:t>
              </w:r>
            </w:hyperlink>
            <w:r w:rsidRPr="005363D3">
              <w:rPr>
                <w:rFonts w:ascii="Arial" w:eastAsiaTheme="minorHAnsi" w:hAnsi="Arial" w:cs="Arial"/>
                <w:sz w:val="20"/>
                <w:szCs w:val="20"/>
                <w:lang w:eastAsia="en-US"/>
              </w:rPr>
              <w:t xml:space="preserve"> project funded by the ARC and the Victorian Health Promotion Foundation aims to develop novel approaches for measuring gender equality in Australia. This will facilitate research into the effects of gender equality on health and socio-economic outcomes.</w:t>
            </w:r>
          </w:p>
          <w:p w14:paraId="10A7238F" w14:textId="77777777" w:rsidR="004C3783" w:rsidRPr="005363D3" w:rsidRDefault="00F81504" w:rsidP="00BC5ABD">
            <w:pPr>
              <w:pStyle w:val="NormalWeb"/>
              <w:numPr>
                <w:ilvl w:val="0"/>
                <w:numId w:val="10"/>
              </w:numPr>
              <w:spacing w:before="120" w:beforeAutospacing="0" w:after="120" w:afterAutospacing="0" w:line="264" w:lineRule="auto"/>
              <w:ind w:left="596" w:hanging="283"/>
              <w:rPr>
                <w:rFonts w:ascii="Arial" w:eastAsiaTheme="minorHAnsi" w:hAnsi="Arial" w:cs="Arial"/>
                <w:b/>
                <w:bCs/>
                <w:sz w:val="20"/>
                <w:szCs w:val="20"/>
                <w:lang w:eastAsia="en-US"/>
              </w:rPr>
            </w:pPr>
            <w:hyperlink r:id="rId20" w:history="1">
              <w:r w:rsidR="004C3783" w:rsidRPr="005363D3">
                <w:rPr>
                  <w:rStyle w:val="Hyperlink"/>
                  <w:rFonts w:ascii="Arial" w:eastAsiaTheme="minorHAnsi" w:hAnsi="Arial" w:cs="Arial"/>
                  <w:i/>
                  <w:iCs/>
                  <w:sz w:val="20"/>
                  <w:szCs w:val="20"/>
                  <w:lang w:eastAsia="en-US"/>
                </w:rPr>
                <w:t>Women in Research</w:t>
              </w:r>
            </w:hyperlink>
            <w:r w:rsidR="004C3783" w:rsidRPr="005363D3">
              <w:rPr>
                <w:rFonts w:ascii="Arial" w:eastAsiaTheme="minorHAnsi" w:hAnsi="Arial" w:cs="Arial"/>
                <w:i/>
                <w:iCs/>
                <w:sz w:val="20"/>
                <w:szCs w:val="20"/>
                <w:lang w:eastAsia="en-US"/>
              </w:rPr>
              <w:t xml:space="preserve">, </w:t>
            </w:r>
            <w:r w:rsidR="004C3783" w:rsidRPr="005363D3">
              <w:rPr>
                <w:rFonts w:ascii="Arial" w:eastAsiaTheme="minorHAnsi" w:hAnsi="Arial" w:cs="Arial"/>
                <w:sz w:val="20"/>
                <w:szCs w:val="20"/>
                <w:lang w:eastAsia="en-US"/>
              </w:rPr>
              <w:t xml:space="preserve">an on-line resource, which aims to inspire and support female researchers, enhance the effective mentoring of women, and promote gender diversity in educational and research institutions. Implemented by Professor Sharon Parker, ARC Kathleen Fitzpatrick Australian Laureate Fellow, the resources available include the </w:t>
            </w:r>
            <w:hyperlink r:id="rId21" w:history="1">
              <w:r w:rsidR="004C3783" w:rsidRPr="005363D3">
                <w:rPr>
                  <w:rStyle w:val="Hyperlink"/>
                  <w:rFonts w:ascii="Arial" w:eastAsiaTheme="minorHAnsi" w:hAnsi="Arial" w:cs="Arial"/>
                  <w:sz w:val="20"/>
                  <w:szCs w:val="20"/>
                  <w:lang w:eastAsia="en-US"/>
                </w:rPr>
                <w:t>‘Small Wins’ Webinar Series</w:t>
              </w:r>
            </w:hyperlink>
            <w:r w:rsidR="004C3783">
              <w:rPr>
                <w:rStyle w:val="Hyperlink"/>
                <w:rFonts w:ascii="Arial" w:eastAsiaTheme="minorHAnsi" w:hAnsi="Arial" w:cs="Arial"/>
                <w:sz w:val="20"/>
                <w:szCs w:val="20"/>
                <w:lang w:eastAsia="en-US"/>
              </w:rPr>
              <w:t xml:space="preserve"> </w:t>
            </w:r>
            <w:r w:rsidR="004C3783" w:rsidRPr="005363D3">
              <w:rPr>
                <w:rFonts w:ascii="Arial" w:eastAsiaTheme="minorHAnsi" w:hAnsi="Arial" w:cs="Arial"/>
                <w:sz w:val="20"/>
                <w:szCs w:val="20"/>
                <w:lang w:eastAsia="en-US"/>
              </w:rPr>
              <w:t xml:space="preserve">– inspiring change and helping women in research flourish through small wins. </w:t>
            </w:r>
          </w:p>
          <w:p w14:paraId="1F68DD85" w14:textId="364C2DF2" w:rsidR="004C3783" w:rsidRPr="005363D3" w:rsidRDefault="004C3783" w:rsidP="00BC5ABD">
            <w:pPr>
              <w:pStyle w:val="ListParagraph"/>
              <w:numPr>
                <w:ilvl w:val="0"/>
                <w:numId w:val="10"/>
              </w:numPr>
              <w:autoSpaceDE w:val="0"/>
              <w:autoSpaceDN w:val="0"/>
              <w:adjustRightInd w:val="0"/>
              <w:spacing w:before="120" w:after="120" w:line="264" w:lineRule="auto"/>
              <w:ind w:left="596" w:hanging="283"/>
              <w:contextualSpacing w:val="0"/>
              <w:rPr>
                <w:rFonts w:ascii="Arial" w:hAnsi="Arial" w:cs="Arial"/>
                <w:b/>
                <w:bCs/>
                <w:sz w:val="20"/>
                <w:szCs w:val="20"/>
              </w:rPr>
            </w:pPr>
            <w:r w:rsidRPr="005363D3">
              <w:rPr>
                <w:rFonts w:ascii="Arial" w:hAnsi="Arial" w:cs="Arial"/>
                <w:sz w:val="20"/>
                <w:szCs w:val="20"/>
              </w:rPr>
              <w:t xml:space="preserve">In 2020 </w:t>
            </w:r>
            <w:r w:rsidR="00DC3EAE">
              <w:rPr>
                <w:rFonts w:ascii="Arial" w:hAnsi="Arial" w:cs="Arial"/>
                <w:sz w:val="20"/>
                <w:szCs w:val="20"/>
              </w:rPr>
              <w:t xml:space="preserve">LaTrobe University and Western Sydney University </w:t>
            </w:r>
            <w:r w:rsidRPr="005363D3">
              <w:rPr>
                <w:rFonts w:ascii="Arial" w:hAnsi="Arial" w:cs="Arial"/>
                <w:sz w:val="20"/>
                <w:szCs w:val="20"/>
              </w:rPr>
              <w:t xml:space="preserve">were </w:t>
            </w:r>
            <w:r w:rsidR="009C18C1">
              <w:rPr>
                <w:rFonts w:ascii="Arial" w:hAnsi="Arial" w:cs="Arial"/>
                <w:sz w:val="20"/>
                <w:szCs w:val="20"/>
              </w:rPr>
              <w:t xml:space="preserve">both </w:t>
            </w:r>
            <w:r w:rsidRPr="005363D3">
              <w:rPr>
                <w:rFonts w:ascii="Arial" w:hAnsi="Arial" w:cs="Arial"/>
                <w:sz w:val="20"/>
                <w:szCs w:val="20"/>
              </w:rPr>
              <w:t xml:space="preserve">named, by </w:t>
            </w:r>
            <w:r w:rsidRPr="00DE5E8E">
              <w:rPr>
                <w:rFonts w:ascii="Arial" w:hAnsi="Arial" w:cs="Arial"/>
                <w:i/>
                <w:iCs/>
                <w:sz w:val="20"/>
                <w:szCs w:val="20"/>
              </w:rPr>
              <w:t>Times Higher Education</w:t>
            </w:r>
            <w:r w:rsidRPr="005363D3">
              <w:rPr>
                <w:rFonts w:ascii="Arial" w:hAnsi="Arial" w:cs="Arial"/>
                <w:sz w:val="20"/>
                <w:szCs w:val="20"/>
              </w:rPr>
              <w:t xml:space="preserve">, in the top five universities tackling gender inequality. </w:t>
            </w:r>
            <w:r w:rsidR="009C18C1">
              <w:rPr>
                <w:rFonts w:ascii="Arial" w:hAnsi="Arial" w:cs="Arial"/>
                <w:sz w:val="20"/>
                <w:szCs w:val="20"/>
              </w:rPr>
              <w:t xml:space="preserve">These universities </w:t>
            </w:r>
            <w:r w:rsidRPr="005363D3">
              <w:rPr>
                <w:rFonts w:ascii="Arial" w:hAnsi="Arial" w:cs="Arial"/>
                <w:sz w:val="20"/>
                <w:szCs w:val="20"/>
              </w:rPr>
              <w:t xml:space="preserve">have both been awarded the </w:t>
            </w:r>
            <w:hyperlink r:id="rId22" w:history="1">
              <w:r w:rsidRPr="005363D3">
                <w:rPr>
                  <w:rStyle w:val="Hyperlink"/>
                  <w:rFonts w:ascii="Arial" w:hAnsi="Arial" w:cs="Arial"/>
                  <w:sz w:val="20"/>
                  <w:szCs w:val="20"/>
                </w:rPr>
                <w:t>Workplace Gender Equality Agency, Employer of Choice for Gender Equality citation</w:t>
              </w:r>
            </w:hyperlink>
            <w:r w:rsidRPr="005363D3">
              <w:rPr>
                <w:rFonts w:ascii="Arial" w:hAnsi="Arial" w:cs="Arial"/>
                <w:sz w:val="20"/>
                <w:szCs w:val="20"/>
              </w:rPr>
              <w:t>, and have implemented a range of gender equality initiatives across a broad range of areas.</w:t>
            </w:r>
          </w:p>
        </w:tc>
      </w:tr>
    </w:tbl>
    <w:p w14:paraId="45254286" w14:textId="21C4BDD7" w:rsidR="004C3783" w:rsidRDefault="004C3783" w:rsidP="004C3783"/>
    <w:tbl>
      <w:tblPr>
        <w:tblStyle w:val="TableGrid"/>
        <w:tblW w:w="0" w:type="auto"/>
        <w:tblLook w:val="04A0" w:firstRow="1" w:lastRow="0" w:firstColumn="1" w:lastColumn="0" w:noHBand="0" w:noVBand="1"/>
      </w:tblPr>
      <w:tblGrid>
        <w:gridCol w:w="9016"/>
      </w:tblGrid>
      <w:tr w:rsidR="004C3783" w14:paraId="60E7E4B2" w14:textId="77777777" w:rsidTr="00CE45D6">
        <w:tc>
          <w:tcPr>
            <w:tcW w:w="9016" w:type="dxa"/>
            <w:tcBorders>
              <w:top w:val="nil"/>
              <w:left w:val="nil"/>
              <w:bottom w:val="nil"/>
              <w:right w:val="nil"/>
            </w:tcBorders>
            <w:shd w:val="clear" w:color="auto" w:fill="auto"/>
          </w:tcPr>
          <w:p w14:paraId="4175D7E3" w14:textId="77777777" w:rsidR="004C3783" w:rsidRPr="00EE2AF3" w:rsidRDefault="004C3783" w:rsidP="00981064">
            <w:pPr>
              <w:keepNext/>
              <w:keepLines/>
              <w:autoSpaceDE w:val="0"/>
              <w:autoSpaceDN w:val="0"/>
              <w:adjustRightInd w:val="0"/>
              <w:spacing w:before="120" w:after="120"/>
              <w:rPr>
                <w:rFonts w:ascii="Arial" w:hAnsi="Arial" w:cs="Arial"/>
                <w:b/>
                <w:bCs/>
                <w:sz w:val="24"/>
                <w:szCs w:val="24"/>
              </w:rPr>
            </w:pPr>
            <w:r w:rsidRPr="00CE45D6">
              <w:rPr>
                <w:rFonts w:ascii="Arial" w:hAnsi="Arial" w:cs="Arial"/>
                <w:b/>
                <w:bCs/>
                <w:sz w:val="24"/>
                <w:szCs w:val="24"/>
              </w:rPr>
              <w:lastRenderedPageBreak/>
              <w:t>Monitoring, data reporting and evaluation</w:t>
            </w:r>
          </w:p>
        </w:tc>
      </w:tr>
      <w:tr w:rsidR="004C3783" w14:paraId="660FF0F3" w14:textId="77777777" w:rsidTr="00CE45D6">
        <w:tc>
          <w:tcPr>
            <w:tcW w:w="9016" w:type="dxa"/>
            <w:tcBorders>
              <w:top w:val="nil"/>
              <w:left w:val="nil"/>
              <w:bottom w:val="nil"/>
              <w:right w:val="nil"/>
            </w:tcBorders>
          </w:tcPr>
          <w:p w14:paraId="3B3D7A93" w14:textId="77777777" w:rsidR="004C3783" w:rsidRPr="00EC27D1" w:rsidRDefault="004C3783" w:rsidP="00981064">
            <w:pPr>
              <w:keepNext/>
              <w:keepLines/>
              <w:autoSpaceDE w:val="0"/>
              <w:autoSpaceDN w:val="0"/>
              <w:adjustRightInd w:val="0"/>
              <w:spacing w:before="120" w:after="120"/>
              <w:rPr>
                <w:rFonts w:asciiTheme="majorHAnsi" w:hAnsiTheme="majorHAnsi" w:cstheme="majorHAnsi"/>
                <w:b/>
                <w:bCs/>
                <w:sz w:val="24"/>
                <w:szCs w:val="24"/>
              </w:rPr>
            </w:pPr>
            <w:r w:rsidRPr="00EC27D1">
              <w:rPr>
                <w:rFonts w:asciiTheme="majorHAnsi" w:hAnsiTheme="majorHAnsi" w:cstheme="majorHAnsi"/>
                <w:sz w:val="24"/>
                <w:szCs w:val="24"/>
              </w:rPr>
              <w:t>The ARC is committed to making NCGP data available, in accordance with Australian privacy legislation. Within this framework, the ARC:</w:t>
            </w:r>
          </w:p>
          <w:p w14:paraId="4094212F" w14:textId="164D0BB1" w:rsidR="004C3783" w:rsidRPr="00EC27D1" w:rsidRDefault="004C3783" w:rsidP="004C3783">
            <w:pPr>
              <w:pStyle w:val="ListParagraph"/>
              <w:numPr>
                <w:ilvl w:val="0"/>
                <w:numId w:val="1"/>
              </w:numPr>
              <w:autoSpaceDE w:val="0"/>
              <w:autoSpaceDN w:val="0"/>
              <w:adjustRightInd w:val="0"/>
              <w:spacing w:before="120" w:after="120"/>
              <w:ind w:left="596" w:hanging="283"/>
              <w:contextualSpacing w:val="0"/>
              <w:rPr>
                <w:rFonts w:asciiTheme="majorHAnsi" w:hAnsiTheme="majorHAnsi" w:cstheme="majorHAnsi"/>
                <w:b/>
                <w:bCs/>
                <w:sz w:val="24"/>
                <w:szCs w:val="24"/>
              </w:rPr>
            </w:pPr>
            <w:r w:rsidRPr="00EC27D1">
              <w:rPr>
                <w:rFonts w:asciiTheme="majorHAnsi" w:hAnsiTheme="majorHAnsi" w:cstheme="majorHAnsi"/>
                <w:sz w:val="24"/>
                <w:szCs w:val="24"/>
              </w:rPr>
              <w:t>publishes gender disaggregated da</w:t>
            </w:r>
            <w:r w:rsidRPr="00D364C8">
              <w:rPr>
                <w:rFonts w:asciiTheme="majorHAnsi" w:hAnsiTheme="majorHAnsi" w:cstheme="majorHAnsi"/>
                <w:sz w:val="24"/>
                <w:szCs w:val="24"/>
              </w:rPr>
              <w:t xml:space="preserve">ta on the ARC website in scheme selection reports and the </w:t>
            </w:r>
            <w:hyperlink r:id="rId23" w:history="1">
              <w:r w:rsidRPr="00D106DC">
                <w:rPr>
                  <w:rStyle w:val="Hyperlink"/>
                  <w:rFonts w:asciiTheme="majorHAnsi" w:hAnsiTheme="majorHAnsi" w:cstheme="majorHAnsi"/>
                  <w:sz w:val="24"/>
                  <w:szCs w:val="24"/>
                </w:rPr>
                <w:t>gender data trend visualisation</w:t>
              </w:r>
            </w:hyperlink>
            <w:r w:rsidRPr="00EC27D1">
              <w:rPr>
                <w:rFonts w:asciiTheme="majorHAnsi" w:hAnsiTheme="majorHAnsi" w:cstheme="majorHAnsi"/>
                <w:sz w:val="24"/>
                <w:szCs w:val="24"/>
              </w:rPr>
              <w:t xml:space="preserve"> and gender snapshot</w:t>
            </w:r>
          </w:p>
          <w:p w14:paraId="0DC9E25E" w14:textId="77777777" w:rsidR="004C3783" w:rsidRPr="00EC27D1" w:rsidRDefault="004C3783" w:rsidP="004C3783">
            <w:pPr>
              <w:pStyle w:val="ListParagraph"/>
              <w:numPr>
                <w:ilvl w:val="0"/>
                <w:numId w:val="1"/>
              </w:numPr>
              <w:autoSpaceDE w:val="0"/>
              <w:autoSpaceDN w:val="0"/>
              <w:adjustRightInd w:val="0"/>
              <w:spacing w:before="120" w:after="120"/>
              <w:ind w:left="596" w:hanging="283"/>
              <w:contextualSpacing w:val="0"/>
              <w:rPr>
                <w:rFonts w:asciiTheme="majorHAnsi" w:hAnsiTheme="majorHAnsi" w:cstheme="majorHAnsi"/>
                <w:b/>
                <w:bCs/>
                <w:sz w:val="24"/>
                <w:szCs w:val="24"/>
              </w:rPr>
            </w:pPr>
            <w:r w:rsidRPr="00EC27D1">
              <w:rPr>
                <w:rFonts w:asciiTheme="majorHAnsi" w:hAnsiTheme="majorHAnsi" w:cstheme="majorHAnsi"/>
                <w:sz w:val="24"/>
                <w:szCs w:val="24"/>
              </w:rPr>
              <w:t>monitors NCGP gender data, including outcomes of grant opportunities to identify any trends or issues overall and by field of research</w:t>
            </w:r>
          </w:p>
          <w:p w14:paraId="14FDDEE8" w14:textId="1EA9008C" w:rsidR="004C3783" w:rsidRPr="00EC27D1" w:rsidRDefault="004C3783" w:rsidP="004C3783">
            <w:pPr>
              <w:pStyle w:val="ListParagraph"/>
              <w:numPr>
                <w:ilvl w:val="0"/>
                <w:numId w:val="1"/>
              </w:numPr>
              <w:tabs>
                <w:tab w:val="left" w:pos="567"/>
              </w:tabs>
              <w:spacing w:before="120" w:after="120"/>
              <w:ind w:left="596" w:hanging="283"/>
              <w:contextualSpacing w:val="0"/>
              <w:rPr>
                <w:rFonts w:asciiTheme="majorHAnsi" w:hAnsiTheme="majorHAnsi" w:cstheme="majorHAnsi"/>
                <w:b/>
                <w:bCs/>
                <w:sz w:val="24"/>
                <w:szCs w:val="24"/>
              </w:rPr>
            </w:pPr>
            <w:r w:rsidRPr="00EC27D1">
              <w:rPr>
                <w:rFonts w:asciiTheme="majorHAnsi" w:hAnsiTheme="majorHAnsi" w:cstheme="majorHAnsi"/>
                <w:sz w:val="24"/>
                <w:szCs w:val="24"/>
              </w:rPr>
              <w:t>reports annually to Administering Organisations on the gender profile of researchers applying from their institution</w:t>
            </w:r>
            <w:r w:rsidR="0077615C">
              <w:rPr>
                <w:rFonts w:asciiTheme="majorHAnsi" w:hAnsiTheme="majorHAnsi" w:cstheme="majorHAnsi"/>
                <w:sz w:val="24"/>
                <w:szCs w:val="24"/>
              </w:rPr>
              <w:t xml:space="preserve"> and publishes a </w:t>
            </w:r>
            <w:hyperlink r:id="rId24" w:history="1">
              <w:r w:rsidR="003D424E" w:rsidRPr="00655C2E">
                <w:rPr>
                  <w:rStyle w:val="Hyperlink"/>
                  <w:rFonts w:asciiTheme="majorHAnsi" w:hAnsiTheme="majorHAnsi" w:cstheme="majorHAnsi"/>
                  <w:sz w:val="24"/>
                  <w:szCs w:val="24"/>
                </w:rPr>
                <w:t>g</w:t>
              </w:r>
              <w:r w:rsidR="0077615C" w:rsidRPr="00655C2E">
                <w:rPr>
                  <w:rStyle w:val="Hyperlink"/>
                  <w:rFonts w:asciiTheme="majorHAnsi" w:hAnsiTheme="majorHAnsi" w:cstheme="majorHAnsi"/>
                  <w:sz w:val="24"/>
                  <w:szCs w:val="24"/>
                </w:rPr>
                <w:t xml:space="preserve">ender </w:t>
              </w:r>
              <w:r w:rsidR="003D424E" w:rsidRPr="00655C2E">
                <w:rPr>
                  <w:rStyle w:val="Hyperlink"/>
                  <w:rFonts w:asciiTheme="majorHAnsi" w:hAnsiTheme="majorHAnsi" w:cstheme="majorHAnsi"/>
                  <w:sz w:val="24"/>
                  <w:szCs w:val="24"/>
                </w:rPr>
                <w:t>d</w:t>
              </w:r>
              <w:r w:rsidR="0077615C" w:rsidRPr="00655C2E">
                <w:rPr>
                  <w:rStyle w:val="Hyperlink"/>
                  <w:rFonts w:asciiTheme="majorHAnsi" w:hAnsiTheme="majorHAnsi" w:cstheme="majorHAnsi"/>
                  <w:sz w:val="24"/>
                  <w:szCs w:val="24"/>
                </w:rPr>
                <w:t xml:space="preserve">ata by </w:t>
              </w:r>
              <w:r w:rsidR="003D424E" w:rsidRPr="00655C2E">
                <w:rPr>
                  <w:rStyle w:val="Hyperlink"/>
                  <w:rFonts w:asciiTheme="majorHAnsi" w:hAnsiTheme="majorHAnsi" w:cstheme="majorHAnsi"/>
                  <w:sz w:val="24"/>
                  <w:szCs w:val="24"/>
                </w:rPr>
                <w:t>i</w:t>
              </w:r>
              <w:r w:rsidR="0077615C" w:rsidRPr="00655C2E">
                <w:rPr>
                  <w:rStyle w:val="Hyperlink"/>
                  <w:rFonts w:asciiTheme="majorHAnsi" w:hAnsiTheme="majorHAnsi" w:cstheme="majorHAnsi"/>
                  <w:sz w:val="24"/>
                  <w:szCs w:val="24"/>
                </w:rPr>
                <w:t>nstitution data visualisation</w:t>
              </w:r>
            </w:hyperlink>
            <w:r w:rsidR="0077615C">
              <w:rPr>
                <w:rFonts w:asciiTheme="majorHAnsi" w:hAnsiTheme="majorHAnsi" w:cstheme="majorHAnsi"/>
                <w:sz w:val="24"/>
                <w:szCs w:val="24"/>
              </w:rPr>
              <w:t>.</w:t>
            </w:r>
          </w:p>
          <w:p w14:paraId="6A5D2AF1" w14:textId="77777777" w:rsidR="004C3783" w:rsidRPr="00EC27D1" w:rsidRDefault="004C3783" w:rsidP="004C3783">
            <w:pPr>
              <w:pStyle w:val="ListParagraph"/>
              <w:numPr>
                <w:ilvl w:val="0"/>
                <w:numId w:val="1"/>
              </w:numPr>
              <w:autoSpaceDE w:val="0"/>
              <w:autoSpaceDN w:val="0"/>
              <w:adjustRightInd w:val="0"/>
              <w:spacing w:before="120" w:after="120"/>
              <w:ind w:left="596" w:hanging="283"/>
              <w:contextualSpacing w:val="0"/>
              <w:rPr>
                <w:rFonts w:asciiTheme="majorHAnsi" w:hAnsiTheme="majorHAnsi" w:cstheme="majorHAnsi"/>
                <w:sz w:val="24"/>
                <w:szCs w:val="24"/>
              </w:rPr>
            </w:pPr>
            <w:r w:rsidRPr="00EC27D1">
              <w:rPr>
                <w:rFonts w:asciiTheme="majorHAnsi" w:hAnsiTheme="majorHAnsi" w:cstheme="majorHAnsi"/>
                <w:sz w:val="24"/>
                <w:szCs w:val="24"/>
              </w:rPr>
              <w:t>considers NCGP gender data within the context of research data collected through Excellence in Research for Australia (ERA)</w:t>
            </w:r>
          </w:p>
          <w:p w14:paraId="13455664" w14:textId="77777777" w:rsidR="004C3783" w:rsidRDefault="004C3783" w:rsidP="004C3783">
            <w:pPr>
              <w:pStyle w:val="ListParagraph"/>
              <w:numPr>
                <w:ilvl w:val="0"/>
                <w:numId w:val="1"/>
              </w:numPr>
              <w:spacing w:before="120" w:after="120"/>
              <w:ind w:left="596" w:hanging="283"/>
            </w:pPr>
            <w:r w:rsidRPr="00EC27D1">
              <w:rPr>
                <w:rFonts w:asciiTheme="majorHAnsi" w:hAnsiTheme="majorHAnsi" w:cstheme="majorHAnsi"/>
                <w:sz w:val="24"/>
                <w:szCs w:val="24"/>
              </w:rPr>
              <w:t>undertakes evaluation activities, as an essential part of program and policy development and management, to inform continuous improvement.</w:t>
            </w:r>
          </w:p>
        </w:tc>
      </w:tr>
    </w:tbl>
    <w:tbl>
      <w:tblPr>
        <w:tblStyle w:val="TableGrid"/>
        <w:tblpPr w:leftFromText="180" w:rightFromText="180" w:vertAnchor="text" w:horzAnchor="margin" w:tblpY="-5186"/>
        <w:tblW w:w="0" w:type="auto"/>
        <w:tblLook w:val="04A0" w:firstRow="1" w:lastRow="0" w:firstColumn="1" w:lastColumn="0" w:noHBand="0" w:noVBand="1"/>
      </w:tblPr>
      <w:tblGrid>
        <w:gridCol w:w="9016"/>
      </w:tblGrid>
      <w:tr w:rsidR="004A7B48" w14:paraId="29051802" w14:textId="77777777" w:rsidTr="00CE45D6">
        <w:tc>
          <w:tcPr>
            <w:tcW w:w="9016" w:type="dxa"/>
            <w:tcBorders>
              <w:top w:val="nil"/>
              <w:left w:val="nil"/>
              <w:bottom w:val="nil"/>
              <w:right w:val="nil"/>
            </w:tcBorders>
            <w:shd w:val="clear" w:color="auto" w:fill="auto"/>
          </w:tcPr>
          <w:p w14:paraId="2DB2376D" w14:textId="77777777" w:rsidR="004A7B48" w:rsidRPr="00EE2AF3" w:rsidRDefault="004A7B48" w:rsidP="004A7B48">
            <w:pPr>
              <w:keepNext/>
              <w:keepLines/>
              <w:autoSpaceDE w:val="0"/>
              <w:autoSpaceDN w:val="0"/>
              <w:adjustRightInd w:val="0"/>
              <w:spacing w:before="120" w:after="120"/>
              <w:rPr>
                <w:rFonts w:ascii="Arial" w:hAnsi="Arial" w:cs="Arial"/>
                <w:b/>
                <w:bCs/>
                <w:color w:val="FFFFFF" w:themeColor="background1"/>
                <w:sz w:val="24"/>
                <w:szCs w:val="24"/>
              </w:rPr>
            </w:pPr>
            <w:r w:rsidRPr="00CE45D6">
              <w:rPr>
                <w:rFonts w:ascii="Arial" w:hAnsi="Arial" w:cs="Arial"/>
                <w:b/>
                <w:bCs/>
                <w:sz w:val="24"/>
                <w:szCs w:val="24"/>
              </w:rPr>
              <w:t>Engagement</w:t>
            </w:r>
          </w:p>
        </w:tc>
      </w:tr>
      <w:tr w:rsidR="004A7B48" w14:paraId="7DC42298" w14:textId="77777777" w:rsidTr="004A7B48">
        <w:tc>
          <w:tcPr>
            <w:tcW w:w="9016" w:type="dxa"/>
            <w:tcBorders>
              <w:top w:val="nil"/>
              <w:left w:val="nil"/>
              <w:bottom w:val="nil"/>
              <w:right w:val="nil"/>
            </w:tcBorders>
          </w:tcPr>
          <w:p w14:paraId="4376BC2C" w14:textId="77777777" w:rsidR="004A7B48" w:rsidRPr="00EC27D1" w:rsidRDefault="004A7B48" w:rsidP="004A7B48">
            <w:pPr>
              <w:keepNext/>
              <w:keepLines/>
              <w:autoSpaceDE w:val="0"/>
              <w:autoSpaceDN w:val="0"/>
              <w:adjustRightInd w:val="0"/>
              <w:spacing w:before="120" w:after="120"/>
              <w:rPr>
                <w:rFonts w:asciiTheme="majorHAnsi" w:hAnsiTheme="majorHAnsi" w:cstheme="majorHAnsi"/>
                <w:b/>
                <w:bCs/>
                <w:sz w:val="24"/>
                <w:szCs w:val="24"/>
              </w:rPr>
            </w:pPr>
            <w:r w:rsidRPr="00EC27D1">
              <w:rPr>
                <w:rFonts w:asciiTheme="majorHAnsi" w:hAnsiTheme="majorHAnsi" w:cstheme="majorHAnsi"/>
                <w:sz w:val="24"/>
                <w:szCs w:val="24"/>
              </w:rPr>
              <w:t>The ARC is committed to engaging on gender equality issues. In doing so the ARC:</w:t>
            </w:r>
          </w:p>
          <w:p w14:paraId="3D1DCDB5" w14:textId="77777777" w:rsidR="004A7B48" w:rsidRPr="00EC27D1" w:rsidRDefault="004A7B48" w:rsidP="004A7B48">
            <w:pPr>
              <w:pStyle w:val="ListParagraph"/>
              <w:keepNext/>
              <w:keepLines/>
              <w:numPr>
                <w:ilvl w:val="0"/>
                <w:numId w:val="19"/>
              </w:numPr>
              <w:autoSpaceDE w:val="0"/>
              <w:autoSpaceDN w:val="0"/>
              <w:adjustRightInd w:val="0"/>
              <w:spacing w:before="120" w:after="120"/>
              <w:ind w:left="596" w:hanging="284"/>
              <w:contextualSpacing w:val="0"/>
              <w:rPr>
                <w:rFonts w:asciiTheme="majorHAnsi" w:hAnsiTheme="majorHAnsi" w:cstheme="majorHAnsi"/>
                <w:b/>
                <w:sz w:val="24"/>
                <w:szCs w:val="24"/>
              </w:rPr>
            </w:pPr>
            <w:r w:rsidRPr="00EC27D1">
              <w:rPr>
                <w:rFonts w:asciiTheme="majorHAnsi" w:hAnsiTheme="majorHAnsi" w:cstheme="majorHAnsi"/>
                <w:sz w:val="24"/>
                <w:szCs w:val="24"/>
              </w:rPr>
              <w:t>works closely with the National Health and Medical Research Council (NHMRC) in relation to policy and best practice processes in gender equality</w:t>
            </w:r>
          </w:p>
          <w:p w14:paraId="3B697DE8" w14:textId="77777777" w:rsidR="004A7B48" w:rsidRPr="00EC27D1" w:rsidRDefault="004A7B48" w:rsidP="004A7B48">
            <w:pPr>
              <w:pStyle w:val="ListParagraph"/>
              <w:keepNext/>
              <w:keepLines/>
              <w:numPr>
                <w:ilvl w:val="0"/>
                <w:numId w:val="19"/>
              </w:numPr>
              <w:autoSpaceDE w:val="0"/>
              <w:autoSpaceDN w:val="0"/>
              <w:adjustRightInd w:val="0"/>
              <w:spacing w:before="120" w:after="120"/>
              <w:ind w:left="596" w:hanging="284"/>
              <w:contextualSpacing w:val="0"/>
              <w:rPr>
                <w:rFonts w:asciiTheme="majorHAnsi" w:hAnsiTheme="majorHAnsi" w:cstheme="majorHAnsi"/>
                <w:b/>
                <w:sz w:val="24"/>
                <w:szCs w:val="24"/>
              </w:rPr>
            </w:pPr>
            <w:r w:rsidRPr="00EC27D1">
              <w:rPr>
                <w:rFonts w:asciiTheme="majorHAnsi" w:hAnsiTheme="majorHAnsi" w:cstheme="majorHAnsi"/>
                <w:sz w:val="24"/>
                <w:szCs w:val="24"/>
              </w:rPr>
              <w:t>promotes and engages with the sector about gender issues through ARC Executive presentations and participation of staff in relevant forums</w:t>
            </w:r>
          </w:p>
          <w:p w14:paraId="59100F5C" w14:textId="77777777" w:rsidR="004A7B48" w:rsidRPr="00EC27D1" w:rsidRDefault="004A7B48" w:rsidP="004A7B48">
            <w:pPr>
              <w:pStyle w:val="ListParagraph"/>
              <w:keepNext/>
              <w:keepLines/>
              <w:numPr>
                <w:ilvl w:val="0"/>
                <w:numId w:val="19"/>
              </w:numPr>
              <w:autoSpaceDE w:val="0"/>
              <w:autoSpaceDN w:val="0"/>
              <w:adjustRightInd w:val="0"/>
              <w:spacing w:before="120" w:after="120"/>
              <w:ind w:left="596" w:hanging="284"/>
              <w:contextualSpacing w:val="0"/>
              <w:rPr>
                <w:rFonts w:asciiTheme="majorHAnsi" w:hAnsiTheme="majorHAnsi" w:cstheme="majorHAnsi"/>
                <w:b/>
                <w:sz w:val="24"/>
                <w:szCs w:val="24"/>
              </w:rPr>
            </w:pPr>
            <w:r w:rsidRPr="00EC27D1">
              <w:rPr>
                <w:rFonts w:asciiTheme="majorHAnsi" w:hAnsiTheme="majorHAnsi" w:cstheme="majorHAnsi"/>
                <w:sz w:val="24"/>
                <w:szCs w:val="24"/>
              </w:rPr>
              <w:t>engages with national and international stakeholders to identify the most effective support mechanisms to encourage participation by women in the research workforce, including the Global Research Council and the Research on Research Institute </w:t>
            </w:r>
          </w:p>
          <w:p w14:paraId="582A33B5" w14:textId="77777777" w:rsidR="004A7B48" w:rsidRPr="00EC27D1" w:rsidRDefault="004A7B48" w:rsidP="004A7B48">
            <w:pPr>
              <w:pStyle w:val="ListParagraph"/>
              <w:keepNext/>
              <w:keepLines/>
              <w:numPr>
                <w:ilvl w:val="0"/>
                <w:numId w:val="19"/>
              </w:numPr>
              <w:autoSpaceDE w:val="0"/>
              <w:autoSpaceDN w:val="0"/>
              <w:adjustRightInd w:val="0"/>
              <w:spacing w:before="120" w:after="120"/>
              <w:ind w:left="596" w:hanging="284"/>
              <w:contextualSpacing w:val="0"/>
              <w:rPr>
                <w:rFonts w:asciiTheme="majorHAnsi" w:hAnsiTheme="majorHAnsi" w:cstheme="majorHAnsi"/>
                <w:b/>
                <w:sz w:val="24"/>
                <w:szCs w:val="24"/>
              </w:rPr>
            </w:pPr>
            <w:r w:rsidRPr="00EC27D1">
              <w:rPr>
                <w:rFonts w:asciiTheme="majorHAnsi" w:hAnsiTheme="majorHAnsi" w:cstheme="majorHAnsi"/>
                <w:sz w:val="24"/>
                <w:szCs w:val="24"/>
              </w:rPr>
              <w:t>participates in relevant national and international forums in relation to women in research</w:t>
            </w:r>
          </w:p>
          <w:p w14:paraId="660E872F" w14:textId="77777777" w:rsidR="004A7B48" w:rsidRPr="00EC27D1" w:rsidRDefault="004A7B48" w:rsidP="004A7B48">
            <w:pPr>
              <w:pStyle w:val="ListParagraph"/>
              <w:keepNext/>
              <w:keepLines/>
              <w:numPr>
                <w:ilvl w:val="0"/>
                <w:numId w:val="19"/>
              </w:numPr>
              <w:autoSpaceDE w:val="0"/>
              <w:autoSpaceDN w:val="0"/>
              <w:adjustRightInd w:val="0"/>
              <w:spacing w:before="120" w:after="120"/>
              <w:ind w:left="596" w:hanging="284"/>
              <w:contextualSpacing w:val="0"/>
              <w:rPr>
                <w:rFonts w:asciiTheme="majorHAnsi" w:hAnsiTheme="majorHAnsi" w:cstheme="majorHAnsi"/>
                <w:b/>
                <w:sz w:val="24"/>
                <w:szCs w:val="24"/>
              </w:rPr>
            </w:pPr>
            <w:r w:rsidRPr="00EC27D1">
              <w:rPr>
                <w:rFonts w:asciiTheme="majorHAnsi" w:hAnsiTheme="majorHAnsi" w:cstheme="majorHAnsi"/>
                <w:sz w:val="24"/>
                <w:szCs w:val="24"/>
              </w:rPr>
              <w:t>provides input to Australian Government initiatives</w:t>
            </w:r>
          </w:p>
          <w:p w14:paraId="56650D82" w14:textId="77777777" w:rsidR="004A7B48" w:rsidRPr="003A20C8" w:rsidRDefault="004A7B48" w:rsidP="004A7B48">
            <w:pPr>
              <w:pStyle w:val="ListParagraph"/>
              <w:numPr>
                <w:ilvl w:val="0"/>
                <w:numId w:val="19"/>
              </w:numPr>
              <w:spacing w:before="120" w:after="120"/>
              <w:ind w:left="596" w:hanging="284"/>
              <w:contextualSpacing w:val="0"/>
              <w:rPr>
                <w:rFonts w:ascii="Arial" w:hAnsi="Arial" w:cs="Arial"/>
                <w:sz w:val="20"/>
                <w:szCs w:val="20"/>
              </w:rPr>
            </w:pPr>
            <w:r w:rsidRPr="00EC27D1">
              <w:rPr>
                <w:rFonts w:asciiTheme="majorHAnsi" w:hAnsiTheme="majorHAnsi" w:cstheme="majorHAnsi"/>
                <w:sz w:val="24"/>
                <w:szCs w:val="24"/>
              </w:rPr>
              <w:t>highlights the topic of gender equality and women in research to the wider community.</w:t>
            </w:r>
          </w:p>
        </w:tc>
      </w:tr>
      <w:tr w:rsidR="004A7B48" w14:paraId="61AFA17D" w14:textId="77777777" w:rsidTr="004A7B48">
        <w:tc>
          <w:tcPr>
            <w:tcW w:w="9016" w:type="dxa"/>
            <w:tcBorders>
              <w:top w:val="nil"/>
              <w:left w:val="nil"/>
              <w:bottom w:val="nil"/>
              <w:right w:val="nil"/>
            </w:tcBorders>
          </w:tcPr>
          <w:p w14:paraId="2E327B44" w14:textId="77777777" w:rsidR="004A7B48" w:rsidRPr="00EC27D1" w:rsidRDefault="004A7B48" w:rsidP="004A7B48">
            <w:pPr>
              <w:keepNext/>
              <w:keepLines/>
              <w:autoSpaceDE w:val="0"/>
              <w:autoSpaceDN w:val="0"/>
              <w:adjustRightInd w:val="0"/>
              <w:spacing w:before="120" w:after="120"/>
              <w:rPr>
                <w:rFonts w:asciiTheme="majorHAnsi" w:hAnsiTheme="majorHAnsi" w:cstheme="majorHAnsi"/>
                <w:sz w:val="24"/>
                <w:szCs w:val="24"/>
              </w:rPr>
            </w:pPr>
          </w:p>
        </w:tc>
      </w:tr>
    </w:tbl>
    <w:p w14:paraId="0C9B8414" w14:textId="77777777" w:rsidR="004C3783" w:rsidRDefault="004C3783" w:rsidP="004C3783">
      <w:pPr>
        <w:spacing w:after="0" w:line="240" w:lineRule="auto"/>
      </w:pPr>
    </w:p>
    <w:p w14:paraId="7AC6F98D" w14:textId="53DDF559" w:rsidR="0073667C" w:rsidRPr="007A7308" w:rsidRDefault="0073667C" w:rsidP="007862E9">
      <w:pPr>
        <w:spacing w:before="240"/>
        <w:rPr>
          <w:rFonts w:ascii="Arial" w:hAnsi="Arial" w:cs="Arial"/>
          <w:sz w:val="24"/>
          <w:szCs w:val="24"/>
          <w:lang w:val="en"/>
        </w:rPr>
      </w:pPr>
      <w:r w:rsidRPr="007A7308">
        <w:rPr>
          <w:rFonts w:ascii="Arial" w:hAnsi="Arial" w:cs="Arial"/>
          <w:sz w:val="24"/>
          <w:szCs w:val="24"/>
          <w:lang w:val="en"/>
        </w:rPr>
        <w:t>Data</w:t>
      </w:r>
      <w:r w:rsidR="008E55F5">
        <w:rPr>
          <w:rFonts w:ascii="Arial" w:hAnsi="Arial" w:cs="Arial"/>
          <w:sz w:val="24"/>
          <w:szCs w:val="24"/>
          <w:lang w:val="en"/>
        </w:rPr>
        <w:t xml:space="preserve"> reporting and trends</w:t>
      </w:r>
    </w:p>
    <w:p w14:paraId="27B1DAD7" w14:textId="24060D58" w:rsidR="0056313A" w:rsidRDefault="001B52E6" w:rsidP="00051F2D">
      <w:pPr>
        <w:spacing w:after="0"/>
        <w:rPr>
          <w:rFonts w:asciiTheme="majorHAnsi" w:hAnsiTheme="majorHAnsi"/>
          <w:sz w:val="24"/>
          <w:szCs w:val="24"/>
        </w:rPr>
      </w:pPr>
      <w:r>
        <w:rPr>
          <w:rFonts w:asciiTheme="majorHAnsi" w:hAnsiTheme="majorHAnsi"/>
          <w:sz w:val="24"/>
          <w:szCs w:val="24"/>
        </w:rPr>
        <w:t>The</w:t>
      </w:r>
      <w:r w:rsidR="00D352C9">
        <w:rPr>
          <w:rFonts w:asciiTheme="majorHAnsi" w:hAnsiTheme="majorHAnsi"/>
          <w:sz w:val="24"/>
          <w:szCs w:val="24"/>
        </w:rPr>
        <w:t xml:space="preserve"> ARC is committed to </w:t>
      </w:r>
      <w:r w:rsidR="00A476C7">
        <w:rPr>
          <w:rFonts w:asciiTheme="majorHAnsi" w:hAnsiTheme="majorHAnsi"/>
          <w:sz w:val="24"/>
          <w:szCs w:val="24"/>
        </w:rPr>
        <w:t xml:space="preserve">making </w:t>
      </w:r>
      <w:r w:rsidR="00905E9A">
        <w:rPr>
          <w:rFonts w:asciiTheme="majorHAnsi" w:hAnsiTheme="majorHAnsi"/>
          <w:sz w:val="24"/>
          <w:szCs w:val="24"/>
        </w:rPr>
        <w:t>ARC</w:t>
      </w:r>
      <w:r w:rsidR="00A476C7">
        <w:rPr>
          <w:rFonts w:asciiTheme="majorHAnsi" w:hAnsiTheme="majorHAnsi"/>
          <w:sz w:val="24"/>
          <w:szCs w:val="24"/>
        </w:rPr>
        <w:t xml:space="preserve"> data available to stakeholders, </w:t>
      </w:r>
      <w:r w:rsidR="00AE3C80">
        <w:rPr>
          <w:rFonts w:asciiTheme="majorHAnsi" w:hAnsiTheme="majorHAnsi"/>
          <w:sz w:val="24"/>
          <w:szCs w:val="24"/>
        </w:rPr>
        <w:t xml:space="preserve">within the </w:t>
      </w:r>
      <w:r w:rsidR="001D72AC">
        <w:rPr>
          <w:rFonts w:asciiTheme="majorHAnsi" w:hAnsiTheme="majorHAnsi"/>
          <w:sz w:val="24"/>
          <w:szCs w:val="24"/>
        </w:rPr>
        <w:t>operation</w:t>
      </w:r>
      <w:r w:rsidR="00A476C7">
        <w:rPr>
          <w:rFonts w:asciiTheme="majorHAnsi" w:hAnsiTheme="majorHAnsi"/>
          <w:sz w:val="24"/>
          <w:szCs w:val="24"/>
        </w:rPr>
        <w:t>al</w:t>
      </w:r>
      <w:r w:rsidR="001D72AC">
        <w:rPr>
          <w:rFonts w:asciiTheme="majorHAnsi" w:hAnsiTheme="majorHAnsi"/>
          <w:sz w:val="24"/>
          <w:szCs w:val="24"/>
        </w:rPr>
        <w:t xml:space="preserve"> framework of </w:t>
      </w:r>
      <w:r w:rsidR="00FA06EA">
        <w:rPr>
          <w:rFonts w:asciiTheme="majorHAnsi" w:hAnsiTheme="majorHAnsi"/>
          <w:sz w:val="24"/>
          <w:szCs w:val="24"/>
        </w:rPr>
        <w:t xml:space="preserve">ARC and </w:t>
      </w:r>
      <w:r w:rsidR="004A24C8">
        <w:rPr>
          <w:rFonts w:asciiTheme="majorHAnsi" w:hAnsiTheme="majorHAnsi"/>
          <w:sz w:val="24"/>
          <w:szCs w:val="24"/>
        </w:rPr>
        <w:t>Australian Government polic</w:t>
      </w:r>
      <w:r w:rsidR="00C46C61">
        <w:rPr>
          <w:rFonts w:asciiTheme="majorHAnsi" w:hAnsiTheme="majorHAnsi"/>
          <w:sz w:val="24"/>
          <w:szCs w:val="24"/>
        </w:rPr>
        <w:t>y and legislat</w:t>
      </w:r>
      <w:r w:rsidR="001D72AC">
        <w:rPr>
          <w:rFonts w:asciiTheme="majorHAnsi" w:hAnsiTheme="majorHAnsi"/>
          <w:sz w:val="24"/>
          <w:szCs w:val="24"/>
        </w:rPr>
        <w:t>i</w:t>
      </w:r>
      <w:r w:rsidR="00EF4CBE">
        <w:rPr>
          <w:rFonts w:asciiTheme="majorHAnsi" w:hAnsiTheme="majorHAnsi"/>
          <w:sz w:val="24"/>
          <w:szCs w:val="24"/>
        </w:rPr>
        <w:t>ve requirements</w:t>
      </w:r>
      <w:r w:rsidR="00C46C61">
        <w:rPr>
          <w:rFonts w:asciiTheme="majorHAnsi" w:hAnsiTheme="majorHAnsi"/>
          <w:sz w:val="24"/>
          <w:szCs w:val="24"/>
        </w:rPr>
        <w:t xml:space="preserve">, </w:t>
      </w:r>
      <w:r w:rsidR="004A24C8">
        <w:rPr>
          <w:rFonts w:asciiTheme="majorHAnsi" w:hAnsiTheme="majorHAnsi"/>
          <w:sz w:val="24"/>
          <w:szCs w:val="24"/>
        </w:rPr>
        <w:t>including</w:t>
      </w:r>
      <w:r w:rsidR="00C46C61">
        <w:rPr>
          <w:rFonts w:asciiTheme="majorHAnsi" w:hAnsiTheme="majorHAnsi"/>
          <w:sz w:val="24"/>
          <w:szCs w:val="24"/>
        </w:rPr>
        <w:t xml:space="preserve"> </w:t>
      </w:r>
      <w:r w:rsidR="00A476C7">
        <w:rPr>
          <w:rFonts w:asciiTheme="majorHAnsi" w:hAnsiTheme="majorHAnsi"/>
          <w:sz w:val="24"/>
          <w:szCs w:val="24"/>
        </w:rPr>
        <w:t xml:space="preserve">obligations </w:t>
      </w:r>
      <w:r w:rsidR="00C46C61">
        <w:rPr>
          <w:rFonts w:asciiTheme="majorHAnsi" w:hAnsiTheme="majorHAnsi"/>
          <w:sz w:val="24"/>
          <w:szCs w:val="24"/>
        </w:rPr>
        <w:t xml:space="preserve">under </w:t>
      </w:r>
      <w:r w:rsidR="004A24C8">
        <w:rPr>
          <w:rFonts w:asciiTheme="majorHAnsi" w:hAnsiTheme="majorHAnsi"/>
          <w:sz w:val="24"/>
          <w:szCs w:val="24"/>
        </w:rPr>
        <w:t xml:space="preserve">the </w:t>
      </w:r>
      <w:r w:rsidR="004A24C8" w:rsidRPr="00EF4CBE">
        <w:rPr>
          <w:rFonts w:asciiTheme="majorHAnsi" w:hAnsiTheme="majorHAnsi"/>
          <w:i/>
          <w:iCs/>
          <w:sz w:val="24"/>
          <w:szCs w:val="24"/>
        </w:rPr>
        <w:t>Pri</w:t>
      </w:r>
      <w:r w:rsidR="00C46C61" w:rsidRPr="00EF4CBE">
        <w:rPr>
          <w:rFonts w:asciiTheme="majorHAnsi" w:hAnsiTheme="majorHAnsi"/>
          <w:i/>
          <w:iCs/>
          <w:sz w:val="24"/>
          <w:szCs w:val="24"/>
        </w:rPr>
        <w:t>vacy Act</w:t>
      </w:r>
      <w:r w:rsidR="00EF4CBE" w:rsidRPr="00EF4CBE">
        <w:rPr>
          <w:rFonts w:asciiTheme="majorHAnsi" w:hAnsiTheme="majorHAnsi"/>
          <w:i/>
          <w:iCs/>
          <w:sz w:val="24"/>
          <w:szCs w:val="24"/>
        </w:rPr>
        <w:t xml:space="preserve"> 1988</w:t>
      </w:r>
      <w:r w:rsidR="00C46C61">
        <w:rPr>
          <w:rFonts w:asciiTheme="majorHAnsi" w:hAnsiTheme="majorHAnsi"/>
          <w:sz w:val="24"/>
          <w:szCs w:val="24"/>
        </w:rPr>
        <w:t>.</w:t>
      </w:r>
      <w:r w:rsidR="00AE3C80">
        <w:rPr>
          <w:rFonts w:asciiTheme="majorHAnsi" w:hAnsiTheme="majorHAnsi"/>
          <w:sz w:val="24"/>
          <w:szCs w:val="24"/>
        </w:rPr>
        <w:t xml:space="preserve"> </w:t>
      </w:r>
      <w:r w:rsidR="00C51C63">
        <w:rPr>
          <w:rFonts w:asciiTheme="majorHAnsi" w:hAnsiTheme="majorHAnsi"/>
          <w:sz w:val="24"/>
          <w:szCs w:val="24"/>
        </w:rPr>
        <w:t>The ARC recognises that</w:t>
      </w:r>
      <w:r w:rsidR="0044640A">
        <w:rPr>
          <w:rFonts w:asciiTheme="majorHAnsi" w:hAnsiTheme="majorHAnsi"/>
          <w:sz w:val="24"/>
          <w:szCs w:val="24"/>
        </w:rPr>
        <w:t xml:space="preserve"> </w:t>
      </w:r>
      <w:r w:rsidR="00905E9A">
        <w:rPr>
          <w:rFonts w:asciiTheme="majorHAnsi" w:hAnsiTheme="majorHAnsi"/>
          <w:sz w:val="24"/>
          <w:szCs w:val="24"/>
        </w:rPr>
        <w:t xml:space="preserve">the range of </w:t>
      </w:r>
      <w:r w:rsidR="0044640A">
        <w:rPr>
          <w:rFonts w:asciiTheme="majorHAnsi" w:hAnsiTheme="majorHAnsi"/>
          <w:sz w:val="24"/>
          <w:szCs w:val="24"/>
        </w:rPr>
        <w:t xml:space="preserve">data </w:t>
      </w:r>
      <w:r w:rsidR="00905E9A">
        <w:rPr>
          <w:rFonts w:asciiTheme="majorHAnsi" w:hAnsiTheme="majorHAnsi"/>
          <w:sz w:val="24"/>
          <w:szCs w:val="24"/>
        </w:rPr>
        <w:t xml:space="preserve">created and collected by the ARC </w:t>
      </w:r>
      <w:r w:rsidR="0044640A">
        <w:rPr>
          <w:rFonts w:asciiTheme="majorHAnsi" w:hAnsiTheme="majorHAnsi"/>
          <w:sz w:val="24"/>
          <w:szCs w:val="24"/>
        </w:rPr>
        <w:t>can be usefu</w:t>
      </w:r>
      <w:r w:rsidR="00FC3F6F">
        <w:rPr>
          <w:rFonts w:asciiTheme="majorHAnsi" w:hAnsiTheme="majorHAnsi"/>
          <w:sz w:val="24"/>
          <w:szCs w:val="24"/>
        </w:rPr>
        <w:t xml:space="preserve">l </w:t>
      </w:r>
      <w:r w:rsidR="00A30E19">
        <w:rPr>
          <w:rFonts w:asciiTheme="majorHAnsi" w:hAnsiTheme="majorHAnsi"/>
          <w:sz w:val="24"/>
          <w:szCs w:val="24"/>
        </w:rPr>
        <w:t>to inform policy</w:t>
      </w:r>
      <w:r w:rsidR="00FC3F6F">
        <w:rPr>
          <w:rFonts w:asciiTheme="majorHAnsi" w:hAnsiTheme="majorHAnsi"/>
          <w:sz w:val="24"/>
          <w:szCs w:val="24"/>
        </w:rPr>
        <w:t xml:space="preserve"> analysis</w:t>
      </w:r>
      <w:r w:rsidR="004E692F">
        <w:rPr>
          <w:rFonts w:asciiTheme="majorHAnsi" w:hAnsiTheme="majorHAnsi"/>
          <w:sz w:val="24"/>
          <w:szCs w:val="24"/>
        </w:rPr>
        <w:t>,</w:t>
      </w:r>
      <w:r w:rsidR="00FC3F6F">
        <w:rPr>
          <w:rFonts w:asciiTheme="majorHAnsi" w:hAnsiTheme="majorHAnsi"/>
          <w:sz w:val="24"/>
          <w:szCs w:val="24"/>
        </w:rPr>
        <w:t xml:space="preserve"> planning</w:t>
      </w:r>
      <w:r w:rsidR="004E692F">
        <w:rPr>
          <w:rFonts w:asciiTheme="majorHAnsi" w:hAnsiTheme="majorHAnsi"/>
          <w:sz w:val="24"/>
          <w:szCs w:val="24"/>
        </w:rPr>
        <w:t xml:space="preserve"> and reporting</w:t>
      </w:r>
      <w:r w:rsidR="00FC3F6F">
        <w:rPr>
          <w:rFonts w:asciiTheme="majorHAnsi" w:hAnsiTheme="majorHAnsi"/>
          <w:sz w:val="24"/>
          <w:szCs w:val="24"/>
        </w:rPr>
        <w:t xml:space="preserve"> </w:t>
      </w:r>
      <w:r w:rsidR="00241ACB">
        <w:rPr>
          <w:rFonts w:asciiTheme="majorHAnsi" w:hAnsiTheme="majorHAnsi"/>
          <w:sz w:val="24"/>
          <w:szCs w:val="24"/>
        </w:rPr>
        <w:t>for a range of stakeholders, in</w:t>
      </w:r>
      <w:r w:rsidR="00F958F2">
        <w:rPr>
          <w:rFonts w:asciiTheme="majorHAnsi" w:hAnsiTheme="majorHAnsi"/>
          <w:sz w:val="24"/>
          <w:szCs w:val="24"/>
        </w:rPr>
        <w:t>cl</w:t>
      </w:r>
      <w:r w:rsidR="00241ACB">
        <w:rPr>
          <w:rFonts w:asciiTheme="majorHAnsi" w:hAnsiTheme="majorHAnsi"/>
          <w:sz w:val="24"/>
          <w:szCs w:val="24"/>
        </w:rPr>
        <w:t>uding</w:t>
      </w:r>
      <w:r w:rsidR="000316DC">
        <w:rPr>
          <w:rFonts w:asciiTheme="majorHAnsi" w:hAnsiTheme="majorHAnsi"/>
          <w:sz w:val="24"/>
          <w:szCs w:val="24"/>
        </w:rPr>
        <w:t xml:space="preserve"> individual</w:t>
      </w:r>
      <w:r w:rsidR="00C47A89">
        <w:rPr>
          <w:rFonts w:asciiTheme="majorHAnsi" w:hAnsiTheme="majorHAnsi"/>
          <w:sz w:val="24"/>
          <w:szCs w:val="24"/>
        </w:rPr>
        <w:t xml:space="preserve"> researcher</w:t>
      </w:r>
      <w:r w:rsidR="000316DC">
        <w:rPr>
          <w:rFonts w:asciiTheme="majorHAnsi" w:hAnsiTheme="majorHAnsi"/>
          <w:sz w:val="24"/>
          <w:szCs w:val="24"/>
        </w:rPr>
        <w:t>s</w:t>
      </w:r>
      <w:r w:rsidR="00C47A89">
        <w:rPr>
          <w:rFonts w:asciiTheme="majorHAnsi" w:hAnsiTheme="majorHAnsi"/>
          <w:sz w:val="24"/>
          <w:szCs w:val="24"/>
        </w:rPr>
        <w:t xml:space="preserve">, </w:t>
      </w:r>
      <w:r w:rsidR="000316DC">
        <w:rPr>
          <w:rFonts w:asciiTheme="majorHAnsi" w:hAnsiTheme="majorHAnsi"/>
          <w:sz w:val="24"/>
          <w:szCs w:val="24"/>
        </w:rPr>
        <w:t xml:space="preserve">and the </w:t>
      </w:r>
      <w:r w:rsidR="002A193E">
        <w:rPr>
          <w:rFonts w:asciiTheme="majorHAnsi" w:hAnsiTheme="majorHAnsi"/>
          <w:sz w:val="24"/>
          <w:szCs w:val="24"/>
        </w:rPr>
        <w:t>Australian</w:t>
      </w:r>
      <w:r w:rsidR="000316DC">
        <w:rPr>
          <w:rFonts w:asciiTheme="majorHAnsi" w:hAnsiTheme="majorHAnsi"/>
          <w:sz w:val="24"/>
          <w:szCs w:val="24"/>
        </w:rPr>
        <w:t xml:space="preserve"> </w:t>
      </w:r>
      <w:r w:rsidR="00C47A89">
        <w:rPr>
          <w:rFonts w:asciiTheme="majorHAnsi" w:hAnsiTheme="majorHAnsi"/>
          <w:sz w:val="24"/>
          <w:szCs w:val="24"/>
        </w:rPr>
        <w:t>research sector.</w:t>
      </w:r>
      <w:r w:rsidR="00853D16">
        <w:rPr>
          <w:rFonts w:asciiTheme="majorHAnsi" w:hAnsiTheme="majorHAnsi"/>
          <w:sz w:val="24"/>
          <w:szCs w:val="24"/>
        </w:rPr>
        <w:t xml:space="preserve"> </w:t>
      </w:r>
      <w:r w:rsidR="002E6598">
        <w:rPr>
          <w:rFonts w:asciiTheme="majorHAnsi" w:hAnsiTheme="majorHAnsi"/>
          <w:sz w:val="24"/>
          <w:szCs w:val="24"/>
        </w:rPr>
        <w:lastRenderedPageBreak/>
        <w:t xml:space="preserve">For example </w:t>
      </w:r>
      <w:r w:rsidR="00A639D7">
        <w:rPr>
          <w:rFonts w:asciiTheme="majorHAnsi" w:hAnsiTheme="majorHAnsi"/>
          <w:sz w:val="24"/>
          <w:szCs w:val="24"/>
        </w:rPr>
        <w:t>NCGP</w:t>
      </w:r>
      <w:r w:rsidR="002D4D57">
        <w:rPr>
          <w:rFonts w:asciiTheme="majorHAnsi" w:hAnsiTheme="majorHAnsi"/>
          <w:sz w:val="24"/>
          <w:szCs w:val="24"/>
        </w:rPr>
        <w:t xml:space="preserve"> data is included in the </w:t>
      </w:r>
      <w:hyperlink r:id="rId25" w:history="1">
        <w:r w:rsidR="002D4D57" w:rsidRPr="00336BA0">
          <w:rPr>
            <w:rStyle w:val="Hyperlink"/>
            <w:rFonts w:asciiTheme="majorHAnsi" w:hAnsiTheme="majorHAnsi"/>
            <w:sz w:val="24"/>
            <w:szCs w:val="24"/>
          </w:rPr>
          <w:t>STEM Equity Monitor</w:t>
        </w:r>
      </w:hyperlink>
      <w:r w:rsidR="002D4D57">
        <w:rPr>
          <w:rFonts w:asciiTheme="majorHAnsi" w:hAnsiTheme="majorHAnsi"/>
          <w:sz w:val="24"/>
          <w:szCs w:val="24"/>
        </w:rPr>
        <w:t xml:space="preserve">, </w:t>
      </w:r>
      <w:r w:rsidR="002D4D57" w:rsidRPr="002D4D57">
        <w:rPr>
          <w:rFonts w:asciiTheme="majorHAnsi" w:hAnsiTheme="majorHAnsi"/>
          <w:sz w:val="24"/>
          <w:szCs w:val="24"/>
        </w:rPr>
        <w:t xml:space="preserve">a national data report on girls and women in </w:t>
      </w:r>
      <w:r w:rsidR="002D4D57">
        <w:rPr>
          <w:rFonts w:asciiTheme="majorHAnsi" w:hAnsiTheme="majorHAnsi"/>
          <w:sz w:val="24"/>
          <w:szCs w:val="24"/>
        </w:rPr>
        <w:t>STEM</w:t>
      </w:r>
      <w:r w:rsidR="004E692F">
        <w:rPr>
          <w:rFonts w:asciiTheme="majorHAnsi" w:hAnsiTheme="majorHAnsi"/>
          <w:sz w:val="24"/>
          <w:szCs w:val="24"/>
        </w:rPr>
        <w:t xml:space="preserve"> produced by the Department of Industry, Science, Energy and Resources.</w:t>
      </w:r>
    </w:p>
    <w:p w14:paraId="3098BEBB" w14:textId="6ED9C819" w:rsidR="00A710A6" w:rsidRDefault="00A710A6" w:rsidP="00051F2D">
      <w:pPr>
        <w:spacing w:after="0"/>
        <w:rPr>
          <w:rFonts w:asciiTheme="majorHAnsi" w:hAnsiTheme="majorHAnsi"/>
          <w:sz w:val="24"/>
          <w:szCs w:val="24"/>
        </w:rPr>
      </w:pPr>
    </w:p>
    <w:p w14:paraId="755B56C7" w14:textId="090CC34E" w:rsidR="00A710A6" w:rsidRDefault="00A710A6" w:rsidP="00A710A6">
      <w:pPr>
        <w:spacing w:after="0"/>
        <w:rPr>
          <w:rFonts w:asciiTheme="majorHAnsi" w:hAnsiTheme="majorHAnsi" w:cstheme="majorHAnsi"/>
          <w:sz w:val="24"/>
          <w:szCs w:val="24"/>
          <w:lang w:val="en"/>
        </w:rPr>
      </w:pPr>
      <w:r>
        <w:rPr>
          <w:rFonts w:asciiTheme="majorHAnsi" w:hAnsiTheme="majorHAnsi"/>
          <w:sz w:val="24"/>
          <w:szCs w:val="24"/>
        </w:rPr>
        <w:t xml:space="preserve">For the purposes of ARC data collection, in accordance with the </w:t>
      </w:r>
      <w:r w:rsidRPr="00732598">
        <w:rPr>
          <w:rFonts w:asciiTheme="majorHAnsi" w:hAnsiTheme="majorHAnsi"/>
          <w:i/>
          <w:iCs/>
          <w:sz w:val="24"/>
          <w:szCs w:val="24"/>
        </w:rPr>
        <w:t xml:space="preserve">Australian </w:t>
      </w:r>
      <w:r w:rsidRPr="00732598">
        <w:rPr>
          <w:rFonts w:asciiTheme="majorHAnsi" w:hAnsiTheme="majorHAnsi" w:cstheme="majorHAnsi"/>
          <w:i/>
          <w:iCs/>
          <w:sz w:val="24"/>
          <w:szCs w:val="24"/>
        </w:rPr>
        <w:t>Government Guidelines on the Recognition of Sex and Gender</w:t>
      </w:r>
      <w:r w:rsidRPr="00637AEE">
        <w:rPr>
          <w:rFonts w:asciiTheme="majorHAnsi" w:hAnsiTheme="majorHAnsi" w:cstheme="majorHAnsi"/>
          <w:sz w:val="24"/>
          <w:szCs w:val="24"/>
        </w:rPr>
        <w:t xml:space="preserve">, </w:t>
      </w:r>
      <w:r w:rsidR="00321F5A">
        <w:rPr>
          <w:rFonts w:asciiTheme="majorHAnsi" w:hAnsiTheme="majorHAnsi" w:cstheme="majorHAnsi"/>
          <w:sz w:val="24"/>
          <w:szCs w:val="24"/>
        </w:rPr>
        <w:t>individuals</w:t>
      </w:r>
      <w:r w:rsidR="00F80D59">
        <w:rPr>
          <w:rFonts w:asciiTheme="majorHAnsi" w:hAnsiTheme="majorHAnsi" w:cstheme="majorHAnsi"/>
          <w:sz w:val="24"/>
          <w:szCs w:val="24"/>
        </w:rPr>
        <w:t xml:space="preserve"> </w:t>
      </w:r>
      <w:r w:rsidR="00321F5A">
        <w:rPr>
          <w:rFonts w:asciiTheme="majorHAnsi" w:hAnsiTheme="majorHAnsi" w:cstheme="majorHAnsi"/>
          <w:sz w:val="24"/>
          <w:szCs w:val="24"/>
        </w:rPr>
        <w:t>can identify as M (male), F</w:t>
      </w:r>
      <w:r w:rsidR="00EB1EC8">
        <w:rPr>
          <w:rFonts w:asciiTheme="majorHAnsi" w:hAnsiTheme="majorHAnsi" w:cstheme="majorHAnsi"/>
          <w:sz w:val="24"/>
          <w:szCs w:val="24"/>
        </w:rPr>
        <w:t> </w:t>
      </w:r>
      <w:r w:rsidR="00321F5A">
        <w:rPr>
          <w:rFonts w:asciiTheme="majorHAnsi" w:hAnsiTheme="majorHAnsi" w:cstheme="majorHAnsi"/>
          <w:sz w:val="24"/>
          <w:szCs w:val="24"/>
        </w:rPr>
        <w:t xml:space="preserve">(female) or X </w:t>
      </w:r>
      <w:r w:rsidRPr="00637AEE">
        <w:rPr>
          <w:rFonts w:asciiTheme="majorHAnsi" w:hAnsiTheme="majorHAnsi" w:cstheme="majorHAnsi"/>
          <w:sz w:val="24"/>
          <w:szCs w:val="24"/>
        </w:rPr>
        <w:t>(indeterminate/intersex/unspecified). </w:t>
      </w:r>
      <w:r w:rsidR="00F618E3">
        <w:rPr>
          <w:rFonts w:asciiTheme="majorHAnsi" w:hAnsiTheme="majorHAnsi" w:cstheme="majorHAnsi"/>
          <w:sz w:val="24"/>
          <w:szCs w:val="24"/>
        </w:rPr>
        <w:t>Owing to small numbers reported</w:t>
      </w:r>
      <w:r w:rsidR="00DB489C">
        <w:rPr>
          <w:rFonts w:asciiTheme="majorHAnsi" w:hAnsiTheme="majorHAnsi" w:cstheme="majorHAnsi"/>
          <w:sz w:val="24"/>
          <w:szCs w:val="24"/>
        </w:rPr>
        <w:t xml:space="preserve"> and privacy obligations</w:t>
      </w:r>
      <w:r w:rsidR="00F618E3">
        <w:rPr>
          <w:rFonts w:asciiTheme="majorHAnsi" w:hAnsiTheme="majorHAnsi" w:cstheme="majorHAnsi"/>
          <w:sz w:val="24"/>
          <w:szCs w:val="24"/>
        </w:rPr>
        <w:t xml:space="preserve">, individuals identifying as X may not appear in </w:t>
      </w:r>
      <w:r w:rsidR="00597DC6">
        <w:rPr>
          <w:rFonts w:asciiTheme="majorHAnsi" w:hAnsiTheme="majorHAnsi" w:cstheme="majorHAnsi"/>
          <w:sz w:val="24"/>
          <w:szCs w:val="24"/>
        </w:rPr>
        <w:t xml:space="preserve">ARC </w:t>
      </w:r>
      <w:r w:rsidR="00F618E3">
        <w:rPr>
          <w:rFonts w:asciiTheme="majorHAnsi" w:hAnsiTheme="majorHAnsi" w:cstheme="majorHAnsi"/>
          <w:sz w:val="24"/>
          <w:szCs w:val="24"/>
        </w:rPr>
        <w:t>data</w:t>
      </w:r>
      <w:r w:rsidR="000F0AA0">
        <w:rPr>
          <w:rFonts w:asciiTheme="majorHAnsi" w:hAnsiTheme="majorHAnsi" w:cstheme="majorHAnsi"/>
          <w:sz w:val="24"/>
          <w:szCs w:val="24"/>
        </w:rPr>
        <w:t xml:space="preserve"> reports</w:t>
      </w:r>
      <w:r w:rsidR="00DB489C">
        <w:rPr>
          <w:rFonts w:asciiTheme="majorHAnsi" w:hAnsiTheme="majorHAnsi" w:cstheme="majorHAnsi"/>
          <w:sz w:val="24"/>
          <w:szCs w:val="24"/>
        </w:rPr>
        <w:t xml:space="preserve">. </w:t>
      </w:r>
    </w:p>
    <w:p w14:paraId="33DE61D1" w14:textId="77777777" w:rsidR="00A710A6" w:rsidRDefault="00A710A6" w:rsidP="00051F2D">
      <w:pPr>
        <w:spacing w:after="0"/>
        <w:rPr>
          <w:rFonts w:asciiTheme="majorHAnsi" w:hAnsiTheme="majorHAnsi"/>
          <w:sz w:val="24"/>
          <w:szCs w:val="24"/>
        </w:rPr>
      </w:pPr>
    </w:p>
    <w:p w14:paraId="70A06185" w14:textId="1644864A" w:rsidR="00F71172" w:rsidRDefault="00051F2D" w:rsidP="0073667C">
      <w:pPr>
        <w:spacing w:after="0"/>
        <w:rPr>
          <w:rFonts w:asciiTheme="majorHAnsi" w:hAnsiTheme="majorHAnsi"/>
          <w:sz w:val="24"/>
          <w:szCs w:val="24"/>
        </w:rPr>
      </w:pPr>
      <w:r w:rsidRPr="000914D6">
        <w:rPr>
          <w:rFonts w:asciiTheme="majorHAnsi" w:hAnsiTheme="majorHAnsi"/>
          <w:sz w:val="24"/>
          <w:szCs w:val="24"/>
        </w:rPr>
        <w:t xml:space="preserve">The ARC releases </w:t>
      </w:r>
      <w:hyperlink r:id="rId26" w:history="1">
        <w:r w:rsidRPr="009A639D">
          <w:rPr>
            <w:rStyle w:val="Hyperlink"/>
            <w:rFonts w:asciiTheme="majorHAnsi" w:hAnsiTheme="majorHAnsi"/>
            <w:sz w:val="24"/>
            <w:szCs w:val="24"/>
          </w:rPr>
          <w:t>outcome reports and trend data</w:t>
        </w:r>
      </w:hyperlink>
      <w:r w:rsidRPr="000914D6">
        <w:rPr>
          <w:rFonts w:asciiTheme="majorHAnsi" w:hAnsiTheme="majorHAnsi"/>
          <w:sz w:val="24"/>
          <w:szCs w:val="24"/>
        </w:rPr>
        <w:t xml:space="preserve"> annually, which track the comparative gender success rates and participation rates across NCGP scheme</w:t>
      </w:r>
      <w:r w:rsidR="00581432">
        <w:rPr>
          <w:rFonts w:asciiTheme="majorHAnsi" w:hAnsiTheme="majorHAnsi"/>
          <w:sz w:val="24"/>
          <w:szCs w:val="24"/>
        </w:rPr>
        <w:t>s</w:t>
      </w:r>
      <w:r w:rsidR="005B3C16">
        <w:rPr>
          <w:rFonts w:asciiTheme="majorHAnsi" w:hAnsiTheme="majorHAnsi"/>
          <w:sz w:val="24"/>
          <w:szCs w:val="24"/>
        </w:rPr>
        <w:t xml:space="preserve"> in a range of categories including, </w:t>
      </w:r>
      <w:r w:rsidRPr="000914D6">
        <w:rPr>
          <w:rFonts w:asciiTheme="majorHAnsi" w:hAnsiTheme="majorHAnsi"/>
          <w:sz w:val="24"/>
          <w:szCs w:val="24"/>
        </w:rPr>
        <w:t>career age</w:t>
      </w:r>
      <w:r w:rsidR="000D6E1C">
        <w:rPr>
          <w:rFonts w:asciiTheme="majorHAnsi" w:hAnsiTheme="majorHAnsi"/>
          <w:sz w:val="24"/>
          <w:szCs w:val="24"/>
        </w:rPr>
        <w:t xml:space="preserve"> and </w:t>
      </w:r>
      <w:r w:rsidR="005B3C16">
        <w:rPr>
          <w:rFonts w:asciiTheme="majorHAnsi" w:hAnsiTheme="majorHAnsi"/>
          <w:sz w:val="24"/>
          <w:szCs w:val="24"/>
        </w:rPr>
        <w:t>field of research</w:t>
      </w:r>
      <w:r w:rsidR="000D6E1C">
        <w:rPr>
          <w:rFonts w:asciiTheme="majorHAnsi" w:hAnsiTheme="majorHAnsi"/>
          <w:sz w:val="24"/>
          <w:szCs w:val="24"/>
        </w:rPr>
        <w:t>.</w:t>
      </w:r>
    </w:p>
    <w:p w14:paraId="71D45EDE" w14:textId="77777777" w:rsidR="0082339D" w:rsidRDefault="0082339D" w:rsidP="0073667C">
      <w:pPr>
        <w:spacing w:after="0"/>
        <w:rPr>
          <w:rFonts w:asciiTheme="majorHAnsi" w:hAnsiTheme="majorHAnsi" w:cstheme="majorHAnsi"/>
          <w:sz w:val="24"/>
          <w:szCs w:val="24"/>
          <w:lang w:val="en"/>
        </w:rPr>
      </w:pPr>
    </w:p>
    <w:p w14:paraId="3E6081BF" w14:textId="1279E5F5" w:rsidR="0073667C" w:rsidRDefault="008B6925" w:rsidP="00580E75">
      <w:pPr>
        <w:rPr>
          <w:rFonts w:asciiTheme="majorHAnsi" w:hAnsiTheme="majorHAnsi"/>
          <w:sz w:val="24"/>
          <w:szCs w:val="24"/>
          <w:lang w:val="en"/>
        </w:rPr>
      </w:pPr>
      <w:r>
        <w:rPr>
          <w:rFonts w:asciiTheme="majorHAnsi" w:hAnsiTheme="majorHAnsi" w:cstheme="majorHAnsi"/>
          <w:sz w:val="24"/>
          <w:szCs w:val="24"/>
          <w:lang w:val="en"/>
        </w:rPr>
        <w:t xml:space="preserve">Under NCGP schemes and across years, the success rates for men and women have been consistently </w:t>
      </w:r>
      <w:r w:rsidRPr="009D1E5E">
        <w:rPr>
          <w:rFonts w:asciiTheme="majorHAnsi" w:hAnsiTheme="majorHAnsi" w:cstheme="majorHAnsi"/>
          <w:sz w:val="24"/>
          <w:szCs w:val="24"/>
          <w:lang w:val="en"/>
        </w:rPr>
        <w:t>comparable, despite</w:t>
      </w:r>
      <w:r w:rsidRPr="009D1E5E">
        <w:rPr>
          <w:rFonts w:asciiTheme="majorHAnsi" w:hAnsiTheme="majorHAnsi"/>
          <w:sz w:val="24"/>
          <w:szCs w:val="24"/>
          <w:lang w:val="en"/>
        </w:rPr>
        <w:t xml:space="preserve"> the significant disparity </w:t>
      </w:r>
      <w:r>
        <w:rPr>
          <w:rFonts w:asciiTheme="majorHAnsi" w:hAnsiTheme="majorHAnsi"/>
          <w:sz w:val="24"/>
          <w:szCs w:val="24"/>
          <w:lang w:val="en"/>
        </w:rPr>
        <w:t>in</w:t>
      </w:r>
      <w:r w:rsidRPr="009D1E5E">
        <w:rPr>
          <w:rFonts w:asciiTheme="majorHAnsi" w:hAnsiTheme="majorHAnsi"/>
          <w:sz w:val="24"/>
          <w:szCs w:val="24"/>
          <w:lang w:val="en"/>
        </w:rPr>
        <w:t xml:space="preserve"> participation rates. </w:t>
      </w:r>
    </w:p>
    <w:p w14:paraId="1979FAE7" w14:textId="0E85AA2F" w:rsidR="0000722B" w:rsidRDefault="0000722B" w:rsidP="003329DB">
      <w:pPr>
        <w:spacing w:after="0"/>
        <w:rPr>
          <w:rFonts w:asciiTheme="majorHAnsi" w:hAnsiTheme="majorHAnsi"/>
          <w:sz w:val="24"/>
          <w:szCs w:val="24"/>
          <w:lang w:val="en"/>
        </w:rPr>
      </w:pPr>
      <w:r>
        <w:rPr>
          <w:noProof/>
        </w:rPr>
        <w:drawing>
          <wp:inline distT="0" distB="0" distL="0" distR="0" wp14:anchorId="38DE8D37" wp14:editId="476AE41A">
            <wp:extent cx="5731510" cy="3232150"/>
            <wp:effectExtent l="0" t="0" r="2540" b="6350"/>
            <wp:docPr id="3" name="Chart 3" descr="Applicants by gender and success rate from 2002 - 2020">
              <a:extLst xmlns:a="http://schemas.openxmlformats.org/drawingml/2006/main">
                <a:ext uri="{FF2B5EF4-FFF2-40B4-BE49-F238E27FC236}">
                  <a16:creationId xmlns:a16="http://schemas.microsoft.com/office/drawing/2014/main" id="{7AD63CAA-2158-4574-BBC9-EF9B1F7BF43D}"/>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0A06CD1" w14:textId="74E252E5" w:rsidR="001363C6" w:rsidRPr="00C240CC" w:rsidRDefault="001363C6" w:rsidP="003329DE">
      <w:pPr>
        <w:spacing w:before="240" w:after="0"/>
        <w:rPr>
          <w:rFonts w:asciiTheme="majorHAnsi" w:hAnsiTheme="majorHAnsi"/>
          <w:sz w:val="24"/>
          <w:szCs w:val="24"/>
          <w:lang w:val="en"/>
        </w:rPr>
      </w:pPr>
      <w:r w:rsidRPr="00DB3F81">
        <w:rPr>
          <w:rFonts w:asciiTheme="majorHAnsi" w:hAnsiTheme="majorHAnsi"/>
          <w:sz w:val="24"/>
          <w:szCs w:val="24"/>
          <w:lang w:val="en"/>
        </w:rPr>
        <w:t>In 2018,</w:t>
      </w:r>
      <w:r w:rsidRPr="009D1E5E">
        <w:rPr>
          <w:rFonts w:asciiTheme="majorHAnsi" w:hAnsiTheme="majorHAnsi"/>
          <w:sz w:val="24"/>
          <w:szCs w:val="24"/>
          <w:lang w:val="en"/>
        </w:rPr>
        <w:t xml:space="preserve"> for the first time, the</w:t>
      </w:r>
      <w:r>
        <w:rPr>
          <w:rFonts w:asciiTheme="majorHAnsi" w:eastAsia="Times New Roman" w:hAnsiTheme="majorHAnsi" w:cstheme="majorHAnsi"/>
          <w:color w:val="5D5D5D"/>
          <w:sz w:val="24"/>
          <w:szCs w:val="24"/>
          <w:lang w:eastAsia="en-AU"/>
        </w:rPr>
        <w:t xml:space="preserve"> </w:t>
      </w:r>
      <w:r w:rsidRPr="009D1E5E">
        <w:rPr>
          <w:rFonts w:asciiTheme="majorHAnsi" w:hAnsiTheme="majorHAnsi"/>
          <w:sz w:val="24"/>
          <w:szCs w:val="24"/>
          <w:lang w:val="en"/>
        </w:rPr>
        <w:t>success rates for women w</w:t>
      </w:r>
      <w:r>
        <w:rPr>
          <w:rFonts w:asciiTheme="majorHAnsi" w:hAnsiTheme="majorHAnsi"/>
          <w:sz w:val="24"/>
          <w:szCs w:val="24"/>
          <w:lang w:val="en"/>
        </w:rPr>
        <w:t>ere</w:t>
      </w:r>
      <w:r w:rsidRPr="009D1E5E">
        <w:rPr>
          <w:rFonts w:asciiTheme="majorHAnsi" w:hAnsiTheme="majorHAnsi"/>
          <w:sz w:val="24"/>
          <w:szCs w:val="24"/>
          <w:lang w:val="en"/>
        </w:rPr>
        <w:t xml:space="preserve"> </w:t>
      </w:r>
      <w:r>
        <w:rPr>
          <w:rFonts w:asciiTheme="majorHAnsi" w:hAnsiTheme="majorHAnsi"/>
          <w:sz w:val="24"/>
          <w:szCs w:val="24"/>
          <w:lang w:val="en"/>
        </w:rPr>
        <w:t xml:space="preserve">equal to or </w:t>
      </w:r>
      <w:r w:rsidRPr="009D1E5E">
        <w:rPr>
          <w:rFonts w:asciiTheme="majorHAnsi" w:hAnsiTheme="majorHAnsi"/>
          <w:sz w:val="24"/>
          <w:szCs w:val="24"/>
          <w:lang w:val="en"/>
        </w:rPr>
        <w:t>higher than men in all Discovery Program</w:t>
      </w:r>
      <w:r w:rsidR="00EC2DAD">
        <w:rPr>
          <w:rStyle w:val="FootnoteReference"/>
          <w:rFonts w:asciiTheme="majorHAnsi" w:hAnsiTheme="majorHAnsi"/>
          <w:sz w:val="24"/>
          <w:szCs w:val="24"/>
          <w:lang w:val="en"/>
        </w:rPr>
        <w:footnoteReference w:id="3"/>
      </w:r>
      <w:r w:rsidRPr="009D1E5E">
        <w:rPr>
          <w:rFonts w:asciiTheme="majorHAnsi" w:hAnsiTheme="majorHAnsi"/>
          <w:sz w:val="24"/>
          <w:szCs w:val="24"/>
          <w:lang w:val="en"/>
        </w:rPr>
        <w:t xml:space="preserve"> schemes</w:t>
      </w:r>
      <w:r>
        <w:rPr>
          <w:rFonts w:asciiTheme="majorHAnsi" w:hAnsiTheme="majorHAnsi"/>
          <w:sz w:val="24"/>
          <w:szCs w:val="24"/>
          <w:lang w:val="en"/>
        </w:rPr>
        <w:t>, and in 2019 the success rates for women were equal to or higher than men in all Linkage Program</w:t>
      </w:r>
      <w:r w:rsidR="005B0F20">
        <w:rPr>
          <w:rStyle w:val="FootnoteReference"/>
          <w:rFonts w:asciiTheme="majorHAnsi" w:hAnsiTheme="majorHAnsi"/>
          <w:sz w:val="24"/>
          <w:szCs w:val="24"/>
          <w:lang w:val="en"/>
        </w:rPr>
        <w:footnoteReference w:id="4"/>
      </w:r>
      <w:r>
        <w:rPr>
          <w:rFonts w:asciiTheme="majorHAnsi" w:hAnsiTheme="majorHAnsi"/>
          <w:sz w:val="24"/>
          <w:szCs w:val="24"/>
          <w:lang w:val="en"/>
        </w:rPr>
        <w:t xml:space="preserve"> schemes</w:t>
      </w:r>
      <w:r w:rsidRPr="009D1E5E">
        <w:rPr>
          <w:rFonts w:asciiTheme="majorHAnsi" w:hAnsiTheme="majorHAnsi"/>
          <w:sz w:val="24"/>
          <w:szCs w:val="24"/>
          <w:lang w:val="en"/>
        </w:rPr>
        <w:t>.</w:t>
      </w:r>
      <w:r>
        <w:rPr>
          <w:rFonts w:asciiTheme="majorHAnsi" w:eastAsia="Times New Roman" w:hAnsiTheme="majorHAnsi" w:cstheme="majorHAnsi"/>
          <w:color w:val="5D5D5D"/>
          <w:sz w:val="24"/>
          <w:szCs w:val="24"/>
          <w:lang w:eastAsia="en-AU"/>
        </w:rPr>
        <w:t xml:space="preserve"> </w:t>
      </w:r>
      <w:r w:rsidR="00DF380E" w:rsidRPr="00C240CC">
        <w:rPr>
          <w:rFonts w:asciiTheme="majorHAnsi" w:hAnsiTheme="majorHAnsi"/>
          <w:sz w:val="24"/>
          <w:szCs w:val="24"/>
          <w:lang w:val="en"/>
        </w:rPr>
        <w:t xml:space="preserve">This trend </w:t>
      </w:r>
      <w:r w:rsidR="0032439A" w:rsidRPr="00C240CC">
        <w:rPr>
          <w:rFonts w:asciiTheme="majorHAnsi" w:hAnsiTheme="majorHAnsi"/>
          <w:sz w:val="24"/>
          <w:szCs w:val="24"/>
          <w:lang w:val="en"/>
        </w:rPr>
        <w:t>continue</w:t>
      </w:r>
      <w:r w:rsidR="0032439A">
        <w:rPr>
          <w:rFonts w:asciiTheme="majorHAnsi" w:hAnsiTheme="majorHAnsi"/>
          <w:sz w:val="24"/>
          <w:szCs w:val="24"/>
          <w:lang w:val="en"/>
        </w:rPr>
        <w:t>s</w:t>
      </w:r>
      <w:r w:rsidR="0032439A" w:rsidRPr="00C240CC">
        <w:rPr>
          <w:rFonts w:asciiTheme="majorHAnsi" w:hAnsiTheme="majorHAnsi"/>
          <w:sz w:val="24"/>
          <w:szCs w:val="24"/>
          <w:lang w:val="en"/>
        </w:rPr>
        <w:t xml:space="preserve"> </w:t>
      </w:r>
      <w:r w:rsidR="00DF380E" w:rsidRPr="00C240CC">
        <w:rPr>
          <w:rFonts w:asciiTheme="majorHAnsi" w:hAnsiTheme="majorHAnsi"/>
          <w:sz w:val="24"/>
          <w:szCs w:val="24"/>
          <w:lang w:val="en"/>
        </w:rPr>
        <w:t>for the majority of Discovery and Linkage Program schemes in 2020</w:t>
      </w:r>
      <w:r w:rsidR="006C3C50" w:rsidRPr="00C240CC">
        <w:rPr>
          <w:rFonts w:asciiTheme="majorHAnsi" w:hAnsiTheme="majorHAnsi"/>
          <w:sz w:val="24"/>
          <w:szCs w:val="24"/>
          <w:lang w:val="en"/>
        </w:rPr>
        <w:t>, including the ARC Centres of Excellence</w:t>
      </w:r>
      <w:r w:rsidR="00AB0631" w:rsidRPr="00C240CC">
        <w:rPr>
          <w:rFonts w:asciiTheme="majorHAnsi" w:hAnsiTheme="majorHAnsi"/>
          <w:sz w:val="24"/>
          <w:szCs w:val="24"/>
          <w:lang w:val="en"/>
        </w:rPr>
        <w:t xml:space="preserve"> </w:t>
      </w:r>
      <w:r w:rsidR="004342A7" w:rsidRPr="00C240CC">
        <w:rPr>
          <w:rFonts w:asciiTheme="majorHAnsi" w:hAnsiTheme="majorHAnsi"/>
          <w:sz w:val="24"/>
          <w:szCs w:val="24"/>
          <w:lang w:val="en"/>
        </w:rPr>
        <w:t xml:space="preserve">scheme </w:t>
      </w:r>
      <w:r w:rsidR="00AB0631" w:rsidRPr="00C240CC">
        <w:rPr>
          <w:rFonts w:asciiTheme="majorHAnsi" w:hAnsiTheme="majorHAnsi"/>
          <w:sz w:val="24"/>
          <w:szCs w:val="24"/>
          <w:lang w:val="en"/>
        </w:rPr>
        <w:t>triennial round</w:t>
      </w:r>
      <w:r w:rsidR="00332018" w:rsidRPr="00C240CC">
        <w:rPr>
          <w:rFonts w:asciiTheme="majorHAnsi" w:hAnsiTheme="majorHAnsi"/>
          <w:sz w:val="24"/>
          <w:szCs w:val="24"/>
          <w:lang w:val="en"/>
        </w:rPr>
        <w:t>.</w:t>
      </w:r>
    </w:p>
    <w:p w14:paraId="6CFB848B" w14:textId="0595EE01" w:rsidR="000C77B5" w:rsidRDefault="000C77B5" w:rsidP="000C77B5">
      <w:pPr>
        <w:spacing w:after="0"/>
        <w:rPr>
          <w:rFonts w:asciiTheme="majorHAnsi" w:hAnsiTheme="majorHAnsi"/>
          <w:sz w:val="24"/>
          <w:szCs w:val="24"/>
          <w:lang w:val="en"/>
        </w:rPr>
      </w:pPr>
    </w:p>
    <w:p w14:paraId="49700D97" w14:textId="68DE4586" w:rsidR="00F136CB" w:rsidRDefault="00F136CB" w:rsidP="003329DE">
      <w:pPr>
        <w:spacing w:before="240" w:after="0"/>
        <w:rPr>
          <w:rFonts w:asciiTheme="majorHAnsi" w:hAnsiTheme="majorHAnsi"/>
          <w:sz w:val="24"/>
          <w:szCs w:val="24"/>
          <w:lang w:val="en"/>
        </w:rPr>
      </w:pPr>
      <w:r>
        <w:rPr>
          <w:noProof/>
        </w:rPr>
        <w:lastRenderedPageBreak/>
        <w:drawing>
          <wp:inline distT="0" distB="0" distL="0" distR="0" wp14:anchorId="321E12B4" wp14:editId="42E9FF97">
            <wp:extent cx="5731510" cy="3587750"/>
            <wp:effectExtent l="0" t="0" r="2540" b="12700"/>
            <wp:docPr id="8" name="Chart 8" descr="Proportion of applicants and success rate by gender and scheme for 2020">
              <a:extLst xmlns:a="http://schemas.openxmlformats.org/drawingml/2006/main">
                <a:ext uri="{FF2B5EF4-FFF2-40B4-BE49-F238E27FC236}">
                  <a16:creationId xmlns:a16="http://schemas.microsoft.com/office/drawing/2014/main" id="{FCA889C7-F2C4-447D-BC18-438BCB961E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324853E" w14:textId="1FB58E3C" w:rsidR="00B15A33" w:rsidRPr="0004162B" w:rsidRDefault="00F330A5" w:rsidP="00B15A33">
      <w:pPr>
        <w:spacing w:after="0"/>
        <w:rPr>
          <w:rFonts w:asciiTheme="majorHAnsi" w:hAnsiTheme="majorHAnsi"/>
          <w:sz w:val="16"/>
          <w:szCs w:val="16"/>
          <w:lang w:val="en"/>
        </w:rPr>
      </w:pPr>
      <w:r>
        <w:rPr>
          <w:rFonts w:asciiTheme="majorHAnsi" w:hAnsiTheme="majorHAnsi"/>
          <w:sz w:val="16"/>
          <w:szCs w:val="16"/>
          <w:lang w:val="en"/>
        </w:rPr>
        <w:t xml:space="preserve">DECRA – Discovery Early Career Researcher Award, </w:t>
      </w:r>
      <w:r w:rsidR="00165E04" w:rsidRPr="0004162B">
        <w:rPr>
          <w:rFonts w:asciiTheme="majorHAnsi" w:hAnsiTheme="majorHAnsi"/>
          <w:sz w:val="16"/>
          <w:szCs w:val="16"/>
          <w:lang w:val="en"/>
        </w:rPr>
        <w:t>ITRH – Industrial Transformation Research Hubs, ITTC – Industrial Transformation Training Centres</w:t>
      </w:r>
      <w:r w:rsidR="0004162B" w:rsidRPr="0004162B">
        <w:rPr>
          <w:rFonts w:asciiTheme="majorHAnsi" w:hAnsiTheme="majorHAnsi"/>
          <w:sz w:val="16"/>
          <w:szCs w:val="16"/>
          <w:lang w:val="en"/>
        </w:rPr>
        <w:t>, LIEF- Linkage, Infrastructure, Equipment and Facilities.</w:t>
      </w:r>
    </w:p>
    <w:p w14:paraId="7E7BAB94" w14:textId="4B186CAC" w:rsidR="001363C6" w:rsidRDefault="00A93BB7" w:rsidP="003329DE">
      <w:pPr>
        <w:spacing w:before="240" w:after="0"/>
        <w:rPr>
          <w:rFonts w:asciiTheme="majorHAnsi" w:hAnsiTheme="majorHAnsi"/>
          <w:sz w:val="24"/>
          <w:szCs w:val="24"/>
          <w:lang w:val="en"/>
        </w:rPr>
      </w:pPr>
      <w:r>
        <w:rPr>
          <w:rFonts w:asciiTheme="majorHAnsi" w:hAnsiTheme="majorHAnsi"/>
          <w:sz w:val="24"/>
          <w:szCs w:val="24"/>
          <w:lang w:val="en"/>
        </w:rPr>
        <w:t>Comparable</w:t>
      </w:r>
      <w:r w:rsidR="008D507E">
        <w:rPr>
          <w:rFonts w:asciiTheme="majorHAnsi" w:hAnsiTheme="majorHAnsi"/>
          <w:sz w:val="24"/>
          <w:szCs w:val="24"/>
          <w:lang w:val="en"/>
        </w:rPr>
        <w:t>,</w:t>
      </w:r>
      <w:r>
        <w:rPr>
          <w:rFonts w:asciiTheme="majorHAnsi" w:hAnsiTheme="majorHAnsi"/>
          <w:sz w:val="24"/>
          <w:szCs w:val="24"/>
          <w:lang w:val="en"/>
        </w:rPr>
        <w:t xml:space="preserve"> or higher</w:t>
      </w:r>
      <w:r w:rsidR="008D507E">
        <w:rPr>
          <w:rFonts w:asciiTheme="majorHAnsi" w:hAnsiTheme="majorHAnsi"/>
          <w:sz w:val="24"/>
          <w:szCs w:val="24"/>
          <w:lang w:val="en"/>
        </w:rPr>
        <w:t>,</w:t>
      </w:r>
      <w:r>
        <w:rPr>
          <w:rFonts w:asciiTheme="majorHAnsi" w:hAnsiTheme="majorHAnsi"/>
          <w:sz w:val="24"/>
          <w:szCs w:val="24"/>
          <w:lang w:val="en"/>
        </w:rPr>
        <w:t xml:space="preserve"> success rates for women </w:t>
      </w:r>
      <w:r w:rsidR="004C6B27">
        <w:rPr>
          <w:rFonts w:asciiTheme="majorHAnsi" w:hAnsiTheme="majorHAnsi"/>
          <w:sz w:val="24"/>
          <w:szCs w:val="24"/>
          <w:lang w:val="en"/>
        </w:rPr>
        <w:t xml:space="preserve">under the NCGP </w:t>
      </w:r>
      <w:r>
        <w:rPr>
          <w:rFonts w:asciiTheme="majorHAnsi" w:hAnsiTheme="majorHAnsi"/>
          <w:sz w:val="24"/>
          <w:szCs w:val="24"/>
          <w:lang w:val="en"/>
        </w:rPr>
        <w:t xml:space="preserve">are </w:t>
      </w:r>
      <w:r w:rsidR="0021459E">
        <w:rPr>
          <w:rFonts w:asciiTheme="majorHAnsi" w:hAnsiTheme="majorHAnsi"/>
          <w:sz w:val="24"/>
          <w:szCs w:val="24"/>
          <w:lang w:val="en"/>
        </w:rPr>
        <w:t>significant</w:t>
      </w:r>
      <w:r w:rsidR="004C6B27">
        <w:rPr>
          <w:rFonts w:asciiTheme="majorHAnsi" w:hAnsiTheme="majorHAnsi"/>
          <w:sz w:val="24"/>
          <w:szCs w:val="24"/>
          <w:lang w:val="en"/>
        </w:rPr>
        <w:t>,</w:t>
      </w:r>
      <w:r w:rsidR="0021459E">
        <w:rPr>
          <w:rFonts w:asciiTheme="majorHAnsi" w:hAnsiTheme="majorHAnsi"/>
          <w:sz w:val="24"/>
          <w:szCs w:val="24"/>
          <w:lang w:val="en"/>
        </w:rPr>
        <w:t xml:space="preserve"> given the </w:t>
      </w:r>
      <w:r>
        <w:rPr>
          <w:rFonts w:asciiTheme="majorHAnsi" w:hAnsiTheme="majorHAnsi"/>
          <w:sz w:val="24"/>
          <w:szCs w:val="24"/>
          <w:lang w:val="en"/>
        </w:rPr>
        <w:t xml:space="preserve">disparity in application rates. </w:t>
      </w:r>
      <w:r w:rsidR="002E20CD">
        <w:rPr>
          <w:rFonts w:asciiTheme="majorHAnsi" w:hAnsiTheme="majorHAnsi"/>
          <w:sz w:val="24"/>
          <w:szCs w:val="24"/>
          <w:lang w:val="en"/>
        </w:rPr>
        <w:t>In 2020, t</w:t>
      </w:r>
      <w:r w:rsidR="001363C6">
        <w:rPr>
          <w:rFonts w:asciiTheme="majorHAnsi" w:hAnsiTheme="majorHAnsi"/>
          <w:sz w:val="24"/>
          <w:szCs w:val="24"/>
          <w:lang w:val="en"/>
        </w:rPr>
        <w:t xml:space="preserve">he lowest participation rate </w:t>
      </w:r>
      <w:r w:rsidR="00DB489C">
        <w:rPr>
          <w:rFonts w:asciiTheme="majorHAnsi" w:hAnsiTheme="majorHAnsi"/>
          <w:sz w:val="24"/>
          <w:szCs w:val="24"/>
          <w:lang w:val="en"/>
        </w:rPr>
        <w:t>for women</w:t>
      </w:r>
      <w:r w:rsidR="0072130B">
        <w:rPr>
          <w:rFonts w:asciiTheme="majorHAnsi" w:hAnsiTheme="majorHAnsi"/>
          <w:sz w:val="24"/>
          <w:szCs w:val="24"/>
          <w:lang w:val="en"/>
        </w:rPr>
        <w:t xml:space="preserve"> </w:t>
      </w:r>
      <w:r w:rsidR="00CF2396">
        <w:rPr>
          <w:rFonts w:asciiTheme="majorHAnsi" w:hAnsiTheme="majorHAnsi"/>
          <w:sz w:val="24"/>
          <w:szCs w:val="24"/>
          <w:lang w:val="en"/>
        </w:rPr>
        <w:t>in a</w:t>
      </w:r>
      <w:r w:rsidR="00DB489C">
        <w:rPr>
          <w:rFonts w:asciiTheme="majorHAnsi" w:hAnsiTheme="majorHAnsi"/>
          <w:sz w:val="24"/>
          <w:szCs w:val="24"/>
          <w:lang w:val="en"/>
        </w:rPr>
        <w:t>n NCGP</w:t>
      </w:r>
      <w:r w:rsidR="00CF2396">
        <w:rPr>
          <w:rFonts w:asciiTheme="majorHAnsi" w:hAnsiTheme="majorHAnsi"/>
          <w:sz w:val="24"/>
          <w:szCs w:val="24"/>
          <w:lang w:val="en"/>
        </w:rPr>
        <w:t xml:space="preserve"> scheme </w:t>
      </w:r>
      <w:r w:rsidR="001363C6">
        <w:rPr>
          <w:rFonts w:asciiTheme="majorHAnsi" w:hAnsiTheme="majorHAnsi"/>
          <w:sz w:val="24"/>
          <w:szCs w:val="24"/>
          <w:lang w:val="en"/>
        </w:rPr>
        <w:t xml:space="preserve">was under the </w:t>
      </w:r>
      <w:r w:rsidR="001363C6">
        <w:rPr>
          <w:rFonts w:asciiTheme="majorHAnsi" w:hAnsiTheme="majorHAnsi"/>
          <w:i/>
          <w:iCs/>
          <w:sz w:val="24"/>
          <w:szCs w:val="24"/>
          <w:lang w:val="en"/>
        </w:rPr>
        <w:t xml:space="preserve">Australian Laureate Fellowships </w:t>
      </w:r>
      <w:r w:rsidR="001363C6">
        <w:rPr>
          <w:rFonts w:asciiTheme="majorHAnsi" w:hAnsiTheme="majorHAnsi"/>
          <w:sz w:val="24"/>
          <w:szCs w:val="24"/>
          <w:lang w:val="en"/>
        </w:rPr>
        <w:t xml:space="preserve">scheme, </w:t>
      </w:r>
      <w:r w:rsidR="00CF2396">
        <w:rPr>
          <w:rFonts w:asciiTheme="majorHAnsi" w:hAnsiTheme="majorHAnsi"/>
          <w:sz w:val="24"/>
          <w:szCs w:val="24"/>
          <w:lang w:val="en"/>
        </w:rPr>
        <w:t xml:space="preserve">where </w:t>
      </w:r>
      <w:r w:rsidR="001363C6">
        <w:rPr>
          <w:rFonts w:asciiTheme="majorHAnsi" w:hAnsiTheme="majorHAnsi"/>
          <w:sz w:val="24"/>
          <w:szCs w:val="24"/>
          <w:lang w:val="en"/>
        </w:rPr>
        <w:t>women submitted 22 per cent of applications</w:t>
      </w:r>
      <w:r w:rsidR="00CF2396">
        <w:rPr>
          <w:rFonts w:asciiTheme="majorHAnsi" w:hAnsiTheme="majorHAnsi"/>
          <w:sz w:val="24"/>
          <w:szCs w:val="24"/>
          <w:lang w:val="en"/>
        </w:rPr>
        <w:t>;</w:t>
      </w:r>
      <w:r w:rsidR="00857EA8">
        <w:rPr>
          <w:rFonts w:asciiTheme="majorHAnsi" w:hAnsiTheme="majorHAnsi"/>
          <w:sz w:val="24"/>
          <w:szCs w:val="24"/>
          <w:lang w:val="en"/>
        </w:rPr>
        <w:t xml:space="preserve"> h</w:t>
      </w:r>
      <w:r w:rsidR="001363C6">
        <w:rPr>
          <w:rFonts w:asciiTheme="majorHAnsi" w:hAnsiTheme="majorHAnsi"/>
          <w:sz w:val="24"/>
          <w:szCs w:val="24"/>
          <w:lang w:val="en"/>
        </w:rPr>
        <w:t xml:space="preserve">owever, the success rate for women </w:t>
      </w:r>
      <w:r w:rsidR="00AF5C7F">
        <w:rPr>
          <w:rFonts w:asciiTheme="majorHAnsi" w:hAnsiTheme="majorHAnsi"/>
          <w:sz w:val="24"/>
          <w:szCs w:val="24"/>
          <w:lang w:val="en"/>
        </w:rPr>
        <w:t xml:space="preserve">in this scheme </w:t>
      </w:r>
      <w:r w:rsidR="001363C6">
        <w:rPr>
          <w:rFonts w:asciiTheme="majorHAnsi" w:hAnsiTheme="majorHAnsi"/>
          <w:sz w:val="24"/>
          <w:szCs w:val="24"/>
          <w:lang w:val="en"/>
        </w:rPr>
        <w:t xml:space="preserve">was 17.1 per cent compared to 7.4 per cent for men. Participation rates for early and mid-career women </w:t>
      </w:r>
      <w:r w:rsidR="007B2277">
        <w:rPr>
          <w:rFonts w:asciiTheme="majorHAnsi" w:hAnsiTheme="majorHAnsi"/>
          <w:sz w:val="24"/>
          <w:szCs w:val="24"/>
          <w:lang w:val="en"/>
        </w:rPr>
        <w:t xml:space="preserve">in the </w:t>
      </w:r>
      <w:r w:rsidR="00F249E8" w:rsidRPr="003329DE">
        <w:rPr>
          <w:rFonts w:asciiTheme="majorHAnsi" w:hAnsiTheme="majorHAnsi"/>
          <w:sz w:val="24"/>
          <w:szCs w:val="24"/>
          <w:lang w:val="en"/>
        </w:rPr>
        <w:t>DECRA</w:t>
      </w:r>
      <w:r w:rsidR="007B2277" w:rsidRPr="00F249E8">
        <w:rPr>
          <w:rFonts w:asciiTheme="majorHAnsi" w:hAnsiTheme="majorHAnsi"/>
          <w:sz w:val="24"/>
          <w:szCs w:val="24"/>
          <w:lang w:val="en"/>
        </w:rPr>
        <w:t xml:space="preserve"> </w:t>
      </w:r>
      <w:r w:rsidR="007B2277">
        <w:rPr>
          <w:rFonts w:asciiTheme="majorHAnsi" w:hAnsiTheme="majorHAnsi"/>
          <w:sz w:val="24"/>
          <w:szCs w:val="24"/>
          <w:lang w:val="en"/>
        </w:rPr>
        <w:t xml:space="preserve">and </w:t>
      </w:r>
      <w:r w:rsidR="007B2277" w:rsidRPr="003329DE">
        <w:rPr>
          <w:rFonts w:asciiTheme="majorHAnsi" w:hAnsiTheme="majorHAnsi"/>
          <w:i/>
          <w:iCs/>
          <w:sz w:val="24"/>
          <w:szCs w:val="24"/>
          <w:lang w:val="en"/>
        </w:rPr>
        <w:t>Future Fellowships</w:t>
      </w:r>
      <w:r w:rsidR="007B2277">
        <w:rPr>
          <w:rFonts w:asciiTheme="majorHAnsi" w:hAnsiTheme="majorHAnsi"/>
          <w:sz w:val="24"/>
          <w:szCs w:val="24"/>
          <w:lang w:val="en"/>
        </w:rPr>
        <w:t xml:space="preserve"> schemes </w:t>
      </w:r>
      <w:r w:rsidR="002015F2">
        <w:rPr>
          <w:rFonts w:asciiTheme="majorHAnsi" w:hAnsiTheme="majorHAnsi"/>
          <w:sz w:val="24"/>
          <w:szCs w:val="24"/>
          <w:lang w:val="en"/>
        </w:rPr>
        <w:t>were</w:t>
      </w:r>
      <w:r w:rsidR="001363C6">
        <w:rPr>
          <w:rFonts w:asciiTheme="majorHAnsi" w:hAnsiTheme="majorHAnsi"/>
          <w:sz w:val="24"/>
          <w:szCs w:val="24"/>
          <w:lang w:val="en"/>
        </w:rPr>
        <w:t xml:space="preserve"> higher at 40 per cent and 3</w:t>
      </w:r>
      <w:r w:rsidR="00537939">
        <w:rPr>
          <w:rFonts w:asciiTheme="majorHAnsi" w:hAnsiTheme="majorHAnsi"/>
          <w:sz w:val="24"/>
          <w:szCs w:val="24"/>
          <w:lang w:val="en"/>
        </w:rPr>
        <w:t>6</w:t>
      </w:r>
      <w:r w:rsidR="001363C6">
        <w:rPr>
          <w:rFonts w:asciiTheme="majorHAnsi" w:hAnsiTheme="majorHAnsi"/>
          <w:sz w:val="24"/>
          <w:szCs w:val="24"/>
          <w:lang w:val="en"/>
        </w:rPr>
        <w:t xml:space="preserve"> per cent respectively, although these results are still significantly below parity. The success rates for women in both schemes exceeded the success rates for men.</w:t>
      </w:r>
    </w:p>
    <w:p w14:paraId="04C7C23B" w14:textId="77777777" w:rsidR="00C64D21" w:rsidRPr="004D4601" w:rsidRDefault="00C64D21" w:rsidP="004D4601">
      <w:pPr>
        <w:spacing w:before="240"/>
        <w:rPr>
          <w:rFonts w:ascii="Arial" w:hAnsi="Arial" w:cs="Arial"/>
          <w:sz w:val="24"/>
          <w:szCs w:val="24"/>
          <w:lang w:val="en"/>
        </w:rPr>
      </w:pPr>
      <w:r w:rsidRPr="004D4601">
        <w:rPr>
          <w:rFonts w:ascii="Arial" w:hAnsi="Arial" w:cs="Arial"/>
          <w:sz w:val="24"/>
          <w:szCs w:val="24"/>
          <w:lang w:val="en"/>
        </w:rPr>
        <w:t>Career Interruptions</w:t>
      </w:r>
    </w:p>
    <w:p w14:paraId="2C964928" w14:textId="07DF5ECC" w:rsidR="00C64D21" w:rsidRPr="00BB20C7" w:rsidRDefault="00F51B47" w:rsidP="0073667C">
      <w:pPr>
        <w:spacing w:after="0"/>
        <w:rPr>
          <w:rFonts w:asciiTheme="majorHAnsi" w:hAnsiTheme="majorHAnsi"/>
          <w:sz w:val="24"/>
          <w:szCs w:val="24"/>
          <w:highlight w:val="yellow"/>
          <w:lang w:val="en"/>
        </w:rPr>
      </w:pPr>
      <w:r>
        <w:rPr>
          <w:rFonts w:asciiTheme="majorHAnsi" w:hAnsiTheme="majorHAnsi"/>
          <w:sz w:val="24"/>
          <w:szCs w:val="24"/>
          <w:lang w:val="en"/>
        </w:rPr>
        <w:t>NCGP data</w:t>
      </w:r>
      <w:r w:rsidR="00FB2819">
        <w:rPr>
          <w:rFonts w:asciiTheme="majorHAnsi" w:hAnsiTheme="majorHAnsi"/>
          <w:sz w:val="24"/>
          <w:szCs w:val="24"/>
          <w:lang w:val="en"/>
        </w:rPr>
        <w:t xml:space="preserve"> shows that t</w:t>
      </w:r>
      <w:r w:rsidR="0073667C" w:rsidRPr="00371EC8">
        <w:rPr>
          <w:rFonts w:asciiTheme="majorHAnsi" w:hAnsiTheme="majorHAnsi"/>
          <w:sz w:val="24"/>
          <w:szCs w:val="24"/>
          <w:lang w:val="en"/>
        </w:rPr>
        <w:t xml:space="preserve">he mechanisms introduced by the ARC to address disadvantage arising from career interruptions, which </w:t>
      </w:r>
      <w:r w:rsidR="000C2947" w:rsidRPr="00BB20C7">
        <w:rPr>
          <w:rFonts w:asciiTheme="majorHAnsi" w:hAnsiTheme="majorHAnsi"/>
          <w:sz w:val="24"/>
          <w:szCs w:val="24"/>
          <w:lang w:val="en"/>
        </w:rPr>
        <w:t xml:space="preserve">can affect </w:t>
      </w:r>
      <w:r w:rsidR="0073667C" w:rsidRPr="00371EC8">
        <w:rPr>
          <w:rFonts w:asciiTheme="majorHAnsi" w:hAnsiTheme="majorHAnsi"/>
          <w:sz w:val="24"/>
          <w:szCs w:val="24"/>
          <w:lang w:val="en"/>
        </w:rPr>
        <w:t>more women than men, particularly at early career stages</w:t>
      </w:r>
      <w:r w:rsidR="00576FD0" w:rsidRPr="00371EC8">
        <w:rPr>
          <w:rFonts w:asciiTheme="majorHAnsi" w:hAnsiTheme="majorHAnsi"/>
          <w:sz w:val="24"/>
          <w:szCs w:val="24"/>
          <w:lang w:val="en"/>
        </w:rPr>
        <w:t>,</w:t>
      </w:r>
      <w:r w:rsidR="0073667C" w:rsidRPr="00371EC8">
        <w:rPr>
          <w:rFonts w:asciiTheme="majorHAnsi" w:hAnsiTheme="majorHAnsi"/>
          <w:sz w:val="24"/>
          <w:szCs w:val="24"/>
          <w:lang w:val="en"/>
        </w:rPr>
        <w:t xml:space="preserve"> have been effective</w:t>
      </w:r>
      <w:r w:rsidR="005B4E94" w:rsidRPr="00371EC8">
        <w:rPr>
          <w:rFonts w:asciiTheme="majorHAnsi" w:hAnsiTheme="majorHAnsi"/>
          <w:sz w:val="24"/>
          <w:szCs w:val="24"/>
          <w:lang w:val="en"/>
        </w:rPr>
        <w:t>.</w:t>
      </w:r>
      <w:r w:rsidR="005B4E94" w:rsidRPr="00BB20C7">
        <w:rPr>
          <w:rFonts w:asciiTheme="majorHAnsi" w:hAnsiTheme="majorHAnsi"/>
          <w:sz w:val="24"/>
          <w:szCs w:val="24"/>
          <w:highlight w:val="yellow"/>
          <w:lang w:val="en"/>
        </w:rPr>
        <w:t xml:space="preserve"> </w:t>
      </w:r>
    </w:p>
    <w:p w14:paraId="27753361" w14:textId="77777777" w:rsidR="00C64D21" w:rsidRPr="00BB20C7" w:rsidRDefault="00C64D21" w:rsidP="0073667C">
      <w:pPr>
        <w:spacing w:after="0"/>
        <w:rPr>
          <w:rFonts w:asciiTheme="majorHAnsi" w:hAnsiTheme="majorHAnsi"/>
          <w:sz w:val="24"/>
          <w:szCs w:val="24"/>
          <w:highlight w:val="yellow"/>
          <w:lang w:val="en"/>
        </w:rPr>
      </w:pPr>
    </w:p>
    <w:p w14:paraId="2D880371" w14:textId="4F5A7169" w:rsidR="0073667C" w:rsidRPr="00D804C7" w:rsidRDefault="00D1194D" w:rsidP="0073667C">
      <w:pPr>
        <w:spacing w:after="0"/>
        <w:rPr>
          <w:rFonts w:asciiTheme="majorHAnsi" w:hAnsiTheme="majorHAnsi"/>
          <w:sz w:val="24"/>
          <w:szCs w:val="24"/>
        </w:rPr>
      </w:pPr>
      <w:r w:rsidRPr="00D57328">
        <w:rPr>
          <w:rFonts w:asciiTheme="majorHAnsi" w:hAnsiTheme="majorHAnsi"/>
          <w:sz w:val="24"/>
          <w:szCs w:val="24"/>
          <w:lang w:val="en"/>
        </w:rPr>
        <w:t xml:space="preserve">Under the DECRA and </w:t>
      </w:r>
      <w:r w:rsidRPr="00D804C7">
        <w:rPr>
          <w:rFonts w:asciiTheme="majorHAnsi" w:hAnsiTheme="majorHAnsi"/>
          <w:i/>
          <w:iCs/>
          <w:sz w:val="24"/>
          <w:szCs w:val="24"/>
          <w:lang w:val="en"/>
        </w:rPr>
        <w:t>Future Fellowships</w:t>
      </w:r>
      <w:r w:rsidR="00BA5C35" w:rsidRPr="00D804C7">
        <w:rPr>
          <w:rFonts w:asciiTheme="majorHAnsi" w:hAnsiTheme="majorHAnsi"/>
          <w:i/>
          <w:iCs/>
          <w:sz w:val="24"/>
          <w:szCs w:val="24"/>
          <w:lang w:val="en"/>
        </w:rPr>
        <w:t xml:space="preserve"> </w:t>
      </w:r>
      <w:r w:rsidRPr="00D804C7">
        <w:rPr>
          <w:rFonts w:asciiTheme="majorHAnsi" w:hAnsiTheme="majorHAnsi"/>
          <w:sz w:val="24"/>
          <w:szCs w:val="24"/>
          <w:lang w:val="en"/>
        </w:rPr>
        <w:t xml:space="preserve">schemes </w:t>
      </w:r>
      <w:r w:rsidR="00114164" w:rsidRPr="00BB20C7">
        <w:rPr>
          <w:rFonts w:asciiTheme="majorHAnsi" w:hAnsiTheme="majorHAnsi"/>
          <w:sz w:val="24"/>
          <w:szCs w:val="24"/>
        </w:rPr>
        <w:t xml:space="preserve">the number of years between the conferral date of a PhD, or equivalent, and the submission closing date for an </w:t>
      </w:r>
      <w:r w:rsidR="00114164" w:rsidRPr="00D57328">
        <w:rPr>
          <w:rFonts w:asciiTheme="majorHAnsi" w:hAnsiTheme="majorHAnsi"/>
          <w:sz w:val="24"/>
          <w:szCs w:val="24"/>
        </w:rPr>
        <w:t>application, is a key element of eligibility.</w:t>
      </w:r>
      <w:r w:rsidR="00E07AD9" w:rsidRPr="00D57328">
        <w:rPr>
          <w:rFonts w:asciiTheme="majorHAnsi" w:hAnsiTheme="majorHAnsi"/>
          <w:sz w:val="24"/>
          <w:szCs w:val="24"/>
        </w:rPr>
        <w:t xml:space="preserve"> </w:t>
      </w:r>
      <w:r w:rsidR="00AB4093" w:rsidRPr="00D57328">
        <w:rPr>
          <w:rFonts w:asciiTheme="majorHAnsi" w:hAnsiTheme="majorHAnsi"/>
          <w:sz w:val="24"/>
          <w:szCs w:val="24"/>
        </w:rPr>
        <w:t>Th</w:t>
      </w:r>
      <w:r w:rsidR="007710F7" w:rsidRPr="00D57328">
        <w:rPr>
          <w:rFonts w:asciiTheme="majorHAnsi" w:hAnsiTheme="majorHAnsi"/>
          <w:sz w:val="24"/>
          <w:szCs w:val="24"/>
        </w:rPr>
        <w:t>e</w:t>
      </w:r>
      <w:r w:rsidR="00AB4093" w:rsidRPr="00D57328">
        <w:rPr>
          <w:rFonts w:asciiTheme="majorHAnsi" w:hAnsiTheme="majorHAnsi"/>
          <w:sz w:val="24"/>
          <w:szCs w:val="24"/>
        </w:rPr>
        <w:t xml:space="preserve"> </w:t>
      </w:r>
      <w:r w:rsidR="00C962AD" w:rsidRPr="00D57328">
        <w:rPr>
          <w:rFonts w:asciiTheme="majorHAnsi" w:hAnsiTheme="majorHAnsi"/>
          <w:sz w:val="24"/>
          <w:szCs w:val="24"/>
        </w:rPr>
        <w:t xml:space="preserve">ARC </w:t>
      </w:r>
      <w:r w:rsidR="004D4601" w:rsidRPr="00D57328">
        <w:rPr>
          <w:rFonts w:asciiTheme="majorHAnsi" w:hAnsiTheme="majorHAnsi"/>
          <w:sz w:val="24"/>
          <w:szCs w:val="24"/>
        </w:rPr>
        <w:t xml:space="preserve">allows extension of the eligibility periods </w:t>
      </w:r>
      <w:r w:rsidR="00E54FBA" w:rsidRPr="00D57328">
        <w:rPr>
          <w:rFonts w:asciiTheme="majorHAnsi" w:hAnsiTheme="majorHAnsi"/>
          <w:sz w:val="24"/>
          <w:szCs w:val="24"/>
        </w:rPr>
        <w:t xml:space="preserve">for </w:t>
      </w:r>
      <w:hyperlink r:id="rId29" w:history="1">
        <w:r w:rsidR="00E54FBA" w:rsidRPr="00D804C7">
          <w:rPr>
            <w:rStyle w:val="Hyperlink"/>
            <w:rFonts w:asciiTheme="majorHAnsi" w:hAnsiTheme="majorHAnsi"/>
            <w:sz w:val="24"/>
            <w:szCs w:val="24"/>
          </w:rPr>
          <w:t>eligible career interruptions</w:t>
        </w:r>
      </w:hyperlink>
      <w:r w:rsidR="00E54FBA" w:rsidRPr="00D57328">
        <w:rPr>
          <w:rFonts w:asciiTheme="majorHAnsi" w:hAnsiTheme="majorHAnsi"/>
          <w:sz w:val="24"/>
          <w:szCs w:val="24"/>
        </w:rPr>
        <w:t xml:space="preserve">. </w:t>
      </w:r>
    </w:p>
    <w:p w14:paraId="4C79168B" w14:textId="77777777" w:rsidR="002D1E1C" w:rsidRPr="00BB20C7" w:rsidRDefault="002D1E1C" w:rsidP="0073667C">
      <w:pPr>
        <w:spacing w:after="0"/>
        <w:rPr>
          <w:rFonts w:asciiTheme="majorHAnsi" w:hAnsiTheme="majorHAnsi"/>
          <w:sz w:val="24"/>
          <w:szCs w:val="24"/>
          <w:highlight w:val="yellow"/>
        </w:rPr>
      </w:pPr>
    </w:p>
    <w:p w14:paraId="4CABBFFD" w14:textId="3722F099" w:rsidR="00875429" w:rsidRDefault="00D92E07" w:rsidP="00C64D21">
      <w:pPr>
        <w:spacing w:after="0"/>
        <w:rPr>
          <w:rFonts w:asciiTheme="majorHAnsi" w:hAnsiTheme="majorHAnsi"/>
          <w:sz w:val="24"/>
          <w:szCs w:val="24"/>
          <w:lang w:val="en"/>
        </w:rPr>
      </w:pPr>
      <w:r>
        <w:rPr>
          <w:rFonts w:asciiTheme="majorHAnsi" w:hAnsiTheme="majorHAnsi"/>
          <w:sz w:val="24"/>
          <w:szCs w:val="24"/>
          <w:lang w:val="en"/>
        </w:rPr>
        <w:t xml:space="preserve">The ARC </w:t>
      </w:r>
      <w:r w:rsidR="00A74767">
        <w:rPr>
          <w:rFonts w:asciiTheme="majorHAnsi" w:hAnsiTheme="majorHAnsi"/>
          <w:sz w:val="24"/>
          <w:szCs w:val="24"/>
          <w:lang w:val="en"/>
        </w:rPr>
        <w:t>receives higher numbers of a</w:t>
      </w:r>
      <w:r w:rsidR="002E20CD">
        <w:rPr>
          <w:rFonts w:asciiTheme="majorHAnsi" w:hAnsiTheme="majorHAnsi"/>
          <w:sz w:val="24"/>
          <w:szCs w:val="24"/>
          <w:lang w:val="en"/>
        </w:rPr>
        <w:t>pplications</w:t>
      </w:r>
      <w:r w:rsidR="00967BE2">
        <w:rPr>
          <w:rFonts w:asciiTheme="majorHAnsi" w:hAnsiTheme="majorHAnsi"/>
          <w:sz w:val="24"/>
          <w:szCs w:val="24"/>
          <w:lang w:val="en"/>
        </w:rPr>
        <w:t>,</w:t>
      </w:r>
      <w:r w:rsidR="002E20CD">
        <w:rPr>
          <w:rFonts w:asciiTheme="majorHAnsi" w:hAnsiTheme="majorHAnsi"/>
          <w:sz w:val="24"/>
          <w:szCs w:val="24"/>
          <w:lang w:val="en"/>
        </w:rPr>
        <w:t xml:space="preserve"> </w:t>
      </w:r>
      <w:r>
        <w:rPr>
          <w:rFonts w:asciiTheme="majorHAnsi" w:hAnsiTheme="majorHAnsi"/>
          <w:sz w:val="24"/>
          <w:szCs w:val="24"/>
          <w:lang w:val="en"/>
        </w:rPr>
        <w:t>that</w:t>
      </w:r>
      <w:r w:rsidR="002E20CD">
        <w:rPr>
          <w:rFonts w:asciiTheme="majorHAnsi" w:hAnsiTheme="majorHAnsi"/>
          <w:sz w:val="24"/>
          <w:szCs w:val="24"/>
          <w:lang w:val="en"/>
        </w:rPr>
        <w:t xml:space="preserve"> </w:t>
      </w:r>
      <w:r>
        <w:rPr>
          <w:rFonts w:asciiTheme="majorHAnsi" w:hAnsiTheme="majorHAnsi"/>
          <w:sz w:val="24"/>
          <w:szCs w:val="24"/>
          <w:lang w:val="en"/>
        </w:rPr>
        <w:t xml:space="preserve">include </w:t>
      </w:r>
      <w:r w:rsidR="002E20CD">
        <w:rPr>
          <w:rFonts w:asciiTheme="majorHAnsi" w:hAnsiTheme="majorHAnsi"/>
          <w:sz w:val="24"/>
          <w:szCs w:val="24"/>
          <w:lang w:val="en"/>
        </w:rPr>
        <w:t>a career interruption</w:t>
      </w:r>
      <w:r w:rsidR="00967BE2">
        <w:rPr>
          <w:rFonts w:asciiTheme="majorHAnsi" w:hAnsiTheme="majorHAnsi"/>
          <w:sz w:val="24"/>
          <w:szCs w:val="24"/>
          <w:lang w:val="en"/>
        </w:rPr>
        <w:t>,</w:t>
      </w:r>
      <w:r w:rsidR="002E20CD">
        <w:rPr>
          <w:rFonts w:asciiTheme="majorHAnsi" w:hAnsiTheme="majorHAnsi"/>
          <w:sz w:val="24"/>
          <w:szCs w:val="24"/>
          <w:lang w:val="en"/>
        </w:rPr>
        <w:t xml:space="preserve"> </w:t>
      </w:r>
      <w:r w:rsidR="00A74767">
        <w:rPr>
          <w:rFonts w:asciiTheme="majorHAnsi" w:hAnsiTheme="majorHAnsi"/>
          <w:sz w:val="24"/>
          <w:szCs w:val="24"/>
          <w:lang w:val="en"/>
        </w:rPr>
        <w:t>from women</w:t>
      </w:r>
      <w:r w:rsidR="002E20CD">
        <w:rPr>
          <w:rFonts w:asciiTheme="majorHAnsi" w:hAnsiTheme="majorHAnsi"/>
          <w:sz w:val="24"/>
          <w:szCs w:val="24"/>
          <w:lang w:val="en"/>
        </w:rPr>
        <w:t xml:space="preserve"> than men in both schemes</w:t>
      </w:r>
      <w:r w:rsidR="009E307D">
        <w:rPr>
          <w:rFonts w:asciiTheme="majorHAnsi" w:hAnsiTheme="majorHAnsi"/>
          <w:sz w:val="24"/>
          <w:szCs w:val="24"/>
          <w:lang w:val="en"/>
        </w:rPr>
        <w:t xml:space="preserve">. Success rates </w:t>
      </w:r>
      <w:r w:rsidR="00A169D8">
        <w:rPr>
          <w:rFonts w:asciiTheme="majorHAnsi" w:hAnsiTheme="majorHAnsi"/>
          <w:sz w:val="24"/>
          <w:szCs w:val="24"/>
          <w:lang w:val="en"/>
        </w:rPr>
        <w:t>of</w:t>
      </w:r>
      <w:r w:rsidR="008C69E6">
        <w:rPr>
          <w:rFonts w:asciiTheme="majorHAnsi" w:hAnsiTheme="majorHAnsi"/>
          <w:sz w:val="24"/>
          <w:szCs w:val="24"/>
          <w:lang w:val="en"/>
        </w:rPr>
        <w:t xml:space="preserve"> </w:t>
      </w:r>
      <w:r w:rsidR="009609C9">
        <w:rPr>
          <w:rFonts w:asciiTheme="majorHAnsi" w:hAnsiTheme="majorHAnsi"/>
          <w:sz w:val="24"/>
          <w:szCs w:val="24"/>
          <w:lang w:val="en"/>
        </w:rPr>
        <w:t xml:space="preserve">applications </w:t>
      </w:r>
      <w:r w:rsidR="00A169D8">
        <w:rPr>
          <w:rFonts w:asciiTheme="majorHAnsi" w:hAnsiTheme="majorHAnsi"/>
          <w:sz w:val="24"/>
          <w:szCs w:val="24"/>
          <w:lang w:val="en"/>
        </w:rPr>
        <w:t xml:space="preserve">with and without </w:t>
      </w:r>
      <w:r w:rsidR="008C69E6">
        <w:rPr>
          <w:rFonts w:asciiTheme="majorHAnsi" w:hAnsiTheme="majorHAnsi"/>
          <w:sz w:val="24"/>
          <w:szCs w:val="24"/>
          <w:lang w:val="en"/>
        </w:rPr>
        <w:t xml:space="preserve">interruptions </w:t>
      </w:r>
      <w:r w:rsidR="009E307D">
        <w:rPr>
          <w:rFonts w:asciiTheme="majorHAnsi" w:hAnsiTheme="majorHAnsi"/>
          <w:sz w:val="24"/>
          <w:szCs w:val="24"/>
          <w:lang w:val="en"/>
        </w:rPr>
        <w:t>have been variable</w:t>
      </w:r>
      <w:r w:rsidR="009609C9">
        <w:rPr>
          <w:rFonts w:asciiTheme="majorHAnsi" w:hAnsiTheme="majorHAnsi"/>
          <w:sz w:val="24"/>
          <w:szCs w:val="24"/>
          <w:lang w:val="en"/>
        </w:rPr>
        <w:t xml:space="preserve"> for men and women</w:t>
      </w:r>
      <w:r w:rsidR="008C69E6">
        <w:rPr>
          <w:rFonts w:asciiTheme="majorHAnsi" w:hAnsiTheme="majorHAnsi"/>
          <w:sz w:val="24"/>
          <w:szCs w:val="24"/>
          <w:lang w:val="en"/>
        </w:rPr>
        <w:t>. N</w:t>
      </w:r>
      <w:r w:rsidR="009E307D">
        <w:rPr>
          <w:rFonts w:asciiTheme="majorHAnsi" w:hAnsiTheme="majorHAnsi"/>
          <w:sz w:val="24"/>
          <w:szCs w:val="24"/>
          <w:lang w:val="en"/>
        </w:rPr>
        <w:t xml:space="preserve">otably the success rates for women </w:t>
      </w:r>
      <w:r w:rsidR="009E307D">
        <w:rPr>
          <w:rFonts w:asciiTheme="majorHAnsi" w:hAnsiTheme="majorHAnsi"/>
          <w:sz w:val="24"/>
          <w:szCs w:val="24"/>
          <w:lang w:val="en"/>
        </w:rPr>
        <w:lastRenderedPageBreak/>
        <w:t xml:space="preserve">in the latest scheme rounds </w:t>
      </w:r>
      <w:r w:rsidR="00E7550A">
        <w:rPr>
          <w:rFonts w:asciiTheme="majorHAnsi" w:hAnsiTheme="majorHAnsi"/>
          <w:sz w:val="24"/>
          <w:szCs w:val="24"/>
          <w:lang w:val="en"/>
        </w:rPr>
        <w:t xml:space="preserve">DECRA </w:t>
      </w:r>
      <w:r w:rsidR="009E307D">
        <w:rPr>
          <w:rFonts w:asciiTheme="majorHAnsi" w:hAnsiTheme="majorHAnsi"/>
          <w:sz w:val="24"/>
          <w:szCs w:val="24"/>
          <w:lang w:val="en"/>
        </w:rPr>
        <w:t>(DE21</w:t>
      </w:r>
      <w:r w:rsidR="003329DE">
        <w:rPr>
          <w:rFonts w:asciiTheme="majorHAnsi" w:hAnsiTheme="majorHAnsi"/>
          <w:sz w:val="24"/>
          <w:szCs w:val="24"/>
          <w:lang w:val="en"/>
        </w:rPr>
        <w:t>)</w:t>
      </w:r>
      <w:r w:rsidR="009E307D">
        <w:rPr>
          <w:rFonts w:asciiTheme="majorHAnsi" w:hAnsiTheme="majorHAnsi"/>
          <w:sz w:val="24"/>
          <w:szCs w:val="24"/>
          <w:lang w:val="en"/>
        </w:rPr>
        <w:t xml:space="preserve"> and </w:t>
      </w:r>
      <w:r w:rsidR="00E7550A">
        <w:rPr>
          <w:rFonts w:asciiTheme="majorHAnsi" w:hAnsiTheme="majorHAnsi"/>
          <w:sz w:val="24"/>
          <w:szCs w:val="24"/>
          <w:lang w:val="en"/>
        </w:rPr>
        <w:t xml:space="preserve">Future Fellowships </w:t>
      </w:r>
      <w:r w:rsidR="003329DE">
        <w:rPr>
          <w:rFonts w:asciiTheme="majorHAnsi" w:hAnsiTheme="majorHAnsi"/>
          <w:sz w:val="24"/>
          <w:szCs w:val="24"/>
          <w:lang w:val="en"/>
        </w:rPr>
        <w:t>(</w:t>
      </w:r>
      <w:r w:rsidR="009E307D">
        <w:rPr>
          <w:rFonts w:asciiTheme="majorHAnsi" w:hAnsiTheme="majorHAnsi"/>
          <w:sz w:val="24"/>
          <w:szCs w:val="24"/>
          <w:lang w:val="en"/>
        </w:rPr>
        <w:t xml:space="preserve">FT20) have been higher than men for both applications that included, and did not include, a career interruption. </w:t>
      </w:r>
    </w:p>
    <w:p w14:paraId="3C1A7A33" w14:textId="17CD4D86" w:rsidR="00C64D21" w:rsidRDefault="00D804C7" w:rsidP="004D4601">
      <w:pPr>
        <w:spacing w:after="0"/>
        <w:rPr>
          <w:rFonts w:asciiTheme="majorHAnsi" w:hAnsiTheme="majorHAnsi"/>
          <w:sz w:val="24"/>
          <w:szCs w:val="24"/>
          <w:lang w:val="en"/>
        </w:rPr>
      </w:pPr>
      <w:r>
        <w:rPr>
          <w:noProof/>
        </w:rPr>
        <w:drawing>
          <wp:inline distT="0" distB="0" distL="0" distR="0" wp14:anchorId="1110E60D" wp14:editId="627963A1">
            <wp:extent cx="5905500" cy="3762375"/>
            <wp:effectExtent l="0" t="0" r="0" b="9525"/>
            <wp:docPr id="1" name="Chart 1" descr="DECRA and Future Fellowships applications by gender and eligibility extension due to career interruption">
              <a:extLst xmlns:a="http://schemas.openxmlformats.org/drawingml/2006/main">
                <a:ext uri="{FF2B5EF4-FFF2-40B4-BE49-F238E27FC236}">
                  <a16:creationId xmlns:a16="http://schemas.microsoft.com/office/drawing/2014/main" id="{514A059E-0EAA-4C6D-BACF-EF0B54BDD4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D9A7A68" w14:textId="77777777" w:rsidR="00B900C5" w:rsidRDefault="00B900C5" w:rsidP="00C64D21">
      <w:pPr>
        <w:spacing w:after="0"/>
        <w:rPr>
          <w:rFonts w:asciiTheme="majorHAnsi" w:hAnsiTheme="majorHAnsi"/>
          <w:sz w:val="24"/>
          <w:szCs w:val="24"/>
          <w:lang w:val="en"/>
        </w:rPr>
      </w:pPr>
    </w:p>
    <w:p w14:paraId="5269E4D7" w14:textId="6C981827" w:rsidR="00C64D21" w:rsidRDefault="00B61314" w:rsidP="00C64D21">
      <w:pPr>
        <w:spacing w:after="0"/>
        <w:rPr>
          <w:rFonts w:asciiTheme="majorHAnsi" w:hAnsiTheme="majorHAnsi"/>
          <w:sz w:val="24"/>
          <w:szCs w:val="24"/>
        </w:rPr>
      </w:pPr>
      <w:r>
        <w:rPr>
          <w:rFonts w:asciiTheme="majorHAnsi" w:hAnsiTheme="majorHAnsi"/>
          <w:sz w:val="24"/>
          <w:szCs w:val="24"/>
          <w:lang w:val="en"/>
        </w:rPr>
        <w:t xml:space="preserve">Additional to </w:t>
      </w:r>
      <w:r w:rsidR="00C1484B">
        <w:rPr>
          <w:rFonts w:asciiTheme="majorHAnsi" w:hAnsiTheme="majorHAnsi"/>
          <w:sz w:val="24"/>
          <w:szCs w:val="24"/>
          <w:lang w:val="en"/>
        </w:rPr>
        <w:t>eligib</w:t>
      </w:r>
      <w:r w:rsidR="00E7550A">
        <w:rPr>
          <w:rFonts w:asciiTheme="majorHAnsi" w:hAnsiTheme="majorHAnsi"/>
          <w:sz w:val="24"/>
          <w:szCs w:val="24"/>
          <w:lang w:val="en"/>
        </w:rPr>
        <w:t>ility</w:t>
      </w:r>
      <w:r>
        <w:rPr>
          <w:rFonts w:asciiTheme="majorHAnsi" w:hAnsiTheme="majorHAnsi"/>
          <w:sz w:val="24"/>
          <w:szCs w:val="24"/>
          <w:lang w:val="en"/>
        </w:rPr>
        <w:t xml:space="preserve"> </w:t>
      </w:r>
      <w:r w:rsidR="00C1484B">
        <w:rPr>
          <w:rFonts w:asciiTheme="majorHAnsi" w:hAnsiTheme="majorHAnsi"/>
          <w:sz w:val="24"/>
          <w:szCs w:val="24"/>
          <w:lang w:val="en"/>
        </w:rPr>
        <w:t>extensions for career interruptions, t</w:t>
      </w:r>
      <w:r w:rsidR="0073667C">
        <w:rPr>
          <w:rFonts w:asciiTheme="majorHAnsi" w:hAnsiTheme="majorHAnsi"/>
          <w:sz w:val="24"/>
          <w:szCs w:val="24"/>
          <w:lang w:val="en"/>
        </w:rPr>
        <w:t>he ROPE assessment criterion</w:t>
      </w:r>
      <w:r w:rsidR="004D4601">
        <w:rPr>
          <w:rFonts w:asciiTheme="majorHAnsi" w:hAnsiTheme="majorHAnsi"/>
          <w:sz w:val="24"/>
          <w:szCs w:val="24"/>
          <w:lang w:val="en"/>
        </w:rPr>
        <w:t>,</w:t>
      </w:r>
      <w:r w:rsidR="0073667C">
        <w:rPr>
          <w:rFonts w:asciiTheme="majorHAnsi" w:hAnsiTheme="majorHAnsi"/>
          <w:sz w:val="24"/>
          <w:szCs w:val="24"/>
          <w:lang w:val="en"/>
        </w:rPr>
        <w:t xml:space="preserve"> used in most ARC schemes</w:t>
      </w:r>
      <w:r w:rsidR="004D4601">
        <w:rPr>
          <w:rFonts w:asciiTheme="majorHAnsi" w:hAnsiTheme="majorHAnsi"/>
          <w:sz w:val="24"/>
          <w:szCs w:val="24"/>
          <w:lang w:val="en"/>
        </w:rPr>
        <w:t>,</w:t>
      </w:r>
      <w:r w:rsidR="0073667C">
        <w:rPr>
          <w:rFonts w:asciiTheme="majorHAnsi" w:hAnsiTheme="majorHAnsi"/>
          <w:sz w:val="24"/>
          <w:szCs w:val="24"/>
          <w:lang w:val="en"/>
        </w:rPr>
        <w:t xml:space="preserve"> allows researchers to identify any career interruption that has affected their research opportunity. ROPE has been utilised by researchers at all career stages across </w:t>
      </w:r>
      <w:r w:rsidR="006D5E0C">
        <w:rPr>
          <w:rFonts w:asciiTheme="majorHAnsi" w:hAnsiTheme="majorHAnsi"/>
          <w:sz w:val="24"/>
          <w:szCs w:val="24"/>
          <w:lang w:val="en"/>
        </w:rPr>
        <w:t xml:space="preserve">all </w:t>
      </w:r>
      <w:r w:rsidR="0073667C">
        <w:rPr>
          <w:rFonts w:asciiTheme="majorHAnsi" w:hAnsiTheme="majorHAnsi"/>
          <w:sz w:val="24"/>
          <w:szCs w:val="24"/>
          <w:lang w:val="en"/>
        </w:rPr>
        <w:t xml:space="preserve">ARC schemes. The ARC recognises that diverse circumstances can affect research opportunity and ROPE </w:t>
      </w:r>
      <w:r w:rsidR="0073667C" w:rsidRPr="00204E44">
        <w:rPr>
          <w:rFonts w:asciiTheme="majorHAnsi" w:hAnsiTheme="majorHAnsi"/>
          <w:sz w:val="24"/>
          <w:szCs w:val="24"/>
        </w:rPr>
        <w:t>enable</w:t>
      </w:r>
      <w:r w:rsidR="0073667C">
        <w:rPr>
          <w:rFonts w:asciiTheme="majorHAnsi" w:hAnsiTheme="majorHAnsi"/>
          <w:sz w:val="24"/>
          <w:szCs w:val="24"/>
        </w:rPr>
        <w:t>s</w:t>
      </w:r>
      <w:r w:rsidR="0073667C" w:rsidRPr="00204E44">
        <w:rPr>
          <w:rFonts w:asciiTheme="majorHAnsi" w:hAnsiTheme="majorHAnsi"/>
          <w:sz w:val="24"/>
          <w:szCs w:val="24"/>
        </w:rPr>
        <w:t xml:space="preserve"> </w:t>
      </w:r>
      <w:r w:rsidR="0073667C">
        <w:rPr>
          <w:rFonts w:asciiTheme="majorHAnsi" w:hAnsiTheme="majorHAnsi"/>
          <w:sz w:val="24"/>
          <w:szCs w:val="24"/>
        </w:rPr>
        <w:t>evaluation</w:t>
      </w:r>
      <w:r w:rsidR="0073667C" w:rsidRPr="00204E44">
        <w:rPr>
          <w:rFonts w:asciiTheme="majorHAnsi" w:hAnsiTheme="majorHAnsi"/>
          <w:sz w:val="24"/>
          <w:szCs w:val="24"/>
        </w:rPr>
        <w:t xml:space="preserve"> of a researcher’s capacity, productivity and contribution in the context of opportunity and experience.</w:t>
      </w:r>
      <w:r w:rsidR="00E1772C">
        <w:rPr>
          <w:rFonts w:asciiTheme="majorHAnsi" w:hAnsiTheme="majorHAnsi"/>
          <w:sz w:val="24"/>
          <w:szCs w:val="24"/>
        </w:rPr>
        <w:t xml:space="preserve"> </w:t>
      </w:r>
    </w:p>
    <w:p w14:paraId="3DD1E6B1" w14:textId="77777777" w:rsidR="00C64D21" w:rsidRDefault="00C64D21" w:rsidP="004D4601">
      <w:pPr>
        <w:spacing w:after="0"/>
        <w:rPr>
          <w:rFonts w:asciiTheme="majorHAnsi" w:hAnsiTheme="majorHAnsi"/>
          <w:sz w:val="24"/>
          <w:szCs w:val="24"/>
        </w:rPr>
      </w:pPr>
    </w:p>
    <w:p w14:paraId="1D1F0811" w14:textId="4518E7EC" w:rsidR="0073667C" w:rsidRDefault="00C7493B" w:rsidP="004D4601">
      <w:pPr>
        <w:spacing w:after="0"/>
        <w:rPr>
          <w:rFonts w:asciiTheme="majorHAnsi" w:hAnsiTheme="majorHAnsi"/>
          <w:sz w:val="24"/>
          <w:szCs w:val="24"/>
        </w:rPr>
      </w:pPr>
      <w:r>
        <w:rPr>
          <w:rFonts w:asciiTheme="majorHAnsi" w:hAnsiTheme="majorHAnsi"/>
          <w:sz w:val="24"/>
          <w:szCs w:val="24"/>
        </w:rPr>
        <w:t xml:space="preserve">The </w:t>
      </w:r>
      <w:r w:rsidR="008074FC">
        <w:rPr>
          <w:rFonts w:asciiTheme="majorHAnsi" w:hAnsiTheme="majorHAnsi"/>
          <w:sz w:val="24"/>
          <w:szCs w:val="24"/>
        </w:rPr>
        <w:t xml:space="preserve">use of the </w:t>
      </w:r>
      <w:r>
        <w:rPr>
          <w:rFonts w:asciiTheme="majorHAnsi" w:hAnsiTheme="majorHAnsi"/>
          <w:sz w:val="24"/>
          <w:szCs w:val="24"/>
        </w:rPr>
        <w:t>ROPE assessment criterion</w:t>
      </w:r>
      <w:r w:rsidR="008074FC">
        <w:rPr>
          <w:rFonts w:asciiTheme="majorHAnsi" w:hAnsiTheme="majorHAnsi"/>
          <w:sz w:val="24"/>
          <w:szCs w:val="24"/>
        </w:rPr>
        <w:t xml:space="preserve"> has ensured that </w:t>
      </w:r>
      <w:r w:rsidR="00FD242F">
        <w:rPr>
          <w:rFonts w:asciiTheme="majorHAnsi" w:hAnsiTheme="majorHAnsi"/>
          <w:sz w:val="24"/>
          <w:szCs w:val="24"/>
        </w:rPr>
        <w:t xml:space="preserve">researchers </w:t>
      </w:r>
      <w:r w:rsidR="00DA38F1">
        <w:rPr>
          <w:rFonts w:asciiTheme="majorHAnsi" w:hAnsiTheme="majorHAnsi"/>
          <w:sz w:val="24"/>
          <w:szCs w:val="24"/>
        </w:rPr>
        <w:t xml:space="preserve">who have experienced a career interruption have not </w:t>
      </w:r>
      <w:r w:rsidR="00FD242F">
        <w:rPr>
          <w:rFonts w:asciiTheme="majorHAnsi" w:hAnsiTheme="majorHAnsi"/>
          <w:sz w:val="24"/>
          <w:szCs w:val="24"/>
        </w:rPr>
        <w:t>been disadvantaged</w:t>
      </w:r>
      <w:r w:rsidR="00240327">
        <w:rPr>
          <w:rFonts w:asciiTheme="majorHAnsi" w:hAnsiTheme="majorHAnsi"/>
          <w:sz w:val="24"/>
          <w:szCs w:val="24"/>
        </w:rPr>
        <w:t>.</w:t>
      </w:r>
      <w:r w:rsidR="00DA38F1">
        <w:rPr>
          <w:rFonts w:asciiTheme="majorHAnsi" w:hAnsiTheme="majorHAnsi"/>
          <w:sz w:val="24"/>
          <w:szCs w:val="24"/>
        </w:rPr>
        <w:t xml:space="preserve"> </w:t>
      </w:r>
      <w:r w:rsidR="00DE7C36">
        <w:rPr>
          <w:rFonts w:asciiTheme="majorHAnsi" w:hAnsiTheme="majorHAnsi"/>
          <w:sz w:val="24"/>
          <w:szCs w:val="24"/>
        </w:rPr>
        <w:t xml:space="preserve">ROPE has been </w:t>
      </w:r>
      <w:r w:rsidR="00B627D4">
        <w:rPr>
          <w:rFonts w:asciiTheme="majorHAnsi" w:hAnsiTheme="majorHAnsi"/>
          <w:sz w:val="24"/>
          <w:szCs w:val="24"/>
        </w:rPr>
        <w:t>particularly effective supporting mid-career women</w:t>
      </w:r>
      <w:r w:rsidR="00230349">
        <w:rPr>
          <w:rFonts w:asciiTheme="majorHAnsi" w:hAnsiTheme="majorHAnsi"/>
          <w:sz w:val="24"/>
          <w:szCs w:val="24"/>
        </w:rPr>
        <w:t>;</w:t>
      </w:r>
      <w:r w:rsidR="006B1ABD">
        <w:rPr>
          <w:rFonts w:asciiTheme="majorHAnsi" w:hAnsiTheme="majorHAnsi"/>
          <w:sz w:val="24"/>
          <w:szCs w:val="24"/>
        </w:rPr>
        <w:t xml:space="preserve"> </w:t>
      </w:r>
      <w:r w:rsidR="00797E42">
        <w:rPr>
          <w:rFonts w:asciiTheme="majorHAnsi" w:hAnsiTheme="majorHAnsi"/>
          <w:sz w:val="24"/>
          <w:szCs w:val="24"/>
        </w:rPr>
        <w:t xml:space="preserve">the most recent </w:t>
      </w:r>
      <w:r w:rsidR="00797E42" w:rsidRPr="003329DE">
        <w:rPr>
          <w:rFonts w:asciiTheme="majorHAnsi" w:hAnsiTheme="majorHAnsi"/>
          <w:i/>
          <w:iCs/>
          <w:sz w:val="24"/>
          <w:szCs w:val="24"/>
        </w:rPr>
        <w:t>Future Fellowships</w:t>
      </w:r>
      <w:r w:rsidR="00797E42">
        <w:rPr>
          <w:rFonts w:asciiTheme="majorHAnsi" w:hAnsiTheme="majorHAnsi"/>
          <w:sz w:val="24"/>
          <w:szCs w:val="24"/>
        </w:rPr>
        <w:t xml:space="preserve"> scheme showing a 19 per cent success rate for women who identified a career interruption</w:t>
      </w:r>
      <w:r w:rsidR="00AF14C5">
        <w:rPr>
          <w:rFonts w:asciiTheme="majorHAnsi" w:hAnsiTheme="majorHAnsi"/>
          <w:sz w:val="24"/>
          <w:szCs w:val="24"/>
        </w:rPr>
        <w:t xml:space="preserve">, </w:t>
      </w:r>
      <w:r w:rsidR="000F029F">
        <w:rPr>
          <w:rFonts w:asciiTheme="majorHAnsi" w:hAnsiTheme="majorHAnsi"/>
          <w:sz w:val="24"/>
          <w:szCs w:val="24"/>
        </w:rPr>
        <w:t xml:space="preserve">compared to 7 per cent for women who had not identified a career interruption. </w:t>
      </w:r>
    </w:p>
    <w:p w14:paraId="4C52D690" w14:textId="20FE2E8D" w:rsidR="00060890" w:rsidRDefault="00060890" w:rsidP="0073667C">
      <w:pPr>
        <w:spacing w:after="0"/>
        <w:rPr>
          <w:rFonts w:asciiTheme="majorHAnsi" w:hAnsiTheme="majorHAnsi"/>
          <w:sz w:val="24"/>
          <w:szCs w:val="24"/>
          <w:lang w:val="en"/>
        </w:rPr>
      </w:pPr>
    </w:p>
    <w:p w14:paraId="524CA1B3" w14:textId="187DC1C5" w:rsidR="00060890" w:rsidRDefault="00573089" w:rsidP="0073667C">
      <w:pPr>
        <w:spacing w:after="0"/>
        <w:rPr>
          <w:rFonts w:asciiTheme="majorHAnsi" w:hAnsiTheme="majorHAnsi"/>
          <w:sz w:val="24"/>
          <w:szCs w:val="24"/>
          <w:lang w:val="en"/>
        </w:rPr>
      </w:pPr>
      <w:r>
        <w:rPr>
          <w:noProof/>
        </w:rPr>
        <w:lastRenderedPageBreak/>
        <w:drawing>
          <wp:inline distT="0" distB="0" distL="0" distR="0" wp14:anchorId="665BB48B" wp14:editId="73B55BF0">
            <wp:extent cx="5731510" cy="3919728"/>
            <wp:effectExtent l="0" t="0" r="2540" b="5080"/>
            <wp:docPr id="13" name="Chart 13" descr="ROPE - success rates by gender and scheme for participants identifying a career interruption">
              <a:extLst xmlns:a="http://schemas.openxmlformats.org/drawingml/2006/main">
                <a:ext uri="{FF2B5EF4-FFF2-40B4-BE49-F238E27FC236}">
                  <a16:creationId xmlns:a16="http://schemas.microsoft.com/office/drawing/2014/main" id="{AAFF5A42-9607-4011-90DD-53AAC64805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B7F5AC4" w14:textId="4FC9CD85" w:rsidR="00573089" w:rsidRDefault="00573089" w:rsidP="0073667C">
      <w:pPr>
        <w:spacing w:after="0"/>
        <w:rPr>
          <w:rFonts w:asciiTheme="majorHAnsi" w:hAnsiTheme="majorHAnsi"/>
          <w:sz w:val="24"/>
          <w:szCs w:val="24"/>
          <w:lang w:val="en"/>
        </w:rPr>
      </w:pPr>
    </w:p>
    <w:p w14:paraId="2255CEE5" w14:textId="1A1BD39F" w:rsidR="0073667C" w:rsidRDefault="0082339D" w:rsidP="00240327">
      <w:pPr>
        <w:spacing w:after="0"/>
        <w:rPr>
          <w:rFonts w:asciiTheme="majorHAnsi" w:hAnsiTheme="majorHAnsi"/>
          <w:sz w:val="24"/>
          <w:szCs w:val="24"/>
        </w:rPr>
      </w:pPr>
      <w:r>
        <w:rPr>
          <w:rFonts w:asciiTheme="majorHAnsi" w:hAnsiTheme="majorHAnsi"/>
          <w:sz w:val="24"/>
          <w:szCs w:val="24"/>
        </w:rPr>
        <w:t>T</w:t>
      </w:r>
      <w:r w:rsidR="0073667C" w:rsidRPr="000914D6">
        <w:rPr>
          <w:rFonts w:asciiTheme="majorHAnsi" w:hAnsiTheme="majorHAnsi"/>
          <w:sz w:val="24"/>
          <w:szCs w:val="24"/>
        </w:rPr>
        <w:t xml:space="preserve">he ARC </w:t>
      </w:r>
      <w:r w:rsidR="005041E4">
        <w:rPr>
          <w:rFonts w:asciiTheme="majorHAnsi" w:hAnsiTheme="majorHAnsi"/>
          <w:sz w:val="24"/>
          <w:szCs w:val="24"/>
        </w:rPr>
        <w:t xml:space="preserve">also </w:t>
      </w:r>
      <w:r w:rsidR="0073667C" w:rsidRPr="000914D6">
        <w:rPr>
          <w:rFonts w:asciiTheme="majorHAnsi" w:hAnsiTheme="majorHAnsi"/>
          <w:sz w:val="24"/>
          <w:szCs w:val="24"/>
        </w:rPr>
        <w:t xml:space="preserve">provides gender data to each Administering Organisation on the gender profile of their researchers applying for ARC grants. The purpose of the report is to raise awareness of the profile of applicants for ARC funding from each organisation and encourage improvements in participation rates. </w:t>
      </w:r>
    </w:p>
    <w:p w14:paraId="1E2BDEC2" w14:textId="77777777" w:rsidR="00C64D21" w:rsidRPr="00E77C73" w:rsidRDefault="00C64D21" w:rsidP="00240327">
      <w:pPr>
        <w:spacing w:after="0"/>
        <w:rPr>
          <w:rFonts w:asciiTheme="majorHAnsi" w:hAnsiTheme="majorHAnsi"/>
          <w:sz w:val="24"/>
          <w:szCs w:val="24"/>
        </w:rPr>
      </w:pPr>
    </w:p>
    <w:p w14:paraId="50EEF125" w14:textId="3DAE94D0" w:rsidR="0073667C" w:rsidRPr="00F14D43" w:rsidRDefault="0073667C" w:rsidP="0073667C">
      <w:pPr>
        <w:pStyle w:val="Heading2"/>
        <w:spacing w:before="0"/>
        <w:rPr>
          <w:rFonts w:cs="Arial"/>
          <w:bCs w:val="0"/>
          <w:i w:val="0"/>
          <w:sz w:val="24"/>
          <w:szCs w:val="24"/>
        </w:rPr>
      </w:pPr>
      <w:r w:rsidRPr="00F14D43">
        <w:rPr>
          <w:rFonts w:cs="Arial"/>
          <w:bCs w:val="0"/>
          <w:i w:val="0"/>
          <w:sz w:val="24"/>
          <w:szCs w:val="24"/>
        </w:rPr>
        <w:t>E</w:t>
      </w:r>
      <w:r w:rsidR="008F4E21" w:rsidRPr="00F14D43">
        <w:rPr>
          <w:rFonts w:cs="Arial"/>
          <w:bCs w:val="0"/>
          <w:i w:val="0"/>
          <w:sz w:val="24"/>
          <w:szCs w:val="24"/>
        </w:rPr>
        <w:t xml:space="preserve">xcellence in Research for Australia </w:t>
      </w:r>
    </w:p>
    <w:p w14:paraId="7B71E9DB" w14:textId="79E98B2C" w:rsidR="007802A3" w:rsidRDefault="00DC7C00">
      <w:pPr>
        <w:rPr>
          <w:rFonts w:asciiTheme="majorHAnsi" w:hAnsiTheme="majorHAnsi"/>
          <w:sz w:val="24"/>
          <w:szCs w:val="24"/>
        </w:rPr>
      </w:pPr>
      <w:r>
        <w:rPr>
          <w:rFonts w:asciiTheme="majorHAnsi" w:hAnsiTheme="majorHAnsi"/>
          <w:sz w:val="24"/>
          <w:szCs w:val="24"/>
        </w:rPr>
        <w:t>In 201</w:t>
      </w:r>
      <w:r w:rsidR="00ED7CA1">
        <w:rPr>
          <w:rFonts w:asciiTheme="majorHAnsi" w:hAnsiTheme="majorHAnsi"/>
          <w:sz w:val="24"/>
          <w:szCs w:val="24"/>
        </w:rPr>
        <w:t>9</w:t>
      </w:r>
      <w:r>
        <w:rPr>
          <w:rFonts w:asciiTheme="majorHAnsi" w:hAnsiTheme="majorHAnsi"/>
          <w:sz w:val="24"/>
          <w:szCs w:val="24"/>
        </w:rPr>
        <w:t>, the ARC released the first</w:t>
      </w:r>
      <w:r w:rsidR="00B020A4">
        <w:rPr>
          <w:rFonts w:asciiTheme="majorHAnsi" w:hAnsiTheme="majorHAnsi"/>
          <w:sz w:val="24"/>
          <w:szCs w:val="24"/>
        </w:rPr>
        <w:t xml:space="preserve"> </w:t>
      </w:r>
      <w:r w:rsidR="00B020A4" w:rsidRPr="00AC236A">
        <w:rPr>
          <w:rFonts w:asciiTheme="majorHAnsi" w:hAnsiTheme="majorHAnsi"/>
          <w:i/>
          <w:iCs/>
          <w:sz w:val="24"/>
          <w:szCs w:val="24"/>
        </w:rPr>
        <w:t xml:space="preserve">Gender </w:t>
      </w:r>
      <w:r w:rsidR="000E6EDD" w:rsidRPr="00AC236A">
        <w:rPr>
          <w:rFonts w:asciiTheme="majorHAnsi" w:hAnsiTheme="majorHAnsi"/>
          <w:i/>
          <w:iCs/>
          <w:sz w:val="24"/>
          <w:szCs w:val="24"/>
        </w:rPr>
        <w:t xml:space="preserve">and the Research Workforce </w:t>
      </w:r>
      <w:r w:rsidR="00AC236A">
        <w:rPr>
          <w:rFonts w:asciiTheme="majorHAnsi" w:hAnsiTheme="majorHAnsi"/>
          <w:i/>
          <w:iCs/>
          <w:sz w:val="24"/>
          <w:szCs w:val="24"/>
        </w:rPr>
        <w:t>r</w:t>
      </w:r>
      <w:r w:rsidR="000E6EDD" w:rsidRPr="00AC236A">
        <w:rPr>
          <w:rFonts w:asciiTheme="majorHAnsi" w:hAnsiTheme="majorHAnsi"/>
          <w:i/>
          <w:iCs/>
          <w:sz w:val="24"/>
          <w:szCs w:val="24"/>
        </w:rPr>
        <w:t>eport</w:t>
      </w:r>
      <w:r w:rsidR="003900BE">
        <w:rPr>
          <w:rFonts w:asciiTheme="majorHAnsi" w:hAnsiTheme="majorHAnsi"/>
          <w:sz w:val="24"/>
          <w:szCs w:val="24"/>
        </w:rPr>
        <w:t>,</w:t>
      </w:r>
      <w:r w:rsidR="00FA3CF9">
        <w:rPr>
          <w:rFonts w:asciiTheme="majorHAnsi" w:hAnsiTheme="majorHAnsi"/>
          <w:sz w:val="24"/>
          <w:szCs w:val="24"/>
        </w:rPr>
        <w:t xml:space="preserve"> using gender data collected from the ERA 2015 and 2018 evaluations</w:t>
      </w:r>
      <w:r w:rsidR="00172DA0">
        <w:rPr>
          <w:rFonts w:asciiTheme="majorHAnsi" w:hAnsiTheme="majorHAnsi"/>
          <w:sz w:val="24"/>
          <w:szCs w:val="24"/>
        </w:rPr>
        <w:t xml:space="preserve"> of </w:t>
      </w:r>
      <w:r w:rsidR="00172DA0" w:rsidRPr="001F55EB">
        <w:rPr>
          <w:rFonts w:asciiTheme="majorHAnsi" w:hAnsiTheme="majorHAnsi"/>
          <w:sz w:val="24"/>
          <w:szCs w:val="24"/>
        </w:rPr>
        <w:t>research quality and research activity within Australia’s higher education institutions</w:t>
      </w:r>
      <w:r w:rsidR="00735A5A">
        <w:rPr>
          <w:rFonts w:asciiTheme="majorHAnsi" w:hAnsiTheme="majorHAnsi"/>
          <w:sz w:val="24"/>
          <w:szCs w:val="24"/>
        </w:rPr>
        <w:t>.</w:t>
      </w:r>
    </w:p>
    <w:p w14:paraId="05B18A4E" w14:textId="3C98D7D6" w:rsidR="00C62AF0" w:rsidRDefault="0080286E">
      <w:pPr>
        <w:rPr>
          <w:rFonts w:asciiTheme="majorHAnsi" w:hAnsiTheme="majorHAnsi"/>
          <w:sz w:val="24"/>
          <w:szCs w:val="24"/>
        </w:rPr>
      </w:pPr>
      <w:r w:rsidRPr="00B96AC6">
        <w:rPr>
          <w:rFonts w:asciiTheme="majorHAnsi" w:hAnsiTheme="majorHAnsi"/>
          <w:i/>
          <w:iCs/>
          <w:sz w:val="24"/>
          <w:szCs w:val="24"/>
        </w:rPr>
        <w:t>The Gender and the Research Workforce repor</w:t>
      </w:r>
      <w:r w:rsidR="00615770" w:rsidRPr="00B96AC6">
        <w:rPr>
          <w:rFonts w:asciiTheme="majorHAnsi" w:hAnsiTheme="majorHAnsi"/>
          <w:i/>
          <w:iCs/>
          <w:sz w:val="24"/>
          <w:szCs w:val="24"/>
        </w:rPr>
        <w:t>t</w:t>
      </w:r>
      <w:r w:rsidR="00615770">
        <w:rPr>
          <w:rFonts w:asciiTheme="majorHAnsi" w:hAnsiTheme="majorHAnsi"/>
          <w:sz w:val="24"/>
          <w:szCs w:val="24"/>
        </w:rPr>
        <w:t xml:space="preserve"> </w:t>
      </w:r>
      <w:r w:rsidR="00C62AF0">
        <w:rPr>
          <w:rFonts w:asciiTheme="majorHAnsi" w:hAnsiTheme="majorHAnsi"/>
          <w:sz w:val="24"/>
          <w:szCs w:val="24"/>
        </w:rPr>
        <w:t xml:space="preserve">enables </w:t>
      </w:r>
      <w:r w:rsidR="004E1090">
        <w:rPr>
          <w:rFonts w:asciiTheme="majorHAnsi" w:hAnsiTheme="majorHAnsi"/>
          <w:sz w:val="24"/>
          <w:szCs w:val="24"/>
        </w:rPr>
        <w:t>analysis of gender</w:t>
      </w:r>
      <w:r w:rsidR="006E5308">
        <w:rPr>
          <w:rFonts w:asciiTheme="majorHAnsi" w:hAnsiTheme="majorHAnsi"/>
          <w:sz w:val="24"/>
          <w:szCs w:val="24"/>
        </w:rPr>
        <w:t xml:space="preserve"> </w:t>
      </w:r>
      <w:r w:rsidR="004E1090">
        <w:rPr>
          <w:rFonts w:asciiTheme="majorHAnsi" w:hAnsiTheme="majorHAnsi"/>
          <w:sz w:val="24"/>
          <w:szCs w:val="24"/>
        </w:rPr>
        <w:t xml:space="preserve">trends across fields of research, </w:t>
      </w:r>
      <w:r w:rsidR="00AF2A64">
        <w:rPr>
          <w:rFonts w:asciiTheme="majorHAnsi" w:hAnsiTheme="majorHAnsi"/>
          <w:sz w:val="24"/>
          <w:szCs w:val="24"/>
        </w:rPr>
        <w:t xml:space="preserve">employment level, </w:t>
      </w:r>
      <w:r w:rsidR="00F67B2E">
        <w:rPr>
          <w:rFonts w:asciiTheme="majorHAnsi" w:hAnsiTheme="majorHAnsi"/>
          <w:sz w:val="24"/>
          <w:szCs w:val="24"/>
        </w:rPr>
        <w:t xml:space="preserve">employment status (appointment type), </w:t>
      </w:r>
      <w:r w:rsidR="00F65063">
        <w:rPr>
          <w:rFonts w:asciiTheme="majorHAnsi" w:hAnsiTheme="majorHAnsi"/>
          <w:sz w:val="24"/>
          <w:szCs w:val="24"/>
        </w:rPr>
        <w:t xml:space="preserve">and </w:t>
      </w:r>
      <w:r w:rsidR="006E13F1">
        <w:rPr>
          <w:rFonts w:asciiTheme="majorHAnsi" w:hAnsiTheme="majorHAnsi"/>
          <w:sz w:val="24"/>
          <w:szCs w:val="24"/>
        </w:rPr>
        <w:t>employment function</w:t>
      </w:r>
      <w:r w:rsidR="003A5ADC">
        <w:rPr>
          <w:rFonts w:asciiTheme="majorHAnsi" w:hAnsiTheme="majorHAnsi"/>
          <w:sz w:val="24"/>
          <w:szCs w:val="24"/>
        </w:rPr>
        <w:t xml:space="preserve"> (for example</w:t>
      </w:r>
      <w:r w:rsidR="000C7960">
        <w:rPr>
          <w:rFonts w:asciiTheme="majorHAnsi" w:hAnsiTheme="majorHAnsi"/>
          <w:sz w:val="24"/>
          <w:szCs w:val="24"/>
        </w:rPr>
        <w:t>,</w:t>
      </w:r>
      <w:r w:rsidR="003A5ADC">
        <w:rPr>
          <w:rFonts w:asciiTheme="majorHAnsi" w:hAnsiTheme="majorHAnsi"/>
          <w:sz w:val="24"/>
          <w:szCs w:val="24"/>
        </w:rPr>
        <w:t xml:space="preserve"> research only</w:t>
      </w:r>
      <w:r w:rsidR="00F65063">
        <w:rPr>
          <w:rFonts w:asciiTheme="majorHAnsi" w:hAnsiTheme="majorHAnsi"/>
          <w:sz w:val="24"/>
          <w:szCs w:val="24"/>
        </w:rPr>
        <w:t xml:space="preserve"> positions</w:t>
      </w:r>
      <w:r w:rsidR="003A5ADC">
        <w:rPr>
          <w:rFonts w:asciiTheme="majorHAnsi" w:hAnsiTheme="majorHAnsi"/>
          <w:sz w:val="24"/>
          <w:szCs w:val="24"/>
        </w:rPr>
        <w:t>)</w:t>
      </w:r>
      <w:r w:rsidR="000C7960">
        <w:rPr>
          <w:rFonts w:asciiTheme="majorHAnsi" w:hAnsiTheme="majorHAnsi"/>
          <w:sz w:val="24"/>
          <w:szCs w:val="24"/>
        </w:rPr>
        <w:t>.</w:t>
      </w:r>
      <w:r w:rsidR="008B7A50">
        <w:rPr>
          <w:rFonts w:asciiTheme="majorHAnsi" w:hAnsiTheme="majorHAnsi"/>
          <w:sz w:val="24"/>
          <w:szCs w:val="24"/>
        </w:rPr>
        <w:t xml:space="preserve"> </w:t>
      </w:r>
    </w:p>
    <w:p w14:paraId="5753649B" w14:textId="77777777" w:rsidR="005C2124" w:rsidRDefault="005C2124" w:rsidP="005C2124">
      <w:pPr>
        <w:rPr>
          <w:rFonts w:asciiTheme="majorHAnsi" w:hAnsiTheme="majorHAnsi"/>
          <w:sz w:val="24"/>
          <w:szCs w:val="24"/>
        </w:rPr>
      </w:pPr>
      <w:r>
        <w:rPr>
          <w:rFonts w:asciiTheme="majorHAnsi" w:hAnsiTheme="majorHAnsi"/>
          <w:sz w:val="24"/>
          <w:szCs w:val="24"/>
        </w:rPr>
        <w:t>During the assessment period of ERA 2018, women comprised 44 per cent of the research workforce; there were more women than men in five of the 22 Australian and New Zealand Standard Research Classification fields of research, with the highest representation in education, 65 per cent, and the lowest in the physical sciences, 19 per cent. The acknowledged disparity at senior levels was significant, with men holding 9,043 Level E appointments (75 per cent) compared to 3,048 held by women. Women held 46 per cent of research only positions during this period, and 43 per cent of teaching and research positions.</w:t>
      </w:r>
    </w:p>
    <w:p w14:paraId="1393059D" w14:textId="77777777" w:rsidR="00EE2AF3" w:rsidRDefault="00EE2AF3">
      <w:pPr>
        <w:rPr>
          <w:rFonts w:ascii="Arial" w:eastAsia="Times New Roman" w:hAnsi="Arial" w:cs="Arial"/>
          <w:bCs/>
          <w:sz w:val="24"/>
          <w:szCs w:val="24"/>
        </w:rPr>
      </w:pPr>
    </w:p>
    <w:p w14:paraId="13CA1A32" w14:textId="16DC115E" w:rsidR="00A9261D" w:rsidRPr="005C0E05" w:rsidRDefault="007A7308">
      <w:pPr>
        <w:rPr>
          <w:rFonts w:ascii="Arial" w:eastAsia="Times New Roman" w:hAnsi="Arial" w:cs="Arial"/>
          <w:b/>
          <w:sz w:val="24"/>
          <w:szCs w:val="24"/>
        </w:rPr>
      </w:pPr>
      <w:r w:rsidRPr="005C0E05">
        <w:rPr>
          <w:rFonts w:ascii="Arial" w:eastAsia="Times New Roman" w:hAnsi="Arial" w:cs="Arial"/>
          <w:b/>
          <w:sz w:val="24"/>
          <w:szCs w:val="24"/>
        </w:rPr>
        <w:lastRenderedPageBreak/>
        <w:t xml:space="preserve">Collaboration </w:t>
      </w:r>
      <w:r w:rsidR="00314EB5" w:rsidRPr="005C0E05">
        <w:rPr>
          <w:rFonts w:ascii="Arial" w:eastAsia="Times New Roman" w:hAnsi="Arial" w:cs="Arial"/>
          <w:b/>
          <w:sz w:val="24"/>
          <w:szCs w:val="24"/>
        </w:rPr>
        <w:t xml:space="preserve">and consultation </w:t>
      </w:r>
      <w:r w:rsidR="00ED13D7" w:rsidRPr="005C0E05">
        <w:rPr>
          <w:rFonts w:ascii="Arial" w:eastAsia="Times New Roman" w:hAnsi="Arial" w:cs="Arial"/>
          <w:b/>
          <w:sz w:val="24"/>
          <w:szCs w:val="24"/>
        </w:rPr>
        <w:t>–</w:t>
      </w:r>
      <w:r w:rsidRPr="005C0E05">
        <w:rPr>
          <w:rFonts w:ascii="Arial" w:eastAsia="Times New Roman" w:hAnsi="Arial" w:cs="Arial"/>
          <w:b/>
          <w:sz w:val="24"/>
          <w:szCs w:val="24"/>
        </w:rPr>
        <w:t xml:space="preserve"> </w:t>
      </w:r>
      <w:r w:rsidR="00ED13D7" w:rsidRPr="005C0E05">
        <w:rPr>
          <w:rFonts w:ascii="Arial" w:eastAsia="Times New Roman" w:hAnsi="Arial" w:cs="Arial"/>
          <w:b/>
          <w:sz w:val="24"/>
          <w:szCs w:val="24"/>
        </w:rPr>
        <w:t xml:space="preserve">gender equality initiatives  </w:t>
      </w:r>
    </w:p>
    <w:p w14:paraId="097D24F0" w14:textId="0A76F34E" w:rsidR="00240327" w:rsidRDefault="00B502F0">
      <w:pPr>
        <w:rPr>
          <w:rFonts w:asciiTheme="majorHAnsi" w:hAnsiTheme="majorHAnsi"/>
          <w:sz w:val="24"/>
          <w:szCs w:val="24"/>
        </w:rPr>
      </w:pPr>
      <w:r w:rsidRPr="00B502F0">
        <w:rPr>
          <w:rFonts w:asciiTheme="majorHAnsi" w:eastAsia="Times New Roman" w:hAnsiTheme="majorHAnsi" w:cstheme="majorHAnsi"/>
          <w:bCs/>
          <w:sz w:val="24"/>
          <w:szCs w:val="24"/>
        </w:rPr>
        <w:t xml:space="preserve">The ARC is committed to </w:t>
      </w:r>
      <w:r w:rsidR="00B975E3" w:rsidRPr="4A14C3FD">
        <w:rPr>
          <w:rFonts w:asciiTheme="majorHAnsi" w:hAnsiTheme="majorHAnsi"/>
          <w:sz w:val="24"/>
          <w:szCs w:val="24"/>
          <w:lang w:val="en"/>
        </w:rPr>
        <w:t xml:space="preserve">working with </w:t>
      </w:r>
      <w:r w:rsidR="00B975E3" w:rsidRPr="4A14C3FD">
        <w:rPr>
          <w:rFonts w:asciiTheme="majorHAnsi" w:hAnsiTheme="majorHAnsi"/>
          <w:sz w:val="24"/>
          <w:szCs w:val="24"/>
        </w:rPr>
        <w:t>the research and higher education sectors, government</w:t>
      </w:r>
      <w:r w:rsidR="00A75823">
        <w:rPr>
          <w:rFonts w:asciiTheme="majorHAnsi" w:hAnsiTheme="majorHAnsi"/>
          <w:sz w:val="24"/>
          <w:szCs w:val="24"/>
        </w:rPr>
        <w:t>,</w:t>
      </w:r>
      <w:r w:rsidR="004747DA">
        <w:rPr>
          <w:rFonts w:asciiTheme="majorHAnsi" w:hAnsiTheme="majorHAnsi"/>
          <w:sz w:val="24"/>
          <w:szCs w:val="24"/>
        </w:rPr>
        <w:t xml:space="preserve"> and</w:t>
      </w:r>
      <w:r w:rsidR="00B975E3" w:rsidRPr="4A14C3FD">
        <w:rPr>
          <w:rFonts w:asciiTheme="majorHAnsi" w:hAnsiTheme="majorHAnsi"/>
          <w:sz w:val="24"/>
          <w:szCs w:val="24"/>
        </w:rPr>
        <w:t xml:space="preserve"> industry </w:t>
      </w:r>
      <w:r w:rsidR="004747DA">
        <w:rPr>
          <w:rFonts w:asciiTheme="majorHAnsi" w:hAnsiTheme="majorHAnsi"/>
          <w:sz w:val="24"/>
          <w:szCs w:val="24"/>
        </w:rPr>
        <w:t xml:space="preserve">to </w:t>
      </w:r>
      <w:r w:rsidR="002410EE">
        <w:rPr>
          <w:rFonts w:asciiTheme="majorHAnsi" w:hAnsiTheme="majorHAnsi"/>
          <w:sz w:val="24"/>
          <w:szCs w:val="24"/>
        </w:rPr>
        <w:t xml:space="preserve">improve gender equality in the research workforce. </w:t>
      </w:r>
      <w:r w:rsidR="00CE3F41">
        <w:rPr>
          <w:rFonts w:asciiTheme="majorHAnsi" w:hAnsiTheme="majorHAnsi"/>
          <w:sz w:val="24"/>
          <w:szCs w:val="24"/>
        </w:rPr>
        <w:t>The ARC works directly</w:t>
      </w:r>
      <w:r w:rsidR="003F1B56">
        <w:rPr>
          <w:rFonts w:asciiTheme="majorHAnsi" w:hAnsiTheme="majorHAnsi"/>
          <w:sz w:val="24"/>
          <w:szCs w:val="24"/>
        </w:rPr>
        <w:t xml:space="preserve"> with other </w:t>
      </w:r>
      <w:r w:rsidR="00A75823">
        <w:rPr>
          <w:rFonts w:asciiTheme="majorHAnsi" w:hAnsiTheme="majorHAnsi"/>
          <w:sz w:val="24"/>
          <w:szCs w:val="24"/>
        </w:rPr>
        <w:t xml:space="preserve">Australian </w:t>
      </w:r>
      <w:r w:rsidR="003F1B56">
        <w:rPr>
          <w:rFonts w:asciiTheme="majorHAnsi" w:hAnsiTheme="majorHAnsi"/>
          <w:sz w:val="24"/>
          <w:szCs w:val="24"/>
        </w:rPr>
        <w:t>Government agencies and departments, including the NHMRC</w:t>
      </w:r>
      <w:r w:rsidR="00EE7C4A">
        <w:rPr>
          <w:rFonts w:asciiTheme="majorHAnsi" w:hAnsiTheme="majorHAnsi"/>
          <w:sz w:val="24"/>
          <w:szCs w:val="24"/>
        </w:rPr>
        <w:t xml:space="preserve"> </w:t>
      </w:r>
      <w:r w:rsidR="0026501F">
        <w:rPr>
          <w:rFonts w:asciiTheme="majorHAnsi" w:hAnsiTheme="majorHAnsi"/>
          <w:sz w:val="24"/>
          <w:szCs w:val="24"/>
        </w:rPr>
        <w:t>and Administering Organisations, including all Australian universities</w:t>
      </w:r>
      <w:r w:rsidR="00436B16">
        <w:rPr>
          <w:rFonts w:asciiTheme="majorHAnsi" w:hAnsiTheme="majorHAnsi"/>
          <w:sz w:val="24"/>
          <w:szCs w:val="24"/>
        </w:rPr>
        <w:t>,</w:t>
      </w:r>
      <w:r w:rsidR="0026501F">
        <w:rPr>
          <w:rFonts w:asciiTheme="majorHAnsi" w:hAnsiTheme="majorHAnsi"/>
          <w:sz w:val="24"/>
          <w:szCs w:val="24"/>
        </w:rPr>
        <w:t xml:space="preserve"> </w:t>
      </w:r>
      <w:r w:rsidR="00EE7C4A">
        <w:rPr>
          <w:rFonts w:asciiTheme="majorHAnsi" w:hAnsiTheme="majorHAnsi"/>
          <w:sz w:val="24"/>
          <w:szCs w:val="24"/>
        </w:rPr>
        <w:t xml:space="preserve">to </w:t>
      </w:r>
      <w:r w:rsidR="00D27F57">
        <w:rPr>
          <w:rFonts w:asciiTheme="majorHAnsi" w:hAnsiTheme="majorHAnsi"/>
          <w:sz w:val="24"/>
          <w:szCs w:val="24"/>
        </w:rPr>
        <w:t xml:space="preserve">advance gender equality. </w:t>
      </w:r>
    </w:p>
    <w:p w14:paraId="7C45B9FD" w14:textId="4B09685C" w:rsidR="00231DD9" w:rsidRDefault="0026501F">
      <w:pPr>
        <w:rPr>
          <w:rFonts w:asciiTheme="majorHAnsi" w:hAnsiTheme="majorHAnsi"/>
          <w:sz w:val="24"/>
          <w:szCs w:val="24"/>
        </w:rPr>
      </w:pPr>
      <w:r>
        <w:rPr>
          <w:rFonts w:asciiTheme="majorHAnsi" w:hAnsiTheme="majorHAnsi"/>
          <w:sz w:val="24"/>
          <w:szCs w:val="24"/>
        </w:rPr>
        <w:t xml:space="preserve">The ARC has </w:t>
      </w:r>
      <w:r w:rsidR="000D6E22">
        <w:rPr>
          <w:rFonts w:asciiTheme="majorHAnsi" w:hAnsiTheme="majorHAnsi"/>
          <w:sz w:val="24"/>
          <w:szCs w:val="24"/>
        </w:rPr>
        <w:t xml:space="preserve">contributed to </w:t>
      </w:r>
      <w:r w:rsidR="00857D3C">
        <w:rPr>
          <w:rFonts w:asciiTheme="majorHAnsi" w:hAnsiTheme="majorHAnsi"/>
          <w:sz w:val="24"/>
          <w:szCs w:val="24"/>
        </w:rPr>
        <w:t>key gender initiatives in the research sector</w:t>
      </w:r>
      <w:r w:rsidR="00F7789C">
        <w:rPr>
          <w:rFonts w:asciiTheme="majorHAnsi" w:hAnsiTheme="majorHAnsi"/>
          <w:sz w:val="24"/>
          <w:szCs w:val="24"/>
        </w:rPr>
        <w:t>,</w:t>
      </w:r>
      <w:r w:rsidR="00857D3C">
        <w:rPr>
          <w:rFonts w:asciiTheme="majorHAnsi" w:hAnsiTheme="majorHAnsi"/>
          <w:sz w:val="24"/>
          <w:szCs w:val="24"/>
        </w:rPr>
        <w:t xml:space="preserve"> including:</w:t>
      </w:r>
    </w:p>
    <w:p w14:paraId="13557B40" w14:textId="77777777" w:rsidR="00CE6E80" w:rsidRDefault="00F81504" w:rsidP="00CE6E80">
      <w:pPr>
        <w:pStyle w:val="ListParagraph"/>
        <w:numPr>
          <w:ilvl w:val="0"/>
          <w:numId w:val="11"/>
        </w:numPr>
        <w:rPr>
          <w:rFonts w:asciiTheme="majorHAnsi" w:hAnsiTheme="majorHAnsi"/>
          <w:sz w:val="24"/>
          <w:szCs w:val="24"/>
        </w:rPr>
      </w:pPr>
      <w:hyperlink r:id="rId32" w:history="1">
        <w:r w:rsidR="00CE6E80" w:rsidRPr="003D3E15">
          <w:rPr>
            <w:rStyle w:val="Hyperlink"/>
            <w:rFonts w:asciiTheme="majorHAnsi" w:hAnsiTheme="majorHAnsi"/>
            <w:sz w:val="24"/>
            <w:szCs w:val="24"/>
          </w:rPr>
          <w:t>Advancing women in STEM strategy</w:t>
        </w:r>
      </w:hyperlink>
      <w:r w:rsidR="00CE6E80">
        <w:rPr>
          <w:rFonts w:asciiTheme="majorHAnsi" w:hAnsiTheme="majorHAnsi"/>
          <w:sz w:val="24"/>
          <w:szCs w:val="24"/>
        </w:rPr>
        <w:t xml:space="preserve"> </w:t>
      </w:r>
      <w:r w:rsidR="00CE6E80" w:rsidRPr="003D3E15">
        <w:rPr>
          <w:rFonts w:asciiTheme="majorHAnsi" w:hAnsiTheme="majorHAnsi"/>
          <w:sz w:val="24"/>
          <w:szCs w:val="24"/>
        </w:rPr>
        <w:t xml:space="preserve">The Australian Government’s strategy for women in </w:t>
      </w:r>
      <w:r w:rsidR="00CE6E80">
        <w:rPr>
          <w:rFonts w:asciiTheme="majorHAnsi" w:hAnsiTheme="majorHAnsi"/>
          <w:sz w:val="24"/>
          <w:szCs w:val="24"/>
        </w:rPr>
        <w:t>STEM</w:t>
      </w:r>
      <w:r w:rsidR="00CE6E80" w:rsidRPr="003D3E15">
        <w:rPr>
          <w:rFonts w:asciiTheme="majorHAnsi" w:hAnsiTheme="majorHAnsi"/>
          <w:sz w:val="24"/>
          <w:szCs w:val="24"/>
        </w:rPr>
        <w:t xml:space="preserve"> aims to increase gender equity in STEM education and careers</w:t>
      </w:r>
      <w:r w:rsidR="00CE6E80">
        <w:rPr>
          <w:rFonts w:asciiTheme="majorHAnsi" w:hAnsiTheme="majorHAnsi"/>
          <w:sz w:val="24"/>
          <w:szCs w:val="24"/>
        </w:rPr>
        <w:t>, envisioning</w:t>
      </w:r>
      <w:r w:rsidR="00CE6E80" w:rsidRPr="003D3E15">
        <w:rPr>
          <w:rFonts w:asciiTheme="majorHAnsi" w:hAnsiTheme="majorHAnsi"/>
          <w:sz w:val="24"/>
          <w:szCs w:val="24"/>
        </w:rPr>
        <w:t xml:space="preserve"> a society that provides equal opportunity for people of all genders to learn, work and engage in STEM.</w:t>
      </w:r>
    </w:p>
    <w:p w14:paraId="7EB3A5A0" w14:textId="77777777" w:rsidR="00CE6E80" w:rsidRDefault="00F81504" w:rsidP="00CE6E80">
      <w:pPr>
        <w:pStyle w:val="ListParagraph"/>
        <w:numPr>
          <w:ilvl w:val="0"/>
          <w:numId w:val="11"/>
        </w:numPr>
        <w:rPr>
          <w:rFonts w:asciiTheme="majorHAnsi" w:hAnsiTheme="majorHAnsi"/>
          <w:sz w:val="24"/>
          <w:szCs w:val="24"/>
        </w:rPr>
      </w:pPr>
      <w:hyperlink r:id="rId33" w:history="1">
        <w:r w:rsidR="00CE6E80" w:rsidRPr="003D3E15">
          <w:rPr>
            <w:rStyle w:val="Hyperlink"/>
            <w:rFonts w:asciiTheme="majorHAnsi" w:hAnsiTheme="majorHAnsi"/>
            <w:sz w:val="24"/>
            <w:szCs w:val="24"/>
          </w:rPr>
          <w:t>Science in Australia Gender Equity</w:t>
        </w:r>
      </w:hyperlink>
      <w:r w:rsidR="00CE6E80">
        <w:rPr>
          <w:rFonts w:asciiTheme="majorHAnsi" w:hAnsiTheme="majorHAnsi"/>
          <w:sz w:val="24"/>
          <w:szCs w:val="24"/>
        </w:rPr>
        <w:t xml:space="preserve"> (SAGE). Founded by Professor Nalini Joshi, Georgina Sweet, ARC Australian Laureate Fellow</w:t>
      </w:r>
      <w:r w:rsidR="00CE6E80" w:rsidRPr="00697D07">
        <w:rPr>
          <w:rFonts w:asciiTheme="majorHAnsi" w:hAnsiTheme="majorHAnsi"/>
          <w:sz w:val="24"/>
          <w:szCs w:val="24"/>
        </w:rPr>
        <w:t xml:space="preserve">, SAGE’s vision is to improve gender equity in the Australian higher education and research sector. SAGE is </w:t>
      </w:r>
      <w:r w:rsidR="00CE6E80">
        <w:rPr>
          <w:rFonts w:asciiTheme="majorHAnsi" w:hAnsiTheme="majorHAnsi"/>
          <w:sz w:val="24"/>
          <w:szCs w:val="24"/>
        </w:rPr>
        <w:t>implementing</w:t>
      </w:r>
      <w:r w:rsidR="00CE6E80" w:rsidRPr="00697D07">
        <w:rPr>
          <w:rFonts w:asciiTheme="majorHAnsi" w:hAnsiTheme="majorHAnsi"/>
          <w:sz w:val="24"/>
          <w:szCs w:val="24"/>
        </w:rPr>
        <w:t xml:space="preserve"> a sustainable and adaptable Athena Swan model for Australia.</w:t>
      </w:r>
    </w:p>
    <w:p w14:paraId="10C94B25" w14:textId="40E2EF25" w:rsidR="003D3E15" w:rsidRDefault="00F81504" w:rsidP="00E12A15">
      <w:pPr>
        <w:pStyle w:val="ListParagraph"/>
        <w:numPr>
          <w:ilvl w:val="0"/>
          <w:numId w:val="11"/>
        </w:numPr>
        <w:rPr>
          <w:rFonts w:asciiTheme="majorHAnsi" w:hAnsiTheme="majorHAnsi"/>
          <w:sz w:val="24"/>
          <w:szCs w:val="24"/>
        </w:rPr>
      </w:pPr>
      <w:hyperlink r:id="rId34" w:history="1">
        <w:r w:rsidR="00697D07" w:rsidRPr="00697D07">
          <w:rPr>
            <w:rStyle w:val="Hyperlink"/>
            <w:rFonts w:asciiTheme="majorHAnsi" w:hAnsiTheme="majorHAnsi"/>
            <w:sz w:val="24"/>
            <w:szCs w:val="24"/>
          </w:rPr>
          <w:t>Women in STEM Decadal Plan</w:t>
        </w:r>
      </w:hyperlink>
      <w:r w:rsidR="00ED13D7">
        <w:rPr>
          <w:rFonts w:asciiTheme="majorHAnsi" w:hAnsiTheme="majorHAnsi"/>
          <w:sz w:val="24"/>
          <w:szCs w:val="24"/>
        </w:rPr>
        <w:t xml:space="preserve"> An </w:t>
      </w:r>
      <w:r w:rsidR="00ED13D7" w:rsidRPr="00ED13D7">
        <w:rPr>
          <w:rFonts w:asciiTheme="majorHAnsi" w:hAnsiTheme="majorHAnsi"/>
          <w:sz w:val="24"/>
          <w:szCs w:val="24"/>
        </w:rPr>
        <w:t xml:space="preserve">Australian Government </w:t>
      </w:r>
      <w:r w:rsidR="00ED13D7">
        <w:rPr>
          <w:rFonts w:asciiTheme="majorHAnsi" w:hAnsiTheme="majorHAnsi"/>
          <w:sz w:val="24"/>
          <w:szCs w:val="24"/>
        </w:rPr>
        <w:t xml:space="preserve">initiative </w:t>
      </w:r>
      <w:r w:rsidR="00ED13D7" w:rsidRPr="00ED13D7">
        <w:rPr>
          <w:rFonts w:asciiTheme="majorHAnsi" w:hAnsiTheme="majorHAnsi"/>
          <w:sz w:val="24"/>
          <w:szCs w:val="24"/>
        </w:rPr>
        <w:t xml:space="preserve">to develop a 10-year roadmap for sustained increases in engagement and participation of girls and women in </w:t>
      </w:r>
      <w:r w:rsidR="00ED13D7">
        <w:rPr>
          <w:rFonts w:asciiTheme="majorHAnsi" w:hAnsiTheme="majorHAnsi"/>
          <w:sz w:val="24"/>
          <w:szCs w:val="24"/>
        </w:rPr>
        <w:t xml:space="preserve">STEM. </w:t>
      </w:r>
    </w:p>
    <w:p w14:paraId="0F8A0593" w14:textId="6A8BB2E8" w:rsidR="00857D3C" w:rsidRDefault="00925DA2">
      <w:pPr>
        <w:rPr>
          <w:rFonts w:asciiTheme="majorHAnsi" w:hAnsiTheme="majorHAnsi"/>
          <w:sz w:val="24"/>
          <w:szCs w:val="24"/>
        </w:rPr>
      </w:pPr>
      <w:r>
        <w:rPr>
          <w:rFonts w:asciiTheme="majorHAnsi" w:hAnsiTheme="majorHAnsi"/>
          <w:sz w:val="24"/>
          <w:szCs w:val="24"/>
        </w:rPr>
        <w:t>The ARC monitors progress against gender equality</w:t>
      </w:r>
      <w:r w:rsidR="00777DBA">
        <w:rPr>
          <w:rFonts w:asciiTheme="majorHAnsi" w:hAnsiTheme="majorHAnsi"/>
          <w:sz w:val="24"/>
          <w:szCs w:val="24"/>
        </w:rPr>
        <w:t xml:space="preserve"> goals around the world, to stay </w:t>
      </w:r>
      <w:r w:rsidR="00436B16">
        <w:rPr>
          <w:rFonts w:asciiTheme="majorHAnsi" w:hAnsiTheme="majorHAnsi"/>
          <w:sz w:val="24"/>
          <w:szCs w:val="24"/>
        </w:rPr>
        <w:t>attuned to</w:t>
      </w:r>
      <w:r w:rsidR="00777DBA">
        <w:rPr>
          <w:rFonts w:asciiTheme="majorHAnsi" w:hAnsiTheme="majorHAnsi"/>
          <w:sz w:val="24"/>
          <w:szCs w:val="24"/>
        </w:rPr>
        <w:t xml:space="preserve"> best practice and </w:t>
      </w:r>
      <w:r w:rsidR="00730DB0">
        <w:rPr>
          <w:rFonts w:asciiTheme="majorHAnsi" w:hAnsiTheme="majorHAnsi"/>
          <w:sz w:val="24"/>
          <w:szCs w:val="24"/>
        </w:rPr>
        <w:t>ensure ARC strategies and policies are current</w:t>
      </w:r>
      <w:r w:rsidR="00436B16">
        <w:rPr>
          <w:rFonts w:asciiTheme="majorHAnsi" w:hAnsiTheme="majorHAnsi"/>
          <w:sz w:val="24"/>
          <w:szCs w:val="24"/>
        </w:rPr>
        <w:t>, best practice and effective</w:t>
      </w:r>
      <w:r w:rsidR="00730DB0">
        <w:rPr>
          <w:rFonts w:asciiTheme="majorHAnsi" w:hAnsiTheme="majorHAnsi"/>
          <w:sz w:val="24"/>
          <w:szCs w:val="24"/>
        </w:rPr>
        <w:t xml:space="preserve">. </w:t>
      </w:r>
    </w:p>
    <w:bookmarkEnd w:id="0"/>
    <w:p w14:paraId="5FFAC4B1" w14:textId="41F38299" w:rsidR="003D3E15" w:rsidRPr="007A7308" w:rsidRDefault="003D3E15">
      <w:pPr>
        <w:rPr>
          <w:rFonts w:asciiTheme="majorHAnsi" w:eastAsia="Times New Roman" w:hAnsiTheme="majorHAnsi" w:cstheme="majorHAnsi"/>
          <w:bCs/>
          <w:sz w:val="24"/>
          <w:szCs w:val="24"/>
        </w:rPr>
      </w:pPr>
    </w:p>
    <w:sectPr w:rsidR="003D3E15" w:rsidRPr="007A7308" w:rsidSect="00A77158">
      <w:footerReference w:type="defaul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5BE2" w14:textId="77777777" w:rsidR="00F81504" w:rsidRDefault="00F81504">
      <w:pPr>
        <w:spacing w:after="0" w:line="240" w:lineRule="auto"/>
      </w:pPr>
      <w:r>
        <w:separator/>
      </w:r>
    </w:p>
  </w:endnote>
  <w:endnote w:type="continuationSeparator" w:id="0">
    <w:p w14:paraId="62CC1F9B" w14:textId="77777777" w:rsidR="00F81504" w:rsidRDefault="00F81504">
      <w:pPr>
        <w:spacing w:after="0" w:line="240" w:lineRule="auto"/>
      </w:pPr>
      <w:r>
        <w:continuationSeparator/>
      </w:r>
    </w:p>
  </w:endnote>
  <w:endnote w:type="continuationNotice" w:id="1">
    <w:p w14:paraId="3A8C049D" w14:textId="77777777" w:rsidR="00F81504" w:rsidRDefault="00F81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483784"/>
      <w:docPartObj>
        <w:docPartGallery w:val="Page Numbers (Bottom of Page)"/>
        <w:docPartUnique/>
      </w:docPartObj>
    </w:sdtPr>
    <w:sdtEndPr>
      <w:rPr>
        <w:noProof/>
      </w:rPr>
    </w:sdtEndPr>
    <w:sdtContent>
      <w:p w14:paraId="7FA714F5" w14:textId="5A753247" w:rsidR="00536471" w:rsidRDefault="005364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6DA410" w14:textId="77777777" w:rsidR="00536471" w:rsidRDefault="00536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824B" w14:textId="77777777" w:rsidR="00F81504" w:rsidRDefault="00F81504">
      <w:pPr>
        <w:spacing w:after="0" w:line="240" w:lineRule="auto"/>
      </w:pPr>
      <w:r>
        <w:separator/>
      </w:r>
    </w:p>
  </w:footnote>
  <w:footnote w:type="continuationSeparator" w:id="0">
    <w:p w14:paraId="356913A6" w14:textId="77777777" w:rsidR="00F81504" w:rsidRDefault="00F81504">
      <w:pPr>
        <w:spacing w:after="0" w:line="240" w:lineRule="auto"/>
      </w:pPr>
      <w:r>
        <w:continuationSeparator/>
      </w:r>
    </w:p>
  </w:footnote>
  <w:footnote w:type="continuationNotice" w:id="1">
    <w:p w14:paraId="3D82E14D" w14:textId="77777777" w:rsidR="00F81504" w:rsidRDefault="00F81504">
      <w:pPr>
        <w:spacing w:after="0" w:line="240" w:lineRule="auto"/>
      </w:pPr>
    </w:p>
  </w:footnote>
  <w:footnote w:id="2">
    <w:p w14:paraId="30F4D37E" w14:textId="48FCD442" w:rsidR="00993031" w:rsidRDefault="00993031">
      <w:pPr>
        <w:pStyle w:val="FootnoteText"/>
      </w:pPr>
      <w:r>
        <w:rPr>
          <w:rStyle w:val="FootnoteReference"/>
        </w:rPr>
        <w:footnoteRef/>
      </w:r>
      <w:r>
        <w:t xml:space="preserve"> </w:t>
      </w:r>
      <w:hyperlink r:id="rId1" w:history="1">
        <w:r>
          <w:rPr>
            <w:rStyle w:val="Hyperlink"/>
          </w:rPr>
          <w:t>Workplace gender equality: the business case | WGEA</w:t>
        </w:r>
      </w:hyperlink>
    </w:p>
  </w:footnote>
  <w:footnote w:id="3">
    <w:p w14:paraId="0F387DA8" w14:textId="6B13FA98" w:rsidR="005B0F20" w:rsidRDefault="00EC2DAD">
      <w:pPr>
        <w:pStyle w:val="FootnoteText"/>
      </w:pPr>
      <w:r>
        <w:rPr>
          <w:rStyle w:val="FootnoteReference"/>
        </w:rPr>
        <w:footnoteRef/>
      </w:r>
      <w:r>
        <w:t xml:space="preserve"> </w:t>
      </w:r>
      <w:r w:rsidR="00CC11E8" w:rsidRPr="003329DE">
        <w:rPr>
          <w:i/>
          <w:iCs/>
        </w:rPr>
        <w:t xml:space="preserve">Australian Laureate Fellowships, </w:t>
      </w:r>
      <w:r w:rsidR="005266E5" w:rsidRPr="003329DE">
        <w:rPr>
          <w:i/>
          <w:iCs/>
        </w:rPr>
        <w:t>Discovery Early Career Researcher Award, Discovery Indigenous, Discovery Projects, Future Fellowships</w:t>
      </w:r>
      <w:r w:rsidR="005B0F20">
        <w:t xml:space="preserve"> schemes</w:t>
      </w:r>
    </w:p>
  </w:footnote>
  <w:footnote w:id="4">
    <w:p w14:paraId="0474D2FE" w14:textId="6BAF6378" w:rsidR="005B0F20" w:rsidRDefault="005B0F20">
      <w:pPr>
        <w:pStyle w:val="FootnoteText"/>
      </w:pPr>
      <w:r>
        <w:rPr>
          <w:rStyle w:val="FootnoteReference"/>
        </w:rPr>
        <w:footnoteRef/>
      </w:r>
      <w:r>
        <w:t xml:space="preserve"> </w:t>
      </w:r>
      <w:r w:rsidR="000C38E7" w:rsidRPr="003329DE">
        <w:rPr>
          <w:i/>
          <w:iCs/>
        </w:rPr>
        <w:t>Industrial Transformation Research Hubs; Industrial Transformation Training Centres; Linkage, Infrastructure Equipment and Facilities; Linkage Projects</w:t>
      </w:r>
      <w:r w:rsidR="00DB489C">
        <w:t xml:space="preserve"> schemes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892"/>
    <w:multiLevelType w:val="multilevel"/>
    <w:tmpl w:val="9306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065FD"/>
    <w:multiLevelType w:val="multilevel"/>
    <w:tmpl w:val="ED3A8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9169D"/>
    <w:multiLevelType w:val="multilevel"/>
    <w:tmpl w:val="5F80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B265A"/>
    <w:multiLevelType w:val="hybridMultilevel"/>
    <w:tmpl w:val="F70C51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6E97F1D"/>
    <w:multiLevelType w:val="multilevel"/>
    <w:tmpl w:val="B568D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35DE2"/>
    <w:multiLevelType w:val="hybridMultilevel"/>
    <w:tmpl w:val="A880B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314597"/>
    <w:multiLevelType w:val="hybridMultilevel"/>
    <w:tmpl w:val="D2E67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F43CCE"/>
    <w:multiLevelType w:val="multilevel"/>
    <w:tmpl w:val="F9B2C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A0D8E"/>
    <w:multiLevelType w:val="multilevel"/>
    <w:tmpl w:val="80CA6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F7AE3"/>
    <w:multiLevelType w:val="hybridMultilevel"/>
    <w:tmpl w:val="F7181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7D2C1D"/>
    <w:multiLevelType w:val="hybridMultilevel"/>
    <w:tmpl w:val="FAF8B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D474FE5"/>
    <w:multiLevelType w:val="multilevel"/>
    <w:tmpl w:val="6F769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145023"/>
    <w:multiLevelType w:val="multilevel"/>
    <w:tmpl w:val="0C8A82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86A87"/>
    <w:multiLevelType w:val="hybridMultilevel"/>
    <w:tmpl w:val="0F688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0A5035"/>
    <w:multiLevelType w:val="hybridMultilevel"/>
    <w:tmpl w:val="A1780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2709D3"/>
    <w:multiLevelType w:val="hybridMultilevel"/>
    <w:tmpl w:val="3B8CC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E07A6F"/>
    <w:multiLevelType w:val="hybridMultilevel"/>
    <w:tmpl w:val="FFFFFFFF"/>
    <w:lvl w:ilvl="0" w:tplc="9D344E9A">
      <w:start w:val="1"/>
      <w:numFmt w:val="bullet"/>
      <w:lvlText w:val=""/>
      <w:lvlJc w:val="left"/>
      <w:pPr>
        <w:ind w:left="720" w:hanging="360"/>
      </w:pPr>
      <w:rPr>
        <w:rFonts w:ascii="Symbol" w:hAnsi="Symbol" w:hint="default"/>
      </w:rPr>
    </w:lvl>
    <w:lvl w:ilvl="1" w:tplc="E1FAEB78">
      <w:start w:val="1"/>
      <w:numFmt w:val="bullet"/>
      <w:lvlText w:val="o"/>
      <w:lvlJc w:val="left"/>
      <w:pPr>
        <w:ind w:left="1440" w:hanging="360"/>
      </w:pPr>
      <w:rPr>
        <w:rFonts w:ascii="Courier New" w:hAnsi="Courier New" w:hint="default"/>
      </w:rPr>
    </w:lvl>
    <w:lvl w:ilvl="2" w:tplc="22628352">
      <w:start w:val="1"/>
      <w:numFmt w:val="bullet"/>
      <w:lvlText w:val=""/>
      <w:lvlJc w:val="left"/>
      <w:pPr>
        <w:ind w:left="2160" w:hanging="360"/>
      </w:pPr>
      <w:rPr>
        <w:rFonts w:ascii="Wingdings" w:hAnsi="Wingdings" w:hint="default"/>
      </w:rPr>
    </w:lvl>
    <w:lvl w:ilvl="3" w:tplc="755A8064">
      <w:start w:val="1"/>
      <w:numFmt w:val="bullet"/>
      <w:lvlText w:val=""/>
      <w:lvlJc w:val="left"/>
      <w:pPr>
        <w:ind w:left="2880" w:hanging="360"/>
      </w:pPr>
      <w:rPr>
        <w:rFonts w:ascii="Symbol" w:hAnsi="Symbol" w:hint="default"/>
      </w:rPr>
    </w:lvl>
    <w:lvl w:ilvl="4" w:tplc="D93215DC">
      <w:start w:val="1"/>
      <w:numFmt w:val="bullet"/>
      <w:lvlText w:val="o"/>
      <w:lvlJc w:val="left"/>
      <w:pPr>
        <w:ind w:left="3600" w:hanging="360"/>
      </w:pPr>
      <w:rPr>
        <w:rFonts w:ascii="Courier New" w:hAnsi="Courier New" w:hint="default"/>
      </w:rPr>
    </w:lvl>
    <w:lvl w:ilvl="5" w:tplc="F07EAF52">
      <w:start w:val="1"/>
      <w:numFmt w:val="bullet"/>
      <w:lvlText w:val=""/>
      <w:lvlJc w:val="left"/>
      <w:pPr>
        <w:ind w:left="4320" w:hanging="360"/>
      </w:pPr>
      <w:rPr>
        <w:rFonts w:ascii="Wingdings" w:hAnsi="Wingdings" w:hint="default"/>
      </w:rPr>
    </w:lvl>
    <w:lvl w:ilvl="6" w:tplc="68F2AD4E">
      <w:start w:val="1"/>
      <w:numFmt w:val="bullet"/>
      <w:lvlText w:val=""/>
      <w:lvlJc w:val="left"/>
      <w:pPr>
        <w:ind w:left="5040" w:hanging="360"/>
      </w:pPr>
      <w:rPr>
        <w:rFonts w:ascii="Symbol" w:hAnsi="Symbol" w:hint="default"/>
      </w:rPr>
    </w:lvl>
    <w:lvl w:ilvl="7" w:tplc="017C344C">
      <w:start w:val="1"/>
      <w:numFmt w:val="bullet"/>
      <w:lvlText w:val="o"/>
      <w:lvlJc w:val="left"/>
      <w:pPr>
        <w:ind w:left="5760" w:hanging="360"/>
      </w:pPr>
      <w:rPr>
        <w:rFonts w:ascii="Courier New" w:hAnsi="Courier New" w:hint="default"/>
      </w:rPr>
    </w:lvl>
    <w:lvl w:ilvl="8" w:tplc="CC580BDE">
      <w:start w:val="1"/>
      <w:numFmt w:val="bullet"/>
      <w:lvlText w:val=""/>
      <w:lvlJc w:val="left"/>
      <w:pPr>
        <w:ind w:left="6480" w:hanging="360"/>
      </w:pPr>
      <w:rPr>
        <w:rFonts w:ascii="Wingdings" w:hAnsi="Wingdings" w:hint="default"/>
      </w:rPr>
    </w:lvl>
  </w:abstractNum>
  <w:abstractNum w:abstractNumId="17" w15:restartNumberingAfterBreak="0">
    <w:nsid w:val="789F4E6F"/>
    <w:multiLevelType w:val="hybridMultilevel"/>
    <w:tmpl w:val="7C78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8C5173"/>
    <w:multiLevelType w:val="multilevel"/>
    <w:tmpl w:val="EABEFC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5"/>
  </w:num>
  <w:num w:numId="4">
    <w:abstractNumId w:val="0"/>
  </w:num>
  <w:num w:numId="5">
    <w:abstractNumId w:val="2"/>
  </w:num>
  <w:num w:numId="6">
    <w:abstractNumId w:val="10"/>
  </w:num>
  <w:num w:numId="7">
    <w:abstractNumId w:val="9"/>
  </w:num>
  <w:num w:numId="8">
    <w:abstractNumId w:val="17"/>
  </w:num>
  <w:num w:numId="9">
    <w:abstractNumId w:val="13"/>
  </w:num>
  <w:num w:numId="10">
    <w:abstractNumId w:val="6"/>
  </w:num>
  <w:num w:numId="11">
    <w:abstractNumId w:val="14"/>
  </w:num>
  <w:num w:numId="12">
    <w:abstractNumId w:val="8"/>
  </w:num>
  <w:num w:numId="13">
    <w:abstractNumId w:val="12"/>
  </w:num>
  <w:num w:numId="14">
    <w:abstractNumId w:val="11"/>
  </w:num>
  <w:num w:numId="15">
    <w:abstractNumId w:val="4"/>
  </w:num>
  <w:num w:numId="16">
    <w:abstractNumId w:val="7"/>
  </w:num>
  <w:num w:numId="17">
    <w:abstractNumId w:val="18"/>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7C"/>
    <w:rsid w:val="00000886"/>
    <w:rsid w:val="000041AE"/>
    <w:rsid w:val="0000722B"/>
    <w:rsid w:val="00007F4E"/>
    <w:rsid w:val="00010DAB"/>
    <w:rsid w:val="00011020"/>
    <w:rsid w:val="00012B33"/>
    <w:rsid w:val="00013B80"/>
    <w:rsid w:val="00013C03"/>
    <w:rsid w:val="000141F2"/>
    <w:rsid w:val="000213C2"/>
    <w:rsid w:val="000246A4"/>
    <w:rsid w:val="0002711A"/>
    <w:rsid w:val="000279BB"/>
    <w:rsid w:val="000316DC"/>
    <w:rsid w:val="000329E2"/>
    <w:rsid w:val="000342AF"/>
    <w:rsid w:val="00034B12"/>
    <w:rsid w:val="00034C00"/>
    <w:rsid w:val="0004162B"/>
    <w:rsid w:val="00044794"/>
    <w:rsid w:val="000447E4"/>
    <w:rsid w:val="000461CF"/>
    <w:rsid w:val="00047B12"/>
    <w:rsid w:val="00051AC7"/>
    <w:rsid w:val="00051F2D"/>
    <w:rsid w:val="00054409"/>
    <w:rsid w:val="0006074F"/>
    <w:rsid w:val="00060890"/>
    <w:rsid w:val="000612C5"/>
    <w:rsid w:val="00061BAB"/>
    <w:rsid w:val="00066A93"/>
    <w:rsid w:val="00067FA9"/>
    <w:rsid w:val="00073BC8"/>
    <w:rsid w:val="000768E1"/>
    <w:rsid w:val="00083307"/>
    <w:rsid w:val="00086352"/>
    <w:rsid w:val="000914D6"/>
    <w:rsid w:val="00093987"/>
    <w:rsid w:val="00094874"/>
    <w:rsid w:val="00094CA9"/>
    <w:rsid w:val="000965D7"/>
    <w:rsid w:val="00097832"/>
    <w:rsid w:val="00097B69"/>
    <w:rsid w:val="00097EBD"/>
    <w:rsid w:val="000A063B"/>
    <w:rsid w:val="000A5BA0"/>
    <w:rsid w:val="000B3E8B"/>
    <w:rsid w:val="000B432A"/>
    <w:rsid w:val="000B5BE9"/>
    <w:rsid w:val="000B5EE8"/>
    <w:rsid w:val="000C01BB"/>
    <w:rsid w:val="000C062E"/>
    <w:rsid w:val="000C2947"/>
    <w:rsid w:val="000C31E9"/>
    <w:rsid w:val="000C38E7"/>
    <w:rsid w:val="000C3911"/>
    <w:rsid w:val="000C4628"/>
    <w:rsid w:val="000C4D3C"/>
    <w:rsid w:val="000C6EA8"/>
    <w:rsid w:val="000C77B5"/>
    <w:rsid w:val="000C7960"/>
    <w:rsid w:val="000D0D89"/>
    <w:rsid w:val="000D2628"/>
    <w:rsid w:val="000D30AF"/>
    <w:rsid w:val="000D4A81"/>
    <w:rsid w:val="000D4B05"/>
    <w:rsid w:val="000D5F85"/>
    <w:rsid w:val="000D6C7B"/>
    <w:rsid w:val="000D6E1C"/>
    <w:rsid w:val="000D6E22"/>
    <w:rsid w:val="000E1E02"/>
    <w:rsid w:val="000E27AA"/>
    <w:rsid w:val="000E2F6B"/>
    <w:rsid w:val="000E3C57"/>
    <w:rsid w:val="000E6EDD"/>
    <w:rsid w:val="000E71F7"/>
    <w:rsid w:val="000F029F"/>
    <w:rsid w:val="000F0AA0"/>
    <w:rsid w:val="000F6EEE"/>
    <w:rsid w:val="000F770D"/>
    <w:rsid w:val="0010120D"/>
    <w:rsid w:val="001012D2"/>
    <w:rsid w:val="001056EA"/>
    <w:rsid w:val="0010592F"/>
    <w:rsid w:val="00114164"/>
    <w:rsid w:val="00117B30"/>
    <w:rsid w:val="00122F30"/>
    <w:rsid w:val="00125B72"/>
    <w:rsid w:val="00126664"/>
    <w:rsid w:val="00126D71"/>
    <w:rsid w:val="0013046D"/>
    <w:rsid w:val="001313E8"/>
    <w:rsid w:val="0013274C"/>
    <w:rsid w:val="00132F24"/>
    <w:rsid w:val="00133836"/>
    <w:rsid w:val="0013454E"/>
    <w:rsid w:val="00135E22"/>
    <w:rsid w:val="00135E54"/>
    <w:rsid w:val="00136059"/>
    <w:rsid w:val="00136265"/>
    <w:rsid w:val="001363C6"/>
    <w:rsid w:val="00136EAE"/>
    <w:rsid w:val="001375D0"/>
    <w:rsid w:val="00137CB6"/>
    <w:rsid w:val="00142FBC"/>
    <w:rsid w:val="00153B30"/>
    <w:rsid w:val="00153E8E"/>
    <w:rsid w:val="0015555A"/>
    <w:rsid w:val="00156DCD"/>
    <w:rsid w:val="00156E59"/>
    <w:rsid w:val="00161034"/>
    <w:rsid w:val="001640D5"/>
    <w:rsid w:val="00165E04"/>
    <w:rsid w:val="00165E39"/>
    <w:rsid w:val="00166D45"/>
    <w:rsid w:val="001715B1"/>
    <w:rsid w:val="00171A9D"/>
    <w:rsid w:val="00172DA0"/>
    <w:rsid w:val="00175D1B"/>
    <w:rsid w:val="00177546"/>
    <w:rsid w:val="00182AF5"/>
    <w:rsid w:val="001878F6"/>
    <w:rsid w:val="0019185F"/>
    <w:rsid w:val="00193130"/>
    <w:rsid w:val="00194A2E"/>
    <w:rsid w:val="0019787F"/>
    <w:rsid w:val="001A5054"/>
    <w:rsid w:val="001A51B2"/>
    <w:rsid w:val="001A5BD9"/>
    <w:rsid w:val="001A5CD0"/>
    <w:rsid w:val="001A78C1"/>
    <w:rsid w:val="001B1CF1"/>
    <w:rsid w:val="001B1EE9"/>
    <w:rsid w:val="001B2196"/>
    <w:rsid w:val="001B52E6"/>
    <w:rsid w:val="001B651C"/>
    <w:rsid w:val="001B6855"/>
    <w:rsid w:val="001C0CB0"/>
    <w:rsid w:val="001C39A4"/>
    <w:rsid w:val="001C39AD"/>
    <w:rsid w:val="001C463C"/>
    <w:rsid w:val="001C4CE0"/>
    <w:rsid w:val="001C6111"/>
    <w:rsid w:val="001C6C68"/>
    <w:rsid w:val="001D37C1"/>
    <w:rsid w:val="001D4355"/>
    <w:rsid w:val="001D5936"/>
    <w:rsid w:val="001D72AC"/>
    <w:rsid w:val="001D7AA9"/>
    <w:rsid w:val="001E129B"/>
    <w:rsid w:val="001E3702"/>
    <w:rsid w:val="001E45C0"/>
    <w:rsid w:val="001E474A"/>
    <w:rsid w:val="001E5A6B"/>
    <w:rsid w:val="001E7EEF"/>
    <w:rsid w:val="001F15E0"/>
    <w:rsid w:val="001F3E99"/>
    <w:rsid w:val="001F4691"/>
    <w:rsid w:val="001F4FBB"/>
    <w:rsid w:val="001F5FCC"/>
    <w:rsid w:val="001F625F"/>
    <w:rsid w:val="00200DE9"/>
    <w:rsid w:val="002015F2"/>
    <w:rsid w:val="00203424"/>
    <w:rsid w:val="002048C5"/>
    <w:rsid w:val="002058AC"/>
    <w:rsid w:val="0020605F"/>
    <w:rsid w:val="002109B3"/>
    <w:rsid w:val="00210C46"/>
    <w:rsid w:val="002140C4"/>
    <w:rsid w:val="0021459E"/>
    <w:rsid w:val="00214907"/>
    <w:rsid w:val="002165BC"/>
    <w:rsid w:val="00220BCF"/>
    <w:rsid w:val="00227330"/>
    <w:rsid w:val="00230349"/>
    <w:rsid w:val="00231494"/>
    <w:rsid w:val="00231B55"/>
    <w:rsid w:val="00231DD9"/>
    <w:rsid w:val="002353CC"/>
    <w:rsid w:val="0023786B"/>
    <w:rsid w:val="00237A5D"/>
    <w:rsid w:val="00237C28"/>
    <w:rsid w:val="00240327"/>
    <w:rsid w:val="002410EE"/>
    <w:rsid w:val="00241ACB"/>
    <w:rsid w:val="00242F55"/>
    <w:rsid w:val="00243D17"/>
    <w:rsid w:val="002475B0"/>
    <w:rsid w:val="00247D76"/>
    <w:rsid w:val="00253FDA"/>
    <w:rsid w:val="00254770"/>
    <w:rsid w:val="00254B9A"/>
    <w:rsid w:val="00254F01"/>
    <w:rsid w:val="00260F3D"/>
    <w:rsid w:val="0026501F"/>
    <w:rsid w:val="002725D6"/>
    <w:rsid w:val="00276059"/>
    <w:rsid w:val="00276C20"/>
    <w:rsid w:val="002804F8"/>
    <w:rsid w:val="00282F2C"/>
    <w:rsid w:val="00285526"/>
    <w:rsid w:val="002868CA"/>
    <w:rsid w:val="00292EE9"/>
    <w:rsid w:val="00294DD1"/>
    <w:rsid w:val="00296235"/>
    <w:rsid w:val="00296560"/>
    <w:rsid w:val="002969F8"/>
    <w:rsid w:val="002973FF"/>
    <w:rsid w:val="002974E1"/>
    <w:rsid w:val="00297B6A"/>
    <w:rsid w:val="002A0C70"/>
    <w:rsid w:val="002A0FBF"/>
    <w:rsid w:val="002A193E"/>
    <w:rsid w:val="002A43EB"/>
    <w:rsid w:val="002A65A0"/>
    <w:rsid w:val="002B014E"/>
    <w:rsid w:val="002B25EE"/>
    <w:rsid w:val="002B44A2"/>
    <w:rsid w:val="002C00DE"/>
    <w:rsid w:val="002C112F"/>
    <w:rsid w:val="002C1AE3"/>
    <w:rsid w:val="002C7E06"/>
    <w:rsid w:val="002D0C5D"/>
    <w:rsid w:val="002D151D"/>
    <w:rsid w:val="002D1E1C"/>
    <w:rsid w:val="002D4D57"/>
    <w:rsid w:val="002D52CD"/>
    <w:rsid w:val="002D58F2"/>
    <w:rsid w:val="002E20CD"/>
    <w:rsid w:val="002E3CC0"/>
    <w:rsid w:val="002E6598"/>
    <w:rsid w:val="002E7554"/>
    <w:rsid w:val="002F13D4"/>
    <w:rsid w:val="002F17BC"/>
    <w:rsid w:val="002F1D17"/>
    <w:rsid w:val="002F2D0A"/>
    <w:rsid w:val="002F5158"/>
    <w:rsid w:val="002F79AC"/>
    <w:rsid w:val="00300386"/>
    <w:rsid w:val="0030147A"/>
    <w:rsid w:val="003026BE"/>
    <w:rsid w:val="00303764"/>
    <w:rsid w:val="00307F25"/>
    <w:rsid w:val="00314EB5"/>
    <w:rsid w:val="00315407"/>
    <w:rsid w:val="00315E36"/>
    <w:rsid w:val="0032018F"/>
    <w:rsid w:val="0032125D"/>
    <w:rsid w:val="00321663"/>
    <w:rsid w:val="00321F5A"/>
    <w:rsid w:val="00322006"/>
    <w:rsid w:val="00323B76"/>
    <w:rsid w:val="0032439A"/>
    <w:rsid w:val="0032629A"/>
    <w:rsid w:val="00331A0B"/>
    <w:rsid w:val="00331D54"/>
    <w:rsid w:val="00332018"/>
    <w:rsid w:val="003329DB"/>
    <w:rsid w:val="003329DE"/>
    <w:rsid w:val="00333F4F"/>
    <w:rsid w:val="00334BC0"/>
    <w:rsid w:val="00334E94"/>
    <w:rsid w:val="00336321"/>
    <w:rsid w:val="00336BA0"/>
    <w:rsid w:val="0034009A"/>
    <w:rsid w:val="00341ACD"/>
    <w:rsid w:val="003421B6"/>
    <w:rsid w:val="003459F1"/>
    <w:rsid w:val="00354215"/>
    <w:rsid w:val="003627B4"/>
    <w:rsid w:val="00364411"/>
    <w:rsid w:val="00364DD3"/>
    <w:rsid w:val="00367A0C"/>
    <w:rsid w:val="00371343"/>
    <w:rsid w:val="0037179E"/>
    <w:rsid w:val="00371EC8"/>
    <w:rsid w:val="0037404F"/>
    <w:rsid w:val="00375304"/>
    <w:rsid w:val="00375332"/>
    <w:rsid w:val="0037647F"/>
    <w:rsid w:val="003777FB"/>
    <w:rsid w:val="003803EA"/>
    <w:rsid w:val="00380A48"/>
    <w:rsid w:val="00380E87"/>
    <w:rsid w:val="00381CED"/>
    <w:rsid w:val="00382BB5"/>
    <w:rsid w:val="00383B6A"/>
    <w:rsid w:val="00385EC7"/>
    <w:rsid w:val="003861E2"/>
    <w:rsid w:val="00387A86"/>
    <w:rsid w:val="003900BE"/>
    <w:rsid w:val="003911CE"/>
    <w:rsid w:val="00391FAF"/>
    <w:rsid w:val="00395BBA"/>
    <w:rsid w:val="00396715"/>
    <w:rsid w:val="003979AD"/>
    <w:rsid w:val="003A0E69"/>
    <w:rsid w:val="003A291B"/>
    <w:rsid w:val="003A3574"/>
    <w:rsid w:val="003A5ADC"/>
    <w:rsid w:val="003A5C01"/>
    <w:rsid w:val="003A65CE"/>
    <w:rsid w:val="003B3FA5"/>
    <w:rsid w:val="003B4B68"/>
    <w:rsid w:val="003B6372"/>
    <w:rsid w:val="003B7ADF"/>
    <w:rsid w:val="003C1270"/>
    <w:rsid w:val="003C12BF"/>
    <w:rsid w:val="003C14B6"/>
    <w:rsid w:val="003C1F54"/>
    <w:rsid w:val="003C58AC"/>
    <w:rsid w:val="003C5E9A"/>
    <w:rsid w:val="003C6AD9"/>
    <w:rsid w:val="003C7A51"/>
    <w:rsid w:val="003C7BCE"/>
    <w:rsid w:val="003D11EB"/>
    <w:rsid w:val="003D1E90"/>
    <w:rsid w:val="003D307E"/>
    <w:rsid w:val="003D3E15"/>
    <w:rsid w:val="003D424E"/>
    <w:rsid w:val="003D725B"/>
    <w:rsid w:val="003E020E"/>
    <w:rsid w:val="003E1379"/>
    <w:rsid w:val="003E32D3"/>
    <w:rsid w:val="003E3495"/>
    <w:rsid w:val="003E6E92"/>
    <w:rsid w:val="003F0BAF"/>
    <w:rsid w:val="003F1B56"/>
    <w:rsid w:val="003F1C4C"/>
    <w:rsid w:val="003F770B"/>
    <w:rsid w:val="003F7A7E"/>
    <w:rsid w:val="003F7CA4"/>
    <w:rsid w:val="003F7D31"/>
    <w:rsid w:val="0040089A"/>
    <w:rsid w:val="004021F7"/>
    <w:rsid w:val="00402255"/>
    <w:rsid w:val="00402C68"/>
    <w:rsid w:val="004054DF"/>
    <w:rsid w:val="004064E0"/>
    <w:rsid w:val="00406DDE"/>
    <w:rsid w:val="0041158E"/>
    <w:rsid w:val="00416560"/>
    <w:rsid w:val="004170B2"/>
    <w:rsid w:val="00423076"/>
    <w:rsid w:val="00433AA5"/>
    <w:rsid w:val="004342A7"/>
    <w:rsid w:val="0043647A"/>
    <w:rsid w:val="00436B16"/>
    <w:rsid w:val="0043711E"/>
    <w:rsid w:val="00441345"/>
    <w:rsid w:val="004414CD"/>
    <w:rsid w:val="004429BB"/>
    <w:rsid w:val="00442A67"/>
    <w:rsid w:val="004435B9"/>
    <w:rsid w:val="0044640A"/>
    <w:rsid w:val="00446F1D"/>
    <w:rsid w:val="004510BE"/>
    <w:rsid w:val="004511DF"/>
    <w:rsid w:val="00453890"/>
    <w:rsid w:val="00455316"/>
    <w:rsid w:val="00455ED5"/>
    <w:rsid w:val="0046034C"/>
    <w:rsid w:val="004629B1"/>
    <w:rsid w:val="00462EDC"/>
    <w:rsid w:val="00465853"/>
    <w:rsid w:val="00466CC1"/>
    <w:rsid w:val="00470F39"/>
    <w:rsid w:val="00472CF3"/>
    <w:rsid w:val="00472F1E"/>
    <w:rsid w:val="00473469"/>
    <w:rsid w:val="00474170"/>
    <w:rsid w:val="004747DA"/>
    <w:rsid w:val="004754F2"/>
    <w:rsid w:val="00476325"/>
    <w:rsid w:val="00476975"/>
    <w:rsid w:val="00482FBE"/>
    <w:rsid w:val="004831C9"/>
    <w:rsid w:val="00485B58"/>
    <w:rsid w:val="004878FE"/>
    <w:rsid w:val="00490BA8"/>
    <w:rsid w:val="00491E74"/>
    <w:rsid w:val="004948C0"/>
    <w:rsid w:val="00494E34"/>
    <w:rsid w:val="004956A9"/>
    <w:rsid w:val="00497D1C"/>
    <w:rsid w:val="004A120D"/>
    <w:rsid w:val="004A24C8"/>
    <w:rsid w:val="004A452F"/>
    <w:rsid w:val="004A4D46"/>
    <w:rsid w:val="004A63D6"/>
    <w:rsid w:val="004A7131"/>
    <w:rsid w:val="004A7B48"/>
    <w:rsid w:val="004B039B"/>
    <w:rsid w:val="004B5B70"/>
    <w:rsid w:val="004B622F"/>
    <w:rsid w:val="004B64F5"/>
    <w:rsid w:val="004C3783"/>
    <w:rsid w:val="004C6B27"/>
    <w:rsid w:val="004C77AF"/>
    <w:rsid w:val="004D3387"/>
    <w:rsid w:val="004D4397"/>
    <w:rsid w:val="004D4601"/>
    <w:rsid w:val="004D5D70"/>
    <w:rsid w:val="004D7CC0"/>
    <w:rsid w:val="004E1090"/>
    <w:rsid w:val="004E692F"/>
    <w:rsid w:val="004E7D76"/>
    <w:rsid w:val="004F320B"/>
    <w:rsid w:val="004F7AA3"/>
    <w:rsid w:val="00500BFC"/>
    <w:rsid w:val="00503CFA"/>
    <w:rsid w:val="005041E4"/>
    <w:rsid w:val="00505CFD"/>
    <w:rsid w:val="0050715D"/>
    <w:rsid w:val="00512D47"/>
    <w:rsid w:val="00513F45"/>
    <w:rsid w:val="00514CCA"/>
    <w:rsid w:val="005159F6"/>
    <w:rsid w:val="00516167"/>
    <w:rsid w:val="00516AB1"/>
    <w:rsid w:val="00517738"/>
    <w:rsid w:val="005203A6"/>
    <w:rsid w:val="005211EB"/>
    <w:rsid w:val="005266E5"/>
    <w:rsid w:val="00526FDE"/>
    <w:rsid w:val="005271C8"/>
    <w:rsid w:val="005311EB"/>
    <w:rsid w:val="00536471"/>
    <w:rsid w:val="00537939"/>
    <w:rsid w:val="00540544"/>
    <w:rsid w:val="00540C13"/>
    <w:rsid w:val="00543EA3"/>
    <w:rsid w:val="00552FC7"/>
    <w:rsid w:val="005567FD"/>
    <w:rsid w:val="0055688C"/>
    <w:rsid w:val="00561C4B"/>
    <w:rsid w:val="0056313A"/>
    <w:rsid w:val="00565369"/>
    <w:rsid w:val="0056632A"/>
    <w:rsid w:val="00571EBA"/>
    <w:rsid w:val="00573089"/>
    <w:rsid w:val="00573397"/>
    <w:rsid w:val="005734AD"/>
    <w:rsid w:val="005767F1"/>
    <w:rsid w:val="00576D40"/>
    <w:rsid w:val="00576FD0"/>
    <w:rsid w:val="00580E75"/>
    <w:rsid w:val="00581432"/>
    <w:rsid w:val="0058590F"/>
    <w:rsid w:val="00585C27"/>
    <w:rsid w:val="00586230"/>
    <w:rsid w:val="0058753C"/>
    <w:rsid w:val="005916EA"/>
    <w:rsid w:val="00597DC6"/>
    <w:rsid w:val="00597EAF"/>
    <w:rsid w:val="005A27BF"/>
    <w:rsid w:val="005A2D54"/>
    <w:rsid w:val="005A5597"/>
    <w:rsid w:val="005A6254"/>
    <w:rsid w:val="005A7963"/>
    <w:rsid w:val="005A7B81"/>
    <w:rsid w:val="005B05E7"/>
    <w:rsid w:val="005B08EC"/>
    <w:rsid w:val="005B0F20"/>
    <w:rsid w:val="005B3C16"/>
    <w:rsid w:val="005B3D49"/>
    <w:rsid w:val="005B44FF"/>
    <w:rsid w:val="005B4E94"/>
    <w:rsid w:val="005B57B2"/>
    <w:rsid w:val="005B7239"/>
    <w:rsid w:val="005C0E05"/>
    <w:rsid w:val="005C2124"/>
    <w:rsid w:val="005C57D8"/>
    <w:rsid w:val="005C5B0A"/>
    <w:rsid w:val="005C791D"/>
    <w:rsid w:val="005D18F3"/>
    <w:rsid w:val="005D2C08"/>
    <w:rsid w:val="005D3BE4"/>
    <w:rsid w:val="005D3EA7"/>
    <w:rsid w:val="005D47E0"/>
    <w:rsid w:val="005D720E"/>
    <w:rsid w:val="005D7F44"/>
    <w:rsid w:val="005E0107"/>
    <w:rsid w:val="005E01F1"/>
    <w:rsid w:val="005E1390"/>
    <w:rsid w:val="005E1741"/>
    <w:rsid w:val="005E2E33"/>
    <w:rsid w:val="005E34D0"/>
    <w:rsid w:val="005E507F"/>
    <w:rsid w:val="005E5B71"/>
    <w:rsid w:val="005E69D7"/>
    <w:rsid w:val="005F0B2D"/>
    <w:rsid w:val="005F1A84"/>
    <w:rsid w:val="005F3A0C"/>
    <w:rsid w:val="005F63E3"/>
    <w:rsid w:val="00602D24"/>
    <w:rsid w:val="0060317C"/>
    <w:rsid w:val="006035AF"/>
    <w:rsid w:val="00606408"/>
    <w:rsid w:val="00610C39"/>
    <w:rsid w:val="00611336"/>
    <w:rsid w:val="00611872"/>
    <w:rsid w:val="00615770"/>
    <w:rsid w:val="00616C18"/>
    <w:rsid w:val="00621287"/>
    <w:rsid w:val="00623FA2"/>
    <w:rsid w:val="006248C6"/>
    <w:rsid w:val="00626B68"/>
    <w:rsid w:val="00630B67"/>
    <w:rsid w:val="00633158"/>
    <w:rsid w:val="00635907"/>
    <w:rsid w:val="006361DF"/>
    <w:rsid w:val="00636330"/>
    <w:rsid w:val="0063657D"/>
    <w:rsid w:val="00637AEE"/>
    <w:rsid w:val="0064117A"/>
    <w:rsid w:val="00645B63"/>
    <w:rsid w:val="006462CA"/>
    <w:rsid w:val="00647801"/>
    <w:rsid w:val="00647A1B"/>
    <w:rsid w:val="006505CB"/>
    <w:rsid w:val="00652134"/>
    <w:rsid w:val="006537D8"/>
    <w:rsid w:val="00654F73"/>
    <w:rsid w:val="006554F7"/>
    <w:rsid w:val="00655C2E"/>
    <w:rsid w:val="00660807"/>
    <w:rsid w:val="00661368"/>
    <w:rsid w:val="00663517"/>
    <w:rsid w:val="00665C58"/>
    <w:rsid w:val="006663FA"/>
    <w:rsid w:val="00667C41"/>
    <w:rsid w:val="0067174D"/>
    <w:rsid w:val="00671DBE"/>
    <w:rsid w:val="0067312B"/>
    <w:rsid w:val="00673C29"/>
    <w:rsid w:val="006768E0"/>
    <w:rsid w:val="006775B6"/>
    <w:rsid w:val="00682FB2"/>
    <w:rsid w:val="00683945"/>
    <w:rsid w:val="00686D65"/>
    <w:rsid w:val="00693758"/>
    <w:rsid w:val="00693BBE"/>
    <w:rsid w:val="0069557C"/>
    <w:rsid w:val="00696448"/>
    <w:rsid w:val="00697690"/>
    <w:rsid w:val="00697D07"/>
    <w:rsid w:val="006A2931"/>
    <w:rsid w:val="006A3DEE"/>
    <w:rsid w:val="006A4032"/>
    <w:rsid w:val="006A40F2"/>
    <w:rsid w:val="006A4368"/>
    <w:rsid w:val="006A5CB4"/>
    <w:rsid w:val="006A6DEE"/>
    <w:rsid w:val="006B19D3"/>
    <w:rsid w:val="006B1ABD"/>
    <w:rsid w:val="006B3559"/>
    <w:rsid w:val="006B3717"/>
    <w:rsid w:val="006B4CAD"/>
    <w:rsid w:val="006B4F3D"/>
    <w:rsid w:val="006B5BD1"/>
    <w:rsid w:val="006B609C"/>
    <w:rsid w:val="006B6E0B"/>
    <w:rsid w:val="006B798C"/>
    <w:rsid w:val="006C1FD8"/>
    <w:rsid w:val="006C3C50"/>
    <w:rsid w:val="006C4C6C"/>
    <w:rsid w:val="006C7BBB"/>
    <w:rsid w:val="006D0F2F"/>
    <w:rsid w:val="006D32A0"/>
    <w:rsid w:val="006D54A3"/>
    <w:rsid w:val="006D5747"/>
    <w:rsid w:val="006D5E0C"/>
    <w:rsid w:val="006D71BF"/>
    <w:rsid w:val="006D7D54"/>
    <w:rsid w:val="006E13F1"/>
    <w:rsid w:val="006E180F"/>
    <w:rsid w:val="006E3CAB"/>
    <w:rsid w:val="006E5308"/>
    <w:rsid w:val="006E6191"/>
    <w:rsid w:val="006E6224"/>
    <w:rsid w:val="006F0352"/>
    <w:rsid w:val="006F21CE"/>
    <w:rsid w:val="006F3D9E"/>
    <w:rsid w:val="006F53E2"/>
    <w:rsid w:val="006F5B70"/>
    <w:rsid w:val="006F728C"/>
    <w:rsid w:val="006F7D69"/>
    <w:rsid w:val="00703E41"/>
    <w:rsid w:val="007043A3"/>
    <w:rsid w:val="007044D8"/>
    <w:rsid w:val="00704ECC"/>
    <w:rsid w:val="00710E2E"/>
    <w:rsid w:val="00714A8F"/>
    <w:rsid w:val="007178CE"/>
    <w:rsid w:val="0072130B"/>
    <w:rsid w:val="0072250C"/>
    <w:rsid w:val="007240A9"/>
    <w:rsid w:val="00724988"/>
    <w:rsid w:val="00726B97"/>
    <w:rsid w:val="00730DB0"/>
    <w:rsid w:val="007347B1"/>
    <w:rsid w:val="00735A5A"/>
    <w:rsid w:val="0073626D"/>
    <w:rsid w:val="0073667C"/>
    <w:rsid w:val="00740DEB"/>
    <w:rsid w:val="007421BD"/>
    <w:rsid w:val="00742F0A"/>
    <w:rsid w:val="00746D08"/>
    <w:rsid w:val="00751213"/>
    <w:rsid w:val="007615C0"/>
    <w:rsid w:val="0076195B"/>
    <w:rsid w:val="00762B62"/>
    <w:rsid w:val="00762ED0"/>
    <w:rsid w:val="00765AA6"/>
    <w:rsid w:val="00766AC7"/>
    <w:rsid w:val="007710F7"/>
    <w:rsid w:val="0077167C"/>
    <w:rsid w:val="00772695"/>
    <w:rsid w:val="00775F13"/>
    <w:rsid w:val="0077615C"/>
    <w:rsid w:val="00777DBA"/>
    <w:rsid w:val="007802A3"/>
    <w:rsid w:val="007827AF"/>
    <w:rsid w:val="007862E9"/>
    <w:rsid w:val="00791546"/>
    <w:rsid w:val="00797E42"/>
    <w:rsid w:val="007A7308"/>
    <w:rsid w:val="007B0DF8"/>
    <w:rsid w:val="007B2277"/>
    <w:rsid w:val="007B3CBB"/>
    <w:rsid w:val="007C08D8"/>
    <w:rsid w:val="007C7290"/>
    <w:rsid w:val="007C7622"/>
    <w:rsid w:val="007D0B82"/>
    <w:rsid w:val="007D383D"/>
    <w:rsid w:val="007D688A"/>
    <w:rsid w:val="007D764B"/>
    <w:rsid w:val="007D79C7"/>
    <w:rsid w:val="007E3C5D"/>
    <w:rsid w:val="007E4403"/>
    <w:rsid w:val="007F2949"/>
    <w:rsid w:val="007F2BAE"/>
    <w:rsid w:val="007F5E0B"/>
    <w:rsid w:val="007F7134"/>
    <w:rsid w:val="007F7284"/>
    <w:rsid w:val="007F7957"/>
    <w:rsid w:val="008026FC"/>
    <w:rsid w:val="0080286E"/>
    <w:rsid w:val="008050A2"/>
    <w:rsid w:val="008074FC"/>
    <w:rsid w:val="008150F3"/>
    <w:rsid w:val="00815F01"/>
    <w:rsid w:val="00816D94"/>
    <w:rsid w:val="00820A6A"/>
    <w:rsid w:val="0082339D"/>
    <w:rsid w:val="00823437"/>
    <w:rsid w:val="00825AAB"/>
    <w:rsid w:val="008274CA"/>
    <w:rsid w:val="00832FC1"/>
    <w:rsid w:val="0083787F"/>
    <w:rsid w:val="00837D19"/>
    <w:rsid w:val="008424E4"/>
    <w:rsid w:val="0085015C"/>
    <w:rsid w:val="00850536"/>
    <w:rsid w:val="00852668"/>
    <w:rsid w:val="0085272D"/>
    <w:rsid w:val="0085397E"/>
    <w:rsid w:val="00853D16"/>
    <w:rsid w:val="008541D6"/>
    <w:rsid w:val="00854880"/>
    <w:rsid w:val="00857468"/>
    <w:rsid w:val="00857D3C"/>
    <w:rsid w:val="00857EA8"/>
    <w:rsid w:val="0086082A"/>
    <w:rsid w:val="008652A0"/>
    <w:rsid w:val="00867E6F"/>
    <w:rsid w:val="0087147B"/>
    <w:rsid w:val="00874652"/>
    <w:rsid w:val="00875083"/>
    <w:rsid w:val="00875429"/>
    <w:rsid w:val="00875B08"/>
    <w:rsid w:val="00876176"/>
    <w:rsid w:val="008821FF"/>
    <w:rsid w:val="0088236A"/>
    <w:rsid w:val="00886C09"/>
    <w:rsid w:val="00887D9A"/>
    <w:rsid w:val="008910FC"/>
    <w:rsid w:val="00891893"/>
    <w:rsid w:val="00891DFB"/>
    <w:rsid w:val="00893FF3"/>
    <w:rsid w:val="00894F80"/>
    <w:rsid w:val="008A0809"/>
    <w:rsid w:val="008A1133"/>
    <w:rsid w:val="008A5438"/>
    <w:rsid w:val="008A6BBF"/>
    <w:rsid w:val="008B04B6"/>
    <w:rsid w:val="008B0C3E"/>
    <w:rsid w:val="008B10FC"/>
    <w:rsid w:val="008B49F0"/>
    <w:rsid w:val="008B6925"/>
    <w:rsid w:val="008B7A50"/>
    <w:rsid w:val="008C4365"/>
    <w:rsid w:val="008C5189"/>
    <w:rsid w:val="008C636E"/>
    <w:rsid w:val="008C69E6"/>
    <w:rsid w:val="008C783B"/>
    <w:rsid w:val="008D507E"/>
    <w:rsid w:val="008E0EE0"/>
    <w:rsid w:val="008E1005"/>
    <w:rsid w:val="008E2319"/>
    <w:rsid w:val="008E55F5"/>
    <w:rsid w:val="008E6E38"/>
    <w:rsid w:val="008F059D"/>
    <w:rsid w:val="008F24AD"/>
    <w:rsid w:val="008F4E21"/>
    <w:rsid w:val="008F7CD5"/>
    <w:rsid w:val="008F7E22"/>
    <w:rsid w:val="00900CFF"/>
    <w:rsid w:val="009024F6"/>
    <w:rsid w:val="0090524B"/>
    <w:rsid w:val="00905E9A"/>
    <w:rsid w:val="009066C8"/>
    <w:rsid w:val="00906922"/>
    <w:rsid w:val="00911356"/>
    <w:rsid w:val="0091199C"/>
    <w:rsid w:val="00913463"/>
    <w:rsid w:val="00920DE3"/>
    <w:rsid w:val="00921024"/>
    <w:rsid w:val="009212BA"/>
    <w:rsid w:val="00922EC4"/>
    <w:rsid w:val="00924CCD"/>
    <w:rsid w:val="00925755"/>
    <w:rsid w:val="00925965"/>
    <w:rsid w:val="00925B9A"/>
    <w:rsid w:val="00925DA2"/>
    <w:rsid w:val="00940B90"/>
    <w:rsid w:val="00941FC7"/>
    <w:rsid w:val="009441B4"/>
    <w:rsid w:val="009447DA"/>
    <w:rsid w:val="0094692E"/>
    <w:rsid w:val="009473EF"/>
    <w:rsid w:val="0094753D"/>
    <w:rsid w:val="009478FB"/>
    <w:rsid w:val="00950F60"/>
    <w:rsid w:val="009510FF"/>
    <w:rsid w:val="00953796"/>
    <w:rsid w:val="00954D55"/>
    <w:rsid w:val="00956745"/>
    <w:rsid w:val="009609C9"/>
    <w:rsid w:val="00960DDF"/>
    <w:rsid w:val="00961930"/>
    <w:rsid w:val="009630A2"/>
    <w:rsid w:val="009648CD"/>
    <w:rsid w:val="00966601"/>
    <w:rsid w:val="00967AD8"/>
    <w:rsid w:val="00967BE2"/>
    <w:rsid w:val="00971A87"/>
    <w:rsid w:val="00973F43"/>
    <w:rsid w:val="00974B19"/>
    <w:rsid w:val="009761BC"/>
    <w:rsid w:val="0097664C"/>
    <w:rsid w:val="00976CF3"/>
    <w:rsid w:val="00980819"/>
    <w:rsid w:val="00980E20"/>
    <w:rsid w:val="00981064"/>
    <w:rsid w:val="0098175D"/>
    <w:rsid w:val="00982912"/>
    <w:rsid w:val="009853BB"/>
    <w:rsid w:val="00986D3C"/>
    <w:rsid w:val="0099037A"/>
    <w:rsid w:val="00993031"/>
    <w:rsid w:val="00995EED"/>
    <w:rsid w:val="00996AC5"/>
    <w:rsid w:val="009A0461"/>
    <w:rsid w:val="009A0D65"/>
    <w:rsid w:val="009A5E62"/>
    <w:rsid w:val="009A639D"/>
    <w:rsid w:val="009A6F04"/>
    <w:rsid w:val="009A7CAC"/>
    <w:rsid w:val="009B3AB5"/>
    <w:rsid w:val="009B3B79"/>
    <w:rsid w:val="009B479F"/>
    <w:rsid w:val="009C188B"/>
    <w:rsid w:val="009C18C1"/>
    <w:rsid w:val="009C524D"/>
    <w:rsid w:val="009C7B02"/>
    <w:rsid w:val="009D0786"/>
    <w:rsid w:val="009D0E13"/>
    <w:rsid w:val="009D27FF"/>
    <w:rsid w:val="009D2CD1"/>
    <w:rsid w:val="009D3074"/>
    <w:rsid w:val="009D423C"/>
    <w:rsid w:val="009E1520"/>
    <w:rsid w:val="009E307D"/>
    <w:rsid w:val="009E4C81"/>
    <w:rsid w:val="009E4F74"/>
    <w:rsid w:val="009E5961"/>
    <w:rsid w:val="009E5D85"/>
    <w:rsid w:val="009F1A5B"/>
    <w:rsid w:val="009F55FD"/>
    <w:rsid w:val="009F7877"/>
    <w:rsid w:val="009F7950"/>
    <w:rsid w:val="00A00826"/>
    <w:rsid w:val="00A029E6"/>
    <w:rsid w:val="00A0452C"/>
    <w:rsid w:val="00A07489"/>
    <w:rsid w:val="00A11CA1"/>
    <w:rsid w:val="00A12610"/>
    <w:rsid w:val="00A13BA3"/>
    <w:rsid w:val="00A160F0"/>
    <w:rsid w:val="00A169D8"/>
    <w:rsid w:val="00A2157F"/>
    <w:rsid w:val="00A231BD"/>
    <w:rsid w:val="00A272E5"/>
    <w:rsid w:val="00A30E19"/>
    <w:rsid w:val="00A319F0"/>
    <w:rsid w:val="00A31A2E"/>
    <w:rsid w:val="00A34881"/>
    <w:rsid w:val="00A35CC1"/>
    <w:rsid w:val="00A432F4"/>
    <w:rsid w:val="00A44D37"/>
    <w:rsid w:val="00A45C46"/>
    <w:rsid w:val="00A465E1"/>
    <w:rsid w:val="00A476C7"/>
    <w:rsid w:val="00A4791A"/>
    <w:rsid w:val="00A50415"/>
    <w:rsid w:val="00A5144F"/>
    <w:rsid w:val="00A5169D"/>
    <w:rsid w:val="00A51D58"/>
    <w:rsid w:val="00A577F0"/>
    <w:rsid w:val="00A62934"/>
    <w:rsid w:val="00A639D7"/>
    <w:rsid w:val="00A66A0A"/>
    <w:rsid w:val="00A67D33"/>
    <w:rsid w:val="00A710A6"/>
    <w:rsid w:val="00A726C5"/>
    <w:rsid w:val="00A74767"/>
    <w:rsid w:val="00A7581F"/>
    <w:rsid w:val="00A75823"/>
    <w:rsid w:val="00A759D7"/>
    <w:rsid w:val="00A76FC7"/>
    <w:rsid w:val="00A77158"/>
    <w:rsid w:val="00A77653"/>
    <w:rsid w:val="00A77ADB"/>
    <w:rsid w:val="00A81270"/>
    <w:rsid w:val="00A9156C"/>
    <w:rsid w:val="00A92488"/>
    <w:rsid w:val="00A9261D"/>
    <w:rsid w:val="00A93747"/>
    <w:rsid w:val="00A93BB7"/>
    <w:rsid w:val="00AA1414"/>
    <w:rsid w:val="00AA15F4"/>
    <w:rsid w:val="00AA2028"/>
    <w:rsid w:val="00AA2570"/>
    <w:rsid w:val="00AA6C2C"/>
    <w:rsid w:val="00AA7E5A"/>
    <w:rsid w:val="00AB0631"/>
    <w:rsid w:val="00AB2489"/>
    <w:rsid w:val="00AB3E88"/>
    <w:rsid w:val="00AB4093"/>
    <w:rsid w:val="00AC187C"/>
    <w:rsid w:val="00AC236A"/>
    <w:rsid w:val="00AC2F18"/>
    <w:rsid w:val="00AD0ACD"/>
    <w:rsid w:val="00AD3A06"/>
    <w:rsid w:val="00AD40D4"/>
    <w:rsid w:val="00AD69FC"/>
    <w:rsid w:val="00AE23CA"/>
    <w:rsid w:val="00AE3C80"/>
    <w:rsid w:val="00AE5748"/>
    <w:rsid w:val="00AE6328"/>
    <w:rsid w:val="00AE7358"/>
    <w:rsid w:val="00AF14C5"/>
    <w:rsid w:val="00AF2A64"/>
    <w:rsid w:val="00AF46B5"/>
    <w:rsid w:val="00AF5C7F"/>
    <w:rsid w:val="00AF6C91"/>
    <w:rsid w:val="00AF72AF"/>
    <w:rsid w:val="00AF7A86"/>
    <w:rsid w:val="00B006C5"/>
    <w:rsid w:val="00B020A4"/>
    <w:rsid w:val="00B03615"/>
    <w:rsid w:val="00B049B6"/>
    <w:rsid w:val="00B05D9B"/>
    <w:rsid w:val="00B12AB1"/>
    <w:rsid w:val="00B13360"/>
    <w:rsid w:val="00B14FA3"/>
    <w:rsid w:val="00B158DD"/>
    <w:rsid w:val="00B15A33"/>
    <w:rsid w:val="00B20C85"/>
    <w:rsid w:val="00B215B2"/>
    <w:rsid w:val="00B242C8"/>
    <w:rsid w:val="00B26AE2"/>
    <w:rsid w:val="00B277AC"/>
    <w:rsid w:val="00B317FD"/>
    <w:rsid w:val="00B35EA9"/>
    <w:rsid w:val="00B361F3"/>
    <w:rsid w:val="00B41E89"/>
    <w:rsid w:val="00B4215A"/>
    <w:rsid w:val="00B422B9"/>
    <w:rsid w:val="00B464F5"/>
    <w:rsid w:val="00B471CD"/>
    <w:rsid w:val="00B475AD"/>
    <w:rsid w:val="00B478D1"/>
    <w:rsid w:val="00B502F0"/>
    <w:rsid w:val="00B5069D"/>
    <w:rsid w:val="00B547CF"/>
    <w:rsid w:val="00B57032"/>
    <w:rsid w:val="00B61314"/>
    <w:rsid w:val="00B6202B"/>
    <w:rsid w:val="00B627D4"/>
    <w:rsid w:val="00B63047"/>
    <w:rsid w:val="00B65238"/>
    <w:rsid w:val="00B663C2"/>
    <w:rsid w:val="00B72CBE"/>
    <w:rsid w:val="00B73E2B"/>
    <w:rsid w:val="00B74643"/>
    <w:rsid w:val="00B75D7E"/>
    <w:rsid w:val="00B7717D"/>
    <w:rsid w:val="00B80B1E"/>
    <w:rsid w:val="00B80B76"/>
    <w:rsid w:val="00B8164D"/>
    <w:rsid w:val="00B821A1"/>
    <w:rsid w:val="00B8276A"/>
    <w:rsid w:val="00B82778"/>
    <w:rsid w:val="00B84941"/>
    <w:rsid w:val="00B900C5"/>
    <w:rsid w:val="00B9077C"/>
    <w:rsid w:val="00B93F7B"/>
    <w:rsid w:val="00B94866"/>
    <w:rsid w:val="00B94E0B"/>
    <w:rsid w:val="00B952AB"/>
    <w:rsid w:val="00B96AC6"/>
    <w:rsid w:val="00B975E3"/>
    <w:rsid w:val="00BA3C66"/>
    <w:rsid w:val="00BA52F8"/>
    <w:rsid w:val="00BA5C35"/>
    <w:rsid w:val="00BA7EE5"/>
    <w:rsid w:val="00BB20C7"/>
    <w:rsid w:val="00BB2461"/>
    <w:rsid w:val="00BB2A6D"/>
    <w:rsid w:val="00BB4768"/>
    <w:rsid w:val="00BB5DF9"/>
    <w:rsid w:val="00BB7964"/>
    <w:rsid w:val="00BC1062"/>
    <w:rsid w:val="00BC185F"/>
    <w:rsid w:val="00BC3F3D"/>
    <w:rsid w:val="00BC5ABD"/>
    <w:rsid w:val="00BC7854"/>
    <w:rsid w:val="00BD108F"/>
    <w:rsid w:val="00BD23E2"/>
    <w:rsid w:val="00BD5C84"/>
    <w:rsid w:val="00BD6D68"/>
    <w:rsid w:val="00BE025C"/>
    <w:rsid w:val="00BE1EDD"/>
    <w:rsid w:val="00BE61F8"/>
    <w:rsid w:val="00BE6A0B"/>
    <w:rsid w:val="00BF2646"/>
    <w:rsid w:val="00BF31D5"/>
    <w:rsid w:val="00BF5FB7"/>
    <w:rsid w:val="00BF6665"/>
    <w:rsid w:val="00BF7E4E"/>
    <w:rsid w:val="00C01CC9"/>
    <w:rsid w:val="00C03A17"/>
    <w:rsid w:val="00C04F9D"/>
    <w:rsid w:val="00C101C5"/>
    <w:rsid w:val="00C1036C"/>
    <w:rsid w:val="00C1212E"/>
    <w:rsid w:val="00C13481"/>
    <w:rsid w:val="00C1484B"/>
    <w:rsid w:val="00C15844"/>
    <w:rsid w:val="00C1607A"/>
    <w:rsid w:val="00C170A0"/>
    <w:rsid w:val="00C1793B"/>
    <w:rsid w:val="00C20D30"/>
    <w:rsid w:val="00C21427"/>
    <w:rsid w:val="00C22B41"/>
    <w:rsid w:val="00C234A2"/>
    <w:rsid w:val="00C240CC"/>
    <w:rsid w:val="00C254AA"/>
    <w:rsid w:val="00C31C25"/>
    <w:rsid w:val="00C32EF7"/>
    <w:rsid w:val="00C34B20"/>
    <w:rsid w:val="00C34C76"/>
    <w:rsid w:val="00C3513E"/>
    <w:rsid w:val="00C35CDA"/>
    <w:rsid w:val="00C36A16"/>
    <w:rsid w:val="00C43091"/>
    <w:rsid w:val="00C4375A"/>
    <w:rsid w:val="00C447DF"/>
    <w:rsid w:val="00C4694A"/>
    <w:rsid w:val="00C46C61"/>
    <w:rsid w:val="00C47A89"/>
    <w:rsid w:val="00C5052F"/>
    <w:rsid w:val="00C5062E"/>
    <w:rsid w:val="00C51C63"/>
    <w:rsid w:val="00C51EF0"/>
    <w:rsid w:val="00C537FF"/>
    <w:rsid w:val="00C546EA"/>
    <w:rsid w:val="00C62AF0"/>
    <w:rsid w:val="00C64D21"/>
    <w:rsid w:val="00C6533C"/>
    <w:rsid w:val="00C65DD5"/>
    <w:rsid w:val="00C669F6"/>
    <w:rsid w:val="00C717A3"/>
    <w:rsid w:val="00C736E5"/>
    <w:rsid w:val="00C7493B"/>
    <w:rsid w:val="00C8053B"/>
    <w:rsid w:val="00C8086A"/>
    <w:rsid w:val="00C827E9"/>
    <w:rsid w:val="00C83A29"/>
    <w:rsid w:val="00C846EB"/>
    <w:rsid w:val="00C853D7"/>
    <w:rsid w:val="00C8626C"/>
    <w:rsid w:val="00C92838"/>
    <w:rsid w:val="00C949F3"/>
    <w:rsid w:val="00C961CF"/>
    <w:rsid w:val="00C962AD"/>
    <w:rsid w:val="00C964EA"/>
    <w:rsid w:val="00C97E23"/>
    <w:rsid w:val="00CA1067"/>
    <w:rsid w:val="00CA2213"/>
    <w:rsid w:val="00CA23C9"/>
    <w:rsid w:val="00CA4E1F"/>
    <w:rsid w:val="00CA5C40"/>
    <w:rsid w:val="00CA7F41"/>
    <w:rsid w:val="00CB09A9"/>
    <w:rsid w:val="00CB595D"/>
    <w:rsid w:val="00CC0B04"/>
    <w:rsid w:val="00CC11E8"/>
    <w:rsid w:val="00CC41A2"/>
    <w:rsid w:val="00CC659C"/>
    <w:rsid w:val="00CD02A1"/>
    <w:rsid w:val="00CD4056"/>
    <w:rsid w:val="00CD65E7"/>
    <w:rsid w:val="00CD6CED"/>
    <w:rsid w:val="00CD760E"/>
    <w:rsid w:val="00CE030D"/>
    <w:rsid w:val="00CE0916"/>
    <w:rsid w:val="00CE24BD"/>
    <w:rsid w:val="00CE2CB4"/>
    <w:rsid w:val="00CE39BD"/>
    <w:rsid w:val="00CE3E1C"/>
    <w:rsid w:val="00CE3F41"/>
    <w:rsid w:val="00CE45D6"/>
    <w:rsid w:val="00CE6E80"/>
    <w:rsid w:val="00CF2396"/>
    <w:rsid w:val="00CF4000"/>
    <w:rsid w:val="00CF4E61"/>
    <w:rsid w:val="00CF5758"/>
    <w:rsid w:val="00CF71A8"/>
    <w:rsid w:val="00D003FB"/>
    <w:rsid w:val="00D004A1"/>
    <w:rsid w:val="00D02366"/>
    <w:rsid w:val="00D040D6"/>
    <w:rsid w:val="00D043EE"/>
    <w:rsid w:val="00D0649A"/>
    <w:rsid w:val="00D076BE"/>
    <w:rsid w:val="00D106DC"/>
    <w:rsid w:val="00D113C6"/>
    <w:rsid w:val="00D1194D"/>
    <w:rsid w:val="00D1195E"/>
    <w:rsid w:val="00D128D6"/>
    <w:rsid w:val="00D13097"/>
    <w:rsid w:val="00D13B35"/>
    <w:rsid w:val="00D15376"/>
    <w:rsid w:val="00D15A56"/>
    <w:rsid w:val="00D163E1"/>
    <w:rsid w:val="00D20C84"/>
    <w:rsid w:val="00D22170"/>
    <w:rsid w:val="00D23F20"/>
    <w:rsid w:val="00D27A29"/>
    <w:rsid w:val="00D27F57"/>
    <w:rsid w:val="00D309B0"/>
    <w:rsid w:val="00D310EC"/>
    <w:rsid w:val="00D317BC"/>
    <w:rsid w:val="00D33E26"/>
    <w:rsid w:val="00D352C9"/>
    <w:rsid w:val="00D364C8"/>
    <w:rsid w:val="00D3792D"/>
    <w:rsid w:val="00D4454F"/>
    <w:rsid w:val="00D5021A"/>
    <w:rsid w:val="00D50D2E"/>
    <w:rsid w:val="00D57328"/>
    <w:rsid w:val="00D61759"/>
    <w:rsid w:val="00D62454"/>
    <w:rsid w:val="00D62F76"/>
    <w:rsid w:val="00D67F9D"/>
    <w:rsid w:val="00D70805"/>
    <w:rsid w:val="00D76D70"/>
    <w:rsid w:val="00D77B96"/>
    <w:rsid w:val="00D77C86"/>
    <w:rsid w:val="00D8013B"/>
    <w:rsid w:val="00D804C7"/>
    <w:rsid w:val="00D8242B"/>
    <w:rsid w:val="00D825F1"/>
    <w:rsid w:val="00D84FD1"/>
    <w:rsid w:val="00D85BDC"/>
    <w:rsid w:val="00D85D76"/>
    <w:rsid w:val="00D92E07"/>
    <w:rsid w:val="00D947BD"/>
    <w:rsid w:val="00D95818"/>
    <w:rsid w:val="00DA0856"/>
    <w:rsid w:val="00DA38F1"/>
    <w:rsid w:val="00DA3D32"/>
    <w:rsid w:val="00DA4A86"/>
    <w:rsid w:val="00DA4CF4"/>
    <w:rsid w:val="00DB2CCA"/>
    <w:rsid w:val="00DB3F81"/>
    <w:rsid w:val="00DB489C"/>
    <w:rsid w:val="00DB4D31"/>
    <w:rsid w:val="00DB63A1"/>
    <w:rsid w:val="00DB7552"/>
    <w:rsid w:val="00DC2483"/>
    <w:rsid w:val="00DC3B0B"/>
    <w:rsid w:val="00DC3EAE"/>
    <w:rsid w:val="00DC7C00"/>
    <w:rsid w:val="00DD1E74"/>
    <w:rsid w:val="00DD29A4"/>
    <w:rsid w:val="00DD58EF"/>
    <w:rsid w:val="00DD5D29"/>
    <w:rsid w:val="00DE5E8E"/>
    <w:rsid w:val="00DE6783"/>
    <w:rsid w:val="00DE7C36"/>
    <w:rsid w:val="00DF380E"/>
    <w:rsid w:val="00DF61EB"/>
    <w:rsid w:val="00DF6922"/>
    <w:rsid w:val="00DF7ACB"/>
    <w:rsid w:val="00E01FBD"/>
    <w:rsid w:val="00E047E8"/>
    <w:rsid w:val="00E04DA0"/>
    <w:rsid w:val="00E05C06"/>
    <w:rsid w:val="00E0606F"/>
    <w:rsid w:val="00E07AD9"/>
    <w:rsid w:val="00E12330"/>
    <w:rsid w:val="00E12A15"/>
    <w:rsid w:val="00E1772C"/>
    <w:rsid w:val="00E17F92"/>
    <w:rsid w:val="00E21B47"/>
    <w:rsid w:val="00E259F1"/>
    <w:rsid w:val="00E272C7"/>
    <w:rsid w:val="00E27CF6"/>
    <w:rsid w:val="00E3165A"/>
    <w:rsid w:val="00E31B9B"/>
    <w:rsid w:val="00E323A6"/>
    <w:rsid w:val="00E33790"/>
    <w:rsid w:val="00E34264"/>
    <w:rsid w:val="00E342E4"/>
    <w:rsid w:val="00E35D01"/>
    <w:rsid w:val="00E3682B"/>
    <w:rsid w:val="00E42FC2"/>
    <w:rsid w:val="00E443AE"/>
    <w:rsid w:val="00E521EA"/>
    <w:rsid w:val="00E53E55"/>
    <w:rsid w:val="00E54FBA"/>
    <w:rsid w:val="00E57218"/>
    <w:rsid w:val="00E57494"/>
    <w:rsid w:val="00E6012C"/>
    <w:rsid w:val="00E619E1"/>
    <w:rsid w:val="00E63B16"/>
    <w:rsid w:val="00E63CB1"/>
    <w:rsid w:val="00E64759"/>
    <w:rsid w:val="00E65943"/>
    <w:rsid w:val="00E70E54"/>
    <w:rsid w:val="00E71F76"/>
    <w:rsid w:val="00E7298C"/>
    <w:rsid w:val="00E73259"/>
    <w:rsid w:val="00E73A65"/>
    <w:rsid w:val="00E73AF9"/>
    <w:rsid w:val="00E749AE"/>
    <w:rsid w:val="00E7550A"/>
    <w:rsid w:val="00E814C1"/>
    <w:rsid w:val="00E82A5F"/>
    <w:rsid w:val="00E85EA1"/>
    <w:rsid w:val="00E86BD1"/>
    <w:rsid w:val="00E87B52"/>
    <w:rsid w:val="00E915CF"/>
    <w:rsid w:val="00E91775"/>
    <w:rsid w:val="00E92A58"/>
    <w:rsid w:val="00E937F0"/>
    <w:rsid w:val="00E9481E"/>
    <w:rsid w:val="00EA5E7C"/>
    <w:rsid w:val="00EA6A1C"/>
    <w:rsid w:val="00EB1EC8"/>
    <w:rsid w:val="00EB5BED"/>
    <w:rsid w:val="00EC27D1"/>
    <w:rsid w:val="00EC2DAD"/>
    <w:rsid w:val="00EC7009"/>
    <w:rsid w:val="00ED13D7"/>
    <w:rsid w:val="00ED1CD9"/>
    <w:rsid w:val="00ED297B"/>
    <w:rsid w:val="00ED2AC4"/>
    <w:rsid w:val="00ED56EB"/>
    <w:rsid w:val="00ED7CA1"/>
    <w:rsid w:val="00EE01F2"/>
    <w:rsid w:val="00EE2AF3"/>
    <w:rsid w:val="00EE4A7E"/>
    <w:rsid w:val="00EE4E01"/>
    <w:rsid w:val="00EE5220"/>
    <w:rsid w:val="00EE563A"/>
    <w:rsid w:val="00EE5DEE"/>
    <w:rsid w:val="00EE7C4A"/>
    <w:rsid w:val="00EF10BE"/>
    <w:rsid w:val="00EF22B1"/>
    <w:rsid w:val="00EF315D"/>
    <w:rsid w:val="00EF4CBE"/>
    <w:rsid w:val="00EF6ABC"/>
    <w:rsid w:val="00F0219E"/>
    <w:rsid w:val="00F04102"/>
    <w:rsid w:val="00F04761"/>
    <w:rsid w:val="00F07590"/>
    <w:rsid w:val="00F07D3F"/>
    <w:rsid w:val="00F11914"/>
    <w:rsid w:val="00F11FB4"/>
    <w:rsid w:val="00F136CB"/>
    <w:rsid w:val="00F14D43"/>
    <w:rsid w:val="00F14E45"/>
    <w:rsid w:val="00F155C8"/>
    <w:rsid w:val="00F174B3"/>
    <w:rsid w:val="00F20A46"/>
    <w:rsid w:val="00F249E8"/>
    <w:rsid w:val="00F301CE"/>
    <w:rsid w:val="00F30AA0"/>
    <w:rsid w:val="00F322FA"/>
    <w:rsid w:val="00F330A5"/>
    <w:rsid w:val="00F33ED8"/>
    <w:rsid w:val="00F3415B"/>
    <w:rsid w:val="00F41B42"/>
    <w:rsid w:val="00F4229A"/>
    <w:rsid w:val="00F42617"/>
    <w:rsid w:val="00F43A60"/>
    <w:rsid w:val="00F45717"/>
    <w:rsid w:val="00F45E4C"/>
    <w:rsid w:val="00F461AC"/>
    <w:rsid w:val="00F4686B"/>
    <w:rsid w:val="00F476E5"/>
    <w:rsid w:val="00F50894"/>
    <w:rsid w:val="00F51B47"/>
    <w:rsid w:val="00F562A1"/>
    <w:rsid w:val="00F60EC6"/>
    <w:rsid w:val="00F618E3"/>
    <w:rsid w:val="00F61BAD"/>
    <w:rsid w:val="00F63710"/>
    <w:rsid w:val="00F65063"/>
    <w:rsid w:val="00F650A8"/>
    <w:rsid w:val="00F656DE"/>
    <w:rsid w:val="00F6599E"/>
    <w:rsid w:val="00F6672E"/>
    <w:rsid w:val="00F67B2E"/>
    <w:rsid w:val="00F70729"/>
    <w:rsid w:val="00F71172"/>
    <w:rsid w:val="00F71CF9"/>
    <w:rsid w:val="00F73E73"/>
    <w:rsid w:val="00F74F72"/>
    <w:rsid w:val="00F7789C"/>
    <w:rsid w:val="00F80D59"/>
    <w:rsid w:val="00F81504"/>
    <w:rsid w:val="00F81874"/>
    <w:rsid w:val="00F82913"/>
    <w:rsid w:val="00F8518B"/>
    <w:rsid w:val="00F90410"/>
    <w:rsid w:val="00F921B6"/>
    <w:rsid w:val="00F93A1D"/>
    <w:rsid w:val="00F958F2"/>
    <w:rsid w:val="00FA053D"/>
    <w:rsid w:val="00FA06EA"/>
    <w:rsid w:val="00FA3CF9"/>
    <w:rsid w:val="00FA461A"/>
    <w:rsid w:val="00FA68CA"/>
    <w:rsid w:val="00FB16FD"/>
    <w:rsid w:val="00FB2819"/>
    <w:rsid w:val="00FB3C17"/>
    <w:rsid w:val="00FC0460"/>
    <w:rsid w:val="00FC0BF2"/>
    <w:rsid w:val="00FC3F6F"/>
    <w:rsid w:val="00FC62F3"/>
    <w:rsid w:val="00FD0427"/>
    <w:rsid w:val="00FD242F"/>
    <w:rsid w:val="00FD4D38"/>
    <w:rsid w:val="00FD6748"/>
    <w:rsid w:val="00FD7E1A"/>
    <w:rsid w:val="00FD7F0A"/>
    <w:rsid w:val="00FE109D"/>
    <w:rsid w:val="00FE23D2"/>
    <w:rsid w:val="00FE5B8D"/>
    <w:rsid w:val="00FE671A"/>
    <w:rsid w:val="00FF0FEE"/>
    <w:rsid w:val="00FF2409"/>
    <w:rsid w:val="00FF3F70"/>
    <w:rsid w:val="00FF3F91"/>
    <w:rsid w:val="00FF4251"/>
    <w:rsid w:val="00FF4524"/>
    <w:rsid w:val="00FF6115"/>
    <w:rsid w:val="060C17A3"/>
    <w:rsid w:val="0710A773"/>
    <w:rsid w:val="0A7A0609"/>
    <w:rsid w:val="0ACAE58A"/>
    <w:rsid w:val="0B287FB7"/>
    <w:rsid w:val="15B4B296"/>
    <w:rsid w:val="160FD7B6"/>
    <w:rsid w:val="175C524F"/>
    <w:rsid w:val="1BF23BF8"/>
    <w:rsid w:val="1C1C9328"/>
    <w:rsid w:val="1C70881C"/>
    <w:rsid w:val="205AD230"/>
    <w:rsid w:val="215F36A7"/>
    <w:rsid w:val="218A30E1"/>
    <w:rsid w:val="21CF5462"/>
    <w:rsid w:val="22DF112B"/>
    <w:rsid w:val="23BE4184"/>
    <w:rsid w:val="24C1D1A3"/>
    <w:rsid w:val="2828FB0A"/>
    <w:rsid w:val="2957E7C5"/>
    <w:rsid w:val="2DC13137"/>
    <w:rsid w:val="2E580AB9"/>
    <w:rsid w:val="30CA4D9C"/>
    <w:rsid w:val="30CB9EC2"/>
    <w:rsid w:val="310BEA8C"/>
    <w:rsid w:val="312150A9"/>
    <w:rsid w:val="31520D24"/>
    <w:rsid w:val="35947C38"/>
    <w:rsid w:val="36279930"/>
    <w:rsid w:val="374E6064"/>
    <w:rsid w:val="37CBDD2A"/>
    <w:rsid w:val="38EA30C5"/>
    <w:rsid w:val="3A479B4D"/>
    <w:rsid w:val="3D8FA847"/>
    <w:rsid w:val="41B8E0ED"/>
    <w:rsid w:val="45BF2006"/>
    <w:rsid w:val="46E57568"/>
    <w:rsid w:val="476ACAAB"/>
    <w:rsid w:val="486BC241"/>
    <w:rsid w:val="4A14C3FD"/>
    <w:rsid w:val="4C08EDDA"/>
    <w:rsid w:val="4C11E936"/>
    <w:rsid w:val="4D7DA27B"/>
    <w:rsid w:val="4DADB997"/>
    <w:rsid w:val="4E7EFA5A"/>
    <w:rsid w:val="52013D79"/>
    <w:rsid w:val="52C2C7AA"/>
    <w:rsid w:val="5403D2BE"/>
    <w:rsid w:val="5573D0C7"/>
    <w:rsid w:val="56F2412B"/>
    <w:rsid w:val="57B57341"/>
    <w:rsid w:val="58796A91"/>
    <w:rsid w:val="5BB3D250"/>
    <w:rsid w:val="5F882255"/>
    <w:rsid w:val="62BAFD33"/>
    <w:rsid w:val="6511505A"/>
    <w:rsid w:val="65469759"/>
    <w:rsid w:val="665970D6"/>
    <w:rsid w:val="67EE93DC"/>
    <w:rsid w:val="686C6D81"/>
    <w:rsid w:val="68940059"/>
    <w:rsid w:val="68B76018"/>
    <w:rsid w:val="68F073F0"/>
    <w:rsid w:val="69C80241"/>
    <w:rsid w:val="6A0F243F"/>
    <w:rsid w:val="6B7476FC"/>
    <w:rsid w:val="713CD59B"/>
    <w:rsid w:val="736EE487"/>
    <w:rsid w:val="75624A4E"/>
    <w:rsid w:val="76420E6E"/>
    <w:rsid w:val="7936189D"/>
    <w:rsid w:val="7C9BB300"/>
    <w:rsid w:val="7EA3B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0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7C"/>
  </w:style>
  <w:style w:type="paragraph" w:styleId="Heading1">
    <w:name w:val="heading 1"/>
    <w:basedOn w:val="Normal"/>
    <w:next w:val="Normal"/>
    <w:link w:val="Heading1Char"/>
    <w:uiPriority w:val="9"/>
    <w:qFormat/>
    <w:rsid w:val="00231B55"/>
    <w:pPr>
      <w:keepNext/>
      <w:keepLines/>
      <w:shd w:val="clear" w:color="auto" w:fill="1F497D"/>
      <w:spacing w:before="240" w:after="60" w:line="240" w:lineRule="auto"/>
      <w:outlineLvl w:val="0"/>
    </w:pPr>
    <w:rPr>
      <w:rFonts w:ascii="Arial" w:eastAsia="Times New Roman" w:hAnsi="Arial" w:cs="Times New Roman"/>
      <w:b/>
      <w:bCs/>
      <w:color w:val="FFFFFF"/>
      <w:sz w:val="32"/>
      <w:szCs w:val="28"/>
    </w:rPr>
  </w:style>
  <w:style w:type="paragraph" w:styleId="Heading2">
    <w:name w:val="heading 2"/>
    <w:basedOn w:val="Normal"/>
    <w:next w:val="Normal"/>
    <w:link w:val="Heading2Char"/>
    <w:uiPriority w:val="9"/>
    <w:unhideWhenUsed/>
    <w:qFormat/>
    <w:rsid w:val="0073667C"/>
    <w:pPr>
      <w:keepNext/>
      <w:keepLines/>
      <w:spacing w:before="240" w:line="240" w:lineRule="auto"/>
      <w:outlineLvl w:val="1"/>
    </w:pPr>
    <w:rPr>
      <w:rFonts w:ascii="Arial" w:eastAsia="Times New Roman" w:hAnsi="Arial" w:cs="Times New Roman"/>
      <w:b/>
      <w:bCs/>
      <w:i/>
      <w:sz w:val="28"/>
      <w:szCs w:val="26"/>
    </w:rPr>
  </w:style>
  <w:style w:type="paragraph" w:styleId="Heading3">
    <w:name w:val="heading 3"/>
    <w:basedOn w:val="Normal"/>
    <w:next w:val="Normal"/>
    <w:link w:val="Heading3Char"/>
    <w:uiPriority w:val="9"/>
    <w:semiHidden/>
    <w:unhideWhenUsed/>
    <w:qFormat/>
    <w:rsid w:val="003D3E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667C"/>
    <w:rPr>
      <w:rFonts w:ascii="Arial" w:eastAsia="Times New Roman" w:hAnsi="Arial" w:cs="Times New Roman"/>
      <w:b/>
      <w:bCs/>
      <w:i/>
      <w:sz w:val="28"/>
      <w:szCs w:val="26"/>
    </w:rPr>
  </w:style>
  <w:style w:type="paragraph" w:styleId="ListParagraph">
    <w:name w:val="List Paragraph"/>
    <w:basedOn w:val="Normal"/>
    <w:link w:val="ListParagraphChar"/>
    <w:uiPriority w:val="34"/>
    <w:qFormat/>
    <w:rsid w:val="0073667C"/>
    <w:pPr>
      <w:ind w:left="720"/>
      <w:contextualSpacing/>
    </w:pPr>
  </w:style>
  <w:style w:type="character" w:customStyle="1" w:styleId="ListParagraphChar">
    <w:name w:val="List Paragraph Char"/>
    <w:link w:val="ListParagraph"/>
    <w:uiPriority w:val="34"/>
    <w:locked/>
    <w:rsid w:val="0073667C"/>
  </w:style>
  <w:style w:type="table" w:styleId="LightList-Accent1">
    <w:name w:val="Light List Accent 1"/>
    <w:basedOn w:val="TableNormal"/>
    <w:uiPriority w:val="61"/>
    <w:rsid w:val="0073667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yperlink">
    <w:name w:val="Hyperlink"/>
    <w:basedOn w:val="DefaultParagraphFont"/>
    <w:uiPriority w:val="99"/>
    <w:unhideWhenUsed/>
    <w:rsid w:val="0073667C"/>
    <w:rPr>
      <w:color w:val="0000FF"/>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C46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94A"/>
  </w:style>
  <w:style w:type="paragraph" w:styleId="Footer">
    <w:name w:val="footer"/>
    <w:basedOn w:val="Normal"/>
    <w:link w:val="FooterChar"/>
    <w:uiPriority w:val="99"/>
    <w:unhideWhenUsed/>
    <w:rsid w:val="00C46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94A"/>
  </w:style>
  <w:style w:type="character" w:styleId="UnresolvedMention">
    <w:name w:val="Unresolved Mention"/>
    <w:basedOn w:val="DefaultParagraphFont"/>
    <w:uiPriority w:val="99"/>
    <w:semiHidden/>
    <w:unhideWhenUsed/>
    <w:rsid w:val="000342AF"/>
    <w:rPr>
      <w:color w:val="605E5C"/>
      <w:shd w:val="clear" w:color="auto" w:fill="E1DFDD"/>
    </w:rPr>
  </w:style>
  <w:style w:type="paragraph" w:styleId="NormalWeb">
    <w:name w:val="Normal (Web)"/>
    <w:basedOn w:val="Normal"/>
    <w:uiPriority w:val="99"/>
    <w:semiHidden/>
    <w:unhideWhenUsed/>
    <w:rsid w:val="006C1F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0605F"/>
    <w:rPr>
      <w:sz w:val="16"/>
      <w:szCs w:val="16"/>
    </w:rPr>
  </w:style>
  <w:style w:type="paragraph" w:styleId="CommentText">
    <w:name w:val="annotation text"/>
    <w:basedOn w:val="Normal"/>
    <w:link w:val="CommentTextChar"/>
    <w:uiPriority w:val="99"/>
    <w:semiHidden/>
    <w:unhideWhenUsed/>
    <w:rsid w:val="0020605F"/>
    <w:pPr>
      <w:spacing w:line="240" w:lineRule="auto"/>
    </w:pPr>
    <w:rPr>
      <w:sz w:val="20"/>
      <w:szCs w:val="20"/>
    </w:rPr>
  </w:style>
  <w:style w:type="character" w:customStyle="1" w:styleId="CommentTextChar">
    <w:name w:val="Comment Text Char"/>
    <w:basedOn w:val="DefaultParagraphFont"/>
    <w:link w:val="CommentText"/>
    <w:uiPriority w:val="99"/>
    <w:semiHidden/>
    <w:rsid w:val="0020605F"/>
    <w:rPr>
      <w:sz w:val="20"/>
      <w:szCs w:val="20"/>
    </w:rPr>
  </w:style>
  <w:style w:type="paragraph" w:styleId="CommentSubject">
    <w:name w:val="annotation subject"/>
    <w:basedOn w:val="CommentText"/>
    <w:next w:val="CommentText"/>
    <w:link w:val="CommentSubjectChar"/>
    <w:uiPriority w:val="99"/>
    <w:semiHidden/>
    <w:unhideWhenUsed/>
    <w:rsid w:val="0020605F"/>
    <w:rPr>
      <w:b/>
      <w:bCs/>
    </w:rPr>
  </w:style>
  <w:style w:type="character" w:customStyle="1" w:styleId="CommentSubjectChar">
    <w:name w:val="Comment Subject Char"/>
    <w:basedOn w:val="CommentTextChar"/>
    <w:link w:val="CommentSubject"/>
    <w:uiPriority w:val="99"/>
    <w:semiHidden/>
    <w:rsid w:val="0020605F"/>
    <w:rPr>
      <w:b/>
      <w:bCs/>
      <w:sz w:val="20"/>
      <w:szCs w:val="20"/>
    </w:rPr>
  </w:style>
  <w:style w:type="character" w:customStyle="1" w:styleId="Heading3Char">
    <w:name w:val="Heading 3 Char"/>
    <w:basedOn w:val="DefaultParagraphFont"/>
    <w:link w:val="Heading3"/>
    <w:uiPriority w:val="9"/>
    <w:semiHidden/>
    <w:rsid w:val="003D3E1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76059"/>
    <w:pPr>
      <w:spacing w:after="0" w:line="240" w:lineRule="auto"/>
    </w:pPr>
  </w:style>
  <w:style w:type="character" w:customStyle="1" w:styleId="normaltextrun">
    <w:name w:val="normaltextrun"/>
    <w:basedOn w:val="DefaultParagraphFont"/>
    <w:rsid w:val="00FF0FEE"/>
  </w:style>
  <w:style w:type="table" w:styleId="TableGrid">
    <w:name w:val="Table Grid"/>
    <w:basedOn w:val="TableNormal"/>
    <w:uiPriority w:val="39"/>
    <w:rsid w:val="004C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615C"/>
    <w:rPr>
      <w:color w:val="954F72" w:themeColor="followedHyperlink"/>
      <w:u w:val="single"/>
    </w:rPr>
  </w:style>
  <w:style w:type="paragraph" w:styleId="Title">
    <w:name w:val="Title"/>
    <w:basedOn w:val="Normal"/>
    <w:next w:val="Normal"/>
    <w:link w:val="TitleChar"/>
    <w:uiPriority w:val="10"/>
    <w:qFormat/>
    <w:rsid w:val="00433AA5"/>
    <w:pPr>
      <w:spacing w:after="120" w:line="240" w:lineRule="auto"/>
      <w:contextualSpacing/>
    </w:pPr>
    <w:rPr>
      <w:rFonts w:ascii="Cambria" w:eastAsia="Times New Roman" w:hAnsi="Cambria" w:cs="Times New Roman"/>
      <w:color w:val="1F497D"/>
      <w:spacing w:val="30"/>
      <w:kern w:val="28"/>
      <w:sz w:val="96"/>
      <w:szCs w:val="52"/>
    </w:rPr>
  </w:style>
  <w:style w:type="character" w:customStyle="1" w:styleId="TitleChar">
    <w:name w:val="Title Char"/>
    <w:basedOn w:val="DefaultParagraphFont"/>
    <w:link w:val="Title"/>
    <w:uiPriority w:val="10"/>
    <w:rsid w:val="00433AA5"/>
    <w:rPr>
      <w:rFonts w:ascii="Cambria" w:eastAsia="Times New Roman" w:hAnsi="Cambria" w:cs="Times New Roman"/>
      <w:color w:val="1F497D"/>
      <w:spacing w:val="30"/>
      <w:kern w:val="28"/>
      <w:sz w:val="96"/>
      <w:szCs w:val="52"/>
    </w:rPr>
  </w:style>
  <w:style w:type="character" w:styleId="Strong">
    <w:name w:val="Strong"/>
    <w:uiPriority w:val="22"/>
    <w:qFormat/>
    <w:rsid w:val="00433AA5"/>
    <w:rPr>
      <w:rFonts w:ascii="Times New Roman" w:hAnsi="Times New Roman"/>
      <w:b/>
      <w:bCs/>
      <w:i w:val="0"/>
      <w:color w:val="auto"/>
      <w:sz w:val="24"/>
    </w:rPr>
  </w:style>
  <w:style w:type="character" w:customStyle="1" w:styleId="Heading1Char">
    <w:name w:val="Heading 1 Char"/>
    <w:basedOn w:val="DefaultParagraphFont"/>
    <w:link w:val="Heading1"/>
    <w:uiPriority w:val="9"/>
    <w:rsid w:val="00231B55"/>
    <w:rPr>
      <w:rFonts w:ascii="Arial" w:eastAsia="Times New Roman" w:hAnsi="Arial" w:cs="Times New Roman"/>
      <w:b/>
      <w:bCs/>
      <w:color w:val="FFFFFF"/>
      <w:sz w:val="32"/>
      <w:szCs w:val="28"/>
      <w:shd w:val="clear" w:color="auto" w:fil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7068">
      <w:bodyDiv w:val="1"/>
      <w:marLeft w:val="0"/>
      <w:marRight w:val="0"/>
      <w:marTop w:val="0"/>
      <w:marBottom w:val="0"/>
      <w:divBdr>
        <w:top w:val="none" w:sz="0" w:space="0" w:color="auto"/>
        <w:left w:val="none" w:sz="0" w:space="0" w:color="auto"/>
        <w:bottom w:val="none" w:sz="0" w:space="0" w:color="auto"/>
        <w:right w:val="none" w:sz="0" w:space="0" w:color="auto"/>
      </w:divBdr>
    </w:div>
    <w:div w:id="359862611">
      <w:bodyDiv w:val="1"/>
      <w:marLeft w:val="0"/>
      <w:marRight w:val="0"/>
      <w:marTop w:val="0"/>
      <w:marBottom w:val="0"/>
      <w:divBdr>
        <w:top w:val="none" w:sz="0" w:space="0" w:color="auto"/>
        <w:left w:val="none" w:sz="0" w:space="0" w:color="auto"/>
        <w:bottom w:val="none" w:sz="0" w:space="0" w:color="auto"/>
        <w:right w:val="none" w:sz="0" w:space="0" w:color="auto"/>
      </w:divBdr>
    </w:div>
    <w:div w:id="508567968">
      <w:bodyDiv w:val="1"/>
      <w:marLeft w:val="0"/>
      <w:marRight w:val="0"/>
      <w:marTop w:val="0"/>
      <w:marBottom w:val="0"/>
      <w:divBdr>
        <w:top w:val="none" w:sz="0" w:space="0" w:color="auto"/>
        <w:left w:val="none" w:sz="0" w:space="0" w:color="auto"/>
        <w:bottom w:val="none" w:sz="0" w:space="0" w:color="auto"/>
        <w:right w:val="none" w:sz="0" w:space="0" w:color="auto"/>
      </w:divBdr>
    </w:div>
    <w:div w:id="673649158">
      <w:bodyDiv w:val="1"/>
      <w:marLeft w:val="0"/>
      <w:marRight w:val="0"/>
      <w:marTop w:val="0"/>
      <w:marBottom w:val="0"/>
      <w:divBdr>
        <w:top w:val="none" w:sz="0" w:space="0" w:color="auto"/>
        <w:left w:val="none" w:sz="0" w:space="0" w:color="auto"/>
        <w:bottom w:val="none" w:sz="0" w:space="0" w:color="auto"/>
        <w:right w:val="none" w:sz="0" w:space="0" w:color="auto"/>
      </w:divBdr>
    </w:div>
    <w:div w:id="778060426">
      <w:bodyDiv w:val="1"/>
      <w:marLeft w:val="0"/>
      <w:marRight w:val="0"/>
      <w:marTop w:val="0"/>
      <w:marBottom w:val="0"/>
      <w:divBdr>
        <w:top w:val="none" w:sz="0" w:space="0" w:color="auto"/>
        <w:left w:val="none" w:sz="0" w:space="0" w:color="auto"/>
        <w:bottom w:val="none" w:sz="0" w:space="0" w:color="auto"/>
        <w:right w:val="none" w:sz="0" w:space="0" w:color="auto"/>
      </w:divBdr>
    </w:div>
    <w:div w:id="863329523">
      <w:bodyDiv w:val="1"/>
      <w:marLeft w:val="0"/>
      <w:marRight w:val="0"/>
      <w:marTop w:val="0"/>
      <w:marBottom w:val="0"/>
      <w:divBdr>
        <w:top w:val="none" w:sz="0" w:space="0" w:color="auto"/>
        <w:left w:val="none" w:sz="0" w:space="0" w:color="auto"/>
        <w:bottom w:val="none" w:sz="0" w:space="0" w:color="auto"/>
        <w:right w:val="none" w:sz="0" w:space="0" w:color="auto"/>
      </w:divBdr>
    </w:div>
    <w:div w:id="1026061248">
      <w:bodyDiv w:val="1"/>
      <w:marLeft w:val="0"/>
      <w:marRight w:val="0"/>
      <w:marTop w:val="0"/>
      <w:marBottom w:val="0"/>
      <w:divBdr>
        <w:top w:val="none" w:sz="0" w:space="0" w:color="auto"/>
        <w:left w:val="none" w:sz="0" w:space="0" w:color="auto"/>
        <w:bottom w:val="none" w:sz="0" w:space="0" w:color="auto"/>
        <w:right w:val="none" w:sz="0" w:space="0" w:color="auto"/>
      </w:divBdr>
    </w:div>
    <w:div w:id="1375500574">
      <w:bodyDiv w:val="1"/>
      <w:marLeft w:val="0"/>
      <w:marRight w:val="0"/>
      <w:marTop w:val="0"/>
      <w:marBottom w:val="0"/>
      <w:divBdr>
        <w:top w:val="none" w:sz="0" w:space="0" w:color="auto"/>
        <w:left w:val="none" w:sz="0" w:space="0" w:color="auto"/>
        <w:bottom w:val="none" w:sz="0" w:space="0" w:color="auto"/>
        <w:right w:val="none" w:sz="0" w:space="0" w:color="auto"/>
      </w:divBdr>
    </w:div>
    <w:div w:id="1427652314">
      <w:bodyDiv w:val="1"/>
      <w:marLeft w:val="0"/>
      <w:marRight w:val="0"/>
      <w:marTop w:val="0"/>
      <w:marBottom w:val="0"/>
      <w:divBdr>
        <w:top w:val="none" w:sz="0" w:space="0" w:color="auto"/>
        <w:left w:val="none" w:sz="0" w:space="0" w:color="auto"/>
        <w:bottom w:val="none" w:sz="0" w:space="0" w:color="auto"/>
        <w:right w:val="none" w:sz="0" w:space="0" w:color="auto"/>
      </w:divBdr>
    </w:div>
    <w:div w:id="1505512443">
      <w:bodyDiv w:val="1"/>
      <w:marLeft w:val="0"/>
      <w:marRight w:val="0"/>
      <w:marTop w:val="0"/>
      <w:marBottom w:val="0"/>
      <w:divBdr>
        <w:top w:val="none" w:sz="0" w:space="0" w:color="auto"/>
        <w:left w:val="none" w:sz="0" w:space="0" w:color="auto"/>
        <w:bottom w:val="none" w:sz="0" w:space="0" w:color="auto"/>
        <w:right w:val="none" w:sz="0" w:space="0" w:color="auto"/>
      </w:divBdr>
    </w:div>
    <w:div w:id="1538858232">
      <w:bodyDiv w:val="1"/>
      <w:marLeft w:val="0"/>
      <w:marRight w:val="0"/>
      <w:marTop w:val="0"/>
      <w:marBottom w:val="0"/>
      <w:divBdr>
        <w:top w:val="none" w:sz="0" w:space="0" w:color="auto"/>
        <w:left w:val="none" w:sz="0" w:space="0" w:color="auto"/>
        <w:bottom w:val="none" w:sz="0" w:space="0" w:color="auto"/>
        <w:right w:val="none" w:sz="0" w:space="0" w:color="auto"/>
      </w:divBdr>
    </w:div>
    <w:div w:id="1582522586">
      <w:bodyDiv w:val="1"/>
      <w:marLeft w:val="0"/>
      <w:marRight w:val="0"/>
      <w:marTop w:val="0"/>
      <w:marBottom w:val="0"/>
      <w:divBdr>
        <w:top w:val="none" w:sz="0" w:space="0" w:color="auto"/>
        <w:left w:val="none" w:sz="0" w:space="0" w:color="auto"/>
        <w:bottom w:val="none" w:sz="0" w:space="0" w:color="auto"/>
        <w:right w:val="none" w:sz="0" w:space="0" w:color="auto"/>
      </w:divBdr>
    </w:div>
    <w:div w:id="1713530546">
      <w:bodyDiv w:val="1"/>
      <w:marLeft w:val="0"/>
      <w:marRight w:val="0"/>
      <w:marTop w:val="0"/>
      <w:marBottom w:val="0"/>
      <w:divBdr>
        <w:top w:val="none" w:sz="0" w:space="0" w:color="auto"/>
        <w:left w:val="none" w:sz="0" w:space="0" w:color="auto"/>
        <w:bottom w:val="none" w:sz="0" w:space="0" w:color="auto"/>
        <w:right w:val="none" w:sz="0" w:space="0" w:color="auto"/>
      </w:divBdr>
    </w:div>
    <w:div w:id="1806005835">
      <w:bodyDiv w:val="1"/>
      <w:marLeft w:val="0"/>
      <w:marRight w:val="0"/>
      <w:marTop w:val="0"/>
      <w:marBottom w:val="0"/>
      <w:divBdr>
        <w:top w:val="none" w:sz="0" w:space="0" w:color="auto"/>
        <w:left w:val="none" w:sz="0" w:space="0" w:color="auto"/>
        <w:bottom w:val="none" w:sz="0" w:space="0" w:color="auto"/>
        <w:right w:val="none" w:sz="0" w:space="0" w:color="auto"/>
      </w:divBdr>
    </w:div>
    <w:div w:id="1959993571">
      <w:bodyDiv w:val="1"/>
      <w:marLeft w:val="0"/>
      <w:marRight w:val="0"/>
      <w:marTop w:val="0"/>
      <w:marBottom w:val="0"/>
      <w:divBdr>
        <w:top w:val="none" w:sz="0" w:space="0" w:color="auto"/>
        <w:left w:val="none" w:sz="0" w:space="0" w:color="auto"/>
        <w:bottom w:val="none" w:sz="0" w:space="0" w:color="auto"/>
        <w:right w:val="none" w:sz="0" w:space="0" w:color="auto"/>
      </w:divBdr>
    </w:div>
    <w:div w:id="1973706767">
      <w:bodyDiv w:val="1"/>
      <w:marLeft w:val="0"/>
      <w:marRight w:val="0"/>
      <w:marTop w:val="0"/>
      <w:marBottom w:val="0"/>
      <w:divBdr>
        <w:top w:val="none" w:sz="0" w:space="0" w:color="auto"/>
        <w:left w:val="none" w:sz="0" w:space="0" w:color="auto"/>
        <w:bottom w:val="none" w:sz="0" w:space="0" w:color="auto"/>
        <w:right w:val="none" w:sz="0" w:space="0" w:color="auto"/>
      </w:divBdr>
    </w:div>
    <w:div w:id="1981232127">
      <w:bodyDiv w:val="1"/>
      <w:marLeft w:val="0"/>
      <w:marRight w:val="0"/>
      <w:marTop w:val="0"/>
      <w:marBottom w:val="0"/>
      <w:divBdr>
        <w:top w:val="none" w:sz="0" w:space="0" w:color="auto"/>
        <w:left w:val="none" w:sz="0" w:space="0" w:color="auto"/>
        <w:bottom w:val="none" w:sz="0" w:space="0" w:color="auto"/>
        <w:right w:val="none" w:sz="0" w:space="0" w:color="auto"/>
      </w:divBdr>
    </w:div>
    <w:div w:id="2047901506">
      <w:bodyDiv w:val="1"/>
      <w:marLeft w:val="0"/>
      <w:marRight w:val="0"/>
      <w:marTop w:val="0"/>
      <w:marBottom w:val="0"/>
      <w:divBdr>
        <w:top w:val="none" w:sz="0" w:space="0" w:color="auto"/>
        <w:left w:val="none" w:sz="0" w:space="0" w:color="auto"/>
        <w:bottom w:val="none" w:sz="0" w:space="0" w:color="auto"/>
        <w:right w:val="none" w:sz="0" w:space="0" w:color="auto"/>
      </w:divBdr>
    </w:div>
    <w:div w:id="21227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meninresearch.org.au/" TargetMode="External"/><Relationship Id="rId18" Type="http://schemas.openxmlformats.org/officeDocument/2006/relationships/hyperlink" Target="https://astro3d.org.au/our-centre/governance/diversity/" TargetMode="External"/><Relationship Id="rId26" Type="http://schemas.openxmlformats.org/officeDocument/2006/relationships/hyperlink" Target="https://www.arc.gov.au/policies-strategies/strategy/gender-equality-research" TargetMode="External"/><Relationship Id="rId39" Type="http://schemas.openxmlformats.org/officeDocument/2006/relationships/customXml" Target="../customXml/item3.xml"/><Relationship Id="rId21" Type="http://schemas.openxmlformats.org/officeDocument/2006/relationships/hyperlink" Target="https://www.womeninresearch.org.au/blog/categories/small-wins-webinar-series" TargetMode="External"/><Relationship Id="rId34" Type="http://schemas.openxmlformats.org/officeDocument/2006/relationships/hyperlink" Target="https://www.science.org.au/support/analysis/decadal-plans-science/women-in-stem-decadal-plan" TargetMode="External"/><Relationship Id="rId7" Type="http://schemas.openxmlformats.org/officeDocument/2006/relationships/endnotes" Target="endnotes.xml"/><Relationship Id="rId12" Type="http://schemas.openxmlformats.org/officeDocument/2006/relationships/hyperlink" Target="https://www.monash.edu/arts/monash-indigenous-studies/global-encounters-and-first-nations-peoples/womens-early-career-mentoring-program" TargetMode="External"/><Relationship Id="rId17" Type="http://schemas.openxmlformats.org/officeDocument/2006/relationships/hyperlink" Target="https://www.finance.gov.au/government/commonwealth-grants/commonwealth-grants-rules-and-guidelines" TargetMode="External"/><Relationship Id="rId25" Type="http://schemas.openxmlformats.org/officeDocument/2006/relationships/hyperlink" Target="https://https:/www.industry.gov.au/data-and-publications/stem-equity-monitor.industry.gov.au/data-and-publications/stem-equity-monitor" TargetMode="External"/><Relationship Id="rId33" Type="http://schemas.openxmlformats.org/officeDocument/2006/relationships/hyperlink" Target="https://www.sciencegenderequity.org.au/"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arc.gov.au/policies-strategies/strategy/gender-composition-arc-committees" TargetMode="External"/><Relationship Id="rId20" Type="http://schemas.openxmlformats.org/officeDocument/2006/relationships/hyperlink" Target="https://www.womeninresearch.org.au/blog/categories/small-wins-webinar-series" TargetMode="External"/><Relationship Id="rId29" Type="http://schemas.openxmlformats.org/officeDocument/2006/relationships/hyperlink" Target="https://www.arc.gov.au/policies-strategies/policy/eligibility-and-career-interruptions-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hs.unimelb.edu.au/diversity-and-inclusion/initiatives/georgina-sweet-laureate-fellowship/awards" TargetMode="External"/><Relationship Id="rId24" Type="http://schemas.openxmlformats.org/officeDocument/2006/relationships/hyperlink" Target="https://www.arc.gov.au/grants-and-funding/apply-funding/grants-dataset/trend-visualisation/ncgp-trends-gender-data-visualisations" TargetMode="External"/><Relationship Id="rId32" Type="http://schemas.openxmlformats.org/officeDocument/2006/relationships/hyperlink" Target="https://www.industry.gov.au/data-and-publications/advancing-women-in-stem-strateg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rc.gov.au/policies-strategies/policy/arc-research-opportunity-and-performance-evidence-rope-statement" TargetMode="External"/><Relationship Id="rId23" Type="http://schemas.openxmlformats.org/officeDocument/2006/relationships/hyperlink" Target="https://www.arc.gov.au/grants-and-funding/apply-funding/grants-dataset/trend-visualisation/ncgp-trends-gender-data-visualisations" TargetMode="External"/><Relationship Id="rId28" Type="http://schemas.openxmlformats.org/officeDocument/2006/relationships/chart" Target="charts/chart2.xml"/><Relationship Id="rId36" Type="http://schemas.openxmlformats.org/officeDocument/2006/relationships/fontTable" Target="fontTable.xml"/><Relationship Id="rId10" Type="http://schemas.openxmlformats.org/officeDocument/2006/relationships/hyperlink" Target="https://www.sciencegenderequity.org.au/" TargetMode="External"/><Relationship Id="rId19" Type="http://schemas.openxmlformats.org/officeDocument/2006/relationships/hyperlink" Target="https://mspgh.unimelb.edu.au/centres-institutes/centre-for-health-equity/research-group/imagine" TargetMode="External"/><Relationship Id="rId31"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rc.gov.au/policies-strategies/policy/eligibility-and-career-interruptions-statement" TargetMode="External"/><Relationship Id="rId22" Type="http://schemas.openxmlformats.org/officeDocument/2006/relationships/hyperlink" Target="https://www.wgea.gov.au/what-we-do/employer-of-choice-for-gender-equality/current-eocge-citation-holders" TargetMode="External"/><Relationship Id="rId27" Type="http://schemas.openxmlformats.org/officeDocument/2006/relationships/chart" Target="charts/chart1.xml"/><Relationship Id="rId30" Type="http://schemas.openxmlformats.org/officeDocument/2006/relationships/chart" Target="charts/chart3.xm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wgea.gov.au/publications/gender-equality-business-cas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elia.Roberts\AppData\Local\Microsoft\Windows\INetCache\Content.Outlook\07T0PLSF\Gender%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elia.Roberts\AppData\Local\Microsoft\Windows\INetCache\Content.Outlook\07T0PLSF\Gender%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Celia.Roberts\AppData\Local\Microsoft\Windows\INetCache\Content.Outlook\07T0PLSF\Gender%20Data.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Celia.Roberts\AppData\Local\Microsoft\Windows\INetCache\Content.Outlook\07T0PLSF\Gender%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Applicants by gender and success rate from 2002 - 2020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1"/>
          <c:order val="0"/>
          <c:tx>
            <c:v>Female applicants</c:v>
          </c:tx>
          <c:spPr>
            <a:solidFill>
              <a:schemeClr val="accent6"/>
            </a:solidFill>
            <a:ln>
              <a:noFill/>
            </a:ln>
            <a:effectLst/>
          </c:spPr>
          <c:invertIfNegative val="0"/>
          <c:cat>
            <c:numRef>
              <c:f>'Success by Year'!$A$6:$A$24</c:f>
              <c:numCache>
                <c:formatCode>General</c:formatCod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'Success by Year'!$B$6:$B$24</c:f>
              <c:numCache>
                <c:formatCode>General</c:formatCode>
                <c:ptCount val="19"/>
                <c:pt idx="0">
                  <c:v>2199</c:v>
                </c:pt>
                <c:pt idx="1">
                  <c:v>4285</c:v>
                </c:pt>
                <c:pt idx="2">
                  <c:v>3338</c:v>
                </c:pt>
                <c:pt idx="3">
                  <c:v>3163</c:v>
                </c:pt>
                <c:pt idx="4">
                  <c:v>3531</c:v>
                </c:pt>
                <c:pt idx="5">
                  <c:v>3724</c:v>
                </c:pt>
                <c:pt idx="6">
                  <c:v>3874</c:v>
                </c:pt>
                <c:pt idx="7">
                  <c:v>4406</c:v>
                </c:pt>
                <c:pt idx="8">
                  <c:v>4324</c:v>
                </c:pt>
                <c:pt idx="9">
                  <c:v>4481</c:v>
                </c:pt>
                <c:pt idx="10">
                  <c:v>5066</c:v>
                </c:pt>
                <c:pt idx="11">
                  <c:v>5034</c:v>
                </c:pt>
                <c:pt idx="12">
                  <c:v>4864</c:v>
                </c:pt>
                <c:pt idx="13">
                  <c:v>4618</c:v>
                </c:pt>
                <c:pt idx="14">
                  <c:v>4743</c:v>
                </c:pt>
                <c:pt idx="15">
                  <c:v>4681</c:v>
                </c:pt>
                <c:pt idx="16">
                  <c:v>4600</c:v>
                </c:pt>
                <c:pt idx="17">
                  <c:v>4604</c:v>
                </c:pt>
                <c:pt idx="18">
                  <c:v>5753</c:v>
                </c:pt>
              </c:numCache>
            </c:numRef>
          </c:val>
          <c:extLst>
            <c:ext xmlns:c16="http://schemas.microsoft.com/office/drawing/2014/chart" uri="{C3380CC4-5D6E-409C-BE32-E72D297353CC}">
              <c16:uniqueId val="{00000000-D390-4FFB-96CE-EBC96D5CCD37}"/>
            </c:ext>
          </c:extLst>
        </c:ser>
        <c:ser>
          <c:idx val="2"/>
          <c:order val="1"/>
          <c:tx>
            <c:v>Male applicants</c:v>
          </c:tx>
          <c:spPr>
            <a:solidFill>
              <a:schemeClr val="bg2"/>
            </a:solidFill>
            <a:ln>
              <a:noFill/>
            </a:ln>
            <a:effectLst/>
          </c:spPr>
          <c:invertIfNegative val="0"/>
          <c:cat>
            <c:numRef>
              <c:f>'Success by Year'!$A$6:$A$24</c:f>
              <c:numCache>
                <c:formatCode>General</c:formatCod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'Success by Year'!$C$6:$C$24</c:f>
              <c:numCache>
                <c:formatCode>General</c:formatCode>
                <c:ptCount val="19"/>
                <c:pt idx="0">
                  <c:v>8055</c:v>
                </c:pt>
                <c:pt idx="1">
                  <c:v>15302</c:v>
                </c:pt>
                <c:pt idx="2">
                  <c:v>11429</c:v>
                </c:pt>
                <c:pt idx="3">
                  <c:v>10945</c:v>
                </c:pt>
                <c:pt idx="4">
                  <c:v>10932</c:v>
                </c:pt>
                <c:pt idx="5">
                  <c:v>10919</c:v>
                </c:pt>
                <c:pt idx="6">
                  <c:v>11619</c:v>
                </c:pt>
                <c:pt idx="7">
                  <c:v>12585</c:v>
                </c:pt>
                <c:pt idx="8">
                  <c:v>12578</c:v>
                </c:pt>
                <c:pt idx="9">
                  <c:v>12364</c:v>
                </c:pt>
                <c:pt idx="10">
                  <c:v>13021</c:v>
                </c:pt>
                <c:pt idx="11">
                  <c:v>13557</c:v>
                </c:pt>
                <c:pt idx="12">
                  <c:v>13921</c:v>
                </c:pt>
                <c:pt idx="13">
                  <c:v>13510</c:v>
                </c:pt>
                <c:pt idx="14">
                  <c:v>14813</c:v>
                </c:pt>
                <c:pt idx="15">
                  <c:v>13687</c:v>
                </c:pt>
                <c:pt idx="16">
                  <c:v>12804</c:v>
                </c:pt>
                <c:pt idx="17">
                  <c:v>11648</c:v>
                </c:pt>
                <c:pt idx="18">
                  <c:v>12659</c:v>
                </c:pt>
              </c:numCache>
            </c:numRef>
          </c:val>
          <c:extLst>
            <c:ext xmlns:c16="http://schemas.microsoft.com/office/drawing/2014/chart" uri="{C3380CC4-5D6E-409C-BE32-E72D297353CC}">
              <c16:uniqueId val="{00000001-D390-4FFB-96CE-EBC96D5CCD37}"/>
            </c:ext>
          </c:extLst>
        </c:ser>
        <c:dLbls>
          <c:showLegendKey val="0"/>
          <c:showVal val="0"/>
          <c:showCatName val="0"/>
          <c:showSerName val="0"/>
          <c:showPercent val="0"/>
          <c:showBubbleSize val="0"/>
        </c:dLbls>
        <c:gapWidth val="150"/>
        <c:overlap val="100"/>
        <c:axId val="651109488"/>
        <c:axId val="651107408"/>
      </c:barChart>
      <c:lineChart>
        <c:grouping val="standard"/>
        <c:varyColors val="0"/>
        <c:ser>
          <c:idx val="3"/>
          <c:order val="2"/>
          <c:tx>
            <c:v>Male success rate</c:v>
          </c:tx>
          <c:spPr>
            <a:ln w="28575" cap="rnd">
              <a:noFill/>
              <a:round/>
            </a:ln>
            <a:effectLst/>
          </c:spPr>
          <c:marker>
            <c:symbol val="circle"/>
            <c:size val="5"/>
            <c:spPr>
              <a:solidFill>
                <a:schemeClr val="accent3"/>
              </a:solidFill>
              <a:ln w="76200">
                <a:solidFill>
                  <a:schemeClr val="accent3"/>
                </a:solidFill>
              </a:ln>
              <a:effectLst/>
            </c:spPr>
          </c:marker>
          <c:val>
            <c:numRef>
              <c:f>'Success by Year'!$G$6:$G$24</c:f>
              <c:numCache>
                <c:formatCode>0.0%</c:formatCode>
                <c:ptCount val="19"/>
                <c:pt idx="0">
                  <c:v>0.39987585350713845</c:v>
                </c:pt>
                <c:pt idx="1">
                  <c:v>0.463338125735198</c:v>
                </c:pt>
                <c:pt idx="2">
                  <c:v>0.36757371598565053</c:v>
                </c:pt>
                <c:pt idx="3">
                  <c:v>0.38894472361809046</c:v>
                </c:pt>
                <c:pt idx="4">
                  <c:v>0.33186974021222099</c:v>
                </c:pt>
                <c:pt idx="5">
                  <c:v>0.32649510028390877</c:v>
                </c:pt>
                <c:pt idx="6">
                  <c:v>0.3286857733023496</c:v>
                </c:pt>
                <c:pt idx="7">
                  <c:v>0.33031386571315058</c:v>
                </c:pt>
                <c:pt idx="8">
                  <c:v>0.33653999045953253</c:v>
                </c:pt>
                <c:pt idx="9">
                  <c:v>0.34018117114202523</c:v>
                </c:pt>
                <c:pt idx="10">
                  <c:v>0.284924352968282</c:v>
                </c:pt>
                <c:pt idx="11">
                  <c:v>0.28369108209780924</c:v>
                </c:pt>
                <c:pt idx="12">
                  <c:v>0.27225055671287984</c:v>
                </c:pt>
                <c:pt idx="13">
                  <c:v>0.24944485566247224</c:v>
                </c:pt>
                <c:pt idx="14">
                  <c:v>0.24242219671909809</c:v>
                </c:pt>
                <c:pt idx="15">
                  <c:v>0.24154307006648645</c:v>
                </c:pt>
                <c:pt idx="16">
                  <c:v>0.23398937831927522</c:v>
                </c:pt>
                <c:pt idx="17">
                  <c:v>0.24948489010989011</c:v>
                </c:pt>
                <c:pt idx="18">
                  <c:v>0.23335176554230191</c:v>
                </c:pt>
              </c:numCache>
            </c:numRef>
          </c:val>
          <c:smooth val="0"/>
          <c:extLst>
            <c:ext xmlns:c16="http://schemas.microsoft.com/office/drawing/2014/chart" uri="{C3380CC4-5D6E-409C-BE32-E72D297353CC}">
              <c16:uniqueId val="{00000002-D390-4FFB-96CE-EBC96D5CCD37}"/>
            </c:ext>
          </c:extLst>
        </c:ser>
        <c:ser>
          <c:idx val="0"/>
          <c:order val="3"/>
          <c:tx>
            <c:v>Female success rate</c:v>
          </c:tx>
          <c:spPr>
            <a:ln w="28575" cap="rnd">
              <a:noFill/>
              <a:round/>
            </a:ln>
            <a:effectLst/>
          </c:spPr>
          <c:marker>
            <c:symbol val="circle"/>
            <c:size val="5"/>
            <c:spPr>
              <a:solidFill>
                <a:schemeClr val="tx2"/>
              </a:solidFill>
              <a:ln w="101600">
                <a:solidFill>
                  <a:schemeClr val="tx2"/>
                </a:solidFill>
              </a:ln>
              <a:effectLst/>
            </c:spPr>
          </c:marker>
          <c:val>
            <c:numRef>
              <c:f>'Success by Year'!$F$6:$F$24</c:f>
              <c:numCache>
                <c:formatCode>0.0%</c:formatCode>
                <c:ptCount val="19"/>
                <c:pt idx="0">
                  <c:v>0.37153251477944521</c:v>
                </c:pt>
                <c:pt idx="1">
                  <c:v>0.42590431738623102</c:v>
                </c:pt>
                <c:pt idx="2">
                  <c:v>0.35620131815458356</c:v>
                </c:pt>
                <c:pt idx="3">
                  <c:v>0.37274739171672461</c:v>
                </c:pt>
                <c:pt idx="4">
                  <c:v>0.29340130274709714</c:v>
                </c:pt>
                <c:pt idx="5">
                  <c:v>0.2921589688506982</c:v>
                </c:pt>
                <c:pt idx="6">
                  <c:v>0.30665978316985026</c:v>
                </c:pt>
                <c:pt idx="7">
                  <c:v>0.30980481162051748</c:v>
                </c:pt>
                <c:pt idx="8">
                  <c:v>0.32215541165587419</c:v>
                </c:pt>
                <c:pt idx="9">
                  <c:v>0.33184557018522653</c:v>
                </c:pt>
                <c:pt idx="10">
                  <c:v>0.25542834583497831</c:v>
                </c:pt>
                <c:pt idx="11">
                  <c:v>0.25685339690107273</c:v>
                </c:pt>
                <c:pt idx="12">
                  <c:v>0.25349506578947367</c:v>
                </c:pt>
                <c:pt idx="13">
                  <c:v>0.22563880467734951</c:v>
                </c:pt>
                <c:pt idx="14">
                  <c:v>0.23213156230234028</c:v>
                </c:pt>
                <c:pt idx="15">
                  <c:v>0.2262337107455672</c:v>
                </c:pt>
                <c:pt idx="16">
                  <c:v>0.23065217391304349</c:v>
                </c:pt>
                <c:pt idx="17">
                  <c:v>0.27454387489139881</c:v>
                </c:pt>
                <c:pt idx="18">
                  <c:v>0.22527377020684861</c:v>
                </c:pt>
              </c:numCache>
            </c:numRef>
          </c:val>
          <c:smooth val="0"/>
          <c:extLst>
            <c:ext xmlns:c16="http://schemas.microsoft.com/office/drawing/2014/chart" uri="{C3380CC4-5D6E-409C-BE32-E72D297353CC}">
              <c16:uniqueId val="{00000003-D390-4FFB-96CE-EBC96D5CCD37}"/>
            </c:ext>
          </c:extLst>
        </c:ser>
        <c:dLbls>
          <c:showLegendKey val="0"/>
          <c:showVal val="0"/>
          <c:showCatName val="0"/>
          <c:showSerName val="0"/>
          <c:showPercent val="0"/>
          <c:showBubbleSize val="0"/>
        </c:dLbls>
        <c:marker val="1"/>
        <c:smooth val="0"/>
        <c:axId val="541710736"/>
        <c:axId val="541713648"/>
      </c:lineChart>
      <c:catAx>
        <c:axId val="65110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107408"/>
        <c:crosses val="autoZero"/>
        <c:auto val="1"/>
        <c:lblAlgn val="ctr"/>
        <c:lblOffset val="100"/>
        <c:noMultiLvlLbl val="0"/>
      </c:catAx>
      <c:valAx>
        <c:axId val="651107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109488"/>
        <c:crosses val="autoZero"/>
        <c:crossBetween val="between"/>
      </c:valAx>
      <c:valAx>
        <c:axId val="54171364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710736"/>
        <c:crosses val="max"/>
        <c:crossBetween val="between"/>
      </c:valAx>
      <c:catAx>
        <c:axId val="541710736"/>
        <c:scaling>
          <c:orientation val="minMax"/>
        </c:scaling>
        <c:delete val="1"/>
        <c:axPos val="b"/>
        <c:majorTickMark val="out"/>
        <c:minorTickMark val="none"/>
        <c:tickLblPos val="nextTo"/>
        <c:crossAx val="5417136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Proportion of applicants</a:t>
            </a:r>
            <a:r>
              <a:rPr lang="en-AU" baseline="0"/>
              <a:t> and success rate by gender and scheme for 2020</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'Success by Scheme'!$B$4</c:f>
              <c:strCache>
                <c:ptCount val="1"/>
                <c:pt idx="0">
                  <c:v>Female applicants proportion</c:v>
                </c:pt>
              </c:strCache>
            </c:strRef>
          </c:tx>
          <c:spPr>
            <a:solidFill>
              <a:schemeClr val="accent6"/>
            </a:solidFill>
            <a:ln>
              <a:solidFill>
                <a:schemeClr val="accent6"/>
              </a:solidFill>
            </a:ln>
            <a:effectLst/>
          </c:spPr>
          <c:invertIfNegative val="0"/>
          <c:cat>
            <c:strRef>
              <c:f>'Success by Scheme'!$A$5:$A$14</c:f>
              <c:strCache>
                <c:ptCount val="10"/>
                <c:pt idx="0">
                  <c:v>ARC Future Fellowships</c:v>
                </c:pt>
                <c:pt idx="1">
                  <c:v>Australian Laureate Fellowships</c:v>
                </c:pt>
                <c:pt idx="2">
                  <c:v>DECRA</c:v>
                </c:pt>
                <c:pt idx="3">
                  <c:v>Discovery Indigenous</c:v>
                </c:pt>
                <c:pt idx="4">
                  <c:v>Discovery Projects</c:v>
                </c:pt>
                <c:pt idx="5">
                  <c:v>ITRH</c:v>
                </c:pt>
                <c:pt idx="6">
                  <c:v>ITTC</c:v>
                </c:pt>
                <c:pt idx="7">
                  <c:v>LIEF</c:v>
                </c:pt>
                <c:pt idx="8">
                  <c:v>Linkage Projects</c:v>
                </c:pt>
                <c:pt idx="9">
                  <c:v>Special Research Initiatives</c:v>
                </c:pt>
              </c:strCache>
            </c:strRef>
          </c:cat>
          <c:val>
            <c:numRef>
              <c:f>'Success by Scheme'!$B$5:$B$14</c:f>
              <c:numCache>
                <c:formatCode>0%</c:formatCode>
                <c:ptCount val="10"/>
                <c:pt idx="0">
                  <c:v>0.3611111111111111</c:v>
                </c:pt>
                <c:pt idx="1">
                  <c:v>0.22292993630573249</c:v>
                </c:pt>
                <c:pt idx="2">
                  <c:v>0.4012841091492777</c:v>
                </c:pt>
                <c:pt idx="3">
                  <c:v>0.56799999999999995</c:v>
                </c:pt>
                <c:pt idx="4">
                  <c:v>0.26565255731922399</c:v>
                </c:pt>
                <c:pt idx="5">
                  <c:v>0.20798319327731093</c:v>
                </c:pt>
                <c:pt idx="6">
                  <c:v>0.23329425556858147</c:v>
                </c:pt>
                <c:pt idx="7">
                  <c:v>0.21263736263736263</c:v>
                </c:pt>
                <c:pt idx="8">
                  <c:v>0.3193717277486911</c:v>
                </c:pt>
                <c:pt idx="9">
                  <c:v>0.53253706754530483</c:v>
                </c:pt>
              </c:numCache>
            </c:numRef>
          </c:val>
          <c:extLst>
            <c:ext xmlns:c16="http://schemas.microsoft.com/office/drawing/2014/chart" uri="{C3380CC4-5D6E-409C-BE32-E72D297353CC}">
              <c16:uniqueId val="{00000000-AEA4-4C43-8552-EF46011B1D30}"/>
            </c:ext>
          </c:extLst>
        </c:ser>
        <c:ser>
          <c:idx val="1"/>
          <c:order val="1"/>
          <c:tx>
            <c:strRef>
              <c:f>'Success by Scheme'!$C$4</c:f>
              <c:strCache>
                <c:ptCount val="1"/>
                <c:pt idx="0">
                  <c:v>Male applicants proportion</c:v>
                </c:pt>
              </c:strCache>
            </c:strRef>
          </c:tx>
          <c:spPr>
            <a:solidFill>
              <a:schemeClr val="accent3">
                <a:lumMod val="20000"/>
                <a:lumOff val="80000"/>
              </a:schemeClr>
            </a:solidFill>
            <a:ln>
              <a:noFill/>
            </a:ln>
            <a:effectLst/>
          </c:spPr>
          <c:invertIfNegative val="0"/>
          <c:cat>
            <c:strRef>
              <c:f>'Success by Scheme'!$A$5:$A$14</c:f>
              <c:strCache>
                <c:ptCount val="10"/>
                <c:pt idx="0">
                  <c:v>ARC Future Fellowships</c:v>
                </c:pt>
                <c:pt idx="1">
                  <c:v>Australian Laureate Fellowships</c:v>
                </c:pt>
                <c:pt idx="2">
                  <c:v>DECRA</c:v>
                </c:pt>
                <c:pt idx="3">
                  <c:v>Discovery Indigenous</c:v>
                </c:pt>
                <c:pt idx="4">
                  <c:v>Discovery Projects</c:v>
                </c:pt>
                <c:pt idx="5">
                  <c:v>ITRH</c:v>
                </c:pt>
                <c:pt idx="6">
                  <c:v>ITTC</c:v>
                </c:pt>
                <c:pt idx="7">
                  <c:v>LIEF</c:v>
                </c:pt>
                <c:pt idx="8">
                  <c:v>Linkage Projects</c:v>
                </c:pt>
                <c:pt idx="9">
                  <c:v>Special Research Initiatives</c:v>
                </c:pt>
              </c:strCache>
            </c:strRef>
          </c:cat>
          <c:val>
            <c:numRef>
              <c:f>'Success by Scheme'!$C$5:$C$14</c:f>
              <c:numCache>
                <c:formatCode>0%</c:formatCode>
                <c:ptCount val="10"/>
                <c:pt idx="0">
                  <c:v>0.63888888888888884</c:v>
                </c:pt>
                <c:pt idx="1">
                  <c:v>0.77707006369426757</c:v>
                </c:pt>
                <c:pt idx="2">
                  <c:v>0.5987158908507223</c:v>
                </c:pt>
                <c:pt idx="3">
                  <c:v>0.432</c:v>
                </c:pt>
                <c:pt idx="4">
                  <c:v>0.73434744268077601</c:v>
                </c:pt>
                <c:pt idx="5">
                  <c:v>0.79201680672268904</c:v>
                </c:pt>
                <c:pt idx="6">
                  <c:v>0.76670574443141848</c:v>
                </c:pt>
                <c:pt idx="7">
                  <c:v>0.78736263736263734</c:v>
                </c:pt>
                <c:pt idx="8">
                  <c:v>0.68062827225130895</c:v>
                </c:pt>
                <c:pt idx="9">
                  <c:v>0.46746293245469522</c:v>
                </c:pt>
              </c:numCache>
            </c:numRef>
          </c:val>
          <c:extLst>
            <c:ext xmlns:c16="http://schemas.microsoft.com/office/drawing/2014/chart" uri="{C3380CC4-5D6E-409C-BE32-E72D297353CC}">
              <c16:uniqueId val="{00000001-AEA4-4C43-8552-EF46011B1D30}"/>
            </c:ext>
          </c:extLst>
        </c:ser>
        <c:dLbls>
          <c:showLegendKey val="0"/>
          <c:showVal val="0"/>
          <c:showCatName val="0"/>
          <c:showSerName val="0"/>
          <c:showPercent val="0"/>
          <c:showBubbleSize val="0"/>
        </c:dLbls>
        <c:gapWidth val="219"/>
        <c:overlap val="100"/>
        <c:axId val="934896623"/>
        <c:axId val="934897039"/>
      </c:barChart>
      <c:lineChart>
        <c:grouping val="standard"/>
        <c:varyColors val="0"/>
        <c:ser>
          <c:idx val="2"/>
          <c:order val="2"/>
          <c:tx>
            <c:strRef>
              <c:f>'Success by Scheme'!$D$4</c:f>
              <c:strCache>
                <c:ptCount val="1"/>
                <c:pt idx="0">
                  <c:v>Female success rate</c:v>
                </c:pt>
              </c:strCache>
            </c:strRef>
          </c:tx>
          <c:spPr>
            <a:ln w="28575" cap="rnd">
              <a:noFill/>
              <a:round/>
            </a:ln>
            <a:effectLst/>
          </c:spPr>
          <c:marker>
            <c:symbol val="circle"/>
            <c:size val="5"/>
            <c:spPr>
              <a:solidFill>
                <a:schemeClr val="accent3"/>
              </a:solidFill>
              <a:ln w="101600">
                <a:solidFill>
                  <a:schemeClr val="accent3"/>
                </a:solidFill>
              </a:ln>
              <a:effectLst/>
            </c:spPr>
          </c:marker>
          <c:cat>
            <c:strRef>
              <c:f>'Success by Scheme'!$A$5:$A$14</c:f>
              <c:strCache>
                <c:ptCount val="10"/>
                <c:pt idx="0">
                  <c:v>ARC Future Fellowships</c:v>
                </c:pt>
                <c:pt idx="1">
                  <c:v>Australian Laureate Fellowships</c:v>
                </c:pt>
                <c:pt idx="2">
                  <c:v>DECRA</c:v>
                </c:pt>
                <c:pt idx="3">
                  <c:v>Discovery Indigenous</c:v>
                </c:pt>
                <c:pt idx="4">
                  <c:v>Discovery Projects</c:v>
                </c:pt>
                <c:pt idx="5">
                  <c:v>ITRH</c:v>
                </c:pt>
                <c:pt idx="6">
                  <c:v>ITTC</c:v>
                </c:pt>
                <c:pt idx="7">
                  <c:v>LIEF</c:v>
                </c:pt>
                <c:pt idx="8">
                  <c:v>Linkage Projects</c:v>
                </c:pt>
                <c:pt idx="9">
                  <c:v>Special Research Initiatives</c:v>
                </c:pt>
              </c:strCache>
            </c:strRef>
          </c:cat>
          <c:val>
            <c:numRef>
              <c:f>'Success by Scheme'!$D$5:$D$14</c:f>
              <c:numCache>
                <c:formatCode>[$-10809]0.0%</c:formatCode>
                <c:ptCount val="10"/>
                <c:pt idx="0">
                  <c:v>0.157894736842105</c:v>
                </c:pt>
                <c:pt idx="1">
                  <c:v>0.17142857142857101</c:v>
                </c:pt>
                <c:pt idx="2">
                  <c:v>0.16400000000000001</c:v>
                </c:pt>
                <c:pt idx="3">
                  <c:v>0.28169014084506999</c:v>
                </c:pt>
                <c:pt idx="4">
                  <c:v>0.24605809128630701</c:v>
                </c:pt>
                <c:pt idx="5">
                  <c:v>0.34343434343434298</c:v>
                </c:pt>
                <c:pt idx="6">
                  <c:v>0.185929648241206</c:v>
                </c:pt>
                <c:pt idx="7">
                  <c:v>0.307493540051679</c:v>
                </c:pt>
                <c:pt idx="8">
                  <c:v>0.347540983606557</c:v>
                </c:pt>
                <c:pt idx="9">
                  <c:v>0.12451662799690601</c:v>
                </c:pt>
              </c:numCache>
            </c:numRef>
          </c:val>
          <c:smooth val="0"/>
          <c:extLst>
            <c:ext xmlns:c16="http://schemas.microsoft.com/office/drawing/2014/chart" uri="{C3380CC4-5D6E-409C-BE32-E72D297353CC}">
              <c16:uniqueId val="{00000002-AEA4-4C43-8552-EF46011B1D30}"/>
            </c:ext>
          </c:extLst>
        </c:ser>
        <c:ser>
          <c:idx val="3"/>
          <c:order val="3"/>
          <c:tx>
            <c:strRef>
              <c:f>'Success by Scheme'!$E$4</c:f>
              <c:strCache>
                <c:ptCount val="1"/>
                <c:pt idx="0">
                  <c:v>Male success rate</c:v>
                </c:pt>
              </c:strCache>
            </c:strRef>
          </c:tx>
          <c:spPr>
            <a:ln w="28575" cap="rnd">
              <a:noFill/>
              <a:round/>
            </a:ln>
            <a:effectLst/>
          </c:spPr>
          <c:marker>
            <c:symbol val="circle"/>
            <c:size val="5"/>
            <c:spPr>
              <a:solidFill>
                <a:schemeClr val="tx2"/>
              </a:solidFill>
              <a:ln w="76200">
                <a:solidFill>
                  <a:schemeClr val="tx2"/>
                </a:solidFill>
              </a:ln>
              <a:effectLst/>
            </c:spPr>
          </c:marker>
          <c:cat>
            <c:strRef>
              <c:f>'Success by Scheme'!$A$5:$A$14</c:f>
              <c:strCache>
                <c:ptCount val="10"/>
                <c:pt idx="0">
                  <c:v>ARC Future Fellowships</c:v>
                </c:pt>
                <c:pt idx="1">
                  <c:v>Australian Laureate Fellowships</c:v>
                </c:pt>
                <c:pt idx="2">
                  <c:v>DECRA</c:v>
                </c:pt>
                <c:pt idx="3">
                  <c:v>Discovery Indigenous</c:v>
                </c:pt>
                <c:pt idx="4">
                  <c:v>Discovery Projects</c:v>
                </c:pt>
                <c:pt idx="5">
                  <c:v>ITRH</c:v>
                </c:pt>
                <c:pt idx="6">
                  <c:v>ITTC</c:v>
                </c:pt>
                <c:pt idx="7">
                  <c:v>LIEF</c:v>
                </c:pt>
                <c:pt idx="8">
                  <c:v>Linkage Projects</c:v>
                </c:pt>
                <c:pt idx="9">
                  <c:v>Special Research Initiatives</c:v>
                </c:pt>
              </c:strCache>
            </c:strRef>
          </c:cat>
          <c:val>
            <c:numRef>
              <c:f>'Success by Scheme'!$E$5:$E$14</c:f>
              <c:numCache>
                <c:formatCode>[$-10809]0.0%</c:formatCode>
                <c:ptCount val="10"/>
                <c:pt idx="0">
                  <c:v>0.13501144164759701</c:v>
                </c:pt>
                <c:pt idx="1">
                  <c:v>7.3770491803277993E-2</c:v>
                </c:pt>
                <c:pt idx="2">
                  <c:v>0.15817694369973101</c:v>
                </c:pt>
                <c:pt idx="3">
                  <c:v>0.31481481481481399</c:v>
                </c:pt>
                <c:pt idx="4">
                  <c:v>0.22635845091564</c:v>
                </c:pt>
                <c:pt idx="5">
                  <c:v>0.43501326259946899</c:v>
                </c:pt>
                <c:pt idx="6">
                  <c:v>0.17431192660550399</c:v>
                </c:pt>
                <c:pt idx="7">
                  <c:v>0.28681088625261603</c:v>
                </c:pt>
                <c:pt idx="8">
                  <c:v>0.32769230769230701</c:v>
                </c:pt>
                <c:pt idx="9">
                  <c:v>0.14977973568281899</c:v>
                </c:pt>
              </c:numCache>
            </c:numRef>
          </c:val>
          <c:smooth val="0"/>
          <c:extLst>
            <c:ext xmlns:c16="http://schemas.microsoft.com/office/drawing/2014/chart" uri="{C3380CC4-5D6E-409C-BE32-E72D297353CC}">
              <c16:uniqueId val="{00000003-AEA4-4C43-8552-EF46011B1D30}"/>
            </c:ext>
          </c:extLst>
        </c:ser>
        <c:dLbls>
          <c:showLegendKey val="0"/>
          <c:showVal val="0"/>
          <c:showCatName val="0"/>
          <c:showSerName val="0"/>
          <c:showPercent val="0"/>
          <c:showBubbleSize val="0"/>
        </c:dLbls>
        <c:marker val="1"/>
        <c:smooth val="0"/>
        <c:axId val="934897455"/>
        <c:axId val="934894959"/>
      </c:lineChart>
      <c:catAx>
        <c:axId val="93489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897039"/>
        <c:crosses val="autoZero"/>
        <c:auto val="1"/>
        <c:lblAlgn val="ctr"/>
        <c:lblOffset val="100"/>
        <c:noMultiLvlLbl val="0"/>
      </c:catAx>
      <c:valAx>
        <c:axId val="93489703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896623"/>
        <c:crosses val="autoZero"/>
        <c:crossBetween val="between"/>
      </c:valAx>
      <c:valAx>
        <c:axId val="934894959"/>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897455"/>
        <c:crosses val="max"/>
        <c:crossBetween val="between"/>
      </c:valAx>
      <c:catAx>
        <c:axId val="934897455"/>
        <c:scaling>
          <c:orientation val="minMax"/>
        </c:scaling>
        <c:delete val="1"/>
        <c:axPos val="b"/>
        <c:numFmt formatCode="General" sourceLinked="1"/>
        <c:majorTickMark val="out"/>
        <c:minorTickMark val="none"/>
        <c:tickLblPos val="nextTo"/>
        <c:crossAx val="9348949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DECRA and Future</a:t>
            </a:r>
            <a:r>
              <a:rPr lang="en-AU" baseline="0"/>
              <a:t> Fellowships</a:t>
            </a:r>
            <a:r>
              <a:rPr lang="en-AU"/>
              <a:t> applications by gender and eligibility</a:t>
            </a:r>
            <a:r>
              <a:rPr lang="en-AU" baseline="0"/>
              <a:t> extension due to career interruption</a:t>
            </a:r>
            <a:endParaRPr lang="en-AU"/>
          </a:p>
        </c:rich>
      </c:tx>
      <c:overlay val="0"/>
      <c:spPr>
        <a:noFill/>
        <a:ln>
          <a:noFill/>
        </a:ln>
        <a:effectLst/>
      </c:spPr>
    </c:title>
    <c:autoTitleDeleted val="0"/>
    <c:plotArea>
      <c:layout/>
      <c:barChart>
        <c:barDir val="col"/>
        <c:grouping val="clustered"/>
        <c:varyColors val="0"/>
        <c:ser>
          <c:idx val="3"/>
          <c:order val="0"/>
          <c:tx>
            <c:strRef>
              <c:f>'Eligibility Extension '!$D$29</c:f>
              <c:strCache>
                <c:ptCount val="1"/>
                <c:pt idx="0">
                  <c:v>Number of Applicants</c:v>
                </c:pt>
              </c:strCache>
            </c:strRef>
          </c:tx>
          <c:spPr>
            <a:solidFill>
              <a:schemeClr val="tx2"/>
            </a:solidFill>
            <a:ln>
              <a:solidFill>
                <a:schemeClr val="accent6"/>
              </a:solidFill>
            </a:ln>
          </c:spPr>
          <c:invertIfNegative val="0"/>
          <c:cat>
            <c:multiLvlStrRef>
              <c:f>'Eligibility Extension '!$A$30:$C$49</c:f>
              <c:multiLvlStrCache>
                <c:ptCount val="20"/>
                <c:lvl>
                  <c:pt idx="0">
                    <c:v>Female</c:v>
                  </c:pt>
                  <c:pt idx="1">
                    <c:v>Male</c:v>
                  </c:pt>
                  <c:pt idx="2">
                    <c:v>Female</c:v>
                  </c:pt>
                  <c:pt idx="3">
                    <c:v>Male</c:v>
                  </c:pt>
                  <c:pt idx="4">
                    <c:v>Female</c:v>
                  </c:pt>
                  <c:pt idx="5">
                    <c:v>Male</c:v>
                  </c:pt>
                  <c:pt idx="6">
                    <c:v>Female</c:v>
                  </c:pt>
                  <c:pt idx="7">
                    <c:v>Male</c:v>
                  </c:pt>
                  <c:pt idx="8">
                    <c:v>Female</c:v>
                  </c:pt>
                  <c:pt idx="9">
                    <c:v>Male</c:v>
                  </c:pt>
                  <c:pt idx="10">
                    <c:v>Female</c:v>
                  </c:pt>
                  <c:pt idx="11">
                    <c:v>Male</c:v>
                  </c:pt>
                  <c:pt idx="12">
                    <c:v>Female</c:v>
                  </c:pt>
                  <c:pt idx="13">
                    <c:v>Male</c:v>
                  </c:pt>
                  <c:pt idx="14">
                    <c:v>Female</c:v>
                  </c:pt>
                  <c:pt idx="15">
                    <c:v>Male</c:v>
                  </c:pt>
                  <c:pt idx="16">
                    <c:v>Female</c:v>
                  </c:pt>
                  <c:pt idx="17">
                    <c:v>Male</c:v>
                  </c:pt>
                  <c:pt idx="18">
                    <c:v>Female</c:v>
                  </c:pt>
                  <c:pt idx="19">
                    <c:v>Male</c:v>
                  </c:pt>
                </c:lvl>
                <c:lvl>
                  <c:pt idx="0">
                    <c:v>No Eligibility Extension</c:v>
                  </c:pt>
                  <c:pt idx="2">
                    <c:v>Eligibility Extension</c:v>
                  </c:pt>
                  <c:pt idx="4">
                    <c:v>No Eligibility Extension</c:v>
                  </c:pt>
                  <c:pt idx="6">
                    <c:v>Eligibility Extension</c:v>
                  </c:pt>
                  <c:pt idx="8">
                    <c:v>No Eligibility Extension</c:v>
                  </c:pt>
                  <c:pt idx="10">
                    <c:v>Eligibility Extension</c:v>
                  </c:pt>
                  <c:pt idx="12">
                    <c:v>No Eligibility Extension</c:v>
                  </c:pt>
                  <c:pt idx="14">
                    <c:v>Eligibility Extension</c:v>
                  </c:pt>
                  <c:pt idx="16">
                    <c:v>No Eligibility Extension</c:v>
                  </c:pt>
                  <c:pt idx="18">
                    <c:v>Eligibility Extension</c:v>
                  </c:pt>
                </c:lvl>
                <c:lvl>
                  <c:pt idx="0">
                    <c:v>DE19</c:v>
                  </c:pt>
                  <c:pt idx="4">
                    <c:v>DE20</c:v>
                  </c:pt>
                  <c:pt idx="8">
                    <c:v>DE21</c:v>
                  </c:pt>
                  <c:pt idx="12">
                    <c:v>FT19</c:v>
                  </c:pt>
                  <c:pt idx="16">
                    <c:v>FT20</c:v>
                  </c:pt>
                </c:lvl>
              </c:multiLvlStrCache>
            </c:multiLvlStrRef>
          </c:cat>
          <c:val>
            <c:numRef>
              <c:f>'Eligibility Extension '!$D$30:$D$49</c:f>
              <c:numCache>
                <c:formatCode>General</c:formatCode>
                <c:ptCount val="20"/>
                <c:pt idx="0">
                  <c:v>367</c:v>
                </c:pt>
                <c:pt idx="1">
                  <c:v>634</c:v>
                </c:pt>
                <c:pt idx="2">
                  <c:v>103</c:v>
                </c:pt>
                <c:pt idx="3">
                  <c:v>57</c:v>
                </c:pt>
                <c:pt idx="4">
                  <c:v>371</c:v>
                </c:pt>
                <c:pt idx="5">
                  <c:v>666</c:v>
                </c:pt>
                <c:pt idx="6">
                  <c:v>129</c:v>
                </c:pt>
                <c:pt idx="7">
                  <c:v>80</c:v>
                </c:pt>
                <c:pt idx="8">
                  <c:v>334</c:v>
                </c:pt>
                <c:pt idx="9">
                  <c:v>629</c:v>
                </c:pt>
                <c:pt idx="10">
                  <c:v>125</c:v>
                </c:pt>
                <c:pt idx="11">
                  <c:v>81</c:v>
                </c:pt>
                <c:pt idx="12">
                  <c:v>156</c:v>
                </c:pt>
                <c:pt idx="13">
                  <c:v>367</c:v>
                </c:pt>
                <c:pt idx="14">
                  <c:v>44</c:v>
                </c:pt>
                <c:pt idx="15">
                  <c:v>20</c:v>
                </c:pt>
                <c:pt idx="16">
                  <c:v>195</c:v>
                </c:pt>
                <c:pt idx="17">
                  <c:v>414</c:v>
                </c:pt>
                <c:pt idx="18">
                  <c:v>52</c:v>
                </c:pt>
                <c:pt idx="19">
                  <c:v>23</c:v>
                </c:pt>
              </c:numCache>
            </c:numRef>
          </c:val>
          <c:extLst>
            <c:ext xmlns:c16="http://schemas.microsoft.com/office/drawing/2014/chart" uri="{C3380CC4-5D6E-409C-BE32-E72D297353CC}">
              <c16:uniqueId val="{00000000-5728-418B-9847-D5BA46CC9B79}"/>
            </c:ext>
          </c:extLst>
        </c:ser>
        <c:dLbls>
          <c:showLegendKey val="0"/>
          <c:showVal val="0"/>
          <c:showCatName val="0"/>
          <c:showSerName val="0"/>
          <c:showPercent val="0"/>
          <c:showBubbleSize val="0"/>
        </c:dLbls>
        <c:gapWidth val="219"/>
        <c:axId val="1009667200"/>
        <c:axId val="1009660960"/>
        <c:extLst/>
      </c:barChart>
      <c:lineChart>
        <c:grouping val="standard"/>
        <c:varyColors val="0"/>
        <c:ser>
          <c:idx val="4"/>
          <c:order val="1"/>
          <c:tx>
            <c:strRef>
              <c:f>'Eligibility Extension '!$E$29</c:f>
              <c:strCache>
                <c:ptCount val="1"/>
                <c:pt idx="0">
                  <c:v>Success Rate</c:v>
                </c:pt>
              </c:strCache>
            </c:strRef>
          </c:tx>
          <c:spPr>
            <a:ln w="19050">
              <a:noFill/>
            </a:ln>
          </c:spPr>
          <c:marker>
            <c:spPr>
              <a:solidFill>
                <a:schemeClr val="accent3"/>
              </a:solidFill>
              <a:ln w="101600">
                <a:solidFill>
                  <a:schemeClr val="accent3"/>
                </a:solidFill>
              </a:ln>
            </c:spPr>
          </c:marker>
          <c:cat>
            <c:multiLvlStrRef>
              <c:f>'Eligibility Extension '!$A$30:$C$49</c:f>
              <c:multiLvlStrCache>
                <c:ptCount val="20"/>
                <c:lvl>
                  <c:pt idx="0">
                    <c:v>Female</c:v>
                  </c:pt>
                  <c:pt idx="1">
                    <c:v>Male</c:v>
                  </c:pt>
                  <c:pt idx="2">
                    <c:v>Female</c:v>
                  </c:pt>
                  <c:pt idx="3">
                    <c:v>Male</c:v>
                  </c:pt>
                  <c:pt idx="4">
                    <c:v>Female</c:v>
                  </c:pt>
                  <c:pt idx="5">
                    <c:v>Male</c:v>
                  </c:pt>
                  <c:pt idx="6">
                    <c:v>Female</c:v>
                  </c:pt>
                  <c:pt idx="7">
                    <c:v>Male</c:v>
                  </c:pt>
                  <c:pt idx="8">
                    <c:v>Female</c:v>
                  </c:pt>
                  <c:pt idx="9">
                    <c:v>Male</c:v>
                  </c:pt>
                  <c:pt idx="10">
                    <c:v>Female</c:v>
                  </c:pt>
                  <c:pt idx="11">
                    <c:v>Male</c:v>
                  </c:pt>
                  <c:pt idx="12">
                    <c:v>Female</c:v>
                  </c:pt>
                  <c:pt idx="13">
                    <c:v>Male</c:v>
                  </c:pt>
                  <c:pt idx="14">
                    <c:v>Female</c:v>
                  </c:pt>
                  <c:pt idx="15">
                    <c:v>Male</c:v>
                  </c:pt>
                  <c:pt idx="16">
                    <c:v>Female</c:v>
                  </c:pt>
                  <c:pt idx="17">
                    <c:v>Male</c:v>
                  </c:pt>
                  <c:pt idx="18">
                    <c:v>Female</c:v>
                  </c:pt>
                  <c:pt idx="19">
                    <c:v>Male</c:v>
                  </c:pt>
                </c:lvl>
                <c:lvl>
                  <c:pt idx="0">
                    <c:v>No Eligibility Extension</c:v>
                  </c:pt>
                  <c:pt idx="2">
                    <c:v>Eligibility Extension</c:v>
                  </c:pt>
                  <c:pt idx="4">
                    <c:v>No Eligibility Extension</c:v>
                  </c:pt>
                  <c:pt idx="6">
                    <c:v>Eligibility Extension</c:v>
                  </c:pt>
                  <c:pt idx="8">
                    <c:v>No Eligibility Extension</c:v>
                  </c:pt>
                  <c:pt idx="10">
                    <c:v>Eligibility Extension</c:v>
                  </c:pt>
                  <c:pt idx="12">
                    <c:v>No Eligibility Extension</c:v>
                  </c:pt>
                  <c:pt idx="14">
                    <c:v>Eligibility Extension</c:v>
                  </c:pt>
                  <c:pt idx="16">
                    <c:v>No Eligibility Extension</c:v>
                  </c:pt>
                  <c:pt idx="18">
                    <c:v>Eligibility Extension</c:v>
                  </c:pt>
                </c:lvl>
                <c:lvl>
                  <c:pt idx="0">
                    <c:v>DE19</c:v>
                  </c:pt>
                  <c:pt idx="4">
                    <c:v>DE20</c:v>
                  </c:pt>
                  <c:pt idx="8">
                    <c:v>DE21</c:v>
                  </c:pt>
                  <c:pt idx="12">
                    <c:v>FT19</c:v>
                  </c:pt>
                  <c:pt idx="16">
                    <c:v>FT20</c:v>
                  </c:pt>
                </c:lvl>
              </c:multiLvlStrCache>
            </c:multiLvlStrRef>
          </c:cat>
          <c:val>
            <c:numRef>
              <c:f>'Eligibility Extension '!$E$30:$E$49</c:f>
              <c:numCache>
                <c:formatCode>0%</c:formatCode>
                <c:ptCount val="20"/>
                <c:pt idx="0">
                  <c:v>0.18256130790190736</c:v>
                </c:pt>
                <c:pt idx="1">
                  <c:v>0.16246056782334384</c:v>
                </c:pt>
                <c:pt idx="2">
                  <c:v>0.22330097087378642</c:v>
                </c:pt>
                <c:pt idx="3">
                  <c:v>0.12280701754385964</c:v>
                </c:pt>
                <c:pt idx="4">
                  <c:v>0.16442048517520216</c:v>
                </c:pt>
                <c:pt idx="5">
                  <c:v>0.15165165165165165</c:v>
                </c:pt>
                <c:pt idx="6">
                  <c:v>0.16279069767441862</c:v>
                </c:pt>
                <c:pt idx="7">
                  <c:v>0.21249999999999999</c:v>
                </c:pt>
                <c:pt idx="8">
                  <c:v>0.18862275449101795</c:v>
                </c:pt>
                <c:pt idx="9">
                  <c:v>0.16375198728139906</c:v>
                </c:pt>
                <c:pt idx="10">
                  <c:v>0.192</c:v>
                </c:pt>
                <c:pt idx="11">
                  <c:v>9.8765432098765427E-2</c:v>
                </c:pt>
                <c:pt idx="12">
                  <c:v>0.21153846153846154</c:v>
                </c:pt>
                <c:pt idx="13">
                  <c:v>0.15258855585831063</c:v>
                </c:pt>
                <c:pt idx="14">
                  <c:v>0.18181818181818182</c:v>
                </c:pt>
                <c:pt idx="15">
                  <c:v>0.15</c:v>
                </c:pt>
                <c:pt idx="16">
                  <c:v>0.15384615384615385</c:v>
                </c:pt>
                <c:pt idx="17">
                  <c:v>0.14009661835748793</c:v>
                </c:pt>
                <c:pt idx="18">
                  <c:v>0.17307692307692307</c:v>
                </c:pt>
                <c:pt idx="19">
                  <c:v>4.3478260869565216E-2</c:v>
                </c:pt>
              </c:numCache>
            </c:numRef>
          </c:val>
          <c:smooth val="0"/>
          <c:extLst>
            <c:ext xmlns:c16="http://schemas.microsoft.com/office/drawing/2014/chart" uri="{C3380CC4-5D6E-409C-BE32-E72D297353CC}">
              <c16:uniqueId val="{00000001-5728-418B-9847-D5BA46CC9B79}"/>
            </c:ext>
          </c:extLst>
        </c:ser>
        <c:dLbls>
          <c:showLegendKey val="0"/>
          <c:showVal val="0"/>
          <c:showCatName val="0"/>
          <c:showSerName val="0"/>
          <c:showPercent val="0"/>
          <c:showBubbleSize val="0"/>
        </c:dLbls>
        <c:marker val="1"/>
        <c:smooth val="0"/>
        <c:axId val="1159413200"/>
        <c:axId val="1298990528"/>
      </c:lineChart>
      <c:catAx>
        <c:axId val="100966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660960"/>
        <c:crosses val="autoZero"/>
        <c:auto val="1"/>
        <c:lblAlgn val="ctr"/>
        <c:lblOffset val="100"/>
        <c:noMultiLvlLbl val="0"/>
      </c:catAx>
      <c:valAx>
        <c:axId val="1009660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667200"/>
        <c:crosses val="autoZero"/>
        <c:crossBetween val="between"/>
      </c:valAx>
      <c:valAx>
        <c:axId val="1298990528"/>
        <c:scaling>
          <c:orientation val="minMax"/>
        </c:scaling>
        <c:delete val="0"/>
        <c:axPos val="r"/>
        <c:numFmt formatCode="0%" sourceLinked="1"/>
        <c:majorTickMark val="out"/>
        <c:minorTickMark val="none"/>
        <c:tickLblPos val="nextTo"/>
        <c:crossAx val="1159413200"/>
        <c:crosses val="max"/>
        <c:crossBetween val="between"/>
      </c:valAx>
      <c:catAx>
        <c:axId val="1159413200"/>
        <c:scaling>
          <c:orientation val="minMax"/>
        </c:scaling>
        <c:delete val="1"/>
        <c:axPos val="b"/>
        <c:numFmt formatCode="General" sourceLinked="1"/>
        <c:majorTickMark val="out"/>
        <c:minorTickMark val="none"/>
        <c:tickLblPos val="nextTo"/>
        <c:crossAx val="1298990528"/>
        <c:crosses val="autoZero"/>
        <c:auto val="1"/>
        <c:lblAlgn val="ctr"/>
        <c:lblOffset val="100"/>
        <c:noMultiLvlLbl val="0"/>
      </c:cat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ROPE - success rates by gender and scheme for participants identifying a career interruption</a:t>
            </a:r>
          </a:p>
        </c:rich>
      </c:tx>
      <c:layout>
        <c:manualLayout>
          <c:xMode val="edge"/>
          <c:yMode val="edge"/>
          <c:x val="0.16768774720797835"/>
          <c:y val="4.53661697990926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ROPE!$D$3</c:f>
              <c:strCache>
                <c:ptCount val="1"/>
                <c:pt idx="0">
                  <c:v> Career Interruption - Yes</c:v>
                </c:pt>
              </c:strCache>
            </c:strRef>
          </c:tx>
          <c:spPr>
            <a:ln w="28575" cap="rnd">
              <a:noFill/>
              <a:round/>
            </a:ln>
            <a:effectLst/>
          </c:spPr>
          <c:marker>
            <c:symbol val="circle"/>
            <c:size val="5"/>
            <c:spPr>
              <a:solidFill>
                <a:schemeClr val="accent1"/>
              </a:solidFill>
              <a:ln w="101600">
                <a:solidFill>
                  <a:schemeClr val="accent6">
                    <a:lumMod val="75000"/>
                  </a:schemeClr>
                </a:solidFill>
              </a:ln>
              <a:effectLst/>
            </c:spPr>
          </c:marker>
          <c:cat>
            <c:multiLvlStrRef>
              <c:f>ROPE!$A$4:$C$21</c:f>
              <c:multiLvlStrCache>
                <c:ptCount val="18"/>
                <c:lvl>
                  <c:pt idx="0">
                    <c:v>Female</c:v>
                  </c:pt>
                  <c:pt idx="1">
                    <c:v>Male</c:v>
                  </c:pt>
                  <c:pt idx="2">
                    <c:v>Female</c:v>
                  </c:pt>
                  <c:pt idx="3">
                    <c:v>Male</c:v>
                  </c:pt>
                  <c:pt idx="4">
                    <c:v>Female</c:v>
                  </c:pt>
                  <c:pt idx="5">
                    <c:v>Male</c:v>
                  </c:pt>
                  <c:pt idx="6">
                    <c:v>Female</c:v>
                  </c:pt>
                  <c:pt idx="7">
                    <c:v>Male</c:v>
                  </c:pt>
                  <c:pt idx="8">
                    <c:v>Female</c:v>
                  </c:pt>
                  <c:pt idx="9">
                    <c:v>Male</c:v>
                  </c:pt>
                  <c:pt idx="10">
                    <c:v>Female</c:v>
                  </c:pt>
                  <c:pt idx="11">
                    <c:v>Male</c:v>
                  </c:pt>
                  <c:pt idx="12">
                    <c:v>Female</c:v>
                  </c:pt>
                  <c:pt idx="13">
                    <c:v>Male</c:v>
                  </c:pt>
                  <c:pt idx="14">
                    <c:v>Female</c:v>
                  </c:pt>
                  <c:pt idx="15">
                    <c:v>Male</c:v>
                  </c:pt>
                  <c:pt idx="16">
                    <c:v>Female</c:v>
                  </c:pt>
                  <c:pt idx="17">
                    <c:v>Male</c:v>
                  </c:pt>
                </c:lvl>
                <c:lvl>
                  <c:pt idx="0">
                    <c:v>2020</c:v>
                  </c:pt>
                  <c:pt idx="2">
                    <c:v>2021</c:v>
                  </c:pt>
                  <c:pt idx="4">
                    <c:v>2020</c:v>
                  </c:pt>
                  <c:pt idx="6">
                    <c:v>2021</c:v>
                  </c:pt>
                  <c:pt idx="8">
                    <c:v>2020</c:v>
                  </c:pt>
                  <c:pt idx="10">
                    <c:v>2020</c:v>
                  </c:pt>
                  <c:pt idx="12">
                    <c:v>2020</c:v>
                  </c:pt>
                  <c:pt idx="14">
                    <c:v>2021</c:v>
                  </c:pt>
                  <c:pt idx="16">
                    <c:v>2020</c:v>
                  </c:pt>
                </c:lvl>
                <c:lvl>
                  <c:pt idx="0">
                    <c:v>Discovery Early Career Researcher Award</c:v>
                  </c:pt>
                  <c:pt idx="4">
                    <c:v>Discovery Projects</c:v>
                  </c:pt>
                  <c:pt idx="8">
                    <c:v>Australian Laureate Fellowships</c:v>
                  </c:pt>
                  <c:pt idx="10">
                    <c:v>Future Fellowships</c:v>
                  </c:pt>
                  <c:pt idx="12">
                    <c:v>Discovery Indigenous</c:v>
                  </c:pt>
                  <c:pt idx="16">
                    <c:v>Linkage Projects</c:v>
                  </c:pt>
                </c:lvl>
              </c:multiLvlStrCache>
            </c:multiLvlStrRef>
          </c:cat>
          <c:val>
            <c:numRef>
              <c:f>ROPE!$D$4:$D$21</c:f>
              <c:numCache>
                <c:formatCode>0%;\-0%;0%</c:formatCode>
                <c:ptCount val="18"/>
                <c:pt idx="0">
                  <c:v>0.17171717171717199</c:v>
                </c:pt>
                <c:pt idx="1">
                  <c:v>0.178137651821862</c:v>
                </c:pt>
                <c:pt idx="2">
                  <c:v>0.18411552346570401</c:v>
                </c:pt>
                <c:pt idx="3">
                  <c:v>0.12903225806451599</c:v>
                </c:pt>
                <c:pt idx="4">
                  <c:v>0.25295109612141697</c:v>
                </c:pt>
                <c:pt idx="5">
                  <c:v>0.227835051546392</c:v>
                </c:pt>
                <c:pt idx="6">
                  <c:v>0.21726190476190499</c:v>
                </c:pt>
                <c:pt idx="7">
                  <c:v>0.18661971830985899</c:v>
                </c:pt>
                <c:pt idx="8">
                  <c:v>0.115384615384615</c:v>
                </c:pt>
                <c:pt idx="9">
                  <c:v>0.11111111111111099</c:v>
                </c:pt>
                <c:pt idx="10">
                  <c:v>0.18518518518518501</c:v>
                </c:pt>
                <c:pt idx="11">
                  <c:v>9.9337748344370896E-2</c:v>
                </c:pt>
                <c:pt idx="12">
                  <c:v>0.28125</c:v>
                </c:pt>
                <c:pt idx="13">
                  <c:v>0.42857142857142899</c:v>
                </c:pt>
                <c:pt idx="14">
                  <c:v>0.46666666666666701</c:v>
                </c:pt>
                <c:pt idx="15">
                  <c:v>0.33333333333333298</c:v>
                </c:pt>
                <c:pt idx="16">
                  <c:v>0.25</c:v>
                </c:pt>
                <c:pt idx="17">
                  <c:v>0.25358851674641097</c:v>
                </c:pt>
              </c:numCache>
            </c:numRef>
          </c:val>
          <c:smooth val="0"/>
          <c:extLst>
            <c:ext xmlns:c16="http://schemas.microsoft.com/office/drawing/2014/chart" uri="{C3380CC4-5D6E-409C-BE32-E72D297353CC}">
              <c16:uniqueId val="{00000000-5625-485A-843C-68FFF7F897FD}"/>
            </c:ext>
          </c:extLst>
        </c:ser>
        <c:ser>
          <c:idx val="1"/>
          <c:order val="1"/>
          <c:tx>
            <c:strRef>
              <c:f>ROPE!$E$3</c:f>
              <c:strCache>
                <c:ptCount val="1"/>
                <c:pt idx="0">
                  <c:v> Career Interruption - No</c:v>
                </c:pt>
              </c:strCache>
            </c:strRef>
          </c:tx>
          <c:spPr>
            <a:ln w="28575" cap="rnd">
              <a:noFill/>
              <a:round/>
            </a:ln>
            <a:effectLst/>
          </c:spPr>
          <c:marker>
            <c:symbol val="circle"/>
            <c:size val="5"/>
            <c:spPr>
              <a:solidFill>
                <a:schemeClr val="accent3"/>
              </a:solidFill>
              <a:ln w="127000">
                <a:solidFill>
                  <a:schemeClr val="bg2">
                    <a:lumMod val="75000"/>
                  </a:schemeClr>
                </a:solidFill>
              </a:ln>
              <a:effectLst/>
            </c:spPr>
          </c:marker>
          <c:cat>
            <c:multiLvlStrRef>
              <c:f>ROPE!$A$4:$C$21</c:f>
              <c:multiLvlStrCache>
                <c:ptCount val="18"/>
                <c:lvl>
                  <c:pt idx="0">
                    <c:v>Female</c:v>
                  </c:pt>
                  <c:pt idx="1">
                    <c:v>Male</c:v>
                  </c:pt>
                  <c:pt idx="2">
                    <c:v>Female</c:v>
                  </c:pt>
                  <c:pt idx="3">
                    <c:v>Male</c:v>
                  </c:pt>
                  <c:pt idx="4">
                    <c:v>Female</c:v>
                  </c:pt>
                  <c:pt idx="5">
                    <c:v>Male</c:v>
                  </c:pt>
                  <c:pt idx="6">
                    <c:v>Female</c:v>
                  </c:pt>
                  <c:pt idx="7">
                    <c:v>Male</c:v>
                  </c:pt>
                  <c:pt idx="8">
                    <c:v>Female</c:v>
                  </c:pt>
                  <c:pt idx="9">
                    <c:v>Male</c:v>
                  </c:pt>
                  <c:pt idx="10">
                    <c:v>Female</c:v>
                  </c:pt>
                  <c:pt idx="11">
                    <c:v>Male</c:v>
                  </c:pt>
                  <c:pt idx="12">
                    <c:v>Female</c:v>
                  </c:pt>
                  <c:pt idx="13">
                    <c:v>Male</c:v>
                  </c:pt>
                  <c:pt idx="14">
                    <c:v>Female</c:v>
                  </c:pt>
                  <c:pt idx="15">
                    <c:v>Male</c:v>
                  </c:pt>
                  <c:pt idx="16">
                    <c:v>Female</c:v>
                  </c:pt>
                  <c:pt idx="17">
                    <c:v>Male</c:v>
                  </c:pt>
                </c:lvl>
                <c:lvl>
                  <c:pt idx="0">
                    <c:v>2020</c:v>
                  </c:pt>
                  <c:pt idx="2">
                    <c:v>2021</c:v>
                  </c:pt>
                  <c:pt idx="4">
                    <c:v>2020</c:v>
                  </c:pt>
                  <c:pt idx="6">
                    <c:v>2021</c:v>
                  </c:pt>
                  <c:pt idx="8">
                    <c:v>2020</c:v>
                  </c:pt>
                  <c:pt idx="10">
                    <c:v>2020</c:v>
                  </c:pt>
                  <c:pt idx="12">
                    <c:v>2020</c:v>
                  </c:pt>
                  <c:pt idx="14">
                    <c:v>2021</c:v>
                  </c:pt>
                  <c:pt idx="16">
                    <c:v>2020</c:v>
                  </c:pt>
                </c:lvl>
                <c:lvl>
                  <c:pt idx="0">
                    <c:v>Discovery Early Career Researcher Award</c:v>
                  </c:pt>
                  <c:pt idx="4">
                    <c:v>Discovery Projects</c:v>
                  </c:pt>
                  <c:pt idx="8">
                    <c:v>Australian Laureate Fellowships</c:v>
                  </c:pt>
                  <c:pt idx="10">
                    <c:v>Future Fellowships</c:v>
                  </c:pt>
                  <c:pt idx="12">
                    <c:v>Discovery Indigenous</c:v>
                  </c:pt>
                  <c:pt idx="16">
                    <c:v>Linkage Projects</c:v>
                  </c:pt>
                </c:lvl>
              </c:multiLvlStrCache>
            </c:multiLvlStrRef>
          </c:cat>
          <c:val>
            <c:numRef>
              <c:f>ROPE!$E$4:$E$21</c:f>
              <c:numCache>
                <c:formatCode>0%;\-0%;0%</c:formatCode>
                <c:ptCount val="18"/>
                <c:pt idx="0">
                  <c:v>0.152709359605911</c:v>
                </c:pt>
                <c:pt idx="1">
                  <c:v>0.148296593186373</c:v>
                </c:pt>
                <c:pt idx="2">
                  <c:v>0.19780219780219799</c:v>
                </c:pt>
                <c:pt idx="3">
                  <c:v>0.17099567099567101</c:v>
                </c:pt>
                <c:pt idx="4">
                  <c:v>0.24498567335243601</c:v>
                </c:pt>
                <c:pt idx="5">
                  <c:v>0.22599023331524701</c:v>
                </c:pt>
                <c:pt idx="6">
                  <c:v>0.18798955613577001</c:v>
                </c:pt>
                <c:pt idx="7">
                  <c:v>0.19781078967943699</c:v>
                </c:pt>
                <c:pt idx="8">
                  <c:v>0.33333333333333298</c:v>
                </c:pt>
                <c:pt idx="9">
                  <c:v>6.7307692307692304E-2</c:v>
                </c:pt>
                <c:pt idx="10">
                  <c:v>6.8965517241379296E-2</c:v>
                </c:pt>
                <c:pt idx="11">
                  <c:v>0.15384615384615399</c:v>
                </c:pt>
                <c:pt idx="12">
                  <c:v>0.32258064516128998</c:v>
                </c:pt>
                <c:pt idx="13">
                  <c:v>0.292682926829268</c:v>
                </c:pt>
                <c:pt idx="14">
                  <c:v>0.375</c:v>
                </c:pt>
                <c:pt idx="15">
                  <c:v>0.37037037037037002</c:v>
                </c:pt>
                <c:pt idx="16">
                  <c:v>0.29207920792079201</c:v>
                </c:pt>
                <c:pt idx="17">
                  <c:v>0.29557291666666702</c:v>
                </c:pt>
              </c:numCache>
            </c:numRef>
          </c:val>
          <c:smooth val="0"/>
          <c:extLst>
            <c:ext xmlns:c16="http://schemas.microsoft.com/office/drawing/2014/chart" uri="{C3380CC4-5D6E-409C-BE32-E72D297353CC}">
              <c16:uniqueId val="{00000001-5625-485A-843C-68FFF7F897FD}"/>
            </c:ext>
          </c:extLst>
        </c:ser>
        <c:dLbls>
          <c:showLegendKey val="0"/>
          <c:showVal val="0"/>
          <c:showCatName val="0"/>
          <c:showSerName val="0"/>
          <c:showPercent val="0"/>
          <c:showBubbleSize val="0"/>
        </c:dLbls>
        <c:marker val="1"/>
        <c:smooth val="0"/>
        <c:axId val="1150214751"/>
        <c:axId val="1150216831"/>
      </c:lineChart>
      <c:catAx>
        <c:axId val="1150214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216831"/>
        <c:crosses val="autoZero"/>
        <c:auto val="1"/>
        <c:lblAlgn val="ctr"/>
        <c:lblOffset val="100"/>
        <c:noMultiLvlLbl val="0"/>
      </c:catAx>
      <c:valAx>
        <c:axId val="11502168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214751"/>
        <c:crosses val="autoZero"/>
        <c:crossBetween val="between"/>
      </c:valAx>
      <c:spPr>
        <a:noFill/>
        <a:ln>
          <a:noFill/>
        </a:ln>
        <a:effectLst/>
      </c:spPr>
    </c:plotArea>
    <c:legend>
      <c:legendPos val="t"/>
      <c:layout>
        <c:manualLayout>
          <c:xMode val="edge"/>
          <c:yMode val="edge"/>
          <c:x val="0.13861512934636769"/>
          <c:y val="0.16459193410933809"/>
          <c:w val="0.71705519138935458"/>
          <c:h val="9.460071136603712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06430-C0B3-4202-BAE8-68E267683170}">
  <ds:schemaRefs>
    <ds:schemaRef ds:uri="http://schemas.openxmlformats.org/officeDocument/2006/bibliography"/>
  </ds:schemaRefs>
</ds:datastoreItem>
</file>

<file path=customXml/itemProps2.xml><?xml version="1.0" encoding="utf-8"?>
<ds:datastoreItem xmlns:ds="http://schemas.openxmlformats.org/officeDocument/2006/customXml" ds:itemID="{D10551C3-9E3E-4AD0-A4D8-9E73320B4A92}"/>
</file>

<file path=customXml/itemProps3.xml><?xml version="1.0" encoding="utf-8"?>
<ds:datastoreItem xmlns:ds="http://schemas.openxmlformats.org/officeDocument/2006/customXml" ds:itemID="{B87C2BAC-3526-4E65-BE2D-F8AD61CC16CD}"/>
</file>

<file path=docProps/app.xml><?xml version="1.0" encoding="utf-8"?>
<Properties xmlns="http://schemas.openxmlformats.org/officeDocument/2006/extended-properties" xmlns:vt="http://schemas.openxmlformats.org/officeDocument/2006/docPropsVTypes">
  <Template>Normal</Template>
  <TotalTime>0</TotalTime>
  <Pages>13</Pages>
  <Words>4160</Words>
  <Characters>23717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27822</CharactersWithSpaces>
  <SharedDoc>false</SharedDoc>
  <HLinks>
    <vt:vector size="132" baseType="variant">
      <vt:variant>
        <vt:i4>1572870</vt:i4>
      </vt:variant>
      <vt:variant>
        <vt:i4>60</vt:i4>
      </vt:variant>
      <vt:variant>
        <vt:i4>0</vt:i4>
      </vt:variant>
      <vt:variant>
        <vt:i4>5</vt:i4>
      </vt:variant>
      <vt:variant>
        <vt:lpwstr>https://www.science.org.au/support/analysis/decadal-plans-science/women-in-stem-decadal-plan</vt:lpwstr>
      </vt:variant>
      <vt:variant>
        <vt:lpwstr/>
      </vt:variant>
      <vt:variant>
        <vt:i4>2228266</vt:i4>
      </vt:variant>
      <vt:variant>
        <vt:i4>57</vt:i4>
      </vt:variant>
      <vt:variant>
        <vt:i4>0</vt:i4>
      </vt:variant>
      <vt:variant>
        <vt:i4>5</vt:i4>
      </vt:variant>
      <vt:variant>
        <vt:lpwstr>https://www.sciencegenderequity.org.au/</vt:lpwstr>
      </vt:variant>
      <vt:variant>
        <vt:lpwstr/>
      </vt:variant>
      <vt:variant>
        <vt:i4>6815862</vt:i4>
      </vt:variant>
      <vt:variant>
        <vt:i4>54</vt:i4>
      </vt:variant>
      <vt:variant>
        <vt:i4>0</vt:i4>
      </vt:variant>
      <vt:variant>
        <vt:i4>5</vt:i4>
      </vt:variant>
      <vt:variant>
        <vt:lpwstr>https://www.industry.gov.au/data-and-publications/advancing-women-in-stem-strategy</vt:lpwstr>
      </vt:variant>
      <vt:variant>
        <vt:lpwstr/>
      </vt:variant>
      <vt:variant>
        <vt:i4>5242950</vt:i4>
      </vt:variant>
      <vt:variant>
        <vt:i4>51</vt:i4>
      </vt:variant>
      <vt:variant>
        <vt:i4>0</vt:i4>
      </vt:variant>
      <vt:variant>
        <vt:i4>5</vt:i4>
      </vt:variant>
      <vt:variant>
        <vt:lpwstr>https://www.arc.gov.au/policies-strategies/policy/eligibility-and-career-interruptions-statement</vt:lpwstr>
      </vt:variant>
      <vt:variant>
        <vt:lpwstr/>
      </vt:variant>
      <vt:variant>
        <vt:i4>786450</vt:i4>
      </vt:variant>
      <vt:variant>
        <vt:i4>48</vt:i4>
      </vt:variant>
      <vt:variant>
        <vt:i4>0</vt:i4>
      </vt:variant>
      <vt:variant>
        <vt:i4>5</vt:i4>
      </vt:variant>
      <vt:variant>
        <vt:lpwstr>https://www.arc.gov.au/policies-strategies/strategy/gender-equality-research</vt:lpwstr>
      </vt:variant>
      <vt:variant>
        <vt:lpwstr/>
      </vt:variant>
      <vt:variant>
        <vt:i4>5046365</vt:i4>
      </vt:variant>
      <vt:variant>
        <vt:i4>45</vt:i4>
      </vt:variant>
      <vt:variant>
        <vt:i4>0</vt:i4>
      </vt:variant>
      <vt:variant>
        <vt:i4>5</vt:i4>
      </vt:variant>
      <vt:variant>
        <vt:lpwstr>https://https/www.industry.gov.au/data-and-publications/stem-equity-monitor.industry.gov.au/data-and-publications/stem-equity-monitor</vt:lpwstr>
      </vt:variant>
      <vt:variant>
        <vt:lpwstr/>
      </vt:variant>
      <vt:variant>
        <vt:i4>655377</vt:i4>
      </vt:variant>
      <vt:variant>
        <vt:i4>42</vt:i4>
      </vt:variant>
      <vt:variant>
        <vt:i4>0</vt:i4>
      </vt:variant>
      <vt:variant>
        <vt:i4>5</vt:i4>
      </vt:variant>
      <vt:variant>
        <vt:lpwstr>https://www.arc.gov.au/grants-and-funding/apply-funding/grants-dataset/trend-visualisation/ncgp-trends-gender-data-visualisations</vt:lpwstr>
      </vt:variant>
      <vt:variant>
        <vt:lpwstr/>
      </vt:variant>
      <vt:variant>
        <vt:i4>655377</vt:i4>
      </vt:variant>
      <vt:variant>
        <vt:i4>39</vt:i4>
      </vt:variant>
      <vt:variant>
        <vt:i4>0</vt:i4>
      </vt:variant>
      <vt:variant>
        <vt:i4>5</vt:i4>
      </vt:variant>
      <vt:variant>
        <vt:lpwstr>https://www.arc.gov.au/grants-and-funding/apply-funding/grants-dataset/trend-visualisation/ncgp-trends-gender-data-visualisations</vt:lpwstr>
      </vt:variant>
      <vt:variant>
        <vt:lpwstr/>
      </vt:variant>
      <vt:variant>
        <vt:i4>4456479</vt:i4>
      </vt:variant>
      <vt:variant>
        <vt:i4>36</vt:i4>
      </vt:variant>
      <vt:variant>
        <vt:i4>0</vt:i4>
      </vt:variant>
      <vt:variant>
        <vt:i4>5</vt:i4>
      </vt:variant>
      <vt:variant>
        <vt:lpwstr>https://www.wgea.gov.au/what-we-do/employer-of-choice-for-gender-equality/current-eocge-citation-holders</vt:lpwstr>
      </vt:variant>
      <vt:variant>
        <vt:lpwstr/>
      </vt:variant>
      <vt:variant>
        <vt:i4>589854</vt:i4>
      </vt:variant>
      <vt:variant>
        <vt:i4>33</vt:i4>
      </vt:variant>
      <vt:variant>
        <vt:i4>0</vt:i4>
      </vt:variant>
      <vt:variant>
        <vt:i4>5</vt:i4>
      </vt:variant>
      <vt:variant>
        <vt:lpwstr>https://www.womeninresearch.org.au/blog/categories/small-wins-webinar-series</vt:lpwstr>
      </vt:variant>
      <vt:variant>
        <vt:lpwstr/>
      </vt:variant>
      <vt:variant>
        <vt:i4>589854</vt:i4>
      </vt:variant>
      <vt:variant>
        <vt:i4>30</vt:i4>
      </vt:variant>
      <vt:variant>
        <vt:i4>0</vt:i4>
      </vt:variant>
      <vt:variant>
        <vt:i4>5</vt:i4>
      </vt:variant>
      <vt:variant>
        <vt:lpwstr>https://www.womeninresearch.org.au/blog/categories/small-wins-webinar-series</vt:lpwstr>
      </vt:variant>
      <vt:variant>
        <vt:lpwstr/>
      </vt:variant>
      <vt:variant>
        <vt:i4>4390934</vt:i4>
      </vt:variant>
      <vt:variant>
        <vt:i4>27</vt:i4>
      </vt:variant>
      <vt:variant>
        <vt:i4>0</vt:i4>
      </vt:variant>
      <vt:variant>
        <vt:i4>5</vt:i4>
      </vt:variant>
      <vt:variant>
        <vt:lpwstr>https://mspgh.unimelb.edu.au/centres-institutes/centre-for-health-equity/research-group/imagine</vt:lpwstr>
      </vt:variant>
      <vt:variant>
        <vt:lpwstr>:~:text=The%20Innovative%20Measurement%20of%20Australian%20Gender%20(IN)Equality%20(IMAGINE,measuring%20gender%20equality%20in%20Australia.</vt:lpwstr>
      </vt:variant>
      <vt:variant>
        <vt:i4>7733361</vt:i4>
      </vt:variant>
      <vt:variant>
        <vt:i4>24</vt:i4>
      </vt:variant>
      <vt:variant>
        <vt:i4>0</vt:i4>
      </vt:variant>
      <vt:variant>
        <vt:i4>5</vt:i4>
      </vt:variant>
      <vt:variant>
        <vt:lpwstr>https://astro3d.org.au/our-centre/governance/diversity/</vt:lpwstr>
      </vt:variant>
      <vt:variant>
        <vt:lpwstr/>
      </vt:variant>
      <vt:variant>
        <vt:i4>6946918</vt:i4>
      </vt:variant>
      <vt:variant>
        <vt:i4>21</vt:i4>
      </vt:variant>
      <vt:variant>
        <vt:i4>0</vt:i4>
      </vt:variant>
      <vt:variant>
        <vt:i4>5</vt:i4>
      </vt:variant>
      <vt:variant>
        <vt:lpwstr>https://www.finance.gov.au/government/commonwealth-grants/commonwealth-grants-rules-and-guidelines</vt:lpwstr>
      </vt:variant>
      <vt:variant>
        <vt:lpwstr/>
      </vt:variant>
      <vt:variant>
        <vt:i4>4718599</vt:i4>
      </vt:variant>
      <vt:variant>
        <vt:i4>18</vt:i4>
      </vt:variant>
      <vt:variant>
        <vt:i4>0</vt:i4>
      </vt:variant>
      <vt:variant>
        <vt:i4>5</vt:i4>
      </vt:variant>
      <vt:variant>
        <vt:lpwstr>https://www.arc.gov.au/policies-strategies/strategy/gender-composition-arc-committees</vt:lpwstr>
      </vt:variant>
      <vt:variant>
        <vt:lpwstr/>
      </vt:variant>
      <vt:variant>
        <vt:i4>2424958</vt:i4>
      </vt:variant>
      <vt:variant>
        <vt:i4>15</vt:i4>
      </vt:variant>
      <vt:variant>
        <vt:i4>0</vt:i4>
      </vt:variant>
      <vt:variant>
        <vt:i4>5</vt:i4>
      </vt:variant>
      <vt:variant>
        <vt:lpwstr>https://www.arc.gov.au/policies-strategies/policy/arc-research-opportunity-and-performance-evidence-rope-statement</vt:lpwstr>
      </vt:variant>
      <vt:variant>
        <vt:lpwstr/>
      </vt:variant>
      <vt:variant>
        <vt:i4>5242950</vt:i4>
      </vt:variant>
      <vt:variant>
        <vt:i4>12</vt:i4>
      </vt:variant>
      <vt:variant>
        <vt:i4>0</vt:i4>
      </vt:variant>
      <vt:variant>
        <vt:i4>5</vt:i4>
      </vt:variant>
      <vt:variant>
        <vt:lpwstr>https://www.arc.gov.au/policies-strategies/policy/eligibility-and-career-interruptions-statement</vt:lpwstr>
      </vt:variant>
      <vt:variant>
        <vt:lpwstr/>
      </vt:variant>
      <vt:variant>
        <vt:i4>3080233</vt:i4>
      </vt:variant>
      <vt:variant>
        <vt:i4>9</vt:i4>
      </vt:variant>
      <vt:variant>
        <vt:i4>0</vt:i4>
      </vt:variant>
      <vt:variant>
        <vt:i4>5</vt:i4>
      </vt:variant>
      <vt:variant>
        <vt:lpwstr>https://www.womeninresearch.org.au/</vt:lpwstr>
      </vt:variant>
      <vt:variant>
        <vt:lpwstr/>
      </vt:variant>
      <vt:variant>
        <vt:i4>2359349</vt:i4>
      </vt:variant>
      <vt:variant>
        <vt:i4>6</vt:i4>
      </vt:variant>
      <vt:variant>
        <vt:i4>0</vt:i4>
      </vt:variant>
      <vt:variant>
        <vt:i4>5</vt:i4>
      </vt:variant>
      <vt:variant>
        <vt:lpwstr>https://www.monash.edu/arts/monash-indigenous-studies/global-encounters-and-first-nations-peoples/womens-early-career-mentoring-program</vt:lpwstr>
      </vt:variant>
      <vt:variant>
        <vt:lpwstr/>
      </vt:variant>
      <vt:variant>
        <vt:i4>1376337</vt:i4>
      </vt:variant>
      <vt:variant>
        <vt:i4>3</vt:i4>
      </vt:variant>
      <vt:variant>
        <vt:i4>0</vt:i4>
      </vt:variant>
      <vt:variant>
        <vt:i4>5</vt:i4>
      </vt:variant>
      <vt:variant>
        <vt:lpwstr>https://mdhs.unimelb.edu.au/diversity-and-inclusion/initiatives/georgina-sweet-laureate-fellowship/awards</vt:lpwstr>
      </vt:variant>
      <vt:variant>
        <vt:lpwstr/>
      </vt:variant>
      <vt:variant>
        <vt:i4>2228266</vt:i4>
      </vt:variant>
      <vt:variant>
        <vt:i4>0</vt:i4>
      </vt:variant>
      <vt:variant>
        <vt:i4>0</vt:i4>
      </vt:variant>
      <vt:variant>
        <vt:i4>5</vt:i4>
      </vt:variant>
      <vt:variant>
        <vt:lpwstr>https://www.sciencegenderequity.org.au/</vt:lpwstr>
      </vt:variant>
      <vt:variant>
        <vt:lpwstr/>
      </vt:variant>
      <vt:variant>
        <vt:i4>6750262</vt:i4>
      </vt:variant>
      <vt:variant>
        <vt:i4>0</vt:i4>
      </vt:variant>
      <vt:variant>
        <vt:i4>0</vt:i4>
      </vt:variant>
      <vt:variant>
        <vt:i4>5</vt:i4>
      </vt:variant>
      <vt:variant>
        <vt:lpwstr>https://www.wgea.gov.au/publications/gender-equality-business-case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2022-06-14T03:43:00Z</dcterms:created>
  <dcterms:modified xsi:type="dcterms:W3CDTF">2022-06-14T03:45:00Z</dcterms:modified>
</cp:coreProperties>
</file>