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51FC" w14:textId="4B854678" w:rsidR="003A4F14" w:rsidRPr="003A4F14" w:rsidRDefault="003A4F14" w:rsidP="003A4F14">
      <w:pPr>
        <w:spacing w:before="0" w:after="160"/>
        <w:rPr>
          <w:rFonts w:eastAsia="Times New Roman" w:cs="Times New Roman"/>
          <w:b/>
          <w:bCs/>
          <w:kern w:val="36"/>
          <w:sz w:val="32"/>
          <w:szCs w:val="48"/>
          <w:lang w:eastAsia="en-AU"/>
        </w:rPr>
        <w:sectPr w:rsidR="003A4F14" w:rsidRPr="003A4F14" w:rsidSect="003A4F14">
          <w:footerReference w:type="default" r:id="rId12"/>
          <w:footerReference w:type="first" r:id="rId13"/>
          <w:pgSz w:w="11906" w:h="16838"/>
          <w:pgMar w:top="0" w:right="1440" w:bottom="1440" w:left="1440" w:header="708" w:footer="708" w:gutter="0"/>
          <w:cols w:space="708"/>
          <w:titlePg/>
          <w:docGrid w:linePitch="360"/>
        </w:sectPr>
      </w:pPr>
      <w:r w:rsidRPr="00B11309">
        <w:rPr>
          <w:noProof/>
          <w:lang w:eastAsia="en-AU"/>
        </w:rPr>
        <w:drawing>
          <wp:anchor distT="0" distB="0" distL="114300" distR="114300" simplePos="0" relativeHeight="251659264" behindDoc="0" locked="0" layoutInCell="1" allowOverlap="1" wp14:anchorId="58CE8F26" wp14:editId="2FC8183D">
            <wp:simplePos x="0" y="0"/>
            <wp:positionH relativeFrom="page">
              <wp:align>right</wp:align>
            </wp:positionH>
            <wp:positionV relativeFrom="paragraph">
              <wp:posOffset>153</wp:posOffset>
            </wp:positionV>
            <wp:extent cx="7540625" cy="10665460"/>
            <wp:effectExtent l="0" t="0" r="3175" b="2540"/>
            <wp:wrapSquare wrapText="bothSides"/>
            <wp:docPr id="2" name="Picture 2" descr="FINAL E&amp;I 2018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E&amp;I 2018 Cov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40625" cy="10665460"/>
                    </a:xfrm>
                    <a:prstGeom prst="rect">
                      <a:avLst/>
                    </a:prstGeom>
                    <a:noFill/>
                  </pic:spPr>
                </pic:pic>
              </a:graphicData>
            </a:graphic>
            <wp14:sizeRelH relativeFrom="page">
              <wp14:pctWidth>0</wp14:pctWidth>
            </wp14:sizeRelH>
            <wp14:sizeRelV relativeFrom="page">
              <wp14:pctHeight>0</wp14:pctHeight>
            </wp14:sizeRelV>
          </wp:anchor>
        </w:drawing>
      </w:r>
      <w:r w:rsidR="001B6658" w:rsidRPr="00B11309">
        <w:rPr>
          <w:noProof/>
          <w:lang w:eastAsia="en-AU"/>
        </w:rPr>
        <mc:AlternateContent>
          <mc:Choice Requires="wps">
            <w:drawing>
              <wp:anchor distT="45720" distB="45720" distL="114300" distR="114300" simplePos="0" relativeHeight="251661312" behindDoc="0" locked="0" layoutInCell="1" allowOverlap="1" wp14:anchorId="76D03C0A" wp14:editId="221A631A">
                <wp:simplePos x="0" y="0"/>
                <wp:positionH relativeFrom="column">
                  <wp:posOffset>2296694</wp:posOffset>
                </wp:positionH>
                <wp:positionV relativeFrom="paragraph">
                  <wp:posOffset>6538316</wp:posOffset>
                </wp:positionV>
                <wp:extent cx="3876723" cy="1422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723" cy="1422400"/>
                        </a:xfrm>
                        <a:prstGeom prst="rect">
                          <a:avLst/>
                        </a:prstGeom>
                        <a:noFill/>
                        <a:ln w="9525">
                          <a:noFill/>
                          <a:miter lim="800000"/>
                          <a:headEnd/>
                          <a:tailEnd/>
                        </a:ln>
                      </wps:spPr>
                      <wps:txbx>
                        <w:txbxContent>
                          <w:p w14:paraId="0753790E" w14:textId="77777777" w:rsidR="001B6658" w:rsidRPr="008F7A4F" w:rsidRDefault="001B6658" w:rsidP="001B6658">
                            <w:pPr>
                              <w:jc w:val="center"/>
                              <w:rPr>
                                <w:rFonts w:ascii="Arial Black" w:hAnsi="Arial Black"/>
                                <w:b/>
                                <w:color w:val="222A35" w:themeColor="text2" w:themeShade="80"/>
                                <w:sz w:val="40"/>
                              </w:rPr>
                            </w:pPr>
                            <w:r>
                              <w:rPr>
                                <w:rFonts w:ascii="Arial Black" w:hAnsi="Arial Black"/>
                                <w:b/>
                                <w:color w:val="222A35" w:themeColor="text2" w:themeShade="80"/>
                                <w:sz w:val="40"/>
                              </w:rPr>
                              <w:t>EI 2018</w:t>
                            </w:r>
                          </w:p>
                          <w:p w14:paraId="2857AFE1" w14:textId="77777777" w:rsidR="001B6658" w:rsidRPr="008F7A4F" w:rsidRDefault="001B6658" w:rsidP="001B6658">
                            <w:pPr>
                              <w:jc w:val="center"/>
                              <w:rPr>
                                <w:color w:val="222A35" w:themeColor="text2" w:themeShade="80"/>
                                <w:sz w:val="32"/>
                              </w:rPr>
                            </w:pPr>
                            <w:r>
                              <w:rPr>
                                <w:color w:val="222A35" w:themeColor="text2" w:themeShade="80"/>
                                <w:sz w:val="32"/>
                              </w:rPr>
                              <w:t>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03C0A" id="_x0000_t202" coordsize="21600,21600" o:spt="202" path="m,l,21600r21600,l21600,xe">
                <v:stroke joinstyle="miter"/>
                <v:path gradientshapeok="t" o:connecttype="rect"/>
              </v:shapetype>
              <v:shape id="Text Box 2" o:spid="_x0000_s1026" type="#_x0000_t202" style="position:absolute;margin-left:180.85pt;margin-top:514.85pt;width:305.25pt;height:1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" filled="f" stroked="f">
                <v:textbox>
                  <w:txbxContent>
                    <w:p w14:paraId="0753790E" w14:textId="77777777" w:rsidR="001B6658" w:rsidRPr="008F7A4F" w:rsidRDefault="001B6658" w:rsidP="001B6658">
                      <w:pPr>
                        <w:jc w:val="center"/>
                        <w:rPr>
                          <w:rFonts w:ascii="Arial Black" w:hAnsi="Arial Black"/>
                          <w:b/>
                          <w:color w:val="222A35" w:themeColor="text2" w:themeShade="80"/>
                          <w:sz w:val="40"/>
                        </w:rPr>
                      </w:pPr>
                      <w:r>
                        <w:rPr>
                          <w:rFonts w:ascii="Arial Black" w:hAnsi="Arial Black"/>
                          <w:b/>
                          <w:color w:val="222A35" w:themeColor="text2" w:themeShade="80"/>
                          <w:sz w:val="40"/>
                        </w:rPr>
                        <w:t>EI 2018</w:t>
                      </w:r>
                    </w:p>
                    <w:p w14:paraId="2857AFE1" w14:textId="77777777" w:rsidR="001B6658" w:rsidRPr="008F7A4F" w:rsidRDefault="001B6658" w:rsidP="001B6658">
                      <w:pPr>
                        <w:jc w:val="center"/>
                        <w:rPr>
                          <w:color w:val="222A35" w:themeColor="text2" w:themeShade="80"/>
                          <w:sz w:val="32"/>
                        </w:rPr>
                      </w:pPr>
                      <w:r>
                        <w:rPr>
                          <w:color w:val="222A35" w:themeColor="text2" w:themeShade="80"/>
                          <w:sz w:val="32"/>
                        </w:rPr>
                        <w:t>FRAMEWORK</w:t>
                      </w:r>
                    </w:p>
                  </w:txbxContent>
                </v:textbox>
                <w10:wrap type="square"/>
              </v:shape>
            </w:pict>
          </mc:Fallback>
        </mc:AlternateContent>
      </w:r>
      <w:r w:rsidR="001B6658">
        <w:br w:type="page"/>
      </w:r>
    </w:p>
    <w:p w14:paraId="47032181" w14:textId="7963334F" w:rsidR="001B6658" w:rsidRPr="00B11309" w:rsidRDefault="001B6658" w:rsidP="001B6658">
      <w:r w:rsidRPr="00B11309">
        <w:lastRenderedPageBreak/>
        <w:t>Front cover image credits:</w:t>
      </w:r>
    </w:p>
    <w:p w14:paraId="5E2938BD" w14:textId="77777777" w:rsidR="001B6658" w:rsidRPr="00B11309" w:rsidRDefault="001B6658" w:rsidP="001B6658">
      <w:r w:rsidRPr="00B11309">
        <w:t>Biologic cell (colourful), iStock.com/ © dreaming2004</w:t>
      </w:r>
    </w:p>
    <w:p w14:paraId="6E72938F" w14:textId="77777777" w:rsidR="001B6658" w:rsidRPr="00B11309" w:rsidRDefault="001B6658" w:rsidP="001B6658">
      <w:r w:rsidRPr="00B11309">
        <w:t xml:space="preserve">Blue ink, iStock.com/ © </w:t>
      </w:r>
      <w:proofErr w:type="spellStart"/>
      <w:r w:rsidRPr="00B11309">
        <w:t>Pathathai</w:t>
      </w:r>
      <w:proofErr w:type="spellEnd"/>
      <w:r w:rsidRPr="00B11309">
        <w:t xml:space="preserve"> </w:t>
      </w:r>
      <w:proofErr w:type="spellStart"/>
      <w:r w:rsidRPr="00B11309">
        <w:t>Chungyam</w:t>
      </w:r>
      <w:proofErr w:type="spellEnd"/>
    </w:p>
    <w:p w14:paraId="3C93BA2E" w14:textId="77777777" w:rsidR="001B6658" w:rsidRPr="00B11309" w:rsidRDefault="001B6658" w:rsidP="001B6658">
      <w:r w:rsidRPr="00B11309">
        <w:t xml:space="preserve">Top view of inside a green plant, iStock.com/ © </w:t>
      </w:r>
      <w:proofErr w:type="spellStart"/>
      <w:r w:rsidRPr="00B11309">
        <w:t>Zaharov</w:t>
      </w:r>
      <w:proofErr w:type="spellEnd"/>
    </w:p>
    <w:p w14:paraId="0A5A397A" w14:textId="77777777" w:rsidR="001B6658" w:rsidRPr="00B11309" w:rsidRDefault="001B6658" w:rsidP="001B6658">
      <w:pPr>
        <w:spacing w:after="480"/>
      </w:pPr>
      <w:r w:rsidRPr="00B11309">
        <w:t xml:space="preserve">Deep blue silky smoke background, iStock.com/ © </w:t>
      </w:r>
      <w:proofErr w:type="spellStart"/>
      <w:r w:rsidRPr="00B11309">
        <w:t>Storman</w:t>
      </w:r>
      <w:proofErr w:type="spellEnd"/>
    </w:p>
    <w:p w14:paraId="425BAABA" w14:textId="3D401E0A" w:rsidR="001B6658" w:rsidRPr="009938D7" w:rsidRDefault="001B6658" w:rsidP="009938D7">
      <w:pPr>
        <w:autoSpaceDE w:val="0"/>
        <w:autoSpaceDN w:val="0"/>
        <w:rPr>
          <w:rFonts w:ascii="Calibri" w:hAnsi="Calibri"/>
          <w:color w:val="000000"/>
          <w:lang w:eastAsia="en-AU"/>
        </w:rPr>
      </w:pPr>
      <w:r w:rsidRPr="00B11309">
        <w:t xml:space="preserve">ISBN: </w:t>
      </w:r>
      <w:r w:rsidR="009938D7">
        <w:rPr>
          <w:color w:val="000000"/>
          <w:lang w:eastAsia="en-AU"/>
        </w:rPr>
        <w:t>978-0-6481723-1-4</w:t>
      </w:r>
      <w:r w:rsidR="001144B9">
        <w:t xml:space="preserve"> </w:t>
      </w:r>
      <w:r w:rsidRPr="00B11309">
        <w:t>(online) © Commonwealth of Australia 2017</w:t>
      </w:r>
    </w:p>
    <w:p w14:paraId="51B17E41" w14:textId="77777777" w:rsidR="001B6658" w:rsidRPr="00B11309" w:rsidRDefault="001B6658" w:rsidP="001B6658"/>
    <w:p w14:paraId="214577E7" w14:textId="2351B06F" w:rsidR="001B6658" w:rsidRPr="00B11309" w:rsidRDefault="001B6658" w:rsidP="001B6658">
      <w:r w:rsidRPr="00B11309">
        <w:t>All material presented in this publication is provided under a Creative Commons Attribution 3.0 Australia licence</w:t>
      </w:r>
      <w:r w:rsidR="00445124">
        <w:t xml:space="preserve"> </w:t>
      </w:r>
      <w:hyperlink r:id="rId15">
        <w:r w:rsidRPr="00B11309">
          <w:rPr>
            <w:color w:val="1155CC"/>
            <w:u w:val="single"/>
          </w:rPr>
          <w:t>www.creativecommons.org</w:t>
        </w:r>
      </w:hyperlink>
      <w:r w:rsidRPr="00B11309">
        <w:t>&gt;Share your work&gt;</w:t>
      </w:r>
      <w:hyperlink r:id="rId16">
        <w:r w:rsidRPr="00B11309">
          <w:rPr>
            <w:color w:val="1155CC"/>
            <w:u w:val="single"/>
          </w:rPr>
          <w:t>Licensing considerations</w:t>
        </w:r>
      </w:hyperlink>
      <w:r w:rsidRPr="00B11309">
        <w:t xml:space="preserve"> with the exception of the Commonwealth Coat of Arms, the Australian Research Council (ARC) logo, images, signatures and where otherwise stated. For the avoidance of doubt, this means this licence only applies to material as set out in this document. The details of the relevant licence conditions are available on the Creative Commons website as is the full legal code for the CC BY 4.0 licence</w:t>
      </w:r>
      <w:hyperlink r:id="rId17">
        <w:r w:rsidRPr="00B11309">
          <w:t xml:space="preserve"> </w:t>
        </w:r>
      </w:hyperlink>
      <w:hyperlink r:id="rId18">
        <w:r w:rsidRPr="00B11309">
          <w:rPr>
            <w:color w:val="1155CC"/>
            <w:u w:val="single"/>
          </w:rPr>
          <w:t>www.creativecommons.org</w:t>
        </w:r>
      </w:hyperlink>
      <w:r w:rsidRPr="00B11309">
        <w:t>&gt;Share your work&gt;</w:t>
      </w:r>
      <w:hyperlink r:id="rId19">
        <w:r w:rsidRPr="00B11309">
          <w:rPr>
            <w:color w:val="1155CC"/>
            <w:u w:val="single"/>
          </w:rPr>
          <w:t>Licensing considerations</w:t>
        </w:r>
      </w:hyperlink>
      <w:r w:rsidRPr="00B11309">
        <w:t xml:space="preserve">. Requests and enquiries regarding this licence should be addressed to ARC Legal Services on +61 2 6287 6600. </w:t>
      </w:r>
    </w:p>
    <w:p w14:paraId="0115AF2A" w14:textId="77777777" w:rsidR="001B6658" w:rsidRDefault="001B6658">
      <w:pPr>
        <w:spacing w:before="0" w:after="160"/>
        <w:rPr>
          <w:rFonts w:eastAsia="Times New Roman" w:cs="Times New Roman"/>
          <w:b/>
          <w:bCs/>
          <w:kern w:val="36"/>
          <w:sz w:val="32"/>
          <w:szCs w:val="48"/>
          <w:lang w:eastAsia="en-AU"/>
        </w:rPr>
      </w:pPr>
      <w:r>
        <w:br w:type="page"/>
      </w:r>
    </w:p>
    <w:p w14:paraId="37ED945B" w14:textId="03C649B6" w:rsidR="009B09F4" w:rsidRPr="009B09F4" w:rsidRDefault="006733B4" w:rsidP="003C6CEB">
      <w:pPr>
        <w:pStyle w:val="Heading1"/>
        <w:rPr>
          <w:sz w:val="24"/>
          <w:szCs w:val="24"/>
        </w:rPr>
      </w:pPr>
      <w:r>
        <w:lastRenderedPageBreak/>
        <w:t>EI </w:t>
      </w:r>
      <w:r w:rsidR="001B6658">
        <w:t>2018</w:t>
      </w:r>
      <w:r w:rsidR="009B09F4" w:rsidRPr="009B09F4">
        <w:t xml:space="preserve"> Framework</w:t>
      </w:r>
    </w:p>
    <w:p w14:paraId="30614672" w14:textId="77777777" w:rsidR="009B09F4" w:rsidRPr="009B09F4" w:rsidRDefault="009B09F4" w:rsidP="003C6CEB">
      <w:pPr>
        <w:pStyle w:val="Heading2"/>
      </w:pPr>
      <w:r w:rsidRPr="009B09F4">
        <w:t>Introduction</w:t>
      </w:r>
    </w:p>
    <w:p w14:paraId="1ED84B1F"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In December 2015, as part of its National Innovation and Science Agenda (NISA), the Government announced the development of a national Engagement and Impact (EI) assessment which will examine how universities are translating their research into economic, environmental, </w:t>
      </w:r>
      <w:proofErr w:type="gramStart"/>
      <w:r w:rsidRPr="009B09F4">
        <w:rPr>
          <w:rFonts w:eastAsia="Times New Roman" w:cs="Arial"/>
          <w:color w:val="000000"/>
          <w:lang w:eastAsia="en-AU"/>
        </w:rPr>
        <w:t>social</w:t>
      </w:r>
      <w:proofErr w:type="gramEnd"/>
      <w:r w:rsidRPr="009B09F4">
        <w:rPr>
          <w:rFonts w:eastAsia="Times New Roman" w:cs="Arial"/>
          <w:color w:val="000000"/>
          <w:lang w:eastAsia="en-AU"/>
        </w:rPr>
        <w:t xml:space="preserve"> and other benefits. </w:t>
      </w:r>
    </w:p>
    <w:p w14:paraId="6AC6B794"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EI</w:t>
      </w:r>
      <w:r w:rsidR="003C6CEB">
        <w:rPr>
          <w:rFonts w:eastAsia="Times New Roman" w:cs="Arial"/>
          <w:color w:val="000000"/>
          <w:lang w:eastAsia="en-AU"/>
        </w:rPr>
        <w:t> </w:t>
      </w:r>
      <w:r w:rsidRPr="009B09F4">
        <w:rPr>
          <w:rFonts w:eastAsia="Times New Roman" w:cs="Arial"/>
          <w:color w:val="000000"/>
          <w:lang w:eastAsia="en-AU"/>
        </w:rPr>
        <w:t xml:space="preserve">2018 aims to create incentives for greater collaboration between universities and industry, as well as other research end-users. </w:t>
      </w:r>
    </w:p>
    <w:p w14:paraId="647DA85E"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EI</w:t>
      </w:r>
      <w:r w:rsidR="003C6CEB">
        <w:rPr>
          <w:rFonts w:eastAsia="Times New Roman" w:cs="Arial"/>
          <w:color w:val="000000"/>
          <w:lang w:eastAsia="en-AU"/>
        </w:rPr>
        <w:t> </w:t>
      </w:r>
      <w:r w:rsidRPr="009B09F4">
        <w:rPr>
          <w:rFonts w:eastAsia="Times New Roman" w:cs="Arial"/>
          <w:color w:val="000000"/>
          <w:lang w:eastAsia="en-AU"/>
        </w:rPr>
        <w:t>2018 is a companion exercise to Excellence in Research for Australia (ERA) 2018, and data collected for ERA</w:t>
      </w:r>
      <w:r w:rsidR="003C6CEB">
        <w:rPr>
          <w:rFonts w:eastAsia="Times New Roman" w:cs="Arial"/>
          <w:color w:val="000000"/>
          <w:lang w:eastAsia="en-AU"/>
        </w:rPr>
        <w:t> </w:t>
      </w:r>
      <w:r w:rsidRPr="009B09F4">
        <w:rPr>
          <w:rFonts w:eastAsia="Times New Roman" w:cs="Arial"/>
          <w:color w:val="000000"/>
          <w:lang w:eastAsia="en-AU"/>
        </w:rPr>
        <w:t>2018 forms part of the EI</w:t>
      </w:r>
      <w:r w:rsidR="003C6CEB">
        <w:rPr>
          <w:rFonts w:eastAsia="Times New Roman" w:cs="Arial"/>
          <w:color w:val="000000"/>
          <w:lang w:eastAsia="en-AU"/>
        </w:rPr>
        <w:t> </w:t>
      </w:r>
      <w:r w:rsidRPr="009B09F4">
        <w:rPr>
          <w:rFonts w:eastAsia="Times New Roman" w:cs="Arial"/>
          <w:color w:val="000000"/>
          <w:lang w:eastAsia="en-AU"/>
        </w:rPr>
        <w:t xml:space="preserve">2018 assessment. </w:t>
      </w:r>
    </w:p>
    <w:p w14:paraId="43B104E0"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The objectives of EI are to: </w:t>
      </w:r>
    </w:p>
    <w:p w14:paraId="7914E056" w14:textId="6A3CC82E" w:rsidR="009B09F4" w:rsidRPr="00C95786"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t>provide clarity to the Government and Australian pub</w:t>
      </w:r>
      <w:r w:rsidR="00E71908" w:rsidRPr="00C95786">
        <w:t xml:space="preserve">lic about how their investment </w:t>
      </w:r>
      <w:r w:rsidRPr="00C95786">
        <w:t>in university research translate into tangible benefits beyond academia</w:t>
      </w:r>
    </w:p>
    <w:p w14:paraId="30EF30B7" w14:textId="77777777" w:rsidR="009B09F4" w:rsidRPr="00C95786"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t>identify institutional processes and infrastructure that enable research engagement</w:t>
      </w:r>
    </w:p>
    <w:p w14:paraId="632C9E7E" w14:textId="77777777" w:rsidR="009B09F4" w:rsidRPr="00C95786"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t>promote greater support for the translation of research impact within institutions for the benefit of Australia beyond academia</w:t>
      </w:r>
    </w:p>
    <w:p w14:paraId="41C92296" w14:textId="77777777" w:rsidR="009B09F4"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t>identi</w:t>
      </w:r>
      <w:r w:rsidRPr="009B09F4">
        <w:rPr>
          <w:rFonts w:eastAsia="Times New Roman" w:cs="Arial"/>
          <w:color w:val="000000"/>
          <w:lang w:eastAsia="en-AU"/>
        </w:rPr>
        <w:t>fy the ways in which institutions currently translate research into impact.</w:t>
      </w:r>
    </w:p>
    <w:p w14:paraId="5C40B406" w14:textId="77777777" w:rsidR="004C0BA7" w:rsidRPr="009B09F4" w:rsidRDefault="004C0BA7" w:rsidP="006733B4">
      <w:pPr>
        <w:ind w:left="720"/>
        <w:textAlignment w:val="baseline"/>
        <w:rPr>
          <w:rFonts w:eastAsia="Times New Roman" w:cs="Arial"/>
          <w:color w:val="000000"/>
          <w:lang w:eastAsia="en-AU"/>
        </w:rPr>
      </w:pPr>
    </w:p>
    <w:p w14:paraId="39473AB9" w14:textId="28618F4A"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This document outlines the </w:t>
      </w:r>
      <w:r w:rsidR="00B420B1">
        <w:rPr>
          <w:rFonts w:eastAsia="Times New Roman" w:cs="Arial"/>
          <w:color w:val="000000"/>
          <w:lang w:eastAsia="en-AU"/>
        </w:rPr>
        <w:t xml:space="preserve">framework for </w:t>
      </w:r>
      <w:r w:rsidRPr="009B09F4">
        <w:rPr>
          <w:rFonts w:eastAsia="Times New Roman" w:cs="Arial"/>
          <w:color w:val="000000"/>
          <w:lang w:eastAsia="en-AU"/>
        </w:rPr>
        <w:t>EI</w:t>
      </w:r>
      <w:r w:rsidR="003C6CEB">
        <w:rPr>
          <w:rFonts w:eastAsia="Times New Roman" w:cs="Arial"/>
          <w:color w:val="000000"/>
          <w:lang w:eastAsia="en-AU"/>
        </w:rPr>
        <w:t> </w:t>
      </w:r>
      <w:r w:rsidRPr="009B09F4">
        <w:rPr>
          <w:rFonts w:eastAsia="Times New Roman" w:cs="Arial"/>
          <w:color w:val="000000"/>
          <w:lang w:eastAsia="en-AU"/>
        </w:rPr>
        <w:t>2018</w:t>
      </w:r>
      <w:r w:rsidR="00B420B1">
        <w:rPr>
          <w:rFonts w:eastAsia="Times New Roman" w:cs="Arial"/>
          <w:color w:val="000000"/>
          <w:lang w:eastAsia="en-AU"/>
        </w:rPr>
        <w:t>, including the methodology and indicators</w:t>
      </w:r>
      <w:r w:rsidRPr="009B09F4">
        <w:rPr>
          <w:rFonts w:eastAsia="Times New Roman" w:cs="Arial"/>
          <w:color w:val="000000"/>
          <w:lang w:eastAsia="en-AU"/>
        </w:rPr>
        <w:t>. For more detail on the EI</w:t>
      </w:r>
      <w:r w:rsidR="004668D1">
        <w:rPr>
          <w:rFonts w:eastAsia="Times New Roman" w:cs="Arial"/>
          <w:color w:val="000000"/>
          <w:lang w:eastAsia="en-AU"/>
        </w:rPr>
        <w:t> </w:t>
      </w:r>
      <w:r w:rsidRPr="009B09F4">
        <w:rPr>
          <w:rFonts w:eastAsia="Times New Roman" w:cs="Arial"/>
          <w:color w:val="000000"/>
          <w:lang w:eastAsia="en-AU"/>
        </w:rPr>
        <w:t xml:space="preserve">2018 submission process, refer to the </w:t>
      </w:r>
      <w:r w:rsidR="000E0CEB">
        <w:rPr>
          <w:rFonts w:eastAsia="Times New Roman" w:cs="Arial"/>
          <w:i/>
          <w:iCs/>
          <w:color w:val="000000"/>
          <w:lang w:eastAsia="en-AU"/>
        </w:rPr>
        <w:t>EI </w:t>
      </w:r>
      <w:r w:rsidRPr="009B09F4">
        <w:rPr>
          <w:rFonts w:eastAsia="Times New Roman" w:cs="Arial"/>
          <w:i/>
          <w:iCs/>
          <w:color w:val="000000"/>
          <w:lang w:eastAsia="en-AU"/>
        </w:rPr>
        <w:t>2018 Submission Guidelines</w:t>
      </w:r>
      <w:r w:rsidRPr="009B09F4">
        <w:rPr>
          <w:rFonts w:eastAsia="Times New Roman" w:cs="Arial"/>
          <w:color w:val="000000"/>
          <w:lang w:eastAsia="en-AU"/>
        </w:rPr>
        <w:t xml:space="preserve">. </w:t>
      </w:r>
    </w:p>
    <w:p w14:paraId="7CA49E4D" w14:textId="77777777" w:rsidR="009B09F4" w:rsidRPr="009B09F4" w:rsidRDefault="009B09F4" w:rsidP="003C6CEB">
      <w:pPr>
        <w:pStyle w:val="Heading2"/>
      </w:pPr>
      <w:r w:rsidRPr="009B09F4">
        <w:t>Overview</w:t>
      </w:r>
    </w:p>
    <w:p w14:paraId="5259DAAB" w14:textId="4C280E12"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For EI</w:t>
      </w:r>
      <w:r w:rsidR="003C6CEB">
        <w:rPr>
          <w:rFonts w:eastAsia="Times New Roman" w:cs="Arial"/>
          <w:color w:val="000000"/>
          <w:lang w:eastAsia="en-AU"/>
        </w:rPr>
        <w:t> </w:t>
      </w:r>
      <w:r w:rsidRPr="009B09F4">
        <w:rPr>
          <w:rFonts w:eastAsia="Times New Roman" w:cs="Arial"/>
          <w:color w:val="000000"/>
          <w:lang w:eastAsia="en-AU"/>
        </w:rPr>
        <w:t xml:space="preserve">2018, university performance is assessed in each discipline using </w:t>
      </w:r>
      <w:r w:rsidR="001C3ED9">
        <w:rPr>
          <w:rFonts w:eastAsia="Times New Roman" w:cs="Arial"/>
          <w:color w:val="000000"/>
          <w:lang w:eastAsia="en-AU"/>
        </w:rPr>
        <w:t>qualitative statements,</w:t>
      </w:r>
      <w:r w:rsidR="00D71606">
        <w:rPr>
          <w:rFonts w:eastAsia="Times New Roman" w:cs="Arial"/>
          <w:color w:val="000000"/>
          <w:lang w:eastAsia="en-AU"/>
        </w:rPr>
        <w:t xml:space="preserve"> </w:t>
      </w:r>
      <w:r w:rsidRPr="009B09F4">
        <w:rPr>
          <w:rFonts w:eastAsia="Times New Roman" w:cs="Arial"/>
          <w:color w:val="000000"/>
          <w:lang w:eastAsia="en-AU"/>
        </w:rPr>
        <w:t xml:space="preserve">a small suite of </w:t>
      </w:r>
      <w:r w:rsidR="00295A44">
        <w:rPr>
          <w:rFonts w:eastAsia="Times New Roman" w:cs="Arial"/>
          <w:color w:val="000000"/>
          <w:lang w:eastAsia="en-AU"/>
        </w:rPr>
        <w:t>quantitative</w:t>
      </w:r>
      <w:r w:rsidR="00295A44" w:rsidRPr="009B09F4">
        <w:rPr>
          <w:rFonts w:eastAsia="Times New Roman" w:cs="Arial"/>
          <w:color w:val="000000"/>
          <w:lang w:eastAsia="en-AU"/>
        </w:rPr>
        <w:t xml:space="preserve"> </w:t>
      </w:r>
      <w:r w:rsidR="00B420B1">
        <w:rPr>
          <w:rFonts w:eastAsia="Times New Roman" w:cs="Arial"/>
          <w:color w:val="000000"/>
          <w:lang w:eastAsia="en-AU"/>
        </w:rPr>
        <w:t>indicators</w:t>
      </w:r>
      <w:r w:rsidR="00B420B1" w:rsidRPr="009B09F4">
        <w:rPr>
          <w:rFonts w:eastAsia="Times New Roman" w:cs="Arial"/>
          <w:color w:val="000000"/>
          <w:lang w:eastAsia="en-AU"/>
        </w:rPr>
        <w:t xml:space="preserve"> </w:t>
      </w:r>
      <w:r w:rsidRPr="009B09F4">
        <w:rPr>
          <w:rFonts w:eastAsia="Times New Roman" w:cs="Arial"/>
          <w:color w:val="000000"/>
          <w:lang w:eastAsia="en-AU"/>
        </w:rPr>
        <w:t xml:space="preserve">for engagement, and a </w:t>
      </w:r>
      <w:proofErr w:type="gramStart"/>
      <w:r w:rsidRPr="009B09F4">
        <w:rPr>
          <w:rFonts w:eastAsia="Times New Roman" w:cs="Arial"/>
          <w:color w:val="000000"/>
          <w:lang w:eastAsia="en-AU"/>
        </w:rPr>
        <w:t>narrative based</w:t>
      </w:r>
      <w:proofErr w:type="gramEnd"/>
      <w:r w:rsidRPr="009B09F4">
        <w:rPr>
          <w:rFonts w:eastAsia="Times New Roman" w:cs="Arial"/>
          <w:color w:val="000000"/>
          <w:lang w:eastAsia="en-AU"/>
        </w:rPr>
        <w:t xml:space="preserve"> study for impact.</w:t>
      </w:r>
    </w:p>
    <w:p w14:paraId="5C26C522"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The U</w:t>
      </w:r>
      <w:r w:rsidR="00B420B1">
        <w:rPr>
          <w:rFonts w:eastAsia="Times New Roman" w:cs="Arial"/>
          <w:color w:val="000000"/>
          <w:lang w:eastAsia="en-AU"/>
        </w:rPr>
        <w:t xml:space="preserve">nit </w:t>
      </w:r>
      <w:r w:rsidRPr="009B09F4">
        <w:rPr>
          <w:rFonts w:eastAsia="Times New Roman" w:cs="Arial"/>
          <w:color w:val="000000"/>
          <w:lang w:eastAsia="en-AU"/>
        </w:rPr>
        <w:t>o</w:t>
      </w:r>
      <w:r w:rsidR="00B420B1">
        <w:rPr>
          <w:rFonts w:eastAsia="Times New Roman" w:cs="Arial"/>
          <w:color w:val="000000"/>
          <w:lang w:eastAsia="en-AU"/>
        </w:rPr>
        <w:t xml:space="preserve">f </w:t>
      </w:r>
      <w:r w:rsidRPr="009B09F4">
        <w:rPr>
          <w:rFonts w:eastAsia="Times New Roman" w:cs="Arial"/>
          <w:color w:val="000000"/>
          <w:lang w:eastAsia="en-AU"/>
        </w:rPr>
        <w:t>A</w:t>
      </w:r>
      <w:r w:rsidR="00B420B1">
        <w:rPr>
          <w:rFonts w:eastAsia="Times New Roman" w:cs="Arial"/>
          <w:color w:val="000000"/>
          <w:lang w:eastAsia="en-AU"/>
        </w:rPr>
        <w:t>ssessment (</w:t>
      </w:r>
      <w:proofErr w:type="spellStart"/>
      <w:r w:rsidR="00B420B1">
        <w:rPr>
          <w:rFonts w:eastAsia="Times New Roman" w:cs="Arial"/>
          <w:color w:val="000000"/>
          <w:lang w:eastAsia="en-AU"/>
        </w:rPr>
        <w:t>UoA</w:t>
      </w:r>
      <w:proofErr w:type="spellEnd"/>
      <w:r w:rsidR="00B420B1">
        <w:rPr>
          <w:rFonts w:eastAsia="Times New Roman" w:cs="Arial"/>
          <w:color w:val="000000"/>
          <w:lang w:eastAsia="en-AU"/>
        </w:rPr>
        <w:t>)</w:t>
      </w:r>
      <w:r w:rsidRPr="009B09F4">
        <w:rPr>
          <w:rFonts w:eastAsia="Times New Roman" w:cs="Arial"/>
          <w:color w:val="000000"/>
          <w:lang w:eastAsia="en-AU"/>
        </w:rPr>
        <w:t xml:space="preserve"> is the two-digit Field of Research (</w:t>
      </w:r>
      <w:proofErr w:type="spellStart"/>
      <w:r w:rsidRPr="009B09F4">
        <w:rPr>
          <w:rFonts w:eastAsia="Times New Roman" w:cs="Arial"/>
          <w:color w:val="000000"/>
          <w:lang w:eastAsia="en-AU"/>
        </w:rPr>
        <w:t>FoR</w:t>
      </w:r>
      <w:proofErr w:type="spellEnd"/>
      <w:r w:rsidRPr="009B09F4">
        <w:rPr>
          <w:rFonts w:eastAsia="Times New Roman" w:cs="Arial"/>
          <w:color w:val="000000"/>
          <w:lang w:eastAsia="en-AU"/>
        </w:rPr>
        <w:t>) at the institution, with the following exceptions:</w:t>
      </w:r>
    </w:p>
    <w:p w14:paraId="5665A296" w14:textId="77196F81" w:rsidR="009B09F4" w:rsidRPr="00C95786"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t xml:space="preserve">The </w:t>
      </w:r>
      <w:proofErr w:type="spellStart"/>
      <w:r w:rsidRPr="00C95786">
        <w:t>FoR</w:t>
      </w:r>
      <w:proofErr w:type="spellEnd"/>
      <w:r w:rsidRPr="00C95786">
        <w:t xml:space="preserve"> 11 Medical and Health Sciences is divided into two groups—Biomedical and Clinical Sciences, and Public and Allied Health Sciences—due to the diversity and high volume of research covered by this </w:t>
      </w:r>
      <w:proofErr w:type="spellStart"/>
      <w:proofErr w:type="gramStart"/>
      <w:r w:rsidRPr="00C95786">
        <w:t>FoR</w:t>
      </w:r>
      <w:proofErr w:type="spellEnd"/>
      <w:proofErr w:type="gramEnd"/>
      <w:r w:rsidRPr="00C95786">
        <w:t xml:space="preserve"> (see </w:t>
      </w:r>
      <w:hyperlink w:anchor="_Appendix_A—4-digit_FoR" w:history="1">
        <w:r w:rsidRPr="00C95786">
          <w:t>Appendix A</w:t>
        </w:r>
      </w:hyperlink>
      <w:r w:rsidRPr="00C95786">
        <w:t xml:space="preserve"> for division by </w:t>
      </w:r>
      <w:r w:rsidR="002B1383" w:rsidRPr="00C95786">
        <w:t>four</w:t>
      </w:r>
      <w:r w:rsidRPr="00C95786">
        <w:t xml:space="preserve">-digit </w:t>
      </w:r>
      <w:proofErr w:type="spellStart"/>
      <w:r w:rsidRPr="00C95786">
        <w:t>FoR</w:t>
      </w:r>
      <w:proofErr w:type="spellEnd"/>
      <w:r w:rsidRPr="00C95786">
        <w:t>).</w:t>
      </w:r>
    </w:p>
    <w:p w14:paraId="141B2A4A" w14:textId="77777777" w:rsidR="009B09F4" w:rsidRPr="00C95786"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t>Institutions may submit one interdisciplinary impact study for impact assessment only.</w:t>
      </w:r>
    </w:p>
    <w:p w14:paraId="71320B88" w14:textId="6020BE88" w:rsidR="009B09F4"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t>Institutions may submit one Aboriginal and Torres Strait Islander research impact study for impa</w:t>
      </w:r>
      <w:r w:rsidRPr="009B09F4">
        <w:rPr>
          <w:rFonts w:eastAsia="Times New Roman" w:cs="Arial"/>
          <w:color w:val="000000"/>
          <w:lang w:eastAsia="en-AU"/>
        </w:rPr>
        <w:t>ct assessment only.</w:t>
      </w:r>
    </w:p>
    <w:p w14:paraId="633A5F97" w14:textId="77777777" w:rsidR="00D405E9" w:rsidRPr="009B09F4" w:rsidRDefault="00D405E9" w:rsidP="00D405E9">
      <w:pPr>
        <w:ind w:left="720"/>
        <w:textAlignment w:val="baseline"/>
        <w:rPr>
          <w:rFonts w:eastAsia="Times New Roman" w:cs="Arial"/>
          <w:color w:val="000000"/>
          <w:lang w:eastAsia="en-AU"/>
        </w:rPr>
      </w:pPr>
    </w:p>
    <w:p w14:paraId="27F15885" w14:textId="5554D8A2" w:rsidR="00B420B1" w:rsidRPr="006F442F" w:rsidRDefault="00B420B1" w:rsidP="006733B4">
      <w:pPr>
        <w:rPr>
          <w:rFonts w:ascii="Times New Roman" w:eastAsia="Times New Roman" w:hAnsi="Times New Roman" w:cs="Times New Roman"/>
          <w:sz w:val="24"/>
          <w:szCs w:val="24"/>
          <w:lang w:eastAsia="en-AU"/>
        </w:rPr>
      </w:pPr>
      <w:r w:rsidRPr="006F442F">
        <w:rPr>
          <w:rFonts w:eastAsia="Times New Roman" w:cs="Arial"/>
          <w:color w:val="000000"/>
          <w:lang w:eastAsia="en-AU"/>
        </w:rPr>
        <w:t xml:space="preserve">There are three separate ratings per </w:t>
      </w:r>
      <w:r w:rsidR="00D71606">
        <w:rPr>
          <w:rFonts w:eastAsia="Times New Roman" w:cs="Arial"/>
          <w:color w:val="000000"/>
          <w:lang w:eastAsia="en-AU"/>
        </w:rPr>
        <w:t>two</w:t>
      </w:r>
      <w:r w:rsidR="001C3ED9">
        <w:rPr>
          <w:rFonts w:eastAsia="Times New Roman" w:cs="Arial"/>
          <w:color w:val="000000"/>
          <w:lang w:eastAsia="en-AU"/>
        </w:rPr>
        <w:t>-</w:t>
      </w:r>
      <w:r w:rsidR="00D71606">
        <w:rPr>
          <w:rFonts w:eastAsia="Times New Roman" w:cs="Arial"/>
          <w:color w:val="000000"/>
          <w:lang w:eastAsia="en-AU"/>
        </w:rPr>
        <w:t xml:space="preserve">digit </w:t>
      </w:r>
      <w:r w:rsidRPr="006F442F">
        <w:rPr>
          <w:rFonts w:eastAsia="Times New Roman" w:cs="Arial"/>
          <w:color w:val="000000"/>
          <w:lang w:eastAsia="en-AU"/>
        </w:rPr>
        <w:t>Unit of Assessment (</w:t>
      </w:r>
      <w:proofErr w:type="spellStart"/>
      <w:r w:rsidRPr="006F442F">
        <w:rPr>
          <w:rFonts w:eastAsia="Times New Roman" w:cs="Arial"/>
          <w:color w:val="000000"/>
          <w:lang w:eastAsia="en-AU"/>
        </w:rPr>
        <w:t>UoA</w:t>
      </w:r>
      <w:proofErr w:type="spellEnd"/>
      <w:r w:rsidRPr="006F442F">
        <w:rPr>
          <w:rFonts w:eastAsia="Times New Roman" w:cs="Arial"/>
          <w:color w:val="000000"/>
          <w:lang w:eastAsia="en-AU"/>
        </w:rPr>
        <w:t xml:space="preserve">)—one for engagement and two for impact (with the ‘approach to impact’ and impact example rated </w:t>
      </w:r>
      <w:r w:rsidRPr="006F442F">
        <w:rPr>
          <w:rFonts w:eastAsia="Times New Roman" w:cs="Arial"/>
          <w:color w:val="000000"/>
          <w:lang w:eastAsia="en-AU"/>
        </w:rPr>
        <w:lastRenderedPageBreak/>
        <w:t xml:space="preserve">separately). </w:t>
      </w:r>
      <w:r w:rsidR="001C3ED9">
        <w:rPr>
          <w:rFonts w:eastAsia="Times New Roman" w:cs="Arial"/>
          <w:color w:val="000000"/>
          <w:lang w:eastAsia="en-AU"/>
        </w:rPr>
        <w:t>I</w:t>
      </w:r>
      <w:r w:rsidR="00D71606">
        <w:rPr>
          <w:rFonts w:eastAsia="Times New Roman" w:cs="Arial"/>
          <w:color w:val="000000"/>
          <w:lang w:eastAsia="en-AU"/>
        </w:rPr>
        <w:t xml:space="preserve">nterdisciplinary and </w:t>
      </w:r>
      <w:r w:rsidR="00D71606" w:rsidRPr="009B09F4">
        <w:rPr>
          <w:rFonts w:eastAsia="Times New Roman" w:cs="Arial"/>
          <w:color w:val="000000"/>
          <w:lang w:eastAsia="en-AU"/>
        </w:rPr>
        <w:t>Aboriginal and Torres Strait Islander</w:t>
      </w:r>
      <w:r w:rsidR="00D71606">
        <w:rPr>
          <w:rFonts w:eastAsia="Times New Roman" w:cs="Arial"/>
          <w:color w:val="000000"/>
          <w:lang w:eastAsia="en-AU"/>
        </w:rPr>
        <w:t xml:space="preserve"> </w:t>
      </w:r>
      <w:r w:rsidR="00E60871">
        <w:rPr>
          <w:rFonts w:eastAsia="Times New Roman" w:cs="Arial"/>
          <w:color w:val="000000"/>
          <w:lang w:eastAsia="en-AU"/>
        </w:rPr>
        <w:t xml:space="preserve">research </w:t>
      </w:r>
      <w:proofErr w:type="spellStart"/>
      <w:r w:rsidR="00D71606">
        <w:rPr>
          <w:rFonts w:eastAsia="Times New Roman" w:cs="Arial"/>
          <w:color w:val="000000"/>
          <w:lang w:eastAsia="en-AU"/>
        </w:rPr>
        <w:t>UoA</w:t>
      </w:r>
      <w:r w:rsidR="001C3ED9">
        <w:rPr>
          <w:rFonts w:eastAsia="Times New Roman" w:cs="Arial"/>
          <w:color w:val="000000"/>
          <w:lang w:eastAsia="en-AU"/>
        </w:rPr>
        <w:t>s</w:t>
      </w:r>
      <w:proofErr w:type="spellEnd"/>
      <w:r w:rsidR="001C3ED9">
        <w:rPr>
          <w:rFonts w:eastAsia="Times New Roman" w:cs="Arial"/>
          <w:color w:val="000000"/>
          <w:lang w:eastAsia="en-AU"/>
        </w:rPr>
        <w:t xml:space="preserve"> are only assessed for impact and so only receive </w:t>
      </w:r>
      <w:r w:rsidR="00D71606">
        <w:rPr>
          <w:rFonts w:eastAsia="Times New Roman" w:cs="Arial"/>
          <w:color w:val="000000"/>
          <w:lang w:eastAsia="en-AU"/>
        </w:rPr>
        <w:t>two rating</w:t>
      </w:r>
      <w:r w:rsidR="001C3ED9">
        <w:rPr>
          <w:rFonts w:eastAsia="Times New Roman" w:cs="Arial"/>
          <w:color w:val="000000"/>
          <w:lang w:eastAsia="en-AU"/>
        </w:rPr>
        <w:t>s</w:t>
      </w:r>
      <w:r w:rsidR="000E0CEB">
        <w:rPr>
          <w:rFonts w:eastAsia="Times New Roman" w:cs="Arial"/>
          <w:color w:val="000000"/>
          <w:lang w:eastAsia="en-AU"/>
        </w:rPr>
        <w:t>.</w:t>
      </w:r>
    </w:p>
    <w:p w14:paraId="70DDA062" w14:textId="56151A38"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EI</w:t>
      </w:r>
      <w:r w:rsidR="003C6CEB">
        <w:rPr>
          <w:rFonts w:eastAsia="Times New Roman" w:cs="Arial"/>
          <w:color w:val="000000"/>
          <w:lang w:eastAsia="en-AU"/>
        </w:rPr>
        <w:t> </w:t>
      </w:r>
      <w:r w:rsidRPr="009B09F4">
        <w:rPr>
          <w:rFonts w:eastAsia="Times New Roman" w:cs="Arial"/>
          <w:color w:val="000000"/>
          <w:lang w:eastAsia="en-AU"/>
        </w:rPr>
        <w:t xml:space="preserve">2018 uses a low volume threshold to determine if an institution must make a submission for a </w:t>
      </w:r>
      <w:proofErr w:type="spellStart"/>
      <w:r w:rsidRPr="009B09F4">
        <w:rPr>
          <w:rFonts w:eastAsia="Times New Roman" w:cs="Arial"/>
          <w:color w:val="000000"/>
          <w:lang w:eastAsia="en-AU"/>
        </w:rPr>
        <w:t>UoA</w:t>
      </w:r>
      <w:proofErr w:type="spellEnd"/>
      <w:r w:rsidRPr="009B09F4">
        <w:rPr>
          <w:rFonts w:eastAsia="Times New Roman" w:cs="Arial"/>
          <w:color w:val="000000"/>
          <w:lang w:eastAsia="en-AU"/>
        </w:rPr>
        <w:t xml:space="preserve">. The low volume threshold is 150 weighted </w:t>
      </w:r>
      <w:r w:rsidR="00881905">
        <w:rPr>
          <w:rFonts w:eastAsia="Times New Roman" w:cs="Arial"/>
          <w:color w:val="000000"/>
          <w:lang w:eastAsia="en-AU"/>
        </w:rPr>
        <w:t xml:space="preserve">apportioned </w:t>
      </w:r>
      <w:r w:rsidRPr="009B09F4">
        <w:rPr>
          <w:rFonts w:eastAsia="Times New Roman" w:cs="Arial"/>
          <w:color w:val="000000"/>
          <w:lang w:eastAsia="en-AU"/>
        </w:rPr>
        <w:t>outputs (1 book counts as 5) based on an institution’s relevant submission to ERA</w:t>
      </w:r>
      <w:r w:rsidR="003C6CEB">
        <w:rPr>
          <w:rFonts w:eastAsia="Times New Roman" w:cs="Arial"/>
          <w:color w:val="000000"/>
          <w:lang w:eastAsia="en-AU"/>
        </w:rPr>
        <w:t> </w:t>
      </w:r>
      <w:r w:rsidRPr="009B09F4">
        <w:rPr>
          <w:rFonts w:eastAsia="Times New Roman" w:cs="Arial"/>
          <w:color w:val="000000"/>
          <w:lang w:eastAsia="en-AU"/>
        </w:rPr>
        <w:t>2018.</w:t>
      </w:r>
    </w:p>
    <w:p w14:paraId="015EC70B" w14:textId="77777777" w:rsidR="009B09F4" w:rsidRPr="00C95786"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t xml:space="preserve">If a </w:t>
      </w:r>
      <w:proofErr w:type="spellStart"/>
      <w:r w:rsidRPr="00C95786">
        <w:t>UoA</w:t>
      </w:r>
      <w:proofErr w:type="spellEnd"/>
      <w:r w:rsidRPr="00C95786">
        <w:t xml:space="preserve"> does not meet the low-volume threshold, and an institution considers that there is sufficient evidence in the </w:t>
      </w:r>
      <w:proofErr w:type="spellStart"/>
      <w:r w:rsidRPr="00C95786">
        <w:t>UoA</w:t>
      </w:r>
      <w:proofErr w:type="spellEnd"/>
      <w:r w:rsidRPr="00C95786">
        <w:t xml:space="preserve"> for it to be assessed for engagement or impact, it can choose to opt-in to either or both.</w:t>
      </w:r>
    </w:p>
    <w:p w14:paraId="67E65EDC" w14:textId="00582D36" w:rsidR="00157776" w:rsidRPr="00157776"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t>The low volume threshold does not apply to the interdisciplinary and Aboriginal and Torre</w:t>
      </w:r>
      <w:r w:rsidRPr="009B09F4">
        <w:rPr>
          <w:rFonts w:eastAsia="Times New Roman" w:cs="Arial"/>
          <w:color w:val="000000"/>
          <w:lang w:eastAsia="en-AU"/>
        </w:rPr>
        <w:t>s Strait Islander research impact studies. These are both opt-in.</w:t>
      </w:r>
    </w:p>
    <w:p w14:paraId="133A2627" w14:textId="244EB55B" w:rsidR="009B09F4" w:rsidRPr="004668D1" w:rsidRDefault="006A7A21" w:rsidP="009D28B8">
      <w:pPr>
        <w:tabs>
          <w:tab w:val="right" w:pos="9025"/>
        </w:tabs>
        <w:rPr>
          <w:rFonts w:eastAsia="Times New Roman" w:cs="Arial"/>
          <w:szCs w:val="24"/>
          <w:lang w:eastAsia="en-AU"/>
        </w:rPr>
      </w:pPr>
      <w:r>
        <w:rPr>
          <w:rFonts w:eastAsia="Times New Roman" w:cs="Arial"/>
          <w:szCs w:val="24"/>
          <w:lang w:eastAsia="en-AU"/>
        </w:rPr>
        <w:t>For EI</w:t>
      </w:r>
      <w:r w:rsidR="000E0CEB">
        <w:rPr>
          <w:rFonts w:eastAsia="Times New Roman" w:cs="Arial"/>
          <w:szCs w:val="24"/>
          <w:lang w:eastAsia="en-AU"/>
        </w:rPr>
        <w:t> </w:t>
      </w:r>
      <w:r>
        <w:rPr>
          <w:rFonts w:eastAsia="Times New Roman" w:cs="Arial"/>
          <w:szCs w:val="24"/>
          <w:lang w:eastAsia="en-AU"/>
        </w:rPr>
        <w:t>2018, a</w:t>
      </w:r>
      <w:r>
        <w:t xml:space="preserve">n institution can request not to be assessed for impact in any </w:t>
      </w:r>
      <w:proofErr w:type="spellStart"/>
      <w:r>
        <w:t>UoA</w:t>
      </w:r>
      <w:proofErr w:type="spellEnd"/>
      <w:r>
        <w:t xml:space="preserve">, despite meeting the low volume threshold, if the institution has a compelling reason for not being able to put together an impact study. </w:t>
      </w:r>
      <w:r w:rsidR="00B56212">
        <w:t xml:space="preserve">The institution </w:t>
      </w:r>
      <w:r w:rsidR="00D71606">
        <w:t>must provide</w:t>
      </w:r>
      <w:r w:rsidR="00AF32BE">
        <w:t xml:space="preserve"> a reason</w:t>
      </w:r>
      <w:r w:rsidR="00B56212">
        <w:t xml:space="preserve"> and </w:t>
      </w:r>
      <w:r w:rsidR="00AF32BE">
        <w:t xml:space="preserve">outline the strategies and timelines necessary for the </w:t>
      </w:r>
      <w:proofErr w:type="spellStart"/>
      <w:r w:rsidR="00AF32BE">
        <w:t>UoA</w:t>
      </w:r>
      <w:proofErr w:type="spellEnd"/>
      <w:r w:rsidR="00AF32BE">
        <w:t xml:space="preserve"> to participate in future rounds.</w:t>
      </w:r>
      <w:r w:rsidR="000E0CEB">
        <w:t xml:space="preserve"> </w:t>
      </w:r>
    </w:p>
    <w:p w14:paraId="38D6722F" w14:textId="56AF8DE6"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The engagement </w:t>
      </w:r>
      <w:r w:rsidR="00E60871">
        <w:rPr>
          <w:rFonts w:eastAsia="Times New Roman" w:cs="Arial"/>
          <w:color w:val="000000"/>
          <w:lang w:eastAsia="en-AU"/>
        </w:rPr>
        <w:t xml:space="preserve">assessment </w:t>
      </w:r>
      <w:r w:rsidRPr="009B09F4">
        <w:rPr>
          <w:rFonts w:eastAsia="Times New Roman" w:cs="Arial"/>
          <w:color w:val="000000"/>
          <w:lang w:eastAsia="en-AU"/>
        </w:rPr>
        <w:t>comprises:</w:t>
      </w:r>
    </w:p>
    <w:p w14:paraId="1D6B8123" w14:textId="4E852C06" w:rsidR="00587CF2" w:rsidRDefault="00E60871" w:rsidP="00E71908">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t xml:space="preserve">an </w:t>
      </w:r>
      <w:r w:rsidR="00587CF2">
        <w:t>engagement narrative</w:t>
      </w:r>
    </w:p>
    <w:p w14:paraId="75619503" w14:textId="54781286" w:rsidR="00587CF2" w:rsidRDefault="00587CF2" w:rsidP="00E71908">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t>engagement indicator data:</w:t>
      </w:r>
    </w:p>
    <w:p w14:paraId="3B9E91F8" w14:textId="67E31D8F" w:rsidR="00587CF2" w:rsidRDefault="00587CF2" w:rsidP="00D24252">
      <w:pPr>
        <w:numPr>
          <w:ilvl w:val="1"/>
          <w:numId w:val="18"/>
        </w:numPr>
        <w:pBdr>
          <w:top w:val="none" w:sz="0" w:space="0" w:color="000000"/>
          <w:left w:val="none" w:sz="0" w:space="0" w:color="000000"/>
          <w:bottom w:val="none" w:sz="0" w:space="0" w:color="000000"/>
          <w:right w:val="none" w:sz="0" w:space="0" w:color="000000"/>
          <w:between w:val="none" w:sz="0" w:space="0" w:color="000000"/>
        </w:pBdr>
        <w:ind w:left="1145" w:hanging="425"/>
      </w:pPr>
      <w:r>
        <w:t xml:space="preserve">cash support from research end-users (specified HERDC Category 1 and HERDC Categories 2, 3, and 4) </w:t>
      </w:r>
    </w:p>
    <w:p w14:paraId="4D52B6ED" w14:textId="52644471" w:rsidR="00587CF2" w:rsidRDefault="00587CF2" w:rsidP="00D24252">
      <w:pPr>
        <w:numPr>
          <w:ilvl w:val="1"/>
          <w:numId w:val="18"/>
        </w:numPr>
        <w:pBdr>
          <w:top w:val="none" w:sz="0" w:space="0" w:color="000000"/>
          <w:left w:val="none" w:sz="0" w:space="0" w:color="000000"/>
          <w:bottom w:val="none" w:sz="0" w:space="0" w:color="000000"/>
          <w:right w:val="none" w:sz="0" w:space="0" w:color="000000"/>
          <w:between w:val="none" w:sz="0" w:space="0" w:color="000000"/>
        </w:pBdr>
        <w:ind w:left="1145" w:hanging="425"/>
      </w:pPr>
      <w:r>
        <w:t xml:space="preserve">HERDC research income per FTE </w:t>
      </w:r>
    </w:p>
    <w:p w14:paraId="79408826" w14:textId="728B37BB" w:rsidR="00587CF2" w:rsidRDefault="00587CF2" w:rsidP="00D24252">
      <w:pPr>
        <w:numPr>
          <w:ilvl w:val="1"/>
          <w:numId w:val="18"/>
        </w:numPr>
        <w:pBdr>
          <w:top w:val="none" w:sz="0" w:space="0" w:color="000000"/>
          <w:left w:val="none" w:sz="0" w:space="0" w:color="000000"/>
          <w:bottom w:val="none" w:sz="0" w:space="0" w:color="000000"/>
          <w:right w:val="none" w:sz="0" w:space="0" w:color="000000"/>
          <w:between w:val="none" w:sz="0" w:space="0" w:color="000000"/>
        </w:pBdr>
        <w:ind w:left="1145" w:hanging="425"/>
      </w:pPr>
      <w:r>
        <w:t xml:space="preserve">specified HERDC Category 1 grants (proportion of HERDC Category 1) </w:t>
      </w:r>
    </w:p>
    <w:p w14:paraId="3BB402C8" w14:textId="0C97CF13" w:rsidR="00587CF2" w:rsidRDefault="00587CF2" w:rsidP="00D24252">
      <w:pPr>
        <w:numPr>
          <w:ilvl w:val="1"/>
          <w:numId w:val="18"/>
        </w:numPr>
        <w:pBdr>
          <w:top w:val="none" w:sz="0" w:space="0" w:color="000000"/>
          <w:left w:val="none" w:sz="0" w:space="0" w:color="000000"/>
          <w:bottom w:val="none" w:sz="0" w:space="0" w:color="000000"/>
          <w:right w:val="none" w:sz="0" w:space="0" w:color="000000"/>
          <w:between w:val="none" w:sz="0" w:space="0" w:color="000000"/>
        </w:pBdr>
        <w:ind w:left="1145" w:hanging="425"/>
      </w:pPr>
      <w:r>
        <w:t xml:space="preserve">research commercialisation income </w:t>
      </w:r>
    </w:p>
    <w:p w14:paraId="03DB7891" w14:textId="6BC2488E" w:rsidR="00587CF2" w:rsidRDefault="00587CF2" w:rsidP="00D24252">
      <w:pPr>
        <w:numPr>
          <w:ilvl w:val="1"/>
          <w:numId w:val="18"/>
        </w:numPr>
        <w:pBdr>
          <w:top w:val="none" w:sz="0" w:space="0" w:color="000000"/>
          <w:left w:val="none" w:sz="0" w:space="0" w:color="000000"/>
          <w:bottom w:val="none" w:sz="0" w:space="0" w:color="000000"/>
          <w:right w:val="none" w:sz="0" w:space="0" w:color="000000"/>
          <w:between w:val="none" w:sz="0" w:space="0" w:color="000000"/>
        </w:pBdr>
        <w:ind w:left="1145" w:hanging="425"/>
      </w:pPr>
      <w:r>
        <w:t xml:space="preserve">engagement indicator explanatory statement </w:t>
      </w:r>
    </w:p>
    <w:p w14:paraId="15AD1836" w14:textId="3EA30973" w:rsidR="00587CF2" w:rsidRDefault="00E60871" w:rsidP="00D24252">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t>A</w:t>
      </w:r>
      <w:r w:rsidR="00587CF2">
        <w:t>dditional engagement data collection</w:t>
      </w:r>
    </w:p>
    <w:p w14:paraId="082531CF" w14:textId="47A85983" w:rsidR="009B09F4" w:rsidRPr="00635459" w:rsidRDefault="00587CF2" w:rsidP="00D24252">
      <w:pPr>
        <w:pStyle w:val="ListParagraph"/>
        <w:numPr>
          <w:ilvl w:val="1"/>
          <w:numId w:val="17"/>
        </w:numPr>
        <w:ind w:left="1145" w:hanging="425"/>
        <w:rPr>
          <w:rFonts w:eastAsia="Times New Roman" w:cs="Arial"/>
          <w:szCs w:val="24"/>
          <w:lang w:eastAsia="en-AU"/>
        </w:rPr>
      </w:pPr>
      <w:r>
        <w:t>co-supervision of HDR students</w:t>
      </w:r>
      <w:r w:rsidR="00E60871">
        <w:t>—collected, not assessed</w:t>
      </w:r>
    </w:p>
    <w:p w14:paraId="1BC2572F" w14:textId="77777777" w:rsidR="00E60871" w:rsidRDefault="00E60871" w:rsidP="006733B4">
      <w:pPr>
        <w:rPr>
          <w:rFonts w:eastAsia="Times New Roman" w:cs="Arial"/>
          <w:color w:val="000000"/>
          <w:lang w:eastAsia="en-AU"/>
        </w:rPr>
      </w:pPr>
    </w:p>
    <w:p w14:paraId="15F48EAB" w14:textId="71386688"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The single rating for engagement </w:t>
      </w:r>
      <w:r w:rsidR="00CD3FEE">
        <w:rPr>
          <w:rFonts w:eastAsia="Times New Roman" w:cs="Arial"/>
          <w:color w:val="000000"/>
          <w:lang w:eastAsia="en-AU"/>
        </w:rPr>
        <w:t>is based on</w:t>
      </w:r>
      <w:r w:rsidRPr="009B09F4">
        <w:rPr>
          <w:rFonts w:eastAsia="Times New Roman" w:cs="Arial"/>
          <w:color w:val="000000"/>
          <w:lang w:eastAsia="en-AU"/>
        </w:rPr>
        <w:t xml:space="preserve"> the </w:t>
      </w:r>
      <w:r w:rsidR="00295A44">
        <w:rPr>
          <w:rFonts w:eastAsia="Times New Roman" w:cs="Arial"/>
          <w:color w:val="000000"/>
          <w:lang w:eastAsia="en-AU"/>
        </w:rPr>
        <w:t xml:space="preserve">qualitative statements and the </w:t>
      </w:r>
      <w:r w:rsidRPr="009B09F4">
        <w:rPr>
          <w:rFonts w:eastAsia="Times New Roman" w:cs="Arial"/>
          <w:color w:val="000000"/>
          <w:lang w:eastAsia="en-AU"/>
        </w:rPr>
        <w:t xml:space="preserve">indicators, which are assessed holistically. The use of a combination of </w:t>
      </w:r>
      <w:r w:rsidR="00295A44">
        <w:rPr>
          <w:rFonts w:eastAsia="Times New Roman" w:cs="Arial"/>
          <w:color w:val="000000"/>
          <w:lang w:eastAsia="en-AU"/>
        </w:rPr>
        <w:t>qualitative statements and</w:t>
      </w:r>
      <w:r w:rsidR="00295A44" w:rsidRPr="009B09F4">
        <w:rPr>
          <w:rFonts w:eastAsia="Times New Roman" w:cs="Arial"/>
          <w:color w:val="000000"/>
          <w:lang w:eastAsia="en-AU"/>
        </w:rPr>
        <w:t xml:space="preserve"> </w:t>
      </w:r>
      <w:r w:rsidRPr="009B09F4">
        <w:rPr>
          <w:rFonts w:eastAsia="Times New Roman" w:cs="Arial"/>
          <w:color w:val="000000"/>
          <w:lang w:eastAsia="en-AU"/>
        </w:rPr>
        <w:t>metric</w:t>
      </w:r>
      <w:r w:rsidR="00CD3FEE">
        <w:rPr>
          <w:rFonts w:eastAsia="Times New Roman" w:cs="Arial"/>
          <w:color w:val="000000"/>
          <w:lang w:eastAsia="en-AU"/>
        </w:rPr>
        <w:t xml:space="preserve"> indicators</w:t>
      </w:r>
      <w:r w:rsidRPr="009B09F4">
        <w:rPr>
          <w:rFonts w:eastAsia="Times New Roman" w:cs="Arial"/>
          <w:color w:val="000000"/>
          <w:lang w:eastAsia="en-AU"/>
        </w:rPr>
        <w:t xml:space="preserve"> allow</w:t>
      </w:r>
      <w:r w:rsidR="00CD3FEE">
        <w:rPr>
          <w:rFonts w:eastAsia="Times New Roman" w:cs="Arial"/>
          <w:color w:val="000000"/>
          <w:lang w:eastAsia="en-AU"/>
        </w:rPr>
        <w:t>s</w:t>
      </w:r>
      <w:r w:rsidRPr="009B09F4">
        <w:rPr>
          <w:rFonts w:eastAsia="Times New Roman" w:cs="Arial"/>
          <w:color w:val="000000"/>
          <w:lang w:eastAsia="en-AU"/>
        </w:rPr>
        <w:t xml:space="preserve"> maximum flexibility in the methodology to accommodate differences across </w:t>
      </w:r>
      <w:r w:rsidR="00CD3FEE">
        <w:rPr>
          <w:rFonts w:eastAsia="Times New Roman" w:cs="Arial"/>
          <w:color w:val="000000"/>
          <w:lang w:eastAsia="en-AU"/>
        </w:rPr>
        <w:t>different disciplines</w:t>
      </w:r>
      <w:r w:rsidRPr="009B09F4">
        <w:rPr>
          <w:rFonts w:eastAsia="Times New Roman" w:cs="Arial"/>
          <w:color w:val="000000"/>
          <w:lang w:eastAsia="en-AU"/>
        </w:rPr>
        <w:t>.</w:t>
      </w:r>
    </w:p>
    <w:p w14:paraId="62120000"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The impact submission takes the form of qualitative studies, which describe the impact that resulted from research and the ways in which institutions </w:t>
      </w:r>
      <w:r w:rsidR="00CD3FEE">
        <w:rPr>
          <w:rFonts w:eastAsia="Times New Roman" w:cs="Arial"/>
          <w:color w:val="000000"/>
          <w:lang w:eastAsia="en-AU"/>
        </w:rPr>
        <w:t>facilitated</w:t>
      </w:r>
      <w:r w:rsidR="00CD3FEE" w:rsidRPr="009B09F4">
        <w:rPr>
          <w:rFonts w:eastAsia="Times New Roman" w:cs="Arial"/>
          <w:color w:val="000000"/>
          <w:lang w:eastAsia="en-AU"/>
        </w:rPr>
        <w:t xml:space="preserve"> </w:t>
      </w:r>
      <w:r w:rsidRPr="009B09F4">
        <w:rPr>
          <w:rFonts w:eastAsia="Times New Roman" w:cs="Arial"/>
          <w:color w:val="000000"/>
          <w:lang w:eastAsia="en-AU"/>
        </w:rPr>
        <w:t>the translation of the research into impact</w:t>
      </w:r>
      <w:r w:rsidR="004668D1">
        <w:rPr>
          <w:rFonts w:eastAsia="Times New Roman" w:cs="Arial"/>
          <w:color w:val="000000"/>
          <w:lang w:eastAsia="en-AU"/>
        </w:rPr>
        <w:t xml:space="preserve"> (approach to impact)</w:t>
      </w:r>
      <w:r w:rsidRPr="009B09F4">
        <w:rPr>
          <w:rFonts w:eastAsia="Times New Roman" w:cs="Arial"/>
          <w:color w:val="000000"/>
          <w:lang w:eastAsia="en-AU"/>
        </w:rPr>
        <w:t>. Each element</w:t>
      </w:r>
      <w:r w:rsidR="00CD3FEE">
        <w:rPr>
          <w:rFonts w:eastAsia="Times New Roman" w:cs="Arial"/>
          <w:color w:val="000000"/>
          <w:lang w:eastAsia="en-AU"/>
        </w:rPr>
        <w:t>, that is the impact and the approach to impact,</w:t>
      </w:r>
      <w:r w:rsidRPr="009B09F4">
        <w:rPr>
          <w:rFonts w:eastAsia="Times New Roman" w:cs="Arial"/>
          <w:color w:val="000000"/>
          <w:lang w:eastAsia="en-AU"/>
        </w:rPr>
        <w:t xml:space="preserve"> is rated separately.  </w:t>
      </w:r>
    </w:p>
    <w:p w14:paraId="6796DD95" w14:textId="77777777" w:rsidR="009B09F4" w:rsidRPr="009B09F4" w:rsidRDefault="004668D1" w:rsidP="006733B4">
      <w:pPr>
        <w:rPr>
          <w:rFonts w:ascii="Times New Roman" w:eastAsia="Times New Roman" w:hAnsi="Times New Roman" w:cs="Times New Roman"/>
          <w:sz w:val="24"/>
          <w:szCs w:val="24"/>
          <w:lang w:eastAsia="en-AU"/>
        </w:rPr>
      </w:pPr>
      <w:r>
        <w:rPr>
          <w:rFonts w:eastAsia="Times New Roman" w:cs="Arial"/>
          <w:color w:val="000000"/>
          <w:lang w:eastAsia="en-AU"/>
        </w:rPr>
        <w:t xml:space="preserve">The </w:t>
      </w:r>
      <w:r w:rsidR="009B09F4" w:rsidRPr="009B09F4">
        <w:rPr>
          <w:rFonts w:eastAsia="Times New Roman" w:cs="Arial"/>
          <w:color w:val="000000"/>
          <w:lang w:eastAsia="en-AU"/>
        </w:rPr>
        <w:t xml:space="preserve">EI </w:t>
      </w:r>
      <w:r>
        <w:rPr>
          <w:rFonts w:eastAsia="Times New Roman" w:cs="Arial"/>
          <w:color w:val="000000"/>
          <w:lang w:eastAsia="en-AU"/>
        </w:rPr>
        <w:t xml:space="preserve">submission period </w:t>
      </w:r>
      <w:r w:rsidR="009B09F4" w:rsidRPr="009B09F4">
        <w:rPr>
          <w:rFonts w:eastAsia="Times New Roman" w:cs="Arial"/>
          <w:color w:val="000000"/>
          <w:lang w:eastAsia="en-AU"/>
        </w:rPr>
        <w:t xml:space="preserve">is 16 May–27 June </w:t>
      </w:r>
      <w:r>
        <w:rPr>
          <w:rFonts w:eastAsia="Times New Roman" w:cs="Arial"/>
          <w:color w:val="000000"/>
          <w:lang w:eastAsia="en-AU"/>
        </w:rPr>
        <w:t>2018</w:t>
      </w:r>
      <w:r w:rsidR="009B09F4" w:rsidRPr="009B09F4">
        <w:rPr>
          <w:rFonts w:eastAsia="Times New Roman" w:cs="Arial"/>
          <w:color w:val="000000"/>
          <w:lang w:eastAsia="en-AU"/>
        </w:rPr>
        <w:t xml:space="preserve">. </w:t>
      </w:r>
    </w:p>
    <w:p w14:paraId="77E722CD" w14:textId="77777777" w:rsidR="00C95786" w:rsidRDefault="00C95786">
      <w:pPr>
        <w:spacing w:before="0" w:after="160"/>
        <w:rPr>
          <w:rFonts w:eastAsia="Times New Roman" w:cs="Times New Roman"/>
          <w:b/>
          <w:bCs/>
          <w:i/>
          <w:sz w:val="28"/>
          <w:szCs w:val="36"/>
          <w:lang w:eastAsia="en-AU"/>
        </w:rPr>
      </w:pPr>
      <w:r>
        <w:br w:type="page"/>
      </w:r>
    </w:p>
    <w:p w14:paraId="21BF9850" w14:textId="56C8FEE3" w:rsidR="009B09F4" w:rsidRPr="003C6CEB" w:rsidRDefault="009B09F4" w:rsidP="003C6CEB">
      <w:pPr>
        <w:pStyle w:val="Heading2"/>
      </w:pPr>
      <w:r w:rsidRPr="003C6CEB">
        <w:lastRenderedPageBreak/>
        <w:t>Definitions</w:t>
      </w:r>
    </w:p>
    <w:p w14:paraId="4E430037" w14:textId="050D7B11" w:rsidR="009B09F4" w:rsidRDefault="009B09F4" w:rsidP="006733B4">
      <w:pPr>
        <w:rPr>
          <w:rFonts w:eastAsia="Times New Roman" w:cs="Arial"/>
          <w:color w:val="000000"/>
          <w:lang w:eastAsia="en-AU"/>
        </w:rPr>
      </w:pPr>
      <w:r w:rsidRPr="009B09F4">
        <w:rPr>
          <w:rFonts w:eastAsia="Times New Roman" w:cs="Arial"/>
          <w:color w:val="000000"/>
          <w:lang w:eastAsia="en-AU"/>
        </w:rPr>
        <w:t>The following definitions are used for EI</w:t>
      </w:r>
      <w:r w:rsidR="003C6CEB">
        <w:rPr>
          <w:rFonts w:eastAsia="Times New Roman" w:cs="Arial"/>
          <w:color w:val="000000"/>
          <w:lang w:eastAsia="en-AU"/>
        </w:rPr>
        <w:t> </w:t>
      </w:r>
      <w:r w:rsidRPr="009B09F4">
        <w:rPr>
          <w:rFonts w:eastAsia="Times New Roman" w:cs="Arial"/>
          <w:color w:val="000000"/>
          <w:lang w:eastAsia="en-AU"/>
        </w:rPr>
        <w:t>2018.</w:t>
      </w:r>
    </w:p>
    <w:p w14:paraId="6AAE4605" w14:textId="77777777" w:rsidR="008021CE" w:rsidRPr="009B09F4" w:rsidRDefault="008021CE" w:rsidP="008021CE">
      <w:pPr>
        <w:rPr>
          <w:rFonts w:ascii="Times New Roman" w:eastAsia="Times New Roman" w:hAnsi="Times New Roman" w:cs="Times New Roman"/>
          <w:sz w:val="24"/>
          <w:szCs w:val="24"/>
          <w:lang w:eastAsia="en-AU"/>
        </w:rPr>
      </w:pPr>
      <w:r w:rsidRPr="009B09F4">
        <w:rPr>
          <w:rFonts w:eastAsia="Times New Roman" w:cs="Arial"/>
          <w:b/>
          <w:bCs/>
          <w:color w:val="000000"/>
          <w:lang w:eastAsia="en-AU"/>
        </w:rPr>
        <w:t xml:space="preserve">Research </w:t>
      </w:r>
    </w:p>
    <w:p w14:paraId="3AC11824" w14:textId="77777777" w:rsidR="008021CE" w:rsidRDefault="008021CE" w:rsidP="008021CE">
      <w:pPr>
        <w:shd w:val="clear" w:color="auto" w:fill="FFFFFF"/>
      </w:pPr>
      <w:r>
        <w:t xml:space="preserve">Research is the creation of new knowledge and/or the use of existing knowledge in a new and creative way to generate new concepts, methodologies, </w:t>
      </w:r>
      <w:proofErr w:type="gramStart"/>
      <w:r>
        <w:t>inventions</w:t>
      </w:r>
      <w:proofErr w:type="gramEnd"/>
      <w:r>
        <w:t xml:space="preserve"> and understandings. This could include the synthesis and analysis of previous research to the extent that it is new and creative. </w:t>
      </w:r>
    </w:p>
    <w:p w14:paraId="1CC7ED41" w14:textId="77777777" w:rsidR="008021CE" w:rsidRDefault="008021CE" w:rsidP="008021CE">
      <w:pPr>
        <w:rPr>
          <w:rFonts w:eastAsia="Times New Roman" w:cs="Arial"/>
          <w:b/>
          <w:bCs/>
          <w:color w:val="000000"/>
          <w:lang w:eastAsia="en-AU"/>
        </w:rPr>
      </w:pPr>
      <w:r>
        <w:t>This is the same definition used for ERA. It is consistent with a broad notion of research and experimental development comprising “creative and systematic work undertaken in order to increase the stock of knowledge – including knowledge of humankind, culture and society – and to devise new applications of available knowledge”</w:t>
      </w:r>
      <w:r>
        <w:rPr>
          <w:vertAlign w:val="superscript"/>
        </w:rPr>
        <w:footnoteReference w:id="1"/>
      </w:r>
      <w:r>
        <w:t xml:space="preserve"> as defined in the ARC funding rules.</w:t>
      </w:r>
      <w:r w:rsidRPr="008021CE">
        <w:rPr>
          <w:rFonts w:eastAsia="Times New Roman" w:cs="Arial"/>
          <w:b/>
          <w:bCs/>
          <w:color w:val="000000"/>
          <w:lang w:eastAsia="en-AU"/>
        </w:rPr>
        <w:t xml:space="preserve"> </w:t>
      </w:r>
    </w:p>
    <w:p w14:paraId="3CE597BA" w14:textId="77777777" w:rsidR="008021CE" w:rsidRPr="009B09F4" w:rsidRDefault="008021CE" w:rsidP="008021CE">
      <w:pPr>
        <w:rPr>
          <w:rFonts w:ascii="Times New Roman" w:eastAsia="Times New Roman" w:hAnsi="Times New Roman" w:cs="Times New Roman"/>
          <w:sz w:val="24"/>
          <w:szCs w:val="24"/>
          <w:lang w:eastAsia="en-AU"/>
        </w:rPr>
      </w:pPr>
      <w:r w:rsidRPr="009B09F4">
        <w:rPr>
          <w:rFonts w:eastAsia="Times New Roman" w:cs="Arial"/>
          <w:b/>
          <w:bCs/>
          <w:color w:val="000000"/>
          <w:lang w:eastAsia="en-AU"/>
        </w:rPr>
        <w:t>Aboriginal and Torres Strait Islander research</w:t>
      </w:r>
    </w:p>
    <w:p w14:paraId="563A2F92" w14:textId="77777777" w:rsidR="004B5D04" w:rsidRDefault="004B5D04" w:rsidP="004B5D04">
      <w:r>
        <w:t>Aboriginal and Torres Strait Islander research means that the research (as defined above) significantly:</w:t>
      </w:r>
    </w:p>
    <w:p w14:paraId="113FE4E2" w14:textId="77777777" w:rsidR="004B5D04" w:rsidRDefault="004B5D04" w:rsidP="004B5D04">
      <w:pPr>
        <w:numPr>
          <w:ilvl w:val="0"/>
          <w:numId w:val="21"/>
        </w:numPr>
        <w:spacing w:before="0" w:after="0" w:line="240" w:lineRule="auto"/>
        <w:ind w:left="850" w:hanging="425"/>
      </w:pPr>
      <w:r>
        <w:t xml:space="preserve">relates to Aboriginal and Torres Strait Islander peoples, nations, communities, language, place, </w:t>
      </w:r>
      <w:proofErr w:type="gramStart"/>
      <w:r>
        <w:t>culture</w:t>
      </w:r>
      <w:proofErr w:type="gramEnd"/>
      <w:r>
        <w:t xml:space="preserve"> or knowledges and/or </w:t>
      </w:r>
    </w:p>
    <w:p w14:paraId="5B3C7AB5" w14:textId="77777777" w:rsidR="004B5D04" w:rsidRDefault="004B5D04" w:rsidP="004B5D04">
      <w:pPr>
        <w:numPr>
          <w:ilvl w:val="0"/>
          <w:numId w:val="21"/>
        </w:numPr>
        <w:spacing w:before="0" w:after="0" w:line="240" w:lineRule="auto"/>
        <w:ind w:left="850" w:hanging="425"/>
      </w:pPr>
      <w:r>
        <w:t>is undertaken with Aboriginal and Torres Strait Islander peoples, nations, or communities.</w:t>
      </w:r>
    </w:p>
    <w:p w14:paraId="57189672"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b/>
          <w:bCs/>
          <w:color w:val="000000"/>
          <w:lang w:eastAsia="en-AU"/>
        </w:rPr>
        <w:t xml:space="preserve">Engagement </w:t>
      </w:r>
    </w:p>
    <w:p w14:paraId="655065E8" w14:textId="14AEA09C"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Research engagement is the interaction between researchers and research end-users outside of academia, for the mutually beneficial transfer of knowledge, technologies, </w:t>
      </w:r>
      <w:proofErr w:type="gramStart"/>
      <w:r w:rsidRPr="009B09F4">
        <w:rPr>
          <w:rFonts w:eastAsia="Times New Roman" w:cs="Arial"/>
          <w:color w:val="000000"/>
          <w:lang w:eastAsia="en-AU"/>
        </w:rPr>
        <w:t>methods</w:t>
      </w:r>
      <w:proofErr w:type="gramEnd"/>
      <w:r w:rsidRPr="009B09F4">
        <w:rPr>
          <w:rFonts w:eastAsia="Times New Roman" w:cs="Arial"/>
          <w:color w:val="000000"/>
          <w:lang w:eastAsia="en-AU"/>
        </w:rPr>
        <w:t xml:space="preserve"> </w:t>
      </w:r>
      <w:r w:rsidR="00214AAD">
        <w:rPr>
          <w:rFonts w:eastAsia="Times New Roman" w:cs="Arial"/>
          <w:color w:val="000000"/>
          <w:lang w:eastAsia="en-AU"/>
        </w:rPr>
        <w:t>or</w:t>
      </w:r>
      <w:r w:rsidR="00214AAD" w:rsidRPr="009B09F4">
        <w:rPr>
          <w:rFonts w:eastAsia="Times New Roman" w:cs="Arial"/>
          <w:color w:val="000000"/>
          <w:lang w:eastAsia="en-AU"/>
        </w:rPr>
        <w:t xml:space="preserve"> </w:t>
      </w:r>
      <w:r w:rsidRPr="009B09F4">
        <w:rPr>
          <w:rFonts w:eastAsia="Times New Roman" w:cs="Arial"/>
          <w:color w:val="000000"/>
          <w:lang w:eastAsia="en-AU"/>
        </w:rPr>
        <w:t xml:space="preserve">resources. </w:t>
      </w:r>
    </w:p>
    <w:p w14:paraId="4D852DFA" w14:textId="77777777" w:rsidR="008021CE" w:rsidRPr="009B09F4" w:rsidRDefault="008021CE" w:rsidP="008021CE">
      <w:pPr>
        <w:rPr>
          <w:rFonts w:ascii="Times New Roman" w:eastAsia="Times New Roman" w:hAnsi="Times New Roman" w:cs="Times New Roman"/>
          <w:sz w:val="24"/>
          <w:szCs w:val="24"/>
          <w:lang w:eastAsia="en-AU"/>
        </w:rPr>
      </w:pPr>
      <w:r w:rsidRPr="009B09F4">
        <w:rPr>
          <w:rFonts w:eastAsia="Times New Roman" w:cs="Arial"/>
          <w:b/>
          <w:bCs/>
          <w:color w:val="000000"/>
          <w:lang w:eastAsia="en-AU"/>
        </w:rPr>
        <w:t xml:space="preserve">Impact </w:t>
      </w:r>
    </w:p>
    <w:p w14:paraId="0941B19C" w14:textId="11BF7CC3" w:rsidR="008021CE" w:rsidRPr="009B09F4" w:rsidRDefault="008021CE" w:rsidP="008021CE">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Research impact is the contribution that research makes to the economy, society, </w:t>
      </w:r>
      <w:proofErr w:type="gramStart"/>
      <w:r w:rsidRPr="009B09F4">
        <w:rPr>
          <w:rFonts w:eastAsia="Times New Roman" w:cs="Arial"/>
          <w:color w:val="000000"/>
          <w:lang w:eastAsia="en-AU"/>
        </w:rPr>
        <w:t>environment</w:t>
      </w:r>
      <w:proofErr w:type="gramEnd"/>
      <w:r w:rsidRPr="009B09F4">
        <w:rPr>
          <w:rFonts w:eastAsia="Times New Roman" w:cs="Arial"/>
          <w:color w:val="000000"/>
          <w:lang w:eastAsia="en-AU"/>
        </w:rPr>
        <w:t xml:space="preserve"> </w:t>
      </w:r>
      <w:r w:rsidR="00DB33C3">
        <w:rPr>
          <w:rFonts w:eastAsia="Times New Roman" w:cs="Arial"/>
          <w:color w:val="000000"/>
          <w:lang w:eastAsia="en-AU"/>
        </w:rPr>
        <w:t>or</w:t>
      </w:r>
      <w:r w:rsidR="00DB33C3" w:rsidRPr="009B09F4">
        <w:rPr>
          <w:rFonts w:eastAsia="Times New Roman" w:cs="Arial"/>
          <w:color w:val="000000"/>
          <w:lang w:eastAsia="en-AU"/>
        </w:rPr>
        <w:t xml:space="preserve"> </w:t>
      </w:r>
      <w:r w:rsidRPr="009B09F4">
        <w:rPr>
          <w:rFonts w:eastAsia="Times New Roman" w:cs="Arial"/>
          <w:color w:val="000000"/>
          <w:lang w:eastAsia="en-AU"/>
        </w:rPr>
        <w:t xml:space="preserve">culture, beyond the contribution to academic research. </w:t>
      </w:r>
    </w:p>
    <w:p w14:paraId="23B65929" w14:textId="77777777" w:rsidR="008021CE" w:rsidRDefault="008021CE" w:rsidP="008021CE">
      <w:pPr>
        <w:keepNext/>
        <w:keepLines/>
        <w:rPr>
          <w:rFonts w:eastAsia="Times New Roman" w:cs="Arial"/>
          <w:b/>
          <w:bCs/>
          <w:color w:val="000000"/>
          <w:lang w:eastAsia="en-AU"/>
        </w:rPr>
      </w:pPr>
      <w:r>
        <w:rPr>
          <w:rFonts w:eastAsia="Times New Roman" w:cs="Arial"/>
          <w:b/>
          <w:bCs/>
          <w:color w:val="000000"/>
          <w:lang w:eastAsia="en-AU"/>
        </w:rPr>
        <w:t>Research end-user</w:t>
      </w:r>
    </w:p>
    <w:p w14:paraId="25873624" w14:textId="77777777" w:rsidR="008021CE" w:rsidRPr="009B09F4" w:rsidRDefault="008021CE" w:rsidP="008021CE">
      <w:pPr>
        <w:rPr>
          <w:rFonts w:ascii="Times New Roman" w:eastAsia="Times New Roman" w:hAnsi="Times New Roman" w:cs="Times New Roman"/>
          <w:sz w:val="24"/>
          <w:szCs w:val="24"/>
          <w:lang w:eastAsia="en-AU"/>
        </w:rPr>
      </w:pPr>
      <w:r>
        <w:rPr>
          <w:rFonts w:eastAsia="Times New Roman" w:cs="Arial"/>
          <w:color w:val="000000"/>
          <w:lang w:eastAsia="en-AU"/>
        </w:rPr>
        <w:t>A research end-user</w:t>
      </w:r>
      <w:r w:rsidRPr="009B09F4">
        <w:rPr>
          <w:rFonts w:eastAsia="Times New Roman" w:cs="Arial"/>
          <w:color w:val="000000"/>
          <w:lang w:eastAsia="en-AU"/>
        </w:rPr>
        <w:t xml:space="preserve"> is an individual, community or organisation external to academia that will directly use or directly benefit from the output, outcome or result of the research. </w:t>
      </w:r>
    </w:p>
    <w:p w14:paraId="4F34B80D" w14:textId="77777777" w:rsidR="008021CE" w:rsidRPr="009B09F4" w:rsidRDefault="008021CE" w:rsidP="008021CE">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Examples of research end-users include governments, businesses, non-governmental organisations, </w:t>
      </w:r>
      <w:proofErr w:type="gramStart"/>
      <w:r w:rsidRPr="009B09F4">
        <w:rPr>
          <w:rFonts w:eastAsia="Times New Roman" w:cs="Arial"/>
          <w:color w:val="000000"/>
          <w:lang w:eastAsia="en-AU"/>
        </w:rPr>
        <w:t>communities</w:t>
      </w:r>
      <w:proofErr w:type="gramEnd"/>
      <w:r w:rsidRPr="009B09F4">
        <w:rPr>
          <w:rFonts w:eastAsia="Times New Roman" w:cs="Arial"/>
          <w:color w:val="000000"/>
          <w:lang w:eastAsia="en-AU"/>
        </w:rPr>
        <w:t xml:space="preserve"> and community organisations.</w:t>
      </w:r>
    </w:p>
    <w:p w14:paraId="3485B4AC" w14:textId="77777777" w:rsidR="008021CE" w:rsidRPr="009B09F4" w:rsidRDefault="008021CE" w:rsidP="008021CE">
      <w:pPr>
        <w:rPr>
          <w:rFonts w:ascii="Times New Roman" w:eastAsia="Times New Roman" w:hAnsi="Times New Roman" w:cs="Times New Roman"/>
          <w:sz w:val="24"/>
          <w:szCs w:val="24"/>
          <w:lang w:eastAsia="en-AU"/>
        </w:rPr>
      </w:pPr>
      <w:r w:rsidRPr="009B09F4">
        <w:rPr>
          <w:rFonts w:eastAsia="Times New Roman" w:cs="Arial"/>
          <w:color w:val="000000"/>
          <w:lang w:eastAsia="en-AU"/>
        </w:rPr>
        <w:t>Specific exclusions of research end-users are:</w:t>
      </w:r>
    </w:p>
    <w:p w14:paraId="0870FE2F" w14:textId="77777777" w:rsidR="008021CE" w:rsidRPr="00C95786" w:rsidRDefault="008021CE"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t>publicly funded research organisations (CSIRO, AIMS, ANSTO, NMI, DSTO etc.)</w:t>
      </w:r>
    </w:p>
    <w:p w14:paraId="71D4006D" w14:textId="77777777" w:rsidR="008021CE" w:rsidRPr="00C95786" w:rsidRDefault="008021CE"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t xml:space="preserve">other higher education providers (including international universities) </w:t>
      </w:r>
    </w:p>
    <w:p w14:paraId="6D214E01" w14:textId="77777777" w:rsidR="008021CE" w:rsidRPr="00C95786" w:rsidRDefault="008021CE"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t xml:space="preserve">organisations that are affiliates, controlled </w:t>
      </w:r>
      <w:proofErr w:type="gramStart"/>
      <w:r w:rsidRPr="00C95786">
        <w:t>entities</w:t>
      </w:r>
      <w:proofErr w:type="gramEnd"/>
      <w:r w:rsidRPr="00C95786">
        <w:t xml:space="preserve"> or subsidiaries (such as Medical Research Institutes) of a higher education provider</w:t>
      </w:r>
    </w:p>
    <w:p w14:paraId="586825C4" w14:textId="0D305906" w:rsidR="00881905" w:rsidRPr="004B5D04" w:rsidRDefault="008021CE" w:rsidP="004B5D04">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t>e</w:t>
      </w:r>
      <w:r w:rsidRPr="009B09F4">
        <w:rPr>
          <w:rFonts w:eastAsia="Times New Roman" w:cs="Arial"/>
          <w:color w:val="000000"/>
          <w:lang w:eastAsia="en-AU"/>
        </w:rPr>
        <w:t>quivalents (international or domestic) of the above exclusions.</w:t>
      </w:r>
    </w:p>
    <w:p w14:paraId="25E6D531" w14:textId="05F9BA2E" w:rsidR="008021CE" w:rsidRPr="008021CE" w:rsidRDefault="008021CE" w:rsidP="008021CE">
      <w:pPr>
        <w:rPr>
          <w:rFonts w:ascii="Times New Roman" w:eastAsia="Times New Roman" w:hAnsi="Times New Roman" w:cs="Times New Roman"/>
          <w:sz w:val="24"/>
          <w:szCs w:val="24"/>
          <w:lang w:eastAsia="en-AU"/>
        </w:rPr>
      </w:pPr>
      <w:r w:rsidRPr="008021CE">
        <w:rPr>
          <w:rFonts w:eastAsia="Times New Roman" w:cs="Arial"/>
          <w:b/>
          <w:bCs/>
          <w:color w:val="000000"/>
          <w:lang w:eastAsia="en-AU"/>
        </w:rPr>
        <w:lastRenderedPageBreak/>
        <w:t>Higher degree by research (HDR)</w:t>
      </w:r>
    </w:p>
    <w:p w14:paraId="238D71F9" w14:textId="77777777" w:rsidR="008021CE" w:rsidRPr="008021CE" w:rsidRDefault="008021CE" w:rsidP="008021CE">
      <w:pPr>
        <w:rPr>
          <w:rFonts w:eastAsia="Times New Roman" w:cs="Arial"/>
          <w:color w:val="000000"/>
          <w:lang w:eastAsia="en-AU"/>
        </w:rPr>
      </w:pPr>
      <w:r w:rsidRPr="008021CE">
        <w:rPr>
          <w:rFonts w:eastAsia="Times New Roman" w:cs="Arial"/>
          <w:color w:val="000000"/>
          <w:lang w:eastAsia="en-AU"/>
        </w:rPr>
        <w:t xml:space="preserve">An HDR is a Research Doctorate or Research Masters. A Research Doctorate means a Level 10 Doctoral Degree (Research) qualification as described in the Australian Qualifications Framework (AQF) and a Research Masters means a Level 9 </w:t>
      </w:r>
      <w:proofErr w:type="spellStart"/>
      <w:proofErr w:type="gramStart"/>
      <w:r w:rsidRPr="008021CE">
        <w:rPr>
          <w:rFonts w:eastAsia="Times New Roman" w:cs="Arial"/>
          <w:color w:val="000000"/>
          <w:lang w:eastAsia="en-AU"/>
        </w:rPr>
        <w:t>Masters</w:t>
      </w:r>
      <w:proofErr w:type="spellEnd"/>
      <w:r w:rsidRPr="008021CE">
        <w:rPr>
          <w:rFonts w:eastAsia="Times New Roman" w:cs="Arial"/>
          <w:color w:val="000000"/>
          <w:lang w:eastAsia="en-AU"/>
        </w:rPr>
        <w:t xml:space="preserve"> Degree</w:t>
      </w:r>
      <w:proofErr w:type="gramEnd"/>
      <w:r w:rsidRPr="008021CE">
        <w:rPr>
          <w:rFonts w:eastAsia="Times New Roman" w:cs="Arial"/>
          <w:color w:val="000000"/>
          <w:lang w:eastAsia="en-AU"/>
        </w:rPr>
        <w:t xml:space="preserve"> (Research) qualification as described in the AQF. Professional Doctorates may be included but only where at least two-thirds of the qualification is research.</w:t>
      </w:r>
    </w:p>
    <w:p w14:paraId="586274F5" w14:textId="1DB922B6" w:rsidR="009B09F4" w:rsidRPr="009B09F4" w:rsidRDefault="009B09F4" w:rsidP="006733B4">
      <w:pPr>
        <w:rPr>
          <w:rFonts w:ascii="Times New Roman" w:eastAsia="Times New Roman" w:hAnsi="Times New Roman" w:cs="Times New Roman"/>
          <w:sz w:val="24"/>
          <w:szCs w:val="24"/>
          <w:lang w:eastAsia="en-AU"/>
        </w:rPr>
      </w:pPr>
      <w:proofErr w:type="spellStart"/>
      <w:r w:rsidRPr="009B09F4">
        <w:rPr>
          <w:rFonts w:eastAsia="Times New Roman" w:cs="Arial"/>
          <w:b/>
          <w:bCs/>
          <w:color w:val="000000"/>
          <w:lang w:eastAsia="en-AU"/>
        </w:rPr>
        <w:t>FoR</w:t>
      </w:r>
      <w:proofErr w:type="spellEnd"/>
    </w:p>
    <w:p w14:paraId="542DC8A0" w14:textId="69BC14A0"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The </w:t>
      </w:r>
      <w:proofErr w:type="spellStart"/>
      <w:r w:rsidRPr="009B09F4">
        <w:rPr>
          <w:rFonts w:eastAsia="Times New Roman" w:cs="Arial"/>
          <w:color w:val="000000"/>
          <w:lang w:eastAsia="en-AU"/>
        </w:rPr>
        <w:t>FoR</w:t>
      </w:r>
      <w:r w:rsidR="00CD3FEE">
        <w:rPr>
          <w:rFonts w:eastAsia="Times New Roman" w:cs="Arial"/>
          <w:color w:val="000000"/>
          <w:lang w:eastAsia="en-AU"/>
        </w:rPr>
        <w:t>s</w:t>
      </w:r>
      <w:proofErr w:type="spellEnd"/>
      <w:r w:rsidRPr="009B09F4">
        <w:rPr>
          <w:rFonts w:eastAsia="Times New Roman" w:cs="Arial"/>
          <w:color w:val="000000"/>
          <w:lang w:eastAsia="en-AU"/>
        </w:rPr>
        <w:t xml:space="preserve"> are categories of research methodology in the </w:t>
      </w:r>
      <w:r w:rsidR="006733B4">
        <w:t xml:space="preserve">Australian and New Zealand Standard Research Classification (ANZSRC) </w:t>
      </w:r>
      <w:hyperlink r:id="rId20">
        <w:r w:rsidR="006733B4">
          <w:rPr>
            <w:color w:val="1155CC"/>
            <w:u w:val="single"/>
          </w:rPr>
          <w:t>www.abs.gov.au</w:t>
        </w:r>
      </w:hyperlink>
      <w:r w:rsidR="006733B4">
        <w:rPr>
          <w:color w:val="1155CC"/>
          <w:u w:val="single"/>
        </w:rPr>
        <w:t xml:space="preserve"> </w:t>
      </w:r>
      <w:r w:rsidR="006733B4">
        <w:t xml:space="preserve">&gt; </w:t>
      </w:r>
      <w:r w:rsidR="006733B4" w:rsidRPr="003A2C9D">
        <w:t>Statistical methods</w:t>
      </w:r>
      <w:r w:rsidR="006733B4">
        <w:t xml:space="preserve"> &amp; classifications &gt; </w:t>
      </w:r>
      <w:r w:rsidR="006733B4" w:rsidRPr="003A2C9D">
        <w:t>View All Classifications</w:t>
      </w:r>
      <w:r w:rsidR="006733B4">
        <w:t>&gt;</w:t>
      </w:r>
      <w:hyperlink r:id="rId21">
        <w:r w:rsidR="006733B4">
          <w:rPr>
            <w:color w:val="1155CC"/>
            <w:u w:val="single"/>
          </w:rPr>
          <w:t>Australian and New Zealand Standard Research Classification</w:t>
        </w:r>
      </w:hyperlink>
      <w:r w:rsidR="006733B4">
        <w:t>.</w:t>
      </w:r>
      <w:r w:rsidRPr="009B09F4">
        <w:rPr>
          <w:rFonts w:eastAsia="Times New Roman" w:cs="Arial"/>
          <w:color w:val="000000"/>
          <w:lang w:eastAsia="en-AU"/>
        </w:rPr>
        <w:t xml:space="preserve"> </w:t>
      </w:r>
      <w:r w:rsidRPr="009B09F4">
        <w:rPr>
          <w:rFonts w:eastAsia="Times New Roman" w:cs="Arial"/>
          <w:color w:val="333333"/>
          <w:lang w:eastAsia="en-AU"/>
        </w:rPr>
        <w:t>T</w:t>
      </w:r>
      <w:r w:rsidRPr="009B09F4">
        <w:rPr>
          <w:rFonts w:eastAsia="Times New Roman" w:cs="Arial"/>
          <w:color w:val="333333"/>
          <w:shd w:val="clear" w:color="auto" w:fill="FFFFFF"/>
          <w:lang w:eastAsia="en-AU"/>
        </w:rPr>
        <w:t>hey include major fields of research investigated by national research institutions and organisations, and emerging areas of study.</w:t>
      </w:r>
    </w:p>
    <w:p w14:paraId="23FDAEC3" w14:textId="20C1F161" w:rsidR="009B09F4" w:rsidRPr="009B09F4" w:rsidRDefault="009B09F4" w:rsidP="003C6CEB">
      <w:pPr>
        <w:pStyle w:val="Heading2"/>
      </w:pPr>
      <w:r w:rsidRPr="009B09F4">
        <w:t>Engagement</w:t>
      </w:r>
      <w:r w:rsidR="000E725E">
        <w:t xml:space="preserve"> </w:t>
      </w:r>
    </w:p>
    <w:p w14:paraId="15D2598C" w14:textId="55425EF9" w:rsidR="00295A44" w:rsidRPr="009B09F4" w:rsidRDefault="00295A44" w:rsidP="00295A44">
      <w:pPr>
        <w:pStyle w:val="Heading3"/>
      </w:pPr>
      <w:r w:rsidRPr="009B09F4">
        <w:t>Engagement narrative</w:t>
      </w:r>
    </w:p>
    <w:p w14:paraId="6C433B77" w14:textId="7C7555B2" w:rsidR="00295A44" w:rsidRPr="00295A44" w:rsidRDefault="00295A44" w:rsidP="00C2463D">
      <w:pPr>
        <w:textAlignment w:val="baseline"/>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Within the engagement component of the assessment, institutions submit </w:t>
      </w:r>
      <w:r>
        <w:rPr>
          <w:rFonts w:eastAsia="Times New Roman" w:cs="Arial"/>
          <w:color w:val="000000"/>
          <w:lang w:eastAsia="en-AU"/>
        </w:rPr>
        <w:t>a</w:t>
      </w:r>
      <w:r w:rsidR="00FF18F6">
        <w:rPr>
          <w:rFonts w:eastAsia="Times New Roman" w:cs="Arial"/>
          <w:color w:val="000000"/>
          <w:lang w:eastAsia="en-AU"/>
        </w:rPr>
        <w:t xml:space="preserve"> </w:t>
      </w:r>
      <w:r w:rsidRPr="009B09F4">
        <w:rPr>
          <w:rFonts w:eastAsia="Times New Roman" w:cs="Arial"/>
          <w:color w:val="000000"/>
          <w:lang w:eastAsia="en-AU"/>
        </w:rPr>
        <w:t xml:space="preserve">narrative </w:t>
      </w:r>
      <w:r w:rsidRPr="00295A44">
        <w:rPr>
          <w:rFonts w:eastAsia="Times New Roman" w:cs="Arial"/>
          <w:color w:val="000000"/>
          <w:lang w:eastAsia="en-AU"/>
        </w:rPr>
        <w:t xml:space="preserve">to describe the overall engagement activity, strategies and/or objectives for the </w:t>
      </w:r>
      <w:proofErr w:type="spellStart"/>
      <w:r w:rsidRPr="00295A44">
        <w:rPr>
          <w:rFonts w:eastAsia="Times New Roman" w:cs="Arial"/>
          <w:color w:val="000000"/>
          <w:lang w:eastAsia="en-AU"/>
        </w:rPr>
        <w:t>UoA</w:t>
      </w:r>
      <w:proofErr w:type="spellEnd"/>
      <w:r w:rsidRPr="00295A44">
        <w:rPr>
          <w:rFonts w:eastAsia="Times New Roman" w:cs="Arial"/>
          <w:color w:val="000000"/>
          <w:lang w:eastAsia="en-AU"/>
        </w:rPr>
        <w:t>.</w:t>
      </w:r>
    </w:p>
    <w:p w14:paraId="6A4D446E" w14:textId="2BF2FFB7" w:rsidR="00295A44" w:rsidRPr="009B09F4" w:rsidRDefault="00295A44" w:rsidP="00295A4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Additional quantitative evidence, including indicators that are not a part of the </w:t>
      </w:r>
      <w:r w:rsidR="000E0CEB">
        <w:rPr>
          <w:rFonts w:eastAsia="Times New Roman" w:cs="Arial"/>
          <w:color w:val="000000"/>
          <w:lang w:eastAsia="en-AU"/>
        </w:rPr>
        <w:t>EI </w:t>
      </w:r>
      <w:r w:rsidRPr="009B09F4">
        <w:rPr>
          <w:rFonts w:eastAsia="Times New Roman" w:cs="Arial"/>
          <w:color w:val="000000"/>
          <w:lang w:eastAsia="en-AU"/>
        </w:rPr>
        <w:t xml:space="preserve">2018 engagement indicator suite, can be included in the engagement narrative. Institutions may draw on any qualitative or quantitative information for their narrative that provides evidence of their engagement activities within a </w:t>
      </w:r>
      <w:proofErr w:type="spellStart"/>
      <w:r w:rsidRPr="009B09F4">
        <w:rPr>
          <w:rFonts w:eastAsia="Times New Roman" w:cs="Arial"/>
          <w:color w:val="000000"/>
          <w:lang w:eastAsia="en-AU"/>
        </w:rPr>
        <w:t>UoA</w:t>
      </w:r>
      <w:proofErr w:type="spellEnd"/>
      <w:r w:rsidRPr="009B09F4">
        <w:rPr>
          <w:rFonts w:eastAsia="Times New Roman" w:cs="Arial"/>
          <w:color w:val="000000"/>
          <w:lang w:eastAsia="en-AU"/>
        </w:rPr>
        <w:t>.</w:t>
      </w:r>
    </w:p>
    <w:p w14:paraId="56263785" w14:textId="77777777" w:rsidR="009B09F4" w:rsidRPr="009B09F4" w:rsidRDefault="009B09F4" w:rsidP="003C6CEB">
      <w:pPr>
        <w:pStyle w:val="Heading3"/>
      </w:pPr>
      <w:r w:rsidRPr="009B09F4">
        <w:t>Engagement indicators</w:t>
      </w:r>
    </w:p>
    <w:p w14:paraId="132CCA80"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There are four indicators for engagement in EI</w:t>
      </w:r>
      <w:r w:rsidR="003C6CEB">
        <w:rPr>
          <w:rFonts w:eastAsia="Times New Roman" w:cs="Arial"/>
          <w:color w:val="000000"/>
          <w:lang w:eastAsia="en-AU"/>
        </w:rPr>
        <w:t> </w:t>
      </w:r>
      <w:r w:rsidRPr="009B09F4">
        <w:rPr>
          <w:rFonts w:eastAsia="Times New Roman" w:cs="Arial"/>
          <w:color w:val="000000"/>
          <w:lang w:eastAsia="en-AU"/>
        </w:rPr>
        <w:t xml:space="preserve">2018, which provide quantitative evidence of links between researchers and research end-users. </w:t>
      </w:r>
    </w:p>
    <w:p w14:paraId="38615A88" w14:textId="77777777" w:rsidR="009B09F4" w:rsidRPr="009B09F4" w:rsidRDefault="009B09F4" w:rsidP="004B5D04">
      <w:pPr>
        <w:pStyle w:val="Heading4"/>
        <w:rPr>
          <w:rFonts w:ascii="Times New Roman" w:eastAsia="Times New Roman" w:hAnsi="Times New Roman" w:cs="Times New Roman"/>
          <w:sz w:val="24"/>
          <w:szCs w:val="24"/>
          <w:lang w:eastAsia="en-AU"/>
        </w:rPr>
      </w:pPr>
      <w:r w:rsidRPr="009B09F4">
        <w:rPr>
          <w:rFonts w:eastAsia="Times New Roman"/>
          <w:lang w:eastAsia="en-AU"/>
        </w:rPr>
        <w:t xml:space="preserve">Cash support from research end-users </w:t>
      </w:r>
    </w:p>
    <w:p w14:paraId="09DAD892"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This indicator captures cash contributions from research end-users. </w:t>
      </w:r>
    </w:p>
    <w:p w14:paraId="2BB2FF41" w14:textId="4D076E68"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Institutions report cash contributions from research end-users against a specified list of HERDC Category 1 grants and any relevant funding in HERDC </w:t>
      </w:r>
      <w:r w:rsidR="002B1383">
        <w:rPr>
          <w:rFonts w:eastAsia="Times New Roman" w:cs="Arial"/>
          <w:color w:val="000000"/>
          <w:lang w:eastAsia="en-AU"/>
        </w:rPr>
        <w:t>C</w:t>
      </w:r>
      <w:r w:rsidR="002B1383" w:rsidRPr="009B09F4">
        <w:rPr>
          <w:rFonts w:eastAsia="Times New Roman" w:cs="Arial"/>
          <w:color w:val="000000"/>
          <w:lang w:eastAsia="en-AU"/>
        </w:rPr>
        <w:t xml:space="preserve">ategories </w:t>
      </w:r>
      <w:r w:rsidRPr="009B09F4">
        <w:rPr>
          <w:rFonts w:eastAsia="Times New Roman" w:cs="Arial"/>
          <w:color w:val="000000"/>
          <w:lang w:eastAsia="en-AU"/>
        </w:rPr>
        <w:t xml:space="preserve">2, 3 and 4 by </w:t>
      </w:r>
      <w:proofErr w:type="spellStart"/>
      <w:proofErr w:type="gramStart"/>
      <w:r w:rsidRPr="009B09F4">
        <w:rPr>
          <w:rFonts w:eastAsia="Times New Roman" w:cs="Arial"/>
          <w:color w:val="000000"/>
          <w:lang w:eastAsia="en-AU"/>
        </w:rPr>
        <w:t>FoR</w:t>
      </w:r>
      <w:proofErr w:type="spellEnd"/>
      <w:proofErr w:type="gramEnd"/>
      <w:r w:rsidRPr="009B09F4">
        <w:rPr>
          <w:rFonts w:eastAsia="Times New Roman" w:cs="Arial"/>
          <w:color w:val="000000"/>
          <w:lang w:eastAsia="en-AU"/>
        </w:rPr>
        <w:t xml:space="preserve"> code. </w:t>
      </w:r>
    </w:p>
    <w:p w14:paraId="0CF72C85" w14:textId="77777777" w:rsidR="009B09F4" w:rsidRPr="009B09F4" w:rsidRDefault="009B09F4" w:rsidP="004B5D04">
      <w:pPr>
        <w:pStyle w:val="Heading4"/>
        <w:rPr>
          <w:rFonts w:ascii="Times New Roman" w:eastAsia="Times New Roman" w:hAnsi="Times New Roman" w:cs="Times New Roman"/>
          <w:sz w:val="24"/>
          <w:szCs w:val="24"/>
          <w:lang w:eastAsia="en-AU"/>
        </w:rPr>
      </w:pPr>
      <w:r w:rsidRPr="009B09F4">
        <w:rPr>
          <w:rFonts w:eastAsia="Times New Roman"/>
          <w:lang w:eastAsia="en-AU"/>
        </w:rPr>
        <w:t>Total Higher Education Research Data Collection (HERDC) income per FTE</w:t>
      </w:r>
    </w:p>
    <w:p w14:paraId="01739DDF" w14:textId="05F933FE" w:rsidR="009B09F4" w:rsidRDefault="009B09F4" w:rsidP="006733B4">
      <w:pPr>
        <w:rPr>
          <w:rFonts w:eastAsia="Times New Roman" w:cs="Arial"/>
          <w:color w:val="000000"/>
          <w:lang w:eastAsia="en-AU"/>
        </w:rPr>
      </w:pPr>
      <w:r w:rsidRPr="009B09F4">
        <w:rPr>
          <w:rFonts w:eastAsia="Times New Roman" w:cs="Arial"/>
          <w:color w:val="000000"/>
          <w:lang w:eastAsia="en-AU"/>
        </w:rPr>
        <w:t>This indicator is broader than cash from end-users, including all funding (not just cash from end-users). This data is drawn from an institution’s ERA</w:t>
      </w:r>
      <w:r w:rsidR="004C0BA7">
        <w:rPr>
          <w:rFonts w:eastAsia="Times New Roman" w:cs="Arial"/>
          <w:color w:val="000000"/>
          <w:lang w:eastAsia="en-AU"/>
        </w:rPr>
        <w:t> </w:t>
      </w:r>
      <w:r w:rsidRPr="009B09F4">
        <w:rPr>
          <w:rFonts w:eastAsia="Times New Roman" w:cs="Arial"/>
          <w:color w:val="000000"/>
          <w:lang w:eastAsia="en-AU"/>
        </w:rPr>
        <w:t xml:space="preserve">2018 submission based on a specified list of HERDC Category 1 grants and any relevant funding in HERDC </w:t>
      </w:r>
      <w:r w:rsidR="002B1383">
        <w:rPr>
          <w:rFonts w:eastAsia="Times New Roman" w:cs="Arial"/>
          <w:color w:val="000000"/>
          <w:lang w:eastAsia="en-AU"/>
        </w:rPr>
        <w:t>C</w:t>
      </w:r>
      <w:r w:rsidR="002B1383" w:rsidRPr="009B09F4">
        <w:rPr>
          <w:rFonts w:eastAsia="Times New Roman" w:cs="Arial"/>
          <w:color w:val="000000"/>
          <w:lang w:eastAsia="en-AU"/>
        </w:rPr>
        <w:t xml:space="preserve">ategories </w:t>
      </w:r>
      <w:r w:rsidRPr="009B09F4">
        <w:rPr>
          <w:rFonts w:eastAsia="Times New Roman" w:cs="Arial"/>
          <w:color w:val="000000"/>
          <w:lang w:eastAsia="en-AU"/>
        </w:rPr>
        <w:t>2, 3 and 4.</w:t>
      </w:r>
    </w:p>
    <w:p w14:paraId="444C56E3" w14:textId="5417D1B7" w:rsidR="00295A44" w:rsidRPr="00A55385" w:rsidRDefault="00295A44" w:rsidP="006733B4">
      <w:pPr>
        <w:rPr>
          <w:rFonts w:cs="Arial"/>
        </w:rPr>
      </w:pPr>
      <w:r w:rsidRPr="00A55385">
        <w:rPr>
          <w:rFonts w:cs="Arial"/>
          <w:b/>
          <w:bCs/>
        </w:rPr>
        <w:t>NOTE</w:t>
      </w:r>
      <w:r w:rsidRPr="00F24940">
        <w:rPr>
          <w:rFonts w:cs="Arial"/>
          <w:bCs/>
          <w:i/>
          <w:iCs/>
        </w:rPr>
        <w:t>—</w:t>
      </w:r>
      <w:r w:rsidRPr="00A55385">
        <w:rPr>
          <w:rFonts w:cs="Arial"/>
        </w:rPr>
        <w:t>FTE staff recorded with a function of ‘other function’ in ERA 2018 will not be included in this calculation.</w:t>
      </w:r>
    </w:p>
    <w:p w14:paraId="4B7C264A" w14:textId="50AF329A"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No new data is required for submission by institutions for HERDC </w:t>
      </w:r>
      <w:r w:rsidR="002B1383">
        <w:rPr>
          <w:rFonts w:eastAsia="Times New Roman" w:cs="Arial"/>
          <w:color w:val="000000"/>
          <w:lang w:eastAsia="en-AU"/>
        </w:rPr>
        <w:t>C</w:t>
      </w:r>
      <w:r w:rsidR="002B1383" w:rsidRPr="009B09F4">
        <w:rPr>
          <w:rFonts w:eastAsia="Times New Roman" w:cs="Arial"/>
          <w:color w:val="000000"/>
          <w:lang w:eastAsia="en-AU"/>
        </w:rPr>
        <w:t xml:space="preserve">ategories </w:t>
      </w:r>
      <w:r w:rsidRPr="009B09F4">
        <w:rPr>
          <w:rFonts w:eastAsia="Times New Roman" w:cs="Arial"/>
          <w:color w:val="000000"/>
          <w:lang w:eastAsia="en-AU"/>
        </w:rPr>
        <w:t>1, 2, 3, or 4 and FTE.</w:t>
      </w:r>
    </w:p>
    <w:p w14:paraId="74D5BA26" w14:textId="253F9E78" w:rsidR="009B09F4" w:rsidRPr="009B09F4" w:rsidRDefault="009B09F4" w:rsidP="004B5D04">
      <w:pPr>
        <w:pStyle w:val="Heading4"/>
        <w:rPr>
          <w:rFonts w:ascii="Times New Roman" w:eastAsia="Times New Roman" w:hAnsi="Times New Roman" w:cs="Times New Roman"/>
          <w:sz w:val="24"/>
          <w:szCs w:val="24"/>
          <w:lang w:eastAsia="en-AU"/>
        </w:rPr>
      </w:pPr>
      <w:r w:rsidRPr="009B09F4">
        <w:rPr>
          <w:rFonts w:eastAsia="Times New Roman"/>
          <w:lang w:eastAsia="en-AU"/>
        </w:rPr>
        <w:lastRenderedPageBreak/>
        <w:t>Proportion of specified HERDC Category 1 grants to all HERDC Category 1 grants</w:t>
      </w:r>
    </w:p>
    <w:p w14:paraId="4653443B"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This indicator focuses on the mix of HERDC Category 1 funding arising from specific HERDC Category 1 grants (end-user sponsored) and all HERDC Category 1 grants. </w:t>
      </w:r>
    </w:p>
    <w:p w14:paraId="036D722A"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This indicator includes two separate calculations:</w:t>
      </w:r>
    </w:p>
    <w:p w14:paraId="18C169DC" w14:textId="77777777" w:rsidR="009B09F4" w:rsidRPr="009B09F4"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9B09F4">
        <w:rPr>
          <w:rFonts w:eastAsia="Times New Roman" w:cs="Arial"/>
          <w:color w:val="000000"/>
          <w:lang w:eastAsia="en-AU"/>
        </w:rPr>
        <w:t>the proportion of specified HERDC Category 1 grants to all HERDC Category 1 grants by grant number</w:t>
      </w:r>
    </w:p>
    <w:p w14:paraId="4F06E407" w14:textId="5482499F" w:rsidR="009B09F4"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9B09F4">
        <w:rPr>
          <w:rFonts w:eastAsia="Times New Roman" w:cs="Arial"/>
          <w:color w:val="000000"/>
          <w:lang w:eastAsia="en-AU"/>
        </w:rPr>
        <w:t>the proportion of specified HERDC Category 1 grants to all HERDC Category 1 grants by income</w:t>
      </w:r>
      <w:r w:rsidR="000E0CEB">
        <w:rPr>
          <w:rFonts w:eastAsia="Times New Roman" w:cs="Arial"/>
          <w:color w:val="000000"/>
          <w:lang w:eastAsia="en-AU"/>
        </w:rPr>
        <w:t>.</w:t>
      </w:r>
    </w:p>
    <w:p w14:paraId="2827AC7B" w14:textId="424EB1C8" w:rsidR="00295A44" w:rsidRDefault="00FE4047" w:rsidP="006733B4">
      <w:pPr>
        <w:rPr>
          <w:rFonts w:eastAsia="Times New Roman" w:cs="Arial"/>
          <w:b/>
          <w:bCs/>
          <w:color w:val="000000"/>
          <w:lang w:eastAsia="en-AU"/>
        </w:rPr>
      </w:pPr>
      <w:r>
        <w:t xml:space="preserve">The number of grants </w:t>
      </w:r>
      <w:r w:rsidR="00072882">
        <w:t>is</w:t>
      </w:r>
      <w:r>
        <w:t xml:space="preserve"> calculated based on the total percentage of the grant received within the reference period.</w:t>
      </w:r>
    </w:p>
    <w:p w14:paraId="5666C8D8" w14:textId="25722CA6" w:rsidR="009B09F4" w:rsidRPr="009B09F4" w:rsidRDefault="009B09F4" w:rsidP="004B5D04">
      <w:pPr>
        <w:pStyle w:val="Heading4"/>
        <w:rPr>
          <w:rFonts w:ascii="Times New Roman" w:eastAsia="Times New Roman" w:hAnsi="Times New Roman" w:cs="Times New Roman"/>
          <w:sz w:val="24"/>
          <w:szCs w:val="24"/>
          <w:lang w:eastAsia="en-AU"/>
        </w:rPr>
      </w:pPr>
      <w:r w:rsidRPr="009B09F4">
        <w:rPr>
          <w:rFonts w:eastAsia="Times New Roman"/>
          <w:lang w:eastAsia="en-AU"/>
        </w:rPr>
        <w:t>Research commercialisation income</w:t>
      </w:r>
    </w:p>
    <w:p w14:paraId="4033DA50" w14:textId="071FB5A7" w:rsidR="009B09F4" w:rsidRPr="009B09F4" w:rsidRDefault="00936919" w:rsidP="006733B4">
      <w:pPr>
        <w:rPr>
          <w:rFonts w:ascii="Times New Roman" w:eastAsia="Times New Roman" w:hAnsi="Times New Roman" w:cs="Times New Roman"/>
          <w:sz w:val="24"/>
          <w:szCs w:val="24"/>
          <w:lang w:eastAsia="en-AU"/>
        </w:rPr>
      </w:pPr>
      <w:r>
        <w:rPr>
          <w:rFonts w:eastAsia="Times New Roman" w:cs="Arial"/>
          <w:color w:val="000000"/>
          <w:lang w:eastAsia="en-AU"/>
        </w:rPr>
        <w:t>This indicator is the total r</w:t>
      </w:r>
      <w:r w:rsidR="009B09F4" w:rsidRPr="009B09F4">
        <w:rPr>
          <w:rFonts w:eastAsia="Times New Roman" w:cs="Arial"/>
          <w:color w:val="000000"/>
          <w:lang w:eastAsia="en-AU"/>
        </w:rPr>
        <w:t xml:space="preserve">esearch commercialisation income </w:t>
      </w:r>
      <w:r>
        <w:rPr>
          <w:rFonts w:eastAsia="Times New Roman" w:cs="Arial"/>
          <w:color w:val="000000"/>
          <w:lang w:eastAsia="en-AU"/>
        </w:rPr>
        <w:t xml:space="preserve">for the </w:t>
      </w:r>
      <w:proofErr w:type="spellStart"/>
      <w:r>
        <w:rPr>
          <w:rFonts w:eastAsia="Times New Roman" w:cs="Arial"/>
          <w:color w:val="000000"/>
          <w:lang w:eastAsia="en-AU"/>
        </w:rPr>
        <w:t>UoA</w:t>
      </w:r>
      <w:proofErr w:type="spellEnd"/>
      <w:r>
        <w:rPr>
          <w:rFonts w:eastAsia="Times New Roman" w:cs="Arial"/>
          <w:color w:val="000000"/>
          <w:lang w:eastAsia="en-AU"/>
        </w:rPr>
        <w:t xml:space="preserve">. </w:t>
      </w:r>
      <w:r w:rsidR="003B0F2E">
        <w:rPr>
          <w:rFonts w:eastAsia="Times New Roman" w:cs="Arial"/>
          <w:color w:val="000000"/>
          <w:lang w:eastAsia="en-AU"/>
        </w:rPr>
        <w:t>To align with ERA data submission, r</w:t>
      </w:r>
      <w:r w:rsidR="009B09F4" w:rsidRPr="009B09F4">
        <w:rPr>
          <w:rFonts w:eastAsia="Times New Roman" w:cs="Arial"/>
          <w:color w:val="000000"/>
          <w:lang w:eastAsia="en-AU"/>
        </w:rPr>
        <w:t xml:space="preserve">esearch commercialisation income is an indicator for </w:t>
      </w:r>
      <w:r w:rsidR="00650D7A">
        <w:rPr>
          <w:rFonts w:eastAsia="Times New Roman" w:cs="Arial"/>
          <w:color w:val="000000"/>
          <w:lang w:eastAsia="en-AU"/>
        </w:rPr>
        <w:t xml:space="preserve">all </w:t>
      </w:r>
      <w:r w:rsidR="009B09F4" w:rsidRPr="009B09F4">
        <w:rPr>
          <w:rFonts w:eastAsia="Times New Roman" w:cs="Arial"/>
          <w:color w:val="000000"/>
          <w:lang w:eastAsia="en-AU"/>
        </w:rPr>
        <w:t>disciplines</w:t>
      </w:r>
      <w:r w:rsidR="00650D7A">
        <w:rPr>
          <w:rFonts w:eastAsia="Times New Roman" w:cs="Arial"/>
          <w:color w:val="000000"/>
          <w:lang w:eastAsia="en-AU"/>
        </w:rPr>
        <w:t xml:space="preserve">, </w:t>
      </w:r>
      <w:r w:rsidR="00650D7A" w:rsidRPr="00650D7A">
        <w:rPr>
          <w:rFonts w:eastAsia="Times New Roman" w:cs="Arial"/>
          <w:b/>
          <w:color w:val="000000"/>
          <w:lang w:eastAsia="en-AU"/>
        </w:rPr>
        <w:t>except</w:t>
      </w:r>
      <w:r w:rsidR="00650D7A">
        <w:rPr>
          <w:rFonts w:eastAsia="Times New Roman" w:cs="Arial"/>
          <w:color w:val="000000"/>
          <w:lang w:eastAsia="en-AU"/>
        </w:rPr>
        <w:t xml:space="preserve"> the following two</w:t>
      </w:r>
      <w:r w:rsidR="009B09F4" w:rsidRPr="009B09F4">
        <w:rPr>
          <w:rFonts w:eastAsia="Times New Roman" w:cs="Arial"/>
          <w:color w:val="000000"/>
          <w:lang w:eastAsia="en-AU"/>
        </w:rPr>
        <w:t>:</w:t>
      </w:r>
    </w:p>
    <w:p w14:paraId="204B12B8" w14:textId="144EAF49" w:rsidR="009B09F4" w:rsidRPr="009B09F4" w:rsidRDefault="00650D7A"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Pr>
          <w:rFonts w:eastAsia="Times New Roman" w:cs="Arial"/>
          <w:color w:val="000000"/>
          <w:lang w:eastAsia="en-AU"/>
        </w:rPr>
        <w:t>11</w:t>
      </w:r>
      <w:r w:rsidR="009B09F4" w:rsidRPr="009B09F4">
        <w:rPr>
          <w:rFonts w:eastAsia="Times New Roman" w:cs="Arial"/>
          <w:color w:val="000000"/>
          <w:lang w:eastAsia="en-AU"/>
        </w:rPr>
        <w:t>—</w:t>
      </w:r>
      <w:r>
        <w:rPr>
          <w:rFonts w:eastAsia="Times New Roman" w:cs="Arial"/>
          <w:color w:val="000000"/>
          <w:lang w:eastAsia="en-AU"/>
        </w:rPr>
        <w:t>Public and Allied Health Sciences*</w:t>
      </w:r>
    </w:p>
    <w:p w14:paraId="7B19E6A5" w14:textId="68DC4AB3" w:rsidR="009B09F4" w:rsidRDefault="00650D7A"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Pr>
          <w:rFonts w:eastAsia="Times New Roman" w:cs="Arial"/>
          <w:color w:val="000000"/>
          <w:lang w:eastAsia="en-AU"/>
        </w:rPr>
        <w:t>18—Law and Legal Studies</w:t>
      </w:r>
    </w:p>
    <w:p w14:paraId="662AAE8F" w14:textId="77777777" w:rsidR="00650D7A" w:rsidRPr="009B09F4" w:rsidRDefault="00650D7A" w:rsidP="00650D7A">
      <w:pPr>
        <w:pBdr>
          <w:top w:val="none" w:sz="0" w:space="0" w:color="000000"/>
          <w:left w:val="none" w:sz="0" w:space="0" w:color="000000"/>
          <w:bottom w:val="none" w:sz="0" w:space="0" w:color="000000"/>
          <w:right w:val="none" w:sz="0" w:space="0" w:color="000000"/>
          <w:between w:val="none" w:sz="0" w:space="0" w:color="000000"/>
        </w:pBdr>
        <w:ind w:left="850"/>
        <w:rPr>
          <w:rFonts w:eastAsia="Times New Roman" w:cs="Arial"/>
          <w:color w:val="000000"/>
          <w:lang w:eastAsia="en-AU"/>
        </w:rPr>
      </w:pPr>
    </w:p>
    <w:p w14:paraId="64F6065B" w14:textId="22E51FD8" w:rsidR="009B09F4" w:rsidRPr="00650D7A" w:rsidRDefault="00650D7A" w:rsidP="006733B4">
      <w:pPr>
        <w:rPr>
          <w:rFonts w:eastAsia="Times New Roman" w:cs="Arial"/>
          <w:sz w:val="20"/>
          <w:szCs w:val="20"/>
          <w:lang w:eastAsia="en-AU"/>
        </w:rPr>
      </w:pPr>
      <w:r w:rsidRPr="00650D7A">
        <w:rPr>
          <w:rFonts w:eastAsia="Times New Roman" w:cs="Arial"/>
          <w:sz w:val="20"/>
          <w:szCs w:val="20"/>
          <w:lang w:eastAsia="en-AU"/>
        </w:rPr>
        <w:t>*Research commercialisation income is an indicator for 11—Biomedical and Clinical Sciences</w:t>
      </w:r>
    </w:p>
    <w:p w14:paraId="4D5EB217" w14:textId="225D24CC" w:rsidR="009B09F4" w:rsidRDefault="009B09F4" w:rsidP="006733B4">
      <w:pPr>
        <w:rPr>
          <w:rFonts w:eastAsia="Times New Roman" w:cs="Arial"/>
          <w:color w:val="000000"/>
          <w:lang w:eastAsia="en-AU"/>
        </w:rPr>
      </w:pPr>
      <w:r w:rsidRPr="009B09F4">
        <w:rPr>
          <w:rFonts w:eastAsia="Times New Roman" w:cs="Arial"/>
          <w:color w:val="000000"/>
          <w:lang w:eastAsia="en-AU"/>
        </w:rPr>
        <w:t>Data for this indicator is drawn from an institution's ERA</w:t>
      </w:r>
      <w:r w:rsidR="004C0BA7">
        <w:rPr>
          <w:rFonts w:eastAsia="Times New Roman" w:cs="Arial"/>
          <w:color w:val="000000"/>
          <w:lang w:eastAsia="en-AU"/>
        </w:rPr>
        <w:t> </w:t>
      </w:r>
      <w:r w:rsidRPr="009B09F4">
        <w:rPr>
          <w:rFonts w:eastAsia="Times New Roman" w:cs="Arial"/>
          <w:color w:val="000000"/>
          <w:lang w:eastAsia="en-AU"/>
        </w:rPr>
        <w:t xml:space="preserve">2018 submission. ERA collects research commercialisation income at the four-digit </w:t>
      </w:r>
      <w:proofErr w:type="spellStart"/>
      <w:proofErr w:type="gramStart"/>
      <w:r w:rsidRPr="009B09F4">
        <w:rPr>
          <w:rFonts w:eastAsia="Times New Roman" w:cs="Arial"/>
          <w:color w:val="000000"/>
          <w:lang w:eastAsia="en-AU"/>
        </w:rPr>
        <w:t>FoR</w:t>
      </w:r>
      <w:proofErr w:type="spellEnd"/>
      <w:proofErr w:type="gramEnd"/>
      <w:r w:rsidRPr="009B09F4">
        <w:rPr>
          <w:rFonts w:eastAsia="Times New Roman" w:cs="Arial"/>
          <w:color w:val="000000"/>
          <w:lang w:eastAsia="en-AU"/>
        </w:rPr>
        <w:t xml:space="preserve"> level. This data is rolled up to the two-digit level for EI</w:t>
      </w:r>
      <w:r w:rsidR="004C0BA7">
        <w:rPr>
          <w:rFonts w:eastAsia="Times New Roman" w:cs="Arial"/>
          <w:color w:val="000000"/>
          <w:lang w:eastAsia="en-AU"/>
        </w:rPr>
        <w:t> </w:t>
      </w:r>
      <w:r w:rsidRPr="009B09F4">
        <w:rPr>
          <w:rFonts w:eastAsia="Times New Roman" w:cs="Arial"/>
          <w:color w:val="000000"/>
          <w:lang w:eastAsia="en-AU"/>
        </w:rPr>
        <w:t xml:space="preserve">2018. </w:t>
      </w:r>
    </w:p>
    <w:p w14:paraId="6A596A38" w14:textId="47750AFF" w:rsidR="00295A44" w:rsidRDefault="00295A44" w:rsidP="004B5D04">
      <w:pPr>
        <w:pStyle w:val="Heading4"/>
        <w:rPr>
          <w:rFonts w:eastAsia="Times New Roman"/>
          <w:lang w:eastAsia="en-AU"/>
        </w:rPr>
      </w:pPr>
      <w:r w:rsidRPr="00A55385">
        <w:rPr>
          <w:rFonts w:eastAsia="Times New Roman"/>
          <w:lang w:eastAsia="en-AU"/>
        </w:rPr>
        <w:t xml:space="preserve">Engagement </w:t>
      </w:r>
      <w:r>
        <w:rPr>
          <w:rFonts w:eastAsia="Times New Roman"/>
          <w:lang w:eastAsia="en-AU"/>
        </w:rPr>
        <w:t>indicator explanatory statement</w:t>
      </w:r>
    </w:p>
    <w:p w14:paraId="51A63C8B" w14:textId="0F4D4A54" w:rsidR="00295A44" w:rsidRPr="009B09F4" w:rsidRDefault="00295A44" w:rsidP="00A55385">
      <w:pPr>
        <w:textAlignment w:val="baseline"/>
        <w:rPr>
          <w:rFonts w:eastAsia="Times New Roman" w:cs="Arial"/>
          <w:color w:val="000000"/>
          <w:lang w:eastAsia="en-AU"/>
        </w:rPr>
      </w:pPr>
      <w:r>
        <w:rPr>
          <w:rFonts w:eastAsia="Times New Roman" w:cs="Arial"/>
          <w:color w:val="000000"/>
          <w:lang w:eastAsia="en-AU"/>
        </w:rPr>
        <w:t xml:space="preserve">This allows </w:t>
      </w:r>
      <w:r w:rsidRPr="009B09F4">
        <w:rPr>
          <w:rFonts w:eastAsia="Times New Roman" w:cs="Arial"/>
          <w:color w:val="000000"/>
          <w:lang w:eastAsia="en-AU"/>
        </w:rPr>
        <w:t>institutions to provide context</w:t>
      </w:r>
      <w:r w:rsidR="00FF18F6">
        <w:rPr>
          <w:rFonts w:eastAsia="Times New Roman" w:cs="Arial"/>
          <w:color w:val="000000"/>
          <w:lang w:eastAsia="en-AU"/>
        </w:rPr>
        <w:t xml:space="preserve"> and </w:t>
      </w:r>
      <w:r w:rsidRPr="009B09F4">
        <w:rPr>
          <w:rFonts w:eastAsia="Times New Roman" w:cs="Arial"/>
          <w:color w:val="000000"/>
          <w:lang w:eastAsia="en-AU"/>
        </w:rPr>
        <w:t xml:space="preserve">explain their engagement indicator data. This will be particularly helpful in disciplines where the metric indicators may be less relevant, and in </w:t>
      </w:r>
      <w:proofErr w:type="spellStart"/>
      <w:r w:rsidRPr="009B09F4">
        <w:rPr>
          <w:rFonts w:eastAsia="Times New Roman" w:cs="Arial"/>
          <w:color w:val="000000"/>
          <w:lang w:eastAsia="en-AU"/>
        </w:rPr>
        <w:t>UoAs</w:t>
      </w:r>
      <w:proofErr w:type="spellEnd"/>
      <w:r w:rsidRPr="009B09F4">
        <w:rPr>
          <w:rFonts w:eastAsia="Times New Roman" w:cs="Arial"/>
          <w:color w:val="000000"/>
          <w:lang w:eastAsia="en-AU"/>
        </w:rPr>
        <w:t xml:space="preserve"> where there may be anomalies in the data.</w:t>
      </w:r>
    </w:p>
    <w:p w14:paraId="44E2FED0" w14:textId="5CD4E6B7" w:rsidR="00936919" w:rsidRDefault="009B09F4" w:rsidP="006733B4">
      <w:pPr>
        <w:rPr>
          <w:rFonts w:eastAsia="Times New Roman" w:cs="Arial"/>
          <w:color w:val="000000"/>
          <w:lang w:eastAsia="en-AU"/>
        </w:rPr>
      </w:pPr>
      <w:r w:rsidRPr="009B09F4">
        <w:rPr>
          <w:rFonts w:eastAsia="Times New Roman" w:cs="Arial"/>
          <w:color w:val="000000"/>
          <w:lang w:eastAsia="en-AU"/>
        </w:rPr>
        <w:t xml:space="preserve">In addition, in anticipation of future rounds, the ARC is collecting but not assessing data </w:t>
      </w:r>
      <w:r w:rsidR="004668D1">
        <w:rPr>
          <w:rFonts w:eastAsia="Times New Roman" w:cs="Arial"/>
          <w:color w:val="000000"/>
          <w:lang w:eastAsia="en-AU"/>
        </w:rPr>
        <w:t>for</w:t>
      </w:r>
      <w:r w:rsidRPr="009B09F4">
        <w:rPr>
          <w:rFonts w:eastAsia="Times New Roman" w:cs="Arial"/>
          <w:color w:val="000000"/>
          <w:lang w:eastAsia="en-AU"/>
        </w:rPr>
        <w:t xml:space="preserve"> end-user co-supervision of Higher Degree Research (HDR) students. </w:t>
      </w:r>
      <w:r w:rsidR="00936919" w:rsidRPr="009B09F4">
        <w:rPr>
          <w:rFonts w:eastAsia="Times New Roman" w:cs="Arial"/>
          <w:color w:val="000000"/>
          <w:lang w:eastAsia="en-AU"/>
        </w:rPr>
        <w:t xml:space="preserve">This </w:t>
      </w:r>
      <w:r w:rsidR="00466237">
        <w:rPr>
          <w:rFonts w:eastAsia="Times New Roman" w:cs="Arial"/>
          <w:color w:val="000000"/>
          <w:lang w:eastAsia="en-AU"/>
        </w:rPr>
        <w:t>data</w:t>
      </w:r>
      <w:r w:rsidR="00936919" w:rsidRPr="009B09F4">
        <w:rPr>
          <w:rFonts w:eastAsia="Times New Roman" w:cs="Arial"/>
          <w:color w:val="000000"/>
          <w:lang w:eastAsia="en-AU"/>
        </w:rPr>
        <w:t xml:space="preserve"> captures the co-supervision of HDR students where at least one supervisor is a research end-user. </w:t>
      </w:r>
    </w:p>
    <w:p w14:paraId="293E38B0" w14:textId="77777777" w:rsidR="00F24421" w:rsidRDefault="009B09F4" w:rsidP="006733B4">
      <w:pPr>
        <w:rPr>
          <w:rFonts w:eastAsia="Times New Roman" w:cs="Arial"/>
          <w:color w:val="000000"/>
          <w:lang w:eastAsia="en-AU"/>
        </w:rPr>
      </w:pPr>
      <w:r w:rsidRPr="009B09F4">
        <w:rPr>
          <w:rFonts w:eastAsia="Times New Roman" w:cs="Arial"/>
          <w:color w:val="000000"/>
          <w:lang w:eastAsia="en-AU"/>
        </w:rPr>
        <w:t xml:space="preserve">Not assessing this </w:t>
      </w:r>
      <w:r w:rsidR="00466237">
        <w:rPr>
          <w:rFonts w:eastAsia="Times New Roman" w:cs="Arial"/>
          <w:color w:val="000000"/>
          <w:lang w:eastAsia="en-AU"/>
        </w:rPr>
        <w:t>data</w:t>
      </w:r>
      <w:r w:rsidRPr="009B09F4">
        <w:rPr>
          <w:rFonts w:eastAsia="Times New Roman" w:cs="Arial"/>
          <w:color w:val="000000"/>
          <w:lang w:eastAsia="en-AU"/>
        </w:rPr>
        <w:t xml:space="preserve"> in EI</w:t>
      </w:r>
      <w:r w:rsidR="004C0BA7">
        <w:rPr>
          <w:rFonts w:eastAsia="Times New Roman" w:cs="Arial"/>
          <w:color w:val="000000"/>
          <w:lang w:eastAsia="en-AU"/>
        </w:rPr>
        <w:t> </w:t>
      </w:r>
      <w:r w:rsidRPr="009B09F4">
        <w:rPr>
          <w:rFonts w:eastAsia="Times New Roman" w:cs="Arial"/>
          <w:color w:val="000000"/>
          <w:lang w:eastAsia="en-AU"/>
        </w:rPr>
        <w:t xml:space="preserve">2018 recognises the challenges there may be for institutions collecting this data and anticipates the upcoming </w:t>
      </w:r>
      <w:r w:rsidR="004668D1">
        <w:rPr>
          <w:rFonts w:eastAsia="Times New Roman" w:cs="Arial"/>
          <w:color w:val="000000"/>
          <w:lang w:eastAsia="en-AU"/>
        </w:rPr>
        <w:t>Department of Education and Training (</w:t>
      </w:r>
      <w:r w:rsidRPr="009B09F4">
        <w:rPr>
          <w:rFonts w:eastAsia="Times New Roman" w:cs="Arial"/>
          <w:color w:val="000000"/>
          <w:lang w:eastAsia="en-AU"/>
        </w:rPr>
        <w:t>DET</w:t>
      </w:r>
      <w:r w:rsidR="004668D1">
        <w:rPr>
          <w:rFonts w:eastAsia="Times New Roman" w:cs="Arial"/>
          <w:color w:val="000000"/>
          <w:lang w:eastAsia="en-AU"/>
        </w:rPr>
        <w:t>)</w:t>
      </w:r>
      <w:r w:rsidRPr="009B09F4">
        <w:rPr>
          <w:rFonts w:eastAsia="Times New Roman" w:cs="Arial"/>
          <w:color w:val="000000"/>
          <w:lang w:eastAsia="en-AU"/>
        </w:rPr>
        <w:t xml:space="preserve"> changes to the collection of HDR data. DET will be collecting this data from 2018. The ARC expects that future </w:t>
      </w:r>
      <w:r w:rsidR="00072882">
        <w:rPr>
          <w:rFonts w:eastAsia="Times New Roman" w:cs="Arial"/>
          <w:color w:val="000000"/>
          <w:lang w:eastAsia="en-AU"/>
        </w:rPr>
        <w:t xml:space="preserve">EI </w:t>
      </w:r>
      <w:r w:rsidRPr="009B09F4">
        <w:rPr>
          <w:rFonts w:eastAsia="Times New Roman" w:cs="Arial"/>
          <w:color w:val="000000"/>
          <w:lang w:eastAsia="en-AU"/>
        </w:rPr>
        <w:t xml:space="preserve">rounds will assess this indicator. </w:t>
      </w:r>
    </w:p>
    <w:p w14:paraId="579F049E" w14:textId="0147596C" w:rsidR="009B09F4" w:rsidRDefault="009B09F4" w:rsidP="006733B4">
      <w:pPr>
        <w:rPr>
          <w:rFonts w:eastAsia="Times New Roman" w:cs="Arial"/>
          <w:color w:val="000000"/>
          <w:lang w:eastAsia="en-AU"/>
        </w:rPr>
      </w:pPr>
      <w:r w:rsidRPr="009B09F4">
        <w:rPr>
          <w:rFonts w:eastAsia="Times New Roman" w:cs="Arial"/>
          <w:color w:val="000000"/>
          <w:lang w:eastAsia="en-AU"/>
        </w:rPr>
        <w:t xml:space="preserve">Assessment panels will make a holistic judgement about the performance of a </w:t>
      </w:r>
      <w:proofErr w:type="spellStart"/>
      <w:proofErr w:type="gramStart"/>
      <w:r w:rsidR="00881905">
        <w:rPr>
          <w:rFonts w:eastAsia="Times New Roman" w:cs="Arial"/>
          <w:color w:val="000000"/>
          <w:lang w:eastAsia="en-AU"/>
        </w:rPr>
        <w:t>UoA</w:t>
      </w:r>
      <w:proofErr w:type="spellEnd"/>
      <w:r w:rsidRPr="009B09F4">
        <w:rPr>
          <w:rFonts w:eastAsia="Times New Roman" w:cs="Arial"/>
          <w:color w:val="000000"/>
          <w:lang w:eastAsia="en-AU"/>
        </w:rPr>
        <w:t>, and</w:t>
      </w:r>
      <w:proofErr w:type="gramEnd"/>
      <w:r w:rsidRPr="009B09F4">
        <w:rPr>
          <w:rFonts w:eastAsia="Times New Roman" w:cs="Arial"/>
          <w:color w:val="000000"/>
          <w:lang w:eastAsia="en-AU"/>
        </w:rPr>
        <w:t xml:space="preserve"> will be able to </w:t>
      </w:r>
      <w:r w:rsidR="000E0CEB">
        <w:rPr>
          <w:rFonts w:eastAsia="Times New Roman" w:cs="Arial"/>
          <w:color w:val="000000"/>
          <w:lang w:eastAsia="en-AU"/>
        </w:rPr>
        <w:t xml:space="preserve">focus on aspects of the </w:t>
      </w:r>
      <w:r w:rsidRPr="009B09F4">
        <w:rPr>
          <w:rFonts w:eastAsia="Times New Roman" w:cs="Arial"/>
          <w:color w:val="000000"/>
          <w:lang w:eastAsia="en-AU"/>
        </w:rPr>
        <w:t>narrative</w:t>
      </w:r>
      <w:r w:rsidR="001B44CC">
        <w:rPr>
          <w:rFonts w:eastAsia="Times New Roman" w:cs="Arial"/>
          <w:color w:val="000000"/>
          <w:lang w:eastAsia="en-AU"/>
        </w:rPr>
        <w:t xml:space="preserve"> or indicators</w:t>
      </w:r>
      <w:r w:rsidRPr="009B09F4">
        <w:rPr>
          <w:rFonts w:eastAsia="Times New Roman" w:cs="Arial"/>
          <w:color w:val="000000"/>
          <w:lang w:eastAsia="en-AU"/>
        </w:rPr>
        <w:t xml:space="preserve"> that are particularly relevant for different disciplines. Assessment panels will also see the FTE data for a </w:t>
      </w:r>
      <w:proofErr w:type="spellStart"/>
      <w:r w:rsidRPr="009B09F4">
        <w:rPr>
          <w:rFonts w:eastAsia="Times New Roman" w:cs="Arial"/>
          <w:color w:val="000000"/>
          <w:lang w:eastAsia="en-AU"/>
        </w:rPr>
        <w:t>UoA</w:t>
      </w:r>
      <w:proofErr w:type="spellEnd"/>
      <w:r w:rsidRPr="009B09F4">
        <w:rPr>
          <w:rFonts w:eastAsia="Times New Roman" w:cs="Arial"/>
          <w:color w:val="000000"/>
          <w:lang w:eastAsia="en-AU"/>
        </w:rPr>
        <w:t>, to provide context for</w:t>
      </w:r>
      <w:r w:rsidR="00025ADB">
        <w:rPr>
          <w:rFonts w:eastAsia="Times New Roman" w:cs="Arial"/>
          <w:color w:val="000000"/>
          <w:lang w:eastAsia="en-AU"/>
        </w:rPr>
        <w:t xml:space="preserve"> the </w:t>
      </w:r>
      <w:r w:rsidR="001B44CC">
        <w:rPr>
          <w:rFonts w:eastAsia="Times New Roman" w:cs="Arial"/>
          <w:color w:val="000000"/>
          <w:lang w:eastAsia="en-AU"/>
        </w:rPr>
        <w:t xml:space="preserve">narrative and </w:t>
      </w:r>
      <w:r w:rsidR="00025ADB">
        <w:rPr>
          <w:rFonts w:eastAsia="Times New Roman" w:cs="Arial"/>
          <w:color w:val="000000"/>
          <w:lang w:eastAsia="en-AU"/>
        </w:rPr>
        <w:t>indicators.</w:t>
      </w:r>
    </w:p>
    <w:p w14:paraId="2A30A824" w14:textId="14B9B18A" w:rsidR="000E725E" w:rsidRDefault="000E725E" w:rsidP="000E725E">
      <w:pPr>
        <w:pStyle w:val="Heading3"/>
        <w:rPr>
          <w:rFonts w:eastAsia="Times New Roman"/>
          <w:lang w:eastAsia="en-AU"/>
        </w:rPr>
      </w:pPr>
      <w:r>
        <w:rPr>
          <w:rFonts w:eastAsia="Times New Roman"/>
          <w:lang w:eastAsia="en-AU"/>
        </w:rPr>
        <w:t xml:space="preserve">Reference </w:t>
      </w:r>
      <w:r w:rsidR="00DB33C3">
        <w:rPr>
          <w:rFonts w:eastAsia="Times New Roman"/>
          <w:lang w:eastAsia="en-AU"/>
        </w:rPr>
        <w:t>period</w:t>
      </w:r>
    </w:p>
    <w:p w14:paraId="0380F3C1" w14:textId="56051BE4" w:rsidR="00650D7A" w:rsidRDefault="000E725E" w:rsidP="00EF1D11">
      <w:pPr>
        <w:rPr>
          <w:lang w:eastAsia="en-AU"/>
        </w:rPr>
      </w:pPr>
      <w:r>
        <w:rPr>
          <w:lang w:eastAsia="en-AU"/>
        </w:rPr>
        <w:t xml:space="preserve">The reference period for the engagement </w:t>
      </w:r>
      <w:r w:rsidR="00072882">
        <w:rPr>
          <w:lang w:eastAsia="en-AU"/>
        </w:rPr>
        <w:t xml:space="preserve">assessment </w:t>
      </w:r>
      <w:r>
        <w:rPr>
          <w:lang w:eastAsia="en-AU"/>
        </w:rPr>
        <w:t>is 1 January 2014</w:t>
      </w:r>
      <w:r w:rsidR="000E0CEB">
        <w:t>–</w:t>
      </w:r>
      <w:r>
        <w:rPr>
          <w:lang w:eastAsia="en-AU"/>
        </w:rPr>
        <w:t>31 December 2016 (3 years).</w:t>
      </w:r>
      <w:r w:rsidR="00650D7A">
        <w:rPr>
          <w:lang w:eastAsia="en-AU"/>
        </w:rPr>
        <w:br w:type="page"/>
      </w:r>
    </w:p>
    <w:p w14:paraId="0A8115C4" w14:textId="578E672F" w:rsidR="009B09F4" w:rsidRPr="009B09F4" w:rsidRDefault="009B09F4" w:rsidP="003C6CEB">
      <w:pPr>
        <w:pStyle w:val="Heading2"/>
      </w:pPr>
      <w:r w:rsidRPr="009B09F4">
        <w:lastRenderedPageBreak/>
        <w:t>Impact</w:t>
      </w:r>
    </w:p>
    <w:p w14:paraId="152CB70E" w14:textId="2AA60560"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 xml:space="preserve">The impact component of the assessment is designed to assess </w:t>
      </w:r>
      <w:r w:rsidR="00BC1CF8" w:rsidRPr="009B09F4">
        <w:rPr>
          <w:rFonts w:eastAsia="Times New Roman" w:cs="Arial"/>
          <w:color w:val="000000"/>
          <w:lang w:eastAsia="en-AU"/>
        </w:rPr>
        <w:t xml:space="preserve">the contribution that research </w:t>
      </w:r>
      <w:r w:rsidR="00BC1CF8">
        <w:rPr>
          <w:rFonts w:eastAsia="Times New Roman" w:cs="Arial"/>
          <w:color w:val="000000"/>
          <w:lang w:eastAsia="en-AU"/>
        </w:rPr>
        <w:t>has made</w:t>
      </w:r>
      <w:r w:rsidR="00BC1CF8" w:rsidRPr="009B09F4">
        <w:rPr>
          <w:rFonts w:eastAsia="Times New Roman" w:cs="Arial"/>
          <w:color w:val="000000"/>
          <w:lang w:eastAsia="en-AU"/>
        </w:rPr>
        <w:t xml:space="preserve"> to the economy, society, </w:t>
      </w:r>
      <w:proofErr w:type="gramStart"/>
      <w:r w:rsidR="00BC1CF8" w:rsidRPr="009B09F4">
        <w:rPr>
          <w:rFonts w:eastAsia="Times New Roman" w:cs="Arial"/>
          <w:color w:val="000000"/>
          <w:lang w:eastAsia="en-AU"/>
        </w:rPr>
        <w:t>environment</w:t>
      </w:r>
      <w:proofErr w:type="gramEnd"/>
      <w:r w:rsidR="00BC1CF8" w:rsidRPr="009B09F4">
        <w:rPr>
          <w:rFonts w:eastAsia="Times New Roman" w:cs="Arial"/>
          <w:color w:val="000000"/>
          <w:lang w:eastAsia="en-AU"/>
        </w:rPr>
        <w:t xml:space="preserve"> </w:t>
      </w:r>
      <w:r w:rsidR="00DB33C3">
        <w:rPr>
          <w:rFonts w:eastAsia="Times New Roman" w:cs="Arial"/>
          <w:color w:val="000000"/>
          <w:lang w:eastAsia="en-AU"/>
        </w:rPr>
        <w:t>or</w:t>
      </w:r>
      <w:r w:rsidR="00DB33C3" w:rsidRPr="009B09F4">
        <w:rPr>
          <w:rFonts w:eastAsia="Times New Roman" w:cs="Arial"/>
          <w:color w:val="000000"/>
          <w:lang w:eastAsia="en-AU"/>
        </w:rPr>
        <w:t xml:space="preserve"> </w:t>
      </w:r>
      <w:r w:rsidR="00BC1CF8" w:rsidRPr="009B09F4">
        <w:rPr>
          <w:rFonts w:eastAsia="Times New Roman" w:cs="Arial"/>
          <w:color w:val="000000"/>
          <w:lang w:eastAsia="en-AU"/>
        </w:rPr>
        <w:t>culture, beyond the contribution to academic research</w:t>
      </w:r>
      <w:r w:rsidR="00BC1CF8">
        <w:rPr>
          <w:rFonts w:eastAsia="Times New Roman" w:cs="Arial"/>
          <w:color w:val="000000"/>
          <w:lang w:eastAsia="en-AU"/>
        </w:rPr>
        <w:t>,</w:t>
      </w:r>
      <w:r w:rsidR="00BC1CF8" w:rsidRPr="009B09F4" w:rsidDel="00BC1CF8">
        <w:rPr>
          <w:rFonts w:eastAsia="Times New Roman" w:cs="Arial"/>
          <w:color w:val="000000"/>
          <w:lang w:eastAsia="en-AU"/>
        </w:rPr>
        <w:t xml:space="preserve"> </w:t>
      </w:r>
      <w:r w:rsidRPr="009B09F4">
        <w:rPr>
          <w:rFonts w:eastAsia="Times New Roman" w:cs="Arial"/>
          <w:color w:val="000000"/>
          <w:lang w:eastAsia="en-AU"/>
        </w:rPr>
        <w:t xml:space="preserve">and the ways in which universities have </w:t>
      </w:r>
      <w:r w:rsidR="00C97DF6">
        <w:rPr>
          <w:rFonts w:eastAsia="Times New Roman" w:cs="Arial"/>
          <w:color w:val="000000"/>
          <w:lang w:eastAsia="en-AU"/>
        </w:rPr>
        <w:t>facilitated</w:t>
      </w:r>
      <w:r w:rsidR="00C97DF6" w:rsidRPr="009B09F4">
        <w:rPr>
          <w:rFonts w:eastAsia="Times New Roman" w:cs="Arial"/>
          <w:color w:val="000000"/>
          <w:lang w:eastAsia="en-AU"/>
        </w:rPr>
        <w:t xml:space="preserve"> </w:t>
      </w:r>
      <w:r w:rsidRPr="009B09F4">
        <w:rPr>
          <w:rFonts w:eastAsia="Times New Roman" w:cs="Arial"/>
          <w:color w:val="000000"/>
          <w:lang w:eastAsia="en-AU"/>
        </w:rPr>
        <w:t xml:space="preserve">the translation of research into impact. Institutions submit a single impact study for each </w:t>
      </w:r>
      <w:proofErr w:type="spellStart"/>
      <w:r w:rsidRPr="009B09F4">
        <w:rPr>
          <w:rFonts w:eastAsia="Times New Roman" w:cs="Arial"/>
          <w:color w:val="000000"/>
          <w:lang w:eastAsia="en-AU"/>
        </w:rPr>
        <w:t>UoA</w:t>
      </w:r>
      <w:proofErr w:type="spellEnd"/>
      <w:r w:rsidRPr="009B09F4">
        <w:rPr>
          <w:rFonts w:eastAsia="Times New Roman" w:cs="Arial"/>
          <w:color w:val="000000"/>
          <w:lang w:eastAsia="en-AU"/>
        </w:rPr>
        <w:t xml:space="preserve"> that meets the low volume threshold and may opt-in </w:t>
      </w:r>
      <w:r w:rsidR="00BC1CF8">
        <w:rPr>
          <w:rFonts w:eastAsia="Times New Roman" w:cs="Arial"/>
          <w:color w:val="000000"/>
          <w:lang w:eastAsia="en-AU"/>
        </w:rPr>
        <w:t>f</w:t>
      </w:r>
      <w:r w:rsidRPr="009B09F4">
        <w:rPr>
          <w:rFonts w:eastAsia="Times New Roman" w:cs="Arial"/>
          <w:color w:val="000000"/>
          <w:lang w:eastAsia="en-AU"/>
        </w:rPr>
        <w:t>o</w:t>
      </w:r>
      <w:r w:rsidR="00BC1CF8">
        <w:rPr>
          <w:rFonts w:eastAsia="Times New Roman" w:cs="Arial"/>
          <w:color w:val="000000"/>
          <w:lang w:eastAsia="en-AU"/>
        </w:rPr>
        <w:t>r</w:t>
      </w:r>
      <w:r w:rsidRPr="009B09F4">
        <w:rPr>
          <w:rFonts w:eastAsia="Times New Roman" w:cs="Arial"/>
          <w:color w:val="000000"/>
          <w:lang w:eastAsia="en-AU"/>
        </w:rPr>
        <w:t xml:space="preserve"> </w:t>
      </w:r>
      <w:proofErr w:type="spellStart"/>
      <w:r w:rsidRPr="009B09F4">
        <w:rPr>
          <w:rFonts w:eastAsia="Times New Roman" w:cs="Arial"/>
          <w:color w:val="000000"/>
          <w:lang w:eastAsia="en-AU"/>
        </w:rPr>
        <w:t>UoAs</w:t>
      </w:r>
      <w:proofErr w:type="spellEnd"/>
      <w:r w:rsidRPr="009B09F4">
        <w:rPr>
          <w:rFonts w:eastAsia="Times New Roman" w:cs="Arial"/>
          <w:color w:val="000000"/>
          <w:lang w:eastAsia="en-AU"/>
        </w:rPr>
        <w:t xml:space="preserve"> that do not. Both the interdisciplinary and Aboriginal and Torres Strait Islander </w:t>
      </w:r>
      <w:r w:rsidR="00E60871">
        <w:rPr>
          <w:rFonts w:eastAsia="Times New Roman" w:cs="Arial"/>
          <w:color w:val="000000"/>
          <w:lang w:eastAsia="en-AU"/>
        </w:rPr>
        <w:t xml:space="preserve">research </w:t>
      </w:r>
      <w:r w:rsidRPr="009B09F4">
        <w:rPr>
          <w:rFonts w:eastAsia="Times New Roman" w:cs="Arial"/>
          <w:color w:val="000000"/>
          <w:lang w:eastAsia="en-AU"/>
        </w:rPr>
        <w:t xml:space="preserve">impact studies are opt-in. </w:t>
      </w:r>
    </w:p>
    <w:p w14:paraId="4DC7B392" w14:textId="77777777" w:rsidR="009B09F4" w:rsidRPr="009B09F4" w:rsidRDefault="009B09F4" w:rsidP="006733B4">
      <w:pPr>
        <w:rPr>
          <w:rFonts w:ascii="Times New Roman" w:eastAsia="Times New Roman" w:hAnsi="Times New Roman" w:cs="Times New Roman"/>
          <w:sz w:val="24"/>
          <w:szCs w:val="24"/>
          <w:lang w:eastAsia="en-AU"/>
        </w:rPr>
      </w:pPr>
      <w:r w:rsidRPr="009B09F4">
        <w:rPr>
          <w:rFonts w:eastAsia="Times New Roman" w:cs="Arial"/>
          <w:color w:val="000000"/>
          <w:lang w:eastAsia="en-AU"/>
        </w:rPr>
        <w:t>The impact studies have two main sections:</w:t>
      </w:r>
    </w:p>
    <w:p w14:paraId="0140C747" w14:textId="77777777" w:rsidR="009B09F4" w:rsidRPr="009B09F4"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9B09F4">
        <w:rPr>
          <w:rFonts w:eastAsia="Times New Roman" w:cs="Arial"/>
          <w:color w:val="000000"/>
          <w:lang w:eastAsia="en-AU"/>
        </w:rPr>
        <w:t xml:space="preserve">Impact—where institutions provide details on the impact and the associated research that </w:t>
      </w:r>
      <w:proofErr w:type="gramStart"/>
      <w:r w:rsidRPr="009B09F4">
        <w:rPr>
          <w:rFonts w:eastAsia="Times New Roman" w:cs="Arial"/>
          <w:color w:val="000000"/>
          <w:lang w:eastAsia="en-AU"/>
        </w:rPr>
        <w:t>lead</w:t>
      </w:r>
      <w:proofErr w:type="gramEnd"/>
      <w:r w:rsidRPr="009B09F4">
        <w:rPr>
          <w:rFonts w:eastAsia="Times New Roman" w:cs="Arial"/>
          <w:color w:val="000000"/>
          <w:lang w:eastAsia="en-AU"/>
        </w:rPr>
        <w:t xml:space="preserve"> to the impact. This should identify who or what has benefitted from the results of the research and give evidence that describes the extent of the impact.</w:t>
      </w:r>
    </w:p>
    <w:p w14:paraId="2D299D1A" w14:textId="77777777" w:rsidR="009B09F4" w:rsidRDefault="009B09F4"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9B09F4">
        <w:rPr>
          <w:rFonts w:eastAsia="Times New Roman" w:cs="Arial"/>
          <w:color w:val="000000"/>
          <w:lang w:eastAsia="en-AU"/>
        </w:rPr>
        <w:t>Approach to impact—where institutions provide details on how the institution facilitated realisation of the impact. The aim of this section is to highlight the mechanisms and strategies the institution had in place to support translating the associated research into the impact described in the study.</w:t>
      </w:r>
    </w:p>
    <w:p w14:paraId="39D26719" w14:textId="6F8430EE" w:rsidR="009B09F4" w:rsidRDefault="009B09F4" w:rsidP="006733B4">
      <w:pPr>
        <w:rPr>
          <w:rFonts w:eastAsia="Times New Roman" w:cs="Arial"/>
          <w:color w:val="000000"/>
          <w:lang w:eastAsia="en-AU"/>
        </w:rPr>
      </w:pPr>
      <w:r w:rsidRPr="009B09F4">
        <w:rPr>
          <w:rFonts w:eastAsia="Times New Roman" w:cs="Arial"/>
          <w:color w:val="000000"/>
          <w:lang w:eastAsia="en-AU"/>
        </w:rPr>
        <w:t>In addition to the above two sections, the impact study requires institutions to provide details of the research associated with the impact.</w:t>
      </w:r>
    </w:p>
    <w:p w14:paraId="6A051E1A" w14:textId="4E35922B" w:rsidR="000E725E" w:rsidRDefault="000E725E" w:rsidP="000E725E">
      <w:pPr>
        <w:pStyle w:val="Heading3"/>
        <w:rPr>
          <w:rFonts w:eastAsia="Times New Roman"/>
          <w:lang w:eastAsia="en-AU"/>
        </w:rPr>
      </w:pPr>
      <w:r>
        <w:rPr>
          <w:rFonts w:eastAsia="Times New Roman"/>
          <w:lang w:eastAsia="en-AU"/>
        </w:rPr>
        <w:t>Reference periods</w:t>
      </w:r>
    </w:p>
    <w:p w14:paraId="78354DBD" w14:textId="73252C59" w:rsidR="000E725E" w:rsidRDefault="000E725E" w:rsidP="00D24252">
      <w:pPr>
        <w:rPr>
          <w:lang w:eastAsia="en-AU"/>
        </w:rPr>
      </w:pPr>
      <w:r>
        <w:rPr>
          <w:lang w:eastAsia="en-AU"/>
        </w:rPr>
        <w:t>The reference period for the impact study is 1 January 2011</w:t>
      </w:r>
      <w:r w:rsidR="000E0CEB">
        <w:t>–</w:t>
      </w:r>
      <w:r>
        <w:rPr>
          <w:lang w:eastAsia="en-AU"/>
        </w:rPr>
        <w:t>31 December 2016 (six years).</w:t>
      </w:r>
    </w:p>
    <w:p w14:paraId="26F9474D" w14:textId="2BC5C80E" w:rsidR="00BC1CF8" w:rsidRDefault="000E725E" w:rsidP="00D24252">
      <w:pPr>
        <w:rPr>
          <w:lang w:eastAsia="en-AU"/>
        </w:rPr>
      </w:pPr>
      <w:r>
        <w:rPr>
          <w:lang w:eastAsia="en-AU"/>
        </w:rPr>
        <w:t>The reference period for the associated research is 1 January 2002</w:t>
      </w:r>
      <w:r w:rsidR="000E0CEB">
        <w:t>–</w:t>
      </w:r>
      <w:r>
        <w:rPr>
          <w:lang w:eastAsia="en-AU"/>
        </w:rPr>
        <w:t>31 December 2016 (15 years).</w:t>
      </w:r>
    </w:p>
    <w:p w14:paraId="3E203844" w14:textId="6B657312" w:rsidR="00742F75" w:rsidRDefault="000E725E" w:rsidP="00D24252">
      <w:pPr>
        <w:rPr>
          <w:highlight w:val="yellow"/>
        </w:rPr>
      </w:pPr>
      <w:r w:rsidRPr="00B11309">
        <w:t>While a reference period is not specified for approach to impact, the approach must be retrospective and within the context of the impact study.</w:t>
      </w:r>
    </w:p>
    <w:p w14:paraId="351C31A1" w14:textId="01031C20" w:rsidR="00742F75" w:rsidRDefault="00742F75">
      <w:pPr>
        <w:spacing w:before="0" w:after="160"/>
        <w:rPr>
          <w:rFonts w:eastAsia="Times New Roman" w:cs="Times New Roman"/>
          <w:b/>
          <w:bCs/>
          <w:i/>
          <w:sz w:val="28"/>
          <w:szCs w:val="36"/>
          <w:highlight w:val="yellow"/>
          <w:lang w:eastAsia="en-AU"/>
        </w:rPr>
      </w:pPr>
    </w:p>
    <w:p w14:paraId="204FBB7C" w14:textId="2296E1D2" w:rsidR="00BC2F05" w:rsidRPr="00BC2F05" w:rsidRDefault="00BC2F05" w:rsidP="00BC2F05">
      <w:pPr>
        <w:pStyle w:val="Heading2"/>
      </w:pPr>
      <w:r w:rsidRPr="00BC2F05">
        <w:t xml:space="preserve">Assessment of </w:t>
      </w:r>
      <w:r w:rsidR="000903DD">
        <w:t>e</w:t>
      </w:r>
      <w:r w:rsidR="000903DD" w:rsidRPr="00BC2F05">
        <w:t xml:space="preserve">ngagement </w:t>
      </w:r>
      <w:r w:rsidRPr="00BC2F05">
        <w:t xml:space="preserve">and </w:t>
      </w:r>
      <w:r w:rsidR="000903DD">
        <w:t>i</w:t>
      </w:r>
      <w:r w:rsidR="000903DD" w:rsidRPr="00BC2F05">
        <w:t>mpact</w:t>
      </w:r>
    </w:p>
    <w:p w14:paraId="2DD848C2" w14:textId="1DE9C76A" w:rsidR="00BC2F05" w:rsidRPr="00BC2F05" w:rsidRDefault="00BC2F05" w:rsidP="00BC2F05">
      <w:pPr>
        <w:rPr>
          <w:rFonts w:eastAsia="Times New Roman" w:cs="Arial"/>
          <w:color w:val="000000"/>
          <w:lang w:eastAsia="en-AU"/>
        </w:rPr>
      </w:pPr>
      <w:r w:rsidRPr="00BC2F05">
        <w:rPr>
          <w:rFonts w:eastAsia="Times New Roman" w:cs="Arial"/>
          <w:color w:val="000000"/>
          <w:lang w:eastAsia="en-AU"/>
        </w:rPr>
        <w:t xml:space="preserve">There are three separate ratings per </w:t>
      </w:r>
      <w:proofErr w:type="spellStart"/>
      <w:r w:rsidRPr="00BC2F05">
        <w:rPr>
          <w:rFonts w:eastAsia="Times New Roman" w:cs="Arial"/>
          <w:color w:val="000000"/>
          <w:lang w:eastAsia="en-AU"/>
        </w:rPr>
        <w:t>UoA</w:t>
      </w:r>
      <w:proofErr w:type="spellEnd"/>
      <w:r w:rsidRPr="00BC2F05">
        <w:rPr>
          <w:rFonts w:eastAsia="Times New Roman" w:cs="Arial"/>
          <w:color w:val="000000"/>
          <w:lang w:eastAsia="en-AU"/>
        </w:rPr>
        <w:t>—one for engagement and two for impact (with the approach to impact and the impact example rated separately). Ratings are determined by discipline-based panels of experts</w:t>
      </w:r>
      <w:r w:rsidR="00742F75">
        <w:rPr>
          <w:rFonts w:eastAsia="Times New Roman" w:cs="Arial"/>
          <w:color w:val="000000"/>
          <w:lang w:eastAsia="en-AU"/>
        </w:rPr>
        <w:t xml:space="preserve"> that comprise</w:t>
      </w:r>
      <w:r w:rsidRPr="00BC2F05">
        <w:rPr>
          <w:rFonts w:eastAsia="Times New Roman" w:cs="Arial"/>
          <w:color w:val="000000"/>
          <w:lang w:eastAsia="en-AU"/>
        </w:rPr>
        <w:t xml:space="preserve"> distinguished researchers and highly experienced research end-users. </w:t>
      </w:r>
    </w:p>
    <w:p w14:paraId="5D6C039B" w14:textId="77777777" w:rsidR="00BC2F05" w:rsidRPr="00BC2F05" w:rsidRDefault="00BC2F05" w:rsidP="00BC2F05">
      <w:pPr>
        <w:pStyle w:val="Heading3"/>
        <w:rPr>
          <w:rFonts w:ascii="Times New Roman" w:eastAsia="Times New Roman" w:hAnsi="Times New Roman" w:cs="Times New Roman"/>
          <w:sz w:val="24"/>
          <w:lang w:eastAsia="en-AU"/>
        </w:rPr>
      </w:pPr>
      <w:r w:rsidRPr="00BC2F05">
        <w:rPr>
          <w:rFonts w:eastAsia="Times New Roman"/>
          <w:lang w:eastAsia="en-AU"/>
        </w:rPr>
        <w:t>Rating Scales</w:t>
      </w:r>
    </w:p>
    <w:p w14:paraId="13D335F1" w14:textId="009003FA" w:rsidR="00BC2F05" w:rsidRPr="00BC2F05" w:rsidRDefault="00BC2F05" w:rsidP="00BC2F05">
      <w:pPr>
        <w:rPr>
          <w:rFonts w:ascii="Times New Roman" w:eastAsia="Times New Roman" w:hAnsi="Times New Roman" w:cs="Times New Roman"/>
          <w:sz w:val="24"/>
          <w:szCs w:val="24"/>
          <w:lang w:eastAsia="en-AU"/>
        </w:rPr>
      </w:pPr>
      <w:r w:rsidRPr="00BC2F05">
        <w:rPr>
          <w:rFonts w:eastAsia="Times New Roman" w:cs="Arial"/>
          <w:color w:val="000000"/>
          <w:lang w:eastAsia="en-AU"/>
        </w:rPr>
        <w:t>EI</w:t>
      </w:r>
      <w:r>
        <w:rPr>
          <w:rFonts w:eastAsia="Times New Roman" w:cs="Arial"/>
          <w:color w:val="000000"/>
          <w:lang w:eastAsia="en-AU"/>
        </w:rPr>
        <w:t> </w:t>
      </w:r>
      <w:r w:rsidRPr="00BC2F05">
        <w:rPr>
          <w:rFonts w:eastAsia="Times New Roman" w:cs="Arial"/>
          <w:color w:val="000000"/>
          <w:lang w:eastAsia="en-AU"/>
        </w:rPr>
        <w:t>2018 uses a three-point rating scale for the engagement and impact ratings:</w:t>
      </w:r>
    </w:p>
    <w:p w14:paraId="28C90FDB" w14:textId="77777777" w:rsidR="00BC2F05" w:rsidRPr="00BC2F05"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BC2F05">
        <w:rPr>
          <w:rFonts w:eastAsia="Times New Roman" w:cs="Arial"/>
          <w:color w:val="000000"/>
          <w:lang w:eastAsia="en-AU"/>
        </w:rPr>
        <w:t>High</w:t>
      </w:r>
    </w:p>
    <w:p w14:paraId="44720BF7" w14:textId="77777777" w:rsidR="00BC2F05" w:rsidRPr="00BC2F05"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BC2F05">
        <w:rPr>
          <w:rFonts w:eastAsia="Times New Roman" w:cs="Arial"/>
          <w:color w:val="000000"/>
          <w:lang w:eastAsia="en-AU"/>
        </w:rPr>
        <w:t>Medium</w:t>
      </w:r>
    </w:p>
    <w:p w14:paraId="6641E08A" w14:textId="77777777" w:rsidR="00BC2F05" w:rsidRPr="00BC2F05"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BC2F05">
        <w:rPr>
          <w:rFonts w:eastAsia="Times New Roman" w:cs="Arial"/>
          <w:color w:val="000000"/>
          <w:lang w:eastAsia="en-AU"/>
        </w:rPr>
        <w:t xml:space="preserve">Low </w:t>
      </w:r>
    </w:p>
    <w:p w14:paraId="7EE471B5" w14:textId="77777777" w:rsidR="00BC2F05" w:rsidRPr="00BC2F05" w:rsidRDefault="00BC2F05" w:rsidP="003D6297">
      <w:pPr>
        <w:pStyle w:val="Heading3"/>
        <w:rPr>
          <w:rFonts w:eastAsia="Times New Roman"/>
          <w:lang w:eastAsia="en-AU"/>
        </w:rPr>
      </w:pPr>
      <w:r w:rsidRPr="00BC2F05">
        <w:rPr>
          <w:rFonts w:eastAsia="Times New Roman"/>
          <w:lang w:eastAsia="en-AU"/>
        </w:rPr>
        <w:lastRenderedPageBreak/>
        <w:t>Rating Scale descriptors</w:t>
      </w:r>
    </w:p>
    <w:p w14:paraId="1CEB3533" w14:textId="2478E72B" w:rsidR="00BC2F05" w:rsidRPr="00BC2F05" w:rsidRDefault="00BC2F05" w:rsidP="003D6297">
      <w:pPr>
        <w:pStyle w:val="Heading4"/>
        <w:rPr>
          <w:rFonts w:eastAsia="Times New Roman"/>
          <w:lang w:eastAsia="en-AU"/>
        </w:rPr>
      </w:pPr>
      <w:r w:rsidRPr="00BC2F05">
        <w:rPr>
          <w:rFonts w:eastAsia="Times New Roman"/>
          <w:lang w:eastAsia="en-AU"/>
        </w:rPr>
        <w:t>Engagement</w:t>
      </w:r>
    </w:p>
    <w:p w14:paraId="43910B76" w14:textId="77777777" w:rsidR="001B774D" w:rsidRPr="00B7275D" w:rsidRDefault="001B774D" w:rsidP="001B774D">
      <w:pPr>
        <w:rPr>
          <w:b/>
          <w:bCs/>
        </w:rPr>
      </w:pPr>
      <w:r>
        <w:rPr>
          <w:b/>
          <w:bCs/>
        </w:rPr>
        <w:t>High</w:t>
      </w:r>
    </w:p>
    <w:p w14:paraId="2E71974B" w14:textId="77777777" w:rsidR="001B774D" w:rsidRPr="00C95786"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t>T</w:t>
      </w:r>
      <w:r w:rsidRPr="00C95786">
        <w:rPr>
          <w:rFonts w:eastAsia="Times New Roman" w:cs="Arial"/>
          <w:color w:val="000000"/>
          <w:lang w:eastAsia="en-AU"/>
        </w:rPr>
        <w:t xml:space="preserve">he </w:t>
      </w:r>
      <w:proofErr w:type="spellStart"/>
      <w:r w:rsidRPr="00C95786">
        <w:rPr>
          <w:rFonts w:eastAsia="Times New Roman" w:cs="Arial"/>
          <w:color w:val="000000"/>
          <w:lang w:eastAsia="en-AU"/>
        </w:rPr>
        <w:t>UoA</w:t>
      </w:r>
      <w:proofErr w:type="spellEnd"/>
      <w:r w:rsidRPr="00C95786">
        <w:rPr>
          <w:rFonts w:eastAsia="Times New Roman" w:cs="Arial"/>
          <w:color w:val="000000"/>
          <w:lang w:eastAsia="en-AU"/>
        </w:rPr>
        <w:t xml:space="preserve"> is characterised by highly effective interactions between researchers and research end-users outside of academia for the mutually beneficial transfer of knowledge, technologies, </w:t>
      </w:r>
      <w:proofErr w:type="gramStart"/>
      <w:r w:rsidRPr="00C95786">
        <w:rPr>
          <w:rFonts w:eastAsia="Times New Roman" w:cs="Arial"/>
          <w:color w:val="000000"/>
          <w:lang w:eastAsia="en-AU"/>
        </w:rPr>
        <w:t>methods</w:t>
      </w:r>
      <w:proofErr w:type="gramEnd"/>
      <w:r w:rsidRPr="00C95786">
        <w:rPr>
          <w:rFonts w:eastAsia="Times New Roman" w:cs="Arial"/>
          <w:color w:val="000000"/>
          <w:lang w:eastAsia="en-AU"/>
        </w:rPr>
        <w:t xml:space="preserve"> and resources.</w:t>
      </w:r>
    </w:p>
    <w:p w14:paraId="56C5E186" w14:textId="77777777" w:rsidR="001B774D" w:rsidRPr="00B7275D"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Research engagement is well integrated into the development and ongoing conduct of research</w:t>
      </w:r>
      <w:r w:rsidRPr="00B7275D">
        <w:t xml:space="preserve"> within the </w:t>
      </w:r>
      <w:proofErr w:type="spellStart"/>
      <w:r w:rsidRPr="00B7275D">
        <w:t>UoA</w:t>
      </w:r>
      <w:proofErr w:type="spellEnd"/>
      <w:r w:rsidRPr="00B7275D">
        <w:t>.</w:t>
      </w:r>
    </w:p>
    <w:p w14:paraId="0069C440" w14:textId="77777777" w:rsidR="001B774D" w:rsidRPr="00B7275D" w:rsidRDefault="001B774D" w:rsidP="001B774D">
      <w:pPr>
        <w:rPr>
          <w:b/>
          <w:bCs/>
        </w:rPr>
      </w:pPr>
      <w:r>
        <w:rPr>
          <w:b/>
          <w:bCs/>
        </w:rPr>
        <w:t>Medium</w:t>
      </w:r>
    </w:p>
    <w:p w14:paraId="749A744F" w14:textId="77777777" w:rsidR="001B774D" w:rsidRPr="00C95786"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 xml:space="preserve">The </w:t>
      </w:r>
      <w:proofErr w:type="spellStart"/>
      <w:r w:rsidRPr="00C95786">
        <w:rPr>
          <w:rFonts w:eastAsia="Times New Roman" w:cs="Arial"/>
          <w:color w:val="000000"/>
          <w:lang w:eastAsia="en-AU"/>
        </w:rPr>
        <w:t>UoA</w:t>
      </w:r>
      <w:proofErr w:type="spellEnd"/>
      <w:r w:rsidRPr="00C95786">
        <w:rPr>
          <w:rFonts w:eastAsia="Times New Roman" w:cs="Arial"/>
          <w:color w:val="000000"/>
          <w:lang w:eastAsia="en-AU"/>
        </w:rPr>
        <w:t xml:space="preserve"> is characterised by effective interactions between researchers and research end-users outside of academia for the mutually beneficial transfer of knowledge, technologies, </w:t>
      </w:r>
      <w:proofErr w:type="gramStart"/>
      <w:r w:rsidRPr="00C95786">
        <w:rPr>
          <w:rFonts w:eastAsia="Times New Roman" w:cs="Arial"/>
          <w:color w:val="000000"/>
          <w:lang w:eastAsia="en-AU"/>
        </w:rPr>
        <w:t>methods</w:t>
      </w:r>
      <w:proofErr w:type="gramEnd"/>
      <w:r w:rsidRPr="00C95786">
        <w:rPr>
          <w:rFonts w:eastAsia="Times New Roman" w:cs="Arial"/>
          <w:color w:val="000000"/>
          <w:lang w:eastAsia="en-AU"/>
        </w:rPr>
        <w:t xml:space="preserve"> and resources.</w:t>
      </w:r>
    </w:p>
    <w:p w14:paraId="646CE938" w14:textId="77777777" w:rsidR="001B774D" w:rsidRPr="00B7275D"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Evidence that research engagement is incorporated into relevant parts of the research</w:t>
      </w:r>
      <w:r w:rsidRPr="00B7275D">
        <w:t xml:space="preserve"> process within the </w:t>
      </w:r>
      <w:proofErr w:type="spellStart"/>
      <w:r w:rsidRPr="00B7275D">
        <w:t>UoA</w:t>
      </w:r>
      <w:proofErr w:type="spellEnd"/>
      <w:r w:rsidRPr="00B7275D">
        <w:t xml:space="preserve"> and/or that research engagement is improving</w:t>
      </w:r>
      <w:r>
        <w:t>.</w:t>
      </w:r>
    </w:p>
    <w:p w14:paraId="413BEE92" w14:textId="77777777" w:rsidR="001B774D" w:rsidRPr="00B7275D" w:rsidRDefault="001B774D" w:rsidP="001B774D">
      <w:pPr>
        <w:rPr>
          <w:b/>
          <w:bCs/>
        </w:rPr>
      </w:pPr>
      <w:r>
        <w:rPr>
          <w:b/>
          <w:bCs/>
        </w:rPr>
        <w:t>Low</w:t>
      </w:r>
    </w:p>
    <w:p w14:paraId="333C4017" w14:textId="77777777" w:rsidR="001B774D" w:rsidRPr="00C95786"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 xml:space="preserve">The </w:t>
      </w:r>
      <w:proofErr w:type="spellStart"/>
      <w:r w:rsidRPr="00C95786">
        <w:rPr>
          <w:rFonts w:eastAsia="Times New Roman" w:cs="Arial"/>
          <w:color w:val="000000"/>
          <w:lang w:eastAsia="en-AU"/>
        </w:rPr>
        <w:t>UoA</w:t>
      </w:r>
      <w:proofErr w:type="spellEnd"/>
      <w:r w:rsidRPr="00C95786">
        <w:rPr>
          <w:rFonts w:eastAsia="Times New Roman" w:cs="Arial"/>
          <w:color w:val="000000"/>
          <w:lang w:eastAsia="en-AU"/>
        </w:rPr>
        <w:t xml:space="preserve"> has little or no effective interactions between researchers and research end-users outside of academia for the mutually beneficial transfer of knowledge, technologies, </w:t>
      </w:r>
      <w:proofErr w:type="gramStart"/>
      <w:r w:rsidRPr="00C95786">
        <w:rPr>
          <w:rFonts w:eastAsia="Times New Roman" w:cs="Arial"/>
          <w:color w:val="000000"/>
          <w:lang w:eastAsia="en-AU"/>
        </w:rPr>
        <w:t>methods</w:t>
      </w:r>
      <w:proofErr w:type="gramEnd"/>
      <w:r w:rsidRPr="00C95786">
        <w:rPr>
          <w:rFonts w:eastAsia="Times New Roman" w:cs="Arial"/>
          <w:color w:val="000000"/>
          <w:lang w:eastAsia="en-AU"/>
        </w:rPr>
        <w:t xml:space="preserve"> and resources.</w:t>
      </w:r>
    </w:p>
    <w:p w14:paraId="29737F29" w14:textId="77777777" w:rsidR="001B774D" w:rsidRPr="00B7275D"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Little or no evidence that research engagement is incorporated into the research pro</w:t>
      </w:r>
      <w:r w:rsidRPr="00B7275D">
        <w:t>cess or that research engagement activities are being developed</w:t>
      </w:r>
      <w:r>
        <w:t>.</w:t>
      </w:r>
    </w:p>
    <w:p w14:paraId="5DC0FBAA" w14:textId="0247A272" w:rsidR="00BC2F05" w:rsidRPr="001B774D" w:rsidRDefault="00BC2F05" w:rsidP="00BC2F05">
      <w:pPr>
        <w:textAlignment w:val="baseline"/>
        <w:rPr>
          <w:rFonts w:eastAsia="Times New Roman" w:cs="Arial"/>
          <w:color w:val="000000"/>
          <w:lang w:eastAsia="en-AU"/>
        </w:rPr>
      </w:pPr>
    </w:p>
    <w:p w14:paraId="4F839A80" w14:textId="2DCB9DF3" w:rsidR="00BC2F05" w:rsidRPr="00BC2F05" w:rsidRDefault="00BC2F05" w:rsidP="003D6297">
      <w:pPr>
        <w:pStyle w:val="Heading4"/>
        <w:rPr>
          <w:rFonts w:eastAsia="Times New Roman"/>
        </w:rPr>
      </w:pPr>
      <w:r w:rsidRPr="00BC2F05">
        <w:rPr>
          <w:rFonts w:eastAsia="Times New Roman"/>
        </w:rPr>
        <w:t xml:space="preserve">Approach to </w:t>
      </w:r>
      <w:r w:rsidR="00DB33C3">
        <w:rPr>
          <w:rFonts w:eastAsia="Times New Roman"/>
        </w:rPr>
        <w:t>i</w:t>
      </w:r>
      <w:r w:rsidR="00DB33C3" w:rsidRPr="00BC2F05">
        <w:rPr>
          <w:rFonts w:eastAsia="Times New Roman"/>
        </w:rPr>
        <w:t>mpact</w:t>
      </w:r>
    </w:p>
    <w:p w14:paraId="58C8413A" w14:textId="77777777" w:rsidR="001B774D" w:rsidRDefault="001B774D" w:rsidP="001B774D">
      <w:r>
        <w:rPr>
          <w:rStyle w:val="Strong"/>
        </w:rPr>
        <w:t>High</w:t>
      </w:r>
    </w:p>
    <w:p w14:paraId="157B2CC8" w14:textId="6E50BD80" w:rsidR="001B774D" w:rsidRPr="00C95786"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 xml:space="preserve">Mechanisms to encourage the translation of research into impacts beyond academia are highly effective and well-integrated within the </w:t>
      </w:r>
      <w:proofErr w:type="spellStart"/>
      <w:r w:rsidRPr="00C95786">
        <w:rPr>
          <w:rFonts w:eastAsia="Times New Roman" w:cs="Arial"/>
          <w:color w:val="000000"/>
          <w:lang w:eastAsia="en-AU"/>
        </w:rPr>
        <w:t>UoA</w:t>
      </w:r>
      <w:proofErr w:type="spellEnd"/>
      <w:r w:rsidRPr="00C95786">
        <w:rPr>
          <w:rFonts w:eastAsia="Times New Roman" w:cs="Arial"/>
          <w:color w:val="000000"/>
          <w:lang w:eastAsia="en-AU"/>
        </w:rPr>
        <w:t>.</w:t>
      </w:r>
    </w:p>
    <w:p w14:paraId="3171BEE9" w14:textId="66A25827" w:rsidR="001B774D"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Mec</w:t>
      </w:r>
      <w:r>
        <w:t>hanisms for translating research facilitated the impact described</w:t>
      </w:r>
      <w:r w:rsidR="00E71908">
        <w:t>.</w:t>
      </w:r>
    </w:p>
    <w:p w14:paraId="73B5CAB5" w14:textId="424E2508" w:rsidR="001B774D" w:rsidRDefault="001B774D" w:rsidP="001B774D">
      <w:r>
        <w:rPr>
          <w:rStyle w:val="Strong"/>
        </w:rPr>
        <w:t>Medium</w:t>
      </w:r>
    </w:p>
    <w:p w14:paraId="202E6855" w14:textId="07D91D30" w:rsidR="001B774D" w:rsidRPr="00C95786"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 xml:space="preserve">Mechanisms to encourage the translation of research into impacts beyond academia are effective and integrated within the </w:t>
      </w:r>
      <w:proofErr w:type="spellStart"/>
      <w:r w:rsidRPr="00C95786">
        <w:rPr>
          <w:rFonts w:eastAsia="Times New Roman" w:cs="Arial"/>
          <w:color w:val="000000"/>
          <w:lang w:eastAsia="en-AU"/>
        </w:rPr>
        <w:t>UoA</w:t>
      </w:r>
      <w:proofErr w:type="spellEnd"/>
      <w:r w:rsidR="00E71908" w:rsidRPr="00C95786">
        <w:rPr>
          <w:rFonts w:eastAsia="Times New Roman" w:cs="Arial"/>
          <w:color w:val="000000"/>
          <w:lang w:eastAsia="en-AU"/>
        </w:rPr>
        <w:t>.</w:t>
      </w:r>
    </w:p>
    <w:p w14:paraId="2F6551FB" w14:textId="3D120A16" w:rsidR="001B774D"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Mec</w:t>
      </w:r>
      <w:r>
        <w:t>hanisms for translating research facilitated the impact described</w:t>
      </w:r>
      <w:r w:rsidR="00E71908">
        <w:t>.</w:t>
      </w:r>
    </w:p>
    <w:p w14:paraId="5D06E080" w14:textId="12861ABC" w:rsidR="001B774D" w:rsidRDefault="001B774D" w:rsidP="001B774D">
      <w:r>
        <w:rPr>
          <w:rStyle w:val="Strong"/>
        </w:rPr>
        <w:t>Low</w:t>
      </w:r>
    </w:p>
    <w:p w14:paraId="6BDF71ED" w14:textId="3EA3DAF1" w:rsidR="001B774D" w:rsidRPr="00C95786"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Mechanisms to encourage the translation of research into impacts beyond academia are not effective and integrated</w:t>
      </w:r>
      <w:r w:rsidR="00E71908" w:rsidRPr="00C95786">
        <w:rPr>
          <w:rFonts w:eastAsia="Times New Roman" w:cs="Arial"/>
          <w:color w:val="000000"/>
          <w:lang w:eastAsia="en-AU"/>
        </w:rPr>
        <w:t>.</w:t>
      </w:r>
    </w:p>
    <w:p w14:paraId="762292B8" w14:textId="19C3625D" w:rsidR="001B774D"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The m</w:t>
      </w:r>
      <w:r>
        <w:t>echanisms for</w:t>
      </w:r>
      <w:r w:rsidR="00B30ABF">
        <w:t xml:space="preserve"> translation did not facilitate</w:t>
      </w:r>
      <w:r>
        <w:t xml:space="preserve"> the impact described</w:t>
      </w:r>
      <w:r w:rsidR="00E71908">
        <w:t>.</w:t>
      </w:r>
    </w:p>
    <w:p w14:paraId="780A3936" w14:textId="2B67B5CF" w:rsidR="00BC1CF8" w:rsidRDefault="00BC1CF8" w:rsidP="001B774D"/>
    <w:p w14:paraId="44B695A0" w14:textId="77777777" w:rsidR="00EF1D11" w:rsidRDefault="00EF1D11" w:rsidP="001B774D"/>
    <w:p w14:paraId="07CAE2E1" w14:textId="08C49163" w:rsidR="00BC2F05" w:rsidRPr="003D6297" w:rsidRDefault="00BC2F05" w:rsidP="003D6297">
      <w:pPr>
        <w:pStyle w:val="Heading4"/>
      </w:pPr>
      <w:r w:rsidRPr="003D6297">
        <w:lastRenderedPageBreak/>
        <w:t xml:space="preserve">Impact </w:t>
      </w:r>
    </w:p>
    <w:p w14:paraId="6CBBD031" w14:textId="77777777" w:rsidR="001B774D" w:rsidRDefault="001B774D" w:rsidP="001B774D">
      <w:r>
        <w:rPr>
          <w:rStyle w:val="Strong"/>
        </w:rPr>
        <w:t>High</w:t>
      </w:r>
    </w:p>
    <w:p w14:paraId="7C2ED75E" w14:textId="138AE0D1" w:rsidR="001B774D" w:rsidRPr="00C95786"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The impact has made a highly significant contribution beyond academia</w:t>
      </w:r>
      <w:r w:rsidR="00E71908" w:rsidRPr="00C95786">
        <w:rPr>
          <w:rFonts w:eastAsia="Times New Roman" w:cs="Arial"/>
          <w:color w:val="000000"/>
          <w:lang w:eastAsia="en-AU"/>
        </w:rPr>
        <w:t>.</w:t>
      </w:r>
    </w:p>
    <w:p w14:paraId="2C091CD2" w14:textId="048E521B" w:rsidR="001B774D"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A clea</w:t>
      </w:r>
      <w:r w:rsidRPr="00B6163D">
        <w:t>r link between the associated research and the impact was demonstrated</w:t>
      </w:r>
      <w:r w:rsidR="00E71908">
        <w:t>.</w:t>
      </w:r>
    </w:p>
    <w:p w14:paraId="74A37EE0" w14:textId="7AFACA3A" w:rsidR="001B774D" w:rsidRDefault="001B774D" w:rsidP="001B774D">
      <w:r>
        <w:rPr>
          <w:rStyle w:val="Strong"/>
        </w:rPr>
        <w:t>Medium</w:t>
      </w:r>
    </w:p>
    <w:p w14:paraId="3F47485E" w14:textId="5B060E23" w:rsidR="001B774D" w:rsidRPr="00C95786"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t>T</w:t>
      </w:r>
      <w:r w:rsidRPr="00C95786">
        <w:rPr>
          <w:rFonts w:eastAsia="Times New Roman" w:cs="Arial"/>
          <w:color w:val="000000"/>
          <w:lang w:eastAsia="en-AU"/>
        </w:rPr>
        <w:t>he impact has made</w:t>
      </w:r>
      <w:r w:rsidR="00E71908" w:rsidRPr="00C95786">
        <w:rPr>
          <w:rFonts w:eastAsia="Times New Roman" w:cs="Arial"/>
          <w:color w:val="000000"/>
          <w:lang w:eastAsia="en-AU"/>
        </w:rPr>
        <w:t xml:space="preserve"> a </w:t>
      </w:r>
      <w:r w:rsidR="00881905">
        <w:rPr>
          <w:rFonts w:eastAsia="Times New Roman" w:cs="Arial"/>
          <w:color w:val="000000"/>
          <w:lang w:eastAsia="en-AU"/>
        </w:rPr>
        <w:t xml:space="preserve">significant </w:t>
      </w:r>
      <w:r w:rsidR="00E71908" w:rsidRPr="00C95786">
        <w:rPr>
          <w:rFonts w:eastAsia="Times New Roman" w:cs="Arial"/>
          <w:color w:val="000000"/>
          <w:lang w:eastAsia="en-AU"/>
        </w:rPr>
        <w:t>contribution beyond academia.</w:t>
      </w:r>
    </w:p>
    <w:p w14:paraId="2CB014B1" w14:textId="4CC3F093" w:rsidR="001B774D"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A cle</w:t>
      </w:r>
      <w:r w:rsidRPr="00B6163D">
        <w:t>ar link between the associated research and the impact was demonstrated</w:t>
      </w:r>
      <w:r w:rsidR="00E71908">
        <w:t>.</w:t>
      </w:r>
    </w:p>
    <w:p w14:paraId="7A169C45" w14:textId="6A40C24D" w:rsidR="001B774D" w:rsidRDefault="001B774D" w:rsidP="001B774D">
      <w:r>
        <w:rPr>
          <w:rStyle w:val="Strong"/>
        </w:rPr>
        <w:t>Low</w:t>
      </w:r>
    </w:p>
    <w:p w14:paraId="5075F854" w14:textId="5D22D185" w:rsidR="001B774D" w:rsidRPr="00C95786" w:rsidRDefault="001B774D"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The impact has made little or no contribution beyond academia</w:t>
      </w:r>
      <w:r w:rsidR="00E71908" w:rsidRPr="00C95786">
        <w:rPr>
          <w:rFonts w:eastAsia="Times New Roman" w:cs="Arial"/>
          <w:color w:val="000000"/>
          <w:lang w:eastAsia="en-AU"/>
        </w:rPr>
        <w:t>.</w:t>
      </w:r>
    </w:p>
    <w:p w14:paraId="6DE66FAA" w14:textId="3EEE6627" w:rsidR="00BC2F05" w:rsidRPr="00BC2F05" w:rsidRDefault="00BC2F05" w:rsidP="00BC2F05">
      <w:pPr>
        <w:pStyle w:val="Heading3"/>
        <w:rPr>
          <w:rFonts w:eastAsia="Times New Roman"/>
          <w:lang w:eastAsia="en-AU"/>
        </w:rPr>
      </w:pPr>
      <w:r w:rsidRPr="00BC2F05">
        <w:rPr>
          <w:rFonts w:eastAsia="Times New Roman"/>
          <w:lang w:eastAsia="en-AU"/>
        </w:rPr>
        <w:t xml:space="preserve">Assessment </w:t>
      </w:r>
      <w:r w:rsidR="00DB33C3">
        <w:rPr>
          <w:rFonts w:eastAsia="Times New Roman"/>
          <w:lang w:eastAsia="en-AU"/>
        </w:rPr>
        <w:t>p</w:t>
      </w:r>
      <w:r w:rsidR="00DB33C3" w:rsidRPr="00BC2F05">
        <w:rPr>
          <w:rFonts w:eastAsia="Times New Roman"/>
          <w:lang w:eastAsia="en-AU"/>
        </w:rPr>
        <w:t>anels</w:t>
      </w:r>
    </w:p>
    <w:p w14:paraId="3C56B343" w14:textId="77777777" w:rsidR="00BC2F05" w:rsidRPr="00BC2F05" w:rsidRDefault="00BC2F05" w:rsidP="00BC2F05">
      <w:r w:rsidRPr="00BC2F05">
        <w:t xml:space="preserve">The assessment panels are organised according to broadly cognate disciplines. Panels comprise a mix of distinguished academic researchers and highly experienced research end-users. </w:t>
      </w:r>
    </w:p>
    <w:p w14:paraId="6527D765" w14:textId="5A5A2E10" w:rsidR="00BC2F05" w:rsidRPr="00BC2F05" w:rsidRDefault="00AA1684" w:rsidP="00BC2F05">
      <w:r>
        <w:t>Each</w:t>
      </w:r>
      <w:r w:rsidRPr="00BC2F05">
        <w:t xml:space="preserve"> </w:t>
      </w:r>
      <w:r w:rsidR="000903DD" w:rsidRPr="00BC2F05">
        <w:t xml:space="preserve">panel will assess </w:t>
      </w:r>
      <w:proofErr w:type="spellStart"/>
      <w:r w:rsidR="000903DD" w:rsidRPr="00BC2F05">
        <w:t>UoAs</w:t>
      </w:r>
      <w:proofErr w:type="spellEnd"/>
      <w:r>
        <w:t xml:space="preserve"> relevant to the disciplines it covers</w:t>
      </w:r>
      <w:r w:rsidR="00BC2F05" w:rsidRPr="00BC2F05">
        <w:t xml:space="preserve">. In the case of interdisciplinary or multidisciplinary submissions, a panel may draw on expertise of members of other panels to assist in the assessment. </w:t>
      </w:r>
    </w:p>
    <w:p w14:paraId="447F3786" w14:textId="77777777" w:rsidR="00BC2F05" w:rsidRPr="00BC2F05" w:rsidRDefault="00BC2F05" w:rsidP="00BC2F05">
      <w:r w:rsidRPr="00BC2F05">
        <w:t xml:space="preserve">There are five assessment panels for EI 2018: </w:t>
      </w:r>
    </w:p>
    <w:p w14:paraId="5F81F6DB" w14:textId="77777777" w:rsidR="00BC2F05" w:rsidRPr="00C95786"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BC2F05">
        <w:t>S</w:t>
      </w:r>
      <w:r w:rsidRPr="00C95786">
        <w:rPr>
          <w:rFonts w:eastAsia="Times New Roman" w:cs="Arial"/>
          <w:color w:val="000000"/>
          <w:lang w:eastAsia="en-AU"/>
        </w:rPr>
        <w:t xml:space="preserve">ocial Sciences (SS) </w:t>
      </w:r>
    </w:p>
    <w:p w14:paraId="17E80DF9" w14:textId="77777777" w:rsidR="00BC2F05" w:rsidRPr="00C95786"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Science and Technology (ST)</w:t>
      </w:r>
    </w:p>
    <w:p w14:paraId="3C6CB7D7" w14:textId="77777777" w:rsidR="00BC2F05" w:rsidRPr="00C95786"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Creative Arts and Humanities (CAH)</w:t>
      </w:r>
    </w:p>
    <w:p w14:paraId="31D5774B" w14:textId="77777777" w:rsidR="00BC2F05" w:rsidRPr="00C95786"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Health and Life Sciences (HLS)</w:t>
      </w:r>
    </w:p>
    <w:p w14:paraId="654E36F6" w14:textId="50A5FF2B" w:rsidR="00BC2F05" w:rsidRPr="00BC2F05"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Aborig</w:t>
      </w:r>
      <w:r w:rsidRPr="00BC2F05">
        <w:t>inal and Torres Strait Islander Research (</w:t>
      </w:r>
      <w:r w:rsidR="00AA1684">
        <w:t>ATSI</w:t>
      </w:r>
      <w:r w:rsidRPr="00BC2F05">
        <w:t>).</w:t>
      </w:r>
    </w:p>
    <w:p w14:paraId="2465547C" w14:textId="77777777" w:rsidR="00EF1D11" w:rsidRDefault="00EF1D11" w:rsidP="00BC2F05">
      <w:pPr>
        <w:pStyle w:val="Heading3"/>
      </w:pPr>
      <w:r>
        <w:br w:type="page"/>
      </w:r>
    </w:p>
    <w:p w14:paraId="6FC581BA" w14:textId="1826D27A" w:rsidR="00BC2F05" w:rsidRPr="00BC2F05" w:rsidRDefault="00BC2F05" w:rsidP="00BC2F05">
      <w:pPr>
        <w:pStyle w:val="Heading3"/>
      </w:pPr>
      <w:r w:rsidRPr="00BC2F05">
        <w:lastRenderedPageBreak/>
        <w:t>Assessment</w:t>
      </w:r>
    </w:p>
    <w:p w14:paraId="070E9CA2" w14:textId="77777777" w:rsidR="00BC2F05" w:rsidRPr="00BC2F05" w:rsidRDefault="00BC2F05" w:rsidP="00742F75">
      <w:pPr>
        <w:pStyle w:val="Heading4"/>
      </w:pPr>
      <w:r w:rsidRPr="00BC2F05">
        <w:t>Process</w:t>
      </w:r>
    </w:p>
    <w:p w14:paraId="569BA13B" w14:textId="28DC0719" w:rsidR="00BC2F05" w:rsidRDefault="00BC2F05" w:rsidP="00BC2F05">
      <w:r w:rsidRPr="00BC2F05">
        <w:t>Panels assess submissions to determine ratings for engagement, approach to impact and impact.</w:t>
      </w:r>
    </w:p>
    <w:p w14:paraId="4930032E" w14:textId="7A434C05" w:rsidR="000E0CEB" w:rsidRDefault="000E158C" w:rsidP="00A55385">
      <w:r>
        <w:t>The assessment consi</w:t>
      </w:r>
      <w:r w:rsidR="00AE3273">
        <w:t>s</w:t>
      </w:r>
      <w:r>
        <w:t>t</w:t>
      </w:r>
      <w:r w:rsidR="0005534C">
        <w:t>s</w:t>
      </w:r>
      <w:r>
        <w:t xml:space="preserve"> of multiple stages which will guide the assessors through the full assessment process</w:t>
      </w:r>
      <w:r w:rsidR="0005534C">
        <w:t>,</w:t>
      </w:r>
      <w:r>
        <w:t xml:space="preserve"> as show</w:t>
      </w:r>
      <w:r w:rsidR="0005534C">
        <w:t>n</w:t>
      </w:r>
      <w:r>
        <w:t xml:space="preserve"> in the table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ssessment stages"/>
        <w:tblDescription w:val="The table shows the 4 statges of assessment and activities associated with each stage: Stage 1--Preliminary individual assessment of UoAs. The assessors provide preliminary ratings for all UoAs they are assigned to.&#10;Stage 2--Assessors view their ratings alongside those from the other assessors of the same UoA. The assessors moderate their preliminary rating.&#10;stage 3--Assessors prepare for the final meeting.&#10;stage 4--The assessment panel comes together for the final meeting, to decide on the final rating for each UoA. &#10;"/>
      </w:tblPr>
      <w:tblGrid>
        <w:gridCol w:w="1530"/>
        <w:gridCol w:w="7486"/>
      </w:tblGrid>
      <w:tr w:rsidR="000E0CEB" w:rsidRPr="000E0CEB" w14:paraId="602C3995" w14:textId="77777777" w:rsidTr="00D24252">
        <w:trPr>
          <w:tblHeader/>
        </w:trPr>
        <w:tc>
          <w:tcPr>
            <w:tcW w:w="1530" w:type="dxa"/>
            <w:tcBorders>
              <w:bottom w:val="single" w:sz="4" w:space="0" w:color="auto"/>
              <w:right w:val="single" w:sz="4" w:space="0" w:color="auto"/>
            </w:tcBorders>
          </w:tcPr>
          <w:p w14:paraId="01259721" w14:textId="7EDA0A6E" w:rsidR="000E0CEB" w:rsidRPr="00026B1D" w:rsidRDefault="000E0CEB" w:rsidP="000E0CEB">
            <w:pPr>
              <w:spacing w:line="259" w:lineRule="auto"/>
              <w:rPr>
                <w:rFonts w:cs="Arial"/>
                <w:b/>
                <w:sz w:val="20"/>
              </w:rPr>
            </w:pPr>
            <w:r w:rsidRPr="00026B1D">
              <w:rPr>
                <w:rFonts w:cs="Arial"/>
                <w:b/>
                <w:sz w:val="20"/>
              </w:rPr>
              <w:t>Stage</w:t>
            </w:r>
          </w:p>
        </w:tc>
        <w:tc>
          <w:tcPr>
            <w:tcW w:w="7486" w:type="dxa"/>
            <w:tcBorders>
              <w:left w:val="single" w:sz="4" w:space="0" w:color="auto"/>
              <w:bottom w:val="single" w:sz="4" w:space="0" w:color="auto"/>
            </w:tcBorders>
          </w:tcPr>
          <w:p w14:paraId="1A23882F" w14:textId="2F42ADA4" w:rsidR="000E0CEB" w:rsidRPr="00026B1D" w:rsidRDefault="000E0CEB" w:rsidP="000E0CEB">
            <w:pPr>
              <w:spacing w:line="259" w:lineRule="auto"/>
              <w:rPr>
                <w:rFonts w:cs="Arial"/>
                <w:b/>
                <w:sz w:val="20"/>
              </w:rPr>
            </w:pPr>
            <w:r w:rsidRPr="00026B1D">
              <w:rPr>
                <w:rFonts w:cs="Arial"/>
                <w:b/>
                <w:sz w:val="20"/>
              </w:rPr>
              <w:t>Activity</w:t>
            </w:r>
          </w:p>
        </w:tc>
      </w:tr>
      <w:tr w:rsidR="000E0CEB" w:rsidRPr="000E0CEB" w14:paraId="7C4DC623" w14:textId="77777777" w:rsidTr="00D24252">
        <w:tc>
          <w:tcPr>
            <w:tcW w:w="1530" w:type="dxa"/>
            <w:tcBorders>
              <w:top w:val="single" w:sz="4" w:space="0" w:color="auto"/>
              <w:right w:val="single" w:sz="4" w:space="0" w:color="auto"/>
            </w:tcBorders>
          </w:tcPr>
          <w:p w14:paraId="1BA9EB8D" w14:textId="5E41409F" w:rsidR="000E0CEB" w:rsidRPr="000E0CEB" w:rsidRDefault="000E0CEB" w:rsidP="000E0CEB">
            <w:pPr>
              <w:spacing w:line="259" w:lineRule="auto"/>
              <w:rPr>
                <w:rFonts w:cs="Arial"/>
                <w:sz w:val="20"/>
              </w:rPr>
            </w:pPr>
            <w:r w:rsidRPr="000E0CEB">
              <w:rPr>
                <w:rFonts w:cs="Arial"/>
                <w:sz w:val="20"/>
              </w:rPr>
              <w:t>Stage 1</w:t>
            </w:r>
          </w:p>
        </w:tc>
        <w:tc>
          <w:tcPr>
            <w:tcW w:w="7486" w:type="dxa"/>
            <w:tcBorders>
              <w:top w:val="single" w:sz="4" w:space="0" w:color="auto"/>
              <w:left w:val="single" w:sz="4" w:space="0" w:color="auto"/>
            </w:tcBorders>
          </w:tcPr>
          <w:p w14:paraId="60BE36EB" w14:textId="4C459548" w:rsidR="000E0CEB" w:rsidRPr="000E0CEB" w:rsidRDefault="000E0CEB" w:rsidP="000E0CEB">
            <w:pPr>
              <w:spacing w:line="259" w:lineRule="auto"/>
              <w:rPr>
                <w:rFonts w:cs="Arial"/>
                <w:sz w:val="20"/>
              </w:rPr>
            </w:pPr>
            <w:r w:rsidRPr="000E0CEB">
              <w:rPr>
                <w:rFonts w:eastAsia="Times New Roman" w:cs="Arial"/>
                <w:bCs/>
                <w:sz w:val="20"/>
                <w:szCs w:val="18"/>
              </w:rPr>
              <w:t xml:space="preserve">Preliminary individual assessment of </w:t>
            </w:r>
            <w:proofErr w:type="spellStart"/>
            <w:r w:rsidRPr="000E0CEB">
              <w:rPr>
                <w:rFonts w:eastAsia="Times New Roman" w:cs="Arial"/>
                <w:bCs/>
                <w:sz w:val="20"/>
                <w:szCs w:val="18"/>
              </w:rPr>
              <w:t>UoAs</w:t>
            </w:r>
            <w:proofErr w:type="spellEnd"/>
            <w:r w:rsidRPr="000E0CEB">
              <w:rPr>
                <w:rFonts w:eastAsia="Times New Roman" w:cs="Arial"/>
                <w:bCs/>
                <w:sz w:val="20"/>
                <w:szCs w:val="18"/>
              </w:rPr>
              <w:t xml:space="preserve">. The assessors provide preliminary ratings for all </w:t>
            </w:r>
            <w:proofErr w:type="spellStart"/>
            <w:r w:rsidRPr="000E0CEB">
              <w:rPr>
                <w:rFonts w:eastAsia="Times New Roman" w:cs="Arial"/>
                <w:bCs/>
                <w:sz w:val="20"/>
                <w:szCs w:val="18"/>
              </w:rPr>
              <w:t>UoAs</w:t>
            </w:r>
            <w:proofErr w:type="spellEnd"/>
            <w:r w:rsidRPr="000E0CEB">
              <w:rPr>
                <w:rFonts w:eastAsia="Times New Roman" w:cs="Arial"/>
                <w:bCs/>
                <w:sz w:val="20"/>
                <w:szCs w:val="18"/>
              </w:rPr>
              <w:t xml:space="preserve"> </w:t>
            </w:r>
            <w:r w:rsidR="00881905">
              <w:rPr>
                <w:rFonts w:eastAsia="Times New Roman" w:cs="Arial"/>
                <w:bCs/>
                <w:sz w:val="20"/>
                <w:szCs w:val="18"/>
              </w:rPr>
              <w:t>to which they are assigned</w:t>
            </w:r>
            <w:r w:rsidRPr="000E0CEB">
              <w:rPr>
                <w:rFonts w:eastAsia="Times New Roman" w:cs="Arial"/>
                <w:bCs/>
                <w:sz w:val="20"/>
                <w:szCs w:val="18"/>
              </w:rPr>
              <w:t>.</w:t>
            </w:r>
          </w:p>
        </w:tc>
      </w:tr>
      <w:tr w:rsidR="000E0CEB" w:rsidRPr="000E0CEB" w14:paraId="574DB5B3" w14:textId="77777777" w:rsidTr="00D24252">
        <w:tc>
          <w:tcPr>
            <w:tcW w:w="1530" w:type="dxa"/>
            <w:tcBorders>
              <w:right w:val="single" w:sz="4" w:space="0" w:color="auto"/>
            </w:tcBorders>
          </w:tcPr>
          <w:p w14:paraId="4EB714B7" w14:textId="108BB439" w:rsidR="000E0CEB" w:rsidRPr="000E0CEB" w:rsidRDefault="000E0CEB" w:rsidP="000E0CEB">
            <w:pPr>
              <w:spacing w:line="259" w:lineRule="auto"/>
              <w:rPr>
                <w:rFonts w:cs="Arial"/>
                <w:sz w:val="20"/>
              </w:rPr>
            </w:pPr>
            <w:r w:rsidRPr="000E0CEB">
              <w:rPr>
                <w:rFonts w:cs="Arial"/>
                <w:sz w:val="20"/>
              </w:rPr>
              <w:t>Stage 2</w:t>
            </w:r>
          </w:p>
        </w:tc>
        <w:tc>
          <w:tcPr>
            <w:tcW w:w="7486" w:type="dxa"/>
            <w:tcBorders>
              <w:left w:val="single" w:sz="4" w:space="0" w:color="auto"/>
            </w:tcBorders>
          </w:tcPr>
          <w:p w14:paraId="60A28ED0" w14:textId="49931EC5" w:rsidR="000E0CEB" w:rsidRPr="000E0CEB" w:rsidRDefault="000E0CEB" w:rsidP="000E0CEB">
            <w:pPr>
              <w:spacing w:line="259" w:lineRule="auto"/>
              <w:rPr>
                <w:rFonts w:cs="Arial"/>
                <w:sz w:val="20"/>
              </w:rPr>
            </w:pPr>
            <w:r w:rsidRPr="000E0CEB">
              <w:rPr>
                <w:rFonts w:eastAsia="Times New Roman" w:cs="Arial"/>
                <w:sz w:val="20"/>
                <w:szCs w:val="18"/>
              </w:rPr>
              <w:t xml:space="preserve">Assessors view their ratings alongside those from the other assessors of the same </w:t>
            </w:r>
            <w:proofErr w:type="spellStart"/>
            <w:r w:rsidRPr="000E0CEB">
              <w:rPr>
                <w:rFonts w:eastAsia="Times New Roman" w:cs="Arial"/>
                <w:sz w:val="20"/>
                <w:szCs w:val="18"/>
              </w:rPr>
              <w:t>UoA</w:t>
            </w:r>
            <w:proofErr w:type="spellEnd"/>
            <w:r w:rsidRPr="000E0CEB">
              <w:rPr>
                <w:rFonts w:eastAsia="Times New Roman" w:cs="Arial"/>
                <w:sz w:val="20"/>
                <w:szCs w:val="18"/>
              </w:rPr>
              <w:t>. The assessors moderate their preliminary rating.</w:t>
            </w:r>
          </w:p>
        </w:tc>
      </w:tr>
      <w:tr w:rsidR="000E0CEB" w:rsidRPr="000E0CEB" w14:paraId="1BA0B3C9" w14:textId="77777777" w:rsidTr="00D24252">
        <w:tc>
          <w:tcPr>
            <w:tcW w:w="1530" w:type="dxa"/>
            <w:tcBorders>
              <w:right w:val="single" w:sz="4" w:space="0" w:color="auto"/>
            </w:tcBorders>
          </w:tcPr>
          <w:p w14:paraId="5B4082B2" w14:textId="262739BD" w:rsidR="000E0CEB" w:rsidRPr="000E0CEB" w:rsidRDefault="000E0CEB" w:rsidP="000E0CEB">
            <w:pPr>
              <w:spacing w:line="259" w:lineRule="auto"/>
              <w:rPr>
                <w:rFonts w:cs="Arial"/>
                <w:sz w:val="20"/>
              </w:rPr>
            </w:pPr>
            <w:r w:rsidRPr="000E0CEB">
              <w:rPr>
                <w:rFonts w:cs="Arial"/>
                <w:sz w:val="20"/>
              </w:rPr>
              <w:t>Stage 3</w:t>
            </w:r>
          </w:p>
        </w:tc>
        <w:tc>
          <w:tcPr>
            <w:tcW w:w="7486" w:type="dxa"/>
            <w:tcBorders>
              <w:left w:val="single" w:sz="4" w:space="0" w:color="auto"/>
            </w:tcBorders>
          </w:tcPr>
          <w:p w14:paraId="54E2CB5E" w14:textId="70AB32BA" w:rsidR="000E0CEB" w:rsidRPr="000E0CEB" w:rsidRDefault="000E0CEB" w:rsidP="000E0CEB">
            <w:pPr>
              <w:spacing w:line="259" w:lineRule="auto"/>
              <w:rPr>
                <w:rFonts w:cs="Arial"/>
                <w:sz w:val="20"/>
              </w:rPr>
            </w:pPr>
            <w:r w:rsidRPr="000E0CEB">
              <w:rPr>
                <w:rFonts w:eastAsia="Times New Roman" w:cs="Arial"/>
                <w:bCs/>
                <w:sz w:val="20"/>
                <w:szCs w:val="18"/>
              </w:rPr>
              <w:t>Assessors prepare for the final meeting.</w:t>
            </w:r>
          </w:p>
        </w:tc>
      </w:tr>
      <w:tr w:rsidR="000E0CEB" w:rsidRPr="000E0CEB" w14:paraId="52A15B98" w14:textId="77777777" w:rsidTr="00D24252">
        <w:tc>
          <w:tcPr>
            <w:tcW w:w="1530" w:type="dxa"/>
            <w:tcBorders>
              <w:right w:val="single" w:sz="4" w:space="0" w:color="auto"/>
            </w:tcBorders>
          </w:tcPr>
          <w:p w14:paraId="7F1DE94D" w14:textId="6C697492" w:rsidR="000E0CEB" w:rsidRPr="000E0CEB" w:rsidRDefault="000E0CEB" w:rsidP="000E0CEB">
            <w:pPr>
              <w:spacing w:line="259" w:lineRule="auto"/>
              <w:rPr>
                <w:rFonts w:cs="Arial"/>
                <w:sz w:val="20"/>
              </w:rPr>
            </w:pPr>
            <w:r w:rsidRPr="000E0CEB">
              <w:rPr>
                <w:rFonts w:cs="Arial"/>
                <w:sz w:val="20"/>
              </w:rPr>
              <w:t>Stage 4</w:t>
            </w:r>
          </w:p>
        </w:tc>
        <w:tc>
          <w:tcPr>
            <w:tcW w:w="7486" w:type="dxa"/>
            <w:tcBorders>
              <w:left w:val="single" w:sz="4" w:space="0" w:color="auto"/>
            </w:tcBorders>
          </w:tcPr>
          <w:p w14:paraId="398C3386" w14:textId="399ED57A" w:rsidR="000E0CEB" w:rsidRPr="000E0CEB" w:rsidRDefault="000E0CEB" w:rsidP="000E0CEB">
            <w:pPr>
              <w:spacing w:line="259" w:lineRule="auto"/>
              <w:rPr>
                <w:rFonts w:cs="Arial"/>
                <w:sz w:val="20"/>
              </w:rPr>
            </w:pPr>
            <w:r w:rsidRPr="000E0CEB">
              <w:rPr>
                <w:rFonts w:eastAsia="Times New Roman" w:cs="Arial"/>
                <w:sz w:val="20"/>
                <w:szCs w:val="18"/>
              </w:rPr>
              <w:t xml:space="preserve">The assessment panel comes together for the final meeting, to decide on the final rating for each </w:t>
            </w:r>
            <w:proofErr w:type="spellStart"/>
            <w:r w:rsidRPr="000E0CEB">
              <w:rPr>
                <w:rFonts w:eastAsia="Times New Roman" w:cs="Arial"/>
                <w:sz w:val="20"/>
                <w:szCs w:val="18"/>
              </w:rPr>
              <w:t>UoA</w:t>
            </w:r>
            <w:proofErr w:type="spellEnd"/>
            <w:r w:rsidRPr="000E0CEB">
              <w:rPr>
                <w:rFonts w:eastAsia="Times New Roman" w:cs="Arial"/>
                <w:sz w:val="20"/>
                <w:szCs w:val="18"/>
              </w:rPr>
              <w:t>.</w:t>
            </w:r>
            <w:r w:rsidR="003751D0">
              <w:rPr>
                <w:rFonts w:eastAsia="Times New Roman" w:cs="Arial"/>
                <w:sz w:val="20"/>
                <w:szCs w:val="18"/>
              </w:rPr>
              <w:t xml:space="preserve"> Ratings are determined by panel consensus.</w:t>
            </w:r>
          </w:p>
        </w:tc>
      </w:tr>
    </w:tbl>
    <w:p w14:paraId="7A7241AC" w14:textId="77777777" w:rsidR="000E0CEB" w:rsidRPr="00BD4772" w:rsidRDefault="000E0CEB" w:rsidP="00A55385"/>
    <w:p w14:paraId="481FCD74" w14:textId="711F4AAD" w:rsidR="00BC2F05" w:rsidRPr="0005534C" w:rsidRDefault="00BC2F05" w:rsidP="00BC2F05">
      <w:pPr>
        <w:rPr>
          <w:rFonts w:cs="Times New Roman"/>
          <w:szCs w:val="24"/>
        </w:rPr>
      </w:pPr>
      <w:r w:rsidRPr="00BC2F05">
        <w:t xml:space="preserve">The ratings agreed by the panels are final. The panels deliver their agreed final ratings to the ARC. Following completion of the assessment phase, the ARC will publish ratings and </w:t>
      </w:r>
      <w:r w:rsidR="000E0CEB">
        <w:t>will</w:t>
      </w:r>
      <w:r w:rsidR="0000180B">
        <w:t xml:space="preserve"> </w:t>
      </w:r>
      <w:r w:rsidRPr="00BC2F05">
        <w:t>publi</w:t>
      </w:r>
      <w:r w:rsidR="00881905">
        <w:t xml:space="preserve">sh the engagement narrative, </w:t>
      </w:r>
      <w:r w:rsidRPr="00BC2F05">
        <w:t>impact studies</w:t>
      </w:r>
      <w:r w:rsidR="000E0CEB">
        <w:t xml:space="preserve"> </w:t>
      </w:r>
      <w:r w:rsidR="00881905">
        <w:t xml:space="preserve">and any requests not to be assessed for impact, </w:t>
      </w:r>
      <w:r w:rsidR="000E0CEB">
        <w:t>following the completion of the EI 2018 process</w:t>
      </w:r>
      <w:r w:rsidRPr="00BC2F05">
        <w:t>.</w:t>
      </w:r>
    </w:p>
    <w:p w14:paraId="70EBB7E9" w14:textId="2D6E02EF" w:rsidR="003751D0" w:rsidRDefault="00BC2F05" w:rsidP="00BC2F05">
      <w:r w:rsidRPr="00BC2F05">
        <w:t xml:space="preserve">Panels apply ratings using the rating scale descriptors above and with reference to the </w:t>
      </w:r>
      <w:r w:rsidR="003751D0">
        <w:t>following key documents:</w:t>
      </w:r>
    </w:p>
    <w:p w14:paraId="775CEABE" w14:textId="77777777" w:rsidR="003751D0" w:rsidRPr="00C95786"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BC2F05">
        <w:t>i</w:t>
      </w:r>
      <w:r w:rsidRPr="00C95786">
        <w:rPr>
          <w:rFonts w:eastAsia="Times New Roman" w:cs="Arial"/>
          <w:color w:val="000000"/>
          <w:lang w:eastAsia="en-AU"/>
        </w:rPr>
        <w:t xml:space="preserve">nstructions provided to universities in the </w:t>
      </w:r>
      <w:r w:rsidR="000E0CEB" w:rsidRPr="0095384E">
        <w:rPr>
          <w:rFonts w:eastAsia="Times New Roman" w:cs="Arial"/>
          <w:i/>
          <w:color w:val="000000"/>
          <w:lang w:eastAsia="en-AU"/>
        </w:rPr>
        <w:t>EI </w:t>
      </w:r>
      <w:r w:rsidRPr="0095384E">
        <w:rPr>
          <w:rFonts w:eastAsia="Times New Roman" w:cs="Arial"/>
          <w:i/>
          <w:color w:val="000000"/>
          <w:lang w:eastAsia="en-AU"/>
        </w:rPr>
        <w:t>2018 Submission Guidelines</w:t>
      </w:r>
    </w:p>
    <w:p w14:paraId="1AB3BE0D" w14:textId="14D2CBFA" w:rsidR="003751D0" w:rsidRPr="00C95786" w:rsidRDefault="00BC2F05"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rPr>
          <w:rFonts w:eastAsia="Times New Roman" w:cs="Arial"/>
          <w:color w:val="000000"/>
          <w:lang w:eastAsia="en-AU"/>
        </w:rPr>
      </w:pPr>
      <w:r w:rsidRPr="00C95786">
        <w:rPr>
          <w:rFonts w:eastAsia="Times New Roman" w:cs="Arial"/>
          <w:color w:val="000000"/>
          <w:lang w:eastAsia="en-AU"/>
        </w:rPr>
        <w:t>the assessment frame</w:t>
      </w:r>
      <w:r w:rsidR="000E0CEB" w:rsidRPr="00C95786">
        <w:rPr>
          <w:rFonts w:eastAsia="Times New Roman" w:cs="Arial"/>
          <w:color w:val="000000"/>
          <w:lang w:eastAsia="en-AU"/>
        </w:rPr>
        <w:t>work set out in this document</w:t>
      </w:r>
    </w:p>
    <w:p w14:paraId="0719B030" w14:textId="18A159F6" w:rsidR="00BC2F05" w:rsidRDefault="000E0CEB" w:rsidP="00C95786">
      <w:pPr>
        <w:numPr>
          <w:ilvl w:val="0"/>
          <w:numId w:val="17"/>
        </w:numPr>
        <w:pBdr>
          <w:top w:val="none" w:sz="0" w:space="0" w:color="000000"/>
          <w:left w:val="none" w:sz="0" w:space="0" w:color="000000"/>
          <w:bottom w:val="none" w:sz="0" w:space="0" w:color="000000"/>
          <w:right w:val="none" w:sz="0" w:space="0" w:color="000000"/>
          <w:between w:val="none" w:sz="0" w:space="0" w:color="000000"/>
        </w:pBdr>
        <w:ind w:left="850" w:hanging="425"/>
      </w:pPr>
      <w:r w:rsidRPr="00C95786">
        <w:rPr>
          <w:rFonts w:eastAsia="Times New Roman" w:cs="Arial"/>
          <w:color w:val="000000"/>
          <w:lang w:eastAsia="en-AU"/>
        </w:rPr>
        <w:t xml:space="preserve">the </w:t>
      </w:r>
      <w:r w:rsidRPr="0095384E">
        <w:rPr>
          <w:rFonts w:eastAsia="Times New Roman" w:cs="Arial"/>
          <w:i/>
          <w:color w:val="000000"/>
          <w:lang w:eastAsia="en-AU"/>
        </w:rPr>
        <w:t>EI 2018 Assessment Handbook</w:t>
      </w:r>
      <w:r w:rsidRPr="00C95786">
        <w:rPr>
          <w:rFonts w:eastAsia="Times New Roman" w:cs="Arial"/>
          <w:color w:val="000000"/>
          <w:lang w:eastAsia="en-AU"/>
        </w:rPr>
        <w:t>, which the ARC will publish following the com</w:t>
      </w:r>
      <w:r>
        <w:t xml:space="preserve">pletion of the EI process and publication of the </w:t>
      </w:r>
      <w:r w:rsidRPr="0095384E">
        <w:rPr>
          <w:i/>
        </w:rPr>
        <w:t xml:space="preserve">EI 2018 </w:t>
      </w:r>
      <w:r w:rsidR="00881905" w:rsidRPr="0095384E">
        <w:rPr>
          <w:i/>
        </w:rPr>
        <w:t>N</w:t>
      </w:r>
      <w:r w:rsidRPr="0095384E">
        <w:rPr>
          <w:i/>
        </w:rPr>
        <w:t xml:space="preserve">ational </w:t>
      </w:r>
      <w:r w:rsidR="00881905" w:rsidRPr="0095384E">
        <w:rPr>
          <w:i/>
        </w:rPr>
        <w:t>R</w:t>
      </w:r>
      <w:r w:rsidRPr="0095384E">
        <w:rPr>
          <w:i/>
        </w:rPr>
        <w:t>eport</w:t>
      </w:r>
      <w:r>
        <w:t xml:space="preserve">. </w:t>
      </w:r>
    </w:p>
    <w:p w14:paraId="6A2031C9" w14:textId="77777777" w:rsidR="00B30ABF" w:rsidRPr="00BC2F05" w:rsidRDefault="00B30ABF" w:rsidP="00B30ABF"/>
    <w:p w14:paraId="2ADECF9A" w14:textId="5F497F1F" w:rsidR="00BC2F05" w:rsidRPr="00BC2F05" w:rsidRDefault="00BC2F05" w:rsidP="00BC2F05">
      <w:pPr>
        <w:rPr>
          <w:b/>
        </w:rPr>
      </w:pPr>
      <w:r w:rsidRPr="00BC2F05">
        <w:t xml:space="preserve">All assessments </w:t>
      </w:r>
      <w:r w:rsidR="003751D0">
        <w:t>are</w:t>
      </w:r>
      <w:r w:rsidRPr="00BC2F05">
        <w:t xml:space="preserve"> made using the evidence provided in the relevant submission and panels </w:t>
      </w:r>
      <w:r w:rsidR="003751D0">
        <w:t>can</w:t>
      </w:r>
      <w:r w:rsidRPr="00BC2F05">
        <w:t xml:space="preserve">not refer to additional information for a </w:t>
      </w:r>
      <w:proofErr w:type="spellStart"/>
      <w:r w:rsidRPr="00BC2F05">
        <w:t>UoA</w:t>
      </w:r>
      <w:proofErr w:type="spellEnd"/>
      <w:r w:rsidRPr="00BC2F05">
        <w:t xml:space="preserve"> when making their assessment.  </w:t>
      </w:r>
    </w:p>
    <w:p w14:paraId="40CF14DF" w14:textId="6DD79F37" w:rsidR="00BC2F05" w:rsidRPr="00BC2F05" w:rsidRDefault="00BC2F05" w:rsidP="00742F75">
      <w:pPr>
        <w:pStyle w:val="Heading4"/>
      </w:pPr>
      <w:r w:rsidRPr="00BC2F05">
        <w:t xml:space="preserve">Engagement </w:t>
      </w:r>
      <w:r w:rsidR="00D24252">
        <w:t>a</w:t>
      </w:r>
      <w:r w:rsidR="00D24252" w:rsidRPr="00BC2F05">
        <w:t>ssessment</w:t>
      </w:r>
    </w:p>
    <w:p w14:paraId="63608541" w14:textId="219EB296" w:rsidR="00BC2F05" w:rsidRPr="00BC2F05" w:rsidRDefault="00BC2F05" w:rsidP="00BC2F05">
      <w:r w:rsidRPr="00BC2F05">
        <w:t>The assessment of engagement is holistic with panel members considering all evidence provided in the engagement submission. There are no weightings applied to the individual components of the engagement submission (</w:t>
      </w:r>
      <w:proofErr w:type="gramStart"/>
      <w:r w:rsidRPr="00BC2F05">
        <w:t>i.e.</w:t>
      </w:r>
      <w:proofErr w:type="gramEnd"/>
      <w:r w:rsidRPr="00BC2F05">
        <w:t xml:space="preserve"> the engagement </w:t>
      </w:r>
      <w:r w:rsidR="003751D0" w:rsidRPr="00BC2F05">
        <w:t xml:space="preserve">narrative and </w:t>
      </w:r>
      <w:r w:rsidRPr="00BC2F05">
        <w:t>indicators) for the assessment.</w:t>
      </w:r>
    </w:p>
    <w:p w14:paraId="08E4EB14" w14:textId="5888311A" w:rsidR="00BC2F05" w:rsidRPr="00BC2F05" w:rsidRDefault="00BC2F05" w:rsidP="00BC2F05">
      <w:r w:rsidRPr="00BC2F05">
        <w:t xml:space="preserve">However, assessment panels </w:t>
      </w:r>
      <w:r w:rsidR="003751D0">
        <w:t>can</w:t>
      </w:r>
      <w:r w:rsidRPr="00BC2F05">
        <w:t xml:space="preserve"> put more emphasis on </w:t>
      </w:r>
      <w:r w:rsidR="003751D0">
        <w:t>the evidence that is relevant for the discipline</w:t>
      </w:r>
      <w:r w:rsidRPr="00BC2F05">
        <w:t>.</w:t>
      </w:r>
    </w:p>
    <w:p w14:paraId="17592E21" w14:textId="69211EF0" w:rsidR="00BC2F05" w:rsidRPr="00BC2F05" w:rsidRDefault="00BC2F05" w:rsidP="00742F75">
      <w:pPr>
        <w:pStyle w:val="Heading4"/>
      </w:pPr>
      <w:r w:rsidRPr="00BC2F05">
        <w:lastRenderedPageBreak/>
        <w:t xml:space="preserve">Impact </w:t>
      </w:r>
      <w:r w:rsidR="00D24252">
        <w:t>a</w:t>
      </w:r>
      <w:r w:rsidR="00D24252" w:rsidRPr="00BC2F05">
        <w:t>ssessment</w:t>
      </w:r>
    </w:p>
    <w:p w14:paraId="534B5CF6" w14:textId="58CF253A" w:rsidR="00BC2F05" w:rsidRPr="00BC2F05" w:rsidRDefault="00BC2F05" w:rsidP="00BC2F05">
      <w:r w:rsidRPr="00BC2F05">
        <w:t xml:space="preserve">The assessments for impact and approach to impact </w:t>
      </w:r>
      <w:r w:rsidR="005248EA">
        <w:t>are</w:t>
      </w:r>
      <w:r w:rsidRPr="00BC2F05">
        <w:t xml:space="preserve"> holistic and based on all the material provided in the impact study. </w:t>
      </w:r>
    </w:p>
    <w:p w14:paraId="0D3A3352" w14:textId="18500FF9" w:rsidR="00BC2F05" w:rsidRPr="00BC2F05" w:rsidRDefault="00BC2F05" w:rsidP="00BC2F05">
      <w:r w:rsidRPr="00BC2F05">
        <w:t xml:space="preserve">The rating for impact </w:t>
      </w:r>
      <w:r w:rsidR="005E03B3">
        <w:t>is</w:t>
      </w:r>
      <w:r w:rsidRPr="00BC2F05">
        <w:t xml:space="preserve"> based primarily on the evidence universities provide in Part A of the impact study template for a given </w:t>
      </w:r>
      <w:proofErr w:type="spellStart"/>
      <w:r w:rsidRPr="00BC2F05">
        <w:t>UoA</w:t>
      </w:r>
      <w:proofErr w:type="spellEnd"/>
      <w:r w:rsidRPr="00BC2F05">
        <w:t xml:space="preserve">. </w:t>
      </w:r>
    </w:p>
    <w:p w14:paraId="0CCF7E20" w14:textId="5281743C" w:rsidR="00BC2F05" w:rsidRPr="00BC2F05" w:rsidRDefault="00BC2F05" w:rsidP="00BC2F05">
      <w:r w:rsidRPr="00BC2F05">
        <w:t xml:space="preserve">The rating for approach to impact </w:t>
      </w:r>
      <w:r w:rsidR="005E03B3">
        <w:t>is</w:t>
      </w:r>
      <w:r w:rsidRPr="00BC2F05">
        <w:t xml:space="preserve"> based primarily on evidence universities provide in Part B of the impact study template.</w:t>
      </w:r>
    </w:p>
    <w:p w14:paraId="57C9ED1B" w14:textId="4B550527" w:rsidR="009B09F4" w:rsidRPr="006733B4" w:rsidRDefault="00BC2F05">
      <w:pPr>
        <w:rPr>
          <w:rFonts w:eastAsia="Times New Roman" w:cs="Arial"/>
          <w:bCs/>
          <w:kern w:val="36"/>
          <w:lang w:eastAsia="en-AU"/>
        </w:rPr>
      </w:pPr>
      <w:r w:rsidRPr="00BC2F05">
        <w:t>All evidence in an impact stud</w:t>
      </w:r>
      <w:r w:rsidR="005248EA">
        <w:t>y</w:t>
      </w:r>
      <w:r w:rsidRPr="00BC2F05">
        <w:t xml:space="preserve"> </w:t>
      </w:r>
      <w:r w:rsidR="005E03B3">
        <w:t>is</w:t>
      </w:r>
      <w:r w:rsidRPr="00BC2F05">
        <w:t xml:space="preserve"> assessed by the panels within the context of the field of research </w:t>
      </w:r>
      <w:r w:rsidR="005248EA">
        <w:t xml:space="preserve">in which </w:t>
      </w:r>
      <w:r w:rsidRPr="00BC2F05">
        <w:t>it is submitted and the type of impact that is described.</w:t>
      </w:r>
      <w:r w:rsidR="009B09F4">
        <w:rPr>
          <w:rFonts w:cs="Arial"/>
          <w:b/>
        </w:rPr>
        <w:br w:type="page"/>
      </w:r>
    </w:p>
    <w:p w14:paraId="7899FDD2" w14:textId="77777777" w:rsidR="009B09F4" w:rsidRDefault="009B09F4" w:rsidP="003C6CEB">
      <w:pPr>
        <w:pStyle w:val="Heading1"/>
      </w:pPr>
      <w:bookmarkStart w:id="0" w:name="_Appendix_A—4-digit_FoR"/>
      <w:bookmarkEnd w:id="0"/>
      <w:r w:rsidRPr="003C6CEB">
        <w:lastRenderedPageBreak/>
        <w:t xml:space="preserve">Appendix A—4-digit </w:t>
      </w:r>
      <w:proofErr w:type="spellStart"/>
      <w:proofErr w:type="gramStart"/>
      <w:r w:rsidRPr="003C6CEB">
        <w:t>FoR</w:t>
      </w:r>
      <w:proofErr w:type="spellEnd"/>
      <w:proofErr w:type="gramEnd"/>
      <w:r w:rsidRPr="003C6CEB">
        <w:t xml:space="preserve"> division of </w:t>
      </w:r>
      <w:proofErr w:type="spellStart"/>
      <w:r w:rsidRPr="003C6CEB">
        <w:t>FoR</w:t>
      </w:r>
      <w:proofErr w:type="spellEnd"/>
      <w:r w:rsidRPr="003C6CEB">
        <w:t xml:space="preserve"> 11</w:t>
      </w:r>
    </w:p>
    <w:p w14:paraId="46AB5966" w14:textId="77777777" w:rsidR="004C0BA7" w:rsidRPr="003C6CEB" w:rsidRDefault="004C0BA7" w:rsidP="004C0BA7"/>
    <w:tbl>
      <w:tblPr>
        <w:tblW w:w="0" w:type="auto"/>
        <w:tblCellMar>
          <w:top w:w="15" w:type="dxa"/>
          <w:left w:w="15" w:type="dxa"/>
          <w:bottom w:w="15" w:type="dxa"/>
          <w:right w:w="15" w:type="dxa"/>
        </w:tblCellMar>
        <w:tblLook w:val="04A0" w:firstRow="1" w:lastRow="0" w:firstColumn="1" w:lastColumn="0" w:noHBand="0" w:noVBand="1"/>
      </w:tblPr>
      <w:tblGrid>
        <w:gridCol w:w="4253"/>
        <w:gridCol w:w="4773"/>
      </w:tblGrid>
      <w:tr w:rsidR="009B09F4" w:rsidRPr="009B09F4" w14:paraId="689F270D" w14:textId="77777777" w:rsidTr="0095384E">
        <w:trPr>
          <w:trHeight w:val="206"/>
        </w:trPr>
        <w:tc>
          <w:tcPr>
            <w:tcW w:w="4253" w:type="dxa"/>
            <w:tcBorders>
              <w:bottom w:val="single" w:sz="8" w:space="0" w:color="000000"/>
              <w:right w:val="single" w:sz="8" w:space="0" w:color="000000"/>
            </w:tcBorders>
            <w:tcMar>
              <w:top w:w="20" w:type="dxa"/>
              <w:left w:w="100" w:type="dxa"/>
              <w:bottom w:w="100" w:type="dxa"/>
              <w:right w:w="100" w:type="dxa"/>
            </w:tcMar>
            <w:hideMark/>
          </w:tcPr>
          <w:p w14:paraId="36917E7D"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b/>
                <w:bCs/>
                <w:color w:val="000000"/>
                <w:lang w:eastAsia="en-AU"/>
              </w:rPr>
              <w:t>Biomedical and Clinical Sciences</w:t>
            </w:r>
          </w:p>
        </w:tc>
        <w:tc>
          <w:tcPr>
            <w:tcW w:w="4773" w:type="dxa"/>
            <w:tcBorders>
              <w:left w:val="single" w:sz="8" w:space="0" w:color="000000"/>
              <w:bottom w:val="single" w:sz="8" w:space="0" w:color="000000"/>
            </w:tcBorders>
            <w:tcMar>
              <w:top w:w="20" w:type="dxa"/>
              <w:left w:w="100" w:type="dxa"/>
              <w:bottom w:w="100" w:type="dxa"/>
              <w:right w:w="100" w:type="dxa"/>
            </w:tcMar>
            <w:hideMark/>
          </w:tcPr>
          <w:p w14:paraId="06AE527D"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b/>
                <w:bCs/>
                <w:color w:val="000000"/>
                <w:lang w:eastAsia="en-AU"/>
              </w:rPr>
              <w:t>Public and Allied Health Sciences</w:t>
            </w:r>
          </w:p>
        </w:tc>
      </w:tr>
      <w:tr w:rsidR="009B09F4" w:rsidRPr="009B09F4" w14:paraId="3BE11FC7" w14:textId="77777777" w:rsidTr="000F5BCB">
        <w:trPr>
          <w:trHeight w:val="513"/>
        </w:trPr>
        <w:tc>
          <w:tcPr>
            <w:tcW w:w="4253" w:type="dxa"/>
            <w:tcBorders>
              <w:top w:val="single" w:sz="8" w:space="0" w:color="000000"/>
              <w:right w:val="single" w:sz="8" w:space="0" w:color="000000"/>
            </w:tcBorders>
            <w:tcMar>
              <w:top w:w="20" w:type="dxa"/>
              <w:left w:w="100" w:type="dxa"/>
              <w:bottom w:w="100" w:type="dxa"/>
              <w:right w:w="100" w:type="dxa"/>
            </w:tcMar>
            <w:hideMark/>
          </w:tcPr>
          <w:p w14:paraId="3CAA0CEB"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1101 Medical Biochemistry and Metabolomics</w:t>
            </w:r>
          </w:p>
        </w:tc>
        <w:tc>
          <w:tcPr>
            <w:tcW w:w="4773" w:type="dxa"/>
            <w:tcBorders>
              <w:top w:val="single" w:sz="8" w:space="0" w:color="000000"/>
              <w:left w:val="single" w:sz="8" w:space="0" w:color="000000"/>
            </w:tcBorders>
            <w:tcMar>
              <w:top w:w="20" w:type="dxa"/>
              <w:left w:w="100" w:type="dxa"/>
              <w:bottom w:w="100" w:type="dxa"/>
              <w:right w:w="100" w:type="dxa"/>
            </w:tcMar>
            <w:hideMark/>
          </w:tcPr>
          <w:p w14:paraId="62BE5C20"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1104 Complementary and Alternative Medicine</w:t>
            </w:r>
          </w:p>
        </w:tc>
      </w:tr>
      <w:tr w:rsidR="009B09F4" w:rsidRPr="009B09F4" w14:paraId="463C61A7"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468CDB33"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1102 Cardiovascular Medicine and Haematology</w:t>
            </w:r>
          </w:p>
        </w:tc>
        <w:tc>
          <w:tcPr>
            <w:tcW w:w="4773" w:type="dxa"/>
            <w:tcBorders>
              <w:left w:val="single" w:sz="8" w:space="0" w:color="000000"/>
            </w:tcBorders>
            <w:tcMar>
              <w:top w:w="20" w:type="dxa"/>
              <w:left w:w="100" w:type="dxa"/>
              <w:bottom w:w="100" w:type="dxa"/>
              <w:right w:w="100" w:type="dxa"/>
            </w:tcMar>
            <w:hideMark/>
          </w:tcPr>
          <w:p w14:paraId="24C21F6D"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1106 Human Movement and Sports Science</w:t>
            </w:r>
          </w:p>
        </w:tc>
      </w:tr>
      <w:tr w:rsidR="009B09F4" w:rsidRPr="009B09F4" w14:paraId="1E4CCA5F"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157B2155"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1103 Clinical Sciences</w:t>
            </w:r>
          </w:p>
        </w:tc>
        <w:tc>
          <w:tcPr>
            <w:tcW w:w="4773" w:type="dxa"/>
            <w:tcBorders>
              <w:left w:val="single" w:sz="8" w:space="0" w:color="000000"/>
            </w:tcBorders>
            <w:tcMar>
              <w:top w:w="20" w:type="dxa"/>
              <w:left w:w="100" w:type="dxa"/>
              <w:bottom w:w="100" w:type="dxa"/>
              <w:right w:w="100" w:type="dxa"/>
            </w:tcMar>
            <w:hideMark/>
          </w:tcPr>
          <w:p w14:paraId="2FBA6F4E"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1110 Nursing</w:t>
            </w:r>
          </w:p>
        </w:tc>
      </w:tr>
      <w:tr w:rsidR="009B09F4" w:rsidRPr="009B09F4" w14:paraId="26BD1297"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02FC597C"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1105 Dentistry</w:t>
            </w:r>
          </w:p>
        </w:tc>
        <w:tc>
          <w:tcPr>
            <w:tcW w:w="4773" w:type="dxa"/>
            <w:tcBorders>
              <w:left w:val="single" w:sz="8" w:space="0" w:color="000000"/>
            </w:tcBorders>
            <w:tcMar>
              <w:top w:w="20" w:type="dxa"/>
              <w:left w:w="100" w:type="dxa"/>
              <w:bottom w:w="100" w:type="dxa"/>
              <w:right w:w="100" w:type="dxa"/>
            </w:tcMar>
            <w:hideMark/>
          </w:tcPr>
          <w:p w14:paraId="26019BA7"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1111 Nutrition and Dietetics</w:t>
            </w:r>
          </w:p>
        </w:tc>
      </w:tr>
      <w:tr w:rsidR="009B09F4" w:rsidRPr="009B09F4" w14:paraId="6A82C74D"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3E7EE8D2"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1107 Immunology</w:t>
            </w:r>
          </w:p>
        </w:tc>
        <w:tc>
          <w:tcPr>
            <w:tcW w:w="4773" w:type="dxa"/>
            <w:tcBorders>
              <w:left w:val="single" w:sz="8" w:space="0" w:color="000000"/>
            </w:tcBorders>
            <w:tcMar>
              <w:top w:w="20" w:type="dxa"/>
              <w:left w:w="100" w:type="dxa"/>
              <w:bottom w:w="100" w:type="dxa"/>
              <w:right w:w="100" w:type="dxa"/>
            </w:tcMar>
            <w:hideMark/>
          </w:tcPr>
          <w:p w14:paraId="25B6A272"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1117 Public Health and Health Services</w:t>
            </w:r>
          </w:p>
        </w:tc>
      </w:tr>
      <w:tr w:rsidR="009B09F4" w:rsidRPr="009B09F4" w14:paraId="2EC8CC99"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3624D7A6"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1108 Medical Microbiology</w:t>
            </w:r>
          </w:p>
        </w:tc>
        <w:tc>
          <w:tcPr>
            <w:tcW w:w="4773" w:type="dxa"/>
            <w:tcBorders>
              <w:left w:val="single" w:sz="8" w:space="0" w:color="000000"/>
            </w:tcBorders>
            <w:tcMar>
              <w:top w:w="20" w:type="dxa"/>
              <w:left w:w="100" w:type="dxa"/>
              <w:bottom w:w="100" w:type="dxa"/>
              <w:right w:w="100" w:type="dxa"/>
            </w:tcMar>
            <w:hideMark/>
          </w:tcPr>
          <w:p w14:paraId="3E71CCC1"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1199 Other Medical and Health Sciences</w:t>
            </w:r>
          </w:p>
        </w:tc>
      </w:tr>
      <w:tr w:rsidR="009B09F4" w:rsidRPr="009B09F4" w14:paraId="30C6FB94"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685DE42B"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1109 Neurosciences</w:t>
            </w:r>
          </w:p>
        </w:tc>
        <w:tc>
          <w:tcPr>
            <w:tcW w:w="4773" w:type="dxa"/>
            <w:tcBorders>
              <w:left w:val="single" w:sz="8" w:space="0" w:color="000000"/>
            </w:tcBorders>
            <w:tcMar>
              <w:top w:w="20" w:type="dxa"/>
              <w:left w:w="100" w:type="dxa"/>
              <w:bottom w:w="100" w:type="dxa"/>
              <w:right w:w="100" w:type="dxa"/>
            </w:tcMar>
            <w:hideMark/>
          </w:tcPr>
          <w:p w14:paraId="7507369C" w14:textId="77777777" w:rsidR="009B09F4" w:rsidRPr="009B09F4" w:rsidRDefault="009B09F4" w:rsidP="009B09F4">
            <w:pPr>
              <w:spacing w:after="0" w:line="240" w:lineRule="auto"/>
              <w:contextualSpacing/>
              <w:rPr>
                <w:rFonts w:ascii="Times New Roman" w:eastAsia="Times New Roman" w:hAnsi="Times New Roman" w:cs="Times New Roman"/>
                <w:sz w:val="24"/>
                <w:szCs w:val="24"/>
                <w:lang w:eastAsia="en-AU"/>
              </w:rPr>
            </w:pPr>
          </w:p>
        </w:tc>
      </w:tr>
      <w:tr w:rsidR="009B09F4" w:rsidRPr="009B09F4" w14:paraId="30F7D6F2"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5CAE2ED0"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1112 Oncology and Carcinogenesis</w:t>
            </w:r>
          </w:p>
        </w:tc>
        <w:tc>
          <w:tcPr>
            <w:tcW w:w="4773" w:type="dxa"/>
            <w:tcBorders>
              <w:left w:val="single" w:sz="8" w:space="0" w:color="000000"/>
            </w:tcBorders>
            <w:tcMar>
              <w:top w:w="20" w:type="dxa"/>
              <w:left w:w="100" w:type="dxa"/>
              <w:bottom w:w="100" w:type="dxa"/>
              <w:right w:w="100" w:type="dxa"/>
            </w:tcMar>
            <w:hideMark/>
          </w:tcPr>
          <w:p w14:paraId="2146B76F" w14:textId="77777777" w:rsidR="009B09F4" w:rsidRPr="009B09F4" w:rsidRDefault="009B09F4" w:rsidP="009B09F4">
            <w:pPr>
              <w:spacing w:after="0" w:line="240" w:lineRule="auto"/>
              <w:contextualSpacing/>
              <w:rPr>
                <w:rFonts w:ascii="Times New Roman" w:eastAsia="Times New Roman" w:hAnsi="Times New Roman" w:cs="Times New Roman"/>
                <w:sz w:val="24"/>
                <w:szCs w:val="24"/>
                <w:lang w:eastAsia="en-AU"/>
              </w:rPr>
            </w:pPr>
          </w:p>
        </w:tc>
      </w:tr>
      <w:tr w:rsidR="009B09F4" w:rsidRPr="009B09F4" w14:paraId="298D283C"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2EFDCF8B"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1113 Ophthalmology and Optometry</w:t>
            </w:r>
          </w:p>
        </w:tc>
        <w:tc>
          <w:tcPr>
            <w:tcW w:w="4773" w:type="dxa"/>
            <w:tcBorders>
              <w:left w:val="single" w:sz="8" w:space="0" w:color="000000"/>
            </w:tcBorders>
            <w:tcMar>
              <w:top w:w="20" w:type="dxa"/>
              <w:left w:w="100" w:type="dxa"/>
              <w:bottom w:w="100" w:type="dxa"/>
              <w:right w:w="100" w:type="dxa"/>
            </w:tcMar>
            <w:hideMark/>
          </w:tcPr>
          <w:p w14:paraId="5A0FC1DD" w14:textId="77777777" w:rsidR="009B09F4" w:rsidRPr="009B09F4" w:rsidRDefault="009B09F4" w:rsidP="009B09F4">
            <w:pPr>
              <w:spacing w:after="0" w:line="240" w:lineRule="auto"/>
              <w:contextualSpacing/>
              <w:rPr>
                <w:rFonts w:ascii="Times New Roman" w:eastAsia="Times New Roman" w:hAnsi="Times New Roman" w:cs="Times New Roman"/>
                <w:sz w:val="24"/>
                <w:szCs w:val="24"/>
                <w:lang w:eastAsia="en-AU"/>
              </w:rPr>
            </w:pPr>
          </w:p>
        </w:tc>
      </w:tr>
      <w:tr w:rsidR="009B09F4" w:rsidRPr="009B09F4" w14:paraId="10D388EF"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274D3D52"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1114 Paediatrics and Reproductive Medicine</w:t>
            </w:r>
          </w:p>
        </w:tc>
        <w:tc>
          <w:tcPr>
            <w:tcW w:w="4773" w:type="dxa"/>
            <w:tcBorders>
              <w:left w:val="single" w:sz="8" w:space="0" w:color="000000"/>
            </w:tcBorders>
            <w:tcMar>
              <w:top w:w="20" w:type="dxa"/>
              <w:left w:w="100" w:type="dxa"/>
              <w:bottom w:w="100" w:type="dxa"/>
              <w:right w:w="100" w:type="dxa"/>
            </w:tcMar>
            <w:hideMark/>
          </w:tcPr>
          <w:p w14:paraId="59363D1E" w14:textId="77777777" w:rsidR="009B09F4" w:rsidRPr="009B09F4" w:rsidRDefault="009B09F4" w:rsidP="009B09F4">
            <w:pPr>
              <w:spacing w:after="0" w:line="240" w:lineRule="auto"/>
              <w:contextualSpacing/>
              <w:rPr>
                <w:rFonts w:ascii="Times New Roman" w:eastAsia="Times New Roman" w:hAnsi="Times New Roman" w:cs="Times New Roman"/>
                <w:sz w:val="24"/>
                <w:szCs w:val="24"/>
                <w:lang w:eastAsia="en-AU"/>
              </w:rPr>
            </w:pPr>
          </w:p>
        </w:tc>
      </w:tr>
      <w:tr w:rsidR="009B09F4" w:rsidRPr="009B09F4" w14:paraId="6F0F7FC1"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1E38F4EB"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1115 Pharmacology and Pharmaceutical Sciences</w:t>
            </w:r>
          </w:p>
        </w:tc>
        <w:tc>
          <w:tcPr>
            <w:tcW w:w="4773" w:type="dxa"/>
            <w:tcBorders>
              <w:left w:val="single" w:sz="8" w:space="0" w:color="000000"/>
            </w:tcBorders>
            <w:tcMar>
              <w:top w:w="20" w:type="dxa"/>
              <w:left w:w="100" w:type="dxa"/>
              <w:bottom w:w="100" w:type="dxa"/>
              <w:right w:w="100" w:type="dxa"/>
            </w:tcMar>
            <w:hideMark/>
          </w:tcPr>
          <w:p w14:paraId="0A18A8C7" w14:textId="77777777" w:rsidR="009B09F4" w:rsidRPr="009B09F4" w:rsidRDefault="009B09F4" w:rsidP="009B09F4">
            <w:pPr>
              <w:spacing w:after="0" w:line="240" w:lineRule="auto"/>
              <w:contextualSpacing/>
              <w:rPr>
                <w:rFonts w:ascii="Times New Roman" w:eastAsia="Times New Roman" w:hAnsi="Times New Roman" w:cs="Times New Roman"/>
                <w:sz w:val="24"/>
                <w:szCs w:val="24"/>
                <w:lang w:eastAsia="en-AU"/>
              </w:rPr>
            </w:pPr>
          </w:p>
        </w:tc>
      </w:tr>
      <w:tr w:rsidR="009B09F4" w:rsidRPr="009B09F4" w14:paraId="54E03266" w14:textId="77777777" w:rsidTr="000F5BCB">
        <w:trPr>
          <w:trHeight w:val="513"/>
        </w:trPr>
        <w:tc>
          <w:tcPr>
            <w:tcW w:w="4253" w:type="dxa"/>
            <w:tcBorders>
              <w:right w:val="single" w:sz="8" w:space="0" w:color="000000"/>
            </w:tcBorders>
            <w:tcMar>
              <w:top w:w="20" w:type="dxa"/>
              <w:left w:w="100" w:type="dxa"/>
              <w:bottom w:w="100" w:type="dxa"/>
              <w:right w:w="100" w:type="dxa"/>
            </w:tcMar>
            <w:hideMark/>
          </w:tcPr>
          <w:p w14:paraId="40A5086C" w14:textId="77777777" w:rsidR="009B09F4" w:rsidRPr="009B09F4" w:rsidRDefault="009B09F4" w:rsidP="009B09F4">
            <w:pPr>
              <w:spacing w:after="0" w:line="240" w:lineRule="auto"/>
              <w:ind w:left="360"/>
              <w:contextualSpacing/>
              <w:rPr>
                <w:rFonts w:ascii="Times New Roman" w:eastAsia="Times New Roman" w:hAnsi="Times New Roman" w:cs="Times New Roman"/>
                <w:sz w:val="24"/>
                <w:szCs w:val="24"/>
                <w:lang w:eastAsia="en-AU"/>
              </w:rPr>
            </w:pPr>
            <w:r w:rsidRPr="009B09F4">
              <w:rPr>
                <w:rFonts w:eastAsia="Times New Roman" w:cs="Arial"/>
                <w:color w:val="000000"/>
                <w:lang w:eastAsia="en-AU"/>
              </w:rPr>
              <w:t>1116 Medical Physiology</w:t>
            </w:r>
          </w:p>
        </w:tc>
        <w:tc>
          <w:tcPr>
            <w:tcW w:w="4773" w:type="dxa"/>
            <w:tcBorders>
              <w:left w:val="single" w:sz="8" w:space="0" w:color="000000"/>
            </w:tcBorders>
            <w:tcMar>
              <w:top w:w="20" w:type="dxa"/>
              <w:left w:w="100" w:type="dxa"/>
              <w:bottom w:w="100" w:type="dxa"/>
              <w:right w:w="100" w:type="dxa"/>
            </w:tcMar>
            <w:hideMark/>
          </w:tcPr>
          <w:p w14:paraId="1640F413" w14:textId="77777777" w:rsidR="009B09F4" w:rsidRPr="009B09F4" w:rsidRDefault="009B09F4" w:rsidP="009B09F4">
            <w:pPr>
              <w:spacing w:after="0" w:line="240" w:lineRule="auto"/>
              <w:contextualSpacing/>
              <w:rPr>
                <w:rFonts w:ascii="Times New Roman" w:eastAsia="Times New Roman" w:hAnsi="Times New Roman" w:cs="Times New Roman"/>
                <w:sz w:val="24"/>
                <w:szCs w:val="24"/>
                <w:lang w:eastAsia="en-AU"/>
              </w:rPr>
            </w:pPr>
          </w:p>
        </w:tc>
      </w:tr>
    </w:tbl>
    <w:p w14:paraId="37FA676B" w14:textId="77777777" w:rsidR="004D76EB" w:rsidRDefault="009B09F4">
      <w:r w:rsidRPr="009B09F4">
        <w:rPr>
          <w:rFonts w:ascii="Times New Roman" w:eastAsia="Times New Roman" w:hAnsi="Times New Roman" w:cs="Times New Roman"/>
          <w:sz w:val="24"/>
          <w:szCs w:val="24"/>
          <w:lang w:eastAsia="en-AU"/>
        </w:rPr>
        <w:br/>
      </w:r>
    </w:p>
    <w:sectPr w:rsidR="004D76EB" w:rsidSect="003A4F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EC3E" w14:textId="77777777" w:rsidR="006C287B" w:rsidRDefault="006C287B" w:rsidP="00487E38">
      <w:pPr>
        <w:spacing w:after="0" w:line="240" w:lineRule="auto"/>
      </w:pPr>
      <w:r>
        <w:separator/>
      </w:r>
    </w:p>
  </w:endnote>
  <w:endnote w:type="continuationSeparator" w:id="0">
    <w:p w14:paraId="263D7DB5" w14:textId="77777777" w:rsidR="006C287B" w:rsidRDefault="006C287B" w:rsidP="0048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6AF8" w14:textId="77777777" w:rsidR="00B51B5A" w:rsidRDefault="00B51B5A" w:rsidP="00B51B5A">
    <w:pPr>
      <w:pStyle w:val="Footer"/>
      <w:pBdr>
        <w:bottom w:val="single" w:sz="6" w:space="1" w:color="auto"/>
      </w:pBdr>
      <w:jc w:val="right"/>
    </w:pPr>
  </w:p>
  <w:p w14:paraId="26698BDB" w14:textId="77777777" w:rsidR="00B51B5A" w:rsidRDefault="00B51B5A" w:rsidP="00B51B5A">
    <w:pPr>
      <w:pStyle w:val="Footer"/>
      <w:jc w:val="right"/>
    </w:pPr>
  </w:p>
  <w:p w14:paraId="069BD5E4" w14:textId="566ECC1B" w:rsidR="00487E38" w:rsidRDefault="006F442F" w:rsidP="00445124">
    <w:pPr>
      <w:pStyle w:val="Footer"/>
      <w:jc w:val="right"/>
    </w:pPr>
    <w:r>
      <w:t>Australian</w:t>
    </w:r>
    <w:r w:rsidR="000D4A22">
      <w:t xml:space="preserve"> Research Council—EI 2018</w:t>
    </w:r>
    <w:r>
      <w:t xml:space="preserve"> Framework </w:t>
    </w:r>
    <w:r>
      <w:tab/>
    </w:r>
    <w:sdt>
      <w:sdtPr>
        <w:id w:val="26229295"/>
        <w:docPartObj>
          <w:docPartGallery w:val="Page Numbers (Bottom of Page)"/>
          <w:docPartUnique/>
        </w:docPartObj>
      </w:sdtPr>
      <w:sdtEndPr/>
      <w:sdtContent>
        <w:sdt>
          <w:sdtPr>
            <w:id w:val="168416424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0428A">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428A">
              <w:rPr>
                <w:b/>
                <w:bCs/>
                <w:noProof/>
              </w:rPr>
              <w:t>13</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5771" w14:textId="77777777" w:rsidR="00445124" w:rsidRDefault="00445124" w:rsidP="00445124">
    <w:pPr>
      <w:pStyle w:val="Footer"/>
      <w:pBdr>
        <w:bottom w:val="single" w:sz="6" w:space="1" w:color="auto"/>
      </w:pBdr>
      <w:jc w:val="right"/>
    </w:pPr>
  </w:p>
  <w:p w14:paraId="654E4DEF" w14:textId="77777777" w:rsidR="00445124" w:rsidRDefault="00445124" w:rsidP="00445124">
    <w:pPr>
      <w:pStyle w:val="Footer"/>
      <w:jc w:val="right"/>
    </w:pPr>
  </w:p>
  <w:p w14:paraId="4C14BA9E" w14:textId="44B222C4" w:rsidR="00445124" w:rsidRDefault="00445124" w:rsidP="00445124">
    <w:pPr>
      <w:pStyle w:val="Footer"/>
      <w:jc w:val="right"/>
    </w:pPr>
    <w:r>
      <w:t>Australian</w:t>
    </w:r>
    <w:r w:rsidR="000D4A22">
      <w:t xml:space="preserve"> Research Council—EI 2018</w:t>
    </w:r>
    <w:r>
      <w:t xml:space="preserve"> Framework </w:t>
    </w:r>
    <w:r>
      <w:tab/>
    </w:r>
    <w:sdt>
      <w:sdtPr>
        <w:id w:val="293032434"/>
        <w:docPartObj>
          <w:docPartGallery w:val="Page Numbers (Bottom of Page)"/>
          <w:docPartUnique/>
        </w:docPartObj>
      </w:sdtPr>
      <w:sdtEndPr/>
      <w:sdtContent>
        <w:sdt>
          <w:sdtPr>
            <w:id w:val="-2009083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042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428A">
              <w:rPr>
                <w:b/>
                <w:bCs/>
                <w:noProof/>
              </w:rPr>
              <w:t>13</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BED0" w14:textId="77777777" w:rsidR="006C287B" w:rsidRDefault="006C287B" w:rsidP="00487E38">
      <w:pPr>
        <w:spacing w:after="0" w:line="240" w:lineRule="auto"/>
      </w:pPr>
      <w:r>
        <w:separator/>
      </w:r>
    </w:p>
  </w:footnote>
  <w:footnote w:type="continuationSeparator" w:id="0">
    <w:p w14:paraId="54C46869" w14:textId="77777777" w:rsidR="006C287B" w:rsidRDefault="006C287B" w:rsidP="00487E38">
      <w:pPr>
        <w:spacing w:after="0" w:line="240" w:lineRule="auto"/>
      </w:pPr>
      <w:r>
        <w:continuationSeparator/>
      </w:r>
    </w:p>
  </w:footnote>
  <w:footnote w:id="1">
    <w:p w14:paraId="7D393C08" w14:textId="77777777" w:rsidR="008021CE" w:rsidRDefault="008021CE" w:rsidP="008021CE">
      <w:pPr>
        <w:spacing w:line="240" w:lineRule="auto"/>
        <w:rPr>
          <w:sz w:val="20"/>
          <w:szCs w:val="20"/>
        </w:rPr>
      </w:pPr>
      <w:r>
        <w:rPr>
          <w:vertAlign w:val="superscript"/>
        </w:rPr>
        <w:footnoteRef/>
      </w:r>
      <w:r>
        <w:rPr>
          <w:sz w:val="20"/>
          <w:szCs w:val="20"/>
        </w:rPr>
        <w:t xml:space="preserve"> </w:t>
      </w:r>
      <w:r>
        <w:rPr>
          <w:color w:val="333333"/>
          <w:sz w:val="18"/>
          <w:szCs w:val="18"/>
        </w:rPr>
        <w:t>OECD (2015), Frascati Manual: Guidelines for Collecting and Reporting Data on Research and Experimental Development, Paris (Page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84"/>
    <w:multiLevelType w:val="hybridMultilevel"/>
    <w:tmpl w:val="E24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B0BDB"/>
    <w:multiLevelType w:val="multilevel"/>
    <w:tmpl w:val="3F002CAA"/>
    <w:lvl w:ilvl="0">
      <w:start w:val="1"/>
      <w:numFmt w:val="bullet"/>
      <w:lvlText w:val=""/>
      <w:lvlJc w:val="left"/>
      <w:pPr>
        <w:tabs>
          <w:tab w:val="num" w:pos="295"/>
        </w:tabs>
        <w:ind w:left="295" w:hanging="360"/>
      </w:pPr>
      <w:rPr>
        <w:rFonts w:ascii="Symbol" w:hAnsi="Symbol" w:hint="default"/>
        <w:sz w:val="22"/>
      </w:rPr>
    </w:lvl>
    <w:lvl w:ilvl="1" w:tentative="1">
      <w:start w:val="1"/>
      <w:numFmt w:val="bullet"/>
      <w:lvlText w:val="o"/>
      <w:lvlJc w:val="left"/>
      <w:pPr>
        <w:tabs>
          <w:tab w:val="num" w:pos="1015"/>
        </w:tabs>
        <w:ind w:left="1015" w:hanging="360"/>
      </w:pPr>
      <w:rPr>
        <w:rFonts w:ascii="Courier New" w:hAnsi="Courier New" w:hint="default"/>
        <w:sz w:val="20"/>
      </w:rPr>
    </w:lvl>
    <w:lvl w:ilvl="2" w:tentative="1">
      <w:start w:val="1"/>
      <w:numFmt w:val="bullet"/>
      <w:lvlText w:val=""/>
      <w:lvlJc w:val="left"/>
      <w:pPr>
        <w:tabs>
          <w:tab w:val="num" w:pos="1735"/>
        </w:tabs>
        <w:ind w:left="1735" w:hanging="360"/>
      </w:pPr>
      <w:rPr>
        <w:rFonts w:ascii="Wingdings" w:hAnsi="Wingdings" w:hint="default"/>
        <w:sz w:val="20"/>
      </w:rPr>
    </w:lvl>
    <w:lvl w:ilvl="3" w:tentative="1">
      <w:start w:val="1"/>
      <w:numFmt w:val="bullet"/>
      <w:lvlText w:val=""/>
      <w:lvlJc w:val="left"/>
      <w:pPr>
        <w:tabs>
          <w:tab w:val="num" w:pos="2455"/>
        </w:tabs>
        <w:ind w:left="2455" w:hanging="360"/>
      </w:pPr>
      <w:rPr>
        <w:rFonts w:ascii="Wingdings" w:hAnsi="Wingdings" w:hint="default"/>
        <w:sz w:val="20"/>
      </w:rPr>
    </w:lvl>
    <w:lvl w:ilvl="4" w:tentative="1">
      <w:start w:val="1"/>
      <w:numFmt w:val="bullet"/>
      <w:lvlText w:val=""/>
      <w:lvlJc w:val="left"/>
      <w:pPr>
        <w:tabs>
          <w:tab w:val="num" w:pos="3175"/>
        </w:tabs>
        <w:ind w:left="3175" w:hanging="360"/>
      </w:pPr>
      <w:rPr>
        <w:rFonts w:ascii="Wingdings" w:hAnsi="Wingdings" w:hint="default"/>
        <w:sz w:val="20"/>
      </w:rPr>
    </w:lvl>
    <w:lvl w:ilvl="5" w:tentative="1">
      <w:start w:val="1"/>
      <w:numFmt w:val="bullet"/>
      <w:lvlText w:val=""/>
      <w:lvlJc w:val="left"/>
      <w:pPr>
        <w:tabs>
          <w:tab w:val="num" w:pos="3895"/>
        </w:tabs>
        <w:ind w:left="3895" w:hanging="360"/>
      </w:pPr>
      <w:rPr>
        <w:rFonts w:ascii="Wingdings" w:hAnsi="Wingdings" w:hint="default"/>
        <w:sz w:val="20"/>
      </w:rPr>
    </w:lvl>
    <w:lvl w:ilvl="6" w:tentative="1">
      <w:start w:val="1"/>
      <w:numFmt w:val="bullet"/>
      <w:lvlText w:val=""/>
      <w:lvlJc w:val="left"/>
      <w:pPr>
        <w:tabs>
          <w:tab w:val="num" w:pos="4615"/>
        </w:tabs>
        <w:ind w:left="4615" w:hanging="360"/>
      </w:pPr>
      <w:rPr>
        <w:rFonts w:ascii="Wingdings" w:hAnsi="Wingdings" w:hint="default"/>
        <w:sz w:val="20"/>
      </w:rPr>
    </w:lvl>
    <w:lvl w:ilvl="7" w:tentative="1">
      <w:start w:val="1"/>
      <w:numFmt w:val="bullet"/>
      <w:lvlText w:val=""/>
      <w:lvlJc w:val="left"/>
      <w:pPr>
        <w:tabs>
          <w:tab w:val="num" w:pos="5335"/>
        </w:tabs>
        <w:ind w:left="5335" w:hanging="360"/>
      </w:pPr>
      <w:rPr>
        <w:rFonts w:ascii="Wingdings" w:hAnsi="Wingdings" w:hint="default"/>
        <w:sz w:val="20"/>
      </w:rPr>
    </w:lvl>
    <w:lvl w:ilvl="8" w:tentative="1">
      <w:start w:val="1"/>
      <w:numFmt w:val="bullet"/>
      <w:lvlText w:val=""/>
      <w:lvlJc w:val="left"/>
      <w:pPr>
        <w:tabs>
          <w:tab w:val="num" w:pos="6055"/>
        </w:tabs>
        <w:ind w:left="6055" w:hanging="360"/>
      </w:pPr>
      <w:rPr>
        <w:rFonts w:ascii="Wingdings" w:hAnsi="Wingdings" w:hint="default"/>
        <w:sz w:val="20"/>
      </w:rPr>
    </w:lvl>
  </w:abstractNum>
  <w:abstractNum w:abstractNumId="2" w15:restartNumberingAfterBreak="0">
    <w:nsid w:val="26E8577F"/>
    <w:multiLevelType w:val="multilevel"/>
    <w:tmpl w:val="D0DC2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9720F65"/>
    <w:multiLevelType w:val="multilevel"/>
    <w:tmpl w:val="71DC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27075"/>
    <w:multiLevelType w:val="hybridMultilevel"/>
    <w:tmpl w:val="FD8C8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61732A"/>
    <w:multiLevelType w:val="hybridMultilevel"/>
    <w:tmpl w:val="A614E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0B376B"/>
    <w:multiLevelType w:val="multilevel"/>
    <w:tmpl w:val="78C0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9A43E9"/>
    <w:multiLevelType w:val="multilevel"/>
    <w:tmpl w:val="60F02E92"/>
    <w:lvl w:ilvl="0">
      <w:start w:val="1"/>
      <w:numFmt w:val="bullet"/>
      <w:lvlText w:val="●"/>
      <w:lvlJc w:val="left"/>
      <w:pPr>
        <w:ind w:left="720" w:hanging="360"/>
      </w:pPr>
      <w:rPr>
        <w:rFonts w:ascii="Arial" w:eastAsia="Noto Sans Symbols" w:hAnsi="Arial" w:cs="Arial" w:hint="default"/>
        <w:sz w:val="22"/>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A794271"/>
    <w:multiLevelType w:val="hybridMultilevel"/>
    <w:tmpl w:val="BE708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1C0216"/>
    <w:multiLevelType w:val="multilevel"/>
    <w:tmpl w:val="46885C8C"/>
    <w:lvl w:ilvl="0">
      <w:start w:val="1"/>
      <w:numFmt w:val="bullet"/>
      <w:lvlText w:val=""/>
      <w:lvlJc w:val="left"/>
      <w:pPr>
        <w:tabs>
          <w:tab w:val="num" w:pos="295"/>
        </w:tabs>
        <w:ind w:left="295" w:hanging="360"/>
      </w:pPr>
      <w:rPr>
        <w:rFonts w:ascii="Symbol" w:hAnsi="Symbol" w:hint="default"/>
        <w:sz w:val="20"/>
      </w:rPr>
    </w:lvl>
    <w:lvl w:ilvl="1" w:tentative="1">
      <w:start w:val="1"/>
      <w:numFmt w:val="bullet"/>
      <w:lvlText w:val="o"/>
      <w:lvlJc w:val="left"/>
      <w:pPr>
        <w:tabs>
          <w:tab w:val="num" w:pos="1015"/>
        </w:tabs>
        <w:ind w:left="1015" w:hanging="360"/>
      </w:pPr>
      <w:rPr>
        <w:rFonts w:ascii="Courier New" w:hAnsi="Courier New" w:hint="default"/>
        <w:sz w:val="20"/>
      </w:rPr>
    </w:lvl>
    <w:lvl w:ilvl="2" w:tentative="1">
      <w:start w:val="1"/>
      <w:numFmt w:val="bullet"/>
      <w:lvlText w:val=""/>
      <w:lvlJc w:val="left"/>
      <w:pPr>
        <w:tabs>
          <w:tab w:val="num" w:pos="1735"/>
        </w:tabs>
        <w:ind w:left="1735" w:hanging="360"/>
      </w:pPr>
      <w:rPr>
        <w:rFonts w:ascii="Wingdings" w:hAnsi="Wingdings" w:hint="default"/>
        <w:sz w:val="20"/>
      </w:rPr>
    </w:lvl>
    <w:lvl w:ilvl="3" w:tentative="1">
      <w:start w:val="1"/>
      <w:numFmt w:val="bullet"/>
      <w:lvlText w:val=""/>
      <w:lvlJc w:val="left"/>
      <w:pPr>
        <w:tabs>
          <w:tab w:val="num" w:pos="2455"/>
        </w:tabs>
        <w:ind w:left="2455" w:hanging="360"/>
      </w:pPr>
      <w:rPr>
        <w:rFonts w:ascii="Wingdings" w:hAnsi="Wingdings" w:hint="default"/>
        <w:sz w:val="20"/>
      </w:rPr>
    </w:lvl>
    <w:lvl w:ilvl="4" w:tentative="1">
      <w:start w:val="1"/>
      <w:numFmt w:val="bullet"/>
      <w:lvlText w:val=""/>
      <w:lvlJc w:val="left"/>
      <w:pPr>
        <w:tabs>
          <w:tab w:val="num" w:pos="3175"/>
        </w:tabs>
        <w:ind w:left="3175" w:hanging="360"/>
      </w:pPr>
      <w:rPr>
        <w:rFonts w:ascii="Wingdings" w:hAnsi="Wingdings" w:hint="default"/>
        <w:sz w:val="20"/>
      </w:rPr>
    </w:lvl>
    <w:lvl w:ilvl="5" w:tentative="1">
      <w:start w:val="1"/>
      <w:numFmt w:val="bullet"/>
      <w:lvlText w:val=""/>
      <w:lvlJc w:val="left"/>
      <w:pPr>
        <w:tabs>
          <w:tab w:val="num" w:pos="3895"/>
        </w:tabs>
        <w:ind w:left="3895" w:hanging="360"/>
      </w:pPr>
      <w:rPr>
        <w:rFonts w:ascii="Wingdings" w:hAnsi="Wingdings" w:hint="default"/>
        <w:sz w:val="20"/>
      </w:rPr>
    </w:lvl>
    <w:lvl w:ilvl="6" w:tentative="1">
      <w:start w:val="1"/>
      <w:numFmt w:val="bullet"/>
      <w:lvlText w:val=""/>
      <w:lvlJc w:val="left"/>
      <w:pPr>
        <w:tabs>
          <w:tab w:val="num" w:pos="4615"/>
        </w:tabs>
        <w:ind w:left="4615" w:hanging="360"/>
      </w:pPr>
      <w:rPr>
        <w:rFonts w:ascii="Wingdings" w:hAnsi="Wingdings" w:hint="default"/>
        <w:sz w:val="20"/>
      </w:rPr>
    </w:lvl>
    <w:lvl w:ilvl="7" w:tentative="1">
      <w:start w:val="1"/>
      <w:numFmt w:val="bullet"/>
      <w:lvlText w:val=""/>
      <w:lvlJc w:val="left"/>
      <w:pPr>
        <w:tabs>
          <w:tab w:val="num" w:pos="5335"/>
        </w:tabs>
        <w:ind w:left="5335" w:hanging="360"/>
      </w:pPr>
      <w:rPr>
        <w:rFonts w:ascii="Wingdings" w:hAnsi="Wingdings" w:hint="default"/>
        <w:sz w:val="20"/>
      </w:rPr>
    </w:lvl>
    <w:lvl w:ilvl="8" w:tentative="1">
      <w:start w:val="1"/>
      <w:numFmt w:val="bullet"/>
      <w:lvlText w:val=""/>
      <w:lvlJc w:val="left"/>
      <w:pPr>
        <w:tabs>
          <w:tab w:val="num" w:pos="6055"/>
        </w:tabs>
        <w:ind w:left="6055" w:hanging="360"/>
      </w:pPr>
      <w:rPr>
        <w:rFonts w:ascii="Wingdings" w:hAnsi="Wingdings" w:hint="default"/>
        <w:sz w:val="20"/>
      </w:rPr>
    </w:lvl>
  </w:abstractNum>
  <w:abstractNum w:abstractNumId="10" w15:restartNumberingAfterBreak="0">
    <w:nsid w:val="4D452707"/>
    <w:multiLevelType w:val="multilevel"/>
    <w:tmpl w:val="FEEAF78E"/>
    <w:lvl w:ilvl="0">
      <w:start w:val="1"/>
      <w:numFmt w:val="bullet"/>
      <w:lvlText w:val=""/>
      <w:lvlJc w:val="left"/>
      <w:pPr>
        <w:tabs>
          <w:tab w:val="num" w:pos="295"/>
        </w:tabs>
        <w:ind w:left="295" w:hanging="360"/>
      </w:pPr>
      <w:rPr>
        <w:rFonts w:ascii="Symbol" w:hAnsi="Symbol" w:cs="Arial" w:hint="default"/>
        <w:sz w:val="22"/>
      </w:rPr>
    </w:lvl>
    <w:lvl w:ilvl="1" w:tentative="1">
      <w:start w:val="1"/>
      <w:numFmt w:val="bullet"/>
      <w:lvlText w:val="o"/>
      <w:lvlJc w:val="left"/>
      <w:pPr>
        <w:tabs>
          <w:tab w:val="num" w:pos="1015"/>
        </w:tabs>
        <w:ind w:left="1015" w:hanging="360"/>
      </w:pPr>
      <w:rPr>
        <w:rFonts w:ascii="Courier New" w:hAnsi="Courier New" w:hint="default"/>
        <w:sz w:val="20"/>
      </w:rPr>
    </w:lvl>
    <w:lvl w:ilvl="2" w:tentative="1">
      <w:start w:val="1"/>
      <w:numFmt w:val="bullet"/>
      <w:lvlText w:val=""/>
      <w:lvlJc w:val="left"/>
      <w:pPr>
        <w:tabs>
          <w:tab w:val="num" w:pos="1735"/>
        </w:tabs>
        <w:ind w:left="1735" w:hanging="360"/>
      </w:pPr>
      <w:rPr>
        <w:rFonts w:ascii="Wingdings" w:hAnsi="Wingdings" w:hint="default"/>
        <w:sz w:val="20"/>
      </w:rPr>
    </w:lvl>
    <w:lvl w:ilvl="3" w:tentative="1">
      <w:start w:val="1"/>
      <w:numFmt w:val="bullet"/>
      <w:lvlText w:val=""/>
      <w:lvlJc w:val="left"/>
      <w:pPr>
        <w:tabs>
          <w:tab w:val="num" w:pos="2455"/>
        </w:tabs>
        <w:ind w:left="2455" w:hanging="360"/>
      </w:pPr>
      <w:rPr>
        <w:rFonts w:ascii="Wingdings" w:hAnsi="Wingdings" w:hint="default"/>
        <w:sz w:val="20"/>
      </w:rPr>
    </w:lvl>
    <w:lvl w:ilvl="4" w:tentative="1">
      <w:start w:val="1"/>
      <w:numFmt w:val="bullet"/>
      <w:lvlText w:val=""/>
      <w:lvlJc w:val="left"/>
      <w:pPr>
        <w:tabs>
          <w:tab w:val="num" w:pos="3175"/>
        </w:tabs>
        <w:ind w:left="3175" w:hanging="360"/>
      </w:pPr>
      <w:rPr>
        <w:rFonts w:ascii="Wingdings" w:hAnsi="Wingdings" w:hint="default"/>
        <w:sz w:val="20"/>
      </w:rPr>
    </w:lvl>
    <w:lvl w:ilvl="5" w:tentative="1">
      <w:start w:val="1"/>
      <w:numFmt w:val="bullet"/>
      <w:lvlText w:val=""/>
      <w:lvlJc w:val="left"/>
      <w:pPr>
        <w:tabs>
          <w:tab w:val="num" w:pos="3895"/>
        </w:tabs>
        <w:ind w:left="3895" w:hanging="360"/>
      </w:pPr>
      <w:rPr>
        <w:rFonts w:ascii="Wingdings" w:hAnsi="Wingdings" w:hint="default"/>
        <w:sz w:val="20"/>
      </w:rPr>
    </w:lvl>
    <w:lvl w:ilvl="6" w:tentative="1">
      <w:start w:val="1"/>
      <w:numFmt w:val="bullet"/>
      <w:lvlText w:val=""/>
      <w:lvlJc w:val="left"/>
      <w:pPr>
        <w:tabs>
          <w:tab w:val="num" w:pos="4615"/>
        </w:tabs>
        <w:ind w:left="4615" w:hanging="360"/>
      </w:pPr>
      <w:rPr>
        <w:rFonts w:ascii="Wingdings" w:hAnsi="Wingdings" w:hint="default"/>
        <w:sz w:val="20"/>
      </w:rPr>
    </w:lvl>
    <w:lvl w:ilvl="7" w:tentative="1">
      <w:start w:val="1"/>
      <w:numFmt w:val="bullet"/>
      <w:lvlText w:val=""/>
      <w:lvlJc w:val="left"/>
      <w:pPr>
        <w:tabs>
          <w:tab w:val="num" w:pos="5335"/>
        </w:tabs>
        <w:ind w:left="5335" w:hanging="360"/>
      </w:pPr>
      <w:rPr>
        <w:rFonts w:ascii="Wingdings" w:hAnsi="Wingdings" w:hint="default"/>
        <w:sz w:val="20"/>
      </w:rPr>
    </w:lvl>
    <w:lvl w:ilvl="8" w:tentative="1">
      <w:start w:val="1"/>
      <w:numFmt w:val="bullet"/>
      <w:lvlText w:val=""/>
      <w:lvlJc w:val="left"/>
      <w:pPr>
        <w:tabs>
          <w:tab w:val="num" w:pos="6055"/>
        </w:tabs>
        <w:ind w:left="6055" w:hanging="360"/>
      </w:pPr>
      <w:rPr>
        <w:rFonts w:ascii="Wingdings" w:hAnsi="Wingdings" w:hint="default"/>
        <w:sz w:val="20"/>
      </w:rPr>
    </w:lvl>
  </w:abstractNum>
  <w:abstractNum w:abstractNumId="11" w15:restartNumberingAfterBreak="0">
    <w:nsid w:val="4D840630"/>
    <w:multiLevelType w:val="multilevel"/>
    <w:tmpl w:val="1B7A6824"/>
    <w:lvl w:ilvl="0">
      <w:start w:val="1"/>
      <w:numFmt w:val="bullet"/>
      <w:lvlText w:val=""/>
      <w:lvlJc w:val="left"/>
      <w:pPr>
        <w:tabs>
          <w:tab w:val="num" w:pos="295"/>
        </w:tabs>
        <w:ind w:left="295" w:hanging="360"/>
      </w:pPr>
      <w:rPr>
        <w:rFonts w:ascii="Symbol" w:hAnsi="Symbol" w:hint="default"/>
        <w:sz w:val="20"/>
      </w:rPr>
    </w:lvl>
    <w:lvl w:ilvl="1" w:tentative="1">
      <w:start w:val="1"/>
      <w:numFmt w:val="bullet"/>
      <w:lvlText w:val="o"/>
      <w:lvlJc w:val="left"/>
      <w:pPr>
        <w:tabs>
          <w:tab w:val="num" w:pos="1015"/>
        </w:tabs>
        <w:ind w:left="1015" w:hanging="360"/>
      </w:pPr>
      <w:rPr>
        <w:rFonts w:ascii="Courier New" w:hAnsi="Courier New" w:hint="default"/>
        <w:sz w:val="20"/>
      </w:rPr>
    </w:lvl>
    <w:lvl w:ilvl="2" w:tentative="1">
      <w:start w:val="1"/>
      <w:numFmt w:val="bullet"/>
      <w:lvlText w:val=""/>
      <w:lvlJc w:val="left"/>
      <w:pPr>
        <w:tabs>
          <w:tab w:val="num" w:pos="1735"/>
        </w:tabs>
        <w:ind w:left="1735" w:hanging="360"/>
      </w:pPr>
      <w:rPr>
        <w:rFonts w:ascii="Wingdings" w:hAnsi="Wingdings" w:hint="default"/>
        <w:sz w:val="20"/>
      </w:rPr>
    </w:lvl>
    <w:lvl w:ilvl="3" w:tentative="1">
      <w:start w:val="1"/>
      <w:numFmt w:val="bullet"/>
      <w:lvlText w:val=""/>
      <w:lvlJc w:val="left"/>
      <w:pPr>
        <w:tabs>
          <w:tab w:val="num" w:pos="2455"/>
        </w:tabs>
        <w:ind w:left="2455" w:hanging="360"/>
      </w:pPr>
      <w:rPr>
        <w:rFonts w:ascii="Wingdings" w:hAnsi="Wingdings" w:hint="default"/>
        <w:sz w:val="20"/>
      </w:rPr>
    </w:lvl>
    <w:lvl w:ilvl="4" w:tentative="1">
      <w:start w:val="1"/>
      <w:numFmt w:val="bullet"/>
      <w:lvlText w:val=""/>
      <w:lvlJc w:val="left"/>
      <w:pPr>
        <w:tabs>
          <w:tab w:val="num" w:pos="3175"/>
        </w:tabs>
        <w:ind w:left="3175" w:hanging="360"/>
      </w:pPr>
      <w:rPr>
        <w:rFonts w:ascii="Wingdings" w:hAnsi="Wingdings" w:hint="default"/>
        <w:sz w:val="20"/>
      </w:rPr>
    </w:lvl>
    <w:lvl w:ilvl="5" w:tentative="1">
      <w:start w:val="1"/>
      <w:numFmt w:val="bullet"/>
      <w:lvlText w:val=""/>
      <w:lvlJc w:val="left"/>
      <w:pPr>
        <w:tabs>
          <w:tab w:val="num" w:pos="3895"/>
        </w:tabs>
        <w:ind w:left="3895" w:hanging="360"/>
      </w:pPr>
      <w:rPr>
        <w:rFonts w:ascii="Wingdings" w:hAnsi="Wingdings" w:hint="default"/>
        <w:sz w:val="20"/>
      </w:rPr>
    </w:lvl>
    <w:lvl w:ilvl="6" w:tentative="1">
      <w:start w:val="1"/>
      <w:numFmt w:val="bullet"/>
      <w:lvlText w:val=""/>
      <w:lvlJc w:val="left"/>
      <w:pPr>
        <w:tabs>
          <w:tab w:val="num" w:pos="4615"/>
        </w:tabs>
        <w:ind w:left="4615" w:hanging="360"/>
      </w:pPr>
      <w:rPr>
        <w:rFonts w:ascii="Wingdings" w:hAnsi="Wingdings" w:hint="default"/>
        <w:sz w:val="20"/>
      </w:rPr>
    </w:lvl>
    <w:lvl w:ilvl="7" w:tentative="1">
      <w:start w:val="1"/>
      <w:numFmt w:val="bullet"/>
      <w:lvlText w:val=""/>
      <w:lvlJc w:val="left"/>
      <w:pPr>
        <w:tabs>
          <w:tab w:val="num" w:pos="5335"/>
        </w:tabs>
        <w:ind w:left="5335" w:hanging="360"/>
      </w:pPr>
      <w:rPr>
        <w:rFonts w:ascii="Wingdings" w:hAnsi="Wingdings" w:hint="default"/>
        <w:sz w:val="20"/>
      </w:rPr>
    </w:lvl>
    <w:lvl w:ilvl="8" w:tentative="1">
      <w:start w:val="1"/>
      <w:numFmt w:val="bullet"/>
      <w:lvlText w:val=""/>
      <w:lvlJc w:val="left"/>
      <w:pPr>
        <w:tabs>
          <w:tab w:val="num" w:pos="6055"/>
        </w:tabs>
        <w:ind w:left="6055" w:hanging="360"/>
      </w:pPr>
      <w:rPr>
        <w:rFonts w:ascii="Wingdings" w:hAnsi="Wingdings" w:hint="default"/>
        <w:sz w:val="20"/>
      </w:rPr>
    </w:lvl>
  </w:abstractNum>
  <w:abstractNum w:abstractNumId="12" w15:restartNumberingAfterBreak="0">
    <w:nsid w:val="542305BB"/>
    <w:multiLevelType w:val="multilevel"/>
    <w:tmpl w:val="C98EE200"/>
    <w:lvl w:ilvl="0">
      <w:start w:val="1"/>
      <w:numFmt w:val="bullet"/>
      <w:lvlText w:val=""/>
      <w:lvlJc w:val="left"/>
      <w:pPr>
        <w:tabs>
          <w:tab w:val="num" w:pos="295"/>
        </w:tabs>
        <w:ind w:left="295" w:hanging="360"/>
      </w:pPr>
      <w:rPr>
        <w:rFonts w:ascii="Symbol" w:hAnsi="Symbol" w:cs="Arial" w:hint="default"/>
      </w:rPr>
    </w:lvl>
    <w:lvl w:ilvl="1" w:tentative="1">
      <w:start w:val="1"/>
      <w:numFmt w:val="decimal"/>
      <w:lvlText w:val="%2."/>
      <w:lvlJc w:val="left"/>
      <w:pPr>
        <w:tabs>
          <w:tab w:val="num" w:pos="1015"/>
        </w:tabs>
        <w:ind w:left="1015" w:hanging="360"/>
      </w:p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13" w15:restartNumberingAfterBreak="0">
    <w:nsid w:val="5A204902"/>
    <w:multiLevelType w:val="multilevel"/>
    <w:tmpl w:val="3C2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B4886"/>
    <w:multiLevelType w:val="hybridMultilevel"/>
    <w:tmpl w:val="E9F29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DF70925"/>
    <w:multiLevelType w:val="multilevel"/>
    <w:tmpl w:val="A920AB4A"/>
    <w:lvl w:ilvl="0">
      <w:start w:val="1"/>
      <w:numFmt w:val="bullet"/>
      <w:lvlText w:val="●"/>
      <w:lvlJc w:val="left"/>
      <w:pPr>
        <w:ind w:left="720" w:hanging="360"/>
      </w:pPr>
      <w:rPr>
        <w:rFonts w:ascii="Arial" w:eastAsia="Noto Sans Symbols"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767003"/>
    <w:multiLevelType w:val="hybridMultilevel"/>
    <w:tmpl w:val="2BA83D70"/>
    <w:lvl w:ilvl="0" w:tplc="13725AC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9C1220"/>
    <w:multiLevelType w:val="multilevel"/>
    <w:tmpl w:val="F8AEBBC2"/>
    <w:lvl w:ilvl="0">
      <w:start w:val="1"/>
      <w:numFmt w:val="bullet"/>
      <w:lvlText w:val="●"/>
      <w:lvlJc w:val="left"/>
      <w:pPr>
        <w:ind w:left="1015" w:hanging="360"/>
      </w:pPr>
      <w:rPr>
        <w:rFonts w:ascii="Noto Sans Symbols" w:eastAsia="Noto Sans Symbols" w:hAnsi="Noto Sans Symbols" w:cs="Noto Sans Symbols"/>
        <w:sz w:val="20"/>
        <w:szCs w:val="20"/>
      </w:rPr>
    </w:lvl>
    <w:lvl w:ilvl="1">
      <w:start w:val="1"/>
      <w:numFmt w:val="bullet"/>
      <w:lvlText w:val="−"/>
      <w:lvlJc w:val="left"/>
      <w:pPr>
        <w:ind w:left="1735" w:hanging="360"/>
      </w:pPr>
      <w:rPr>
        <w:rFonts w:ascii="Noto Sans Symbols" w:eastAsia="Noto Sans Symbols" w:hAnsi="Noto Sans Symbols" w:cs="Noto Sans Symbols"/>
        <w:sz w:val="20"/>
        <w:szCs w:val="20"/>
      </w:rPr>
    </w:lvl>
    <w:lvl w:ilvl="2">
      <w:start w:val="1"/>
      <w:numFmt w:val="bullet"/>
      <w:lvlText w:val="▪"/>
      <w:lvlJc w:val="left"/>
      <w:pPr>
        <w:ind w:left="2455" w:hanging="360"/>
      </w:pPr>
      <w:rPr>
        <w:rFonts w:ascii="Noto Sans Symbols" w:eastAsia="Noto Sans Symbols" w:hAnsi="Noto Sans Symbols" w:cs="Noto Sans Symbols"/>
        <w:sz w:val="20"/>
        <w:szCs w:val="20"/>
      </w:rPr>
    </w:lvl>
    <w:lvl w:ilvl="3">
      <w:start w:val="1"/>
      <w:numFmt w:val="bullet"/>
      <w:lvlText w:val="▪"/>
      <w:lvlJc w:val="left"/>
      <w:pPr>
        <w:ind w:left="3175" w:hanging="360"/>
      </w:pPr>
      <w:rPr>
        <w:rFonts w:ascii="Noto Sans Symbols" w:eastAsia="Noto Sans Symbols" w:hAnsi="Noto Sans Symbols" w:cs="Noto Sans Symbols"/>
        <w:sz w:val="20"/>
        <w:szCs w:val="20"/>
      </w:rPr>
    </w:lvl>
    <w:lvl w:ilvl="4">
      <w:start w:val="1"/>
      <w:numFmt w:val="bullet"/>
      <w:lvlText w:val="▪"/>
      <w:lvlJc w:val="left"/>
      <w:pPr>
        <w:ind w:left="3895" w:hanging="360"/>
      </w:pPr>
      <w:rPr>
        <w:rFonts w:ascii="Noto Sans Symbols" w:eastAsia="Noto Sans Symbols" w:hAnsi="Noto Sans Symbols" w:cs="Noto Sans Symbols"/>
        <w:sz w:val="20"/>
        <w:szCs w:val="20"/>
      </w:rPr>
    </w:lvl>
    <w:lvl w:ilvl="5">
      <w:start w:val="1"/>
      <w:numFmt w:val="bullet"/>
      <w:lvlText w:val="▪"/>
      <w:lvlJc w:val="left"/>
      <w:pPr>
        <w:ind w:left="4615" w:hanging="360"/>
      </w:pPr>
      <w:rPr>
        <w:rFonts w:ascii="Noto Sans Symbols" w:eastAsia="Noto Sans Symbols" w:hAnsi="Noto Sans Symbols" w:cs="Noto Sans Symbols"/>
        <w:sz w:val="20"/>
        <w:szCs w:val="20"/>
      </w:rPr>
    </w:lvl>
    <w:lvl w:ilvl="6">
      <w:start w:val="1"/>
      <w:numFmt w:val="bullet"/>
      <w:lvlText w:val="▪"/>
      <w:lvlJc w:val="left"/>
      <w:pPr>
        <w:ind w:left="5335" w:hanging="360"/>
      </w:pPr>
      <w:rPr>
        <w:rFonts w:ascii="Noto Sans Symbols" w:eastAsia="Noto Sans Symbols" w:hAnsi="Noto Sans Symbols" w:cs="Noto Sans Symbols"/>
        <w:sz w:val="20"/>
        <w:szCs w:val="20"/>
      </w:rPr>
    </w:lvl>
    <w:lvl w:ilvl="7">
      <w:start w:val="1"/>
      <w:numFmt w:val="bullet"/>
      <w:lvlText w:val="▪"/>
      <w:lvlJc w:val="left"/>
      <w:pPr>
        <w:ind w:left="6055" w:hanging="360"/>
      </w:pPr>
      <w:rPr>
        <w:rFonts w:ascii="Noto Sans Symbols" w:eastAsia="Noto Sans Symbols" w:hAnsi="Noto Sans Symbols" w:cs="Noto Sans Symbols"/>
        <w:sz w:val="20"/>
        <w:szCs w:val="20"/>
      </w:rPr>
    </w:lvl>
    <w:lvl w:ilvl="8">
      <w:start w:val="1"/>
      <w:numFmt w:val="bullet"/>
      <w:lvlText w:val="▪"/>
      <w:lvlJc w:val="left"/>
      <w:pPr>
        <w:ind w:left="6775" w:hanging="360"/>
      </w:pPr>
      <w:rPr>
        <w:rFonts w:ascii="Noto Sans Symbols" w:eastAsia="Noto Sans Symbols" w:hAnsi="Noto Sans Symbols" w:cs="Noto Sans Symbols"/>
        <w:sz w:val="20"/>
        <w:szCs w:val="20"/>
      </w:rPr>
    </w:lvl>
  </w:abstractNum>
  <w:abstractNum w:abstractNumId="18" w15:restartNumberingAfterBreak="0">
    <w:nsid w:val="68E31F2A"/>
    <w:multiLevelType w:val="multilevel"/>
    <w:tmpl w:val="9630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2784B"/>
    <w:multiLevelType w:val="multilevel"/>
    <w:tmpl w:val="6F06D0DC"/>
    <w:lvl w:ilvl="0">
      <w:start w:val="1"/>
      <w:numFmt w:val="bullet"/>
      <w:lvlText w:val=""/>
      <w:lvlJc w:val="left"/>
      <w:pPr>
        <w:tabs>
          <w:tab w:val="num" w:pos="295"/>
        </w:tabs>
        <w:ind w:left="295" w:hanging="360"/>
      </w:pPr>
      <w:rPr>
        <w:rFonts w:ascii="Symbol" w:hAnsi="Symbol" w:hint="default"/>
        <w:sz w:val="20"/>
      </w:rPr>
    </w:lvl>
    <w:lvl w:ilvl="1" w:tentative="1">
      <w:start w:val="1"/>
      <w:numFmt w:val="bullet"/>
      <w:lvlText w:val="o"/>
      <w:lvlJc w:val="left"/>
      <w:pPr>
        <w:tabs>
          <w:tab w:val="num" w:pos="1015"/>
        </w:tabs>
        <w:ind w:left="1015" w:hanging="360"/>
      </w:pPr>
      <w:rPr>
        <w:rFonts w:ascii="Courier New" w:hAnsi="Courier New" w:hint="default"/>
        <w:sz w:val="20"/>
      </w:rPr>
    </w:lvl>
    <w:lvl w:ilvl="2" w:tentative="1">
      <w:start w:val="1"/>
      <w:numFmt w:val="bullet"/>
      <w:lvlText w:val=""/>
      <w:lvlJc w:val="left"/>
      <w:pPr>
        <w:tabs>
          <w:tab w:val="num" w:pos="1735"/>
        </w:tabs>
        <w:ind w:left="1735" w:hanging="360"/>
      </w:pPr>
      <w:rPr>
        <w:rFonts w:ascii="Wingdings" w:hAnsi="Wingdings" w:hint="default"/>
        <w:sz w:val="20"/>
      </w:rPr>
    </w:lvl>
    <w:lvl w:ilvl="3" w:tentative="1">
      <w:start w:val="1"/>
      <w:numFmt w:val="bullet"/>
      <w:lvlText w:val=""/>
      <w:lvlJc w:val="left"/>
      <w:pPr>
        <w:tabs>
          <w:tab w:val="num" w:pos="2455"/>
        </w:tabs>
        <w:ind w:left="2455" w:hanging="360"/>
      </w:pPr>
      <w:rPr>
        <w:rFonts w:ascii="Wingdings" w:hAnsi="Wingdings" w:hint="default"/>
        <w:sz w:val="20"/>
      </w:rPr>
    </w:lvl>
    <w:lvl w:ilvl="4" w:tentative="1">
      <w:start w:val="1"/>
      <w:numFmt w:val="bullet"/>
      <w:lvlText w:val=""/>
      <w:lvlJc w:val="left"/>
      <w:pPr>
        <w:tabs>
          <w:tab w:val="num" w:pos="3175"/>
        </w:tabs>
        <w:ind w:left="3175" w:hanging="360"/>
      </w:pPr>
      <w:rPr>
        <w:rFonts w:ascii="Wingdings" w:hAnsi="Wingdings" w:hint="default"/>
        <w:sz w:val="20"/>
      </w:rPr>
    </w:lvl>
    <w:lvl w:ilvl="5" w:tentative="1">
      <w:start w:val="1"/>
      <w:numFmt w:val="bullet"/>
      <w:lvlText w:val=""/>
      <w:lvlJc w:val="left"/>
      <w:pPr>
        <w:tabs>
          <w:tab w:val="num" w:pos="3895"/>
        </w:tabs>
        <w:ind w:left="3895" w:hanging="360"/>
      </w:pPr>
      <w:rPr>
        <w:rFonts w:ascii="Wingdings" w:hAnsi="Wingdings" w:hint="default"/>
        <w:sz w:val="20"/>
      </w:rPr>
    </w:lvl>
    <w:lvl w:ilvl="6" w:tentative="1">
      <w:start w:val="1"/>
      <w:numFmt w:val="bullet"/>
      <w:lvlText w:val=""/>
      <w:lvlJc w:val="left"/>
      <w:pPr>
        <w:tabs>
          <w:tab w:val="num" w:pos="4615"/>
        </w:tabs>
        <w:ind w:left="4615" w:hanging="360"/>
      </w:pPr>
      <w:rPr>
        <w:rFonts w:ascii="Wingdings" w:hAnsi="Wingdings" w:hint="default"/>
        <w:sz w:val="20"/>
      </w:rPr>
    </w:lvl>
    <w:lvl w:ilvl="7" w:tentative="1">
      <w:start w:val="1"/>
      <w:numFmt w:val="bullet"/>
      <w:lvlText w:val=""/>
      <w:lvlJc w:val="left"/>
      <w:pPr>
        <w:tabs>
          <w:tab w:val="num" w:pos="5335"/>
        </w:tabs>
        <w:ind w:left="5335" w:hanging="360"/>
      </w:pPr>
      <w:rPr>
        <w:rFonts w:ascii="Wingdings" w:hAnsi="Wingdings" w:hint="default"/>
        <w:sz w:val="20"/>
      </w:rPr>
    </w:lvl>
    <w:lvl w:ilvl="8" w:tentative="1">
      <w:start w:val="1"/>
      <w:numFmt w:val="bullet"/>
      <w:lvlText w:val=""/>
      <w:lvlJc w:val="left"/>
      <w:pPr>
        <w:tabs>
          <w:tab w:val="num" w:pos="6055"/>
        </w:tabs>
        <w:ind w:left="6055" w:hanging="360"/>
      </w:pPr>
      <w:rPr>
        <w:rFonts w:ascii="Wingdings" w:hAnsi="Wingdings" w:hint="default"/>
        <w:sz w:val="20"/>
      </w:rPr>
    </w:lvl>
  </w:abstractNum>
  <w:abstractNum w:abstractNumId="20" w15:restartNumberingAfterBreak="0">
    <w:nsid w:val="78616527"/>
    <w:multiLevelType w:val="multilevel"/>
    <w:tmpl w:val="9DB6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0"/>
  </w:num>
  <w:num w:numId="3">
    <w:abstractNumId w:val="1"/>
  </w:num>
  <w:num w:numId="4">
    <w:abstractNumId w:val="6"/>
  </w:num>
  <w:num w:numId="5">
    <w:abstractNumId w:val="9"/>
  </w:num>
  <w:num w:numId="6">
    <w:abstractNumId w:val="18"/>
  </w:num>
  <w:num w:numId="7">
    <w:abstractNumId w:val="11"/>
  </w:num>
  <w:num w:numId="8">
    <w:abstractNumId w:val="13"/>
  </w:num>
  <w:num w:numId="9">
    <w:abstractNumId w:val="3"/>
  </w:num>
  <w:num w:numId="10">
    <w:abstractNumId w:val="19"/>
  </w:num>
  <w:num w:numId="11">
    <w:abstractNumId w:val="12"/>
  </w:num>
  <w:num w:numId="12">
    <w:abstractNumId w:val="4"/>
  </w:num>
  <w:num w:numId="13">
    <w:abstractNumId w:val="8"/>
  </w:num>
  <w:num w:numId="14">
    <w:abstractNumId w:val="5"/>
  </w:num>
  <w:num w:numId="15">
    <w:abstractNumId w:val="14"/>
  </w:num>
  <w:num w:numId="16">
    <w:abstractNumId w:val="17"/>
  </w:num>
  <w:num w:numId="17">
    <w:abstractNumId w:val="7"/>
  </w:num>
  <w:num w:numId="18">
    <w:abstractNumId w:val="2"/>
  </w:num>
  <w:num w:numId="19">
    <w:abstractNumId w:val="16"/>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F4"/>
    <w:rsid w:val="0000180B"/>
    <w:rsid w:val="00025ADB"/>
    <w:rsid w:val="00026B1D"/>
    <w:rsid w:val="0005534C"/>
    <w:rsid w:val="00072882"/>
    <w:rsid w:val="00086E87"/>
    <w:rsid w:val="000903DD"/>
    <w:rsid w:val="000A744D"/>
    <w:rsid w:val="000D4A22"/>
    <w:rsid w:val="000E0CEB"/>
    <w:rsid w:val="000E158C"/>
    <w:rsid w:val="000E725E"/>
    <w:rsid w:val="000F5BCB"/>
    <w:rsid w:val="001144B9"/>
    <w:rsid w:val="00157776"/>
    <w:rsid w:val="001A1058"/>
    <w:rsid w:val="001B44CC"/>
    <w:rsid w:val="001B6658"/>
    <w:rsid w:val="001B774D"/>
    <w:rsid w:val="001C3ED9"/>
    <w:rsid w:val="001C5EED"/>
    <w:rsid w:val="001F0B1F"/>
    <w:rsid w:val="00214AAD"/>
    <w:rsid w:val="00295A44"/>
    <w:rsid w:val="002B1383"/>
    <w:rsid w:val="002C19D6"/>
    <w:rsid w:val="00344FD7"/>
    <w:rsid w:val="003751D0"/>
    <w:rsid w:val="003876D4"/>
    <w:rsid w:val="003A2CEA"/>
    <w:rsid w:val="003A4F14"/>
    <w:rsid w:val="003B0F2E"/>
    <w:rsid w:val="003C6CEB"/>
    <w:rsid w:val="003D6297"/>
    <w:rsid w:val="00422262"/>
    <w:rsid w:val="00445124"/>
    <w:rsid w:val="0045706C"/>
    <w:rsid w:val="00466237"/>
    <w:rsid w:val="004668D1"/>
    <w:rsid w:val="00487E38"/>
    <w:rsid w:val="004919EF"/>
    <w:rsid w:val="004B5D04"/>
    <w:rsid w:val="004C0BA7"/>
    <w:rsid w:val="004C27F1"/>
    <w:rsid w:val="004C45BB"/>
    <w:rsid w:val="004C65D3"/>
    <w:rsid w:val="004D0215"/>
    <w:rsid w:val="004E66CF"/>
    <w:rsid w:val="00523C39"/>
    <w:rsid w:val="005248EA"/>
    <w:rsid w:val="00562829"/>
    <w:rsid w:val="00587CF2"/>
    <w:rsid w:val="005A0168"/>
    <w:rsid w:val="005B64AF"/>
    <w:rsid w:val="005C6630"/>
    <w:rsid w:val="005E03B3"/>
    <w:rsid w:val="005E727E"/>
    <w:rsid w:val="0062748B"/>
    <w:rsid w:val="00635459"/>
    <w:rsid w:val="00650D7A"/>
    <w:rsid w:val="006733B4"/>
    <w:rsid w:val="006A7A21"/>
    <w:rsid w:val="006B077F"/>
    <w:rsid w:val="006C287B"/>
    <w:rsid w:val="006F29F8"/>
    <w:rsid w:val="006F442F"/>
    <w:rsid w:val="00742F75"/>
    <w:rsid w:val="007A3F29"/>
    <w:rsid w:val="008021CE"/>
    <w:rsid w:val="008432ED"/>
    <w:rsid w:val="00881905"/>
    <w:rsid w:val="0092663D"/>
    <w:rsid w:val="00926FF2"/>
    <w:rsid w:val="00936919"/>
    <w:rsid w:val="0095384E"/>
    <w:rsid w:val="009938D7"/>
    <w:rsid w:val="009B09F4"/>
    <w:rsid w:val="009D28B8"/>
    <w:rsid w:val="00A146B6"/>
    <w:rsid w:val="00A2315B"/>
    <w:rsid w:val="00A53415"/>
    <w:rsid w:val="00A55385"/>
    <w:rsid w:val="00A91B5B"/>
    <w:rsid w:val="00A91E0B"/>
    <w:rsid w:val="00A957B0"/>
    <w:rsid w:val="00AA1684"/>
    <w:rsid w:val="00AD7085"/>
    <w:rsid w:val="00AE3273"/>
    <w:rsid w:val="00AF32BE"/>
    <w:rsid w:val="00B30ABF"/>
    <w:rsid w:val="00B411E7"/>
    <w:rsid w:val="00B420B1"/>
    <w:rsid w:val="00B51B5A"/>
    <w:rsid w:val="00B56212"/>
    <w:rsid w:val="00BC1CF8"/>
    <w:rsid w:val="00BC2F05"/>
    <w:rsid w:val="00C07DDB"/>
    <w:rsid w:val="00C2463D"/>
    <w:rsid w:val="00C672E3"/>
    <w:rsid w:val="00C866C7"/>
    <w:rsid w:val="00C95786"/>
    <w:rsid w:val="00C97DF6"/>
    <w:rsid w:val="00CD3FEE"/>
    <w:rsid w:val="00D0428A"/>
    <w:rsid w:val="00D24252"/>
    <w:rsid w:val="00D24F4E"/>
    <w:rsid w:val="00D405E9"/>
    <w:rsid w:val="00D57714"/>
    <w:rsid w:val="00D71606"/>
    <w:rsid w:val="00DB33C3"/>
    <w:rsid w:val="00DD4D59"/>
    <w:rsid w:val="00E372F9"/>
    <w:rsid w:val="00E60871"/>
    <w:rsid w:val="00E71908"/>
    <w:rsid w:val="00E83CEE"/>
    <w:rsid w:val="00E8703D"/>
    <w:rsid w:val="00EF1D11"/>
    <w:rsid w:val="00F24421"/>
    <w:rsid w:val="00F24940"/>
    <w:rsid w:val="00F73519"/>
    <w:rsid w:val="00FB74DB"/>
    <w:rsid w:val="00FC65C3"/>
    <w:rsid w:val="00FE4047"/>
    <w:rsid w:val="00FF1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1F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A7"/>
    <w:pPr>
      <w:spacing w:before="120" w:after="120"/>
    </w:pPr>
    <w:rPr>
      <w:rFonts w:ascii="Arial" w:hAnsi="Arial"/>
    </w:rPr>
  </w:style>
  <w:style w:type="paragraph" w:styleId="Heading1">
    <w:name w:val="heading 1"/>
    <w:basedOn w:val="Normal"/>
    <w:link w:val="Heading1Char"/>
    <w:uiPriority w:val="9"/>
    <w:qFormat/>
    <w:rsid w:val="003C6CEB"/>
    <w:pPr>
      <w:spacing w:before="240" w:after="60"/>
      <w:outlineLvl w:val="0"/>
    </w:pPr>
    <w:rPr>
      <w:rFonts w:eastAsia="Times New Roman" w:cs="Times New Roman"/>
      <w:b/>
      <w:bCs/>
      <w:kern w:val="36"/>
      <w:sz w:val="32"/>
      <w:szCs w:val="48"/>
      <w:lang w:eastAsia="en-AU"/>
    </w:rPr>
  </w:style>
  <w:style w:type="paragraph" w:styleId="Heading2">
    <w:name w:val="heading 2"/>
    <w:basedOn w:val="Normal"/>
    <w:link w:val="Heading2Char"/>
    <w:uiPriority w:val="9"/>
    <w:qFormat/>
    <w:rsid w:val="003C6CEB"/>
    <w:pPr>
      <w:spacing w:before="240" w:after="60"/>
      <w:outlineLvl w:val="1"/>
    </w:pPr>
    <w:rPr>
      <w:rFonts w:eastAsia="Times New Roman" w:cs="Times New Roman"/>
      <w:b/>
      <w:bCs/>
      <w:i/>
      <w:sz w:val="28"/>
      <w:szCs w:val="36"/>
      <w:lang w:eastAsia="en-AU"/>
    </w:rPr>
  </w:style>
  <w:style w:type="paragraph" w:styleId="Heading3">
    <w:name w:val="heading 3"/>
    <w:basedOn w:val="Normal"/>
    <w:next w:val="Normal"/>
    <w:link w:val="Heading3Char"/>
    <w:uiPriority w:val="9"/>
    <w:unhideWhenUsed/>
    <w:qFormat/>
    <w:rsid w:val="003C6CEB"/>
    <w:pPr>
      <w:keepNext/>
      <w:keepLines/>
      <w:spacing w:before="240" w:after="6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3D6297"/>
    <w:pPr>
      <w:keepNext/>
      <w:keepLines/>
      <w:spacing w:before="240" w:after="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CEB"/>
    <w:rPr>
      <w:rFonts w:ascii="Arial" w:eastAsia="Times New Roman" w:hAnsi="Arial" w:cs="Times New Roman"/>
      <w:b/>
      <w:bCs/>
      <w:kern w:val="36"/>
      <w:sz w:val="32"/>
      <w:szCs w:val="48"/>
      <w:lang w:eastAsia="en-AU"/>
    </w:rPr>
  </w:style>
  <w:style w:type="character" w:customStyle="1" w:styleId="Heading2Char">
    <w:name w:val="Heading 2 Char"/>
    <w:basedOn w:val="DefaultParagraphFont"/>
    <w:link w:val="Heading2"/>
    <w:uiPriority w:val="9"/>
    <w:rsid w:val="003C6CEB"/>
    <w:rPr>
      <w:rFonts w:ascii="Arial" w:eastAsia="Times New Roman" w:hAnsi="Arial" w:cs="Times New Roman"/>
      <w:b/>
      <w:bCs/>
      <w:i/>
      <w:sz w:val="28"/>
      <w:szCs w:val="36"/>
      <w:lang w:eastAsia="en-AU"/>
    </w:rPr>
  </w:style>
  <w:style w:type="paragraph" w:styleId="NormalWeb">
    <w:name w:val="Normal (Web)"/>
    <w:basedOn w:val="Normal"/>
    <w:uiPriority w:val="99"/>
    <w:unhideWhenUsed/>
    <w:rsid w:val="009B09F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9B09F4"/>
  </w:style>
  <w:style w:type="paragraph" w:styleId="Title">
    <w:name w:val="Title"/>
    <w:basedOn w:val="Normal"/>
    <w:next w:val="Normal"/>
    <w:link w:val="TitleChar"/>
    <w:uiPriority w:val="10"/>
    <w:qFormat/>
    <w:rsid w:val="009B09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F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B09F4"/>
    <w:rPr>
      <w:color w:val="0563C1" w:themeColor="hyperlink"/>
      <w:u w:val="single"/>
    </w:rPr>
  </w:style>
  <w:style w:type="paragraph" w:styleId="Header">
    <w:name w:val="header"/>
    <w:basedOn w:val="Normal"/>
    <w:link w:val="HeaderChar"/>
    <w:uiPriority w:val="99"/>
    <w:unhideWhenUsed/>
    <w:rsid w:val="00487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E38"/>
  </w:style>
  <w:style w:type="paragraph" w:styleId="Footer">
    <w:name w:val="footer"/>
    <w:basedOn w:val="Normal"/>
    <w:link w:val="FooterChar"/>
    <w:uiPriority w:val="99"/>
    <w:unhideWhenUsed/>
    <w:rsid w:val="00487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E38"/>
  </w:style>
  <w:style w:type="character" w:customStyle="1" w:styleId="Heading3Char">
    <w:name w:val="Heading 3 Char"/>
    <w:basedOn w:val="DefaultParagraphFont"/>
    <w:link w:val="Heading3"/>
    <w:uiPriority w:val="9"/>
    <w:rsid w:val="003C6CEB"/>
    <w:rPr>
      <w:rFonts w:ascii="Arial" w:eastAsiaTheme="majorEastAsia" w:hAnsi="Arial" w:cstheme="majorBidi"/>
      <w:b/>
      <w:sz w:val="26"/>
      <w:szCs w:val="24"/>
    </w:rPr>
  </w:style>
  <w:style w:type="paragraph" w:styleId="ListParagraph">
    <w:name w:val="List Paragraph"/>
    <w:aliases w:val="Bullet Formatting,0Bullet,Bullet point,Bullets,Content descriptions,DDM Gen Text,Dot point 1.5 line spacing,Indented bullet,L,List Paragraph - bullets,List Paragraph Number,List Paragraph1,List Paragraph11,List Paragraph2,Recommendation"/>
    <w:basedOn w:val="Normal"/>
    <w:link w:val="ListParagraphChar"/>
    <w:uiPriority w:val="34"/>
    <w:qFormat/>
    <w:rsid w:val="00B420B1"/>
    <w:pPr>
      <w:ind w:left="720"/>
      <w:contextualSpacing/>
    </w:pPr>
  </w:style>
  <w:style w:type="paragraph" w:styleId="BalloonText">
    <w:name w:val="Balloon Text"/>
    <w:basedOn w:val="Normal"/>
    <w:link w:val="BalloonTextChar"/>
    <w:uiPriority w:val="99"/>
    <w:semiHidden/>
    <w:unhideWhenUsed/>
    <w:rsid w:val="009369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919"/>
    <w:rPr>
      <w:rFonts w:ascii="Segoe UI" w:hAnsi="Segoe UI" w:cs="Segoe UI"/>
      <w:sz w:val="18"/>
      <w:szCs w:val="18"/>
    </w:rPr>
  </w:style>
  <w:style w:type="character" w:customStyle="1" w:styleId="ListParagraphChar">
    <w:name w:val="List Paragraph Char"/>
    <w:aliases w:val="Bullet Formatting Char,0Bullet Char,Bullet point Char,Bullets Char,Content descriptions Char,DDM Gen Text Char,Dot point 1.5 line spacing Char,Indented bullet Char,L Char,List Paragraph - bullets Char,List Paragraph Number Char"/>
    <w:basedOn w:val="DefaultParagraphFont"/>
    <w:link w:val="ListParagraph"/>
    <w:uiPriority w:val="34"/>
    <w:locked/>
    <w:rsid w:val="000E725E"/>
    <w:rPr>
      <w:rFonts w:ascii="Arial" w:hAnsi="Arial"/>
    </w:rPr>
  </w:style>
  <w:style w:type="character" w:styleId="CommentReference">
    <w:name w:val="annotation reference"/>
    <w:basedOn w:val="DefaultParagraphFont"/>
    <w:uiPriority w:val="99"/>
    <w:semiHidden/>
    <w:unhideWhenUsed/>
    <w:rsid w:val="0092663D"/>
    <w:rPr>
      <w:sz w:val="16"/>
      <w:szCs w:val="16"/>
    </w:rPr>
  </w:style>
  <w:style w:type="paragraph" w:styleId="CommentText">
    <w:name w:val="annotation text"/>
    <w:basedOn w:val="Normal"/>
    <w:link w:val="CommentTextChar"/>
    <w:uiPriority w:val="99"/>
    <w:semiHidden/>
    <w:unhideWhenUsed/>
    <w:rsid w:val="0092663D"/>
    <w:pPr>
      <w:spacing w:line="240" w:lineRule="auto"/>
    </w:pPr>
    <w:rPr>
      <w:sz w:val="20"/>
      <w:szCs w:val="20"/>
    </w:rPr>
  </w:style>
  <w:style w:type="character" w:customStyle="1" w:styleId="CommentTextChar">
    <w:name w:val="Comment Text Char"/>
    <w:basedOn w:val="DefaultParagraphFont"/>
    <w:link w:val="CommentText"/>
    <w:uiPriority w:val="99"/>
    <w:semiHidden/>
    <w:rsid w:val="0092663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2663D"/>
    <w:rPr>
      <w:b/>
      <w:bCs/>
    </w:rPr>
  </w:style>
  <w:style w:type="character" w:customStyle="1" w:styleId="CommentSubjectChar">
    <w:name w:val="Comment Subject Char"/>
    <w:basedOn w:val="CommentTextChar"/>
    <w:link w:val="CommentSubject"/>
    <w:uiPriority w:val="99"/>
    <w:semiHidden/>
    <w:rsid w:val="0092663D"/>
    <w:rPr>
      <w:rFonts w:ascii="Arial" w:hAnsi="Arial"/>
      <w:b/>
      <w:bCs/>
      <w:sz w:val="20"/>
      <w:szCs w:val="20"/>
    </w:rPr>
  </w:style>
  <w:style w:type="character" w:customStyle="1" w:styleId="Heading4Char">
    <w:name w:val="Heading 4 Char"/>
    <w:basedOn w:val="DefaultParagraphFont"/>
    <w:link w:val="Heading4"/>
    <w:uiPriority w:val="9"/>
    <w:rsid w:val="003D6297"/>
    <w:rPr>
      <w:rFonts w:ascii="Arial" w:eastAsiaTheme="majorEastAsia" w:hAnsi="Arial" w:cstheme="majorBidi"/>
      <w:b/>
      <w:iCs/>
    </w:rPr>
  </w:style>
  <w:style w:type="character" w:styleId="Strong">
    <w:name w:val="Strong"/>
    <w:basedOn w:val="DefaultParagraphFont"/>
    <w:uiPriority w:val="22"/>
    <w:qFormat/>
    <w:rsid w:val="00BC2F05"/>
    <w:rPr>
      <w:b/>
      <w:bCs/>
    </w:rPr>
  </w:style>
  <w:style w:type="paragraph" w:styleId="Caption">
    <w:name w:val="caption"/>
    <w:basedOn w:val="Normal"/>
    <w:next w:val="Normal"/>
    <w:unhideWhenUsed/>
    <w:qFormat/>
    <w:rsid w:val="000E158C"/>
    <w:pPr>
      <w:spacing w:before="0" w:after="200" w:line="240" w:lineRule="auto"/>
    </w:pPr>
    <w:rPr>
      <w:rFonts w:asciiTheme="minorHAnsi" w:eastAsiaTheme="minorEastAsia" w:hAnsiTheme="minorHAnsi"/>
      <w:b/>
      <w:bCs/>
      <w:color w:val="5B9BD5" w:themeColor="accent1"/>
      <w:sz w:val="18"/>
      <w:szCs w:val="18"/>
      <w:lang w:eastAsia="en-AU"/>
    </w:rPr>
  </w:style>
  <w:style w:type="table" w:customStyle="1" w:styleId="LightList-Accent11">
    <w:name w:val="Light List - Accent 11"/>
    <w:basedOn w:val="TableNormal"/>
    <w:uiPriority w:val="61"/>
    <w:rsid w:val="000E158C"/>
    <w:pPr>
      <w:spacing w:after="0" w:line="240" w:lineRule="auto"/>
    </w:pPr>
    <w:rPr>
      <w:rFonts w:eastAsiaTheme="minorEastAsia"/>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39"/>
    <w:rsid w:val="000E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87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8931">
      <w:bodyDiv w:val="1"/>
      <w:marLeft w:val="0"/>
      <w:marRight w:val="0"/>
      <w:marTop w:val="0"/>
      <w:marBottom w:val="0"/>
      <w:divBdr>
        <w:top w:val="none" w:sz="0" w:space="0" w:color="auto"/>
        <w:left w:val="none" w:sz="0" w:space="0" w:color="auto"/>
        <w:bottom w:val="none" w:sz="0" w:space="0" w:color="auto"/>
        <w:right w:val="none" w:sz="0" w:space="0" w:color="auto"/>
      </w:divBdr>
      <w:divsChild>
        <w:div w:id="1110466244">
          <w:marLeft w:val="0"/>
          <w:marRight w:val="0"/>
          <w:marTop w:val="0"/>
          <w:marBottom w:val="0"/>
          <w:divBdr>
            <w:top w:val="none" w:sz="0" w:space="0" w:color="auto"/>
            <w:left w:val="none" w:sz="0" w:space="0" w:color="auto"/>
            <w:bottom w:val="none" w:sz="0" w:space="0" w:color="auto"/>
            <w:right w:val="none" w:sz="0" w:space="0" w:color="auto"/>
          </w:divBdr>
        </w:div>
      </w:divsChild>
    </w:div>
    <w:div w:id="10139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creativecommons.org" TargetMode="External"/><Relationship Id="rId3" Type="http://schemas.openxmlformats.org/officeDocument/2006/relationships/customXml" Target="../customXml/item3.xml"/><Relationship Id="rId21" Type="http://schemas.openxmlformats.org/officeDocument/2006/relationships/hyperlink" Target="http://www.abs.gov.au/ausstats/abs@.nsf/mf/1297.0"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reativecommons.org/licenses" TargetMode="External"/><Relationship Id="rId2" Type="http://schemas.openxmlformats.org/officeDocument/2006/relationships/customXml" Target="../customXml/item2.xml"/><Relationship Id="rId16" Type="http://schemas.openxmlformats.org/officeDocument/2006/relationships/hyperlink" Target="http://www.creativecommons.org/licenses" TargetMode="External"/><Relationship Id="rId20" Type="http://schemas.openxmlformats.org/officeDocument/2006/relationships/hyperlink" Target="http://www.ab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reativecommons.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reativecommons.org/licen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04B07EBFF5E46A02D691123868C99" ma:contentTypeVersion="10" ma:contentTypeDescription="Create a new document." ma:contentTypeScope="" ma:versionID="a9c0a9d84ce98686591f5512bc07f611">
  <xsd:schema xmlns:xsd="http://www.w3.org/2001/XMLSchema" xmlns:xs="http://www.w3.org/2001/XMLSchema" xmlns:p="http://schemas.microsoft.com/office/2006/metadata/properties" xmlns:ns1="http://schemas.microsoft.com/sharepoint/v3" xmlns:ns2="39c80582-ac63-4b9a-9a48-bae084d23711" targetNamespace="http://schemas.microsoft.com/office/2006/metadata/properties" ma:root="true" ma:fieldsID="38f8d4650690435ab5b8aacbf505d1a8" ns1:_="" ns2:_="">
    <xsd:import namespace="http://schemas.microsoft.com/sharepoint/v3"/>
    <xsd:import namespace="39c80582-ac63-4b9a-9a48-bae084d23711"/>
    <xsd:element name="properties">
      <xsd:complexType>
        <xsd:sequence>
          <xsd:element name="documentManagement">
            <xsd:complexType>
              <xsd:all>
                <xsd:element ref="ns2:MigrationSourceURL" minOccurs="0"/>
                <xsd:element ref="ns1:_dlc_Exempt" minOccurs="0"/>
                <xsd:element ref="ns2:DLCPolicyLabelValue" minOccurs="0"/>
                <xsd:element ref="ns2:DLCPolicyLabelClientValue" minOccurs="0"/>
                <xsd:element ref="ns2:DLCPolicyLabelLock" minOccurs="0"/>
                <xsd:element ref="ns2:Document_x0020_Type" minOccurs="0"/>
                <xsd:element ref="ns2:Further_x0020_Notes" minOccurs="0"/>
                <xsd:element ref="ns2:Cleared" minOccurs="0"/>
                <xsd:element ref="ns2:Finali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c80582-ac63-4b9a-9a48-bae084d23711"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element name="Document_x0020_Type" ma:index="13" nillable="true" ma:displayName="Document Category" ma:internalName="Document_x0020_Type">
      <xsd:complexType>
        <xsd:complexContent>
          <xsd:extension base="dms:MultiChoice">
            <xsd:sequence>
              <xsd:element name="Value" maxOccurs="unbounded" minOccurs="0" nillable="true">
                <xsd:simpleType>
                  <xsd:restriction base="dms:Choice">
                    <xsd:enumeration value="PowerPoint Presentation"/>
                    <xsd:enumeration value="FAQs"/>
                    <xsd:enumeration value="Scripts"/>
                    <xsd:enumeration value="Handouts"/>
                    <xsd:enumeration value="Background Documents"/>
                    <xsd:enumeration value="Meeting Notes"/>
                    <xsd:enumeration value="Image"/>
                    <xsd:enumeration value="AssessmentHandbook"/>
                  </xsd:restriction>
                </xsd:simpleType>
              </xsd:element>
            </xsd:sequence>
          </xsd:extension>
        </xsd:complexContent>
      </xsd:complexType>
    </xsd:element>
    <xsd:element name="Further_x0020_Notes" ma:index="14" nillable="true" ma:displayName="Further Notes" ma:internalName="Further_x0020_Notes">
      <xsd:simpleType>
        <xsd:restriction base="dms:Note">
          <xsd:maxLength value="255"/>
        </xsd:restriction>
      </xsd:simpleType>
    </xsd:element>
    <xsd:element name="Cleared" ma:index="15" nillable="true" ma:displayName="Cleared" ma:internalName="Cleared">
      <xsd:complexType>
        <xsd:complexContent>
          <xsd:extension base="dms:MultiChoiceFillIn">
            <xsd:sequence>
              <xsd:element name="Value" maxOccurs="unbounded" minOccurs="0" nillable="true">
                <xsd:simpleType>
                  <xsd:union memberTypes="dms:Text">
                    <xsd:simpleType>
                      <xsd:restriction base="dms:Choice">
                        <xsd:enumeration value="Chris Curran"/>
                        <xsd:enumeration value="Sarah Howard"/>
                        <xsd:enumeration value="Marcus Nicol"/>
                        <xsd:enumeration value="Pi Klinjun"/>
                        <xsd:enumeration value="Leanne Harvey"/>
                      </xsd:restriction>
                    </xsd:simpleType>
                  </xsd:union>
                </xsd:simpleType>
              </xsd:element>
            </xsd:sequence>
          </xsd:extension>
        </xsd:complexContent>
      </xsd:complexType>
    </xsd:element>
    <xsd:element name="Finalised" ma:index="16" nillable="true" ma:displayName="Finalised" ma:format="RadioButtons" ma:internalName="Finalised">
      <xsd:simpleType>
        <xsd:union memberTypes="dms:Text">
          <xsd:simpleType>
            <xsd:restriction base="dms:Choice">
              <xsd:enumeration value="Yes"/>
              <xsd:enumeration value="N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DE804B07EBFF5E46A02D691123868C99|801092262" UniqueId="25d161b5-ff74-48a5-ace1-67b3441e1df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urther_x0020_Notes xmlns="39c80582-ac63-4b9a-9a48-bae084d23711" xsi:nil="true"/>
    <MigrationSourceURL xmlns="39c80582-ac63-4b9a-9a48-bae084d23711" xsi:nil="true"/>
    <DLCPolicyLabelLock xmlns="39c80582-ac63-4b9a-9a48-bae084d23711" xsi:nil="true"/>
    <Cleared xmlns="39c80582-ac63-4b9a-9a48-bae084d23711"/>
    <Document_x0020_Type xmlns="39c80582-ac63-4b9a-9a48-bae084d23711"/>
    <DLCPolicyLabelClientValue xmlns="39c80582-ac63-4b9a-9a48-bae084d23711">{_UIVersionString}</DLCPolicyLabelClientValue>
    <Finalised xmlns="39c80582-ac63-4b9a-9a48-bae084d23711" xsi:nil="true"/>
    <DLCPolicyLabelValue xmlns="39c80582-ac63-4b9a-9a48-bae084d23711">0.18</DLCPolicyLabelValue>
  </documentManagement>
</p:properties>
</file>

<file path=customXml/itemProps1.xml><?xml version="1.0" encoding="utf-8"?>
<ds:datastoreItem xmlns:ds="http://schemas.openxmlformats.org/officeDocument/2006/customXml" ds:itemID="{DBFD97E2-9F95-4035-ABCD-9C9B66C1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c80582-ac63-4b9a-9a48-bae084d23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53ABD-4C64-4EF0-81D1-2F038AF66525}">
  <ds:schemaRefs>
    <ds:schemaRef ds:uri="office.server.policy"/>
  </ds:schemaRefs>
</ds:datastoreItem>
</file>

<file path=customXml/itemProps3.xml><?xml version="1.0" encoding="utf-8"?>
<ds:datastoreItem xmlns:ds="http://schemas.openxmlformats.org/officeDocument/2006/customXml" ds:itemID="{E383DE9C-683F-40BF-AE05-CDDFFA70334E}">
  <ds:schemaRefs>
    <ds:schemaRef ds:uri="http://schemas.microsoft.com/sharepoint/v3/contenttype/forms"/>
  </ds:schemaRefs>
</ds:datastoreItem>
</file>

<file path=customXml/itemProps4.xml><?xml version="1.0" encoding="utf-8"?>
<ds:datastoreItem xmlns:ds="http://schemas.openxmlformats.org/officeDocument/2006/customXml" ds:itemID="{F3CC4F3B-12B0-4879-BC94-FB3E2B893336}">
  <ds:schemaRefs>
    <ds:schemaRef ds:uri="http://schemas.openxmlformats.org/officeDocument/2006/bibliography"/>
  </ds:schemaRefs>
</ds:datastoreItem>
</file>

<file path=customXml/itemProps5.xml><?xml version="1.0" encoding="utf-8"?>
<ds:datastoreItem xmlns:ds="http://schemas.openxmlformats.org/officeDocument/2006/customXml" ds:itemID="{5CD426FE-3693-4BCE-BDA4-88BDC6595D25}">
  <ds:schemaRefs>
    <ds:schemaRef ds:uri="http://schemas.microsoft.com/office/2006/metadata/properties"/>
    <ds:schemaRef ds:uri="http://schemas.microsoft.com/office/infopath/2007/PartnerControls"/>
    <ds:schemaRef ds:uri="39c80582-ac63-4b9a-9a48-bae084d237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2022-07-12T01:04:00Z</dcterms:created>
  <dcterms:modified xsi:type="dcterms:W3CDTF">2022-07-18T01:41:00Z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0x010100DE804B07EBFF5E46A02D691123868C99</vt:lpwstr>
  </property>
</Properties>
</file>