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82915" w14:textId="45583335" w:rsidR="00BD0843" w:rsidRDefault="008B1E60">
      <w:r>
        <w:rPr>
          <w:noProof/>
        </w:rPr>
        <mc:AlternateContent>
          <mc:Choice Requires="wps">
            <w:drawing>
              <wp:anchor distT="45720" distB="45720" distL="114300" distR="114300" simplePos="0" relativeHeight="251658241" behindDoc="1" locked="0" layoutInCell="1" allowOverlap="1" wp14:anchorId="5A14CCD4" wp14:editId="6B02B5AF">
                <wp:simplePos x="0" y="0"/>
                <wp:positionH relativeFrom="page">
                  <wp:posOffset>5258259</wp:posOffset>
                </wp:positionH>
                <wp:positionV relativeFrom="paragraph">
                  <wp:posOffset>1227674</wp:posOffset>
                </wp:positionV>
                <wp:extent cx="147254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40" cy="1404620"/>
                        </a:xfrm>
                        <a:prstGeom prst="rect">
                          <a:avLst/>
                        </a:prstGeom>
                        <a:noFill/>
                        <a:ln w="9525">
                          <a:noFill/>
                          <a:miter lim="800000"/>
                          <a:headEnd/>
                          <a:tailEnd/>
                        </a:ln>
                      </wps:spPr>
                      <wps:txbx>
                        <w:txbxContent>
                          <w:p w14:paraId="6B5770DB" w14:textId="77777777" w:rsidR="00B6016B" w:rsidRPr="008B1E60" w:rsidRDefault="00B6016B" w:rsidP="00B6016B">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14CCD4" id="_x0000_t202" coordsize="21600,21600" o:spt="202" path="m,l,21600r21600,l21600,xe">
                <v:stroke joinstyle="miter"/>
                <v:path gradientshapeok="t" o:connecttype="rect"/>
              </v:shapetype>
              <v:shape id="Text Box 2" o:spid="_x0000_s1026" type="#_x0000_t202" style="position:absolute;margin-left:414.05pt;margin-top:96.65pt;width:115.95pt;height:110.6pt;z-index:-25165823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" filled="f" stroked="f">
                <v:textbox style="mso-fit-shape-to-text:t">
                  <w:txbxContent>
                    <w:p w14:paraId="6B5770DB" w14:textId="77777777" w:rsidR="00B6016B" w:rsidRPr="008B1E60" w:rsidRDefault="00B6016B" w:rsidP="00B6016B">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v:textbox>
                <w10:wrap anchorx="page"/>
              </v:shape>
            </w:pict>
          </mc:Fallback>
        </mc:AlternateContent>
      </w:r>
      <w:r>
        <w:rPr>
          <w:noProof/>
        </w:rPr>
        <mc:AlternateContent>
          <mc:Choice Requires="wps">
            <w:drawing>
              <wp:anchor distT="45720" distB="45720" distL="114300" distR="114300" simplePos="0" relativeHeight="251658240" behindDoc="0" locked="0" layoutInCell="1" allowOverlap="1" wp14:anchorId="6200DE27" wp14:editId="56576771">
                <wp:simplePos x="0" y="0"/>
                <wp:positionH relativeFrom="page">
                  <wp:posOffset>1198180</wp:posOffset>
                </wp:positionH>
                <wp:positionV relativeFrom="paragraph">
                  <wp:posOffset>1488374</wp:posOffset>
                </wp:positionV>
                <wp:extent cx="3883232" cy="127066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232" cy="1270660"/>
                        </a:xfrm>
                        <a:prstGeom prst="rect">
                          <a:avLst/>
                        </a:prstGeom>
                        <a:noFill/>
                        <a:ln w="9525">
                          <a:noFill/>
                          <a:miter lim="800000"/>
                          <a:headEnd/>
                          <a:tailEnd/>
                        </a:ln>
                      </wps:spPr>
                      <wps:txbx>
                        <w:txbxContent>
                          <w:p w14:paraId="29F2ECA1" w14:textId="30160DC3" w:rsidR="00BD0843" w:rsidRPr="008B1E60" w:rsidRDefault="00364D50">
                            <w:pPr>
                              <w:rPr>
                                <w:rFonts w:ascii="Dovetail MVB" w:hAnsi="Dovetail MVB"/>
                                <w:color w:val="FFFFFF" w:themeColor="background1"/>
                                <w:sz w:val="44"/>
                                <w:szCs w:val="44"/>
                              </w:rPr>
                            </w:pPr>
                            <w:r>
                              <w:rPr>
                                <w:rFonts w:ascii="Dovetail MVB" w:hAnsi="Dovetail MVB"/>
                                <w:color w:val="FFFFFF" w:themeColor="background1"/>
                                <w:sz w:val="44"/>
                                <w:szCs w:val="44"/>
                              </w:rPr>
                              <w:t>Evaluation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0DE27" id="_x0000_s1027" type="#_x0000_t202" style="position:absolute;margin-left:94.35pt;margin-top:117.2pt;width:305.75pt;height:100.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" filled="f" stroked="f">
                <v:textbox>
                  <w:txbxContent>
                    <w:p w14:paraId="29F2ECA1" w14:textId="30160DC3" w:rsidR="00BD0843" w:rsidRPr="008B1E60" w:rsidRDefault="00364D50">
                      <w:pPr>
                        <w:rPr>
                          <w:rFonts w:ascii="Dovetail MVB" w:hAnsi="Dovetail MVB"/>
                          <w:color w:val="FFFFFF" w:themeColor="background1"/>
                          <w:sz w:val="44"/>
                          <w:szCs w:val="44"/>
                        </w:rPr>
                      </w:pPr>
                      <w:r>
                        <w:rPr>
                          <w:rFonts w:ascii="Dovetail MVB" w:hAnsi="Dovetail MVB"/>
                          <w:color w:val="FFFFFF" w:themeColor="background1"/>
                          <w:sz w:val="44"/>
                          <w:szCs w:val="44"/>
                        </w:rPr>
                        <w:t>Evaluation Framework</w:t>
                      </w:r>
                    </w:p>
                  </w:txbxContent>
                </v:textbox>
                <w10:wrap anchorx="page"/>
              </v:shape>
            </w:pict>
          </mc:Fallback>
        </mc:AlternateContent>
      </w:r>
      <w:r w:rsidR="00BD0843">
        <w:br w:type="page"/>
      </w:r>
    </w:p>
    <w:p w14:paraId="530CCE70" w14:textId="77777777" w:rsidR="000266EA" w:rsidRDefault="000266EA" w:rsidP="00F10CE7">
      <w:pPr>
        <w:pStyle w:val="Heading1"/>
        <w:rPr>
          <w:rStyle w:val="Heading1Char"/>
        </w:rPr>
        <w:sectPr w:rsidR="000266EA" w:rsidSect="008B1E6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pPr>
    </w:p>
    <w:p w14:paraId="2D58874A" w14:textId="77777777" w:rsidR="00BD5613" w:rsidRPr="00BD5613" w:rsidRDefault="00BD5613" w:rsidP="00190BC5">
      <w:pPr>
        <w:rPr>
          <w:sz w:val="680"/>
          <w:szCs w:val="680"/>
        </w:rPr>
      </w:pPr>
    </w:p>
    <w:p w14:paraId="384AEB3D" w14:textId="3D9693FD" w:rsidR="00F81A70" w:rsidRDefault="00F81A70" w:rsidP="00190BC5">
      <w:r>
        <w:t>ISBN:</w:t>
      </w:r>
      <w:r>
        <w:rPr>
          <w:spacing w:val="-5"/>
        </w:rPr>
        <w:t xml:space="preserve"> </w:t>
      </w:r>
      <w:r w:rsidR="00970EF2">
        <w:t>978</w:t>
      </w:r>
      <w:r w:rsidRPr="6F5C764A">
        <w:t>-</w:t>
      </w:r>
      <w:r w:rsidR="00970EF2">
        <w:t>0</w:t>
      </w:r>
      <w:r w:rsidRPr="6F5C764A">
        <w:t>-</w:t>
      </w:r>
      <w:r w:rsidR="00933CF4" w:rsidRPr="00933CF4">
        <w:t>6453208</w:t>
      </w:r>
      <w:r w:rsidRPr="6F5C764A">
        <w:t>-</w:t>
      </w:r>
      <w:r w:rsidR="00933CF4">
        <w:t>7</w:t>
      </w:r>
      <w:r w:rsidRPr="6F5C764A">
        <w:t>-</w:t>
      </w:r>
      <w:r w:rsidR="00933CF4">
        <w:t>9</w:t>
      </w:r>
    </w:p>
    <w:p w14:paraId="2D2F5655" w14:textId="3BD0B7E7" w:rsidR="00F81A70" w:rsidRDefault="00F81A70" w:rsidP="00190BC5">
      <w:r>
        <w:t>©</w:t>
      </w:r>
      <w:r>
        <w:rPr>
          <w:spacing w:val="-2"/>
        </w:rPr>
        <w:t xml:space="preserve"> </w:t>
      </w:r>
      <w:r>
        <w:t>Commonwealth</w:t>
      </w:r>
      <w:r>
        <w:rPr>
          <w:spacing w:val="-2"/>
        </w:rPr>
        <w:t xml:space="preserve"> </w:t>
      </w:r>
      <w:r>
        <w:t>of Australia</w:t>
      </w:r>
      <w:r>
        <w:rPr>
          <w:spacing w:val="-3"/>
        </w:rPr>
        <w:t xml:space="preserve"> </w:t>
      </w:r>
      <w:r>
        <w:t>202</w:t>
      </w:r>
      <w:r w:rsidR="00F926F3">
        <w:t>2</w:t>
      </w:r>
    </w:p>
    <w:p w14:paraId="0C0FC62F" w14:textId="77777777" w:rsidR="00F81A70" w:rsidRDefault="00F81A70" w:rsidP="00190BC5"/>
    <w:p w14:paraId="5432C19B" w14:textId="77777777" w:rsidR="00190BC5" w:rsidRDefault="0087775C" w:rsidP="00190BC5">
      <w:r>
        <w:rPr>
          <w:noProof/>
        </w:rPr>
        <w:drawing>
          <wp:inline distT="0" distB="0" distL="0" distR="0" wp14:anchorId="72283BC1" wp14:editId="0C8955ED">
            <wp:extent cx="838200" cy="295275"/>
            <wp:effectExtent l="0" t="0" r="0" b="9525"/>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A3A2A8E" w14:textId="77777777" w:rsidR="000853AB" w:rsidRDefault="000853AB" w:rsidP="00190BC5">
      <w:r>
        <w:t>All material presented in this publication is provided under a CC Attribution-</w:t>
      </w:r>
      <w:proofErr w:type="spellStart"/>
      <w:r>
        <w:t>NonCommercial</w:t>
      </w:r>
      <w:proofErr w:type="spellEnd"/>
      <w:r>
        <w:t>-</w:t>
      </w:r>
      <w:r>
        <w:rPr>
          <w:spacing w:val="-59"/>
        </w:rPr>
        <w:t xml:space="preserve"> </w:t>
      </w:r>
      <w:proofErr w:type="spellStart"/>
      <w:r>
        <w:t>NoDerivatives</w:t>
      </w:r>
      <w:proofErr w:type="spellEnd"/>
      <w:r>
        <w:t xml:space="preserve"> 4.0 International (CC BY-NC-ND 4.0) licence </w:t>
      </w:r>
      <w:hyperlink r:id="rId15">
        <w:r>
          <w:rPr>
            <w:color w:val="0000FF"/>
            <w:u w:val="single" w:color="0000FF"/>
          </w:rPr>
          <w:t>www.creativecommons.org &gt;</w:t>
        </w:r>
      </w:hyperlink>
      <w:r>
        <w:rPr>
          <w:color w:val="0000FF"/>
          <w:spacing w:val="1"/>
        </w:rPr>
        <w:t xml:space="preserve"> </w:t>
      </w:r>
      <w:hyperlink r:id="rId16">
        <w:r>
          <w:rPr>
            <w:color w:val="0000FF"/>
            <w:u w:val="single" w:color="0000FF"/>
          </w:rPr>
          <w:t>Licenses &gt; by-</w:t>
        </w:r>
        <w:proofErr w:type="spellStart"/>
        <w:r>
          <w:rPr>
            <w:color w:val="0000FF"/>
            <w:u w:val="single" w:color="0000FF"/>
          </w:rPr>
          <w:t>nc</w:t>
        </w:r>
        <w:proofErr w:type="spellEnd"/>
        <w:r>
          <w:rPr>
            <w:color w:val="0000FF"/>
            <w:u w:val="single" w:color="0000FF"/>
          </w:rPr>
          <w:t>-</w:t>
        </w:r>
        <w:proofErr w:type="spellStart"/>
        <w:r>
          <w:rPr>
            <w:color w:val="0000FF"/>
            <w:u w:val="single" w:color="0000FF"/>
          </w:rPr>
          <w:t>nd</w:t>
        </w:r>
        <w:proofErr w:type="spellEnd"/>
        <w:r>
          <w:rPr>
            <w:color w:val="0000FF"/>
            <w:u w:val="single" w:color="0000FF"/>
          </w:rPr>
          <w:t>/4.0</w:t>
        </w:r>
        <w:r>
          <w:rPr>
            <w:color w:val="0000FF"/>
          </w:rPr>
          <w:t xml:space="preserve"> </w:t>
        </w:r>
      </w:hyperlink>
      <w:r>
        <w:t>with the exception of the Commonwealth Coat of Arms, the</w:t>
      </w:r>
      <w:r>
        <w:rPr>
          <w:spacing w:val="1"/>
        </w:rPr>
        <w:t xml:space="preserve"> </w:t>
      </w:r>
      <w:r>
        <w:t>Australian</w:t>
      </w:r>
      <w:r>
        <w:rPr>
          <w:spacing w:val="-2"/>
        </w:rPr>
        <w:t xml:space="preserve"> </w:t>
      </w:r>
      <w:r>
        <w:t>Research</w:t>
      </w:r>
      <w:r>
        <w:rPr>
          <w:spacing w:val="-1"/>
        </w:rPr>
        <w:t xml:space="preserve"> </w:t>
      </w:r>
      <w:r>
        <w:t>Council</w:t>
      </w:r>
      <w:r>
        <w:rPr>
          <w:spacing w:val="-2"/>
        </w:rPr>
        <w:t xml:space="preserve"> </w:t>
      </w:r>
      <w:r>
        <w:t>(ARC)</w:t>
      </w:r>
      <w:r>
        <w:rPr>
          <w:spacing w:val="-1"/>
        </w:rPr>
        <w:t xml:space="preserve"> </w:t>
      </w:r>
      <w:r>
        <w:t>logo,</w:t>
      </w:r>
      <w:r>
        <w:rPr>
          <w:spacing w:val="-2"/>
        </w:rPr>
        <w:t xml:space="preserve"> </w:t>
      </w:r>
      <w:r>
        <w:t>images,</w:t>
      </w:r>
      <w:r>
        <w:rPr>
          <w:spacing w:val="-3"/>
        </w:rPr>
        <w:t xml:space="preserve"> </w:t>
      </w:r>
      <w:r>
        <w:t>signatures</w:t>
      </w:r>
      <w:r>
        <w:rPr>
          <w:spacing w:val="-4"/>
        </w:rPr>
        <w:t xml:space="preserve"> </w:t>
      </w:r>
      <w:r>
        <w:t>and</w:t>
      </w:r>
      <w:r>
        <w:rPr>
          <w:spacing w:val="-2"/>
        </w:rPr>
        <w:t xml:space="preserve"> </w:t>
      </w:r>
      <w:r>
        <w:t>where</w:t>
      </w:r>
      <w:r>
        <w:rPr>
          <w:spacing w:val="-1"/>
        </w:rPr>
        <w:t xml:space="preserve"> </w:t>
      </w:r>
      <w:r>
        <w:t>otherwise</w:t>
      </w:r>
      <w:r>
        <w:rPr>
          <w:spacing w:val="-2"/>
        </w:rPr>
        <w:t xml:space="preserve"> </w:t>
      </w:r>
      <w:r>
        <w:t>stated.</w:t>
      </w:r>
    </w:p>
    <w:p w14:paraId="647F5BDB" w14:textId="77777777" w:rsidR="000853AB" w:rsidRDefault="000853AB" w:rsidP="00F81A70">
      <w:r>
        <w:t>The details of the relevant licence conditions are available on the Creative Commons</w:t>
      </w:r>
      <w:r>
        <w:rPr>
          <w:spacing w:val="1"/>
        </w:rPr>
        <w:t xml:space="preserve"> </w:t>
      </w:r>
      <w:r>
        <w:t>website as is the full legal code for the CC Attribution BY-NC-ND 4.0 licence,</w:t>
      </w:r>
      <w:r>
        <w:rPr>
          <w:spacing w:val="1"/>
        </w:rPr>
        <w:t xml:space="preserve"> </w:t>
      </w:r>
      <w:hyperlink r:id="rId17">
        <w:r>
          <w:rPr>
            <w:color w:val="0000FF"/>
            <w:u w:val="single" w:color="0000FF"/>
          </w:rPr>
          <w:t>www.creativecommons.org</w:t>
        </w:r>
        <w:r>
          <w:rPr>
            <w:color w:val="0000FF"/>
          </w:rPr>
          <w:t xml:space="preserve"> </w:t>
        </w:r>
      </w:hyperlink>
      <w:r>
        <w:t>&gt; licenses &gt; by-</w:t>
      </w:r>
      <w:proofErr w:type="spellStart"/>
      <w:r>
        <w:t>nc</w:t>
      </w:r>
      <w:proofErr w:type="spellEnd"/>
      <w:r>
        <w:t>-</w:t>
      </w:r>
      <w:proofErr w:type="spellStart"/>
      <w:r>
        <w:t>nd</w:t>
      </w:r>
      <w:proofErr w:type="spellEnd"/>
      <w:r>
        <w:t xml:space="preserve"> 4.0 legal code. Requests and enquiries</w:t>
      </w:r>
      <w:r>
        <w:rPr>
          <w:spacing w:val="-59"/>
        </w:rPr>
        <w:t xml:space="preserve"> </w:t>
      </w:r>
      <w:r>
        <w:t>regarding</w:t>
      </w:r>
      <w:r>
        <w:rPr>
          <w:spacing w:val="-1"/>
        </w:rPr>
        <w:t xml:space="preserve"> </w:t>
      </w:r>
      <w:r>
        <w:t>this</w:t>
      </w:r>
      <w:r>
        <w:rPr>
          <w:spacing w:val="1"/>
        </w:rPr>
        <w:t xml:space="preserve"> </w:t>
      </w:r>
      <w:r>
        <w:t>licence</w:t>
      </w:r>
      <w:r>
        <w:rPr>
          <w:spacing w:val="-1"/>
        </w:rPr>
        <w:t xml:space="preserve"> </w:t>
      </w:r>
      <w:r>
        <w:t>should be</w:t>
      </w:r>
      <w:r>
        <w:rPr>
          <w:spacing w:val="-1"/>
        </w:rPr>
        <w:t xml:space="preserve"> </w:t>
      </w:r>
      <w:r>
        <w:t>addressed</w:t>
      </w:r>
      <w:r>
        <w:rPr>
          <w:spacing w:val="-2"/>
        </w:rPr>
        <w:t xml:space="preserve"> </w:t>
      </w:r>
      <w:r>
        <w:t>to</w:t>
      </w:r>
      <w:r>
        <w:rPr>
          <w:spacing w:val="-1"/>
        </w:rPr>
        <w:t xml:space="preserve"> </w:t>
      </w:r>
      <w:r>
        <w:t>ARC Legal</w:t>
      </w:r>
      <w:r>
        <w:rPr>
          <w:spacing w:val="-4"/>
        </w:rPr>
        <w:t xml:space="preserve"> </w:t>
      </w:r>
      <w:r>
        <w:t>Services on</w:t>
      </w:r>
      <w:r>
        <w:rPr>
          <w:spacing w:val="-3"/>
        </w:rPr>
        <w:t xml:space="preserve"> </w:t>
      </w:r>
      <w:r>
        <w:t>+61</w:t>
      </w:r>
      <w:r>
        <w:rPr>
          <w:spacing w:val="-2"/>
        </w:rPr>
        <w:t xml:space="preserve"> </w:t>
      </w:r>
      <w:r>
        <w:t>2</w:t>
      </w:r>
      <w:r>
        <w:rPr>
          <w:spacing w:val="-1"/>
        </w:rPr>
        <w:t xml:space="preserve"> </w:t>
      </w:r>
      <w:r>
        <w:t>6287</w:t>
      </w:r>
      <w:r>
        <w:rPr>
          <w:spacing w:val="-3"/>
        </w:rPr>
        <w:t xml:space="preserve"> </w:t>
      </w:r>
      <w:r>
        <w:t>6600.</w:t>
      </w:r>
    </w:p>
    <w:p w14:paraId="04F3CB56" w14:textId="77777777" w:rsidR="00BD5613" w:rsidRDefault="00BD5613" w:rsidP="00F81A70"/>
    <w:p w14:paraId="17CC4F80" w14:textId="428A3C6D" w:rsidR="00BD5613" w:rsidRDefault="00BD5613" w:rsidP="00F81A70">
      <w:pPr>
        <w:rPr>
          <w:i/>
          <w:iCs/>
          <w:color w:val="0000FF"/>
          <w:u w:val="single" w:color="0000FF"/>
        </w:rPr>
        <w:sectPr w:rsidR="00BD5613" w:rsidSect="00CE4499">
          <w:footerReference w:type="default" r:id="rId18"/>
          <w:headerReference w:type="first" r:id="rId19"/>
          <w:footerReference w:type="first" r:id="rId20"/>
          <w:type w:val="continuous"/>
          <w:pgSz w:w="11906" w:h="16838"/>
          <w:pgMar w:top="1440" w:right="1440" w:bottom="1440" w:left="1440" w:header="708" w:footer="708" w:gutter="0"/>
          <w:pgNumType w:start="2"/>
          <w:cols w:space="708"/>
          <w:titlePg/>
          <w:docGrid w:linePitch="360"/>
        </w:sectPr>
      </w:pPr>
      <w:r w:rsidRPr="00BD5613">
        <w:rPr>
          <w:i/>
          <w:iCs/>
        </w:rPr>
        <w:t xml:space="preserve">Cover image: Blue Soap </w:t>
      </w:r>
      <w:proofErr w:type="gramStart"/>
      <w:r w:rsidRPr="00BD5613">
        <w:rPr>
          <w:i/>
          <w:iCs/>
        </w:rPr>
        <w:t>Bubbles .</w:t>
      </w:r>
      <w:proofErr w:type="gramEnd"/>
      <w:r w:rsidRPr="00BD5613">
        <w:rPr>
          <w:i/>
          <w:iCs/>
        </w:rPr>
        <w:t xml:space="preserve"> iStock.com / </w:t>
      </w:r>
      <w:hyperlink r:id="rId21" w:history="1">
        <w:proofErr w:type="spellStart"/>
        <w:r w:rsidRPr="00BD5613">
          <w:rPr>
            <w:i/>
            <w:iCs/>
            <w:color w:val="0000FF"/>
            <w:u w:val="single" w:color="0000FF"/>
          </w:rPr>
          <w:t>ThomasVogel</w:t>
        </w:r>
        <w:proofErr w:type="spellEnd"/>
      </w:hyperlink>
      <w:r w:rsidR="00895031">
        <w:rPr>
          <w:i/>
          <w:iCs/>
          <w:color w:val="0000FF"/>
          <w:u w:val="single" w:color="0000FF"/>
        </w:rPr>
        <w:t>.</w:t>
      </w:r>
    </w:p>
    <w:p w14:paraId="17084581" w14:textId="77777777" w:rsidR="00364D50" w:rsidRDefault="00364D50">
      <w:pPr>
        <w:spacing w:before="0" w:after="200" w:line="276" w:lineRule="auto"/>
        <w:rPr>
          <w:rStyle w:val="Heading1Char"/>
          <w:bCs w:val="0"/>
        </w:rPr>
      </w:pPr>
      <w:r>
        <w:rPr>
          <w:rStyle w:val="Heading1Char"/>
        </w:rPr>
        <w:br w:type="page"/>
      </w:r>
    </w:p>
    <w:sdt>
      <w:sdtPr>
        <w:rPr>
          <w:rFonts w:ascii="Solitaire MVB Pro Sm Lt" w:eastAsiaTheme="minorEastAsia" w:hAnsi="Solitaire MVB Pro Sm Lt" w:cstheme="minorBidi"/>
          <w:bCs w:val="0"/>
          <w:color w:val="auto"/>
          <w:sz w:val="22"/>
          <w:szCs w:val="22"/>
        </w:rPr>
        <w:id w:val="1625043843"/>
        <w:docPartObj>
          <w:docPartGallery w:val="Table of Contents"/>
          <w:docPartUnique/>
        </w:docPartObj>
      </w:sdtPr>
      <w:sdtEndPr>
        <w:rPr>
          <w:b/>
          <w:noProof/>
        </w:rPr>
      </w:sdtEndPr>
      <w:sdtContent>
        <w:p w14:paraId="6621592B" w14:textId="3C55536E" w:rsidR="005D3E26" w:rsidRDefault="005D3E26">
          <w:pPr>
            <w:pStyle w:val="TOCHeading"/>
          </w:pPr>
          <w:r>
            <w:t>Contents</w:t>
          </w:r>
        </w:p>
        <w:p w14:paraId="2CE9E9F7" w14:textId="40F42518" w:rsidR="00CE4499" w:rsidRDefault="005D3E26">
          <w:pPr>
            <w:pStyle w:val="TOC1"/>
            <w:tabs>
              <w:tab w:val="right" w:leader="dot" w:pos="9016"/>
            </w:tabs>
            <w:rPr>
              <w:rFonts w:asciiTheme="minorHAnsi" w:hAnsiTheme="minorHAnsi"/>
              <w:noProof/>
              <w:lang w:eastAsia="en-AU"/>
            </w:rPr>
          </w:pPr>
          <w:r>
            <w:fldChar w:fldCharType="begin"/>
          </w:r>
          <w:r>
            <w:instrText xml:space="preserve"> TOC \o "1-3" \h \z \u </w:instrText>
          </w:r>
          <w:r>
            <w:fldChar w:fldCharType="separate"/>
          </w:r>
          <w:hyperlink w:anchor="_Toc111458063" w:history="1">
            <w:r w:rsidR="00CE4499" w:rsidRPr="00B4619F">
              <w:rPr>
                <w:rStyle w:val="Hyperlink"/>
                <w:noProof/>
              </w:rPr>
              <w:t>ERA 2023 Evaluation Framework</w:t>
            </w:r>
            <w:r w:rsidR="00CE4499">
              <w:rPr>
                <w:noProof/>
                <w:webHidden/>
              </w:rPr>
              <w:tab/>
            </w:r>
            <w:r w:rsidR="00CE4499">
              <w:rPr>
                <w:noProof/>
                <w:webHidden/>
              </w:rPr>
              <w:fldChar w:fldCharType="begin"/>
            </w:r>
            <w:r w:rsidR="00CE4499">
              <w:rPr>
                <w:noProof/>
                <w:webHidden/>
              </w:rPr>
              <w:instrText xml:space="preserve"> PAGEREF _Toc111458063 \h </w:instrText>
            </w:r>
            <w:r w:rsidR="00CE4499">
              <w:rPr>
                <w:noProof/>
                <w:webHidden/>
              </w:rPr>
            </w:r>
            <w:r w:rsidR="00CE4499">
              <w:rPr>
                <w:noProof/>
                <w:webHidden/>
              </w:rPr>
              <w:fldChar w:fldCharType="separate"/>
            </w:r>
            <w:r w:rsidR="00CE4499">
              <w:rPr>
                <w:noProof/>
                <w:webHidden/>
              </w:rPr>
              <w:t>4</w:t>
            </w:r>
            <w:r w:rsidR="00CE4499">
              <w:rPr>
                <w:noProof/>
                <w:webHidden/>
              </w:rPr>
              <w:fldChar w:fldCharType="end"/>
            </w:r>
          </w:hyperlink>
        </w:p>
        <w:p w14:paraId="24C17097" w14:textId="23EDAC9A" w:rsidR="00CE4499" w:rsidRDefault="006C3E46">
          <w:pPr>
            <w:pStyle w:val="TOC2"/>
            <w:tabs>
              <w:tab w:val="right" w:leader="dot" w:pos="9016"/>
            </w:tabs>
            <w:rPr>
              <w:rFonts w:asciiTheme="minorHAnsi" w:hAnsiTheme="minorHAnsi"/>
              <w:noProof/>
              <w:lang w:eastAsia="en-AU"/>
            </w:rPr>
          </w:pPr>
          <w:hyperlink w:anchor="_Toc111458064" w:history="1">
            <w:r w:rsidR="00CE4499" w:rsidRPr="00B4619F">
              <w:rPr>
                <w:rStyle w:val="Hyperlink"/>
                <w:noProof/>
              </w:rPr>
              <w:t>Introduction</w:t>
            </w:r>
            <w:r w:rsidR="00CE4499">
              <w:rPr>
                <w:noProof/>
                <w:webHidden/>
              </w:rPr>
              <w:tab/>
            </w:r>
            <w:r w:rsidR="00CE4499">
              <w:rPr>
                <w:noProof/>
                <w:webHidden/>
              </w:rPr>
              <w:fldChar w:fldCharType="begin"/>
            </w:r>
            <w:r w:rsidR="00CE4499">
              <w:rPr>
                <w:noProof/>
                <w:webHidden/>
              </w:rPr>
              <w:instrText xml:space="preserve"> PAGEREF _Toc111458064 \h </w:instrText>
            </w:r>
            <w:r w:rsidR="00CE4499">
              <w:rPr>
                <w:noProof/>
                <w:webHidden/>
              </w:rPr>
            </w:r>
            <w:r w:rsidR="00CE4499">
              <w:rPr>
                <w:noProof/>
                <w:webHidden/>
              </w:rPr>
              <w:fldChar w:fldCharType="separate"/>
            </w:r>
            <w:r w:rsidR="00CE4499">
              <w:rPr>
                <w:noProof/>
                <w:webHidden/>
              </w:rPr>
              <w:t>4</w:t>
            </w:r>
            <w:r w:rsidR="00CE4499">
              <w:rPr>
                <w:noProof/>
                <w:webHidden/>
              </w:rPr>
              <w:fldChar w:fldCharType="end"/>
            </w:r>
          </w:hyperlink>
        </w:p>
        <w:p w14:paraId="2C090BC0" w14:textId="55FF3444" w:rsidR="00CE4499" w:rsidRDefault="006C3E46">
          <w:pPr>
            <w:pStyle w:val="TOC2"/>
            <w:tabs>
              <w:tab w:val="right" w:leader="dot" w:pos="9016"/>
            </w:tabs>
            <w:rPr>
              <w:rFonts w:asciiTheme="minorHAnsi" w:hAnsiTheme="minorHAnsi"/>
              <w:noProof/>
              <w:lang w:eastAsia="en-AU"/>
            </w:rPr>
          </w:pPr>
          <w:hyperlink w:anchor="_Toc111458065" w:history="1">
            <w:r w:rsidR="00CE4499" w:rsidRPr="00B4619F">
              <w:rPr>
                <w:rStyle w:val="Hyperlink"/>
                <w:noProof/>
              </w:rPr>
              <w:t>Evaluation Framework</w:t>
            </w:r>
            <w:r w:rsidR="00CE4499">
              <w:rPr>
                <w:noProof/>
                <w:webHidden/>
              </w:rPr>
              <w:tab/>
            </w:r>
            <w:r w:rsidR="00CE4499">
              <w:rPr>
                <w:noProof/>
                <w:webHidden/>
              </w:rPr>
              <w:fldChar w:fldCharType="begin"/>
            </w:r>
            <w:r w:rsidR="00CE4499">
              <w:rPr>
                <w:noProof/>
                <w:webHidden/>
              </w:rPr>
              <w:instrText xml:space="preserve"> PAGEREF _Toc111458065 \h </w:instrText>
            </w:r>
            <w:r w:rsidR="00CE4499">
              <w:rPr>
                <w:noProof/>
                <w:webHidden/>
              </w:rPr>
            </w:r>
            <w:r w:rsidR="00CE4499">
              <w:rPr>
                <w:noProof/>
                <w:webHidden/>
              </w:rPr>
              <w:fldChar w:fldCharType="separate"/>
            </w:r>
            <w:r w:rsidR="00CE4499">
              <w:rPr>
                <w:noProof/>
                <w:webHidden/>
              </w:rPr>
              <w:t>5</w:t>
            </w:r>
            <w:r w:rsidR="00CE4499">
              <w:rPr>
                <w:noProof/>
                <w:webHidden/>
              </w:rPr>
              <w:fldChar w:fldCharType="end"/>
            </w:r>
          </w:hyperlink>
        </w:p>
        <w:p w14:paraId="721495BF" w14:textId="6CF0DE44" w:rsidR="00CE4499" w:rsidRDefault="006C3E46">
          <w:pPr>
            <w:pStyle w:val="TOC2"/>
            <w:tabs>
              <w:tab w:val="right" w:leader="dot" w:pos="9016"/>
            </w:tabs>
            <w:rPr>
              <w:rFonts w:asciiTheme="minorHAnsi" w:hAnsiTheme="minorHAnsi"/>
              <w:noProof/>
              <w:lang w:eastAsia="en-AU"/>
            </w:rPr>
          </w:pPr>
          <w:hyperlink w:anchor="_Toc111458066" w:history="1">
            <w:r w:rsidR="00CE4499" w:rsidRPr="00B4619F">
              <w:rPr>
                <w:rStyle w:val="Hyperlink"/>
                <w:noProof/>
              </w:rPr>
              <w:t>ERA 2023</w:t>
            </w:r>
            <w:r w:rsidR="00CE4499">
              <w:rPr>
                <w:noProof/>
                <w:webHidden/>
              </w:rPr>
              <w:tab/>
            </w:r>
            <w:r w:rsidR="00CE4499">
              <w:rPr>
                <w:noProof/>
                <w:webHidden/>
              </w:rPr>
              <w:fldChar w:fldCharType="begin"/>
            </w:r>
            <w:r w:rsidR="00CE4499">
              <w:rPr>
                <w:noProof/>
                <w:webHidden/>
              </w:rPr>
              <w:instrText xml:space="preserve"> PAGEREF _Toc111458066 \h </w:instrText>
            </w:r>
            <w:r w:rsidR="00CE4499">
              <w:rPr>
                <w:noProof/>
                <w:webHidden/>
              </w:rPr>
            </w:r>
            <w:r w:rsidR="00CE4499">
              <w:rPr>
                <w:noProof/>
                <w:webHidden/>
              </w:rPr>
              <w:fldChar w:fldCharType="separate"/>
            </w:r>
            <w:r w:rsidR="00CE4499">
              <w:rPr>
                <w:noProof/>
                <w:webHidden/>
              </w:rPr>
              <w:t>5</w:t>
            </w:r>
            <w:r w:rsidR="00CE4499">
              <w:rPr>
                <w:noProof/>
                <w:webHidden/>
              </w:rPr>
              <w:fldChar w:fldCharType="end"/>
            </w:r>
          </w:hyperlink>
        </w:p>
        <w:p w14:paraId="1AC1A7CA" w14:textId="10490412" w:rsidR="00CE4499" w:rsidRDefault="006C3E46">
          <w:pPr>
            <w:pStyle w:val="TOC3"/>
            <w:tabs>
              <w:tab w:val="right" w:leader="dot" w:pos="9016"/>
            </w:tabs>
            <w:rPr>
              <w:rFonts w:asciiTheme="minorHAnsi" w:hAnsiTheme="minorHAnsi"/>
              <w:noProof/>
              <w:lang w:eastAsia="en-AU"/>
            </w:rPr>
          </w:pPr>
          <w:hyperlink w:anchor="_Toc111458067" w:history="1">
            <w:r w:rsidR="00CE4499" w:rsidRPr="00B4619F">
              <w:rPr>
                <w:rStyle w:val="Hyperlink"/>
                <w:noProof/>
              </w:rPr>
              <w:t>Rating Scale</w:t>
            </w:r>
            <w:r w:rsidR="00CE4499">
              <w:rPr>
                <w:noProof/>
                <w:webHidden/>
              </w:rPr>
              <w:tab/>
            </w:r>
            <w:r w:rsidR="00CE4499">
              <w:rPr>
                <w:noProof/>
                <w:webHidden/>
              </w:rPr>
              <w:fldChar w:fldCharType="begin"/>
            </w:r>
            <w:r w:rsidR="00CE4499">
              <w:rPr>
                <w:noProof/>
                <w:webHidden/>
              </w:rPr>
              <w:instrText xml:space="preserve"> PAGEREF _Toc111458067 \h </w:instrText>
            </w:r>
            <w:r w:rsidR="00CE4499">
              <w:rPr>
                <w:noProof/>
                <w:webHidden/>
              </w:rPr>
            </w:r>
            <w:r w:rsidR="00CE4499">
              <w:rPr>
                <w:noProof/>
                <w:webHidden/>
              </w:rPr>
              <w:fldChar w:fldCharType="separate"/>
            </w:r>
            <w:r w:rsidR="00CE4499">
              <w:rPr>
                <w:noProof/>
                <w:webHidden/>
              </w:rPr>
              <w:t>5</w:t>
            </w:r>
            <w:r w:rsidR="00CE4499">
              <w:rPr>
                <w:noProof/>
                <w:webHidden/>
              </w:rPr>
              <w:fldChar w:fldCharType="end"/>
            </w:r>
          </w:hyperlink>
        </w:p>
        <w:p w14:paraId="124EBD56" w14:textId="32A27A49" w:rsidR="00CE4499" w:rsidRDefault="006C3E46">
          <w:pPr>
            <w:pStyle w:val="TOC3"/>
            <w:tabs>
              <w:tab w:val="right" w:leader="dot" w:pos="9016"/>
            </w:tabs>
            <w:rPr>
              <w:rFonts w:asciiTheme="minorHAnsi" w:hAnsiTheme="minorHAnsi"/>
              <w:noProof/>
              <w:lang w:eastAsia="en-AU"/>
            </w:rPr>
          </w:pPr>
          <w:hyperlink w:anchor="_Toc111458068" w:history="1">
            <w:r w:rsidR="00CE4499" w:rsidRPr="00B4619F">
              <w:rPr>
                <w:rStyle w:val="Hyperlink"/>
                <w:noProof/>
              </w:rPr>
              <w:t>Dual Methodologies</w:t>
            </w:r>
            <w:r w:rsidR="00CE4499">
              <w:rPr>
                <w:noProof/>
                <w:webHidden/>
              </w:rPr>
              <w:tab/>
            </w:r>
            <w:r w:rsidR="00CE4499">
              <w:rPr>
                <w:noProof/>
                <w:webHidden/>
              </w:rPr>
              <w:fldChar w:fldCharType="begin"/>
            </w:r>
            <w:r w:rsidR="00CE4499">
              <w:rPr>
                <w:noProof/>
                <w:webHidden/>
              </w:rPr>
              <w:instrText xml:space="preserve"> PAGEREF _Toc111458068 \h </w:instrText>
            </w:r>
            <w:r w:rsidR="00CE4499">
              <w:rPr>
                <w:noProof/>
                <w:webHidden/>
              </w:rPr>
            </w:r>
            <w:r w:rsidR="00CE4499">
              <w:rPr>
                <w:noProof/>
                <w:webHidden/>
              </w:rPr>
              <w:fldChar w:fldCharType="separate"/>
            </w:r>
            <w:r w:rsidR="00CE4499">
              <w:rPr>
                <w:noProof/>
                <w:webHidden/>
              </w:rPr>
              <w:t>5</w:t>
            </w:r>
            <w:r w:rsidR="00CE4499">
              <w:rPr>
                <w:noProof/>
                <w:webHidden/>
              </w:rPr>
              <w:fldChar w:fldCharType="end"/>
            </w:r>
          </w:hyperlink>
        </w:p>
        <w:p w14:paraId="71C2549F" w14:textId="71DA58E8" w:rsidR="00CE4499" w:rsidRDefault="006C3E46">
          <w:pPr>
            <w:pStyle w:val="TOC3"/>
            <w:tabs>
              <w:tab w:val="right" w:leader="dot" w:pos="9016"/>
            </w:tabs>
            <w:rPr>
              <w:rFonts w:asciiTheme="minorHAnsi" w:hAnsiTheme="minorHAnsi"/>
              <w:noProof/>
              <w:lang w:eastAsia="en-AU"/>
            </w:rPr>
          </w:pPr>
          <w:hyperlink w:anchor="_Toc111458069" w:history="1">
            <w:r w:rsidR="00CE4499" w:rsidRPr="00B4619F">
              <w:rPr>
                <w:rStyle w:val="Hyperlink"/>
                <w:noProof/>
              </w:rPr>
              <w:t>Key Quality Indicators</w:t>
            </w:r>
            <w:r w:rsidR="00CE4499">
              <w:rPr>
                <w:noProof/>
                <w:webHidden/>
              </w:rPr>
              <w:tab/>
            </w:r>
            <w:r w:rsidR="00CE4499">
              <w:rPr>
                <w:noProof/>
                <w:webHidden/>
              </w:rPr>
              <w:fldChar w:fldCharType="begin"/>
            </w:r>
            <w:r w:rsidR="00CE4499">
              <w:rPr>
                <w:noProof/>
                <w:webHidden/>
              </w:rPr>
              <w:instrText xml:space="preserve"> PAGEREF _Toc111458069 \h </w:instrText>
            </w:r>
            <w:r w:rsidR="00CE4499">
              <w:rPr>
                <w:noProof/>
                <w:webHidden/>
              </w:rPr>
            </w:r>
            <w:r w:rsidR="00CE4499">
              <w:rPr>
                <w:noProof/>
                <w:webHidden/>
              </w:rPr>
              <w:fldChar w:fldCharType="separate"/>
            </w:r>
            <w:r w:rsidR="00CE4499">
              <w:rPr>
                <w:noProof/>
                <w:webHidden/>
              </w:rPr>
              <w:t>5</w:t>
            </w:r>
            <w:r w:rsidR="00CE4499">
              <w:rPr>
                <w:noProof/>
                <w:webHidden/>
              </w:rPr>
              <w:fldChar w:fldCharType="end"/>
            </w:r>
          </w:hyperlink>
        </w:p>
        <w:p w14:paraId="4735436F" w14:textId="6F058E76" w:rsidR="00CE4499" w:rsidRDefault="006C3E46">
          <w:pPr>
            <w:pStyle w:val="TOC3"/>
            <w:tabs>
              <w:tab w:val="right" w:leader="dot" w:pos="9016"/>
            </w:tabs>
            <w:rPr>
              <w:rFonts w:asciiTheme="minorHAnsi" w:hAnsiTheme="minorHAnsi"/>
              <w:noProof/>
              <w:lang w:eastAsia="en-AU"/>
            </w:rPr>
          </w:pPr>
          <w:hyperlink w:anchor="_Toc111458070" w:history="1">
            <w:r w:rsidR="00CE4499" w:rsidRPr="00B4619F">
              <w:rPr>
                <w:rStyle w:val="Hyperlink"/>
                <w:noProof/>
              </w:rPr>
              <w:t>Calibration</w:t>
            </w:r>
            <w:r w:rsidR="00CE4499">
              <w:rPr>
                <w:noProof/>
                <w:webHidden/>
              </w:rPr>
              <w:tab/>
            </w:r>
            <w:r w:rsidR="00CE4499">
              <w:rPr>
                <w:noProof/>
                <w:webHidden/>
              </w:rPr>
              <w:fldChar w:fldCharType="begin"/>
            </w:r>
            <w:r w:rsidR="00CE4499">
              <w:rPr>
                <w:noProof/>
                <w:webHidden/>
              </w:rPr>
              <w:instrText xml:space="preserve"> PAGEREF _Toc111458070 \h </w:instrText>
            </w:r>
            <w:r w:rsidR="00CE4499">
              <w:rPr>
                <w:noProof/>
                <w:webHidden/>
              </w:rPr>
            </w:r>
            <w:r w:rsidR="00CE4499">
              <w:rPr>
                <w:noProof/>
                <w:webHidden/>
              </w:rPr>
              <w:fldChar w:fldCharType="separate"/>
            </w:r>
            <w:r w:rsidR="00CE4499">
              <w:rPr>
                <w:noProof/>
                <w:webHidden/>
              </w:rPr>
              <w:t>6</w:t>
            </w:r>
            <w:r w:rsidR="00CE4499">
              <w:rPr>
                <w:noProof/>
                <w:webHidden/>
              </w:rPr>
              <w:fldChar w:fldCharType="end"/>
            </w:r>
          </w:hyperlink>
        </w:p>
        <w:p w14:paraId="6168D3E9" w14:textId="7EA21EB5" w:rsidR="00CE4499" w:rsidRDefault="006C3E46">
          <w:pPr>
            <w:pStyle w:val="TOC3"/>
            <w:tabs>
              <w:tab w:val="right" w:leader="dot" w:pos="9016"/>
            </w:tabs>
            <w:rPr>
              <w:rFonts w:asciiTheme="minorHAnsi" w:hAnsiTheme="minorHAnsi"/>
              <w:noProof/>
              <w:lang w:eastAsia="en-AU"/>
            </w:rPr>
          </w:pPr>
          <w:hyperlink w:anchor="_Toc111458071" w:history="1">
            <w:r w:rsidR="00CE4499" w:rsidRPr="00B4619F">
              <w:rPr>
                <w:rStyle w:val="Hyperlink"/>
                <w:noProof/>
              </w:rPr>
              <w:t>Indigenous studies</w:t>
            </w:r>
            <w:r w:rsidR="00CE4499">
              <w:rPr>
                <w:noProof/>
                <w:webHidden/>
              </w:rPr>
              <w:tab/>
            </w:r>
            <w:r w:rsidR="00CE4499">
              <w:rPr>
                <w:noProof/>
                <w:webHidden/>
              </w:rPr>
              <w:fldChar w:fldCharType="begin"/>
            </w:r>
            <w:r w:rsidR="00CE4499">
              <w:rPr>
                <w:noProof/>
                <w:webHidden/>
              </w:rPr>
              <w:instrText xml:space="preserve"> PAGEREF _Toc111458071 \h </w:instrText>
            </w:r>
            <w:r w:rsidR="00CE4499">
              <w:rPr>
                <w:noProof/>
                <w:webHidden/>
              </w:rPr>
            </w:r>
            <w:r w:rsidR="00CE4499">
              <w:rPr>
                <w:noProof/>
                <w:webHidden/>
              </w:rPr>
              <w:fldChar w:fldCharType="separate"/>
            </w:r>
            <w:r w:rsidR="00CE4499">
              <w:rPr>
                <w:noProof/>
                <w:webHidden/>
              </w:rPr>
              <w:t>6</w:t>
            </w:r>
            <w:r w:rsidR="00CE4499">
              <w:rPr>
                <w:noProof/>
                <w:webHidden/>
              </w:rPr>
              <w:fldChar w:fldCharType="end"/>
            </w:r>
          </w:hyperlink>
        </w:p>
        <w:p w14:paraId="0D9682A4" w14:textId="65D3CD1E" w:rsidR="00CE4499" w:rsidRDefault="006C3E46">
          <w:pPr>
            <w:pStyle w:val="TOC2"/>
            <w:tabs>
              <w:tab w:val="right" w:leader="dot" w:pos="9016"/>
            </w:tabs>
            <w:rPr>
              <w:rFonts w:asciiTheme="minorHAnsi" w:hAnsiTheme="minorHAnsi"/>
              <w:noProof/>
              <w:lang w:eastAsia="en-AU"/>
            </w:rPr>
          </w:pPr>
          <w:hyperlink w:anchor="_Toc111458072" w:history="1">
            <w:r w:rsidR="00CE4499" w:rsidRPr="00B4619F">
              <w:rPr>
                <w:rStyle w:val="Hyperlink"/>
                <w:noProof/>
              </w:rPr>
              <w:t>Post-ERA 2023 Pilot</w:t>
            </w:r>
            <w:r w:rsidR="00CE4499">
              <w:rPr>
                <w:noProof/>
                <w:webHidden/>
              </w:rPr>
              <w:tab/>
            </w:r>
            <w:r w:rsidR="00CE4499">
              <w:rPr>
                <w:noProof/>
                <w:webHidden/>
              </w:rPr>
              <w:fldChar w:fldCharType="begin"/>
            </w:r>
            <w:r w:rsidR="00CE4499">
              <w:rPr>
                <w:noProof/>
                <w:webHidden/>
              </w:rPr>
              <w:instrText xml:space="preserve"> PAGEREF _Toc111458072 \h </w:instrText>
            </w:r>
            <w:r w:rsidR="00CE4499">
              <w:rPr>
                <w:noProof/>
                <w:webHidden/>
              </w:rPr>
            </w:r>
            <w:r w:rsidR="00CE4499">
              <w:rPr>
                <w:noProof/>
                <w:webHidden/>
              </w:rPr>
              <w:fldChar w:fldCharType="separate"/>
            </w:r>
            <w:r w:rsidR="00CE4499">
              <w:rPr>
                <w:noProof/>
                <w:webHidden/>
              </w:rPr>
              <w:t>6</w:t>
            </w:r>
            <w:r w:rsidR="00CE4499">
              <w:rPr>
                <w:noProof/>
                <w:webHidden/>
              </w:rPr>
              <w:fldChar w:fldCharType="end"/>
            </w:r>
          </w:hyperlink>
        </w:p>
        <w:p w14:paraId="621E7DC1" w14:textId="5F93DC05" w:rsidR="00CE4499" w:rsidRDefault="006C3E46">
          <w:pPr>
            <w:pStyle w:val="TOC3"/>
            <w:tabs>
              <w:tab w:val="right" w:leader="dot" w:pos="9016"/>
            </w:tabs>
            <w:rPr>
              <w:rFonts w:asciiTheme="minorHAnsi" w:hAnsiTheme="minorHAnsi"/>
              <w:noProof/>
              <w:lang w:eastAsia="en-AU"/>
            </w:rPr>
          </w:pPr>
          <w:hyperlink w:anchor="_Toc111458073" w:history="1">
            <w:r w:rsidR="00CE4499" w:rsidRPr="00B4619F">
              <w:rPr>
                <w:rStyle w:val="Hyperlink"/>
                <w:noProof/>
              </w:rPr>
              <w:t>Methodology</w:t>
            </w:r>
            <w:r w:rsidR="00CE4499">
              <w:rPr>
                <w:noProof/>
                <w:webHidden/>
              </w:rPr>
              <w:tab/>
            </w:r>
            <w:r w:rsidR="00CE4499">
              <w:rPr>
                <w:noProof/>
                <w:webHidden/>
              </w:rPr>
              <w:fldChar w:fldCharType="begin"/>
            </w:r>
            <w:r w:rsidR="00CE4499">
              <w:rPr>
                <w:noProof/>
                <w:webHidden/>
              </w:rPr>
              <w:instrText xml:space="preserve"> PAGEREF _Toc111458073 \h </w:instrText>
            </w:r>
            <w:r w:rsidR="00CE4499">
              <w:rPr>
                <w:noProof/>
                <w:webHidden/>
              </w:rPr>
            </w:r>
            <w:r w:rsidR="00CE4499">
              <w:rPr>
                <w:noProof/>
                <w:webHidden/>
              </w:rPr>
              <w:fldChar w:fldCharType="separate"/>
            </w:r>
            <w:r w:rsidR="00CE4499">
              <w:rPr>
                <w:noProof/>
                <w:webHidden/>
              </w:rPr>
              <w:t>6</w:t>
            </w:r>
            <w:r w:rsidR="00CE4499">
              <w:rPr>
                <w:noProof/>
                <w:webHidden/>
              </w:rPr>
              <w:fldChar w:fldCharType="end"/>
            </w:r>
          </w:hyperlink>
        </w:p>
        <w:p w14:paraId="46CB4D73" w14:textId="267821C5" w:rsidR="00CE4499" w:rsidRDefault="006C3E46">
          <w:pPr>
            <w:pStyle w:val="TOC1"/>
            <w:tabs>
              <w:tab w:val="right" w:leader="dot" w:pos="9016"/>
            </w:tabs>
            <w:rPr>
              <w:rFonts w:asciiTheme="minorHAnsi" w:hAnsiTheme="minorHAnsi"/>
              <w:noProof/>
              <w:lang w:eastAsia="en-AU"/>
            </w:rPr>
          </w:pPr>
          <w:hyperlink w:anchor="_Toc111458074" w:history="1">
            <w:r w:rsidR="00CE4499" w:rsidRPr="00B4619F">
              <w:rPr>
                <w:rStyle w:val="Hyperlink"/>
                <w:noProof/>
              </w:rPr>
              <w:t>Appendix A – Rating Scales</w:t>
            </w:r>
            <w:r w:rsidR="00CE4499">
              <w:rPr>
                <w:noProof/>
                <w:webHidden/>
              </w:rPr>
              <w:tab/>
            </w:r>
            <w:r w:rsidR="00CE4499">
              <w:rPr>
                <w:noProof/>
                <w:webHidden/>
              </w:rPr>
              <w:fldChar w:fldCharType="begin"/>
            </w:r>
            <w:r w:rsidR="00CE4499">
              <w:rPr>
                <w:noProof/>
                <w:webHidden/>
              </w:rPr>
              <w:instrText xml:space="preserve"> PAGEREF _Toc111458074 \h </w:instrText>
            </w:r>
            <w:r w:rsidR="00CE4499">
              <w:rPr>
                <w:noProof/>
                <w:webHidden/>
              </w:rPr>
            </w:r>
            <w:r w:rsidR="00CE4499">
              <w:rPr>
                <w:noProof/>
                <w:webHidden/>
              </w:rPr>
              <w:fldChar w:fldCharType="separate"/>
            </w:r>
            <w:r w:rsidR="00CE4499">
              <w:rPr>
                <w:noProof/>
                <w:webHidden/>
              </w:rPr>
              <w:t>8</w:t>
            </w:r>
            <w:r w:rsidR="00CE4499">
              <w:rPr>
                <w:noProof/>
                <w:webHidden/>
              </w:rPr>
              <w:fldChar w:fldCharType="end"/>
            </w:r>
          </w:hyperlink>
        </w:p>
        <w:p w14:paraId="006703AE" w14:textId="02BDAAA4" w:rsidR="00CE4499" w:rsidRDefault="006C3E46">
          <w:pPr>
            <w:pStyle w:val="TOC1"/>
            <w:tabs>
              <w:tab w:val="right" w:leader="dot" w:pos="9016"/>
            </w:tabs>
            <w:rPr>
              <w:rFonts w:asciiTheme="minorHAnsi" w:hAnsiTheme="minorHAnsi"/>
              <w:noProof/>
              <w:lang w:eastAsia="en-AU"/>
            </w:rPr>
          </w:pPr>
          <w:hyperlink w:anchor="_Toc111458075" w:history="1">
            <w:r w:rsidR="00CE4499" w:rsidRPr="00B4619F">
              <w:rPr>
                <w:rStyle w:val="Hyperlink"/>
                <w:rFonts w:eastAsia="Calibri"/>
                <w:noProof/>
              </w:rPr>
              <w:t>Appendix B – ERA 2023 Citation Metrics</w:t>
            </w:r>
            <w:r w:rsidR="00CE4499">
              <w:rPr>
                <w:noProof/>
                <w:webHidden/>
              </w:rPr>
              <w:tab/>
            </w:r>
            <w:r w:rsidR="00CE4499">
              <w:rPr>
                <w:noProof/>
                <w:webHidden/>
              </w:rPr>
              <w:fldChar w:fldCharType="begin"/>
            </w:r>
            <w:r w:rsidR="00CE4499">
              <w:rPr>
                <w:noProof/>
                <w:webHidden/>
              </w:rPr>
              <w:instrText xml:space="preserve"> PAGEREF _Toc111458075 \h </w:instrText>
            </w:r>
            <w:r w:rsidR="00CE4499">
              <w:rPr>
                <w:noProof/>
                <w:webHidden/>
              </w:rPr>
            </w:r>
            <w:r w:rsidR="00CE4499">
              <w:rPr>
                <w:noProof/>
                <w:webHidden/>
              </w:rPr>
              <w:fldChar w:fldCharType="separate"/>
            </w:r>
            <w:r w:rsidR="00CE4499">
              <w:rPr>
                <w:noProof/>
                <w:webHidden/>
              </w:rPr>
              <w:t>9</w:t>
            </w:r>
            <w:r w:rsidR="00CE4499">
              <w:rPr>
                <w:noProof/>
                <w:webHidden/>
              </w:rPr>
              <w:fldChar w:fldCharType="end"/>
            </w:r>
          </w:hyperlink>
        </w:p>
        <w:p w14:paraId="0B04E7F5" w14:textId="3C6E49D5" w:rsidR="00CE4499" w:rsidRDefault="006C3E46">
          <w:pPr>
            <w:pStyle w:val="TOC1"/>
            <w:tabs>
              <w:tab w:val="right" w:leader="dot" w:pos="9016"/>
            </w:tabs>
            <w:rPr>
              <w:rFonts w:asciiTheme="minorHAnsi" w:hAnsiTheme="minorHAnsi"/>
              <w:noProof/>
              <w:lang w:eastAsia="en-AU"/>
            </w:rPr>
          </w:pPr>
          <w:hyperlink w:anchor="_Toc111458076" w:history="1">
            <w:r w:rsidR="00CE4499" w:rsidRPr="00B4619F">
              <w:rPr>
                <w:rStyle w:val="Hyperlink"/>
                <w:rFonts w:eastAsia="Calibri"/>
                <w:noProof/>
              </w:rPr>
              <w:t>Appendix C – ERA 2023 process</w:t>
            </w:r>
            <w:r w:rsidR="00CE4499">
              <w:rPr>
                <w:noProof/>
                <w:webHidden/>
              </w:rPr>
              <w:tab/>
            </w:r>
            <w:r w:rsidR="00CE4499">
              <w:rPr>
                <w:noProof/>
                <w:webHidden/>
              </w:rPr>
              <w:fldChar w:fldCharType="begin"/>
            </w:r>
            <w:r w:rsidR="00CE4499">
              <w:rPr>
                <w:noProof/>
                <w:webHidden/>
              </w:rPr>
              <w:instrText xml:space="preserve"> PAGEREF _Toc111458076 \h </w:instrText>
            </w:r>
            <w:r w:rsidR="00CE4499">
              <w:rPr>
                <w:noProof/>
                <w:webHidden/>
              </w:rPr>
            </w:r>
            <w:r w:rsidR="00CE4499">
              <w:rPr>
                <w:noProof/>
                <w:webHidden/>
              </w:rPr>
              <w:fldChar w:fldCharType="separate"/>
            </w:r>
            <w:r w:rsidR="00CE4499">
              <w:rPr>
                <w:noProof/>
                <w:webHidden/>
              </w:rPr>
              <w:t>11</w:t>
            </w:r>
            <w:r w:rsidR="00CE4499">
              <w:rPr>
                <w:noProof/>
                <w:webHidden/>
              </w:rPr>
              <w:fldChar w:fldCharType="end"/>
            </w:r>
          </w:hyperlink>
        </w:p>
        <w:p w14:paraId="2866B272" w14:textId="564348E4" w:rsidR="005D3E26" w:rsidRDefault="005D3E26">
          <w:r>
            <w:rPr>
              <w:b/>
              <w:bCs/>
              <w:noProof/>
            </w:rPr>
            <w:fldChar w:fldCharType="end"/>
          </w:r>
        </w:p>
      </w:sdtContent>
    </w:sdt>
    <w:p w14:paraId="6621C4D2" w14:textId="77777777" w:rsidR="00364D50" w:rsidRDefault="00364D50">
      <w:pPr>
        <w:spacing w:before="0" w:after="200" w:line="276" w:lineRule="auto"/>
        <w:rPr>
          <w:rStyle w:val="Heading1Char"/>
          <w:bCs w:val="0"/>
        </w:rPr>
      </w:pPr>
      <w:r>
        <w:rPr>
          <w:rStyle w:val="Heading1Char"/>
        </w:rPr>
        <w:br w:type="page"/>
      </w:r>
    </w:p>
    <w:p w14:paraId="1412B041" w14:textId="335F3284" w:rsidR="00D311BE" w:rsidRDefault="00364D50" w:rsidP="00F10CE7">
      <w:pPr>
        <w:pStyle w:val="Heading1"/>
      </w:pPr>
      <w:bookmarkStart w:id="0" w:name="_Toc111458063"/>
      <w:r>
        <w:rPr>
          <w:rStyle w:val="Heading1Char"/>
        </w:rPr>
        <w:t>ERA 2023 Evaluation Framework</w:t>
      </w:r>
      <w:bookmarkEnd w:id="0"/>
    </w:p>
    <w:p w14:paraId="33A942F9" w14:textId="58A0ECF3" w:rsidR="00680373" w:rsidRDefault="00364D50" w:rsidP="004D32ED">
      <w:pPr>
        <w:pStyle w:val="Heading2"/>
      </w:pPr>
      <w:bookmarkStart w:id="1" w:name="_Toc111458064"/>
      <w:r>
        <w:t>Introduction</w:t>
      </w:r>
      <w:bookmarkEnd w:id="1"/>
    </w:p>
    <w:p w14:paraId="43315327" w14:textId="606F691A" w:rsidR="000703EB" w:rsidRDefault="000703EB" w:rsidP="00B21627">
      <w:r>
        <w:t xml:space="preserve">The </w:t>
      </w:r>
      <w:r>
        <w:rPr>
          <w:i/>
          <w:iCs/>
        </w:rPr>
        <w:t xml:space="preserve">ERA 2023 </w:t>
      </w:r>
      <w:r w:rsidRPr="00284DA3">
        <w:rPr>
          <w:i/>
          <w:iCs/>
        </w:rPr>
        <w:t>Evaluation Framework</w:t>
      </w:r>
      <w:r>
        <w:t xml:space="preserve"> outlines </w:t>
      </w:r>
      <w:r w:rsidR="0081536F">
        <w:t xml:space="preserve">key elements of the </w:t>
      </w:r>
      <w:r w:rsidR="002B1F24">
        <w:t>evaluation methodology</w:t>
      </w:r>
      <w:r>
        <w:t xml:space="preserve"> for ERA 2023.  </w:t>
      </w:r>
    </w:p>
    <w:p w14:paraId="0B412126" w14:textId="4FC9ABE1" w:rsidR="00655CCE" w:rsidRDefault="0072548F" w:rsidP="00682936">
      <w:r>
        <w:t>F</w:t>
      </w:r>
      <w:r w:rsidR="002D2368">
        <w:t xml:space="preserve">ollowing </w:t>
      </w:r>
      <w:r w:rsidR="003040E5">
        <w:t>a</w:t>
      </w:r>
      <w:r w:rsidR="00B64AF2">
        <w:t xml:space="preserve"> review of ERA in 2020-21</w:t>
      </w:r>
      <w:r w:rsidR="008448B4">
        <w:t xml:space="preserve">, the ARC </w:t>
      </w:r>
      <w:r w:rsidR="007E50EC">
        <w:t xml:space="preserve">revised the </w:t>
      </w:r>
      <w:r w:rsidR="002D2368">
        <w:t xml:space="preserve">ERA </w:t>
      </w:r>
      <w:r w:rsidR="007E50EC">
        <w:t>b</w:t>
      </w:r>
      <w:r w:rsidR="002D2368">
        <w:t>enchmark</w:t>
      </w:r>
      <w:r w:rsidR="007E50EC">
        <w:t>s</w:t>
      </w:r>
      <w:r w:rsidR="002D2368">
        <w:t xml:space="preserve"> and </w:t>
      </w:r>
      <w:r w:rsidR="007E50EC">
        <w:t>r</w:t>
      </w:r>
      <w:r w:rsidR="002D2368">
        <w:t xml:space="preserve">ating </w:t>
      </w:r>
      <w:r w:rsidR="007E50EC">
        <w:t>s</w:t>
      </w:r>
      <w:r w:rsidR="002D2368">
        <w:t>cale</w:t>
      </w:r>
      <w:r w:rsidR="00AC5499">
        <w:t>.</w:t>
      </w:r>
      <w:r w:rsidR="00682936">
        <w:t xml:space="preserve"> For ERA 2023, the new benchmarks and rating scale will be implemented through a two-stage process with the ERA 2023 evaluation to be followed by a limited pilot.</w:t>
      </w:r>
    </w:p>
    <w:p w14:paraId="59883EDA" w14:textId="30178166" w:rsidR="00A46763" w:rsidRPr="00931EAD" w:rsidRDefault="000D6577" w:rsidP="00124243">
      <w:pPr>
        <w:pStyle w:val="Heading4"/>
      </w:pPr>
      <w:r w:rsidRPr="00931EAD">
        <w:t>ERA 2023</w:t>
      </w:r>
    </w:p>
    <w:p w14:paraId="50F174CA" w14:textId="77777777" w:rsidR="00DD1264" w:rsidRDefault="00DD1264" w:rsidP="00DD1264">
      <w:pPr>
        <w:spacing w:line="257" w:lineRule="auto"/>
      </w:pPr>
      <w:r w:rsidRPr="0BE22FB4">
        <w:rPr>
          <w:rFonts w:ascii="Calibri" w:eastAsia="Calibri" w:hAnsi="Calibri" w:cs="Calibri"/>
        </w:rPr>
        <w:t xml:space="preserve">ERA 2023 will proceed as planned, with no changes to the submission process or timeline outlined in the </w:t>
      </w:r>
      <w:hyperlink r:id="rId22">
        <w:r w:rsidRPr="0BE22FB4">
          <w:rPr>
            <w:rStyle w:val="Hyperlink"/>
            <w:rFonts w:ascii="Calibri" w:eastAsia="Calibri" w:hAnsi="Calibri" w:cs="Calibri"/>
            <w:i/>
            <w:iCs/>
          </w:rPr>
          <w:t>ERA 2023 Submission Guidelines</w:t>
        </w:r>
      </w:hyperlink>
      <w:r w:rsidRPr="0BE22FB4">
        <w:rPr>
          <w:rFonts w:ascii="Calibri" w:eastAsia="Calibri" w:hAnsi="Calibri" w:cs="Calibri"/>
          <w:i/>
          <w:iCs/>
        </w:rPr>
        <w:t>.</w:t>
      </w:r>
      <w:r w:rsidRPr="0BE22FB4">
        <w:rPr>
          <w:rFonts w:ascii="Calibri" w:eastAsia="Calibri" w:hAnsi="Calibri" w:cs="Calibri"/>
        </w:rPr>
        <w:t xml:space="preserve"> The assessment methodology will involve:</w:t>
      </w:r>
    </w:p>
    <w:p w14:paraId="5A1A3B94" w14:textId="5B94CA2D" w:rsidR="00DD1264" w:rsidRDefault="00DD1264" w:rsidP="00DD1264">
      <w:pPr>
        <w:pStyle w:val="ListParagraph"/>
        <w:numPr>
          <w:ilvl w:val="0"/>
          <w:numId w:val="19"/>
        </w:numPr>
        <w:spacing w:before="0" w:after="160" w:line="259" w:lineRule="auto"/>
        <w:rPr>
          <w:rFonts w:ascii="Calibri" w:eastAsia="Calibri" w:hAnsi="Calibri" w:cs="Calibri"/>
        </w:rPr>
      </w:pPr>
      <w:r w:rsidRPr="0BE22FB4">
        <w:rPr>
          <w:rFonts w:ascii="Calibri" w:eastAsia="Calibri" w:hAnsi="Calibri" w:cs="Calibri"/>
        </w:rPr>
        <w:t xml:space="preserve">The ERA 2018 rating scale </w:t>
      </w:r>
      <w:r w:rsidRPr="00EA2DEE">
        <w:rPr>
          <w:rFonts w:ascii="Calibri" w:eastAsia="Calibri" w:hAnsi="Calibri" w:cs="Calibri"/>
        </w:rPr>
        <w:t>(</w:t>
      </w:r>
      <w:r w:rsidRPr="00EA2DEE">
        <w:rPr>
          <w:b/>
        </w:rPr>
        <w:t>Appendix A</w:t>
      </w:r>
      <w:r w:rsidR="000526C3">
        <w:rPr>
          <w:rFonts w:ascii="Calibri" w:eastAsia="Calibri" w:hAnsi="Calibri" w:cs="Calibri"/>
        </w:rPr>
        <w:t xml:space="preserve"> </w:t>
      </w:r>
      <w:r w:rsidR="005B7E8D">
        <w:rPr>
          <w:rFonts w:ascii="Calibri" w:eastAsia="Calibri" w:hAnsi="Calibri" w:cs="Calibri"/>
        </w:rPr>
        <w:t>–</w:t>
      </w:r>
      <w:r w:rsidR="000526C3">
        <w:rPr>
          <w:rFonts w:ascii="Calibri" w:eastAsia="Calibri" w:hAnsi="Calibri" w:cs="Calibri"/>
        </w:rPr>
        <w:t xml:space="preserve"> </w:t>
      </w:r>
      <w:r w:rsidR="005B7E8D">
        <w:rPr>
          <w:rFonts w:ascii="Calibri" w:eastAsia="Calibri" w:hAnsi="Calibri" w:cs="Calibri"/>
        </w:rPr>
        <w:t xml:space="preserve">now </w:t>
      </w:r>
      <w:r w:rsidR="000526C3">
        <w:rPr>
          <w:rFonts w:ascii="Calibri" w:eastAsia="Calibri" w:hAnsi="Calibri" w:cs="Calibri"/>
        </w:rPr>
        <w:t>referred</w:t>
      </w:r>
      <w:r w:rsidR="005B7E8D">
        <w:rPr>
          <w:rFonts w:ascii="Calibri" w:eastAsia="Calibri" w:hAnsi="Calibri" w:cs="Calibri"/>
        </w:rPr>
        <w:t xml:space="preserve"> to as the ERA 2023 rating scale</w:t>
      </w:r>
      <w:r>
        <w:rPr>
          <w:rFonts w:ascii="Calibri" w:eastAsia="Calibri" w:hAnsi="Calibri" w:cs="Calibri"/>
        </w:rPr>
        <w:t>)</w:t>
      </w:r>
    </w:p>
    <w:p w14:paraId="3B6C8092" w14:textId="77777777" w:rsidR="00DD1264" w:rsidRDefault="00DD1264" w:rsidP="00DD1264">
      <w:pPr>
        <w:pStyle w:val="ListParagraph"/>
        <w:numPr>
          <w:ilvl w:val="1"/>
          <w:numId w:val="19"/>
        </w:numPr>
        <w:spacing w:before="0" w:after="160" w:line="259" w:lineRule="auto"/>
        <w:rPr>
          <w:rFonts w:ascii="Calibri" w:eastAsia="Calibri" w:hAnsi="Calibri" w:cs="Calibri"/>
        </w:rPr>
      </w:pPr>
      <w:r w:rsidRPr="0BE22FB4">
        <w:rPr>
          <w:rFonts w:ascii="Calibri" w:eastAsia="Calibri" w:hAnsi="Calibri" w:cs="Calibri"/>
        </w:rPr>
        <w:t>Units of Evaluation rated 1 and 2 will be reported collectively as ‘below world standard’.</w:t>
      </w:r>
    </w:p>
    <w:p w14:paraId="4C8D38C8" w14:textId="77777777" w:rsidR="00DD1264" w:rsidRDefault="00DD1264" w:rsidP="00DD1264">
      <w:pPr>
        <w:pStyle w:val="ListParagraph"/>
        <w:numPr>
          <w:ilvl w:val="0"/>
          <w:numId w:val="19"/>
        </w:numPr>
        <w:spacing w:before="0" w:after="160" w:line="259" w:lineRule="auto"/>
        <w:rPr>
          <w:rFonts w:ascii="Calibri" w:eastAsia="Calibri" w:hAnsi="Calibri" w:cs="Calibri"/>
        </w:rPr>
      </w:pPr>
      <w:r w:rsidRPr="0BE22FB4">
        <w:rPr>
          <w:rFonts w:ascii="Calibri" w:eastAsia="Calibri" w:hAnsi="Calibri" w:cs="Calibri"/>
        </w:rPr>
        <w:t>Continued use of dual methodologies (citation analysis OR peer review)</w:t>
      </w:r>
    </w:p>
    <w:p w14:paraId="60C81F08" w14:textId="5101AA04" w:rsidR="00DD1264" w:rsidRDefault="00DD1264" w:rsidP="00DD1264">
      <w:pPr>
        <w:pStyle w:val="ListParagraph"/>
        <w:numPr>
          <w:ilvl w:val="0"/>
          <w:numId w:val="19"/>
        </w:numPr>
        <w:spacing w:before="0" w:after="160" w:line="259" w:lineRule="auto"/>
        <w:rPr>
          <w:rFonts w:ascii="Calibri" w:eastAsia="Calibri" w:hAnsi="Calibri" w:cs="Calibri"/>
        </w:rPr>
      </w:pPr>
      <w:r w:rsidRPr="0BE22FB4">
        <w:rPr>
          <w:rFonts w:ascii="Calibri" w:eastAsia="Calibri" w:hAnsi="Calibri" w:cs="Calibri"/>
        </w:rPr>
        <w:t>Use of dynamic RCI classes (</w:t>
      </w:r>
      <w:r w:rsidR="00441827" w:rsidRPr="001D0732">
        <w:rPr>
          <w:rFonts w:ascii="Calibri" w:eastAsia="Calibri" w:hAnsi="Calibri" w:cs="Calibri"/>
          <w:b/>
          <w:bCs/>
        </w:rPr>
        <w:t>Appendix B</w:t>
      </w:r>
      <w:r w:rsidR="00E56607">
        <w:rPr>
          <w:rFonts w:ascii="Calibri" w:eastAsia="Calibri" w:hAnsi="Calibri" w:cs="Calibri"/>
        </w:rPr>
        <w:t>)</w:t>
      </w:r>
      <w:r w:rsidR="00E56607" w:rsidRPr="0BE22FB4" w:rsidDel="00E56607">
        <w:rPr>
          <w:rFonts w:ascii="Calibri" w:eastAsia="Calibri" w:hAnsi="Calibri" w:cs="Calibri"/>
        </w:rPr>
        <w:t xml:space="preserve"> </w:t>
      </w:r>
      <w:r w:rsidRPr="0BE22FB4">
        <w:rPr>
          <w:rFonts w:ascii="Calibri" w:eastAsia="Calibri" w:hAnsi="Calibri" w:cs="Calibri"/>
        </w:rPr>
        <w:t>as part of the indicator suite for citation analysis disciplines</w:t>
      </w:r>
    </w:p>
    <w:p w14:paraId="785B4F98" w14:textId="77777777" w:rsidR="00DD1264" w:rsidRDefault="00DD1264" w:rsidP="00DD1264">
      <w:pPr>
        <w:pStyle w:val="ListParagraph"/>
        <w:numPr>
          <w:ilvl w:val="0"/>
          <w:numId w:val="19"/>
        </w:numPr>
        <w:spacing w:before="0" w:after="160" w:line="259" w:lineRule="auto"/>
        <w:rPr>
          <w:rFonts w:ascii="Calibri" w:eastAsia="Calibri" w:hAnsi="Calibri" w:cs="Calibri"/>
        </w:rPr>
      </w:pPr>
      <w:r w:rsidRPr="0BE22FB4">
        <w:rPr>
          <w:rFonts w:ascii="Calibri" w:eastAsia="Calibri" w:hAnsi="Calibri" w:cs="Calibri"/>
        </w:rPr>
        <w:t>Revised peer review guidance for peer review disciplines</w:t>
      </w:r>
    </w:p>
    <w:p w14:paraId="22F71288" w14:textId="1B52D399" w:rsidR="00DD1264" w:rsidRDefault="00DD1264" w:rsidP="00DD1264">
      <w:pPr>
        <w:pStyle w:val="ListParagraph"/>
        <w:numPr>
          <w:ilvl w:val="0"/>
          <w:numId w:val="19"/>
        </w:numPr>
        <w:spacing w:before="0" w:after="160" w:line="259" w:lineRule="auto"/>
        <w:rPr>
          <w:rFonts w:ascii="Calibri" w:eastAsia="Calibri" w:hAnsi="Calibri" w:cs="Calibri"/>
        </w:rPr>
      </w:pPr>
      <w:r w:rsidRPr="0BE22FB4">
        <w:rPr>
          <w:rFonts w:ascii="Calibri" w:eastAsia="Calibri" w:hAnsi="Calibri" w:cs="Calibri"/>
        </w:rPr>
        <w:t>Full evaluation of Indigenous studies</w:t>
      </w:r>
    </w:p>
    <w:p w14:paraId="6397E176" w14:textId="7E75007A" w:rsidR="00A46763" w:rsidRPr="00DD1264" w:rsidRDefault="00DD1264" w:rsidP="00DD1264">
      <w:pPr>
        <w:pStyle w:val="ListParagraph"/>
        <w:numPr>
          <w:ilvl w:val="0"/>
          <w:numId w:val="19"/>
        </w:numPr>
        <w:spacing w:before="0" w:after="160" w:line="259" w:lineRule="auto"/>
        <w:rPr>
          <w:rFonts w:ascii="Calibri" w:eastAsia="Calibri" w:hAnsi="Calibri" w:cs="Calibri"/>
        </w:rPr>
      </w:pPr>
      <w:r w:rsidRPr="00DD1264">
        <w:rPr>
          <w:rFonts w:ascii="Calibri" w:eastAsia="Calibri" w:hAnsi="Calibri" w:cs="Calibri"/>
        </w:rPr>
        <w:t>Enhanced cross-</w:t>
      </w:r>
      <w:r w:rsidR="00EA2DEE">
        <w:rPr>
          <w:rFonts w:ascii="Calibri" w:eastAsia="Calibri" w:hAnsi="Calibri" w:cs="Calibri"/>
        </w:rPr>
        <w:t>committee</w:t>
      </w:r>
      <w:r w:rsidRPr="00DD1264">
        <w:rPr>
          <w:rFonts w:ascii="Calibri" w:eastAsia="Calibri" w:hAnsi="Calibri" w:cs="Calibri"/>
        </w:rPr>
        <w:t xml:space="preserve"> calibration methods</w:t>
      </w:r>
    </w:p>
    <w:p w14:paraId="7089DC2C" w14:textId="77777777" w:rsidR="00C51AFC" w:rsidRDefault="00C51AFC" w:rsidP="00124243">
      <w:pPr>
        <w:pStyle w:val="Heading4"/>
      </w:pPr>
      <w:r w:rsidRPr="00931EAD">
        <w:t>Pilot</w:t>
      </w:r>
    </w:p>
    <w:p w14:paraId="73D082D6" w14:textId="77777777" w:rsidR="00C51AFC" w:rsidRDefault="00C51AFC" w:rsidP="00C51AFC">
      <w:pPr>
        <w:spacing w:line="257" w:lineRule="auto"/>
      </w:pPr>
      <w:r w:rsidRPr="0BE22FB4">
        <w:rPr>
          <w:rFonts w:ascii="Calibri" w:eastAsia="Calibri" w:hAnsi="Calibri" w:cs="Calibri"/>
        </w:rPr>
        <w:t xml:space="preserve">The pilot of the new rating scale and </w:t>
      </w:r>
      <w:proofErr w:type="gramStart"/>
      <w:r w:rsidRPr="0BE22FB4">
        <w:rPr>
          <w:rFonts w:ascii="Calibri" w:eastAsia="Calibri" w:hAnsi="Calibri" w:cs="Calibri"/>
        </w:rPr>
        <w:t>High Performance</w:t>
      </w:r>
      <w:proofErr w:type="gramEnd"/>
      <w:r w:rsidRPr="0BE22FB4">
        <w:rPr>
          <w:rFonts w:ascii="Calibri" w:eastAsia="Calibri" w:hAnsi="Calibri" w:cs="Calibri"/>
        </w:rPr>
        <w:t xml:space="preserve"> Indicator (HPI) will take place shortly after ERA 2023, using the same Research Evaluation Committees (RECs) and outputs submitted for ERA 2023. </w:t>
      </w:r>
    </w:p>
    <w:p w14:paraId="21383984" w14:textId="77777777" w:rsidR="00C51AFC" w:rsidRDefault="00C51AFC" w:rsidP="00C51AFC">
      <w:pPr>
        <w:spacing w:line="257" w:lineRule="auto"/>
      </w:pPr>
      <w:r w:rsidRPr="0BE22FB4">
        <w:rPr>
          <w:rFonts w:ascii="Calibri" w:eastAsia="Calibri" w:hAnsi="Calibri" w:cs="Calibri"/>
        </w:rPr>
        <w:t>The pilot assessment methodology will involve:</w:t>
      </w:r>
    </w:p>
    <w:p w14:paraId="0503347B" w14:textId="2EC41F76" w:rsidR="00C51AFC" w:rsidRDefault="00C51AFC" w:rsidP="00C51AFC">
      <w:pPr>
        <w:pStyle w:val="ListParagraph"/>
        <w:numPr>
          <w:ilvl w:val="0"/>
          <w:numId w:val="20"/>
        </w:numPr>
        <w:spacing w:before="0" w:after="160" w:line="259" w:lineRule="auto"/>
        <w:rPr>
          <w:rFonts w:ascii="Calibri" w:eastAsia="Calibri" w:hAnsi="Calibri" w:cs="Calibri"/>
        </w:rPr>
      </w:pPr>
      <w:r w:rsidRPr="0BE22FB4">
        <w:rPr>
          <w:rFonts w:ascii="Calibri" w:eastAsia="Calibri" w:hAnsi="Calibri" w:cs="Calibri"/>
        </w:rPr>
        <w:t xml:space="preserve">Re-evaluation of Units of Evaluation </w:t>
      </w:r>
      <w:r w:rsidR="00A44544">
        <w:rPr>
          <w:rFonts w:ascii="Calibri" w:eastAsia="Calibri" w:hAnsi="Calibri" w:cs="Calibri"/>
        </w:rPr>
        <w:t>(</w:t>
      </w:r>
      <w:proofErr w:type="spellStart"/>
      <w:r w:rsidR="00A44544">
        <w:rPr>
          <w:rFonts w:ascii="Calibri" w:eastAsia="Calibri" w:hAnsi="Calibri" w:cs="Calibri"/>
        </w:rPr>
        <w:t>UoE</w:t>
      </w:r>
      <w:proofErr w:type="spellEnd"/>
      <w:r w:rsidR="00A44544">
        <w:rPr>
          <w:rFonts w:ascii="Calibri" w:eastAsia="Calibri" w:hAnsi="Calibri" w:cs="Calibri"/>
        </w:rPr>
        <w:t xml:space="preserve">) </w:t>
      </w:r>
      <w:r w:rsidRPr="0BE22FB4">
        <w:rPr>
          <w:rFonts w:ascii="Calibri" w:eastAsia="Calibri" w:hAnsi="Calibri" w:cs="Calibri"/>
        </w:rPr>
        <w:t xml:space="preserve">rated </w:t>
      </w:r>
      <w:r>
        <w:rPr>
          <w:rFonts w:ascii="Calibri" w:eastAsia="Calibri" w:hAnsi="Calibri" w:cs="Calibri"/>
        </w:rPr>
        <w:t xml:space="preserve">4 and </w:t>
      </w:r>
      <w:r w:rsidRPr="0BE22FB4">
        <w:rPr>
          <w:rFonts w:ascii="Calibri" w:eastAsia="Calibri" w:hAnsi="Calibri" w:cs="Calibri"/>
        </w:rPr>
        <w:t>5 in ERA 2023, using:</w:t>
      </w:r>
    </w:p>
    <w:p w14:paraId="6700F6A6" w14:textId="0C5340F5" w:rsidR="00C51AFC" w:rsidRDefault="00C51AFC" w:rsidP="00C51AFC">
      <w:pPr>
        <w:pStyle w:val="ListParagraph"/>
        <w:numPr>
          <w:ilvl w:val="1"/>
          <w:numId w:val="20"/>
        </w:numPr>
        <w:spacing w:before="0" w:after="160" w:line="259" w:lineRule="auto"/>
        <w:rPr>
          <w:rFonts w:ascii="Calibri" w:eastAsia="Calibri" w:hAnsi="Calibri" w:cs="Calibri"/>
        </w:rPr>
      </w:pPr>
      <w:r w:rsidRPr="0BE22FB4">
        <w:rPr>
          <w:rFonts w:ascii="Calibri" w:eastAsia="Calibri" w:hAnsi="Calibri" w:cs="Calibri"/>
        </w:rPr>
        <w:t xml:space="preserve">The </w:t>
      </w:r>
      <w:r>
        <w:rPr>
          <w:rFonts w:ascii="Calibri" w:eastAsia="Calibri" w:hAnsi="Calibri" w:cs="Calibri"/>
        </w:rPr>
        <w:t xml:space="preserve">top two levels of the </w:t>
      </w:r>
      <w:r w:rsidRPr="0BE22FB4">
        <w:rPr>
          <w:rFonts w:ascii="Calibri" w:eastAsia="Calibri" w:hAnsi="Calibri" w:cs="Calibri"/>
        </w:rPr>
        <w:t xml:space="preserve">ERA </w:t>
      </w:r>
      <w:r w:rsidR="00174B7D">
        <w:rPr>
          <w:rFonts w:ascii="Calibri" w:eastAsia="Calibri" w:hAnsi="Calibri" w:cs="Calibri"/>
        </w:rPr>
        <w:t>2023 Pilot R</w:t>
      </w:r>
      <w:r w:rsidRPr="0BE22FB4">
        <w:rPr>
          <w:rFonts w:ascii="Calibri" w:eastAsia="Calibri" w:hAnsi="Calibri" w:cs="Calibri"/>
        </w:rPr>
        <w:t xml:space="preserve">ating </w:t>
      </w:r>
      <w:r w:rsidR="00174B7D">
        <w:rPr>
          <w:rFonts w:ascii="Calibri" w:eastAsia="Calibri" w:hAnsi="Calibri" w:cs="Calibri"/>
        </w:rPr>
        <w:t>S</w:t>
      </w:r>
      <w:r w:rsidRPr="0BE22FB4">
        <w:rPr>
          <w:rFonts w:ascii="Calibri" w:eastAsia="Calibri" w:hAnsi="Calibri" w:cs="Calibri"/>
        </w:rPr>
        <w:t>cale</w:t>
      </w:r>
      <w:r>
        <w:rPr>
          <w:rFonts w:ascii="Calibri" w:eastAsia="Calibri" w:hAnsi="Calibri" w:cs="Calibri"/>
        </w:rPr>
        <w:t xml:space="preserve"> </w:t>
      </w:r>
      <w:r w:rsidRPr="0BE22FB4">
        <w:rPr>
          <w:rFonts w:ascii="Calibri" w:eastAsia="Calibri" w:hAnsi="Calibri" w:cs="Calibri"/>
        </w:rPr>
        <w:t>(</w:t>
      </w:r>
      <w:r w:rsidRPr="00EA2DEE">
        <w:rPr>
          <w:b/>
        </w:rPr>
        <w:t>Appendix A</w:t>
      </w:r>
      <w:r>
        <w:rPr>
          <w:rFonts w:ascii="Calibri" w:eastAsia="Calibri" w:hAnsi="Calibri" w:cs="Calibri"/>
        </w:rPr>
        <w:t>)</w:t>
      </w:r>
    </w:p>
    <w:p w14:paraId="2B031F57" w14:textId="258D3BBE" w:rsidR="00C51AFC" w:rsidRDefault="00C51AFC" w:rsidP="00C51AFC">
      <w:pPr>
        <w:pStyle w:val="ListParagraph"/>
        <w:numPr>
          <w:ilvl w:val="1"/>
          <w:numId w:val="20"/>
        </w:numPr>
        <w:spacing w:before="0" w:after="160" w:line="259" w:lineRule="auto"/>
        <w:rPr>
          <w:rFonts w:ascii="Calibri" w:eastAsia="Calibri" w:hAnsi="Calibri" w:cs="Calibri"/>
        </w:rPr>
      </w:pPr>
      <w:r w:rsidRPr="0BE22FB4">
        <w:rPr>
          <w:rFonts w:ascii="Calibri" w:eastAsia="Calibri" w:hAnsi="Calibri" w:cs="Calibri"/>
        </w:rPr>
        <w:t>The HPI (</w:t>
      </w:r>
      <w:r w:rsidR="00EF3018" w:rsidRPr="001D0732">
        <w:rPr>
          <w:rFonts w:ascii="Calibri" w:eastAsia="Calibri" w:hAnsi="Calibri" w:cs="Calibri"/>
          <w:b/>
          <w:bCs/>
        </w:rPr>
        <w:t>Appendix B</w:t>
      </w:r>
      <w:r w:rsidR="00EF3018">
        <w:rPr>
          <w:rFonts w:ascii="Calibri" w:eastAsia="Calibri" w:hAnsi="Calibri" w:cs="Calibri"/>
        </w:rPr>
        <w:t>)</w:t>
      </w:r>
      <w:r w:rsidRPr="0BE22FB4">
        <w:rPr>
          <w:rFonts w:ascii="Calibri" w:eastAsia="Calibri" w:hAnsi="Calibri" w:cs="Calibri"/>
        </w:rPr>
        <w:t>, alongside the full suite of other citation and contextual indicators used in ERA 2023, in disciplines assessed by citation analysis</w:t>
      </w:r>
    </w:p>
    <w:p w14:paraId="63CDAA1A" w14:textId="70EFB45E" w:rsidR="00C51AFC" w:rsidRPr="00FC76FC" w:rsidRDefault="00C51AFC" w:rsidP="00FC76FC">
      <w:pPr>
        <w:pStyle w:val="ListParagraph"/>
        <w:numPr>
          <w:ilvl w:val="1"/>
          <w:numId w:val="20"/>
        </w:numPr>
        <w:spacing w:before="0" w:after="160" w:line="259" w:lineRule="auto"/>
        <w:rPr>
          <w:rFonts w:ascii="Calibri" w:eastAsia="Calibri" w:hAnsi="Calibri" w:cs="Calibri"/>
        </w:rPr>
      </w:pPr>
      <w:r w:rsidRPr="0BE22FB4">
        <w:rPr>
          <w:rFonts w:ascii="Calibri" w:eastAsia="Calibri" w:hAnsi="Calibri" w:cs="Calibri"/>
        </w:rPr>
        <w:t xml:space="preserve">ERA 2023 peer review reports (using revised peer review guidance, which includes directions to </w:t>
      </w:r>
      <w:r>
        <w:rPr>
          <w:rFonts w:ascii="Calibri" w:eastAsia="Calibri" w:hAnsi="Calibri" w:cs="Calibri"/>
        </w:rPr>
        <w:t>identify</w:t>
      </w:r>
      <w:r w:rsidRPr="0BE22FB4">
        <w:rPr>
          <w:rFonts w:ascii="Calibri" w:eastAsia="Calibri" w:hAnsi="Calibri" w:cs="Calibri"/>
        </w:rPr>
        <w:t xml:space="preserve"> the presence of world leading research) and additional supplementary reading by RECs (if necessary) in disciplines assessed by peer review</w:t>
      </w:r>
      <w:r w:rsidR="003F6E5A">
        <w:rPr>
          <w:rFonts w:ascii="Calibri" w:eastAsia="Calibri" w:hAnsi="Calibri" w:cs="Calibri"/>
        </w:rPr>
        <w:t>.</w:t>
      </w:r>
    </w:p>
    <w:p w14:paraId="52C1A381" w14:textId="2DA994D5" w:rsidR="00B35D62" w:rsidRDefault="00B35D62" w:rsidP="00B35D62">
      <w:pPr>
        <w:pStyle w:val="Heading4"/>
        <w:rPr>
          <w:rFonts w:eastAsia="Calibri"/>
        </w:rPr>
      </w:pPr>
      <w:r>
        <w:rPr>
          <w:rFonts w:eastAsia="Calibri"/>
        </w:rPr>
        <w:t>Results</w:t>
      </w:r>
    </w:p>
    <w:p w14:paraId="141A87E5" w14:textId="459128EE" w:rsidR="00B35D62" w:rsidRDefault="00AC4A31">
      <w:pPr>
        <w:spacing w:before="0" w:after="200" w:line="276" w:lineRule="auto"/>
      </w:pPr>
      <w:r w:rsidRPr="0BE22FB4">
        <w:rPr>
          <w:rFonts w:ascii="Calibri" w:eastAsia="Calibri" w:hAnsi="Calibri" w:cs="Calibri"/>
        </w:rPr>
        <w:t xml:space="preserve">Results for both ERA 2023 and the pilot will be reported to universities. If the pilot is successful, the ARC may present the pilot results as the </w:t>
      </w:r>
      <w:proofErr w:type="gramStart"/>
      <w:r w:rsidRPr="0BE22FB4">
        <w:rPr>
          <w:rFonts w:ascii="Calibri" w:eastAsia="Calibri" w:hAnsi="Calibri" w:cs="Calibri"/>
        </w:rPr>
        <w:t>final results</w:t>
      </w:r>
      <w:proofErr w:type="gramEnd"/>
      <w:r w:rsidRPr="0BE22FB4">
        <w:rPr>
          <w:rFonts w:ascii="Calibri" w:eastAsia="Calibri" w:hAnsi="Calibri" w:cs="Calibri"/>
        </w:rPr>
        <w:t xml:space="preserve"> in the ERA 2023 National Report.</w:t>
      </w:r>
      <w:r>
        <w:rPr>
          <w:rFonts w:ascii="Calibri" w:eastAsia="Calibri" w:hAnsi="Calibri" w:cs="Calibri"/>
        </w:rPr>
        <w:t xml:space="preserve"> </w:t>
      </w:r>
      <w:r w:rsidR="00B35D62">
        <w:br w:type="page"/>
      </w:r>
    </w:p>
    <w:p w14:paraId="0ED5F356" w14:textId="093A01FE" w:rsidR="00B35D62" w:rsidRDefault="00B35D62" w:rsidP="00B35D62">
      <w:pPr>
        <w:pStyle w:val="Heading2"/>
      </w:pPr>
      <w:bookmarkStart w:id="2" w:name="_Toc111458065"/>
      <w:r>
        <w:t>Evaluation Framework</w:t>
      </w:r>
      <w:bookmarkEnd w:id="2"/>
    </w:p>
    <w:p w14:paraId="551BE053" w14:textId="26A3355E" w:rsidR="003F6DFB" w:rsidRDefault="00AF6109" w:rsidP="00B66736">
      <w:pPr>
        <w:widowControl w:val="0"/>
        <w:autoSpaceDE w:val="0"/>
        <w:autoSpaceDN w:val="0"/>
        <w:spacing w:before="23" w:line="264" w:lineRule="auto"/>
      </w:pPr>
      <w:r>
        <w:t xml:space="preserve">The following sections </w:t>
      </w:r>
      <w:r w:rsidR="00543562">
        <w:t>outline the evaluation framework</w:t>
      </w:r>
      <w:r>
        <w:t xml:space="preserve"> </w:t>
      </w:r>
      <w:r w:rsidR="00543562">
        <w:t xml:space="preserve">for </w:t>
      </w:r>
      <w:r>
        <w:t xml:space="preserve">ERA 2023 and the HPI pilot. </w:t>
      </w:r>
      <w:r w:rsidR="001976D0">
        <w:t xml:space="preserve">Full details of the evaluation process for ERA 2023 round will be published in the </w:t>
      </w:r>
      <w:r w:rsidR="001976D0">
        <w:rPr>
          <w:i/>
          <w:iCs/>
        </w:rPr>
        <w:t xml:space="preserve">ERA 2023 Evaluation Handbook </w:t>
      </w:r>
      <w:r w:rsidR="001976D0">
        <w:t xml:space="preserve">and the </w:t>
      </w:r>
      <w:r w:rsidR="001976D0">
        <w:rPr>
          <w:i/>
          <w:iCs/>
        </w:rPr>
        <w:t>ERA 2023 Peer Review Handbook</w:t>
      </w:r>
      <w:r w:rsidR="001976D0">
        <w:t xml:space="preserve">, </w:t>
      </w:r>
      <w:r w:rsidR="00056CDC">
        <w:t xml:space="preserve">due </w:t>
      </w:r>
      <w:r w:rsidR="00865728">
        <w:t xml:space="preserve">for release </w:t>
      </w:r>
      <w:r w:rsidR="00865728" w:rsidRPr="00CC3D23">
        <w:t xml:space="preserve">in </w:t>
      </w:r>
      <w:r w:rsidR="00B2348C">
        <w:t>December</w:t>
      </w:r>
      <w:r w:rsidR="00865728" w:rsidRPr="00CC3D23">
        <w:t xml:space="preserve"> 2022</w:t>
      </w:r>
      <w:r w:rsidR="00865728">
        <w:t>.</w:t>
      </w:r>
      <w:r w:rsidR="00AB0240">
        <w:t xml:space="preserve"> </w:t>
      </w:r>
    </w:p>
    <w:p w14:paraId="3B4A6925" w14:textId="55CE1C7E" w:rsidR="003F6DFB" w:rsidRDefault="003F6DFB" w:rsidP="00B66736">
      <w:pPr>
        <w:widowControl w:val="0"/>
        <w:autoSpaceDE w:val="0"/>
        <w:autoSpaceDN w:val="0"/>
        <w:spacing w:before="23" w:line="264" w:lineRule="auto"/>
      </w:pPr>
      <w:r>
        <w:t xml:space="preserve">For details of standard elements of the ERA process, see the </w:t>
      </w:r>
      <w:hyperlink r:id="rId23" w:history="1">
        <w:r w:rsidRPr="007F527C">
          <w:rPr>
            <w:rStyle w:val="Hyperlink"/>
            <w:i/>
            <w:iCs/>
          </w:rPr>
          <w:t>ERA 2018 Evaluation Handbook</w:t>
        </w:r>
      </w:hyperlink>
      <w:r w:rsidR="0020751B">
        <w:t xml:space="preserve"> (</w:t>
      </w:r>
      <w:r w:rsidR="00E3070A">
        <w:t xml:space="preserve">key </w:t>
      </w:r>
      <w:r w:rsidR="0020751B">
        <w:t xml:space="preserve">changes for ERA </w:t>
      </w:r>
      <w:r w:rsidR="00C12C30">
        <w:t>2023 are outlined below).</w:t>
      </w:r>
    </w:p>
    <w:p w14:paraId="67FA4FB4" w14:textId="2979A8B8" w:rsidR="00004CDD" w:rsidRDefault="00AB0240" w:rsidP="00B66736">
      <w:pPr>
        <w:widowControl w:val="0"/>
        <w:autoSpaceDE w:val="0"/>
        <w:autoSpaceDN w:val="0"/>
        <w:spacing w:before="23" w:line="264" w:lineRule="auto"/>
      </w:pPr>
      <w:r>
        <w:t xml:space="preserve">A summary of the process is at </w:t>
      </w:r>
      <w:r w:rsidRPr="001D0732">
        <w:rPr>
          <w:b/>
        </w:rPr>
        <w:t xml:space="preserve">Appendix </w:t>
      </w:r>
      <w:r w:rsidR="0047472F" w:rsidRPr="001D0732">
        <w:rPr>
          <w:b/>
          <w:bCs/>
        </w:rPr>
        <w:t>C</w:t>
      </w:r>
      <w:r>
        <w:t>.</w:t>
      </w:r>
    </w:p>
    <w:p w14:paraId="5A05E323" w14:textId="0D4136D5" w:rsidR="00DD4BE9" w:rsidRDefault="00D72365" w:rsidP="00DD4BE9">
      <w:pPr>
        <w:pStyle w:val="Heading2"/>
      </w:pPr>
      <w:bookmarkStart w:id="3" w:name="_Toc111458066"/>
      <w:r>
        <w:t>ERA 2023</w:t>
      </w:r>
      <w:bookmarkEnd w:id="3"/>
    </w:p>
    <w:p w14:paraId="65FC3092" w14:textId="16F52048" w:rsidR="007B5FD2" w:rsidRDefault="009A6F93" w:rsidP="009A6F93">
      <w:r>
        <w:t xml:space="preserve">ERA 2023 will continue to use the same expertise-based model of evaluation as in previous rounds, in which committees of discipline experts </w:t>
      </w:r>
      <w:r w:rsidR="00633FC2">
        <w:t>– known as Research Evaluation Committees (RECs) –</w:t>
      </w:r>
      <w:r>
        <w:t xml:space="preserve"> assign ratings based on a holistic assessment of a suite of key quality indicators. </w:t>
      </w:r>
    </w:p>
    <w:p w14:paraId="71F45202" w14:textId="7128A0D9" w:rsidR="00A36A61" w:rsidRDefault="00A36A61" w:rsidP="00D72365">
      <w:pPr>
        <w:pStyle w:val="Heading3"/>
      </w:pPr>
      <w:bookmarkStart w:id="4" w:name="_Toc111458067"/>
      <w:r>
        <w:t>Rating Scale</w:t>
      </w:r>
      <w:bookmarkEnd w:id="4"/>
    </w:p>
    <w:p w14:paraId="4D16AAFE" w14:textId="673D84F1" w:rsidR="00FC1068" w:rsidRDefault="00FC1068" w:rsidP="00FC1068">
      <w:r>
        <w:t xml:space="preserve">ERA 2023 will </w:t>
      </w:r>
      <w:r w:rsidR="00D31371">
        <w:t>use</w:t>
      </w:r>
      <w:r>
        <w:t xml:space="preserve"> the rating scale</w:t>
      </w:r>
      <w:r w:rsidR="00247E41">
        <w:t xml:space="preserve"> </w:t>
      </w:r>
      <w:r w:rsidR="00D31371">
        <w:t>previously</w:t>
      </w:r>
      <w:r w:rsidR="00247E41">
        <w:t xml:space="preserve"> </w:t>
      </w:r>
      <w:r w:rsidR="00D31371">
        <w:t>used in</w:t>
      </w:r>
      <w:r w:rsidR="00247E41">
        <w:t xml:space="preserve"> </w:t>
      </w:r>
      <w:r w:rsidR="00214F7E">
        <w:t>ERA 2018</w:t>
      </w:r>
      <w:r w:rsidR="0044068E">
        <w:t>. H</w:t>
      </w:r>
      <w:r w:rsidR="00A92CD3">
        <w:t>owever</w:t>
      </w:r>
      <w:r w:rsidR="000322FB" w:rsidRPr="000322FB" w:rsidDel="00A92CD3">
        <w:t xml:space="preserve">, </w:t>
      </w:r>
      <w:r w:rsidR="00D31371">
        <w:t xml:space="preserve">it is important to note that </w:t>
      </w:r>
      <w:r w:rsidR="000322FB" w:rsidRPr="000322FB">
        <w:t xml:space="preserve">results from ERA 2023 will </w:t>
      </w:r>
      <w:r w:rsidR="000322FB" w:rsidRPr="00D31371">
        <w:rPr>
          <w:i/>
        </w:rPr>
        <w:t>not</w:t>
      </w:r>
      <w:r w:rsidR="000322FB" w:rsidRPr="000322FB">
        <w:t xml:space="preserve"> be directly comparable to previous ERA rounds. This is due to the transition to ANZSRC 2020 Fields of Research, which will be used for the first time in ERA 2023</w:t>
      </w:r>
      <w:r w:rsidR="00A92CD3">
        <w:t>.</w:t>
      </w:r>
      <w:r w:rsidR="00D31371">
        <w:t xml:space="preserve"> </w:t>
      </w:r>
    </w:p>
    <w:p w14:paraId="6DE68B16" w14:textId="09FF633D" w:rsidR="009A6F93" w:rsidRDefault="009A6F93" w:rsidP="00D72365">
      <w:pPr>
        <w:pStyle w:val="Heading3"/>
      </w:pPr>
      <w:bookmarkStart w:id="5" w:name="_Toc111458068"/>
      <w:r>
        <w:t>Dual Methodologies</w:t>
      </w:r>
      <w:bookmarkEnd w:id="5"/>
    </w:p>
    <w:p w14:paraId="6521464B" w14:textId="211A5651" w:rsidR="00176E9C" w:rsidRDefault="00E65D3E" w:rsidP="009A6F93">
      <w:r>
        <w:t xml:space="preserve">ERA 2023 will continue to use </w:t>
      </w:r>
      <w:r>
        <w:rPr>
          <w:i/>
          <w:iCs/>
        </w:rPr>
        <w:t xml:space="preserve">either </w:t>
      </w:r>
      <w:r>
        <w:t>citation analysis or peer review</w:t>
      </w:r>
      <w:r w:rsidR="0075173D">
        <w:t>, based on suitability for the discipline,</w:t>
      </w:r>
      <w:r>
        <w:t xml:space="preserve"> to produce the key quality indicators</w:t>
      </w:r>
      <w:r w:rsidR="00EE3E80">
        <w:t xml:space="preserve"> that inform evaluators</w:t>
      </w:r>
      <w:r w:rsidR="00E25922">
        <w:t>’</w:t>
      </w:r>
      <w:r w:rsidR="00EE3E80">
        <w:t xml:space="preserve"> judgments. </w:t>
      </w:r>
    </w:p>
    <w:p w14:paraId="73520C9B" w14:textId="3B0239A3" w:rsidR="009A6F93" w:rsidRPr="00E65D3E" w:rsidRDefault="00D725B4" w:rsidP="009A6F93">
      <w:r>
        <w:t>T</w:t>
      </w:r>
      <w:r w:rsidR="00C07FA5">
        <w:t xml:space="preserve">he ARC </w:t>
      </w:r>
      <w:r w:rsidR="00E24E0F">
        <w:t>intends to</w:t>
      </w:r>
      <w:r>
        <w:t xml:space="preserve"> investigate the use of</w:t>
      </w:r>
      <w:r w:rsidR="00C07FA5">
        <w:t xml:space="preserve"> mixed methodologies </w:t>
      </w:r>
      <w:r>
        <w:t>following the ERA 2023 round</w:t>
      </w:r>
      <w:r w:rsidR="00BD3642">
        <w:t>.</w:t>
      </w:r>
    </w:p>
    <w:p w14:paraId="1810CDE7" w14:textId="138F0D0C" w:rsidR="00995D6A" w:rsidRDefault="00995D6A" w:rsidP="00D72365">
      <w:pPr>
        <w:pStyle w:val="Heading3"/>
      </w:pPr>
      <w:bookmarkStart w:id="6" w:name="_Toc111458069"/>
      <w:r>
        <w:t>Key Quality Indicators</w:t>
      </w:r>
      <w:bookmarkEnd w:id="6"/>
    </w:p>
    <w:p w14:paraId="285A0448" w14:textId="50D6AE46" w:rsidR="005401D7" w:rsidRDefault="00145523" w:rsidP="00A0369B">
      <w:pPr>
        <w:pStyle w:val="Heading4"/>
      </w:pPr>
      <w:r>
        <w:t>Citation analysis disciplines</w:t>
      </w:r>
    </w:p>
    <w:p w14:paraId="3F007CA5" w14:textId="0FBADCD7" w:rsidR="00145523" w:rsidRDefault="00145523" w:rsidP="00145523">
      <w:r>
        <w:t>In ERA 2023, the key quality indicators for citation analysis disciplines will include:</w:t>
      </w:r>
    </w:p>
    <w:p w14:paraId="0EB6E42C" w14:textId="461C62C8" w:rsidR="00145523" w:rsidRDefault="00AF3040" w:rsidP="00145523">
      <w:pPr>
        <w:pStyle w:val="ListParagraph"/>
        <w:numPr>
          <w:ilvl w:val="0"/>
          <w:numId w:val="1"/>
        </w:numPr>
      </w:pPr>
      <w:r>
        <w:t>Relative Citation Impact (</w:t>
      </w:r>
      <w:r w:rsidR="006906A9">
        <w:t>RCI) calculated against</w:t>
      </w:r>
    </w:p>
    <w:p w14:paraId="4A0671F7" w14:textId="3022BDF5" w:rsidR="006906A9" w:rsidRDefault="36B92971" w:rsidP="006906A9">
      <w:pPr>
        <w:pStyle w:val="ListParagraph"/>
        <w:numPr>
          <w:ilvl w:val="1"/>
          <w:numId w:val="1"/>
        </w:numPr>
      </w:pPr>
      <w:r>
        <w:t>World citations per paper (</w:t>
      </w:r>
      <w:proofErr w:type="spellStart"/>
      <w:r>
        <w:t>cpp</w:t>
      </w:r>
      <w:proofErr w:type="spellEnd"/>
      <w:r>
        <w:t>) benchmark</w:t>
      </w:r>
    </w:p>
    <w:p w14:paraId="719881B9" w14:textId="1454DC07" w:rsidR="006F2680" w:rsidRDefault="006F2680" w:rsidP="006F2680">
      <w:pPr>
        <w:pStyle w:val="ListParagraph"/>
        <w:numPr>
          <w:ilvl w:val="0"/>
          <w:numId w:val="1"/>
        </w:numPr>
      </w:pPr>
      <w:r>
        <w:t>Distribution</w:t>
      </w:r>
      <w:r w:rsidR="00997E63">
        <w:t xml:space="preserve"> </w:t>
      </w:r>
      <w:r>
        <w:t xml:space="preserve">of papers </w:t>
      </w:r>
      <w:r w:rsidR="00997E63">
        <w:t>based on</w:t>
      </w:r>
      <w:r>
        <w:t xml:space="preserve"> world centiles</w:t>
      </w:r>
    </w:p>
    <w:p w14:paraId="6E64BE2D" w14:textId="65DE4843" w:rsidR="00145523" w:rsidRDefault="00145523" w:rsidP="00145523">
      <w:pPr>
        <w:pStyle w:val="ListParagraph"/>
        <w:numPr>
          <w:ilvl w:val="0"/>
          <w:numId w:val="1"/>
        </w:numPr>
      </w:pPr>
      <w:r>
        <w:t>Dynamic RCI classes</w:t>
      </w:r>
    </w:p>
    <w:p w14:paraId="4E14DC75" w14:textId="4FDD11EA" w:rsidR="00145523" w:rsidRDefault="00145523" w:rsidP="00145523">
      <w:r>
        <w:t>The following in</w:t>
      </w:r>
      <w:r w:rsidR="00425E78">
        <w:t>formation provided to evaluators in previous</w:t>
      </w:r>
      <w:r>
        <w:t xml:space="preserve"> rounds of ERA will </w:t>
      </w:r>
      <w:r>
        <w:rPr>
          <w:u w:val="single"/>
        </w:rPr>
        <w:t>not</w:t>
      </w:r>
      <w:r>
        <w:t xml:space="preserve"> be used in ERA 2023:</w:t>
      </w:r>
    </w:p>
    <w:p w14:paraId="25FF9035" w14:textId="78DFF425" w:rsidR="00E8FE37" w:rsidRDefault="7FC741A2" w:rsidP="00E8FE37">
      <w:pPr>
        <w:pStyle w:val="ListParagraph"/>
        <w:numPr>
          <w:ilvl w:val="0"/>
          <w:numId w:val="3"/>
        </w:numPr>
      </w:pPr>
      <w:r>
        <w:t xml:space="preserve">RCI Class </w:t>
      </w:r>
      <w:r w:rsidR="37BC6211">
        <w:t>Comparison</w:t>
      </w:r>
      <w:r w:rsidR="00E12E20">
        <w:t xml:space="preserve"> (</w:t>
      </w:r>
      <w:r w:rsidR="006A601A">
        <w:t xml:space="preserve">replaced </w:t>
      </w:r>
      <w:r w:rsidR="00BE2939">
        <w:t>by the dynamic RCI classes)</w:t>
      </w:r>
    </w:p>
    <w:p w14:paraId="7F3D4E41" w14:textId="3B7823B3" w:rsidR="00145523" w:rsidRPr="00145523" w:rsidRDefault="00145523" w:rsidP="00145523">
      <w:pPr>
        <w:pStyle w:val="ListParagraph"/>
        <w:numPr>
          <w:ilvl w:val="0"/>
          <w:numId w:val="3"/>
        </w:numPr>
      </w:pPr>
      <w:r>
        <w:t>Australian HEP benchmarks</w:t>
      </w:r>
    </w:p>
    <w:p w14:paraId="2D5F1EA2" w14:textId="73924D51" w:rsidR="009163F4" w:rsidRDefault="00F83D59" w:rsidP="00145523">
      <w:pPr>
        <w:pStyle w:val="Heading5"/>
      </w:pPr>
      <w:r>
        <w:t>Dynamic RCI Classes</w:t>
      </w:r>
    </w:p>
    <w:p w14:paraId="1614469B" w14:textId="021842BC" w:rsidR="006E605F" w:rsidRPr="00394968" w:rsidRDefault="00F83D59" w:rsidP="00F83D59">
      <w:r>
        <w:t xml:space="preserve">Dynamic RCI classes will be introduced in ERA </w:t>
      </w:r>
      <w:r w:rsidR="00755A27">
        <w:t>2023</w:t>
      </w:r>
      <w:r w:rsidR="00E074CC">
        <w:t xml:space="preserve">, </w:t>
      </w:r>
      <w:r w:rsidR="00044CBB">
        <w:t>to</w:t>
      </w:r>
      <w:r w:rsidR="001C0F86">
        <w:t xml:space="preserve"> </w:t>
      </w:r>
      <w:r w:rsidRPr="005C19E9">
        <w:rPr>
          <w:u w:val="single"/>
        </w:rPr>
        <w:t>replace</w:t>
      </w:r>
      <w:r>
        <w:t xml:space="preserve"> the RCI classes used in previous rounds of ERA.</w:t>
      </w:r>
      <w:r w:rsidR="00F82301">
        <w:t xml:space="preserve"> </w:t>
      </w:r>
      <w:r w:rsidR="00394968">
        <w:t xml:space="preserve">Dynamic RCI class boundaries are </w:t>
      </w:r>
      <w:r w:rsidR="00394968">
        <w:rPr>
          <w:i/>
          <w:iCs/>
        </w:rPr>
        <w:t>discipline-specifi</w:t>
      </w:r>
      <w:r w:rsidR="00F82301">
        <w:rPr>
          <w:i/>
          <w:iCs/>
        </w:rPr>
        <w:t xml:space="preserve">c </w:t>
      </w:r>
      <w:r w:rsidR="00F82301">
        <w:t>and will reflect citation performance in that discipline during the reference period for each ERA round</w:t>
      </w:r>
      <w:r w:rsidR="00592526">
        <w:t xml:space="preserve">. </w:t>
      </w:r>
      <w:r w:rsidR="0015374B">
        <w:t>In</w:t>
      </w:r>
      <w:r w:rsidR="0096698A">
        <w:t xml:space="preserve"> ERA 2023,</w:t>
      </w:r>
      <w:r w:rsidR="0015374B">
        <w:t xml:space="preserve"> for the first time,</w:t>
      </w:r>
      <w:r w:rsidR="00F26EF5">
        <w:t xml:space="preserve"> evaluators will also be provided with the</w:t>
      </w:r>
      <w:r w:rsidR="004F3D39">
        <w:t xml:space="preserve"> distribution of papers </w:t>
      </w:r>
      <w:r w:rsidR="0015374B">
        <w:t>worldwide</w:t>
      </w:r>
      <w:r w:rsidR="004F3D39">
        <w:t xml:space="preserve"> for more contextual comparison.</w:t>
      </w:r>
      <w:r w:rsidR="00B35D62">
        <w:t xml:space="preserve"> </w:t>
      </w:r>
      <w:r w:rsidR="006E605F">
        <w:t xml:space="preserve">It is important to note that the dynamic RCI classes </w:t>
      </w:r>
      <w:r w:rsidR="00C379E0">
        <w:t xml:space="preserve">are only </w:t>
      </w:r>
      <w:r w:rsidR="00C379E0" w:rsidRPr="004327D9">
        <w:rPr>
          <w:i/>
          <w:iCs/>
        </w:rPr>
        <w:t>one</w:t>
      </w:r>
      <w:r w:rsidR="00C379E0">
        <w:t xml:space="preserve"> of a suite of citation indicators (listed above)</w:t>
      </w:r>
      <w:r w:rsidR="00F82301">
        <w:t xml:space="preserve"> and will always be interpreted in the context of the full </w:t>
      </w:r>
      <w:proofErr w:type="spellStart"/>
      <w:r w:rsidR="00F82301">
        <w:t>UoE</w:t>
      </w:r>
      <w:proofErr w:type="spellEnd"/>
      <w:r w:rsidR="00F82301">
        <w:t xml:space="preserve"> profile.</w:t>
      </w:r>
    </w:p>
    <w:p w14:paraId="606F1510" w14:textId="59F5B40B" w:rsidR="005401D7" w:rsidRDefault="009A6F93" w:rsidP="009A6F93">
      <w:pPr>
        <w:pStyle w:val="Heading4"/>
      </w:pPr>
      <w:r>
        <w:t>Peer review disciplines</w:t>
      </w:r>
    </w:p>
    <w:p w14:paraId="6A29D7DE" w14:textId="67A3BB70" w:rsidR="00146B7B" w:rsidRDefault="00BF26BE" w:rsidP="00146B7B">
      <w:r>
        <w:t xml:space="preserve">In ERA 2023, the key quality indicator for peer review disciplines will </w:t>
      </w:r>
      <w:r w:rsidR="00A5389B">
        <w:t>continue to be peer review,</w:t>
      </w:r>
      <w:r w:rsidR="00A5389B" w:rsidDel="006434EC">
        <w:t xml:space="preserve"> </w:t>
      </w:r>
      <w:r w:rsidR="006434EC">
        <w:t xml:space="preserve">undertaken </w:t>
      </w:r>
      <w:r w:rsidR="00A5389B">
        <w:t xml:space="preserve">by </w:t>
      </w:r>
      <w:r w:rsidR="00557B57">
        <w:t xml:space="preserve">peer reviewers </w:t>
      </w:r>
      <w:r w:rsidR="006434EC">
        <w:t xml:space="preserve">and REC members </w:t>
      </w:r>
      <w:r w:rsidR="00557B57">
        <w:t xml:space="preserve">who read across a 30% sample of outputs for each </w:t>
      </w:r>
      <w:proofErr w:type="spellStart"/>
      <w:r w:rsidR="00557B57">
        <w:t>UoE</w:t>
      </w:r>
      <w:proofErr w:type="spellEnd"/>
      <w:r w:rsidR="00557B57">
        <w:t xml:space="preserve">. </w:t>
      </w:r>
    </w:p>
    <w:p w14:paraId="27E0BF30" w14:textId="77C4CFE1" w:rsidR="001721FC" w:rsidRDefault="00620190" w:rsidP="00146B7B">
      <w:r>
        <w:t xml:space="preserve">Peer reviewers </w:t>
      </w:r>
      <w:r w:rsidR="00BA58AF">
        <w:t xml:space="preserve">and REC members </w:t>
      </w:r>
      <w:r>
        <w:t xml:space="preserve">for ERA 2023 will be supported by </w:t>
      </w:r>
      <w:r w:rsidR="00AB3854">
        <w:t xml:space="preserve">the </w:t>
      </w:r>
      <w:r>
        <w:t>enhanced peer review criteria and guidance</w:t>
      </w:r>
      <w:r w:rsidR="00AB3854">
        <w:t xml:space="preserve"> proposed </w:t>
      </w:r>
      <w:r w:rsidR="00965E09">
        <w:t xml:space="preserve">in the </w:t>
      </w:r>
      <w:r w:rsidR="00965E09" w:rsidRPr="006F5A36">
        <w:rPr>
          <w:i/>
          <w:iCs/>
        </w:rPr>
        <w:t>ERA 2023 Benchmarking and Rating Scale Consultation Paper</w:t>
      </w:r>
      <w:r w:rsidR="00965E09">
        <w:t xml:space="preserve">, </w:t>
      </w:r>
      <w:r w:rsidR="00AE3E90">
        <w:t>following</w:t>
      </w:r>
      <w:r w:rsidR="00965E09">
        <w:t xml:space="preserve"> revisions to account for sector feedback</w:t>
      </w:r>
      <w:r w:rsidR="00225C50">
        <w:t>.</w:t>
      </w:r>
      <w:r w:rsidR="00DB7BC8">
        <w:t xml:space="preserve"> Th</w:t>
      </w:r>
      <w:r w:rsidR="003C3C3D">
        <w:t xml:space="preserve">e ARC </w:t>
      </w:r>
      <w:r w:rsidR="003A0603">
        <w:t>ha</w:t>
      </w:r>
      <w:r w:rsidR="003C3C3D">
        <w:t>s conven</w:t>
      </w:r>
      <w:r w:rsidR="003A0603">
        <w:t>ed</w:t>
      </w:r>
      <w:r w:rsidR="003C3C3D">
        <w:t xml:space="preserve"> a dedicated Peer Review Working Group to assist with ongoing revisions of the </w:t>
      </w:r>
      <w:r w:rsidR="008E0625">
        <w:t>guidance</w:t>
      </w:r>
      <w:r w:rsidR="00965E09">
        <w:t xml:space="preserve">. </w:t>
      </w:r>
      <w:r w:rsidR="006113DC">
        <w:t>Th</w:t>
      </w:r>
      <w:r w:rsidR="00384206">
        <w:t>is</w:t>
      </w:r>
      <w:r w:rsidR="006113DC">
        <w:t xml:space="preserve"> group</w:t>
      </w:r>
      <w:r w:rsidR="00E810DB">
        <w:t xml:space="preserve"> will </w:t>
      </w:r>
      <w:r w:rsidR="00511D3C">
        <w:t xml:space="preserve">consider both </w:t>
      </w:r>
      <w:r w:rsidR="00E810DB">
        <w:t xml:space="preserve">the </w:t>
      </w:r>
      <w:r w:rsidR="00511D3C">
        <w:t>structural requirements of the pilot and the detailed feedback from the Benchmarking and Rating Scale consultation</w:t>
      </w:r>
      <w:r w:rsidR="00965E09">
        <w:t xml:space="preserve">. </w:t>
      </w:r>
    </w:p>
    <w:p w14:paraId="212128AD" w14:textId="6CEAA4E8" w:rsidR="0046444A" w:rsidRDefault="00EF7B2B" w:rsidP="00D72365">
      <w:pPr>
        <w:pStyle w:val="Heading3"/>
      </w:pPr>
      <w:bookmarkStart w:id="7" w:name="_Toc111458070"/>
      <w:r>
        <w:t>Calibration</w:t>
      </w:r>
      <w:bookmarkEnd w:id="7"/>
      <w:r w:rsidR="00954AC5">
        <w:t xml:space="preserve"> </w:t>
      </w:r>
    </w:p>
    <w:p w14:paraId="64F13ADF" w14:textId="5467E3AD" w:rsidR="0057090D" w:rsidRDefault="00CE2729" w:rsidP="0057090D">
      <w:r>
        <w:t xml:space="preserve">The ARC is </w:t>
      </w:r>
      <w:r w:rsidR="00F00392">
        <w:t>investigat</w:t>
      </w:r>
      <w:r w:rsidR="00571F8A">
        <w:t>ing</w:t>
      </w:r>
      <w:r w:rsidR="00F00392">
        <w:t xml:space="preserve"> ways to improve</w:t>
      </w:r>
      <w:r w:rsidR="00997516">
        <w:t xml:space="preserve"> the</w:t>
      </w:r>
      <w:r w:rsidR="00571F8A">
        <w:t xml:space="preserve"> calibration methods</w:t>
      </w:r>
      <w:r w:rsidR="00997516">
        <w:t xml:space="preserve"> used</w:t>
      </w:r>
      <w:r w:rsidR="00571F8A">
        <w:t xml:space="preserve"> in ER</w:t>
      </w:r>
      <w:r w:rsidR="004023DA">
        <w:t>A</w:t>
      </w:r>
      <w:r w:rsidR="00C4556A">
        <w:t>, in collaboration with the Peer Review Working Group.</w:t>
      </w:r>
      <w:r w:rsidR="00A74FE6">
        <w:t xml:space="preserve"> These improvements aim to</w:t>
      </w:r>
      <w:r w:rsidR="00022030">
        <w:t xml:space="preserve"> better</w:t>
      </w:r>
      <w:r w:rsidR="00A74FE6">
        <w:t xml:space="preserve"> support</w:t>
      </w:r>
      <w:r w:rsidR="00D15029">
        <w:t xml:space="preserve"> a shared</w:t>
      </w:r>
      <w:r w:rsidR="00B13B80">
        <w:t xml:space="preserve"> high-level interpretation of the ERA rating scale</w:t>
      </w:r>
      <w:r w:rsidR="00D15029">
        <w:t xml:space="preserve"> across REC committees</w:t>
      </w:r>
      <w:r w:rsidR="00384206">
        <w:t>, particularly in peer review disciplines</w:t>
      </w:r>
      <w:r w:rsidR="00B13B80">
        <w:t>.</w:t>
      </w:r>
      <w:r w:rsidR="00E75B66">
        <w:t xml:space="preserve"> </w:t>
      </w:r>
    </w:p>
    <w:p w14:paraId="2956A060" w14:textId="2C7DB55D" w:rsidR="00EF7B2B" w:rsidRDefault="00357ADC" w:rsidP="00D72365">
      <w:pPr>
        <w:pStyle w:val="Heading3"/>
      </w:pPr>
      <w:bookmarkStart w:id="8" w:name="_Toc111458071"/>
      <w:r>
        <w:t>Indigenous studies</w:t>
      </w:r>
      <w:bookmarkEnd w:id="8"/>
      <w:r w:rsidR="00954AC5">
        <w:t xml:space="preserve"> </w:t>
      </w:r>
    </w:p>
    <w:p w14:paraId="490EF253" w14:textId="7A737E89" w:rsidR="001323F8" w:rsidRDefault="00E457C1" w:rsidP="00E457C1">
      <w:r>
        <w:t xml:space="preserve">The new Field of Research 45 for Indigenous Studies will be assessed </w:t>
      </w:r>
      <w:r w:rsidDel="00471CB5">
        <w:t xml:space="preserve">in </w:t>
      </w:r>
      <w:r>
        <w:t xml:space="preserve">ERA 2023, </w:t>
      </w:r>
      <w:r w:rsidR="00AE07A8">
        <w:t xml:space="preserve">using peer review, </w:t>
      </w:r>
      <w:r>
        <w:t>with results published alongside the results for other disciplines.</w:t>
      </w:r>
      <w:r w:rsidR="004C4E64">
        <w:t xml:space="preserve"> </w:t>
      </w:r>
    </w:p>
    <w:p w14:paraId="32C12E93" w14:textId="0D7D7C36" w:rsidR="00E457C1" w:rsidRPr="00AE07A8" w:rsidRDefault="00AE07A8" w:rsidP="00E457C1">
      <w:r>
        <w:t xml:space="preserve">Peer reviewers for 45 Indigenous studies will use the </w:t>
      </w:r>
      <w:r>
        <w:rPr>
          <w:u w:val="single"/>
        </w:rPr>
        <w:t>main peer review criteria</w:t>
      </w:r>
      <w:r w:rsidR="00A77697">
        <w:t xml:space="preserve">, </w:t>
      </w:r>
      <w:r w:rsidR="00D422B9">
        <w:t xml:space="preserve">with supplementary guidance that provides discipline-specific </w:t>
      </w:r>
      <w:r w:rsidR="00D422B9" w:rsidRPr="00AF590E">
        <w:t>context</w:t>
      </w:r>
      <w:r w:rsidR="00A77697">
        <w:t>.</w:t>
      </w:r>
      <w:r w:rsidR="00D422B9">
        <w:t xml:space="preserve"> </w:t>
      </w:r>
      <w:r w:rsidR="00384206">
        <w:t xml:space="preserve">The ARC is continuing to consult with stakeholders in Indigenous studies on the </w:t>
      </w:r>
      <w:r w:rsidR="00AF590E">
        <w:t>content of the supplementary guidance</w:t>
      </w:r>
      <w:r w:rsidR="00384206">
        <w:t>. The</w:t>
      </w:r>
      <w:r w:rsidR="00AF590E">
        <w:t xml:space="preserve"> </w:t>
      </w:r>
      <w:r w:rsidR="00AF590E">
        <w:rPr>
          <w:i/>
          <w:iCs/>
        </w:rPr>
        <w:t xml:space="preserve">ERA 2023 Peer Review </w:t>
      </w:r>
      <w:r w:rsidR="00AF590E" w:rsidRPr="00AF590E">
        <w:rPr>
          <w:i/>
          <w:iCs/>
        </w:rPr>
        <w:t>Handbook</w:t>
      </w:r>
      <w:r w:rsidR="00CE007A">
        <w:t xml:space="preserve"> </w:t>
      </w:r>
      <w:r w:rsidR="00AF590E">
        <w:t>will emphasise that the</w:t>
      </w:r>
      <w:r w:rsidR="00D422B9">
        <w:t xml:space="preserve"> supplementary guidance is </w:t>
      </w:r>
      <w:r w:rsidR="00D422B9" w:rsidRPr="00AF590E">
        <w:rPr>
          <w:i/>
          <w:iCs/>
        </w:rPr>
        <w:t>not</w:t>
      </w:r>
      <w:r w:rsidR="00D422B9">
        <w:t xml:space="preserve"> intended to replace the main peer review criteria and should only be used if relevant.</w:t>
      </w:r>
    </w:p>
    <w:p w14:paraId="276CAC81" w14:textId="69B6B9A3" w:rsidR="00ED2457" w:rsidRDefault="008A71E1" w:rsidP="00AF590E">
      <w:r>
        <w:t>To assist the sector with preparations for the assessment of</w:t>
      </w:r>
      <w:r w:rsidR="00055E4B">
        <w:t xml:space="preserve"> Indigenous Studies</w:t>
      </w:r>
      <w:r>
        <w:t xml:space="preserve"> in ERA</w:t>
      </w:r>
      <w:r w:rsidR="00055E4B">
        <w:t xml:space="preserve">, the ARC has released a </w:t>
      </w:r>
      <w:r>
        <w:t>roadmap and</w:t>
      </w:r>
      <w:r w:rsidR="00055E4B">
        <w:t xml:space="preserve"> factsheets developed </w:t>
      </w:r>
      <w:r w:rsidR="00702127">
        <w:t xml:space="preserve">with the Indigenous </w:t>
      </w:r>
      <w:r w:rsidR="00CA711E">
        <w:t>Studies Excellence and Engagement (ISEE) group</w:t>
      </w:r>
      <w:r w:rsidR="00281A7E">
        <w:t xml:space="preserve">. The </w:t>
      </w:r>
      <w:r w:rsidR="00536E85">
        <w:t>ISEE</w:t>
      </w:r>
      <w:r w:rsidR="007579EB">
        <w:t xml:space="preserve"> </w:t>
      </w:r>
      <w:r w:rsidR="005F26EA">
        <w:t>was</w:t>
      </w:r>
      <w:r w:rsidR="0055024F">
        <w:t xml:space="preserve"> convened to</w:t>
      </w:r>
      <w:r w:rsidR="00ED2457">
        <w:t>:</w:t>
      </w:r>
    </w:p>
    <w:p w14:paraId="2B7B98C3" w14:textId="3022BDF5" w:rsidR="00B93112" w:rsidRDefault="0055024F" w:rsidP="001D0732">
      <w:pPr>
        <w:pStyle w:val="ListParagraph"/>
        <w:numPr>
          <w:ilvl w:val="0"/>
          <w:numId w:val="21"/>
        </w:numPr>
      </w:pPr>
      <w:r>
        <w:t xml:space="preserve">co-design and promote strategies for sector-wide leadership in applying the Indigenous studies </w:t>
      </w:r>
      <w:proofErr w:type="spellStart"/>
      <w:r>
        <w:t>FoR</w:t>
      </w:r>
      <w:proofErr w:type="spellEnd"/>
      <w:r>
        <w:t xml:space="preserve"> in ERA 2023 and EI 2024, and</w:t>
      </w:r>
    </w:p>
    <w:p w14:paraId="6CBAA4E8" w14:textId="6F71E845" w:rsidR="00B37353" w:rsidRDefault="0055024F" w:rsidP="00B93112">
      <w:pPr>
        <w:pStyle w:val="ListParagraph"/>
        <w:numPr>
          <w:ilvl w:val="0"/>
          <w:numId w:val="21"/>
        </w:numPr>
      </w:pPr>
      <w:r>
        <w:t>encourage and support Indigenous researchers to participat</w:t>
      </w:r>
      <w:r w:rsidR="009B7F46">
        <w:t>e in submission and assessment processes</w:t>
      </w:r>
      <w:r w:rsidR="00675145">
        <w:t xml:space="preserve">. </w:t>
      </w:r>
    </w:p>
    <w:p w14:paraId="45B1226F" w14:textId="34805167" w:rsidR="00AF590E" w:rsidRDefault="008753D5" w:rsidP="00BE074A">
      <w:r>
        <w:t>The factsheets have been circulated to ERA Liaison Officers at universities and</w:t>
      </w:r>
      <w:r w:rsidR="005013F4">
        <w:t xml:space="preserve"> are available</w:t>
      </w:r>
      <w:r w:rsidR="00736091">
        <w:t>, alongside the ISEE membership list,</w:t>
      </w:r>
      <w:r w:rsidR="005013F4">
        <w:t xml:space="preserve"> on the </w:t>
      </w:r>
      <w:hyperlink r:id="rId24" w:history="1">
        <w:r w:rsidR="0067060A" w:rsidRPr="0067060A">
          <w:rPr>
            <w:rStyle w:val="Hyperlink"/>
          </w:rPr>
          <w:t>ARC website</w:t>
        </w:r>
      </w:hyperlink>
      <w:r w:rsidR="005013F4" w:rsidDel="0067060A">
        <w:t>.</w:t>
      </w:r>
    </w:p>
    <w:p w14:paraId="280D494C" w14:textId="3B87F80C" w:rsidR="00010030" w:rsidRDefault="00010030" w:rsidP="00010030">
      <w:pPr>
        <w:pStyle w:val="Heading2"/>
      </w:pPr>
      <w:bookmarkStart w:id="9" w:name="_Toc111458072"/>
      <w:r>
        <w:t>Post-ERA 2023 Pilot</w:t>
      </w:r>
      <w:bookmarkEnd w:id="9"/>
    </w:p>
    <w:p w14:paraId="738DF27A" w14:textId="77777777" w:rsidR="001D0F34" w:rsidRDefault="001320D6" w:rsidP="00DD4BE9">
      <w:r>
        <w:t xml:space="preserve">The post-ERA 2023 pilot will test the </w:t>
      </w:r>
      <w:r w:rsidR="008365D0">
        <w:t xml:space="preserve">new rating scale, </w:t>
      </w:r>
      <w:r w:rsidR="001915FB">
        <w:t xml:space="preserve">focusing on the top </w:t>
      </w:r>
      <w:r w:rsidR="000D630D">
        <w:t>two levels of the new rating scale (Appendix A)</w:t>
      </w:r>
      <w:r w:rsidR="001915FB">
        <w:t xml:space="preserve"> and its supporting indicators in citation analysis and peer review. </w:t>
      </w:r>
    </w:p>
    <w:p w14:paraId="2E0053CA" w14:textId="0D9CD5A8" w:rsidR="001D0F34" w:rsidRDefault="00621976" w:rsidP="00621976">
      <w:pPr>
        <w:pStyle w:val="Heading3"/>
      </w:pPr>
      <w:bookmarkStart w:id="10" w:name="_Toc111458073"/>
      <w:r>
        <w:t>Methodology</w:t>
      </w:r>
      <w:bookmarkEnd w:id="10"/>
    </w:p>
    <w:p w14:paraId="36B39FD4" w14:textId="77777777" w:rsidR="007E4E4C" w:rsidRDefault="00257581" w:rsidP="00DD4BE9">
      <w:r>
        <w:t xml:space="preserve">RECs from ERA 2023 will re-evaluate </w:t>
      </w:r>
      <w:proofErr w:type="spellStart"/>
      <w:r>
        <w:t>UoEs</w:t>
      </w:r>
      <w:proofErr w:type="spellEnd"/>
      <w:r>
        <w:t xml:space="preserve"> rated </w:t>
      </w:r>
      <w:r w:rsidR="00E90E65">
        <w:t xml:space="preserve">4 and </w:t>
      </w:r>
      <w:r>
        <w:t>5 in ERA 2023</w:t>
      </w:r>
      <w:r w:rsidR="007A034B">
        <w:t xml:space="preserve"> against the new rating scale, using</w:t>
      </w:r>
      <w:r w:rsidR="007E4E4C">
        <w:t>:</w:t>
      </w:r>
      <w:r w:rsidR="007A034B">
        <w:t xml:space="preserve"> </w:t>
      </w:r>
    </w:p>
    <w:p w14:paraId="59DA4DB3" w14:textId="7CD86E49" w:rsidR="007E4E4C" w:rsidRDefault="71AA675C" w:rsidP="007E4E4C">
      <w:pPr>
        <w:pStyle w:val="ListParagraph"/>
        <w:numPr>
          <w:ilvl w:val="0"/>
          <w:numId w:val="21"/>
        </w:numPr>
      </w:pPr>
      <w:r>
        <w:t xml:space="preserve">the </w:t>
      </w:r>
      <w:proofErr w:type="gramStart"/>
      <w:r>
        <w:t>High Performance</w:t>
      </w:r>
      <w:proofErr w:type="gramEnd"/>
      <w:r>
        <w:t xml:space="preserve"> Indicator</w:t>
      </w:r>
      <w:r w:rsidR="3B97A46C">
        <w:t xml:space="preserve"> (alongside the full suite of other citation indicators)</w:t>
      </w:r>
      <w:r>
        <w:t xml:space="preserve"> </w:t>
      </w:r>
      <w:r w:rsidR="12AB65DD">
        <w:t xml:space="preserve">in citation disciplines and </w:t>
      </w:r>
    </w:p>
    <w:p w14:paraId="0705BFD3" w14:textId="1DE7EA12" w:rsidR="007E4E4C" w:rsidRDefault="007E4E4C" w:rsidP="007E4E4C">
      <w:pPr>
        <w:pStyle w:val="ListParagraph"/>
        <w:numPr>
          <w:ilvl w:val="0"/>
          <w:numId w:val="21"/>
        </w:numPr>
      </w:pPr>
      <w:r>
        <w:t>existing peer review reports and further reading (as necessary) by RECs in peer review disciplines.</w:t>
      </w:r>
    </w:p>
    <w:p w14:paraId="4B90F4F5" w14:textId="13457777" w:rsidR="009B7F46" w:rsidRPr="00DD4BE9" w:rsidRDefault="004D4069" w:rsidP="00DD4BE9">
      <w:r>
        <w:t>The ARC will provide f</w:t>
      </w:r>
      <w:r w:rsidR="009B7F46">
        <w:t>urther information on the</w:t>
      </w:r>
      <w:r>
        <w:t xml:space="preserve"> </w:t>
      </w:r>
      <w:r w:rsidR="00C11A66">
        <w:t xml:space="preserve">pilot </w:t>
      </w:r>
      <w:r w:rsidR="002B63E0">
        <w:t xml:space="preserve">in the </w:t>
      </w:r>
      <w:r w:rsidR="002B63E0" w:rsidRPr="00B66736">
        <w:rPr>
          <w:i/>
        </w:rPr>
        <w:t>ERA 2023 Evaluation Handbook</w:t>
      </w:r>
      <w:r w:rsidR="002B63E0">
        <w:t>.</w:t>
      </w:r>
    </w:p>
    <w:p w14:paraId="454A9A78" w14:textId="1C90FCC0" w:rsidR="00516B69" w:rsidRDefault="00516B69">
      <w:r>
        <w:br w:type="page"/>
      </w:r>
    </w:p>
    <w:p w14:paraId="5D5857F5" w14:textId="77777777" w:rsidR="00516B69" w:rsidRDefault="00516B69" w:rsidP="00516B69">
      <w:pPr>
        <w:pStyle w:val="Heading1"/>
      </w:pPr>
      <w:bookmarkStart w:id="11" w:name="_Toc111458074"/>
      <w:r>
        <w:t>Appendix A – Rating Scales</w:t>
      </w:r>
      <w:bookmarkEnd w:id="11"/>
    </w:p>
    <w:p w14:paraId="21332F38" w14:textId="10BA6C5E" w:rsidR="00516B69" w:rsidRPr="00797F88" w:rsidRDefault="00516B69" w:rsidP="00516B69">
      <w:pPr>
        <w:spacing w:line="257" w:lineRule="auto"/>
        <w:rPr>
          <w:b/>
          <w:bCs/>
        </w:rPr>
      </w:pPr>
      <w:r w:rsidRPr="00797F88">
        <w:rPr>
          <w:b/>
          <w:bCs/>
        </w:rPr>
        <w:t>ERA 2023 Rating Scale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7785"/>
      </w:tblGrid>
      <w:tr w:rsidR="00516B69" w:rsidRPr="003B2B94" w14:paraId="4DDFEFF1" w14:textId="77777777" w:rsidTr="00491887">
        <w:trPr>
          <w:trHeight w:val="345"/>
        </w:trPr>
        <w:tc>
          <w:tcPr>
            <w:tcW w:w="1215" w:type="dxa"/>
            <w:tcBorders>
              <w:top w:val="single" w:sz="6" w:space="0" w:color="ED7D31"/>
              <w:left w:val="single" w:sz="6" w:space="0" w:color="ED7D31"/>
              <w:bottom w:val="single" w:sz="6" w:space="0" w:color="ED7D31"/>
              <w:right w:val="nil"/>
            </w:tcBorders>
            <w:shd w:val="clear" w:color="auto" w:fill="ED7D31"/>
            <w:hideMark/>
          </w:tcPr>
          <w:p w14:paraId="43A72952" w14:textId="77777777" w:rsidR="00516B69" w:rsidRPr="003B2B94" w:rsidRDefault="00516B69"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Rating</w:t>
            </w:r>
            <w:r w:rsidRPr="003B2B94">
              <w:rPr>
                <w:rFonts w:ascii="Calibri" w:eastAsia="Times New Roman" w:hAnsi="Calibri" w:cs="Calibri"/>
                <w:lang w:eastAsia="en-AU"/>
              </w:rPr>
              <w:t>  </w:t>
            </w:r>
          </w:p>
        </w:tc>
        <w:tc>
          <w:tcPr>
            <w:tcW w:w="7785" w:type="dxa"/>
            <w:tcBorders>
              <w:top w:val="single" w:sz="6" w:space="0" w:color="ED7D31"/>
              <w:left w:val="nil"/>
              <w:bottom w:val="single" w:sz="6" w:space="0" w:color="ED7D31"/>
              <w:right w:val="single" w:sz="6" w:space="0" w:color="ED7D31"/>
            </w:tcBorders>
            <w:shd w:val="clear" w:color="auto" w:fill="ED7D31"/>
            <w:hideMark/>
          </w:tcPr>
          <w:p w14:paraId="7EE90E8B" w14:textId="77777777" w:rsidR="00516B69" w:rsidRPr="003B2B94" w:rsidRDefault="00516B69" w:rsidP="00491887">
            <w:pPr>
              <w:spacing w:after="0"/>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Descriptor </w:t>
            </w:r>
            <w:r w:rsidRPr="003B2B94">
              <w:rPr>
                <w:rFonts w:ascii="Calibri" w:eastAsia="Times New Roman" w:hAnsi="Calibri" w:cs="Calibri"/>
                <w:lang w:eastAsia="en-AU"/>
              </w:rPr>
              <w:t>  </w:t>
            </w:r>
          </w:p>
        </w:tc>
      </w:tr>
      <w:tr w:rsidR="00516B69" w:rsidRPr="003B2B94" w14:paraId="7596012D" w14:textId="77777777" w:rsidTr="00491887">
        <w:trPr>
          <w:trHeight w:val="810"/>
        </w:trPr>
        <w:tc>
          <w:tcPr>
            <w:tcW w:w="1215" w:type="dxa"/>
            <w:tcBorders>
              <w:top w:val="single" w:sz="6" w:space="0" w:color="ED7D31"/>
              <w:left w:val="single" w:sz="6" w:space="0" w:color="ED7D31"/>
              <w:bottom w:val="single" w:sz="6" w:space="0" w:color="ED7D31"/>
              <w:right w:val="nil"/>
            </w:tcBorders>
            <w:shd w:val="clear" w:color="auto" w:fill="FCECE8"/>
            <w:vAlign w:val="center"/>
            <w:hideMark/>
          </w:tcPr>
          <w:p w14:paraId="2304DDB9" w14:textId="77777777" w:rsidR="00516B69" w:rsidRPr="003B2B94" w:rsidRDefault="00516B69"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5</w:t>
            </w:r>
            <w:r w:rsidRPr="003B2B94">
              <w:rPr>
                <w:rFonts w:ascii="Calibri" w:eastAsia="Times New Roman" w:hAnsi="Calibri" w:cs="Calibri"/>
                <w:lang w:eastAsia="en-AU"/>
              </w:rPr>
              <w:t>  </w:t>
            </w:r>
          </w:p>
        </w:tc>
        <w:tc>
          <w:tcPr>
            <w:tcW w:w="7785" w:type="dxa"/>
            <w:tcBorders>
              <w:top w:val="single" w:sz="6" w:space="0" w:color="ED7D31"/>
              <w:left w:val="nil"/>
              <w:bottom w:val="single" w:sz="6" w:space="0" w:color="ED7D31"/>
              <w:right w:val="single" w:sz="6" w:space="0" w:color="ED7D31"/>
            </w:tcBorders>
            <w:shd w:val="clear" w:color="auto" w:fill="FCECE8"/>
            <w:hideMark/>
          </w:tcPr>
          <w:p w14:paraId="0CBACEA3" w14:textId="77777777" w:rsidR="00516B69" w:rsidRPr="003B2B94" w:rsidRDefault="00516B69" w:rsidP="00491887">
            <w:pPr>
              <w:spacing w:after="0"/>
              <w:textAlignment w:val="baseline"/>
              <w:rPr>
                <w:rFonts w:ascii="Segoe UI" w:eastAsia="Times New Roman" w:hAnsi="Segoe UI" w:cs="Segoe UI"/>
                <w:sz w:val="18"/>
                <w:szCs w:val="18"/>
                <w:lang w:eastAsia="en-AU"/>
              </w:rPr>
            </w:pPr>
            <w:r w:rsidRPr="003B2B94">
              <w:rPr>
                <w:rFonts w:ascii="Calibri" w:eastAsia="Times New Roman" w:hAnsi="Calibri" w:cs="Calibri"/>
                <w:lang w:eastAsia="en-AU"/>
              </w:rPr>
              <w:t xml:space="preserve">The Unit of Evaluation profile is characterised by evidence of outstanding performance </w:t>
            </w:r>
            <w:r w:rsidRPr="003B2B94">
              <w:rPr>
                <w:rFonts w:ascii="Calibri" w:eastAsia="Times New Roman" w:hAnsi="Calibri" w:cs="Calibri"/>
                <w:b/>
                <w:bCs/>
                <w:lang w:eastAsia="en-AU"/>
              </w:rPr>
              <w:t xml:space="preserve">well above world standard </w:t>
            </w:r>
            <w:r w:rsidRPr="003B2B94">
              <w:rPr>
                <w:rFonts w:ascii="Calibri" w:eastAsia="Times New Roman" w:hAnsi="Calibri" w:cs="Calibri"/>
                <w:lang w:eastAsia="en-AU"/>
              </w:rPr>
              <w:t>presented by the suite of indicators used for evaluation.   </w:t>
            </w:r>
          </w:p>
        </w:tc>
      </w:tr>
      <w:tr w:rsidR="00516B69" w:rsidRPr="003B2B94" w14:paraId="3879F130" w14:textId="77777777" w:rsidTr="00491887">
        <w:trPr>
          <w:trHeight w:val="720"/>
        </w:trPr>
        <w:tc>
          <w:tcPr>
            <w:tcW w:w="1215" w:type="dxa"/>
            <w:tcBorders>
              <w:top w:val="single" w:sz="6" w:space="0" w:color="ED7D31"/>
              <w:left w:val="single" w:sz="6" w:space="0" w:color="ED7D31"/>
              <w:bottom w:val="single" w:sz="6" w:space="0" w:color="ED7D31"/>
              <w:right w:val="nil"/>
            </w:tcBorders>
            <w:shd w:val="clear" w:color="auto" w:fill="FFFFFF"/>
            <w:vAlign w:val="center"/>
            <w:hideMark/>
          </w:tcPr>
          <w:p w14:paraId="16B823DF" w14:textId="77777777" w:rsidR="00516B69" w:rsidRPr="003B2B94" w:rsidRDefault="00516B69"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4</w:t>
            </w:r>
            <w:r w:rsidRPr="003B2B94">
              <w:rPr>
                <w:rFonts w:ascii="Calibri" w:eastAsia="Times New Roman" w:hAnsi="Calibri" w:cs="Calibri"/>
                <w:lang w:eastAsia="en-AU"/>
              </w:rPr>
              <w:t>  </w:t>
            </w:r>
          </w:p>
        </w:tc>
        <w:tc>
          <w:tcPr>
            <w:tcW w:w="7785" w:type="dxa"/>
            <w:tcBorders>
              <w:top w:val="single" w:sz="6" w:space="0" w:color="ED7D31"/>
              <w:left w:val="nil"/>
              <w:bottom w:val="single" w:sz="6" w:space="0" w:color="ED7D31"/>
              <w:right w:val="single" w:sz="6" w:space="0" w:color="ED7D31"/>
            </w:tcBorders>
            <w:shd w:val="clear" w:color="auto" w:fill="FFFFFF"/>
            <w:hideMark/>
          </w:tcPr>
          <w:p w14:paraId="3144D3B1" w14:textId="77777777" w:rsidR="00516B69" w:rsidRPr="003B2B94" w:rsidRDefault="00516B69" w:rsidP="00491887">
            <w:pPr>
              <w:spacing w:after="0"/>
              <w:textAlignment w:val="baseline"/>
              <w:rPr>
                <w:rFonts w:ascii="Segoe UI" w:eastAsia="Times New Roman" w:hAnsi="Segoe UI" w:cs="Segoe UI"/>
                <w:sz w:val="18"/>
                <w:szCs w:val="18"/>
                <w:lang w:eastAsia="en-AU"/>
              </w:rPr>
            </w:pPr>
            <w:r w:rsidRPr="003B2B94">
              <w:rPr>
                <w:rFonts w:ascii="Calibri" w:eastAsia="Times New Roman" w:hAnsi="Calibri" w:cs="Calibri"/>
                <w:lang w:eastAsia="en-AU"/>
              </w:rPr>
              <w:t xml:space="preserve">The Unit of Evaluation profile is characterised by evidence of performance </w:t>
            </w:r>
            <w:r w:rsidRPr="003B2B94">
              <w:rPr>
                <w:rFonts w:ascii="Calibri" w:eastAsia="Times New Roman" w:hAnsi="Calibri" w:cs="Calibri"/>
                <w:b/>
                <w:bCs/>
                <w:lang w:eastAsia="en-AU"/>
              </w:rPr>
              <w:t xml:space="preserve">above world standard </w:t>
            </w:r>
            <w:r w:rsidRPr="003B2B94">
              <w:rPr>
                <w:rFonts w:ascii="Calibri" w:eastAsia="Times New Roman" w:hAnsi="Calibri" w:cs="Calibri"/>
                <w:lang w:eastAsia="en-AU"/>
              </w:rPr>
              <w:t>presented by the suite of indicators used for evaluation.   </w:t>
            </w:r>
          </w:p>
        </w:tc>
      </w:tr>
      <w:tr w:rsidR="00516B69" w:rsidRPr="003B2B94" w14:paraId="1277B3E5" w14:textId="77777777" w:rsidTr="00491887">
        <w:trPr>
          <w:trHeight w:val="810"/>
        </w:trPr>
        <w:tc>
          <w:tcPr>
            <w:tcW w:w="1215" w:type="dxa"/>
            <w:tcBorders>
              <w:top w:val="single" w:sz="6" w:space="0" w:color="ED7D31"/>
              <w:left w:val="single" w:sz="6" w:space="0" w:color="ED7D31"/>
              <w:bottom w:val="single" w:sz="6" w:space="0" w:color="ED7D31"/>
              <w:right w:val="nil"/>
            </w:tcBorders>
            <w:shd w:val="clear" w:color="auto" w:fill="C5E0B4"/>
            <w:vAlign w:val="center"/>
            <w:hideMark/>
          </w:tcPr>
          <w:p w14:paraId="392687A5" w14:textId="77777777" w:rsidR="00516B69" w:rsidRPr="003B2B94" w:rsidRDefault="00516B69"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3</w:t>
            </w:r>
            <w:r w:rsidRPr="003B2B94">
              <w:rPr>
                <w:rFonts w:ascii="Calibri" w:eastAsia="Times New Roman" w:hAnsi="Calibri" w:cs="Calibri"/>
                <w:lang w:eastAsia="en-AU"/>
              </w:rPr>
              <w:t>  </w:t>
            </w:r>
          </w:p>
        </w:tc>
        <w:tc>
          <w:tcPr>
            <w:tcW w:w="7785" w:type="dxa"/>
            <w:tcBorders>
              <w:top w:val="single" w:sz="6" w:space="0" w:color="ED7D31"/>
              <w:left w:val="nil"/>
              <w:bottom w:val="single" w:sz="6" w:space="0" w:color="ED7D31"/>
              <w:right w:val="single" w:sz="6" w:space="0" w:color="ED7D31"/>
            </w:tcBorders>
            <w:shd w:val="clear" w:color="auto" w:fill="C5E0B4"/>
            <w:hideMark/>
          </w:tcPr>
          <w:p w14:paraId="162E8A2E" w14:textId="77777777" w:rsidR="00516B69" w:rsidRPr="003B2B94" w:rsidRDefault="00516B69" w:rsidP="00491887">
            <w:pPr>
              <w:spacing w:after="0"/>
              <w:textAlignment w:val="baseline"/>
              <w:rPr>
                <w:rFonts w:ascii="Segoe UI" w:eastAsia="Times New Roman" w:hAnsi="Segoe UI" w:cs="Segoe UI"/>
                <w:sz w:val="18"/>
                <w:szCs w:val="18"/>
                <w:lang w:eastAsia="en-AU"/>
              </w:rPr>
            </w:pPr>
            <w:r w:rsidRPr="003B2B94">
              <w:rPr>
                <w:rFonts w:ascii="Calibri" w:eastAsia="Times New Roman" w:hAnsi="Calibri" w:cs="Calibri"/>
                <w:lang w:eastAsia="en-AU"/>
              </w:rPr>
              <w:t xml:space="preserve">The Unit of Evaluation profile is characterised by evidence of average performance </w:t>
            </w:r>
            <w:r w:rsidRPr="003B2B94">
              <w:rPr>
                <w:rFonts w:ascii="Calibri" w:eastAsia="Times New Roman" w:hAnsi="Calibri" w:cs="Calibri"/>
                <w:b/>
                <w:bCs/>
                <w:lang w:eastAsia="en-AU"/>
              </w:rPr>
              <w:t xml:space="preserve">at world standard </w:t>
            </w:r>
            <w:r w:rsidRPr="003B2B94">
              <w:rPr>
                <w:rFonts w:ascii="Calibri" w:eastAsia="Times New Roman" w:hAnsi="Calibri" w:cs="Calibri"/>
                <w:lang w:eastAsia="en-AU"/>
              </w:rPr>
              <w:t>presented by the suite of indicators used for evaluation.   </w:t>
            </w:r>
          </w:p>
        </w:tc>
      </w:tr>
      <w:tr w:rsidR="00516B69" w:rsidRPr="003B2B94" w14:paraId="5C7F0D81" w14:textId="77777777" w:rsidTr="00491887">
        <w:trPr>
          <w:trHeight w:val="675"/>
        </w:trPr>
        <w:tc>
          <w:tcPr>
            <w:tcW w:w="1215" w:type="dxa"/>
            <w:tcBorders>
              <w:top w:val="single" w:sz="6" w:space="0" w:color="ED7D31"/>
              <w:left w:val="single" w:sz="6" w:space="0" w:color="ED7D31"/>
              <w:bottom w:val="single" w:sz="6" w:space="0" w:color="ED7D31"/>
              <w:right w:val="nil"/>
            </w:tcBorders>
            <w:shd w:val="clear" w:color="auto" w:fill="FFFFFF"/>
            <w:vAlign w:val="center"/>
            <w:hideMark/>
          </w:tcPr>
          <w:p w14:paraId="153D1FFA" w14:textId="77777777" w:rsidR="00516B69" w:rsidRPr="003B2B94" w:rsidRDefault="00516B69"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2</w:t>
            </w:r>
            <w:r w:rsidRPr="003B2B94">
              <w:rPr>
                <w:rFonts w:ascii="Calibri" w:eastAsia="Times New Roman" w:hAnsi="Calibri" w:cs="Calibri"/>
                <w:lang w:eastAsia="en-AU"/>
              </w:rPr>
              <w:t>  </w:t>
            </w:r>
          </w:p>
        </w:tc>
        <w:tc>
          <w:tcPr>
            <w:tcW w:w="7785" w:type="dxa"/>
            <w:tcBorders>
              <w:top w:val="single" w:sz="6" w:space="0" w:color="ED7D31"/>
              <w:left w:val="nil"/>
              <w:bottom w:val="single" w:sz="6" w:space="0" w:color="ED7D31"/>
              <w:right w:val="single" w:sz="6" w:space="0" w:color="ED7D31"/>
            </w:tcBorders>
            <w:shd w:val="clear" w:color="auto" w:fill="FFFFFF"/>
            <w:hideMark/>
          </w:tcPr>
          <w:p w14:paraId="65006DBE" w14:textId="77777777" w:rsidR="00516B69" w:rsidRPr="003B2B94" w:rsidRDefault="00516B69" w:rsidP="00491887">
            <w:pPr>
              <w:spacing w:after="0"/>
              <w:textAlignment w:val="baseline"/>
              <w:rPr>
                <w:rFonts w:ascii="Segoe UI" w:eastAsia="Times New Roman" w:hAnsi="Segoe UI" w:cs="Segoe UI"/>
                <w:sz w:val="18"/>
                <w:szCs w:val="18"/>
                <w:lang w:eastAsia="en-AU"/>
              </w:rPr>
            </w:pPr>
            <w:r w:rsidRPr="003B2B94">
              <w:rPr>
                <w:rFonts w:ascii="Calibri" w:eastAsia="Times New Roman" w:hAnsi="Calibri" w:cs="Calibri"/>
                <w:lang w:eastAsia="en-AU"/>
              </w:rPr>
              <w:t xml:space="preserve">The Unit of Evaluation profile is characterised by evidence of performance </w:t>
            </w:r>
            <w:r w:rsidRPr="003B2B94">
              <w:rPr>
                <w:rFonts w:ascii="Calibri" w:eastAsia="Times New Roman" w:hAnsi="Calibri" w:cs="Calibri"/>
                <w:b/>
                <w:bCs/>
                <w:lang w:eastAsia="en-AU"/>
              </w:rPr>
              <w:t>below world standard</w:t>
            </w:r>
            <w:r w:rsidRPr="003B2B94">
              <w:rPr>
                <w:rFonts w:ascii="Calibri" w:eastAsia="Times New Roman" w:hAnsi="Calibri" w:cs="Calibri"/>
                <w:lang w:eastAsia="en-AU"/>
              </w:rPr>
              <w:t xml:space="preserve"> presented by the suite of indicators used for evaluation.   </w:t>
            </w:r>
          </w:p>
        </w:tc>
      </w:tr>
      <w:tr w:rsidR="00516B69" w:rsidRPr="003B2B94" w14:paraId="58EC29F5" w14:textId="77777777" w:rsidTr="00491887">
        <w:trPr>
          <w:trHeight w:val="720"/>
        </w:trPr>
        <w:tc>
          <w:tcPr>
            <w:tcW w:w="1215" w:type="dxa"/>
            <w:tcBorders>
              <w:top w:val="single" w:sz="6" w:space="0" w:color="ED7D31"/>
              <w:left w:val="single" w:sz="6" w:space="0" w:color="ED7D31"/>
              <w:bottom w:val="single" w:sz="6" w:space="0" w:color="ED7D31"/>
              <w:right w:val="nil"/>
            </w:tcBorders>
            <w:shd w:val="clear" w:color="auto" w:fill="FCECE8"/>
            <w:vAlign w:val="center"/>
            <w:hideMark/>
          </w:tcPr>
          <w:p w14:paraId="1135F4E5" w14:textId="77777777" w:rsidR="00516B69" w:rsidRPr="003B2B94" w:rsidRDefault="00516B69"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1</w:t>
            </w:r>
            <w:r w:rsidRPr="003B2B94">
              <w:rPr>
                <w:rFonts w:ascii="Calibri" w:eastAsia="Times New Roman" w:hAnsi="Calibri" w:cs="Calibri"/>
                <w:lang w:eastAsia="en-AU"/>
              </w:rPr>
              <w:t>  </w:t>
            </w:r>
          </w:p>
        </w:tc>
        <w:tc>
          <w:tcPr>
            <w:tcW w:w="7785" w:type="dxa"/>
            <w:tcBorders>
              <w:top w:val="single" w:sz="6" w:space="0" w:color="ED7D31"/>
              <w:left w:val="nil"/>
              <w:bottom w:val="single" w:sz="6" w:space="0" w:color="ED7D31"/>
              <w:right w:val="single" w:sz="6" w:space="0" w:color="ED7D31"/>
            </w:tcBorders>
            <w:shd w:val="clear" w:color="auto" w:fill="FCECE8"/>
            <w:hideMark/>
          </w:tcPr>
          <w:p w14:paraId="5E009F4D" w14:textId="77777777" w:rsidR="00516B69" w:rsidRPr="003B2B94" w:rsidRDefault="00516B69" w:rsidP="00491887">
            <w:pPr>
              <w:spacing w:after="0"/>
              <w:textAlignment w:val="baseline"/>
              <w:rPr>
                <w:rFonts w:ascii="Segoe UI" w:eastAsia="Times New Roman" w:hAnsi="Segoe UI" w:cs="Segoe UI"/>
                <w:sz w:val="18"/>
                <w:szCs w:val="18"/>
                <w:lang w:eastAsia="en-AU"/>
              </w:rPr>
            </w:pPr>
            <w:r w:rsidRPr="003B2B94">
              <w:rPr>
                <w:rFonts w:ascii="Calibri" w:eastAsia="Times New Roman" w:hAnsi="Calibri" w:cs="Calibri"/>
                <w:lang w:eastAsia="en-AU"/>
              </w:rPr>
              <w:t xml:space="preserve">The Unit of Evaluation profile is characterised by evidence of performance </w:t>
            </w:r>
            <w:r w:rsidRPr="003B2B94">
              <w:rPr>
                <w:rFonts w:ascii="Calibri" w:eastAsia="Times New Roman" w:hAnsi="Calibri" w:cs="Calibri"/>
                <w:b/>
                <w:bCs/>
                <w:lang w:eastAsia="en-AU"/>
              </w:rPr>
              <w:t xml:space="preserve">well below world standard </w:t>
            </w:r>
            <w:r w:rsidRPr="003B2B94">
              <w:rPr>
                <w:rFonts w:ascii="Calibri" w:eastAsia="Times New Roman" w:hAnsi="Calibri" w:cs="Calibri"/>
                <w:lang w:eastAsia="en-AU"/>
              </w:rPr>
              <w:t>presented by the suite of indicators used for evaluation.  </w:t>
            </w:r>
          </w:p>
        </w:tc>
      </w:tr>
      <w:tr w:rsidR="00516B69" w:rsidRPr="003B2B94" w14:paraId="5911A641" w14:textId="77777777" w:rsidTr="00491887">
        <w:trPr>
          <w:trHeight w:val="750"/>
        </w:trPr>
        <w:tc>
          <w:tcPr>
            <w:tcW w:w="1215" w:type="dxa"/>
            <w:tcBorders>
              <w:top w:val="single" w:sz="6" w:space="0" w:color="ED7D31"/>
              <w:left w:val="single" w:sz="6" w:space="0" w:color="ED7D31"/>
              <w:bottom w:val="single" w:sz="6" w:space="0" w:color="ED7D31"/>
              <w:right w:val="nil"/>
            </w:tcBorders>
            <w:shd w:val="clear" w:color="auto" w:fill="auto"/>
            <w:vAlign w:val="center"/>
            <w:hideMark/>
          </w:tcPr>
          <w:p w14:paraId="771285CD" w14:textId="77777777" w:rsidR="00516B69" w:rsidRPr="003B2B94" w:rsidRDefault="00516B69"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b/>
                <w:bCs/>
                <w:lang w:eastAsia="en-AU"/>
              </w:rPr>
              <w:t>n/a</w:t>
            </w:r>
            <w:r w:rsidRPr="003B2B94">
              <w:rPr>
                <w:rFonts w:ascii="Calibri" w:eastAsia="Times New Roman" w:hAnsi="Calibri" w:cs="Calibri"/>
                <w:lang w:eastAsia="en-AU"/>
              </w:rPr>
              <w:t>  </w:t>
            </w:r>
          </w:p>
        </w:tc>
        <w:tc>
          <w:tcPr>
            <w:tcW w:w="7785" w:type="dxa"/>
            <w:tcBorders>
              <w:top w:val="single" w:sz="6" w:space="0" w:color="ED7D31"/>
              <w:left w:val="nil"/>
              <w:bottom w:val="single" w:sz="6" w:space="0" w:color="ED7D31"/>
              <w:right w:val="single" w:sz="6" w:space="0" w:color="ED7D31"/>
            </w:tcBorders>
            <w:shd w:val="clear" w:color="auto" w:fill="auto"/>
            <w:hideMark/>
          </w:tcPr>
          <w:p w14:paraId="1CA3F599" w14:textId="77777777" w:rsidR="00516B69" w:rsidRPr="003B2B94" w:rsidRDefault="00516B69" w:rsidP="00491887">
            <w:pPr>
              <w:spacing w:after="0"/>
              <w:textAlignment w:val="baseline"/>
              <w:rPr>
                <w:rFonts w:ascii="Segoe UI" w:eastAsia="Times New Roman" w:hAnsi="Segoe UI" w:cs="Segoe UI"/>
                <w:sz w:val="18"/>
                <w:szCs w:val="18"/>
                <w:lang w:eastAsia="en-AU"/>
              </w:rPr>
            </w:pPr>
            <w:r w:rsidRPr="003B2B94">
              <w:rPr>
                <w:rFonts w:ascii="Calibri" w:eastAsia="Times New Roman" w:hAnsi="Calibri" w:cs="Calibri"/>
                <w:lang w:eastAsia="en-AU"/>
              </w:rPr>
              <w:t>Not assessed due to low volume. The number of research outputs does not meet the volume threshold standard for evaluation in ERA.  </w:t>
            </w:r>
          </w:p>
        </w:tc>
      </w:tr>
    </w:tbl>
    <w:p w14:paraId="1523E3E2" w14:textId="77777777" w:rsidR="00516B69" w:rsidRDefault="00516B69" w:rsidP="00516B69">
      <w:pPr>
        <w:spacing w:line="257" w:lineRule="auto"/>
      </w:pPr>
    </w:p>
    <w:p w14:paraId="00A71C27" w14:textId="7FADEE10" w:rsidR="00E425D2" w:rsidRPr="00797F88" w:rsidRDefault="00264F2D" w:rsidP="00516B69">
      <w:pPr>
        <w:spacing w:line="257" w:lineRule="auto"/>
        <w:rPr>
          <w:b/>
          <w:bCs/>
        </w:rPr>
      </w:pPr>
      <w:r w:rsidRPr="00797F88">
        <w:rPr>
          <w:b/>
          <w:bCs/>
        </w:rPr>
        <w:t>ERA 2023 Pilot Rating Scale</w:t>
      </w:r>
    </w:p>
    <w:tbl>
      <w:tblPr>
        <w:tblStyle w:val="ListTable4-Accent2"/>
        <w:tblW w:w="9000" w:type="dxa"/>
        <w:tblLook w:val="04A0" w:firstRow="1" w:lastRow="0" w:firstColumn="1" w:lastColumn="0" w:noHBand="0" w:noVBand="1"/>
      </w:tblPr>
      <w:tblGrid>
        <w:gridCol w:w="1215"/>
        <w:gridCol w:w="7785"/>
      </w:tblGrid>
      <w:tr w:rsidR="00E425D2" w:rsidRPr="003B2B94" w14:paraId="49A3FE5E" w14:textId="77777777" w:rsidTr="00C5296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15" w:type="dxa"/>
            <w:hideMark/>
          </w:tcPr>
          <w:p w14:paraId="05F85839" w14:textId="77777777" w:rsidR="00E425D2" w:rsidRPr="003B2B94" w:rsidRDefault="00E425D2" w:rsidP="00491887">
            <w:pPr>
              <w:spacing w:after="0"/>
              <w:jc w:val="center"/>
              <w:textAlignment w:val="baseline"/>
              <w:rPr>
                <w:rFonts w:ascii="Segoe UI" w:eastAsia="Times New Roman" w:hAnsi="Segoe UI" w:cs="Segoe UI"/>
                <w:sz w:val="18"/>
                <w:szCs w:val="18"/>
                <w:lang w:eastAsia="en-AU"/>
              </w:rPr>
            </w:pPr>
            <w:r w:rsidRPr="003B2B94">
              <w:rPr>
                <w:rFonts w:ascii="Calibri" w:eastAsia="Times New Roman" w:hAnsi="Calibri" w:cs="Calibri"/>
                <w:lang w:eastAsia="en-AU"/>
              </w:rPr>
              <w:t>Rating  </w:t>
            </w:r>
          </w:p>
        </w:tc>
        <w:tc>
          <w:tcPr>
            <w:tcW w:w="7785" w:type="dxa"/>
            <w:hideMark/>
          </w:tcPr>
          <w:p w14:paraId="235D3416" w14:textId="59BC8FC9" w:rsidR="00E425D2" w:rsidRPr="003B2B94" w:rsidRDefault="00E425D2" w:rsidP="00491887">
            <w:pPr>
              <w:spacing w:after="0"/>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AU"/>
              </w:rPr>
            </w:pPr>
            <w:r>
              <w:rPr>
                <w:rFonts w:ascii="Calibri" w:eastAsia="Times New Roman" w:hAnsi="Calibri" w:cs="Calibri"/>
                <w:b w:val="0"/>
                <w:bCs w:val="0"/>
                <w:lang w:eastAsia="en-AU"/>
              </w:rPr>
              <w:t xml:space="preserve">Key Benchmark and </w:t>
            </w:r>
            <w:r w:rsidRPr="003B2B94">
              <w:rPr>
                <w:rFonts w:ascii="Calibri" w:eastAsia="Times New Roman" w:hAnsi="Calibri" w:cs="Calibri"/>
                <w:lang w:eastAsia="en-AU"/>
              </w:rPr>
              <w:t>Descriptor   </w:t>
            </w:r>
          </w:p>
        </w:tc>
      </w:tr>
      <w:tr w:rsidR="009E0B39" w:rsidRPr="003B2B94" w14:paraId="0C02E5BE" w14:textId="77777777" w:rsidTr="00C5296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215" w:type="dxa"/>
            <w:hideMark/>
          </w:tcPr>
          <w:p w14:paraId="336235D7" w14:textId="7F706C11" w:rsidR="009E0B39" w:rsidRPr="003B2B94" w:rsidRDefault="009E0B39" w:rsidP="009E0B39">
            <w:pPr>
              <w:spacing w:after="0"/>
              <w:jc w:val="center"/>
              <w:textAlignment w:val="baseline"/>
              <w:rPr>
                <w:rFonts w:ascii="Segoe UI" w:eastAsia="Times New Roman" w:hAnsi="Segoe UI" w:cs="Segoe UI"/>
                <w:sz w:val="18"/>
                <w:szCs w:val="18"/>
                <w:lang w:eastAsia="en-AU"/>
              </w:rPr>
            </w:pPr>
            <w:r>
              <w:t>World leading</w:t>
            </w:r>
          </w:p>
        </w:tc>
        <w:tc>
          <w:tcPr>
            <w:tcW w:w="7785" w:type="dxa"/>
            <w:hideMark/>
          </w:tcPr>
          <w:p w14:paraId="59B83CD7" w14:textId="3AB4E02F" w:rsidR="009E0B39" w:rsidRPr="003B2B94" w:rsidRDefault="009E0B39" w:rsidP="009E0B39">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t xml:space="preserve">High performer and world benchmarks – this rating represents universities that are </w:t>
            </w:r>
            <w:r w:rsidRPr="0052444C">
              <w:rPr>
                <w:b/>
                <w:bCs/>
              </w:rPr>
              <w:t>among the small number</w:t>
            </w:r>
            <w:r>
              <w:t xml:space="preserve"> of the best of the high performing institutions worldwide</w:t>
            </w:r>
          </w:p>
        </w:tc>
      </w:tr>
      <w:tr w:rsidR="009E0B39" w:rsidRPr="003B2B94" w14:paraId="6D173669" w14:textId="77777777" w:rsidTr="00C5296F">
        <w:trPr>
          <w:trHeight w:val="720"/>
        </w:trPr>
        <w:tc>
          <w:tcPr>
            <w:cnfStyle w:val="001000000000" w:firstRow="0" w:lastRow="0" w:firstColumn="1" w:lastColumn="0" w:oddVBand="0" w:evenVBand="0" w:oddHBand="0" w:evenHBand="0" w:firstRowFirstColumn="0" w:firstRowLastColumn="0" w:lastRowFirstColumn="0" w:lastRowLastColumn="0"/>
            <w:tcW w:w="1215" w:type="dxa"/>
            <w:hideMark/>
          </w:tcPr>
          <w:p w14:paraId="66345122" w14:textId="5E7C2629" w:rsidR="009E0B39" w:rsidRPr="003B2B94" w:rsidRDefault="009E0B39" w:rsidP="009E0B39">
            <w:pPr>
              <w:spacing w:after="0"/>
              <w:jc w:val="center"/>
              <w:textAlignment w:val="baseline"/>
              <w:rPr>
                <w:rFonts w:ascii="Segoe UI" w:eastAsia="Times New Roman" w:hAnsi="Segoe UI" w:cs="Segoe UI"/>
                <w:sz w:val="18"/>
                <w:szCs w:val="18"/>
                <w:lang w:eastAsia="en-AU"/>
              </w:rPr>
            </w:pPr>
            <w:r>
              <w:t>Well above world standard</w:t>
            </w:r>
          </w:p>
        </w:tc>
        <w:tc>
          <w:tcPr>
            <w:tcW w:w="7785" w:type="dxa"/>
            <w:hideMark/>
          </w:tcPr>
          <w:p w14:paraId="00197E84" w14:textId="23B198B2" w:rsidR="009E0B39" w:rsidRPr="003B2B94" w:rsidRDefault="009E0B39" w:rsidP="009E0B39">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AU"/>
              </w:rPr>
            </w:pPr>
            <w:r>
              <w:t xml:space="preserve">High performer and world benchmarks – this rating represents universities that are </w:t>
            </w:r>
            <w:r w:rsidRPr="0052444C">
              <w:rPr>
                <w:b/>
                <w:bCs/>
              </w:rPr>
              <w:t>comparable to, or better than</w:t>
            </w:r>
            <w:r>
              <w:t>, other high performing institutions and well above the standard of universities worldwide</w:t>
            </w:r>
          </w:p>
        </w:tc>
      </w:tr>
      <w:tr w:rsidR="009E0B39" w:rsidRPr="003B2B94" w14:paraId="55A56D46" w14:textId="77777777" w:rsidTr="00C5296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215" w:type="dxa"/>
            <w:hideMark/>
          </w:tcPr>
          <w:p w14:paraId="2E8F5DA5" w14:textId="7687203B" w:rsidR="009E0B39" w:rsidRPr="003B2B94" w:rsidRDefault="009E0B39" w:rsidP="009E0B39">
            <w:pPr>
              <w:spacing w:after="0"/>
              <w:jc w:val="center"/>
              <w:textAlignment w:val="baseline"/>
              <w:rPr>
                <w:rFonts w:ascii="Segoe UI" w:eastAsia="Times New Roman" w:hAnsi="Segoe UI" w:cs="Segoe UI"/>
                <w:sz w:val="18"/>
                <w:szCs w:val="18"/>
                <w:lang w:eastAsia="en-AU"/>
              </w:rPr>
            </w:pPr>
            <w:r>
              <w:t>Above world standard</w:t>
            </w:r>
          </w:p>
        </w:tc>
        <w:tc>
          <w:tcPr>
            <w:tcW w:w="7785" w:type="dxa"/>
            <w:hideMark/>
          </w:tcPr>
          <w:p w14:paraId="4D086206" w14:textId="5DA9FED7" w:rsidR="009E0B39" w:rsidRPr="003B2B94" w:rsidRDefault="009E0B39" w:rsidP="009E0B39">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t xml:space="preserve">High performer and world benchmarks – this rating represents universities that are </w:t>
            </w:r>
            <w:r w:rsidRPr="0052444C">
              <w:rPr>
                <w:b/>
                <w:bCs/>
              </w:rPr>
              <w:t>below the high performers</w:t>
            </w:r>
            <w:r>
              <w:t xml:space="preserve"> but above the standard of other universities worldwide</w:t>
            </w:r>
          </w:p>
        </w:tc>
      </w:tr>
      <w:tr w:rsidR="009E0B39" w:rsidRPr="003B2B94" w14:paraId="6E7769CE" w14:textId="77777777" w:rsidTr="00C5296F">
        <w:trPr>
          <w:trHeight w:val="675"/>
        </w:trPr>
        <w:tc>
          <w:tcPr>
            <w:cnfStyle w:val="001000000000" w:firstRow="0" w:lastRow="0" w:firstColumn="1" w:lastColumn="0" w:oddVBand="0" w:evenVBand="0" w:oddHBand="0" w:evenHBand="0" w:firstRowFirstColumn="0" w:firstRowLastColumn="0" w:lastRowFirstColumn="0" w:lastRowLastColumn="0"/>
            <w:tcW w:w="1215" w:type="dxa"/>
            <w:hideMark/>
          </w:tcPr>
          <w:p w14:paraId="465E0240" w14:textId="607A739F" w:rsidR="009E0B39" w:rsidRPr="003B2B94" w:rsidRDefault="009E0B39" w:rsidP="009E0B39">
            <w:pPr>
              <w:spacing w:after="0"/>
              <w:jc w:val="center"/>
              <w:textAlignment w:val="baseline"/>
              <w:rPr>
                <w:rFonts w:ascii="Segoe UI" w:eastAsia="Times New Roman" w:hAnsi="Segoe UI" w:cs="Segoe UI"/>
                <w:sz w:val="18"/>
                <w:szCs w:val="18"/>
                <w:lang w:eastAsia="en-AU"/>
              </w:rPr>
            </w:pPr>
            <w:r>
              <w:t>World standard</w:t>
            </w:r>
          </w:p>
        </w:tc>
        <w:tc>
          <w:tcPr>
            <w:tcW w:w="7785" w:type="dxa"/>
            <w:hideMark/>
          </w:tcPr>
          <w:p w14:paraId="1F8939B4" w14:textId="3C8CBD1D" w:rsidR="009E0B39" w:rsidRPr="003B2B94" w:rsidRDefault="009E0B39" w:rsidP="009E0B39">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AU"/>
              </w:rPr>
            </w:pPr>
            <w:r>
              <w:t xml:space="preserve">World benchmark – this rating represents universities that are </w:t>
            </w:r>
            <w:r w:rsidRPr="0052444C">
              <w:rPr>
                <w:b/>
                <w:bCs/>
              </w:rPr>
              <w:t>around the average</w:t>
            </w:r>
            <w:r>
              <w:t xml:space="preserve"> standard of universities worldwide</w:t>
            </w:r>
          </w:p>
        </w:tc>
      </w:tr>
      <w:tr w:rsidR="009E0B39" w:rsidRPr="003B2B94" w14:paraId="328ACA81" w14:textId="77777777" w:rsidTr="00C5296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15" w:type="dxa"/>
            <w:hideMark/>
          </w:tcPr>
          <w:p w14:paraId="7623059C" w14:textId="5F49916E" w:rsidR="009E0B39" w:rsidRPr="003B2B94" w:rsidRDefault="009E0B39" w:rsidP="009E0B39">
            <w:pPr>
              <w:spacing w:after="0"/>
              <w:jc w:val="center"/>
              <w:textAlignment w:val="baseline"/>
              <w:rPr>
                <w:rFonts w:ascii="Segoe UI" w:eastAsia="Times New Roman" w:hAnsi="Segoe UI" w:cs="Segoe UI"/>
                <w:sz w:val="18"/>
                <w:szCs w:val="18"/>
                <w:lang w:eastAsia="en-AU"/>
              </w:rPr>
            </w:pPr>
            <w:r>
              <w:t>Not at world standard</w:t>
            </w:r>
          </w:p>
        </w:tc>
        <w:tc>
          <w:tcPr>
            <w:tcW w:w="7785" w:type="dxa"/>
            <w:hideMark/>
          </w:tcPr>
          <w:p w14:paraId="389B2297" w14:textId="7428B406" w:rsidR="009E0B39" w:rsidRPr="003B2B94" w:rsidRDefault="009E0B39" w:rsidP="009E0B39">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t xml:space="preserve">World benchmark – this rating represents universities that are </w:t>
            </w:r>
            <w:r w:rsidRPr="0052444C">
              <w:rPr>
                <w:b/>
                <w:bCs/>
              </w:rPr>
              <w:t>below the average</w:t>
            </w:r>
            <w:r>
              <w:t xml:space="preserve"> standard of universities worldwide</w:t>
            </w:r>
          </w:p>
        </w:tc>
      </w:tr>
    </w:tbl>
    <w:p w14:paraId="76EC778E" w14:textId="77777777" w:rsidR="00E425D2" w:rsidRDefault="00E425D2" w:rsidP="00516B69">
      <w:pPr>
        <w:spacing w:line="257" w:lineRule="auto"/>
      </w:pPr>
    </w:p>
    <w:p w14:paraId="571BD034" w14:textId="77777777" w:rsidR="005C2462" w:rsidRDefault="005C2462" w:rsidP="00516B69">
      <w:pPr>
        <w:spacing w:line="257" w:lineRule="auto"/>
      </w:pPr>
    </w:p>
    <w:p w14:paraId="23D068C8" w14:textId="77777777" w:rsidR="005C2462" w:rsidRDefault="005C2462" w:rsidP="00516B69">
      <w:pPr>
        <w:spacing w:line="257" w:lineRule="auto"/>
      </w:pPr>
    </w:p>
    <w:p w14:paraId="2DB87C94" w14:textId="39BFA540" w:rsidR="005C2462" w:rsidRDefault="005C2462" w:rsidP="005C2462">
      <w:pPr>
        <w:pStyle w:val="Heading1"/>
        <w:rPr>
          <w:rFonts w:eastAsia="Calibri"/>
        </w:rPr>
      </w:pPr>
      <w:bookmarkStart w:id="12" w:name="_Toc111458075"/>
      <w:r>
        <w:rPr>
          <w:rFonts w:eastAsia="Calibri"/>
        </w:rPr>
        <w:t xml:space="preserve">Appendix B – ERA 2023 </w:t>
      </w:r>
      <w:r w:rsidR="00EE24CF">
        <w:rPr>
          <w:rFonts w:eastAsia="Calibri"/>
        </w:rPr>
        <w:t>Citation Metrics</w:t>
      </w:r>
      <w:bookmarkEnd w:id="12"/>
    </w:p>
    <w:p w14:paraId="55DF6F9C" w14:textId="4669317D" w:rsidR="00B93726" w:rsidRPr="001D0732" w:rsidRDefault="00B93726">
      <w:pPr>
        <w:spacing w:before="0" w:after="200" w:line="276" w:lineRule="auto"/>
        <w:rPr>
          <w:rFonts w:ascii="Calibri" w:eastAsia="Calibri" w:hAnsi="Calibri" w:cs="Calibri"/>
          <w:b/>
          <w:bCs/>
        </w:rPr>
      </w:pPr>
      <w:r w:rsidRPr="001D0732">
        <w:rPr>
          <w:rFonts w:ascii="Calibri" w:eastAsia="Calibri" w:hAnsi="Calibri" w:cs="Calibri"/>
          <w:b/>
          <w:bCs/>
        </w:rPr>
        <w:t xml:space="preserve">Dynamic </w:t>
      </w:r>
      <w:r w:rsidR="00241271" w:rsidRPr="001D0732">
        <w:rPr>
          <w:rFonts w:ascii="Calibri" w:eastAsia="Calibri" w:hAnsi="Calibri" w:cs="Calibri"/>
          <w:b/>
          <w:bCs/>
        </w:rPr>
        <w:t>Relative Citation Impact (</w:t>
      </w:r>
      <w:r w:rsidRPr="001D0732">
        <w:rPr>
          <w:rFonts w:ascii="Calibri" w:eastAsia="Calibri" w:hAnsi="Calibri" w:cs="Calibri"/>
          <w:b/>
          <w:bCs/>
        </w:rPr>
        <w:t>RCI</w:t>
      </w:r>
      <w:r w:rsidR="00241271" w:rsidRPr="001D0732">
        <w:rPr>
          <w:rFonts w:ascii="Calibri" w:eastAsia="Calibri" w:hAnsi="Calibri" w:cs="Calibri"/>
          <w:b/>
          <w:bCs/>
        </w:rPr>
        <w:t>)</w:t>
      </w:r>
    </w:p>
    <w:p w14:paraId="15462689" w14:textId="3F505BFD" w:rsidR="00B93726" w:rsidRDefault="0051272A">
      <w:pPr>
        <w:spacing w:before="0" w:after="200" w:line="276" w:lineRule="auto"/>
        <w:rPr>
          <w:rFonts w:ascii="Calibri" w:eastAsia="Calibri" w:hAnsi="Calibri" w:cs="Calibri"/>
        </w:rPr>
      </w:pPr>
      <w:r w:rsidRPr="0051272A">
        <w:rPr>
          <w:rFonts w:ascii="Calibri" w:eastAsia="Calibri" w:hAnsi="Calibri" w:cs="Calibri"/>
        </w:rPr>
        <w:t xml:space="preserve">The ARC will adopt dynamic RCI classes to address fluctuations in world citation performance and provide increased granularity. The dynamic RCI classes will support RECs in differentiating between high degrees of citation performance and allow the standard to automatically </w:t>
      </w:r>
      <w:r w:rsidR="2BD8B814" w:rsidRPr="1069E074">
        <w:rPr>
          <w:rFonts w:ascii="Calibri" w:eastAsia="Calibri" w:hAnsi="Calibri" w:cs="Calibri"/>
        </w:rPr>
        <w:t xml:space="preserve">change </w:t>
      </w:r>
      <w:r w:rsidRPr="0051272A">
        <w:rPr>
          <w:rFonts w:ascii="Calibri" w:eastAsia="Calibri" w:hAnsi="Calibri" w:cs="Calibri"/>
        </w:rPr>
        <w:t>over time to keep pace with global trends. They will also provide a more accurate representation of citation performance in individual disciplines compared to world performance over time</w:t>
      </w:r>
    </w:p>
    <w:p w14:paraId="5DD41B10" w14:textId="2C88D333" w:rsidR="00D051BF" w:rsidRDefault="00D051BF">
      <w:pPr>
        <w:spacing w:before="0" w:after="200" w:line="276" w:lineRule="auto"/>
      </w:pPr>
      <w:r>
        <w:t>The ARC will use the following specifications for the dynamic RCI classes</w:t>
      </w:r>
      <w:r w:rsidR="00F03D09">
        <w:t xml:space="preserve"> in ERA 2023</w:t>
      </w:r>
      <w:r>
        <w:t xml:space="preserve">: </w:t>
      </w:r>
    </w:p>
    <w:p w14:paraId="1C22E71A" w14:textId="5F60BA3B" w:rsidR="00D051BF" w:rsidRDefault="00D051BF" w:rsidP="001D0732">
      <w:pPr>
        <w:pStyle w:val="ListParagraph"/>
        <w:numPr>
          <w:ilvl w:val="0"/>
          <w:numId w:val="23"/>
        </w:numPr>
        <w:spacing w:before="0" w:after="200" w:line="276" w:lineRule="auto"/>
      </w:pPr>
      <w:r>
        <w:t xml:space="preserve">The new ERA dynamic RCI classes are to be formulated using the ERA world data set. </w:t>
      </w:r>
    </w:p>
    <w:p w14:paraId="09E86FE1" w14:textId="77777777" w:rsidR="00D051BF" w:rsidRDefault="00D051BF" w:rsidP="001D0732">
      <w:pPr>
        <w:pStyle w:val="ListParagraph"/>
        <w:numPr>
          <w:ilvl w:val="0"/>
          <w:numId w:val="23"/>
        </w:numPr>
        <w:spacing w:before="0" w:after="200" w:line="276" w:lineRule="auto"/>
      </w:pPr>
      <w:r>
        <w:t xml:space="preserve">The optimum number of classes is 6 (0 to 5) including the class 0 which is used for uncited papers. </w:t>
      </w:r>
    </w:p>
    <w:p w14:paraId="1B918838" w14:textId="3022BDF5" w:rsidR="00D051BF" w:rsidRDefault="00D051BF" w:rsidP="001D0732">
      <w:pPr>
        <w:pStyle w:val="ListParagraph"/>
        <w:numPr>
          <w:ilvl w:val="0"/>
          <w:numId w:val="23"/>
        </w:numPr>
        <w:spacing w:before="0" w:after="200" w:line="276" w:lineRule="auto"/>
      </w:pPr>
      <w:r>
        <w:t xml:space="preserve">For 2-digit </w:t>
      </w:r>
      <w:proofErr w:type="spellStart"/>
      <w:r>
        <w:t>UoEs</w:t>
      </w:r>
      <w:proofErr w:type="spellEnd"/>
      <w:r>
        <w:t xml:space="preserve">, the RCI and the class that each paper belongs to will be derived from their respective 4-digit </w:t>
      </w:r>
      <w:proofErr w:type="spellStart"/>
      <w:r>
        <w:t>UoEs</w:t>
      </w:r>
      <w:proofErr w:type="spellEnd"/>
      <w:r>
        <w:t xml:space="preserve"> as there are no indicators calculated at the 2-digit level. This process is consistent with the current ERA methodology. </w:t>
      </w:r>
    </w:p>
    <w:p w14:paraId="60BD8F26" w14:textId="6908D0E3" w:rsidR="0051272A" w:rsidRPr="00D051BF" w:rsidRDefault="00D051BF" w:rsidP="001D0732">
      <w:pPr>
        <w:pStyle w:val="ListParagraph"/>
        <w:numPr>
          <w:ilvl w:val="0"/>
          <w:numId w:val="23"/>
        </w:numPr>
        <w:spacing w:before="0" w:after="200" w:line="276" w:lineRule="auto"/>
        <w:rPr>
          <w:rFonts w:ascii="Calibri" w:eastAsia="Calibri" w:hAnsi="Calibri" w:cs="Calibri"/>
        </w:rPr>
      </w:pPr>
      <w:r>
        <w:t xml:space="preserve">With the introduction of the dynamic RCI classes, the RCI Class Comparison </w:t>
      </w:r>
      <w:r w:rsidR="00F03D09">
        <w:t xml:space="preserve">used in previous ERA rounds </w:t>
      </w:r>
      <w:r>
        <w:t>will not be necessary</w:t>
      </w:r>
    </w:p>
    <w:p w14:paraId="189A7605" w14:textId="549F7972" w:rsidR="00B93726" w:rsidRPr="001D0732" w:rsidRDefault="00B93726">
      <w:pPr>
        <w:spacing w:before="0" w:after="200" w:line="276" w:lineRule="auto"/>
        <w:rPr>
          <w:rFonts w:ascii="Calibri" w:eastAsia="Calibri" w:hAnsi="Calibri" w:cs="Calibri"/>
          <w:b/>
          <w:bCs/>
        </w:rPr>
      </w:pPr>
      <w:r w:rsidRPr="001D0732">
        <w:rPr>
          <w:rFonts w:ascii="Calibri" w:eastAsia="Calibri" w:hAnsi="Calibri" w:cs="Calibri"/>
          <w:b/>
          <w:bCs/>
        </w:rPr>
        <w:t>High Performance Indicator</w:t>
      </w:r>
      <w:r w:rsidR="0051272A">
        <w:rPr>
          <w:rFonts w:ascii="Calibri" w:eastAsia="Calibri" w:hAnsi="Calibri" w:cs="Calibri"/>
          <w:b/>
          <w:bCs/>
        </w:rPr>
        <w:t xml:space="preserve"> (HPI)</w:t>
      </w:r>
    </w:p>
    <w:p w14:paraId="0B6EBEF2" w14:textId="59703B35" w:rsidR="00B93726" w:rsidRDefault="00A25508" w:rsidP="00A25508">
      <w:pPr>
        <w:spacing w:before="0" w:after="200" w:line="276" w:lineRule="auto"/>
        <w:rPr>
          <w:rFonts w:ascii="Calibri" w:eastAsia="Calibri" w:hAnsi="Calibri" w:cs="Calibri"/>
        </w:rPr>
      </w:pPr>
      <w:r>
        <w:rPr>
          <w:rFonts w:ascii="Calibri" w:eastAsia="Calibri" w:hAnsi="Calibri" w:cs="Calibri"/>
        </w:rPr>
        <w:t xml:space="preserve">The </w:t>
      </w:r>
      <w:r w:rsidRPr="00A25508">
        <w:rPr>
          <w:rFonts w:ascii="Calibri" w:eastAsia="Calibri" w:hAnsi="Calibri" w:cs="Calibri"/>
        </w:rPr>
        <w:t xml:space="preserve">HPI </w:t>
      </w:r>
      <w:r w:rsidR="007E6E36">
        <w:rPr>
          <w:rFonts w:ascii="Calibri" w:eastAsia="Calibri" w:hAnsi="Calibri" w:cs="Calibri"/>
        </w:rPr>
        <w:t xml:space="preserve">will be used in the </w:t>
      </w:r>
      <w:r w:rsidRPr="00A25508">
        <w:rPr>
          <w:rFonts w:ascii="Calibri" w:eastAsia="Calibri" w:hAnsi="Calibri" w:cs="Calibri"/>
        </w:rPr>
        <w:t xml:space="preserve">ERA 2023 </w:t>
      </w:r>
      <w:r w:rsidR="00F71A79">
        <w:rPr>
          <w:rFonts w:ascii="Calibri" w:eastAsia="Calibri" w:hAnsi="Calibri" w:cs="Calibri"/>
        </w:rPr>
        <w:t xml:space="preserve">pilot to </w:t>
      </w:r>
      <w:r w:rsidRPr="00A25508">
        <w:rPr>
          <w:rFonts w:ascii="Calibri" w:eastAsia="Calibri" w:hAnsi="Calibri" w:cs="Calibri"/>
        </w:rPr>
        <w:t>support the revised rating scale</w:t>
      </w:r>
      <w:r w:rsidR="00D8611E">
        <w:rPr>
          <w:rFonts w:ascii="Calibri" w:eastAsia="Calibri" w:hAnsi="Calibri" w:cs="Calibri"/>
        </w:rPr>
        <w:t xml:space="preserve"> in Appendix A</w:t>
      </w:r>
      <w:r w:rsidRPr="00A25508">
        <w:rPr>
          <w:rFonts w:ascii="Calibri" w:eastAsia="Calibri" w:hAnsi="Calibri" w:cs="Calibri"/>
        </w:rPr>
        <w:t>, specifically by enabling an</w:t>
      </w:r>
      <w:r>
        <w:rPr>
          <w:rFonts w:ascii="Calibri" w:eastAsia="Calibri" w:hAnsi="Calibri" w:cs="Calibri"/>
        </w:rPr>
        <w:t xml:space="preserve"> </w:t>
      </w:r>
      <w:r w:rsidRPr="00A25508">
        <w:rPr>
          <w:rFonts w:ascii="Calibri" w:eastAsia="Calibri" w:hAnsi="Calibri" w:cs="Calibri"/>
        </w:rPr>
        <w:t>increased level of granularity at the top end of the scale and responding to changes in world research performance</w:t>
      </w:r>
      <w:r w:rsidR="00AC2315">
        <w:rPr>
          <w:rFonts w:ascii="Calibri" w:eastAsia="Calibri" w:hAnsi="Calibri" w:cs="Calibri"/>
        </w:rPr>
        <w:t>.</w:t>
      </w:r>
    </w:p>
    <w:p w14:paraId="1B22681F" w14:textId="7A89AEAE" w:rsidR="005140E4" w:rsidRPr="001D0732" w:rsidRDefault="005140E4" w:rsidP="001D0732">
      <w:pPr>
        <w:pStyle w:val="ListParagraph"/>
        <w:numPr>
          <w:ilvl w:val="0"/>
          <w:numId w:val="22"/>
        </w:numPr>
        <w:spacing w:before="0" w:after="200" w:line="276" w:lineRule="auto"/>
        <w:rPr>
          <w:rFonts w:ascii="Calibri" w:eastAsia="Calibri" w:hAnsi="Calibri" w:cs="Calibri"/>
        </w:rPr>
      </w:pPr>
      <w:r w:rsidRPr="001D0732">
        <w:rPr>
          <w:rFonts w:ascii="Calibri" w:eastAsia="Calibri" w:hAnsi="Calibri" w:cs="Calibri"/>
        </w:rPr>
        <w:t xml:space="preserve">The top 10% of organisations, with a minimum of 10 organisations, is to be selected for this indicator for each </w:t>
      </w:r>
      <w:proofErr w:type="spellStart"/>
      <w:r w:rsidRPr="001D0732">
        <w:rPr>
          <w:rFonts w:ascii="Calibri" w:eastAsia="Calibri" w:hAnsi="Calibri" w:cs="Calibri"/>
        </w:rPr>
        <w:t>FoR</w:t>
      </w:r>
      <w:proofErr w:type="spellEnd"/>
      <w:r w:rsidRPr="001D0732">
        <w:rPr>
          <w:rFonts w:ascii="Calibri" w:eastAsia="Calibri" w:hAnsi="Calibri" w:cs="Calibri"/>
        </w:rPr>
        <w:t xml:space="preserve">. The indicator is intended to provide RECs with supplementary information on the high performers in the </w:t>
      </w:r>
      <w:proofErr w:type="spellStart"/>
      <w:r w:rsidRPr="001D0732">
        <w:rPr>
          <w:rFonts w:ascii="Calibri" w:eastAsia="Calibri" w:hAnsi="Calibri" w:cs="Calibri"/>
        </w:rPr>
        <w:t>FoR</w:t>
      </w:r>
      <w:proofErr w:type="spellEnd"/>
      <w:r w:rsidRPr="001D0732">
        <w:rPr>
          <w:rFonts w:ascii="Calibri" w:eastAsia="Calibri" w:hAnsi="Calibri" w:cs="Calibri"/>
        </w:rPr>
        <w:t xml:space="preserve">, and the 10% range is recommended to ensure sufficient coverage across fields. Selection of organisations for the indicator is based on the ranking of citations per paper (CPP) performance of each organisation within the relevant </w:t>
      </w:r>
      <w:proofErr w:type="spellStart"/>
      <w:r w:rsidRPr="001D0732">
        <w:rPr>
          <w:rFonts w:ascii="Calibri" w:eastAsia="Calibri" w:hAnsi="Calibri" w:cs="Calibri"/>
        </w:rPr>
        <w:t>FoR</w:t>
      </w:r>
      <w:proofErr w:type="spellEnd"/>
      <w:r w:rsidRPr="001D0732">
        <w:rPr>
          <w:rFonts w:ascii="Calibri" w:eastAsia="Calibri" w:hAnsi="Calibri" w:cs="Calibri"/>
        </w:rPr>
        <w:t xml:space="preserve">, also </w:t>
      </w:r>
      <w:proofErr w:type="gramStart"/>
      <w:r w:rsidRPr="001D0732">
        <w:rPr>
          <w:rFonts w:ascii="Calibri" w:eastAsia="Calibri" w:hAnsi="Calibri" w:cs="Calibri"/>
        </w:rPr>
        <w:t>taking into account</w:t>
      </w:r>
      <w:proofErr w:type="gramEnd"/>
      <w:r w:rsidRPr="001D0732">
        <w:rPr>
          <w:rFonts w:ascii="Calibri" w:eastAsia="Calibri" w:hAnsi="Calibri" w:cs="Calibri"/>
        </w:rPr>
        <w:t xml:space="preserve"> the publication year. Smaller or highly specialised disciplines may not have </w:t>
      </w:r>
      <w:proofErr w:type="gramStart"/>
      <w:r w:rsidRPr="001D0732">
        <w:rPr>
          <w:rFonts w:ascii="Calibri" w:eastAsia="Calibri" w:hAnsi="Calibri" w:cs="Calibri"/>
        </w:rPr>
        <w:t>a sufficient number of</w:t>
      </w:r>
      <w:proofErr w:type="gramEnd"/>
      <w:r w:rsidRPr="001D0732">
        <w:rPr>
          <w:rFonts w:ascii="Calibri" w:eastAsia="Calibri" w:hAnsi="Calibri" w:cs="Calibri"/>
        </w:rPr>
        <w:t xml:space="preserve"> organisations conducting research in the discipline. The minimum of 10 organisations ensures that there is </w:t>
      </w:r>
      <w:proofErr w:type="gramStart"/>
      <w:r w:rsidRPr="001D0732">
        <w:rPr>
          <w:rFonts w:ascii="Calibri" w:eastAsia="Calibri" w:hAnsi="Calibri" w:cs="Calibri"/>
        </w:rPr>
        <w:t>a sufficient number of</w:t>
      </w:r>
      <w:proofErr w:type="gramEnd"/>
      <w:r w:rsidRPr="001D0732">
        <w:rPr>
          <w:rFonts w:ascii="Calibri" w:eastAsia="Calibri" w:hAnsi="Calibri" w:cs="Calibri"/>
        </w:rPr>
        <w:t xml:space="preserve"> organisations included in the indicator.</w:t>
      </w:r>
    </w:p>
    <w:p w14:paraId="52880ADB" w14:textId="197CBB11" w:rsidR="005140E4" w:rsidRPr="001D0732" w:rsidRDefault="005140E4" w:rsidP="001D0732">
      <w:pPr>
        <w:pStyle w:val="ListParagraph"/>
        <w:numPr>
          <w:ilvl w:val="0"/>
          <w:numId w:val="22"/>
        </w:numPr>
        <w:spacing w:before="0" w:after="200" w:line="276" w:lineRule="auto"/>
        <w:rPr>
          <w:rFonts w:ascii="Calibri" w:eastAsia="Calibri" w:hAnsi="Calibri" w:cs="Calibri"/>
        </w:rPr>
      </w:pPr>
      <w:r w:rsidRPr="001D0732">
        <w:rPr>
          <w:rFonts w:ascii="Calibri" w:eastAsia="Calibri" w:hAnsi="Calibri" w:cs="Calibri"/>
        </w:rPr>
        <w:t xml:space="preserve">To be consistent with the ERA methodology, a low volume threshold of 50 indexed journal articles for the entire six-year reference period should also apply to each organisation in this indicator. This also ensures that the organisation was research active in the </w:t>
      </w:r>
      <w:proofErr w:type="spellStart"/>
      <w:proofErr w:type="gramStart"/>
      <w:r w:rsidRPr="001D0732">
        <w:rPr>
          <w:rFonts w:ascii="Calibri" w:eastAsia="Calibri" w:hAnsi="Calibri" w:cs="Calibri"/>
        </w:rPr>
        <w:t>FoR</w:t>
      </w:r>
      <w:proofErr w:type="spellEnd"/>
      <w:proofErr w:type="gramEnd"/>
      <w:r w:rsidRPr="001D0732">
        <w:rPr>
          <w:rFonts w:ascii="Calibri" w:eastAsia="Calibri" w:hAnsi="Calibri" w:cs="Calibri"/>
        </w:rPr>
        <w:t xml:space="preserve"> during the reference period.</w:t>
      </w:r>
    </w:p>
    <w:p w14:paraId="73473F3C" w14:textId="6E6F78F0" w:rsidR="005140E4" w:rsidRPr="001D0732" w:rsidRDefault="005140E4" w:rsidP="001D0732">
      <w:pPr>
        <w:pStyle w:val="ListParagraph"/>
        <w:numPr>
          <w:ilvl w:val="0"/>
          <w:numId w:val="22"/>
        </w:numPr>
        <w:spacing w:before="0" w:after="200" w:line="276" w:lineRule="auto"/>
        <w:rPr>
          <w:rFonts w:ascii="Calibri" w:eastAsia="Calibri" w:hAnsi="Calibri" w:cs="Calibri"/>
        </w:rPr>
      </w:pPr>
      <w:r w:rsidRPr="001D0732">
        <w:rPr>
          <w:rFonts w:ascii="Calibri" w:eastAsia="Calibri" w:hAnsi="Calibri" w:cs="Calibri"/>
        </w:rPr>
        <w:t>This indicator uses the same ERA world dataset and the ERA Journal List for identifying organisations and disciplines (</w:t>
      </w:r>
      <w:proofErr w:type="spellStart"/>
      <w:r w:rsidRPr="001D0732">
        <w:rPr>
          <w:rFonts w:ascii="Calibri" w:eastAsia="Calibri" w:hAnsi="Calibri" w:cs="Calibri"/>
        </w:rPr>
        <w:t>FoRs</w:t>
      </w:r>
      <w:proofErr w:type="spellEnd"/>
      <w:r w:rsidRPr="001D0732">
        <w:rPr>
          <w:rFonts w:ascii="Calibri" w:eastAsia="Calibri" w:hAnsi="Calibri" w:cs="Calibri"/>
        </w:rPr>
        <w:t>), as used for the existing ERA citation indicator calculations.</w:t>
      </w:r>
    </w:p>
    <w:p w14:paraId="50998C8C" w14:textId="3891A976" w:rsidR="005140E4" w:rsidRPr="001D0732" w:rsidRDefault="005140E4" w:rsidP="001D0732">
      <w:pPr>
        <w:pStyle w:val="ListParagraph"/>
        <w:numPr>
          <w:ilvl w:val="0"/>
          <w:numId w:val="22"/>
        </w:numPr>
        <w:spacing w:before="0" w:after="200" w:line="276" w:lineRule="auto"/>
        <w:rPr>
          <w:rFonts w:ascii="Calibri" w:eastAsia="Calibri" w:hAnsi="Calibri" w:cs="Calibri"/>
        </w:rPr>
      </w:pPr>
      <w:r w:rsidRPr="001D0732">
        <w:rPr>
          <w:rFonts w:ascii="Calibri" w:eastAsia="Calibri" w:hAnsi="Calibri" w:cs="Calibri"/>
        </w:rPr>
        <w:t xml:space="preserve">The selection of the top 10% of organisations will include all organisation types and will not be restricted to universities, consistent with the current ERA citation indicator calculation methodology, which includes papers from all organisation types. </w:t>
      </w:r>
    </w:p>
    <w:p w14:paraId="58BEFAF5" w14:textId="12429545" w:rsidR="005C2462" w:rsidRDefault="005140E4" w:rsidP="001D0732">
      <w:pPr>
        <w:pStyle w:val="ListParagraph"/>
        <w:numPr>
          <w:ilvl w:val="0"/>
          <w:numId w:val="22"/>
        </w:numPr>
        <w:spacing w:before="0" w:after="200" w:line="276" w:lineRule="auto"/>
        <w:rPr>
          <w:rFonts w:ascii="Calibri" w:eastAsia="Calibri" w:hAnsi="Calibri" w:cs="Calibri"/>
        </w:rPr>
      </w:pPr>
      <w:r w:rsidRPr="001D0732">
        <w:rPr>
          <w:rFonts w:ascii="Calibri" w:eastAsia="Calibri" w:hAnsi="Calibri" w:cs="Calibri"/>
        </w:rPr>
        <w:t>Identification of organisations will be based on meta data as supplied by the citation data provider. The new indicator is to be included as an additional indicator among the existing suite of indicators in the RCI indicator profile. The HPI is not designed to align with a ‘world leading</w:t>
      </w:r>
      <w:proofErr w:type="gramStart"/>
      <w:r w:rsidRPr="001D0732">
        <w:rPr>
          <w:rFonts w:ascii="Calibri" w:eastAsia="Calibri" w:hAnsi="Calibri" w:cs="Calibri"/>
        </w:rPr>
        <w:t xml:space="preserve">’ </w:t>
      </w:r>
      <w:r w:rsidR="5B480C39" w:rsidRPr="1069E074">
        <w:rPr>
          <w:rFonts w:ascii="Calibri" w:eastAsia="Calibri" w:hAnsi="Calibri" w:cs="Calibri"/>
        </w:rPr>
        <w:t xml:space="preserve"> </w:t>
      </w:r>
      <w:r w:rsidRPr="001D0732">
        <w:rPr>
          <w:rFonts w:ascii="Calibri" w:eastAsia="Calibri" w:hAnsi="Calibri" w:cs="Calibri"/>
        </w:rPr>
        <w:t>rating</w:t>
      </w:r>
      <w:proofErr w:type="gramEnd"/>
      <w:r w:rsidRPr="001D0732">
        <w:rPr>
          <w:rFonts w:ascii="Calibri" w:eastAsia="Calibri" w:hAnsi="Calibri" w:cs="Calibri"/>
        </w:rPr>
        <w:t>. World leading will typically be much more exclusive than the high performers represented in the HPI</w:t>
      </w:r>
      <w:r w:rsidR="5B480C39" w:rsidRPr="1AA1D3D5">
        <w:rPr>
          <w:rFonts w:ascii="Calibri" w:eastAsia="Calibri" w:hAnsi="Calibri" w:cs="Calibri"/>
        </w:rPr>
        <w:t>.</w:t>
      </w:r>
    </w:p>
    <w:p w14:paraId="199002D3" w14:textId="25562B7A" w:rsidR="005C2462" w:rsidRDefault="06D72D99" w:rsidP="001D0732">
      <w:pPr>
        <w:pStyle w:val="ListParagraph"/>
        <w:numPr>
          <w:ilvl w:val="0"/>
          <w:numId w:val="22"/>
        </w:numPr>
        <w:spacing w:before="0" w:after="200" w:line="276" w:lineRule="auto"/>
        <w:rPr>
          <w:rFonts w:ascii="Calibri" w:eastAsia="Calibri" w:hAnsi="Calibri" w:cs="Calibri"/>
        </w:rPr>
      </w:pPr>
      <w:r>
        <w:t xml:space="preserve">For the pilot only, the dynamic RCI class profile </w:t>
      </w:r>
      <w:r w:rsidR="0DCB4DC1">
        <w:t>will</w:t>
      </w:r>
      <w:r>
        <w:t xml:space="preserve"> also include the high performing group of organisations as a comparator indicator, along with the existing world and Australian higher education institution indicators within each class, allowing the </w:t>
      </w:r>
      <w:proofErr w:type="spellStart"/>
      <w:r>
        <w:t>UoE</w:t>
      </w:r>
      <w:proofErr w:type="spellEnd"/>
      <w:r>
        <w:t xml:space="preserve"> performance to be compared against these comparators.</w:t>
      </w:r>
      <w:r w:rsidR="005140E4" w:rsidRPr="001D0732">
        <w:rPr>
          <w:rFonts w:ascii="Calibri" w:eastAsia="Calibri" w:hAnsi="Calibri" w:cs="Calibri"/>
        </w:rPr>
        <w:t xml:space="preserve"> </w:t>
      </w:r>
      <w:r w:rsidR="00EE24CF" w:rsidRPr="001D0732">
        <w:rPr>
          <w:rFonts w:ascii="Calibri" w:eastAsia="Calibri" w:hAnsi="Calibri" w:cs="Calibri"/>
        </w:rPr>
        <w:br w:type="page"/>
      </w:r>
    </w:p>
    <w:p w14:paraId="78D71BC0" w14:textId="7AF25F4A" w:rsidR="00EE24CF" w:rsidRDefault="00EE24CF" w:rsidP="00EE24CF">
      <w:pPr>
        <w:pStyle w:val="Heading1"/>
        <w:rPr>
          <w:rFonts w:eastAsia="Calibri"/>
        </w:rPr>
      </w:pPr>
      <w:bookmarkStart w:id="13" w:name="_Toc111458076"/>
      <w:r>
        <w:rPr>
          <w:rFonts w:eastAsia="Calibri"/>
        </w:rPr>
        <w:t>Appendix C – ERA 2023 process</w:t>
      </w:r>
      <w:bookmarkEnd w:id="13"/>
    </w:p>
    <w:p w14:paraId="0B66910B" w14:textId="77777777" w:rsidR="005C2462" w:rsidRDefault="005C2462" w:rsidP="005C2462">
      <w:pPr>
        <w:rPr>
          <w:rFonts w:ascii="Calibri" w:eastAsia="Calibri" w:hAnsi="Calibri" w:cs="Calibri"/>
        </w:rPr>
      </w:pPr>
    </w:p>
    <w:p w14:paraId="0D05AC87" w14:textId="1B77AA8B" w:rsidR="00F10CE7" w:rsidRDefault="00BE3F59" w:rsidP="00516B69">
      <w:pPr>
        <w:spacing w:line="257" w:lineRule="auto"/>
      </w:pPr>
      <w:r w:rsidRPr="00C81C8C">
        <w:rPr>
          <w:noProof/>
        </w:rPr>
        <w:drawing>
          <wp:inline distT="0" distB="0" distL="0" distR="0" wp14:anchorId="58D6556F" wp14:editId="5E9E6931">
            <wp:extent cx="5731510" cy="6249670"/>
            <wp:effectExtent l="0" t="0" r="21590" b="55880"/>
            <wp:docPr id="1" name="Diagram 1">
              <a:extLst xmlns:a="http://schemas.openxmlformats.org/drawingml/2006/main">
                <a:ext uri="{FF2B5EF4-FFF2-40B4-BE49-F238E27FC236}">
                  <a16:creationId xmlns:a16="http://schemas.microsoft.com/office/drawing/2014/main" id="{251F144B-5C5A-44C7-8EC2-39B27A4AAB5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sectPr w:rsidR="00F10CE7" w:rsidSect="00BA61EE">
      <w:footerReference w:type="first" r:id="rId30"/>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AD4E5" w14:textId="77777777" w:rsidR="006C3E46" w:rsidRDefault="006C3E46" w:rsidP="00BD0843">
      <w:pPr>
        <w:spacing w:before="0" w:after="0"/>
      </w:pPr>
      <w:r>
        <w:separator/>
      </w:r>
    </w:p>
  </w:endnote>
  <w:endnote w:type="continuationSeparator" w:id="0">
    <w:p w14:paraId="0545DA42" w14:textId="77777777" w:rsidR="006C3E46" w:rsidRDefault="006C3E46" w:rsidP="00BD0843">
      <w:pPr>
        <w:spacing w:before="0" w:after="0"/>
      </w:pPr>
      <w:r>
        <w:continuationSeparator/>
      </w:r>
    </w:p>
  </w:endnote>
  <w:endnote w:type="continuationNotice" w:id="1">
    <w:p w14:paraId="283F5C0C" w14:textId="77777777" w:rsidR="006C3E46" w:rsidRDefault="006C3E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altName w:val="Cambria"/>
    <w:panose1 w:val="00000000000000000000"/>
    <w:charset w:val="00"/>
    <w:family w:val="roman"/>
    <w:notTrueType/>
    <w:pitch w:val="default"/>
  </w:font>
  <w:font w:name="Solitaire MVB Pro Sm Lt">
    <w:altName w:val="Calibri"/>
    <w:panose1 w:val="00000000000000000000"/>
    <w:charset w:val="00"/>
    <w:family w:val="swiss"/>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vetail MVB">
    <w:altName w:val="Cambria"/>
    <w:panose1 w:val="00000000000000000000"/>
    <w:charset w:val="00"/>
    <w:family w:val="roma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Solitaire MVB Pro">
    <w:altName w:val="Calibri"/>
    <w:panose1 w:val="00000000000000000000"/>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575986"/>
      <w:docPartObj>
        <w:docPartGallery w:val="Page Numbers (Bottom of Page)"/>
        <w:docPartUnique/>
      </w:docPartObj>
    </w:sdtPr>
    <w:sdtEndPr/>
    <w:sdtContent>
      <w:sdt>
        <w:sdtPr>
          <w:id w:val="-1769616900"/>
          <w:docPartObj>
            <w:docPartGallery w:val="Page Numbers (Top of Page)"/>
            <w:docPartUnique/>
          </w:docPartObj>
        </w:sdtPr>
        <w:sdtEndPr/>
        <w:sdtContent>
          <w:p w14:paraId="537AB6FF" w14:textId="77777777" w:rsidR="003A2217" w:rsidRDefault="003A221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5CB3D77" w14:textId="77777777" w:rsidR="00B6016B" w:rsidRPr="00B6016B" w:rsidRDefault="00B6016B">
    <w:pPr>
      <w:pStyle w:val="Footer"/>
      <w:rPr>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77FF" w14:textId="77777777" w:rsidR="00BA61EE" w:rsidRDefault="00BA61EE" w:rsidP="00E85DA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867720"/>
      <w:docPartObj>
        <w:docPartGallery w:val="Page Numbers (Bottom of Page)"/>
        <w:docPartUnique/>
      </w:docPartObj>
    </w:sdtPr>
    <w:sdtEndPr/>
    <w:sdtContent>
      <w:sdt>
        <w:sdtPr>
          <w:id w:val="1154724779"/>
          <w:docPartObj>
            <w:docPartGallery w:val="Page Numbers (Top of Page)"/>
            <w:docPartUnique/>
          </w:docPartObj>
        </w:sdtPr>
        <w:sdtEndPr/>
        <w:sdtContent>
          <w:p w14:paraId="64D0A390" w14:textId="0F72EA1E" w:rsidR="00BD5613" w:rsidRPr="00BD5613" w:rsidRDefault="00BD5613">
            <w:pPr>
              <w:pStyle w:val="Footer"/>
            </w:pPr>
            <w:r w:rsidRPr="00EC4DA3">
              <w:rPr>
                <w:i/>
                <w:iCs/>
              </w:rPr>
              <w:t xml:space="preserve">ERA 2023 </w:t>
            </w:r>
            <w:r w:rsidR="008B4F84" w:rsidRPr="005219CB">
              <w:rPr>
                <w:i/>
                <w:iCs/>
              </w:rPr>
              <w:t>Evaluation Framework</w:t>
            </w:r>
            <w:r>
              <w:tab/>
            </w:r>
            <w:r>
              <w:tab/>
            </w:r>
            <w:r w:rsidRPr="00EC4DA3">
              <w:fldChar w:fldCharType="begin"/>
            </w:r>
            <w:r w:rsidRPr="00EC4DA3">
              <w:instrText xml:space="preserve"> PAGE </w:instrText>
            </w:r>
            <w:r w:rsidRPr="00EC4DA3">
              <w:fldChar w:fldCharType="separate"/>
            </w:r>
            <w:r>
              <w:t>1</w:t>
            </w:r>
            <w:r w:rsidRPr="00EC4DA3">
              <w:fldChar w:fldCharType="end"/>
            </w:r>
            <w:r w:rsidRPr="00EC4DA3">
              <w:t xml:space="preserve"> of </w:t>
            </w:r>
            <w:r>
              <w:fldChar w:fldCharType="begin"/>
            </w:r>
            <w:r>
              <w:instrText>NUMPAGES</w:instrText>
            </w:r>
            <w:r>
              <w:fldChar w:fldCharType="separate"/>
            </w:r>
            <w:r>
              <w:t>3</w:t>
            </w:r>
            <w: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07BA" w14:textId="667E418D" w:rsidR="00BA61EE" w:rsidRDefault="00BA61EE">
    <w:pPr>
      <w:pStyle w:val="Footer"/>
      <w:jc w:val="right"/>
    </w:pPr>
    <w:r>
      <w:fldChar w:fldCharType="begin"/>
    </w:r>
    <w:r>
      <w:instrText xml:space="preserve"> PAGE   \* MERGEFORMAT </w:instrText>
    </w:r>
    <w:r>
      <w:fldChar w:fldCharType="separate"/>
    </w:r>
    <w:r>
      <w:rPr>
        <w:noProof/>
      </w:rPr>
      <w:t>2</w:t>
    </w:r>
    <w:r>
      <w:rPr>
        <w:noProof/>
      </w:rPr>
      <w:fldChar w:fldCharType="end"/>
    </w:r>
  </w:p>
  <w:p w14:paraId="0F282E2D" w14:textId="77777777" w:rsidR="007E009A" w:rsidRPr="00BD5613" w:rsidRDefault="007E009A" w:rsidP="00BD56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89BD" w14:textId="77777777" w:rsidR="00BD5613" w:rsidRPr="00BD5613" w:rsidRDefault="00BD5613" w:rsidP="00BD5613">
    <w:pPr>
      <w:pStyle w:val="Footer"/>
    </w:pPr>
    <w:r w:rsidRPr="00EC4DA3">
      <w:rPr>
        <w:i/>
        <w:iCs/>
      </w:rPr>
      <w:t xml:space="preserve">ERA 2023 </w:t>
    </w:r>
    <w:r w:rsidRPr="00EC4DA3">
      <w:rPr>
        <w:i/>
        <w:iCs/>
        <w:color w:val="FF0000"/>
      </w:rPr>
      <w:t>[tile] Peer Review Handbook</w:t>
    </w:r>
    <w:r>
      <w:tab/>
    </w:r>
    <w:r>
      <w:tab/>
    </w:r>
    <w:r w:rsidRPr="00EC4DA3">
      <w:fldChar w:fldCharType="begin"/>
    </w:r>
    <w:r w:rsidRPr="00EC4DA3">
      <w:instrText xml:space="preserve"> PAGE </w:instrText>
    </w:r>
    <w:r w:rsidRPr="00EC4DA3">
      <w:fldChar w:fldCharType="separate"/>
    </w:r>
    <w:r>
      <w:t>1</w:t>
    </w:r>
    <w:r w:rsidRPr="00EC4DA3">
      <w:fldChar w:fldCharType="end"/>
    </w:r>
    <w:r w:rsidRPr="00EC4DA3">
      <w:t xml:space="preserve"> of </w:t>
    </w:r>
    <w:r>
      <w:fldChar w:fldCharType="begin"/>
    </w:r>
    <w:r>
      <w:instrText>NUMPAGES</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2FACE" w14:textId="77777777" w:rsidR="006C3E46" w:rsidRDefault="006C3E46" w:rsidP="00BD0843">
      <w:pPr>
        <w:spacing w:before="0" w:after="0"/>
      </w:pPr>
      <w:r>
        <w:separator/>
      </w:r>
    </w:p>
  </w:footnote>
  <w:footnote w:type="continuationSeparator" w:id="0">
    <w:p w14:paraId="7AECD1FA" w14:textId="77777777" w:rsidR="006C3E46" w:rsidRDefault="006C3E46" w:rsidP="00BD0843">
      <w:pPr>
        <w:spacing w:before="0" w:after="0"/>
      </w:pPr>
      <w:r>
        <w:continuationSeparator/>
      </w:r>
    </w:p>
  </w:footnote>
  <w:footnote w:type="continuationNotice" w:id="1">
    <w:p w14:paraId="405EAD8D" w14:textId="77777777" w:rsidR="006C3E46" w:rsidRDefault="006C3E4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D6CC" w14:textId="77777777" w:rsidR="00BD0843" w:rsidRDefault="008B1E60">
    <w:pPr>
      <w:pStyle w:val="Header"/>
    </w:pPr>
    <w:r>
      <w:rPr>
        <w:noProof/>
      </w:rPr>
      <w:drawing>
        <wp:anchor distT="0" distB="0" distL="114300" distR="114300" simplePos="0" relativeHeight="251660288" behindDoc="1" locked="0" layoutInCell="1" allowOverlap="1" wp14:anchorId="4D4D2124" wp14:editId="22FD529F">
          <wp:simplePos x="0" y="0"/>
          <wp:positionH relativeFrom="margin">
            <wp:posOffset>-898638</wp:posOffset>
          </wp:positionH>
          <wp:positionV relativeFrom="paragraph">
            <wp:posOffset>-476458</wp:posOffset>
          </wp:positionV>
          <wp:extent cx="7542000" cy="10699200"/>
          <wp:effectExtent l="0" t="0" r="1905" b="6985"/>
          <wp:wrapNone/>
          <wp:docPr id="3"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 23 Cover (final).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1A52" w14:textId="77777777" w:rsidR="00E81812" w:rsidRDefault="00E818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A14"/>
    <w:multiLevelType w:val="multilevel"/>
    <w:tmpl w:val="A2623C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219C9"/>
    <w:multiLevelType w:val="multilevel"/>
    <w:tmpl w:val="BCFA62C8"/>
    <w:lvl w:ilvl="0">
      <w:start w:val="1"/>
      <w:numFmt w:val="bullet"/>
      <w:lvlText w:val=""/>
      <w:lvlJc w:val="left"/>
      <w:pPr>
        <w:tabs>
          <w:tab w:val="num" w:pos="0"/>
        </w:tabs>
        <w:ind w:left="0" w:hanging="360"/>
      </w:pPr>
      <w:rPr>
        <w:rFonts w:ascii="Symbol" w:hAnsi="Symbol" w:hint="default"/>
        <w:sz w:val="20"/>
      </w:rPr>
    </w:lvl>
    <w:lvl w:ilvl="1" w:tentative="1">
      <w:numFmt w:val="bullet"/>
      <w:lvlText w:val=""/>
      <w:lvlJc w:val="left"/>
      <w:pPr>
        <w:tabs>
          <w:tab w:val="num" w:pos="720"/>
        </w:tabs>
        <w:ind w:left="720" w:hanging="360"/>
      </w:pPr>
      <w:rPr>
        <w:rFonts w:ascii="Symbol" w:hAnsi="Symbol" w:hint="default"/>
        <w:sz w:val="20"/>
      </w:rPr>
    </w:lvl>
    <w:lvl w:ilvl="2" w:tentative="1">
      <w:numFmt w:val="bullet"/>
      <w:lvlText w:val=""/>
      <w:lvlJc w:val="left"/>
      <w:pPr>
        <w:tabs>
          <w:tab w:val="num" w:pos="1440"/>
        </w:tabs>
        <w:ind w:left="1440" w:hanging="360"/>
      </w:pPr>
      <w:rPr>
        <w:rFonts w:ascii="Symbol" w:hAnsi="Symbol" w:hint="default"/>
        <w:sz w:val="20"/>
      </w:rPr>
    </w:lvl>
    <w:lvl w:ilvl="3" w:tentative="1">
      <w:numFmt w:val="bullet"/>
      <w:lvlText w:val=""/>
      <w:lvlJc w:val="left"/>
      <w:pPr>
        <w:tabs>
          <w:tab w:val="num" w:pos="2160"/>
        </w:tabs>
        <w:ind w:left="2160" w:hanging="360"/>
      </w:pPr>
      <w:rPr>
        <w:rFonts w:ascii="Symbol" w:hAnsi="Symbol" w:hint="default"/>
        <w:sz w:val="20"/>
      </w:rPr>
    </w:lvl>
    <w:lvl w:ilvl="4" w:tentative="1">
      <w:numFmt w:val="bullet"/>
      <w:lvlText w:val=""/>
      <w:lvlJc w:val="left"/>
      <w:pPr>
        <w:tabs>
          <w:tab w:val="num" w:pos="2880"/>
        </w:tabs>
        <w:ind w:left="2880" w:hanging="360"/>
      </w:pPr>
      <w:rPr>
        <w:rFonts w:ascii="Symbol" w:hAnsi="Symbol" w:hint="default"/>
        <w:sz w:val="20"/>
      </w:rPr>
    </w:lvl>
    <w:lvl w:ilvl="5" w:tentative="1">
      <w:numFmt w:val="bullet"/>
      <w:lvlText w:val=""/>
      <w:lvlJc w:val="left"/>
      <w:pPr>
        <w:tabs>
          <w:tab w:val="num" w:pos="3600"/>
        </w:tabs>
        <w:ind w:left="3600" w:hanging="360"/>
      </w:pPr>
      <w:rPr>
        <w:rFonts w:ascii="Symbol" w:hAnsi="Symbol" w:hint="default"/>
        <w:sz w:val="20"/>
      </w:rPr>
    </w:lvl>
    <w:lvl w:ilvl="6" w:tentative="1">
      <w:numFmt w:val="bullet"/>
      <w:lvlText w:val=""/>
      <w:lvlJc w:val="left"/>
      <w:pPr>
        <w:tabs>
          <w:tab w:val="num" w:pos="4320"/>
        </w:tabs>
        <w:ind w:left="4320" w:hanging="360"/>
      </w:pPr>
      <w:rPr>
        <w:rFonts w:ascii="Symbol" w:hAnsi="Symbol" w:hint="default"/>
        <w:sz w:val="20"/>
      </w:rPr>
    </w:lvl>
    <w:lvl w:ilvl="7" w:tentative="1">
      <w:numFmt w:val="bullet"/>
      <w:lvlText w:val=""/>
      <w:lvlJc w:val="left"/>
      <w:pPr>
        <w:tabs>
          <w:tab w:val="num" w:pos="5040"/>
        </w:tabs>
        <w:ind w:left="5040" w:hanging="360"/>
      </w:pPr>
      <w:rPr>
        <w:rFonts w:ascii="Symbol" w:hAnsi="Symbol" w:hint="default"/>
        <w:sz w:val="20"/>
      </w:rPr>
    </w:lvl>
    <w:lvl w:ilvl="8" w:tentative="1">
      <w:numFmt w:val="bullet"/>
      <w:lvlText w:val=""/>
      <w:lvlJc w:val="left"/>
      <w:pPr>
        <w:tabs>
          <w:tab w:val="num" w:pos="5760"/>
        </w:tabs>
        <w:ind w:left="5760" w:hanging="360"/>
      </w:pPr>
      <w:rPr>
        <w:rFonts w:ascii="Symbol" w:hAnsi="Symbol" w:hint="default"/>
        <w:sz w:val="20"/>
      </w:rPr>
    </w:lvl>
  </w:abstractNum>
  <w:abstractNum w:abstractNumId="2" w15:restartNumberingAfterBreak="0">
    <w:nsid w:val="0B9F7F79"/>
    <w:multiLevelType w:val="multilevel"/>
    <w:tmpl w:val="35CACEC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74343"/>
    <w:multiLevelType w:val="hybridMultilevel"/>
    <w:tmpl w:val="278EB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04ADB"/>
    <w:multiLevelType w:val="hybridMultilevel"/>
    <w:tmpl w:val="CDC0F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533000"/>
    <w:multiLevelType w:val="hybridMultilevel"/>
    <w:tmpl w:val="B790C12E"/>
    <w:lvl w:ilvl="0" w:tplc="A82888CA">
      <w:start w:val="1"/>
      <w:numFmt w:val="bullet"/>
      <w:lvlText w:val=""/>
      <w:lvlJc w:val="left"/>
      <w:pPr>
        <w:ind w:left="720" w:hanging="360"/>
      </w:pPr>
      <w:rPr>
        <w:rFonts w:ascii="Symbol" w:hAnsi="Symbol" w:hint="default"/>
      </w:rPr>
    </w:lvl>
    <w:lvl w:ilvl="1" w:tplc="4A0C3EDA">
      <w:start w:val="1"/>
      <w:numFmt w:val="bullet"/>
      <w:lvlText w:val="o"/>
      <w:lvlJc w:val="left"/>
      <w:pPr>
        <w:ind w:left="1440" w:hanging="360"/>
      </w:pPr>
      <w:rPr>
        <w:rFonts w:ascii="Courier New" w:hAnsi="Courier New" w:hint="default"/>
      </w:rPr>
    </w:lvl>
    <w:lvl w:ilvl="2" w:tplc="9DFC61E8">
      <w:start w:val="1"/>
      <w:numFmt w:val="bullet"/>
      <w:lvlText w:val=""/>
      <w:lvlJc w:val="left"/>
      <w:pPr>
        <w:ind w:left="2160" w:hanging="360"/>
      </w:pPr>
      <w:rPr>
        <w:rFonts w:ascii="Wingdings" w:hAnsi="Wingdings" w:hint="default"/>
      </w:rPr>
    </w:lvl>
    <w:lvl w:ilvl="3" w:tplc="977CE0D6">
      <w:start w:val="1"/>
      <w:numFmt w:val="bullet"/>
      <w:lvlText w:val=""/>
      <w:lvlJc w:val="left"/>
      <w:pPr>
        <w:ind w:left="2880" w:hanging="360"/>
      </w:pPr>
      <w:rPr>
        <w:rFonts w:ascii="Symbol" w:hAnsi="Symbol" w:hint="default"/>
      </w:rPr>
    </w:lvl>
    <w:lvl w:ilvl="4" w:tplc="0D6EA692">
      <w:start w:val="1"/>
      <w:numFmt w:val="bullet"/>
      <w:lvlText w:val="o"/>
      <w:lvlJc w:val="left"/>
      <w:pPr>
        <w:ind w:left="3600" w:hanging="360"/>
      </w:pPr>
      <w:rPr>
        <w:rFonts w:ascii="Courier New" w:hAnsi="Courier New" w:hint="default"/>
      </w:rPr>
    </w:lvl>
    <w:lvl w:ilvl="5" w:tplc="D11A5766">
      <w:start w:val="1"/>
      <w:numFmt w:val="bullet"/>
      <w:lvlText w:val=""/>
      <w:lvlJc w:val="left"/>
      <w:pPr>
        <w:ind w:left="4320" w:hanging="360"/>
      </w:pPr>
      <w:rPr>
        <w:rFonts w:ascii="Wingdings" w:hAnsi="Wingdings" w:hint="default"/>
      </w:rPr>
    </w:lvl>
    <w:lvl w:ilvl="6" w:tplc="4EB00F5C">
      <w:start w:val="1"/>
      <w:numFmt w:val="bullet"/>
      <w:lvlText w:val=""/>
      <w:lvlJc w:val="left"/>
      <w:pPr>
        <w:ind w:left="5040" w:hanging="360"/>
      </w:pPr>
      <w:rPr>
        <w:rFonts w:ascii="Symbol" w:hAnsi="Symbol" w:hint="default"/>
      </w:rPr>
    </w:lvl>
    <w:lvl w:ilvl="7" w:tplc="8D6E3A4A">
      <w:start w:val="1"/>
      <w:numFmt w:val="bullet"/>
      <w:lvlText w:val="o"/>
      <w:lvlJc w:val="left"/>
      <w:pPr>
        <w:ind w:left="5760" w:hanging="360"/>
      </w:pPr>
      <w:rPr>
        <w:rFonts w:ascii="Courier New" w:hAnsi="Courier New" w:hint="default"/>
      </w:rPr>
    </w:lvl>
    <w:lvl w:ilvl="8" w:tplc="7BF6F3C0">
      <w:start w:val="1"/>
      <w:numFmt w:val="bullet"/>
      <w:lvlText w:val=""/>
      <w:lvlJc w:val="left"/>
      <w:pPr>
        <w:ind w:left="6480" w:hanging="360"/>
      </w:pPr>
      <w:rPr>
        <w:rFonts w:ascii="Wingdings" w:hAnsi="Wingdings" w:hint="default"/>
      </w:rPr>
    </w:lvl>
  </w:abstractNum>
  <w:abstractNum w:abstractNumId="6" w15:restartNumberingAfterBreak="0">
    <w:nsid w:val="1B9258DF"/>
    <w:multiLevelType w:val="hybridMultilevel"/>
    <w:tmpl w:val="55BC92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867CE9"/>
    <w:multiLevelType w:val="multilevel"/>
    <w:tmpl w:val="B94AD9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65318D"/>
    <w:multiLevelType w:val="multilevel"/>
    <w:tmpl w:val="49384896"/>
    <w:lvl w:ilvl="0">
      <w:start w:val="1"/>
      <w:numFmt w:val="decimal"/>
      <w:lvlText w:val="%1."/>
      <w:lvlJc w:val="left"/>
      <w:pPr>
        <w:ind w:left="717"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074B2A"/>
    <w:multiLevelType w:val="hybridMultilevel"/>
    <w:tmpl w:val="81168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4922DA"/>
    <w:multiLevelType w:val="hybridMultilevel"/>
    <w:tmpl w:val="C37E6CE0"/>
    <w:lvl w:ilvl="0" w:tplc="2B7E0C0A">
      <w:start w:val="1"/>
      <w:numFmt w:val="bullet"/>
      <w:lvlText w:val="·"/>
      <w:lvlJc w:val="left"/>
      <w:pPr>
        <w:ind w:left="720" w:hanging="360"/>
      </w:pPr>
      <w:rPr>
        <w:rFonts w:ascii="Symbol" w:hAnsi="Symbol" w:hint="default"/>
      </w:rPr>
    </w:lvl>
    <w:lvl w:ilvl="1" w:tplc="604A681C">
      <w:start w:val="1"/>
      <w:numFmt w:val="bullet"/>
      <w:lvlText w:val="o"/>
      <w:lvlJc w:val="left"/>
      <w:pPr>
        <w:ind w:left="1440" w:hanging="360"/>
      </w:pPr>
      <w:rPr>
        <w:rFonts w:ascii="&quot;Courier New&quot;" w:hAnsi="&quot;Courier New&quot;" w:hint="default"/>
      </w:rPr>
    </w:lvl>
    <w:lvl w:ilvl="2" w:tplc="7EE487B8">
      <w:start w:val="1"/>
      <w:numFmt w:val="bullet"/>
      <w:lvlText w:val=""/>
      <w:lvlJc w:val="left"/>
      <w:pPr>
        <w:ind w:left="2160" w:hanging="360"/>
      </w:pPr>
      <w:rPr>
        <w:rFonts w:ascii="Wingdings" w:hAnsi="Wingdings" w:hint="default"/>
      </w:rPr>
    </w:lvl>
    <w:lvl w:ilvl="3" w:tplc="29D66C1C">
      <w:start w:val="1"/>
      <w:numFmt w:val="bullet"/>
      <w:lvlText w:val=""/>
      <w:lvlJc w:val="left"/>
      <w:pPr>
        <w:ind w:left="2880" w:hanging="360"/>
      </w:pPr>
      <w:rPr>
        <w:rFonts w:ascii="Symbol" w:hAnsi="Symbol" w:hint="default"/>
      </w:rPr>
    </w:lvl>
    <w:lvl w:ilvl="4" w:tplc="DBAAB270">
      <w:start w:val="1"/>
      <w:numFmt w:val="bullet"/>
      <w:lvlText w:val="o"/>
      <w:lvlJc w:val="left"/>
      <w:pPr>
        <w:ind w:left="3600" w:hanging="360"/>
      </w:pPr>
      <w:rPr>
        <w:rFonts w:ascii="Courier New" w:hAnsi="Courier New" w:hint="default"/>
      </w:rPr>
    </w:lvl>
    <w:lvl w:ilvl="5" w:tplc="2214B67C">
      <w:start w:val="1"/>
      <w:numFmt w:val="bullet"/>
      <w:lvlText w:val=""/>
      <w:lvlJc w:val="left"/>
      <w:pPr>
        <w:ind w:left="4320" w:hanging="360"/>
      </w:pPr>
      <w:rPr>
        <w:rFonts w:ascii="Wingdings" w:hAnsi="Wingdings" w:hint="default"/>
      </w:rPr>
    </w:lvl>
    <w:lvl w:ilvl="6" w:tplc="41CC99C4">
      <w:start w:val="1"/>
      <w:numFmt w:val="bullet"/>
      <w:lvlText w:val=""/>
      <w:lvlJc w:val="left"/>
      <w:pPr>
        <w:ind w:left="5040" w:hanging="360"/>
      </w:pPr>
      <w:rPr>
        <w:rFonts w:ascii="Symbol" w:hAnsi="Symbol" w:hint="default"/>
      </w:rPr>
    </w:lvl>
    <w:lvl w:ilvl="7" w:tplc="68924424">
      <w:start w:val="1"/>
      <w:numFmt w:val="bullet"/>
      <w:lvlText w:val="o"/>
      <w:lvlJc w:val="left"/>
      <w:pPr>
        <w:ind w:left="5760" w:hanging="360"/>
      </w:pPr>
      <w:rPr>
        <w:rFonts w:ascii="Courier New" w:hAnsi="Courier New" w:hint="default"/>
      </w:rPr>
    </w:lvl>
    <w:lvl w:ilvl="8" w:tplc="A8045026">
      <w:start w:val="1"/>
      <w:numFmt w:val="bullet"/>
      <w:lvlText w:val=""/>
      <w:lvlJc w:val="left"/>
      <w:pPr>
        <w:ind w:left="6480" w:hanging="360"/>
      </w:pPr>
      <w:rPr>
        <w:rFonts w:ascii="Wingdings" w:hAnsi="Wingdings" w:hint="default"/>
      </w:rPr>
    </w:lvl>
  </w:abstractNum>
  <w:abstractNum w:abstractNumId="11" w15:restartNumberingAfterBreak="0">
    <w:nsid w:val="31887832"/>
    <w:multiLevelType w:val="multilevel"/>
    <w:tmpl w:val="C7D85F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99563C"/>
    <w:multiLevelType w:val="hybridMultilevel"/>
    <w:tmpl w:val="F8C2E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C6111F"/>
    <w:multiLevelType w:val="hybridMultilevel"/>
    <w:tmpl w:val="EEB09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1C68B2"/>
    <w:multiLevelType w:val="hybridMultilevel"/>
    <w:tmpl w:val="9758B222"/>
    <w:lvl w:ilvl="0" w:tplc="37FE5C62">
      <w:start w:val="3"/>
      <w:numFmt w:val="bullet"/>
      <w:lvlText w:val="-"/>
      <w:lvlJc w:val="left"/>
      <w:pPr>
        <w:ind w:left="720" w:hanging="360"/>
      </w:pPr>
      <w:rPr>
        <w:rFonts w:ascii="Solitaire MVB Pro Sm Lt" w:eastAsiaTheme="minorEastAsia" w:hAnsi="Solitaire MVB Pro Sm L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068C0"/>
    <w:multiLevelType w:val="hybridMultilevel"/>
    <w:tmpl w:val="D09A5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9B4E80"/>
    <w:multiLevelType w:val="hybridMultilevel"/>
    <w:tmpl w:val="E8D82844"/>
    <w:lvl w:ilvl="0" w:tplc="37FE5C62">
      <w:start w:val="20"/>
      <w:numFmt w:val="bullet"/>
      <w:lvlText w:val="-"/>
      <w:lvlJc w:val="left"/>
      <w:pPr>
        <w:ind w:left="720" w:hanging="360"/>
      </w:pPr>
      <w:rPr>
        <w:rFonts w:ascii="Solitaire MVB Pro Sm Lt" w:eastAsiaTheme="minorEastAsia" w:hAnsi="Solitaire MVB Pro Sm L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F54A0"/>
    <w:multiLevelType w:val="multilevel"/>
    <w:tmpl w:val="79A64D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C13CF9"/>
    <w:multiLevelType w:val="hybridMultilevel"/>
    <w:tmpl w:val="BEDA4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A8F7FD"/>
    <w:multiLevelType w:val="hybridMultilevel"/>
    <w:tmpl w:val="13505FCA"/>
    <w:lvl w:ilvl="0" w:tplc="38683FDA">
      <w:start w:val="1"/>
      <w:numFmt w:val="bullet"/>
      <w:lvlText w:val="·"/>
      <w:lvlJc w:val="left"/>
      <w:pPr>
        <w:ind w:left="720" w:hanging="360"/>
      </w:pPr>
      <w:rPr>
        <w:rFonts w:ascii="Symbol" w:hAnsi="Symbol" w:hint="default"/>
      </w:rPr>
    </w:lvl>
    <w:lvl w:ilvl="1" w:tplc="FA54FB5E">
      <w:start w:val="1"/>
      <w:numFmt w:val="bullet"/>
      <w:lvlText w:val="o"/>
      <w:lvlJc w:val="left"/>
      <w:pPr>
        <w:ind w:left="1440" w:hanging="360"/>
      </w:pPr>
      <w:rPr>
        <w:rFonts w:ascii="&quot;Courier New&quot;" w:hAnsi="&quot;Courier New&quot;" w:hint="default"/>
      </w:rPr>
    </w:lvl>
    <w:lvl w:ilvl="2" w:tplc="F19801FC">
      <w:start w:val="1"/>
      <w:numFmt w:val="bullet"/>
      <w:lvlText w:val=""/>
      <w:lvlJc w:val="left"/>
      <w:pPr>
        <w:ind w:left="2160" w:hanging="360"/>
      </w:pPr>
      <w:rPr>
        <w:rFonts w:ascii="Wingdings" w:hAnsi="Wingdings" w:hint="default"/>
      </w:rPr>
    </w:lvl>
    <w:lvl w:ilvl="3" w:tplc="5A0A8B86">
      <w:start w:val="1"/>
      <w:numFmt w:val="bullet"/>
      <w:lvlText w:val=""/>
      <w:lvlJc w:val="left"/>
      <w:pPr>
        <w:ind w:left="2880" w:hanging="360"/>
      </w:pPr>
      <w:rPr>
        <w:rFonts w:ascii="Symbol" w:hAnsi="Symbol" w:hint="default"/>
      </w:rPr>
    </w:lvl>
    <w:lvl w:ilvl="4" w:tplc="27D0D064">
      <w:start w:val="1"/>
      <w:numFmt w:val="bullet"/>
      <w:lvlText w:val="o"/>
      <w:lvlJc w:val="left"/>
      <w:pPr>
        <w:ind w:left="3600" w:hanging="360"/>
      </w:pPr>
      <w:rPr>
        <w:rFonts w:ascii="Courier New" w:hAnsi="Courier New" w:hint="default"/>
      </w:rPr>
    </w:lvl>
    <w:lvl w:ilvl="5" w:tplc="3B0CA11A">
      <w:start w:val="1"/>
      <w:numFmt w:val="bullet"/>
      <w:lvlText w:val=""/>
      <w:lvlJc w:val="left"/>
      <w:pPr>
        <w:ind w:left="4320" w:hanging="360"/>
      </w:pPr>
      <w:rPr>
        <w:rFonts w:ascii="Wingdings" w:hAnsi="Wingdings" w:hint="default"/>
      </w:rPr>
    </w:lvl>
    <w:lvl w:ilvl="6" w:tplc="03E820FA">
      <w:start w:val="1"/>
      <w:numFmt w:val="bullet"/>
      <w:lvlText w:val=""/>
      <w:lvlJc w:val="left"/>
      <w:pPr>
        <w:ind w:left="5040" w:hanging="360"/>
      </w:pPr>
      <w:rPr>
        <w:rFonts w:ascii="Symbol" w:hAnsi="Symbol" w:hint="default"/>
      </w:rPr>
    </w:lvl>
    <w:lvl w:ilvl="7" w:tplc="90C4286E">
      <w:start w:val="1"/>
      <w:numFmt w:val="bullet"/>
      <w:lvlText w:val="o"/>
      <w:lvlJc w:val="left"/>
      <w:pPr>
        <w:ind w:left="5760" w:hanging="360"/>
      </w:pPr>
      <w:rPr>
        <w:rFonts w:ascii="Courier New" w:hAnsi="Courier New" w:hint="default"/>
      </w:rPr>
    </w:lvl>
    <w:lvl w:ilvl="8" w:tplc="6BE0F274">
      <w:start w:val="1"/>
      <w:numFmt w:val="bullet"/>
      <w:lvlText w:val=""/>
      <w:lvlJc w:val="left"/>
      <w:pPr>
        <w:ind w:left="6480" w:hanging="360"/>
      </w:pPr>
      <w:rPr>
        <w:rFonts w:ascii="Wingdings" w:hAnsi="Wingdings" w:hint="default"/>
      </w:rPr>
    </w:lvl>
  </w:abstractNum>
  <w:abstractNum w:abstractNumId="20" w15:restartNumberingAfterBreak="0">
    <w:nsid w:val="65B52C7A"/>
    <w:multiLevelType w:val="hybridMultilevel"/>
    <w:tmpl w:val="0C5A3A7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EF2EC4"/>
    <w:multiLevelType w:val="hybridMultilevel"/>
    <w:tmpl w:val="9B4E7F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097B05"/>
    <w:multiLevelType w:val="hybridMultilevel"/>
    <w:tmpl w:val="762871A6"/>
    <w:lvl w:ilvl="0" w:tplc="37FE5C62">
      <w:start w:val="3"/>
      <w:numFmt w:val="bullet"/>
      <w:lvlText w:val="-"/>
      <w:lvlJc w:val="left"/>
      <w:pPr>
        <w:ind w:left="720" w:hanging="360"/>
      </w:pPr>
      <w:rPr>
        <w:rFonts w:ascii="Solitaire MVB Pro Sm Lt" w:eastAsiaTheme="minorEastAsia" w:hAnsi="Solitaire MVB Pro Sm L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5642836">
    <w:abstractNumId w:val="20"/>
  </w:num>
  <w:num w:numId="2" w16cid:durableId="830218588">
    <w:abstractNumId w:val="22"/>
  </w:num>
  <w:num w:numId="3" w16cid:durableId="527724180">
    <w:abstractNumId w:val="21"/>
  </w:num>
  <w:num w:numId="4" w16cid:durableId="759252025">
    <w:abstractNumId w:val="16"/>
  </w:num>
  <w:num w:numId="5" w16cid:durableId="1998455083">
    <w:abstractNumId w:val="1"/>
  </w:num>
  <w:num w:numId="6" w16cid:durableId="624308482">
    <w:abstractNumId w:val="11"/>
  </w:num>
  <w:num w:numId="7" w16cid:durableId="1346519862">
    <w:abstractNumId w:val="17"/>
  </w:num>
  <w:num w:numId="8" w16cid:durableId="1161114624">
    <w:abstractNumId w:val="0"/>
  </w:num>
  <w:num w:numId="9" w16cid:durableId="1609115850">
    <w:abstractNumId w:val="7"/>
  </w:num>
  <w:num w:numId="10" w16cid:durableId="353116152">
    <w:abstractNumId w:val="14"/>
  </w:num>
  <w:num w:numId="11" w16cid:durableId="1096098467">
    <w:abstractNumId w:val="6"/>
  </w:num>
  <w:num w:numId="12" w16cid:durableId="1444618223">
    <w:abstractNumId w:val="12"/>
  </w:num>
  <w:num w:numId="13" w16cid:durableId="1655640679">
    <w:abstractNumId w:val="13"/>
  </w:num>
  <w:num w:numId="14" w16cid:durableId="452794166">
    <w:abstractNumId w:val="3"/>
  </w:num>
  <w:num w:numId="15" w16cid:durableId="2057775867">
    <w:abstractNumId w:val="15"/>
  </w:num>
  <w:num w:numId="16" w16cid:durableId="248269139">
    <w:abstractNumId w:val="5"/>
  </w:num>
  <w:num w:numId="17" w16cid:durableId="1663849749">
    <w:abstractNumId w:val="8"/>
  </w:num>
  <w:num w:numId="18" w16cid:durableId="845561375">
    <w:abstractNumId w:val="2"/>
  </w:num>
  <w:num w:numId="19" w16cid:durableId="626085243">
    <w:abstractNumId w:val="19"/>
  </w:num>
  <w:num w:numId="20" w16cid:durableId="1499422818">
    <w:abstractNumId w:val="10"/>
  </w:num>
  <w:num w:numId="21" w16cid:durableId="1437016279">
    <w:abstractNumId w:val="9"/>
  </w:num>
  <w:num w:numId="22" w16cid:durableId="877284048">
    <w:abstractNumId w:val="18"/>
  </w:num>
  <w:num w:numId="23" w16cid:durableId="445584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4AE"/>
    <w:rsid w:val="000030AE"/>
    <w:rsid w:val="00003521"/>
    <w:rsid w:val="00004CDD"/>
    <w:rsid w:val="00005188"/>
    <w:rsid w:val="0000661D"/>
    <w:rsid w:val="00006E74"/>
    <w:rsid w:val="00010030"/>
    <w:rsid w:val="00010687"/>
    <w:rsid w:val="000138FC"/>
    <w:rsid w:val="00015B40"/>
    <w:rsid w:val="00017CDA"/>
    <w:rsid w:val="00022030"/>
    <w:rsid w:val="000240E7"/>
    <w:rsid w:val="00025F4A"/>
    <w:rsid w:val="000266EA"/>
    <w:rsid w:val="00026902"/>
    <w:rsid w:val="0003106E"/>
    <w:rsid w:val="000311A6"/>
    <w:rsid w:val="000322FB"/>
    <w:rsid w:val="00034522"/>
    <w:rsid w:val="00034D07"/>
    <w:rsid w:val="000376FD"/>
    <w:rsid w:val="00040232"/>
    <w:rsid w:val="00040AE9"/>
    <w:rsid w:val="00043B22"/>
    <w:rsid w:val="00044B16"/>
    <w:rsid w:val="00044CBB"/>
    <w:rsid w:val="00045616"/>
    <w:rsid w:val="0005089F"/>
    <w:rsid w:val="0005137E"/>
    <w:rsid w:val="00051CDB"/>
    <w:rsid w:val="00051D57"/>
    <w:rsid w:val="000526C3"/>
    <w:rsid w:val="00053F07"/>
    <w:rsid w:val="000544F7"/>
    <w:rsid w:val="0005560A"/>
    <w:rsid w:val="00055E4B"/>
    <w:rsid w:val="00056109"/>
    <w:rsid w:val="00056CDC"/>
    <w:rsid w:val="000572A6"/>
    <w:rsid w:val="00057799"/>
    <w:rsid w:val="00060A1F"/>
    <w:rsid w:val="00060D7D"/>
    <w:rsid w:val="000618DC"/>
    <w:rsid w:val="00062254"/>
    <w:rsid w:val="00062CD6"/>
    <w:rsid w:val="000644F5"/>
    <w:rsid w:val="00066EE5"/>
    <w:rsid w:val="000703EB"/>
    <w:rsid w:val="00073011"/>
    <w:rsid w:val="00075E92"/>
    <w:rsid w:val="000768F5"/>
    <w:rsid w:val="0008432C"/>
    <w:rsid w:val="000853AB"/>
    <w:rsid w:val="0008607A"/>
    <w:rsid w:val="00090BFD"/>
    <w:rsid w:val="00090FBD"/>
    <w:rsid w:val="000919C7"/>
    <w:rsid w:val="00096CEB"/>
    <w:rsid w:val="0009717A"/>
    <w:rsid w:val="000A189B"/>
    <w:rsid w:val="000A2634"/>
    <w:rsid w:val="000A3622"/>
    <w:rsid w:val="000A3F2C"/>
    <w:rsid w:val="000A6FDE"/>
    <w:rsid w:val="000A7F0F"/>
    <w:rsid w:val="000B1159"/>
    <w:rsid w:val="000B3212"/>
    <w:rsid w:val="000C026F"/>
    <w:rsid w:val="000C0D8C"/>
    <w:rsid w:val="000C236A"/>
    <w:rsid w:val="000C4550"/>
    <w:rsid w:val="000C47BF"/>
    <w:rsid w:val="000C4F0A"/>
    <w:rsid w:val="000C5990"/>
    <w:rsid w:val="000D06E8"/>
    <w:rsid w:val="000D630D"/>
    <w:rsid w:val="000D63BC"/>
    <w:rsid w:val="000D6577"/>
    <w:rsid w:val="000D6727"/>
    <w:rsid w:val="000E4C08"/>
    <w:rsid w:val="001013BA"/>
    <w:rsid w:val="001017EA"/>
    <w:rsid w:val="00107DB9"/>
    <w:rsid w:val="00107E07"/>
    <w:rsid w:val="00111CE4"/>
    <w:rsid w:val="00121251"/>
    <w:rsid w:val="001214B1"/>
    <w:rsid w:val="00124243"/>
    <w:rsid w:val="00125950"/>
    <w:rsid w:val="001271AD"/>
    <w:rsid w:val="00127417"/>
    <w:rsid w:val="0012760F"/>
    <w:rsid w:val="001320D6"/>
    <w:rsid w:val="001322C6"/>
    <w:rsid w:val="001323F8"/>
    <w:rsid w:val="00132714"/>
    <w:rsid w:val="00134B3C"/>
    <w:rsid w:val="001354B9"/>
    <w:rsid w:val="0014045A"/>
    <w:rsid w:val="00142012"/>
    <w:rsid w:val="001428A8"/>
    <w:rsid w:val="00144216"/>
    <w:rsid w:val="001450D8"/>
    <w:rsid w:val="00145523"/>
    <w:rsid w:val="00145A58"/>
    <w:rsid w:val="0014685E"/>
    <w:rsid w:val="00146B7B"/>
    <w:rsid w:val="00147BAE"/>
    <w:rsid w:val="00150ED7"/>
    <w:rsid w:val="001515C9"/>
    <w:rsid w:val="00151872"/>
    <w:rsid w:val="00151C6C"/>
    <w:rsid w:val="0015217C"/>
    <w:rsid w:val="0015374B"/>
    <w:rsid w:val="00153A22"/>
    <w:rsid w:val="00154E3E"/>
    <w:rsid w:val="0015515A"/>
    <w:rsid w:val="00155539"/>
    <w:rsid w:val="00155A92"/>
    <w:rsid w:val="0015678D"/>
    <w:rsid w:val="0016102C"/>
    <w:rsid w:val="00163BAA"/>
    <w:rsid w:val="00165A1D"/>
    <w:rsid w:val="001711CB"/>
    <w:rsid w:val="00171B9D"/>
    <w:rsid w:val="001721FC"/>
    <w:rsid w:val="001727F8"/>
    <w:rsid w:val="00174B7D"/>
    <w:rsid w:val="00176E9C"/>
    <w:rsid w:val="00177238"/>
    <w:rsid w:val="00180F6F"/>
    <w:rsid w:val="00181E51"/>
    <w:rsid w:val="00182841"/>
    <w:rsid w:val="00183889"/>
    <w:rsid w:val="00190BC5"/>
    <w:rsid w:val="001915FB"/>
    <w:rsid w:val="00193840"/>
    <w:rsid w:val="00193F85"/>
    <w:rsid w:val="0019464B"/>
    <w:rsid w:val="001976D0"/>
    <w:rsid w:val="001A184A"/>
    <w:rsid w:val="001A24FF"/>
    <w:rsid w:val="001A2EDF"/>
    <w:rsid w:val="001A3358"/>
    <w:rsid w:val="001A62D8"/>
    <w:rsid w:val="001A77E4"/>
    <w:rsid w:val="001A7C9F"/>
    <w:rsid w:val="001B03BD"/>
    <w:rsid w:val="001B527C"/>
    <w:rsid w:val="001B6D00"/>
    <w:rsid w:val="001B713F"/>
    <w:rsid w:val="001B7B9C"/>
    <w:rsid w:val="001C0F86"/>
    <w:rsid w:val="001C343F"/>
    <w:rsid w:val="001C4086"/>
    <w:rsid w:val="001C7A65"/>
    <w:rsid w:val="001D0732"/>
    <w:rsid w:val="001D0F34"/>
    <w:rsid w:val="001D1D93"/>
    <w:rsid w:val="001D1EBF"/>
    <w:rsid w:val="001D1F1C"/>
    <w:rsid w:val="001D3012"/>
    <w:rsid w:val="001D6654"/>
    <w:rsid w:val="001D76C2"/>
    <w:rsid w:val="001E5B1E"/>
    <w:rsid w:val="001E6F08"/>
    <w:rsid w:val="001E7085"/>
    <w:rsid w:val="001F1C0E"/>
    <w:rsid w:val="001F6F43"/>
    <w:rsid w:val="001F6FE8"/>
    <w:rsid w:val="00200C2A"/>
    <w:rsid w:val="0020120E"/>
    <w:rsid w:val="00206459"/>
    <w:rsid w:val="0020751B"/>
    <w:rsid w:val="00207B42"/>
    <w:rsid w:val="00207D9B"/>
    <w:rsid w:val="0021177E"/>
    <w:rsid w:val="00211968"/>
    <w:rsid w:val="00214F7E"/>
    <w:rsid w:val="00214FCD"/>
    <w:rsid w:val="00215BC7"/>
    <w:rsid w:val="002241CA"/>
    <w:rsid w:val="00225AC5"/>
    <w:rsid w:val="00225C50"/>
    <w:rsid w:val="00225D4E"/>
    <w:rsid w:val="00227B94"/>
    <w:rsid w:val="00233ED0"/>
    <w:rsid w:val="00241271"/>
    <w:rsid w:val="00244890"/>
    <w:rsid w:val="002462C6"/>
    <w:rsid w:val="002474A6"/>
    <w:rsid w:val="00247E41"/>
    <w:rsid w:val="002541DF"/>
    <w:rsid w:val="00254E4B"/>
    <w:rsid w:val="0025525C"/>
    <w:rsid w:val="00255FA9"/>
    <w:rsid w:val="0025647B"/>
    <w:rsid w:val="00257581"/>
    <w:rsid w:val="00257E63"/>
    <w:rsid w:val="002627C1"/>
    <w:rsid w:val="00263DC3"/>
    <w:rsid w:val="00264F2D"/>
    <w:rsid w:val="00266EC7"/>
    <w:rsid w:val="00271AC4"/>
    <w:rsid w:val="002730CA"/>
    <w:rsid w:val="00281A7E"/>
    <w:rsid w:val="00283CCB"/>
    <w:rsid w:val="00284DA3"/>
    <w:rsid w:val="00284ED5"/>
    <w:rsid w:val="00287DB2"/>
    <w:rsid w:val="00291028"/>
    <w:rsid w:val="0029285E"/>
    <w:rsid w:val="00292AED"/>
    <w:rsid w:val="00295151"/>
    <w:rsid w:val="002A06AF"/>
    <w:rsid w:val="002A1D0C"/>
    <w:rsid w:val="002A4855"/>
    <w:rsid w:val="002A5874"/>
    <w:rsid w:val="002A5A53"/>
    <w:rsid w:val="002A6A12"/>
    <w:rsid w:val="002B02C0"/>
    <w:rsid w:val="002B1F24"/>
    <w:rsid w:val="002B25D1"/>
    <w:rsid w:val="002B4115"/>
    <w:rsid w:val="002B63E0"/>
    <w:rsid w:val="002B6B3E"/>
    <w:rsid w:val="002C08AF"/>
    <w:rsid w:val="002C0A4B"/>
    <w:rsid w:val="002C6B58"/>
    <w:rsid w:val="002C76D6"/>
    <w:rsid w:val="002C7C15"/>
    <w:rsid w:val="002C7F4F"/>
    <w:rsid w:val="002D2368"/>
    <w:rsid w:val="002D41D8"/>
    <w:rsid w:val="002E2597"/>
    <w:rsid w:val="002E2806"/>
    <w:rsid w:val="002E62B9"/>
    <w:rsid w:val="002F4BEF"/>
    <w:rsid w:val="002F4EC8"/>
    <w:rsid w:val="002F63F8"/>
    <w:rsid w:val="002F7EE0"/>
    <w:rsid w:val="00301C9D"/>
    <w:rsid w:val="00303751"/>
    <w:rsid w:val="003040E5"/>
    <w:rsid w:val="00306E27"/>
    <w:rsid w:val="003070D4"/>
    <w:rsid w:val="0031324C"/>
    <w:rsid w:val="00313F34"/>
    <w:rsid w:val="00314E7E"/>
    <w:rsid w:val="00316B6E"/>
    <w:rsid w:val="00322A9F"/>
    <w:rsid w:val="00326DA9"/>
    <w:rsid w:val="00332715"/>
    <w:rsid w:val="003379DC"/>
    <w:rsid w:val="00341853"/>
    <w:rsid w:val="00342247"/>
    <w:rsid w:val="0034691A"/>
    <w:rsid w:val="0035107B"/>
    <w:rsid w:val="00352408"/>
    <w:rsid w:val="003552C2"/>
    <w:rsid w:val="00355361"/>
    <w:rsid w:val="00355C04"/>
    <w:rsid w:val="003574DD"/>
    <w:rsid w:val="00357ADC"/>
    <w:rsid w:val="00362AC9"/>
    <w:rsid w:val="00363D90"/>
    <w:rsid w:val="00364D50"/>
    <w:rsid w:val="00366EA7"/>
    <w:rsid w:val="00367775"/>
    <w:rsid w:val="0037468C"/>
    <w:rsid w:val="003752F8"/>
    <w:rsid w:val="00376F36"/>
    <w:rsid w:val="003777E1"/>
    <w:rsid w:val="003806D7"/>
    <w:rsid w:val="003822B2"/>
    <w:rsid w:val="00382FED"/>
    <w:rsid w:val="003839F2"/>
    <w:rsid w:val="00384206"/>
    <w:rsid w:val="00385476"/>
    <w:rsid w:val="00385D1E"/>
    <w:rsid w:val="00390768"/>
    <w:rsid w:val="00391AF8"/>
    <w:rsid w:val="0039218A"/>
    <w:rsid w:val="00394968"/>
    <w:rsid w:val="00396AC4"/>
    <w:rsid w:val="003A0603"/>
    <w:rsid w:val="003A2217"/>
    <w:rsid w:val="003A2F31"/>
    <w:rsid w:val="003B40F2"/>
    <w:rsid w:val="003B4BDB"/>
    <w:rsid w:val="003B6EA3"/>
    <w:rsid w:val="003C1733"/>
    <w:rsid w:val="003C231A"/>
    <w:rsid w:val="003C3C3D"/>
    <w:rsid w:val="003C6A1A"/>
    <w:rsid w:val="003C771F"/>
    <w:rsid w:val="003C7FA9"/>
    <w:rsid w:val="003D145E"/>
    <w:rsid w:val="003D1D11"/>
    <w:rsid w:val="003D249D"/>
    <w:rsid w:val="003D328E"/>
    <w:rsid w:val="003D3ACD"/>
    <w:rsid w:val="003D44F3"/>
    <w:rsid w:val="003D4C67"/>
    <w:rsid w:val="003D69AF"/>
    <w:rsid w:val="003D726D"/>
    <w:rsid w:val="003D7AB8"/>
    <w:rsid w:val="003E0E3B"/>
    <w:rsid w:val="003E6043"/>
    <w:rsid w:val="003E7BDA"/>
    <w:rsid w:val="003E7FEE"/>
    <w:rsid w:val="003F1B0B"/>
    <w:rsid w:val="003F2D2A"/>
    <w:rsid w:val="003F2DEB"/>
    <w:rsid w:val="003F6DFB"/>
    <w:rsid w:val="003F6E5A"/>
    <w:rsid w:val="003F751E"/>
    <w:rsid w:val="00400C8D"/>
    <w:rsid w:val="004023DA"/>
    <w:rsid w:val="00405EBD"/>
    <w:rsid w:val="00407DE5"/>
    <w:rsid w:val="0041478A"/>
    <w:rsid w:val="00420C5B"/>
    <w:rsid w:val="0042257C"/>
    <w:rsid w:val="004249C2"/>
    <w:rsid w:val="00425E78"/>
    <w:rsid w:val="004327D9"/>
    <w:rsid w:val="004331F4"/>
    <w:rsid w:val="00434876"/>
    <w:rsid w:val="00435EF3"/>
    <w:rsid w:val="00436336"/>
    <w:rsid w:val="00437BD3"/>
    <w:rsid w:val="004404BA"/>
    <w:rsid w:val="0044068E"/>
    <w:rsid w:val="00440D71"/>
    <w:rsid w:val="00441827"/>
    <w:rsid w:val="00442925"/>
    <w:rsid w:val="00446C7E"/>
    <w:rsid w:val="004502FC"/>
    <w:rsid w:val="00450D51"/>
    <w:rsid w:val="00454624"/>
    <w:rsid w:val="00454BC7"/>
    <w:rsid w:val="00455C82"/>
    <w:rsid w:val="00459A85"/>
    <w:rsid w:val="004611B7"/>
    <w:rsid w:val="00461EDF"/>
    <w:rsid w:val="004630BC"/>
    <w:rsid w:val="004636C5"/>
    <w:rsid w:val="0046444A"/>
    <w:rsid w:val="00466474"/>
    <w:rsid w:val="00471CB5"/>
    <w:rsid w:val="00473422"/>
    <w:rsid w:val="0047472F"/>
    <w:rsid w:val="00475000"/>
    <w:rsid w:val="00475623"/>
    <w:rsid w:val="00477829"/>
    <w:rsid w:val="00482ADB"/>
    <w:rsid w:val="00483BF3"/>
    <w:rsid w:val="00485B5E"/>
    <w:rsid w:val="0049037F"/>
    <w:rsid w:val="00490654"/>
    <w:rsid w:val="00491160"/>
    <w:rsid w:val="00491639"/>
    <w:rsid w:val="00491887"/>
    <w:rsid w:val="00492641"/>
    <w:rsid w:val="00495566"/>
    <w:rsid w:val="004A0169"/>
    <w:rsid w:val="004A176E"/>
    <w:rsid w:val="004A24B3"/>
    <w:rsid w:val="004A7988"/>
    <w:rsid w:val="004B138C"/>
    <w:rsid w:val="004B4653"/>
    <w:rsid w:val="004B5DEE"/>
    <w:rsid w:val="004B5DF5"/>
    <w:rsid w:val="004B5E20"/>
    <w:rsid w:val="004B6AB8"/>
    <w:rsid w:val="004C143A"/>
    <w:rsid w:val="004C1A74"/>
    <w:rsid w:val="004C1F10"/>
    <w:rsid w:val="004C235D"/>
    <w:rsid w:val="004C4E64"/>
    <w:rsid w:val="004D2AC5"/>
    <w:rsid w:val="004D32ED"/>
    <w:rsid w:val="004D4069"/>
    <w:rsid w:val="004D459D"/>
    <w:rsid w:val="004D77A4"/>
    <w:rsid w:val="004E38F8"/>
    <w:rsid w:val="004E4BC3"/>
    <w:rsid w:val="004E4F7E"/>
    <w:rsid w:val="004E535F"/>
    <w:rsid w:val="004E7938"/>
    <w:rsid w:val="004F2B22"/>
    <w:rsid w:val="004F3D39"/>
    <w:rsid w:val="004F4ECE"/>
    <w:rsid w:val="005013F4"/>
    <w:rsid w:val="005039A7"/>
    <w:rsid w:val="00504A2A"/>
    <w:rsid w:val="00506C9C"/>
    <w:rsid w:val="00511CE3"/>
    <w:rsid w:val="00511D3C"/>
    <w:rsid w:val="0051272A"/>
    <w:rsid w:val="00513D5C"/>
    <w:rsid w:val="005140E4"/>
    <w:rsid w:val="00514635"/>
    <w:rsid w:val="00516B69"/>
    <w:rsid w:val="005219CB"/>
    <w:rsid w:val="0052444C"/>
    <w:rsid w:val="00527DBC"/>
    <w:rsid w:val="00530B10"/>
    <w:rsid w:val="00536E85"/>
    <w:rsid w:val="005401D7"/>
    <w:rsid w:val="00543562"/>
    <w:rsid w:val="00543571"/>
    <w:rsid w:val="00546A2B"/>
    <w:rsid w:val="0055024F"/>
    <w:rsid w:val="00551604"/>
    <w:rsid w:val="0055352B"/>
    <w:rsid w:val="005547B6"/>
    <w:rsid w:val="00554D31"/>
    <w:rsid w:val="00555D4D"/>
    <w:rsid w:val="00556138"/>
    <w:rsid w:val="00556E10"/>
    <w:rsid w:val="005570E0"/>
    <w:rsid w:val="00557B57"/>
    <w:rsid w:val="005605FC"/>
    <w:rsid w:val="005618A8"/>
    <w:rsid w:val="00563437"/>
    <w:rsid w:val="00567D8B"/>
    <w:rsid w:val="0057090D"/>
    <w:rsid w:val="00571F8A"/>
    <w:rsid w:val="00572034"/>
    <w:rsid w:val="005814ED"/>
    <w:rsid w:val="00583ACD"/>
    <w:rsid w:val="00585964"/>
    <w:rsid w:val="00586FED"/>
    <w:rsid w:val="0058787F"/>
    <w:rsid w:val="00592526"/>
    <w:rsid w:val="00593CC2"/>
    <w:rsid w:val="00594FAF"/>
    <w:rsid w:val="0059530E"/>
    <w:rsid w:val="00596760"/>
    <w:rsid w:val="00596A1D"/>
    <w:rsid w:val="005A0D11"/>
    <w:rsid w:val="005A14CE"/>
    <w:rsid w:val="005A233B"/>
    <w:rsid w:val="005A5C61"/>
    <w:rsid w:val="005B022B"/>
    <w:rsid w:val="005B0464"/>
    <w:rsid w:val="005B14CF"/>
    <w:rsid w:val="005B4129"/>
    <w:rsid w:val="005B4AF4"/>
    <w:rsid w:val="005B61B1"/>
    <w:rsid w:val="005B7E8D"/>
    <w:rsid w:val="005C14BE"/>
    <w:rsid w:val="005C17EB"/>
    <w:rsid w:val="005C18CB"/>
    <w:rsid w:val="005C19E9"/>
    <w:rsid w:val="005C2462"/>
    <w:rsid w:val="005C3779"/>
    <w:rsid w:val="005C3C26"/>
    <w:rsid w:val="005D0991"/>
    <w:rsid w:val="005D269D"/>
    <w:rsid w:val="005D2ECF"/>
    <w:rsid w:val="005D33B8"/>
    <w:rsid w:val="005D3E26"/>
    <w:rsid w:val="005E00F9"/>
    <w:rsid w:val="005E06E2"/>
    <w:rsid w:val="005E1D81"/>
    <w:rsid w:val="005E7846"/>
    <w:rsid w:val="005F26EA"/>
    <w:rsid w:val="005F292A"/>
    <w:rsid w:val="005F4A56"/>
    <w:rsid w:val="005F7F17"/>
    <w:rsid w:val="0060280B"/>
    <w:rsid w:val="006113DC"/>
    <w:rsid w:val="00611EAD"/>
    <w:rsid w:val="00611FF7"/>
    <w:rsid w:val="0061256D"/>
    <w:rsid w:val="006136E8"/>
    <w:rsid w:val="0061521E"/>
    <w:rsid w:val="00617FEC"/>
    <w:rsid w:val="00617FF4"/>
    <w:rsid w:val="00620190"/>
    <w:rsid w:val="00620BDD"/>
    <w:rsid w:val="00621976"/>
    <w:rsid w:val="00622360"/>
    <w:rsid w:val="00622E57"/>
    <w:rsid w:val="006320FD"/>
    <w:rsid w:val="00633BAD"/>
    <w:rsid w:val="00633D28"/>
    <w:rsid w:val="00633FC2"/>
    <w:rsid w:val="006344A0"/>
    <w:rsid w:val="006344A9"/>
    <w:rsid w:val="00635A8F"/>
    <w:rsid w:val="00637F3A"/>
    <w:rsid w:val="0064232D"/>
    <w:rsid w:val="006434EC"/>
    <w:rsid w:val="00653888"/>
    <w:rsid w:val="00655CCE"/>
    <w:rsid w:val="0065661E"/>
    <w:rsid w:val="00657683"/>
    <w:rsid w:val="00663059"/>
    <w:rsid w:val="00665414"/>
    <w:rsid w:val="00665603"/>
    <w:rsid w:val="00665DF9"/>
    <w:rsid w:val="0067060A"/>
    <w:rsid w:val="00674C32"/>
    <w:rsid w:val="00675145"/>
    <w:rsid w:val="00677D43"/>
    <w:rsid w:val="00680373"/>
    <w:rsid w:val="00680DE6"/>
    <w:rsid w:val="0068222C"/>
    <w:rsid w:val="00682936"/>
    <w:rsid w:val="00685379"/>
    <w:rsid w:val="00687A1B"/>
    <w:rsid w:val="00687D99"/>
    <w:rsid w:val="006906A9"/>
    <w:rsid w:val="00690A28"/>
    <w:rsid w:val="006914AE"/>
    <w:rsid w:val="006916DB"/>
    <w:rsid w:val="0069180B"/>
    <w:rsid w:val="00695035"/>
    <w:rsid w:val="00696C6F"/>
    <w:rsid w:val="006A1ECF"/>
    <w:rsid w:val="006A5755"/>
    <w:rsid w:val="006A590D"/>
    <w:rsid w:val="006A601A"/>
    <w:rsid w:val="006B1ED5"/>
    <w:rsid w:val="006B4386"/>
    <w:rsid w:val="006B5517"/>
    <w:rsid w:val="006B5CE3"/>
    <w:rsid w:val="006B711E"/>
    <w:rsid w:val="006C0130"/>
    <w:rsid w:val="006C09A7"/>
    <w:rsid w:val="006C0F39"/>
    <w:rsid w:val="006C10D4"/>
    <w:rsid w:val="006C3E46"/>
    <w:rsid w:val="006D31DD"/>
    <w:rsid w:val="006D47AF"/>
    <w:rsid w:val="006D4C20"/>
    <w:rsid w:val="006D72CD"/>
    <w:rsid w:val="006E0B70"/>
    <w:rsid w:val="006E0D48"/>
    <w:rsid w:val="006E1F46"/>
    <w:rsid w:val="006E276F"/>
    <w:rsid w:val="006E382E"/>
    <w:rsid w:val="006E39D1"/>
    <w:rsid w:val="006E48D2"/>
    <w:rsid w:val="006E5BAC"/>
    <w:rsid w:val="006E605F"/>
    <w:rsid w:val="006E6496"/>
    <w:rsid w:val="006E74E0"/>
    <w:rsid w:val="006F2680"/>
    <w:rsid w:val="006F5A36"/>
    <w:rsid w:val="00702127"/>
    <w:rsid w:val="00702AA4"/>
    <w:rsid w:val="007047FB"/>
    <w:rsid w:val="00704AD1"/>
    <w:rsid w:val="00705B63"/>
    <w:rsid w:val="00711622"/>
    <w:rsid w:val="00714A57"/>
    <w:rsid w:val="00714F4F"/>
    <w:rsid w:val="00715D07"/>
    <w:rsid w:val="00717D52"/>
    <w:rsid w:val="007209CB"/>
    <w:rsid w:val="00720C28"/>
    <w:rsid w:val="007228F7"/>
    <w:rsid w:val="00722A3C"/>
    <w:rsid w:val="0072548F"/>
    <w:rsid w:val="00730387"/>
    <w:rsid w:val="00736091"/>
    <w:rsid w:val="0073781F"/>
    <w:rsid w:val="00740D23"/>
    <w:rsid w:val="0074370A"/>
    <w:rsid w:val="00744BAA"/>
    <w:rsid w:val="007468C8"/>
    <w:rsid w:val="00747BF7"/>
    <w:rsid w:val="0075173D"/>
    <w:rsid w:val="00751C4A"/>
    <w:rsid w:val="00755A27"/>
    <w:rsid w:val="00755F39"/>
    <w:rsid w:val="007579EB"/>
    <w:rsid w:val="00760E96"/>
    <w:rsid w:val="00761829"/>
    <w:rsid w:val="00761BA3"/>
    <w:rsid w:val="00762084"/>
    <w:rsid w:val="007642F7"/>
    <w:rsid w:val="0076475D"/>
    <w:rsid w:val="00766270"/>
    <w:rsid w:val="00771290"/>
    <w:rsid w:val="0077201A"/>
    <w:rsid w:val="007770BA"/>
    <w:rsid w:val="007805C0"/>
    <w:rsid w:val="00780DB4"/>
    <w:rsid w:val="0078473A"/>
    <w:rsid w:val="007865F1"/>
    <w:rsid w:val="0079107E"/>
    <w:rsid w:val="007918E6"/>
    <w:rsid w:val="00792336"/>
    <w:rsid w:val="0079360D"/>
    <w:rsid w:val="007950C2"/>
    <w:rsid w:val="00795EBE"/>
    <w:rsid w:val="00797F88"/>
    <w:rsid w:val="007A034B"/>
    <w:rsid w:val="007A3DDF"/>
    <w:rsid w:val="007A5523"/>
    <w:rsid w:val="007B05FD"/>
    <w:rsid w:val="007B183D"/>
    <w:rsid w:val="007B5FD2"/>
    <w:rsid w:val="007B70DE"/>
    <w:rsid w:val="007C5F44"/>
    <w:rsid w:val="007C699B"/>
    <w:rsid w:val="007C7E03"/>
    <w:rsid w:val="007D77E7"/>
    <w:rsid w:val="007E009A"/>
    <w:rsid w:val="007E04D8"/>
    <w:rsid w:val="007E1969"/>
    <w:rsid w:val="007E4E4C"/>
    <w:rsid w:val="007E50EC"/>
    <w:rsid w:val="007E5A00"/>
    <w:rsid w:val="007E5ACC"/>
    <w:rsid w:val="007E696B"/>
    <w:rsid w:val="007E6E36"/>
    <w:rsid w:val="007F0DD7"/>
    <w:rsid w:val="007F0F3B"/>
    <w:rsid w:val="007F26C2"/>
    <w:rsid w:val="007F3278"/>
    <w:rsid w:val="007F527C"/>
    <w:rsid w:val="007F6343"/>
    <w:rsid w:val="007F6A2B"/>
    <w:rsid w:val="00800904"/>
    <w:rsid w:val="008053CB"/>
    <w:rsid w:val="00807960"/>
    <w:rsid w:val="0081005F"/>
    <w:rsid w:val="00810172"/>
    <w:rsid w:val="008107F9"/>
    <w:rsid w:val="00813685"/>
    <w:rsid w:val="0081536F"/>
    <w:rsid w:val="008207BE"/>
    <w:rsid w:val="00823753"/>
    <w:rsid w:val="00827E03"/>
    <w:rsid w:val="00830AAF"/>
    <w:rsid w:val="00830CF8"/>
    <w:rsid w:val="00831495"/>
    <w:rsid w:val="008314F7"/>
    <w:rsid w:val="00831528"/>
    <w:rsid w:val="00834E9A"/>
    <w:rsid w:val="008364B8"/>
    <w:rsid w:val="008365D0"/>
    <w:rsid w:val="00841EBE"/>
    <w:rsid w:val="0084267B"/>
    <w:rsid w:val="00844229"/>
    <w:rsid w:val="008448B4"/>
    <w:rsid w:val="00851408"/>
    <w:rsid w:val="008559B8"/>
    <w:rsid w:val="008614D3"/>
    <w:rsid w:val="00865728"/>
    <w:rsid w:val="00874640"/>
    <w:rsid w:val="008753D5"/>
    <w:rsid w:val="0087575A"/>
    <w:rsid w:val="00875FCF"/>
    <w:rsid w:val="008769AF"/>
    <w:rsid w:val="0087775C"/>
    <w:rsid w:val="008827F6"/>
    <w:rsid w:val="00891627"/>
    <w:rsid w:val="008917B7"/>
    <w:rsid w:val="0089327B"/>
    <w:rsid w:val="00895027"/>
    <w:rsid w:val="00895031"/>
    <w:rsid w:val="008952A9"/>
    <w:rsid w:val="008A0790"/>
    <w:rsid w:val="008A19D4"/>
    <w:rsid w:val="008A71E1"/>
    <w:rsid w:val="008B016F"/>
    <w:rsid w:val="008B1943"/>
    <w:rsid w:val="008B1E60"/>
    <w:rsid w:val="008B307D"/>
    <w:rsid w:val="008B4F84"/>
    <w:rsid w:val="008B4FF7"/>
    <w:rsid w:val="008B5F72"/>
    <w:rsid w:val="008B6D95"/>
    <w:rsid w:val="008B75D7"/>
    <w:rsid w:val="008C0370"/>
    <w:rsid w:val="008C0DE6"/>
    <w:rsid w:val="008C2A3F"/>
    <w:rsid w:val="008C2F42"/>
    <w:rsid w:val="008C5B8D"/>
    <w:rsid w:val="008C7437"/>
    <w:rsid w:val="008D0030"/>
    <w:rsid w:val="008D16CD"/>
    <w:rsid w:val="008D1777"/>
    <w:rsid w:val="008D6540"/>
    <w:rsid w:val="008E0625"/>
    <w:rsid w:val="008E37A4"/>
    <w:rsid w:val="008F02AC"/>
    <w:rsid w:val="008F0796"/>
    <w:rsid w:val="008F38AD"/>
    <w:rsid w:val="008F44E7"/>
    <w:rsid w:val="008F57E4"/>
    <w:rsid w:val="008F6DB5"/>
    <w:rsid w:val="00903456"/>
    <w:rsid w:val="00903CD4"/>
    <w:rsid w:val="00905E57"/>
    <w:rsid w:val="009062CF"/>
    <w:rsid w:val="00906433"/>
    <w:rsid w:val="009068BC"/>
    <w:rsid w:val="0091186B"/>
    <w:rsid w:val="00914F56"/>
    <w:rsid w:val="009157AB"/>
    <w:rsid w:val="00915C63"/>
    <w:rsid w:val="00915E49"/>
    <w:rsid w:val="009163F4"/>
    <w:rsid w:val="00916AB8"/>
    <w:rsid w:val="00916C64"/>
    <w:rsid w:val="009225DA"/>
    <w:rsid w:val="00922841"/>
    <w:rsid w:val="00923CA4"/>
    <w:rsid w:val="00926BCC"/>
    <w:rsid w:val="00931EAD"/>
    <w:rsid w:val="00933CF4"/>
    <w:rsid w:val="009427DE"/>
    <w:rsid w:val="0094290D"/>
    <w:rsid w:val="00942B6F"/>
    <w:rsid w:val="00947B48"/>
    <w:rsid w:val="00947E6F"/>
    <w:rsid w:val="009533A9"/>
    <w:rsid w:val="00954AC5"/>
    <w:rsid w:val="00955B61"/>
    <w:rsid w:val="00963CB2"/>
    <w:rsid w:val="00964772"/>
    <w:rsid w:val="00965E09"/>
    <w:rsid w:val="009667E9"/>
    <w:rsid w:val="0096698A"/>
    <w:rsid w:val="009708D3"/>
    <w:rsid w:val="00970B4D"/>
    <w:rsid w:val="00970EF2"/>
    <w:rsid w:val="00971ACE"/>
    <w:rsid w:val="0097205E"/>
    <w:rsid w:val="009842FF"/>
    <w:rsid w:val="00986C2A"/>
    <w:rsid w:val="00990878"/>
    <w:rsid w:val="009911BE"/>
    <w:rsid w:val="0099146D"/>
    <w:rsid w:val="00993269"/>
    <w:rsid w:val="0099359E"/>
    <w:rsid w:val="00995D6A"/>
    <w:rsid w:val="009960B7"/>
    <w:rsid w:val="00997472"/>
    <w:rsid w:val="00997516"/>
    <w:rsid w:val="00997E63"/>
    <w:rsid w:val="009A2749"/>
    <w:rsid w:val="009A401A"/>
    <w:rsid w:val="009A4A7E"/>
    <w:rsid w:val="009A6973"/>
    <w:rsid w:val="009A6F93"/>
    <w:rsid w:val="009B0A33"/>
    <w:rsid w:val="009B143D"/>
    <w:rsid w:val="009B19D1"/>
    <w:rsid w:val="009B7F46"/>
    <w:rsid w:val="009C2A81"/>
    <w:rsid w:val="009C2FF3"/>
    <w:rsid w:val="009C3BDF"/>
    <w:rsid w:val="009C60BD"/>
    <w:rsid w:val="009C71A1"/>
    <w:rsid w:val="009D067E"/>
    <w:rsid w:val="009D1894"/>
    <w:rsid w:val="009D1938"/>
    <w:rsid w:val="009D2B6B"/>
    <w:rsid w:val="009D327F"/>
    <w:rsid w:val="009D7DFF"/>
    <w:rsid w:val="009E0B39"/>
    <w:rsid w:val="009E0BDA"/>
    <w:rsid w:val="009E0F44"/>
    <w:rsid w:val="009E21EB"/>
    <w:rsid w:val="009E2A98"/>
    <w:rsid w:val="009E5964"/>
    <w:rsid w:val="009E7750"/>
    <w:rsid w:val="009F155E"/>
    <w:rsid w:val="009F1E57"/>
    <w:rsid w:val="009F4D3F"/>
    <w:rsid w:val="009F4E54"/>
    <w:rsid w:val="00A006A8"/>
    <w:rsid w:val="00A01E17"/>
    <w:rsid w:val="00A02129"/>
    <w:rsid w:val="00A02BFB"/>
    <w:rsid w:val="00A0369B"/>
    <w:rsid w:val="00A04C62"/>
    <w:rsid w:val="00A169CB"/>
    <w:rsid w:val="00A2198D"/>
    <w:rsid w:val="00A24CC8"/>
    <w:rsid w:val="00A25508"/>
    <w:rsid w:val="00A25B2F"/>
    <w:rsid w:val="00A26F9F"/>
    <w:rsid w:val="00A30F1F"/>
    <w:rsid w:val="00A31D2F"/>
    <w:rsid w:val="00A32520"/>
    <w:rsid w:val="00A33B7E"/>
    <w:rsid w:val="00A36A61"/>
    <w:rsid w:val="00A42258"/>
    <w:rsid w:val="00A4260A"/>
    <w:rsid w:val="00A44544"/>
    <w:rsid w:val="00A45646"/>
    <w:rsid w:val="00A45BFF"/>
    <w:rsid w:val="00A46763"/>
    <w:rsid w:val="00A5389B"/>
    <w:rsid w:val="00A5481F"/>
    <w:rsid w:val="00A55B69"/>
    <w:rsid w:val="00A662AA"/>
    <w:rsid w:val="00A70C75"/>
    <w:rsid w:val="00A74FE6"/>
    <w:rsid w:val="00A75F2F"/>
    <w:rsid w:val="00A77697"/>
    <w:rsid w:val="00A81E62"/>
    <w:rsid w:val="00A845AE"/>
    <w:rsid w:val="00A86174"/>
    <w:rsid w:val="00A90420"/>
    <w:rsid w:val="00A92CD3"/>
    <w:rsid w:val="00A93526"/>
    <w:rsid w:val="00A96C49"/>
    <w:rsid w:val="00AA115D"/>
    <w:rsid w:val="00AA2DC1"/>
    <w:rsid w:val="00AA786A"/>
    <w:rsid w:val="00AB0240"/>
    <w:rsid w:val="00AB0BE9"/>
    <w:rsid w:val="00AB0C91"/>
    <w:rsid w:val="00AB3854"/>
    <w:rsid w:val="00AB3947"/>
    <w:rsid w:val="00AB404D"/>
    <w:rsid w:val="00AB6BC9"/>
    <w:rsid w:val="00AB7068"/>
    <w:rsid w:val="00AC2315"/>
    <w:rsid w:val="00AC4A31"/>
    <w:rsid w:val="00AC5499"/>
    <w:rsid w:val="00AC7348"/>
    <w:rsid w:val="00AD0C90"/>
    <w:rsid w:val="00AD1526"/>
    <w:rsid w:val="00AD1ECF"/>
    <w:rsid w:val="00AD35A5"/>
    <w:rsid w:val="00AD4301"/>
    <w:rsid w:val="00AD4378"/>
    <w:rsid w:val="00AD4A4A"/>
    <w:rsid w:val="00AD6799"/>
    <w:rsid w:val="00AD739D"/>
    <w:rsid w:val="00AE07A8"/>
    <w:rsid w:val="00AE22D8"/>
    <w:rsid w:val="00AE31E8"/>
    <w:rsid w:val="00AE3E24"/>
    <w:rsid w:val="00AE3E90"/>
    <w:rsid w:val="00AF25DA"/>
    <w:rsid w:val="00AF27B2"/>
    <w:rsid w:val="00AF3040"/>
    <w:rsid w:val="00AF349B"/>
    <w:rsid w:val="00AF35F4"/>
    <w:rsid w:val="00AF590E"/>
    <w:rsid w:val="00AF6109"/>
    <w:rsid w:val="00B02472"/>
    <w:rsid w:val="00B038FE"/>
    <w:rsid w:val="00B04B5D"/>
    <w:rsid w:val="00B04F7B"/>
    <w:rsid w:val="00B07F5C"/>
    <w:rsid w:val="00B10305"/>
    <w:rsid w:val="00B11BBD"/>
    <w:rsid w:val="00B13B80"/>
    <w:rsid w:val="00B17BE5"/>
    <w:rsid w:val="00B209D3"/>
    <w:rsid w:val="00B20B44"/>
    <w:rsid w:val="00B21627"/>
    <w:rsid w:val="00B22D1F"/>
    <w:rsid w:val="00B2348C"/>
    <w:rsid w:val="00B26E39"/>
    <w:rsid w:val="00B27C3E"/>
    <w:rsid w:val="00B323BB"/>
    <w:rsid w:val="00B32A23"/>
    <w:rsid w:val="00B35D62"/>
    <w:rsid w:val="00B36822"/>
    <w:rsid w:val="00B37353"/>
    <w:rsid w:val="00B37A07"/>
    <w:rsid w:val="00B42CAC"/>
    <w:rsid w:val="00B43D4E"/>
    <w:rsid w:val="00B461A5"/>
    <w:rsid w:val="00B5184B"/>
    <w:rsid w:val="00B522E5"/>
    <w:rsid w:val="00B54FC5"/>
    <w:rsid w:val="00B551A3"/>
    <w:rsid w:val="00B6016B"/>
    <w:rsid w:val="00B612AF"/>
    <w:rsid w:val="00B62A14"/>
    <w:rsid w:val="00B63319"/>
    <w:rsid w:val="00B633D9"/>
    <w:rsid w:val="00B63E13"/>
    <w:rsid w:val="00B64AF2"/>
    <w:rsid w:val="00B66113"/>
    <w:rsid w:val="00B66736"/>
    <w:rsid w:val="00B71F74"/>
    <w:rsid w:val="00B762F2"/>
    <w:rsid w:val="00B8089E"/>
    <w:rsid w:val="00B80D05"/>
    <w:rsid w:val="00B80DFD"/>
    <w:rsid w:val="00B83EDB"/>
    <w:rsid w:val="00B85D49"/>
    <w:rsid w:val="00B85F0C"/>
    <w:rsid w:val="00B87477"/>
    <w:rsid w:val="00B922C2"/>
    <w:rsid w:val="00B93112"/>
    <w:rsid w:val="00B93726"/>
    <w:rsid w:val="00B94595"/>
    <w:rsid w:val="00B94E8D"/>
    <w:rsid w:val="00B974AD"/>
    <w:rsid w:val="00BA58AF"/>
    <w:rsid w:val="00BA5C9B"/>
    <w:rsid w:val="00BA61EE"/>
    <w:rsid w:val="00BB1286"/>
    <w:rsid w:val="00BB6A59"/>
    <w:rsid w:val="00BB7B17"/>
    <w:rsid w:val="00BC439F"/>
    <w:rsid w:val="00BC50D3"/>
    <w:rsid w:val="00BC6B37"/>
    <w:rsid w:val="00BD0843"/>
    <w:rsid w:val="00BD3642"/>
    <w:rsid w:val="00BD5613"/>
    <w:rsid w:val="00BD593B"/>
    <w:rsid w:val="00BD792C"/>
    <w:rsid w:val="00BE074A"/>
    <w:rsid w:val="00BE205F"/>
    <w:rsid w:val="00BE2939"/>
    <w:rsid w:val="00BE3F59"/>
    <w:rsid w:val="00BE593C"/>
    <w:rsid w:val="00BE67FB"/>
    <w:rsid w:val="00BE7F1C"/>
    <w:rsid w:val="00BF0342"/>
    <w:rsid w:val="00BF0578"/>
    <w:rsid w:val="00BF0FFD"/>
    <w:rsid w:val="00BF26BE"/>
    <w:rsid w:val="00BF28DE"/>
    <w:rsid w:val="00BF2975"/>
    <w:rsid w:val="00BF5202"/>
    <w:rsid w:val="00BF52B5"/>
    <w:rsid w:val="00C07FA5"/>
    <w:rsid w:val="00C10C1C"/>
    <w:rsid w:val="00C11A66"/>
    <w:rsid w:val="00C12C30"/>
    <w:rsid w:val="00C158C6"/>
    <w:rsid w:val="00C169FC"/>
    <w:rsid w:val="00C173BF"/>
    <w:rsid w:val="00C2511F"/>
    <w:rsid w:val="00C30ADF"/>
    <w:rsid w:val="00C31545"/>
    <w:rsid w:val="00C31C25"/>
    <w:rsid w:val="00C33E21"/>
    <w:rsid w:val="00C3522B"/>
    <w:rsid w:val="00C35389"/>
    <w:rsid w:val="00C35723"/>
    <w:rsid w:val="00C3684F"/>
    <w:rsid w:val="00C379E0"/>
    <w:rsid w:val="00C37CF6"/>
    <w:rsid w:val="00C403FE"/>
    <w:rsid w:val="00C413D6"/>
    <w:rsid w:val="00C41E22"/>
    <w:rsid w:val="00C43165"/>
    <w:rsid w:val="00C43D7D"/>
    <w:rsid w:val="00C4556A"/>
    <w:rsid w:val="00C461BA"/>
    <w:rsid w:val="00C46510"/>
    <w:rsid w:val="00C4689F"/>
    <w:rsid w:val="00C51AFC"/>
    <w:rsid w:val="00C5296F"/>
    <w:rsid w:val="00C53183"/>
    <w:rsid w:val="00C546AF"/>
    <w:rsid w:val="00C560E7"/>
    <w:rsid w:val="00C5791A"/>
    <w:rsid w:val="00C60D46"/>
    <w:rsid w:val="00C618ED"/>
    <w:rsid w:val="00C625E0"/>
    <w:rsid w:val="00C648D9"/>
    <w:rsid w:val="00C671C3"/>
    <w:rsid w:val="00C676B5"/>
    <w:rsid w:val="00C7126B"/>
    <w:rsid w:val="00C71985"/>
    <w:rsid w:val="00C77CD7"/>
    <w:rsid w:val="00C819CD"/>
    <w:rsid w:val="00C85412"/>
    <w:rsid w:val="00C85E28"/>
    <w:rsid w:val="00C868BA"/>
    <w:rsid w:val="00C87DD3"/>
    <w:rsid w:val="00C87EDF"/>
    <w:rsid w:val="00C904D6"/>
    <w:rsid w:val="00C9261C"/>
    <w:rsid w:val="00C95114"/>
    <w:rsid w:val="00C95B60"/>
    <w:rsid w:val="00CA20EB"/>
    <w:rsid w:val="00CA400E"/>
    <w:rsid w:val="00CA711E"/>
    <w:rsid w:val="00CB1812"/>
    <w:rsid w:val="00CB276D"/>
    <w:rsid w:val="00CB323D"/>
    <w:rsid w:val="00CB545B"/>
    <w:rsid w:val="00CB6369"/>
    <w:rsid w:val="00CB695D"/>
    <w:rsid w:val="00CC0B86"/>
    <w:rsid w:val="00CC3D23"/>
    <w:rsid w:val="00CC7D21"/>
    <w:rsid w:val="00CD4F66"/>
    <w:rsid w:val="00CD6B0E"/>
    <w:rsid w:val="00CE007A"/>
    <w:rsid w:val="00CE14F9"/>
    <w:rsid w:val="00CE2729"/>
    <w:rsid w:val="00CE3639"/>
    <w:rsid w:val="00CE4499"/>
    <w:rsid w:val="00CE5C1A"/>
    <w:rsid w:val="00CE69BD"/>
    <w:rsid w:val="00CE77A1"/>
    <w:rsid w:val="00CF0903"/>
    <w:rsid w:val="00CF1B92"/>
    <w:rsid w:val="00CF1C2C"/>
    <w:rsid w:val="00CF5098"/>
    <w:rsid w:val="00CF5C5B"/>
    <w:rsid w:val="00D01674"/>
    <w:rsid w:val="00D01844"/>
    <w:rsid w:val="00D01EC3"/>
    <w:rsid w:val="00D0284C"/>
    <w:rsid w:val="00D039AD"/>
    <w:rsid w:val="00D051BF"/>
    <w:rsid w:val="00D07CF1"/>
    <w:rsid w:val="00D07E12"/>
    <w:rsid w:val="00D123DB"/>
    <w:rsid w:val="00D15029"/>
    <w:rsid w:val="00D175F3"/>
    <w:rsid w:val="00D202B6"/>
    <w:rsid w:val="00D21BD4"/>
    <w:rsid w:val="00D2297E"/>
    <w:rsid w:val="00D30720"/>
    <w:rsid w:val="00D30BD4"/>
    <w:rsid w:val="00D311BE"/>
    <w:rsid w:val="00D31371"/>
    <w:rsid w:val="00D33561"/>
    <w:rsid w:val="00D3488D"/>
    <w:rsid w:val="00D35849"/>
    <w:rsid w:val="00D35AFC"/>
    <w:rsid w:val="00D37010"/>
    <w:rsid w:val="00D40054"/>
    <w:rsid w:val="00D4005F"/>
    <w:rsid w:val="00D4069C"/>
    <w:rsid w:val="00D41311"/>
    <w:rsid w:val="00D422B9"/>
    <w:rsid w:val="00D42BC0"/>
    <w:rsid w:val="00D43F61"/>
    <w:rsid w:val="00D45978"/>
    <w:rsid w:val="00D45C61"/>
    <w:rsid w:val="00D47D3F"/>
    <w:rsid w:val="00D52636"/>
    <w:rsid w:val="00D54CD6"/>
    <w:rsid w:val="00D55BDC"/>
    <w:rsid w:val="00D623AD"/>
    <w:rsid w:val="00D64D3C"/>
    <w:rsid w:val="00D705B1"/>
    <w:rsid w:val="00D7099E"/>
    <w:rsid w:val="00D72365"/>
    <w:rsid w:val="00D725B4"/>
    <w:rsid w:val="00D76D1B"/>
    <w:rsid w:val="00D76F90"/>
    <w:rsid w:val="00D80868"/>
    <w:rsid w:val="00D8611E"/>
    <w:rsid w:val="00D87604"/>
    <w:rsid w:val="00D903A9"/>
    <w:rsid w:val="00D9077E"/>
    <w:rsid w:val="00D91C6F"/>
    <w:rsid w:val="00D926C8"/>
    <w:rsid w:val="00D93255"/>
    <w:rsid w:val="00D95823"/>
    <w:rsid w:val="00D96599"/>
    <w:rsid w:val="00DA2659"/>
    <w:rsid w:val="00DA67CA"/>
    <w:rsid w:val="00DA6D06"/>
    <w:rsid w:val="00DA6DF4"/>
    <w:rsid w:val="00DA7405"/>
    <w:rsid w:val="00DB14A4"/>
    <w:rsid w:val="00DB38BE"/>
    <w:rsid w:val="00DB48E0"/>
    <w:rsid w:val="00DB5AA4"/>
    <w:rsid w:val="00DB6224"/>
    <w:rsid w:val="00DB7BC8"/>
    <w:rsid w:val="00DC2AEF"/>
    <w:rsid w:val="00DC5EBF"/>
    <w:rsid w:val="00DC5FF8"/>
    <w:rsid w:val="00DC6F71"/>
    <w:rsid w:val="00DC7FD6"/>
    <w:rsid w:val="00DD0037"/>
    <w:rsid w:val="00DD01B5"/>
    <w:rsid w:val="00DD1264"/>
    <w:rsid w:val="00DD1856"/>
    <w:rsid w:val="00DD209C"/>
    <w:rsid w:val="00DD4BE9"/>
    <w:rsid w:val="00DE10A0"/>
    <w:rsid w:val="00DE16F1"/>
    <w:rsid w:val="00DE272C"/>
    <w:rsid w:val="00DE425C"/>
    <w:rsid w:val="00DE755A"/>
    <w:rsid w:val="00DF19C6"/>
    <w:rsid w:val="00DF3768"/>
    <w:rsid w:val="00DF52D5"/>
    <w:rsid w:val="00DF603D"/>
    <w:rsid w:val="00DF6049"/>
    <w:rsid w:val="00DF61B7"/>
    <w:rsid w:val="00DF67DA"/>
    <w:rsid w:val="00DF6B12"/>
    <w:rsid w:val="00E04CDF"/>
    <w:rsid w:val="00E074CC"/>
    <w:rsid w:val="00E12CBF"/>
    <w:rsid w:val="00E12E20"/>
    <w:rsid w:val="00E13DB0"/>
    <w:rsid w:val="00E155E6"/>
    <w:rsid w:val="00E15906"/>
    <w:rsid w:val="00E164EA"/>
    <w:rsid w:val="00E20376"/>
    <w:rsid w:val="00E20F81"/>
    <w:rsid w:val="00E213E9"/>
    <w:rsid w:val="00E21634"/>
    <w:rsid w:val="00E21AE3"/>
    <w:rsid w:val="00E24424"/>
    <w:rsid w:val="00E24E0F"/>
    <w:rsid w:val="00E25922"/>
    <w:rsid w:val="00E25FD0"/>
    <w:rsid w:val="00E27014"/>
    <w:rsid w:val="00E3070A"/>
    <w:rsid w:val="00E323B3"/>
    <w:rsid w:val="00E329A9"/>
    <w:rsid w:val="00E36702"/>
    <w:rsid w:val="00E36E02"/>
    <w:rsid w:val="00E425D2"/>
    <w:rsid w:val="00E445ED"/>
    <w:rsid w:val="00E457C1"/>
    <w:rsid w:val="00E513B3"/>
    <w:rsid w:val="00E54DB1"/>
    <w:rsid w:val="00E56607"/>
    <w:rsid w:val="00E573F8"/>
    <w:rsid w:val="00E608E7"/>
    <w:rsid w:val="00E623A4"/>
    <w:rsid w:val="00E64335"/>
    <w:rsid w:val="00E65D3E"/>
    <w:rsid w:val="00E65DA6"/>
    <w:rsid w:val="00E6728D"/>
    <w:rsid w:val="00E7062E"/>
    <w:rsid w:val="00E752B9"/>
    <w:rsid w:val="00E75B66"/>
    <w:rsid w:val="00E76713"/>
    <w:rsid w:val="00E806A8"/>
    <w:rsid w:val="00E8071E"/>
    <w:rsid w:val="00E810DB"/>
    <w:rsid w:val="00E81812"/>
    <w:rsid w:val="00E820FF"/>
    <w:rsid w:val="00E83286"/>
    <w:rsid w:val="00E8388B"/>
    <w:rsid w:val="00E85DAC"/>
    <w:rsid w:val="00E87897"/>
    <w:rsid w:val="00E8FE37"/>
    <w:rsid w:val="00E90E65"/>
    <w:rsid w:val="00E92937"/>
    <w:rsid w:val="00E93457"/>
    <w:rsid w:val="00E9504F"/>
    <w:rsid w:val="00E97503"/>
    <w:rsid w:val="00EA2DEE"/>
    <w:rsid w:val="00EA3F55"/>
    <w:rsid w:val="00EA6594"/>
    <w:rsid w:val="00EA6F1E"/>
    <w:rsid w:val="00EA741E"/>
    <w:rsid w:val="00EB37AF"/>
    <w:rsid w:val="00EC25A8"/>
    <w:rsid w:val="00EC4DA3"/>
    <w:rsid w:val="00EC7E7B"/>
    <w:rsid w:val="00ED1308"/>
    <w:rsid w:val="00ED2457"/>
    <w:rsid w:val="00ED358C"/>
    <w:rsid w:val="00ED6776"/>
    <w:rsid w:val="00ED6BFF"/>
    <w:rsid w:val="00ED7EA3"/>
    <w:rsid w:val="00EE24CF"/>
    <w:rsid w:val="00EE3DC3"/>
    <w:rsid w:val="00EE3E80"/>
    <w:rsid w:val="00EE4FC9"/>
    <w:rsid w:val="00EE71A7"/>
    <w:rsid w:val="00EE76B0"/>
    <w:rsid w:val="00EF1C51"/>
    <w:rsid w:val="00EF3018"/>
    <w:rsid w:val="00EF5246"/>
    <w:rsid w:val="00EF6D4C"/>
    <w:rsid w:val="00EF70F0"/>
    <w:rsid w:val="00EF76D7"/>
    <w:rsid w:val="00EF7B2B"/>
    <w:rsid w:val="00F0025D"/>
    <w:rsid w:val="00F00392"/>
    <w:rsid w:val="00F004B5"/>
    <w:rsid w:val="00F00621"/>
    <w:rsid w:val="00F00A22"/>
    <w:rsid w:val="00F0365E"/>
    <w:rsid w:val="00F03CAD"/>
    <w:rsid w:val="00F03D09"/>
    <w:rsid w:val="00F03F71"/>
    <w:rsid w:val="00F10CE7"/>
    <w:rsid w:val="00F1316C"/>
    <w:rsid w:val="00F143C1"/>
    <w:rsid w:val="00F15527"/>
    <w:rsid w:val="00F15F1A"/>
    <w:rsid w:val="00F20CC2"/>
    <w:rsid w:val="00F238AE"/>
    <w:rsid w:val="00F2427D"/>
    <w:rsid w:val="00F25725"/>
    <w:rsid w:val="00F25E26"/>
    <w:rsid w:val="00F26EF5"/>
    <w:rsid w:val="00F4383A"/>
    <w:rsid w:val="00F47248"/>
    <w:rsid w:val="00F528D1"/>
    <w:rsid w:val="00F56FD3"/>
    <w:rsid w:val="00F61742"/>
    <w:rsid w:val="00F6260F"/>
    <w:rsid w:val="00F6717E"/>
    <w:rsid w:val="00F67B98"/>
    <w:rsid w:val="00F7002F"/>
    <w:rsid w:val="00F71A79"/>
    <w:rsid w:val="00F758A5"/>
    <w:rsid w:val="00F767F7"/>
    <w:rsid w:val="00F81A70"/>
    <w:rsid w:val="00F82301"/>
    <w:rsid w:val="00F837F2"/>
    <w:rsid w:val="00F83D59"/>
    <w:rsid w:val="00F84ED0"/>
    <w:rsid w:val="00F8664C"/>
    <w:rsid w:val="00F87A26"/>
    <w:rsid w:val="00F912AB"/>
    <w:rsid w:val="00F91BA4"/>
    <w:rsid w:val="00F926F3"/>
    <w:rsid w:val="00F93E16"/>
    <w:rsid w:val="00F94363"/>
    <w:rsid w:val="00F95492"/>
    <w:rsid w:val="00F956F0"/>
    <w:rsid w:val="00F97894"/>
    <w:rsid w:val="00F9793D"/>
    <w:rsid w:val="00FA0A9C"/>
    <w:rsid w:val="00FA1FF6"/>
    <w:rsid w:val="00FA23EF"/>
    <w:rsid w:val="00FA782F"/>
    <w:rsid w:val="00FB43C5"/>
    <w:rsid w:val="00FB4910"/>
    <w:rsid w:val="00FC09FF"/>
    <w:rsid w:val="00FC0F04"/>
    <w:rsid w:val="00FC1068"/>
    <w:rsid w:val="00FC4735"/>
    <w:rsid w:val="00FC76FC"/>
    <w:rsid w:val="00FD2678"/>
    <w:rsid w:val="00FD5F54"/>
    <w:rsid w:val="00FE3DE2"/>
    <w:rsid w:val="00FE56C7"/>
    <w:rsid w:val="00FE5D16"/>
    <w:rsid w:val="00FE7709"/>
    <w:rsid w:val="00FF02FC"/>
    <w:rsid w:val="00FF13E4"/>
    <w:rsid w:val="00FF13F2"/>
    <w:rsid w:val="00FF1B57"/>
    <w:rsid w:val="00FF2D4D"/>
    <w:rsid w:val="00FF35EF"/>
    <w:rsid w:val="00FF487B"/>
    <w:rsid w:val="00FF7D8C"/>
    <w:rsid w:val="0164AF11"/>
    <w:rsid w:val="0172F0FE"/>
    <w:rsid w:val="01BBC0E9"/>
    <w:rsid w:val="0322EBEC"/>
    <w:rsid w:val="0323F261"/>
    <w:rsid w:val="032BB9E5"/>
    <w:rsid w:val="033E85F5"/>
    <w:rsid w:val="034212EC"/>
    <w:rsid w:val="045EEF26"/>
    <w:rsid w:val="049004CA"/>
    <w:rsid w:val="04E3FD46"/>
    <w:rsid w:val="05C48EB6"/>
    <w:rsid w:val="06257733"/>
    <w:rsid w:val="06D72D99"/>
    <w:rsid w:val="08170059"/>
    <w:rsid w:val="082F4BDE"/>
    <w:rsid w:val="086012BF"/>
    <w:rsid w:val="088F0064"/>
    <w:rsid w:val="0911338D"/>
    <w:rsid w:val="09BBD571"/>
    <w:rsid w:val="09BCBE3A"/>
    <w:rsid w:val="09C90369"/>
    <w:rsid w:val="09D86ED4"/>
    <w:rsid w:val="0A32F021"/>
    <w:rsid w:val="0AEC2ACA"/>
    <w:rsid w:val="0AFB0C06"/>
    <w:rsid w:val="0B3D8681"/>
    <w:rsid w:val="0BDAE7C1"/>
    <w:rsid w:val="0C2CB7D4"/>
    <w:rsid w:val="0D0BA30A"/>
    <w:rsid w:val="0D7D43DD"/>
    <w:rsid w:val="0DCB4DC1"/>
    <w:rsid w:val="0DD41F9B"/>
    <w:rsid w:val="0DE8079F"/>
    <w:rsid w:val="0DF75D20"/>
    <w:rsid w:val="0ED63EF7"/>
    <w:rsid w:val="0F198303"/>
    <w:rsid w:val="0FAD3161"/>
    <w:rsid w:val="10249F3F"/>
    <w:rsid w:val="1069E074"/>
    <w:rsid w:val="11004E40"/>
    <w:rsid w:val="1190E268"/>
    <w:rsid w:val="11D145CD"/>
    <w:rsid w:val="125037E0"/>
    <w:rsid w:val="1254B631"/>
    <w:rsid w:val="127B7A87"/>
    <w:rsid w:val="12A85C10"/>
    <w:rsid w:val="12AB65DD"/>
    <w:rsid w:val="139F88F8"/>
    <w:rsid w:val="13A5DCA5"/>
    <w:rsid w:val="14007B7E"/>
    <w:rsid w:val="14380D37"/>
    <w:rsid w:val="1503CD88"/>
    <w:rsid w:val="1512D9A3"/>
    <w:rsid w:val="15D43E8F"/>
    <w:rsid w:val="15DF6BB3"/>
    <w:rsid w:val="169D08FC"/>
    <w:rsid w:val="16A96F8F"/>
    <w:rsid w:val="16ADF6C5"/>
    <w:rsid w:val="17E4FBAF"/>
    <w:rsid w:val="17F18307"/>
    <w:rsid w:val="18793DDB"/>
    <w:rsid w:val="1883F8F4"/>
    <w:rsid w:val="190B9A05"/>
    <w:rsid w:val="1931E48D"/>
    <w:rsid w:val="1A2CBB5F"/>
    <w:rsid w:val="1AA1D3D5"/>
    <w:rsid w:val="1B1C269D"/>
    <w:rsid w:val="1B59EE25"/>
    <w:rsid w:val="1B5C6D9B"/>
    <w:rsid w:val="1D0B663D"/>
    <w:rsid w:val="1FA1125A"/>
    <w:rsid w:val="205F09B7"/>
    <w:rsid w:val="215DD327"/>
    <w:rsid w:val="21A249D8"/>
    <w:rsid w:val="21E9489D"/>
    <w:rsid w:val="237580A7"/>
    <w:rsid w:val="239DEB7D"/>
    <w:rsid w:val="23AF3673"/>
    <w:rsid w:val="23DC6A49"/>
    <w:rsid w:val="2402543E"/>
    <w:rsid w:val="2432B5E7"/>
    <w:rsid w:val="2463A8D8"/>
    <w:rsid w:val="249A617F"/>
    <w:rsid w:val="24D4164A"/>
    <w:rsid w:val="2502EDA2"/>
    <w:rsid w:val="25D2BDB9"/>
    <w:rsid w:val="268CA204"/>
    <w:rsid w:val="2697361F"/>
    <w:rsid w:val="27A049FA"/>
    <w:rsid w:val="27DFF11E"/>
    <w:rsid w:val="27E5F762"/>
    <w:rsid w:val="2818B34D"/>
    <w:rsid w:val="2878B7D9"/>
    <w:rsid w:val="288F1EBB"/>
    <w:rsid w:val="28F13180"/>
    <w:rsid w:val="29342C1C"/>
    <w:rsid w:val="2995B565"/>
    <w:rsid w:val="2ABC6954"/>
    <w:rsid w:val="2B01E902"/>
    <w:rsid w:val="2BB4AB22"/>
    <w:rsid w:val="2BD8B814"/>
    <w:rsid w:val="2CD13554"/>
    <w:rsid w:val="2CD8FF3D"/>
    <w:rsid w:val="2D93CEFE"/>
    <w:rsid w:val="2DFD84CF"/>
    <w:rsid w:val="2EC7239A"/>
    <w:rsid w:val="2EEDEF26"/>
    <w:rsid w:val="2F402688"/>
    <w:rsid w:val="2F5CCD81"/>
    <w:rsid w:val="2F614661"/>
    <w:rsid w:val="2FC39EF6"/>
    <w:rsid w:val="2FE676E8"/>
    <w:rsid w:val="2FF66EB6"/>
    <w:rsid w:val="30178D58"/>
    <w:rsid w:val="3170EB47"/>
    <w:rsid w:val="31BFAC76"/>
    <w:rsid w:val="31FE3C3E"/>
    <w:rsid w:val="3249FEFB"/>
    <w:rsid w:val="32F63A4E"/>
    <w:rsid w:val="33235CCC"/>
    <w:rsid w:val="33EA9AB1"/>
    <w:rsid w:val="3424F765"/>
    <w:rsid w:val="35757642"/>
    <w:rsid w:val="35904A3A"/>
    <w:rsid w:val="36090859"/>
    <w:rsid w:val="366F458E"/>
    <w:rsid w:val="36B92971"/>
    <w:rsid w:val="36D51D88"/>
    <w:rsid w:val="372C1B3F"/>
    <w:rsid w:val="37631A09"/>
    <w:rsid w:val="37884328"/>
    <w:rsid w:val="37BC6211"/>
    <w:rsid w:val="39D36EFA"/>
    <w:rsid w:val="3A843F89"/>
    <w:rsid w:val="3AACD4AB"/>
    <w:rsid w:val="3B2BBF47"/>
    <w:rsid w:val="3B38C6F1"/>
    <w:rsid w:val="3B97A46C"/>
    <w:rsid w:val="3BDF1B48"/>
    <w:rsid w:val="3D12E87A"/>
    <w:rsid w:val="3DC3C24C"/>
    <w:rsid w:val="3E021DF4"/>
    <w:rsid w:val="3E3E139B"/>
    <w:rsid w:val="3E69252A"/>
    <w:rsid w:val="3E8275C3"/>
    <w:rsid w:val="3EFB27B3"/>
    <w:rsid w:val="3FD16B63"/>
    <w:rsid w:val="40202917"/>
    <w:rsid w:val="408EB679"/>
    <w:rsid w:val="4098042E"/>
    <w:rsid w:val="40F5D648"/>
    <w:rsid w:val="4113CF17"/>
    <w:rsid w:val="42A7380E"/>
    <w:rsid w:val="42C0B9F4"/>
    <w:rsid w:val="43232356"/>
    <w:rsid w:val="4337F92C"/>
    <w:rsid w:val="434035B4"/>
    <w:rsid w:val="44B36520"/>
    <w:rsid w:val="44BBABC6"/>
    <w:rsid w:val="454B94CA"/>
    <w:rsid w:val="461EB455"/>
    <w:rsid w:val="46725E1D"/>
    <w:rsid w:val="46E3489A"/>
    <w:rsid w:val="4727DC79"/>
    <w:rsid w:val="4772252E"/>
    <w:rsid w:val="47A64701"/>
    <w:rsid w:val="47DAAD05"/>
    <w:rsid w:val="48685714"/>
    <w:rsid w:val="495C74D8"/>
    <w:rsid w:val="49AFC05B"/>
    <w:rsid w:val="49DBFB98"/>
    <w:rsid w:val="49F9973D"/>
    <w:rsid w:val="4ABD33F5"/>
    <w:rsid w:val="4AC33413"/>
    <w:rsid w:val="4C20765B"/>
    <w:rsid w:val="4C8A3A47"/>
    <w:rsid w:val="4CAC9EF3"/>
    <w:rsid w:val="4CF9C952"/>
    <w:rsid w:val="4D7F56C0"/>
    <w:rsid w:val="4E540840"/>
    <w:rsid w:val="4E672D07"/>
    <w:rsid w:val="4ECA9AD9"/>
    <w:rsid w:val="4ED0CCDE"/>
    <w:rsid w:val="5014968A"/>
    <w:rsid w:val="50C99982"/>
    <w:rsid w:val="50D40A4D"/>
    <w:rsid w:val="50F3FFF5"/>
    <w:rsid w:val="517C9565"/>
    <w:rsid w:val="5231BA83"/>
    <w:rsid w:val="52CE079F"/>
    <w:rsid w:val="5446E8BD"/>
    <w:rsid w:val="5614D3DD"/>
    <w:rsid w:val="5666129E"/>
    <w:rsid w:val="56932DBC"/>
    <w:rsid w:val="57691437"/>
    <w:rsid w:val="59B0D194"/>
    <w:rsid w:val="59E83E36"/>
    <w:rsid w:val="5A46DB84"/>
    <w:rsid w:val="5A68AD8D"/>
    <w:rsid w:val="5AB16417"/>
    <w:rsid w:val="5ACE3C48"/>
    <w:rsid w:val="5B480C39"/>
    <w:rsid w:val="5B6D4548"/>
    <w:rsid w:val="5BB7E83B"/>
    <w:rsid w:val="5C0D74E0"/>
    <w:rsid w:val="5C28ACC8"/>
    <w:rsid w:val="5D5090EA"/>
    <w:rsid w:val="5E44776E"/>
    <w:rsid w:val="5EA9E2F5"/>
    <w:rsid w:val="5F04594D"/>
    <w:rsid w:val="5F5D585C"/>
    <w:rsid w:val="5FE76658"/>
    <w:rsid w:val="607A7CFB"/>
    <w:rsid w:val="60CF6DC3"/>
    <w:rsid w:val="60FFEF15"/>
    <w:rsid w:val="614A9668"/>
    <w:rsid w:val="61556ADF"/>
    <w:rsid w:val="6178A8DD"/>
    <w:rsid w:val="626E3E14"/>
    <w:rsid w:val="6358A473"/>
    <w:rsid w:val="63F30B6A"/>
    <w:rsid w:val="64FF0058"/>
    <w:rsid w:val="6530FA92"/>
    <w:rsid w:val="65571F8F"/>
    <w:rsid w:val="6722DBB0"/>
    <w:rsid w:val="673B2220"/>
    <w:rsid w:val="678882E0"/>
    <w:rsid w:val="67B15EDD"/>
    <w:rsid w:val="68E67F8F"/>
    <w:rsid w:val="68EE0773"/>
    <w:rsid w:val="6970D627"/>
    <w:rsid w:val="6988C987"/>
    <w:rsid w:val="69F78B9F"/>
    <w:rsid w:val="6A39B9DC"/>
    <w:rsid w:val="6A47BEF0"/>
    <w:rsid w:val="6B17EA38"/>
    <w:rsid w:val="6B32E71E"/>
    <w:rsid w:val="6B74F3DC"/>
    <w:rsid w:val="6C2584A5"/>
    <w:rsid w:val="6C85C78C"/>
    <w:rsid w:val="6CB18393"/>
    <w:rsid w:val="6CF80A9E"/>
    <w:rsid w:val="6D57BF05"/>
    <w:rsid w:val="6D8B17B6"/>
    <w:rsid w:val="6DAD0BF9"/>
    <w:rsid w:val="6E389553"/>
    <w:rsid w:val="6E540AFB"/>
    <w:rsid w:val="6EEB8757"/>
    <w:rsid w:val="6F5C764A"/>
    <w:rsid w:val="6FA0305B"/>
    <w:rsid w:val="7168E319"/>
    <w:rsid w:val="71742901"/>
    <w:rsid w:val="717ED221"/>
    <w:rsid w:val="71AA675C"/>
    <w:rsid w:val="72F5275F"/>
    <w:rsid w:val="730578EA"/>
    <w:rsid w:val="734693C8"/>
    <w:rsid w:val="73730A2F"/>
    <w:rsid w:val="74390C47"/>
    <w:rsid w:val="75D113A4"/>
    <w:rsid w:val="76E3ADE5"/>
    <w:rsid w:val="7739B59B"/>
    <w:rsid w:val="77669474"/>
    <w:rsid w:val="78958C39"/>
    <w:rsid w:val="789A0955"/>
    <w:rsid w:val="789FE08F"/>
    <w:rsid w:val="7934B61A"/>
    <w:rsid w:val="79470746"/>
    <w:rsid w:val="79893560"/>
    <w:rsid w:val="79D49470"/>
    <w:rsid w:val="7A04F392"/>
    <w:rsid w:val="7A2D22E2"/>
    <w:rsid w:val="7A589AA5"/>
    <w:rsid w:val="7B986582"/>
    <w:rsid w:val="7C2306A6"/>
    <w:rsid w:val="7C44AE18"/>
    <w:rsid w:val="7CAE4196"/>
    <w:rsid w:val="7CDF94D1"/>
    <w:rsid w:val="7D1F0406"/>
    <w:rsid w:val="7D75D055"/>
    <w:rsid w:val="7E47922A"/>
    <w:rsid w:val="7EA37FAB"/>
    <w:rsid w:val="7F4E8D09"/>
    <w:rsid w:val="7F8589B5"/>
    <w:rsid w:val="7FC741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148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CE7"/>
    <w:pPr>
      <w:spacing w:before="120" w:after="120" w:line="240" w:lineRule="auto"/>
    </w:pPr>
    <w:rPr>
      <w:rFonts w:ascii="Solitaire MVB Pro Sm Lt" w:hAnsi="Solitaire MVB Pro Sm Lt"/>
    </w:rPr>
  </w:style>
  <w:style w:type="paragraph" w:styleId="Heading1">
    <w:name w:val="heading 1"/>
    <w:basedOn w:val="Normal"/>
    <w:next w:val="Normal"/>
    <w:link w:val="Heading1Char"/>
    <w:uiPriority w:val="9"/>
    <w:qFormat/>
    <w:rsid w:val="00475000"/>
    <w:pPr>
      <w:keepNext/>
      <w:keepLines/>
      <w:pBdr>
        <w:bottom w:val="single" w:sz="12" w:space="1" w:color="B1921F" w:themeColor="accent5"/>
      </w:pBdr>
      <w:spacing w:before="480" w:after="320"/>
      <w:outlineLvl w:val="0"/>
    </w:pPr>
    <w:rPr>
      <w:rFonts w:ascii="Dovetail MVB" w:eastAsiaTheme="majorEastAsia" w:hAnsi="Dovetail MVB" w:cstheme="majorBidi"/>
      <w:bCs/>
      <w:color w:val="B1921F" w:themeColor="accent5"/>
      <w:sz w:val="42"/>
      <w:szCs w:val="28"/>
    </w:rPr>
  </w:style>
  <w:style w:type="paragraph" w:styleId="Heading2">
    <w:name w:val="heading 2"/>
    <w:basedOn w:val="Normal"/>
    <w:next w:val="Normal"/>
    <w:link w:val="Heading2Char"/>
    <w:uiPriority w:val="9"/>
    <w:unhideWhenUsed/>
    <w:qFormat/>
    <w:rsid w:val="00F10CE7"/>
    <w:pPr>
      <w:keepNext/>
      <w:keepLines/>
      <w:spacing w:after="240"/>
      <w:outlineLvl w:val="1"/>
    </w:pPr>
    <w:rPr>
      <w:rFonts w:ascii="Solitaire MVB Pro" w:eastAsiaTheme="majorEastAsia" w:hAnsi="Solitaire MVB Pro" w:cstheme="majorBidi"/>
      <w:b/>
      <w:bCs/>
      <w:color w:val="000000" w:themeColor="text1"/>
      <w:sz w:val="34"/>
      <w:szCs w:val="26"/>
    </w:rPr>
  </w:style>
  <w:style w:type="paragraph" w:styleId="Heading3">
    <w:name w:val="heading 3"/>
    <w:basedOn w:val="Normal"/>
    <w:next w:val="Normal"/>
    <w:link w:val="Heading3Char"/>
    <w:uiPriority w:val="9"/>
    <w:unhideWhenUsed/>
    <w:qFormat/>
    <w:rsid w:val="00F10CE7"/>
    <w:pPr>
      <w:keepNext/>
      <w:keepLines/>
      <w:spacing w:before="200"/>
      <w:outlineLvl w:val="2"/>
    </w:pPr>
    <w:rPr>
      <w:rFonts w:ascii="Solitaire MVB Pro" w:eastAsiaTheme="majorEastAsia" w:hAnsi="Solitaire MVB Pro" w:cstheme="majorBidi"/>
      <w:b/>
      <w:bCs/>
      <w:color w:val="0F4A62" w:themeColor="text2"/>
      <w:sz w:val="28"/>
    </w:rPr>
  </w:style>
  <w:style w:type="paragraph" w:styleId="Heading4">
    <w:name w:val="heading 4"/>
    <w:basedOn w:val="Normal"/>
    <w:next w:val="Normal"/>
    <w:link w:val="Heading4Char"/>
    <w:uiPriority w:val="9"/>
    <w:unhideWhenUsed/>
    <w:qFormat/>
    <w:rsid w:val="00B6016B"/>
    <w:pPr>
      <w:keepNext/>
      <w:keepLines/>
      <w:spacing w:before="200" w:after="0"/>
      <w:outlineLvl w:val="3"/>
    </w:pPr>
    <w:rPr>
      <w:rFonts w:asciiTheme="majorHAnsi" w:eastAsiaTheme="majorEastAsia" w:hAnsiTheme="majorHAnsi" w:cstheme="majorBidi"/>
      <w:b/>
      <w:bCs/>
      <w:i/>
      <w:iCs/>
      <w:color w:val="00809D" w:themeColor="accent1"/>
    </w:rPr>
  </w:style>
  <w:style w:type="paragraph" w:styleId="Heading5">
    <w:name w:val="heading 5"/>
    <w:basedOn w:val="Normal"/>
    <w:next w:val="Normal"/>
    <w:link w:val="Heading5Char"/>
    <w:uiPriority w:val="9"/>
    <w:unhideWhenUsed/>
    <w:qFormat/>
    <w:rsid w:val="00B6016B"/>
    <w:pPr>
      <w:keepNext/>
      <w:keepLines/>
      <w:spacing w:before="200" w:after="0"/>
      <w:outlineLvl w:val="4"/>
    </w:pPr>
    <w:rPr>
      <w:rFonts w:asciiTheme="majorHAnsi" w:eastAsiaTheme="majorEastAsia" w:hAnsiTheme="majorHAnsi" w:cstheme="majorBidi"/>
      <w:color w:val="003F4E" w:themeColor="accent1" w:themeShade="7F"/>
    </w:rPr>
  </w:style>
  <w:style w:type="paragraph" w:styleId="Heading6">
    <w:name w:val="heading 6"/>
    <w:basedOn w:val="Normal"/>
    <w:next w:val="Normal"/>
    <w:link w:val="Heading6Char"/>
    <w:uiPriority w:val="9"/>
    <w:semiHidden/>
    <w:unhideWhenUsed/>
    <w:qFormat/>
    <w:rsid w:val="00B6016B"/>
    <w:pPr>
      <w:keepNext/>
      <w:keepLines/>
      <w:spacing w:before="200" w:after="0"/>
      <w:outlineLvl w:val="5"/>
    </w:pPr>
    <w:rPr>
      <w:rFonts w:asciiTheme="majorHAnsi" w:eastAsiaTheme="majorEastAsia" w:hAnsiTheme="majorHAnsi" w:cstheme="majorBidi"/>
      <w:i/>
      <w:iCs/>
      <w:color w:val="003F4E" w:themeColor="accent1" w:themeShade="7F"/>
    </w:rPr>
  </w:style>
  <w:style w:type="paragraph" w:styleId="Heading7">
    <w:name w:val="heading 7"/>
    <w:basedOn w:val="Normal"/>
    <w:next w:val="Normal"/>
    <w:link w:val="Heading7Char"/>
    <w:uiPriority w:val="9"/>
    <w:semiHidden/>
    <w:unhideWhenUsed/>
    <w:qFormat/>
    <w:rsid w:val="00B6016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6016B"/>
    <w:pPr>
      <w:keepNext/>
      <w:keepLines/>
      <w:spacing w:before="200" w:after="0"/>
      <w:outlineLvl w:val="7"/>
    </w:pPr>
    <w:rPr>
      <w:rFonts w:asciiTheme="majorHAnsi" w:eastAsiaTheme="majorEastAsia" w:hAnsiTheme="majorHAnsi" w:cstheme="majorBidi"/>
      <w:color w:val="00809D" w:themeColor="accent1"/>
      <w:sz w:val="20"/>
      <w:szCs w:val="20"/>
    </w:rPr>
  </w:style>
  <w:style w:type="paragraph" w:styleId="Heading9">
    <w:name w:val="heading 9"/>
    <w:basedOn w:val="Normal"/>
    <w:next w:val="Normal"/>
    <w:link w:val="Heading9Char"/>
    <w:uiPriority w:val="9"/>
    <w:semiHidden/>
    <w:unhideWhenUsed/>
    <w:qFormat/>
    <w:rsid w:val="00B601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843"/>
    <w:pPr>
      <w:tabs>
        <w:tab w:val="center" w:pos="4513"/>
        <w:tab w:val="right" w:pos="9026"/>
      </w:tabs>
      <w:spacing w:after="0"/>
    </w:pPr>
  </w:style>
  <w:style w:type="character" w:customStyle="1" w:styleId="HeaderChar">
    <w:name w:val="Header Char"/>
    <w:basedOn w:val="DefaultParagraphFont"/>
    <w:link w:val="Header"/>
    <w:uiPriority w:val="99"/>
    <w:rsid w:val="00BD0843"/>
  </w:style>
  <w:style w:type="paragraph" w:styleId="Footer">
    <w:name w:val="footer"/>
    <w:basedOn w:val="Normal"/>
    <w:link w:val="FooterChar"/>
    <w:uiPriority w:val="99"/>
    <w:unhideWhenUsed/>
    <w:rsid w:val="00BD0843"/>
    <w:pPr>
      <w:tabs>
        <w:tab w:val="center" w:pos="4513"/>
        <w:tab w:val="right" w:pos="9026"/>
      </w:tabs>
      <w:spacing w:after="0"/>
    </w:pPr>
  </w:style>
  <w:style w:type="character" w:customStyle="1" w:styleId="FooterChar">
    <w:name w:val="Footer Char"/>
    <w:basedOn w:val="DefaultParagraphFont"/>
    <w:link w:val="Footer"/>
    <w:uiPriority w:val="99"/>
    <w:rsid w:val="00BD0843"/>
  </w:style>
  <w:style w:type="paragraph" w:styleId="NoSpacing">
    <w:name w:val="No Spacing"/>
    <w:link w:val="NoSpacingChar"/>
    <w:uiPriority w:val="1"/>
    <w:qFormat/>
    <w:rsid w:val="00F10CE7"/>
    <w:pPr>
      <w:spacing w:before="120" w:after="120" w:line="240" w:lineRule="auto"/>
    </w:pPr>
    <w:rPr>
      <w:rFonts w:ascii="Solitaire MVB Pro Sm Lt" w:hAnsi="Solitaire MVB Pro Sm Lt"/>
    </w:rPr>
  </w:style>
  <w:style w:type="character" w:customStyle="1" w:styleId="NoSpacingChar">
    <w:name w:val="No Spacing Char"/>
    <w:basedOn w:val="DefaultParagraphFont"/>
    <w:link w:val="NoSpacing"/>
    <w:uiPriority w:val="1"/>
    <w:rsid w:val="00F10CE7"/>
    <w:rPr>
      <w:rFonts w:ascii="Solitaire MVB Pro Sm Lt" w:hAnsi="Solitaire MVB Pro Sm Lt"/>
    </w:rPr>
  </w:style>
  <w:style w:type="character" w:customStyle="1" w:styleId="Heading1Char">
    <w:name w:val="Heading 1 Char"/>
    <w:basedOn w:val="DefaultParagraphFont"/>
    <w:link w:val="Heading1"/>
    <w:uiPriority w:val="9"/>
    <w:rsid w:val="00475000"/>
    <w:rPr>
      <w:rFonts w:ascii="Dovetail MVB" w:eastAsiaTheme="majorEastAsia" w:hAnsi="Dovetail MVB" w:cstheme="majorBidi"/>
      <w:bCs/>
      <w:color w:val="B1921F" w:themeColor="accent5"/>
      <w:sz w:val="42"/>
      <w:szCs w:val="28"/>
    </w:rPr>
  </w:style>
  <w:style w:type="character" w:customStyle="1" w:styleId="Heading2Char">
    <w:name w:val="Heading 2 Char"/>
    <w:basedOn w:val="DefaultParagraphFont"/>
    <w:link w:val="Heading2"/>
    <w:uiPriority w:val="9"/>
    <w:rsid w:val="00F10CE7"/>
    <w:rPr>
      <w:rFonts w:ascii="Solitaire MVB Pro" w:eastAsiaTheme="majorEastAsia" w:hAnsi="Solitaire MVB Pro" w:cstheme="majorBidi"/>
      <w:b/>
      <w:bCs/>
      <w:color w:val="000000" w:themeColor="text1"/>
      <w:sz w:val="34"/>
      <w:szCs w:val="26"/>
    </w:rPr>
  </w:style>
  <w:style w:type="character" w:customStyle="1" w:styleId="Heading3Char">
    <w:name w:val="Heading 3 Char"/>
    <w:basedOn w:val="DefaultParagraphFont"/>
    <w:link w:val="Heading3"/>
    <w:uiPriority w:val="9"/>
    <w:rsid w:val="00F10CE7"/>
    <w:rPr>
      <w:rFonts w:ascii="Solitaire MVB Pro" w:eastAsiaTheme="majorEastAsia" w:hAnsi="Solitaire MVB Pro" w:cstheme="majorBidi"/>
      <w:b/>
      <w:bCs/>
      <w:color w:val="0F4A62" w:themeColor="text2"/>
      <w:sz w:val="28"/>
    </w:rPr>
  </w:style>
  <w:style w:type="character" w:customStyle="1" w:styleId="Heading4Char">
    <w:name w:val="Heading 4 Char"/>
    <w:basedOn w:val="DefaultParagraphFont"/>
    <w:link w:val="Heading4"/>
    <w:uiPriority w:val="9"/>
    <w:rsid w:val="00B6016B"/>
    <w:rPr>
      <w:rFonts w:asciiTheme="majorHAnsi" w:eastAsiaTheme="majorEastAsia" w:hAnsiTheme="majorHAnsi" w:cstheme="majorBidi"/>
      <w:b/>
      <w:bCs/>
      <w:i/>
      <w:iCs/>
      <w:color w:val="00809D" w:themeColor="accent1"/>
    </w:rPr>
  </w:style>
  <w:style w:type="character" w:customStyle="1" w:styleId="Heading5Char">
    <w:name w:val="Heading 5 Char"/>
    <w:basedOn w:val="DefaultParagraphFont"/>
    <w:link w:val="Heading5"/>
    <w:uiPriority w:val="9"/>
    <w:rsid w:val="00B6016B"/>
    <w:rPr>
      <w:rFonts w:asciiTheme="majorHAnsi" w:eastAsiaTheme="majorEastAsia" w:hAnsiTheme="majorHAnsi" w:cstheme="majorBidi"/>
      <w:color w:val="003F4E" w:themeColor="accent1" w:themeShade="7F"/>
    </w:rPr>
  </w:style>
  <w:style w:type="character" w:customStyle="1" w:styleId="Heading6Char">
    <w:name w:val="Heading 6 Char"/>
    <w:basedOn w:val="DefaultParagraphFont"/>
    <w:link w:val="Heading6"/>
    <w:uiPriority w:val="9"/>
    <w:semiHidden/>
    <w:rsid w:val="00B6016B"/>
    <w:rPr>
      <w:rFonts w:asciiTheme="majorHAnsi" w:eastAsiaTheme="majorEastAsia" w:hAnsiTheme="majorHAnsi" w:cstheme="majorBidi"/>
      <w:i/>
      <w:iCs/>
      <w:color w:val="003F4E" w:themeColor="accent1" w:themeShade="7F"/>
    </w:rPr>
  </w:style>
  <w:style w:type="character" w:customStyle="1" w:styleId="Heading7Char">
    <w:name w:val="Heading 7 Char"/>
    <w:basedOn w:val="DefaultParagraphFont"/>
    <w:link w:val="Heading7"/>
    <w:uiPriority w:val="9"/>
    <w:semiHidden/>
    <w:rsid w:val="00B601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6016B"/>
    <w:rPr>
      <w:rFonts w:asciiTheme="majorHAnsi" w:eastAsiaTheme="majorEastAsia" w:hAnsiTheme="majorHAnsi" w:cstheme="majorBidi"/>
      <w:color w:val="00809D" w:themeColor="accent1"/>
      <w:sz w:val="20"/>
      <w:szCs w:val="20"/>
    </w:rPr>
  </w:style>
  <w:style w:type="character" w:customStyle="1" w:styleId="Heading9Char">
    <w:name w:val="Heading 9 Char"/>
    <w:basedOn w:val="DefaultParagraphFont"/>
    <w:link w:val="Heading9"/>
    <w:uiPriority w:val="9"/>
    <w:semiHidden/>
    <w:rsid w:val="00B6016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6016B"/>
    <w:rPr>
      <w:b/>
      <w:bCs/>
      <w:color w:val="00809D" w:themeColor="accent1"/>
      <w:sz w:val="18"/>
      <w:szCs w:val="18"/>
    </w:rPr>
  </w:style>
  <w:style w:type="paragraph" w:styleId="Title">
    <w:name w:val="Title"/>
    <w:basedOn w:val="Normal"/>
    <w:next w:val="Normal"/>
    <w:link w:val="TitleChar"/>
    <w:uiPriority w:val="10"/>
    <w:qFormat/>
    <w:rsid w:val="00B6016B"/>
    <w:pPr>
      <w:pBdr>
        <w:bottom w:val="single" w:sz="8" w:space="4" w:color="00809D" w:themeColor="accent1"/>
      </w:pBdr>
      <w:spacing w:after="300"/>
      <w:contextualSpacing/>
    </w:pPr>
    <w:rPr>
      <w:rFonts w:asciiTheme="majorHAnsi" w:eastAsiaTheme="majorEastAsia" w:hAnsiTheme="majorHAnsi" w:cstheme="majorBidi"/>
      <w:color w:val="0B3749" w:themeColor="text2" w:themeShade="BF"/>
      <w:spacing w:val="5"/>
      <w:sz w:val="52"/>
      <w:szCs w:val="52"/>
    </w:rPr>
  </w:style>
  <w:style w:type="character" w:customStyle="1" w:styleId="TitleChar">
    <w:name w:val="Title Char"/>
    <w:basedOn w:val="DefaultParagraphFont"/>
    <w:link w:val="Title"/>
    <w:uiPriority w:val="10"/>
    <w:rsid w:val="00B6016B"/>
    <w:rPr>
      <w:rFonts w:asciiTheme="majorHAnsi" w:eastAsiaTheme="majorEastAsia" w:hAnsiTheme="majorHAnsi" w:cstheme="majorBidi"/>
      <w:color w:val="0B3749" w:themeColor="text2" w:themeShade="BF"/>
      <w:spacing w:val="5"/>
      <w:sz w:val="52"/>
      <w:szCs w:val="52"/>
    </w:rPr>
  </w:style>
  <w:style w:type="paragraph" w:styleId="Subtitle">
    <w:name w:val="Subtitle"/>
    <w:basedOn w:val="Normal"/>
    <w:next w:val="Normal"/>
    <w:link w:val="SubtitleChar"/>
    <w:uiPriority w:val="11"/>
    <w:qFormat/>
    <w:rsid w:val="00B6016B"/>
    <w:pPr>
      <w:numPr>
        <w:ilvl w:val="1"/>
      </w:numPr>
    </w:pPr>
    <w:rPr>
      <w:rFonts w:asciiTheme="majorHAnsi" w:eastAsiaTheme="majorEastAsia" w:hAnsiTheme="majorHAnsi" w:cstheme="majorBidi"/>
      <w:i/>
      <w:iCs/>
      <w:color w:val="00809D" w:themeColor="accent1"/>
      <w:spacing w:val="15"/>
      <w:sz w:val="24"/>
      <w:szCs w:val="24"/>
    </w:rPr>
  </w:style>
  <w:style w:type="character" w:customStyle="1" w:styleId="SubtitleChar">
    <w:name w:val="Subtitle Char"/>
    <w:basedOn w:val="DefaultParagraphFont"/>
    <w:link w:val="Subtitle"/>
    <w:uiPriority w:val="11"/>
    <w:rsid w:val="00B6016B"/>
    <w:rPr>
      <w:rFonts w:asciiTheme="majorHAnsi" w:eastAsiaTheme="majorEastAsia" w:hAnsiTheme="majorHAnsi" w:cstheme="majorBidi"/>
      <w:i/>
      <w:iCs/>
      <w:color w:val="00809D" w:themeColor="accent1"/>
      <w:spacing w:val="15"/>
      <w:sz w:val="24"/>
      <w:szCs w:val="24"/>
    </w:rPr>
  </w:style>
  <w:style w:type="character" w:styleId="Strong">
    <w:name w:val="Strong"/>
    <w:basedOn w:val="DefaultParagraphFont"/>
    <w:uiPriority w:val="22"/>
    <w:qFormat/>
    <w:rsid w:val="00B6016B"/>
    <w:rPr>
      <w:b/>
      <w:bCs/>
    </w:rPr>
  </w:style>
  <w:style w:type="character" w:styleId="Emphasis">
    <w:name w:val="Emphasis"/>
    <w:basedOn w:val="DefaultParagraphFont"/>
    <w:uiPriority w:val="20"/>
    <w:qFormat/>
    <w:rsid w:val="00B6016B"/>
    <w:rPr>
      <w:i/>
      <w:iCs/>
    </w:rPr>
  </w:style>
  <w:style w:type="paragraph" w:styleId="Quote">
    <w:name w:val="Quote"/>
    <w:basedOn w:val="Normal"/>
    <w:next w:val="Normal"/>
    <w:link w:val="QuoteChar"/>
    <w:uiPriority w:val="29"/>
    <w:qFormat/>
    <w:rsid w:val="00B6016B"/>
    <w:rPr>
      <w:i/>
      <w:iCs/>
      <w:color w:val="000000" w:themeColor="text1"/>
    </w:rPr>
  </w:style>
  <w:style w:type="character" w:customStyle="1" w:styleId="QuoteChar">
    <w:name w:val="Quote Char"/>
    <w:basedOn w:val="DefaultParagraphFont"/>
    <w:link w:val="Quote"/>
    <w:uiPriority w:val="29"/>
    <w:rsid w:val="00B6016B"/>
    <w:rPr>
      <w:i/>
      <w:iCs/>
      <w:color w:val="000000" w:themeColor="text1"/>
    </w:rPr>
  </w:style>
  <w:style w:type="paragraph" w:styleId="IntenseQuote">
    <w:name w:val="Intense Quote"/>
    <w:basedOn w:val="Normal"/>
    <w:next w:val="Normal"/>
    <w:link w:val="IntenseQuoteChar"/>
    <w:uiPriority w:val="30"/>
    <w:qFormat/>
    <w:rsid w:val="00B6016B"/>
    <w:pPr>
      <w:pBdr>
        <w:bottom w:val="single" w:sz="4" w:space="4" w:color="00809D" w:themeColor="accent1"/>
      </w:pBdr>
      <w:spacing w:before="200" w:after="280"/>
      <w:ind w:left="936" w:right="936"/>
    </w:pPr>
    <w:rPr>
      <w:b/>
      <w:bCs/>
      <w:i/>
      <w:iCs/>
      <w:color w:val="00809D" w:themeColor="accent1"/>
    </w:rPr>
  </w:style>
  <w:style w:type="character" w:customStyle="1" w:styleId="IntenseQuoteChar">
    <w:name w:val="Intense Quote Char"/>
    <w:basedOn w:val="DefaultParagraphFont"/>
    <w:link w:val="IntenseQuote"/>
    <w:uiPriority w:val="30"/>
    <w:rsid w:val="00B6016B"/>
    <w:rPr>
      <w:b/>
      <w:bCs/>
      <w:i/>
      <w:iCs/>
      <w:color w:val="00809D" w:themeColor="accent1"/>
    </w:rPr>
  </w:style>
  <w:style w:type="character" w:styleId="SubtleEmphasis">
    <w:name w:val="Subtle Emphasis"/>
    <w:basedOn w:val="DefaultParagraphFont"/>
    <w:uiPriority w:val="19"/>
    <w:qFormat/>
    <w:rsid w:val="00B6016B"/>
    <w:rPr>
      <w:i/>
      <w:iCs/>
      <w:color w:val="808080" w:themeColor="text1" w:themeTint="7F"/>
    </w:rPr>
  </w:style>
  <w:style w:type="character" w:styleId="IntenseEmphasis">
    <w:name w:val="Intense Emphasis"/>
    <w:basedOn w:val="DefaultParagraphFont"/>
    <w:uiPriority w:val="21"/>
    <w:qFormat/>
    <w:rsid w:val="00B6016B"/>
    <w:rPr>
      <w:b/>
      <w:bCs/>
      <w:i/>
      <w:iCs/>
      <w:color w:val="00809D" w:themeColor="accent1"/>
    </w:rPr>
  </w:style>
  <w:style w:type="character" w:styleId="SubtleReference">
    <w:name w:val="Subtle Reference"/>
    <w:basedOn w:val="DefaultParagraphFont"/>
    <w:uiPriority w:val="31"/>
    <w:qFormat/>
    <w:rsid w:val="00B6016B"/>
    <w:rPr>
      <w:smallCaps/>
      <w:color w:val="69C3C6" w:themeColor="accent2"/>
      <w:u w:val="single"/>
    </w:rPr>
  </w:style>
  <w:style w:type="character" w:styleId="IntenseReference">
    <w:name w:val="Intense Reference"/>
    <w:basedOn w:val="DefaultParagraphFont"/>
    <w:uiPriority w:val="32"/>
    <w:qFormat/>
    <w:rsid w:val="00B6016B"/>
    <w:rPr>
      <w:b/>
      <w:bCs/>
      <w:smallCaps/>
      <w:color w:val="69C3C6" w:themeColor="accent2"/>
      <w:spacing w:val="5"/>
      <w:u w:val="single"/>
    </w:rPr>
  </w:style>
  <w:style w:type="character" w:styleId="BookTitle">
    <w:name w:val="Book Title"/>
    <w:basedOn w:val="DefaultParagraphFont"/>
    <w:uiPriority w:val="33"/>
    <w:qFormat/>
    <w:rsid w:val="00B6016B"/>
    <w:rPr>
      <w:b/>
      <w:bCs/>
      <w:smallCaps/>
      <w:spacing w:val="5"/>
    </w:rPr>
  </w:style>
  <w:style w:type="paragraph" w:styleId="TOCHeading">
    <w:name w:val="TOC Heading"/>
    <w:basedOn w:val="Heading1"/>
    <w:next w:val="Normal"/>
    <w:uiPriority w:val="39"/>
    <w:unhideWhenUsed/>
    <w:qFormat/>
    <w:rsid w:val="00B6016B"/>
    <w:pPr>
      <w:outlineLvl w:val="9"/>
    </w:pPr>
  </w:style>
  <w:style w:type="paragraph" w:styleId="BodyText">
    <w:name w:val="Body Text"/>
    <w:basedOn w:val="Normal"/>
    <w:link w:val="BodyTextChar"/>
    <w:uiPriority w:val="1"/>
    <w:qFormat/>
    <w:rsid w:val="000853AB"/>
    <w:pPr>
      <w:widowControl w:val="0"/>
      <w:autoSpaceDE w:val="0"/>
      <w:autoSpaceDN w:val="0"/>
      <w:spacing w:before="0" w:after="0"/>
    </w:pPr>
    <w:rPr>
      <w:rFonts w:ascii="Arial" w:eastAsia="Arial" w:hAnsi="Arial" w:cs="Arial"/>
    </w:rPr>
  </w:style>
  <w:style w:type="character" w:customStyle="1" w:styleId="BodyTextChar">
    <w:name w:val="Body Text Char"/>
    <w:basedOn w:val="DefaultParagraphFont"/>
    <w:link w:val="BodyText"/>
    <w:uiPriority w:val="1"/>
    <w:rsid w:val="000853AB"/>
    <w:rPr>
      <w:rFonts w:ascii="Arial" w:eastAsia="Arial" w:hAnsi="Arial" w:cs="Arial"/>
    </w:rPr>
  </w:style>
  <w:style w:type="character" w:styleId="Hyperlink">
    <w:name w:val="Hyperlink"/>
    <w:basedOn w:val="DefaultParagraphFont"/>
    <w:uiPriority w:val="99"/>
    <w:unhideWhenUsed/>
    <w:rsid w:val="00190BC5"/>
    <w:rPr>
      <w:color w:val="0000FF"/>
      <w:u w:val="single"/>
    </w:rPr>
  </w:style>
  <w:style w:type="paragraph" w:styleId="ListParagraph">
    <w:name w:val="List Paragraph"/>
    <w:basedOn w:val="Normal"/>
    <w:uiPriority w:val="34"/>
    <w:qFormat/>
    <w:rsid w:val="00680373"/>
    <w:pPr>
      <w:ind w:left="720"/>
      <w:contextualSpacing/>
    </w:pPr>
  </w:style>
  <w:style w:type="character" w:styleId="CommentReference">
    <w:name w:val="annotation reference"/>
    <w:basedOn w:val="DefaultParagraphFont"/>
    <w:uiPriority w:val="99"/>
    <w:semiHidden/>
    <w:unhideWhenUsed/>
    <w:rsid w:val="00695035"/>
    <w:rPr>
      <w:sz w:val="16"/>
      <w:szCs w:val="16"/>
    </w:rPr>
  </w:style>
  <w:style w:type="paragraph" w:styleId="CommentText">
    <w:name w:val="annotation text"/>
    <w:basedOn w:val="Normal"/>
    <w:link w:val="CommentTextChar"/>
    <w:uiPriority w:val="99"/>
    <w:semiHidden/>
    <w:unhideWhenUsed/>
    <w:rsid w:val="00695035"/>
    <w:rPr>
      <w:sz w:val="20"/>
      <w:szCs w:val="20"/>
    </w:rPr>
  </w:style>
  <w:style w:type="character" w:customStyle="1" w:styleId="CommentTextChar">
    <w:name w:val="Comment Text Char"/>
    <w:basedOn w:val="DefaultParagraphFont"/>
    <w:link w:val="CommentText"/>
    <w:uiPriority w:val="99"/>
    <w:semiHidden/>
    <w:rsid w:val="00695035"/>
    <w:rPr>
      <w:rFonts w:ascii="Solitaire MVB Pro Sm Lt" w:hAnsi="Solitaire MVB Pro Sm Lt"/>
      <w:sz w:val="20"/>
      <w:szCs w:val="20"/>
    </w:rPr>
  </w:style>
  <w:style w:type="paragraph" w:styleId="CommentSubject">
    <w:name w:val="annotation subject"/>
    <w:basedOn w:val="CommentText"/>
    <w:next w:val="CommentText"/>
    <w:link w:val="CommentSubjectChar"/>
    <w:uiPriority w:val="99"/>
    <w:semiHidden/>
    <w:unhideWhenUsed/>
    <w:rsid w:val="00695035"/>
    <w:rPr>
      <w:b/>
      <w:bCs/>
    </w:rPr>
  </w:style>
  <w:style w:type="character" w:customStyle="1" w:styleId="CommentSubjectChar">
    <w:name w:val="Comment Subject Char"/>
    <w:basedOn w:val="CommentTextChar"/>
    <w:link w:val="CommentSubject"/>
    <w:uiPriority w:val="99"/>
    <w:semiHidden/>
    <w:rsid w:val="00695035"/>
    <w:rPr>
      <w:rFonts w:ascii="Solitaire MVB Pro Sm Lt" w:hAnsi="Solitaire MVB Pro Sm Lt"/>
      <w:b/>
      <w:bCs/>
      <w:sz w:val="20"/>
      <w:szCs w:val="20"/>
    </w:rPr>
  </w:style>
  <w:style w:type="paragraph" w:styleId="TOC1">
    <w:name w:val="toc 1"/>
    <w:basedOn w:val="Normal"/>
    <w:next w:val="Normal"/>
    <w:autoRedefine/>
    <w:uiPriority w:val="39"/>
    <w:unhideWhenUsed/>
    <w:rsid w:val="005D3E26"/>
    <w:pPr>
      <w:spacing w:after="100"/>
    </w:pPr>
  </w:style>
  <w:style w:type="paragraph" w:styleId="TOC2">
    <w:name w:val="toc 2"/>
    <w:basedOn w:val="Normal"/>
    <w:next w:val="Normal"/>
    <w:autoRedefine/>
    <w:uiPriority w:val="39"/>
    <w:unhideWhenUsed/>
    <w:rsid w:val="005D3E26"/>
    <w:pPr>
      <w:spacing w:after="100"/>
      <w:ind w:left="220"/>
    </w:pPr>
  </w:style>
  <w:style w:type="paragraph" w:styleId="TOC3">
    <w:name w:val="toc 3"/>
    <w:basedOn w:val="Normal"/>
    <w:next w:val="Normal"/>
    <w:autoRedefine/>
    <w:uiPriority w:val="39"/>
    <w:unhideWhenUsed/>
    <w:rsid w:val="005D3E26"/>
    <w:pPr>
      <w:spacing w:after="100"/>
      <w:ind w:left="440"/>
    </w:pPr>
  </w:style>
  <w:style w:type="paragraph" w:customStyle="1" w:styleId="paragraph">
    <w:name w:val="paragraph"/>
    <w:basedOn w:val="Normal"/>
    <w:rsid w:val="00DE1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E16F1"/>
  </w:style>
  <w:style w:type="character" w:customStyle="1" w:styleId="eop">
    <w:name w:val="eop"/>
    <w:basedOn w:val="DefaultParagraphFont"/>
    <w:rsid w:val="00DE16F1"/>
  </w:style>
  <w:style w:type="character" w:styleId="UnresolvedMention">
    <w:name w:val="Unresolved Mention"/>
    <w:basedOn w:val="DefaultParagraphFont"/>
    <w:uiPriority w:val="99"/>
    <w:unhideWhenUsed/>
    <w:rsid w:val="00DE16F1"/>
    <w:rPr>
      <w:color w:val="605E5C"/>
      <w:shd w:val="clear" w:color="auto" w:fill="E1DFDD"/>
    </w:rPr>
  </w:style>
  <w:style w:type="character" w:styleId="Mention">
    <w:name w:val="Mention"/>
    <w:basedOn w:val="DefaultParagraphFont"/>
    <w:uiPriority w:val="99"/>
    <w:unhideWhenUsed/>
    <w:rsid w:val="00DE16F1"/>
    <w:rPr>
      <w:color w:val="2B579A"/>
      <w:shd w:val="clear" w:color="auto" w:fill="E1DFDD"/>
    </w:rPr>
  </w:style>
  <w:style w:type="paragraph" w:styleId="FootnoteText">
    <w:name w:val="footnote text"/>
    <w:basedOn w:val="Normal"/>
    <w:link w:val="FootnoteTextChar"/>
    <w:uiPriority w:val="99"/>
    <w:semiHidden/>
    <w:unhideWhenUsed/>
    <w:rsid w:val="00DE16F1"/>
    <w:pPr>
      <w:spacing w:before="0" w:after="0"/>
    </w:pPr>
    <w:rPr>
      <w:sz w:val="20"/>
      <w:szCs w:val="20"/>
    </w:rPr>
  </w:style>
  <w:style w:type="character" w:customStyle="1" w:styleId="FootnoteTextChar">
    <w:name w:val="Footnote Text Char"/>
    <w:basedOn w:val="DefaultParagraphFont"/>
    <w:link w:val="FootnoteText"/>
    <w:uiPriority w:val="99"/>
    <w:semiHidden/>
    <w:rsid w:val="00DE16F1"/>
    <w:rPr>
      <w:rFonts w:ascii="Solitaire MVB Pro Sm Lt" w:hAnsi="Solitaire MVB Pro Sm Lt"/>
      <w:sz w:val="20"/>
      <w:szCs w:val="20"/>
    </w:rPr>
  </w:style>
  <w:style w:type="character" w:styleId="FootnoteReference">
    <w:name w:val="footnote reference"/>
    <w:basedOn w:val="DefaultParagraphFont"/>
    <w:uiPriority w:val="99"/>
    <w:semiHidden/>
    <w:unhideWhenUsed/>
    <w:rsid w:val="00DE16F1"/>
    <w:rPr>
      <w:vertAlign w:val="superscript"/>
    </w:rPr>
  </w:style>
  <w:style w:type="table" w:styleId="TableGrid">
    <w:name w:val="Table Grid"/>
    <w:basedOn w:val="TableNormal"/>
    <w:uiPriority w:val="39"/>
    <w:rsid w:val="00780DB4"/>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2951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CFC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CFC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CFC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CFCA" w:themeFill="accent3"/>
      </w:tcPr>
    </w:tblStylePr>
    <w:tblStylePr w:type="band1Vert">
      <w:tblPr/>
      <w:tcPr>
        <w:shd w:val="clear" w:color="auto" w:fill="D3EBE9" w:themeFill="accent3" w:themeFillTint="66"/>
      </w:tcPr>
    </w:tblStylePr>
    <w:tblStylePr w:type="band1Horz">
      <w:tblPr/>
      <w:tcPr>
        <w:shd w:val="clear" w:color="auto" w:fill="D3EBE9" w:themeFill="accent3" w:themeFillTint="66"/>
      </w:tcPr>
    </w:tblStylePr>
  </w:style>
  <w:style w:type="character" w:styleId="FollowedHyperlink">
    <w:name w:val="FollowedHyperlink"/>
    <w:basedOn w:val="DefaultParagraphFont"/>
    <w:uiPriority w:val="99"/>
    <w:semiHidden/>
    <w:unhideWhenUsed/>
    <w:rsid w:val="001F6F43"/>
    <w:rPr>
      <w:color w:val="954F72" w:themeColor="followedHyperlink"/>
      <w:u w:val="single"/>
    </w:rPr>
  </w:style>
  <w:style w:type="table" w:styleId="ListTable4-Accent2">
    <w:name w:val="List Table 4 Accent 2"/>
    <w:basedOn w:val="TableNormal"/>
    <w:uiPriority w:val="49"/>
    <w:rsid w:val="001F6F43"/>
    <w:pPr>
      <w:spacing w:after="0" w:line="240" w:lineRule="auto"/>
    </w:pPr>
    <w:tblPr>
      <w:tblStyleRowBandSize w:val="1"/>
      <w:tblStyleColBandSize w:val="1"/>
      <w:tblBorders>
        <w:top w:val="single" w:sz="4" w:space="0" w:color="A4DADC" w:themeColor="accent2" w:themeTint="99"/>
        <w:left w:val="single" w:sz="4" w:space="0" w:color="A4DADC" w:themeColor="accent2" w:themeTint="99"/>
        <w:bottom w:val="single" w:sz="4" w:space="0" w:color="A4DADC" w:themeColor="accent2" w:themeTint="99"/>
        <w:right w:val="single" w:sz="4" w:space="0" w:color="A4DADC" w:themeColor="accent2" w:themeTint="99"/>
        <w:insideH w:val="single" w:sz="4" w:space="0" w:color="A4DADC" w:themeColor="accent2" w:themeTint="99"/>
      </w:tblBorders>
    </w:tblPr>
    <w:tblStylePr w:type="firstRow">
      <w:rPr>
        <w:b/>
        <w:bCs/>
        <w:color w:val="FFFFFF" w:themeColor="background1"/>
      </w:rPr>
      <w:tblPr/>
      <w:tcPr>
        <w:tcBorders>
          <w:top w:val="single" w:sz="4" w:space="0" w:color="69C3C6" w:themeColor="accent2"/>
          <w:left w:val="single" w:sz="4" w:space="0" w:color="69C3C6" w:themeColor="accent2"/>
          <w:bottom w:val="single" w:sz="4" w:space="0" w:color="69C3C6" w:themeColor="accent2"/>
          <w:right w:val="single" w:sz="4" w:space="0" w:color="69C3C6" w:themeColor="accent2"/>
          <w:insideH w:val="nil"/>
        </w:tcBorders>
        <w:shd w:val="clear" w:color="auto" w:fill="69C3C6" w:themeFill="accent2"/>
      </w:tcPr>
    </w:tblStylePr>
    <w:tblStylePr w:type="lastRow">
      <w:rPr>
        <w:b/>
        <w:bCs/>
      </w:rPr>
      <w:tblPr/>
      <w:tcPr>
        <w:tcBorders>
          <w:top w:val="double" w:sz="4" w:space="0" w:color="A4DADC" w:themeColor="accent2" w:themeTint="99"/>
        </w:tcBorders>
      </w:tcPr>
    </w:tblStylePr>
    <w:tblStylePr w:type="firstCol">
      <w:rPr>
        <w:b/>
        <w:bCs/>
      </w:rPr>
    </w:tblStylePr>
    <w:tblStylePr w:type="lastCol">
      <w:rPr>
        <w:b/>
        <w:bCs/>
      </w:rPr>
    </w:tblStylePr>
    <w:tblStylePr w:type="band1Vert">
      <w:tblPr/>
      <w:tcPr>
        <w:shd w:val="clear" w:color="auto" w:fill="E0F2F3" w:themeFill="accent2" w:themeFillTint="33"/>
      </w:tcPr>
    </w:tblStylePr>
    <w:tblStylePr w:type="band1Horz">
      <w:tblPr/>
      <w:tcPr>
        <w:shd w:val="clear" w:color="auto" w:fill="E0F2F3" w:themeFill="accent2" w:themeFillTint="33"/>
      </w:tcPr>
    </w:tblStylePr>
  </w:style>
  <w:style w:type="paragraph" w:styleId="BalloonText">
    <w:name w:val="Balloon Text"/>
    <w:basedOn w:val="Normal"/>
    <w:link w:val="BalloonTextChar"/>
    <w:uiPriority w:val="99"/>
    <w:semiHidden/>
    <w:unhideWhenUsed/>
    <w:rsid w:val="004636C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6C5"/>
    <w:rPr>
      <w:rFonts w:ascii="Segoe UI" w:hAnsi="Segoe UI" w:cs="Segoe UI"/>
      <w:sz w:val="18"/>
      <w:szCs w:val="18"/>
    </w:rPr>
  </w:style>
  <w:style w:type="paragraph" w:styleId="Revision">
    <w:name w:val="Revision"/>
    <w:hidden/>
    <w:uiPriority w:val="99"/>
    <w:semiHidden/>
    <w:rsid w:val="009F4D3F"/>
    <w:pPr>
      <w:spacing w:after="0" w:line="240" w:lineRule="auto"/>
    </w:pPr>
    <w:rPr>
      <w:rFonts w:ascii="Solitaire MVB Pro Sm Lt" w:hAnsi="Solitaire MVB Pro Sm 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13526">
      <w:bodyDiv w:val="1"/>
      <w:marLeft w:val="0"/>
      <w:marRight w:val="0"/>
      <w:marTop w:val="0"/>
      <w:marBottom w:val="0"/>
      <w:divBdr>
        <w:top w:val="none" w:sz="0" w:space="0" w:color="auto"/>
        <w:left w:val="none" w:sz="0" w:space="0" w:color="auto"/>
        <w:bottom w:val="none" w:sz="0" w:space="0" w:color="auto"/>
        <w:right w:val="none" w:sz="0" w:space="0" w:color="auto"/>
      </w:divBdr>
    </w:div>
    <w:div w:id="519860129">
      <w:bodyDiv w:val="1"/>
      <w:marLeft w:val="0"/>
      <w:marRight w:val="0"/>
      <w:marTop w:val="0"/>
      <w:marBottom w:val="0"/>
      <w:divBdr>
        <w:top w:val="none" w:sz="0" w:space="0" w:color="auto"/>
        <w:left w:val="none" w:sz="0" w:space="0" w:color="auto"/>
        <w:bottom w:val="none" w:sz="0" w:space="0" w:color="auto"/>
        <w:right w:val="none" w:sz="0" w:space="0" w:color="auto"/>
      </w:divBdr>
      <w:divsChild>
        <w:div w:id="5178001">
          <w:marLeft w:val="0"/>
          <w:marRight w:val="0"/>
          <w:marTop w:val="0"/>
          <w:marBottom w:val="0"/>
          <w:divBdr>
            <w:top w:val="none" w:sz="0" w:space="0" w:color="auto"/>
            <w:left w:val="none" w:sz="0" w:space="0" w:color="auto"/>
            <w:bottom w:val="none" w:sz="0" w:space="0" w:color="auto"/>
            <w:right w:val="none" w:sz="0" w:space="0" w:color="auto"/>
          </w:divBdr>
          <w:divsChild>
            <w:div w:id="732892935">
              <w:marLeft w:val="0"/>
              <w:marRight w:val="0"/>
              <w:marTop w:val="0"/>
              <w:marBottom w:val="0"/>
              <w:divBdr>
                <w:top w:val="none" w:sz="0" w:space="0" w:color="auto"/>
                <w:left w:val="none" w:sz="0" w:space="0" w:color="auto"/>
                <w:bottom w:val="none" w:sz="0" w:space="0" w:color="auto"/>
                <w:right w:val="none" w:sz="0" w:space="0" w:color="auto"/>
              </w:divBdr>
            </w:div>
          </w:divsChild>
        </w:div>
        <w:div w:id="166287529">
          <w:marLeft w:val="0"/>
          <w:marRight w:val="0"/>
          <w:marTop w:val="0"/>
          <w:marBottom w:val="0"/>
          <w:divBdr>
            <w:top w:val="none" w:sz="0" w:space="0" w:color="auto"/>
            <w:left w:val="none" w:sz="0" w:space="0" w:color="auto"/>
            <w:bottom w:val="none" w:sz="0" w:space="0" w:color="auto"/>
            <w:right w:val="none" w:sz="0" w:space="0" w:color="auto"/>
          </w:divBdr>
          <w:divsChild>
            <w:div w:id="802234651">
              <w:marLeft w:val="0"/>
              <w:marRight w:val="0"/>
              <w:marTop w:val="0"/>
              <w:marBottom w:val="0"/>
              <w:divBdr>
                <w:top w:val="none" w:sz="0" w:space="0" w:color="auto"/>
                <w:left w:val="none" w:sz="0" w:space="0" w:color="auto"/>
                <w:bottom w:val="none" w:sz="0" w:space="0" w:color="auto"/>
                <w:right w:val="none" w:sz="0" w:space="0" w:color="auto"/>
              </w:divBdr>
            </w:div>
          </w:divsChild>
        </w:div>
        <w:div w:id="206063522">
          <w:marLeft w:val="0"/>
          <w:marRight w:val="0"/>
          <w:marTop w:val="0"/>
          <w:marBottom w:val="0"/>
          <w:divBdr>
            <w:top w:val="none" w:sz="0" w:space="0" w:color="auto"/>
            <w:left w:val="none" w:sz="0" w:space="0" w:color="auto"/>
            <w:bottom w:val="none" w:sz="0" w:space="0" w:color="auto"/>
            <w:right w:val="none" w:sz="0" w:space="0" w:color="auto"/>
          </w:divBdr>
          <w:divsChild>
            <w:div w:id="1779251725">
              <w:marLeft w:val="0"/>
              <w:marRight w:val="0"/>
              <w:marTop w:val="0"/>
              <w:marBottom w:val="0"/>
              <w:divBdr>
                <w:top w:val="none" w:sz="0" w:space="0" w:color="auto"/>
                <w:left w:val="none" w:sz="0" w:space="0" w:color="auto"/>
                <w:bottom w:val="none" w:sz="0" w:space="0" w:color="auto"/>
                <w:right w:val="none" w:sz="0" w:space="0" w:color="auto"/>
              </w:divBdr>
            </w:div>
          </w:divsChild>
        </w:div>
        <w:div w:id="239213076">
          <w:marLeft w:val="0"/>
          <w:marRight w:val="0"/>
          <w:marTop w:val="0"/>
          <w:marBottom w:val="0"/>
          <w:divBdr>
            <w:top w:val="none" w:sz="0" w:space="0" w:color="auto"/>
            <w:left w:val="none" w:sz="0" w:space="0" w:color="auto"/>
            <w:bottom w:val="none" w:sz="0" w:space="0" w:color="auto"/>
            <w:right w:val="none" w:sz="0" w:space="0" w:color="auto"/>
          </w:divBdr>
          <w:divsChild>
            <w:div w:id="1391150215">
              <w:marLeft w:val="0"/>
              <w:marRight w:val="0"/>
              <w:marTop w:val="0"/>
              <w:marBottom w:val="0"/>
              <w:divBdr>
                <w:top w:val="none" w:sz="0" w:space="0" w:color="auto"/>
                <w:left w:val="none" w:sz="0" w:space="0" w:color="auto"/>
                <w:bottom w:val="none" w:sz="0" w:space="0" w:color="auto"/>
                <w:right w:val="none" w:sz="0" w:space="0" w:color="auto"/>
              </w:divBdr>
            </w:div>
          </w:divsChild>
        </w:div>
        <w:div w:id="416053958">
          <w:marLeft w:val="0"/>
          <w:marRight w:val="0"/>
          <w:marTop w:val="0"/>
          <w:marBottom w:val="0"/>
          <w:divBdr>
            <w:top w:val="none" w:sz="0" w:space="0" w:color="auto"/>
            <w:left w:val="none" w:sz="0" w:space="0" w:color="auto"/>
            <w:bottom w:val="none" w:sz="0" w:space="0" w:color="auto"/>
            <w:right w:val="none" w:sz="0" w:space="0" w:color="auto"/>
          </w:divBdr>
          <w:divsChild>
            <w:div w:id="1008143575">
              <w:marLeft w:val="0"/>
              <w:marRight w:val="0"/>
              <w:marTop w:val="0"/>
              <w:marBottom w:val="0"/>
              <w:divBdr>
                <w:top w:val="none" w:sz="0" w:space="0" w:color="auto"/>
                <w:left w:val="none" w:sz="0" w:space="0" w:color="auto"/>
                <w:bottom w:val="none" w:sz="0" w:space="0" w:color="auto"/>
                <w:right w:val="none" w:sz="0" w:space="0" w:color="auto"/>
              </w:divBdr>
            </w:div>
          </w:divsChild>
        </w:div>
        <w:div w:id="613055545">
          <w:marLeft w:val="0"/>
          <w:marRight w:val="0"/>
          <w:marTop w:val="0"/>
          <w:marBottom w:val="0"/>
          <w:divBdr>
            <w:top w:val="none" w:sz="0" w:space="0" w:color="auto"/>
            <w:left w:val="none" w:sz="0" w:space="0" w:color="auto"/>
            <w:bottom w:val="none" w:sz="0" w:space="0" w:color="auto"/>
            <w:right w:val="none" w:sz="0" w:space="0" w:color="auto"/>
          </w:divBdr>
          <w:divsChild>
            <w:div w:id="92940625">
              <w:marLeft w:val="0"/>
              <w:marRight w:val="0"/>
              <w:marTop w:val="0"/>
              <w:marBottom w:val="0"/>
              <w:divBdr>
                <w:top w:val="none" w:sz="0" w:space="0" w:color="auto"/>
                <w:left w:val="none" w:sz="0" w:space="0" w:color="auto"/>
                <w:bottom w:val="none" w:sz="0" w:space="0" w:color="auto"/>
                <w:right w:val="none" w:sz="0" w:space="0" w:color="auto"/>
              </w:divBdr>
            </w:div>
          </w:divsChild>
        </w:div>
        <w:div w:id="706293261">
          <w:marLeft w:val="0"/>
          <w:marRight w:val="0"/>
          <w:marTop w:val="0"/>
          <w:marBottom w:val="0"/>
          <w:divBdr>
            <w:top w:val="none" w:sz="0" w:space="0" w:color="auto"/>
            <w:left w:val="none" w:sz="0" w:space="0" w:color="auto"/>
            <w:bottom w:val="none" w:sz="0" w:space="0" w:color="auto"/>
            <w:right w:val="none" w:sz="0" w:space="0" w:color="auto"/>
          </w:divBdr>
          <w:divsChild>
            <w:div w:id="1898861275">
              <w:marLeft w:val="0"/>
              <w:marRight w:val="0"/>
              <w:marTop w:val="0"/>
              <w:marBottom w:val="0"/>
              <w:divBdr>
                <w:top w:val="none" w:sz="0" w:space="0" w:color="auto"/>
                <w:left w:val="none" w:sz="0" w:space="0" w:color="auto"/>
                <w:bottom w:val="none" w:sz="0" w:space="0" w:color="auto"/>
                <w:right w:val="none" w:sz="0" w:space="0" w:color="auto"/>
              </w:divBdr>
            </w:div>
          </w:divsChild>
        </w:div>
        <w:div w:id="955864325">
          <w:marLeft w:val="0"/>
          <w:marRight w:val="0"/>
          <w:marTop w:val="0"/>
          <w:marBottom w:val="0"/>
          <w:divBdr>
            <w:top w:val="none" w:sz="0" w:space="0" w:color="auto"/>
            <w:left w:val="none" w:sz="0" w:space="0" w:color="auto"/>
            <w:bottom w:val="none" w:sz="0" w:space="0" w:color="auto"/>
            <w:right w:val="none" w:sz="0" w:space="0" w:color="auto"/>
          </w:divBdr>
          <w:divsChild>
            <w:div w:id="1812942141">
              <w:marLeft w:val="0"/>
              <w:marRight w:val="0"/>
              <w:marTop w:val="0"/>
              <w:marBottom w:val="0"/>
              <w:divBdr>
                <w:top w:val="none" w:sz="0" w:space="0" w:color="auto"/>
                <w:left w:val="none" w:sz="0" w:space="0" w:color="auto"/>
                <w:bottom w:val="none" w:sz="0" w:space="0" w:color="auto"/>
                <w:right w:val="none" w:sz="0" w:space="0" w:color="auto"/>
              </w:divBdr>
            </w:div>
          </w:divsChild>
        </w:div>
        <w:div w:id="1164009988">
          <w:marLeft w:val="0"/>
          <w:marRight w:val="0"/>
          <w:marTop w:val="0"/>
          <w:marBottom w:val="0"/>
          <w:divBdr>
            <w:top w:val="none" w:sz="0" w:space="0" w:color="auto"/>
            <w:left w:val="none" w:sz="0" w:space="0" w:color="auto"/>
            <w:bottom w:val="none" w:sz="0" w:space="0" w:color="auto"/>
            <w:right w:val="none" w:sz="0" w:space="0" w:color="auto"/>
          </w:divBdr>
          <w:divsChild>
            <w:div w:id="763578722">
              <w:marLeft w:val="0"/>
              <w:marRight w:val="0"/>
              <w:marTop w:val="0"/>
              <w:marBottom w:val="0"/>
              <w:divBdr>
                <w:top w:val="none" w:sz="0" w:space="0" w:color="auto"/>
                <w:left w:val="none" w:sz="0" w:space="0" w:color="auto"/>
                <w:bottom w:val="none" w:sz="0" w:space="0" w:color="auto"/>
                <w:right w:val="none" w:sz="0" w:space="0" w:color="auto"/>
              </w:divBdr>
            </w:div>
          </w:divsChild>
        </w:div>
        <w:div w:id="1186402137">
          <w:marLeft w:val="0"/>
          <w:marRight w:val="0"/>
          <w:marTop w:val="0"/>
          <w:marBottom w:val="0"/>
          <w:divBdr>
            <w:top w:val="none" w:sz="0" w:space="0" w:color="auto"/>
            <w:left w:val="none" w:sz="0" w:space="0" w:color="auto"/>
            <w:bottom w:val="none" w:sz="0" w:space="0" w:color="auto"/>
            <w:right w:val="none" w:sz="0" w:space="0" w:color="auto"/>
          </w:divBdr>
          <w:divsChild>
            <w:div w:id="912397469">
              <w:marLeft w:val="0"/>
              <w:marRight w:val="0"/>
              <w:marTop w:val="0"/>
              <w:marBottom w:val="0"/>
              <w:divBdr>
                <w:top w:val="none" w:sz="0" w:space="0" w:color="auto"/>
                <w:left w:val="none" w:sz="0" w:space="0" w:color="auto"/>
                <w:bottom w:val="none" w:sz="0" w:space="0" w:color="auto"/>
                <w:right w:val="none" w:sz="0" w:space="0" w:color="auto"/>
              </w:divBdr>
            </w:div>
          </w:divsChild>
        </w:div>
        <w:div w:id="1276208168">
          <w:marLeft w:val="0"/>
          <w:marRight w:val="0"/>
          <w:marTop w:val="0"/>
          <w:marBottom w:val="0"/>
          <w:divBdr>
            <w:top w:val="none" w:sz="0" w:space="0" w:color="auto"/>
            <w:left w:val="none" w:sz="0" w:space="0" w:color="auto"/>
            <w:bottom w:val="none" w:sz="0" w:space="0" w:color="auto"/>
            <w:right w:val="none" w:sz="0" w:space="0" w:color="auto"/>
          </w:divBdr>
          <w:divsChild>
            <w:div w:id="2080012962">
              <w:marLeft w:val="0"/>
              <w:marRight w:val="0"/>
              <w:marTop w:val="0"/>
              <w:marBottom w:val="0"/>
              <w:divBdr>
                <w:top w:val="none" w:sz="0" w:space="0" w:color="auto"/>
                <w:left w:val="none" w:sz="0" w:space="0" w:color="auto"/>
                <w:bottom w:val="none" w:sz="0" w:space="0" w:color="auto"/>
                <w:right w:val="none" w:sz="0" w:space="0" w:color="auto"/>
              </w:divBdr>
            </w:div>
          </w:divsChild>
        </w:div>
        <w:div w:id="1346513286">
          <w:marLeft w:val="0"/>
          <w:marRight w:val="0"/>
          <w:marTop w:val="0"/>
          <w:marBottom w:val="0"/>
          <w:divBdr>
            <w:top w:val="none" w:sz="0" w:space="0" w:color="auto"/>
            <w:left w:val="none" w:sz="0" w:space="0" w:color="auto"/>
            <w:bottom w:val="none" w:sz="0" w:space="0" w:color="auto"/>
            <w:right w:val="none" w:sz="0" w:space="0" w:color="auto"/>
          </w:divBdr>
          <w:divsChild>
            <w:div w:id="2096397913">
              <w:marLeft w:val="0"/>
              <w:marRight w:val="0"/>
              <w:marTop w:val="0"/>
              <w:marBottom w:val="0"/>
              <w:divBdr>
                <w:top w:val="none" w:sz="0" w:space="0" w:color="auto"/>
                <w:left w:val="none" w:sz="0" w:space="0" w:color="auto"/>
                <w:bottom w:val="none" w:sz="0" w:space="0" w:color="auto"/>
                <w:right w:val="none" w:sz="0" w:space="0" w:color="auto"/>
              </w:divBdr>
            </w:div>
          </w:divsChild>
        </w:div>
        <w:div w:id="1687049972">
          <w:marLeft w:val="0"/>
          <w:marRight w:val="0"/>
          <w:marTop w:val="0"/>
          <w:marBottom w:val="0"/>
          <w:divBdr>
            <w:top w:val="none" w:sz="0" w:space="0" w:color="auto"/>
            <w:left w:val="none" w:sz="0" w:space="0" w:color="auto"/>
            <w:bottom w:val="none" w:sz="0" w:space="0" w:color="auto"/>
            <w:right w:val="none" w:sz="0" w:space="0" w:color="auto"/>
          </w:divBdr>
          <w:divsChild>
            <w:div w:id="692653543">
              <w:marLeft w:val="0"/>
              <w:marRight w:val="0"/>
              <w:marTop w:val="0"/>
              <w:marBottom w:val="0"/>
              <w:divBdr>
                <w:top w:val="none" w:sz="0" w:space="0" w:color="auto"/>
                <w:left w:val="none" w:sz="0" w:space="0" w:color="auto"/>
                <w:bottom w:val="none" w:sz="0" w:space="0" w:color="auto"/>
                <w:right w:val="none" w:sz="0" w:space="0" w:color="auto"/>
              </w:divBdr>
            </w:div>
          </w:divsChild>
        </w:div>
        <w:div w:id="1746492904">
          <w:marLeft w:val="0"/>
          <w:marRight w:val="0"/>
          <w:marTop w:val="0"/>
          <w:marBottom w:val="0"/>
          <w:divBdr>
            <w:top w:val="none" w:sz="0" w:space="0" w:color="auto"/>
            <w:left w:val="none" w:sz="0" w:space="0" w:color="auto"/>
            <w:bottom w:val="none" w:sz="0" w:space="0" w:color="auto"/>
            <w:right w:val="none" w:sz="0" w:space="0" w:color="auto"/>
          </w:divBdr>
          <w:divsChild>
            <w:div w:id="9401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3895">
      <w:bodyDiv w:val="1"/>
      <w:marLeft w:val="0"/>
      <w:marRight w:val="0"/>
      <w:marTop w:val="0"/>
      <w:marBottom w:val="0"/>
      <w:divBdr>
        <w:top w:val="none" w:sz="0" w:space="0" w:color="auto"/>
        <w:left w:val="none" w:sz="0" w:space="0" w:color="auto"/>
        <w:bottom w:val="none" w:sz="0" w:space="0" w:color="auto"/>
        <w:right w:val="none" w:sz="0" w:space="0" w:color="auto"/>
      </w:divBdr>
    </w:div>
    <w:div w:id="1293095477">
      <w:bodyDiv w:val="1"/>
      <w:marLeft w:val="0"/>
      <w:marRight w:val="0"/>
      <w:marTop w:val="0"/>
      <w:marBottom w:val="0"/>
      <w:divBdr>
        <w:top w:val="none" w:sz="0" w:space="0" w:color="auto"/>
        <w:left w:val="none" w:sz="0" w:space="0" w:color="auto"/>
        <w:bottom w:val="none" w:sz="0" w:space="0" w:color="auto"/>
        <w:right w:val="none" w:sz="0" w:space="0" w:color="auto"/>
      </w:divBdr>
    </w:div>
    <w:div w:id="1497498231">
      <w:bodyDiv w:val="1"/>
      <w:marLeft w:val="0"/>
      <w:marRight w:val="0"/>
      <w:marTop w:val="0"/>
      <w:marBottom w:val="0"/>
      <w:divBdr>
        <w:top w:val="none" w:sz="0" w:space="0" w:color="auto"/>
        <w:left w:val="none" w:sz="0" w:space="0" w:color="auto"/>
        <w:bottom w:val="none" w:sz="0" w:space="0" w:color="auto"/>
        <w:right w:val="none" w:sz="0" w:space="0" w:color="auto"/>
      </w:divBdr>
      <w:divsChild>
        <w:div w:id="130755039">
          <w:marLeft w:val="0"/>
          <w:marRight w:val="0"/>
          <w:marTop w:val="0"/>
          <w:marBottom w:val="0"/>
          <w:divBdr>
            <w:top w:val="none" w:sz="0" w:space="0" w:color="auto"/>
            <w:left w:val="none" w:sz="0" w:space="0" w:color="auto"/>
            <w:bottom w:val="none" w:sz="0" w:space="0" w:color="auto"/>
            <w:right w:val="none" w:sz="0" w:space="0" w:color="auto"/>
          </w:divBdr>
          <w:divsChild>
            <w:div w:id="524098345">
              <w:marLeft w:val="0"/>
              <w:marRight w:val="0"/>
              <w:marTop w:val="0"/>
              <w:marBottom w:val="0"/>
              <w:divBdr>
                <w:top w:val="none" w:sz="0" w:space="0" w:color="auto"/>
                <w:left w:val="none" w:sz="0" w:space="0" w:color="auto"/>
                <w:bottom w:val="none" w:sz="0" w:space="0" w:color="auto"/>
                <w:right w:val="none" w:sz="0" w:space="0" w:color="auto"/>
              </w:divBdr>
            </w:div>
          </w:divsChild>
        </w:div>
        <w:div w:id="261188177">
          <w:marLeft w:val="0"/>
          <w:marRight w:val="0"/>
          <w:marTop w:val="0"/>
          <w:marBottom w:val="0"/>
          <w:divBdr>
            <w:top w:val="none" w:sz="0" w:space="0" w:color="auto"/>
            <w:left w:val="none" w:sz="0" w:space="0" w:color="auto"/>
            <w:bottom w:val="none" w:sz="0" w:space="0" w:color="auto"/>
            <w:right w:val="none" w:sz="0" w:space="0" w:color="auto"/>
          </w:divBdr>
          <w:divsChild>
            <w:div w:id="11535821">
              <w:marLeft w:val="0"/>
              <w:marRight w:val="0"/>
              <w:marTop w:val="0"/>
              <w:marBottom w:val="0"/>
              <w:divBdr>
                <w:top w:val="none" w:sz="0" w:space="0" w:color="auto"/>
                <w:left w:val="none" w:sz="0" w:space="0" w:color="auto"/>
                <w:bottom w:val="none" w:sz="0" w:space="0" w:color="auto"/>
                <w:right w:val="none" w:sz="0" w:space="0" w:color="auto"/>
              </w:divBdr>
            </w:div>
          </w:divsChild>
        </w:div>
        <w:div w:id="287664968">
          <w:marLeft w:val="0"/>
          <w:marRight w:val="0"/>
          <w:marTop w:val="0"/>
          <w:marBottom w:val="0"/>
          <w:divBdr>
            <w:top w:val="none" w:sz="0" w:space="0" w:color="auto"/>
            <w:left w:val="none" w:sz="0" w:space="0" w:color="auto"/>
            <w:bottom w:val="none" w:sz="0" w:space="0" w:color="auto"/>
            <w:right w:val="none" w:sz="0" w:space="0" w:color="auto"/>
          </w:divBdr>
          <w:divsChild>
            <w:div w:id="345210803">
              <w:marLeft w:val="0"/>
              <w:marRight w:val="0"/>
              <w:marTop w:val="0"/>
              <w:marBottom w:val="0"/>
              <w:divBdr>
                <w:top w:val="none" w:sz="0" w:space="0" w:color="auto"/>
                <w:left w:val="none" w:sz="0" w:space="0" w:color="auto"/>
                <w:bottom w:val="none" w:sz="0" w:space="0" w:color="auto"/>
                <w:right w:val="none" w:sz="0" w:space="0" w:color="auto"/>
              </w:divBdr>
            </w:div>
            <w:div w:id="2079089945">
              <w:marLeft w:val="0"/>
              <w:marRight w:val="0"/>
              <w:marTop w:val="0"/>
              <w:marBottom w:val="0"/>
              <w:divBdr>
                <w:top w:val="none" w:sz="0" w:space="0" w:color="auto"/>
                <w:left w:val="none" w:sz="0" w:space="0" w:color="auto"/>
                <w:bottom w:val="none" w:sz="0" w:space="0" w:color="auto"/>
                <w:right w:val="none" w:sz="0" w:space="0" w:color="auto"/>
              </w:divBdr>
            </w:div>
          </w:divsChild>
        </w:div>
        <w:div w:id="425270232">
          <w:marLeft w:val="0"/>
          <w:marRight w:val="0"/>
          <w:marTop w:val="0"/>
          <w:marBottom w:val="0"/>
          <w:divBdr>
            <w:top w:val="none" w:sz="0" w:space="0" w:color="auto"/>
            <w:left w:val="none" w:sz="0" w:space="0" w:color="auto"/>
            <w:bottom w:val="none" w:sz="0" w:space="0" w:color="auto"/>
            <w:right w:val="none" w:sz="0" w:space="0" w:color="auto"/>
          </w:divBdr>
          <w:divsChild>
            <w:div w:id="1272208074">
              <w:marLeft w:val="0"/>
              <w:marRight w:val="0"/>
              <w:marTop w:val="0"/>
              <w:marBottom w:val="0"/>
              <w:divBdr>
                <w:top w:val="none" w:sz="0" w:space="0" w:color="auto"/>
                <w:left w:val="none" w:sz="0" w:space="0" w:color="auto"/>
                <w:bottom w:val="none" w:sz="0" w:space="0" w:color="auto"/>
                <w:right w:val="none" w:sz="0" w:space="0" w:color="auto"/>
              </w:divBdr>
            </w:div>
          </w:divsChild>
        </w:div>
        <w:div w:id="487131940">
          <w:marLeft w:val="0"/>
          <w:marRight w:val="0"/>
          <w:marTop w:val="0"/>
          <w:marBottom w:val="0"/>
          <w:divBdr>
            <w:top w:val="none" w:sz="0" w:space="0" w:color="auto"/>
            <w:left w:val="none" w:sz="0" w:space="0" w:color="auto"/>
            <w:bottom w:val="none" w:sz="0" w:space="0" w:color="auto"/>
            <w:right w:val="none" w:sz="0" w:space="0" w:color="auto"/>
          </w:divBdr>
          <w:divsChild>
            <w:div w:id="14306112">
              <w:marLeft w:val="0"/>
              <w:marRight w:val="0"/>
              <w:marTop w:val="0"/>
              <w:marBottom w:val="0"/>
              <w:divBdr>
                <w:top w:val="none" w:sz="0" w:space="0" w:color="auto"/>
                <w:left w:val="none" w:sz="0" w:space="0" w:color="auto"/>
                <w:bottom w:val="none" w:sz="0" w:space="0" w:color="auto"/>
                <w:right w:val="none" w:sz="0" w:space="0" w:color="auto"/>
              </w:divBdr>
            </w:div>
            <w:div w:id="2087532485">
              <w:marLeft w:val="0"/>
              <w:marRight w:val="0"/>
              <w:marTop w:val="0"/>
              <w:marBottom w:val="0"/>
              <w:divBdr>
                <w:top w:val="none" w:sz="0" w:space="0" w:color="auto"/>
                <w:left w:val="none" w:sz="0" w:space="0" w:color="auto"/>
                <w:bottom w:val="none" w:sz="0" w:space="0" w:color="auto"/>
                <w:right w:val="none" w:sz="0" w:space="0" w:color="auto"/>
              </w:divBdr>
            </w:div>
          </w:divsChild>
        </w:div>
        <w:div w:id="635455581">
          <w:marLeft w:val="0"/>
          <w:marRight w:val="0"/>
          <w:marTop w:val="0"/>
          <w:marBottom w:val="0"/>
          <w:divBdr>
            <w:top w:val="none" w:sz="0" w:space="0" w:color="auto"/>
            <w:left w:val="none" w:sz="0" w:space="0" w:color="auto"/>
            <w:bottom w:val="none" w:sz="0" w:space="0" w:color="auto"/>
            <w:right w:val="none" w:sz="0" w:space="0" w:color="auto"/>
          </w:divBdr>
          <w:divsChild>
            <w:div w:id="999042726">
              <w:marLeft w:val="0"/>
              <w:marRight w:val="0"/>
              <w:marTop w:val="0"/>
              <w:marBottom w:val="0"/>
              <w:divBdr>
                <w:top w:val="none" w:sz="0" w:space="0" w:color="auto"/>
                <w:left w:val="none" w:sz="0" w:space="0" w:color="auto"/>
                <w:bottom w:val="none" w:sz="0" w:space="0" w:color="auto"/>
                <w:right w:val="none" w:sz="0" w:space="0" w:color="auto"/>
              </w:divBdr>
            </w:div>
            <w:div w:id="1524054832">
              <w:marLeft w:val="0"/>
              <w:marRight w:val="0"/>
              <w:marTop w:val="0"/>
              <w:marBottom w:val="0"/>
              <w:divBdr>
                <w:top w:val="none" w:sz="0" w:space="0" w:color="auto"/>
                <w:left w:val="none" w:sz="0" w:space="0" w:color="auto"/>
                <w:bottom w:val="none" w:sz="0" w:space="0" w:color="auto"/>
                <w:right w:val="none" w:sz="0" w:space="0" w:color="auto"/>
              </w:divBdr>
            </w:div>
          </w:divsChild>
        </w:div>
        <w:div w:id="661087076">
          <w:marLeft w:val="0"/>
          <w:marRight w:val="0"/>
          <w:marTop w:val="0"/>
          <w:marBottom w:val="0"/>
          <w:divBdr>
            <w:top w:val="none" w:sz="0" w:space="0" w:color="auto"/>
            <w:left w:val="none" w:sz="0" w:space="0" w:color="auto"/>
            <w:bottom w:val="none" w:sz="0" w:space="0" w:color="auto"/>
            <w:right w:val="none" w:sz="0" w:space="0" w:color="auto"/>
          </w:divBdr>
          <w:divsChild>
            <w:div w:id="1942835513">
              <w:marLeft w:val="0"/>
              <w:marRight w:val="0"/>
              <w:marTop w:val="0"/>
              <w:marBottom w:val="0"/>
              <w:divBdr>
                <w:top w:val="none" w:sz="0" w:space="0" w:color="auto"/>
                <w:left w:val="none" w:sz="0" w:space="0" w:color="auto"/>
                <w:bottom w:val="none" w:sz="0" w:space="0" w:color="auto"/>
                <w:right w:val="none" w:sz="0" w:space="0" w:color="auto"/>
              </w:divBdr>
            </w:div>
          </w:divsChild>
        </w:div>
        <w:div w:id="1569419941">
          <w:marLeft w:val="0"/>
          <w:marRight w:val="0"/>
          <w:marTop w:val="0"/>
          <w:marBottom w:val="0"/>
          <w:divBdr>
            <w:top w:val="none" w:sz="0" w:space="0" w:color="auto"/>
            <w:left w:val="none" w:sz="0" w:space="0" w:color="auto"/>
            <w:bottom w:val="none" w:sz="0" w:space="0" w:color="auto"/>
            <w:right w:val="none" w:sz="0" w:space="0" w:color="auto"/>
          </w:divBdr>
          <w:divsChild>
            <w:div w:id="1153376774">
              <w:marLeft w:val="0"/>
              <w:marRight w:val="0"/>
              <w:marTop w:val="0"/>
              <w:marBottom w:val="0"/>
              <w:divBdr>
                <w:top w:val="none" w:sz="0" w:space="0" w:color="auto"/>
                <w:left w:val="none" w:sz="0" w:space="0" w:color="auto"/>
                <w:bottom w:val="none" w:sz="0" w:space="0" w:color="auto"/>
                <w:right w:val="none" w:sz="0" w:space="0" w:color="auto"/>
              </w:divBdr>
            </w:div>
          </w:divsChild>
        </w:div>
        <w:div w:id="1696467886">
          <w:marLeft w:val="0"/>
          <w:marRight w:val="0"/>
          <w:marTop w:val="0"/>
          <w:marBottom w:val="0"/>
          <w:divBdr>
            <w:top w:val="none" w:sz="0" w:space="0" w:color="auto"/>
            <w:left w:val="none" w:sz="0" w:space="0" w:color="auto"/>
            <w:bottom w:val="none" w:sz="0" w:space="0" w:color="auto"/>
            <w:right w:val="none" w:sz="0" w:space="0" w:color="auto"/>
          </w:divBdr>
          <w:divsChild>
            <w:div w:id="740834492">
              <w:marLeft w:val="0"/>
              <w:marRight w:val="0"/>
              <w:marTop w:val="0"/>
              <w:marBottom w:val="0"/>
              <w:divBdr>
                <w:top w:val="none" w:sz="0" w:space="0" w:color="auto"/>
                <w:left w:val="none" w:sz="0" w:space="0" w:color="auto"/>
                <w:bottom w:val="none" w:sz="0" w:space="0" w:color="auto"/>
                <w:right w:val="none" w:sz="0" w:space="0" w:color="auto"/>
              </w:divBdr>
            </w:div>
            <w:div w:id="2072072744">
              <w:marLeft w:val="0"/>
              <w:marRight w:val="0"/>
              <w:marTop w:val="0"/>
              <w:marBottom w:val="0"/>
              <w:divBdr>
                <w:top w:val="none" w:sz="0" w:space="0" w:color="auto"/>
                <w:left w:val="none" w:sz="0" w:space="0" w:color="auto"/>
                <w:bottom w:val="none" w:sz="0" w:space="0" w:color="auto"/>
                <w:right w:val="none" w:sz="0" w:space="0" w:color="auto"/>
              </w:divBdr>
            </w:div>
          </w:divsChild>
        </w:div>
        <w:div w:id="1839926153">
          <w:marLeft w:val="0"/>
          <w:marRight w:val="0"/>
          <w:marTop w:val="0"/>
          <w:marBottom w:val="0"/>
          <w:divBdr>
            <w:top w:val="none" w:sz="0" w:space="0" w:color="auto"/>
            <w:left w:val="none" w:sz="0" w:space="0" w:color="auto"/>
            <w:bottom w:val="none" w:sz="0" w:space="0" w:color="auto"/>
            <w:right w:val="none" w:sz="0" w:space="0" w:color="auto"/>
          </w:divBdr>
          <w:divsChild>
            <w:div w:id="1017776211">
              <w:marLeft w:val="0"/>
              <w:marRight w:val="0"/>
              <w:marTop w:val="0"/>
              <w:marBottom w:val="0"/>
              <w:divBdr>
                <w:top w:val="none" w:sz="0" w:space="0" w:color="auto"/>
                <w:left w:val="none" w:sz="0" w:space="0" w:color="auto"/>
                <w:bottom w:val="none" w:sz="0" w:space="0" w:color="auto"/>
                <w:right w:val="none" w:sz="0" w:space="0" w:color="auto"/>
              </w:divBdr>
            </w:div>
          </w:divsChild>
        </w:div>
        <w:div w:id="1902010768">
          <w:marLeft w:val="0"/>
          <w:marRight w:val="0"/>
          <w:marTop w:val="0"/>
          <w:marBottom w:val="0"/>
          <w:divBdr>
            <w:top w:val="none" w:sz="0" w:space="0" w:color="auto"/>
            <w:left w:val="none" w:sz="0" w:space="0" w:color="auto"/>
            <w:bottom w:val="none" w:sz="0" w:space="0" w:color="auto"/>
            <w:right w:val="none" w:sz="0" w:space="0" w:color="auto"/>
          </w:divBdr>
          <w:divsChild>
            <w:div w:id="898639474">
              <w:marLeft w:val="0"/>
              <w:marRight w:val="0"/>
              <w:marTop w:val="0"/>
              <w:marBottom w:val="0"/>
              <w:divBdr>
                <w:top w:val="none" w:sz="0" w:space="0" w:color="auto"/>
                <w:left w:val="none" w:sz="0" w:space="0" w:color="auto"/>
                <w:bottom w:val="none" w:sz="0" w:space="0" w:color="auto"/>
                <w:right w:val="none" w:sz="0" w:space="0" w:color="auto"/>
              </w:divBdr>
            </w:div>
          </w:divsChild>
        </w:div>
        <w:div w:id="2053384406">
          <w:marLeft w:val="0"/>
          <w:marRight w:val="0"/>
          <w:marTop w:val="0"/>
          <w:marBottom w:val="0"/>
          <w:divBdr>
            <w:top w:val="none" w:sz="0" w:space="0" w:color="auto"/>
            <w:left w:val="none" w:sz="0" w:space="0" w:color="auto"/>
            <w:bottom w:val="none" w:sz="0" w:space="0" w:color="auto"/>
            <w:right w:val="none" w:sz="0" w:space="0" w:color="auto"/>
          </w:divBdr>
          <w:divsChild>
            <w:div w:id="73405617">
              <w:marLeft w:val="0"/>
              <w:marRight w:val="0"/>
              <w:marTop w:val="0"/>
              <w:marBottom w:val="0"/>
              <w:divBdr>
                <w:top w:val="none" w:sz="0" w:space="0" w:color="auto"/>
                <w:left w:val="none" w:sz="0" w:space="0" w:color="auto"/>
                <w:bottom w:val="none" w:sz="0" w:space="0" w:color="auto"/>
                <w:right w:val="none" w:sz="0" w:space="0" w:color="auto"/>
              </w:divBdr>
            </w:div>
            <w:div w:id="19647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8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hyperlink" Target="https://www.istockphoto.com/portfolio/ThomasVogel?mediatype=photograph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nc-nd/4.0/legalcode" TargetMode="External"/><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hyperlink" Target="https://creativecommons.org/licenses/by-nc-nd/4.0/" TargetMode="External"/><Relationship Id="rId20" Type="http://schemas.openxmlformats.org/officeDocument/2006/relationships/footer" Target="footer4.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arc.gov.au/evaluating-research/ei-assessment/ei-2024/indigenous-studi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nc-nd/4.0/" TargetMode="External"/><Relationship Id="rId23" Type="http://schemas.openxmlformats.org/officeDocument/2006/relationships/hyperlink" Target="https://web.archive.org.au/awa/20220302235108mp_/https:/www.arc.gov.au/file/10668/download?token=V5AKd-29" TargetMode="External"/><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rc.gov.au/sites/default/files/2022-07/era_2023_submission_guidelines_0.pdf" TargetMode="External"/><Relationship Id="rId27" Type="http://schemas.openxmlformats.org/officeDocument/2006/relationships/diagramQuickStyle" Target="diagrams/quickStyle1.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158414-BA15-47F4-BDA6-9B1DA9370565}" type="doc">
      <dgm:prSet loTypeId="urn:microsoft.com/office/officeart/2005/8/layout/process4" loCatId="process" qsTypeId="urn:microsoft.com/office/officeart/2005/8/quickstyle/simple1" qsCatId="simple" csTypeId="urn:microsoft.com/office/officeart/2005/8/colors/accent1_5" csCatId="accent1" phldr="1"/>
      <dgm:spPr/>
      <dgm:t>
        <a:bodyPr/>
        <a:lstStyle/>
        <a:p>
          <a:endParaRPr lang="en-AU"/>
        </a:p>
      </dgm:t>
    </dgm:pt>
    <dgm:pt modelId="{DF9FC361-525C-47D9-AAF1-2C2F286B865B}">
      <dgm:prSet phldrT="[Text]"/>
      <dgm:spPr/>
      <dgm:t>
        <a:bodyPr/>
        <a:lstStyle/>
        <a:p>
          <a:r>
            <a:rPr lang="en-AU" dirty="0"/>
            <a:t>ERA 2023</a:t>
          </a:r>
        </a:p>
      </dgm:t>
    </dgm:pt>
    <dgm:pt modelId="{9EE30F06-3C99-4043-9E9C-59CA0347ADE8}" type="parTrans" cxnId="{58596266-0E2E-433C-BDA1-7DBC5834703A}">
      <dgm:prSet/>
      <dgm:spPr/>
      <dgm:t>
        <a:bodyPr/>
        <a:lstStyle/>
        <a:p>
          <a:endParaRPr lang="en-AU"/>
        </a:p>
      </dgm:t>
    </dgm:pt>
    <dgm:pt modelId="{93850C3C-A7BA-476B-9804-EA122A114477}" type="sibTrans" cxnId="{58596266-0E2E-433C-BDA1-7DBC5834703A}">
      <dgm:prSet/>
      <dgm:spPr/>
      <dgm:t>
        <a:bodyPr/>
        <a:lstStyle/>
        <a:p>
          <a:endParaRPr lang="en-AU"/>
        </a:p>
      </dgm:t>
    </dgm:pt>
    <dgm:pt modelId="{4962AE55-2A92-4D00-9B19-1F0507DAC926}">
      <dgm:prSet phldrT="[Text]" custT="1"/>
      <dgm:spPr/>
      <dgm:t>
        <a:bodyPr/>
        <a:lstStyle/>
        <a:p>
          <a:r>
            <a:rPr lang="en-AU" sz="1400" dirty="0"/>
            <a:t>Evaluation of all units using the ERA 2018 scale, dynamic RCI classes and revised peer review guidance </a:t>
          </a:r>
        </a:p>
      </dgm:t>
    </dgm:pt>
    <dgm:pt modelId="{8EE65A28-1107-438E-B95B-65D551FB5807}" type="parTrans" cxnId="{59F34716-BDAA-4929-9D6C-3836FDD233A1}">
      <dgm:prSet/>
      <dgm:spPr/>
      <dgm:t>
        <a:bodyPr/>
        <a:lstStyle/>
        <a:p>
          <a:endParaRPr lang="en-AU"/>
        </a:p>
      </dgm:t>
    </dgm:pt>
    <dgm:pt modelId="{6A03AC61-285A-49DE-B9C5-DED8A21C6482}" type="sibTrans" cxnId="{59F34716-BDAA-4929-9D6C-3836FDD233A1}">
      <dgm:prSet/>
      <dgm:spPr/>
      <dgm:t>
        <a:bodyPr/>
        <a:lstStyle/>
        <a:p>
          <a:endParaRPr lang="en-AU"/>
        </a:p>
      </dgm:t>
    </dgm:pt>
    <dgm:pt modelId="{55A53C6B-17EA-42D2-9418-469BDE6A1E19}">
      <dgm:prSet phldrT="[Text]" custT="1"/>
      <dgm:spPr/>
      <dgm:t>
        <a:bodyPr/>
        <a:lstStyle/>
        <a:p>
          <a:r>
            <a:rPr lang="en-AU" sz="1600" dirty="0"/>
            <a:t>Pilot</a:t>
          </a:r>
        </a:p>
      </dgm:t>
    </dgm:pt>
    <dgm:pt modelId="{BDB2E808-BA62-4075-B2E1-F935789E0724}" type="parTrans" cxnId="{745992C8-8101-4AEB-AB4E-92220E390EB7}">
      <dgm:prSet/>
      <dgm:spPr/>
      <dgm:t>
        <a:bodyPr/>
        <a:lstStyle/>
        <a:p>
          <a:endParaRPr lang="en-AU"/>
        </a:p>
      </dgm:t>
    </dgm:pt>
    <dgm:pt modelId="{7520A2A6-5798-4A24-802A-5371F29B89CF}" type="sibTrans" cxnId="{745992C8-8101-4AEB-AB4E-92220E390EB7}">
      <dgm:prSet/>
      <dgm:spPr/>
      <dgm:t>
        <a:bodyPr/>
        <a:lstStyle/>
        <a:p>
          <a:endParaRPr lang="en-AU"/>
        </a:p>
      </dgm:t>
    </dgm:pt>
    <dgm:pt modelId="{13B38E22-4DA7-47B5-A2C9-9394B5BCCA4F}">
      <dgm:prSet phldrT="[Text]"/>
      <dgm:spPr/>
      <dgm:t>
        <a:bodyPr/>
        <a:lstStyle/>
        <a:p>
          <a:r>
            <a:rPr lang="en-AU" dirty="0"/>
            <a:t>Results shared with universities</a:t>
          </a:r>
        </a:p>
      </dgm:t>
    </dgm:pt>
    <dgm:pt modelId="{1292F539-7103-4E3D-8E5B-41A05F58F5AF}" type="parTrans" cxnId="{B37431D1-8636-471F-BB90-B90A44A4C700}">
      <dgm:prSet/>
      <dgm:spPr/>
      <dgm:t>
        <a:bodyPr/>
        <a:lstStyle/>
        <a:p>
          <a:endParaRPr lang="en-AU"/>
        </a:p>
      </dgm:t>
    </dgm:pt>
    <dgm:pt modelId="{5DDFA018-6CF8-492C-927E-68D4EAE0038E}" type="sibTrans" cxnId="{B37431D1-8636-471F-BB90-B90A44A4C700}">
      <dgm:prSet/>
      <dgm:spPr/>
      <dgm:t>
        <a:bodyPr/>
        <a:lstStyle/>
        <a:p>
          <a:endParaRPr lang="en-AU"/>
        </a:p>
      </dgm:t>
    </dgm:pt>
    <dgm:pt modelId="{C03CBF21-371D-474B-A757-DF6F6034470A}">
      <dgm:prSet phldrT="[Text]" custT="1"/>
      <dgm:spPr/>
      <dgm:t>
        <a:bodyPr/>
        <a:lstStyle/>
        <a:p>
          <a:r>
            <a:rPr lang="en-AU" sz="1400" dirty="0"/>
            <a:t>Publication of pilot results in National Report will be decided in consultation with universities</a:t>
          </a:r>
        </a:p>
      </dgm:t>
    </dgm:pt>
    <dgm:pt modelId="{9B34FB5F-EB91-4CF4-9CFB-053589F2BC84}" type="parTrans" cxnId="{D3D9D354-7D64-46E6-A11D-AB6593B4D6DA}">
      <dgm:prSet/>
      <dgm:spPr/>
      <dgm:t>
        <a:bodyPr/>
        <a:lstStyle/>
        <a:p>
          <a:endParaRPr lang="en-AU"/>
        </a:p>
      </dgm:t>
    </dgm:pt>
    <dgm:pt modelId="{881CA4DC-5A08-4FF7-BB6A-80DBD85828D2}" type="sibTrans" cxnId="{D3D9D354-7D64-46E6-A11D-AB6593B4D6DA}">
      <dgm:prSet/>
      <dgm:spPr/>
      <dgm:t>
        <a:bodyPr/>
        <a:lstStyle/>
        <a:p>
          <a:endParaRPr lang="en-AU"/>
        </a:p>
      </dgm:t>
    </dgm:pt>
    <dgm:pt modelId="{7B3EA907-1AED-4576-B41C-61EF297F414F}">
      <dgm:prSet phldrT="[Text]"/>
      <dgm:spPr/>
      <dgm:t>
        <a:bodyPr/>
        <a:lstStyle/>
        <a:p>
          <a:r>
            <a:rPr lang="en-AU" dirty="0"/>
            <a:t>Universities make ERA 2023 submissions</a:t>
          </a:r>
        </a:p>
      </dgm:t>
    </dgm:pt>
    <dgm:pt modelId="{B8515CE6-DA34-44F9-9104-7D40F74E3883}" type="parTrans" cxnId="{71A95123-FE05-42F5-AE41-A4BB088FC62B}">
      <dgm:prSet/>
      <dgm:spPr/>
      <dgm:t>
        <a:bodyPr/>
        <a:lstStyle/>
        <a:p>
          <a:endParaRPr lang="en-AU"/>
        </a:p>
      </dgm:t>
    </dgm:pt>
    <dgm:pt modelId="{829A979A-000E-4F16-A314-2AB5130BBC14}" type="sibTrans" cxnId="{71A95123-FE05-42F5-AE41-A4BB088FC62B}">
      <dgm:prSet/>
      <dgm:spPr/>
      <dgm:t>
        <a:bodyPr/>
        <a:lstStyle/>
        <a:p>
          <a:endParaRPr lang="en-AU"/>
        </a:p>
      </dgm:t>
    </dgm:pt>
    <dgm:pt modelId="{E67650E7-4869-4187-A129-B076BA195E87}">
      <dgm:prSet phldrT="[Text]" custT="1"/>
      <dgm:spPr/>
      <dgm:t>
        <a:bodyPr/>
        <a:lstStyle/>
        <a:p>
          <a:r>
            <a:rPr lang="en-AU" sz="1400" dirty="0"/>
            <a:t>Reassessment of units rated 4 and 5 in ERA 2023, using the new rating scale and HPI</a:t>
          </a:r>
        </a:p>
      </dgm:t>
    </dgm:pt>
    <dgm:pt modelId="{E03DB190-1C50-45B8-BCC2-832FC911F935}" type="parTrans" cxnId="{4C282EA8-C129-49EC-86EE-0912C9B42F3F}">
      <dgm:prSet/>
      <dgm:spPr/>
      <dgm:t>
        <a:bodyPr/>
        <a:lstStyle/>
        <a:p>
          <a:endParaRPr lang="en-AU"/>
        </a:p>
      </dgm:t>
    </dgm:pt>
    <dgm:pt modelId="{13391954-C866-414D-A874-481AA42B80B8}" type="sibTrans" cxnId="{4C282EA8-C129-49EC-86EE-0912C9B42F3F}">
      <dgm:prSet/>
      <dgm:spPr/>
      <dgm:t>
        <a:bodyPr/>
        <a:lstStyle/>
        <a:p>
          <a:endParaRPr lang="en-AU"/>
        </a:p>
      </dgm:t>
    </dgm:pt>
    <dgm:pt modelId="{D791223C-A0CE-4699-9FCB-1DD6E59D8E80}">
      <dgm:prSet phldrT="[Text]" custT="1"/>
      <dgm:spPr/>
      <dgm:t>
        <a:bodyPr/>
        <a:lstStyle/>
        <a:p>
          <a:r>
            <a:rPr lang="en-AU" sz="1600" dirty="0"/>
            <a:t>National Report published</a:t>
          </a:r>
        </a:p>
      </dgm:t>
    </dgm:pt>
    <dgm:pt modelId="{A7AA9DD7-E7A7-4733-984B-11C035B4605F}" type="parTrans" cxnId="{12A8338A-5105-4E85-9D2D-F8B7515E0FEB}">
      <dgm:prSet/>
      <dgm:spPr/>
      <dgm:t>
        <a:bodyPr/>
        <a:lstStyle/>
        <a:p>
          <a:endParaRPr lang="en-AU"/>
        </a:p>
      </dgm:t>
    </dgm:pt>
    <dgm:pt modelId="{8F67A381-10E8-41A0-BDAF-9A66E7C3EBF9}" type="sibTrans" cxnId="{12A8338A-5105-4E85-9D2D-F8B7515E0FEB}">
      <dgm:prSet/>
      <dgm:spPr/>
      <dgm:t>
        <a:bodyPr/>
        <a:lstStyle/>
        <a:p>
          <a:endParaRPr lang="en-AU"/>
        </a:p>
      </dgm:t>
    </dgm:pt>
    <dgm:pt modelId="{B35B8093-167E-45FC-ADA9-2488CEF1094F}" type="pres">
      <dgm:prSet presAssocID="{73158414-BA15-47F4-BDA6-9B1DA9370565}" presName="Name0" presStyleCnt="0">
        <dgm:presLayoutVars>
          <dgm:dir/>
          <dgm:animLvl val="lvl"/>
          <dgm:resizeHandles val="exact"/>
        </dgm:presLayoutVars>
      </dgm:prSet>
      <dgm:spPr/>
    </dgm:pt>
    <dgm:pt modelId="{0CB8C643-4F3E-42EB-8B69-CA6F3ABBE013}" type="pres">
      <dgm:prSet presAssocID="{D791223C-A0CE-4699-9FCB-1DD6E59D8E80}" presName="boxAndChildren" presStyleCnt="0"/>
      <dgm:spPr/>
    </dgm:pt>
    <dgm:pt modelId="{B3132406-4E37-4391-BDAB-BFFB17F8820F}" type="pres">
      <dgm:prSet presAssocID="{D791223C-A0CE-4699-9FCB-1DD6E59D8E80}" presName="parentTextBox" presStyleLbl="node1" presStyleIdx="0" presStyleCnt="5"/>
      <dgm:spPr/>
    </dgm:pt>
    <dgm:pt modelId="{58F470E1-0972-4F10-A73D-D445ACC314A8}" type="pres">
      <dgm:prSet presAssocID="{D791223C-A0CE-4699-9FCB-1DD6E59D8E80}" presName="entireBox" presStyleLbl="node1" presStyleIdx="0" presStyleCnt="5"/>
      <dgm:spPr/>
    </dgm:pt>
    <dgm:pt modelId="{944D7C77-7775-49C7-B6A7-2AE468D75A7F}" type="pres">
      <dgm:prSet presAssocID="{D791223C-A0CE-4699-9FCB-1DD6E59D8E80}" presName="descendantBox" presStyleCnt="0"/>
      <dgm:spPr/>
    </dgm:pt>
    <dgm:pt modelId="{EEAC8721-3FB4-46D3-B76E-C695E7F36FDE}" type="pres">
      <dgm:prSet presAssocID="{C03CBF21-371D-474B-A757-DF6F6034470A}" presName="childTextBox" presStyleLbl="fgAccFollowNode1" presStyleIdx="0" presStyleCnt="3">
        <dgm:presLayoutVars>
          <dgm:bulletEnabled val="1"/>
        </dgm:presLayoutVars>
      </dgm:prSet>
      <dgm:spPr/>
    </dgm:pt>
    <dgm:pt modelId="{F3C6C1E9-DAEB-469E-889D-81138E66B61B}" type="pres">
      <dgm:prSet presAssocID="{5DDFA018-6CF8-492C-927E-68D4EAE0038E}" presName="sp" presStyleCnt="0"/>
      <dgm:spPr/>
    </dgm:pt>
    <dgm:pt modelId="{66D7DFA1-073F-40A8-A28F-83A1740C0950}" type="pres">
      <dgm:prSet presAssocID="{13B38E22-4DA7-47B5-A2C9-9394B5BCCA4F}" presName="arrowAndChildren" presStyleCnt="0"/>
      <dgm:spPr/>
    </dgm:pt>
    <dgm:pt modelId="{39C48649-3ACE-40A1-B9CE-B02BC90007B3}" type="pres">
      <dgm:prSet presAssocID="{13B38E22-4DA7-47B5-A2C9-9394B5BCCA4F}" presName="parentTextArrow" presStyleLbl="node1" presStyleIdx="1" presStyleCnt="5"/>
      <dgm:spPr/>
    </dgm:pt>
    <dgm:pt modelId="{C219D8FF-D1B6-468D-AE63-FA08B7D3C131}" type="pres">
      <dgm:prSet presAssocID="{7520A2A6-5798-4A24-802A-5371F29B89CF}" presName="sp" presStyleCnt="0"/>
      <dgm:spPr/>
    </dgm:pt>
    <dgm:pt modelId="{5D178C3D-F499-44C0-B0CD-B97C50879BD4}" type="pres">
      <dgm:prSet presAssocID="{55A53C6B-17EA-42D2-9418-469BDE6A1E19}" presName="arrowAndChildren" presStyleCnt="0"/>
      <dgm:spPr/>
    </dgm:pt>
    <dgm:pt modelId="{0034D9B5-187E-4FE6-8622-FF3DA2D1440A}" type="pres">
      <dgm:prSet presAssocID="{55A53C6B-17EA-42D2-9418-469BDE6A1E19}" presName="parentTextArrow" presStyleLbl="node1" presStyleIdx="1" presStyleCnt="5"/>
      <dgm:spPr/>
    </dgm:pt>
    <dgm:pt modelId="{E29AA221-6BFE-4D2E-ADEC-683EAF7550F3}" type="pres">
      <dgm:prSet presAssocID="{55A53C6B-17EA-42D2-9418-469BDE6A1E19}" presName="arrow" presStyleLbl="node1" presStyleIdx="2" presStyleCnt="5"/>
      <dgm:spPr/>
    </dgm:pt>
    <dgm:pt modelId="{AB1144FE-9CEB-4605-8C6D-5B6846B11E0C}" type="pres">
      <dgm:prSet presAssocID="{55A53C6B-17EA-42D2-9418-469BDE6A1E19}" presName="descendantArrow" presStyleCnt="0"/>
      <dgm:spPr/>
    </dgm:pt>
    <dgm:pt modelId="{DF1F0B94-056A-4D03-9FE0-D62576EA87FF}" type="pres">
      <dgm:prSet presAssocID="{E67650E7-4869-4187-A129-B076BA195E87}" presName="childTextArrow" presStyleLbl="fgAccFollowNode1" presStyleIdx="1" presStyleCnt="3">
        <dgm:presLayoutVars>
          <dgm:bulletEnabled val="1"/>
        </dgm:presLayoutVars>
      </dgm:prSet>
      <dgm:spPr/>
    </dgm:pt>
    <dgm:pt modelId="{52425499-F03D-48C1-AB8D-1050F4499664}" type="pres">
      <dgm:prSet presAssocID="{93850C3C-A7BA-476B-9804-EA122A114477}" presName="sp" presStyleCnt="0"/>
      <dgm:spPr/>
    </dgm:pt>
    <dgm:pt modelId="{EBA0B8AD-9D45-46B7-B984-017A38355D40}" type="pres">
      <dgm:prSet presAssocID="{DF9FC361-525C-47D9-AAF1-2C2F286B865B}" presName="arrowAndChildren" presStyleCnt="0"/>
      <dgm:spPr/>
    </dgm:pt>
    <dgm:pt modelId="{6C12424A-10E5-4C61-9134-E53739B041C4}" type="pres">
      <dgm:prSet presAssocID="{DF9FC361-525C-47D9-AAF1-2C2F286B865B}" presName="parentTextArrow" presStyleLbl="node1" presStyleIdx="2" presStyleCnt="5"/>
      <dgm:spPr/>
    </dgm:pt>
    <dgm:pt modelId="{36B07193-6A61-4FB6-975A-DA15117859B7}" type="pres">
      <dgm:prSet presAssocID="{DF9FC361-525C-47D9-AAF1-2C2F286B865B}" presName="arrow" presStyleLbl="node1" presStyleIdx="3" presStyleCnt="5"/>
      <dgm:spPr/>
    </dgm:pt>
    <dgm:pt modelId="{D0CC71E8-C1FF-4FC2-AA4B-02F1093DEF85}" type="pres">
      <dgm:prSet presAssocID="{DF9FC361-525C-47D9-AAF1-2C2F286B865B}" presName="descendantArrow" presStyleCnt="0"/>
      <dgm:spPr/>
    </dgm:pt>
    <dgm:pt modelId="{9EA59367-A148-438B-9667-30F7ADCFFC18}" type="pres">
      <dgm:prSet presAssocID="{4962AE55-2A92-4D00-9B19-1F0507DAC926}" presName="childTextArrow" presStyleLbl="fgAccFollowNode1" presStyleIdx="2" presStyleCnt="3">
        <dgm:presLayoutVars>
          <dgm:bulletEnabled val="1"/>
        </dgm:presLayoutVars>
      </dgm:prSet>
      <dgm:spPr/>
    </dgm:pt>
    <dgm:pt modelId="{404F75BD-DBC0-4AE2-A82D-74FB04BB2612}" type="pres">
      <dgm:prSet presAssocID="{829A979A-000E-4F16-A314-2AB5130BBC14}" presName="sp" presStyleCnt="0"/>
      <dgm:spPr/>
    </dgm:pt>
    <dgm:pt modelId="{FC04A471-95CA-499E-8623-B4CEF6541F4D}" type="pres">
      <dgm:prSet presAssocID="{7B3EA907-1AED-4576-B41C-61EF297F414F}" presName="arrowAndChildren" presStyleCnt="0"/>
      <dgm:spPr/>
    </dgm:pt>
    <dgm:pt modelId="{8E50E997-7134-45A7-BECB-77C93987C4A1}" type="pres">
      <dgm:prSet presAssocID="{7B3EA907-1AED-4576-B41C-61EF297F414F}" presName="parentTextArrow" presStyleLbl="node1" presStyleIdx="4" presStyleCnt="5"/>
      <dgm:spPr/>
    </dgm:pt>
  </dgm:ptLst>
  <dgm:cxnLst>
    <dgm:cxn modelId="{411EA000-7416-4644-9380-F5DE39A2A481}" type="presOf" srcId="{D791223C-A0CE-4699-9FCB-1DD6E59D8E80}" destId="{58F470E1-0972-4F10-A73D-D445ACC314A8}" srcOrd="1" destOrd="0" presId="urn:microsoft.com/office/officeart/2005/8/layout/process4"/>
    <dgm:cxn modelId="{E2D82101-1A43-4E47-8519-3A93D567F137}" type="presOf" srcId="{7B3EA907-1AED-4576-B41C-61EF297F414F}" destId="{8E50E997-7134-45A7-BECB-77C93987C4A1}" srcOrd="0" destOrd="0" presId="urn:microsoft.com/office/officeart/2005/8/layout/process4"/>
    <dgm:cxn modelId="{59F34716-BDAA-4929-9D6C-3836FDD233A1}" srcId="{DF9FC361-525C-47D9-AAF1-2C2F286B865B}" destId="{4962AE55-2A92-4D00-9B19-1F0507DAC926}" srcOrd="0" destOrd="0" parTransId="{8EE65A28-1107-438E-B95B-65D551FB5807}" sibTransId="{6A03AC61-285A-49DE-B9C5-DED8A21C6482}"/>
    <dgm:cxn modelId="{71A95123-FE05-42F5-AE41-A4BB088FC62B}" srcId="{73158414-BA15-47F4-BDA6-9B1DA9370565}" destId="{7B3EA907-1AED-4576-B41C-61EF297F414F}" srcOrd="0" destOrd="0" parTransId="{B8515CE6-DA34-44F9-9104-7D40F74E3883}" sibTransId="{829A979A-000E-4F16-A314-2AB5130BBC14}"/>
    <dgm:cxn modelId="{697DAC29-1A40-4C4F-8954-98790788C63B}" type="presOf" srcId="{D791223C-A0CE-4699-9FCB-1DD6E59D8E80}" destId="{B3132406-4E37-4391-BDAB-BFFB17F8820F}" srcOrd="0" destOrd="0" presId="urn:microsoft.com/office/officeart/2005/8/layout/process4"/>
    <dgm:cxn modelId="{1B50EB3B-CC24-44A3-A446-C09E8F9B8199}" type="presOf" srcId="{C03CBF21-371D-474B-A757-DF6F6034470A}" destId="{EEAC8721-3FB4-46D3-B76E-C695E7F36FDE}" srcOrd="0" destOrd="0" presId="urn:microsoft.com/office/officeart/2005/8/layout/process4"/>
    <dgm:cxn modelId="{58596266-0E2E-433C-BDA1-7DBC5834703A}" srcId="{73158414-BA15-47F4-BDA6-9B1DA9370565}" destId="{DF9FC361-525C-47D9-AAF1-2C2F286B865B}" srcOrd="1" destOrd="0" parTransId="{9EE30F06-3C99-4043-9E9C-59CA0347ADE8}" sibTransId="{93850C3C-A7BA-476B-9804-EA122A114477}"/>
    <dgm:cxn modelId="{3B404468-4FA1-4D90-9A2A-B4454C19467A}" type="presOf" srcId="{4962AE55-2A92-4D00-9B19-1F0507DAC926}" destId="{9EA59367-A148-438B-9667-30F7ADCFFC18}" srcOrd="0" destOrd="0" presId="urn:microsoft.com/office/officeart/2005/8/layout/process4"/>
    <dgm:cxn modelId="{D3D9D354-7D64-46E6-A11D-AB6593B4D6DA}" srcId="{D791223C-A0CE-4699-9FCB-1DD6E59D8E80}" destId="{C03CBF21-371D-474B-A757-DF6F6034470A}" srcOrd="0" destOrd="0" parTransId="{9B34FB5F-EB91-4CF4-9CFB-053589F2BC84}" sibTransId="{881CA4DC-5A08-4FF7-BB6A-80DBD85828D2}"/>
    <dgm:cxn modelId="{9BA15179-418C-424C-941F-46586ADAEBFF}" type="presOf" srcId="{55A53C6B-17EA-42D2-9418-469BDE6A1E19}" destId="{E29AA221-6BFE-4D2E-ADEC-683EAF7550F3}" srcOrd="1" destOrd="0" presId="urn:microsoft.com/office/officeart/2005/8/layout/process4"/>
    <dgm:cxn modelId="{3B7FBA79-AC72-44FC-880C-C45B61ACC339}" type="presOf" srcId="{73158414-BA15-47F4-BDA6-9B1DA9370565}" destId="{B35B8093-167E-45FC-ADA9-2488CEF1094F}" srcOrd="0" destOrd="0" presId="urn:microsoft.com/office/officeart/2005/8/layout/process4"/>
    <dgm:cxn modelId="{12A8338A-5105-4E85-9D2D-F8B7515E0FEB}" srcId="{73158414-BA15-47F4-BDA6-9B1DA9370565}" destId="{D791223C-A0CE-4699-9FCB-1DD6E59D8E80}" srcOrd="4" destOrd="0" parTransId="{A7AA9DD7-E7A7-4733-984B-11C035B4605F}" sibTransId="{8F67A381-10E8-41A0-BDAF-9A66E7C3EBF9}"/>
    <dgm:cxn modelId="{4C282EA8-C129-49EC-86EE-0912C9B42F3F}" srcId="{55A53C6B-17EA-42D2-9418-469BDE6A1E19}" destId="{E67650E7-4869-4187-A129-B076BA195E87}" srcOrd="0" destOrd="0" parTransId="{E03DB190-1C50-45B8-BCC2-832FC911F935}" sibTransId="{13391954-C866-414D-A874-481AA42B80B8}"/>
    <dgm:cxn modelId="{99C4B5BE-44F7-40DA-B588-70C9DD09C300}" type="presOf" srcId="{E67650E7-4869-4187-A129-B076BA195E87}" destId="{DF1F0B94-056A-4D03-9FE0-D62576EA87FF}" srcOrd="0" destOrd="0" presId="urn:microsoft.com/office/officeart/2005/8/layout/process4"/>
    <dgm:cxn modelId="{745992C8-8101-4AEB-AB4E-92220E390EB7}" srcId="{73158414-BA15-47F4-BDA6-9B1DA9370565}" destId="{55A53C6B-17EA-42D2-9418-469BDE6A1E19}" srcOrd="2" destOrd="0" parTransId="{BDB2E808-BA62-4075-B2E1-F935789E0724}" sibTransId="{7520A2A6-5798-4A24-802A-5371F29B89CF}"/>
    <dgm:cxn modelId="{E5F1A9C9-A853-4875-B023-A29D67936B98}" type="presOf" srcId="{DF9FC361-525C-47D9-AAF1-2C2F286B865B}" destId="{6C12424A-10E5-4C61-9134-E53739B041C4}" srcOrd="0" destOrd="0" presId="urn:microsoft.com/office/officeart/2005/8/layout/process4"/>
    <dgm:cxn modelId="{C06189CB-3B01-488E-B8EA-73B61BF7FAD9}" type="presOf" srcId="{DF9FC361-525C-47D9-AAF1-2C2F286B865B}" destId="{36B07193-6A61-4FB6-975A-DA15117859B7}" srcOrd="1" destOrd="0" presId="urn:microsoft.com/office/officeart/2005/8/layout/process4"/>
    <dgm:cxn modelId="{B37431D1-8636-471F-BB90-B90A44A4C700}" srcId="{73158414-BA15-47F4-BDA6-9B1DA9370565}" destId="{13B38E22-4DA7-47B5-A2C9-9394B5BCCA4F}" srcOrd="3" destOrd="0" parTransId="{1292F539-7103-4E3D-8E5B-41A05F58F5AF}" sibTransId="{5DDFA018-6CF8-492C-927E-68D4EAE0038E}"/>
    <dgm:cxn modelId="{1CC5FEDA-2AE3-4EAB-ACCC-724FC31DB861}" type="presOf" srcId="{13B38E22-4DA7-47B5-A2C9-9394B5BCCA4F}" destId="{39C48649-3ACE-40A1-B9CE-B02BC90007B3}" srcOrd="0" destOrd="0" presId="urn:microsoft.com/office/officeart/2005/8/layout/process4"/>
    <dgm:cxn modelId="{4A7887DF-51C5-4290-BB5F-C2A2D8663A65}" type="presOf" srcId="{55A53C6B-17EA-42D2-9418-469BDE6A1E19}" destId="{0034D9B5-187E-4FE6-8622-FF3DA2D1440A}" srcOrd="0" destOrd="0" presId="urn:microsoft.com/office/officeart/2005/8/layout/process4"/>
    <dgm:cxn modelId="{B3E0FC8C-83E2-4AE7-AE3C-19C05B7F01AF}" type="presParOf" srcId="{B35B8093-167E-45FC-ADA9-2488CEF1094F}" destId="{0CB8C643-4F3E-42EB-8B69-CA6F3ABBE013}" srcOrd="0" destOrd="0" presId="urn:microsoft.com/office/officeart/2005/8/layout/process4"/>
    <dgm:cxn modelId="{695B9539-0BCF-4902-BA2E-B85608F9C06E}" type="presParOf" srcId="{0CB8C643-4F3E-42EB-8B69-CA6F3ABBE013}" destId="{B3132406-4E37-4391-BDAB-BFFB17F8820F}" srcOrd="0" destOrd="0" presId="urn:microsoft.com/office/officeart/2005/8/layout/process4"/>
    <dgm:cxn modelId="{E608C16D-A5AC-4FE2-A50D-8D3E941F9E83}" type="presParOf" srcId="{0CB8C643-4F3E-42EB-8B69-CA6F3ABBE013}" destId="{58F470E1-0972-4F10-A73D-D445ACC314A8}" srcOrd="1" destOrd="0" presId="urn:microsoft.com/office/officeart/2005/8/layout/process4"/>
    <dgm:cxn modelId="{A07F5A97-4EA0-43B9-8AF7-76C95668D405}" type="presParOf" srcId="{0CB8C643-4F3E-42EB-8B69-CA6F3ABBE013}" destId="{944D7C77-7775-49C7-B6A7-2AE468D75A7F}" srcOrd="2" destOrd="0" presId="urn:microsoft.com/office/officeart/2005/8/layout/process4"/>
    <dgm:cxn modelId="{D498347A-8CC8-4597-AE91-EDA45D2F68EB}" type="presParOf" srcId="{944D7C77-7775-49C7-B6A7-2AE468D75A7F}" destId="{EEAC8721-3FB4-46D3-B76E-C695E7F36FDE}" srcOrd="0" destOrd="0" presId="urn:microsoft.com/office/officeart/2005/8/layout/process4"/>
    <dgm:cxn modelId="{38704D4D-A437-4B84-AE2F-A348971CE22D}" type="presParOf" srcId="{B35B8093-167E-45FC-ADA9-2488CEF1094F}" destId="{F3C6C1E9-DAEB-469E-889D-81138E66B61B}" srcOrd="1" destOrd="0" presId="urn:microsoft.com/office/officeart/2005/8/layout/process4"/>
    <dgm:cxn modelId="{914889A5-7557-4136-945E-79EB2CEFDBF9}" type="presParOf" srcId="{B35B8093-167E-45FC-ADA9-2488CEF1094F}" destId="{66D7DFA1-073F-40A8-A28F-83A1740C0950}" srcOrd="2" destOrd="0" presId="urn:microsoft.com/office/officeart/2005/8/layout/process4"/>
    <dgm:cxn modelId="{1C79287A-3377-4188-9DA9-524C0AB8C977}" type="presParOf" srcId="{66D7DFA1-073F-40A8-A28F-83A1740C0950}" destId="{39C48649-3ACE-40A1-B9CE-B02BC90007B3}" srcOrd="0" destOrd="0" presId="urn:microsoft.com/office/officeart/2005/8/layout/process4"/>
    <dgm:cxn modelId="{3B5E0FFE-AF60-4636-B4B0-3825ABE9D064}" type="presParOf" srcId="{B35B8093-167E-45FC-ADA9-2488CEF1094F}" destId="{C219D8FF-D1B6-468D-AE63-FA08B7D3C131}" srcOrd="3" destOrd="0" presId="urn:microsoft.com/office/officeart/2005/8/layout/process4"/>
    <dgm:cxn modelId="{ACD5C36D-400F-417D-94D2-D00D54CE1811}" type="presParOf" srcId="{B35B8093-167E-45FC-ADA9-2488CEF1094F}" destId="{5D178C3D-F499-44C0-B0CD-B97C50879BD4}" srcOrd="4" destOrd="0" presId="urn:microsoft.com/office/officeart/2005/8/layout/process4"/>
    <dgm:cxn modelId="{F1FD6150-61DC-4492-901F-1C9AE54200C2}" type="presParOf" srcId="{5D178C3D-F499-44C0-B0CD-B97C50879BD4}" destId="{0034D9B5-187E-4FE6-8622-FF3DA2D1440A}" srcOrd="0" destOrd="0" presId="urn:microsoft.com/office/officeart/2005/8/layout/process4"/>
    <dgm:cxn modelId="{3E153F25-0819-4835-9D5D-43314D74F407}" type="presParOf" srcId="{5D178C3D-F499-44C0-B0CD-B97C50879BD4}" destId="{E29AA221-6BFE-4D2E-ADEC-683EAF7550F3}" srcOrd="1" destOrd="0" presId="urn:microsoft.com/office/officeart/2005/8/layout/process4"/>
    <dgm:cxn modelId="{F32EDC7C-CABD-47F3-A841-D9750E98BBEE}" type="presParOf" srcId="{5D178C3D-F499-44C0-B0CD-B97C50879BD4}" destId="{AB1144FE-9CEB-4605-8C6D-5B6846B11E0C}" srcOrd="2" destOrd="0" presId="urn:microsoft.com/office/officeart/2005/8/layout/process4"/>
    <dgm:cxn modelId="{4BA3F9DE-6C7E-49AF-B427-7AFC3EF1503E}" type="presParOf" srcId="{AB1144FE-9CEB-4605-8C6D-5B6846B11E0C}" destId="{DF1F0B94-056A-4D03-9FE0-D62576EA87FF}" srcOrd="0" destOrd="0" presId="urn:microsoft.com/office/officeart/2005/8/layout/process4"/>
    <dgm:cxn modelId="{8FE3BD4D-6C43-45E2-9B76-32FD48B996E3}" type="presParOf" srcId="{B35B8093-167E-45FC-ADA9-2488CEF1094F}" destId="{52425499-F03D-48C1-AB8D-1050F4499664}" srcOrd="5" destOrd="0" presId="urn:microsoft.com/office/officeart/2005/8/layout/process4"/>
    <dgm:cxn modelId="{8E5BF263-04FB-4402-9844-9C6F64B91234}" type="presParOf" srcId="{B35B8093-167E-45FC-ADA9-2488CEF1094F}" destId="{EBA0B8AD-9D45-46B7-B984-017A38355D40}" srcOrd="6" destOrd="0" presId="urn:microsoft.com/office/officeart/2005/8/layout/process4"/>
    <dgm:cxn modelId="{1C49147C-B0CF-40A7-A574-23EF0DE80C3E}" type="presParOf" srcId="{EBA0B8AD-9D45-46B7-B984-017A38355D40}" destId="{6C12424A-10E5-4C61-9134-E53739B041C4}" srcOrd="0" destOrd="0" presId="urn:microsoft.com/office/officeart/2005/8/layout/process4"/>
    <dgm:cxn modelId="{C82EC3FB-28C3-46AD-B776-03C1034CD3D3}" type="presParOf" srcId="{EBA0B8AD-9D45-46B7-B984-017A38355D40}" destId="{36B07193-6A61-4FB6-975A-DA15117859B7}" srcOrd="1" destOrd="0" presId="urn:microsoft.com/office/officeart/2005/8/layout/process4"/>
    <dgm:cxn modelId="{9C08C04D-17FA-4DB8-BE1E-5D8D80802AFF}" type="presParOf" srcId="{EBA0B8AD-9D45-46B7-B984-017A38355D40}" destId="{D0CC71E8-C1FF-4FC2-AA4B-02F1093DEF85}" srcOrd="2" destOrd="0" presId="urn:microsoft.com/office/officeart/2005/8/layout/process4"/>
    <dgm:cxn modelId="{D4807C5C-D0AC-4982-9D6E-4C2A4F1573E8}" type="presParOf" srcId="{D0CC71E8-C1FF-4FC2-AA4B-02F1093DEF85}" destId="{9EA59367-A148-438B-9667-30F7ADCFFC18}" srcOrd="0" destOrd="0" presId="urn:microsoft.com/office/officeart/2005/8/layout/process4"/>
    <dgm:cxn modelId="{91FC3ABE-CCB9-43CB-AA9B-25A22E714BA0}" type="presParOf" srcId="{B35B8093-167E-45FC-ADA9-2488CEF1094F}" destId="{404F75BD-DBC0-4AE2-A82D-74FB04BB2612}" srcOrd="7" destOrd="0" presId="urn:microsoft.com/office/officeart/2005/8/layout/process4"/>
    <dgm:cxn modelId="{50C45997-FB29-4321-B9B7-F4543EBA5FEE}" type="presParOf" srcId="{B35B8093-167E-45FC-ADA9-2488CEF1094F}" destId="{FC04A471-95CA-499E-8623-B4CEF6541F4D}" srcOrd="8" destOrd="0" presId="urn:microsoft.com/office/officeart/2005/8/layout/process4"/>
    <dgm:cxn modelId="{6FED41D6-2679-4B14-804B-1B3314C1AF34}" type="presParOf" srcId="{FC04A471-95CA-499E-8623-B4CEF6541F4D}" destId="{8E50E997-7134-45A7-BECB-77C93987C4A1}" srcOrd="0"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470E1-0972-4F10-A73D-D445ACC314A8}">
      <dsp:nvSpPr>
        <dsp:cNvPr id="0" name=""/>
        <dsp:cNvSpPr/>
      </dsp:nvSpPr>
      <dsp:spPr>
        <a:xfrm>
          <a:off x="0" y="5366296"/>
          <a:ext cx="5731510" cy="880385"/>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AU" sz="1600" kern="1200" dirty="0"/>
            <a:t>National Report published</a:t>
          </a:r>
        </a:p>
      </dsp:txBody>
      <dsp:txXfrm>
        <a:off x="0" y="5366296"/>
        <a:ext cx="5731510" cy="475408"/>
      </dsp:txXfrm>
    </dsp:sp>
    <dsp:sp modelId="{EEAC8721-3FB4-46D3-B76E-C695E7F36FDE}">
      <dsp:nvSpPr>
        <dsp:cNvPr id="0" name=""/>
        <dsp:cNvSpPr/>
      </dsp:nvSpPr>
      <dsp:spPr>
        <a:xfrm>
          <a:off x="0" y="5824097"/>
          <a:ext cx="5731510" cy="40497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AU" sz="1400" kern="1200" dirty="0"/>
            <a:t>Publication of pilot results in National Report will be decided in consultation with universities</a:t>
          </a:r>
        </a:p>
      </dsp:txBody>
      <dsp:txXfrm>
        <a:off x="0" y="5824097"/>
        <a:ext cx="5731510" cy="404977"/>
      </dsp:txXfrm>
    </dsp:sp>
    <dsp:sp modelId="{39C48649-3ACE-40A1-B9CE-B02BC90007B3}">
      <dsp:nvSpPr>
        <dsp:cNvPr id="0" name=""/>
        <dsp:cNvSpPr/>
      </dsp:nvSpPr>
      <dsp:spPr>
        <a:xfrm rot="10800000">
          <a:off x="0" y="4025469"/>
          <a:ext cx="5731510" cy="1354033"/>
        </a:xfrm>
        <a:prstGeom prst="upArrowCallout">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AU" sz="1600" kern="1200" dirty="0"/>
            <a:t>Results shared with universities</a:t>
          </a:r>
        </a:p>
      </dsp:txBody>
      <dsp:txXfrm rot="10800000">
        <a:off x="0" y="4025469"/>
        <a:ext cx="5731510" cy="879810"/>
      </dsp:txXfrm>
    </dsp:sp>
    <dsp:sp modelId="{E29AA221-6BFE-4D2E-ADEC-683EAF7550F3}">
      <dsp:nvSpPr>
        <dsp:cNvPr id="0" name=""/>
        <dsp:cNvSpPr/>
      </dsp:nvSpPr>
      <dsp:spPr>
        <a:xfrm rot="10800000">
          <a:off x="0" y="2684642"/>
          <a:ext cx="5731510" cy="1354033"/>
        </a:xfrm>
        <a:prstGeom prst="upArrowCallou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AU" sz="1600" kern="1200" dirty="0"/>
            <a:t>Pilot</a:t>
          </a:r>
        </a:p>
      </dsp:txBody>
      <dsp:txXfrm rot="-10800000">
        <a:off x="0" y="2684642"/>
        <a:ext cx="5731510" cy="475265"/>
      </dsp:txXfrm>
    </dsp:sp>
    <dsp:sp modelId="{DF1F0B94-056A-4D03-9FE0-D62576EA87FF}">
      <dsp:nvSpPr>
        <dsp:cNvPr id="0" name=""/>
        <dsp:cNvSpPr/>
      </dsp:nvSpPr>
      <dsp:spPr>
        <a:xfrm>
          <a:off x="0" y="3159907"/>
          <a:ext cx="5731510" cy="404855"/>
        </a:xfrm>
        <a:prstGeom prst="rect">
          <a:avLst/>
        </a:prstGeom>
        <a:solidFill>
          <a:schemeClr val="accent1">
            <a:alpha val="90000"/>
            <a:tint val="40000"/>
            <a:hueOff val="0"/>
            <a:satOff val="0"/>
            <a:lumOff val="0"/>
            <a:alphaOff val="-2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AU" sz="1400" kern="1200" dirty="0"/>
            <a:t>Reassessment of units rated 4 and 5 in ERA 2023, using the new rating scale and HPI</a:t>
          </a:r>
        </a:p>
      </dsp:txBody>
      <dsp:txXfrm>
        <a:off x="0" y="3159907"/>
        <a:ext cx="5731510" cy="404855"/>
      </dsp:txXfrm>
    </dsp:sp>
    <dsp:sp modelId="{36B07193-6A61-4FB6-975A-DA15117859B7}">
      <dsp:nvSpPr>
        <dsp:cNvPr id="0" name=""/>
        <dsp:cNvSpPr/>
      </dsp:nvSpPr>
      <dsp:spPr>
        <a:xfrm rot="10800000">
          <a:off x="0" y="1343814"/>
          <a:ext cx="5731510" cy="1354033"/>
        </a:xfrm>
        <a:prstGeom prst="upArrowCallout">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AU" sz="1600" kern="1200" dirty="0"/>
            <a:t>ERA 2023</a:t>
          </a:r>
        </a:p>
      </dsp:txBody>
      <dsp:txXfrm rot="-10800000">
        <a:off x="0" y="1343814"/>
        <a:ext cx="5731510" cy="475265"/>
      </dsp:txXfrm>
    </dsp:sp>
    <dsp:sp modelId="{9EA59367-A148-438B-9667-30F7ADCFFC18}">
      <dsp:nvSpPr>
        <dsp:cNvPr id="0" name=""/>
        <dsp:cNvSpPr/>
      </dsp:nvSpPr>
      <dsp:spPr>
        <a:xfrm>
          <a:off x="0" y="1819080"/>
          <a:ext cx="5731510" cy="404855"/>
        </a:xfrm>
        <a:prstGeom prst="rect">
          <a:avLst/>
        </a:prstGeom>
        <a:solidFill>
          <a:schemeClr val="accent1">
            <a:alpha val="90000"/>
            <a:tint val="40000"/>
            <a:hueOff val="0"/>
            <a:satOff val="0"/>
            <a:lumOff val="0"/>
            <a:alpha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AU" sz="1400" kern="1200" dirty="0"/>
            <a:t>Evaluation of all units using the ERA 2018 scale, dynamic RCI classes and revised peer review guidance </a:t>
          </a:r>
        </a:p>
      </dsp:txBody>
      <dsp:txXfrm>
        <a:off x="0" y="1819080"/>
        <a:ext cx="5731510" cy="404855"/>
      </dsp:txXfrm>
    </dsp:sp>
    <dsp:sp modelId="{8E50E997-7134-45A7-BECB-77C93987C4A1}">
      <dsp:nvSpPr>
        <dsp:cNvPr id="0" name=""/>
        <dsp:cNvSpPr/>
      </dsp:nvSpPr>
      <dsp:spPr>
        <a:xfrm rot="10800000">
          <a:off x="0" y="2987"/>
          <a:ext cx="5731510" cy="1354033"/>
        </a:xfrm>
        <a:prstGeom prst="upArrowCallou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AU" sz="1600" kern="1200" dirty="0"/>
            <a:t>Universities make ERA 2023 submissions</a:t>
          </a:r>
        </a:p>
      </dsp:txBody>
      <dsp:txXfrm rot="10800000">
        <a:off x="0" y="2987"/>
        <a:ext cx="5731510" cy="8798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F4A62"/>
      </a:dk2>
      <a:lt2>
        <a:srgbClr val="005A7A"/>
      </a:lt2>
      <a:accent1>
        <a:srgbClr val="00809D"/>
      </a:accent1>
      <a:accent2>
        <a:srgbClr val="69C3C6"/>
      </a:accent2>
      <a:accent3>
        <a:srgbClr val="92CFCA"/>
      </a:accent3>
      <a:accent4>
        <a:srgbClr val="BFE2E0"/>
      </a:accent4>
      <a:accent5>
        <a:srgbClr val="B1921F"/>
      </a:accent5>
      <a:accent6>
        <a:srgbClr val="D2C66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e84ca8-29c3-447a-8cba-2d1310f6d81f">
      <UserInfo>
        <DisplayName>Angus Cole</DisplayName>
        <AccountId>1771</AccountId>
        <AccountType/>
      </UserInfo>
      <UserInfo>
        <DisplayName>Ailsa McManus</DisplayName>
        <AccountId>14</AccountId>
        <AccountType/>
      </UserInfo>
      <UserInfo>
        <DisplayName>Sarah Howard</DisplayName>
        <AccountId>6</AccountId>
        <AccountType/>
      </UserInfo>
    </SharedWithUsers>
    <_Version xmlns="http://schemas.microsoft.com/sharepoint/v3/fields" xsi:nil="true"/>
    <Lead_x0020_Section xmlns="58fa4970-7f82-475f-885f-ec033aa4af35" xsi:nil="true"/>
    <lcf76f155ced4ddcb4097134ff3c332f xmlns="58fa4970-7f82-475f-885f-ec033aa4af35">
      <Terms xmlns="http://schemas.microsoft.com/office/infopath/2007/PartnerControls"/>
    </lcf76f155ced4ddcb4097134ff3c332f>
    <Status xmlns="58fa4970-7f82-475f-885f-ec033aa4af35" xsi:nil="true"/>
    <TaxCatchAll xmlns="a2e84ca8-29c3-447a-8cba-2d1310f6d81f" xsi:nil="true"/>
    <Notes0 xmlns="58fa4970-7f82-475f-885f-ec033aa4af35" xsi:nil="true"/>
    <_Flow_SignoffStatus xmlns="58fa4970-7f82-475f-885f-ec033aa4af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E441AAE80FDB44A9D1F37906D32CCA" ma:contentTypeVersion="25" ma:contentTypeDescription="Create a new document." ma:contentTypeScope="" ma:versionID="686dc3aa6a44f75d84a9ceda38107e23">
  <xsd:schema xmlns:xsd="http://www.w3.org/2001/XMLSchema" xmlns:xs="http://www.w3.org/2001/XMLSchema" xmlns:p="http://schemas.microsoft.com/office/2006/metadata/properties" xmlns:ns2="58fa4970-7f82-475f-885f-ec033aa4af35" xmlns:ns3="http://schemas.microsoft.com/sharepoint/v3/fields" xmlns:ns4="a2e84ca8-29c3-447a-8cba-2d1310f6d81f" targetNamespace="http://schemas.microsoft.com/office/2006/metadata/properties" ma:root="true" ma:fieldsID="a734cc5851240335078d832d366835d9" ns2:_="" ns3:_="" ns4:_="">
    <xsd:import namespace="58fa4970-7f82-475f-885f-ec033aa4af35"/>
    <xsd:import namespace="http://schemas.microsoft.com/sharepoint/v3/fields"/>
    <xsd:import namespace="a2e84ca8-29c3-447a-8cba-2d1310f6d81f"/>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_Version" minOccurs="0"/>
                <xsd:element ref="ns4:SharedWithUsers" minOccurs="0"/>
                <xsd:element ref="ns4:SharedWithDetails" minOccurs="0"/>
                <xsd:element ref="ns2:MediaServiceOCR" minOccurs="0"/>
                <xsd:element ref="ns2:MediaServiceLocation" minOccurs="0"/>
                <xsd:element ref="ns2:Notes0" minOccurs="0"/>
                <xsd:element ref="ns2:Status" minOccurs="0"/>
                <xsd:element ref="ns2:Lead_x0020_Se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a4970-7f82-475f-885f-ec033aa4af35" elementFormDefault="qualified">
    <xsd:import namespace="http://schemas.microsoft.com/office/2006/documentManagement/types"/>
    <xsd:import namespace="http://schemas.microsoft.com/office/infopath/2007/PartnerControls"/>
    <xsd:element name="_Flow_SignoffStatus" ma:index="3" nillable="true" ma:displayName="Sign-off status" ma:internalName="Sign_x002d_off_x0020_status">
      <xsd:simpleType>
        <xsd:restriction base="dms:Text"/>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internalName="MediaServiceAutoTags"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otes0" ma:index="23" nillable="true" ma:displayName="Notes" ma:internalName="Notes0">
      <xsd:simpleType>
        <xsd:restriction base="dms:Note">
          <xsd:maxLength value="255"/>
        </xsd:restriction>
      </xsd:simpleType>
    </xsd:element>
    <xsd:element name="Status" ma:index="24" nillable="true" ma:displayName="Status" ma:format="RadioButtons" ma:internalName="Status">
      <xsd:simpleType>
        <xsd:union memberTypes="dms:Text">
          <xsd:simpleType>
            <xsd:restriction base="dms:Choice">
              <xsd:enumeration value="Final document"/>
              <xsd:enumeration value="Draft Document"/>
              <xsd:enumeration value="Archived document"/>
            </xsd:restriction>
          </xsd:simpleType>
        </xsd:union>
      </xsd:simpleType>
    </xsd:element>
    <xsd:element name="Lead_x0020_Section" ma:index="25" nillable="true" ma:displayName="Lead Section" ma:format="Dropdown" ma:internalName="Lead_x0020_Section">
      <xsd:complexType>
        <xsd:complexContent>
          <xsd:extension base="dms:MultiChoice">
            <xsd:sequence>
              <xsd:element name="Value" maxOccurs="unbounded" minOccurs="0" nillable="true">
                <xsd:simpleType>
                  <xsd:restriction base="dms:Choice">
                    <xsd:enumeration value="Bibliometrics and Evaluation Reporting"/>
                    <xsd:enumeration value="Research Evaluation (Policy)"/>
                    <xsd:enumeration value="Research Systems and Data"/>
                  </xsd:restriction>
                </xsd:simple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8" nillable="true" ma:displayName="Version" ma:indexed="true"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84ca8-29c3-447a-8cba-2d1310f6d81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aa76a13b-3234-4707-82e1-02bce88c815f}" ma:internalName="TaxCatchAll" ma:showField="CatchAllData" ma:web="a2e84ca8-29c3-447a-8cba-2d1310f6d8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400F9-F051-4B2C-8BB6-C1DBBB61942F}">
  <ds:schemaRefs>
    <ds:schemaRef ds:uri="http://schemas.microsoft.com/office/2006/metadata/properties"/>
    <ds:schemaRef ds:uri="http://schemas.microsoft.com/office/infopath/2007/PartnerControls"/>
    <ds:schemaRef ds:uri="a2e84ca8-29c3-447a-8cba-2d1310f6d81f"/>
    <ds:schemaRef ds:uri="http://schemas.microsoft.com/sharepoint/v3/fields"/>
    <ds:schemaRef ds:uri="58fa4970-7f82-475f-885f-ec033aa4af35"/>
  </ds:schemaRefs>
</ds:datastoreItem>
</file>

<file path=customXml/itemProps2.xml><?xml version="1.0" encoding="utf-8"?>
<ds:datastoreItem xmlns:ds="http://schemas.openxmlformats.org/officeDocument/2006/customXml" ds:itemID="{13DE8CEF-E3AC-4AE9-8399-583459BC9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a4970-7f82-475f-885f-ec033aa4af35"/>
    <ds:schemaRef ds:uri="http://schemas.microsoft.com/sharepoint/v3/fields"/>
    <ds:schemaRef ds:uri="a2e84ca8-29c3-447a-8cba-2d1310f6d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FF8CE-00B3-446F-8F99-88C08ACEF086}">
  <ds:schemaRefs>
    <ds:schemaRef ds:uri="http://schemas.microsoft.com/sharepoint/v3/contenttype/forms"/>
  </ds:schemaRefs>
</ds:datastoreItem>
</file>

<file path=customXml/itemProps4.xml><?xml version="1.0" encoding="utf-8"?>
<ds:datastoreItem xmlns:ds="http://schemas.openxmlformats.org/officeDocument/2006/customXml" ds:itemID="{17654A06-FD12-4344-B28B-C5646D71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2364</Words>
  <Characters>13476</Characters>
  <Application>Microsoft Office Word</Application>
  <DocSecurity>0</DocSecurity>
  <Lines>112</Lines>
  <Paragraphs>31</Paragraphs>
  <ScaleCrop>false</ScaleCrop>
  <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2022-08-15T02:11:00Z</dcterms:created>
  <dcterms:modified xsi:type="dcterms:W3CDTF">2022-08-15T03:56:00Z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0x010100CAE441AAE80FDB44A9D1F37906D32CCA</vt:lpwstr>
  </property>
</Properties>
</file>