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3455" w14:textId="4DD82387" w:rsidR="00C1451E" w:rsidRPr="005A7C0B" w:rsidRDefault="00C1451E" w:rsidP="00C1451E">
      <w:pPr>
        <w:pStyle w:val="PartHeading"/>
      </w:pPr>
      <w:bookmarkStart w:id="1" w:name="_Toc190766151"/>
      <w:bookmarkStart w:id="2" w:name="_Toc444523519"/>
      <w:bookmarkStart w:id="3" w:name="PortfolioGlossaryandacronyms"/>
      <w:bookmarkStart w:id="4" w:name="ARCTitlePage"/>
      <w:r>
        <w:t xml:space="preserve">Australian Research Council </w:t>
      </w:r>
    </w:p>
    <w:bookmarkEnd w:id="4"/>
    <w:p w14:paraId="488B76BF" w14:textId="19441BBE" w:rsidR="00C1451E" w:rsidRDefault="00C1451E" w:rsidP="00C1451E">
      <w:pPr>
        <w:pStyle w:val="PartHeading"/>
      </w:pPr>
    </w:p>
    <w:p w14:paraId="29575D5F" w14:textId="64E90756" w:rsidR="00C1451E" w:rsidRDefault="00C1451E" w:rsidP="00C1451E">
      <w:pPr>
        <w:pStyle w:val="PartHeading"/>
      </w:pPr>
    </w:p>
    <w:p w14:paraId="17A5D324" w14:textId="4664DF19" w:rsidR="00C1451E" w:rsidRDefault="00C1451E" w:rsidP="00C1451E">
      <w:pPr>
        <w:pStyle w:val="PartHeading-TOC"/>
      </w:pPr>
      <w:bookmarkStart w:id="5" w:name="_Toc98767776"/>
      <w:bookmarkStart w:id="6" w:name="_Toc98774702"/>
      <w:bookmarkStart w:id="7" w:name="_Toc99019144"/>
      <w:bookmarkStart w:id="8" w:name="_Toc99019250"/>
      <w:r>
        <w:t>Entity resources and planned performance</w:t>
      </w:r>
      <w:bookmarkEnd w:id="5"/>
      <w:bookmarkEnd w:id="6"/>
      <w:bookmarkEnd w:id="7"/>
      <w:bookmarkEnd w:id="8"/>
    </w:p>
    <w:p w14:paraId="33B67FA1" w14:textId="77777777" w:rsidR="00CF5D8B" w:rsidRDefault="00CF5D8B" w:rsidP="00C1451E">
      <w:pPr>
        <w:pStyle w:val="ContentsHeading"/>
        <w:sectPr w:rsidR="00CF5D8B" w:rsidSect="00CF5D8B">
          <w:footerReference w:type="first" r:id="rId12"/>
          <w:type w:val="oddPage"/>
          <w:pgSz w:w="11906" w:h="16838" w:code="9"/>
          <w:pgMar w:top="2466" w:right="2126" w:bottom="2466" w:left="2098" w:header="1899" w:footer="1899" w:gutter="0"/>
          <w:cols w:space="720"/>
          <w:vAlign w:val="center"/>
          <w:titlePg/>
          <w:docGrid w:linePitch="272"/>
        </w:sectPr>
      </w:pPr>
    </w:p>
    <w:p w14:paraId="0C46F05D" w14:textId="5C5493C9" w:rsidR="00C1451E" w:rsidRPr="002A32FD" w:rsidRDefault="00C1451E" w:rsidP="00C1451E">
      <w:pPr>
        <w:pStyle w:val="ContentsHeading"/>
      </w:pPr>
      <w:r>
        <w:lastRenderedPageBreak/>
        <w:t>Australian Research Council</w:t>
      </w:r>
    </w:p>
    <w:p w14:paraId="6AE3AC06" w14:textId="04D96AC5" w:rsidR="00E13D3D" w:rsidRPr="0025363A" w:rsidRDefault="00E13D3D" w:rsidP="00E13D3D">
      <w:pPr>
        <w:pStyle w:val="TOC2"/>
        <w:rPr>
          <w:rStyle w:val="Hyperlink"/>
          <w:rFonts w:eastAsiaTheme="minorEastAsia" w:cs="Arial"/>
          <w:b/>
          <w:bCs/>
          <w:noProof/>
          <w:sz w:val="22"/>
          <w:szCs w:val="22"/>
        </w:rPr>
      </w:pPr>
      <w:r>
        <w:rPr>
          <w:rFonts w:cs="Arial"/>
        </w:rPr>
        <w:fldChar w:fldCharType="begin"/>
      </w:r>
      <w:r>
        <w:rPr>
          <w:rFonts w:cs="Arial"/>
        </w:rPr>
        <w:instrText xml:space="preserve"> TOC \o "1-3" \h \z \u </w:instrText>
      </w:r>
      <w:r>
        <w:rPr>
          <w:rFonts w:cs="Arial"/>
        </w:rPr>
        <w:fldChar w:fldCharType="separate"/>
      </w:r>
      <w:r w:rsidR="0025363A">
        <w:rPr>
          <w:rFonts w:cs="Arial"/>
          <w:b/>
          <w:bCs/>
          <w:noProof/>
        </w:rPr>
        <w:fldChar w:fldCharType="begin"/>
      </w:r>
      <w:r w:rsidR="0025363A">
        <w:rPr>
          <w:rFonts w:cs="Arial"/>
          <w:b/>
          <w:bCs/>
          <w:noProof/>
        </w:rPr>
        <w:instrText xml:space="preserve"> HYPERLINK  \l "ARC_SDS" </w:instrText>
      </w:r>
      <w:r w:rsidR="0025363A">
        <w:rPr>
          <w:rFonts w:cs="Arial"/>
          <w:b/>
          <w:bCs/>
          <w:noProof/>
        </w:rPr>
      </w:r>
      <w:r w:rsidR="0025363A">
        <w:rPr>
          <w:rFonts w:cs="Arial"/>
          <w:b/>
          <w:bCs/>
          <w:noProof/>
        </w:rPr>
        <w:fldChar w:fldCharType="separate"/>
      </w:r>
      <w:r w:rsidRPr="0025363A">
        <w:rPr>
          <w:rStyle w:val="Hyperlink"/>
          <w:rFonts w:cs="Arial"/>
          <w:b/>
          <w:bCs/>
          <w:noProof/>
        </w:rPr>
        <w:t>S</w:t>
      </w:r>
      <w:r w:rsidR="00C05846" w:rsidRPr="0025363A">
        <w:rPr>
          <w:rStyle w:val="Hyperlink"/>
          <w:rFonts w:cs="Arial"/>
          <w:b/>
          <w:bCs/>
          <w:noProof/>
        </w:rPr>
        <w:t>ECTION 1: ENTITY OVERVIEW AND RESOURCES</w:t>
      </w:r>
      <w:r w:rsidRPr="0025363A">
        <w:rPr>
          <w:rStyle w:val="Hyperlink"/>
          <w:rFonts w:cs="Arial"/>
          <w:b/>
          <w:bCs/>
          <w:noProof/>
          <w:webHidden/>
        </w:rPr>
        <w:tab/>
      </w:r>
      <w:r w:rsidR="004D64CD">
        <w:rPr>
          <w:rStyle w:val="Hyperlink"/>
          <w:rFonts w:cs="Arial"/>
          <w:b/>
          <w:bCs/>
          <w:noProof/>
          <w:webHidden/>
        </w:rPr>
        <w:t>5</w:t>
      </w:r>
    </w:p>
    <w:p w14:paraId="3B4B6441" w14:textId="31822D07" w:rsidR="00E13D3D" w:rsidRPr="0025363A" w:rsidRDefault="0025363A" w:rsidP="00E13D3D">
      <w:pPr>
        <w:pStyle w:val="TOC3"/>
        <w:tabs>
          <w:tab w:val="left" w:pos="800"/>
        </w:tabs>
        <w:rPr>
          <w:rStyle w:val="Hyperlink"/>
          <w:rFonts w:eastAsiaTheme="minorEastAsia" w:cs="Arial"/>
          <w:b w:val="0"/>
          <w:noProof/>
          <w:sz w:val="22"/>
          <w:szCs w:val="22"/>
        </w:rPr>
      </w:pPr>
      <w:r>
        <w:rPr>
          <w:rFonts w:cs="Arial"/>
          <w:bCs/>
          <w:noProof/>
        </w:rPr>
        <w:fldChar w:fldCharType="end"/>
      </w:r>
      <w:r>
        <w:rPr>
          <w:rFonts w:cs="Arial"/>
          <w:b w:val="0"/>
          <w:noProof/>
        </w:rPr>
        <w:fldChar w:fldCharType="begin"/>
      </w:r>
      <w:r>
        <w:rPr>
          <w:rFonts w:cs="Arial"/>
          <w:b w:val="0"/>
          <w:noProof/>
        </w:rPr>
        <w:instrText xml:space="preserve"> HYPERLINK  \l "ARC_SDS" </w:instrText>
      </w:r>
      <w:r>
        <w:rPr>
          <w:rFonts w:cs="Arial"/>
          <w:b w:val="0"/>
          <w:noProof/>
        </w:rPr>
      </w:r>
      <w:r>
        <w:rPr>
          <w:rFonts w:cs="Arial"/>
          <w:b w:val="0"/>
          <w:noProof/>
        </w:rPr>
        <w:fldChar w:fldCharType="separate"/>
      </w:r>
      <w:r w:rsidR="00E13D3D" w:rsidRPr="0025363A">
        <w:rPr>
          <w:rStyle w:val="Hyperlink"/>
          <w:rFonts w:cs="Arial"/>
          <w:b w:val="0"/>
          <w:noProof/>
        </w:rPr>
        <w:t>1.1</w:t>
      </w:r>
      <w:r w:rsidR="00E13D3D" w:rsidRPr="0025363A">
        <w:rPr>
          <w:rStyle w:val="Hyperlink"/>
          <w:rFonts w:eastAsiaTheme="minorEastAsia" w:cs="Arial"/>
          <w:b w:val="0"/>
          <w:noProof/>
          <w:sz w:val="22"/>
          <w:szCs w:val="22"/>
        </w:rPr>
        <w:tab/>
      </w:r>
      <w:r w:rsidR="00E13D3D" w:rsidRPr="0025363A">
        <w:rPr>
          <w:rStyle w:val="Hyperlink"/>
          <w:rFonts w:cs="Arial"/>
          <w:b w:val="0"/>
          <w:noProof/>
        </w:rPr>
        <w:t>Strategic direction statement</w:t>
      </w:r>
      <w:r w:rsidR="00E13D3D" w:rsidRPr="0025363A">
        <w:rPr>
          <w:rStyle w:val="Hyperlink"/>
          <w:rFonts w:cs="Arial"/>
          <w:b w:val="0"/>
          <w:noProof/>
          <w:webHidden/>
        </w:rPr>
        <w:tab/>
      </w:r>
      <w:r w:rsidR="00F97A60" w:rsidRPr="0025363A">
        <w:rPr>
          <w:rStyle w:val="Hyperlink"/>
          <w:rFonts w:cs="Arial"/>
          <w:b w:val="0"/>
          <w:bCs/>
          <w:noProof/>
          <w:webHidden/>
        </w:rPr>
        <w:fldChar w:fldCharType="begin"/>
      </w:r>
      <w:r w:rsidR="00F97A60" w:rsidRPr="0025363A">
        <w:rPr>
          <w:rStyle w:val="Hyperlink"/>
          <w:rFonts w:cs="Arial"/>
          <w:b w:val="0"/>
          <w:bCs/>
          <w:noProof/>
          <w:webHidden/>
        </w:rPr>
        <w:instrText xml:space="preserve"> PAGEREF  ARC_SDS \h  \* MERGEFORMAT </w:instrText>
      </w:r>
      <w:r w:rsidR="00F97A60" w:rsidRPr="0025363A">
        <w:rPr>
          <w:rStyle w:val="Hyperlink"/>
          <w:rFonts w:cs="Arial"/>
          <w:b w:val="0"/>
          <w:bCs/>
          <w:noProof/>
          <w:webHidden/>
        </w:rPr>
      </w:r>
      <w:r w:rsidR="00F97A60" w:rsidRPr="0025363A">
        <w:rPr>
          <w:rStyle w:val="Hyperlink"/>
          <w:rFonts w:cs="Arial"/>
          <w:b w:val="0"/>
          <w:bCs/>
          <w:noProof/>
          <w:webHidden/>
        </w:rPr>
        <w:fldChar w:fldCharType="separate"/>
      </w:r>
      <w:r w:rsidR="004D64CD">
        <w:rPr>
          <w:rStyle w:val="Hyperlink"/>
          <w:rFonts w:cs="Arial"/>
          <w:b w:val="0"/>
          <w:bCs/>
          <w:noProof/>
          <w:webHidden/>
        </w:rPr>
        <w:t>5</w:t>
      </w:r>
      <w:r w:rsidR="00F97A60" w:rsidRPr="0025363A">
        <w:rPr>
          <w:rStyle w:val="Hyperlink"/>
          <w:rFonts w:cs="Arial"/>
          <w:b w:val="0"/>
          <w:bCs/>
          <w:noProof/>
          <w:webHidden/>
        </w:rPr>
        <w:fldChar w:fldCharType="end"/>
      </w:r>
    </w:p>
    <w:p w14:paraId="5651F80A" w14:textId="4C82FB89" w:rsidR="00E13D3D" w:rsidRPr="0025363A" w:rsidRDefault="0025363A" w:rsidP="00E13D3D">
      <w:pPr>
        <w:pStyle w:val="TOC3"/>
        <w:tabs>
          <w:tab w:val="left" w:pos="800"/>
        </w:tabs>
        <w:rPr>
          <w:rStyle w:val="Hyperlink"/>
          <w:rFonts w:eastAsiaTheme="minorEastAsia" w:cs="Arial"/>
          <w:b w:val="0"/>
          <w:noProof/>
          <w:sz w:val="22"/>
          <w:szCs w:val="22"/>
        </w:rPr>
      </w:pPr>
      <w:r>
        <w:rPr>
          <w:rFonts w:cs="Arial"/>
          <w:b w:val="0"/>
          <w:noProof/>
        </w:rPr>
        <w:fldChar w:fldCharType="end"/>
      </w:r>
      <w:r>
        <w:rPr>
          <w:rFonts w:cs="Arial"/>
          <w:b w:val="0"/>
          <w:noProof/>
        </w:rPr>
        <w:fldChar w:fldCharType="begin"/>
      </w:r>
      <w:r>
        <w:rPr>
          <w:rFonts w:cs="Arial"/>
          <w:b w:val="0"/>
          <w:noProof/>
        </w:rPr>
        <w:instrText xml:space="preserve"> HYPERLINK  \l "ARC_EntityResourceStatement" </w:instrText>
      </w:r>
      <w:r>
        <w:rPr>
          <w:rFonts w:cs="Arial"/>
          <w:b w:val="0"/>
          <w:noProof/>
        </w:rPr>
      </w:r>
      <w:r>
        <w:rPr>
          <w:rFonts w:cs="Arial"/>
          <w:b w:val="0"/>
          <w:noProof/>
        </w:rPr>
        <w:fldChar w:fldCharType="separate"/>
      </w:r>
      <w:r w:rsidR="00E13D3D" w:rsidRPr="0025363A">
        <w:rPr>
          <w:rStyle w:val="Hyperlink"/>
          <w:rFonts w:cs="Arial"/>
          <w:b w:val="0"/>
          <w:noProof/>
        </w:rPr>
        <w:t>1.2</w:t>
      </w:r>
      <w:r w:rsidR="00E13D3D" w:rsidRPr="0025363A">
        <w:rPr>
          <w:rStyle w:val="Hyperlink"/>
          <w:rFonts w:eastAsiaTheme="minorEastAsia" w:cs="Arial"/>
          <w:b w:val="0"/>
          <w:noProof/>
          <w:sz w:val="22"/>
          <w:szCs w:val="22"/>
        </w:rPr>
        <w:tab/>
      </w:r>
      <w:r w:rsidR="00E13D3D" w:rsidRPr="0025363A">
        <w:rPr>
          <w:rStyle w:val="Hyperlink"/>
          <w:rFonts w:cs="Arial"/>
          <w:b w:val="0"/>
          <w:noProof/>
        </w:rPr>
        <w:t>Entity resource statement</w:t>
      </w:r>
      <w:r w:rsidR="00E13D3D" w:rsidRPr="0025363A">
        <w:rPr>
          <w:rStyle w:val="Hyperlink"/>
          <w:rFonts w:cs="Arial"/>
          <w:b w:val="0"/>
          <w:noProof/>
          <w:webHidden/>
        </w:rPr>
        <w:tab/>
      </w:r>
      <w:r w:rsidR="00222C69" w:rsidRPr="0025363A">
        <w:rPr>
          <w:rStyle w:val="Hyperlink"/>
          <w:rFonts w:cs="Arial"/>
          <w:b w:val="0"/>
          <w:bCs/>
          <w:noProof/>
          <w:webHidden/>
        </w:rPr>
        <w:fldChar w:fldCharType="begin"/>
      </w:r>
      <w:r w:rsidR="00222C69" w:rsidRPr="0025363A">
        <w:rPr>
          <w:rStyle w:val="Hyperlink"/>
          <w:rFonts w:cs="Arial"/>
          <w:b w:val="0"/>
          <w:bCs/>
          <w:noProof/>
          <w:webHidden/>
        </w:rPr>
        <w:instrText xml:space="preserve"> PAGEREF  ARC_EntityResourceStatement  \* MERGEFORMAT </w:instrText>
      </w:r>
      <w:r w:rsidR="00222C69" w:rsidRPr="0025363A">
        <w:rPr>
          <w:rStyle w:val="Hyperlink"/>
          <w:rFonts w:cs="Arial"/>
          <w:b w:val="0"/>
          <w:bCs/>
          <w:noProof/>
          <w:webHidden/>
        </w:rPr>
        <w:fldChar w:fldCharType="separate"/>
      </w:r>
      <w:r w:rsidR="004D64CD">
        <w:rPr>
          <w:rStyle w:val="Hyperlink"/>
          <w:rFonts w:cs="Arial"/>
          <w:b w:val="0"/>
          <w:bCs/>
          <w:noProof/>
          <w:webHidden/>
        </w:rPr>
        <w:t>7</w:t>
      </w:r>
      <w:r w:rsidR="00222C69" w:rsidRPr="0025363A">
        <w:rPr>
          <w:rStyle w:val="Hyperlink"/>
          <w:rFonts w:cs="Arial"/>
          <w:b w:val="0"/>
          <w:bCs/>
          <w:noProof/>
          <w:webHidden/>
        </w:rPr>
        <w:fldChar w:fldCharType="end"/>
      </w:r>
    </w:p>
    <w:p w14:paraId="21A57D17" w14:textId="19176372" w:rsidR="00E13D3D" w:rsidRPr="0025363A" w:rsidRDefault="0025363A" w:rsidP="00E13D3D">
      <w:pPr>
        <w:pStyle w:val="TOC3"/>
        <w:tabs>
          <w:tab w:val="left" w:pos="800"/>
        </w:tabs>
        <w:rPr>
          <w:rStyle w:val="Hyperlink"/>
          <w:rFonts w:eastAsiaTheme="minorEastAsia" w:cs="Arial"/>
          <w:b w:val="0"/>
          <w:noProof/>
          <w:sz w:val="22"/>
          <w:szCs w:val="22"/>
        </w:rPr>
      </w:pPr>
      <w:r>
        <w:rPr>
          <w:rFonts w:cs="Arial"/>
          <w:b w:val="0"/>
          <w:noProof/>
        </w:rPr>
        <w:fldChar w:fldCharType="end"/>
      </w:r>
      <w:r>
        <w:rPr>
          <w:rFonts w:cs="Arial"/>
          <w:b w:val="0"/>
          <w:noProof/>
        </w:rPr>
        <w:fldChar w:fldCharType="begin"/>
      </w:r>
      <w:r>
        <w:rPr>
          <w:rFonts w:cs="Arial"/>
          <w:b w:val="0"/>
          <w:noProof/>
        </w:rPr>
        <w:instrText xml:space="preserve"> HYPERLINK  \l "ARC_BudgetMeasures" </w:instrText>
      </w:r>
      <w:r>
        <w:rPr>
          <w:rFonts w:cs="Arial"/>
          <w:b w:val="0"/>
          <w:noProof/>
        </w:rPr>
      </w:r>
      <w:r>
        <w:rPr>
          <w:rFonts w:cs="Arial"/>
          <w:b w:val="0"/>
          <w:noProof/>
        </w:rPr>
        <w:fldChar w:fldCharType="separate"/>
      </w:r>
      <w:r w:rsidR="00E13D3D" w:rsidRPr="0025363A">
        <w:rPr>
          <w:rStyle w:val="Hyperlink"/>
          <w:rFonts w:cs="Arial"/>
          <w:b w:val="0"/>
          <w:noProof/>
        </w:rPr>
        <w:t>1.3</w:t>
      </w:r>
      <w:r w:rsidR="00E13D3D" w:rsidRPr="0025363A">
        <w:rPr>
          <w:rStyle w:val="Hyperlink"/>
          <w:rFonts w:eastAsiaTheme="minorEastAsia" w:cs="Arial"/>
          <w:b w:val="0"/>
          <w:noProof/>
          <w:sz w:val="22"/>
          <w:szCs w:val="22"/>
        </w:rPr>
        <w:tab/>
      </w:r>
      <w:r w:rsidR="00E13D3D" w:rsidRPr="0025363A">
        <w:rPr>
          <w:rStyle w:val="Hyperlink"/>
          <w:rFonts w:cs="Arial"/>
          <w:b w:val="0"/>
          <w:noProof/>
        </w:rPr>
        <w:t>Budget measures</w:t>
      </w:r>
      <w:r w:rsidR="00E13D3D" w:rsidRPr="0025363A">
        <w:rPr>
          <w:rStyle w:val="Hyperlink"/>
          <w:rFonts w:cs="Arial"/>
          <w:b w:val="0"/>
          <w:noProof/>
          <w:webHidden/>
        </w:rPr>
        <w:tab/>
      </w:r>
      <w:r w:rsidR="00222C69" w:rsidRPr="0025363A">
        <w:rPr>
          <w:rStyle w:val="Hyperlink"/>
          <w:rFonts w:cs="Arial"/>
          <w:b w:val="0"/>
          <w:bCs/>
          <w:noProof/>
          <w:webHidden/>
        </w:rPr>
        <w:fldChar w:fldCharType="begin"/>
      </w:r>
      <w:r w:rsidR="00222C69" w:rsidRPr="0025363A">
        <w:rPr>
          <w:rStyle w:val="Hyperlink"/>
          <w:rFonts w:cs="Arial"/>
          <w:b w:val="0"/>
          <w:bCs/>
          <w:noProof/>
          <w:webHidden/>
        </w:rPr>
        <w:instrText xml:space="preserve"> PAGEREF  ARC_BudgetMeasures  \* MERGEFORMAT </w:instrText>
      </w:r>
      <w:r w:rsidR="00222C69" w:rsidRPr="0025363A">
        <w:rPr>
          <w:rStyle w:val="Hyperlink"/>
          <w:rFonts w:cs="Arial"/>
          <w:b w:val="0"/>
          <w:bCs/>
          <w:noProof/>
          <w:webHidden/>
        </w:rPr>
        <w:fldChar w:fldCharType="separate"/>
      </w:r>
      <w:r w:rsidR="004D64CD">
        <w:rPr>
          <w:rStyle w:val="Hyperlink"/>
          <w:rFonts w:cs="Arial"/>
          <w:b w:val="0"/>
          <w:bCs/>
          <w:noProof/>
          <w:webHidden/>
        </w:rPr>
        <w:t>9</w:t>
      </w:r>
      <w:r w:rsidR="00222C69" w:rsidRPr="0025363A">
        <w:rPr>
          <w:rStyle w:val="Hyperlink"/>
          <w:rFonts w:cs="Arial"/>
          <w:b w:val="0"/>
          <w:bCs/>
          <w:noProof/>
          <w:webHidden/>
        </w:rPr>
        <w:fldChar w:fldCharType="end"/>
      </w:r>
    </w:p>
    <w:p w14:paraId="64BC8C95" w14:textId="5280A594" w:rsidR="00E13D3D" w:rsidRPr="00B032F3" w:rsidRDefault="0025363A" w:rsidP="00E13D3D">
      <w:pPr>
        <w:pStyle w:val="TOC2"/>
        <w:rPr>
          <w:rStyle w:val="Hyperlink"/>
          <w:rFonts w:eastAsiaTheme="minorEastAsia" w:cs="Arial"/>
          <w:b/>
          <w:bCs/>
          <w:noProof/>
          <w:sz w:val="22"/>
          <w:szCs w:val="22"/>
        </w:rPr>
      </w:pPr>
      <w:r>
        <w:rPr>
          <w:rFonts w:cs="Arial"/>
          <w:noProof/>
        </w:rPr>
        <w:fldChar w:fldCharType="end"/>
      </w:r>
      <w:r w:rsidR="00B032F3">
        <w:rPr>
          <w:rFonts w:cs="Arial"/>
          <w:b/>
          <w:bCs/>
          <w:noProof/>
        </w:rPr>
        <w:fldChar w:fldCharType="begin"/>
      </w:r>
      <w:r w:rsidR="00B032F3">
        <w:rPr>
          <w:rFonts w:cs="Arial"/>
          <w:b/>
          <w:bCs/>
          <w:noProof/>
        </w:rPr>
        <w:instrText xml:space="preserve"> HYPERLINK  \l "ARC_OutcomesandPlannedPerformance" </w:instrText>
      </w:r>
      <w:r w:rsidR="00B032F3">
        <w:rPr>
          <w:rFonts w:cs="Arial"/>
          <w:b/>
          <w:bCs/>
          <w:noProof/>
        </w:rPr>
      </w:r>
      <w:r w:rsidR="00B032F3">
        <w:rPr>
          <w:rFonts w:cs="Arial"/>
          <w:b/>
          <w:bCs/>
          <w:noProof/>
        </w:rPr>
        <w:fldChar w:fldCharType="separate"/>
      </w:r>
      <w:r w:rsidR="00E13D3D" w:rsidRPr="00B032F3">
        <w:rPr>
          <w:rStyle w:val="Hyperlink"/>
          <w:rFonts w:cs="Arial"/>
          <w:b/>
          <w:bCs/>
          <w:noProof/>
        </w:rPr>
        <w:t>S</w:t>
      </w:r>
      <w:r w:rsidR="00C05846" w:rsidRPr="00B032F3">
        <w:rPr>
          <w:rStyle w:val="Hyperlink"/>
          <w:rFonts w:cs="Arial"/>
          <w:b/>
          <w:bCs/>
          <w:noProof/>
        </w:rPr>
        <w:t>ECTION 2: OUTCOMES AND PLANNED PERFORMANCE</w:t>
      </w:r>
      <w:r w:rsidR="00E13D3D" w:rsidRPr="00B032F3">
        <w:rPr>
          <w:rStyle w:val="Hyperlink"/>
          <w:rFonts w:cs="Arial"/>
          <w:b/>
          <w:bCs/>
          <w:noProof/>
          <w:webHidden/>
        </w:rPr>
        <w:tab/>
      </w:r>
      <w:r w:rsidR="00F93CD3" w:rsidRPr="00B032F3">
        <w:rPr>
          <w:rStyle w:val="Hyperlink"/>
          <w:rFonts w:cs="Arial"/>
          <w:b/>
          <w:bCs/>
          <w:noProof/>
          <w:webHidden/>
        </w:rPr>
        <w:fldChar w:fldCharType="begin"/>
      </w:r>
      <w:r w:rsidR="00F93CD3" w:rsidRPr="00B032F3">
        <w:rPr>
          <w:rStyle w:val="Hyperlink"/>
          <w:rFonts w:cs="Arial"/>
          <w:b/>
          <w:bCs/>
          <w:noProof/>
          <w:webHidden/>
        </w:rPr>
        <w:instrText xml:space="preserve"> PAGEREF  ARC_OutcomesandPlannedPerformance  \* MERGEFORMAT </w:instrText>
      </w:r>
      <w:r w:rsidR="00F93CD3" w:rsidRPr="00B032F3">
        <w:rPr>
          <w:rStyle w:val="Hyperlink"/>
          <w:rFonts w:cs="Arial"/>
          <w:b/>
          <w:bCs/>
          <w:noProof/>
          <w:webHidden/>
        </w:rPr>
        <w:fldChar w:fldCharType="separate"/>
      </w:r>
      <w:r w:rsidR="00BB6E78">
        <w:rPr>
          <w:rStyle w:val="Hyperlink"/>
          <w:rFonts w:cs="Arial"/>
          <w:b/>
          <w:bCs/>
          <w:noProof/>
          <w:webHidden/>
        </w:rPr>
        <w:t>1</w:t>
      </w:r>
      <w:r w:rsidR="004D64CD">
        <w:rPr>
          <w:rStyle w:val="Hyperlink"/>
          <w:rFonts w:cs="Arial"/>
          <w:b/>
          <w:bCs/>
          <w:noProof/>
          <w:webHidden/>
        </w:rPr>
        <w:t>0</w:t>
      </w:r>
      <w:r w:rsidR="00F93CD3" w:rsidRPr="00B032F3">
        <w:rPr>
          <w:rStyle w:val="Hyperlink"/>
          <w:rFonts w:cs="Arial"/>
          <w:b/>
          <w:bCs/>
          <w:noProof/>
          <w:webHidden/>
        </w:rPr>
        <w:fldChar w:fldCharType="end"/>
      </w:r>
    </w:p>
    <w:p w14:paraId="306A16EF" w14:textId="5EB0C157" w:rsidR="00E13D3D" w:rsidRPr="00B032F3" w:rsidRDefault="00B032F3" w:rsidP="00E13D3D">
      <w:pPr>
        <w:pStyle w:val="TOC3"/>
        <w:tabs>
          <w:tab w:val="left" w:pos="800"/>
        </w:tabs>
        <w:rPr>
          <w:rStyle w:val="Hyperlink"/>
          <w:rFonts w:eastAsiaTheme="minorEastAsia" w:cs="Arial"/>
          <w:b w:val="0"/>
          <w:noProof/>
          <w:sz w:val="22"/>
          <w:szCs w:val="22"/>
        </w:rPr>
      </w:pPr>
      <w:r>
        <w:rPr>
          <w:rFonts w:cs="Arial"/>
          <w:bCs/>
          <w:noProof/>
        </w:rPr>
        <w:fldChar w:fldCharType="end"/>
      </w:r>
      <w:r>
        <w:rPr>
          <w:rFonts w:cs="Arial"/>
          <w:b w:val="0"/>
          <w:noProof/>
        </w:rPr>
        <w:fldChar w:fldCharType="begin"/>
      </w:r>
      <w:r>
        <w:rPr>
          <w:rFonts w:cs="Arial"/>
          <w:b w:val="0"/>
          <w:noProof/>
        </w:rPr>
        <w:instrText xml:space="preserve"> HYPERLINK  \l "ARC_Outcome1BudgetedExpensesandPlannedP" </w:instrText>
      </w:r>
      <w:r>
        <w:rPr>
          <w:rFonts w:cs="Arial"/>
          <w:b w:val="0"/>
          <w:noProof/>
        </w:rPr>
      </w:r>
      <w:r>
        <w:rPr>
          <w:rFonts w:cs="Arial"/>
          <w:b w:val="0"/>
          <w:noProof/>
        </w:rPr>
        <w:fldChar w:fldCharType="separate"/>
      </w:r>
      <w:r w:rsidR="00E13D3D" w:rsidRPr="00B032F3">
        <w:rPr>
          <w:rStyle w:val="Hyperlink"/>
          <w:rFonts w:cs="Arial"/>
          <w:b w:val="0"/>
          <w:noProof/>
        </w:rPr>
        <w:t xml:space="preserve">2.1 </w:t>
      </w:r>
      <w:r w:rsidR="00E13D3D" w:rsidRPr="00B032F3">
        <w:rPr>
          <w:rStyle w:val="Hyperlink"/>
          <w:rFonts w:eastAsiaTheme="minorEastAsia" w:cs="Arial"/>
          <w:b w:val="0"/>
          <w:noProof/>
          <w:sz w:val="22"/>
          <w:szCs w:val="22"/>
        </w:rPr>
        <w:tab/>
      </w:r>
      <w:r w:rsidR="00E13D3D" w:rsidRPr="00B032F3">
        <w:rPr>
          <w:rStyle w:val="Hyperlink"/>
          <w:rFonts w:cs="Arial"/>
          <w:b w:val="0"/>
          <w:noProof/>
        </w:rPr>
        <w:t>Budgeted expenses and performance for Outcome 1</w:t>
      </w:r>
      <w:r w:rsidR="00E13D3D" w:rsidRPr="00B032F3">
        <w:rPr>
          <w:rStyle w:val="Hyperlink"/>
          <w:rFonts w:cs="Arial"/>
          <w:b w:val="0"/>
          <w:noProof/>
          <w:webHidden/>
        </w:rPr>
        <w:tab/>
      </w:r>
      <w:r w:rsidR="00F93CD3" w:rsidRPr="00B032F3">
        <w:rPr>
          <w:rStyle w:val="Hyperlink"/>
          <w:rFonts w:cs="Arial"/>
          <w:b w:val="0"/>
          <w:bCs/>
          <w:noProof/>
          <w:webHidden/>
        </w:rPr>
        <w:fldChar w:fldCharType="begin"/>
      </w:r>
      <w:r w:rsidR="00F93CD3" w:rsidRPr="00B032F3">
        <w:rPr>
          <w:rStyle w:val="Hyperlink"/>
          <w:rFonts w:cs="Arial"/>
          <w:b w:val="0"/>
          <w:bCs/>
          <w:noProof/>
          <w:webHidden/>
        </w:rPr>
        <w:instrText xml:space="preserve"> PAGEREF  ARC_Outcome1BudgetedExpensesandPlannedP  \* MERGEFORMAT </w:instrText>
      </w:r>
      <w:r w:rsidR="00F93CD3" w:rsidRPr="00B032F3">
        <w:rPr>
          <w:rStyle w:val="Hyperlink"/>
          <w:rFonts w:cs="Arial"/>
          <w:b w:val="0"/>
          <w:bCs/>
          <w:noProof/>
          <w:webHidden/>
        </w:rPr>
        <w:fldChar w:fldCharType="separate"/>
      </w:r>
      <w:r w:rsidR="00BB6E78">
        <w:rPr>
          <w:rStyle w:val="Hyperlink"/>
          <w:rFonts w:cs="Arial"/>
          <w:b w:val="0"/>
          <w:bCs/>
          <w:noProof/>
          <w:webHidden/>
        </w:rPr>
        <w:t>1</w:t>
      </w:r>
      <w:r w:rsidR="004D64CD">
        <w:rPr>
          <w:rStyle w:val="Hyperlink"/>
          <w:rFonts w:cs="Arial"/>
          <w:b w:val="0"/>
          <w:bCs/>
          <w:noProof/>
          <w:webHidden/>
        </w:rPr>
        <w:t>1</w:t>
      </w:r>
      <w:r w:rsidR="00F93CD3" w:rsidRPr="00B032F3">
        <w:rPr>
          <w:rStyle w:val="Hyperlink"/>
          <w:rFonts w:cs="Arial"/>
          <w:b w:val="0"/>
          <w:bCs/>
          <w:noProof/>
          <w:webHidden/>
        </w:rPr>
        <w:fldChar w:fldCharType="end"/>
      </w:r>
    </w:p>
    <w:p w14:paraId="70FE8A64" w14:textId="0545E7BE" w:rsidR="00E13D3D" w:rsidRPr="00B032F3" w:rsidRDefault="00B032F3" w:rsidP="00E13D3D">
      <w:pPr>
        <w:pStyle w:val="TOC2"/>
        <w:rPr>
          <w:rStyle w:val="Hyperlink"/>
          <w:rFonts w:eastAsiaTheme="minorEastAsia" w:cs="Arial"/>
          <w:b/>
          <w:bCs/>
          <w:noProof/>
          <w:sz w:val="22"/>
          <w:szCs w:val="22"/>
        </w:rPr>
      </w:pPr>
      <w:r>
        <w:rPr>
          <w:rFonts w:cs="Arial"/>
          <w:noProof/>
        </w:rPr>
        <w:fldChar w:fldCharType="end"/>
      </w:r>
      <w:r>
        <w:rPr>
          <w:rFonts w:cs="Arial"/>
          <w:b/>
          <w:bCs/>
          <w:noProof/>
        </w:rPr>
        <w:fldChar w:fldCharType="begin"/>
      </w:r>
      <w:r>
        <w:rPr>
          <w:rFonts w:cs="Arial"/>
          <w:b/>
          <w:bCs/>
          <w:noProof/>
        </w:rPr>
        <w:instrText xml:space="preserve"> HYPERLINK  \l "ASQA_BudgetedFinancialStatements" </w:instrText>
      </w:r>
      <w:r>
        <w:rPr>
          <w:rFonts w:cs="Arial"/>
          <w:b/>
          <w:bCs/>
          <w:noProof/>
        </w:rPr>
      </w:r>
      <w:r>
        <w:rPr>
          <w:rFonts w:cs="Arial"/>
          <w:b/>
          <w:bCs/>
          <w:noProof/>
        </w:rPr>
        <w:fldChar w:fldCharType="separate"/>
      </w:r>
      <w:r w:rsidR="00E13D3D" w:rsidRPr="00B032F3">
        <w:rPr>
          <w:rStyle w:val="Hyperlink"/>
          <w:rFonts w:cs="Arial"/>
          <w:b/>
          <w:bCs/>
          <w:noProof/>
        </w:rPr>
        <w:t>S</w:t>
      </w:r>
      <w:r w:rsidR="00C05846" w:rsidRPr="00B032F3">
        <w:rPr>
          <w:rStyle w:val="Hyperlink"/>
          <w:rFonts w:cs="Arial"/>
          <w:b/>
          <w:bCs/>
          <w:noProof/>
        </w:rPr>
        <w:t>ECTION 3: BUDGETED FINANCIAL STATEMENTS</w:t>
      </w:r>
      <w:r w:rsidR="00E13D3D" w:rsidRPr="00B032F3">
        <w:rPr>
          <w:rStyle w:val="Hyperlink"/>
          <w:rFonts w:cs="Arial"/>
          <w:b/>
          <w:bCs/>
          <w:noProof/>
          <w:webHidden/>
        </w:rPr>
        <w:tab/>
      </w:r>
      <w:r w:rsidR="00334859" w:rsidRPr="00B032F3">
        <w:rPr>
          <w:rStyle w:val="Hyperlink"/>
          <w:rFonts w:cs="Arial"/>
          <w:b/>
          <w:bCs/>
          <w:noProof/>
          <w:webHidden/>
        </w:rPr>
        <w:fldChar w:fldCharType="begin"/>
      </w:r>
      <w:r w:rsidR="00334859" w:rsidRPr="00B032F3">
        <w:rPr>
          <w:rStyle w:val="Hyperlink"/>
          <w:rFonts w:cs="Arial"/>
          <w:b/>
          <w:bCs/>
          <w:noProof/>
          <w:webHidden/>
        </w:rPr>
        <w:instrText xml:space="preserve"> PAGEREF  ARC_BudgetedFinancialStatements  \* MERGEFORMAT </w:instrText>
      </w:r>
      <w:r w:rsidR="00334859" w:rsidRPr="00B032F3">
        <w:rPr>
          <w:rStyle w:val="Hyperlink"/>
          <w:rFonts w:cs="Arial"/>
          <w:b/>
          <w:bCs/>
          <w:noProof/>
          <w:webHidden/>
        </w:rPr>
        <w:fldChar w:fldCharType="separate"/>
      </w:r>
      <w:r w:rsidR="004D64CD">
        <w:rPr>
          <w:rStyle w:val="Hyperlink"/>
          <w:rFonts w:cs="Arial"/>
          <w:b/>
          <w:bCs/>
          <w:noProof/>
          <w:webHidden/>
        </w:rPr>
        <w:t>20</w:t>
      </w:r>
      <w:r w:rsidR="00334859" w:rsidRPr="00B032F3">
        <w:rPr>
          <w:rStyle w:val="Hyperlink"/>
          <w:rFonts w:cs="Arial"/>
          <w:b/>
          <w:bCs/>
          <w:noProof/>
          <w:webHidden/>
        </w:rPr>
        <w:fldChar w:fldCharType="end"/>
      </w:r>
    </w:p>
    <w:p w14:paraId="701007AD" w14:textId="71841237" w:rsidR="00E13D3D" w:rsidRPr="00B032F3" w:rsidRDefault="00B032F3" w:rsidP="00E13D3D">
      <w:pPr>
        <w:pStyle w:val="TOC3"/>
        <w:tabs>
          <w:tab w:val="left" w:pos="800"/>
        </w:tabs>
        <w:rPr>
          <w:rStyle w:val="Hyperlink"/>
          <w:rFonts w:eastAsiaTheme="minorEastAsia" w:cs="Arial"/>
          <w:b w:val="0"/>
          <w:noProof/>
          <w:sz w:val="22"/>
          <w:szCs w:val="22"/>
        </w:rPr>
      </w:pPr>
      <w:r>
        <w:rPr>
          <w:rFonts w:cs="Arial"/>
          <w:bCs/>
          <w:noProof/>
        </w:rPr>
        <w:fldChar w:fldCharType="end"/>
      </w:r>
      <w:r>
        <w:rPr>
          <w:rFonts w:cs="Arial"/>
          <w:b w:val="0"/>
          <w:noProof/>
        </w:rPr>
        <w:fldChar w:fldCharType="begin"/>
      </w:r>
      <w:r>
        <w:rPr>
          <w:rFonts w:cs="Arial"/>
          <w:b w:val="0"/>
          <w:noProof/>
        </w:rPr>
        <w:instrText xml:space="preserve"> HYPERLINK  \l "ASQA_BudgetedFinancialStatements" </w:instrText>
      </w:r>
      <w:r>
        <w:rPr>
          <w:rFonts w:cs="Arial"/>
          <w:b w:val="0"/>
          <w:noProof/>
        </w:rPr>
      </w:r>
      <w:r>
        <w:rPr>
          <w:rFonts w:cs="Arial"/>
          <w:b w:val="0"/>
          <w:noProof/>
        </w:rPr>
        <w:fldChar w:fldCharType="separate"/>
      </w:r>
      <w:r w:rsidR="00E13D3D" w:rsidRPr="00B032F3">
        <w:rPr>
          <w:rStyle w:val="Hyperlink"/>
          <w:rFonts w:cs="Arial"/>
          <w:b w:val="0"/>
          <w:noProof/>
        </w:rPr>
        <w:t>3.1</w:t>
      </w:r>
      <w:r w:rsidR="00E13D3D" w:rsidRPr="00B032F3">
        <w:rPr>
          <w:rStyle w:val="Hyperlink"/>
          <w:rFonts w:eastAsiaTheme="minorEastAsia" w:cs="Arial"/>
          <w:b w:val="0"/>
          <w:noProof/>
          <w:sz w:val="22"/>
          <w:szCs w:val="22"/>
        </w:rPr>
        <w:tab/>
      </w:r>
      <w:r w:rsidR="00E13D3D" w:rsidRPr="00B032F3">
        <w:rPr>
          <w:rStyle w:val="Hyperlink"/>
          <w:rFonts w:cs="Arial"/>
          <w:b w:val="0"/>
          <w:noProof/>
        </w:rPr>
        <w:t>Budgeted financial statements</w:t>
      </w:r>
      <w:r w:rsidR="00E13D3D" w:rsidRPr="00B032F3">
        <w:rPr>
          <w:rStyle w:val="Hyperlink"/>
          <w:rFonts w:cs="Arial"/>
          <w:b w:val="0"/>
          <w:noProof/>
          <w:webHidden/>
        </w:rPr>
        <w:tab/>
      </w:r>
      <w:r w:rsidR="004439E1" w:rsidRPr="00B032F3">
        <w:rPr>
          <w:rStyle w:val="Hyperlink"/>
          <w:rFonts w:cs="Arial"/>
          <w:b w:val="0"/>
          <w:bCs/>
          <w:noProof/>
          <w:webHidden/>
        </w:rPr>
        <w:fldChar w:fldCharType="begin"/>
      </w:r>
      <w:r w:rsidR="004439E1" w:rsidRPr="00B032F3">
        <w:rPr>
          <w:rStyle w:val="Hyperlink"/>
          <w:rFonts w:cs="Arial"/>
          <w:b w:val="0"/>
          <w:bCs/>
          <w:noProof/>
          <w:webHidden/>
        </w:rPr>
        <w:instrText xml:space="preserve"> PAGEREF  ARC_BudgetedFinancialStatements  \* MERGEFORMAT </w:instrText>
      </w:r>
      <w:r w:rsidR="004439E1" w:rsidRPr="00B032F3">
        <w:rPr>
          <w:rStyle w:val="Hyperlink"/>
          <w:rFonts w:cs="Arial"/>
          <w:b w:val="0"/>
          <w:bCs/>
          <w:noProof/>
          <w:webHidden/>
        </w:rPr>
        <w:fldChar w:fldCharType="separate"/>
      </w:r>
      <w:r w:rsidR="004D64CD">
        <w:rPr>
          <w:rStyle w:val="Hyperlink"/>
          <w:rFonts w:cs="Arial"/>
          <w:b w:val="0"/>
          <w:bCs/>
          <w:noProof/>
          <w:webHidden/>
        </w:rPr>
        <w:t>20</w:t>
      </w:r>
      <w:r w:rsidR="004439E1" w:rsidRPr="00B032F3">
        <w:rPr>
          <w:rStyle w:val="Hyperlink"/>
          <w:rFonts w:cs="Arial"/>
          <w:b w:val="0"/>
          <w:bCs/>
          <w:noProof/>
          <w:webHidden/>
        </w:rPr>
        <w:fldChar w:fldCharType="end"/>
      </w:r>
    </w:p>
    <w:p w14:paraId="320360AC" w14:textId="413199CF" w:rsidR="00E13D3D" w:rsidRPr="00B032F3" w:rsidRDefault="00B032F3" w:rsidP="00E13D3D">
      <w:pPr>
        <w:pStyle w:val="TOC3"/>
        <w:tabs>
          <w:tab w:val="left" w:pos="800"/>
        </w:tabs>
        <w:rPr>
          <w:rStyle w:val="Hyperlink"/>
          <w:rFonts w:eastAsiaTheme="minorEastAsia" w:cs="Arial"/>
          <w:b w:val="0"/>
          <w:noProof/>
          <w:sz w:val="22"/>
          <w:szCs w:val="22"/>
        </w:rPr>
      </w:pPr>
      <w:r>
        <w:rPr>
          <w:rFonts w:cs="Arial"/>
          <w:b w:val="0"/>
          <w:noProof/>
        </w:rPr>
        <w:fldChar w:fldCharType="end"/>
      </w:r>
      <w:r>
        <w:rPr>
          <w:rFonts w:cs="Arial"/>
          <w:b w:val="0"/>
          <w:noProof/>
        </w:rPr>
        <w:fldChar w:fldCharType="begin"/>
      </w:r>
      <w:r>
        <w:rPr>
          <w:rFonts w:cs="Arial"/>
          <w:b w:val="0"/>
          <w:noProof/>
        </w:rPr>
        <w:instrText xml:space="preserve"> HYPERLINK  \l "ARC_TablesBudgetedFinancialStatements" </w:instrText>
      </w:r>
      <w:r>
        <w:rPr>
          <w:rFonts w:cs="Arial"/>
          <w:b w:val="0"/>
          <w:noProof/>
        </w:rPr>
      </w:r>
      <w:r>
        <w:rPr>
          <w:rFonts w:cs="Arial"/>
          <w:b w:val="0"/>
          <w:noProof/>
        </w:rPr>
        <w:fldChar w:fldCharType="separate"/>
      </w:r>
      <w:r w:rsidR="00E13D3D" w:rsidRPr="00B032F3">
        <w:rPr>
          <w:rStyle w:val="Hyperlink"/>
          <w:rFonts w:cs="Arial"/>
          <w:b w:val="0"/>
          <w:noProof/>
        </w:rPr>
        <w:t>3.2</w:t>
      </w:r>
      <w:r w:rsidR="00E13D3D" w:rsidRPr="00B032F3">
        <w:rPr>
          <w:rStyle w:val="Hyperlink"/>
          <w:rFonts w:eastAsiaTheme="minorEastAsia" w:cs="Arial"/>
          <w:b w:val="0"/>
          <w:noProof/>
          <w:sz w:val="22"/>
          <w:szCs w:val="22"/>
        </w:rPr>
        <w:tab/>
      </w:r>
      <w:r w:rsidR="00E13D3D" w:rsidRPr="00B032F3">
        <w:rPr>
          <w:rStyle w:val="Hyperlink"/>
          <w:rFonts w:cs="Arial"/>
          <w:b w:val="0"/>
          <w:noProof/>
        </w:rPr>
        <w:t>Budgeted financial statements tables</w:t>
      </w:r>
      <w:r w:rsidR="00E13D3D" w:rsidRPr="00B032F3">
        <w:rPr>
          <w:rStyle w:val="Hyperlink"/>
          <w:rFonts w:cs="Arial"/>
          <w:b w:val="0"/>
          <w:noProof/>
          <w:webHidden/>
        </w:rPr>
        <w:tab/>
      </w:r>
      <w:r w:rsidR="004439E1" w:rsidRPr="00B032F3">
        <w:rPr>
          <w:rStyle w:val="Hyperlink"/>
          <w:rFonts w:cs="Arial"/>
          <w:b w:val="0"/>
          <w:bCs/>
          <w:noProof/>
          <w:webHidden/>
        </w:rPr>
        <w:fldChar w:fldCharType="begin"/>
      </w:r>
      <w:r w:rsidR="004439E1" w:rsidRPr="00B032F3">
        <w:rPr>
          <w:rStyle w:val="Hyperlink"/>
          <w:rFonts w:cs="Arial"/>
          <w:b w:val="0"/>
          <w:bCs/>
          <w:noProof/>
          <w:webHidden/>
        </w:rPr>
        <w:instrText xml:space="preserve"> PAGEREF  ARC_TablesBudgetedFinancialStatements  \* MERGEFORMAT </w:instrText>
      </w:r>
      <w:r w:rsidR="004439E1" w:rsidRPr="00B032F3">
        <w:rPr>
          <w:rStyle w:val="Hyperlink"/>
          <w:rFonts w:cs="Arial"/>
          <w:b w:val="0"/>
          <w:bCs/>
          <w:noProof/>
          <w:webHidden/>
        </w:rPr>
        <w:fldChar w:fldCharType="separate"/>
      </w:r>
      <w:r w:rsidR="004D64CD">
        <w:rPr>
          <w:rStyle w:val="Hyperlink"/>
          <w:rFonts w:cs="Arial"/>
          <w:b w:val="0"/>
          <w:bCs/>
          <w:noProof/>
          <w:webHidden/>
        </w:rPr>
        <w:t>21</w:t>
      </w:r>
      <w:r w:rsidR="004439E1" w:rsidRPr="00B032F3">
        <w:rPr>
          <w:rStyle w:val="Hyperlink"/>
          <w:rFonts w:cs="Arial"/>
          <w:b w:val="0"/>
          <w:bCs/>
          <w:noProof/>
          <w:webHidden/>
        </w:rPr>
        <w:fldChar w:fldCharType="end"/>
      </w:r>
    </w:p>
    <w:p w14:paraId="2F1738BE" w14:textId="1FE3DC9C" w:rsidR="00EF6B71" w:rsidRDefault="00B032F3" w:rsidP="00EF6B71">
      <w:pPr>
        <w:rPr>
          <w:rFonts w:ascii="Arial" w:hAnsi="Arial" w:cs="Arial"/>
          <w:noProof/>
        </w:rPr>
        <w:sectPr w:rsidR="00EF6B71" w:rsidSect="00CF5D8B">
          <w:footerReference w:type="first" r:id="rId13"/>
          <w:type w:val="oddPage"/>
          <w:pgSz w:w="11906" w:h="16838"/>
          <w:pgMar w:top="2466" w:right="2125" w:bottom="2466" w:left="2098" w:header="1899" w:footer="1899" w:gutter="0"/>
          <w:cols w:space="720"/>
          <w:titlePg/>
          <w:docGrid w:linePitch="272"/>
        </w:sectPr>
      </w:pPr>
      <w:r>
        <w:rPr>
          <w:rFonts w:ascii="Arial" w:hAnsi="Arial" w:cs="Arial"/>
          <w:noProof/>
        </w:rPr>
        <w:fldChar w:fldCharType="end"/>
      </w:r>
      <w:r w:rsidR="00E13D3D">
        <w:rPr>
          <w:rFonts w:ascii="Arial" w:hAnsi="Arial" w:cs="Arial"/>
          <w:noProof/>
        </w:rPr>
        <w:fldChar w:fldCharType="end"/>
      </w:r>
      <w:bookmarkStart w:id="9" w:name="ARC_1_2"/>
    </w:p>
    <w:p w14:paraId="11813094" w14:textId="77777777" w:rsidR="00EF6B71" w:rsidRDefault="00EF6B71" w:rsidP="00E13D3D">
      <w:pPr>
        <w:pStyle w:val="BodyText"/>
        <w:jc w:val="center"/>
        <w:rPr>
          <w:rFonts w:ascii="Arial" w:hAnsi="Arial" w:cs="Arial"/>
          <w:b/>
          <w:sz w:val="34"/>
          <w:szCs w:val="34"/>
        </w:rPr>
        <w:sectPr w:rsidR="00EF6B71" w:rsidSect="00285279">
          <w:headerReference w:type="default" r:id="rId14"/>
          <w:type w:val="continuous"/>
          <w:pgSz w:w="11906" w:h="16838"/>
          <w:pgMar w:top="2466" w:right="2125" w:bottom="2466" w:left="2098" w:header="1899" w:footer="1899" w:gutter="0"/>
          <w:cols w:space="720"/>
        </w:sectPr>
      </w:pPr>
    </w:p>
    <w:p w14:paraId="7BCE3EE2" w14:textId="77777777" w:rsidR="00D06E64" w:rsidRDefault="00D06E64" w:rsidP="00E13D3D">
      <w:pPr>
        <w:pStyle w:val="BodyText"/>
        <w:jc w:val="center"/>
        <w:rPr>
          <w:rFonts w:ascii="Arial" w:hAnsi="Arial" w:cs="Arial"/>
          <w:b/>
          <w:sz w:val="34"/>
          <w:szCs w:val="34"/>
        </w:rPr>
        <w:sectPr w:rsidR="00D06E64" w:rsidSect="001C51FF">
          <w:footerReference w:type="default" r:id="rId15"/>
          <w:footerReference w:type="first" r:id="rId16"/>
          <w:type w:val="continuous"/>
          <w:pgSz w:w="11906" w:h="16838" w:code="9"/>
          <w:pgMar w:top="2835" w:right="2098" w:bottom="2466" w:left="2098" w:header="1814" w:footer="1814" w:gutter="0"/>
          <w:cols w:space="708"/>
          <w:docGrid w:linePitch="360"/>
        </w:sectPr>
      </w:pPr>
    </w:p>
    <w:p w14:paraId="09DC6164" w14:textId="06EAE134" w:rsidR="00E13D3D" w:rsidRPr="00BB545B" w:rsidRDefault="00C1451E" w:rsidP="00BB545B">
      <w:pPr>
        <w:pStyle w:val="Heading1"/>
      </w:pPr>
      <w:bookmarkStart w:id="10" w:name="ARC_SDS"/>
      <w:r w:rsidRPr="00BB545B">
        <w:lastRenderedPageBreak/>
        <w:t>Australian Research Council</w:t>
      </w:r>
    </w:p>
    <w:bookmarkEnd w:id="10"/>
    <w:p w14:paraId="6690F199" w14:textId="6FAA4C38" w:rsidR="00C1451E" w:rsidRDefault="00C1451E" w:rsidP="00E13D3D">
      <w:pPr>
        <w:pStyle w:val="BodyText"/>
        <w:spacing w:line="360" w:lineRule="auto"/>
        <w:jc w:val="center"/>
        <w:rPr>
          <w:rFonts w:ascii="Arial" w:hAnsi="Arial" w:cs="Arial"/>
          <w:b/>
          <w:sz w:val="2"/>
          <w:szCs w:val="2"/>
        </w:rPr>
      </w:pPr>
    </w:p>
    <w:p w14:paraId="6191643B" w14:textId="34E2229C" w:rsidR="00C1451E" w:rsidRDefault="00C1451E" w:rsidP="00C1451E">
      <w:pPr>
        <w:pStyle w:val="Heading2"/>
        <w:rPr>
          <w:rFonts w:ascii="Arial" w:hAnsi="Arial" w:cs="Arial"/>
          <w:b w:val="0"/>
          <w:szCs w:val="26"/>
        </w:rPr>
      </w:pPr>
      <w:bookmarkStart w:id="11" w:name="ARC_1_0"/>
      <w:bookmarkStart w:id="12" w:name="_Toc98257443"/>
      <w:r>
        <w:rPr>
          <w:rFonts w:cs="Arial"/>
          <w:b w:val="0"/>
          <w:szCs w:val="26"/>
        </w:rPr>
        <w:t>Section 1: Entity overview and resources</w:t>
      </w:r>
      <w:bookmarkEnd w:id="11"/>
      <w:bookmarkEnd w:id="12"/>
    </w:p>
    <w:p w14:paraId="21BF099F" w14:textId="11184E6C" w:rsidR="00C1451E" w:rsidRDefault="00C1451E" w:rsidP="00C1451E">
      <w:pPr>
        <w:pStyle w:val="Heading3"/>
      </w:pPr>
      <w:bookmarkStart w:id="13" w:name="ARC_1_1"/>
      <w:bookmarkStart w:id="14" w:name="_Toc98257444"/>
      <w:r>
        <w:t>1.1</w:t>
      </w:r>
      <w:r>
        <w:tab/>
        <w:t>Strategic direction statement</w:t>
      </w:r>
      <w:r w:rsidR="00E13D3D">
        <w:t xml:space="preserve"> </w:t>
      </w:r>
      <w:bookmarkEnd w:id="13"/>
      <w:bookmarkEnd w:id="14"/>
    </w:p>
    <w:p w14:paraId="38E0D89A" w14:textId="164C8934" w:rsidR="00E13D3D" w:rsidRDefault="00E13D3D" w:rsidP="00E13D3D">
      <w:pPr>
        <w:rPr>
          <w:rFonts w:cs="Arial"/>
        </w:rPr>
      </w:pPr>
      <w:r>
        <w:rPr>
          <w:rFonts w:cs="Arial"/>
        </w:rPr>
        <w:t xml:space="preserve">The Australian Research Council (ARC) is a non-corporate Commonwealth entity established under the </w:t>
      </w:r>
      <w:r>
        <w:rPr>
          <w:rFonts w:cs="Arial"/>
          <w:i/>
        </w:rPr>
        <w:t>Australian Research Council Act 2001</w:t>
      </w:r>
      <w:r>
        <w:rPr>
          <w:rFonts w:cs="Arial"/>
        </w:rPr>
        <w:t xml:space="preserve">. The ARC is responsible for administering the National Competitive Grants Program (NCGP), assessing the quality, </w:t>
      </w:r>
      <w:proofErr w:type="gramStart"/>
      <w:r>
        <w:rPr>
          <w:rFonts w:cs="Arial"/>
        </w:rPr>
        <w:t>engagement</w:t>
      </w:r>
      <w:proofErr w:type="gramEnd"/>
      <w:r>
        <w:rPr>
          <w:rFonts w:cs="Arial"/>
        </w:rPr>
        <w:t xml:space="preserve"> and impact of research, and providing advice and support on research matters.</w:t>
      </w:r>
    </w:p>
    <w:p w14:paraId="24E25C7F" w14:textId="1F8B3CF1" w:rsidR="00E13D3D" w:rsidRDefault="00E13D3D" w:rsidP="00E13D3D">
      <w:pPr>
        <w:rPr>
          <w:rFonts w:cs="Arial"/>
        </w:rPr>
      </w:pPr>
      <w:r>
        <w:rPr>
          <w:rFonts w:cs="Arial"/>
        </w:rPr>
        <w:t xml:space="preserve">Through the NCGP, the ARC supports excellent research and research training for the benefit of Australians, across all disciplines, awarding funding based on a competitive peer review process. The NCGP comprises two programs, </w:t>
      </w:r>
      <w:proofErr w:type="gramStart"/>
      <w:r>
        <w:rPr>
          <w:rFonts w:cs="Arial"/>
        </w:rPr>
        <w:t>Discovery</w:t>
      </w:r>
      <w:proofErr w:type="gramEnd"/>
      <w:r>
        <w:rPr>
          <w:rFonts w:cs="Arial"/>
        </w:rPr>
        <w:t xml:space="preserve"> and Linkage, which fund a range of complementary schemes that provide funding for basic and applied research, research training, research collaboration and infrastructure.</w:t>
      </w:r>
    </w:p>
    <w:p w14:paraId="1B0331BB" w14:textId="0ECFAEE4" w:rsidR="00E13D3D" w:rsidRDefault="00E13D3D" w:rsidP="00E13D3D">
      <w:pPr>
        <w:rPr>
          <w:rFonts w:cs="Arial"/>
        </w:rPr>
      </w:pPr>
      <w:r>
        <w:rPr>
          <w:rFonts w:cs="Arial"/>
        </w:rPr>
        <w:t>The ARC administers Excellence in Research for Australia (ERA), which assesses research quality by research discipline at eligible Australian higher education institutions. ERA is an established evaluation framework that reflects the Government’s commitment to a transparent and streamlined approach to research evaluation. The</w:t>
      </w:r>
      <w:r w:rsidR="002B6C63">
        <w:rPr>
          <w:rFonts w:cs="Arial"/>
        </w:rPr>
        <w:t> </w:t>
      </w:r>
      <w:r>
        <w:rPr>
          <w:rFonts w:cs="Arial"/>
        </w:rPr>
        <w:t xml:space="preserve">ARC is also responsible for administering the Engagement and Impact (EI) assessment, which assesses the engagement of researchers with end-users, and shows how universities are translating their research into economic, social, environmental, </w:t>
      </w:r>
      <w:proofErr w:type="gramStart"/>
      <w:r>
        <w:rPr>
          <w:rFonts w:cs="Arial"/>
        </w:rPr>
        <w:t>cultural</w:t>
      </w:r>
      <w:proofErr w:type="gramEnd"/>
      <w:r>
        <w:rPr>
          <w:rFonts w:cs="Arial"/>
        </w:rPr>
        <w:t xml:space="preserve"> and other impacts. </w:t>
      </w:r>
    </w:p>
    <w:p w14:paraId="6497923F" w14:textId="16E98277" w:rsidR="00E13D3D" w:rsidRDefault="00E13D3D" w:rsidP="00E13D3D">
      <w:pPr>
        <w:rPr>
          <w:rFonts w:cs="Arial"/>
        </w:rPr>
      </w:pPr>
      <w:r>
        <w:rPr>
          <w:rFonts w:cs="Arial"/>
        </w:rPr>
        <w:t>The ARC is focused on driving the research contribution of universities to areas of national interest and to achieve improved economic and social outcomes. Central to this is undertaking action to strengthen the translation pipeline for Australian research, including encouraging greater collaboration with industry to stimulate research and development activity. This will be done by further aligning funding schemes with national priorities, ensuring funded research can demonstrate value, implementation of a more efficient and robust research quality and impact assessments, and enhancing the governance of the ARC.</w:t>
      </w:r>
    </w:p>
    <w:p w14:paraId="25D26763" w14:textId="6CA652CD" w:rsidR="00E13D3D" w:rsidRDefault="00E13D3D" w:rsidP="00E13D3D">
      <w:pPr>
        <w:rPr>
          <w:rFonts w:cs="Arial"/>
        </w:rPr>
      </w:pPr>
      <w:r>
        <w:rPr>
          <w:rFonts w:cs="Arial"/>
        </w:rPr>
        <w:t>Consistent with this, on 1 February 2022, the Prime Minister announced the University</w:t>
      </w:r>
      <w:r w:rsidR="002B6C63">
        <w:rPr>
          <w:rFonts w:cs="Arial"/>
        </w:rPr>
        <w:t> </w:t>
      </w:r>
      <w:r>
        <w:rPr>
          <w:rFonts w:cs="Arial"/>
        </w:rPr>
        <w:t>Research Commercialisation Action Plan which includes three new Industry</w:t>
      </w:r>
      <w:r w:rsidR="002B6C63">
        <w:rPr>
          <w:rFonts w:cs="Arial"/>
        </w:rPr>
        <w:t> </w:t>
      </w:r>
      <w:r>
        <w:rPr>
          <w:rFonts w:cs="Arial"/>
        </w:rPr>
        <w:t>Fellowship schemes to be delivered by the ARC. These schemes will support researchers to develop cutting edge innovations and apply their research to addressing industry challenges. The fellowships will provide industry with increased access to individuals with strong technical skills, knowledge, and research capacity.</w:t>
      </w:r>
    </w:p>
    <w:p w14:paraId="13D4F50B" w14:textId="57B237DF" w:rsidR="00E13D3D" w:rsidRDefault="00E13D3D" w:rsidP="00E13D3D">
      <w:pPr>
        <w:rPr>
          <w:rFonts w:cs="Arial"/>
        </w:rPr>
      </w:pPr>
    </w:p>
    <w:p w14:paraId="280235B9" w14:textId="465ADB25" w:rsidR="00E13D3D" w:rsidRDefault="00E13D3D" w:rsidP="00E13D3D">
      <w:pPr>
        <w:rPr>
          <w:rFonts w:cs="Arial"/>
        </w:rPr>
      </w:pPr>
      <w:r>
        <w:rPr>
          <w:rFonts w:cs="Arial"/>
        </w:rPr>
        <w:t xml:space="preserve">The ARC’s priorities for 2022–23 include: </w:t>
      </w:r>
    </w:p>
    <w:p w14:paraId="77D3CB80" w14:textId="43DA2ED2" w:rsidR="00E13D3D" w:rsidRDefault="00E13D3D" w:rsidP="002B6C63">
      <w:pPr>
        <w:pStyle w:val="PBS16BulletList"/>
        <w:ind w:left="380" w:hanging="380"/>
        <w:rPr>
          <w:rFonts w:cs="Arial"/>
        </w:rPr>
      </w:pPr>
      <w:r>
        <w:rPr>
          <w:rFonts w:cs="Arial"/>
        </w:rPr>
        <w:t xml:space="preserve">delivering the NCGP effectively and efficiently to support excellent research in the national interest </w:t>
      </w:r>
    </w:p>
    <w:p w14:paraId="1332F0C7" w14:textId="3C731674" w:rsidR="00E13D3D" w:rsidRDefault="00E13D3D" w:rsidP="002B6C63">
      <w:pPr>
        <w:pStyle w:val="PBS16BulletList"/>
        <w:ind w:left="380" w:hanging="380"/>
        <w:rPr>
          <w:rFonts w:cs="Arial"/>
        </w:rPr>
      </w:pPr>
      <w:r>
        <w:rPr>
          <w:rFonts w:cs="Arial"/>
        </w:rPr>
        <w:t xml:space="preserve">enhancing the processes and procedures of the NCGP, including strengthening understanding of the value and processes relating to the National Interest Test </w:t>
      </w:r>
    </w:p>
    <w:p w14:paraId="244BBEC3" w14:textId="45EC8D80" w:rsidR="00E13D3D" w:rsidRDefault="00E13D3D" w:rsidP="002B6C63">
      <w:pPr>
        <w:pStyle w:val="PBS16BulletList"/>
        <w:ind w:left="380" w:hanging="380"/>
        <w:rPr>
          <w:rFonts w:cs="Arial"/>
        </w:rPr>
      </w:pPr>
      <w:r>
        <w:rPr>
          <w:rFonts w:cs="Arial"/>
        </w:rPr>
        <w:t>commencing three new Industry Fellowship schemes</w:t>
      </w:r>
    </w:p>
    <w:p w14:paraId="08E208B9" w14:textId="0B69BCCD" w:rsidR="00E13D3D" w:rsidRDefault="00E13D3D" w:rsidP="002B6C63">
      <w:pPr>
        <w:pStyle w:val="PBS16BulletList"/>
        <w:ind w:left="380" w:hanging="380"/>
        <w:rPr>
          <w:rFonts w:cs="Arial"/>
        </w:rPr>
      </w:pPr>
      <w:r>
        <w:rPr>
          <w:rFonts w:cs="Arial"/>
        </w:rPr>
        <w:t xml:space="preserve">providing high quality advice to the Minister on research matters including in areas of Government focus (for example, strengthening linkages between research and business to stimulate more research and development across the economy) </w:t>
      </w:r>
    </w:p>
    <w:p w14:paraId="6275586D" w14:textId="61ED4CA5" w:rsidR="00E13D3D" w:rsidRDefault="00E13D3D" w:rsidP="002B6C63">
      <w:pPr>
        <w:pStyle w:val="PBS16BulletList"/>
        <w:ind w:left="380" w:hanging="380"/>
        <w:rPr>
          <w:rFonts w:cs="Arial"/>
        </w:rPr>
      </w:pPr>
      <w:r>
        <w:rPr>
          <w:rFonts w:cs="Arial"/>
        </w:rPr>
        <w:t xml:space="preserve">fast-tracking implementation of outcomes of the review of ERA and EI including by adopting a new rating scale and benchmarks for ERA assessments, and developing robust quantitative metrics focused on the impact of research for the next EI assessment in 2024 </w:t>
      </w:r>
    </w:p>
    <w:p w14:paraId="4ACE48C8" w14:textId="14B5A2B8" w:rsidR="00E13D3D" w:rsidRDefault="00E13D3D" w:rsidP="002B6C63">
      <w:pPr>
        <w:pStyle w:val="PBS16BulletList"/>
        <w:ind w:left="380" w:hanging="380"/>
        <w:rPr>
          <w:rFonts w:cs="Arial"/>
        </w:rPr>
      </w:pPr>
      <w:r>
        <w:rPr>
          <w:rFonts w:cs="Arial"/>
        </w:rPr>
        <w:t>working with a designated ARC Advisory Committee to develop a three-year strategic plan for the ARC</w:t>
      </w:r>
    </w:p>
    <w:p w14:paraId="66CAEBCF" w14:textId="2BED401E" w:rsidR="00E13D3D" w:rsidRDefault="00E13D3D" w:rsidP="002B6C63">
      <w:pPr>
        <w:pStyle w:val="PBS16BulletList"/>
        <w:ind w:left="380" w:hanging="380"/>
        <w:rPr>
          <w:rFonts w:cs="Arial"/>
        </w:rPr>
      </w:pPr>
      <w:r>
        <w:rPr>
          <w:rFonts w:cs="Arial"/>
        </w:rPr>
        <w:t>ensuring that the NCGP supports participation by all researchers, including Aboriginal and Torres Strait Islander researchers, women researchers and early and mid-career researchers</w:t>
      </w:r>
    </w:p>
    <w:p w14:paraId="11C54529" w14:textId="3EEB9C7D" w:rsidR="00E13D3D" w:rsidRDefault="00E13D3D" w:rsidP="002B6C63">
      <w:pPr>
        <w:pStyle w:val="PBS16BulletList"/>
        <w:spacing w:after="240"/>
        <w:ind w:left="380" w:hanging="380"/>
        <w:rPr>
          <w:rFonts w:cs="Arial"/>
        </w:rPr>
      </w:pPr>
      <w:r>
        <w:rPr>
          <w:rFonts w:cs="Arial"/>
        </w:rPr>
        <w:t xml:space="preserve">providing specialist research-based grants administration services to other Australian Government agencies that is standardised, </w:t>
      </w:r>
      <w:proofErr w:type="gramStart"/>
      <w:r>
        <w:rPr>
          <w:rFonts w:cs="Arial"/>
        </w:rPr>
        <w:t>streamlined</w:t>
      </w:r>
      <w:proofErr w:type="gramEnd"/>
      <w:r>
        <w:rPr>
          <w:rFonts w:cs="Arial"/>
        </w:rPr>
        <w:t xml:space="preserve"> and supports Australian Government standards and requirements. </w:t>
      </w:r>
    </w:p>
    <w:p w14:paraId="57FAEB04" w14:textId="0C284FC4" w:rsidR="00E13D3D" w:rsidRDefault="00E13D3D" w:rsidP="00E13D3D">
      <w:pPr>
        <w:pStyle w:val="PBS16BulletList"/>
        <w:numPr>
          <w:ilvl w:val="0"/>
          <w:numId w:val="0"/>
        </w:numPr>
        <w:ind w:left="66"/>
        <w:rPr>
          <w:rFonts w:cs="Arial"/>
        </w:rPr>
      </w:pPr>
      <w:r>
        <w:rPr>
          <w:rFonts w:cs="Arial"/>
        </w:rPr>
        <w:t>The ARC acknowledges the ongoing impact of COVID</w:t>
      </w:r>
      <w:r w:rsidR="00C36371">
        <w:rPr>
          <w:rFonts w:cs="Arial"/>
        </w:rPr>
        <w:t>-</w:t>
      </w:r>
      <w:r>
        <w:rPr>
          <w:rFonts w:cs="Arial"/>
        </w:rPr>
        <w:t xml:space="preserve">19 on the research </w:t>
      </w:r>
      <w:proofErr w:type="gramStart"/>
      <w:r>
        <w:rPr>
          <w:rFonts w:cs="Arial"/>
        </w:rPr>
        <w:t>sector, and</w:t>
      </w:r>
      <w:proofErr w:type="gramEnd"/>
      <w:r>
        <w:rPr>
          <w:rFonts w:cs="Arial"/>
        </w:rPr>
        <w:t xml:space="preserve"> continues to monitor and adapt processes as necessary to best support the Australian research community through 2022–23.</w:t>
      </w:r>
    </w:p>
    <w:p w14:paraId="1B0F0510" w14:textId="5985DE3F" w:rsidR="00E13D3D" w:rsidRDefault="00E13D3D" w:rsidP="00E13D3D">
      <w:pPr>
        <w:spacing w:after="0" w:line="240" w:lineRule="auto"/>
        <w:jc w:val="left"/>
        <w:rPr>
          <w:rFonts w:cs="Arial"/>
          <w:b/>
          <w:smallCaps/>
          <w:sz w:val="26"/>
        </w:rPr>
      </w:pPr>
      <w:r>
        <w:rPr>
          <w:rFonts w:cs="Arial"/>
        </w:rPr>
        <w:br w:type="page"/>
      </w:r>
    </w:p>
    <w:p w14:paraId="2A41E6EB" w14:textId="05697CC7" w:rsidR="00E13D3D" w:rsidRDefault="00E13D3D" w:rsidP="00E13D3D">
      <w:pPr>
        <w:pStyle w:val="Heading3"/>
        <w:rPr>
          <w:smallCaps/>
        </w:rPr>
      </w:pPr>
      <w:bookmarkStart w:id="15" w:name="_Toc98257445"/>
      <w:bookmarkStart w:id="16" w:name="ARC_EntityResourceStatement"/>
      <w:r>
        <w:lastRenderedPageBreak/>
        <w:t>1.2</w:t>
      </w:r>
      <w:r>
        <w:tab/>
        <w:t>Entity resource statement</w:t>
      </w:r>
      <w:bookmarkEnd w:id="9"/>
      <w:bookmarkEnd w:id="15"/>
    </w:p>
    <w:bookmarkEnd w:id="16"/>
    <w:p w14:paraId="3D449060" w14:textId="3AFBEA9B" w:rsidR="00E13D3D" w:rsidRDefault="00E13D3D" w:rsidP="00E13D3D">
      <w:pPr>
        <w:rPr>
          <w:rFonts w:cs="Arial"/>
        </w:rPr>
      </w:pPr>
      <w:r>
        <w:rPr>
          <w:rFonts w:cs="Arial"/>
        </w:rPr>
        <w:t>Table 1.1 shows the total funding from all sources available to the ARC for its operations and to deliver programs and services on behalf of the Government.</w:t>
      </w:r>
    </w:p>
    <w:p w14:paraId="0A6385E6" w14:textId="26DF38DF" w:rsidR="00E13D3D" w:rsidRDefault="00E13D3D" w:rsidP="00E13D3D">
      <w:pPr>
        <w:rPr>
          <w:rFonts w:cs="Arial"/>
        </w:rPr>
      </w:pPr>
      <w:r>
        <w:rPr>
          <w:rFonts w:cs="Arial"/>
        </w:rPr>
        <w:t>The table summarises how resources will be applied by outcome (government strategic policy objectives) and by administered (on behalf of the Government or the public) and departmental (for ARC’s operations) classification.</w:t>
      </w:r>
    </w:p>
    <w:p w14:paraId="271485EC" w14:textId="3BA19FDC" w:rsidR="00E13D3D" w:rsidRDefault="00E13D3D" w:rsidP="00E13D3D">
      <w:pPr>
        <w:rPr>
          <w:rFonts w:cs="Arial"/>
        </w:rPr>
      </w:pPr>
      <w:r>
        <w:rPr>
          <w:rFonts w:cs="Arial"/>
        </w:rPr>
        <w:t xml:space="preserve">For more detailed information on special accounts and special appropriations, please refer to </w:t>
      </w:r>
      <w:r>
        <w:rPr>
          <w:rFonts w:cs="Arial"/>
          <w:i/>
        </w:rPr>
        <w:t>Budget Paper No. 4 – Agency Resourcing</w:t>
      </w:r>
      <w:r>
        <w:rPr>
          <w:rFonts w:cs="Arial"/>
        </w:rPr>
        <w:t>.</w:t>
      </w:r>
    </w:p>
    <w:p w14:paraId="59627F81" w14:textId="268B9805" w:rsidR="00E13D3D" w:rsidRDefault="00E13D3D" w:rsidP="00E13D3D">
      <w:pPr>
        <w:rPr>
          <w:rFonts w:cs="Arial"/>
        </w:rPr>
      </w:pPr>
      <w:r>
        <w:rPr>
          <w:rFonts w:cs="Arial"/>
        </w:rPr>
        <w:t xml:space="preserve">Information in this table is presented on a resourcing (that is, appropriations/cash available) basis, whilst the ‘Budgeted expenses by Outcome 1’ tables in Section 2 and the financial statements in Section 3 are presented on an accrual basis. </w:t>
      </w:r>
    </w:p>
    <w:p w14:paraId="32C270B9" w14:textId="2B858F66" w:rsidR="00E13D3D" w:rsidRDefault="00E13D3D" w:rsidP="00E13D3D">
      <w:pPr>
        <w:spacing w:after="0" w:line="240" w:lineRule="auto"/>
        <w:jc w:val="left"/>
        <w:rPr>
          <w:rFonts w:cs="Arial"/>
          <w:b/>
          <w:color w:val="000000"/>
          <w:lang w:eastAsia="x-none"/>
        </w:rPr>
      </w:pPr>
      <w:r>
        <w:rPr>
          <w:rFonts w:cs="Arial"/>
        </w:rPr>
        <w:br w:type="page"/>
      </w:r>
    </w:p>
    <w:p w14:paraId="686B4285" w14:textId="6D2DBF2A" w:rsidR="00E13D3D" w:rsidRDefault="00E13D3D" w:rsidP="00E13D3D">
      <w:pPr>
        <w:pStyle w:val="TableGraphic"/>
        <w:jc w:val="left"/>
        <w:rPr>
          <w:rFonts w:ascii="Arial" w:hAnsi="Arial" w:cs="Arial"/>
          <w:b/>
          <w:color w:val="000000"/>
          <w:lang w:eastAsia="x-none"/>
        </w:rPr>
      </w:pPr>
      <w:r>
        <w:rPr>
          <w:rFonts w:ascii="Arial" w:hAnsi="Arial" w:cs="Arial"/>
          <w:b/>
          <w:color w:val="000000"/>
          <w:lang w:eastAsia="x-none"/>
        </w:rPr>
        <w:lastRenderedPageBreak/>
        <w:t>Table 1.1: Australian Research Council resource statement - Budget estimates for 20</w:t>
      </w:r>
      <w:r w:rsidR="001A5C33">
        <w:rPr>
          <w:rFonts w:ascii="Arial" w:hAnsi="Arial" w:cs="Arial"/>
          <w:b/>
          <w:color w:val="000000"/>
          <w:lang w:eastAsia="x-none"/>
        </w:rPr>
        <w:t>22–23</w:t>
      </w:r>
      <w:r>
        <w:rPr>
          <w:rFonts w:ascii="Arial" w:hAnsi="Arial" w:cs="Arial"/>
          <w:b/>
          <w:color w:val="000000"/>
          <w:lang w:eastAsia="x-none"/>
        </w:rPr>
        <w:t xml:space="preserve"> as at Budget March 2022</w:t>
      </w:r>
    </w:p>
    <w:p w14:paraId="284D809E" w14:textId="0177F8FF" w:rsidR="00525285" w:rsidRDefault="00AA2216" w:rsidP="00E13D3D">
      <w:pPr>
        <w:pStyle w:val="ChartandTableFootnote"/>
        <w:tabs>
          <w:tab w:val="left" w:pos="6237"/>
        </w:tabs>
        <w:rPr>
          <w:rFonts w:cs="Arial"/>
        </w:rPr>
      </w:pPr>
      <w:r w:rsidRPr="00AA2216">
        <w:rPr>
          <w:rFonts w:cs="Arial"/>
          <w:noProof/>
        </w:rPr>
        <w:drawing>
          <wp:inline distT="0" distB="0" distL="0" distR="0" wp14:anchorId="21B0687B" wp14:editId="20E4B81D">
            <wp:extent cx="4770755" cy="3896360"/>
            <wp:effectExtent l="0" t="0" r="0" b="889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0755" cy="3896360"/>
                    </a:xfrm>
                    <a:prstGeom prst="rect">
                      <a:avLst/>
                    </a:prstGeom>
                    <a:noFill/>
                    <a:ln>
                      <a:noFill/>
                    </a:ln>
                  </pic:spPr>
                </pic:pic>
              </a:graphicData>
            </a:graphic>
          </wp:inline>
        </w:drawing>
      </w:r>
    </w:p>
    <w:p w14:paraId="261F63BC" w14:textId="7DD54861" w:rsidR="00E13D3D" w:rsidRDefault="00E13D3D" w:rsidP="00E13D3D">
      <w:pPr>
        <w:pStyle w:val="ChartandTableFootnote"/>
        <w:tabs>
          <w:tab w:val="left" w:pos="6237"/>
        </w:tabs>
        <w:rPr>
          <w:rFonts w:cs="Arial"/>
        </w:rPr>
      </w:pPr>
      <w:r>
        <w:rPr>
          <w:rFonts w:cs="Arial"/>
        </w:rPr>
        <w:t>All figures shown above are GST exclusive - these may not match figures in the cash flow statement.</w:t>
      </w:r>
      <w:r>
        <w:rPr>
          <w:rFonts w:cs="Arial"/>
        </w:rPr>
        <w:tab/>
      </w:r>
    </w:p>
    <w:p w14:paraId="1D41F8DE" w14:textId="32AD46A4" w:rsidR="00E13D3D" w:rsidRDefault="00E13D3D" w:rsidP="00E13D3D">
      <w:pPr>
        <w:pStyle w:val="ChartandTableFootnote"/>
        <w:rPr>
          <w:rFonts w:cs="Arial"/>
        </w:rPr>
      </w:pPr>
      <w:r>
        <w:rPr>
          <w:rFonts w:cs="Arial"/>
        </w:rPr>
        <w:t>Prepared on a resourcing (that is, appropriations available) basis.</w:t>
      </w:r>
      <w:r>
        <w:rPr>
          <w:rFonts w:cs="Arial"/>
        </w:rPr>
        <w:tab/>
      </w:r>
      <w:r>
        <w:rPr>
          <w:rFonts w:cs="Arial"/>
        </w:rPr>
        <w:tab/>
      </w:r>
    </w:p>
    <w:p w14:paraId="06F520C3" w14:textId="3B23F5DB" w:rsidR="00E13D3D" w:rsidRDefault="00E13D3D" w:rsidP="00E13D3D">
      <w:pPr>
        <w:pStyle w:val="ChartandTableFootnote"/>
        <w:ind w:left="284" w:hanging="284"/>
        <w:rPr>
          <w:rFonts w:cs="Arial"/>
        </w:rPr>
      </w:pPr>
      <w:r>
        <w:rPr>
          <w:rFonts w:cs="Arial"/>
        </w:rPr>
        <w:t xml:space="preserve">(a) </w:t>
      </w:r>
      <w:r>
        <w:rPr>
          <w:rFonts w:cs="Arial"/>
        </w:rPr>
        <w:tab/>
        <w:t>Departmental appropriation excludes departmental capital budget (DCB), see also note (c). The 20</w:t>
      </w:r>
      <w:r w:rsidR="001A5C33">
        <w:rPr>
          <w:rFonts w:cs="Arial"/>
        </w:rPr>
        <w:t xml:space="preserve">21–22 </w:t>
      </w:r>
      <w:r>
        <w:rPr>
          <w:rFonts w:cs="Arial"/>
        </w:rPr>
        <w:t>figure excludes $0.499 million which will be received through the 20</w:t>
      </w:r>
      <w:r w:rsidR="001A5C33">
        <w:rPr>
          <w:rFonts w:cs="Arial"/>
        </w:rPr>
        <w:t>22–23</w:t>
      </w:r>
      <w:r>
        <w:rPr>
          <w:rFonts w:cs="Arial"/>
        </w:rPr>
        <w:t xml:space="preserve"> Appropriation Bill (No.1).</w:t>
      </w:r>
      <w:r>
        <w:rPr>
          <w:rFonts w:cs="Arial"/>
        </w:rPr>
        <w:tab/>
      </w:r>
    </w:p>
    <w:p w14:paraId="04F69097" w14:textId="7248BE90" w:rsidR="00E13D3D" w:rsidRDefault="00E13D3D" w:rsidP="00E13D3D">
      <w:pPr>
        <w:pStyle w:val="ChartandTableFootnote"/>
        <w:ind w:left="284" w:hanging="284"/>
        <w:rPr>
          <w:rFonts w:cs="Arial"/>
        </w:rPr>
      </w:pPr>
      <w:r>
        <w:rPr>
          <w:rFonts w:cs="Arial"/>
        </w:rPr>
        <w:t>(b)</w:t>
      </w:r>
      <w:r>
        <w:rPr>
          <w:rFonts w:cs="Arial"/>
        </w:rPr>
        <w:tab/>
        <w:t xml:space="preserve">Estimated external revenue receipts under section 74 of the </w:t>
      </w:r>
      <w:r>
        <w:rPr>
          <w:rFonts w:cs="Arial"/>
          <w:i/>
          <w:iCs/>
        </w:rPr>
        <w:t xml:space="preserve">Public Governance, Performance and Accountability Act 2013 </w:t>
      </w:r>
      <w:r>
        <w:rPr>
          <w:rFonts w:cs="Arial"/>
        </w:rPr>
        <w:t>(PGPA Act).</w:t>
      </w:r>
      <w:r>
        <w:rPr>
          <w:rFonts w:cs="Arial"/>
        </w:rPr>
        <w:tab/>
      </w:r>
      <w:r>
        <w:rPr>
          <w:rFonts w:cs="Arial"/>
        </w:rPr>
        <w:tab/>
      </w:r>
    </w:p>
    <w:p w14:paraId="0215A9BB" w14:textId="5B8A9BEA" w:rsidR="00E13D3D" w:rsidRDefault="00E13D3D" w:rsidP="00E13D3D">
      <w:pPr>
        <w:pStyle w:val="ChartandTableFootnote"/>
        <w:ind w:left="284" w:hanging="284"/>
        <w:rPr>
          <w:rFonts w:cs="Arial"/>
        </w:rPr>
      </w:pPr>
      <w:r>
        <w:rPr>
          <w:rFonts w:cs="Arial"/>
        </w:rPr>
        <w:t>(c)</w:t>
      </w:r>
      <w:r>
        <w:rPr>
          <w:rFonts w:cs="Arial"/>
        </w:rPr>
        <w:tab/>
        <w:t>DCBs are not separately identified in Appropriation Bill (No.1) and form part of ordinary annual services items. Please refer to Table 3.5 for further details. For accounting purposes, this amount has been designated as a 'contribution by owner'.</w:t>
      </w:r>
      <w:r>
        <w:rPr>
          <w:rFonts w:cs="Arial"/>
        </w:rPr>
        <w:tab/>
      </w:r>
      <w:r>
        <w:rPr>
          <w:rFonts w:cs="Arial"/>
        </w:rPr>
        <w:tab/>
      </w:r>
    </w:p>
    <w:p w14:paraId="141D193E" w14:textId="404BE884" w:rsidR="00E13D3D" w:rsidRDefault="00E13D3D" w:rsidP="00E13D3D">
      <w:pPr>
        <w:pStyle w:val="ChartandTableFootnote"/>
        <w:ind w:left="284" w:hanging="284"/>
        <w:rPr>
          <w:rFonts w:cs="Arial"/>
        </w:rPr>
      </w:pPr>
      <w:r>
        <w:rPr>
          <w:rFonts w:cs="Arial"/>
        </w:rPr>
        <w:t>(d)</w:t>
      </w:r>
      <w:r>
        <w:rPr>
          <w:rFonts w:cs="Arial"/>
        </w:rPr>
        <w:tab/>
        <w:t>Prior year Administered annual appropriations are only available to meet commitments entered into in the prior financial year. For example, 20</w:t>
      </w:r>
      <w:r w:rsidR="001A5C33">
        <w:rPr>
          <w:rFonts w:cs="Arial"/>
        </w:rPr>
        <w:t xml:space="preserve">21–22 </w:t>
      </w:r>
      <w:r>
        <w:rPr>
          <w:rFonts w:cs="Arial"/>
        </w:rPr>
        <w:t>prior year appropriations are to meet commitments entered into in 2020-21. The 20</w:t>
      </w:r>
      <w:r w:rsidR="001A5C33">
        <w:rPr>
          <w:rFonts w:cs="Arial"/>
        </w:rPr>
        <w:t xml:space="preserve">21–22 </w:t>
      </w:r>
      <w:r>
        <w:rPr>
          <w:rFonts w:cs="Arial"/>
        </w:rPr>
        <w:t>figure excludes $0.296 million that is subject to administrative quarantine by Finance or withheld under section 51 of the PGPA Act. The 20</w:t>
      </w:r>
      <w:r w:rsidR="001A5C33">
        <w:rPr>
          <w:rFonts w:cs="Arial"/>
        </w:rPr>
        <w:t xml:space="preserve">21–22 </w:t>
      </w:r>
      <w:r>
        <w:rPr>
          <w:rFonts w:cs="Arial"/>
        </w:rPr>
        <w:t>figure also excludes $2.133 million which was reprofiled into 20</w:t>
      </w:r>
      <w:r w:rsidR="001A5C33">
        <w:rPr>
          <w:rFonts w:cs="Arial"/>
        </w:rPr>
        <w:t>23–24</w:t>
      </w:r>
      <w:r>
        <w:rPr>
          <w:rFonts w:cs="Arial"/>
        </w:rPr>
        <w:t xml:space="preserve"> and 20</w:t>
      </w:r>
      <w:r w:rsidR="001A5C33">
        <w:rPr>
          <w:rFonts w:cs="Arial"/>
        </w:rPr>
        <w:t>24–25</w:t>
      </w:r>
      <w:r>
        <w:rPr>
          <w:rFonts w:cs="Arial"/>
        </w:rPr>
        <w:t xml:space="preserve"> as agreed Movement of Funds during the </w:t>
      </w:r>
      <w:r w:rsidR="00525285">
        <w:rPr>
          <w:rFonts w:cs="Arial"/>
        </w:rPr>
        <w:br/>
      </w:r>
      <w:r>
        <w:rPr>
          <w:rFonts w:cs="Arial"/>
        </w:rPr>
        <w:t>20</w:t>
      </w:r>
      <w:r w:rsidR="001A5C33">
        <w:rPr>
          <w:rFonts w:cs="Arial"/>
        </w:rPr>
        <w:t xml:space="preserve">21–22 </w:t>
      </w:r>
      <w:r>
        <w:rPr>
          <w:rFonts w:cs="Arial"/>
        </w:rPr>
        <w:t>Mid-Year Economic and Fiscal Outlook (MYEFO).</w:t>
      </w:r>
    </w:p>
    <w:p w14:paraId="3B5E1CBE" w14:textId="7ADCABC9" w:rsidR="00E13D3D" w:rsidRDefault="00E13D3D" w:rsidP="00E13D3D">
      <w:pPr>
        <w:pStyle w:val="ChartandTableFootnote"/>
        <w:ind w:left="284" w:hanging="284"/>
        <w:rPr>
          <w:rFonts w:cs="Arial"/>
        </w:rPr>
      </w:pPr>
      <w:r>
        <w:rPr>
          <w:rFonts w:cs="Arial"/>
        </w:rPr>
        <w:t>(e)</w:t>
      </w:r>
      <w:r>
        <w:rPr>
          <w:rFonts w:cs="Arial"/>
        </w:rPr>
        <w:tab/>
        <w:t xml:space="preserve">Special Appropriation funded under the </w:t>
      </w:r>
      <w:r>
        <w:rPr>
          <w:rFonts w:cs="Arial"/>
          <w:i/>
          <w:iCs/>
        </w:rPr>
        <w:t>Australian Research Council Act 2001 (ARC Act).</w:t>
      </w:r>
      <w:r>
        <w:rPr>
          <w:rFonts w:cs="Arial"/>
        </w:rPr>
        <w:tab/>
      </w:r>
      <w:r>
        <w:rPr>
          <w:rFonts w:cs="Arial"/>
        </w:rPr>
        <w:tab/>
      </w:r>
    </w:p>
    <w:p w14:paraId="24817EDD" w14:textId="624FEC00" w:rsidR="00E13D3D" w:rsidRDefault="00E13D3D" w:rsidP="00E13D3D">
      <w:pPr>
        <w:pStyle w:val="ChartandTableFootnote"/>
        <w:ind w:left="284" w:hanging="284"/>
        <w:rPr>
          <w:rFonts w:cs="Arial"/>
        </w:rPr>
      </w:pPr>
      <w:r>
        <w:rPr>
          <w:rFonts w:cs="Arial"/>
        </w:rPr>
        <w:t xml:space="preserve">(f) </w:t>
      </w:r>
      <w:r>
        <w:rPr>
          <w:rFonts w:cs="Arial"/>
        </w:rPr>
        <w:tab/>
        <w:t xml:space="preserve">ARC Research Endowment Account – section 80 of the PGPA Act (section 62 of the ARC Act). Excludes trust moneys held in Services for Other Entities and Trust Moneys (SOETM) and other special accounts. For further information on special accounts, please refer to </w:t>
      </w:r>
      <w:r w:rsidRPr="00525285">
        <w:rPr>
          <w:rFonts w:cs="Arial"/>
          <w:i/>
          <w:iCs/>
        </w:rPr>
        <w:t>Budget Paper No. 4 - Agency Resourcing</w:t>
      </w:r>
      <w:r>
        <w:rPr>
          <w:rFonts w:cs="Arial"/>
        </w:rPr>
        <w:t>. Please also see Table 2.1.1 for further information on outcome and program expenses broken down by various funding sources, e.g. annual appropriations, special appropriations and special account.</w:t>
      </w:r>
      <w:r>
        <w:rPr>
          <w:rFonts w:cs="Arial"/>
        </w:rPr>
        <w:tab/>
      </w:r>
      <w:r>
        <w:rPr>
          <w:rFonts w:cs="Arial"/>
        </w:rPr>
        <w:tab/>
        <w:t xml:space="preserve"> </w:t>
      </w:r>
    </w:p>
    <w:p w14:paraId="16ECB5F6" w14:textId="1C36BF2E" w:rsidR="00E13D3D" w:rsidRDefault="00E13D3D" w:rsidP="00E13D3D">
      <w:pPr>
        <w:spacing w:after="0" w:line="240" w:lineRule="auto"/>
        <w:jc w:val="left"/>
        <w:rPr>
          <w:rFonts w:ascii="Arial Bold" w:hAnsi="Arial Bold"/>
          <w:b/>
          <w:sz w:val="22"/>
        </w:rPr>
      </w:pPr>
      <w:r>
        <w:rPr>
          <w:rFonts w:ascii="Arial Bold" w:hAnsi="Arial Bold"/>
          <w:smallCaps/>
          <w:sz w:val="22"/>
        </w:rPr>
        <w:br w:type="page"/>
      </w:r>
      <w:bookmarkStart w:id="17" w:name="_Toc98257446"/>
    </w:p>
    <w:p w14:paraId="120D5166" w14:textId="6DF7A424" w:rsidR="00E13D3D" w:rsidRDefault="00E13D3D" w:rsidP="00E13D3D">
      <w:pPr>
        <w:pStyle w:val="Heading3"/>
      </w:pPr>
      <w:bookmarkStart w:id="18" w:name="ARC_BudgetMeasures"/>
      <w:r>
        <w:lastRenderedPageBreak/>
        <w:t>1.3</w:t>
      </w:r>
      <w:r>
        <w:tab/>
        <w:t>Budget measures</w:t>
      </w:r>
      <w:bookmarkEnd w:id="17"/>
    </w:p>
    <w:bookmarkEnd w:id="18"/>
    <w:p w14:paraId="23F85DEB" w14:textId="08EC4064" w:rsidR="00E13D3D" w:rsidRDefault="00E13D3D" w:rsidP="00E13D3D">
      <w:pPr>
        <w:rPr>
          <w:rFonts w:cs="Arial"/>
        </w:rPr>
      </w:pPr>
      <w:r>
        <w:rPr>
          <w:rFonts w:cs="Arial"/>
        </w:rPr>
        <w:t>Budget measures in Table 1.2 relating to the ARC are detailed in Budget Paper No. 2 and are summarised below.</w:t>
      </w:r>
    </w:p>
    <w:p w14:paraId="0A37CC21" w14:textId="5EC0E5DD" w:rsidR="00E13D3D" w:rsidRDefault="00E13D3D" w:rsidP="00E13D3D">
      <w:pPr>
        <w:pStyle w:val="TableHeading"/>
        <w:rPr>
          <w:rFonts w:cs="Arial"/>
        </w:rPr>
      </w:pPr>
      <w:r>
        <w:rPr>
          <w:rFonts w:cs="Arial"/>
        </w:rPr>
        <w:t xml:space="preserve">Table 1.2: Australian Research Council </w:t>
      </w:r>
      <w:r>
        <w:rPr>
          <w:rFonts w:cs="Arial"/>
          <w:lang w:val="en-AU"/>
        </w:rPr>
        <w:t>20</w:t>
      </w:r>
      <w:r w:rsidR="001A5C33">
        <w:rPr>
          <w:rFonts w:cs="Arial"/>
          <w:lang w:val="en-AU"/>
        </w:rPr>
        <w:t>22–23</w:t>
      </w:r>
      <w:r>
        <w:rPr>
          <w:rFonts w:cs="Arial"/>
          <w:lang w:val="en-AU"/>
        </w:rPr>
        <w:t xml:space="preserve"> </w:t>
      </w:r>
      <w:r>
        <w:rPr>
          <w:rFonts w:cs="Arial"/>
        </w:rPr>
        <w:t>Budget measures</w:t>
      </w:r>
      <w:r>
        <w:rPr>
          <w:rFonts w:cs="Arial"/>
          <w:lang w:val="en-AU"/>
        </w:rPr>
        <w:t xml:space="preserve"> </w:t>
      </w:r>
      <w:r>
        <w:rPr>
          <w:rFonts w:cs="Arial"/>
        </w:rPr>
        <w:t>announced since the 20</w:t>
      </w:r>
      <w:r w:rsidR="001A5C33">
        <w:rPr>
          <w:rFonts w:cs="Arial"/>
        </w:rPr>
        <w:t xml:space="preserve">21–22 </w:t>
      </w:r>
      <w:r>
        <w:rPr>
          <w:rFonts w:cs="Arial"/>
        </w:rPr>
        <w:t>Mid-Year Economic and Fiscal Outlook (MYEFO)</w:t>
      </w:r>
    </w:p>
    <w:p w14:paraId="5C8A8538" w14:textId="50679E28" w:rsidR="00E13D3D" w:rsidRDefault="00E406CE" w:rsidP="00E13D3D">
      <w:pPr>
        <w:spacing w:after="0" w:line="240" w:lineRule="auto"/>
        <w:jc w:val="left"/>
        <w:rPr>
          <w:rFonts w:ascii="Arial" w:hAnsi="Arial" w:cs="Arial"/>
          <w:color w:val="000000"/>
          <w:sz w:val="16"/>
          <w:szCs w:val="16"/>
        </w:rPr>
      </w:pPr>
      <w:r w:rsidRPr="00E406CE">
        <w:rPr>
          <w:rFonts w:ascii="Arial" w:hAnsi="Arial" w:cs="Arial"/>
          <w:noProof/>
          <w:color w:val="000000"/>
          <w:sz w:val="16"/>
          <w:szCs w:val="16"/>
        </w:rPr>
        <w:drawing>
          <wp:inline distT="0" distB="0" distL="0" distR="0" wp14:anchorId="5BC419C2" wp14:editId="7CE0A003">
            <wp:extent cx="4895850" cy="1388745"/>
            <wp:effectExtent l="0" t="0" r="0" b="190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1388745"/>
                    </a:xfrm>
                    <a:prstGeom prst="rect">
                      <a:avLst/>
                    </a:prstGeom>
                    <a:noFill/>
                    <a:ln>
                      <a:noFill/>
                    </a:ln>
                  </pic:spPr>
                </pic:pic>
              </a:graphicData>
            </a:graphic>
          </wp:inline>
        </w:drawing>
      </w:r>
      <w:r w:rsidR="00E13D3D">
        <w:rPr>
          <w:rFonts w:ascii="Arial" w:hAnsi="Arial" w:cs="Arial"/>
          <w:color w:val="000000"/>
          <w:sz w:val="16"/>
          <w:szCs w:val="16"/>
        </w:rPr>
        <w:t>Prepared on a Government Finance Statistics (Underlying Cash) basis. Figures displayed as a negative (-) represent a decrease in funds and a positive (+) represent an increase in funds.</w:t>
      </w:r>
    </w:p>
    <w:p w14:paraId="390C7E45" w14:textId="77777777" w:rsidR="00364DDC" w:rsidRPr="00364DDC" w:rsidRDefault="00364DDC" w:rsidP="00364DDC">
      <w:pPr>
        <w:spacing w:after="0" w:line="240" w:lineRule="auto"/>
        <w:rPr>
          <w:rFonts w:ascii="Arial" w:hAnsi="Arial" w:cs="Arial"/>
          <w:color w:val="000000"/>
          <w:sz w:val="16"/>
          <w:szCs w:val="16"/>
        </w:rPr>
      </w:pPr>
      <w:r w:rsidRPr="00364DDC">
        <w:rPr>
          <w:rFonts w:ascii="Arial" w:hAnsi="Arial" w:cs="Arial"/>
          <w:color w:val="000000"/>
          <w:sz w:val="16"/>
          <w:szCs w:val="16"/>
        </w:rPr>
        <w:t xml:space="preserve">(a) This measure consists of decision taken but not yet announced in the 2021-22 MYEFO with the following impact: 2021-22 $0.5million, 2022-23 $22.1 million, 2023-24 $44.3 million, 2024-25 $67.7 million, 2025-16 $83.5 million. The lead entity for the Investing in Australia's University Research Commercialisation measure is the Department of Education, Skills and Employment with the full measure description and package details appearing in Budget Paper No. 2. </w:t>
      </w:r>
    </w:p>
    <w:p w14:paraId="49259FE4" w14:textId="178F7182" w:rsidR="00E13D3D" w:rsidRDefault="00E13D3D" w:rsidP="003D0856">
      <w:pPr>
        <w:pStyle w:val="ChartandTableFootnote"/>
        <w:tabs>
          <w:tab w:val="clear" w:pos="284"/>
        </w:tabs>
        <w:rPr>
          <w:rFonts w:cs="Arial"/>
        </w:rPr>
      </w:pPr>
      <w:r>
        <w:rPr>
          <w:rFonts w:cs="Arial"/>
        </w:rPr>
        <w:tab/>
      </w:r>
      <w:r>
        <w:rPr>
          <w:rFonts w:cs="Arial"/>
        </w:rPr>
        <w:tab/>
      </w:r>
      <w:r>
        <w:rPr>
          <w:rFonts w:cs="Arial"/>
        </w:rPr>
        <w:tab/>
      </w:r>
      <w:r>
        <w:rPr>
          <w:rFonts w:cs="Arial"/>
        </w:rPr>
        <w:tab/>
      </w:r>
      <w:r>
        <w:rPr>
          <w:rFonts w:cs="Arial"/>
        </w:rPr>
        <w:tab/>
      </w:r>
      <w:r>
        <w:rPr>
          <w:rFonts w:cs="Arial"/>
        </w:rPr>
        <w:tab/>
      </w:r>
    </w:p>
    <w:p w14:paraId="4373D2E8" w14:textId="17D60C02" w:rsidR="00E13D3D" w:rsidRDefault="00E13D3D" w:rsidP="00AB29CC">
      <w:pPr>
        <w:pStyle w:val="ChartandTableFootnote"/>
        <w:tabs>
          <w:tab w:val="clear" w:pos="284"/>
          <w:tab w:val="left" w:pos="0"/>
        </w:tabs>
        <w:jc w:val="left"/>
        <w:rPr>
          <w:rFonts w:cs="Arial"/>
        </w:rPr>
      </w:pPr>
      <w:r>
        <w:rPr>
          <w:rFonts w:cs="Arial"/>
        </w:rPr>
        <w:br w:type="page"/>
      </w:r>
    </w:p>
    <w:p w14:paraId="4D6EE965" w14:textId="170D3B91" w:rsidR="00E13D3D" w:rsidRDefault="00E13D3D" w:rsidP="00E13D3D">
      <w:pPr>
        <w:pStyle w:val="Heading2"/>
        <w:rPr>
          <w:rFonts w:cs="Arial"/>
          <w:szCs w:val="26"/>
        </w:rPr>
      </w:pPr>
      <w:bookmarkStart w:id="19" w:name="ARC_2_0"/>
      <w:bookmarkStart w:id="20" w:name="_Toc98257447"/>
      <w:bookmarkStart w:id="21" w:name="ARC_OutcomesandPlannedPerformance"/>
      <w:r>
        <w:rPr>
          <w:rFonts w:cs="Arial"/>
          <w:szCs w:val="26"/>
        </w:rPr>
        <w:lastRenderedPageBreak/>
        <w:t>Section 2: Outcomes and planned performance</w:t>
      </w:r>
      <w:bookmarkEnd w:id="19"/>
      <w:bookmarkEnd w:id="20"/>
    </w:p>
    <w:bookmarkEnd w:id="21"/>
    <w:p w14:paraId="32FC9CBC" w14:textId="4F587B39" w:rsidR="00E13D3D" w:rsidRDefault="00E13D3D" w:rsidP="00E13D3D">
      <w:pPr>
        <w:rPr>
          <w:rFonts w:cs="Arial"/>
        </w:rPr>
      </w:pPr>
      <w:r>
        <w:rPr>
          <w:rFonts w:cs="Arial"/>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015B85B" w14:textId="0625CF95" w:rsidR="00E13D3D" w:rsidRDefault="00E13D3D" w:rsidP="00E13D3D">
      <w:pPr>
        <w:rPr>
          <w:rFonts w:cs="Arial"/>
        </w:rPr>
      </w:pPr>
      <w:r>
        <w:rPr>
          <w:rFonts w:cs="Arial"/>
        </w:rPr>
        <w:t xml:space="preserve">Each outcome is described below together with its related programs. The following provides detailed information on expenses for each outcome and program, further broken down by funding source. </w:t>
      </w:r>
    </w:p>
    <w:p w14:paraId="7C4E4FA6" w14:textId="592215B4" w:rsidR="00E13D3D" w:rsidRDefault="00E13D3D" w:rsidP="00E13D3D">
      <w:pPr>
        <w:pBdr>
          <w:top w:val="single" w:sz="2" w:space="6" w:color="auto"/>
          <w:left w:val="single" w:sz="2" w:space="4" w:color="auto"/>
          <w:bottom w:val="single" w:sz="2" w:space="6" w:color="auto"/>
          <w:right w:val="single" w:sz="2" w:space="4" w:color="auto"/>
        </w:pBdr>
        <w:spacing w:after="120" w:line="240" w:lineRule="auto"/>
        <w:rPr>
          <w:rFonts w:cs="Arial"/>
          <w:b/>
        </w:rPr>
      </w:pPr>
      <w:r>
        <w:rPr>
          <w:rFonts w:cs="Arial"/>
          <w:b/>
        </w:rPr>
        <w:t>Note:</w:t>
      </w:r>
    </w:p>
    <w:p w14:paraId="63529647" w14:textId="195F9CF9" w:rsidR="00E13D3D" w:rsidRDefault="00E13D3D" w:rsidP="00E13D3D">
      <w:pPr>
        <w:pBdr>
          <w:top w:val="single" w:sz="2" w:space="6" w:color="auto"/>
          <w:left w:val="single" w:sz="2" w:space="4" w:color="auto"/>
          <w:bottom w:val="single" w:sz="2" w:space="6" w:color="auto"/>
          <w:right w:val="single" w:sz="2" w:space="4" w:color="auto"/>
        </w:pBdr>
        <w:rPr>
          <w:rFonts w:cs="Arial"/>
        </w:rPr>
      </w:pPr>
      <w:r>
        <w:rPr>
          <w:rFonts w:cs="Arial"/>
        </w:rPr>
        <w:t xml:space="preserve">Performance reporting requirements in the Portfolio Budget Statements are part of the enhanced Commonwealth performance framework established by the </w:t>
      </w:r>
      <w:r>
        <w:rPr>
          <w:rFonts w:cs="Arial"/>
          <w:i/>
        </w:rPr>
        <w:t>Public</w:t>
      </w:r>
      <w:r w:rsidR="003D62D3">
        <w:rPr>
          <w:rFonts w:cs="Arial"/>
          <w:i/>
        </w:rPr>
        <w:t> </w:t>
      </w:r>
      <w:r>
        <w:rPr>
          <w:rFonts w:cs="Arial"/>
          <w:i/>
        </w:rPr>
        <w:t>Governance, Performance and Accountability Act 2013</w:t>
      </w:r>
      <w:r>
        <w:rPr>
          <w:rFonts w:cs="Arial"/>
        </w:rPr>
        <w:t>. It is anticipated that the performance criteria described in ARC Budget Statements will be read with broader information provided in ARC’s corporate plans and annual performance</w:t>
      </w:r>
      <w:r w:rsidR="00177164">
        <w:rPr>
          <w:rFonts w:cs="Arial"/>
        </w:rPr>
        <w:t xml:space="preserve"> </w:t>
      </w:r>
      <w:r>
        <w:rPr>
          <w:rFonts w:cs="Arial"/>
        </w:rPr>
        <w:t>statements</w:t>
      </w:r>
      <w:r w:rsidR="00177164">
        <w:rPr>
          <w:rFonts w:cs="Arial"/>
        </w:rPr>
        <w:t> </w:t>
      </w:r>
      <w:r w:rsidR="005B5BB3">
        <w:t>—</w:t>
      </w:r>
      <w:r w:rsidR="008728C3">
        <w:rPr>
          <w:rFonts w:cs="Arial"/>
        </w:rPr>
        <w:t> </w:t>
      </w:r>
      <w:r>
        <w:rPr>
          <w:rFonts w:cs="Arial"/>
        </w:rPr>
        <w:t xml:space="preserve">included in Annual Reports </w:t>
      </w:r>
      <w:r w:rsidR="005B5BB3">
        <w:t>—</w:t>
      </w:r>
      <w:r>
        <w:rPr>
          <w:rFonts w:cs="Arial"/>
        </w:rPr>
        <w:t xml:space="preserve"> to provide ARC’s complete performance story.</w:t>
      </w:r>
    </w:p>
    <w:p w14:paraId="725C0F1C" w14:textId="61F24E6A" w:rsidR="00E13D3D" w:rsidRPr="009F5A6F" w:rsidRDefault="00E13D3D" w:rsidP="00E13D3D">
      <w:pPr>
        <w:pBdr>
          <w:top w:val="single" w:sz="2" w:space="6" w:color="auto"/>
          <w:left w:val="single" w:sz="2" w:space="4" w:color="auto"/>
          <w:bottom w:val="single" w:sz="2" w:space="6" w:color="auto"/>
          <w:right w:val="single" w:sz="2" w:space="4" w:color="auto"/>
        </w:pBdr>
        <w:jc w:val="left"/>
        <w:rPr>
          <w:rFonts w:cs="Arial"/>
        </w:rPr>
      </w:pPr>
      <w:r>
        <w:rPr>
          <w:rFonts w:cs="Arial"/>
        </w:rPr>
        <w:t xml:space="preserve">The most recent corporate plan for ARC can be found at: </w:t>
      </w:r>
      <w:hyperlink r:id="rId19" w:history="1">
        <w:r w:rsidRPr="009F5A6F">
          <w:rPr>
            <w:rStyle w:val="Hyperlink"/>
            <w:rFonts w:cs="Arial"/>
            <w:color w:val="auto"/>
          </w:rPr>
          <w:t>www.arc.gov.au</w:t>
        </w:r>
      </w:hyperlink>
    </w:p>
    <w:p w14:paraId="35017096" w14:textId="77777777" w:rsidR="00E13D3D" w:rsidRPr="009F5A6F" w:rsidRDefault="00E13D3D" w:rsidP="003D62D3">
      <w:pPr>
        <w:pBdr>
          <w:top w:val="single" w:sz="2" w:space="6" w:color="auto"/>
          <w:left w:val="single" w:sz="2" w:space="4" w:color="auto"/>
          <w:bottom w:val="single" w:sz="2" w:space="6" w:color="auto"/>
          <w:right w:val="single" w:sz="2" w:space="4" w:color="auto"/>
        </w:pBdr>
        <w:jc w:val="left"/>
        <w:rPr>
          <w:rFonts w:cs="Arial"/>
        </w:rPr>
      </w:pPr>
      <w:r>
        <w:rPr>
          <w:rFonts w:cs="Arial"/>
        </w:rPr>
        <w:t xml:space="preserve">The most recent annual performance statement can be found in the ARC Annual Report at: </w:t>
      </w:r>
      <w:hyperlink r:id="rId20" w:history="1">
        <w:r w:rsidRPr="009F5A6F">
          <w:rPr>
            <w:rStyle w:val="Hyperlink"/>
            <w:rFonts w:cs="Arial"/>
            <w:color w:val="auto"/>
          </w:rPr>
          <w:t>www.arc.gov.au</w:t>
        </w:r>
      </w:hyperlink>
    </w:p>
    <w:p w14:paraId="72A45216" w14:textId="77777777" w:rsidR="009906B2" w:rsidRDefault="009906B2" w:rsidP="00E13D3D">
      <w:pPr>
        <w:pStyle w:val="Heading5"/>
        <w:rPr>
          <w:rFonts w:ascii="Arial Bold" w:hAnsi="Arial Bold" w:cs="Arial"/>
          <w:sz w:val="22"/>
          <w:szCs w:val="22"/>
        </w:rPr>
        <w:sectPr w:rsidR="009906B2" w:rsidSect="0097529B">
          <w:footerReference w:type="even" r:id="rId21"/>
          <w:footerReference w:type="default" r:id="rId22"/>
          <w:type w:val="oddPage"/>
          <w:pgSz w:w="11906" w:h="16838" w:code="9"/>
          <w:pgMar w:top="2835" w:right="2098" w:bottom="2466" w:left="2098" w:header="1814" w:footer="1814" w:gutter="0"/>
          <w:cols w:space="708"/>
          <w:titlePg/>
          <w:docGrid w:linePitch="360"/>
        </w:sectPr>
      </w:pPr>
      <w:bookmarkStart w:id="22" w:name="ARC_2_1"/>
      <w:bookmarkStart w:id="23" w:name="_Toc98257448"/>
      <w:bookmarkStart w:id="24" w:name="ARC_Outcome1BudgetedExpensesandPlannedP"/>
    </w:p>
    <w:p w14:paraId="59B451EB" w14:textId="314EBDDE" w:rsidR="001C51FF" w:rsidRDefault="001C51FF">
      <w:pPr>
        <w:spacing w:after="0" w:line="240" w:lineRule="auto"/>
        <w:jc w:val="left"/>
        <w:rPr>
          <w:rFonts w:ascii="Arial Bold" w:hAnsi="Arial Bold" w:cs="Arial"/>
          <w:bCs/>
          <w:iCs/>
          <w:sz w:val="22"/>
          <w:szCs w:val="22"/>
        </w:rPr>
      </w:pPr>
    </w:p>
    <w:p w14:paraId="469CEA3A" w14:textId="55B991B5" w:rsidR="00E13D3D" w:rsidRPr="00BB545B" w:rsidRDefault="007F000E" w:rsidP="00BB545B">
      <w:pPr>
        <w:pStyle w:val="Heading3"/>
      </w:pPr>
      <w:r w:rsidRPr="00BB545B">
        <w:t>2.</w:t>
      </w:r>
      <w:r w:rsidR="00E13D3D" w:rsidRPr="00BB545B">
        <w:t>1 Budgeted expenses and performance for Outcome 1</w:t>
      </w:r>
      <w:bookmarkEnd w:id="22"/>
      <w:bookmarkEnd w:id="23"/>
    </w:p>
    <w:tbl>
      <w:tblPr>
        <w:tblW w:w="7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7770"/>
      </w:tblGrid>
      <w:tr w:rsidR="00E13D3D" w14:paraId="01E535CF" w14:textId="77777777" w:rsidTr="00E13D3D">
        <w:trPr>
          <w:cantSplit/>
          <w:trHeight w:val="23"/>
        </w:trPr>
        <w:tc>
          <w:tcPr>
            <w:tcW w:w="7767"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bookmarkEnd w:id="24"/>
          <w:p w14:paraId="0CD27BD4" w14:textId="6464D224" w:rsidR="00E13D3D" w:rsidRDefault="00E13D3D">
            <w:pPr>
              <w:pStyle w:val="TableColumnHeadingLeft"/>
              <w:rPr>
                <w:rFonts w:cs="Arial"/>
              </w:rPr>
            </w:pPr>
            <w:r>
              <w:rPr>
                <w:rFonts w:cs="Arial"/>
              </w:rPr>
              <w:t xml:space="preserve">Outcome 1: Growth of knowledge and innovation through managing research funding schemes, measuring research </w:t>
            </w:r>
            <w:proofErr w:type="gramStart"/>
            <w:r>
              <w:rPr>
                <w:rFonts w:cs="Arial"/>
              </w:rPr>
              <w:t>excellence</w:t>
            </w:r>
            <w:proofErr w:type="gramEnd"/>
            <w:r>
              <w:rPr>
                <w:rFonts w:cs="Arial"/>
              </w:rPr>
              <w:t xml:space="preserve"> and providing advice.</w:t>
            </w:r>
          </w:p>
        </w:tc>
      </w:tr>
    </w:tbl>
    <w:p w14:paraId="514DE5BE" w14:textId="1822FAEE" w:rsidR="00E13D3D" w:rsidRDefault="00E13D3D" w:rsidP="00E13D3D">
      <w:pPr>
        <w:spacing w:after="0" w:line="240" w:lineRule="auto"/>
        <w:jc w:val="left"/>
        <w:rPr>
          <w:rFonts w:ascii="Arial" w:hAnsi="Arial" w:cs="Arial"/>
        </w:rPr>
      </w:pPr>
    </w:p>
    <w:p w14:paraId="347395EC" w14:textId="792812DC" w:rsidR="00E13D3D" w:rsidRPr="00BB545B" w:rsidRDefault="00E13D3D" w:rsidP="00BB545B">
      <w:pPr>
        <w:pStyle w:val="TableHeading"/>
        <w:rPr>
          <w:rFonts w:cs="Arial"/>
          <w:lang w:val="en-AU"/>
        </w:rPr>
      </w:pPr>
      <w:r w:rsidRPr="00BB545B">
        <w:rPr>
          <w:rFonts w:cs="Arial"/>
          <w:lang w:val="en-AU"/>
        </w:rPr>
        <w:t>Budgeted expenses for Outcome 1</w:t>
      </w:r>
    </w:p>
    <w:p w14:paraId="514B5ECB" w14:textId="27C6715A" w:rsidR="00E13D3D" w:rsidRDefault="00E13D3D" w:rsidP="00E13D3D">
      <w:pPr>
        <w:rPr>
          <w:rFonts w:cs="Arial"/>
        </w:rPr>
      </w:pPr>
      <w:r>
        <w:rPr>
          <w:rFonts w:cs="Arial"/>
        </w:rPr>
        <w:t>This table shows how much ARC intends to spend (on an accrual basis) on achieving the outcome, broken down by program, as well as by administered and departmental funding sources.</w:t>
      </w:r>
    </w:p>
    <w:p w14:paraId="53806657" w14:textId="118316EA" w:rsidR="00E13D3D" w:rsidRDefault="00E13D3D" w:rsidP="00E13D3D">
      <w:pPr>
        <w:pStyle w:val="TableHeading"/>
        <w:rPr>
          <w:rFonts w:cs="Arial"/>
          <w:lang w:val="en-AU"/>
        </w:rPr>
      </w:pPr>
      <w:r>
        <w:rPr>
          <w:rFonts w:cs="Arial"/>
        </w:rPr>
        <w:t>Table 2.</w:t>
      </w:r>
      <w:r>
        <w:rPr>
          <w:rFonts w:cs="Arial"/>
          <w:lang w:val="en-AU"/>
        </w:rPr>
        <w:t>1</w:t>
      </w:r>
      <w:r>
        <w:rPr>
          <w:rFonts w:cs="Arial"/>
        </w:rPr>
        <w:t xml:space="preserve">.1: Budgeted expenses for Outcome </w:t>
      </w:r>
      <w:r>
        <w:rPr>
          <w:rFonts w:cs="Arial"/>
          <w:lang w:val="en-AU"/>
        </w:rPr>
        <w:t>1</w:t>
      </w:r>
    </w:p>
    <w:p w14:paraId="55DD87EF" w14:textId="45CCE5D4" w:rsidR="00E13D3D" w:rsidRDefault="005C32DC" w:rsidP="00E13D3D">
      <w:pPr>
        <w:spacing w:after="0" w:line="240" w:lineRule="auto"/>
        <w:jc w:val="left"/>
        <w:rPr>
          <w:rFonts w:ascii="Arial" w:hAnsi="Arial" w:cs="Arial"/>
          <w:b/>
          <w:color w:val="000000"/>
          <w:lang w:val="x-none" w:eastAsia="x-none"/>
        </w:rPr>
      </w:pPr>
      <w:r w:rsidRPr="005C32DC">
        <w:rPr>
          <w:rFonts w:ascii="Arial" w:hAnsi="Arial" w:cs="Arial"/>
          <w:b/>
          <w:noProof/>
          <w:color w:val="000000"/>
          <w:lang w:val="x-none" w:eastAsia="x-none"/>
        </w:rPr>
        <w:drawing>
          <wp:inline distT="0" distB="0" distL="0" distR="0" wp14:anchorId="5B81E9FB" wp14:editId="59A41B11">
            <wp:extent cx="4895850" cy="43903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4390390"/>
                    </a:xfrm>
                    <a:prstGeom prst="rect">
                      <a:avLst/>
                    </a:prstGeom>
                    <a:noFill/>
                    <a:ln>
                      <a:noFill/>
                    </a:ln>
                  </pic:spPr>
                </pic:pic>
              </a:graphicData>
            </a:graphic>
          </wp:inline>
        </w:drawing>
      </w:r>
    </w:p>
    <w:p w14:paraId="3C19E067" w14:textId="77777777" w:rsidR="00A03A16" w:rsidRDefault="00A03A16">
      <w:pPr>
        <w:spacing w:after="0" w:line="240" w:lineRule="auto"/>
        <w:jc w:val="left"/>
        <w:rPr>
          <w:rFonts w:ascii="Arial" w:hAnsi="Arial" w:cs="Arial"/>
          <w:b/>
          <w:color w:val="000000"/>
          <w:lang w:val="x-none" w:eastAsia="x-none"/>
        </w:rPr>
      </w:pPr>
      <w:r>
        <w:rPr>
          <w:rFonts w:cs="Arial"/>
        </w:rPr>
        <w:br w:type="page"/>
      </w:r>
    </w:p>
    <w:p w14:paraId="2EB4B4EA" w14:textId="5B7895DB" w:rsidR="00E13D3D" w:rsidRDefault="00E13D3D" w:rsidP="00E13D3D">
      <w:pPr>
        <w:pStyle w:val="TableHeading"/>
        <w:rPr>
          <w:rFonts w:cs="Arial"/>
        </w:rPr>
      </w:pPr>
      <w:r>
        <w:rPr>
          <w:rFonts w:cs="Arial"/>
        </w:rPr>
        <w:lastRenderedPageBreak/>
        <w:t>Table 2.1.1: Budgeted expenses for Outcome 1 (continued)</w:t>
      </w:r>
    </w:p>
    <w:p w14:paraId="4D8E13DE" w14:textId="0316607F" w:rsidR="00564255" w:rsidRDefault="002360BF" w:rsidP="00564255">
      <w:pPr>
        <w:pStyle w:val="ChartandTableFootnote"/>
        <w:tabs>
          <w:tab w:val="clear" w:pos="284"/>
        </w:tabs>
        <w:ind w:left="284" w:hanging="284"/>
        <w:rPr>
          <w:rFonts w:cs="Arial"/>
        </w:rPr>
      </w:pPr>
      <w:r w:rsidRPr="002360BF">
        <w:rPr>
          <w:rFonts w:cs="Arial"/>
          <w:noProof/>
        </w:rPr>
        <w:drawing>
          <wp:inline distT="0" distB="0" distL="0" distR="0" wp14:anchorId="03A4D7E9" wp14:editId="705FEC09">
            <wp:extent cx="4895850" cy="2696210"/>
            <wp:effectExtent l="0" t="0" r="0" b="889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2696210"/>
                    </a:xfrm>
                    <a:prstGeom prst="rect">
                      <a:avLst/>
                    </a:prstGeom>
                    <a:noFill/>
                    <a:ln>
                      <a:noFill/>
                    </a:ln>
                  </pic:spPr>
                </pic:pic>
              </a:graphicData>
            </a:graphic>
          </wp:inline>
        </w:drawing>
      </w:r>
      <w:r w:rsidR="00564255" w:rsidRPr="00564255">
        <w:rPr>
          <w:rFonts w:cs="Arial"/>
        </w:rPr>
        <w:t xml:space="preserve"> </w:t>
      </w:r>
    </w:p>
    <w:p w14:paraId="2E6BA6DC" w14:textId="77777777" w:rsidR="00B84DDC" w:rsidRDefault="00E13D3D" w:rsidP="00B84DDC">
      <w:pPr>
        <w:pStyle w:val="ChartandTableFootnote"/>
        <w:tabs>
          <w:tab w:val="clear" w:pos="284"/>
        </w:tabs>
        <w:ind w:left="284" w:hanging="284"/>
        <w:rPr>
          <w:rFonts w:cs="Arial"/>
        </w:rPr>
      </w:pPr>
      <w:r>
        <w:rPr>
          <w:rFonts w:cs="Arial"/>
        </w:rPr>
        <w:t xml:space="preserve">(a) </w:t>
      </w:r>
      <w:r>
        <w:rPr>
          <w:rFonts w:cs="Arial"/>
        </w:rPr>
        <w:tab/>
        <w:t>Estimated expenses incurred in relation to receipts retained under section 74 of the PGPA Act.</w:t>
      </w:r>
    </w:p>
    <w:p w14:paraId="5CB0C8DA" w14:textId="3B25A65A" w:rsidR="00E13D3D" w:rsidRDefault="00E13D3D" w:rsidP="00B84DDC">
      <w:pPr>
        <w:pStyle w:val="ChartandTableFootnote"/>
        <w:tabs>
          <w:tab w:val="clear" w:pos="284"/>
        </w:tabs>
        <w:ind w:left="284" w:hanging="284"/>
        <w:rPr>
          <w:rFonts w:cs="Arial"/>
        </w:rPr>
      </w:pPr>
      <w:r>
        <w:rPr>
          <w:rFonts w:cs="Arial"/>
        </w:rPr>
        <w:t xml:space="preserve">(b) </w:t>
      </w:r>
      <w:r>
        <w:rPr>
          <w:rFonts w:cs="Arial"/>
        </w:rPr>
        <w:tab/>
        <w:t>Expenses not requiring appropriation in the Budget year are made up of depreciation/amortisation expenses excluding depreciation on ROU assets, make good expenses, and audit fees.</w:t>
      </w:r>
      <w:r>
        <w:rPr>
          <w:rFonts w:cs="Arial"/>
        </w:rPr>
        <w:tab/>
      </w:r>
      <w:r>
        <w:rPr>
          <w:rFonts w:cs="Arial"/>
        </w:rPr>
        <w:tab/>
      </w:r>
      <w:r>
        <w:rPr>
          <w:rFonts w:cs="Arial"/>
        </w:rPr>
        <w:tab/>
      </w:r>
      <w:r>
        <w:rPr>
          <w:rFonts w:cs="Arial"/>
        </w:rPr>
        <w:tab/>
      </w:r>
      <w:r>
        <w:rPr>
          <w:rFonts w:cs="Arial"/>
        </w:rPr>
        <w:tab/>
      </w:r>
    </w:p>
    <w:p w14:paraId="051635F4" w14:textId="6EC676A3" w:rsidR="00E13D3D" w:rsidRDefault="00E13D3D" w:rsidP="00E13D3D">
      <w:pPr>
        <w:pStyle w:val="ChartandTableFootnote"/>
        <w:ind w:left="284" w:hanging="284"/>
        <w:rPr>
          <w:rFonts w:cs="Arial"/>
        </w:rPr>
      </w:pPr>
    </w:p>
    <w:p w14:paraId="4020948D" w14:textId="4EC22ECB" w:rsidR="00E13D3D" w:rsidRDefault="00E13D3D" w:rsidP="00E13D3D">
      <w:pPr>
        <w:pStyle w:val="ChartandTableFootnote"/>
        <w:ind w:firstLine="1"/>
        <w:rPr>
          <w:rFonts w:cs="Arial"/>
        </w:rPr>
      </w:pPr>
    </w:p>
    <w:p w14:paraId="3CEFC6EE" w14:textId="6CD5A085" w:rsidR="00E13D3D" w:rsidRDefault="00E13D3D" w:rsidP="00E13D3D">
      <w:pPr>
        <w:pStyle w:val="ChartandTableFootnote"/>
        <w:ind w:left="284" w:hanging="284"/>
        <w:rPr>
          <w:rFonts w:cs="Arial"/>
          <w:szCs w:val="16"/>
        </w:rPr>
      </w:pPr>
      <w:r>
        <w:rPr>
          <w:rFonts w:cs="Arial"/>
        </w:rPr>
        <w:br w:type="page"/>
      </w:r>
    </w:p>
    <w:p w14:paraId="55AF6CE7" w14:textId="1A7C29A0" w:rsidR="00E13D3D" w:rsidRDefault="00E13D3D" w:rsidP="00E13D3D">
      <w:pPr>
        <w:pStyle w:val="TableHeading"/>
        <w:spacing w:after="120"/>
        <w:rPr>
          <w:rFonts w:cs="Arial"/>
          <w:color w:val="000000" w:themeColor="text1"/>
          <w:lang w:val="en-AU"/>
        </w:rPr>
      </w:pPr>
      <w:r>
        <w:rPr>
          <w:rFonts w:cs="Arial"/>
          <w:color w:val="000000" w:themeColor="text1"/>
        </w:rPr>
        <w:lastRenderedPageBreak/>
        <w:t>Table 2.</w:t>
      </w:r>
      <w:r>
        <w:rPr>
          <w:rFonts w:cs="Arial"/>
          <w:color w:val="000000" w:themeColor="text1"/>
          <w:lang w:val="en-AU"/>
        </w:rPr>
        <w:t>1</w:t>
      </w:r>
      <w:r>
        <w:rPr>
          <w:rFonts w:cs="Arial"/>
          <w:color w:val="000000" w:themeColor="text1"/>
        </w:rPr>
        <w:t>.</w:t>
      </w:r>
      <w:r>
        <w:rPr>
          <w:rFonts w:cs="Arial"/>
          <w:color w:val="000000" w:themeColor="text1"/>
          <w:lang w:val="en-AU"/>
        </w:rPr>
        <w:t>2</w:t>
      </w:r>
      <w:r>
        <w:rPr>
          <w:rFonts w:cs="Arial"/>
          <w:color w:val="000000" w:themeColor="text1"/>
        </w:rPr>
        <w:t xml:space="preserve">: Performance </w:t>
      </w:r>
      <w:r>
        <w:rPr>
          <w:rFonts w:cs="Arial"/>
          <w:color w:val="000000" w:themeColor="text1"/>
          <w:lang w:val="en-AU"/>
        </w:rPr>
        <w:t>measures</w:t>
      </w:r>
      <w:r>
        <w:rPr>
          <w:rFonts w:cs="Arial"/>
          <w:color w:val="000000" w:themeColor="text1"/>
        </w:rPr>
        <w:t xml:space="preserve"> for Outcome </w:t>
      </w:r>
      <w:r>
        <w:rPr>
          <w:rFonts w:cs="Arial"/>
          <w:color w:val="000000" w:themeColor="text1"/>
          <w:lang w:val="en-AU"/>
        </w:rPr>
        <w:t>1</w:t>
      </w:r>
    </w:p>
    <w:p w14:paraId="45F1CEF5" w14:textId="2AC31D96" w:rsidR="00E13D3D" w:rsidRDefault="00E13D3D" w:rsidP="00E13D3D">
      <w:pPr>
        <w:rPr>
          <w:rFonts w:cs="Arial"/>
          <w:color w:val="000000" w:themeColor="text1"/>
          <w:lang w:eastAsia="en-US"/>
        </w:rPr>
      </w:pPr>
      <w:r>
        <w:rPr>
          <w:rFonts w:cs="Arial"/>
          <w:color w:val="000000" w:themeColor="text1"/>
        </w:rPr>
        <w:t>Table 2.1.2 details the performance measures for each program associated with Outcome</w:t>
      </w:r>
      <w:r w:rsidR="001F6D18">
        <w:rPr>
          <w:rFonts w:cs="Arial"/>
          <w:color w:val="000000" w:themeColor="text1"/>
        </w:rPr>
        <w:t> </w:t>
      </w:r>
      <w:r>
        <w:rPr>
          <w:rFonts w:cs="Arial"/>
          <w:color w:val="000000" w:themeColor="text1"/>
        </w:rPr>
        <w:t xml:space="preserve">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1F6D18">
        <w:rPr>
          <w:rFonts w:cs="Arial"/>
          <w:color w:val="000000" w:themeColor="text1"/>
        </w:rPr>
        <w:br/>
      </w:r>
      <w:r>
        <w:rPr>
          <w:rFonts w:cs="Arial"/>
          <w:color w:val="000000" w:themeColor="text1"/>
        </w:rPr>
        <w:t>2022–23 Budget measures that have created new programs or materially changed existing programs are provided.</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656"/>
        <w:gridCol w:w="3617"/>
      </w:tblGrid>
      <w:tr w:rsidR="00E13D3D" w14:paraId="77E71080" w14:textId="77777777" w:rsidTr="00553EB9">
        <w:trPr>
          <w:trHeight w:val="56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689D5C33" w14:textId="44CF73CF" w:rsidR="00E13D3D" w:rsidRPr="001F6D18" w:rsidRDefault="00E13D3D">
            <w:pPr>
              <w:pStyle w:val="TableColumnHeadingLeft"/>
              <w:rPr>
                <w:rFonts w:cs="Arial"/>
                <w:sz w:val="18"/>
                <w:szCs w:val="18"/>
              </w:rPr>
            </w:pPr>
            <w:bookmarkStart w:id="25" w:name="ARC_3_0"/>
            <w:r w:rsidRPr="001F6D18">
              <w:rPr>
                <w:rFonts w:cs="Arial"/>
                <w:sz w:val="18"/>
                <w:szCs w:val="18"/>
              </w:rPr>
              <w:t xml:space="preserve">Outcome 1 – Growth of knowledge and innovation through managing research funding schemes, measuring research </w:t>
            </w:r>
            <w:proofErr w:type="gramStart"/>
            <w:r w:rsidRPr="001F6D18">
              <w:rPr>
                <w:rFonts w:cs="Arial"/>
                <w:sz w:val="18"/>
                <w:szCs w:val="18"/>
              </w:rPr>
              <w:t>excellence</w:t>
            </w:r>
            <w:proofErr w:type="gramEnd"/>
            <w:r w:rsidRPr="001F6D18">
              <w:rPr>
                <w:rFonts w:cs="Arial"/>
                <w:sz w:val="18"/>
                <w:szCs w:val="18"/>
              </w:rPr>
              <w:t xml:space="preserve"> and providing advice.</w:t>
            </w:r>
          </w:p>
        </w:tc>
      </w:tr>
      <w:tr w:rsidR="00E13D3D" w14:paraId="52FAF805" w14:textId="77777777" w:rsidTr="00553EB9">
        <w:trPr>
          <w:trHeight w:val="167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767107FE" w14:textId="1D2A2036" w:rsidR="00E13D3D" w:rsidRDefault="00E13D3D">
            <w:pPr>
              <w:tabs>
                <w:tab w:val="left" w:pos="709"/>
              </w:tabs>
              <w:spacing w:before="60" w:after="0"/>
              <w:rPr>
                <w:rFonts w:ascii="Arial" w:eastAsia="Arial" w:hAnsi="Arial" w:cs="Arial"/>
                <w:b/>
                <w:bCs/>
                <w:iCs/>
                <w:sz w:val="18"/>
                <w:szCs w:val="18"/>
              </w:rPr>
            </w:pPr>
            <w:r>
              <w:rPr>
                <w:rFonts w:ascii="Arial" w:hAnsi="Arial" w:cs="Arial"/>
                <w:b/>
                <w:sz w:val="18"/>
                <w:szCs w:val="18"/>
              </w:rPr>
              <w:t>Program 1.1-</w:t>
            </w:r>
            <w:r>
              <w:rPr>
                <w:rFonts w:ascii="Arial" w:hAnsi="Arial" w:cs="Arial"/>
                <w:sz w:val="18"/>
                <w:szCs w:val="18"/>
              </w:rPr>
              <w:t xml:space="preserve"> </w:t>
            </w:r>
            <w:r>
              <w:rPr>
                <w:rFonts w:ascii="Arial" w:eastAsia="Arial" w:hAnsi="Arial" w:cs="Arial"/>
                <w:b/>
                <w:bCs/>
                <w:iCs/>
                <w:sz w:val="18"/>
                <w:szCs w:val="18"/>
              </w:rPr>
              <w:t>Discovery – Research and Research Training</w:t>
            </w:r>
          </w:p>
          <w:p w14:paraId="694C8119" w14:textId="69A6B00A" w:rsidR="00E13D3D" w:rsidRDefault="00E13D3D">
            <w:pPr>
              <w:tabs>
                <w:tab w:val="left" w:pos="709"/>
              </w:tabs>
              <w:spacing w:after="120" w:line="240" w:lineRule="auto"/>
              <w:rPr>
                <w:rFonts w:ascii="Arial" w:hAnsi="Arial" w:cs="Arial"/>
                <w:iCs/>
                <w:sz w:val="18"/>
                <w:szCs w:val="18"/>
              </w:rPr>
            </w:pPr>
            <w:r>
              <w:rPr>
                <w:rFonts w:ascii="Arial" w:hAnsi="Arial" w:cs="Arial"/>
                <w:iCs/>
                <w:sz w:val="18"/>
                <w:szCs w:val="18"/>
              </w:rPr>
              <w:t xml:space="preserve">Through the Discovery Program, the ARC aims to build Australia’s research capacity by supporting excellent, internationally competitive research projects, </w:t>
            </w:r>
            <w:proofErr w:type="gramStart"/>
            <w:r>
              <w:rPr>
                <w:rFonts w:ascii="Arial" w:hAnsi="Arial" w:cs="Arial"/>
                <w:iCs/>
                <w:sz w:val="18"/>
                <w:szCs w:val="18"/>
              </w:rPr>
              <w:t>fellowships</w:t>
            </w:r>
            <w:proofErr w:type="gramEnd"/>
            <w:r>
              <w:rPr>
                <w:rFonts w:ascii="Arial" w:hAnsi="Arial" w:cs="Arial"/>
                <w:iCs/>
                <w:sz w:val="18"/>
                <w:szCs w:val="18"/>
              </w:rPr>
              <w:t xml:space="preserve"> and awards. </w:t>
            </w:r>
          </w:p>
          <w:p w14:paraId="37019697" w14:textId="68361D65" w:rsidR="00E13D3D" w:rsidRDefault="00E13D3D">
            <w:pPr>
              <w:tabs>
                <w:tab w:val="left" w:pos="709"/>
              </w:tabs>
              <w:spacing w:after="0" w:line="240" w:lineRule="auto"/>
              <w:rPr>
                <w:rFonts w:ascii="Arial" w:hAnsi="Arial" w:cs="Arial"/>
                <w:sz w:val="18"/>
                <w:szCs w:val="18"/>
              </w:rPr>
            </w:pPr>
            <w:r>
              <w:rPr>
                <w:rFonts w:ascii="Arial" w:hAnsi="Arial" w:cs="Arial"/>
                <w:iCs/>
                <w:sz w:val="18"/>
                <w:szCs w:val="18"/>
              </w:rPr>
              <w:t>This contributes to Outcome 1 by: supporting excellent, internationally competitive research; providing training and career opportunities for current and emerging researchers; fostering international engagement; and encouraging research that aligns with national priorities.</w:t>
            </w:r>
          </w:p>
        </w:tc>
      </w:tr>
      <w:tr w:rsidR="00E13D3D" w14:paraId="0BB7AE63" w14:textId="77777777" w:rsidTr="00E13D3D">
        <w:trPr>
          <w:trHeight w:val="1127"/>
        </w:trPr>
        <w:tc>
          <w:tcPr>
            <w:tcW w:w="912" w:type="pct"/>
            <w:tcBorders>
              <w:top w:val="single" w:sz="4" w:space="0" w:color="auto"/>
              <w:left w:val="single" w:sz="4" w:space="0" w:color="auto"/>
              <w:bottom w:val="single" w:sz="4" w:space="0" w:color="auto"/>
              <w:right w:val="single" w:sz="4" w:space="0" w:color="auto"/>
            </w:tcBorders>
          </w:tcPr>
          <w:p w14:paraId="0109B781" w14:textId="2883F148" w:rsidR="00E13D3D" w:rsidRDefault="00AE609B">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r w:rsidR="00E13D3D">
              <w:rPr>
                <w:rFonts w:ascii="Arial" w:hAnsi="Arial" w:cs="Arial"/>
                <w:b/>
                <w:sz w:val="16"/>
                <w:szCs w:val="16"/>
              </w:rPr>
              <w:t xml:space="preserve"> </w:t>
            </w:r>
          </w:p>
          <w:p w14:paraId="6CD1819D" w14:textId="42B0AF12" w:rsidR="00E13D3D" w:rsidRDefault="00E13D3D">
            <w:pPr>
              <w:tabs>
                <w:tab w:val="left" w:pos="709"/>
              </w:tabs>
              <w:spacing w:before="60" w:after="60" w:line="240" w:lineRule="auto"/>
              <w:jc w:val="left"/>
              <w:rPr>
                <w:rFonts w:ascii="Arial" w:hAnsi="Arial" w:cs="Arial"/>
                <w:bCs/>
                <w:color w:val="FF0000"/>
                <w:sz w:val="18"/>
                <w:szCs w:val="18"/>
              </w:rPr>
            </w:pPr>
          </w:p>
        </w:tc>
        <w:tc>
          <w:tcPr>
            <w:tcW w:w="4088" w:type="pct"/>
            <w:gridSpan w:val="2"/>
            <w:tcBorders>
              <w:top w:val="single" w:sz="4" w:space="0" w:color="auto"/>
              <w:left w:val="single" w:sz="4" w:space="0" w:color="auto"/>
              <w:bottom w:val="single" w:sz="4" w:space="0" w:color="auto"/>
              <w:right w:val="single" w:sz="4" w:space="0" w:color="auto"/>
            </w:tcBorders>
            <w:hideMark/>
          </w:tcPr>
          <w:p w14:paraId="3C665541" w14:textId="2005006D" w:rsidR="00E13D3D" w:rsidRDefault="00E13D3D" w:rsidP="00EF4228">
            <w:pPr>
              <w:pStyle w:val="ListParagraph"/>
              <w:numPr>
                <w:ilvl w:val="0"/>
                <w:numId w:val="33"/>
              </w:numPr>
              <w:tabs>
                <w:tab w:val="left" w:pos="709"/>
              </w:tabs>
              <w:spacing w:before="60" w:after="60" w:line="240" w:lineRule="auto"/>
              <w:jc w:val="both"/>
              <w:rPr>
                <w:rFonts w:ascii="Arial" w:hAnsi="Arial" w:cs="Arial"/>
                <w:bCs/>
                <w:iCs/>
                <w:sz w:val="16"/>
                <w:szCs w:val="16"/>
              </w:rPr>
            </w:pPr>
            <w:r>
              <w:rPr>
                <w:rFonts w:ascii="Arial" w:hAnsi="Arial" w:cs="Arial"/>
                <w:bCs/>
                <w:iCs/>
                <w:sz w:val="16"/>
                <w:szCs w:val="16"/>
              </w:rPr>
              <w:t>Policy and Strategy</w:t>
            </w:r>
          </w:p>
          <w:p w14:paraId="3CE16F50" w14:textId="1BB90EBA" w:rsidR="00E13D3D" w:rsidRDefault="00E13D3D" w:rsidP="00EF4228">
            <w:pPr>
              <w:pStyle w:val="ListParagraph"/>
              <w:numPr>
                <w:ilvl w:val="0"/>
                <w:numId w:val="33"/>
              </w:numPr>
              <w:tabs>
                <w:tab w:val="left" w:pos="709"/>
              </w:tabs>
              <w:spacing w:before="60" w:after="60" w:line="240" w:lineRule="auto"/>
              <w:jc w:val="both"/>
              <w:rPr>
                <w:rFonts w:ascii="Arial" w:hAnsi="Arial" w:cs="Arial"/>
                <w:bCs/>
                <w:iCs/>
                <w:sz w:val="16"/>
                <w:szCs w:val="16"/>
              </w:rPr>
            </w:pPr>
            <w:r>
              <w:rPr>
                <w:rFonts w:ascii="Arial" w:hAnsi="Arial" w:cs="Arial"/>
                <w:bCs/>
                <w:iCs/>
                <w:sz w:val="16"/>
                <w:szCs w:val="16"/>
              </w:rPr>
              <w:t xml:space="preserve">Program Implementation and Management </w:t>
            </w:r>
          </w:p>
          <w:p w14:paraId="2F781B97" w14:textId="584AD479" w:rsidR="00E13D3D" w:rsidRDefault="00E13D3D" w:rsidP="00EF4228">
            <w:pPr>
              <w:pStyle w:val="ListParagraph"/>
              <w:numPr>
                <w:ilvl w:val="0"/>
                <w:numId w:val="33"/>
              </w:numPr>
              <w:tabs>
                <w:tab w:val="left" w:pos="709"/>
              </w:tabs>
              <w:spacing w:before="60" w:after="60" w:line="240" w:lineRule="auto"/>
              <w:jc w:val="both"/>
              <w:rPr>
                <w:rFonts w:ascii="Arial" w:hAnsi="Arial" w:cs="Arial"/>
                <w:bCs/>
                <w:iCs/>
                <w:sz w:val="16"/>
                <w:szCs w:val="16"/>
              </w:rPr>
            </w:pPr>
            <w:r>
              <w:rPr>
                <w:rFonts w:ascii="Arial" w:hAnsi="Arial" w:cs="Arial"/>
                <w:bCs/>
                <w:iCs/>
                <w:sz w:val="16"/>
                <w:szCs w:val="16"/>
              </w:rPr>
              <w:t>Assurance</w:t>
            </w:r>
          </w:p>
          <w:p w14:paraId="2DC74D4B" w14:textId="4DC4B1D4" w:rsidR="00E13D3D" w:rsidRDefault="00E13D3D" w:rsidP="00EF4228">
            <w:pPr>
              <w:pStyle w:val="ListParagraph"/>
              <w:numPr>
                <w:ilvl w:val="0"/>
                <w:numId w:val="33"/>
              </w:numPr>
              <w:tabs>
                <w:tab w:val="left" w:pos="709"/>
              </w:tabs>
              <w:spacing w:before="60" w:after="60" w:line="240" w:lineRule="auto"/>
              <w:rPr>
                <w:rFonts w:ascii="Arial" w:hAnsi="Arial" w:cs="Arial"/>
                <w:iCs/>
                <w:sz w:val="16"/>
                <w:szCs w:val="16"/>
              </w:rPr>
            </w:pPr>
            <w:r>
              <w:rPr>
                <w:rFonts w:ascii="Arial" w:hAnsi="Arial" w:cs="Arial"/>
                <w:iCs/>
                <w:sz w:val="16"/>
                <w:szCs w:val="16"/>
              </w:rPr>
              <w:t>Relationships, Networks and Engagement</w:t>
            </w:r>
          </w:p>
          <w:p w14:paraId="51ECFD21" w14:textId="72515B6E" w:rsidR="00E13D3D" w:rsidRDefault="00E13D3D" w:rsidP="00EF4228">
            <w:pPr>
              <w:pStyle w:val="ListParagraph"/>
              <w:numPr>
                <w:ilvl w:val="0"/>
                <w:numId w:val="33"/>
              </w:numPr>
              <w:tabs>
                <w:tab w:val="left" w:pos="709"/>
              </w:tabs>
              <w:spacing w:before="60" w:after="60" w:line="240" w:lineRule="auto"/>
              <w:rPr>
                <w:rFonts w:ascii="Arial" w:hAnsi="Arial" w:cs="Arial"/>
                <w:iCs/>
                <w:sz w:val="18"/>
                <w:szCs w:val="18"/>
              </w:rPr>
            </w:pPr>
            <w:r>
              <w:rPr>
                <w:rFonts w:ascii="Arial" w:hAnsi="Arial" w:cs="Arial"/>
                <w:iCs/>
                <w:sz w:val="16"/>
                <w:szCs w:val="16"/>
              </w:rPr>
              <w:t>Evaluation and Analysis</w:t>
            </w:r>
          </w:p>
        </w:tc>
      </w:tr>
      <w:tr w:rsidR="00E13D3D" w14:paraId="08F79365" w14:textId="77777777" w:rsidTr="00553EB9">
        <w:trPr>
          <w:trHeight w:val="258"/>
        </w:trPr>
        <w:tc>
          <w:tcPr>
            <w:tcW w:w="912" w:type="pct"/>
            <w:tcBorders>
              <w:top w:val="single" w:sz="4" w:space="0" w:color="auto"/>
              <w:left w:val="single" w:sz="4" w:space="0" w:color="auto"/>
              <w:bottom w:val="single" w:sz="4" w:space="0" w:color="auto"/>
              <w:right w:val="single" w:sz="4" w:space="0" w:color="auto"/>
            </w:tcBorders>
            <w:shd w:val="clear" w:color="auto" w:fill="E6E6E6"/>
            <w:hideMark/>
          </w:tcPr>
          <w:p w14:paraId="20A9C5D0" w14:textId="181F3C10" w:rsidR="00E13D3D" w:rsidRDefault="00E13D3D">
            <w:pPr>
              <w:pStyle w:val="TableTextBase"/>
              <w:rPr>
                <w:b/>
                <w:sz w:val="16"/>
                <w:szCs w:val="16"/>
              </w:rPr>
            </w:pPr>
            <w:r>
              <w:rPr>
                <w:rFonts w:cs="Arial"/>
                <w:b/>
                <w:sz w:val="16"/>
                <w:szCs w:val="16"/>
              </w:rPr>
              <w:t>Year</w:t>
            </w:r>
          </w:p>
        </w:tc>
        <w:tc>
          <w:tcPr>
            <w:tcW w:w="1731" w:type="pct"/>
            <w:tcBorders>
              <w:top w:val="single" w:sz="4" w:space="0" w:color="auto"/>
              <w:left w:val="single" w:sz="4" w:space="0" w:color="auto"/>
              <w:bottom w:val="single" w:sz="4" w:space="0" w:color="auto"/>
              <w:right w:val="single" w:sz="4" w:space="0" w:color="auto"/>
            </w:tcBorders>
            <w:shd w:val="clear" w:color="auto" w:fill="E6E6E6"/>
            <w:hideMark/>
          </w:tcPr>
          <w:p w14:paraId="2C1678BB" w14:textId="73667F2B" w:rsidR="00E13D3D" w:rsidRDefault="00E13D3D">
            <w:pPr>
              <w:pStyle w:val="TableTextBase"/>
              <w:rPr>
                <w:b/>
                <w:sz w:val="16"/>
                <w:szCs w:val="16"/>
              </w:rPr>
            </w:pPr>
            <w:r>
              <w:rPr>
                <w:rFonts w:cs="Arial"/>
                <w:b/>
                <w:sz w:val="16"/>
                <w:szCs w:val="16"/>
              </w:rPr>
              <w:t>Performance measures</w:t>
            </w:r>
          </w:p>
        </w:tc>
        <w:tc>
          <w:tcPr>
            <w:tcW w:w="2357" w:type="pct"/>
            <w:tcBorders>
              <w:top w:val="single" w:sz="4" w:space="0" w:color="auto"/>
              <w:left w:val="single" w:sz="4" w:space="0" w:color="auto"/>
              <w:bottom w:val="single" w:sz="4" w:space="0" w:color="auto"/>
              <w:right w:val="single" w:sz="4" w:space="0" w:color="auto"/>
            </w:tcBorders>
            <w:shd w:val="clear" w:color="auto" w:fill="E6E6E6"/>
          </w:tcPr>
          <w:p w14:paraId="7522724D" w14:textId="508D8952" w:rsidR="00E13D3D" w:rsidRDefault="00AE609B">
            <w:pPr>
              <w:pStyle w:val="TableTextBase"/>
              <w:rPr>
                <w:b/>
                <w:sz w:val="16"/>
                <w:szCs w:val="16"/>
              </w:rPr>
            </w:pPr>
            <w:r>
              <w:rPr>
                <w:rFonts w:cs="Arial"/>
                <w:b/>
                <w:sz w:val="16"/>
                <w:szCs w:val="16"/>
              </w:rPr>
              <w:t>Expected performance results</w:t>
            </w:r>
          </w:p>
          <w:p w14:paraId="4587E20B" w14:textId="5FF87157" w:rsidR="00E13D3D" w:rsidRDefault="00E13D3D">
            <w:pPr>
              <w:pStyle w:val="TableTextBase"/>
              <w:rPr>
                <w:rFonts w:cs="Arial"/>
                <w:b/>
                <w:sz w:val="16"/>
                <w:szCs w:val="16"/>
              </w:rPr>
            </w:pPr>
          </w:p>
        </w:tc>
      </w:tr>
      <w:tr w:rsidR="00E13D3D" w14:paraId="7874BE92" w14:textId="77777777" w:rsidTr="009F5A6F">
        <w:trPr>
          <w:trHeight w:val="1146"/>
        </w:trPr>
        <w:tc>
          <w:tcPr>
            <w:tcW w:w="912" w:type="pct"/>
            <w:tcBorders>
              <w:top w:val="single" w:sz="4" w:space="0" w:color="auto"/>
              <w:left w:val="single" w:sz="4" w:space="0" w:color="auto"/>
              <w:bottom w:val="nil"/>
              <w:right w:val="single" w:sz="4" w:space="0" w:color="auto"/>
            </w:tcBorders>
            <w:hideMark/>
          </w:tcPr>
          <w:p w14:paraId="44FB7AA4" w14:textId="77777777" w:rsidR="009F5A6F" w:rsidRDefault="00E13D3D" w:rsidP="009F5A6F">
            <w:pPr>
              <w:tabs>
                <w:tab w:val="left" w:pos="709"/>
              </w:tabs>
              <w:spacing w:before="60" w:after="60" w:line="240" w:lineRule="auto"/>
              <w:rPr>
                <w:rFonts w:ascii="Arial" w:hAnsi="Arial" w:cs="Arial"/>
                <w:sz w:val="16"/>
                <w:szCs w:val="16"/>
              </w:rPr>
            </w:pPr>
            <w:r>
              <w:rPr>
                <w:rFonts w:ascii="Arial" w:hAnsi="Arial" w:cs="Arial"/>
                <w:sz w:val="16"/>
                <w:szCs w:val="16"/>
              </w:rPr>
              <w:t xml:space="preserve">Current year </w:t>
            </w:r>
          </w:p>
          <w:p w14:paraId="15D1C14E" w14:textId="2709FB54" w:rsidR="00E13D3D" w:rsidRDefault="00E13D3D" w:rsidP="009F5A6F">
            <w:pPr>
              <w:tabs>
                <w:tab w:val="left" w:pos="709"/>
              </w:tabs>
              <w:spacing w:before="60" w:after="60" w:line="240" w:lineRule="auto"/>
              <w:rPr>
                <w:rFonts w:ascii="Arial" w:hAnsi="Arial" w:cs="Arial"/>
                <w:sz w:val="16"/>
                <w:szCs w:val="16"/>
              </w:rPr>
            </w:pPr>
            <w:r>
              <w:rPr>
                <w:rFonts w:ascii="Arial" w:hAnsi="Arial" w:cs="Arial"/>
                <w:sz w:val="16"/>
                <w:szCs w:val="16"/>
              </w:rPr>
              <w:t>20</w:t>
            </w:r>
            <w:r w:rsidR="001A5C33">
              <w:rPr>
                <w:rFonts w:ascii="Arial" w:hAnsi="Arial" w:cs="Arial"/>
                <w:sz w:val="16"/>
                <w:szCs w:val="16"/>
              </w:rPr>
              <w:t xml:space="preserve">21–22 </w:t>
            </w:r>
          </w:p>
        </w:tc>
        <w:tc>
          <w:tcPr>
            <w:tcW w:w="1731" w:type="pct"/>
            <w:tcBorders>
              <w:top w:val="single" w:sz="4" w:space="0" w:color="auto"/>
              <w:left w:val="single" w:sz="4" w:space="0" w:color="auto"/>
              <w:bottom w:val="single" w:sz="4" w:space="0" w:color="auto"/>
              <w:right w:val="single" w:sz="4" w:space="0" w:color="auto"/>
            </w:tcBorders>
          </w:tcPr>
          <w:p w14:paraId="2AF17B58" w14:textId="148A42C9" w:rsidR="00E13D3D" w:rsidRDefault="00E13D3D">
            <w:pPr>
              <w:spacing w:before="60" w:after="60" w:line="240" w:lineRule="auto"/>
              <w:jc w:val="left"/>
              <w:rPr>
                <w:rFonts w:ascii="Arial" w:hAnsi="Arial" w:cs="Arial"/>
                <w:sz w:val="16"/>
                <w:szCs w:val="16"/>
              </w:rPr>
            </w:pPr>
            <w:r>
              <w:rPr>
                <w:rFonts w:ascii="Arial" w:hAnsi="Arial" w:cs="Arial"/>
                <w:sz w:val="16"/>
                <w:szCs w:val="16"/>
              </w:rPr>
              <w:t>NCGP applications and assessment processes are conducted in a timely manner.</w:t>
            </w:r>
          </w:p>
          <w:p w14:paraId="0D15A6AE" w14:textId="1730D377" w:rsidR="00E13D3D" w:rsidRDefault="00E13D3D">
            <w:pPr>
              <w:pStyle w:val="PBS16TableNormal"/>
            </w:pPr>
          </w:p>
        </w:tc>
        <w:tc>
          <w:tcPr>
            <w:tcW w:w="2357" w:type="pct"/>
            <w:tcBorders>
              <w:top w:val="single" w:sz="4" w:space="0" w:color="auto"/>
              <w:left w:val="single" w:sz="4" w:space="0" w:color="auto"/>
              <w:bottom w:val="single" w:sz="4" w:space="0" w:color="auto"/>
              <w:right w:val="single" w:sz="4" w:space="0" w:color="auto"/>
            </w:tcBorders>
            <w:hideMark/>
          </w:tcPr>
          <w:p w14:paraId="12A80E2C" w14:textId="1D4A94F1" w:rsidR="00E13D3D" w:rsidRDefault="00E13D3D">
            <w:pPr>
              <w:pStyle w:val="PBS16TableNormal"/>
              <w:rPr>
                <w:iCs/>
              </w:rPr>
            </w:pPr>
            <w:r>
              <w:rPr>
                <w:b/>
                <w:bCs/>
                <w:iCs/>
              </w:rPr>
              <w:t>Target:</w:t>
            </w:r>
            <w:r>
              <w:rPr>
                <w:iCs/>
              </w:rPr>
              <w:t xml:space="preserve"> 100% of Discovery Program application recommendations are made to the Minister within 8 months of scheme round closing dates.</w:t>
            </w:r>
          </w:p>
          <w:p w14:paraId="543460DC" w14:textId="032D037F" w:rsidR="00E13D3D" w:rsidRDefault="00E13D3D">
            <w:pPr>
              <w:pStyle w:val="PBS16TableNormal"/>
              <w:rPr>
                <w:iCs/>
              </w:rPr>
            </w:pPr>
            <w:r>
              <w:rPr>
                <w:b/>
                <w:bCs/>
                <w:iCs/>
              </w:rPr>
              <w:t>Expected performance:</w:t>
            </w:r>
            <w:r>
              <w:rPr>
                <w:iCs/>
              </w:rPr>
              <w:t xml:space="preserve"> </w:t>
            </w:r>
            <w:r>
              <w:t>Not on track</w:t>
            </w:r>
            <w:r>
              <w:rPr>
                <w:iCs/>
              </w:rPr>
              <w:t xml:space="preserve"> to meet the target. </w:t>
            </w:r>
          </w:p>
        </w:tc>
      </w:tr>
      <w:tr w:rsidR="0038204B" w14:paraId="4914BBBC" w14:textId="77777777" w:rsidTr="00B032F3">
        <w:trPr>
          <w:trHeight w:val="1120"/>
        </w:trPr>
        <w:tc>
          <w:tcPr>
            <w:tcW w:w="912" w:type="pct"/>
            <w:vMerge w:val="restart"/>
            <w:tcBorders>
              <w:top w:val="nil"/>
              <w:left w:val="single" w:sz="4" w:space="0" w:color="auto"/>
              <w:right w:val="single" w:sz="4" w:space="0" w:color="auto"/>
            </w:tcBorders>
          </w:tcPr>
          <w:p w14:paraId="31BFE166" w14:textId="23D30D80" w:rsidR="0038204B" w:rsidRDefault="0038204B">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2936D15C" w14:textId="5B12BA16" w:rsidR="0038204B" w:rsidRDefault="0038204B">
            <w:pPr>
              <w:pStyle w:val="PBS16TableNormal"/>
            </w:pPr>
            <w:r>
              <w:t xml:space="preserve">ARC meets Commonwealth Grants Rules and Guidelines (CGRG) requirements to publish information about grant opportunities and grant awards. </w:t>
            </w:r>
          </w:p>
        </w:tc>
        <w:tc>
          <w:tcPr>
            <w:tcW w:w="2357" w:type="pct"/>
            <w:tcBorders>
              <w:top w:val="single" w:sz="4" w:space="0" w:color="auto"/>
              <w:left w:val="single" w:sz="4" w:space="0" w:color="auto"/>
              <w:bottom w:val="single" w:sz="4" w:space="0" w:color="auto"/>
              <w:right w:val="single" w:sz="4" w:space="0" w:color="auto"/>
            </w:tcBorders>
            <w:hideMark/>
          </w:tcPr>
          <w:p w14:paraId="370A7EF4" w14:textId="285960B6" w:rsidR="0038204B" w:rsidRDefault="0038204B">
            <w:pPr>
              <w:pStyle w:val="PBS16TableNormal"/>
            </w:pPr>
            <w:r>
              <w:rPr>
                <w:b/>
                <w:bCs/>
              </w:rPr>
              <w:t>Target:</w:t>
            </w:r>
            <w:r>
              <w:t xml:space="preserve"> 100% of Discovery Program grant opportunities and grant awards are published on </w:t>
            </w:r>
            <w:proofErr w:type="spellStart"/>
            <w:r>
              <w:t>GrantConnect</w:t>
            </w:r>
            <w:proofErr w:type="spellEnd"/>
            <w:r>
              <w:t>.</w:t>
            </w:r>
          </w:p>
          <w:p w14:paraId="28B529E3" w14:textId="0A5A77EB" w:rsidR="0038204B" w:rsidRDefault="0038204B">
            <w:pPr>
              <w:pStyle w:val="PBS16TableNormal"/>
              <w:rPr>
                <w:b/>
                <w:bCs/>
                <w:iCs/>
              </w:rPr>
            </w:pPr>
            <w:r>
              <w:rPr>
                <w:b/>
                <w:bCs/>
              </w:rPr>
              <w:t>Expected performance:</w:t>
            </w:r>
            <w:r>
              <w:t xml:space="preserve"> On track to meet the target.</w:t>
            </w:r>
          </w:p>
        </w:tc>
      </w:tr>
      <w:tr w:rsidR="0038204B" w14:paraId="41ADA6AA" w14:textId="77777777" w:rsidTr="00B032F3">
        <w:trPr>
          <w:trHeight w:val="1264"/>
        </w:trPr>
        <w:tc>
          <w:tcPr>
            <w:tcW w:w="912" w:type="pct"/>
            <w:vMerge/>
            <w:tcBorders>
              <w:left w:val="single" w:sz="4" w:space="0" w:color="auto"/>
              <w:right w:val="single" w:sz="4" w:space="0" w:color="auto"/>
            </w:tcBorders>
          </w:tcPr>
          <w:p w14:paraId="3B730612" w14:textId="4E0292AF" w:rsidR="0038204B" w:rsidRDefault="0038204B">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46BCB429" w14:textId="572BF17C" w:rsidR="0038204B" w:rsidRDefault="0038204B">
            <w:pPr>
              <w:tabs>
                <w:tab w:val="left" w:pos="709"/>
              </w:tabs>
              <w:spacing w:before="60" w:after="60" w:line="240" w:lineRule="auto"/>
              <w:jc w:val="left"/>
              <w:rPr>
                <w:rFonts w:ascii="Arial" w:hAnsi="Arial" w:cs="Arial"/>
                <w:sz w:val="16"/>
                <w:szCs w:val="16"/>
              </w:rPr>
            </w:pPr>
            <w:r>
              <w:rPr>
                <w:rFonts w:ascii="Arial" w:hAnsi="Arial" w:cs="Arial"/>
                <w:sz w:val="16"/>
                <w:szCs w:val="16"/>
              </w:rPr>
              <w:t>ARC manages NCGP application and assessment processes fairly and in accordance with Grant Guidelines.</w:t>
            </w:r>
          </w:p>
        </w:tc>
        <w:tc>
          <w:tcPr>
            <w:tcW w:w="2357" w:type="pct"/>
            <w:tcBorders>
              <w:top w:val="single" w:sz="4" w:space="0" w:color="auto"/>
              <w:left w:val="single" w:sz="4" w:space="0" w:color="auto"/>
              <w:bottom w:val="single" w:sz="4" w:space="0" w:color="auto"/>
              <w:right w:val="single" w:sz="4" w:space="0" w:color="auto"/>
            </w:tcBorders>
            <w:hideMark/>
          </w:tcPr>
          <w:p w14:paraId="505857A5" w14:textId="76FFFFD3" w:rsidR="0038204B" w:rsidRDefault="0038204B">
            <w:pPr>
              <w:tabs>
                <w:tab w:val="left" w:pos="709"/>
              </w:tabs>
              <w:spacing w:before="60" w:after="60" w:line="240" w:lineRule="auto"/>
              <w:jc w:val="left"/>
              <w:rPr>
                <w:rFonts w:ascii="Arial" w:hAnsi="Arial" w:cs="Arial"/>
                <w:iCs/>
                <w:sz w:val="16"/>
                <w:szCs w:val="16"/>
              </w:rPr>
            </w:pPr>
            <w:r>
              <w:rPr>
                <w:rFonts w:ascii="Arial" w:hAnsi="Arial" w:cs="Arial"/>
                <w:b/>
                <w:bCs/>
                <w:iCs/>
                <w:sz w:val="16"/>
                <w:szCs w:val="16"/>
              </w:rPr>
              <w:t>Target:</w:t>
            </w:r>
            <w:r>
              <w:rPr>
                <w:rFonts w:ascii="Arial" w:hAnsi="Arial" w:cs="Arial"/>
                <w:iCs/>
                <w:sz w:val="16"/>
                <w:szCs w:val="16"/>
              </w:rPr>
              <w:t xml:space="preserve"> The percentage of upheld appeals against administrative processes related to Discovery Program applications is &lt;1% of submitted applications.</w:t>
            </w:r>
          </w:p>
          <w:p w14:paraId="68272B1B" w14:textId="2B9F635A" w:rsidR="0038204B" w:rsidRDefault="0038204B">
            <w:pPr>
              <w:pStyle w:val="PBS16TableNormal"/>
              <w:rPr>
                <w:iCs/>
              </w:rPr>
            </w:pPr>
            <w:r>
              <w:rPr>
                <w:b/>
                <w:bCs/>
                <w:iCs/>
              </w:rPr>
              <w:t>Expected performance:</w:t>
            </w:r>
            <w:r>
              <w:rPr>
                <w:iCs/>
              </w:rPr>
              <w:t xml:space="preserve"> </w:t>
            </w:r>
            <w:r>
              <w:t>On track to meet the target.</w:t>
            </w:r>
            <w:r>
              <w:rPr>
                <w:iCs/>
              </w:rPr>
              <w:t xml:space="preserve"> </w:t>
            </w:r>
          </w:p>
        </w:tc>
      </w:tr>
      <w:tr w:rsidR="0038204B" w14:paraId="4C985235" w14:textId="77777777" w:rsidTr="00B032F3">
        <w:trPr>
          <w:trHeight w:val="985"/>
        </w:trPr>
        <w:tc>
          <w:tcPr>
            <w:tcW w:w="912" w:type="pct"/>
            <w:vMerge/>
            <w:tcBorders>
              <w:left w:val="single" w:sz="4" w:space="0" w:color="auto"/>
              <w:bottom w:val="single" w:sz="4" w:space="0" w:color="auto"/>
              <w:right w:val="single" w:sz="4" w:space="0" w:color="auto"/>
            </w:tcBorders>
          </w:tcPr>
          <w:p w14:paraId="3DDFAB43" w14:textId="252578C8" w:rsidR="0038204B" w:rsidRDefault="0038204B">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48BA0B92" w14:textId="3BBF8177" w:rsidR="0038204B" w:rsidRDefault="0038204B">
            <w:pPr>
              <w:tabs>
                <w:tab w:val="left" w:pos="709"/>
              </w:tabs>
              <w:spacing w:before="60" w:after="60" w:line="240" w:lineRule="auto"/>
              <w:jc w:val="left"/>
              <w:rPr>
                <w:rFonts w:ascii="Arial" w:hAnsi="Arial" w:cs="Arial"/>
                <w:sz w:val="16"/>
                <w:szCs w:val="16"/>
              </w:rPr>
            </w:pPr>
            <w:r>
              <w:rPr>
                <w:rFonts w:ascii="Arial" w:hAnsi="Arial" w:cs="Arial"/>
                <w:sz w:val="16"/>
                <w:szCs w:val="16"/>
              </w:rPr>
              <w:t>Proportion of ARC-funded research projects that involved international collaboration.</w:t>
            </w:r>
          </w:p>
        </w:tc>
        <w:tc>
          <w:tcPr>
            <w:tcW w:w="2357" w:type="pct"/>
            <w:tcBorders>
              <w:top w:val="single" w:sz="4" w:space="0" w:color="auto"/>
              <w:left w:val="single" w:sz="4" w:space="0" w:color="auto"/>
              <w:bottom w:val="single" w:sz="4" w:space="0" w:color="auto"/>
              <w:right w:val="single" w:sz="4" w:space="0" w:color="auto"/>
            </w:tcBorders>
            <w:hideMark/>
          </w:tcPr>
          <w:p w14:paraId="245ABEE6" w14:textId="2613237E" w:rsidR="0038204B" w:rsidRDefault="0038204B">
            <w:pPr>
              <w:tabs>
                <w:tab w:val="left" w:pos="709"/>
              </w:tabs>
              <w:spacing w:before="60" w:after="60" w:line="240" w:lineRule="auto"/>
              <w:jc w:val="left"/>
              <w:rPr>
                <w:rFonts w:ascii="Arial" w:hAnsi="Arial" w:cs="Arial"/>
                <w:sz w:val="16"/>
                <w:szCs w:val="16"/>
              </w:rPr>
            </w:pPr>
            <w:r>
              <w:rPr>
                <w:rFonts w:ascii="Arial" w:hAnsi="Arial" w:cs="Arial"/>
                <w:b/>
                <w:bCs/>
                <w:iCs/>
                <w:sz w:val="16"/>
                <w:szCs w:val="16"/>
              </w:rPr>
              <w:t>Target:</w:t>
            </w:r>
            <w:r>
              <w:rPr>
                <w:rFonts w:ascii="Arial" w:hAnsi="Arial" w:cs="Arial"/>
                <w:iCs/>
                <w:sz w:val="16"/>
                <w:szCs w:val="16"/>
              </w:rPr>
              <w:t xml:space="preserve"> 70% </w:t>
            </w:r>
            <w:r>
              <w:rPr>
                <w:rFonts w:ascii="Arial" w:hAnsi="Arial" w:cs="Arial"/>
                <w:sz w:val="16"/>
                <w:szCs w:val="16"/>
              </w:rPr>
              <w:t>of Discovery Program research projects involve international collaboration.</w:t>
            </w:r>
          </w:p>
          <w:p w14:paraId="485A55BF" w14:textId="7F6E4C57" w:rsidR="0038204B" w:rsidRDefault="0038204B">
            <w:pPr>
              <w:pStyle w:val="PBS16TableNormal"/>
              <w:rPr>
                <w:iCs/>
              </w:rPr>
            </w:pPr>
            <w:r>
              <w:rPr>
                <w:b/>
                <w:bCs/>
                <w:iCs/>
              </w:rPr>
              <w:t>Expected performance:</w:t>
            </w:r>
            <w:r>
              <w:rPr>
                <w:iCs/>
              </w:rPr>
              <w:t xml:space="preserve"> O</w:t>
            </w:r>
            <w:r>
              <w:t>n track</w:t>
            </w:r>
            <w:r>
              <w:rPr>
                <w:iCs/>
              </w:rPr>
              <w:t xml:space="preserve"> to meet the target. </w:t>
            </w:r>
          </w:p>
        </w:tc>
      </w:tr>
    </w:tbl>
    <w:p w14:paraId="79183889" w14:textId="77777777" w:rsidR="00553EB9" w:rsidRDefault="00553EB9"/>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656"/>
        <w:gridCol w:w="3617"/>
      </w:tblGrid>
      <w:tr w:rsidR="00E13D3D" w14:paraId="73581DB5" w14:textId="77777777" w:rsidTr="00D13EF1">
        <w:trPr>
          <w:trHeight w:val="1401"/>
        </w:trPr>
        <w:tc>
          <w:tcPr>
            <w:tcW w:w="912" w:type="pct"/>
            <w:tcBorders>
              <w:top w:val="single" w:sz="4" w:space="0" w:color="auto"/>
              <w:left w:val="single" w:sz="4" w:space="0" w:color="auto"/>
              <w:bottom w:val="single" w:sz="4" w:space="0" w:color="auto"/>
              <w:right w:val="single" w:sz="4" w:space="0" w:color="auto"/>
            </w:tcBorders>
          </w:tcPr>
          <w:p w14:paraId="02566162" w14:textId="77777777" w:rsidR="00D13EF1" w:rsidRDefault="00D13EF1" w:rsidP="00D13EF1">
            <w:pPr>
              <w:tabs>
                <w:tab w:val="left" w:pos="709"/>
              </w:tabs>
              <w:spacing w:before="60" w:after="60" w:line="240" w:lineRule="auto"/>
              <w:rPr>
                <w:rFonts w:ascii="Arial" w:hAnsi="Arial" w:cs="Arial"/>
                <w:sz w:val="16"/>
                <w:szCs w:val="16"/>
              </w:rPr>
            </w:pPr>
            <w:r>
              <w:rPr>
                <w:rFonts w:ascii="Arial" w:hAnsi="Arial" w:cs="Arial"/>
                <w:sz w:val="16"/>
                <w:szCs w:val="16"/>
              </w:rPr>
              <w:lastRenderedPageBreak/>
              <w:t xml:space="preserve">Current year </w:t>
            </w:r>
          </w:p>
          <w:p w14:paraId="57FF8A92" w14:textId="77777777" w:rsidR="00D13EF1" w:rsidRDefault="00D13EF1" w:rsidP="00D13EF1">
            <w:pPr>
              <w:tabs>
                <w:tab w:val="left" w:pos="709"/>
              </w:tabs>
              <w:spacing w:before="60" w:after="60" w:line="240" w:lineRule="auto"/>
              <w:rPr>
                <w:rFonts w:ascii="Arial" w:hAnsi="Arial" w:cs="Arial"/>
                <w:sz w:val="16"/>
                <w:szCs w:val="16"/>
              </w:rPr>
            </w:pPr>
            <w:r w:rsidRPr="00D13EF1">
              <w:rPr>
                <w:rFonts w:ascii="Arial" w:hAnsi="Arial" w:cs="Arial"/>
                <w:sz w:val="16"/>
                <w:szCs w:val="16"/>
              </w:rPr>
              <w:t xml:space="preserve">2021–22 </w:t>
            </w:r>
          </w:p>
          <w:p w14:paraId="0A96A295" w14:textId="0173F04A" w:rsidR="0038204B" w:rsidRPr="00D13EF1" w:rsidRDefault="00D13EF1" w:rsidP="00D13EF1">
            <w:pPr>
              <w:tabs>
                <w:tab w:val="left" w:pos="709"/>
              </w:tabs>
              <w:spacing w:before="60" w:after="60" w:line="240" w:lineRule="auto"/>
              <w:rPr>
                <w:rFonts w:ascii="Arial" w:hAnsi="Arial" w:cs="Arial"/>
                <w:sz w:val="16"/>
                <w:szCs w:val="16"/>
              </w:rPr>
            </w:pPr>
            <w:r>
              <w:rPr>
                <w:rFonts w:ascii="Arial" w:hAnsi="Arial" w:cs="Arial"/>
                <w:sz w:val="16"/>
                <w:szCs w:val="16"/>
              </w:rPr>
              <w:t>(</w:t>
            </w:r>
            <w:r w:rsidRPr="00D13EF1">
              <w:rPr>
                <w:rFonts w:ascii="Arial" w:hAnsi="Arial" w:cs="Arial"/>
                <w:sz w:val="16"/>
                <w:szCs w:val="16"/>
              </w:rPr>
              <w:t>continued)</w:t>
            </w:r>
          </w:p>
        </w:tc>
        <w:tc>
          <w:tcPr>
            <w:tcW w:w="1731" w:type="pct"/>
            <w:tcBorders>
              <w:top w:val="single" w:sz="4" w:space="0" w:color="auto"/>
              <w:left w:val="single" w:sz="4" w:space="0" w:color="auto"/>
              <w:bottom w:val="single" w:sz="4" w:space="0" w:color="auto"/>
              <w:right w:val="single" w:sz="4" w:space="0" w:color="auto"/>
            </w:tcBorders>
            <w:hideMark/>
          </w:tcPr>
          <w:p w14:paraId="4FE7F41C" w14:textId="372A3CAC" w:rsidR="00E13D3D" w:rsidRDefault="00E13D3D">
            <w:pPr>
              <w:tabs>
                <w:tab w:val="left" w:pos="709"/>
              </w:tabs>
              <w:spacing w:before="60" w:after="60" w:line="240" w:lineRule="auto"/>
              <w:jc w:val="left"/>
              <w:rPr>
                <w:rFonts w:ascii="Arial" w:hAnsi="Arial" w:cs="Arial"/>
                <w:sz w:val="16"/>
                <w:szCs w:val="16"/>
              </w:rPr>
            </w:pPr>
            <w:r>
              <w:rPr>
                <w:rFonts w:ascii="Arial" w:hAnsi="Arial" w:cs="Arial"/>
                <w:sz w:val="16"/>
                <w:szCs w:val="16"/>
              </w:rPr>
              <w:t>Proportion of ARC-funded research projects that indicate their research will involve research in one of the Australian Government’s National Science and Research Priority areas.</w:t>
            </w:r>
          </w:p>
        </w:tc>
        <w:tc>
          <w:tcPr>
            <w:tcW w:w="2357" w:type="pct"/>
            <w:tcBorders>
              <w:top w:val="single" w:sz="4" w:space="0" w:color="auto"/>
              <w:left w:val="single" w:sz="4" w:space="0" w:color="auto"/>
              <w:bottom w:val="single" w:sz="4" w:space="0" w:color="auto"/>
              <w:right w:val="single" w:sz="4" w:space="0" w:color="auto"/>
            </w:tcBorders>
            <w:hideMark/>
          </w:tcPr>
          <w:p w14:paraId="108CC90A" w14:textId="6B9F25FA" w:rsidR="00E13D3D" w:rsidRDefault="00E13D3D">
            <w:pPr>
              <w:tabs>
                <w:tab w:val="left" w:pos="709"/>
              </w:tabs>
              <w:spacing w:before="60" w:after="60" w:line="240" w:lineRule="auto"/>
              <w:jc w:val="left"/>
              <w:rPr>
                <w:rFonts w:ascii="Arial" w:hAnsi="Arial" w:cs="Arial"/>
                <w:sz w:val="16"/>
                <w:szCs w:val="16"/>
              </w:rPr>
            </w:pPr>
            <w:r>
              <w:rPr>
                <w:rFonts w:ascii="Arial" w:hAnsi="Arial" w:cs="Arial"/>
                <w:b/>
                <w:bCs/>
                <w:iCs/>
                <w:sz w:val="16"/>
                <w:szCs w:val="16"/>
              </w:rPr>
              <w:t>Target:</w:t>
            </w:r>
            <w:r>
              <w:rPr>
                <w:rFonts w:ascii="Arial" w:hAnsi="Arial" w:cs="Arial"/>
                <w:iCs/>
                <w:sz w:val="16"/>
                <w:szCs w:val="16"/>
              </w:rPr>
              <w:t xml:space="preserve"> 60% </w:t>
            </w:r>
            <w:r>
              <w:rPr>
                <w:rFonts w:ascii="Arial" w:hAnsi="Arial" w:cs="Arial"/>
                <w:sz w:val="16"/>
                <w:szCs w:val="16"/>
              </w:rPr>
              <w:t xml:space="preserve">of Discovery Program research projects contribute to the Australian Government’s National Science and Research Priority areas. </w:t>
            </w:r>
          </w:p>
          <w:p w14:paraId="04094992" w14:textId="252D6897" w:rsidR="00E13D3D" w:rsidRDefault="00E13D3D">
            <w:pPr>
              <w:tabs>
                <w:tab w:val="left" w:pos="709"/>
              </w:tabs>
              <w:spacing w:before="60" w:after="60" w:line="240" w:lineRule="auto"/>
              <w:jc w:val="left"/>
              <w:rPr>
                <w:rFonts w:ascii="Arial" w:hAnsi="Arial" w:cs="Arial"/>
                <w:b/>
                <w:bCs/>
                <w:iCs/>
                <w:sz w:val="16"/>
                <w:szCs w:val="16"/>
              </w:rPr>
            </w:pPr>
            <w:r>
              <w:rPr>
                <w:rFonts w:ascii="Arial" w:hAnsi="Arial" w:cs="Arial"/>
                <w:b/>
                <w:bCs/>
                <w:iCs/>
                <w:sz w:val="16"/>
                <w:szCs w:val="16"/>
              </w:rPr>
              <w:t>Expected performance:</w:t>
            </w:r>
            <w:r>
              <w:rPr>
                <w:rFonts w:ascii="Arial" w:hAnsi="Arial" w:cs="Arial"/>
                <w:iCs/>
                <w:sz w:val="16"/>
                <w:szCs w:val="16"/>
              </w:rPr>
              <w:t xml:space="preserve"> </w:t>
            </w:r>
            <w:r>
              <w:rPr>
                <w:rFonts w:ascii="Arial" w:hAnsi="Arial" w:cs="Arial"/>
                <w:sz w:val="16"/>
                <w:szCs w:val="16"/>
              </w:rPr>
              <w:t>On track to meet the target.</w:t>
            </w:r>
            <w:r>
              <w:rPr>
                <w:rFonts w:ascii="Arial" w:hAnsi="Arial" w:cs="Arial"/>
                <w:iCs/>
                <w:sz w:val="16"/>
                <w:szCs w:val="16"/>
              </w:rPr>
              <w:t xml:space="preserve"> </w:t>
            </w:r>
          </w:p>
        </w:tc>
      </w:tr>
      <w:tr w:rsidR="00E13D3D" w14:paraId="1157C761" w14:textId="77777777" w:rsidTr="00553EB9">
        <w:trPr>
          <w:trHeight w:val="405"/>
        </w:trPr>
        <w:tc>
          <w:tcPr>
            <w:tcW w:w="912" w:type="pct"/>
            <w:tcBorders>
              <w:top w:val="single" w:sz="4" w:space="0" w:color="auto"/>
              <w:left w:val="single" w:sz="4" w:space="0" w:color="auto"/>
              <w:bottom w:val="single" w:sz="4" w:space="0" w:color="auto"/>
              <w:right w:val="single" w:sz="4" w:space="0" w:color="auto"/>
            </w:tcBorders>
            <w:shd w:val="clear" w:color="auto" w:fill="E6E6E6"/>
            <w:hideMark/>
          </w:tcPr>
          <w:p w14:paraId="1678A763" w14:textId="606546BE" w:rsidR="00E13D3D" w:rsidRDefault="00E13D3D">
            <w:pPr>
              <w:pStyle w:val="TableTextBase"/>
              <w:rPr>
                <w:b/>
                <w:sz w:val="16"/>
                <w:szCs w:val="16"/>
              </w:rPr>
            </w:pPr>
            <w:r>
              <w:rPr>
                <w:rFonts w:cs="Arial"/>
                <w:b/>
                <w:sz w:val="16"/>
                <w:szCs w:val="16"/>
              </w:rPr>
              <w:t>Year</w:t>
            </w:r>
          </w:p>
        </w:tc>
        <w:tc>
          <w:tcPr>
            <w:tcW w:w="1731" w:type="pct"/>
            <w:tcBorders>
              <w:top w:val="single" w:sz="4" w:space="0" w:color="auto"/>
              <w:left w:val="single" w:sz="4" w:space="0" w:color="auto"/>
              <w:bottom w:val="single" w:sz="4" w:space="0" w:color="auto"/>
              <w:right w:val="single" w:sz="4" w:space="0" w:color="auto"/>
            </w:tcBorders>
            <w:shd w:val="clear" w:color="auto" w:fill="E6E6E6"/>
            <w:hideMark/>
          </w:tcPr>
          <w:p w14:paraId="2DBA338B" w14:textId="4D4BE4E4" w:rsidR="00E13D3D" w:rsidRDefault="00E13D3D">
            <w:pPr>
              <w:pStyle w:val="TableTextBase"/>
              <w:rPr>
                <w:b/>
                <w:sz w:val="16"/>
                <w:szCs w:val="16"/>
              </w:rPr>
            </w:pPr>
            <w:r>
              <w:rPr>
                <w:rFonts w:cs="Arial"/>
                <w:b/>
                <w:sz w:val="16"/>
                <w:szCs w:val="16"/>
              </w:rPr>
              <w:t>Performance measures</w:t>
            </w:r>
          </w:p>
        </w:tc>
        <w:tc>
          <w:tcPr>
            <w:tcW w:w="2357" w:type="pct"/>
            <w:tcBorders>
              <w:top w:val="single" w:sz="4" w:space="0" w:color="auto"/>
              <w:left w:val="single" w:sz="4" w:space="0" w:color="auto"/>
              <w:bottom w:val="single" w:sz="4" w:space="0" w:color="auto"/>
              <w:right w:val="single" w:sz="4" w:space="0" w:color="auto"/>
            </w:tcBorders>
            <w:shd w:val="clear" w:color="auto" w:fill="E6E6E6"/>
          </w:tcPr>
          <w:p w14:paraId="5B582646" w14:textId="4CB42AB0" w:rsidR="00E13D3D" w:rsidRDefault="00AE609B">
            <w:pPr>
              <w:pStyle w:val="TableTextBase"/>
              <w:rPr>
                <w:b/>
                <w:sz w:val="16"/>
                <w:szCs w:val="16"/>
              </w:rPr>
            </w:pPr>
            <w:r>
              <w:rPr>
                <w:rFonts w:cs="Arial"/>
                <w:b/>
                <w:sz w:val="16"/>
                <w:szCs w:val="16"/>
              </w:rPr>
              <w:t>Planned performance results</w:t>
            </w:r>
          </w:p>
          <w:p w14:paraId="5FC12FE8" w14:textId="3FE9D413" w:rsidR="00E13D3D" w:rsidRDefault="00E13D3D">
            <w:pPr>
              <w:pStyle w:val="TableTextBase"/>
              <w:rPr>
                <w:rFonts w:cs="Arial"/>
                <w:b/>
                <w:sz w:val="16"/>
                <w:szCs w:val="16"/>
              </w:rPr>
            </w:pPr>
          </w:p>
        </w:tc>
      </w:tr>
      <w:tr w:rsidR="00E13D3D" w14:paraId="6EE025D8" w14:textId="77777777" w:rsidTr="005C5DBB">
        <w:trPr>
          <w:trHeight w:val="723"/>
        </w:trPr>
        <w:tc>
          <w:tcPr>
            <w:tcW w:w="912" w:type="pct"/>
            <w:tcBorders>
              <w:top w:val="single" w:sz="4" w:space="0" w:color="auto"/>
              <w:left w:val="single" w:sz="4" w:space="0" w:color="auto"/>
              <w:bottom w:val="nil"/>
              <w:right w:val="single" w:sz="4" w:space="0" w:color="auto"/>
            </w:tcBorders>
            <w:hideMark/>
          </w:tcPr>
          <w:p w14:paraId="6F887D85" w14:textId="37D77222" w:rsidR="00E13D3D" w:rsidRDefault="00E13D3D">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62445ABD" w14:textId="14AA1853" w:rsidR="00E13D3D" w:rsidRDefault="00E13D3D">
            <w:pPr>
              <w:tabs>
                <w:tab w:val="left" w:pos="709"/>
              </w:tabs>
              <w:spacing w:before="60" w:after="60" w:line="240" w:lineRule="auto"/>
              <w:rPr>
                <w:rFonts w:ascii="Arial" w:hAnsi="Arial" w:cs="Arial"/>
                <w:sz w:val="16"/>
                <w:szCs w:val="16"/>
              </w:rPr>
            </w:pPr>
            <w:r>
              <w:rPr>
                <w:rFonts w:ascii="Arial" w:hAnsi="Arial" w:cs="Arial"/>
                <w:sz w:val="16"/>
                <w:szCs w:val="16"/>
              </w:rPr>
              <w:t>20</w:t>
            </w:r>
            <w:r w:rsidR="001A5C33">
              <w:rPr>
                <w:rFonts w:ascii="Arial" w:hAnsi="Arial" w:cs="Arial"/>
                <w:sz w:val="16"/>
                <w:szCs w:val="16"/>
              </w:rPr>
              <w:t>22–23</w:t>
            </w:r>
          </w:p>
        </w:tc>
        <w:tc>
          <w:tcPr>
            <w:tcW w:w="1731" w:type="pct"/>
            <w:tcBorders>
              <w:top w:val="single" w:sz="4" w:space="0" w:color="auto"/>
              <w:left w:val="single" w:sz="4" w:space="0" w:color="auto"/>
              <w:bottom w:val="single" w:sz="4" w:space="0" w:color="auto"/>
              <w:right w:val="single" w:sz="4" w:space="0" w:color="auto"/>
            </w:tcBorders>
            <w:hideMark/>
          </w:tcPr>
          <w:p w14:paraId="7359F593" w14:textId="1A5BFDDE" w:rsidR="00E13D3D" w:rsidRDefault="00E13D3D">
            <w:pPr>
              <w:tabs>
                <w:tab w:val="left" w:pos="709"/>
              </w:tabs>
              <w:spacing w:before="60" w:after="60" w:line="240" w:lineRule="auto"/>
              <w:jc w:val="left"/>
              <w:rPr>
                <w:rFonts w:ascii="Arial" w:hAnsi="Arial" w:cs="Arial"/>
                <w:iCs/>
                <w:sz w:val="16"/>
                <w:szCs w:val="16"/>
              </w:rPr>
            </w:pPr>
            <w:r>
              <w:rPr>
                <w:rFonts w:ascii="Arial" w:hAnsi="Arial" w:cs="Arial"/>
                <w:sz w:val="16"/>
                <w:szCs w:val="16"/>
              </w:rPr>
              <w:t>NCGP applications and assessment processes are conducted in a timely manner.</w:t>
            </w:r>
          </w:p>
        </w:tc>
        <w:tc>
          <w:tcPr>
            <w:tcW w:w="2357" w:type="pct"/>
            <w:tcBorders>
              <w:top w:val="single" w:sz="4" w:space="0" w:color="auto"/>
              <w:left w:val="single" w:sz="4" w:space="0" w:color="auto"/>
              <w:bottom w:val="single" w:sz="4" w:space="0" w:color="auto"/>
              <w:right w:val="single" w:sz="4" w:space="0" w:color="auto"/>
            </w:tcBorders>
            <w:hideMark/>
          </w:tcPr>
          <w:p w14:paraId="5D2EFE57" w14:textId="2367326B" w:rsidR="00E13D3D" w:rsidRDefault="00E13D3D">
            <w:pPr>
              <w:pStyle w:val="PBS16TableNormal"/>
              <w:rPr>
                <w:iCs/>
              </w:rPr>
            </w:pPr>
            <w:r>
              <w:rPr>
                <w:b/>
                <w:bCs/>
                <w:iCs/>
              </w:rPr>
              <w:t>Target:</w:t>
            </w:r>
            <w:r>
              <w:rPr>
                <w:iCs/>
              </w:rPr>
              <w:t xml:space="preserve"> 100% of Discovery Program application recommendations are made to the Minister within 8 months of scheme round closing dates.</w:t>
            </w:r>
          </w:p>
        </w:tc>
      </w:tr>
      <w:tr w:rsidR="00E13D3D" w14:paraId="0BA774D7" w14:textId="77777777" w:rsidTr="009F5A6F">
        <w:trPr>
          <w:trHeight w:val="839"/>
        </w:trPr>
        <w:tc>
          <w:tcPr>
            <w:tcW w:w="912" w:type="pct"/>
            <w:tcBorders>
              <w:top w:val="nil"/>
              <w:left w:val="single" w:sz="4" w:space="0" w:color="auto"/>
              <w:bottom w:val="nil"/>
              <w:right w:val="single" w:sz="4" w:space="0" w:color="auto"/>
            </w:tcBorders>
          </w:tcPr>
          <w:p w14:paraId="2818D24C" w14:textId="05E0ADCA" w:rsidR="00E13D3D" w:rsidRDefault="00E13D3D">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5B4866C7" w14:textId="6850B266" w:rsidR="00E13D3D" w:rsidRDefault="00E13D3D">
            <w:pPr>
              <w:tabs>
                <w:tab w:val="left" w:pos="709"/>
              </w:tabs>
              <w:spacing w:before="60" w:after="60" w:line="240" w:lineRule="auto"/>
              <w:jc w:val="left"/>
              <w:rPr>
                <w:rFonts w:ascii="Arial" w:hAnsi="Arial" w:cs="Arial"/>
                <w:iCs/>
                <w:sz w:val="16"/>
                <w:szCs w:val="16"/>
              </w:rPr>
            </w:pPr>
            <w:r>
              <w:rPr>
                <w:rFonts w:ascii="Arial" w:hAnsi="Arial" w:cs="Arial"/>
                <w:sz w:val="16"/>
                <w:szCs w:val="16"/>
              </w:rPr>
              <w:t>ARC manages NCGP application and assessment processes fairly and in accordance with Grant Guidelines.</w:t>
            </w:r>
          </w:p>
        </w:tc>
        <w:tc>
          <w:tcPr>
            <w:tcW w:w="2357" w:type="pct"/>
            <w:tcBorders>
              <w:top w:val="single" w:sz="4" w:space="0" w:color="auto"/>
              <w:left w:val="single" w:sz="4" w:space="0" w:color="auto"/>
              <w:bottom w:val="single" w:sz="4" w:space="0" w:color="auto"/>
              <w:right w:val="single" w:sz="4" w:space="0" w:color="auto"/>
            </w:tcBorders>
            <w:hideMark/>
          </w:tcPr>
          <w:p w14:paraId="039BD0D7" w14:textId="3701470D" w:rsidR="00E13D3D" w:rsidRDefault="00E13D3D">
            <w:pPr>
              <w:tabs>
                <w:tab w:val="left" w:pos="709"/>
              </w:tabs>
              <w:spacing w:before="60" w:after="60" w:line="240" w:lineRule="auto"/>
              <w:jc w:val="left"/>
              <w:rPr>
                <w:rFonts w:ascii="Arial" w:hAnsi="Arial" w:cs="Arial"/>
                <w:iCs/>
                <w:sz w:val="16"/>
                <w:szCs w:val="16"/>
              </w:rPr>
            </w:pPr>
            <w:r>
              <w:rPr>
                <w:rFonts w:ascii="Arial" w:hAnsi="Arial" w:cs="Arial"/>
                <w:b/>
                <w:bCs/>
                <w:iCs/>
                <w:sz w:val="16"/>
                <w:szCs w:val="16"/>
              </w:rPr>
              <w:t>Target:</w:t>
            </w:r>
            <w:r>
              <w:rPr>
                <w:rFonts w:ascii="Arial" w:hAnsi="Arial" w:cs="Arial"/>
                <w:iCs/>
                <w:sz w:val="16"/>
                <w:szCs w:val="16"/>
              </w:rPr>
              <w:t xml:space="preserve"> The percentage of upheld appeals against administrative processes related to Discovery Program applications is &lt;1% of submitted applications.</w:t>
            </w:r>
          </w:p>
        </w:tc>
      </w:tr>
      <w:tr w:rsidR="00E13D3D" w14:paraId="675D6F48" w14:textId="77777777" w:rsidTr="009F5A6F">
        <w:trPr>
          <w:trHeight w:val="539"/>
        </w:trPr>
        <w:tc>
          <w:tcPr>
            <w:tcW w:w="912" w:type="pct"/>
            <w:tcBorders>
              <w:top w:val="nil"/>
              <w:left w:val="single" w:sz="4" w:space="0" w:color="auto"/>
              <w:bottom w:val="nil"/>
              <w:right w:val="single" w:sz="4" w:space="0" w:color="auto"/>
            </w:tcBorders>
          </w:tcPr>
          <w:p w14:paraId="323A2071" w14:textId="382E4F6A" w:rsidR="00E13D3D" w:rsidRDefault="00E13D3D">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7AFB5BB3" w14:textId="738F389E" w:rsidR="00E13D3D" w:rsidRDefault="00E13D3D">
            <w:pPr>
              <w:tabs>
                <w:tab w:val="left" w:pos="709"/>
              </w:tabs>
              <w:spacing w:before="60" w:after="60" w:line="240" w:lineRule="auto"/>
              <w:jc w:val="left"/>
              <w:rPr>
                <w:rFonts w:ascii="Arial" w:hAnsi="Arial" w:cs="Arial"/>
                <w:iCs/>
                <w:sz w:val="16"/>
                <w:szCs w:val="16"/>
              </w:rPr>
            </w:pPr>
            <w:r>
              <w:rPr>
                <w:rFonts w:ascii="Arial" w:hAnsi="Arial" w:cs="Arial"/>
                <w:sz w:val="16"/>
                <w:szCs w:val="16"/>
              </w:rPr>
              <w:t>Proportion of ARC-funded research projects that involved international collaboration.</w:t>
            </w:r>
          </w:p>
        </w:tc>
        <w:tc>
          <w:tcPr>
            <w:tcW w:w="2357" w:type="pct"/>
            <w:tcBorders>
              <w:top w:val="single" w:sz="4" w:space="0" w:color="auto"/>
              <w:left w:val="single" w:sz="4" w:space="0" w:color="auto"/>
              <w:bottom w:val="single" w:sz="4" w:space="0" w:color="auto"/>
              <w:right w:val="single" w:sz="4" w:space="0" w:color="auto"/>
            </w:tcBorders>
            <w:hideMark/>
          </w:tcPr>
          <w:p w14:paraId="17F9DB44" w14:textId="3D845491" w:rsidR="00E13D3D" w:rsidRDefault="00E13D3D">
            <w:pPr>
              <w:tabs>
                <w:tab w:val="left" w:pos="709"/>
              </w:tabs>
              <w:spacing w:before="60" w:after="60" w:line="240" w:lineRule="auto"/>
              <w:jc w:val="left"/>
              <w:rPr>
                <w:rFonts w:ascii="Arial" w:hAnsi="Arial" w:cs="Arial"/>
                <w:sz w:val="16"/>
                <w:szCs w:val="16"/>
              </w:rPr>
            </w:pPr>
            <w:r>
              <w:rPr>
                <w:rFonts w:ascii="Arial" w:hAnsi="Arial" w:cs="Arial"/>
                <w:b/>
                <w:bCs/>
                <w:iCs/>
                <w:sz w:val="16"/>
                <w:szCs w:val="16"/>
              </w:rPr>
              <w:t>Target:</w:t>
            </w:r>
            <w:r>
              <w:rPr>
                <w:rFonts w:ascii="Arial" w:hAnsi="Arial" w:cs="Arial"/>
                <w:iCs/>
                <w:sz w:val="16"/>
                <w:szCs w:val="16"/>
              </w:rPr>
              <w:t xml:space="preserve"> 70% </w:t>
            </w:r>
            <w:r>
              <w:rPr>
                <w:rFonts w:ascii="Arial" w:hAnsi="Arial" w:cs="Arial"/>
                <w:sz w:val="16"/>
                <w:szCs w:val="16"/>
              </w:rPr>
              <w:t>of Discovery Program research projects involve international collaboration.</w:t>
            </w:r>
          </w:p>
        </w:tc>
      </w:tr>
      <w:tr w:rsidR="00E13D3D" w14:paraId="71F3C774" w14:textId="77777777" w:rsidTr="009F5A6F">
        <w:trPr>
          <w:trHeight w:val="988"/>
        </w:trPr>
        <w:tc>
          <w:tcPr>
            <w:tcW w:w="912" w:type="pct"/>
            <w:tcBorders>
              <w:top w:val="nil"/>
              <w:left w:val="single" w:sz="4" w:space="0" w:color="auto"/>
              <w:bottom w:val="single" w:sz="4" w:space="0" w:color="auto"/>
              <w:right w:val="single" w:sz="4" w:space="0" w:color="auto"/>
            </w:tcBorders>
          </w:tcPr>
          <w:p w14:paraId="0683041D" w14:textId="436453B2" w:rsidR="00E13D3D" w:rsidRDefault="00E13D3D">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6B416FAD" w14:textId="3CBCD2EF" w:rsidR="00E13D3D" w:rsidRDefault="00E13D3D">
            <w:pPr>
              <w:tabs>
                <w:tab w:val="left" w:pos="709"/>
              </w:tabs>
              <w:spacing w:before="60" w:after="60" w:line="240" w:lineRule="auto"/>
              <w:jc w:val="left"/>
              <w:rPr>
                <w:rFonts w:ascii="Arial" w:hAnsi="Arial" w:cs="Arial"/>
                <w:iCs/>
                <w:sz w:val="16"/>
                <w:szCs w:val="16"/>
              </w:rPr>
            </w:pPr>
            <w:r>
              <w:rPr>
                <w:rFonts w:ascii="Arial" w:hAnsi="Arial" w:cs="Arial"/>
                <w:sz w:val="16"/>
                <w:szCs w:val="16"/>
              </w:rPr>
              <w:t>Proportion of ARC-funded research projects that indicate their research will involve research in one of the Australian Government priority areas.</w:t>
            </w:r>
          </w:p>
        </w:tc>
        <w:tc>
          <w:tcPr>
            <w:tcW w:w="2357" w:type="pct"/>
            <w:tcBorders>
              <w:top w:val="single" w:sz="4" w:space="0" w:color="auto"/>
              <w:left w:val="single" w:sz="4" w:space="0" w:color="auto"/>
              <w:bottom w:val="single" w:sz="4" w:space="0" w:color="auto"/>
              <w:right w:val="single" w:sz="4" w:space="0" w:color="auto"/>
            </w:tcBorders>
          </w:tcPr>
          <w:p w14:paraId="486620F4" w14:textId="7FB91D89" w:rsidR="00E13D3D" w:rsidRDefault="00E13D3D">
            <w:pPr>
              <w:tabs>
                <w:tab w:val="left" w:pos="709"/>
              </w:tabs>
              <w:spacing w:before="60" w:after="60" w:line="240" w:lineRule="auto"/>
              <w:jc w:val="left"/>
              <w:rPr>
                <w:rFonts w:ascii="Arial" w:hAnsi="Arial" w:cs="Arial"/>
                <w:sz w:val="16"/>
                <w:szCs w:val="16"/>
              </w:rPr>
            </w:pPr>
            <w:r>
              <w:rPr>
                <w:rFonts w:ascii="Arial" w:hAnsi="Arial" w:cs="Arial"/>
                <w:b/>
                <w:bCs/>
                <w:iCs/>
                <w:sz w:val="16"/>
                <w:szCs w:val="16"/>
              </w:rPr>
              <w:t>Target:</w:t>
            </w:r>
            <w:r>
              <w:rPr>
                <w:rFonts w:ascii="Arial" w:hAnsi="Arial" w:cs="Arial"/>
                <w:iCs/>
                <w:sz w:val="16"/>
                <w:szCs w:val="16"/>
              </w:rPr>
              <w:t xml:space="preserve"> 60% </w:t>
            </w:r>
            <w:r>
              <w:rPr>
                <w:rFonts w:ascii="Arial" w:hAnsi="Arial" w:cs="Arial"/>
                <w:sz w:val="16"/>
                <w:szCs w:val="16"/>
              </w:rPr>
              <w:t xml:space="preserve">of Discovery Program research projects contribute to the Australian Government’s priority areas. </w:t>
            </w:r>
          </w:p>
          <w:p w14:paraId="110B1A11" w14:textId="7BAF129E" w:rsidR="00E13D3D" w:rsidRDefault="00E13D3D">
            <w:pPr>
              <w:tabs>
                <w:tab w:val="left" w:pos="709"/>
              </w:tabs>
              <w:spacing w:before="60" w:after="60" w:line="240" w:lineRule="auto"/>
              <w:jc w:val="left"/>
              <w:rPr>
                <w:rFonts w:ascii="Arial" w:hAnsi="Arial" w:cs="Arial"/>
                <w:iCs/>
                <w:sz w:val="16"/>
                <w:szCs w:val="16"/>
              </w:rPr>
            </w:pPr>
          </w:p>
        </w:tc>
      </w:tr>
      <w:tr w:rsidR="00E13D3D" w14:paraId="1525A9BE" w14:textId="77777777" w:rsidTr="00E87A62">
        <w:trPr>
          <w:trHeight w:val="777"/>
        </w:trPr>
        <w:tc>
          <w:tcPr>
            <w:tcW w:w="912" w:type="pct"/>
            <w:tcBorders>
              <w:top w:val="single" w:sz="4" w:space="0" w:color="auto"/>
              <w:left w:val="single" w:sz="4" w:space="0" w:color="auto"/>
              <w:bottom w:val="single" w:sz="4" w:space="0" w:color="auto"/>
              <w:right w:val="single" w:sz="4" w:space="0" w:color="auto"/>
            </w:tcBorders>
          </w:tcPr>
          <w:p w14:paraId="30379FB5" w14:textId="65EE46AF" w:rsidR="00E13D3D" w:rsidRDefault="00E13D3D">
            <w:pPr>
              <w:tabs>
                <w:tab w:val="left" w:pos="709"/>
              </w:tabs>
              <w:spacing w:before="60" w:after="60" w:line="240" w:lineRule="auto"/>
              <w:rPr>
                <w:rFonts w:ascii="Arial" w:hAnsi="Arial" w:cs="Arial"/>
                <w:sz w:val="16"/>
                <w:szCs w:val="16"/>
              </w:rPr>
            </w:pPr>
            <w:r>
              <w:rPr>
                <w:rFonts w:ascii="Arial" w:hAnsi="Arial" w:cs="Arial"/>
                <w:sz w:val="16"/>
                <w:szCs w:val="16"/>
              </w:rPr>
              <w:t xml:space="preserve">Forward Estimates </w:t>
            </w:r>
          </w:p>
          <w:p w14:paraId="60F6B240" w14:textId="3F0757C8" w:rsidR="00E13D3D" w:rsidRDefault="00E13D3D">
            <w:pPr>
              <w:tabs>
                <w:tab w:val="left" w:pos="709"/>
              </w:tabs>
              <w:spacing w:before="60" w:after="60" w:line="240" w:lineRule="auto"/>
              <w:rPr>
                <w:rFonts w:ascii="Arial" w:hAnsi="Arial" w:cs="Arial"/>
                <w:sz w:val="16"/>
                <w:szCs w:val="16"/>
              </w:rPr>
            </w:pPr>
            <w:r>
              <w:rPr>
                <w:rFonts w:ascii="Arial" w:hAnsi="Arial" w:cs="Arial"/>
                <w:sz w:val="16"/>
                <w:szCs w:val="16"/>
              </w:rPr>
              <w:t>20</w:t>
            </w:r>
            <w:r w:rsidR="001A5C33">
              <w:rPr>
                <w:rFonts w:ascii="Arial" w:hAnsi="Arial" w:cs="Arial"/>
                <w:sz w:val="16"/>
                <w:szCs w:val="16"/>
              </w:rPr>
              <w:t>23–24</w:t>
            </w:r>
          </w:p>
          <w:p w14:paraId="623BADFA" w14:textId="39993AFF" w:rsidR="00E13D3D" w:rsidRDefault="00E13D3D">
            <w:pPr>
              <w:tabs>
                <w:tab w:val="left" w:pos="709"/>
              </w:tabs>
              <w:spacing w:before="60" w:after="60" w:line="240" w:lineRule="auto"/>
              <w:rPr>
                <w:rFonts w:ascii="Arial" w:hAnsi="Arial" w:cs="Arial"/>
                <w:sz w:val="16"/>
                <w:szCs w:val="16"/>
              </w:rPr>
            </w:pPr>
          </w:p>
        </w:tc>
        <w:tc>
          <w:tcPr>
            <w:tcW w:w="1731" w:type="pct"/>
            <w:tcBorders>
              <w:top w:val="single" w:sz="4" w:space="0" w:color="auto"/>
              <w:left w:val="single" w:sz="4" w:space="0" w:color="auto"/>
              <w:bottom w:val="single" w:sz="4" w:space="0" w:color="auto"/>
              <w:right w:val="single" w:sz="4" w:space="0" w:color="auto"/>
            </w:tcBorders>
            <w:hideMark/>
          </w:tcPr>
          <w:p w14:paraId="268E2DDC" w14:textId="639822D7" w:rsidR="00E13D3D" w:rsidRDefault="00E13D3D">
            <w:pPr>
              <w:tabs>
                <w:tab w:val="left" w:pos="709"/>
              </w:tabs>
              <w:spacing w:before="60" w:after="60" w:line="240" w:lineRule="auto"/>
              <w:jc w:val="left"/>
              <w:rPr>
                <w:rFonts w:ascii="Arial" w:hAnsi="Arial" w:cs="Arial"/>
                <w:iCs/>
                <w:sz w:val="16"/>
                <w:szCs w:val="16"/>
              </w:rPr>
            </w:pPr>
            <w:r>
              <w:rPr>
                <w:rFonts w:ascii="Arial" w:hAnsi="Arial" w:cs="Arial"/>
                <w:iCs/>
                <w:sz w:val="16"/>
                <w:szCs w:val="16"/>
              </w:rPr>
              <w:t>As per 20</w:t>
            </w:r>
            <w:r w:rsidR="001A5C33">
              <w:rPr>
                <w:rFonts w:ascii="Arial" w:hAnsi="Arial" w:cs="Arial"/>
                <w:iCs/>
                <w:sz w:val="16"/>
                <w:szCs w:val="16"/>
              </w:rPr>
              <w:t>22–23</w:t>
            </w:r>
          </w:p>
        </w:tc>
        <w:tc>
          <w:tcPr>
            <w:tcW w:w="2357" w:type="pct"/>
            <w:tcBorders>
              <w:top w:val="single" w:sz="4" w:space="0" w:color="auto"/>
              <w:left w:val="single" w:sz="4" w:space="0" w:color="auto"/>
              <w:bottom w:val="single" w:sz="4" w:space="0" w:color="auto"/>
              <w:right w:val="single" w:sz="4" w:space="0" w:color="auto"/>
            </w:tcBorders>
            <w:hideMark/>
          </w:tcPr>
          <w:p w14:paraId="378219D4" w14:textId="0ED93B1D" w:rsidR="00E13D3D" w:rsidRDefault="00E13D3D">
            <w:pPr>
              <w:tabs>
                <w:tab w:val="left" w:pos="709"/>
              </w:tabs>
              <w:spacing w:before="60" w:after="60" w:line="240" w:lineRule="auto"/>
              <w:jc w:val="left"/>
              <w:rPr>
                <w:rFonts w:ascii="Arial" w:hAnsi="Arial" w:cs="Arial"/>
                <w:iCs/>
                <w:sz w:val="16"/>
                <w:szCs w:val="16"/>
              </w:rPr>
            </w:pPr>
            <w:r>
              <w:rPr>
                <w:rFonts w:ascii="Arial" w:hAnsi="Arial" w:cs="Arial"/>
                <w:iCs/>
                <w:sz w:val="16"/>
                <w:szCs w:val="16"/>
              </w:rPr>
              <w:t>As per 20</w:t>
            </w:r>
            <w:r w:rsidR="001A5C33">
              <w:rPr>
                <w:rFonts w:ascii="Arial" w:hAnsi="Arial" w:cs="Arial"/>
                <w:iCs/>
                <w:sz w:val="16"/>
                <w:szCs w:val="16"/>
              </w:rPr>
              <w:t>22–23</w:t>
            </w:r>
          </w:p>
        </w:tc>
      </w:tr>
    </w:tbl>
    <w:p w14:paraId="3EED88E0" w14:textId="42E1D0AB" w:rsidR="007349FA" w:rsidRDefault="007349FA"/>
    <w:p w14:paraId="6C0F09F5" w14:textId="77777777" w:rsidR="007349FA" w:rsidRDefault="007349FA">
      <w:pPr>
        <w:spacing w:after="0" w:line="240" w:lineRule="auto"/>
        <w:jc w:val="left"/>
      </w:pPr>
      <w:r>
        <w:br w:type="page"/>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702"/>
        <w:gridCol w:w="3554"/>
      </w:tblGrid>
      <w:tr w:rsidR="00E13D3D" w14:paraId="167A9B96" w14:textId="77777777" w:rsidTr="00D14A4A">
        <w:trPr>
          <w:cantSplit/>
          <w:trHeight w:val="23"/>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60ED9BB0" w14:textId="77DC66BB" w:rsidR="00E13D3D" w:rsidRPr="001F6D18" w:rsidRDefault="00E13D3D">
            <w:pPr>
              <w:pStyle w:val="TableColumnHeadingLeft"/>
              <w:rPr>
                <w:rFonts w:cs="Arial"/>
                <w:sz w:val="18"/>
                <w:szCs w:val="18"/>
              </w:rPr>
            </w:pPr>
            <w:r w:rsidRPr="001F6D18">
              <w:rPr>
                <w:rFonts w:cs="Arial"/>
                <w:sz w:val="18"/>
                <w:szCs w:val="18"/>
              </w:rPr>
              <w:lastRenderedPageBreak/>
              <w:t xml:space="preserve">Outcome 1 – Growth of knowledge and innovation through managing research funding schemes, measuring research </w:t>
            </w:r>
            <w:proofErr w:type="gramStart"/>
            <w:r w:rsidRPr="001F6D18">
              <w:rPr>
                <w:rFonts w:cs="Arial"/>
                <w:sz w:val="18"/>
                <w:szCs w:val="18"/>
              </w:rPr>
              <w:t>excellence</w:t>
            </w:r>
            <w:proofErr w:type="gramEnd"/>
            <w:r w:rsidRPr="001F6D18">
              <w:rPr>
                <w:rFonts w:cs="Arial"/>
                <w:sz w:val="18"/>
                <w:szCs w:val="18"/>
              </w:rPr>
              <w:t xml:space="preserve"> and providing advice.</w:t>
            </w:r>
          </w:p>
        </w:tc>
      </w:tr>
      <w:tr w:rsidR="00E13D3D" w14:paraId="6B7933C8" w14:textId="77777777" w:rsidTr="00D14A4A">
        <w:trPr>
          <w:cantSplit/>
          <w:trHeight w:val="2288"/>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78AF8B80" w14:textId="56EA14E2" w:rsidR="00E13D3D" w:rsidRDefault="00E13D3D">
            <w:pPr>
              <w:pStyle w:val="TableColumnHeadingLeft"/>
              <w:rPr>
                <w:rFonts w:cs="Arial"/>
                <w:sz w:val="18"/>
                <w:szCs w:val="18"/>
              </w:rPr>
            </w:pPr>
            <w:r>
              <w:rPr>
                <w:rFonts w:cs="Arial"/>
                <w:sz w:val="18"/>
                <w:szCs w:val="18"/>
              </w:rPr>
              <w:t xml:space="preserve">Program 1.2- Linkage – Cross sector research partnerships </w:t>
            </w:r>
          </w:p>
          <w:p w14:paraId="0187AEAE" w14:textId="30898203" w:rsidR="00E13D3D" w:rsidRDefault="00E13D3D">
            <w:pPr>
              <w:pStyle w:val="TableColumnHeadingLeft"/>
              <w:spacing w:before="120"/>
              <w:rPr>
                <w:rFonts w:cs="Arial"/>
                <w:b w:val="0"/>
                <w:iCs/>
                <w:sz w:val="18"/>
                <w:szCs w:val="18"/>
              </w:rPr>
            </w:pPr>
            <w:r>
              <w:rPr>
                <w:rFonts w:cs="Arial"/>
                <w:b w:val="0"/>
                <w:iCs/>
                <w:sz w:val="18"/>
                <w:szCs w:val="18"/>
              </w:rPr>
              <w:t xml:space="preserve">Through the Linkage Program, the ARC aims to build Australia’s research and innovation capacity by supporting excellent, internationally competitive research projects, infrastructure, </w:t>
            </w:r>
            <w:proofErr w:type="gramStart"/>
            <w:r>
              <w:rPr>
                <w:rFonts w:cs="Arial"/>
                <w:b w:val="0"/>
                <w:iCs/>
                <w:sz w:val="18"/>
                <w:szCs w:val="18"/>
              </w:rPr>
              <w:t>hubs</w:t>
            </w:r>
            <w:proofErr w:type="gramEnd"/>
            <w:r>
              <w:rPr>
                <w:rFonts w:cs="Arial"/>
                <w:b w:val="0"/>
                <w:iCs/>
                <w:sz w:val="18"/>
                <w:szCs w:val="18"/>
              </w:rPr>
              <w:t xml:space="preserve"> and centres that involve collaboration among researchers within and beyond the research sector.</w:t>
            </w:r>
          </w:p>
          <w:p w14:paraId="4D450261" w14:textId="3833FD18" w:rsidR="00E13D3D" w:rsidRDefault="00E13D3D">
            <w:pPr>
              <w:pStyle w:val="TableColumnHeadingLeft"/>
              <w:spacing w:before="120"/>
              <w:rPr>
                <w:rFonts w:cs="Arial"/>
                <w:sz w:val="18"/>
                <w:szCs w:val="18"/>
              </w:rPr>
            </w:pPr>
            <w:r>
              <w:rPr>
                <w:rFonts w:cs="Arial"/>
                <w:b w:val="0"/>
                <w:iCs/>
                <w:sz w:val="18"/>
                <w:szCs w:val="18"/>
              </w:rPr>
              <w:t>This contributes to Outcome 1 by: supporting excellent collaborative research; providing training and career opportunities for current and emerging researchers; fostering industry and other end-user engagement; supporting international collaboration; and encouraging research that will strengthen Australia’s capacity in areas of national priority.</w:t>
            </w:r>
          </w:p>
        </w:tc>
      </w:tr>
      <w:tr w:rsidR="00E13D3D" w14:paraId="4099C531" w14:textId="77777777" w:rsidTr="00E13D3D">
        <w:trPr>
          <w:trHeight w:val="1469"/>
        </w:trPr>
        <w:tc>
          <w:tcPr>
            <w:tcW w:w="923" w:type="pct"/>
            <w:tcBorders>
              <w:top w:val="single" w:sz="4" w:space="0" w:color="auto"/>
              <w:left w:val="single" w:sz="4" w:space="0" w:color="auto"/>
              <w:bottom w:val="single" w:sz="4" w:space="0" w:color="auto"/>
              <w:right w:val="single" w:sz="4" w:space="0" w:color="auto"/>
            </w:tcBorders>
            <w:hideMark/>
          </w:tcPr>
          <w:p w14:paraId="23C45E38" w14:textId="78BAA3C2" w:rsidR="00E13D3D" w:rsidRDefault="00AE609B">
            <w:pPr>
              <w:tabs>
                <w:tab w:val="left" w:pos="709"/>
              </w:tabs>
              <w:spacing w:before="60" w:after="60"/>
              <w:rPr>
                <w:rFonts w:ascii="Arial" w:hAnsi="Arial" w:cs="Arial"/>
                <w:b/>
                <w:sz w:val="16"/>
                <w:szCs w:val="16"/>
              </w:rPr>
            </w:pPr>
            <w:r>
              <w:rPr>
                <w:rFonts w:ascii="Arial" w:hAnsi="Arial" w:cs="Arial"/>
                <w:b/>
                <w:sz w:val="16"/>
                <w:szCs w:val="16"/>
              </w:rPr>
              <w:t>Key activities</w:t>
            </w:r>
            <w:r w:rsidR="00E13D3D">
              <w:rPr>
                <w:rFonts w:ascii="Arial" w:hAnsi="Arial" w:cs="Arial"/>
                <w:b/>
                <w:sz w:val="16"/>
                <w:szCs w:val="16"/>
              </w:rPr>
              <w:t xml:space="preserve"> </w:t>
            </w:r>
          </w:p>
        </w:tc>
        <w:tc>
          <w:tcPr>
            <w:tcW w:w="4077" w:type="pct"/>
            <w:gridSpan w:val="2"/>
            <w:tcBorders>
              <w:top w:val="single" w:sz="4" w:space="0" w:color="auto"/>
              <w:left w:val="single" w:sz="4" w:space="0" w:color="auto"/>
              <w:bottom w:val="single" w:sz="4" w:space="0" w:color="auto"/>
              <w:right w:val="single" w:sz="4" w:space="0" w:color="auto"/>
            </w:tcBorders>
            <w:hideMark/>
          </w:tcPr>
          <w:p w14:paraId="3F5F46D0" w14:textId="1A19218B" w:rsidR="00E13D3D" w:rsidRDefault="00E13D3D" w:rsidP="00EF4228">
            <w:pPr>
              <w:pStyle w:val="ListParagraph"/>
              <w:numPr>
                <w:ilvl w:val="0"/>
                <w:numId w:val="34"/>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Policy and Strategy</w:t>
            </w:r>
          </w:p>
          <w:p w14:paraId="452C6371" w14:textId="1BD826BE" w:rsidR="00E13D3D" w:rsidRDefault="00E13D3D" w:rsidP="00EF4228">
            <w:pPr>
              <w:pStyle w:val="ListParagraph"/>
              <w:numPr>
                <w:ilvl w:val="0"/>
                <w:numId w:val="34"/>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 xml:space="preserve">Program Implementation and Management </w:t>
            </w:r>
          </w:p>
          <w:p w14:paraId="52EFC3A3" w14:textId="618EA497" w:rsidR="00E13D3D" w:rsidRDefault="00E13D3D" w:rsidP="00EF4228">
            <w:pPr>
              <w:pStyle w:val="ListParagraph"/>
              <w:numPr>
                <w:ilvl w:val="0"/>
                <w:numId w:val="34"/>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Assurance</w:t>
            </w:r>
          </w:p>
          <w:p w14:paraId="53311908" w14:textId="034D0565" w:rsidR="00E13D3D" w:rsidRDefault="00E13D3D" w:rsidP="00EF4228">
            <w:pPr>
              <w:pStyle w:val="ListParagraph"/>
              <w:numPr>
                <w:ilvl w:val="0"/>
                <w:numId w:val="34"/>
              </w:numPr>
              <w:tabs>
                <w:tab w:val="left" w:pos="709"/>
              </w:tabs>
              <w:spacing w:before="60" w:after="60" w:line="260" w:lineRule="exact"/>
              <w:rPr>
                <w:rFonts w:ascii="Arial" w:hAnsi="Arial" w:cs="Arial"/>
                <w:iCs/>
                <w:sz w:val="16"/>
                <w:szCs w:val="16"/>
              </w:rPr>
            </w:pPr>
            <w:r>
              <w:rPr>
                <w:rFonts w:ascii="Arial" w:hAnsi="Arial" w:cs="Arial"/>
                <w:iCs/>
                <w:sz w:val="16"/>
                <w:szCs w:val="16"/>
              </w:rPr>
              <w:t>Relationships, Networks and Engagement</w:t>
            </w:r>
          </w:p>
          <w:p w14:paraId="1D9A396D" w14:textId="45154EAF" w:rsidR="00E13D3D" w:rsidRDefault="00E13D3D" w:rsidP="00EF4228">
            <w:pPr>
              <w:pStyle w:val="ListParagraph"/>
              <w:numPr>
                <w:ilvl w:val="0"/>
                <w:numId w:val="34"/>
              </w:numPr>
              <w:tabs>
                <w:tab w:val="left" w:pos="709"/>
              </w:tabs>
              <w:spacing w:before="60" w:after="60" w:line="260" w:lineRule="exact"/>
              <w:rPr>
                <w:rFonts w:ascii="Arial" w:hAnsi="Arial" w:cs="Arial"/>
                <w:iCs/>
                <w:sz w:val="16"/>
                <w:szCs w:val="16"/>
              </w:rPr>
            </w:pPr>
            <w:r>
              <w:rPr>
                <w:rFonts w:ascii="Arial" w:hAnsi="Arial" w:cs="Arial"/>
                <w:iCs/>
                <w:sz w:val="16"/>
                <w:szCs w:val="16"/>
              </w:rPr>
              <w:t>Evaluation and Analysis</w:t>
            </w:r>
          </w:p>
        </w:tc>
      </w:tr>
      <w:tr w:rsidR="00E13D3D" w14:paraId="7523B4DA" w14:textId="77777777" w:rsidTr="00D14A4A">
        <w:trPr>
          <w:trHeight w:val="258"/>
        </w:trPr>
        <w:tc>
          <w:tcPr>
            <w:tcW w:w="923" w:type="pct"/>
            <w:tcBorders>
              <w:top w:val="single" w:sz="4" w:space="0" w:color="auto"/>
              <w:left w:val="single" w:sz="4" w:space="0" w:color="auto"/>
              <w:bottom w:val="single" w:sz="4" w:space="0" w:color="auto"/>
              <w:right w:val="single" w:sz="4" w:space="0" w:color="auto"/>
            </w:tcBorders>
            <w:shd w:val="clear" w:color="auto" w:fill="E6E6E6"/>
            <w:hideMark/>
          </w:tcPr>
          <w:p w14:paraId="662EC449" w14:textId="06A18C22" w:rsidR="00E13D3D" w:rsidRDefault="00E13D3D">
            <w:pPr>
              <w:pStyle w:val="TableTextBase"/>
              <w:rPr>
                <w:rFonts w:cs="Arial"/>
                <w:b/>
                <w:sz w:val="16"/>
                <w:szCs w:val="16"/>
              </w:rPr>
            </w:pPr>
            <w:r>
              <w:rPr>
                <w:rFonts w:cs="Arial"/>
                <w:b/>
                <w:sz w:val="16"/>
                <w:szCs w:val="16"/>
              </w:rPr>
              <w:t>Year</w:t>
            </w:r>
          </w:p>
        </w:tc>
        <w:tc>
          <w:tcPr>
            <w:tcW w:w="1761" w:type="pct"/>
            <w:tcBorders>
              <w:top w:val="single" w:sz="4" w:space="0" w:color="auto"/>
              <w:left w:val="single" w:sz="4" w:space="0" w:color="auto"/>
              <w:bottom w:val="single" w:sz="4" w:space="0" w:color="auto"/>
              <w:right w:val="single" w:sz="4" w:space="0" w:color="auto"/>
            </w:tcBorders>
            <w:shd w:val="clear" w:color="auto" w:fill="E6E6E6"/>
            <w:hideMark/>
          </w:tcPr>
          <w:p w14:paraId="2B2D1C68" w14:textId="03683123" w:rsidR="00E13D3D" w:rsidRDefault="00E13D3D">
            <w:pPr>
              <w:pStyle w:val="TableTextBase"/>
              <w:rPr>
                <w:rFonts w:cs="Arial"/>
                <w:b/>
                <w:sz w:val="16"/>
                <w:szCs w:val="16"/>
              </w:rPr>
            </w:pPr>
            <w:r>
              <w:rPr>
                <w:rFonts w:cs="Arial"/>
                <w:b/>
                <w:sz w:val="16"/>
                <w:szCs w:val="16"/>
              </w:rPr>
              <w:t>Performance measures</w:t>
            </w:r>
          </w:p>
        </w:tc>
        <w:tc>
          <w:tcPr>
            <w:tcW w:w="2316" w:type="pct"/>
            <w:tcBorders>
              <w:top w:val="single" w:sz="4" w:space="0" w:color="auto"/>
              <w:left w:val="single" w:sz="4" w:space="0" w:color="auto"/>
              <w:bottom w:val="single" w:sz="4" w:space="0" w:color="auto"/>
              <w:right w:val="single" w:sz="4" w:space="0" w:color="auto"/>
            </w:tcBorders>
            <w:shd w:val="clear" w:color="auto" w:fill="E6E6E6"/>
          </w:tcPr>
          <w:p w14:paraId="7CA78D3B" w14:textId="224B3F56" w:rsidR="00E13D3D" w:rsidRDefault="00AE609B">
            <w:pPr>
              <w:pStyle w:val="TableTextBase"/>
              <w:rPr>
                <w:rFonts w:cs="Arial"/>
                <w:b/>
                <w:sz w:val="16"/>
                <w:szCs w:val="16"/>
              </w:rPr>
            </w:pPr>
            <w:r>
              <w:rPr>
                <w:rFonts w:cs="Arial"/>
                <w:b/>
                <w:sz w:val="16"/>
                <w:szCs w:val="16"/>
              </w:rPr>
              <w:t>Expected performance results</w:t>
            </w:r>
          </w:p>
          <w:p w14:paraId="42E20D44" w14:textId="42B521CA" w:rsidR="00E13D3D" w:rsidRDefault="00E13D3D">
            <w:pPr>
              <w:pStyle w:val="TableTextBase"/>
              <w:rPr>
                <w:rFonts w:cs="Arial"/>
                <w:b/>
                <w:sz w:val="16"/>
                <w:szCs w:val="16"/>
              </w:rPr>
            </w:pPr>
          </w:p>
        </w:tc>
      </w:tr>
      <w:tr w:rsidR="00E13D3D" w14:paraId="5B13F17C" w14:textId="77777777" w:rsidTr="00E87A62">
        <w:trPr>
          <w:trHeight w:val="1507"/>
        </w:trPr>
        <w:tc>
          <w:tcPr>
            <w:tcW w:w="923" w:type="pct"/>
            <w:tcBorders>
              <w:top w:val="single" w:sz="4" w:space="0" w:color="auto"/>
              <w:left w:val="single" w:sz="4" w:space="0" w:color="auto"/>
              <w:bottom w:val="nil"/>
              <w:right w:val="single" w:sz="4" w:space="0" w:color="auto"/>
            </w:tcBorders>
            <w:hideMark/>
          </w:tcPr>
          <w:p w14:paraId="75DE1683" w14:textId="2CA859C5" w:rsidR="00E13D3D" w:rsidRDefault="00E13D3D">
            <w:pPr>
              <w:tabs>
                <w:tab w:val="left" w:pos="709"/>
              </w:tabs>
              <w:spacing w:before="60" w:after="60"/>
              <w:rPr>
                <w:rFonts w:ascii="Arial" w:hAnsi="Arial" w:cs="Arial"/>
                <w:sz w:val="16"/>
                <w:szCs w:val="16"/>
              </w:rPr>
            </w:pPr>
            <w:r>
              <w:rPr>
                <w:rFonts w:ascii="Arial" w:hAnsi="Arial" w:cs="Arial"/>
                <w:sz w:val="16"/>
                <w:szCs w:val="16"/>
              </w:rPr>
              <w:t xml:space="preserve">Current year </w:t>
            </w:r>
          </w:p>
          <w:p w14:paraId="6412A197" w14:textId="58E81D37" w:rsidR="00E13D3D" w:rsidRDefault="00E13D3D">
            <w:pPr>
              <w:tabs>
                <w:tab w:val="left" w:pos="709"/>
              </w:tabs>
              <w:spacing w:before="60" w:after="60"/>
              <w:rPr>
                <w:rFonts w:ascii="Arial" w:hAnsi="Arial" w:cs="Arial"/>
                <w:sz w:val="16"/>
                <w:szCs w:val="16"/>
              </w:rPr>
            </w:pPr>
            <w:r>
              <w:rPr>
                <w:rFonts w:ascii="Arial" w:hAnsi="Arial" w:cs="Arial"/>
                <w:sz w:val="16"/>
                <w:szCs w:val="16"/>
              </w:rPr>
              <w:t>20</w:t>
            </w:r>
            <w:r w:rsidR="001A5C33">
              <w:rPr>
                <w:rFonts w:ascii="Arial" w:hAnsi="Arial" w:cs="Arial"/>
                <w:sz w:val="16"/>
                <w:szCs w:val="16"/>
              </w:rPr>
              <w:t xml:space="preserve">21–22 </w:t>
            </w:r>
          </w:p>
        </w:tc>
        <w:tc>
          <w:tcPr>
            <w:tcW w:w="1761" w:type="pct"/>
            <w:tcBorders>
              <w:top w:val="single" w:sz="4" w:space="0" w:color="auto"/>
              <w:left w:val="single" w:sz="4" w:space="0" w:color="auto"/>
              <w:bottom w:val="single" w:sz="4" w:space="0" w:color="auto"/>
              <w:right w:val="single" w:sz="4" w:space="0" w:color="auto"/>
            </w:tcBorders>
            <w:hideMark/>
          </w:tcPr>
          <w:p w14:paraId="39CDFD64" w14:textId="197D6416" w:rsidR="00E13D3D" w:rsidRDefault="00E13D3D">
            <w:pPr>
              <w:tabs>
                <w:tab w:val="left" w:pos="709"/>
              </w:tabs>
              <w:spacing w:before="60" w:after="60"/>
              <w:jc w:val="left"/>
              <w:rPr>
                <w:rFonts w:ascii="Arial" w:hAnsi="Arial" w:cs="Arial"/>
                <w:iCs/>
                <w:sz w:val="16"/>
                <w:szCs w:val="16"/>
              </w:rPr>
            </w:pPr>
            <w:r>
              <w:rPr>
                <w:rFonts w:ascii="Arial" w:hAnsi="Arial" w:cs="Arial"/>
                <w:sz w:val="16"/>
                <w:szCs w:val="16"/>
              </w:rPr>
              <w:t>NCGP applications and assessment processes are conducted in a timely manner.</w:t>
            </w:r>
          </w:p>
        </w:tc>
        <w:tc>
          <w:tcPr>
            <w:tcW w:w="2316" w:type="pct"/>
            <w:tcBorders>
              <w:top w:val="single" w:sz="4" w:space="0" w:color="auto"/>
              <w:left w:val="single" w:sz="4" w:space="0" w:color="auto"/>
              <w:bottom w:val="single" w:sz="4" w:space="0" w:color="auto"/>
              <w:right w:val="single" w:sz="4" w:space="0" w:color="auto"/>
            </w:tcBorders>
            <w:hideMark/>
          </w:tcPr>
          <w:p w14:paraId="2E7EAF82" w14:textId="352DC8EF" w:rsidR="00E13D3D" w:rsidRDefault="00E13D3D">
            <w:pPr>
              <w:tabs>
                <w:tab w:val="left" w:pos="709"/>
              </w:tabs>
              <w:spacing w:before="60" w:after="60"/>
              <w:jc w:val="left"/>
              <w:rPr>
                <w:rFonts w:ascii="Arial" w:hAnsi="Arial" w:cs="Arial"/>
                <w:iCs/>
                <w:sz w:val="16"/>
                <w:szCs w:val="16"/>
              </w:rPr>
            </w:pPr>
            <w:r>
              <w:rPr>
                <w:rFonts w:ascii="Arial" w:hAnsi="Arial" w:cs="Arial"/>
                <w:b/>
                <w:bCs/>
                <w:iCs/>
                <w:sz w:val="16"/>
                <w:szCs w:val="16"/>
              </w:rPr>
              <w:t xml:space="preserve">Target: </w:t>
            </w:r>
            <w:r>
              <w:rPr>
                <w:rFonts w:ascii="Arial" w:hAnsi="Arial" w:cs="Arial"/>
                <w:iCs/>
                <w:sz w:val="16"/>
                <w:szCs w:val="16"/>
              </w:rPr>
              <w:t>100% of Linkage Projects application recommendations are made to the Minister within 6 months of scheme round closing dates.</w:t>
            </w:r>
          </w:p>
          <w:p w14:paraId="4D1FE152" w14:textId="3DD1A4D1" w:rsidR="00E13D3D" w:rsidRDefault="00E13D3D">
            <w:pPr>
              <w:tabs>
                <w:tab w:val="left" w:pos="709"/>
              </w:tabs>
              <w:spacing w:before="60" w:after="60"/>
              <w:jc w:val="left"/>
              <w:rPr>
                <w:rFonts w:ascii="Arial" w:hAnsi="Arial" w:cs="Arial"/>
                <w:iCs/>
                <w:sz w:val="16"/>
                <w:szCs w:val="16"/>
              </w:rPr>
            </w:pPr>
            <w:r>
              <w:rPr>
                <w:rFonts w:ascii="Arial" w:hAnsi="Arial" w:cs="Arial"/>
                <w:b/>
                <w:bCs/>
                <w:iCs/>
                <w:sz w:val="16"/>
                <w:szCs w:val="16"/>
              </w:rPr>
              <w:t>Expected performance:</w:t>
            </w:r>
            <w:r>
              <w:rPr>
                <w:rFonts w:ascii="Arial" w:hAnsi="Arial" w:cs="Arial"/>
                <w:iCs/>
                <w:sz w:val="16"/>
                <w:szCs w:val="16"/>
              </w:rPr>
              <w:t xml:space="preserve"> </w:t>
            </w:r>
            <w:r>
              <w:rPr>
                <w:rFonts w:ascii="Arial" w:hAnsi="Arial" w:cs="Arial"/>
                <w:sz w:val="16"/>
                <w:szCs w:val="16"/>
              </w:rPr>
              <w:t>Not on track</w:t>
            </w:r>
            <w:r>
              <w:rPr>
                <w:rFonts w:ascii="Arial" w:hAnsi="Arial" w:cs="Arial"/>
                <w:iCs/>
                <w:sz w:val="16"/>
                <w:szCs w:val="16"/>
              </w:rPr>
              <w:t xml:space="preserve"> to meet the target. </w:t>
            </w:r>
          </w:p>
        </w:tc>
      </w:tr>
      <w:tr w:rsidR="008D7EDD" w14:paraId="7807F400" w14:textId="77777777" w:rsidTr="00B032F3">
        <w:trPr>
          <w:trHeight w:val="1377"/>
        </w:trPr>
        <w:tc>
          <w:tcPr>
            <w:tcW w:w="923" w:type="pct"/>
            <w:vMerge w:val="restart"/>
            <w:tcBorders>
              <w:top w:val="nil"/>
              <w:left w:val="single" w:sz="4" w:space="0" w:color="auto"/>
              <w:right w:val="single" w:sz="4" w:space="0" w:color="auto"/>
            </w:tcBorders>
          </w:tcPr>
          <w:p w14:paraId="27241510" w14:textId="311AF859" w:rsidR="008D7EDD" w:rsidRDefault="008D7ED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2E48D9AF" w14:textId="51D9C13F" w:rsidR="008D7EDD" w:rsidRDefault="008D7EDD">
            <w:pPr>
              <w:tabs>
                <w:tab w:val="left" w:pos="709"/>
              </w:tabs>
              <w:spacing w:before="60" w:after="60"/>
              <w:jc w:val="left"/>
              <w:rPr>
                <w:rFonts w:ascii="Arial" w:hAnsi="Arial" w:cs="Arial"/>
                <w:sz w:val="16"/>
                <w:szCs w:val="16"/>
              </w:rPr>
            </w:pPr>
            <w:r>
              <w:rPr>
                <w:rFonts w:ascii="Arial" w:hAnsi="Arial" w:cs="Arial"/>
                <w:sz w:val="16"/>
                <w:szCs w:val="16"/>
              </w:rPr>
              <w:t>ARC meets Commonwealth Grants Rules and Guidelines (CGRG) requirements to publish information about grant opportunities and grant awards.</w:t>
            </w:r>
          </w:p>
        </w:tc>
        <w:tc>
          <w:tcPr>
            <w:tcW w:w="2316" w:type="pct"/>
            <w:tcBorders>
              <w:top w:val="single" w:sz="4" w:space="0" w:color="auto"/>
              <w:left w:val="single" w:sz="4" w:space="0" w:color="auto"/>
              <w:bottom w:val="single" w:sz="4" w:space="0" w:color="auto"/>
              <w:right w:val="single" w:sz="4" w:space="0" w:color="auto"/>
            </w:tcBorders>
            <w:hideMark/>
          </w:tcPr>
          <w:p w14:paraId="3BD3E45E" w14:textId="288D4A71" w:rsidR="008D7EDD" w:rsidRDefault="008D7EDD">
            <w:pPr>
              <w:tabs>
                <w:tab w:val="left" w:pos="709"/>
              </w:tabs>
              <w:spacing w:before="60" w:after="60"/>
              <w:jc w:val="left"/>
              <w:rPr>
                <w:rFonts w:ascii="Arial" w:hAnsi="Arial" w:cs="Arial"/>
                <w:iCs/>
                <w:sz w:val="16"/>
                <w:szCs w:val="16"/>
              </w:rPr>
            </w:pPr>
            <w:r>
              <w:rPr>
                <w:rFonts w:ascii="Arial" w:hAnsi="Arial" w:cs="Arial"/>
                <w:b/>
                <w:bCs/>
                <w:iCs/>
                <w:sz w:val="16"/>
                <w:szCs w:val="16"/>
              </w:rPr>
              <w:t>Target:</w:t>
            </w:r>
            <w:r>
              <w:rPr>
                <w:rFonts w:ascii="Arial" w:hAnsi="Arial" w:cs="Arial"/>
                <w:iCs/>
                <w:sz w:val="16"/>
                <w:szCs w:val="16"/>
              </w:rPr>
              <w:t xml:space="preserve"> </w:t>
            </w:r>
            <w:r>
              <w:rPr>
                <w:rFonts w:ascii="Arial" w:hAnsi="Arial" w:cs="Arial"/>
                <w:sz w:val="16"/>
                <w:szCs w:val="16"/>
              </w:rPr>
              <w:t xml:space="preserve">100% of Linkage Program grant opportunities and grant awards are published on </w:t>
            </w:r>
            <w:proofErr w:type="spellStart"/>
            <w:r>
              <w:rPr>
                <w:rFonts w:ascii="Arial" w:hAnsi="Arial" w:cs="Arial"/>
                <w:sz w:val="16"/>
                <w:szCs w:val="16"/>
              </w:rPr>
              <w:t>GrantConnect</w:t>
            </w:r>
            <w:proofErr w:type="spellEnd"/>
            <w:r>
              <w:rPr>
                <w:rFonts w:ascii="Arial" w:hAnsi="Arial" w:cs="Arial"/>
                <w:sz w:val="16"/>
                <w:szCs w:val="16"/>
              </w:rPr>
              <w:t>.</w:t>
            </w:r>
          </w:p>
          <w:p w14:paraId="4AECC32A" w14:textId="7D071D0D" w:rsidR="008D7EDD" w:rsidRDefault="008D7EDD">
            <w:pPr>
              <w:tabs>
                <w:tab w:val="left" w:pos="709"/>
              </w:tabs>
              <w:spacing w:before="60" w:after="60"/>
              <w:jc w:val="left"/>
              <w:rPr>
                <w:rFonts w:ascii="Arial" w:hAnsi="Arial" w:cs="Arial"/>
                <w:sz w:val="16"/>
                <w:szCs w:val="16"/>
              </w:rPr>
            </w:pPr>
            <w:r>
              <w:rPr>
                <w:rFonts w:ascii="Arial" w:hAnsi="Arial" w:cs="Arial"/>
                <w:b/>
                <w:bCs/>
                <w:sz w:val="16"/>
                <w:szCs w:val="16"/>
              </w:rPr>
              <w:t>Expected performance:</w:t>
            </w:r>
            <w:r>
              <w:rPr>
                <w:rFonts w:ascii="Arial" w:hAnsi="Arial" w:cs="Arial"/>
                <w:sz w:val="16"/>
                <w:szCs w:val="16"/>
              </w:rPr>
              <w:t xml:space="preserve"> On track to meet the target.</w:t>
            </w:r>
          </w:p>
        </w:tc>
      </w:tr>
      <w:tr w:rsidR="008D7EDD" w14:paraId="07551ABD" w14:textId="77777777" w:rsidTr="00B032F3">
        <w:trPr>
          <w:trHeight w:val="1686"/>
        </w:trPr>
        <w:tc>
          <w:tcPr>
            <w:tcW w:w="923" w:type="pct"/>
            <w:vMerge/>
            <w:tcBorders>
              <w:left w:val="single" w:sz="4" w:space="0" w:color="auto"/>
              <w:right w:val="single" w:sz="4" w:space="0" w:color="auto"/>
            </w:tcBorders>
          </w:tcPr>
          <w:p w14:paraId="6428AAB8" w14:textId="367A79FB" w:rsidR="008D7EDD" w:rsidRDefault="008D7ED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072A4577" w14:textId="73628A26" w:rsidR="008D7EDD" w:rsidRDefault="008D7EDD">
            <w:pPr>
              <w:tabs>
                <w:tab w:val="left" w:pos="709"/>
              </w:tabs>
              <w:spacing w:before="60" w:after="60"/>
              <w:jc w:val="left"/>
              <w:rPr>
                <w:rFonts w:ascii="Arial" w:hAnsi="Arial" w:cs="Arial"/>
                <w:sz w:val="16"/>
                <w:szCs w:val="16"/>
              </w:rPr>
            </w:pPr>
            <w:r>
              <w:rPr>
                <w:rFonts w:ascii="Arial" w:hAnsi="Arial" w:cs="Arial"/>
                <w:sz w:val="16"/>
                <w:szCs w:val="16"/>
              </w:rPr>
              <w:t>ARC manages NCGP application and assessment processes fairly and in accordance with Grant Guidelines.</w:t>
            </w:r>
          </w:p>
        </w:tc>
        <w:tc>
          <w:tcPr>
            <w:tcW w:w="2316" w:type="pct"/>
            <w:tcBorders>
              <w:top w:val="single" w:sz="4" w:space="0" w:color="auto"/>
              <w:left w:val="single" w:sz="4" w:space="0" w:color="auto"/>
              <w:bottom w:val="single" w:sz="4" w:space="0" w:color="auto"/>
              <w:right w:val="single" w:sz="4" w:space="0" w:color="auto"/>
            </w:tcBorders>
            <w:hideMark/>
          </w:tcPr>
          <w:p w14:paraId="7BB799ED" w14:textId="25880246" w:rsidR="008D7EDD" w:rsidRDefault="008D7EDD">
            <w:pPr>
              <w:tabs>
                <w:tab w:val="left" w:pos="709"/>
              </w:tabs>
              <w:spacing w:before="60" w:after="60"/>
              <w:jc w:val="left"/>
              <w:rPr>
                <w:rFonts w:ascii="Arial" w:hAnsi="Arial" w:cs="Arial"/>
                <w:iCs/>
                <w:sz w:val="16"/>
                <w:szCs w:val="16"/>
              </w:rPr>
            </w:pPr>
            <w:r>
              <w:rPr>
                <w:rFonts w:ascii="Arial" w:hAnsi="Arial" w:cs="Arial"/>
                <w:b/>
                <w:bCs/>
                <w:iCs/>
                <w:sz w:val="16"/>
                <w:szCs w:val="16"/>
              </w:rPr>
              <w:t>Target:</w:t>
            </w:r>
            <w:r>
              <w:rPr>
                <w:rFonts w:ascii="Arial" w:hAnsi="Arial" w:cs="Arial"/>
                <w:iCs/>
                <w:sz w:val="16"/>
                <w:szCs w:val="16"/>
              </w:rPr>
              <w:t xml:space="preserve"> The number of upheld appeals against administrative processes related to Linkage Program applications is &lt;1% of submitted applications.</w:t>
            </w:r>
          </w:p>
          <w:p w14:paraId="4D99260A" w14:textId="16AB8B44" w:rsidR="008D7EDD" w:rsidRDefault="008D7EDD">
            <w:pPr>
              <w:pStyle w:val="PBS16TableNormal"/>
              <w:spacing w:line="252" w:lineRule="auto"/>
              <w:rPr>
                <w:iCs/>
              </w:rPr>
            </w:pPr>
            <w:r>
              <w:rPr>
                <w:b/>
                <w:bCs/>
                <w:iCs/>
              </w:rPr>
              <w:t>Expected performance:</w:t>
            </w:r>
            <w:r>
              <w:rPr>
                <w:iCs/>
              </w:rPr>
              <w:t xml:space="preserve"> Not </w:t>
            </w:r>
            <w:r>
              <w:t>on track to meet the target.</w:t>
            </w:r>
            <w:r>
              <w:rPr>
                <w:iCs/>
              </w:rPr>
              <w:t xml:space="preserve"> </w:t>
            </w:r>
          </w:p>
        </w:tc>
      </w:tr>
      <w:tr w:rsidR="008D7EDD" w14:paraId="7C8C32C0" w14:textId="77777777" w:rsidTr="00B032F3">
        <w:trPr>
          <w:trHeight w:val="1268"/>
        </w:trPr>
        <w:tc>
          <w:tcPr>
            <w:tcW w:w="923" w:type="pct"/>
            <w:vMerge/>
            <w:tcBorders>
              <w:left w:val="single" w:sz="4" w:space="0" w:color="auto"/>
              <w:bottom w:val="single" w:sz="4" w:space="0" w:color="auto"/>
              <w:right w:val="single" w:sz="4" w:space="0" w:color="auto"/>
            </w:tcBorders>
          </w:tcPr>
          <w:p w14:paraId="66EF749D" w14:textId="7EE21502" w:rsidR="008D7EDD" w:rsidRPr="007349FA" w:rsidRDefault="008D7ED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0B598E78" w14:textId="4A6AE639" w:rsidR="008D7EDD" w:rsidRPr="007349FA" w:rsidRDefault="008D7EDD">
            <w:pPr>
              <w:tabs>
                <w:tab w:val="left" w:pos="709"/>
              </w:tabs>
              <w:spacing w:before="60" w:after="60"/>
              <w:jc w:val="left"/>
              <w:rPr>
                <w:rFonts w:ascii="Arial" w:hAnsi="Arial" w:cs="Arial"/>
                <w:sz w:val="16"/>
                <w:szCs w:val="16"/>
              </w:rPr>
            </w:pPr>
            <w:r w:rsidRPr="007349FA">
              <w:rPr>
                <w:rFonts w:ascii="Arial" w:hAnsi="Arial" w:cs="Arial"/>
                <w:sz w:val="16"/>
                <w:szCs w:val="16"/>
              </w:rPr>
              <w:t>Proportion of Linkage Program funding to support industrial research training under the Industrial Transformation Training Centres (ITTC) scheme.</w:t>
            </w:r>
          </w:p>
        </w:tc>
        <w:tc>
          <w:tcPr>
            <w:tcW w:w="2316" w:type="pct"/>
            <w:tcBorders>
              <w:top w:val="single" w:sz="4" w:space="0" w:color="auto"/>
              <w:left w:val="single" w:sz="4" w:space="0" w:color="auto"/>
              <w:bottom w:val="single" w:sz="4" w:space="0" w:color="auto"/>
              <w:right w:val="single" w:sz="4" w:space="0" w:color="auto"/>
            </w:tcBorders>
            <w:hideMark/>
          </w:tcPr>
          <w:p w14:paraId="05BB467F" w14:textId="0D81EAB2" w:rsidR="008D7EDD" w:rsidRPr="007349FA" w:rsidRDefault="008D7EDD">
            <w:pPr>
              <w:pStyle w:val="PBS16TableNormal"/>
              <w:spacing w:line="252" w:lineRule="auto"/>
              <w:rPr>
                <w:iCs/>
              </w:rPr>
            </w:pPr>
            <w:r w:rsidRPr="007349FA">
              <w:rPr>
                <w:iCs/>
              </w:rPr>
              <w:t xml:space="preserve">As per the </w:t>
            </w:r>
            <w:r w:rsidRPr="007349FA">
              <w:rPr>
                <w:i/>
              </w:rPr>
              <w:t>ARC Corporate Plan 2021–22</w:t>
            </w:r>
            <w:r w:rsidRPr="007349FA">
              <w:rPr>
                <w:iCs/>
              </w:rPr>
              <w:t>, this is no longer a performance measure and will be reported as a Key Performance Indicator in the Annual Performance Statement.</w:t>
            </w:r>
          </w:p>
        </w:tc>
      </w:tr>
    </w:tbl>
    <w:p w14:paraId="7A5DC72E" w14:textId="5E749FBB" w:rsidR="0078759B" w:rsidRDefault="0078759B"/>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702"/>
        <w:gridCol w:w="3554"/>
      </w:tblGrid>
      <w:tr w:rsidR="0078759B" w14:paraId="4010FD8C" w14:textId="77777777" w:rsidTr="00D14A4A">
        <w:trPr>
          <w:trHeight w:val="134"/>
        </w:trPr>
        <w:tc>
          <w:tcPr>
            <w:tcW w:w="923" w:type="pct"/>
            <w:tcBorders>
              <w:top w:val="single" w:sz="4" w:space="0" w:color="auto"/>
              <w:left w:val="single" w:sz="4" w:space="0" w:color="auto"/>
              <w:bottom w:val="nil"/>
              <w:right w:val="single" w:sz="4" w:space="0" w:color="auto"/>
            </w:tcBorders>
            <w:shd w:val="clear" w:color="auto" w:fill="E6E6E6"/>
          </w:tcPr>
          <w:p w14:paraId="70110094" w14:textId="77777777" w:rsidR="0078759B" w:rsidRPr="0078759B" w:rsidRDefault="0078759B" w:rsidP="0078759B">
            <w:pPr>
              <w:rPr>
                <w:rFonts w:ascii="Arial" w:hAnsi="Arial" w:cs="Arial"/>
                <w:sz w:val="16"/>
                <w:szCs w:val="16"/>
              </w:rPr>
            </w:pPr>
            <w:r w:rsidRPr="0078759B">
              <w:rPr>
                <w:rFonts w:ascii="Arial" w:hAnsi="Arial" w:cs="Arial"/>
                <w:sz w:val="16"/>
                <w:szCs w:val="16"/>
              </w:rPr>
              <w:lastRenderedPageBreak/>
              <w:t>Year</w:t>
            </w:r>
          </w:p>
        </w:tc>
        <w:tc>
          <w:tcPr>
            <w:tcW w:w="1761" w:type="pct"/>
            <w:tcBorders>
              <w:top w:val="single" w:sz="4" w:space="0" w:color="auto"/>
              <w:left w:val="single" w:sz="4" w:space="0" w:color="auto"/>
              <w:bottom w:val="single" w:sz="4" w:space="0" w:color="auto"/>
              <w:right w:val="single" w:sz="4" w:space="0" w:color="auto"/>
            </w:tcBorders>
            <w:shd w:val="clear" w:color="auto" w:fill="E6E6E6"/>
            <w:hideMark/>
          </w:tcPr>
          <w:p w14:paraId="575028DF" w14:textId="77777777" w:rsidR="0078759B" w:rsidRPr="0078759B" w:rsidRDefault="0078759B" w:rsidP="0078759B">
            <w:pPr>
              <w:tabs>
                <w:tab w:val="left" w:pos="709"/>
              </w:tabs>
              <w:rPr>
                <w:rFonts w:ascii="Arial" w:hAnsi="Arial" w:cs="Arial"/>
                <w:sz w:val="16"/>
                <w:szCs w:val="16"/>
              </w:rPr>
            </w:pPr>
            <w:r w:rsidRPr="0078759B">
              <w:rPr>
                <w:rFonts w:ascii="Arial" w:hAnsi="Arial" w:cs="Arial"/>
                <w:sz w:val="16"/>
                <w:szCs w:val="16"/>
              </w:rPr>
              <w:t>Performance measures</w:t>
            </w:r>
          </w:p>
        </w:tc>
        <w:tc>
          <w:tcPr>
            <w:tcW w:w="2316" w:type="pct"/>
            <w:tcBorders>
              <w:top w:val="single" w:sz="4" w:space="0" w:color="auto"/>
              <w:left w:val="single" w:sz="4" w:space="0" w:color="auto"/>
              <w:bottom w:val="single" w:sz="4" w:space="0" w:color="auto"/>
              <w:right w:val="single" w:sz="4" w:space="0" w:color="auto"/>
            </w:tcBorders>
            <w:shd w:val="clear" w:color="auto" w:fill="E6E6E6"/>
            <w:hideMark/>
          </w:tcPr>
          <w:p w14:paraId="6F0F7BE5" w14:textId="5A7C676E" w:rsidR="0078759B" w:rsidRPr="0078759B" w:rsidRDefault="0078759B" w:rsidP="0078759B">
            <w:pPr>
              <w:tabs>
                <w:tab w:val="left" w:pos="709"/>
              </w:tabs>
              <w:rPr>
                <w:rFonts w:ascii="Arial" w:hAnsi="Arial" w:cs="Arial"/>
                <w:b/>
                <w:bCs/>
                <w:iCs/>
                <w:sz w:val="16"/>
                <w:szCs w:val="16"/>
              </w:rPr>
            </w:pPr>
            <w:r w:rsidRPr="0078759B">
              <w:rPr>
                <w:rFonts w:ascii="Arial" w:hAnsi="Arial" w:cs="Arial"/>
                <w:b/>
                <w:bCs/>
                <w:iCs/>
                <w:sz w:val="16"/>
                <w:szCs w:val="16"/>
              </w:rPr>
              <w:t>Expected performance results</w:t>
            </w:r>
          </w:p>
        </w:tc>
      </w:tr>
      <w:tr w:rsidR="00E13D3D" w14:paraId="401FA9F1" w14:textId="77777777" w:rsidTr="00D11086">
        <w:trPr>
          <w:trHeight w:val="1127"/>
        </w:trPr>
        <w:tc>
          <w:tcPr>
            <w:tcW w:w="923" w:type="pct"/>
            <w:tcBorders>
              <w:top w:val="single" w:sz="4" w:space="0" w:color="auto"/>
              <w:left w:val="single" w:sz="4" w:space="0" w:color="auto"/>
              <w:bottom w:val="nil"/>
              <w:right w:val="single" w:sz="4" w:space="0" w:color="auto"/>
            </w:tcBorders>
          </w:tcPr>
          <w:p w14:paraId="2983EDEE" w14:textId="6E4E2F1F" w:rsidR="00E13D3D" w:rsidRPr="007349FA" w:rsidRDefault="00E13D3D">
            <w:pPr>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454B98CE" w14:textId="7471BB18"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sz w:val="16"/>
                <w:szCs w:val="16"/>
              </w:rPr>
              <w:t>Proportion of ARC-funded research projects that involved international collaboration.</w:t>
            </w:r>
          </w:p>
        </w:tc>
        <w:tc>
          <w:tcPr>
            <w:tcW w:w="2316" w:type="pct"/>
            <w:tcBorders>
              <w:top w:val="single" w:sz="4" w:space="0" w:color="auto"/>
              <w:left w:val="single" w:sz="4" w:space="0" w:color="auto"/>
              <w:bottom w:val="single" w:sz="4" w:space="0" w:color="auto"/>
              <w:right w:val="single" w:sz="4" w:space="0" w:color="auto"/>
            </w:tcBorders>
            <w:hideMark/>
          </w:tcPr>
          <w:p w14:paraId="0031EC69" w14:textId="4986CDBC"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b/>
                <w:bCs/>
                <w:iCs/>
                <w:sz w:val="16"/>
                <w:szCs w:val="16"/>
              </w:rPr>
              <w:t>Target:</w:t>
            </w:r>
            <w:r w:rsidRPr="007349FA">
              <w:rPr>
                <w:rFonts w:ascii="Arial" w:hAnsi="Arial" w:cs="Arial"/>
                <w:iCs/>
                <w:sz w:val="16"/>
                <w:szCs w:val="16"/>
              </w:rPr>
              <w:t xml:space="preserve"> 70% </w:t>
            </w:r>
            <w:r w:rsidRPr="007349FA">
              <w:rPr>
                <w:rFonts w:ascii="Arial" w:hAnsi="Arial" w:cs="Arial"/>
                <w:sz w:val="16"/>
                <w:szCs w:val="16"/>
              </w:rPr>
              <w:t>of Linkage Program research projects involve international collaboration.</w:t>
            </w:r>
          </w:p>
          <w:p w14:paraId="164715E5" w14:textId="4C522361"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Expected performance:</w:t>
            </w:r>
            <w:r w:rsidRPr="007349FA">
              <w:rPr>
                <w:rFonts w:ascii="Arial" w:hAnsi="Arial" w:cs="Arial"/>
                <w:iCs/>
                <w:sz w:val="16"/>
                <w:szCs w:val="16"/>
              </w:rPr>
              <w:t xml:space="preserve"> </w:t>
            </w:r>
            <w:r w:rsidRPr="007349FA">
              <w:rPr>
                <w:rFonts w:ascii="Arial" w:hAnsi="Arial" w:cs="Arial"/>
                <w:sz w:val="16"/>
                <w:szCs w:val="16"/>
              </w:rPr>
              <w:t>On track to meet the target.</w:t>
            </w:r>
            <w:r w:rsidRPr="007349FA">
              <w:rPr>
                <w:rFonts w:ascii="Arial" w:hAnsi="Arial" w:cs="Arial"/>
                <w:iCs/>
                <w:sz w:val="16"/>
                <w:szCs w:val="16"/>
              </w:rPr>
              <w:t xml:space="preserve"> </w:t>
            </w:r>
          </w:p>
        </w:tc>
      </w:tr>
      <w:tr w:rsidR="00E13D3D" w14:paraId="741D3308" w14:textId="77777777" w:rsidTr="00E87A62">
        <w:trPr>
          <w:trHeight w:val="1187"/>
        </w:trPr>
        <w:tc>
          <w:tcPr>
            <w:tcW w:w="923" w:type="pct"/>
            <w:tcBorders>
              <w:top w:val="nil"/>
              <w:left w:val="single" w:sz="4" w:space="0" w:color="auto"/>
              <w:bottom w:val="nil"/>
              <w:right w:val="single" w:sz="4" w:space="0" w:color="auto"/>
            </w:tcBorders>
          </w:tcPr>
          <w:p w14:paraId="19C749CB" w14:textId="3337155C" w:rsidR="00E13D3D" w:rsidRPr="007349FA" w:rsidRDefault="00E13D3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0D66A221" w14:textId="1270A46B"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sz w:val="16"/>
                <w:szCs w:val="16"/>
              </w:rPr>
              <w:t>Maintain or increase the level of co-funding from partner organisations involved in ARC funded research (</w:t>
            </w:r>
            <w:r w:rsidRPr="007349FA">
              <w:rPr>
                <w:rFonts w:ascii="Arial" w:hAnsi="Arial" w:cs="Arial"/>
                <w:i/>
                <w:iCs/>
                <w:sz w:val="16"/>
                <w:szCs w:val="16"/>
              </w:rPr>
              <w:t>Linkage Projects scheme</w:t>
            </w:r>
            <w:r w:rsidRPr="007349FA">
              <w:rPr>
                <w:rFonts w:ascii="Arial" w:hAnsi="Arial" w:cs="Arial"/>
                <w:sz w:val="16"/>
                <w:szCs w:val="16"/>
              </w:rPr>
              <w:t>).</w:t>
            </w:r>
          </w:p>
        </w:tc>
        <w:tc>
          <w:tcPr>
            <w:tcW w:w="2316" w:type="pct"/>
            <w:tcBorders>
              <w:top w:val="single" w:sz="4" w:space="0" w:color="auto"/>
              <w:left w:val="single" w:sz="4" w:space="0" w:color="auto"/>
              <w:bottom w:val="single" w:sz="4" w:space="0" w:color="auto"/>
              <w:right w:val="single" w:sz="4" w:space="0" w:color="auto"/>
            </w:tcBorders>
            <w:hideMark/>
          </w:tcPr>
          <w:p w14:paraId="35667400" w14:textId="3BCE4BC6"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sz w:val="16"/>
                <w:szCs w:val="16"/>
              </w:rPr>
              <w:t>Target: Partner Organisations contribute ≥ $1 to ARC Linkage Projects for every ARC dollar awarded.</w:t>
            </w:r>
          </w:p>
          <w:p w14:paraId="367CFDB1" w14:textId="0105D0A0"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Expected performance:</w:t>
            </w:r>
            <w:r w:rsidRPr="007349FA">
              <w:rPr>
                <w:rFonts w:ascii="Arial" w:hAnsi="Arial" w:cs="Arial"/>
                <w:iCs/>
                <w:sz w:val="16"/>
                <w:szCs w:val="16"/>
              </w:rPr>
              <w:t xml:space="preserve"> On track</w:t>
            </w:r>
            <w:r w:rsidRPr="007349FA">
              <w:rPr>
                <w:rFonts w:ascii="Arial" w:hAnsi="Arial" w:cs="Arial"/>
                <w:sz w:val="16"/>
                <w:szCs w:val="16"/>
              </w:rPr>
              <w:t xml:space="preserve"> to meet the target.</w:t>
            </w:r>
            <w:r w:rsidRPr="007349FA">
              <w:rPr>
                <w:rFonts w:ascii="Arial" w:hAnsi="Arial" w:cs="Arial"/>
                <w:iCs/>
                <w:sz w:val="16"/>
                <w:szCs w:val="16"/>
              </w:rPr>
              <w:t xml:space="preserve"> </w:t>
            </w:r>
          </w:p>
        </w:tc>
      </w:tr>
      <w:tr w:rsidR="00E13D3D" w14:paraId="4E1C5223" w14:textId="77777777" w:rsidTr="007349FA">
        <w:trPr>
          <w:trHeight w:val="1695"/>
        </w:trPr>
        <w:tc>
          <w:tcPr>
            <w:tcW w:w="923" w:type="pct"/>
            <w:tcBorders>
              <w:top w:val="nil"/>
              <w:left w:val="single" w:sz="4" w:space="0" w:color="auto"/>
              <w:bottom w:val="nil"/>
              <w:right w:val="single" w:sz="4" w:space="0" w:color="auto"/>
            </w:tcBorders>
          </w:tcPr>
          <w:p w14:paraId="1F3BC1E7" w14:textId="30705831" w:rsidR="00E13D3D" w:rsidRPr="007349FA" w:rsidRDefault="00E13D3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528A8878" w14:textId="7417AC85"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sz w:val="16"/>
                <w:szCs w:val="16"/>
              </w:rPr>
              <w:t>Proportion of participating organisations satisfied with the research partnership supported through the Linkage Program (</w:t>
            </w:r>
            <w:r w:rsidRPr="007349FA">
              <w:rPr>
                <w:rFonts w:ascii="Arial" w:hAnsi="Arial" w:cs="Arial"/>
                <w:i/>
                <w:sz w:val="16"/>
                <w:szCs w:val="16"/>
              </w:rPr>
              <w:t>Linkage Projects</w:t>
            </w:r>
            <w:r w:rsidRPr="007349FA">
              <w:rPr>
                <w:rFonts w:ascii="Arial" w:hAnsi="Arial" w:cs="Arial"/>
                <w:sz w:val="16"/>
                <w:szCs w:val="16"/>
              </w:rPr>
              <w:t xml:space="preserve"> scheme).</w:t>
            </w:r>
          </w:p>
        </w:tc>
        <w:tc>
          <w:tcPr>
            <w:tcW w:w="2316" w:type="pct"/>
            <w:tcBorders>
              <w:top w:val="single" w:sz="4" w:space="0" w:color="auto"/>
              <w:left w:val="single" w:sz="4" w:space="0" w:color="auto"/>
              <w:bottom w:val="single" w:sz="4" w:space="0" w:color="auto"/>
              <w:right w:val="single" w:sz="4" w:space="0" w:color="auto"/>
            </w:tcBorders>
            <w:hideMark/>
          </w:tcPr>
          <w:p w14:paraId="27A23D5C" w14:textId="5B02DCDE"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Target:</w:t>
            </w:r>
            <w:r w:rsidRPr="007349FA">
              <w:rPr>
                <w:rFonts w:ascii="Arial" w:hAnsi="Arial" w:cs="Arial"/>
                <w:iCs/>
                <w:sz w:val="16"/>
                <w:szCs w:val="16"/>
              </w:rPr>
              <w:t xml:space="preserve"> 90% of partner organisations who participate on an ARC Linkage Project report satisfaction with the research partnership supported by the grant. </w:t>
            </w:r>
          </w:p>
          <w:p w14:paraId="1618BD21" w14:textId="54E0D100"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Expected performance:</w:t>
            </w:r>
            <w:r w:rsidRPr="007349FA">
              <w:rPr>
                <w:rFonts w:ascii="Arial" w:hAnsi="Arial" w:cs="Arial"/>
                <w:iCs/>
                <w:sz w:val="16"/>
                <w:szCs w:val="16"/>
              </w:rPr>
              <w:t xml:space="preserve"> </w:t>
            </w:r>
            <w:r w:rsidRPr="007349FA">
              <w:rPr>
                <w:rFonts w:ascii="Arial" w:hAnsi="Arial" w:cs="Arial"/>
                <w:sz w:val="16"/>
                <w:szCs w:val="16"/>
              </w:rPr>
              <w:t>On track to meet the target.</w:t>
            </w:r>
            <w:r w:rsidRPr="007349FA">
              <w:rPr>
                <w:rFonts w:ascii="Arial" w:hAnsi="Arial" w:cs="Arial"/>
                <w:iCs/>
                <w:sz w:val="16"/>
                <w:szCs w:val="16"/>
              </w:rPr>
              <w:t xml:space="preserve"> </w:t>
            </w:r>
          </w:p>
        </w:tc>
      </w:tr>
      <w:tr w:rsidR="00E13D3D" w14:paraId="5EA4CB96" w14:textId="77777777" w:rsidTr="00E87A62">
        <w:trPr>
          <w:trHeight w:val="1473"/>
        </w:trPr>
        <w:tc>
          <w:tcPr>
            <w:tcW w:w="923" w:type="pct"/>
            <w:tcBorders>
              <w:top w:val="nil"/>
              <w:left w:val="single" w:sz="4" w:space="0" w:color="auto"/>
              <w:bottom w:val="single" w:sz="4" w:space="0" w:color="auto"/>
              <w:right w:val="single" w:sz="4" w:space="0" w:color="auto"/>
            </w:tcBorders>
          </w:tcPr>
          <w:p w14:paraId="2F87D691" w14:textId="67A217F6" w:rsidR="00E13D3D" w:rsidRPr="007349FA" w:rsidRDefault="00E13D3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093F47F4" w14:textId="4A0419FF"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sz w:val="16"/>
                <w:szCs w:val="16"/>
              </w:rPr>
              <w:t>Proportion of ARC-funded research projects that indicate their research will involve research in one of the Australian Government’s National Science and Research Priority areas.</w:t>
            </w:r>
          </w:p>
        </w:tc>
        <w:tc>
          <w:tcPr>
            <w:tcW w:w="2316" w:type="pct"/>
            <w:tcBorders>
              <w:top w:val="single" w:sz="4" w:space="0" w:color="auto"/>
              <w:left w:val="single" w:sz="4" w:space="0" w:color="auto"/>
              <w:bottom w:val="single" w:sz="4" w:space="0" w:color="auto"/>
              <w:right w:val="single" w:sz="4" w:space="0" w:color="auto"/>
            </w:tcBorders>
            <w:hideMark/>
          </w:tcPr>
          <w:p w14:paraId="5BB815DC" w14:textId="6508909B" w:rsidR="00E13D3D" w:rsidRPr="007349FA" w:rsidRDefault="00E13D3D">
            <w:pPr>
              <w:tabs>
                <w:tab w:val="left" w:pos="709"/>
              </w:tabs>
              <w:spacing w:before="60" w:after="60"/>
              <w:jc w:val="left"/>
              <w:rPr>
                <w:rFonts w:ascii="Arial" w:hAnsi="Arial" w:cs="Arial"/>
                <w:sz w:val="16"/>
                <w:szCs w:val="16"/>
              </w:rPr>
            </w:pPr>
            <w:r w:rsidRPr="007349FA">
              <w:rPr>
                <w:rFonts w:ascii="Arial" w:hAnsi="Arial" w:cs="Arial"/>
                <w:b/>
                <w:bCs/>
                <w:iCs/>
                <w:sz w:val="16"/>
                <w:szCs w:val="16"/>
              </w:rPr>
              <w:t>Target:</w:t>
            </w:r>
            <w:r w:rsidRPr="007349FA">
              <w:rPr>
                <w:rFonts w:ascii="Arial" w:hAnsi="Arial" w:cs="Arial"/>
                <w:iCs/>
                <w:sz w:val="16"/>
                <w:szCs w:val="16"/>
              </w:rPr>
              <w:t xml:space="preserve"> 60% </w:t>
            </w:r>
            <w:r w:rsidRPr="007349FA">
              <w:rPr>
                <w:rFonts w:ascii="Arial" w:hAnsi="Arial" w:cs="Arial"/>
                <w:sz w:val="16"/>
                <w:szCs w:val="16"/>
              </w:rPr>
              <w:t xml:space="preserve">of Linkage Program research contribute to the Australian Government’s National Science and Research Priority areas. </w:t>
            </w:r>
          </w:p>
          <w:p w14:paraId="402B77EE" w14:textId="29176933" w:rsidR="00E13D3D" w:rsidRPr="007349FA" w:rsidRDefault="00E13D3D">
            <w:pPr>
              <w:tabs>
                <w:tab w:val="left" w:pos="709"/>
              </w:tabs>
              <w:spacing w:before="60" w:after="60"/>
              <w:jc w:val="left"/>
              <w:rPr>
                <w:rFonts w:ascii="Arial" w:hAnsi="Arial" w:cs="Arial"/>
                <w:b/>
                <w:bCs/>
                <w:iCs/>
                <w:sz w:val="16"/>
                <w:szCs w:val="16"/>
              </w:rPr>
            </w:pPr>
            <w:r w:rsidRPr="007349FA">
              <w:rPr>
                <w:rFonts w:ascii="Arial" w:hAnsi="Arial" w:cs="Arial"/>
                <w:b/>
                <w:bCs/>
                <w:iCs/>
                <w:sz w:val="16"/>
                <w:szCs w:val="16"/>
              </w:rPr>
              <w:t>Expected performance:</w:t>
            </w:r>
            <w:r w:rsidRPr="007349FA">
              <w:rPr>
                <w:rFonts w:ascii="Arial" w:hAnsi="Arial" w:cs="Arial"/>
                <w:iCs/>
                <w:sz w:val="16"/>
                <w:szCs w:val="16"/>
              </w:rPr>
              <w:t xml:space="preserve"> </w:t>
            </w:r>
            <w:r w:rsidRPr="007349FA">
              <w:rPr>
                <w:rFonts w:ascii="Arial" w:hAnsi="Arial" w:cs="Arial"/>
                <w:sz w:val="16"/>
                <w:szCs w:val="16"/>
              </w:rPr>
              <w:t>On track to meet the target.</w:t>
            </w:r>
            <w:r w:rsidRPr="007349FA">
              <w:rPr>
                <w:rFonts w:ascii="Arial" w:hAnsi="Arial" w:cs="Arial"/>
                <w:iCs/>
                <w:sz w:val="16"/>
                <w:szCs w:val="16"/>
              </w:rPr>
              <w:t xml:space="preserve"> </w:t>
            </w:r>
          </w:p>
        </w:tc>
      </w:tr>
    </w:tbl>
    <w:p w14:paraId="7C3B1AB7" w14:textId="7C4C007C" w:rsidR="00011EE5" w:rsidRDefault="00011EE5"/>
    <w:p w14:paraId="0ABB952B" w14:textId="77777777" w:rsidR="00011EE5" w:rsidRDefault="00011EE5">
      <w:pPr>
        <w:spacing w:after="0" w:line="240" w:lineRule="auto"/>
        <w:jc w:val="left"/>
      </w:pPr>
      <w:r>
        <w:br w:type="page"/>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702"/>
        <w:gridCol w:w="3554"/>
      </w:tblGrid>
      <w:tr w:rsidR="00E13D3D" w14:paraId="5B7CE1D6" w14:textId="77777777" w:rsidTr="00D14A4A">
        <w:trPr>
          <w:trHeight w:val="100"/>
        </w:trPr>
        <w:tc>
          <w:tcPr>
            <w:tcW w:w="923" w:type="pct"/>
            <w:tcBorders>
              <w:top w:val="single" w:sz="4" w:space="0" w:color="auto"/>
              <w:left w:val="single" w:sz="4" w:space="0" w:color="auto"/>
              <w:bottom w:val="single" w:sz="4" w:space="0" w:color="auto"/>
              <w:right w:val="single" w:sz="4" w:space="0" w:color="auto"/>
            </w:tcBorders>
            <w:shd w:val="clear" w:color="auto" w:fill="E6E6E6"/>
            <w:hideMark/>
          </w:tcPr>
          <w:p w14:paraId="7323296F" w14:textId="3FD5AC0E" w:rsidR="00E13D3D" w:rsidRPr="007349FA" w:rsidRDefault="00E13D3D">
            <w:pPr>
              <w:pStyle w:val="TableTextBase"/>
              <w:rPr>
                <w:rFonts w:cs="Arial"/>
                <w:b/>
                <w:sz w:val="16"/>
                <w:szCs w:val="16"/>
              </w:rPr>
            </w:pPr>
            <w:r w:rsidRPr="007349FA">
              <w:rPr>
                <w:rFonts w:cs="Arial"/>
                <w:b/>
                <w:sz w:val="16"/>
                <w:szCs w:val="16"/>
              </w:rPr>
              <w:lastRenderedPageBreak/>
              <w:t>Year</w:t>
            </w:r>
          </w:p>
        </w:tc>
        <w:tc>
          <w:tcPr>
            <w:tcW w:w="1761" w:type="pct"/>
            <w:tcBorders>
              <w:top w:val="single" w:sz="4" w:space="0" w:color="auto"/>
              <w:left w:val="single" w:sz="4" w:space="0" w:color="auto"/>
              <w:bottom w:val="single" w:sz="4" w:space="0" w:color="auto"/>
              <w:right w:val="single" w:sz="4" w:space="0" w:color="auto"/>
            </w:tcBorders>
            <w:shd w:val="clear" w:color="auto" w:fill="E6E6E6"/>
            <w:hideMark/>
          </w:tcPr>
          <w:p w14:paraId="26F96F67" w14:textId="59C051FA" w:rsidR="00E13D3D" w:rsidRPr="007349FA" w:rsidRDefault="00E13D3D">
            <w:pPr>
              <w:pStyle w:val="TableTextBase"/>
              <w:rPr>
                <w:rFonts w:cs="Arial"/>
                <w:b/>
                <w:sz w:val="16"/>
                <w:szCs w:val="16"/>
              </w:rPr>
            </w:pPr>
            <w:r w:rsidRPr="007349FA">
              <w:rPr>
                <w:rFonts w:cs="Arial"/>
                <w:b/>
                <w:sz w:val="16"/>
                <w:szCs w:val="16"/>
              </w:rPr>
              <w:t xml:space="preserve">Performance measures </w:t>
            </w:r>
          </w:p>
        </w:tc>
        <w:tc>
          <w:tcPr>
            <w:tcW w:w="2316" w:type="pct"/>
            <w:tcBorders>
              <w:top w:val="single" w:sz="4" w:space="0" w:color="auto"/>
              <w:left w:val="single" w:sz="4" w:space="0" w:color="auto"/>
              <w:bottom w:val="single" w:sz="4" w:space="0" w:color="auto"/>
              <w:right w:val="single" w:sz="4" w:space="0" w:color="auto"/>
            </w:tcBorders>
            <w:shd w:val="clear" w:color="auto" w:fill="E6E6E6"/>
          </w:tcPr>
          <w:p w14:paraId="4A33816F" w14:textId="5DB90E91" w:rsidR="00E13D3D" w:rsidRPr="007349FA" w:rsidRDefault="00AE609B">
            <w:pPr>
              <w:pStyle w:val="TableTextBase"/>
              <w:rPr>
                <w:rFonts w:cs="Arial"/>
                <w:b/>
                <w:sz w:val="16"/>
                <w:szCs w:val="16"/>
              </w:rPr>
            </w:pPr>
            <w:r>
              <w:rPr>
                <w:rFonts w:cs="Arial"/>
                <w:b/>
                <w:sz w:val="16"/>
                <w:szCs w:val="16"/>
              </w:rPr>
              <w:t>Planned performance results</w:t>
            </w:r>
          </w:p>
          <w:p w14:paraId="34F94FF3" w14:textId="77D04FC5" w:rsidR="00E13D3D" w:rsidRPr="007349FA" w:rsidRDefault="00E13D3D">
            <w:pPr>
              <w:pStyle w:val="TableTextBase"/>
              <w:rPr>
                <w:rFonts w:cs="Arial"/>
                <w:b/>
                <w:sz w:val="16"/>
                <w:szCs w:val="16"/>
              </w:rPr>
            </w:pPr>
          </w:p>
        </w:tc>
      </w:tr>
      <w:tr w:rsidR="001F33C4" w14:paraId="63605E4F" w14:textId="77777777" w:rsidTr="00B032F3">
        <w:trPr>
          <w:trHeight w:val="1080"/>
        </w:trPr>
        <w:tc>
          <w:tcPr>
            <w:tcW w:w="923" w:type="pct"/>
            <w:vMerge w:val="restart"/>
            <w:tcBorders>
              <w:top w:val="single" w:sz="4" w:space="0" w:color="auto"/>
              <w:left w:val="single" w:sz="4" w:space="0" w:color="auto"/>
              <w:right w:val="single" w:sz="4" w:space="0" w:color="auto"/>
            </w:tcBorders>
            <w:hideMark/>
          </w:tcPr>
          <w:p w14:paraId="60F0B04C" w14:textId="351723B1" w:rsidR="001F33C4" w:rsidRPr="007349FA" w:rsidRDefault="001F33C4">
            <w:pPr>
              <w:tabs>
                <w:tab w:val="left" w:pos="709"/>
              </w:tabs>
              <w:spacing w:before="60" w:after="60"/>
              <w:rPr>
                <w:rFonts w:ascii="Arial" w:hAnsi="Arial" w:cs="Arial"/>
                <w:sz w:val="16"/>
                <w:szCs w:val="16"/>
              </w:rPr>
            </w:pPr>
            <w:r w:rsidRPr="007349FA">
              <w:rPr>
                <w:rFonts w:ascii="Arial" w:hAnsi="Arial" w:cs="Arial"/>
                <w:sz w:val="16"/>
                <w:szCs w:val="16"/>
              </w:rPr>
              <w:t>Budget Year</w:t>
            </w:r>
          </w:p>
          <w:p w14:paraId="0CA8407C" w14:textId="05251F47" w:rsidR="001F33C4" w:rsidRPr="007349FA" w:rsidRDefault="001F33C4">
            <w:pPr>
              <w:tabs>
                <w:tab w:val="left" w:pos="709"/>
              </w:tabs>
              <w:spacing w:before="60" w:after="60"/>
              <w:rPr>
                <w:rFonts w:ascii="Arial" w:hAnsi="Arial" w:cs="Arial"/>
                <w:sz w:val="16"/>
                <w:szCs w:val="16"/>
              </w:rPr>
            </w:pPr>
            <w:r w:rsidRPr="007349FA">
              <w:rPr>
                <w:rFonts w:ascii="Arial" w:hAnsi="Arial" w:cs="Arial"/>
                <w:sz w:val="16"/>
                <w:szCs w:val="16"/>
              </w:rPr>
              <w:t>2022–23</w:t>
            </w:r>
          </w:p>
        </w:tc>
        <w:tc>
          <w:tcPr>
            <w:tcW w:w="1761" w:type="pct"/>
            <w:tcBorders>
              <w:top w:val="single" w:sz="4" w:space="0" w:color="auto"/>
              <w:left w:val="single" w:sz="4" w:space="0" w:color="auto"/>
              <w:bottom w:val="single" w:sz="4" w:space="0" w:color="auto"/>
              <w:right w:val="single" w:sz="4" w:space="0" w:color="auto"/>
            </w:tcBorders>
          </w:tcPr>
          <w:p w14:paraId="2DBE859A" w14:textId="3EB23A37" w:rsidR="001F33C4" w:rsidRPr="007349FA" w:rsidRDefault="001F33C4">
            <w:pPr>
              <w:tabs>
                <w:tab w:val="left" w:pos="709"/>
              </w:tabs>
              <w:spacing w:before="60" w:after="60"/>
              <w:jc w:val="left"/>
              <w:rPr>
                <w:rFonts w:ascii="Arial" w:hAnsi="Arial" w:cs="Arial"/>
                <w:sz w:val="16"/>
                <w:szCs w:val="16"/>
              </w:rPr>
            </w:pPr>
            <w:r w:rsidRPr="007349FA">
              <w:rPr>
                <w:rFonts w:ascii="Arial" w:hAnsi="Arial" w:cs="Arial"/>
                <w:sz w:val="16"/>
                <w:szCs w:val="16"/>
              </w:rPr>
              <w:t>NCGP applications and assessment processes are conducted in a timely manner.</w:t>
            </w:r>
          </w:p>
          <w:p w14:paraId="01183366" w14:textId="567030B6" w:rsidR="001F33C4" w:rsidRPr="007349FA" w:rsidRDefault="001F33C4">
            <w:pPr>
              <w:tabs>
                <w:tab w:val="left" w:pos="709"/>
              </w:tabs>
              <w:spacing w:before="60" w:after="60"/>
              <w:jc w:val="left"/>
              <w:rPr>
                <w:rFonts w:ascii="Arial" w:hAnsi="Arial" w:cs="Arial"/>
                <w:iCs/>
                <w:sz w:val="16"/>
                <w:szCs w:val="16"/>
              </w:rPr>
            </w:pPr>
          </w:p>
        </w:tc>
        <w:tc>
          <w:tcPr>
            <w:tcW w:w="2316" w:type="pct"/>
            <w:tcBorders>
              <w:top w:val="single" w:sz="4" w:space="0" w:color="auto"/>
              <w:left w:val="single" w:sz="4" w:space="0" w:color="auto"/>
              <w:bottom w:val="single" w:sz="4" w:space="0" w:color="auto"/>
              <w:right w:val="single" w:sz="4" w:space="0" w:color="auto"/>
            </w:tcBorders>
            <w:hideMark/>
          </w:tcPr>
          <w:p w14:paraId="18788A5A" w14:textId="268CEF5C" w:rsidR="001F33C4" w:rsidRPr="007349FA" w:rsidRDefault="001F33C4">
            <w:pPr>
              <w:tabs>
                <w:tab w:val="left" w:pos="709"/>
              </w:tabs>
              <w:spacing w:before="60" w:after="60"/>
              <w:jc w:val="left"/>
              <w:rPr>
                <w:rFonts w:ascii="Arial" w:hAnsi="Arial" w:cs="Arial"/>
                <w:iCs/>
                <w:sz w:val="16"/>
                <w:szCs w:val="16"/>
              </w:rPr>
            </w:pPr>
            <w:r w:rsidRPr="007349FA">
              <w:rPr>
                <w:rFonts w:ascii="Arial" w:hAnsi="Arial" w:cs="Arial"/>
                <w:b/>
                <w:bCs/>
                <w:iCs/>
                <w:sz w:val="16"/>
                <w:szCs w:val="16"/>
              </w:rPr>
              <w:t xml:space="preserve">Target: </w:t>
            </w:r>
            <w:r w:rsidRPr="007349FA">
              <w:rPr>
                <w:rFonts w:ascii="Arial" w:hAnsi="Arial" w:cs="Arial"/>
                <w:iCs/>
                <w:sz w:val="16"/>
                <w:szCs w:val="16"/>
              </w:rPr>
              <w:t xml:space="preserve">100% of Linkage Projects application recommendations are made to the Minister within 6 months of scheme round closing dates. </w:t>
            </w:r>
          </w:p>
        </w:tc>
      </w:tr>
      <w:tr w:rsidR="001F33C4" w14:paraId="336E5B95" w14:textId="77777777" w:rsidTr="00B032F3">
        <w:trPr>
          <w:trHeight w:val="1189"/>
        </w:trPr>
        <w:tc>
          <w:tcPr>
            <w:tcW w:w="923" w:type="pct"/>
            <w:vMerge/>
            <w:tcBorders>
              <w:left w:val="single" w:sz="4" w:space="0" w:color="auto"/>
              <w:right w:val="single" w:sz="4" w:space="0" w:color="auto"/>
            </w:tcBorders>
          </w:tcPr>
          <w:p w14:paraId="030EEA36" w14:textId="0564EFD1" w:rsidR="001F33C4" w:rsidRPr="007349FA" w:rsidRDefault="001F33C4">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6E3BCBD1" w14:textId="12AD8E90" w:rsidR="001F33C4" w:rsidRPr="007349FA" w:rsidRDefault="001F33C4">
            <w:pPr>
              <w:tabs>
                <w:tab w:val="left" w:pos="709"/>
              </w:tabs>
              <w:spacing w:before="60" w:after="60"/>
              <w:jc w:val="left"/>
              <w:rPr>
                <w:rFonts w:ascii="Arial" w:hAnsi="Arial" w:cs="Arial"/>
                <w:iCs/>
                <w:sz w:val="16"/>
                <w:szCs w:val="16"/>
              </w:rPr>
            </w:pPr>
            <w:r w:rsidRPr="007349FA">
              <w:rPr>
                <w:rFonts w:ascii="Arial" w:hAnsi="Arial" w:cs="Arial"/>
                <w:sz w:val="16"/>
                <w:szCs w:val="16"/>
              </w:rPr>
              <w:t>ARC manages NCGP application and assessment processes fairly and in accordance with Grant Guidelines.</w:t>
            </w:r>
          </w:p>
        </w:tc>
        <w:tc>
          <w:tcPr>
            <w:tcW w:w="2316" w:type="pct"/>
            <w:tcBorders>
              <w:top w:val="single" w:sz="4" w:space="0" w:color="auto"/>
              <w:left w:val="single" w:sz="4" w:space="0" w:color="auto"/>
              <w:bottom w:val="single" w:sz="4" w:space="0" w:color="auto"/>
              <w:right w:val="single" w:sz="4" w:space="0" w:color="auto"/>
            </w:tcBorders>
            <w:hideMark/>
          </w:tcPr>
          <w:p w14:paraId="07070598" w14:textId="517AC489" w:rsidR="001F33C4" w:rsidRPr="007349FA" w:rsidRDefault="001F33C4">
            <w:pPr>
              <w:tabs>
                <w:tab w:val="left" w:pos="709"/>
              </w:tabs>
              <w:spacing w:before="60" w:after="60"/>
              <w:jc w:val="left"/>
              <w:rPr>
                <w:rFonts w:ascii="Arial" w:hAnsi="Arial" w:cs="Arial"/>
                <w:iCs/>
                <w:sz w:val="16"/>
                <w:szCs w:val="16"/>
              </w:rPr>
            </w:pPr>
            <w:r w:rsidRPr="007349FA">
              <w:rPr>
                <w:rFonts w:ascii="Arial" w:hAnsi="Arial" w:cs="Arial"/>
                <w:b/>
                <w:bCs/>
                <w:iCs/>
                <w:sz w:val="16"/>
                <w:szCs w:val="16"/>
              </w:rPr>
              <w:t>Target:</w:t>
            </w:r>
            <w:r w:rsidRPr="007349FA">
              <w:rPr>
                <w:rFonts w:ascii="Arial" w:hAnsi="Arial" w:cs="Arial"/>
                <w:iCs/>
                <w:sz w:val="16"/>
                <w:szCs w:val="16"/>
              </w:rPr>
              <w:t xml:space="preserve"> The number of upheld appeals against administrative processes related to Linkage Program applications is &lt;1% of submitted applications.</w:t>
            </w:r>
          </w:p>
        </w:tc>
      </w:tr>
      <w:tr w:rsidR="001F33C4" w14:paraId="7A47133E" w14:textId="77777777" w:rsidTr="00B032F3">
        <w:trPr>
          <w:trHeight w:val="991"/>
        </w:trPr>
        <w:tc>
          <w:tcPr>
            <w:tcW w:w="923" w:type="pct"/>
            <w:vMerge/>
            <w:tcBorders>
              <w:left w:val="single" w:sz="4" w:space="0" w:color="auto"/>
              <w:bottom w:val="nil"/>
              <w:right w:val="single" w:sz="4" w:space="0" w:color="auto"/>
            </w:tcBorders>
          </w:tcPr>
          <w:p w14:paraId="2BBC21EC" w14:textId="419A40AA" w:rsidR="001F33C4" w:rsidRPr="007349FA" w:rsidRDefault="001F33C4">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6B6E1673" w14:textId="4C0EA2A2" w:rsidR="001F33C4" w:rsidRPr="007349FA" w:rsidRDefault="001F33C4">
            <w:pPr>
              <w:tabs>
                <w:tab w:val="left" w:pos="709"/>
              </w:tabs>
              <w:spacing w:before="60" w:after="60"/>
              <w:jc w:val="left"/>
              <w:rPr>
                <w:rFonts w:ascii="Arial" w:hAnsi="Arial" w:cs="Arial"/>
                <w:iCs/>
                <w:sz w:val="16"/>
                <w:szCs w:val="16"/>
              </w:rPr>
            </w:pPr>
            <w:r w:rsidRPr="007349FA">
              <w:rPr>
                <w:rFonts w:ascii="Arial" w:hAnsi="Arial" w:cs="Arial"/>
                <w:sz w:val="16"/>
                <w:szCs w:val="16"/>
              </w:rPr>
              <w:t>Proportion of ARC-funded research projects that involved international collaboration.</w:t>
            </w:r>
          </w:p>
        </w:tc>
        <w:tc>
          <w:tcPr>
            <w:tcW w:w="2316" w:type="pct"/>
            <w:tcBorders>
              <w:top w:val="single" w:sz="4" w:space="0" w:color="auto"/>
              <w:left w:val="single" w:sz="4" w:space="0" w:color="auto"/>
              <w:bottom w:val="single" w:sz="4" w:space="0" w:color="auto"/>
              <w:right w:val="single" w:sz="4" w:space="0" w:color="auto"/>
            </w:tcBorders>
            <w:hideMark/>
          </w:tcPr>
          <w:p w14:paraId="7960310F" w14:textId="42A6C683" w:rsidR="001F33C4" w:rsidRPr="007349FA" w:rsidRDefault="001F33C4">
            <w:pPr>
              <w:tabs>
                <w:tab w:val="left" w:pos="709"/>
              </w:tabs>
              <w:spacing w:before="60" w:after="60"/>
              <w:jc w:val="left"/>
              <w:rPr>
                <w:rFonts w:ascii="Arial" w:hAnsi="Arial" w:cs="Arial"/>
                <w:sz w:val="16"/>
                <w:szCs w:val="16"/>
              </w:rPr>
            </w:pPr>
            <w:r w:rsidRPr="007349FA">
              <w:rPr>
                <w:rFonts w:ascii="Arial" w:hAnsi="Arial" w:cs="Arial"/>
                <w:b/>
                <w:bCs/>
                <w:iCs/>
                <w:sz w:val="16"/>
                <w:szCs w:val="16"/>
              </w:rPr>
              <w:t>Target:</w:t>
            </w:r>
            <w:r w:rsidRPr="007349FA">
              <w:rPr>
                <w:rFonts w:ascii="Arial" w:hAnsi="Arial" w:cs="Arial"/>
                <w:iCs/>
                <w:sz w:val="16"/>
                <w:szCs w:val="16"/>
              </w:rPr>
              <w:t xml:space="preserve"> 70% </w:t>
            </w:r>
            <w:r w:rsidRPr="007349FA">
              <w:rPr>
                <w:rFonts w:ascii="Arial" w:hAnsi="Arial" w:cs="Arial"/>
                <w:sz w:val="16"/>
                <w:szCs w:val="16"/>
              </w:rPr>
              <w:t>of Linkage Program research projects involve international collaboration.</w:t>
            </w:r>
          </w:p>
        </w:tc>
      </w:tr>
      <w:tr w:rsidR="00E13D3D" w14:paraId="53A9969A" w14:textId="77777777" w:rsidTr="007349FA">
        <w:trPr>
          <w:trHeight w:val="1410"/>
        </w:trPr>
        <w:tc>
          <w:tcPr>
            <w:tcW w:w="923" w:type="pct"/>
            <w:tcBorders>
              <w:top w:val="nil"/>
              <w:left w:val="single" w:sz="4" w:space="0" w:color="auto"/>
              <w:bottom w:val="nil"/>
              <w:right w:val="single" w:sz="4" w:space="0" w:color="auto"/>
            </w:tcBorders>
          </w:tcPr>
          <w:p w14:paraId="13BA2909" w14:textId="7759D1FC" w:rsidR="00E13D3D" w:rsidRPr="007349FA" w:rsidRDefault="00E13D3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67C50D51" w14:textId="4F8C7A4E"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sz w:val="16"/>
                <w:szCs w:val="16"/>
              </w:rPr>
              <w:t>Proportion of participating organisations satisfied with the research partnership supported through the Linkage Program (</w:t>
            </w:r>
            <w:r w:rsidRPr="007349FA">
              <w:rPr>
                <w:rFonts w:ascii="Arial" w:hAnsi="Arial" w:cs="Arial"/>
                <w:i/>
                <w:sz w:val="16"/>
                <w:szCs w:val="16"/>
              </w:rPr>
              <w:t>Linkage Projects</w:t>
            </w:r>
            <w:r w:rsidRPr="007349FA">
              <w:rPr>
                <w:rFonts w:ascii="Arial" w:hAnsi="Arial" w:cs="Arial"/>
                <w:sz w:val="16"/>
                <w:szCs w:val="16"/>
              </w:rPr>
              <w:t xml:space="preserve"> scheme).</w:t>
            </w:r>
          </w:p>
        </w:tc>
        <w:tc>
          <w:tcPr>
            <w:tcW w:w="2316" w:type="pct"/>
            <w:tcBorders>
              <w:top w:val="single" w:sz="4" w:space="0" w:color="auto"/>
              <w:left w:val="single" w:sz="4" w:space="0" w:color="auto"/>
              <w:bottom w:val="single" w:sz="4" w:space="0" w:color="auto"/>
              <w:right w:val="single" w:sz="4" w:space="0" w:color="auto"/>
            </w:tcBorders>
            <w:hideMark/>
          </w:tcPr>
          <w:p w14:paraId="0D9CCE78" w14:textId="450F85D0"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Target:</w:t>
            </w:r>
            <w:r w:rsidRPr="007349FA">
              <w:rPr>
                <w:rFonts w:ascii="Arial" w:hAnsi="Arial" w:cs="Arial"/>
                <w:iCs/>
                <w:sz w:val="16"/>
                <w:szCs w:val="16"/>
              </w:rPr>
              <w:t xml:space="preserve"> 90% of partner organisations acknowledge (on an ARC Linkage Project report) the research partnership experience as beneficial or very beneficial.</w:t>
            </w:r>
          </w:p>
        </w:tc>
      </w:tr>
      <w:tr w:rsidR="00E13D3D" w14:paraId="0C890CBE" w14:textId="77777777" w:rsidTr="00E87A62">
        <w:trPr>
          <w:trHeight w:val="1261"/>
        </w:trPr>
        <w:tc>
          <w:tcPr>
            <w:tcW w:w="923" w:type="pct"/>
            <w:tcBorders>
              <w:top w:val="nil"/>
              <w:left w:val="single" w:sz="4" w:space="0" w:color="auto"/>
              <w:bottom w:val="single" w:sz="4" w:space="0" w:color="auto"/>
              <w:right w:val="single" w:sz="4" w:space="0" w:color="auto"/>
            </w:tcBorders>
          </w:tcPr>
          <w:p w14:paraId="2C0376F3" w14:textId="6AC88FA4" w:rsidR="00E13D3D" w:rsidRPr="007349FA" w:rsidRDefault="00E13D3D">
            <w:pPr>
              <w:tabs>
                <w:tab w:val="left" w:pos="709"/>
              </w:tabs>
              <w:spacing w:before="60" w:after="60"/>
              <w:rPr>
                <w:rFonts w:ascii="Arial" w:hAnsi="Arial" w:cs="Arial"/>
                <w:sz w:val="16"/>
                <w:szCs w:val="16"/>
              </w:rPr>
            </w:pPr>
          </w:p>
        </w:tc>
        <w:tc>
          <w:tcPr>
            <w:tcW w:w="1761" w:type="pct"/>
            <w:tcBorders>
              <w:top w:val="single" w:sz="4" w:space="0" w:color="auto"/>
              <w:left w:val="single" w:sz="4" w:space="0" w:color="auto"/>
              <w:bottom w:val="single" w:sz="4" w:space="0" w:color="auto"/>
              <w:right w:val="single" w:sz="4" w:space="0" w:color="auto"/>
            </w:tcBorders>
            <w:hideMark/>
          </w:tcPr>
          <w:p w14:paraId="1BF71C6D" w14:textId="54FF4E35" w:rsidR="00E13D3D" w:rsidRPr="007349FA" w:rsidRDefault="00E13D3D">
            <w:pPr>
              <w:tabs>
                <w:tab w:val="left" w:pos="709"/>
              </w:tabs>
              <w:spacing w:before="60" w:after="60"/>
              <w:jc w:val="left"/>
              <w:rPr>
                <w:rFonts w:ascii="Arial" w:hAnsi="Arial" w:cs="Arial"/>
                <w:sz w:val="16"/>
                <w:szCs w:val="16"/>
                <w:u w:val="single"/>
              </w:rPr>
            </w:pPr>
            <w:r w:rsidRPr="007349FA">
              <w:rPr>
                <w:rFonts w:ascii="Arial" w:hAnsi="Arial" w:cs="Arial"/>
                <w:sz w:val="16"/>
                <w:szCs w:val="16"/>
              </w:rPr>
              <w:t>Proportion of projects recommended for funding that align with one of the Australian Government’s National Manufacturing Priorities.</w:t>
            </w:r>
          </w:p>
        </w:tc>
        <w:tc>
          <w:tcPr>
            <w:tcW w:w="2316" w:type="pct"/>
            <w:tcBorders>
              <w:top w:val="single" w:sz="4" w:space="0" w:color="auto"/>
              <w:left w:val="single" w:sz="4" w:space="0" w:color="auto"/>
              <w:bottom w:val="single" w:sz="4" w:space="0" w:color="auto"/>
              <w:right w:val="single" w:sz="4" w:space="0" w:color="auto"/>
            </w:tcBorders>
            <w:hideMark/>
          </w:tcPr>
          <w:p w14:paraId="720A3465" w14:textId="29276B65" w:rsidR="00E13D3D" w:rsidRPr="007349FA" w:rsidRDefault="00E13D3D">
            <w:pPr>
              <w:tabs>
                <w:tab w:val="left" w:pos="709"/>
              </w:tabs>
              <w:spacing w:before="60" w:after="60"/>
              <w:jc w:val="left"/>
              <w:rPr>
                <w:rFonts w:ascii="Arial" w:hAnsi="Arial" w:cs="Arial"/>
                <w:iCs/>
                <w:sz w:val="16"/>
                <w:szCs w:val="16"/>
              </w:rPr>
            </w:pPr>
            <w:r w:rsidRPr="007349FA">
              <w:rPr>
                <w:rFonts w:ascii="Arial" w:hAnsi="Arial" w:cs="Arial"/>
                <w:b/>
                <w:bCs/>
                <w:iCs/>
                <w:sz w:val="16"/>
                <w:szCs w:val="16"/>
              </w:rPr>
              <w:t>Target:</w:t>
            </w:r>
            <w:r w:rsidRPr="007349FA">
              <w:rPr>
                <w:rFonts w:ascii="Arial" w:hAnsi="Arial" w:cs="Arial"/>
                <w:b/>
                <w:sz w:val="16"/>
                <w:szCs w:val="16"/>
              </w:rPr>
              <w:t xml:space="preserve"> </w:t>
            </w:r>
            <w:r w:rsidRPr="007349FA">
              <w:rPr>
                <w:rFonts w:ascii="Arial" w:hAnsi="Arial" w:cs="Arial"/>
                <w:iCs/>
                <w:sz w:val="16"/>
                <w:szCs w:val="16"/>
              </w:rPr>
              <w:t>At least 70</w:t>
            </w:r>
            <w:r w:rsidRPr="007349FA">
              <w:rPr>
                <w:rFonts w:ascii="Arial" w:hAnsi="Arial" w:cs="Arial"/>
                <w:sz w:val="16"/>
                <w:szCs w:val="16"/>
              </w:rPr>
              <w:t>%</w:t>
            </w:r>
            <w:r w:rsidRPr="007349FA">
              <w:rPr>
                <w:rFonts w:ascii="Arial" w:hAnsi="Arial" w:cs="Arial"/>
                <w:iCs/>
                <w:sz w:val="16"/>
                <w:szCs w:val="16"/>
              </w:rPr>
              <w:t xml:space="preserve"> </w:t>
            </w:r>
            <w:r w:rsidRPr="007349FA">
              <w:rPr>
                <w:rFonts w:ascii="Arial" w:hAnsi="Arial" w:cs="Arial"/>
                <w:sz w:val="16"/>
                <w:szCs w:val="16"/>
              </w:rPr>
              <w:t xml:space="preserve">of Linkage Program projects recommended for funding align with the NMPs. </w:t>
            </w:r>
          </w:p>
        </w:tc>
      </w:tr>
      <w:tr w:rsidR="00E13D3D" w14:paraId="056FF945" w14:textId="77777777" w:rsidTr="00E87A62">
        <w:trPr>
          <w:trHeight w:val="829"/>
        </w:trPr>
        <w:tc>
          <w:tcPr>
            <w:tcW w:w="923" w:type="pct"/>
            <w:tcBorders>
              <w:top w:val="single" w:sz="4" w:space="0" w:color="auto"/>
              <w:left w:val="single" w:sz="4" w:space="0" w:color="auto"/>
              <w:bottom w:val="single" w:sz="4" w:space="0" w:color="auto"/>
              <w:right w:val="single" w:sz="4" w:space="0" w:color="auto"/>
            </w:tcBorders>
            <w:hideMark/>
          </w:tcPr>
          <w:p w14:paraId="00BA86DB" w14:textId="45807DB4" w:rsidR="00E13D3D" w:rsidRPr="007349FA" w:rsidRDefault="00E13D3D">
            <w:pPr>
              <w:tabs>
                <w:tab w:val="left" w:pos="709"/>
              </w:tabs>
              <w:spacing w:before="60" w:after="60"/>
              <w:rPr>
                <w:rFonts w:ascii="Arial" w:hAnsi="Arial" w:cs="Arial"/>
                <w:sz w:val="16"/>
                <w:szCs w:val="16"/>
              </w:rPr>
            </w:pPr>
            <w:r w:rsidRPr="007349FA">
              <w:rPr>
                <w:rFonts w:ascii="Arial" w:hAnsi="Arial" w:cs="Arial"/>
                <w:sz w:val="16"/>
                <w:szCs w:val="16"/>
              </w:rPr>
              <w:t xml:space="preserve">Forward Estimates </w:t>
            </w:r>
          </w:p>
          <w:p w14:paraId="0ED42B05" w14:textId="274E21FF" w:rsidR="00E13D3D" w:rsidRPr="007349FA" w:rsidRDefault="00E13D3D">
            <w:pPr>
              <w:tabs>
                <w:tab w:val="left" w:pos="709"/>
              </w:tabs>
              <w:spacing w:before="60" w:after="60"/>
              <w:rPr>
                <w:rFonts w:ascii="Arial" w:hAnsi="Arial" w:cs="Arial"/>
                <w:sz w:val="16"/>
                <w:szCs w:val="16"/>
              </w:rPr>
            </w:pPr>
            <w:r w:rsidRPr="007349FA">
              <w:rPr>
                <w:rFonts w:ascii="Arial" w:hAnsi="Arial" w:cs="Arial"/>
                <w:sz w:val="16"/>
                <w:szCs w:val="16"/>
              </w:rPr>
              <w:t>20</w:t>
            </w:r>
            <w:r w:rsidR="001A5C33" w:rsidRPr="007349FA">
              <w:rPr>
                <w:rFonts w:ascii="Arial" w:hAnsi="Arial" w:cs="Arial"/>
                <w:sz w:val="16"/>
                <w:szCs w:val="16"/>
              </w:rPr>
              <w:t>23–24</w:t>
            </w:r>
          </w:p>
        </w:tc>
        <w:tc>
          <w:tcPr>
            <w:tcW w:w="1761" w:type="pct"/>
            <w:tcBorders>
              <w:top w:val="single" w:sz="4" w:space="0" w:color="auto"/>
              <w:left w:val="single" w:sz="4" w:space="0" w:color="auto"/>
              <w:bottom w:val="single" w:sz="4" w:space="0" w:color="auto"/>
              <w:right w:val="single" w:sz="4" w:space="0" w:color="auto"/>
            </w:tcBorders>
            <w:hideMark/>
          </w:tcPr>
          <w:p w14:paraId="7C831FC7" w14:textId="79EC189C" w:rsidR="00E13D3D" w:rsidRPr="007349FA" w:rsidRDefault="00E13D3D">
            <w:pPr>
              <w:tabs>
                <w:tab w:val="left" w:pos="709"/>
              </w:tabs>
              <w:spacing w:before="60" w:after="60"/>
              <w:jc w:val="left"/>
              <w:rPr>
                <w:rFonts w:ascii="Arial" w:hAnsi="Arial" w:cs="Arial"/>
                <w:i/>
                <w:iCs/>
                <w:sz w:val="16"/>
                <w:szCs w:val="16"/>
              </w:rPr>
            </w:pPr>
            <w:r w:rsidRPr="007349FA">
              <w:rPr>
                <w:rFonts w:ascii="Arial" w:hAnsi="Arial" w:cs="Arial"/>
                <w:iCs/>
                <w:sz w:val="16"/>
                <w:szCs w:val="16"/>
              </w:rPr>
              <w:t>As per 20</w:t>
            </w:r>
            <w:r w:rsidR="001A5C33" w:rsidRPr="007349FA">
              <w:rPr>
                <w:rFonts w:ascii="Arial" w:hAnsi="Arial" w:cs="Arial"/>
                <w:iCs/>
                <w:sz w:val="16"/>
                <w:szCs w:val="16"/>
              </w:rPr>
              <w:t>22–23</w:t>
            </w:r>
          </w:p>
        </w:tc>
        <w:tc>
          <w:tcPr>
            <w:tcW w:w="2316" w:type="pct"/>
            <w:tcBorders>
              <w:top w:val="single" w:sz="4" w:space="0" w:color="auto"/>
              <w:left w:val="single" w:sz="4" w:space="0" w:color="auto"/>
              <w:bottom w:val="single" w:sz="4" w:space="0" w:color="auto"/>
              <w:right w:val="single" w:sz="4" w:space="0" w:color="auto"/>
            </w:tcBorders>
            <w:hideMark/>
          </w:tcPr>
          <w:p w14:paraId="4D670D24" w14:textId="4C9CA80E" w:rsidR="00E13D3D" w:rsidRPr="007349FA" w:rsidRDefault="00E13D3D">
            <w:pPr>
              <w:tabs>
                <w:tab w:val="left" w:pos="709"/>
              </w:tabs>
              <w:spacing w:before="60" w:after="60"/>
              <w:jc w:val="left"/>
              <w:rPr>
                <w:rFonts w:ascii="Arial" w:hAnsi="Arial" w:cs="Arial"/>
                <w:i/>
                <w:sz w:val="16"/>
                <w:szCs w:val="16"/>
              </w:rPr>
            </w:pPr>
            <w:r w:rsidRPr="007349FA">
              <w:rPr>
                <w:rFonts w:ascii="Arial" w:hAnsi="Arial" w:cs="Arial"/>
                <w:iCs/>
                <w:sz w:val="16"/>
                <w:szCs w:val="16"/>
              </w:rPr>
              <w:t>As per 20</w:t>
            </w:r>
            <w:r w:rsidR="001A5C33" w:rsidRPr="007349FA">
              <w:rPr>
                <w:rFonts w:ascii="Arial" w:hAnsi="Arial" w:cs="Arial"/>
                <w:iCs/>
                <w:sz w:val="16"/>
                <w:szCs w:val="16"/>
              </w:rPr>
              <w:t>22–23</w:t>
            </w:r>
          </w:p>
        </w:tc>
      </w:tr>
      <w:tr w:rsidR="00AD1F43" w14:paraId="00E0656D" w14:textId="77777777" w:rsidTr="00AD1F43">
        <w:trPr>
          <w:trHeight w:val="829"/>
        </w:trPr>
        <w:tc>
          <w:tcPr>
            <w:tcW w:w="5000" w:type="pct"/>
            <w:gridSpan w:val="3"/>
            <w:tcBorders>
              <w:top w:val="single" w:sz="4" w:space="0" w:color="auto"/>
              <w:left w:val="single" w:sz="4" w:space="0" w:color="auto"/>
              <w:bottom w:val="single" w:sz="4" w:space="0" w:color="auto"/>
              <w:right w:val="single" w:sz="4" w:space="0" w:color="auto"/>
            </w:tcBorders>
          </w:tcPr>
          <w:p w14:paraId="1AA826A2" w14:textId="77777777" w:rsidR="00AD1F43" w:rsidRPr="004E15FD" w:rsidRDefault="00AD1F43" w:rsidP="00AD1F43">
            <w:pPr>
              <w:pStyle w:val="TableTextBase"/>
              <w:spacing w:before="120" w:after="120"/>
              <w:rPr>
                <w:rStyle w:val="BodyTextChar"/>
                <w:spacing w:val="-6"/>
                <w:sz w:val="16"/>
                <w:szCs w:val="16"/>
              </w:rPr>
            </w:pPr>
            <w:r w:rsidRPr="004E15FD">
              <w:rPr>
                <w:sz w:val="16"/>
                <w:szCs w:val="16"/>
              </w:rPr>
              <w:t>Material changes to Program 1.5 resulting from 20</w:t>
            </w:r>
            <w:r>
              <w:rPr>
                <w:sz w:val="16"/>
                <w:szCs w:val="16"/>
              </w:rPr>
              <w:t>22–23</w:t>
            </w:r>
            <w:r w:rsidRPr="004E15FD">
              <w:rPr>
                <w:sz w:val="16"/>
                <w:szCs w:val="16"/>
              </w:rPr>
              <w:t xml:space="preserve"> Budget Measures:</w:t>
            </w:r>
            <w:r w:rsidRPr="004E15FD">
              <w:rPr>
                <w:rStyle w:val="BodyTextChar"/>
                <w:bCs/>
                <w:spacing w:val="-6"/>
                <w:sz w:val="16"/>
                <w:szCs w:val="16"/>
              </w:rPr>
              <w:t xml:space="preserve"> </w:t>
            </w:r>
          </w:p>
          <w:p w14:paraId="7DBE1960" w14:textId="7F626C07" w:rsidR="00AD1F43" w:rsidRPr="00AD1F43" w:rsidRDefault="003B7C82" w:rsidP="00EF4228">
            <w:pPr>
              <w:pStyle w:val="TableTextBase"/>
              <w:numPr>
                <w:ilvl w:val="0"/>
                <w:numId w:val="31"/>
              </w:numPr>
              <w:spacing w:before="120" w:after="120"/>
              <w:ind w:left="357" w:hanging="357"/>
              <w:rPr>
                <w:rFonts w:eastAsia="Cambria"/>
                <w:bCs/>
                <w:spacing w:val="-6"/>
                <w:sz w:val="16"/>
                <w:szCs w:val="16"/>
                <w:lang w:val="x-none"/>
              </w:rPr>
            </w:pPr>
            <w:r w:rsidRPr="00364DDC">
              <w:rPr>
                <w:rFonts w:cs="Arial"/>
                <w:color w:val="000000"/>
                <w:sz w:val="16"/>
                <w:szCs w:val="16"/>
              </w:rPr>
              <w:t>Investing in Australia's University Research Commercialisation</w:t>
            </w:r>
          </w:p>
        </w:tc>
      </w:tr>
    </w:tbl>
    <w:p w14:paraId="2E40628A" w14:textId="77777777" w:rsidR="00AD1F43" w:rsidRDefault="00AD1F43" w:rsidP="00E13D3D">
      <w:pPr>
        <w:spacing w:after="160" w:line="256" w:lineRule="auto"/>
        <w:jc w:val="left"/>
        <w:rPr>
          <w:rFonts w:ascii="Arial" w:hAnsi="Arial" w:cs="Arial"/>
        </w:rPr>
      </w:pPr>
    </w:p>
    <w:p w14:paraId="33BA81B7" w14:textId="7DD34D10" w:rsidR="00E13D3D" w:rsidRDefault="00E13D3D" w:rsidP="00E13D3D">
      <w:pPr>
        <w:spacing w:after="160" w:line="256" w:lineRule="auto"/>
        <w:jc w:val="left"/>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426"/>
        <w:gridCol w:w="2827"/>
        <w:gridCol w:w="3447"/>
      </w:tblGrid>
      <w:tr w:rsidR="00E13D3D" w14:paraId="011B4ED8" w14:textId="77777777" w:rsidTr="00D14A4A">
        <w:trPr>
          <w:cantSplit/>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150F256C" w14:textId="7814D154" w:rsidR="00E13D3D" w:rsidRDefault="00E13D3D">
            <w:pPr>
              <w:pStyle w:val="TableColumnHeadingLeft"/>
              <w:rPr>
                <w:rFonts w:cs="Arial"/>
                <w:sz w:val="18"/>
                <w:szCs w:val="18"/>
              </w:rPr>
            </w:pPr>
            <w:r>
              <w:rPr>
                <w:rFonts w:cs="Arial"/>
                <w:sz w:val="18"/>
                <w:szCs w:val="18"/>
              </w:rPr>
              <w:lastRenderedPageBreak/>
              <w:t xml:space="preserve">Outcome 1 – Growth of knowledge and innovation through managing research funding schemes, measuring research </w:t>
            </w:r>
            <w:proofErr w:type="gramStart"/>
            <w:r>
              <w:rPr>
                <w:rFonts w:cs="Arial"/>
                <w:sz w:val="18"/>
                <w:szCs w:val="18"/>
              </w:rPr>
              <w:t>excellence</w:t>
            </w:r>
            <w:proofErr w:type="gramEnd"/>
            <w:r>
              <w:rPr>
                <w:rFonts w:cs="Arial"/>
                <w:sz w:val="18"/>
                <w:szCs w:val="18"/>
              </w:rPr>
              <w:t xml:space="preserve"> and providing advice.</w:t>
            </w:r>
          </w:p>
        </w:tc>
      </w:tr>
      <w:tr w:rsidR="00E13D3D" w14:paraId="3AF46D7C" w14:textId="77777777" w:rsidTr="00D14A4A">
        <w:trPr>
          <w:cantSplit/>
          <w:trHeight w:val="313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0FAC6733" w14:textId="1D43A831" w:rsidR="00E13D3D" w:rsidRDefault="00E13D3D">
            <w:pPr>
              <w:pStyle w:val="TableColumnHeadingLeft"/>
              <w:rPr>
                <w:rFonts w:cs="Arial"/>
                <w:sz w:val="18"/>
                <w:szCs w:val="18"/>
              </w:rPr>
            </w:pPr>
            <w:r>
              <w:rPr>
                <w:rFonts w:cs="Arial"/>
                <w:sz w:val="18"/>
                <w:szCs w:val="18"/>
              </w:rPr>
              <w:t xml:space="preserve">Program 1.3- Excellence in Research Australia </w:t>
            </w:r>
          </w:p>
          <w:p w14:paraId="63FFC1E1" w14:textId="0303788D" w:rsidR="00E13D3D" w:rsidRDefault="00E13D3D">
            <w:pPr>
              <w:pStyle w:val="TableColumnHeadingLeft"/>
              <w:spacing w:before="120"/>
              <w:rPr>
                <w:rFonts w:cs="Arial"/>
                <w:b w:val="0"/>
                <w:iCs/>
                <w:sz w:val="18"/>
                <w:szCs w:val="18"/>
              </w:rPr>
            </w:pPr>
            <w:r>
              <w:rPr>
                <w:rFonts w:cs="Arial"/>
                <w:b w:val="0"/>
                <w:iCs/>
                <w:sz w:val="18"/>
                <w:szCs w:val="18"/>
              </w:rPr>
              <w:t xml:space="preserve">Through the Excellence in Research for Australia (ERA) program the ARC aims to improve Australia’s research capacity by evaluating research at eligible Australian higher education institutions against international benchmarks and identifying excellence across the full spectrum of research activities. The program includes both the research quality evaluation framework, Excellence in Research for Australia, and the Engagement and Impact (EI) assessment framework, which assesses the engagement of researchers with end-users, and shows how universities are translating their research into economic, social, environmental, </w:t>
            </w:r>
            <w:proofErr w:type="gramStart"/>
            <w:r>
              <w:rPr>
                <w:rFonts w:cs="Arial"/>
                <w:b w:val="0"/>
                <w:iCs/>
                <w:sz w:val="18"/>
                <w:szCs w:val="18"/>
              </w:rPr>
              <w:t>cultural</w:t>
            </w:r>
            <w:proofErr w:type="gramEnd"/>
            <w:r>
              <w:rPr>
                <w:rFonts w:cs="Arial"/>
                <w:b w:val="0"/>
                <w:iCs/>
                <w:sz w:val="18"/>
                <w:szCs w:val="18"/>
              </w:rPr>
              <w:t xml:space="preserve"> and other impacts. </w:t>
            </w:r>
          </w:p>
          <w:p w14:paraId="65BDBC79" w14:textId="25D9DFE5" w:rsidR="00E13D3D" w:rsidRDefault="00E13D3D">
            <w:pPr>
              <w:pStyle w:val="TableColumnHeadingLeft"/>
              <w:spacing w:before="120"/>
              <w:rPr>
                <w:rFonts w:cs="Arial"/>
              </w:rPr>
            </w:pPr>
            <w:r>
              <w:rPr>
                <w:rFonts w:cs="Arial"/>
                <w:b w:val="0"/>
                <w:iCs/>
                <w:sz w:val="18"/>
                <w:szCs w:val="18"/>
              </w:rPr>
              <w:t>This contributes to Outcome 1 by: providing a unique, evidence-based resource to inform Australian government research policy and the strategic direction of higher education institutions; and encouraging researchers to produce high-quality and impactful research with real world benefits.</w:t>
            </w:r>
          </w:p>
        </w:tc>
      </w:tr>
      <w:tr w:rsidR="00E13D3D" w14:paraId="26B39008" w14:textId="77777777" w:rsidTr="00E13D3D">
        <w:trPr>
          <w:trHeight w:val="1525"/>
        </w:trPr>
        <w:tc>
          <w:tcPr>
            <w:tcW w:w="926" w:type="pct"/>
            <w:tcBorders>
              <w:top w:val="single" w:sz="4" w:space="0" w:color="auto"/>
              <w:left w:val="single" w:sz="4" w:space="0" w:color="auto"/>
              <w:bottom w:val="single" w:sz="4" w:space="0" w:color="auto"/>
              <w:right w:val="single" w:sz="4" w:space="0" w:color="auto"/>
            </w:tcBorders>
            <w:shd w:val="clear" w:color="auto" w:fill="auto"/>
          </w:tcPr>
          <w:p w14:paraId="4E190DBB" w14:textId="6A752486" w:rsidR="00E13D3D" w:rsidRDefault="00AE609B">
            <w:pPr>
              <w:tabs>
                <w:tab w:val="left" w:pos="709"/>
              </w:tabs>
              <w:spacing w:before="60" w:after="60"/>
              <w:rPr>
                <w:rFonts w:ascii="Arial" w:hAnsi="Arial" w:cs="Arial"/>
                <w:b/>
                <w:sz w:val="16"/>
                <w:szCs w:val="16"/>
              </w:rPr>
            </w:pPr>
            <w:r>
              <w:rPr>
                <w:rFonts w:ascii="Arial" w:hAnsi="Arial" w:cs="Arial"/>
                <w:b/>
                <w:sz w:val="16"/>
                <w:szCs w:val="16"/>
              </w:rPr>
              <w:t>Key activities</w:t>
            </w:r>
            <w:r w:rsidR="00E13D3D">
              <w:rPr>
                <w:rFonts w:ascii="Arial" w:hAnsi="Arial" w:cs="Arial"/>
                <w:b/>
                <w:sz w:val="16"/>
                <w:szCs w:val="16"/>
              </w:rPr>
              <w:t xml:space="preserve"> </w:t>
            </w:r>
          </w:p>
          <w:p w14:paraId="3230970D" w14:textId="043F926D" w:rsidR="00E13D3D" w:rsidRDefault="00E13D3D">
            <w:pPr>
              <w:tabs>
                <w:tab w:val="left" w:pos="709"/>
              </w:tabs>
              <w:spacing w:before="60" w:after="60"/>
              <w:jc w:val="left"/>
              <w:rPr>
                <w:rFonts w:ascii="Arial" w:hAnsi="Arial" w:cs="Arial"/>
                <w:bCs/>
                <w:color w:val="FF0000"/>
                <w:sz w:val="16"/>
                <w:szCs w:val="16"/>
              </w:rPr>
            </w:pPr>
          </w:p>
        </w:tc>
        <w:tc>
          <w:tcPr>
            <w:tcW w:w="407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1F9894" w14:textId="7571FF69" w:rsidR="00E13D3D" w:rsidRDefault="00E13D3D" w:rsidP="00EF4228">
            <w:pPr>
              <w:pStyle w:val="ListParagraph"/>
              <w:numPr>
                <w:ilvl w:val="0"/>
                <w:numId w:val="35"/>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Policy and Strategy</w:t>
            </w:r>
          </w:p>
          <w:p w14:paraId="102D2ADA" w14:textId="563CED6D" w:rsidR="00E13D3D" w:rsidRDefault="00E13D3D" w:rsidP="00EF4228">
            <w:pPr>
              <w:pStyle w:val="ListParagraph"/>
              <w:numPr>
                <w:ilvl w:val="0"/>
                <w:numId w:val="35"/>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 xml:space="preserve">Program Implementation and Management </w:t>
            </w:r>
          </w:p>
          <w:p w14:paraId="2FD1B2CE" w14:textId="5018A50E" w:rsidR="00E13D3D" w:rsidRDefault="00E13D3D" w:rsidP="00EF4228">
            <w:pPr>
              <w:pStyle w:val="ListParagraph"/>
              <w:numPr>
                <w:ilvl w:val="0"/>
                <w:numId w:val="35"/>
              </w:numPr>
              <w:tabs>
                <w:tab w:val="left" w:pos="709"/>
              </w:tabs>
              <w:spacing w:before="60" w:after="60" w:line="260" w:lineRule="exact"/>
              <w:jc w:val="both"/>
              <w:rPr>
                <w:rFonts w:ascii="Arial" w:hAnsi="Arial" w:cs="Arial"/>
                <w:bCs/>
                <w:iCs/>
                <w:sz w:val="16"/>
                <w:szCs w:val="16"/>
              </w:rPr>
            </w:pPr>
            <w:r>
              <w:rPr>
                <w:rFonts w:ascii="Arial" w:hAnsi="Arial" w:cs="Arial"/>
                <w:bCs/>
                <w:iCs/>
                <w:sz w:val="16"/>
                <w:szCs w:val="16"/>
              </w:rPr>
              <w:t>Assurance</w:t>
            </w:r>
          </w:p>
          <w:p w14:paraId="1AC558DD" w14:textId="5789AEB5" w:rsidR="00E13D3D" w:rsidRDefault="00E13D3D" w:rsidP="00EF4228">
            <w:pPr>
              <w:pStyle w:val="ListParagraph"/>
              <w:numPr>
                <w:ilvl w:val="0"/>
                <w:numId w:val="35"/>
              </w:numPr>
              <w:tabs>
                <w:tab w:val="left" w:pos="709"/>
              </w:tabs>
              <w:spacing w:before="60" w:after="60" w:line="260" w:lineRule="exact"/>
              <w:rPr>
                <w:rFonts w:ascii="Arial" w:hAnsi="Arial" w:cs="Arial"/>
                <w:iCs/>
                <w:sz w:val="16"/>
                <w:szCs w:val="16"/>
              </w:rPr>
            </w:pPr>
            <w:r>
              <w:rPr>
                <w:rFonts w:ascii="Arial" w:hAnsi="Arial" w:cs="Arial"/>
                <w:iCs/>
                <w:sz w:val="16"/>
                <w:szCs w:val="16"/>
              </w:rPr>
              <w:t>Relationships, Networks and Engagement</w:t>
            </w:r>
          </w:p>
          <w:p w14:paraId="1FEEC977" w14:textId="1DA12431" w:rsidR="00E13D3D" w:rsidRDefault="00E13D3D" w:rsidP="00EF4228">
            <w:pPr>
              <w:pStyle w:val="ListParagraph"/>
              <w:numPr>
                <w:ilvl w:val="0"/>
                <w:numId w:val="35"/>
              </w:numPr>
              <w:tabs>
                <w:tab w:val="left" w:pos="709"/>
              </w:tabs>
              <w:spacing w:before="60" w:after="60" w:line="260" w:lineRule="exact"/>
              <w:rPr>
                <w:rFonts w:ascii="Arial" w:hAnsi="Arial" w:cs="Arial"/>
                <w:iCs/>
                <w:sz w:val="16"/>
                <w:szCs w:val="16"/>
              </w:rPr>
            </w:pPr>
            <w:r>
              <w:rPr>
                <w:rFonts w:ascii="Arial" w:hAnsi="Arial" w:cs="Arial"/>
                <w:iCs/>
                <w:sz w:val="16"/>
                <w:szCs w:val="16"/>
              </w:rPr>
              <w:t xml:space="preserve">Evaluation and Analysis </w:t>
            </w:r>
          </w:p>
        </w:tc>
      </w:tr>
      <w:tr w:rsidR="00E13D3D" w14:paraId="180F2BAC" w14:textId="77777777" w:rsidTr="00D14A4A">
        <w:trPr>
          <w:trHeight w:val="258"/>
        </w:trPr>
        <w:tc>
          <w:tcPr>
            <w:tcW w:w="926" w:type="pct"/>
            <w:tcBorders>
              <w:top w:val="single" w:sz="4" w:space="0" w:color="auto"/>
              <w:left w:val="single" w:sz="4" w:space="0" w:color="auto"/>
              <w:bottom w:val="single" w:sz="4" w:space="0" w:color="auto"/>
              <w:right w:val="single" w:sz="4" w:space="0" w:color="auto"/>
            </w:tcBorders>
            <w:shd w:val="clear" w:color="auto" w:fill="E6E6E6"/>
            <w:hideMark/>
          </w:tcPr>
          <w:p w14:paraId="51A9466A" w14:textId="7D839812" w:rsidR="00E13D3D" w:rsidRDefault="00E13D3D">
            <w:pPr>
              <w:pStyle w:val="TableTextBase"/>
              <w:rPr>
                <w:rFonts w:cs="Arial"/>
                <w:b/>
                <w:sz w:val="16"/>
                <w:szCs w:val="16"/>
              </w:rPr>
            </w:pPr>
            <w:r>
              <w:rPr>
                <w:rFonts w:cs="Arial"/>
                <w:b/>
                <w:sz w:val="16"/>
                <w:szCs w:val="16"/>
              </w:rPr>
              <w:t>Year</w:t>
            </w:r>
          </w:p>
        </w:tc>
        <w:tc>
          <w:tcPr>
            <w:tcW w:w="1836" w:type="pct"/>
            <w:tcBorders>
              <w:top w:val="single" w:sz="4" w:space="0" w:color="auto"/>
              <w:left w:val="single" w:sz="4" w:space="0" w:color="auto"/>
              <w:bottom w:val="single" w:sz="4" w:space="0" w:color="auto"/>
              <w:right w:val="single" w:sz="4" w:space="0" w:color="auto"/>
            </w:tcBorders>
            <w:shd w:val="clear" w:color="auto" w:fill="E6E6E6"/>
            <w:hideMark/>
          </w:tcPr>
          <w:p w14:paraId="65FF4398" w14:textId="5E5DB482" w:rsidR="00E13D3D" w:rsidRDefault="00E13D3D">
            <w:pPr>
              <w:pStyle w:val="TableTextBase"/>
              <w:rPr>
                <w:rFonts w:cs="Arial"/>
                <w:b/>
                <w:sz w:val="16"/>
                <w:szCs w:val="16"/>
              </w:rPr>
            </w:pPr>
            <w:r>
              <w:rPr>
                <w:rFonts w:cs="Arial"/>
                <w:b/>
                <w:sz w:val="16"/>
                <w:szCs w:val="16"/>
              </w:rPr>
              <w:t>Performance measures</w:t>
            </w:r>
          </w:p>
        </w:tc>
        <w:tc>
          <w:tcPr>
            <w:tcW w:w="2238" w:type="pct"/>
            <w:tcBorders>
              <w:top w:val="single" w:sz="4" w:space="0" w:color="auto"/>
              <w:left w:val="single" w:sz="4" w:space="0" w:color="auto"/>
              <w:bottom w:val="single" w:sz="4" w:space="0" w:color="auto"/>
              <w:right w:val="single" w:sz="4" w:space="0" w:color="auto"/>
            </w:tcBorders>
            <w:shd w:val="clear" w:color="auto" w:fill="E6E6E6"/>
          </w:tcPr>
          <w:p w14:paraId="0CD11E6D" w14:textId="3CF306A2" w:rsidR="00E13D3D" w:rsidRDefault="00AE609B">
            <w:pPr>
              <w:pStyle w:val="TableTextBase"/>
              <w:rPr>
                <w:rFonts w:cs="Arial"/>
                <w:b/>
                <w:sz w:val="16"/>
                <w:szCs w:val="16"/>
              </w:rPr>
            </w:pPr>
            <w:r>
              <w:rPr>
                <w:rFonts w:cs="Arial"/>
                <w:b/>
                <w:sz w:val="16"/>
                <w:szCs w:val="16"/>
              </w:rPr>
              <w:t>Expected performance results</w:t>
            </w:r>
          </w:p>
          <w:p w14:paraId="4D88E6E8" w14:textId="4D1A3618" w:rsidR="00E13D3D" w:rsidRDefault="00E13D3D">
            <w:pPr>
              <w:pStyle w:val="TableTextBase"/>
              <w:rPr>
                <w:rFonts w:cs="Arial"/>
                <w:b/>
                <w:sz w:val="16"/>
                <w:szCs w:val="16"/>
              </w:rPr>
            </w:pPr>
          </w:p>
        </w:tc>
      </w:tr>
      <w:tr w:rsidR="00E13D3D" w14:paraId="16C60659" w14:textId="77777777" w:rsidTr="00E87A62">
        <w:trPr>
          <w:trHeight w:val="1124"/>
        </w:trPr>
        <w:tc>
          <w:tcPr>
            <w:tcW w:w="926" w:type="pct"/>
            <w:tcBorders>
              <w:top w:val="single" w:sz="4" w:space="0" w:color="auto"/>
              <w:left w:val="single" w:sz="4" w:space="0" w:color="auto"/>
              <w:bottom w:val="nil"/>
              <w:right w:val="single" w:sz="4" w:space="0" w:color="auto"/>
            </w:tcBorders>
            <w:shd w:val="clear" w:color="auto" w:fill="auto"/>
            <w:hideMark/>
          </w:tcPr>
          <w:p w14:paraId="190B33B6" w14:textId="0351B069" w:rsidR="00E13D3D" w:rsidRDefault="00E13D3D">
            <w:pPr>
              <w:tabs>
                <w:tab w:val="left" w:pos="709"/>
              </w:tabs>
              <w:spacing w:before="60" w:after="60"/>
              <w:rPr>
                <w:rFonts w:ascii="Arial" w:hAnsi="Arial" w:cs="Arial"/>
                <w:sz w:val="16"/>
                <w:szCs w:val="16"/>
              </w:rPr>
            </w:pPr>
            <w:r>
              <w:rPr>
                <w:rFonts w:ascii="Arial" w:hAnsi="Arial" w:cs="Arial"/>
                <w:sz w:val="16"/>
                <w:szCs w:val="16"/>
              </w:rPr>
              <w:t xml:space="preserve">Current year </w:t>
            </w:r>
          </w:p>
          <w:p w14:paraId="5DCB98DE" w14:textId="626E83E1" w:rsidR="00E13D3D" w:rsidRDefault="00E13D3D">
            <w:pPr>
              <w:tabs>
                <w:tab w:val="left" w:pos="709"/>
              </w:tabs>
              <w:spacing w:before="60" w:after="60"/>
              <w:rPr>
                <w:rFonts w:ascii="Arial" w:hAnsi="Arial" w:cs="Arial"/>
                <w:sz w:val="16"/>
                <w:szCs w:val="16"/>
              </w:rPr>
            </w:pPr>
            <w:r>
              <w:rPr>
                <w:rFonts w:ascii="Arial" w:hAnsi="Arial" w:cs="Arial"/>
                <w:sz w:val="16"/>
                <w:szCs w:val="16"/>
              </w:rPr>
              <w:t>20</w:t>
            </w:r>
            <w:r w:rsidR="001A5C33">
              <w:rPr>
                <w:rFonts w:ascii="Arial" w:hAnsi="Arial" w:cs="Arial"/>
                <w:sz w:val="16"/>
                <w:szCs w:val="16"/>
              </w:rPr>
              <w:t xml:space="preserve">21–22 </w:t>
            </w: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66B46EFD" w14:textId="08FFEBD0" w:rsidR="00E13D3D" w:rsidRDefault="00E13D3D" w:rsidP="008D7EDD">
            <w:pPr>
              <w:tabs>
                <w:tab w:val="left" w:pos="709"/>
              </w:tabs>
              <w:spacing w:before="60" w:after="60" w:line="276" w:lineRule="auto"/>
              <w:jc w:val="left"/>
              <w:rPr>
                <w:rFonts w:ascii="Arial" w:hAnsi="Arial" w:cs="Arial"/>
                <w:iCs/>
                <w:sz w:val="16"/>
                <w:szCs w:val="16"/>
              </w:rPr>
            </w:pPr>
            <w:r>
              <w:rPr>
                <w:rFonts w:ascii="Arial" w:hAnsi="Arial" w:cs="Arial"/>
                <w:sz w:val="16"/>
                <w:szCs w:val="16"/>
              </w:rPr>
              <w:t>Use of ERA program data to assist in the development of Australian Government policies.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3312C0CB" w14:textId="575940A2" w:rsidR="00E13D3D" w:rsidRDefault="00E13D3D" w:rsidP="008D7EDD">
            <w:pPr>
              <w:pStyle w:val="PBS16TableNormal"/>
              <w:spacing w:line="252" w:lineRule="auto"/>
            </w:pPr>
            <w:r>
              <w:rPr>
                <w:b/>
                <w:bCs/>
              </w:rPr>
              <w:t>Target:</w:t>
            </w:r>
            <w:r>
              <w:t xml:space="preserve"> ERA program reports and activities inform Australian Government policy.</w:t>
            </w:r>
          </w:p>
          <w:p w14:paraId="717B0043" w14:textId="3A205689" w:rsidR="00E13D3D" w:rsidRDefault="00E13D3D" w:rsidP="008D7EDD">
            <w:pPr>
              <w:tabs>
                <w:tab w:val="left" w:pos="709"/>
              </w:tabs>
              <w:spacing w:before="60" w:after="60"/>
              <w:jc w:val="left"/>
              <w:rPr>
                <w:rFonts w:ascii="Arial" w:hAnsi="Arial" w:cs="Arial"/>
                <w:iCs/>
                <w:sz w:val="16"/>
                <w:szCs w:val="16"/>
              </w:rPr>
            </w:pPr>
            <w:r>
              <w:rPr>
                <w:rFonts w:ascii="Arial" w:hAnsi="Arial" w:cs="Arial"/>
                <w:b/>
                <w:bCs/>
                <w:iCs/>
                <w:sz w:val="16"/>
                <w:szCs w:val="16"/>
              </w:rPr>
              <w:t>Expected performance:</w:t>
            </w:r>
            <w:r>
              <w:rPr>
                <w:rFonts w:ascii="Arial" w:hAnsi="Arial" w:cs="Arial"/>
                <w:iCs/>
                <w:sz w:val="16"/>
                <w:szCs w:val="16"/>
              </w:rPr>
              <w:t xml:space="preserve"> </w:t>
            </w:r>
            <w:r>
              <w:rPr>
                <w:rFonts w:ascii="Arial" w:hAnsi="Arial" w:cs="Arial"/>
                <w:sz w:val="16"/>
                <w:szCs w:val="16"/>
              </w:rPr>
              <w:t>On track to meet the target.</w:t>
            </w:r>
            <w:r>
              <w:rPr>
                <w:rFonts w:ascii="Arial" w:hAnsi="Arial" w:cs="Arial"/>
                <w:iCs/>
                <w:sz w:val="16"/>
                <w:szCs w:val="16"/>
              </w:rPr>
              <w:t xml:space="preserve"> </w:t>
            </w:r>
          </w:p>
        </w:tc>
      </w:tr>
      <w:tr w:rsidR="00E13D3D" w14:paraId="082E004D" w14:textId="77777777" w:rsidTr="00E87A62">
        <w:trPr>
          <w:trHeight w:val="1112"/>
        </w:trPr>
        <w:tc>
          <w:tcPr>
            <w:tcW w:w="926" w:type="pct"/>
            <w:tcBorders>
              <w:top w:val="nil"/>
              <w:left w:val="single" w:sz="4" w:space="0" w:color="auto"/>
              <w:bottom w:val="nil"/>
              <w:right w:val="single" w:sz="4" w:space="0" w:color="auto"/>
            </w:tcBorders>
            <w:shd w:val="clear" w:color="auto" w:fill="auto"/>
          </w:tcPr>
          <w:p w14:paraId="45EE4F7C" w14:textId="1877AABE" w:rsidR="00E13D3D" w:rsidRDefault="00E13D3D">
            <w:pPr>
              <w:tabs>
                <w:tab w:val="left" w:pos="709"/>
              </w:tabs>
              <w:spacing w:before="60" w:after="60"/>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626C2901" w14:textId="7B1BEA45" w:rsidR="00E13D3D" w:rsidRDefault="00E13D3D" w:rsidP="008D7EDD">
            <w:pPr>
              <w:tabs>
                <w:tab w:val="left" w:pos="709"/>
              </w:tabs>
              <w:spacing w:before="60" w:after="60" w:line="276" w:lineRule="auto"/>
              <w:jc w:val="left"/>
              <w:rPr>
                <w:rFonts w:ascii="Arial" w:hAnsi="Arial" w:cs="Arial"/>
                <w:sz w:val="16"/>
                <w:szCs w:val="16"/>
              </w:rPr>
            </w:pPr>
            <w:r>
              <w:rPr>
                <w:rFonts w:ascii="Arial" w:hAnsi="Arial" w:cs="Arial"/>
                <w:sz w:val="16"/>
                <w:szCs w:val="16"/>
              </w:rPr>
              <w:t>Use of ERA program data to inform the strategic planning of Australian universities.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6A6DE6D9" w14:textId="2349CB18" w:rsidR="00E13D3D" w:rsidRDefault="00E13D3D" w:rsidP="008D7EDD">
            <w:pPr>
              <w:pStyle w:val="PBS16TableNormal"/>
              <w:spacing w:line="252" w:lineRule="auto"/>
            </w:pPr>
            <w:r>
              <w:rPr>
                <w:b/>
                <w:bCs/>
              </w:rPr>
              <w:t>Target:</w:t>
            </w:r>
            <w:r>
              <w:t xml:space="preserve"> ERA program reports and activities inform strategic planning at eligible Australian universities.</w:t>
            </w:r>
          </w:p>
          <w:p w14:paraId="153E0AB8" w14:textId="771B2C38" w:rsidR="00E13D3D" w:rsidRPr="008D7EDD" w:rsidRDefault="00E13D3D" w:rsidP="008D7EDD">
            <w:pPr>
              <w:tabs>
                <w:tab w:val="left" w:pos="709"/>
              </w:tabs>
              <w:spacing w:before="60" w:after="60"/>
              <w:jc w:val="left"/>
              <w:rPr>
                <w:rFonts w:ascii="Arial" w:hAnsi="Arial" w:cs="Arial"/>
                <w:sz w:val="16"/>
                <w:szCs w:val="16"/>
              </w:rPr>
            </w:pPr>
            <w:r>
              <w:rPr>
                <w:rFonts w:ascii="Arial" w:hAnsi="Arial" w:cs="Arial"/>
                <w:b/>
                <w:bCs/>
                <w:iCs/>
                <w:sz w:val="16"/>
                <w:szCs w:val="16"/>
              </w:rPr>
              <w:t>Expected performance:</w:t>
            </w:r>
            <w:r>
              <w:rPr>
                <w:rFonts w:ascii="Arial" w:hAnsi="Arial" w:cs="Arial"/>
                <w:iCs/>
                <w:sz w:val="16"/>
                <w:szCs w:val="16"/>
              </w:rPr>
              <w:t xml:space="preserve"> On track</w:t>
            </w:r>
            <w:r>
              <w:rPr>
                <w:rFonts w:ascii="Arial" w:hAnsi="Arial" w:cs="Arial"/>
                <w:sz w:val="16"/>
                <w:szCs w:val="16"/>
              </w:rPr>
              <w:t xml:space="preserve"> to meet </w:t>
            </w:r>
            <w:r w:rsidR="008D7EDD">
              <w:rPr>
                <w:rFonts w:ascii="Arial" w:hAnsi="Arial" w:cs="Arial"/>
                <w:sz w:val="16"/>
                <w:szCs w:val="16"/>
              </w:rPr>
              <w:t>t</w:t>
            </w:r>
            <w:r>
              <w:rPr>
                <w:rFonts w:ascii="Arial" w:hAnsi="Arial" w:cs="Arial"/>
                <w:sz w:val="16"/>
                <w:szCs w:val="16"/>
              </w:rPr>
              <w:t>he target.</w:t>
            </w:r>
            <w:r>
              <w:rPr>
                <w:rFonts w:ascii="Arial" w:hAnsi="Arial" w:cs="Arial"/>
                <w:iCs/>
                <w:sz w:val="16"/>
                <w:szCs w:val="16"/>
              </w:rPr>
              <w:t xml:space="preserve"> </w:t>
            </w:r>
          </w:p>
        </w:tc>
      </w:tr>
      <w:tr w:rsidR="00E13D3D" w14:paraId="671E5B2C" w14:textId="77777777" w:rsidTr="00E87A62">
        <w:trPr>
          <w:trHeight w:val="890"/>
        </w:trPr>
        <w:tc>
          <w:tcPr>
            <w:tcW w:w="926" w:type="pct"/>
            <w:tcBorders>
              <w:top w:val="nil"/>
              <w:left w:val="single" w:sz="4" w:space="0" w:color="auto"/>
              <w:bottom w:val="single" w:sz="4" w:space="0" w:color="auto"/>
              <w:right w:val="single" w:sz="4" w:space="0" w:color="auto"/>
            </w:tcBorders>
            <w:shd w:val="clear" w:color="auto" w:fill="auto"/>
          </w:tcPr>
          <w:p w14:paraId="67CE3A13" w14:textId="6C3A1F6F" w:rsidR="00E13D3D" w:rsidRDefault="00E13D3D">
            <w:pPr>
              <w:tabs>
                <w:tab w:val="left" w:pos="709"/>
              </w:tabs>
              <w:spacing w:before="60" w:after="60"/>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6D96DC44" w14:textId="5F08D744" w:rsidR="00E13D3D" w:rsidRDefault="00E13D3D" w:rsidP="008D7EDD">
            <w:pPr>
              <w:tabs>
                <w:tab w:val="left" w:pos="709"/>
              </w:tabs>
              <w:spacing w:before="60" w:after="60" w:line="276" w:lineRule="auto"/>
              <w:jc w:val="left"/>
              <w:rPr>
                <w:rFonts w:ascii="Arial" w:hAnsi="Arial" w:cs="Arial"/>
                <w:sz w:val="16"/>
                <w:szCs w:val="16"/>
              </w:rPr>
            </w:pPr>
            <w:r>
              <w:rPr>
                <w:rFonts w:ascii="Arial" w:hAnsi="Arial" w:cs="Arial"/>
                <w:sz w:val="16"/>
                <w:szCs w:val="16"/>
              </w:rPr>
              <w:t xml:space="preserve">Review outcomes are implemented through revised ERA methodology, where required. </w:t>
            </w:r>
          </w:p>
        </w:tc>
        <w:tc>
          <w:tcPr>
            <w:tcW w:w="2238" w:type="pct"/>
            <w:tcBorders>
              <w:top w:val="single" w:sz="4" w:space="0" w:color="auto"/>
              <w:left w:val="single" w:sz="4" w:space="0" w:color="auto"/>
              <w:bottom w:val="single" w:sz="4" w:space="0" w:color="auto"/>
              <w:right w:val="single" w:sz="4" w:space="0" w:color="auto"/>
            </w:tcBorders>
            <w:shd w:val="clear" w:color="auto" w:fill="auto"/>
          </w:tcPr>
          <w:p w14:paraId="4F8D1616" w14:textId="37808B36" w:rsidR="00E13D3D" w:rsidRDefault="00E13D3D" w:rsidP="008D7EDD">
            <w:pPr>
              <w:pStyle w:val="PBS16TableNormal"/>
              <w:spacing w:line="252" w:lineRule="auto"/>
            </w:pPr>
            <w:r>
              <w:rPr>
                <w:b/>
                <w:bCs/>
              </w:rPr>
              <w:t>Target:</w:t>
            </w:r>
            <w:r>
              <w:t xml:space="preserve"> Publication of ERA 2023 submission and assessment documentation.</w:t>
            </w:r>
          </w:p>
          <w:p w14:paraId="42D7AD40" w14:textId="463CB7EF" w:rsidR="00E13D3D" w:rsidRDefault="00E13D3D" w:rsidP="008D7EDD">
            <w:pPr>
              <w:pStyle w:val="PBS16TableNormal"/>
              <w:spacing w:line="252" w:lineRule="auto"/>
              <w:rPr>
                <w:b/>
                <w:bCs/>
                <w:iCs/>
              </w:rPr>
            </w:pPr>
            <w:r>
              <w:rPr>
                <w:b/>
                <w:bCs/>
                <w:iCs/>
              </w:rPr>
              <w:t>Expected performance:</w:t>
            </w:r>
            <w:r>
              <w:rPr>
                <w:iCs/>
              </w:rPr>
              <w:t xml:space="preserve"> On track</w:t>
            </w:r>
            <w:r>
              <w:t xml:space="preserve"> to meet the target.</w:t>
            </w:r>
            <w:r>
              <w:rPr>
                <w:iCs/>
              </w:rPr>
              <w:t xml:space="preserve"> </w:t>
            </w:r>
          </w:p>
        </w:tc>
      </w:tr>
    </w:tbl>
    <w:p w14:paraId="152CF361" w14:textId="66401037" w:rsidR="00B244BD" w:rsidRDefault="00B244BD"/>
    <w:p w14:paraId="42BAF1EF" w14:textId="77777777" w:rsidR="00B244BD" w:rsidRDefault="00B244BD">
      <w:pPr>
        <w:spacing w:after="0"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426"/>
        <w:gridCol w:w="2827"/>
        <w:gridCol w:w="3447"/>
      </w:tblGrid>
      <w:tr w:rsidR="00E13D3D" w14:paraId="408506F7" w14:textId="77777777" w:rsidTr="00D14A4A">
        <w:trPr>
          <w:trHeight w:val="100"/>
        </w:trPr>
        <w:tc>
          <w:tcPr>
            <w:tcW w:w="926" w:type="pct"/>
            <w:tcBorders>
              <w:top w:val="single" w:sz="4" w:space="0" w:color="auto"/>
              <w:left w:val="single" w:sz="4" w:space="0" w:color="auto"/>
              <w:bottom w:val="single" w:sz="4" w:space="0" w:color="auto"/>
              <w:right w:val="single" w:sz="4" w:space="0" w:color="auto"/>
            </w:tcBorders>
            <w:shd w:val="clear" w:color="auto" w:fill="E6E6E6"/>
            <w:hideMark/>
          </w:tcPr>
          <w:p w14:paraId="129C888B" w14:textId="051662F8" w:rsidR="00E13D3D" w:rsidRDefault="00E13D3D">
            <w:pPr>
              <w:pStyle w:val="TableTextBase"/>
              <w:rPr>
                <w:rFonts w:cs="Arial"/>
                <w:b/>
                <w:sz w:val="16"/>
                <w:szCs w:val="16"/>
              </w:rPr>
            </w:pPr>
            <w:r>
              <w:rPr>
                <w:rFonts w:cs="Arial"/>
                <w:b/>
                <w:sz w:val="16"/>
                <w:szCs w:val="16"/>
              </w:rPr>
              <w:lastRenderedPageBreak/>
              <w:t>Year</w:t>
            </w:r>
          </w:p>
        </w:tc>
        <w:tc>
          <w:tcPr>
            <w:tcW w:w="1836" w:type="pct"/>
            <w:tcBorders>
              <w:top w:val="single" w:sz="4" w:space="0" w:color="auto"/>
              <w:left w:val="single" w:sz="4" w:space="0" w:color="auto"/>
              <w:bottom w:val="single" w:sz="4" w:space="0" w:color="auto"/>
              <w:right w:val="single" w:sz="4" w:space="0" w:color="auto"/>
            </w:tcBorders>
            <w:shd w:val="clear" w:color="auto" w:fill="E6E6E6"/>
            <w:hideMark/>
          </w:tcPr>
          <w:p w14:paraId="1A2F0302" w14:textId="057F5347" w:rsidR="00E13D3D" w:rsidRDefault="00E13D3D">
            <w:pPr>
              <w:pStyle w:val="TableTextBase"/>
              <w:rPr>
                <w:rFonts w:cs="Arial"/>
                <w:b/>
                <w:sz w:val="16"/>
                <w:szCs w:val="16"/>
              </w:rPr>
            </w:pPr>
            <w:r>
              <w:rPr>
                <w:rFonts w:cs="Arial"/>
                <w:b/>
                <w:sz w:val="16"/>
                <w:szCs w:val="16"/>
              </w:rPr>
              <w:t>Performance measures</w:t>
            </w:r>
          </w:p>
        </w:tc>
        <w:tc>
          <w:tcPr>
            <w:tcW w:w="2238" w:type="pct"/>
            <w:tcBorders>
              <w:top w:val="single" w:sz="4" w:space="0" w:color="auto"/>
              <w:left w:val="single" w:sz="4" w:space="0" w:color="auto"/>
              <w:bottom w:val="single" w:sz="4" w:space="0" w:color="auto"/>
              <w:right w:val="single" w:sz="4" w:space="0" w:color="auto"/>
            </w:tcBorders>
            <w:shd w:val="clear" w:color="auto" w:fill="E6E6E6"/>
          </w:tcPr>
          <w:p w14:paraId="18931448" w14:textId="4238C562" w:rsidR="00E13D3D" w:rsidRDefault="00AE609B">
            <w:pPr>
              <w:pStyle w:val="TableTextBase"/>
              <w:rPr>
                <w:rFonts w:cs="Arial"/>
                <w:b/>
                <w:sz w:val="16"/>
                <w:szCs w:val="16"/>
              </w:rPr>
            </w:pPr>
            <w:r>
              <w:rPr>
                <w:rFonts w:cs="Arial"/>
                <w:b/>
                <w:sz w:val="16"/>
                <w:szCs w:val="16"/>
              </w:rPr>
              <w:t>Planned performance results</w:t>
            </w:r>
          </w:p>
          <w:p w14:paraId="5D7DDC9B" w14:textId="441BADB1" w:rsidR="00E13D3D" w:rsidRDefault="00E13D3D">
            <w:pPr>
              <w:pStyle w:val="TableTextBase"/>
              <w:rPr>
                <w:rFonts w:cs="Arial"/>
                <w:b/>
                <w:sz w:val="16"/>
                <w:szCs w:val="16"/>
              </w:rPr>
            </w:pPr>
          </w:p>
        </w:tc>
      </w:tr>
      <w:tr w:rsidR="00E13D3D" w14:paraId="250D3A04" w14:textId="77777777" w:rsidTr="00B244BD">
        <w:trPr>
          <w:trHeight w:val="851"/>
        </w:trPr>
        <w:tc>
          <w:tcPr>
            <w:tcW w:w="926" w:type="pct"/>
            <w:tcBorders>
              <w:top w:val="single" w:sz="4" w:space="0" w:color="auto"/>
              <w:left w:val="single" w:sz="4" w:space="0" w:color="auto"/>
              <w:bottom w:val="nil"/>
              <w:right w:val="single" w:sz="4" w:space="0" w:color="auto"/>
            </w:tcBorders>
            <w:shd w:val="clear" w:color="auto" w:fill="auto"/>
            <w:hideMark/>
          </w:tcPr>
          <w:p w14:paraId="4A6917B5" w14:textId="6FE03546" w:rsidR="00E13D3D" w:rsidRDefault="00E13D3D">
            <w:pPr>
              <w:tabs>
                <w:tab w:val="left" w:pos="709"/>
              </w:tabs>
              <w:spacing w:before="60" w:after="60"/>
              <w:rPr>
                <w:rFonts w:ascii="Arial" w:hAnsi="Arial" w:cs="Arial"/>
                <w:sz w:val="16"/>
                <w:szCs w:val="16"/>
              </w:rPr>
            </w:pPr>
            <w:r>
              <w:rPr>
                <w:rFonts w:ascii="Arial" w:hAnsi="Arial" w:cs="Arial"/>
                <w:sz w:val="16"/>
                <w:szCs w:val="16"/>
              </w:rPr>
              <w:t>Budget Year</w:t>
            </w:r>
          </w:p>
          <w:p w14:paraId="3CBF5CC3" w14:textId="4E13AD76" w:rsidR="00E13D3D" w:rsidRDefault="00E13D3D">
            <w:pPr>
              <w:tabs>
                <w:tab w:val="left" w:pos="709"/>
              </w:tabs>
              <w:spacing w:before="60" w:after="60"/>
              <w:rPr>
                <w:rFonts w:ascii="Arial" w:hAnsi="Arial" w:cs="Arial"/>
                <w:sz w:val="16"/>
                <w:szCs w:val="16"/>
              </w:rPr>
            </w:pPr>
            <w:r>
              <w:rPr>
                <w:rFonts w:ascii="Arial" w:hAnsi="Arial" w:cs="Arial"/>
                <w:sz w:val="16"/>
                <w:szCs w:val="16"/>
              </w:rPr>
              <w:t>20</w:t>
            </w:r>
            <w:r w:rsidR="001A5C33">
              <w:rPr>
                <w:rFonts w:ascii="Arial" w:hAnsi="Arial" w:cs="Arial"/>
                <w:sz w:val="16"/>
                <w:szCs w:val="16"/>
              </w:rPr>
              <w:t>22–23</w:t>
            </w:r>
          </w:p>
        </w:tc>
        <w:tc>
          <w:tcPr>
            <w:tcW w:w="1836" w:type="pct"/>
            <w:tcBorders>
              <w:top w:val="single" w:sz="4" w:space="0" w:color="auto"/>
              <w:left w:val="single" w:sz="4" w:space="0" w:color="auto"/>
              <w:bottom w:val="single" w:sz="4" w:space="0" w:color="auto"/>
              <w:right w:val="single" w:sz="4" w:space="0" w:color="auto"/>
            </w:tcBorders>
            <w:shd w:val="clear" w:color="auto" w:fill="auto"/>
          </w:tcPr>
          <w:p w14:paraId="52E5464D" w14:textId="711C3ECC" w:rsidR="00E13D3D" w:rsidRPr="003B07DB" w:rsidRDefault="00E13D3D" w:rsidP="00C44676">
            <w:pPr>
              <w:spacing w:before="60" w:after="40" w:line="276" w:lineRule="auto"/>
              <w:jc w:val="left"/>
              <w:rPr>
                <w:rFonts w:ascii="Arial" w:hAnsi="Arial" w:cs="Arial"/>
                <w:iCs/>
                <w:sz w:val="16"/>
                <w:szCs w:val="16"/>
              </w:rPr>
            </w:pPr>
            <w:r w:rsidRPr="003B07DB">
              <w:rPr>
                <w:rFonts w:ascii="Arial" w:hAnsi="Arial" w:cs="Arial"/>
                <w:sz w:val="16"/>
                <w:szCs w:val="16"/>
              </w:rPr>
              <w:t>Use of ERA program data to assist in the development of Australian Government policies.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40C6C8AC" w14:textId="00C1981C" w:rsidR="00E13D3D" w:rsidRPr="003B07DB" w:rsidRDefault="00E13D3D" w:rsidP="00C44676">
            <w:pPr>
              <w:tabs>
                <w:tab w:val="left" w:pos="709"/>
              </w:tabs>
              <w:spacing w:before="60" w:after="60" w:line="276" w:lineRule="auto"/>
              <w:jc w:val="left"/>
              <w:rPr>
                <w:rFonts w:ascii="Arial" w:hAnsi="Arial" w:cs="Arial"/>
                <w:sz w:val="16"/>
                <w:szCs w:val="16"/>
              </w:rPr>
            </w:pPr>
            <w:r w:rsidRPr="003B07DB">
              <w:rPr>
                <w:rFonts w:ascii="Arial" w:hAnsi="Arial" w:cs="Arial"/>
                <w:b/>
                <w:bCs/>
                <w:iCs/>
                <w:sz w:val="16"/>
                <w:szCs w:val="16"/>
              </w:rPr>
              <w:t>Target:</w:t>
            </w:r>
            <w:r w:rsidRPr="003B07DB">
              <w:rPr>
                <w:rFonts w:ascii="Arial" w:hAnsi="Arial" w:cs="Arial"/>
                <w:iCs/>
                <w:sz w:val="16"/>
                <w:szCs w:val="16"/>
              </w:rPr>
              <w:t xml:space="preserve"> ERA program reports and activities inform Australian Government policy.</w:t>
            </w:r>
          </w:p>
        </w:tc>
      </w:tr>
      <w:tr w:rsidR="00E13D3D" w14:paraId="42250FFB" w14:textId="77777777" w:rsidTr="00B244BD">
        <w:trPr>
          <w:trHeight w:val="853"/>
        </w:trPr>
        <w:tc>
          <w:tcPr>
            <w:tcW w:w="926" w:type="pct"/>
            <w:tcBorders>
              <w:top w:val="nil"/>
              <w:left w:val="single" w:sz="4" w:space="0" w:color="auto"/>
              <w:bottom w:val="nil"/>
              <w:right w:val="single" w:sz="4" w:space="0" w:color="auto"/>
            </w:tcBorders>
            <w:shd w:val="clear" w:color="auto" w:fill="auto"/>
          </w:tcPr>
          <w:p w14:paraId="07776287" w14:textId="5E098BCA" w:rsidR="00E13D3D" w:rsidRDefault="00E13D3D">
            <w:pPr>
              <w:tabs>
                <w:tab w:val="left" w:pos="709"/>
              </w:tabs>
              <w:spacing w:before="60" w:after="60"/>
              <w:rPr>
                <w:rFonts w:ascii="Arial" w:hAnsi="Arial" w:cs="Arial"/>
                <w:sz w:val="18"/>
                <w:szCs w:val="18"/>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0A0B9BEE" w14:textId="77EB01AA" w:rsidR="00E13D3D" w:rsidRPr="003B07DB" w:rsidRDefault="00E13D3D" w:rsidP="00C44676">
            <w:pPr>
              <w:spacing w:before="60" w:after="40" w:line="276" w:lineRule="auto"/>
              <w:jc w:val="left"/>
              <w:rPr>
                <w:rFonts w:ascii="Arial" w:hAnsi="Arial" w:cs="Arial"/>
                <w:sz w:val="16"/>
                <w:szCs w:val="16"/>
              </w:rPr>
            </w:pPr>
            <w:r w:rsidRPr="003B07DB">
              <w:rPr>
                <w:rFonts w:ascii="Arial" w:hAnsi="Arial" w:cs="Arial"/>
                <w:sz w:val="16"/>
                <w:szCs w:val="16"/>
              </w:rPr>
              <w:t>Use of ERA program data to inform the strategic planning of Australian universities.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7A69A67D" w14:textId="2AA8647E" w:rsidR="00E13D3D" w:rsidRPr="003B07DB" w:rsidRDefault="00E13D3D" w:rsidP="00C44676">
            <w:pPr>
              <w:tabs>
                <w:tab w:val="left" w:pos="709"/>
              </w:tabs>
              <w:spacing w:before="60" w:after="60" w:line="276" w:lineRule="auto"/>
              <w:jc w:val="left"/>
              <w:rPr>
                <w:rFonts w:ascii="Arial" w:hAnsi="Arial" w:cs="Arial"/>
                <w:b/>
                <w:bCs/>
                <w:iCs/>
                <w:sz w:val="16"/>
                <w:szCs w:val="16"/>
              </w:rPr>
            </w:pPr>
            <w:r w:rsidRPr="003B07DB">
              <w:rPr>
                <w:rFonts w:ascii="Arial" w:hAnsi="Arial" w:cs="Arial"/>
                <w:b/>
                <w:bCs/>
                <w:iCs/>
                <w:sz w:val="16"/>
                <w:szCs w:val="16"/>
              </w:rPr>
              <w:t>Target:</w:t>
            </w:r>
            <w:r w:rsidRPr="003B07DB">
              <w:rPr>
                <w:rFonts w:ascii="Arial" w:hAnsi="Arial" w:cs="Arial"/>
                <w:iCs/>
                <w:sz w:val="16"/>
                <w:szCs w:val="16"/>
              </w:rPr>
              <w:t xml:space="preserve"> ERA program reports and activities inform strategic planning at eligible Australian universities.</w:t>
            </w:r>
          </w:p>
        </w:tc>
      </w:tr>
      <w:tr w:rsidR="00E13D3D" w14:paraId="74F6D54F" w14:textId="77777777" w:rsidTr="00B244BD">
        <w:trPr>
          <w:trHeight w:val="778"/>
        </w:trPr>
        <w:tc>
          <w:tcPr>
            <w:tcW w:w="926" w:type="pct"/>
            <w:tcBorders>
              <w:top w:val="nil"/>
              <w:left w:val="single" w:sz="4" w:space="0" w:color="auto"/>
              <w:bottom w:val="nil"/>
              <w:right w:val="single" w:sz="4" w:space="0" w:color="auto"/>
            </w:tcBorders>
            <w:shd w:val="clear" w:color="auto" w:fill="auto"/>
          </w:tcPr>
          <w:p w14:paraId="22E2F2B7" w14:textId="14307179" w:rsidR="00E13D3D" w:rsidRDefault="00E13D3D">
            <w:pPr>
              <w:tabs>
                <w:tab w:val="left" w:pos="709"/>
              </w:tabs>
              <w:spacing w:before="60" w:after="60"/>
              <w:rPr>
                <w:rFonts w:ascii="Arial" w:hAnsi="Arial" w:cs="Arial"/>
                <w:sz w:val="18"/>
                <w:szCs w:val="18"/>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77862AD9" w14:textId="776FB675" w:rsidR="00E13D3D" w:rsidRPr="003B07DB" w:rsidRDefault="00E13D3D" w:rsidP="00C44676">
            <w:pPr>
              <w:spacing w:before="60" w:after="40" w:line="276" w:lineRule="auto"/>
              <w:jc w:val="left"/>
              <w:rPr>
                <w:rFonts w:ascii="Arial" w:hAnsi="Arial" w:cs="Arial"/>
                <w:sz w:val="16"/>
                <w:szCs w:val="16"/>
              </w:rPr>
            </w:pPr>
            <w:r w:rsidRPr="003B07DB">
              <w:rPr>
                <w:rFonts w:ascii="Arial" w:hAnsi="Arial" w:cs="Arial"/>
                <w:sz w:val="16"/>
                <w:szCs w:val="16"/>
              </w:rPr>
              <w:t>ERA review outcomes are implemented through revised methodology, where required.</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7126B4E6" w14:textId="4E9C14A1" w:rsidR="00E13D3D" w:rsidRPr="003B07DB" w:rsidRDefault="00E13D3D" w:rsidP="00C44676">
            <w:pPr>
              <w:tabs>
                <w:tab w:val="left" w:pos="709"/>
              </w:tabs>
              <w:spacing w:before="60" w:after="60" w:line="276" w:lineRule="auto"/>
              <w:jc w:val="left"/>
              <w:rPr>
                <w:rFonts w:ascii="Arial" w:hAnsi="Arial" w:cs="Arial"/>
                <w:b/>
                <w:bCs/>
                <w:iCs/>
                <w:sz w:val="16"/>
                <w:szCs w:val="16"/>
              </w:rPr>
            </w:pPr>
            <w:r w:rsidRPr="003B07DB">
              <w:rPr>
                <w:rFonts w:ascii="Arial" w:hAnsi="Arial" w:cs="Arial"/>
                <w:b/>
                <w:bCs/>
                <w:iCs/>
                <w:sz w:val="16"/>
                <w:szCs w:val="16"/>
              </w:rPr>
              <w:t>Target</w:t>
            </w:r>
            <w:r w:rsidRPr="003B07DB">
              <w:rPr>
                <w:rFonts w:ascii="Arial" w:hAnsi="Arial" w:cs="Arial"/>
                <w:iCs/>
                <w:sz w:val="16"/>
                <w:szCs w:val="16"/>
              </w:rPr>
              <w:t>: Publication of the ERA 2023 submission and assessment documentation.</w:t>
            </w:r>
          </w:p>
        </w:tc>
      </w:tr>
      <w:tr w:rsidR="00E13D3D" w14:paraId="31132671" w14:textId="77777777" w:rsidTr="00E13D3D">
        <w:trPr>
          <w:trHeight w:val="979"/>
        </w:trPr>
        <w:tc>
          <w:tcPr>
            <w:tcW w:w="926" w:type="pct"/>
            <w:tcBorders>
              <w:top w:val="nil"/>
              <w:left w:val="single" w:sz="4" w:space="0" w:color="auto"/>
              <w:bottom w:val="single" w:sz="4" w:space="0" w:color="auto"/>
              <w:right w:val="single" w:sz="4" w:space="0" w:color="auto"/>
            </w:tcBorders>
            <w:shd w:val="clear" w:color="auto" w:fill="auto"/>
          </w:tcPr>
          <w:p w14:paraId="3C623E59" w14:textId="5469C8E2" w:rsidR="00E13D3D" w:rsidRDefault="00E13D3D">
            <w:pPr>
              <w:tabs>
                <w:tab w:val="left" w:pos="709"/>
              </w:tabs>
              <w:spacing w:before="60" w:after="60"/>
              <w:rPr>
                <w:rFonts w:ascii="Arial" w:hAnsi="Arial" w:cs="Arial"/>
                <w:sz w:val="18"/>
                <w:szCs w:val="18"/>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1FFE9F8C" w14:textId="0564EB8F" w:rsidR="00E13D3D" w:rsidRPr="003B07DB" w:rsidRDefault="00E13D3D" w:rsidP="00C44676">
            <w:pPr>
              <w:spacing w:before="60" w:after="40" w:line="276" w:lineRule="auto"/>
              <w:jc w:val="left"/>
              <w:rPr>
                <w:rFonts w:ascii="Arial" w:hAnsi="Arial" w:cs="Arial"/>
                <w:sz w:val="16"/>
                <w:szCs w:val="16"/>
              </w:rPr>
            </w:pPr>
            <w:r w:rsidRPr="003B07DB">
              <w:rPr>
                <w:rFonts w:ascii="Arial" w:hAnsi="Arial" w:cs="Arial"/>
                <w:sz w:val="16"/>
                <w:szCs w:val="16"/>
              </w:rPr>
              <w:t>EI review outcomes are implemented through revised methodology, where required.</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063B6EB7" w14:textId="1D0A8EAD" w:rsidR="00E13D3D" w:rsidRPr="003B07DB" w:rsidRDefault="00E13D3D" w:rsidP="00C44676">
            <w:pPr>
              <w:tabs>
                <w:tab w:val="left" w:pos="709"/>
              </w:tabs>
              <w:spacing w:before="60" w:after="60" w:line="276" w:lineRule="auto"/>
              <w:jc w:val="left"/>
              <w:rPr>
                <w:rFonts w:ascii="Arial" w:hAnsi="Arial" w:cs="Arial"/>
                <w:b/>
                <w:bCs/>
                <w:iCs/>
                <w:sz w:val="16"/>
                <w:szCs w:val="16"/>
              </w:rPr>
            </w:pPr>
            <w:r w:rsidRPr="003B07DB">
              <w:rPr>
                <w:rFonts w:ascii="Arial" w:hAnsi="Arial" w:cs="Arial"/>
                <w:b/>
                <w:bCs/>
                <w:iCs/>
                <w:sz w:val="16"/>
                <w:szCs w:val="16"/>
              </w:rPr>
              <w:t>Target:</w:t>
            </w:r>
            <w:r w:rsidRPr="003B07DB">
              <w:rPr>
                <w:rFonts w:ascii="Arial" w:hAnsi="Arial" w:cs="Arial"/>
                <w:iCs/>
                <w:sz w:val="16"/>
                <w:szCs w:val="16"/>
              </w:rPr>
              <w:t xml:space="preserve"> Publication of the EI 2024 submission and assessment documentation.</w:t>
            </w:r>
          </w:p>
        </w:tc>
      </w:tr>
      <w:tr w:rsidR="00E13D3D" w14:paraId="62A55F26" w14:textId="77777777" w:rsidTr="00E13D3D">
        <w:trPr>
          <w:trHeight w:val="100"/>
        </w:trPr>
        <w:tc>
          <w:tcPr>
            <w:tcW w:w="926" w:type="pct"/>
            <w:tcBorders>
              <w:top w:val="single" w:sz="4" w:space="0" w:color="auto"/>
              <w:left w:val="single" w:sz="4" w:space="0" w:color="auto"/>
              <w:bottom w:val="nil"/>
              <w:right w:val="single" w:sz="4" w:space="0" w:color="auto"/>
            </w:tcBorders>
            <w:shd w:val="clear" w:color="auto" w:fill="auto"/>
            <w:hideMark/>
          </w:tcPr>
          <w:p w14:paraId="46B68D39" w14:textId="300DD511" w:rsidR="00E13D3D" w:rsidRDefault="00E13D3D">
            <w:pPr>
              <w:tabs>
                <w:tab w:val="left" w:pos="709"/>
              </w:tabs>
              <w:spacing w:before="60" w:after="60"/>
              <w:rPr>
                <w:rFonts w:ascii="Arial" w:hAnsi="Arial" w:cs="Arial"/>
                <w:sz w:val="16"/>
                <w:szCs w:val="16"/>
              </w:rPr>
            </w:pPr>
            <w:r>
              <w:rPr>
                <w:rFonts w:ascii="Arial" w:hAnsi="Arial" w:cs="Arial"/>
                <w:sz w:val="16"/>
                <w:szCs w:val="16"/>
              </w:rPr>
              <w:t>Forward</w:t>
            </w:r>
            <w:r w:rsidR="00051E7B">
              <w:rPr>
                <w:rFonts w:ascii="Arial" w:hAnsi="Arial" w:cs="Arial"/>
                <w:sz w:val="16"/>
                <w:szCs w:val="16"/>
              </w:rPr>
              <w:t xml:space="preserve"> E</w:t>
            </w:r>
            <w:r>
              <w:rPr>
                <w:rFonts w:ascii="Arial" w:hAnsi="Arial" w:cs="Arial"/>
                <w:sz w:val="16"/>
                <w:szCs w:val="16"/>
              </w:rPr>
              <w:t xml:space="preserve">stimates </w:t>
            </w:r>
          </w:p>
          <w:p w14:paraId="6454AB2E" w14:textId="3AE35171" w:rsidR="00E13D3D" w:rsidRDefault="00E13D3D">
            <w:pPr>
              <w:tabs>
                <w:tab w:val="left" w:pos="709"/>
              </w:tabs>
              <w:spacing w:before="60" w:after="60"/>
              <w:rPr>
                <w:rFonts w:ascii="Arial" w:hAnsi="Arial" w:cs="Arial"/>
                <w:sz w:val="16"/>
                <w:szCs w:val="16"/>
              </w:rPr>
            </w:pPr>
            <w:r>
              <w:rPr>
                <w:rFonts w:ascii="Arial" w:hAnsi="Arial" w:cs="Arial"/>
                <w:sz w:val="16"/>
                <w:szCs w:val="16"/>
              </w:rPr>
              <w:t>20</w:t>
            </w:r>
            <w:r w:rsidR="001A5C33">
              <w:rPr>
                <w:rFonts w:ascii="Arial" w:hAnsi="Arial" w:cs="Arial"/>
                <w:sz w:val="16"/>
                <w:szCs w:val="16"/>
              </w:rPr>
              <w:t>23–24</w:t>
            </w:r>
          </w:p>
        </w:tc>
        <w:tc>
          <w:tcPr>
            <w:tcW w:w="1836" w:type="pct"/>
            <w:tcBorders>
              <w:top w:val="single" w:sz="4" w:space="0" w:color="auto"/>
              <w:left w:val="single" w:sz="4" w:space="0" w:color="auto"/>
              <w:bottom w:val="single" w:sz="4" w:space="0" w:color="auto"/>
              <w:right w:val="single" w:sz="4" w:space="0" w:color="auto"/>
            </w:tcBorders>
            <w:shd w:val="clear" w:color="auto" w:fill="auto"/>
          </w:tcPr>
          <w:p w14:paraId="4217E3E6" w14:textId="50F6DB16" w:rsidR="00E13D3D" w:rsidRPr="00B244BD" w:rsidRDefault="00E13D3D" w:rsidP="00C44676">
            <w:pPr>
              <w:spacing w:before="60" w:after="40" w:line="276" w:lineRule="auto"/>
              <w:jc w:val="left"/>
              <w:rPr>
                <w:rFonts w:ascii="Arial" w:hAnsi="Arial" w:cs="Arial"/>
                <w:sz w:val="16"/>
                <w:szCs w:val="16"/>
              </w:rPr>
            </w:pPr>
            <w:r>
              <w:rPr>
                <w:rFonts w:ascii="Arial" w:hAnsi="Arial" w:cs="Arial"/>
                <w:sz w:val="16"/>
                <w:szCs w:val="16"/>
              </w:rPr>
              <w:t>Use of ERA program data to assist in the development of Australian Government policies.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298EB43D" w14:textId="128A056A" w:rsidR="00E13D3D" w:rsidRDefault="00E13D3D" w:rsidP="00C44676">
            <w:pPr>
              <w:tabs>
                <w:tab w:val="left" w:pos="709"/>
              </w:tabs>
              <w:spacing w:before="60" w:after="60" w:line="276" w:lineRule="auto"/>
              <w:jc w:val="left"/>
              <w:rPr>
                <w:rFonts w:ascii="Arial" w:hAnsi="Arial" w:cs="Arial"/>
                <w:b/>
                <w:bCs/>
                <w:iCs/>
                <w:sz w:val="16"/>
                <w:szCs w:val="16"/>
              </w:rPr>
            </w:pPr>
            <w:r>
              <w:rPr>
                <w:rFonts w:ascii="Arial" w:hAnsi="Arial" w:cs="Arial"/>
                <w:b/>
                <w:bCs/>
                <w:iCs/>
                <w:sz w:val="16"/>
                <w:szCs w:val="16"/>
              </w:rPr>
              <w:t>Target:</w:t>
            </w:r>
            <w:r>
              <w:rPr>
                <w:rFonts w:ascii="Arial" w:hAnsi="Arial" w:cs="Arial"/>
                <w:iCs/>
                <w:sz w:val="16"/>
                <w:szCs w:val="16"/>
              </w:rPr>
              <w:t xml:space="preserve"> ERA program reports and activities inform Australian Government policy.</w:t>
            </w:r>
          </w:p>
        </w:tc>
      </w:tr>
      <w:tr w:rsidR="00E13D3D" w14:paraId="6F882A73" w14:textId="77777777" w:rsidTr="00E13D3D">
        <w:trPr>
          <w:trHeight w:val="100"/>
        </w:trPr>
        <w:tc>
          <w:tcPr>
            <w:tcW w:w="926" w:type="pct"/>
            <w:tcBorders>
              <w:top w:val="nil"/>
              <w:left w:val="single" w:sz="4" w:space="0" w:color="auto"/>
              <w:bottom w:val="nil"/>
              <w:right w:val="single" w:sz="4" w:space="0" w:color="auto"/>
            </w:tcBorders>
            <w:shd w:val="clear" w:color="auto" w:fill="auto"/>
          </w:tcPr>
          <w:p w14:paraId="7D403095" w14:textId="64B88113" w:rsidR="00E13D3D" w:rsidRDefault="00E13D3D">
            <w:pPr>
              <w:tabs>
                <w:tab w:val="left" w:pos="709"/>
              </w:tabs>
              <w:spacing w:before="60" w:after="60"/>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auto"/>
          </w:tcPr>
          <w:p w14:paraId="40A43DF8" w14:textId="47B75273" w:rsidR="00E13D3D" w:rsidRPr="00B244BD" w:rsidRDefault="00E13D3D" w:rsidP="00C44676">
            <w:pPr>
              <w:spacing w:before="60" w:after="40" w:line="276" w:lineRule="auto"/>
              <w:jc w:val="left"/>
              <w:rPr>
                <w:rFonts w:ascii="Arial" w:hAnsi="Arial" w:cs="Arial"/>
                <w:sz w:val="16"/>
                <w:szCs w:val="16"/>
              </w:rPr>
            </w:pPr>
            <w:r>
              <w:rPr>
                <w:rFonts w:ascii="Arial" w:hAnsi="Arial" w:cs="Arial"/>
                <w:sz w:val="16"/>
                <w:szCs w:val="16"/>
              </w:rPr>
              <w:t>Use of ERA program data to inform the strategic planning of Australian universities.</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77EA388B" w14:textId="01C0B7C8" w:rsidR="00E13D3D" w:rsidRDefault="00E13D3D" w:rsidP="00C44676">
            <w:pPr>
              <w:tabs>
                <w:tab w:val="left" w:pos="709"/>
              </w:tabs>
              <w:spacing w:before="60" w:after="60" w:line="276" w:lineRule="auto"/>
              <w:jc w:val="left"/>
              <w:rPr>
                <w:rFonts w:ascii="Arial" w:hAnsi="Arial" w:cs="Arial"/>
                <w:b/>
                <w:bCs/>
                <w:iCs/>
                <w:sz w:val="16"/>
                <w:szCs w:val="16"/>
              </w:rPr>
            </w:pPr>
            <w:r>
              <w:rPr>
                <w:rFonts w:ascii="Arial" w:hAnsi="Arial" w:cs="Arial"/>
                <w:b/>
                <w:bCs/>
                <w:iCs/>
                <w:sz w:val="16"/>
                <w:szCs w:val="16"/>
              </w:rPr>
              <w:t>Target:</w:t>
            </w:r>
            <w:r>
              <w:rPr>
                <w:rFonts w:ascii="Arial" w:hAnsi="Arial" w:cs="Arial"/>
                <w:iCs/>
                <w:sz w:val="16"/>
                <w:szCs w:val="16"/>
              </w:rPr>
              <w:t xml:space="preserve"> ERA program reports and activities inform strategic planning at eligible Australian universities.</w:t>
            </w:r>
          </w:p>
        </w:tc>
      </w:tr>
      <w:tr w:rsidR="00E13D3D" w14:paraId="5B164EDB" w14:textId="77777777" w:rsidTr="00B244BD">
        <w:trPr>
          <w:trHeight w:val="902"/>
        </w:trPr>
        <w:tc>
          <w:tcPr>
            <w:tcW w:w="926" w:type="pct"/>
            <w:tcBorders>
              <w:top w:val="nil"/>
              <w:left w:val="single" w:sz="4" w:space="0" w:color="auto"/>
              <w:bottom w:val="single" w:sz="4" w:space="0" w:color="auto"/>
              <w:right w:val="single" w:sz="4" w:space="0" w:color="auto"/>
            </w:tcBorders>
            <w:shd w:val="clear" w:color="auto" w:fill="auto"/>
          </w:tcPr>
          <w:p w14:paraId="55D164A7" w14:textId="7EFB1B3B" w:rsidR="00E13D3D" w:rsidRDefault="00E13D3D">
            <w:pPr>
              <w:tabs>
                <w:tab w:val="left" w:pos="709"/>
              </w:tabs>
              <w:spacing w:before="60" w:after="60"/>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auto"/>
            <w:hideMark/>
          </w:tcPr>
          <w:p w14:paraId="5D0F43A4" w14:textId="699CFDD3" w:rsidR="00E13D3D" w:rsidRDefault="00E13D3D" w:rsidP="00C44676">
            <w:pPr>
              <w:spacing w:before="60" w:after="40" w:line="276" w:lineRule="auto"/>
              <w:jc w:val="left"/>
              <w:rPr>
                <w:rFonts w:ascii="Arial" w:hAnsi="Arial" w:cs="Arial"/>
                <w:sz w:val="16"/>
                <w:szCs w:val="16"/>
              </w:rPr>
            </w:pPr>
            <w:r>
              <w:rPr>
                <w:rFonts w:ascii="Arial" w:hAnsi="Arial" w:cs="Arial"/>
                <w:sz w:val="16"/>
                <w:szCs w:val="16"/>
              </w:rPr>
              <w:t>Research quality of participating universities is assessed and reported on.</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14:paraId="2DA2D6C7" w14:textId="043C31BC" w:rsidR="00E13D3D" w:rsidRDefault="00E13D3D" w:rsidP="00C44676">
            <w:pPr>
              <w:tabs>
                <w:tab w:val="left" w:pos="709"/>
              </w:tabs>
              <w:spacing w:before="60" w:after="60" w:line="276" w:lineRule="auto"/>
              <w:jc w:val="left"/>
              <w:rPr>
                <w:rFonts w:ascii="Arial" w:hAnsi="Arial" w:cs="Arial"/>
                <w:b/>
                <w:bCs/>
                <w:iCs/>
                <w:sz w:val="16"/>
                <w:szCs w:val="16"/>
              </w:rPr>
            </w:pPr>
            <w:r>
              <w:rPr>
                <w:rFonts w:ascii="Arial" w:hAnsi="Arial" w:cs="Arial"/>
                <w:b/>
                <w:bCs/>
                <w:iCs/>
                <w:sz w:val="16"/>
                <w:szCs w:val="16"/>
              </w:rPr>
              <w:t>Target:</w:t>
            </w:r>
            <w:r>
              <w:rPr>
                <w:rFonts w:ascii="Arial" w:hAnsi="Arial" w:cs="Arial"/>
                <w:iCs/>
                <w:sz w:val="16"/>
                <w:szCs w:val="16"/>
              </w:rPr>
              <w:t xml:space="preserve"> 100% of eligible submissions are assessed in accordance with relevant criteria and results are published.</w:t>
            </w:r>
          </w:p>
        </w:tc>
      </w:tr>
    </w:tbl>
    <w:p w14:paraId="01DC1B1A" w14:textId="5CAC982D" w:rsidR="00E13D3D" w:rsidRDefault="00E13D3D" w:rsidP="00E13D3D">
      <w:pPr>
        <w:spacing w:after="160" w:line="256" w:lineRule="auto"/>
        <w:jc w:val="left"/>
        <w:rPr>
          <w:rFonts w:ascii="Arial" w:hAnsi="Arial" w:cs="Arial"/>
        </w:rPr>
      </w:pPr>
    </w:p>
    <w:p w14:paraId="74086B5D" w14:textId="7620BDB2" w:rsidR="00E13D3D" w:rsidRDefault="00E13D3D" w:rsidP="00E13D3D">
      <w:pPr>
        <w:spacing w:after="0" w:line="240" w:lineRule="auto"/>
        <w:jc w:val="left"/>
        <w:rPr>
          <w:rFonts w:ascii="Arial" w:hAnsi="Arial" w:cs="Arial"/>
          <w:sz w:val="30"/>
        </w:rPr>
      </w:pPr>
      <w:r>
        <w:rPr>
          <w:rFonts w:ascii="Arial" w:hAnsi="Arial" w:cs="Arial"/>
        </w:rPr>
        <w:br w:type="page"/>
      </w:r>
    </w:p>
    <w:p w14:paraId="020BD477" w14:textId="4832306E" w:rsidR="00E13D3D" w:rsidRDefault="00E13D3D" w:rsidP="00E13D3D">
      <w:pPr>
        <w:pStyle w:val="Heading2"/>
      </w:pPr>
      <w:bookmarkStart w:id="26" w:name="_Toc98257449"/>
      <w:bookmarkStart w:id="27" w:name="ARC_BudgetedFinancialStatements"/>
      <w:bookmarkStart w:id="28" w:name="ARC_3_1"/>
      <w:bookmarkEnd w:id="25"/>
      <w:r>
        <w:rPr>
          <w:b w:val="0"/>
        </w:rPr>
        <w:lastRenderedPageBreak/>
        <w:t>Section 3: Budgeted financial statements</w:t>
      </w:r>
      <w:bookmarkEnd w:id="26"/>
    </w:p>
    <w:bookmarkEnd w:id="27"/>
    <w:p w14:paraId="1AE27F39" w14:textId="62F7814E" w:rsidR="00E13D3D" w:rsidRDefault="00E13D3D" w:rsidP="00E13D3D">
      <w:r>
        <w:t>Section 3 presents budgeted financial statements which provide a comprehensive snapshot of ARC’s finances for the 20</w:t>
      </w:r>
      <w:r w:rsidR="001A5C33">
        <w:t>22–23</w:t>
      </w:r>
      <w:r>
        <w:t xml:space="preserve"> budget year, including the impact of budget measures and resourcing on financial statements.</w:t>
      </w:r>
    </w:p>
    <w:p w14:paraId="7E3764B4" w14:textId="57A772EE" w:rsidR="00E13D3D" w:rsidRDefault="00E13D3D" w:rsidP="00E13D3D">
      <w:pPr>
        <w:pStyle w:val="Heading3"/>
      </w:pPr>
      <w:bookmarkStart w:id="29" w:name="_Toc98257450"/>
      <w:r>
        <w:t>3.1</w:t>
      </w:r>
      <w:r>
        <w:tab/>
        <w:t>Budgeted financial statements</w:t>
      </w:r>
      <w:bookmarkEnd w:id="28"/>
      <w:bookmarkEnd w:id="29"/>
    </w:p>
    <w:p w14:paraId="2E1F4AAC" w14:textId="2E09FC1F" w:rsidR="00E13D3D" w:rsidRDefault="00E13D3D" w:rsidP="00E13D3D">
      <w:pPr>
        <w:pStyle w:val="Heading4"/>
      </w:pPr>
      <w:r>
        <w:t>3.1.1</w:t>
      </w:r>
      <w:r>
        <w:tab/>
        <w:t>Differences between entity resourcing and financial statements</w:t>
      </w:r>
    </w:p>
    <w:p w14:paraId="018076F0" w14:textId="315B54AD" w:rsidR="00E13D3D" w:rsidRDefault="00E13D3D" w:rsidP="00E13D3D">
      <w:pPr>
        <w:spacing w:after="160" w:line="240" w:lineRule="exact"/>
        <w:rPr>
          <w:rFonts w:cs="Arial"/>
          <w:iCs/>
        </w:rPr>
      </w:pPr>
      <w:r>
        <w:rPr>
          <w:rFonts w:cs="Arial"/>
          <w:iCs/>
        </w:rPr>
        <w:t>The major change to the ARC’s budget estimates from the 20</w:t>
      </w:r>
      <w:r w:rsidR="001A5C33">
        <w:rPr>
          <w:rFonts w:cs="Arial"/>
          <w:iCs/>
        </w:rPr>
        <w:t xml:space="preserve">21–22 </w:t>
      </w:r>
      <w:r>
        <w:rPr>
          <w:rFonts w:cs="Arial"/>
          <w:iCs/>
        </w:rPr>
        <w:t xml:space="preserve">Additional Estimates is additional funding the ARC received from the Investing in Australia's University Research Commercialisation measure, refer to Table 1.2. </w:t>
      </w:r>
    </w:p>
    <w:p w14:paraId="385F8F7C" w14:textId="42691141" w:rsidR="00E13D3D" w:rsidRDefault="00E13D3D" w:rsidP="00E13D3D">
      <w:pPr>
        <w:spacing w:line="240" w:lineRule="exact"/>
        <w:rPr>
          <w:rFonts w:eastAsiaTheme="minorHAnsi" w:cs="Arial"/>
        </w:rPr>
      </w:pPr>
      <w:r>
        <w:rPr>
          <w:rFonts w:cs="Arial"/>
        </w:rPr>
        <w:t xml:space="preserve">There are minor variances between resourcing and expenses, which reflects timing differences between expenses and cash expenditure relating to the NCGP. </w:t>
      </w:r>
    </w:p>
    <w:p w14:paraId="451047AA" w14:textId="3201E53A" w:rsidR="00E13D3D" w:rsidRDefault="00E13D3D" w:rsidP="00E13D3D">
      <w:pPr>
        <w:pStyle w:val="Heading4"/>
      </w:pPr>
      <w:r>
        <w:t>3.1.2</w:t>
      </w:r>
      <w:r>
        <w:tab/>
        <w:t>Explanatory notes and analysis of budgeted financial statements</w:t>
      </w:r>
    </w:p>
    <w:p w14:paraId="1C9A0BDE" w14:textId="2820F5EC" w:rsidR="00E13D3D" w:rsidRPr="000E37CB" w:rsidRDefault="00E13D3D" w:rsidP="00E13D3D">
      <w:pPr>
        <w:pStyle w:val="Heading5"/>
        <w:spacing w:line="240" w:lineRule="exact"/>
        <w:rPr>
          <w:rFonts w:cs="Arial"/>
          <w:b/>
          <w:bCs w:val="0"/>
        </w:rPr>
      </w:pPr>
      <w:r w:rsidRPr="000E37CB">
        <w:rPr>
          <w:rFonts w:cs="Arial"/>
          <w:b/>
          <w:bCs w:val="0"/>
        </w:rPr>
        <w:t>Budgeted departmental comprehensive income statement</w:t>
      </w:r>
    </w:p>
    <w:p w14:paraId="5CC60595" w14:textId="74084554" w:rsidR="00E13D3D" w:rsidRDefault="00E13D3D" w:rsidP="00E13D3D">
      <w:pPr>
        <w:spacing w:line="240" w:lineRule="exact"/>
        <w:rPr>
          <w:rFonts w:cs="Arial"/>
        </w:rPr>
      </w:pPr>
      <w:r>
        <w:rPr>
          <w:rFonts w:cs="Arial"/>
        </w:rPr>
        <w:t>The ARC’s income statement reflects a deficit across the forward estimates. These</w:t>
      </w:r>
      <w:r w:rsidR="001F6D18">
        <w:rPr>
          <w:rFonts w:cs="Arial"/>
        </w:rPr>
        <w:t> </w:t>
      </w:r>
      <w:r>
        <w:rPr>
          <w:rFonts w:cs="Arial"/>
        </w:rPr>
        <w:t>deficits are predominantly attributable to the depreciation and amortisation expense for the year.</w:t>
      </w:r>
    </w:p>
    <w:p w14:paraId="33D11F57" w14:textId="6C052555" w:rsidR="00E13D3D" w:rsidRPr="000E37CB" w:rsidRDefault="00E13D3D" w:rsidP="00E13D3D">
      <w:pPr>
        <w:pStyle w:val="Heading5"/>
        <w:spacing w:line="240" w:lineRule="exact"/>
        <w:rPr>
          <w:rFonts w:cs="Arial"/>
          <w:b/>
          <w:bCs w:val="0"/>
        </w:rPr>
      </w:pPr>
      <w:r w:rsidRPr="000E37CB">
        <w:rPr>
          <w:rFonts w:cs="Arial"/>
          <w:b/>
          <w:bCs w:val="0"/>
        </w:rPr>
        <w:t>Budgeted departmental balance sheet</w:t>
      </w:r>
    </w:p>
    <w:p w14:paraId="78AC09E5" w14:textId="17C1436B" w:rsidR="00E13D3D" w:rsidRDefault="00E13D3D" w:rsidP="00E13D3D">
      <w:pPr>
        <w:spacing w:line="240" w:lineRule="exact"/>
        <w:rPr>
          <w:rFonts w:cs="Arial"/>
        </w:rPr>
      </w:pPr>
      <w:r>
        <w:rPr>
          <w:rFonts w:cs="Arial"/>
        </w:rPr>
        <w:t>The budgeted net asset position of $1</w:t>
      </w:r>
      <w:r>
        <w:rPr>
          <w:rFonts w:cs="Arial"/>
          <w:iCs/>
        </w:rPr>
        <w:t>5.6</w:t>
      </w:r>
      <w:r>
        <w:rPr>
          <w:rFonts w:cs="Arial"/>
        </w:rPr>
        <w:t xml:space="preserve"> million for 20</w:t>
      </w:r>
      <w:r w:rsidR="001A5C33">
        <w:rPr>
          <w:rFonts w:cs="Arial"/>
        </w:rPr>
        <w:t>22–23</w:t>
      </w:r>
      <w:r>
        <w:rPr>
          <w:rFonts w:cs="Arial"/>
        </w:rPr>
        <w:t xml:space="preserve"> represents a decrease of $</w:t>
      </w:r>
      <w:r>
        <w:rPr>
          <w:rFonts w:cs="Arial"/>
          <w:iCs/>
        </w:rPr>
        <w:t>3.1</w:t>
      </w:r>
      <w:r w:rsidR="001F6D18">
        <w:rPr>
          <w:rFonts w:cs="Arial"/>
        </w:rPr>
        <w:t> </w:t>
      </w:r>
      <w:r>
        <w:rPr>
          <w:rFonts w:cs="Arial"/>
        </w:rPr>
        <w:t>million from 20</w:t>
      </w:r>
      <w:r w:rsidR="001A5C33">
        <w:rPr>
          <w:rFonts w:cs="Arial"/>
        </w:rPr>
        <w:t xml:space="preserve">21–22 </w:t>
      </w:r>
      <w:r>
        <w:rPr>
          <w:rFonts w:cs="Arial"/>
        </w:rPr>
        <w:t xml:space="preserve">and the majority of which relates to a reduction in </w:t>
      </w:r>
      <w:r w:rsidR="001F6D18">
        <w:rPr>
          <w:rFonts w:cs="Arial"/>
        </w:rPr>
        <w:br/>
      </w:r>
      <w:r>
        <w:rPr>
          <w:rFonts w:cs="Arial"/>
        </w:rPr>
        <w:t xml:space="preserve">non-financial assets and leases liabilities. </w:t>
      </w:r>
    </w:p>
    <w:p w14:paraId="7B04865B" w14:textId="46B29448" w:rsidR="00E13D3D" w:rsidRPr="000E37CB" w:rsidRDefault="00E13D3D" w:rsidP="00E13D3D">
      <w:pPr>
        <w:pStyle w:val="Heading5"/>
        <w:spacing w:line="240" w:lineRule="exact"/>
        <w:rPr>
          <w:rFonts w:cs="Arial"/>
          <w:b/>
          <w:bCs w:val="0"/>
        </w:rPr>
      </w:pPr>
      <w:r w:rsidRPr="000E37CB">
        <w:rPr>
          <w:rFonts w:cs="Arial"/>
          <w:b/>
          <w:bCs w:val="0"/>
        </w:rPr>
        <w:t>Schedule of budgeted income and expenses administered on behalf of Government</w:t>
      </w:r>
    </w:p>
    <w:p w14:paraId="77A34E1C" w14:textId="7A78ACAC" w:rsidR="00E13D3D" w:rsidRDefault="00E13D3D" w:rsidP="00E13D3D">
      <w:pPr>
        <w:spacing w:after="160" w:line="240" w:lineRule="exact"/>
        <w:rPr>
          <w:rFonts w:cs="Arial"/>
        </w:rPr>
      </w:pPr>
      <w:r>
        <w:rPr>
          <w:rFonts w:cs="Arial"/>
        </w:rPr>
        <w:t>The schedule of budgeted income and expenses reflects the revenues and expense relating to programs administered by the ARC on behalf of Government.</w:t>
      </w:r>
    </w:p>
    <w:p w14:paraId="4EF88E85" w14:textId="49FAF2B0" w:rsidR="00E13D3D" w:rsidRDefault="00E13D3D" w:rsidP="00E13D3D">
      <w:pPr>
        <w:spacing w:after="160" w:line="240" w:lineRule="exact"/>
        <w:rPr>
          <w:rFonts w:cs="Arial"/>
        </w:rPr>
      </w:pPr>
      <w:proofErr w:type="gramStart"/>
      <w:r>
        <w:rPr>
          <w:rFonts w:cs="Arial"/>
        </w:rPr>
        <w:t>The majority of</w:t>
      </w:r>
      <w:proofErr w:type="gramEnd"/>
      <w:r>
        <w:rPr>
          <w:rFonts w:cs="Arial"/>
        </w:rPr>
        <w:t xml:space="preserve"> the expenditure is on grants as provided under the NCGP. </w:t>
      </w:r>
    </w:p>
    <w:p w14:paraId="30805205" w14:textId="39E26F05" w:rsidR="00E13D3D" w:rsidRPr="000E37CB" w:rsidRDefault="00E13D3D" w:rsidP="00E13D3D">
      <w:pPr>
        <w:pStyle w:val="Heading5"/>
        <w:spacing w:line="240" w:lineRule="exact"/>
        <w:rPr>
          <w:rFonts w:cs="Arial"/>
          <w:b/>
          <w:bCs w:val="0"/>
        </w:rPr>
      </w:pPr>
      <w:r w:rsidRPr="000E37CB">
        <w:rPr>
          <w:rFonts w:cs="Arial"/>
          <w:b/>
          <w:bCs w:val="0"/>
        </w:rPr>
        <w:t>Schedules of budgeted assets and liabilities administered on behalf of government</w:t>
      </w:r>
    </w:p>
    <w:p w14:paraId="45D74B27" w14:textId="5E106A94" w:rsidR="00E13D3D" w:rsidRDefault="00E13D3D" w:rsidP="00E13D3D">
      <w:pPr>
        <w:spacing w:line="240" w:lineRule="exact"/>
        <w:rPr>
          <w:rFonts w:cs="Arial"/>
        </w:rPr>
      </w:pPr>
      <w:r>
        <w:rPr>
          <w:rFonts w:cs="Arial"/>
        </w:rPr>
        <w:t xml:space="preserve">The ARC recognises grant liabilities to the extent that the grant eligibility criteria or reporting requirements have been satisfied. The closing liability reflects the estimated remaining commitment, as </w:t>
      </w:r>
      <w:proofErr w:type="gramStart"/>
      <w:r>
        <w:rPr>
          <w:rFonts w:cs="Arial"/>
        </w:rPr>
        <w:t>at</w:t>
      </w:r>
      <w:proofErr w:type="gramEnd"/>
      <w:r>
        <w:rPr>
          <w:rFonts w:cs="Arial"/>
        </w:rPr>
        <w:t xml:space="preserve"> 30 June, for the relevant calendar year.</w:t>
      </w:r>
    </w:p>
    <w:p w14:paraId="6F6AFFFD" w14:textId="3B853488" w:rsidR="00E13D3D" w:rsidRDefault="00E13D3D" w:rsidP="00E13D3D">
      <w:pPr>
        <w:spacing w:after="0" w:line="240" w:lineRule="auto"/>
        <w:jc w:val="left"/>
        <w:rPr>
          <w:rFonts w:cs="Arial"/>
        </w:rPr>
      </w:pPr>
      <w:r>
        <w:rPr>
          <w:rFonts w:cs="Arial"/>
        </w:rPr>
        <w:br w:type="page"/>
      </w:r>
    </w:p>
    <w:p w14:paraId="76EB9188" w14:textId="402FF03D" w:rsidR="00E13D3D" w:rsidRPr="009915F3" w:rsidRDefault="00E13D3D" w:rsidP="00E13D3D">
      <w:pPr>
        <w:pStyle w:val="Heading3"/>
      </w:pPr>
      <w:bookmarkStart w:id="30" w:name="ARC_3_2"/>
      <w:bookmarkStart w:id="31" w:name="_Toc98257451"/>
      <w:bookmarkStart w:id="32" w:name="ARC_TablesBudgetedFinancialStatements"/>
      <w:r w:rsidRPr="009915F3">
        <w:rPr>
          <w:b w:val="0"/>
        </w:rPr>
        <w:lastRenderedPageBreak/>
        <w:t>3.2</w:t>
      </w:r>
      <w:r w:rsidRPr="009915F3">
        <w:rPr>
          <w:b w:val="0"/>
        </w:rPr>
        <w:tab/>
        <w:t>Budgeted financial statements tables</w:t>
      </w:r>
      <w:bookmarkEnd w:id="30"/>
      <w:bookmarkEnd w:id="31"/>
    </w:p>
    <w:bookmarkEnd w:id="32"/>
    <w:p w14:paraId="463AFBBA" w14:textId="0A37F60D" w:rsidR="00E13D3D" w:rsidRDefault="00E13D3D" w:rsidP="00E13D3D">
      <w:pPr>
        <w:pStyle w:val="TableHeading"/>
        <w:rPr>
          <w:rFonts w:cs="Arial"/>
        </w:rPr>
      </w:pPr>
      <w:r>
        <w:rPr>
          <w:rFonts w:cs="Arial"/>
        </w:rPr>
        <w:t>Table 3.1: Comprehensive income statement (showing net cost of services) for the period ended 30 June</w:t>
      </w:r>
    </w:p>
    <w:p w14:paraId="1FE6F8D0" w14:textId="73D05D71" w:rsidR="00932D24" w:rsidRPr="00932D24" w:rsidRDefault="00D43CE5" w:rsidP="00932D24">
      <w:pPr>
        <w:pStyle w:val="TableGraphic"/>
        <w:rPr>
          <w:lang w:val="x-none" w:eastAsia="x-none"/>
        </w:rPr>
      </w:pPr>
      <w:r w:rsidRPr="00D43CE5">
        <w:rPr>
          <w:noProof/>
          <w:lang w:val="x-none" w:eastAsia="x-none"/>
        </w:rPr>
        <w:drawing>
          <wp:inline distT="0" distB="0" distL="0" distR="0" wp14:anchorId="1F35BE7F" wp14:editId="4CA85840">
            <wp:extent cx="4895850" cy="4853940"/>
            <wp:effectExtent l="0" t="0" r="0" b="381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4853940"/>
                    </a:xfrm>
                    <a:prstGeom prst="rect">
                      <a:avLst/>
                    </a:prstGeom>
                    <a:noFill/>
                    <a:ln>
                      <a:noFill/>
                    </a:ln>
                  </pic:spPr>
                </pic:pic>
              </a:graphicData>
            </a:graphic>
          </wp:inline>
        </w:drawing>
      </w:r>
    </w:p>
    <w:p w14:paraId="49075D56" w14:textId="7C25D2C3" w:rsidR="00E13D3D" w:rsidRDefault="00E13D3D" w:rsidP="00E13D3D">
      <w:pPr>
        <w:pStyle w:val="ChartandTableFootnote"/>
        <w:rPr>
          <w:rFonts w:cs="Arial"/>
        </w:rPr>
      </w:pPr>
      <w:r>
        <w:rPr>
          <w:rFonts w:cs="Arial"/>
        </w:rPr>
        <w:t>Prepared on Australian Accounting Standards basis.</w:t>
      </w:r>
    </w:p>
    <w:p w14:paraId="3A9495F7" w14:textId="3500C5A8" w:rsidR="00E13D3D" w:rsidRDefault="00E13D3D" w:rsidP="007D7DCB">
      <w:pPr>
        <w:pStyle w:val="ChartandTableFootnote"/>
        <w:tabs>
          <w:tab w:val="clear" w:pos="284"/>
        </w:tabs>
        <w:rPr>
          <w:rFonts w:cs="Arial"/>
        </w:rPr>
      </w:pPr>
      <w:r>
        <w:rPr>
          <w:rFonts w:cs="Arial"/>
        </w:rPr>
        <w:t>(</w:t>
      </w:r>
      <w:r w:rsidR="007D7DCB">
        <w:rPr>
          <w:rFonts w:cs="Arial"/>
          <w:lang w:val="en-AU"/>
        </w:rPr>
        <w:t>a)</w:t>
      </w:r>
      <w:r w:rsidR="00B800CA">
        <w:rPr>
          <w:rFonts w:cs="Arial"/>
          <w:lang w:val="en-AU"/>
        </w:rPr>
        <w:t xml:space="preserve"> </w:t>
      </w:r>
      <w:r>
        <w:rPr>
          <w:rFonts w:cs="Arial"/>
        </w:rPr>
        <w:t>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appropriations. For information regarding DCBs, please refer to Table 3.5 Departmental Capital Budget Statement.</w:t>
      </w:r>
      <w:r>
        <w:rPr>
          <w:rFonts w:cs="Arial"/>
        </w:rPr>
        <w:tab/>
      </w:r>
      <w:r>
        <w:rPr>
          <w:rFonts w:cs="Arial"/>
        </w:rPr>
        <w:tab/>
      </w:r>
      <w:r>
        <w:rPr>
          <w:rFonts w:cs="Arial"/>
        </w:rPr>
        <w:tab/>
      </w:r>
    </w:p>
    <w:p w14:paraId="714A09E2" w14:textId="2B3F0BF7" w:rsidR="00E13D3D" w:rsidRDefault="00E13D3D" w:rsidP="007D7DCB">
      <w:pPr>
        <w:pStyle w:val="ChartandTableFootnote"/>
        <w:tabs>
          <w:tab w:val="clear" w:pos="284"/>
          <w:tab w:val="left" w:pos="0"/>
        </w:tabs>
        <w:ind w:left="284" w:hanging="284"/>
        <w:rPr>
          <w:rFonts w:cs="Arial"/>
        </w:rPr>
      </w:pPr>
      <w:r>
        <w:rPr>
          <w:rFonts w:cs="Arial"/>
        </w:rPr>
        <w:t>(b)</w:t>
      </w:r>
      <w:r>
        <w:rPr>
          <w:rFonts w:cs="Arial"/>
        </w:rPr>
        <w:tab/>
        <w:t>Applies to leases under AASB16 Leases.</w:t>
      </w:r>
      <w:r>
        <w:rPr>
          <w:rFonts w:cs="Arial"/>
        </w:rPr>
        <w:tab/>
      </w:r>
      <w:r>
        <w:rPr>
          <w:rFonts w:cs="Arial"/>
        </w:rPr>
        <w:tab/>
      </w:r>
      <w:r>
        <w:rPr>
          <w:rFonts w:cs="Arial"/>
        </w:rPr>
        <w:tab/>
      </w:r>
      <w:r>
        <w:rPr>
          <w:rFonts w:cs="Arial"/>
        </w:rPr>
        <w:tab/>
      </w:r>
      <w:r>
        <w:rPr>
          <w:rFonts w:cs="Arial"/>
        </w:rPr>
        <w:tab/>
      </w:r>
    </w:p>
    <w:p w14:paraId="406A052F" w14:textId="54518581" w:rsidR="00E13D3D" w:rsidRDefault="00E13D3D" w:rsidP="00E13D3D">
      <w:pPr>
        <w:pStyle w:val="TableHeading"/>
        <w:rPr>
          <w:rFonts w:cs="Arial"/>
        </w:rPr>
      </w:pPr>
      <w:r>
        <w:rPr>
          <w:rFonts w:cs="Arial"/>
          <w:b w:val="0"/>
        </w:rPr>
        <w:br w:type="page"/>
      </w:r>
      <w:r>
        <w:rPr>
          <w:rFonts w:cs="Arial"/>
        </w:rPr>
        <w:lastRenderedPageBreak/>
        <w:t>Table 3.2: Budgeted departmental balance sheet (as at 30 June)</w:t>
      </w:r>
    </w:p>
    <w:p w14:paraId="5B95FA0A" w14:textId="22330BCE" w:rsidR="00E13D3D" w:rsidRDefault="00B03C1C" w:rsidP="00E13D3D">
      <w:pPr>
        <w:pStyle w:val="ChartandTableFootnotenotab"/>
      </w:pPr>
      <w:r w:rsidRPr="00B03C1C">
        <w:rPr>
          <w:noProof/>
        </w:rPr>
        <w:drawing>
          <wp:inline distT="0" distB="0" distL="0" distR="0" wp14:anchorId="14F6E23E" wp14:editId="09A1E0A0">
            <wp:extent cx="4895850" cy="4929505"/>
            <wp:effectExtent l="0" t="0" r="0" b="444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4929505"/>
                    </a:xfrm>
                    <a:prstGeom prst="rect">
                      <a:avLst/>
                    </a:prstGeom>
                    <a:noFill/>
                    <a:ln>
                      <a:noFill/>
                    </a:ln>
                  </pic:spPr>
                </pic:pic>
              </a:graphicData>
            </a:graphic>
          </wp:inline>
        </w:drawing>
      </w:r>
      <w:r w:rsidRPr="00B03C1C">
        <w:t xml:space="preserve"> </w:t>
      </w:r>
      <w:r w:rsidR="00E13D3D">
        <w:t xml:space="preserve">Prepared on Australian Accounting Standards basis. </w:t>
      </w:r>
    </w:p>
    <w:p w14:paraId="23A637FD" w14:textId="3F3075C5" w:rsidR="00E13D3D" w:rsidRDefault="00E13D3D" w:rsidP="00E13D3D">
      <w:pPr>
        <w:pStyle w:val="ChartandTableFootnote"/>
        <w:rPr>
          <w:rFonts w:cs="Arial"/>
        </w:rPr>
      </w:pPr>
      <w:r>
        <w:rPr>
          <w:rFonts w:cs="Arial"/>
        </w:rPr>
        <w:t>* Equity is the residual interest in assets after the deduction of liabilities.</w:t>
      </w:r>
    </w:p>
    <w:p w14:paraId="3ABE9D08" w14:textId="295E099A" w:rsidR="00E13D3D" w:rsidRDefault="00E13D3D" w:rsidP="00E13D3D">
      <w:pPr>
        <w:pStyle w:val="TableHeading"/>
        <w:rPr>
          <w:rFonts w:cs="Arial"/>
        </w:rPr>
      </w:pPr>
      <w:r>
        <w:rPr>
          <w:rFonts w:cs="Arial"/>
          <w:b w:val="0"/>
        </w:rPr>
        <w:br w:type="page"/>
      </w:r>
      <w:r>
        <w:rPr>
          <w:rFonts w:cs="Arial"/>
        </w:rPr>
        <w:lastRenderedPageBreak/>
        <w:t>Table 3.3: Departmental statement of changes in equity — summary of movement (Budget year 20</w:t>
      </w:r>
      <w:r>
        <w:rPr>
          <w:rFonts w:cs="Arial"/>
          <w:lang w:val="en-AU"/>
        </w:rPr>
        <w:t>22</w:t>
      </w:r>
      <w:r>
        <w:rPr>
          <w:rFonts w:cs="Arial"/>
        </w:rPr>
        <w:t>–</w:t>
      </w:r>
      <w:r>
        <w:rPr>
          <w:rFonts w:cs="Arial"/>
          <w:lang w:val="en-AU"/>
        </w:rPr>
        <w:t>23</w:t>
      </w:r>
      <w:r>
        <w:rPr>
          <w:rFonts w:cs="Arial"/>
        </w:rPr>
        <w:t>)</w:t>
      </w:r>
    </w:p>
    <w:p w14:paraId="001149FA" w14:textId="7A8194AF" w:rsidR="00E13D3D" w:rsidRDefault="00B9361F" w:rsidP="00E13D3D">
      <w:pPr>
        <w:pStyle w:val="ChartandTableFootnote"/>
        <w:rPr>
          <w:rFonts w:cs="Arial"/>
        </w:rPr>
      </w:pPr>
      <w:r w:rsidRPr="00B9361F">
        <w:rPr>
          <w:rFonts w:cs="Arial"/>
          <w:noProof/>
        </w:rPr>
        <w:drawing>
          <wp:inline distT="0" distB="0" distL="0" distR="0" wp14:anchorId="54BDF926" wp14:editId="03BCBBE9">
            <wp:extent cx="4666615" cy="3079750"/>
            <wp:effectExtent l="0" t="0" r="635" b="635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6615" cy="3079750"/>
                    </a:xfrm>
                    <a:prstGeom prst="rect">
                      <a:avLst/>
                    </a:prstGeom>
                    <a:noFill/>
                    <a:ln>
                      <a:noFill/>
                    </a:ln>
                  </pic:spPr>
                </pic:pic>
              </a:graphicData>
            </a:graphic>
          </wp:inline>
        </w:drawing>
      </w:r>
      <w:r w:rsidRPr="00B9361F">
        <w:rPr>
          <w:rFonts w:cs="Arial"/>
        </w:rPr>
        <w:t xml:space="preserve"> </w:t>
      </w:r>
      <w:r w:rsidR="00E13D3D">
        <w:rPr>
          <w:rFonts w:cs="Arial"/>
        </w:rPr>
        <w:t>Prepared on Australian Accounting Standards basis.</w:t>
      </w:r>
    </w:p>
    <w:p w14:paraId="324FA99A" w14:textId="31C9FCA5" w:rsidR="00E13D3D" w:rsidRDefault="00E13D3D" w:rsidP="00E13D3D">
      <w:pPr>
        <w:pStyle w:val="ChartandTableFootnote"/>
        <w:rPr>
          <w:rFonts w:cs="Arial"/>
        </w:rPr>
      </w:pPr>
      <w:r>
        <w:rPr>
          <w:rFonts w:cs="Arial"/>
          <w:szCs w:val="16"/>
        </w:rPr>
        <w:tab/>
      </w:r>
    </w:p>
    <w:p w14:paraId="352A521D" w14:textId="6A66E021" w:rsidR="00E13D3D" w:rsidRDefault="00E13D3D" w:rsidP="00E13D3D">
      <w:pPr>
        <w:pStyle w:val="TableHeading"/>
        <w:rPr>
          <w:rFonts w:cs="Arial"/>
        </w:rPr>
      </w:pPr>
      <w:r>
        <w:rPr>
          <w:rFonts w:cs="Arial"/>
          <w:b w:val="0"/>
        </w:rPr>
        <w:br w:type="page"/>
      </w:r>
      <w:r>
        <w:rPr>
          <w:rFonts w:cs="Arial"/>
          <w:lang w:val="en-AU"/>
        </w:rPr>
        <w:lastRenderedPageBreak/>
        <w:t>Table 3.4: Budgeted departmental statement of cash flows (for the period ended 30 June)</w:t>
      </w:r>
      <w:r>
        <w:rPr>
          <w:rFonts w:cs="Arial"/>
        </w:rPr>
        <w:t xml:space="preserve"> </w:t>
      </w:r>
    </w:p>
    <w:p w14:paraId="20ED9FD3" w14:textId="2DB27DE0" w:rsidR="00E13D3D" w:rsidRDefault="00AA6D6C" w:rsidP="00E13D3D">
      <w:pPr>
        <w:pStyle w:val="ChartandTableFootnote"/>
        <w:rPr>
          <w:rFonts w:cs="Arial"/>
        </w:rPr>
      </w:pPr>
      <w:r w:rsidRPr="00AA6D6C">
        <w:rPr>
          <w:rFonts w:cs="Arial"/>
          <w:noProof/>
        </w:rPr>
        <w:drawing>
          <wp:inline distT="0" distB="0" distL="0" distR="0" wp14:anchorId="3644D48E" wp14:editId="50E8321E">
            <wp:extent cx="4895850" cy="520255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5202555"/>
                    </a:xfrm>
                    <a:prstGeom prst="rect">
                      <a:avLst/>
                    </a:prstGeom>
                    <a:noFill/>
                    <a:ln>
                      <a:noFill/>
                    </a:ln>
                  </pic:spPr>
                </pic:pic>
              </a:graphicData>
            </a:graphic>
          </wp:inline>
        </w:drawing>
      </w:r>
      <w:r w:rsidR="00E13D3D">
        <w:rPr>
          <w:rFonts w:cs="Arial"/>
        </w:rPr>
        <w:t>Prepared on Australian Accounting Standards basis.</w:t>
      </w:r>
    </w:p>
    <w:p w14:paraId="57192430" w14:textId="4B3786A7" w:rsidR="00E13D3D" w:rsidRDefault="00E13D3D" w:rsidP="00E13D3D">
      <w:pPr>
        <w:spacing w:after="0" w:line="240" w:lineRule="auto"/>
        <w:jc w:val="left"/>
        <w:rPr>
          <w:rFonts w:ascii="Arial" w:hAnsi="Arial" w:cs="Arial"/>
          <w:b/>
          <w:color w:val="000000"/>
          <w:lang w:val="x-none" w:eastAsia="x-none"/>
        </w:rPr>
      </w:pPr>
      <w:r>
        <w:rPr>
          <w:rFonts w:ascii="Arial" w:hAnsi="Arial" w:cs="Arial"/>
        </w:rPr>
        <w:br w:type="page"/>
      </w:r>
    </w:p>
    <w:p w14:paraId="7A8E2AAA" w14:textId="1F273D2A" w:rsidR="00E13D3D" w:rsidRDefault="00E13D3D" w:rsidP="00E13D3D">
      <w:pPr>
        <w:pStyle w:val="TableHeading"/>
        <w:rPr>
          <w:rFonts w:cs="Arial"/>
        </w:rPr>
      </w:pPr>
      <w:r>
        <w:rPr>
          <w:rFonts w:cs="Arial"/>
        </w:rPr>
        <w:lastRenderedPageBreak/>
        <w:t>Table 3.5: Departmental capital budget statement (for the period ended 30 June)</w:t>
      </w:r>
    </w:p>
    <w:p w14:paraId="0150B60C" w14:textId="39245C5F" w:rsidR="00E13D3D" w:rsidRDefault="00CE313A" w:rsidP="00E13D3D">
      <w:pPr>
        <w:pStyle w:val="Source"/>
        <w:rPr>
          <w:rFonts w:cs="Arial"/>
        </w:rPr>
      </w:pPr>
      <w:r w:rsidRPr="00CE313A">
        <w:rPr>
          <w:rFonts w:cs="Arial"/>
          <w:noProof/>
        </w:rPr>
        <w:drawing>
          <wp:inline distT="0" distB="0" distL="0" distR="0" wp14:anchorId="3224F22A" wp14:editId="1B07ACEE">
            <wp:extent cx="4895850" cy="2817495"/>
            <wp:effectExtent l="0" t="0" r="0" b="190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2817495"/>
                    </a:xfrm>
                    <a:prstGeom prst="rect">
                      <a:avLst/>
                    </a:prstGeom>
                    <a:noFill/>
                    <a:ln>
                      <a:noFill/>
                    </a:ln>
                  </pic:spPr>
                </pic:pic>
              </a:graphicData>
            </a:graphic>
          </wp:inline>
        </w:drawing>
      </w:r>
      <w:r w:rsidR="00E13D3D">
        <w:rPr>
          <w:rFonts w:cs="Arial"/>
        </w:rPr>
        <w:t>Prepared on Australian Accounting Standards basis.</w:t>
      </w:r>
    </w:p>
    <w:p w14:paraId="106489E8" w14:textId="70A71B9F" w:rsidR="00E13D3D" w:rsidRDefault="00E13D3D" w:rsidP="00E13D3D">
      <w:pPr>
        <w:pStyle w:val="ChartandTableFootnote"/>
        <w:ind w:left="284" w:hanging="284"/>
        <w:rPr>
          <w:rFonts w:cs="Arial"/>
        </w:rPr>
      </w:pPr>
      <w:r>
        <w:rPr>
          <w:rFonts w:cs="Arial"/>
        </w:rPr>
        <w:t>(a)</w:t>
      </w:r>
      <w:r>
        <w:rPr>
          <w:rFonts w:cs="Arial"/>
        </w:rPr>
        <w:tab/>
        <w:t>Includes purchases from current and previous years' DCBs.</w:t>
      </w:r>
    </w:p>
    <w:p w14:paraId="7C0B4ED0" w14:textId="61D1BFE6" w:rsidR="00E13D3D" w:rsidRDefault="00E13D3D" w:rsidP="00E13D3D">
      <w:pPr>
        <w:pStyle w:val="ChartandTableFootnote"/>
        <w:ind w:left="284" w:hanging="284"/>
        <w:rPr>
          <w:rFonts w:cs="Arial"/>
        </w:rPr>
      </w:pPr>
      <w:r>
        <w:rPr>
          <w:rFonts w:cs="Arial"/>
        </w:rPr>
        <w:t>(b)</w:t>
      </w:r>
      <w:r>
        <w:rPr>
          <w:rFonts w:cs="Arial"/>
        </w:rPr>
        <w:tab/>
        <w:t>Includes the following sources of funding:</w:t>
      </w:r>
    </w:p>
    <w:p w14:paraId="58DB7C7B" w14:textId="63FA3FFA" w:rsidR="00E13D3D" w:rsidRDefault="00E13D3D" w:rsidP="00E13D3D">
      <w:pPr>
        <w:pStyle w:val="ChartandTableFootnote"/>
        <w:ind w:left="284" w:hanging="284"/>
        <w:rPr>
          <w:rFonts w:cs="Arial"/>
        </w:rPr>
      </w:pPr>
      <w:r>
        <w:rPr>
          <w:rFonts w:cs="Arial"/>
          <w:szCs w:val="16"/>
        </w:rPr>
        <w:tab/>
      </w:r>
      <w:r>
        <w:rPr>
          <w:rFonts w:cs="Arial"/>
        </w:rPr>
        <w:t>- internally developed assets; and</w:t>
      </w:r>
      <w:r>
        <w:rPr>
          <w:rFonts w:cs="Arial"/>
        </w:rPr>
        <w:tab/>
      </w:r>
      <w:r>
        <w:rPr>
          <w:rFonts w:cs="Arial"/>
        </w:rPr>
        <w:tab/>
      </w:r>
      <w:r>
        <w:rPr>
          <w:rFonts w:cs="Arial"/>
        </w:rPr>
        <w:tab/>
      </w:r>
      <w:r>
        <w:rPr>
          <w:rFonts w:cs="Arial"/>
        </w:rPr>
        <w:tab/>
      </w:r>
      <w:r>
        <w:rPr>
          <w:rFonts w:cs="Arial"/>
        </w:rPr>
        <w:tab/>
      </w:r>
    </w:p>
    <w:p w14:paraId="7743671A" w14:textId="22168051" w:rsidR="00E13D3D" w:rsidRDefault="00E13D3D" w:rsidP="00E13D3D">
      <w:pPr>
        <w:pStyle w:val="ChartandTableFootnote"/>
        <w:ind w:left="284" w:hanging="284"/>
        <w:rPr>
          <w:rFonts w:cs="Arial"/>
        </w:rPr>
      </w:pPr>
      <w:r>
        <w:rPr>
          <w:rFonts w:cs="Arial"/>
          <w:szCs w:val="16"/>
        </w:rPr>
        <w:tab/>
      </w:r>
      <w:r>
        <w:rPr>
          <w:rFonts w:cs="Arial"/>
        </w:rPr>
        <w:t>- s74 external receipts - proceeds from the sale of goods and rendering of services.</w:t>
      </w:r>
    </w:p>
    <w:p w14:paraId="6FD74A47" w14:textId="76DA35D7" w:rsidR="00E13D3D" w:rsidRDefault="00E13D3D" w:rsidP="00E13D3D">
      <w:pPr>
        <w:pStyle w:val="ChartandTableFootnote"/>
        <w:ind w:left="284" w:hanging="284"/>
        <w:rPr>
          <w:rFonts w:cs="Arial"/>
        </w:rPr>
      </w:pPr>
      <w:r>
        <w:rPr>
          <w:rFonts w:cs="Arial"/>
          <w:szCs w:val="16"/>
        </w:rPr>
        <w:tab/>
      </w:r>
    </w:p>
    <w:p w14:paraId="31496D1F" w14:textId="23B57B31" w:rsidR="00E13D3D" w:rsidRDefault="00E13D3D" w:rsidP="00E13D3D">
      <w:pPr>
        <w:spacing w:after="0" w:line="240" w:lineRule="auto"/>
        <w:jc w:val="left"/>
        <w:rPr>
          <w:rFonts w:ascii="Arial" w:hAnsi="Arial" w:cs="Arial"/>
          <w:b/>
          <w:color w:val="000000"/>
          <w:lang w:eastAsia="x-none"/>
        </w:rPr>
      </w:pPr>
      <w:r>
        <w:rPr>
          <w:rFonts w:ascii="Arial" w:hAnsi="Arial" w:cs="Arial"/>
        </w:rPr>
        <w:br w:type="page"/>
      </w:r>
    </w:p>
    <w:p w14:paraId="68EC0451" w14:textId="3A58AD66" w:rsidR="00E13D3D" w:rsidRDefault="00E13D3D" w:rsidP="00E13D3D">
      <w:pPr>
        <w:pStyle w:val="TableHeading"/>
        <w:rPr>
          <w:rFonts w:cs="Arial"/>
          <w:lang w:val="en-AU"/>
        </w:rPr>
      </w:pPr>
      <w:r>
        <w:rPr>
          <w:rFonts w:cs="Arial"/>
          <w:lang w:val="en-AU"/>
        </w:rPr>
        <w:lastRenderedPageBreak/>
        <w:t>Table 3.6: Statement of departmental asset movements (Budget year 2022–23)</w:t>
      </w:r>
    </w:p>
    <w:p w14:paraId="6AF4B9CB" w14:textId="69C5F8C4" w:rsidR="00E13D3D" w:rsidRDefault="002F652B" w:rsidP="00E13D3D">
      <w:pPr>
        <w:pStyle w:val="ChartandTableFootnote"/>
        <w:rPr>
          <w:rFonts w:cs="Arial"/>
        </w:rPr>
      </w:pPr>
      <w:r w:rsidRPr="002F652B">
        <w:rPr>
          <w:rFonts w:cs="Arial"/>
          <w:noProof/>
        </w:rPr>
        <w:drawing>
          <wp:inline distT="0" distB="0" distL="0" distR="0" wp14:anchorId="7B62D748" wp14:editId="70DD02EC">
            <wp:extent cx="4648200" cy="41814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8200" cy="4181475"/>
                    </a:xfrm>
                    <a:prstGeom prst="rect">
                      <a:avLst/>
                    </a:prstGeom>
                    <a:noFill/>
                    <a:ln>
                      <a:noFill/>
                    </a:ln>
                  </pic:spPr>
                </pic:pic>
              </a:graphicData>
            </a:graphic>
          </wp:inline>
        </w:drawing>
      </w:r>
      <w:r w:rsidR="00E13D3D">
        <w:rPr>
          <w:rFonts w:cs="Arial"/>
        </w:rPr>
        <w:t>Prepared on Australian Accounting Standards basis.</w:t>
      </w:r>
    </w:p>
    <w:p w14:paraId="4988A080" w14:textId="78352D3A" w:rsidR="00E13D3D" w:rsidRDefault="00E13D3D" w:rsidP="00EF4228">
      <w:pPr>
        <w:pStyle w:val="ChartandTableFootnote"/>
        <w:numPr>
          <w:ilvl w:val="0"/>
          <w:numId w:val="18"/>
        </w:numPr>
        <w:spacing w:after="240"/>
        <w:ind w:left="284" w:hanging="284"/>
        <w:contextualSpacing/>
        <w:rPr>
          <w:rFonts w:cs="Arial"/>
        </w:rPr>
      </w:pPr>
      <w:r>
        <w:rPr>
          <w:rFonts w:cs="Arial"/>
        </w:rPr>
        <w:t>'Appropriation ordinary annual services' refers to funding provided through 20</w:t>
      </w:r>
      <w:r w:rsidR="001A5C33">
        <w:rPr>
          <w:rFonts w:cs="Arial"/>
        </w:rPr>
        <w:t>22–23</w:t>
      </w:r>
      <w:r>
        <w:rPr>
          <w:rFonts w:cs="Arial"/>
        </w:rPr>
        <w:t xml:space="preserve"> Appropriation Bill (No.1) for depreciation/amortisation expenses, DCBs or other operational expenses.</w:t>
      </w:r>
    </w:p>
    <w:p w14:paraId="19821CCE" w14:textId="3EF52154" w:rsidR="00E13D3D" w:rsidRDefault="00E13D3D" w:rsidP="00E13D3D">
      <w:pPr>
        <w:pStyle w:val="ChartandTableFootnote"/>
        <w:ind w:left="284"/>
        <w:rPr>
          <w:rFonts w:cs="Arial"/>
          <w:szCs w:val="16"/>
        </w:rPr>
      </w:pPr>
      <w:r>
        <w:rPr>
          <w:rFonts w:cs="Arial"/>
        </w:rPr>
        <w:br w:type="page"/>
      </w:r>
    </w:p>
    <w:p w14:paraId="2F97B732" w14:textId="2A1906D8" w:rsidR="00E13D3D" w:rsidRDefault="00E13D3D" w:rsidP="00E13D3D">
      <w:pPr>
        <w:pStyle w:val="TableHeading"/>
        <w:rPr>
          <w:rFonts w:cs="Arial"/>
        </w:rPr>
      </w:pPr>
      <w:r>
        <w:rPr>
          <w:rFonts w:cs="Arial"/>
        </w:rPr>
        <w:lastRenderedPageBreak/>
        <w:t xml:space="preserve">Table 3.7: Schedule of budgeted income and expenses administered on behalf of Government (for the period ended 30 June) </w:t>
      </w:r>
    </w:p>
    <w:p w14:paraId="6096E964" w14:textId="2AE13052" w:rsidR="00E13D3D" w:rsidRDefault="00602E68" w:rsidP="00E13D3D">
      <w:pPr>
        <w:pStyle w:val="Source"/>
        <w:rPr>
          <w:rFonts w:cs="Arial"/>
        </w:rPr>
      </w:pPr>
      <w:r w:rsidRPr="00602E68">
        <w:rPr>
          <w:rFonts w:cs="Arial"/>
          <w:noProof/>
        </w:rPr>
        <w:drawing>
          <wp:inline distT="0" distB="0" distL="0" distR="0" wp14:anchorId="40FE46BB" wp14:editId="5BCDF2C2">
            <wp:extent cx="4895850" cy="338074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3380740"/>
                    </a:xfrm>
                    <a:prstGeom prst="rect">
                      <a:avLst/>
                    </a:prstGeom>
                    <a:noFill/>
                    <a:ln>
                      <a:noFill/>
                    </a:ln>
                  </pic:spPr>
                </pic:pic>
              </a:graphicData>
            </a:graphic>
          </wp:inline>
        </w:drawing>
      </w:r>
      <w:r w:rsidR="00E13D3D">
        <w:rPr>
          <w:rFonts w:cs="Arial"/>
        </w:rPr>
        <w:t>Prepared on Australian Accounting Standards basis.</w:t>
      </w:r>
    </w:p>
    <w:p w14:paraId="18849D7D" w14:textId="217DC318" w:rsidR="00E13D3D" w:rsidRDefault="00E13D3D" w:rsidP="00E13D3D">
      <w:pPr>
        <w:spacing w:after="0" w:line="240" w:lineRule="auto"/>
        <w:jc w:val="left"/>
        <w:rPr>
          <w:rFonts w:ascii="Arial" w:hAnsi="Arial" w:cs="Arial"/>
          <w:b/>
          <w:color w:val="000000"/>
          <w:lang w:eastAsia="x-none"/>
        </w:rPr>
      </w:pPr>
      <w:r>
        <w:rPr>
          <w:rFonts w:ascii="Arial" w:hAnsi="Arial" w:cs="Arial"/>
        </w:rPr>
        <w:br w:type="page"/>
      </w:r>
    </w:p>
    <w:p w14:paraId="329A8573" w14:textId="5DFB8C4D" w:rsidR="00E13D3D" w:rsidRDefault="00E13D3D" w:rsidP="00E13D3D">
      <w:pPr>
        <w:pStyle w:val="TableHeading"/>
        <w:rPr>
          <w:rFonts w:cs="Arial"/>
        </w:rPr>
      </w:pPr>
      <w:r>
        <w:rPr>
          <w:rFonts w:cs="Arial"/>
        </w:rPr>
        <w:lastRenderedPageBreak/>
        <w:t>Table 3.8: Schedule of budgeted assets and liabilities administered on behalf of Government (as at 30 June)</w:t>
      </w:r>
    </w:p>
    <w:p w14:paraId="1A231C85" w14:textId="4CC76CA8" w:rsidR="00E13D3D" w:rsidRDefault="006E16ED" w:rsidP="00E13D3D">
      <w:pPr>
        <w:pStyle w:val="Source"/>
        <w:rPr>
          <w:rFonts w:cs="Arial"/>
        </w:rPr>
      </w:pPr>
      <w:r w:rsidRPr="006E16ED">
        <w:rPr>
          <w:rFonts w:cs="Arial"/>
          <w:noProof/>
        </w:rPr>
        <w:drawing>
          <wp:inline distT="0" distB="0" distL="0" distR="0" wp14:anchorId="789078E4" wp14:editId="7FD321E0">
            <wp:extent cx="4895850" cy="284543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2845435"/>
                    </a:xfrm>
                    <a:prstGeom prst="rect">
                      <a:avLst/>
                    </a:prstGeom>
                    <a:noFill/>
                    <a:ln>
                      <a:noFill/>
                    </a:ln>
                  </pic:spPr>
                </pic:pic>
              </a:graphicData>
            </a:graphic>
          </wp:inline>
        </w:drawing>
      </w:r>
      <w:r w:rsidR="00E13D3D">
        <w:rPr>
          <w:rFonts w:cs="Arial"/>
        </w:rPr>
        <w:t>Prepared on Australian Accounting Standards basis.</w:t>
      </w:r>
    </w:p>
    <w:p w14:paraId="5009CB78" w14:textId="434F3325" w:rsidR="00E13D3D" w:rsidRDefault="00E13D3D" w:rsidP="00E13D3D">
      <w:pPr>
        <w:pStyle w:val="TableGraphic"/>
        <w:rPr>
          <w:rFonts w:ascii="Arial" w:hAnsi="Arial" w:cs="Arial"/>
          <w:lang w:val="x-none" w:eastAsia="x-none"/>
        </w:rPr>
      </w:pPr>
    </w:p>
    <w:p w14:paraId="22CF9A6E" w14:textId="09302820" w:rsidR="00E13D3D" w:rsidRDefault="00E13D3D" w:rsidP="00E13D3D">
      <w:pPr>
        <w:spacing w:after="0" w:line="240" w:lineRule="auto"/>
        <w:jc w:val="left"/>
        <w:rPr>
          <w:rFonts w:ascii="Arial" w:hAnsi="Arial" w:cs="Arial"/>
          <w:b/>
          <w:color w:val="000000"/>
          <w:lang w:val="x-none" w:eastAsia="x-none"/>
        </w:rPr>
      </w:pPr>
      <w:r>
        <w:rPr>
          <w:rFonts w:ascii="Arial" w:hAnsi="Arial" w:cs="Arial"/>
        </w:rPr>
        <w:br w:type="page"/>
      </w:r>
    </w:p>
    <w:p w14:paraId="11642DA7" w14:textId="289F9F76" w:rsidR="00E13D3D" w:rsidRDefault="00E13D3D" w:rsidP="00E13D3D">
      <w:pPr>
        <w:pStyle w:val="TableHeading"/>
        <w:rPr>
          <w:rFonts w:cs="Arial"/>
        </w:rPr>
      </w:pPr>
      <w:r>
        <w:rPr>
          <w:rFonts w:cs="Arial"/>
        </w:rPr>
        <w:lastRenderedPageBreak/>
        <w:t>Table 3.9: Schedule of budgeted administered cash flows (for the period ended 30 June)</w:t>
      </w:r>
    </w:p>
    <w:p w14:paraId="35F7240D" w14:textId="0B13E21D" w:rsidR="00E13D3D" w:rsidRDefault="00C12761" w:rsidP="00E13D3D">
      <w:pPr>
        <w:pStyle w:val="Source"/>
        <w:rPr>
          <w:rFonts w:cs="Arial"/>
        </w:rPr>
      </w:pPr>
      <w:r w:rsidRPr="00C12761">
        <w:rPr>
          <w:rFonts w:cs="Arial"/>
          <w:noProof/>
        </w:rPr>
        <w:drawing>
          <wp:inline distT="0" distB="0" distL="0" distR="0" wp14:anchorId="48BFA6F7" wp14:editId="62161E7D">
            <wp:extent cx="4895850" cy="355663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3556635"/>
                    </a:xfrm>
                    <a:prstGeom prst="rect">
                      <a:avLst/>
                    </a:prstGeom>
                    <a:noFill/>
                    <a:ln>
                      <a:noFill/>
                    </a:ln>
                  </pic:spPr>
                </pic:pic>
              </a:graphicData>
            </a:graphic>
          </wp:inline>
        </w:drawing>
      </w:r>
      <w:r w:rsidR="00E13D3D">
        <w:rPr>
          <w:rFonts w:cs="Arial"/>
        </w:rPr>
        <w:t>Prepared on Australian Accounting Standards basis.</w:t>
      </w:r>
    </w:p>
    <w:p w14:paraId="652EDE03" w14:textId="1085F518" w:rsidR="00E13D3D" w:rsidRDefault="00E13D3D" w:rsidP="00E13D3D">
      <w:pPr>
        <w:spacing w:after="0" w:line="240" w:lineRule="auto"/>
        <w:jc w:val="left"/>
        <w:rPr>
          <w:rFonts w:ascii="Arial" w:hAnsi="Arial" w:cs="Arial"/>
          <w:b/>
          <w:color w:val="000000"/>
          <w:lang w:eastAsia="x-none"/>
        </w:rPr>
      </w:pPr>
    </w:p>
    <w:p w14:paraId="52080A61" w14:textId="7E185FB3" w:rsidR="00E13D3D" w:rsidRDefault="00E13D3D" w:rsidP="00E13D3D">
      <w:pPr>
        <w:pStyle w:val="TableHeadingNoTable"/>
        <w:rPr>
          <w:rFonts w:cs="Arial"/>
        </w:rPr>
      </w:pPr>
    </w:p>
    <w:p w14:paraId="19831DA8" w14:textId="40253E33" w:rsidR="00E13D3D" w:rsidRDefault="00E13D3D" w:rsidP="00E13D3D">
      <w:pPr>
        <w:pStyle w:val="TableHeadingNoTable"/>
        <w:rPr>
          <w:rFonts w:cs="Arial"/>
        </w:rPr>
      </w:pPr>
      <w:r>
        <w:rPr>
          <w:rFonts w:cs="Arial"/>
        </w:rPr>
        <w:t>Table 3.10: Administered capital budget statement (for the period ended 30 June)</w:t>
      </w:r>
    </w:p>
    <w:p w14:paraId="56157784" w14:textId="7A7F0276" w:rsidR="00E13D3D" w:rsidRDefault="00E13D3D" w:rsidP="00E13D3D">
      <w:pPr>
        <w:spacing w:line="240" w:lineRule="auto"/>
        <w:rPr>
          <w:rFonts w:cs="Arial"/>
        </w:rPr>
      </w:pPr>
      <w:r>
        <w:rPr>
          <w:rFonts w:cs="Arial"/>
        </w:rPr>
        <w:t>ARC has no administered capital budget therefore Table 3.10 is not presented.</w:t>
      </w:r>
    </w:p>
    <w:p w14:paraId="1096F9B8" w14:textId="758E4F84" w:rsidR="00E13D3D" w:rsidRDefault="00E13D3D" w:rsidP="00E13D3D">
      <w:pPr>
        <w:pStyle w:val="TableHeadingNoTable"/>
        <w:rPr>
          <w:rFonts w:cs="Arial"/>
        </w:rPr>
      </w:pPr>
    </w:p>
    <w:p w14:paraId="0AF6B780" w14:textId="6BF1F8DA" w:rsidR="00E13D3D" w:rsidRDefault="00E13D3D" w:rsidP="00E13D3D">
      <w:pPr>
        <w:pStyle w:val="TableHeadingNoTable"/>
        <w:rPr>
          <w:rFonts w:cs="Arial"/>
        </w:rPr>
      </w:pPr>
      <w:r>
        <w:rPr>
          <w:rFonts w:cs="Arial"/>
        </w:rPr>
        <w:t>Table 3.11: Statement of administered asset movements (Budget year 202</w:t>
      </w:r>
      <w:r w:rsidR="00E570E3">
        <w:rPr>
          <w:rFonts w:cs="Arial"/>
          <w:lang w:val="en-AU"/>
        </w:rPr>
        <w:t>2</w:t>
      </w:r>
      <w:r>
        <w:rPr>
          <w:rFonts w:cs="Arial"/>
        </w:rPr>
        <w:t>–2</w:t>
      </w:r>
      <w:r w:rsidR="00E570E3">
        <w:rPr>
          <w:rFonts w:cs="Arial"/>
          <w:lang w:val="en-AU"/>
        </w:rPr>
        <w:t>3</w:t>
      </w:r>
      <w:r>
        <w:rPr>
          <w:rFonts w:cs="Arial"/>
        </w:rPr>
        <w:t>)</w:t>
      </w:r>
    </w:p>
    <w:p w14:paraId="73ADC605" w14:textId="4D4756C2" w:rsidR="006742B7" w:rsidRPr="006742B7" w:rsidRDefault="00E13D3D" w:rsidP="004D64CD">
      <w:pPr>
        <w:spacing w:line="240" w:lineRule="auto"/>
      </w:pPr>
      <w:r>
        <w:rPr>
          <w:rFonts w:cs="Arial"/>
        </w:rPr>
        <w:t>ARC has no administered assets therefore Table 3.11 is not present</w:t>
      </w:r>
      <w:bookmarkEnd w:id="1"/>
      <w:bookmarkEnd w:id="2"/>
      <w:bookmarkEnd w:id="3"/>
    </w:p>
    <w:sectPr w:rsidR="006742B7" w:rsidRPr="006742B7" w:rsidSect="00503FD8">
      <w:headerReference w:type="even" r:id="rId34"/>
      <w:headerReference w:type="default" r:id="rId35"/>
      <w:footerReference w:type="even" r:id="rId36"/>
      <w:footerReference w:type="default" r:id="rId37"/>
      <w:headerReference w:type="first" r:id="rId38"/>
      <w:footerReference w:type="first" r:id="rId3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838C" w14:textId="77777777" w:rsidR="007A6834" w:rsidRDefault="007A6834" w:rsidP="00C07DEC">
      <w:r>
        <w:separator/>
      </w:r>
    </w:p>
  </w:endnote>
  <w:endnote w:type="continuationSeparator" w:id="0">
    <w:p w14:paraId="1F1760BB" w14:textId="77777777" w:rsidR="007A6834" w:rsidRDefault="007A6834" w:rsidP="00C07DEC">
      <w:r>
        <w:continuationSeparator/>
      </w:r>
    </w:p>
  </w:endnote>
  <w:endnote w:type="continuationNotice" w:id="1">
    <w:p w14:paraId="530A9B1D" w14:textId="77777777" w:rsidR="007A6834" w:rsidRDefault="007A6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3E9" w14:textId="5B973D5D" w:rsidR="00B032F3" w:rsidRPr="00D44C09" w:rsidRDefault="00B032F3" w:rsidP="00D4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E935" w14:textId="474E7F63" w:rsidR="00B032F3" w:rsidRPr="00016B0E" w:rsidRDefault="00B032F3" w:rsidP="00CF5D8B">
    <w:pPr>
      <w:pStyle w:val="FooterEven"/>
      <w:jc w:val="right"/>
    </w:pPr>
    <w:r>
      <w:t xml:space="preserve">Australian Research Council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141</w:t>
    </w:r>
    <w:r w:rsidRPr="003F0C8B">
      <w:rPr>
        <w:rStyle w:val="PageNumber"/>
        <w:rFonts w:cs="Times New Roman"/>
        <w:b/>
        <w:bCs w:val="0"/>
        <w:sz w:val="18"/>
      </w:rPr>
      <w:fldChar w:fldCharType="end"/>
    </w:r>
    <w:r>
      <w:rPr>
        <w:rStyle w:val="PageNumber"/>
        <w:rFonts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0B1E" w14:textId="30C16B90" w:rsidR="00B032F3" w:rsidRPr="00332B20" w:rsidRDefault="00B032F3" w:rsidP="0097560A">
    <w:pPr>
      <w:pStyle w:val="FooterEven"/>
      <w:jc w:val="right"/>
    </w:pPr>
    <w:r>
      <w:t>Australian Research Council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249F" w14:textId="4FFEA3BC" w:rsidR="00B032F3" w:rsidRPr="00016B0E" w:rsidRDefault="00B032F3" w:rsidP="00A874AD">
    <w:pPr>
      <w:pStyle w:val="FooterEven"/>
      <w:jc w:val="right"/>
    </w:pPr>
    <w:r>
      <w:t xml:space="preserve">Australian Research Council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139</w:t>
    </w:r>
    <w:r w:rsidRPr="003F0C8B">
      <w:rPr>
        <w:rStyle w:val="PageNumber"/>
        <w:rFonts w:cs="Times New Roman"/>
        <w:b/>
        <w:bCs w:val="0"/>
        <w:sz w:val="18"/>
      </w:rPr>
      <w:fldChar w:fldCharType="end"/>
    </w:r>
    <w:r>
      <w:rPr>
        <w:rStyle w:val="PageNumber"/>
        <w:rFonts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23DA" w14:textId="6734D908" w:rsidR="00B032F3" w:rsidRPr="00285279" w:rsidRDefault="00B032F3" w:rsidP="002A177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92</w:t>
    </w:r>
    <w:r w:rsidRPr="003F0C8B">
      <w:rPr>
        <w:rStyle w:val="PageNumber"/>
        <w:rFonts w:cs="Times New Roman"/>
        <w:b/>
        <w:bCs w:val="0"/>
        <w:sz w:val="18"/>
      </w:rPr>
      <w:fldChar w:fldCharType="end"/>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t>Australian Research Council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D72" w14:textId="663C69B2" w:rsidR="00B032F3" w:rsidRPr="00332B20" w:rsidRDefault="00B032F3" w:rsidP="0097560A">
    <w:pPr>
      <w:pStyle w:val="FooterEven"/>
      <w:jc w:val="right"/>
    </w:pPr>
    <w:r>
      <w:t xml:space="preserve">Australian Research Council </w:t>
    </w:r>
    <w:r w:rsidRPr="003F0C8B">
      <w:rPr>
        <w:rStyle w:val="PageNumber"/>
        <w:rFonts w:cs="Times New Roman"/>
        <w:sz w:val="18"/>
      </w:rPr>
      <w:t>|</w:t>
    </w:r>
    <w:r w:rsidRPr="00D44C09">
      <w:rPr>
        <w:rStyle w:val="PageNumber"/>
        <w:rFonts w:cs="Times New Roman"/>
        <w:b/>
        <w:bCs w:val="0"/>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142</w:t>
    </w:r>
    <w:r w:rsidRPr="003F0C8B">
      <w:rPr>
        <w:rStyle w:val="PageNumber"/>
        <w:rFonts w:cs="Times New Roman"/>
        <w:b/>
        <w:bCs w:val="0"/>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03A9" w14:textId="7711326B" w:rsidR="00B032F3" w:rsidRDefault="00B032F3" w:rsidP="00016B0E">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142</w:t>
    </w:r>
    <w:r w:rsidRPr="003F0C8B">
      <w:rPr>
        <w:rStyle w:val="PageNumber"/>
        <w:rFonts w:cs="Times New Roman"/>
        <w:b/>
        <w:bCs w:val="0"/>
        <w:sz w:val="18"/>
      </w:rPr>
      <w:fldChar w:fldCharType="end"/>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t>Portfolio glossary and acronyms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B57B" w14:textId="375BFCFE" w:rsidR="00B032F3" w:rsidRPr="00A56615" w:rsidRDefault="00B032F3" w:rsidP="0032788B">
    <w:pPr>
      <w:pStyle w:val="FooterOdd"/>
      <w:tabs>
        <w:tab w:val="left" w:pos="4710"/>
      </w:tabs>
      <w:rPr>
        <w:lang w:val="en-AU"/>
      </w:rPr>
    </w:pPr>
    <w:r>
      <w:rPr>
        <w:rStyle w:val="PageNumber"/>
        <w:rFonts w:cs="Times New Roman"/>
        <w:noProof/>
        <w:sz w:val="18"/>
      </w:rPr>
      <w:tab/>
    </w:r>
    <w:r>
      <w:rPr>
        <w:rStyle w:val="PageNumber"/>
        <w:rFonts w:cs="Times New Roman"/>
        <w:sz w:val="18"/>
        <w:lang w:val="en-AU"/>
      </w:rPr>
      <w:t xml:space="preserve">Portfolio glossary and acronyms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b/>
        <w:sz w:val="18"/>
      </w:rPr>
      <w:t>Page</w:t>
    </w:r>
    <w:r>
      <w:rPr>
        <w:rStyle w:val="PageNumber"/>
        <w:rFonts w:cs="Times New Roman"/>
        <w:b/>
        <w:sz w:val="18"/>
      </w:rPr>
      <w:t xml:space="preserve"> </w:t>
    </w:r>
    <w:r w:rsidRPr="003F0C8B">
      <w:rPr>
        <w:rStyle w:val="PageNumber"/>
        <w:rFonts w:cs="Times New Roman"/>
        <w:b/>
        <w:bCs/>
        <w:sz w:val="18"/>
      </w:rPr>
      <w:fldChar w:fldCharType="begin"/>
    </w:r>
    <w:r w:rsidRPr="003F0C8B">
      <w:rPr>
        <w:rStyle w:val="PageNumber"/>
        <w:rFonts w:cs="Times New Roman"/>
        <w:b/>
        <w:sz w:val="18"/>
      </w:rPr>
      <w:instrText xml:space="preserve"> PAGE </w:instrText>
    </w:r>
    <w:r w:rsidRPr="003F0C8B">
      <w:rPr>
        <w:rStyle w:val="PageNumber"/>
        <w:rFonts w:cs="Times New Roman"/>
        <w:b/>
        <w:bCs/>
        <w:sz w:val="18"/>
      </w:rPr>
      <w:fldChar w:fldCharType="separate"/>
    </w:r>
    <w:r>
      <w:rPr>
        <w:rStyle w:val="PageNumber"/>
        <w:rFonts w:cs="Times New Roman"/>
        <w:b/>
        <w:bCs/>
        <w:sz w:val="18"/>
      </w:rPr>
      <w:t>213</w:t>
    </w:r>
    <w:r w:rsidRPr="003F0C8B">
      <w:rPr>
        <w:rStyle w:val="PageNumber"/>
        <w:rFonts w:cs="Times New Roman"/>
        <w:b/>
        <w:bCs/>
        <w:sz w:val="18"/>
      </w:rPr>
      <w:fldChar w:fldCharType="end"/>
    </w:r>
    <w:r>
      <w:rPr>
        <w:rStyle w:val="PageNumber"/>
        <w:rFonts w:cs="Times New Roman"/>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EBD6" w14:textId="030AA5D3" w:rsidR="00B032F3" w:rsidRPr="00B628E8" w:rsidRDefault="00B032F3" w:rsidP="00B628E8">
    <w:pPr>
      <w:pStyle w:val="FooterOdd"/>
      <w:rPr>
        <w:b/>
        <w:bCs/>
      </w:rPr>
    </w:pPr>
    <w:r>
      <w:rPr>
        <w:rStyle w:val="PageNumber"/>
        <w:rFonts w:cs="Times New Roman"/>
        <w:sz w:val="18"/>
        <w:lang w:val="en-AU"/>
      </w:rPr>
      <w:t xml:space="preserve">Portfolio glossary and acronyms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b/>
        <w:bCs/>
        <w:sz w:val="18"/>
      </w:rPr>
      <w:t xml:space="preserve">Page </w:t>
    </w:r>
    <w:r w:rsidRPr="00F863AD">
      <w:rPr>
        <w:rStyle w:val="PageNumber"/>
        <w:rFonts w:cs="Times New Roman"/>
        <w:b/>
        <w:bCs/>
        <w:sz w:val="18"/>
      </w:rPr>
      <w:fldChar w:fldCharType="begin"/>
    </w:r>
    <w:r w:rsidRPr="00F863AD">
      <w:rPr>
        <w:rStyle w:val="PageNumber"/>
        <w:rFonts w:cs="Times New Roman"/>
        <w:b/>
        <w:bCs/>
        <w:sz w:val="18"/>
      </w:rPr>
      <w:instrText xml:space="preserve"> PAGE   \* MERGEFORMAT </w:instrText>
    </w:r>
    <w:r w:rsidRPr="00F863AD">
      <w:rPr>
        <w:rStyle w:val="PageNumber"/>
        <w:rFonts w:cs="Times New Roman"/>
        <w:b/>
        <w:bCs/>
        <w:sz w:val="18"/>
      </w:rPr>
      <w:fldChar w:fldCharType="separate"/>
    </w:r>
    <w:r w:rsidRPr="00F863AD">
      <w:rPr>
        <w:rStyle w:val="PageNumber"/>
        <w:rFonts w:cs="Times New Roman"/>
        <w:b/>
        <w:bCs/>
        <w:noProof/>
        <w:sz w:val="18"/>
      </w:rPr>
      <w:t>1</w:t>
    </w:r>
    <w:r w:rsidRPr="00F863AD">
      <w:rPr>
        <w:rStyle w:val="PageNumber"/>
        <w:rFonts w:cs="Times New Roman"/>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D6F9" w14:textId="77777777" w:rsidR="007A6834" w:rsidRDefault="007A6834" w:rsidP="00C07DEC">
      <w:bookmarkStart w:id="0" w:name="_Hlk99048514"/>
      <w:bookmarkEnd w:id="0"/>
      <w:r>
        <w:separator/>
      </w:r>
    </w:p>
  </w:footnote>
  <w:footnote w:type="continuationSeparator" w:id="0">
    <w:p w14:paraId="563A562C" w14:textId="77777777" w:rsidR="007A6834" w:rsidRDefault="007A6834" w:rsidP="00C07DEC">
      <w:r>
        <w:continuationSeparator/>
      </w:r>
    </w:p>
  </w:footnote>
  <w:footnote w:type="continuationNotice" w:id="1">
    <w:p w14:paraId="443C9897" w14:textId="77777777" w:rsidR="007A6834" w:rsidRDefault="007A6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032F3" w14:paraId="33F26DD8" w14:textId="77777777" w:rsidTr="00B032F3">
      <w:trPr>
        <w:trHeight w:hRule="exact" w:val="340"/>
      </w:trPr>
      <w:tc>
        <w:tcPr>
          <w:tcW w:w="7797" w:type="dxa"/>
        </w:tcPr>
        <w:p w14:paraId="087963B3" w14:textId="77777777" w:rsidR="00B032F3" w:rsidRDefault="00B032F3" w:rsidP="00D44C09">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766CCA90" wp14:editId="46A3E103">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F197591" w14:textId="77777777" w:rsidR="00B032F3" w:rsidRPr="001E698B" w:rsidRDefault="00B032F3" w:rsidP="00D44C09">
    <w:pPr>
      <w:pStyle w:val="HeaderEven"/>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CF29" w14:textId="5EB5BD56" w:rsidR="00B032F3" w:rsidRDefault="00B032F3" w:rsidP="00361259">
    <w:pPr>
      <w:pStyle w:val="HeaderEven"/>
    </w:pPr>
    <w:r w:rsidRPr="000635BE">
      <w:rPr>
        <w:rFonts w:ascii="Arial Bold" w:hAnsi="Arial Bold"/>
        <w:b/>
        <w:bCs/>
        <w:noProof/>
        <w:position w:val="-10"/>
      </w:rPr>
      <w:drawing>
        <wp:inline distT="0" distB="0" distL="0" distR="0" wp14:anchorId="0DD5C2C7" wp14:editId="5C9DF4E7">
          <wp:extent cx="989308" cy="170121"/>
          <wp:effectExtent l="0" t="0" r="1905" b="190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04AD" w14:textId="77777777" w:rsidR="00B032F3" w:rsidRDefault="00B032F3" w:rsidP="0089709F">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591B2A34" wp14:editId="022EE011">
          <wp:extent cx="989308" cy="170121"/>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EE59" w14:textId="77777777" w:rsidR="00B032F3" w:rsidRDefault="00B032F3" w:rsidP="00D224FD">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1188B742" wp14:editId="44EB1A2C">
          <wp:extent cx="989308" cy="170121"/>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12A2F759" w14:textId="043069E9" w:rsidR="00B032F3" w:rsidRPr="00D224FD" w:rsidRDefault="00B032F3" w:rsidP="00D2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E5"/>
    <w:multiLevelType w:val="hybridMultilevel"/>
    <w:tmpl w:val="0BA6307A"/>
    <w:lvl w:ilvl="0" w:tplc="4DF89BE4">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C2769"/>
    <w:multiLevelType w:val="hybridMultilevel"/>
    <w:tmpl w:val="28E4FB10"/>
    <w:lvl w:ilvl="0" w:tplc="B444151A">
      <w:start w:val="1"/>
      <w:numFmt w:val="bullet"/>
      <w:lvlText w:val=""/>
      <w:lvlJc w:val="left"/>
      <w:pPr>
        <w:ind w:left="2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6A0B"/>
    <w:multiLevelType w:val="hybridMultilevel"/>
    <w:tmpl w:val="0790A338"/>
    <w:lvl w:ilvl="0" w:tplc="2C96F952">
      <w:start w:val="1"/>
      <w:numFmt w:val="bullet"/>
      <w:pStyle w:val="PBSLinkedProgbullet"/>
      <w:lvlText w:val=""/>
      <w:lvlJc w:val="left"/>
      <w:pPr>
        <w:ind w:left="360" w:hanging="360"/>
      </w:pPr>
      <w:rPr>
        <w:rFonts w:ascii="Symbol" w:hAnsi="Symbol" w:cs="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52BCA"/>
    <w:multiLevelType w:val="hybridMultilevel"/>
    <w:tmpl w:val="39D62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CDE1B19"/>
    <w:multiLevelType w:val="hybridMultilevel"/>
    <w:tmpl w:val="A2FE70CA"/>
    <w:lvl w:ilvl="0" w:tplc="2C8C53C0">
      <w:start w:val="1"/>
      <w:numFmt w:val="lowerLetter"/>
      <w:lvlText w:val="(%1)"/>
      <w:lvlJc w:val="left"/>
      <w:pPr>
        <w:ind w:left="720" w:hanging="360"/>
      </w:pPr>
      <w:rPr>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73579"/>
    <w:multiLevelType w:val="hybridMultilevel"/>
    <w:tmpl w:val="62B05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0E5A49"/>
    <w:multiLevelType w:val="hybridMultilevel"/>
    <w:tmpl w:val="F520774A"/>
    <w:lvl w:ilvl="0" w:tplc="0C090001">
      <w:start w:val="1"/>
      <w:numFmt w:val="bullet"/>
      <w:lvlText w:val=""/>
      <w:lvlJc w:val="left"/>
      <w:pPr>
        <w:ind w:left="345" w:hanging="360"/>
      </w:pPr>
      <w:rPr>
        <w:rFonts w:ascii="Symbol" w:hAnsi="Symbol" w:hint="default"/>
      </w:rPr>
    </w:lvl>
    <w:lvl w:ilvl="1" w:tplc="0C090003">
      <w:start w:val="1"/>
      <w:numFmt w:val="bullet"/>
      <w:lvlText w:val="o"/>
      <w:lvlJc w:val="left"/>
      <w:pPr>
        <w:ind w:left="1065" w:hanging="360"/>
      </w:pPr>
      <w:rPr>
        <w:rFonts w:ascii="Courier New" w:hAnsi="Courier New" w:cs="Courier New" w:hint="default"/>
      </w:rPr>
    </w:lvl>
    <w:lvl w:ilvl="2" w:tplc="0C090005">
      <w:start w:val="1"/>
      <w:numFmt w:val="bullet"/>
      <w:lvlText w:val=""/>
      <w:lvlJc w:val="left"/>
      <w:pPr>
        <w:ind w:left="1785" w:hanging="360"/>
      </w:pPr>
      <w:rPr>
        <w:rFonts w:ascii="Wingdings" w:hAnsi="Wingdings" w:hint="default"/>
      </w:rPr>
    </w:lvl>
    <w:lvl w:ilvl="3" w:tplc="0C090001">
      <w:start w:val="1"/>
      <w:numFmt w:val="bullet"/>
      <w:lvlText w:val=""/>
      <w:lvlJc w:val="left"/>
      <w:pPr>
        <w:ind w:left="2505" w:hanging="360"/>
      </w:pPr>
      <w:rPr>
        <w:rFonts w:ascii="Symbol" w:hAnsi="Symbol" w:hint="default"/>
      </w:rPr>
    </w:lvl>
    <w:lvl w:ilvl="4" w:tplc="0C090003">
      <w:start w:val="1"/>
      <w:numFmt w:val="bullet"/>
      <w:lvlText w:val="o"/>
      <w:lvlJc w:val="left"/>
      <w:pPr>
        <w:ind w:left="3225" w:hanging="360"/>
      </w:pPr>
      <w:rPr>
        <w:rFonts w:ascii="Courier New" w:hAnsi="Courier New" w:cs="Courier New" w:hint="default"/>
      </w:rPr>
    </w:lvl>
    <w:lvl w:ilvl="5" w:tplc="0C090005">
      <w:start w:val="1"/>
      <w:numFmt w:val="bullet"/>
      <w:lvlText w:val=""/>
      <w:lvlJc w:val="left"/>
      <w:pPr>
        <w:ind w:left="3945" w:hanging="360"/>
      </w:pPr>
      <w:rPr>
        <w:rFonts w:ascii="Wingdings" w:hAnsi="Wingdings" w:hint="default"/>
      </w:rPr>
    </w:lvl>
    <w:lvl w:ilvl="6" w:tplc="0C090001">
      <w:start w:val="1"/>
      <w:numFmt w:val="bullet"/>
      <w:lvlText w:val=""/>
      <w:lvlJc w:val="left"/>
      <w:pPr>
        <w:ind w:left="4665" w:hanging="360"/>
      </w:pPr>
      <w:rPr>
        <w:rFonts w:ascii="Symbol" w:hAnsi="Symbol" w:hint="default"/>
      </w:rPr>
    </w:lvl>
    <w:lvl w:ilvl="7" w:tplc="0C090003">
      <w:start w:val="1"/>
      <w:numFmt w:val="bullet"/>
      <w:lvlText w:val="o"/>
      <w:lvlJc w:val="left"/>
      <w:pPr>
        <w:ind w:left="5385" w:hanging="360"/>
      </w:pPr>
      <w:rPr>
        <w:rFonts w:ascii="Courier New" w:hAnsi="Courier New" w:cs="Courier New" w:hint="default"/>
      </w:rPr>
    </w:lvl>
    <w:lvl w:ilvl="8" w:tplc="0C090005">
      <w:start w:val="1"/>
      <w:numFmt w:val="bullet"/>
      <w:lvlText w:val=""/>
      <w:lvlJc w:val="left"/>
      <w:pPr>
        <w:ind w:left="6105" w:hanging="360"/>
      </w:pPr>
      <w:rPr>
        <w:rFonts w:ascii="Wingdings" w:hAnsi="Wingdings" w:hint="default"/>
      </w:rPr>
    </w:lvl>
  </w:abstractNum>
  <w:abstractNum w:abstractNumId="9" w15:restartNumberingAfterBreak="0">
    <w:nsid w:val="24242C9A"/>
    <w:multiLevelType w:val="hybridMultilevel"/>
    <w:tmpl w:val="7278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07242F"/>
    <w:multiLevelType w:val="hybridMultilevel"/>
    <w:tmpl w:val="72AA71CC"/>
    <w:lvl w:ilvl="0" w:tplc="9A3C82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CF97A92"/>
    <w:multiLevelType w:val="hybridMultilevel"/>
    <w:tmpl w:val="3C0016F8"/>
    <w:lvl w:ilvl="0" w:tplc="743EF9A6">
      <w:start w:val="1"/>
      <w:numFmt w:val="bullet"/>
      <w:pStyle w:val="PBS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cs="Times New Roman"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176184"/>
    <w:multiLevelType w:val="hybridMultilevel"/>
    <w:tmpl w:val="C3D8D8F0"/>
    <w:lvl w:ilvl="0" w:tplc="26F606DC">
      <w:start w:val="1"/>
      <w:numFmt w:val="bullet"/>
      <w:pStyle w:val="PBS16BulletLis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42333AF"/>
    <w:multiLevelType w:val="hybridMultilevel"/>
    <w:tmpl w:val="86D4F6B8"/>
    <w:lvl w:ilvl="0" w:tplc="88C091F8">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E62E7"/>
    <w:multiLevelType w:val="hybridMultilevel"/>
    <w:tmpl w:val="7388A984"/>
    <w:lvl w:ilvl="0" w:tplc="CD1426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1D5362"/>
    <w:multiLevelType w:val="hybridMultilevel"/>
    <w:tmpl w:val="4240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67E58B7"/>
    <w:multiLevelType w:val="hybridMultilevel"/>
    <w:tmpl w:val="C8CEFCA0"/>
    <w:lvl w:ilvl="0" w:tplc="1D8AB8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FFF0B65"/>
    <w:multiLevelType w:val="hybridMultilevel"/>
    <w:tmpl w:val="97C61174"/>
    <w:lvl w:ilvl="0" w:tplc="2C8C53C0">
      <w:start w:val="1"/>
      <w:numFmt w:val="lowerLetter"/>
      <w:lvlText w:val="(%1)"/>
      <w:lvlJc w:val="left"/>
      <w:pPr>
        <w:ind w:left="720" w:hanging="360"/>
      </w:pPr>
      <w:rPr>
        <w:b w:val="0"/>
        <w:i w:val="0"/>
        <w:color w:val="00000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6CAD7A4A"/>
    <w:multiLevelType w:val="hybridMultilevel"/>
    <w:tmpl w:val="1F9AD18A"/>
    <w:lvl w:ilvl="0" w:tplc="384C0464">
      <w:start w:val="1"/>
      <w:numFmt w:val="decimal"/>
      <w:pStyle w:val="PBSTableListNumber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F014B5C"/>
    <w:multiLevelType w:val="hybridMultilevel"/>
    <w:tmpl w:val="574E9E8E"/>
    <w:lvl w:ilvl="0" w:tplc="0C090001">
      <w:start w:val="1"/>
      <w:numFmt w:val="bullet"/>
      <w:lvlText w:val=""/>
      <w:lvlJc w:val="left"/>
      <w:pPr>
        <w:ind w:left="720" w:hanging="360"/>
      </w:pPr>
      <w:rPr>
        <w:rFonts w:ascii="Symbol" w:hAnsi="Symbol" w:hint="default"/>
      </w:rPr>
    </w:lvl>
    <w:lvl w:ilvl="1" w:tplc="2D3CAD68">
      <w:start w:val="1"/>
      <w:numFmt w:val="bullet"/>
      <w:pStyle w:val="PBS16BulletList4"/>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FB83F62"/>
    <w:multiLevelType w:val="hybridMultilevel"/>
    <w:tmpl w:val="79FE8E5E"/>
    <w:lvl w:ilvl="0" w:tplc="0C090001">
      <w:start w:val="1"/>
      <w:numFmt w:val="bullet"/>
      <w:lvlText w:val=""/>
      <w:lvlJc w:val="left"/>
      <w:pPr>
        <w:ind w:left="720" w:hanging="360"/>
      </w:pPr>
      <w:rPr>
        <w:rFonts w:ascii="Symbol" w:hAnsi="Symbol" w:hint="default"/>
      </w:rPr>
    </w:lvl>
    <w:lvl w:ilvl="1" w:tplc="4A728566">
      <w:start w:val="3"/>
      <w:numFmt w:val="bullet"/>
      <w:pStyle w:val="PBS16BulletList3"/>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49A7CED"/>
    <w:multiLevelType w:val="hybridMultilevel"/>
    <w:tmpl w:val="449CA62E"/>
    <w:lvl w:ilvl="0" w:tplc="BB1A4D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15:restartNumberingAfterBreak="0">
    <w:nsid w:val="7B793689"/>
    <w:multiLevelType w:val="hybridMultilevel"/>
    <w:tmpl w:val="CD363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F833D3"/>
    <w:multiLevelType w:val="hybridMultilevel"/>
    <w:tmpl w:val="D054BF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EF83C2F"/>
    <w:multiLevelType w:val="hybridMultilevel"/>
    <w:tmpl w:val="540E12AC"/>
    <w:lvl w:ilvl="0" w:tplc="81E0DF4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6619245">
    <w:abstractNumId w:val="18"/>
  </w:num>
  <w:num w:numId="2" w16cid:durableId="1764640020">
    <w:abstractNumId w:val="4"/>
  </w:num>
  <w:num w:numId="3" w16cid:durableId="1382554291">
    <w:abstractNumId w:val="27"/>
  </w:num>
  <w:num w:numId="4" w16cid:durableId="156308109">
    <w:abstractNumId w:val="33"/>
  </w:num>
  <w:num w:numId="5" w16cid:durableId="203256300">
    <w:abstractNumId w:val="12"/>
  </w:num>
  <w:num w:numId="6" w16cid:durableId="48965487">
    <w:abstractNumId w:val="24"/>
  </w:num>
  <w:num w:numId="7" w16cid:durableId="729693645">
    <w:abstractNumId w:val="11"/>
  </w:num>
  <w:num w:numId="8" w16cid:durableId="116342186">
    <w:abstractNumId w:val="7"/>
  </w:num>
  <w:num w:numId="9" w16cid:durableId="1408452293">
    <w:abstractNumId w:val="17"/>
  </w:num>
  <w:num w:numId="10" w16cid:durableId="24839767">
    <w:abstractNumId w:val="25"/>
  </w:num>
  <w:num w:numId="11" w16cid:durableId="1589148293">
    <w:abstractNumId w:val="30"/>
  </w:num>
  <w:num w:numId="12" w16cid:durableId="513543132">
    <w:abstractNumId w:val="15"/>
  </w:num>
  <w:num w:numId="13" w16cid:durableId="212428785">
    <w:abstractNumId w:val="14"/>
  </w:num>
  <w:num w:numId="14" w16cid:durableId="1234464606">
    <w:abstractNumId w:val="22"/>
  </w:num>
  <w:num w:numId="15" w16cid:durableId="2041124674">
    <w:abstractNumId w:val="31"/>
  </w:num>
  <w:num w:numId="16" w16cid:durableId="1725324316">
    <w:abstractNumId w:val="29"/>
  </w:num>
  <w:num w:numId="17" w16cid:durableId="1222519942">
    <w:abstractNumId w:val="28"/>
  </w:num>
  <w:num w:numId="18" w16cid:durableId="1676180758">
    <w:abstractNumId w:val="26"/>
  </w:num>
  <w:num w:numId="19" w16cid:durableId="2041469264">
    <w:abstractNumId w:val="20"/>
  </w:num>
  <w:num w:numId="20" w16cid:durableId="481586853">
    <w:abstractNumId w:val="19"/>
  </w:num>
  <w:num w:numId="21" w16cid:durableId="615408706">
    <w:abstractNumId w:val="1"/>
  </w:num>
  <w:num w:numId="22" w16cid:durableId="609974597">
    <w:abstractNumId w:val="23"/>
  </w:num>
  <w:num w:numId="23" w16cid:durableId="1302420467">
    <w:abstractNumId w:val="34"/>
  </w:num>
  <w:num w:numId="24" w16cid:durableId="821963331">
    <w:abstractNumId w:val="35"/>
  </w:num>
  <w:num w:numId="25" w16cid:durableId="631985244">
    <w:abstractNumId w:val="0"/>
  </w:num>
  <w:num w:numId="26" w16cid:durableId="1817792689">
    <w:abstractNumId w:val="10"/>
  </w:num>
  <w:num w:numId="27" w16cid:durableId="1078329380">
    <w:abstractNumId w:val="8"/>
  </w:num>
  <w:num w:numId="28" w16cid:durableId="979454660">
    <w:abstractNumId w:val="6"/>
  </w:num>
  <w:num w:numId="29" w16cid:durableId="644046882">
    <w:abstractNumId w:val="2"/>
  </w:num>
  <w:num w:numId="30" w16cid:durableId="1950426995">
    <w:abstractNumId w:val="13"/>
  </w:num>
  <w:num w:numId="31" w16cid:durableId="1471360657">
    <w:abstractNumId w:val="32"/>
  </w:num>
  <w:num w:numId="32" w16cid:durableId="604926650">
    <w:abstractNumId w:val="36"/>
  </w:num>
  <w:num w:numId="33" w16cid:durableId="2000183119">
    <w:abstractNumId w:val="21"/>
  </w:num>
  <w:num w:numId="34" w16cid:durableId="2026325213">
    <w:abstractNumId w:val="9"/>
  </w:num>
  <w:num w:numId="35" w16cid:durableId="148041964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4BC"/>
    <w:rsid w:val="00001DE6"/>
    <w:rsid w:val="0000358C"/>
    <w:rsid w:val="00003AC4"/>
    <w:rsid w:val="00003CA0"/>
    <w:rsid w:val="00003FFA"/>
    <w:rsid w:val="0000440C"/>
    <w:rsid w:val="00004D7C"/>
    <w:rsid w:val="00004FF6"/>
    <w:rsid w:val="0000541C"/>
    <w:rsid w:val="000056B8"/>
    <w:rsid w:val="00006AE4"/>
    <w:rsid w:val="00006B50"/>
    <w:rsid w:val="00006F9A"/>
    <w:rsid w:val="0000711B"/>
    <w:rsid w:val="000071EB"/>
    <w:rsid w:val="00007297"/>
    <w:rsid w:val="00007623"/>
    <w:rsid w:val="000077E7"/>
    <w:rsid w:val="000109FC"/>
    <w:rsid w:val="00011EE5"/>
    <w:rsid w:val="0001294C"/>
    <w:rsid w:val="00012A34"/>
    <w:rsid w:val="00012BB0"/>
    <w:rsid w:val="00013D25"/>
    <w:rsid w:val="0001438C"/>
    <w:rsid w:val="0001509D"/>
    <w:rsid w:val="0001615A"/>
    <w:rsid w:val="000162D1"/>
    <w:rsid w:val="00016B0E"/>
    <w:rsid w:val="00016C2F"/>
    <w:rsid w:val="00016D95"/>
    <w:rsid w:val="00017619"/>
    <w:rsid w:val="00017840"/>
    <w:rsid w:val="00020573"/>
    <w:rsid w:val="000216BF"/>
    <w:rsid w:val="00021DA6"/>
    <w:rsid w:val="00021F02"/>
    <w:rsid w:val="000220B0"/>
    <w:rsid w:val="000226A8"/>
    <w:rsid w:val="00022B7A"/>
    <w:rsid w:val="00023CED"/>
    <w:rsid w:val="00025CB2"/>
    <w:rsid w:val="00027A42"/>
    <w:rsid w:val="00027B64"/>
    <w:rsid w:val="000300D7"/>
    <w:rsid w:val="0003010C"/>
    <w:rsid w:val="000303DF"/>
    <w:rsid w:val="000304FC"/>
    <w:rsid w:val="00030BB5"/>
    <w:rsid w:val="00030FDA"/>
    <w:rsid w:val="0003304D"/>
    <w:rsid w:val="00033320"/>
    <w:rsid w:val="0003384E"/>
    <w:rsid w:val="00033F08"/>
    <w:rsid w:val="00034035"/>
    <w:rsid w:val="00034C41"/>
    <w:rsid w:val="0003503B"/>
    <w:rsid w:val="00036095"/>
    <w:rsid w:val="000364F3"/>
    <w:rsid w:val="000366AE"/>
    <w:rsid w:val="000369AC"/>
    <w:rsid w:val="0003724F"/>
    <w:rsid w:val="000372D7"/>
    <w:rsid w:val="000373DF"/>
    <w:rsid w:val="00037BA1"/>
    <w:rsid w:val="000413D4"/>
    <w:rsid w:val="00041458"/>
    <w:rsid w:val="0004212C"/>
    <w:rsid w:val="00042983"/>
    <w:rsid w:val="00042C1D"/>
    <w:rsid w:val="00042FDD"/>
    <w:rsid w:val="00044CF1"/>
    <w:rsid w:val="0004509D"/>
    <w:rsid w:val="00045667"/>
    <w:rsid w:val="000463AB"/>
    <w:rsid w:val="000476D8"/>
    <w:rsid w:val="00047B02"/>
    <w:rsid w:val="0005030D"/>
    <w:rsid w:val="00050A97"/>
    <w:rsid w:val="00050E27"/>
    <w:rsid w:val="00051E7B"/>
    <w:rsid w:val="0005247D"/>
    <w:rsid w:val="0005335C"/>
    <w:rsid w:val="00053AA7"/>
    <w:rsid w:val="00054173"/>
    <w:rsid w:val="00054A04"/>
    <w:rsid w:val="00054CC3"/>
    <w:rsid w:val="00055E23"/>
    <w:rsid w:val="0005600E"/>
    <w:rsid w:val="00056260"/>
    <w:rsid w:val="0005722F"/>
    <w:rsid w:val="00057686"/>
    <w:rsid w:val="000606CB"/>
    <w:rsid w:val="00060890"/>
    <w:rsid w:val="00061415"/>
    <w:rsid w:val="0006199A"/>
    <w:rsid w:val="00061FD8"/>
    <w:rsid w:val="0006295A"/>
    <w:rsid w:val="000630E0"/>
    <w:rsid w:val="000630E6"/>
    <w:rsid w:val="000632A4"/>
    <w:rsid w:val="000637F1"/>
    <w:rsid w:val="00063C44"/>
    <w:rsid w:val="00063CE1"/>
    <w:rsid w:val="000641DA"/>
    <w:rsid w:val="000645FB"/>
    <w:rsid w:val="00064C98"/>
    <w:rsid w:val="00065053"/>
    <w:rsid w:val="000654C8"/>
    <w:rsid w:val="000655E4"/>
    <w:rsid w:val="000656AD"/>
    <w:rsid w:val="00065C71"/>
    <w:rsid w:val="00066351"/>
    <w:rsid w:val="000669AE"/>
    <w:rsid w:val="00066B6B"/>
    <w:rsid w:val="00066BBA"/>
    <w:rsid w:val="000671B7"/>
    <w:rsid w:val="00067B6F"/>
    <w:rsid w:val="00067E1D"/>
    <w:rsid w:val="0007010F"/>
    <w:rsid w:val="0007064C"/>
    <w:rsid w:val="00070FED"/>
    <w:rsid w:val="000712EE"/>
    <w:rsid w:val="0007147D"/>
    <w:rsid w:val="00071FB6"/>
    <w:rsid w:val="000721B3"/>
    <w:rsid w:val="000725C0"/>
    <w:rsid w:val="00074247"/>
    <w:rsid w:val="00074CE6"/>
    <w:rsid w:val="00075526"/>
    <w:rsid w:val="000768A5"/>
    <w:rsid w:val="00076EF0"/>
    <w:rsid w:val="00077277"/>
    <w:rsid w:val="0007743A"/>
    <w:rsid w:val="000776F5"/>
    <w:rsid w:val="00080036"/>
    <w:rsid w:val="00080069"/>
    <w:rsid w:val="00080125"/>
    <w:rsid w:val="00080F4F"/>
    <w:rsid w:val="000812C3"/>
    <w:rsid w:val="000815AE"/>
    <w:rsid w:val="000819E1"/>
    <w:rsid w:val="00081CBC"/>
    <w:rsid w:val="00081D5F"/>
    <w:rsid w:val="00081E79"/>
    <w:rsid w:val="000820B6"/>
    <w:rsid w:val="00082159"/>
    <w:rsid w:val="00082DBC"/>
    <w:rsid w:val="0008449F"/>
    <w:rsid w:val="000846ED"/>
    <w:rsid w:val="00085714"/>
    <w:rsid w:val="00086103"/>
    <w:rsid w:val="00086262"/>
    <w:rsid w:val="000862EC"/>
    <w:rsid w:val="00090134"/>
    <w:rsid w:val="000903E2"/>
    <w:rsid w:val="00090681"/>
    <w:rsid w:val="00090E6E"/>
    <w:rsid w:val="0009156D"/>
    <w:rsid w:val="0009215D"/>
    <w:rsid w:val="000924A7"/>
    <w:rsid w:val="00093229"/>
    <w:rsid w:val="00093867"/>
    <w:rsid w:val="00093CC3"/>
    <w:rsid w:val="00093D79"/>
    <w:rsid w:val="000945D4"/>
    <w:rsid w:val="00094B28"/>
    <w:rsid w:val="00094B9A"/>
    <w:rsid w:val="00094BA1"/>
    <w:rsid w:val="00096568"/>
    <w:rsid w:val="00096DEE"/>
    <w:rsid w:val="00097063"/>
    <w:rsid w:val="000972A3"/>
    <w:rsid w:val="00097336"/>
    <w:rsid w:val="00097410"/>
    <w:rsid w:val="000975DA"/>
    <w:rsid w:val="000A0294"/>
    <w:rsid w:val="000A1920"/>
    <w:rsid w:val="000A1A89"/>
    <w:rsid w:val="000A1BEA"/>
    <w:rsid w:val="000A1C91"/>
    <w:rsid w:val="000A2358"/>
    <w:rsid w:val="000A24C4"/>
    <w:rsid w:val="000A2CC8"/>
    <w:rsid w:val="000A2D00"/>
    <w:rsid w:val="000A345B"/>
    <w:rsid w:val="000A372A"/>
    <w:rsid w:val="000A395D"/>
    <w:rsid w:val="000A3FD7"/>
    <w:rsid w:val="000A4ACE"/>
    <w:rsid w:val="000A532C"/>
    <w:rsid w:val="000A56A5"/>
    <w:rsid w:val="000A5C86"/>
    <w:rsid w:val="000A5E99"/>
    <w:rsid w:val="000A6897"/>
    <w:rsid w:val="000A6DBE"/>
    <w:rsid w:val="000A7E1F"/>
    <w:rsid w:val="000B00A9"/>
    <w:rsid w:val="000B10A9"/>
    <w:rsid w:val="000B1A74"/>
    <w:rsid w:val="000B1FC4"/>
    <w:rsid w:val="000B21D6"/>
    <w:rsid w:val="000B23DF"/>
    <w:rsid w:val="000B2404"/>
    <w:rsid w:val="000B36D8"/>
    <w:rsid w:val="000B3B06"/>
    <w:rsid w:val="000B3B7D"/>
    <w:rsid w:val="000B43A7"/>
    <w:rsid w:val="000B4565"/>
    <w:rsid w:val="000B4BFF"/>
    <w:rsid w:val="000B5405"/>
    <w:rsid w:val="000B5830"/>
    <w:rsid w:val="000B5B9D"/>
    <w:rsid w:val="000B5C7E"/>
    <w:rsid w:val="000B619D"/>
    <w:rsid w:val="000B65E5"/>
    <w:rsid w:val="000B6E38"/>
    <w:rsid w:val="000B7AB5"/>
    <w:rsid w:val="000C0345"/>
    <w:rsid w:val="000C056F"/>
    <w:rsid w:val="000C079D"/>
    <w:rsid w:val="000C07E1"/>
    <w:rsid w:val="000C09C2"/>
    <w:rsid w:val="000C1442"/>
    <w:rsid w:val="000C1832"/>
    <w:rsid w:val="000C1928"/>
    <w:rsid w:val="000C19B3"/>
    <w:rsid w:val="000C19EF"/>
    <w:rsid w:val="000C1D87"/>
    <w:rsid w:val="000C2D7D"/>
    <w:rsid w:val="000C38C7"/>
    <w:rsid w:val="000C3B86"/>
    <w:rsid w:val="000C46FF"/>
    <w:rsid w:val="000C4A46"/>
    <w:rsid w:val="000C4F54"/>
    <w:rsid w:val="000C55A6"/>
    <w:rsid w:val="000C58D2"/>
    <w:rsid w:val="000C6463"/>
    <w:rsid w:val="000C67E6"/>
    <w:rsid w:val="000C6A39"/>
    <w:rsid w:val="000C6FB8"/>
    <w:rsid w:val="000C78D6"/>
    <w:rsid w:val="000D0547"/>
    <w:rsid w:val="000D13E5"/>
    <w:rsid w:val="000D18C9"/>
    <w:rsid w:val="000D1DFD"/>
    <w:rsid w:val="000D2624"/>
    <w:rsid w:val="000D28EB"/>
    <w:rsid w:val="000D308C"/>
    <w:rsid w:val="000D34C6"/>
    <w:rsid w:val="000D3BA1"/>
    <w:rsid w:val="000D4109"/>
    <w:rsid w:val="000D4262"/>
    <w:rsid w:val="000D43DE"/>
    <w:rsid w:val="000D5429"/>
    <w:rsid w:val="000D55B5"/>
    <w:rsid w:val="000D58A1"/>
    <w:rsid w:val="000D6DB5"/>
    <w:rsid w:val="000D7786"/>
    <w:rsid w:val="000D7E54"/>
    <w:rsid w:val="000E04C6"/>
    <w:rsid w:val="000E0A5A"/>
    <w:rsid w:val="000E0A85"/>
    <w:rsid w:val="000E0ACE"/>
    <w:rsid w:val="000E1A9B"/>
    <w:rsid w:val="000E2A05"/>
    <w:rsid w:val="000E2F5F"/>
    <w:rsid w:val="000E3566"/>
    <w:rsid w:val="000E35C1"/>
    <w:rsid w:val="000E3672"/>
    <w:rsid w:val="000E37CB"/>
    <w:rsid w:val="000E3EDE"/>
    <w:rsid w:val="000E4429"/>
    <w:rsid w:val="000E4594"/>
    <w:rsid w:val="000E4818"/>
    <w:rsid w:val="000E492B"/>
    <w:rsid w:val="000E4AEA"/>
    <w:rsid w:val="000E52DA"/>
    <w:rsid w:val="000E68E3"/>
    <w:rsid w:val="000E6D4B"/>
    <w:rsid w:val="000E6DDB"/>
    <w:rsid w:val="000E72AB"/>
    <w:rsid w:val="000E74A6"/>
    <w:rsid w:val="000E7F43"/>
    <w:rsid w:val="000F03B1"/>
    <w:rsid w:val="000F08AE"/>
    <w:rsid w:val="000F0DA6"/>
    <w:rsid w:val="000F1527"/>
    <w:rsid w:val="000F1AAB"/>
    <w:rsid w:val="000F2341"/>
    <w:rsid w:val="000F2D33"/>
    <w:rsid w:val="000F4040"/>
    <w:rsid w:val="000F43F4"/>
    <w:rsid w:val="000F440E"/>
    <w:rsid w:val="000F4B04"/>
    <w:rsid w:val="000F4D62"/>
    <w:rsid w:val="000F526B"/>
    <w:rsid w:val="000F605E"/>
    <w:rsid w:val="000F61B4"/>
    <w:rsid w:val="000F6647"/>
    <w:rsid w:val="000F665E"/>
    <w:rsid w:val="000F73B7"/>
    <w:rsid w:val="000F794F"/>
    <w:rsid w:val="000F7E7B"/>
    <w:rsid w:val="0010016D"/>
    <w:rsid w:val="001002F8"/>
    <w:rsid w:val="00100948"/>
    <w:rsid w:val="00102654"/>
    <w:rsid w:val="001028CC"/>
    <w:rsid w:val="00102AAB"/>
    <w:rsid w:val="00103EA6"/>
    <w:rsid w:val="001044C4"/>
    <w:rsid w:val="001045F9"/>
    <w:rsid w:val="0010472B"/>
    <w:rsid w:val="00104F95"/>
    <w:rsid w:val="00105460"/>
    <w:rsid w:val="00105A9D"/>
    <w:rsid w:val="0010647B"/>
    <w:rsid w:val="0010657F"/>
    <w:rsid w:val="001078E6"/>
    <w:rsid w:val="00111159"/>
    <w:rsid w:val="0011221E"/>
    <w:rsid w:val="001126EB"/>
    <w:rsid w:val="00112D0F"/>
    <w:rsid w:val="00112FE9"/>
    <w:rsid w:val="001132C7"/>
    <w:rsid w:val="001133E0"/>
    <w:rsid w:val="00115DE5"/>
    <w:rsid w:val="001163D6"/>
    <w:rsid w:val="00116D48"/>
    <w:rsid w:val="0011726A"/>
    <w:rsid w:val="0012022D"/>
    <w:rsid w:val="00120B5E"/>
    <w:rsid w:val="0012108F"/>
    <w:rsid w:val="00121EB0"/>
    <w:rsid w:val="0012228D"/>
    <w:rsid w:val="0012284E"/>
    <w:rsid w:val="00123186"/>
    <w:rsid w:val="00123218"/>
    <w:rsid w:val="001237BA"/>
    <w:rsid w:val="00123925"/>
    <w:rsid w:val="001244D7"/>
    <w:rsid w:val="001245A7"/>
    <w:rsid w:val="00126641"/>
    <w:rsid w:val="00126954"/>
    <w:rsid w:val="001270AE"/>
    <w:rsid w:val="001273AA"/>
    <w:rsid w:val="00127928"/>
    <w:rsid w:val="001309C2"/>
    <w:rsid w:val="00131C25"/>
    <w:rsid w:val="001320D4"/>
    <w:rsid w:val="001327BA"/>
    <w:rsid w:val="00132F9E"/>
    <w:rsid w:val="00133758"/>
    <w:rsid w:val="00133D3A"/>
    <w:rsid w:val="00134951"/>
    <w:rsid w:val="00134A75"/>
    <w:rsid w:val="001352EE"/>
    <w:rsid w:val="00135505"/>
    <w:rsid w:val="001358DC"/>
    <w:rsid w:val="0013611C"/>
    <w:rsid w:val="00136419"/>
    <w:rsid w:val="001364A7"/>
    <w:rsid w:val="00136827"/>
    <w:rsid w:val="001375D4"/>
    <w:rsid w:val="00137AB1"/>
    <w:rsid w:val="00137E5A"/>
    <w:rsid w:val="001402C8"/>
    <w:rsid w:val="00140B3E"/>
    <w:rsid w:val="0014101C"/>
    <w:rsid w:val="00141E0F"/>
    <w:rsid w:val="00143750"/>
    <w:rsid w:val="00143798"/>
    <w:rsid w:val="001438FD"/>
    <w:rsid w:val="00143E88"/>
    <w:rsid w:val="00144D5E"/>
    <w:rsid w:val="001453C0"/>
    <w:rsid w:val="001455D8"/>
    <w:rsid w:val="00145D0F"/>
    <w:rsid w:val="00146B5E"/>
    <w:rsid w:val="0014790A"/>
    <w:rsid w:val="00147FE4"/>
    <w:rsid w:val="00150215"/>
    <w:rsid w:val="00150529"/>
    <w:rsid w:val="0015079E"/>
    <w:rsid w:val="00150E70"/>
    <w:rsid w:val="00151609"/>
    <w:rsid w:val="00151707"/>
    <w:rsid w:val="00151975"/>
    <w:rsid w:val="00151ABB"/>
    <w:rsid w:val="00152662"/>
    <w:rsid w:val="00152B2B"/>
    <w:rsid w:val="00152BEB"/>
    <w:rsid w:val="00152E01"/>
    <w:rsid w:val="00153B45"/>
    <w:rsid w:val="00154447"/>
    <w:rsid w:val="001549BE"/>
    <w:rsid w:val="00154CDE"/>
    <w:rsid w:val="00154F5B"/>
    <w:rsid w:val="00156745"/>
    <w:rsid w:val="00156EB0"/>
    <w:rsid w:val="00157227"/>
    <w:rsid w:val="00160C23"/>
    <w:rsid w:val="001613C6"/>
    <w:rsid w:val="0016197B"/>
    <w:rsid w:val="00161A72"/>
    <w:rsid w:val="00161DAC"/>
    <w:rsid w:val="00162B55"/>
    <w:rsid w:val="00162D8B"/>
    <w:rsid w:val="00163101"/>
    <w:rsid w:val="0016379D"/>
    <w:rsid w:val="001638E9"/>
    <w:rsid w:val="00165824"/>
    <w:rsid w:val="001666EA"/>
    <w:rsid w:val="0016678A"/>
    <w:rsid w:val="00167406"/>
    <w:rsid w:val="00170870"/>
    <w:rsid w:val="0017111A"/>
    <w:rsid w:val="00171A85"/>
    <w:rsid w:val="00173A47"/>
    <w:rsid w:val="00173F5C"/>
    <w:rsid w:val="00174186"/>
    <w:rsid w:val="00174565"/>
    <w:rsid w:val="00174E63"/>
    <w:rsid w:val="00174EC9"/>
    <w:rsid w:val="0017502B"/>
    <w:rsid w:val="0017560B"/>
    <w:rsid w:val="00175BB3"/>
    <w:rsid w:val="00177164"/>
    <w:rsid w:val="00177912"/>
    <w:rsid w:val="00177931"/>
    <w:rsid w:val="001779CD"/>
    <w:rsid w:val="00177A9A"/>
    <w:rsid w:val="001808A4"/>
    <w:rsid w:val="00180FF3"/>
    <w:rsid w:val="001811F4"/>
    <w:rsid w:val="00181240"/>
    <w:rsid w:val="001815A5"/>
    <w:rsid w:val="00181F30"/>
    <w:rsid w:val="00182740"/>
    <w:rsid w:val="001836A8"/>
    <w:rsid w:val="00184071"/>
    <w:rsid w:val="001852C5"/>
    <w:rsid w:val="001859C0"/>
    <w:rsid w:val="00185A3B"/>
    <w:rsid w:val="00186850"/>
    <w:rsid w:val="00187096"/>
    <w:rsid w:val="0018776E"/>
    <w:rsid w:val="001904A5"/>
    <w:rsid w:val="00190F78"/>
    <w:rsid w:val="00190F91"/>
    <w:rsid w:val="001914AD"/>
    <w:rsid w:val="00191E69"/>
    <w:rsid w:val="001923C8"/>
    <w:rsid w:val="00193339"/>
    <w:rsid w:val="001939FF"/>
    <w:rsid w:val="00193A4A"/>
    <w:rsid w:val="00194137"/>
    <w:rsid w:val="00194DE8"/>
    <w:rsid w:val="00194E6B"/>
    <w:rsid w:val="00194F54"/>
    <w:rsid w:val="00195D91"/>
    <w:rsid w:val="0019787D"/>
    <w:rsid w:val="00197990"/>
    <w:rsid w:val="001A0106"/>
    <w:rsid w:val="001A02CB"/>
    <w:rsid w:val="001A02FD"/>
    <w:rsid w:val="001A0F0B"/>
    <w:rsid w:val="001A11DB"/>
    <w:rsid w:val="001A1DC5"/>
    <w:rsid w:val="001A219A"/>
    <w:rsid w:val="001A2A38"/>
    <w:rsid w:val="001A33F4"/>
    <w:rsid w:val="001A50DE"/>
    <w:rsid w:val="001A53AE"/>
    <w:rsid w:val="001A5A95"/>
    <w:rsid w:val="001A5C33"/>
    <w:rsid w:val="001A5DB6"/>
    <w:rsid w:val="001A60BC"/>
    <w:rsid w:val="001A6256"/>
    <w:rsid w:val="001A6F29"/>
    <w:rsid w:val="001A789B"/>
    <w:rsid w:val="001B01E7"/>
    <w:rsid w:val="001B03CC"/>
    <w:rsid w:val="001B0C75"/>
    <w:rsid w:val="001B2010"/>
    <w:rsid w:val="001B26BB"/>
    <w:rsid w:val="001B2810"/>
    <w:rsid w:val="001B2A29"/>
    <w:rsid w:val="001B2DEE"/>
    <w:rsid w:val="001B368E"/>
    <w:rsid w:val="001B44C2"/>
    <w:rsid w:val="001B4EC1"/>
    <w:rsid w:val="001B59B6"/>
    <w:rsid w:val="001B59DA"/>
    <w:rsid w:val="001B5B9B"/>
    <w:rsid w:val="001B5EE4"/>
    <w:rsid w:val="001B5F3F"/>
    <w:rsid w:val="001B623D"/>
    <w:rsid w:val="001B659F"/>
    <w:rsid w:val="001B6E2D"/>
    <w:rsid w:val="001B7399"/>
    <w:rsid w:val="001B7655"/>
    <w:rsid w:val="001B7BAD"/>
    <w:rsid w:val="001B7BF4"/>
    <w:rsid w:val="001B7F09"/>
    <w:rsid w:val="001C0716"/>
    <w:rsid w:val="001C1166"/>
    <w:rsid w:val="001C17C4"/>
    <w:rsid w:val="001C1F83"/>
    <w:rsid w:val="001C261E"/>
    <w:rsid w:val="001C3AC7"/>
    <w:rsid w:val="001C42D0"/>
    <w:rsid w:val="001C51FF"/>
    <w:rsid w:val="001C5930"/>
    <w:rsid w:val="001C7387"/>
    <w:rsid w:val="001C7B78"/>
    <w:rsid w:val="001C7FB4"/>
    <w:rsid w:val="001D07B8"/>
    <w:rsid w:val="001D0A25"/>
    <w:rsid w:val="001D0BA6"/>
    <w:rsid w:val="001D1354"/>
    <w:rsid w:val="001D1903"/>
    <w:rsid w:val="001D1942"/>
    <w:rsid w:val="001D1B9B"/>
    <w:rsid w:val="001D1D2A"/>
    <w:rsid w:val="001D1DDB"/>
    <w:rsid w:val="001D218F"/>
    <w:rsid w:val="001D2612"/>
    <w:rsid w:val="001D293C"/>
    <w:rsid w:val="001D35EE"/>
    <w:rsid w:val="001D3FFB"/>
    <w:rsid w:val="001D430B"/>
    <w:rsid w:val="001D4397"/>
    <w:rsid w:val="001D4EDC"/>
    <w:rsid w:val="001D53EA"/>
    <w:rsid w:val="001D5556"/>
    <w:rsid w:val="001D55C3"/>
    <w:rsid w:val="001D59D4"/>
    <w:rsid w:val="001D5A5A"/>
    <w:rsid w:val="001D6242"/>
    <w:rsid w:val="001D69B7"/>
    <w:rsid w:val="001D6F7C"/>
    <w:rsid w:val="001D7965"/>
    <w:rsid w:val="001E0156"/>
    <w:rsid w:val="001E06E6"/>
    <w:rsid w:val="001E08FE"/>
    <w:rsid w:val="001E12A5"/>
    <w:rsid w:val="001E1639"/>
    <w:rsid w:val="001E1A35"/>
    <w:rsid w:val="001E1BF9"/>
    <w:rsid w:val="001E1EDB"/>
    <w:rsid w:val="001E38F3"/>
    <w:rsid w:val="001E3A18"/>
    <w:rsid w:val="001E3F1F"/>
    <w:rsid w:val="001E3F62"/>
    <w:rsid w:val="001E4B8B"/>
    <w:rsid w:val="001E698B"/>
    <w:rsid w:val="001E6DD1"/>
    <w:rsid w:val="001E6F5F"/>
    <w:rsid w:val="001E7093"/>
    <w:rsid w:val="001E717D"/>
    <w:rsid w:val="001E71F5"/>
    <w:rsid w:val="001E7A6A"/>
    <w:rsid w:val="001E7D86"/>
    <w:rsid w:val="001F176A"/>
    <w:rsid w:val="001F1E22"/>
    <w:rsid w:val="001F33C4"/>
    <w:rsid w:val="001F377B"/>
    <w:rsid w:val="001F3CF9"/>
    <w:rsid w:val="001F55E5"/>
    <w:rsid w:val="001F5CB9"/>
    <w:rsid w:val="001F5DDD"/>
    <w:rsid w:val="001F6D18"/>
    <w:rsid w:val="002003A1"/>
    <w:rsid w:val="00200CCC"/>
    <w:rsid w:val="00200DC3"/>
    <w:rsid w:val="002011E2"/>
    <w:rsid w:val="00201BB9"/>
    <w:rsid w:val="002021C0"/>
    <w:rsid w:val="0020251D"/>
    <w:rsid w:val="00202925"/>
    <w:rsid w:val="00202C70"/>
    <w:rsid w:val="00204233"/>
    <w:rsid w:val="0020478B"/>
    <w:rsid w:val="002050B0"/>
    <w:rsid w:val="00205AAB"/>
    <w:rsid w:val="00205D09"/>
    <w:rsid w:val="00205D80"/>
    <w:rsid w:val="00206327"/>
    <w:rsid w:val="00206401"/>
    <w:rsid w:val="002065AE"/>
    <w:rsid w:val="00207308"/>
    <w:rsid w:val="00207B17"/>
    <w:rsid w:val="00210874"/>
    <w:rsid w:val="0021093F"/>
    <w:rsid w:val="0021165D"/>
    <w:rsid w:val="002121AB"/>
    <w:rsid w:val="0021286B"/>
    <w:rsid w:val="00212C6E"/>
    <w:rsid w:val="002132B1"/>
    <w:rsid w:val="002132B8"/>
    <w:rsid w:val="00213386"/>
    <w:rsid w:val="002133CA"/>
    <w:rsid w:val="00213592"/>
    <w:rsid w:val="00213F91"/>
    <w:rsid w:val="002146B5"/>
    <w:rsid w:val="00214B7B"/>
    <w:rsid w:val="00214FA2"/>
    <w:rsid w:val="002150AA"/>
    <w:rsid w:val="00215783"/>
    <w:rsid w:val="0021644B"/>
    <w:rsid w:val="00216489"/>
    <w:rsid w:val="002168A2"/>
    <w:rsid w:val="00216DC9"/>
    <w:rsid w:val="00217CA0"/>
    <w:rsid w:val="00217ED4"/>
    <w:rsid w:val="0022019B"/>
    <w:rsid w:val="002202EB"/>
    <w:rsid w:val="00220A84"/>
    <w:rsid w:val="00220FCF"/>
    <w:rsid w:val="002212B9"/>
    <w:rsid w:val="00221705"/>
    <w:rsid w:val="00221972"/>
    <w:rsid w:val="00222C69"/>
    <w:rsid w:val="00222DA4"/>
    <w:rsid w:val="002230F7"/>
    <w:rsid w:val="002231C8"/>
    <w:rsid w:val="00224154"/>
    <w:rsid w:val="00224375"/>
    <w:rsid w:val="00224464"/>
    <w:rsid w:val="002247D7"/>
    <w:rsid w:val="00224841"/>
    <w:rsid w:val="0022662C"/>
    <w:rsid w:val="00226A1F"/>
    <w:rsid w:val="00230194"/>
    <w:rsid w:val="00231923"/>
    <w:rsid w:val="00231A09"/>
    <w:rsid w:val="00231A61"/>
    <w:rsid w:val="00232771"/>
    <w:rsid w:val="002328F5"/>
    <w:rsid w:val="002329C3"/>
    <w:rsid w:val="00233108"/>
    <w:rsid w:val="002332AE"/>
    <w:rsid w:val="002333C0"/>
    <w:rsid w:val="002333C2"/>
    <w:rsid w:val="002336FB"/>
    <w:rsid w:val="002339F7"/>
    <w:rsid w:val="00233F2D"/>
    <w:rsid w:val="00234040"/>
    <w:rsid w:val="00234A0C"/>
    <w:rsid w:val="00235D67"/>
    <w:rsid w:val="00235D8F"/>
    <w:rsid w:val="002360BF"/>
    <w:rsid w:val="0023626B"/>
    <w:rsid w:val="0023704F"/>
    <w:rsid w:val="0023709C"/>
    <w:rsid w:val="002376AD"/>
    <w:rsid w:val="00237FEF"/>
    <w:rsid w:val="00240EAE"/>
    <w:rsid w:val="00240FED"/>
    <w:rsid w:val="002414AA"/>
    <w:rsid w:val="00241662"/>
    <w:rsid w:val="00242D17"/>
    <w:rsid w:val="00242F07"/>
    <w:rsid w:val="00243020"/>
    <w:rsid w:val="00244D22"/>
    <w:rsid w:val="00246989"/>
    <w:rsid w:val="00246C09"/>
    <w:rsid w:val="002470E4"/>
    <w:rsid w:val="00247262"/>
    <w:rsid w:val="002476B8"/>
    <w:rsid w:val="0025116C"/>
    <w:rsid w:val="0025144C"/>
    <w:rsid w:val="002526A4"/>
    <w:rsid w:val="0025363A"/>
    <w:rsid w:val="00253B51"/>
    <w:rsid w:val="0025426C"/>
    <w:rsid w:val="002560C3"/>
    <w:rsid w:val="0025616B"/>
    <w:rsid w:val="00256B7B"/>
    <w:rsid w:val="00256D69"/>
    <w:rsid w:val="00257285"/>
    <w:rsid w:val="00257C31"/>
    <w:rsid w:val="00257FF4"/>
    <w:rsid w:val="002601FC"/>
    <w:rsid w:val="0026054A"/>
    <w:rsid w:val="002608CE"/>
    <w:rsid w:val="00261660"/>
    <w:rsid w:val="0026279C"/>
    <w:rsid w:val="00262CD3"/>
    <w:rsid w:val="00262F61"/>
    <w:rsid w:val="0026397A"/>
    <w:rsid w:val="002640EF"/>
    <w:rsid w:val="00264181"/>
    <w:rsid w:val="002644F9"/>
    <w:rsid w:val="00264BB2"/>
    <w:rsid w:val="00265289"/>
    <w:rsid w:val="002657EC"/>
    <w:rsid w:val="00265C58"/>
    <w:rsid w:val="00266613"/>
    <w:rsid w:val="00266FE9"/>
    <w:rsid w:val="00267877"/>
    <w:rsid w:val="002705D4"/>
    <w:rsid w:val="00270626"/>
    <w:rsid w:val="00270B03"/>
    <w:rsid w:val="002712FF"/>
    <w:rsid w:val="002720AA"/>
    <w:rsid w:val="00272396"/>
    <w:rsid w:val="00272438"/>
    <w:rsid w:val="00273055"/>
    <w:rsid w:val="00273D98"/>
    <w:rsid w:val="0027513B"/>
    <w:rsid w:val="00275A4E"/>
    <w:rsid w:val="0027614D"/>
    <w:rsid w:val="0027651A"/>
    <w:rsid w:val="002770A1"/>
    <w:rsid w:val="002775C9"/>
    <w:rsid w:val="0028001E"/>
    <w:rsid w:val="0028052C"/>
    <w:rsid w:val="00280A87"/>
    <w:rsid w:val="00280D53"/>
    <w:rsid w:val="00280F16"/>
    <w:rsid w:val="00281BEF"/>
    <w:rsid w:val="00281CF6"/>
    <w:rsid w:val="002832D6"/>
    <w:rsid w:val="00283550"/>
    <w:rsid w:val="0028359B"/>
    <w:rsid w:val="00284441"/>
    <w:rsid w:val="002845A3"/>
    <w:rsid w:val="002845C6"/>
    <w:rsid w:val="00285279"/>
    <w:rsid w:val="0028552F"/>
    <w:rsid w:val="002857FE"/>
    <w:rsid w:val="002859AA"/>
    <w:rsid w:val="0028691D"/>
    <w:rsid w:val="00286DA0"/>
    <w:rsid w:val="0028708A"/>
    <w:rsid w:val="00290933"/>
    <w:rsid w:val="0029097E"/>
    <w:rsid w:val="00291E57"/>
    <w:rsid w:val="002923BF"/>
    <w:rsid w:val="00292D6A"/>
    <w:rsid w:val="0029312A"/>
    <w:rsid w:val="0029325C"/>
    <w:rsid w:val="00293B2D"/>
    <w:rsid w:val="00293B46"/>
    <w:rsid w:val="002944A5"/>
    <w:rsid w:val="00294DDD"/>
    <w:rsid w:val="00294E5F"/>
    <w:rsid w:val="00295B06"/>
    <w:rsid w:val="00295C9F"/>
    <w:rsid w:val="00295D8C"/>
    <w:rsid w:val="00295DC6"/>
    <w:rsid w:val="002960B7"/>
    <w:rsid w:val="00297599"/>
    <w:rsid w:val="00297643"/>
    <w:rsid w:val="00297824"/>
    <w:rsid w:val="00297942"/>
    <w:rsid w:val="00297C7C"/>
    <w:rsid w:val="002A0565"/>
    <w:rsid w:val="002A09D9"/>
    <w:rsid w:val="002A0F2E"/>
    <w:rsid w:val="002A153F"/>
    <w:rsid w:val="002A177F"/>
    <w:rsid w:val="002A1CC2"/>
    <w:rsid w:val="002A2B6C"/>
    <w:rsid w:val="002A32FD"/>
    <w:rsid w:val="002A3729"/>
    <w:rsid w:val="002A3F44"/>
    <w:rsid w:val="002A40DC"/>
    <w:rsid w:val="002A4534"/>
    <w:rsid w:val="002A4A71"/>
    <w:rsid w:val="002A4AB7"/>
    <w:rsid w:val="002A5329"/>
    <w:rsid w:val="002A57BD"/>
    <w:rsid w:val="002A591C"/>
    <w:rsid w:val="002A5C2D"/>
    <w:rsid w:val="002A5CB3"/>
    <w:rsid w:val="002A61E5"/>
    <w:rsid w:val="002A6579"/>
    <w:rsid w:val="002A74DD"/>
    <w:rsid w:val="002A7FC8"/>
    <w:rsid w:val="002B0A81"/>
    <w:rsid w:val="002B0D96"/>
    <w:rsid w:val="002B1357"/>
    <w:rsid w:val="002B14B8"/>
    <w:rsid w:val="002B1CE7"/>
    <w:rsid w:val="002B26DD"/>
    <w:rsid w:val="002B2D78"/>
    <w:rsid w:val="002B2E73"/>
    <w:rsid w:val="002B2F0F"/>
    <w:rsid w:val="002B32B5"/>
    <w:rsid w:val="002B35B8"/>
    <w:rsid w:val="002B42ED"/>
    <w:rsid w:val="002B595D"/>
    <w:rsid w:val="002B5F6A"/>
    <w:rsid w:val="002B6C63"/>
    <w:rsid w:val="002B779E"/>
    <w:rsid w:val="002B7D6F"/>
    <w:rsid w:val="002B7D78"/>
    <w:rsid w:val="002C0552"/>
    <w:rsid w:val="002C0961"/>
    <w:rsid w:val="002C1CF7"/>
    <w:rsid w:val="002C1D11"/>
    <w:rsid w:val="002C25D0"/>
    <w:rsid w:val="002C280B"/>
    <w:rsid w:val="002C289A"/>
    <w:rsid w:val="002C2DB0"/>
    <w:rsid w:val="002C2F3B"/>
    <w:rsid w:val="002C32CB"/>
    <w:rsid w:val="002C3A59"/>
    <w:rsid w:val="002C4D41"/>
    <w:rsid w:val="002C4F8C"/>
    <w:rsid w:val="002C638B"/>
    <w:rsid w:val="002C6EEE"/>
    <w:rsid w:val="002C75B0"/>
    <w:rsid w:val="002C7703"/>
    <w:rsid w:val="002C7A63"/>
    <w:rsid w:val="002D0153"/>
    <w:rsid w:val="002D02BC"/>
    <w:rsid w:val="002D03E3"/>
    <w:rsid w:val="002D08E5"/>
    <w:rsid w:val="002D0985"/>
    <w:rsid w:val="002D186A"/>
    <w:rsid w:val="002D26EC"/>
    <w:rsid w:val="002D3C06"/>
    <w:rsid w:val="002D4024"/>
    <w:rsid w:val="002D403A"/>
    <w:rsid w:val="002D4262"/>
    <w:rsid w:val="002D46B7"/>
    <w:rsid w:val="002D5151"/>
    <w:rsid w:val="002D53C7"/>
    <w:rsid w:val="002D55A1"/>
    <w:rsid w:val="002D6163"/>
    <w:rsid w:val="002D618C"/>
    <w:rsid w:val="002D654A"/>
    <w:rsid w:val="002D77FF"/>
    <w:rsid w:val="002D7937"/>
    <w:rsid w:val="002E0B54"/>
    <w:rsid w:val="002E1064"/>
    <w:rsid w:val="002E107A"/>
    <w:rsid w:val="002E2551"/>
    <w:rsid w:val="002E29E6"/>
    <w:rsid w:val="002E314E"/>
    <w:rsid w:val="002E323F"/>
    <w:rsid w:val="002E3BF3"/>
    <w:rsid w:val="002E4156"/>
    <w:rsid w:val="002E4F78"/>
    <w:rsid w:val="002E5554"/>
    <w:rsid w:val="002E59C4"/>
    <w:rsid w:val="002E5D24"/>
    <w:rsid w:val="002E672A"/>
    <w:rsid w:val="002E6EFE"/>
    <w:rsid w:val="002E7BF1"/>
    <w:rsid w:val="002E7D32"/>
    <w:rsid w:val="002F0262"/>
    <w:rsid w:val="002F0D37"/>
    <w:rsid w:val="002F1B12"/>
    <w:rsid w:val="002F2256"/>
    <w:rsid w:val="002F29DA"/>
    <w:rsid w:val="002F2A37"/>
    <w:rsid w:val="002F32B3"/>
    <w:rsid w:val="002F5063"/>
    <w:rsid w:val="002F530C"/>
    <w:rsid w:val="002F5337"/>
    <w:rsid w:val="002F5651"/>
    <w:rsid w:val="002F5666"/>
    <w:rsid w:val="002F591B"/>
    <w:rsid w:val="002F5C70"/>
    <w:rsid w:val="002F652B"/>
    <w:rsid w:val="002F686A"/>
    <w:rsid w:val="002F7003"/>
    <w:rsid w:val="002F7B47"/>
    <w:rsid w:val="002F7D13"/>
    <w:rsid w:val="002F7FA7"/>
    <w:rsid w:val="00300013"/>
    <w:rsid w:val="0030032D"/>
    <w:rsid w:val="00300441"/>
    <w:rsid w:val="003006F8"/>
    <w:rsid w:val="00300982"/>
    <w:rsid w:val="00300BF2"/>
    <w:rsid w:val="00300E2E"/>
    <w:rsid w:val="00300EE9"/>
    <w:rsid w:val="00302169"/>
    <w:rsid w:val="003023D9"/>
    <w:rsid w:val="003027C1"/>
    <w:rsid w:val="003029DB"/>
    <w:rsid w:val="00302A25"/>
    <w:rsid w:val="00303081"/>
    <w:rsid w:val="003035DF"/>
    <w:rsid w:val="0030363D"/>
    <w:rsid w:val="00303A94"/>
    <w:rsid w:val="00304900"/>
    <w:rsid w:val="00304C13"/>
    <w:rsid w:val="00305718"/>
    <w:rsid w:val="003059AD"/>
    <w:rsid w:val="00305DB7"/>
    <w:rsid w:val="00305EC5"/>
    <w:rsid w:val="00306107"/>
    <w:rsid w:val="003072D0"/>
    <w:rsid w:val="003074CD"/>
    <w:rsid w:val="003077B8"/>
    <w:rsid w:val="003105F6"/>
    <w:rsid w:val="003111F8"/>
    <w:rsid w:val="00311DC3"/>
    <w:rsid w:val="0031204A"/>
    <w:rsid w:val="0031272B"/>
    <w:rsid w:val="00312ADE"/>
    <w:rsid w:val="00314005"/>
    <w:rsid w:val="00314CB8"/>
    <w:rsid w:val="00314F09"/>
    <w:rsid w:val="00315435"/>
    <w:rsid w:val="0031566E"/>
    <w:rsid w:val="0031626E"/>
    <w:rsid w:val="00316A28"/>
    <w:rsid w:val="00317BF9"/>
    <w:rsid w:val="00317E74"/>
    <w:rsid w:val="00317EDE"/>
    <w:rsid w:val="00317F49"/>
    <w:rsid w:val="0032038C"/>
    <w:rsid w:val="0032123D"/>
    <w:rsid w:val="00321889"/>
    <w:rsid w:val="00321C68"/>
    <w:rsid w:val="0032204F"/>
    <w:rsid w:val="003220F5"/>
    <w:rsid w:val="00322DC2"/>
    <w:rsid w:val="00323A3C"/>
    <w:rsid w:val="00324A48"/>
    <w:rsid w:val="00325388"/>
    <w:rsid w:val="00325C5E"/>
    <w:rsid w:val="00327056"/>
    <w:rsid w:val="003271EE"/>
    <w:rsid w:val="0032738E"/>
    <w:rsid w:val="0032788B"/>
    <w:rsid w:val="0033024F"/>
    <w:rsid w:val="0033059D"/>
    <w:rsid w:val="00330EE1"/>
    <w:rsid w:val="00331B40"/>
    <w:rsid w:val="00331C5F"/>
    <w:rsid w:val="003325B9"/>
    <w:rsid w:val="00332B20"/>
    <w:rsid w:val="00332E95"/>
    <w:rsid w:val="00333074"/>
    <w:rsid w:val="00333223"/>
    <w:rsid w:val="00333269"/>
    <w:rsid w:val="00333A43"/>
    <w:rsid w:val="003341C8"/>
    <w:rsid w:val="00334859"/>
    <w:rsid w:val="00334A02"/>
    <w:rsid w:val="00334F7E"/>
    <w:rsid w:val="003350CD"/>
    <w:rsid w:val="00335149"/>
    <w:rsid w:val="00335B40"/>
    <w:rsid w:val="00335CE3"/>
    <w:rsid w:val="003364C1"/>
    <w:rsid w:val="00336862"/>
    <w:rsid w:val="00336EAA"/>
    <w:rsid w:val="00337627"/>
    <w:rsid w:val="00337834"/>
    <w:rsid w:val="00337F82"/>
    <w:rsid w:val="003401D6"/>
    <w:rsid w:val="00340640"/>
    <w:rsid w:val="00340810"/>
    <w:rsid w:val="00341981"/>
    <w:rsid w:val="0034206D"/>
    <w:rsid w:val="00342AD9"/>
    <w:rsid w:val="00342F75"/>
    <w:rsid w:val="003435D6"/>
    <w:rsid w:val="00343DB2"/>
    <w:rsid w:val="00344DA4"/>
    <w:rsid w:val="003458E0"/>
    <w:rsid w:val="00345922"/>
    <w:rsid w:val="00345CCD"/>
    <w:rsid w:val="00346A41"/>
    <w:rsid w:val="00347603"/>
    <w:rsid w:val="003478A0"/>
    <w:rsid w:val="00347B70"/>
    <w:rsid w:val="003511CE"/>
    <w:rsid w:val="003516B8"/>
    <w:rsid w:val="00351909"/>
    <w:rsid w:val="00352BE0"/>
    <w:rsid w:val="0035333E"/>
    <w:rsid w:val="003538F0"/>
    <w:rsid w:val="00353E08"/>
    <w:rsid w:val="00353F5E"/>
    <w:rsid w:val="003554BA"/>
    <w:rsid w:val="00355621"/>
    <w:rsid w:val="0035565F"/>
    <w:rsid w:val="00357512"/>
    <w:rsid w:val="00357C9F"/>
    <w:rsid w:val="00357DAE"/>
    <w:rsid w:val="00357EE6"/>
    <w:rsid w:val="003602A5"/>
    <w:rsid w:val="00361259"/>
    <w:rsid w:val="003613E4"/>
    <w:rsid w:val="00361429"/>
    <w:rsid w:val="0036263A"/>
    <w:rsid w:val="00362AA7"/>
    <w:rsid w:val="00363B11"/>
    <w:rsid w:val="00364CD3"/>
    <w:rsid w:val="00364DDC"/>
    <w:rsid w:val="00365178"/>
    <w:rsid w:val="003651B7"/>
    <w:rsid w:val="00365C45"/>
    <w:rsid w:val="003672D6"/>
    <w:rsid w:val="00370517"/>
    <w:rsid w:val="003705BF"/>
    <w:rsid w:val="00370935"/>
    <w:rsid w:val="00370C0D"/>
    <w:rsid w:val="00371C1A"/>
    <w:rsid w:val="003746E2"/>
    <w:rsid w:val="00374BD5"/>
    <w:rsid w:val="003756BE"/>
    <w:rsid w:val="00375E52"/>
    <w:rsid w:val="00376E4E"/>
    <w:rsid w:val="0037702B"/>
    <w:rsid w:val="00380888"/>
    <w:rsid w:val="00380D9F"/>
    <w:rsid w:val="003819E1"/>
    <w:rsid w:val="0038204B"/>
    <w:rsid w:val="00382234"/>
    <w:rsid w:val="00383397"/>
    <w:rsid w:val="003835F8"/>
    <w:rsid w:val="00383CAA"/>
    <w:rsid w:val="00383E9E"/>
    <w:rsid w:val="00384AAE"/>
    <w:rsid w:val="00384D9A"/>
    <w:rsid w:val="003852C0"/>
    <w:rsid w:val="00385A6A"/>
    <w:rsid w:val="00386665"/>
    <w:rsid w:val="0038672F"/>
    <w:rsid w:val="00386BC9"/>
    <w:rsid w:val="00386F24"/>
    <w:rsid w:val="00387244"/>
    <w:rsid w:val="003876AB"/>
    <w:rsid w:val="00387810"/>
    <w:rsid w:val="00387957"/>
    <w:rsid w:val="003904F0"/>
    <w:rsid w:val="0039053D"/>
    <w:rsid w:val="00390AE6"/>
    <w:rsid w:val="00390C8F"/>
    <w:rsid w:val="0039204C"/>
    <w:rsid w:val="00392A0B"/>
    <w:rsid w:val="00392B8A"/>
    <w:rsid w:val="00392DD1"/>
    <w:rsid w:val="00394117"/>
    <w:rsid w:val="0039449C"/>
    <w:rsid w:val="0039499E"/>
    <w:rsid w:val="003958E9"/>
    <w:rsid w:val="00395CFD"/>
    <w:rsid w:val="00395E02"/>
    <w:rsid w:val="00396839"/>
    <w:rsid w:val="0039684C"/>
    <w:rsid w:val="00396C32"/>
    <w:rsid w:val="00396FE1"/>
    <w:rsid w:val="00397627"/>
    <w:rsid w:val="003A01AA"/>
    <w:rsid w:val="003A0290"/>
    <w:rsid w:val="003A0BAC"/>
    <w:rsid w:val="003A2116"/>
    <w:rsid w:val="003A25BB"/>
    <w:rsid w:val="003A300D"/>
    <w:rsid w:val="003A34C9"/>
    <w:rsid w:val="003A3DC8"/>
    <w:rsid w:val="003A3E7B"/>
    <w:rsid w:val="003A3EBD"/>
    <w:rsid w:val="003A4566"/>
    <w:rsid w:val="003A46E1"/>
    <w:rsid w:val="003A5254"/>
    <w:rsid w:val="003A5531"/>
    <w:rsid w:val="003A6DC6"/>
    <w:rsid w:val="003A7067"/>
    <w:rsid w:val="003A74F2"/>
    <w:rsid w:val="003B0013"/>
    <w:rsid w:val="003B0244"/>
    <w:rsid w:val="003B07A8"/>
    <w:rsid w:val="003B07DB"/>
    <w:rsid w:val="003B087E"/>
    <w:rsid w:val="003B09F6"/>
    <w:rsid w:val="003B0D03"/>
    <w:rsid w:val="003B1F0A"/>
    <w:rsid w:val="003B2C1F"/>
    <w:rsid w:val="003B3227"/>
    <w:rsid w:val="003B329D"/>
    <w:rsid w:val="003B3684"/>
    <w:rsid w:val="003B3F87"/>
    <w:rsid w:val="003B3FC5"/>
    <w:rsid w:val="003B455C"/>
    <w:rsid w:val="003B499E"/>
    <w:rsid w:val="003B4F5E"/>
    <w:rsid w:val="003B5533"/>
    <w:rsid w:val="003B5A69"/>
    <w:rsid w:val="003B5A85"/>
    <w:rsid w:val="003B657F"/>
    <w:rsid w:val="003B71EE"/>
    <w:rsid w:val="003B7621"/>
    <w:rsid w:val="003B76DC"/>
    <w:rsid w:val="003B7B26"/>
    <w:rsid w:val="003B7C64"/>
    <w:rsid w:val="003B7C82"/>
    <w:rsid w:val="003C0593"/>
    <w:rsid w:val="003C09F0"/>
    <w:rsid w:val="003C13A6"/>
    <w:rsid w:val="003C15E5"/>
    <w:rsid w:val="003C1615"/>
    <w:rsid w:val="003C1EB4"/>
    <w:rsid w:val="003C2A44"/>
    <w:rsid w:val="003C330E"/>
    <w:rsid w:val="003C3B62"/>
    <w:rsid w:val="003C4E3A"/>
    <w:rsid w:val="003C5749"/>
    <w:rsid w:val="003C5B86"/>
    <w:rsid w:val="003D0856"/>
    <w:rsid w:val="003D0DD0"/>
    <w:rsid w:val="003D0E1C"/>
    <w:rsid w:val="003D170D"/>
    <w:rsid w:val="003D1E47"/>
    <w:rsid w:val="003D3662"/>
    <w:rsid w:val="003D370F"/>
    <w:rsid w:val="003D3C14"/>
    <w:rsid w:val="003D4188"/>
    <w:rsid w:val="003D4557"/>
    <w:rsid w:val="003D4E68"/>
    <w:rsid w:val="003D4FC5"/>
    <w:rsid w:val="003D5407"/>
    <w:rsid w:val="003D543D"/>
    <w:rsid w:val="003D59FD"/>
    <w:rsid w:val="003D60E1"/>
    <w:rsid w:val="003D62D3"/>
    <w:rsid w:val="003D705D"/>
    <w:rsid w:val="003D756F"/>
    <w:rsid w:val="003E10B8"/>
    <w:rsid w:val="003E122D"/>
    <w:rsid w:val="003E123C"/>
    <w:rsid w:val="003E13F5"/>
    <w:rsid w:val="003E1978"/>
    <w:rsid w:val="003E265A"/>
    <w:rsid w:val="003E2B5E"/>
    <w:rsid w:val="003E396A"/>
    <w:rsid w:val="003E3FF4"/>
    <w:rsid w:val="003E4E15"/>
    <w:rsid w:val="003E53E8"/>
    <w:rsid w:val="003E566B"/>
    <w:rsid w:val="003E5912"/>
    <w:rsid w:val="003E5AE8"/>
    <w:rsid w:val="003E62F8"/>
    <w:rsid w:val="003E6739"/>
    <w:rsid w:val="003E68C4"/>
    <w:rsid w:val="003E68F7"/>
    <w:rsid w:val="003E778D"/>
    <w:rsid w:val="003E78A7"/>
    <w:rsid w:val="003F07EE"/>
    <w:rsid w:val="003F0C8B"/>
    <w:rsid w:val="003F1607"/>
    <w:rsid w:val="003F29F2"/>
    <w:rsid w:val="003F2B53"/>
    <w:rsid w:val="003F323D"/>
    <w:rsid w:val="003F3C77"/>
    <w:rsid w:val="003F458D"/>
    <w:rsid w:val="003F47DF"/>
    <w:rsid w:val="003F4A65"/>
    <w:rsid w:val="003F4EB5"/>
    <w:rsid w:val="003F6209"/>
    <w:rsid w:val="003F6FA0"/>
    <w:rsid w:val="003F7CED"/>
    <w:rsid w:val="00400A8B"/>
    <w:rsid w:val="00401125"/>
    <w:rsid w:val="004011F3"/>
    <w:rsid w:val="004017C4"/>
    <w:rsid w:val="00401831"/>
    <w:rsid w:val="004019BE"/>
    <w:rsid w:val="0040314A"/>
    <w:rsid w:val="00403482"/>
    <w:rsid w:val="00403995"/>
    <w:rsid w:val="00403EED"/>
    <w:rsid w:val="00404B3E"/>
    <w:rsid w:val="00405181"/>
    <w:rsid w:val="00405DAB"/>
    <w:rsid w:val="00405E90"/>
    <w:rsid w:val="00406295"/>
    <w:rsid w:val="0040629D"/>
    <w:rsid w:val="00406490"/>
    <w:rsid w:val="004065CE"/>
    <w:rsid w:val="00406802"/>
    <w:rsid w:val="00406B36"/>
    <w:rsid w:val="00406B39"/>
    <w:rsid w:val="00407A61"/>
    <w:rsid w:val="00407CE6"/>
    <w:rsid w:val="0041041A"/>
    <w:rsid w:val="004105B6"/>
    <w:rsid w:val="004105DD"/>
    <w:rsid w:val="0041079F"/>
    <w:rsid w:val="00410DCE"/>
    <w:rsid w:val="00412A94"/>
    <w:rsid w:val="00412C0B"/>
    <w:rsid w:val="00413612"/>
    <w:rsid w:val="0041404E"/>
    <w:rsid w:val="0041429D"/>
    <w:rsid w:val="00414449"/>
    <w:rsid w:val="004147D0"/>
    <w:rsid w:val="00414E1F"/>
    <w:rsid w:val="0041509C"/>
    <w:rsid w:val="0041581E"/>
    <w:rsid w:val="00415A64"/>
    <w:rsid w:val="00415AE2"/>
    <w:rsid w:val="00415CCF"/>
    <w:rsid w:val="00416146"/>
    <w:rsid w:val="004161E5"/>
    <w:rsid w:val="00416F15"/>
    <w:rsid w:val="00417425"/>
    <w:rsid w:val="0041765C"/>
    <w:rsid w:val="00420340"/>
    <w:rsid w:val="0042056B"/>
    <w:rsid w:val="00420837"/>
    <w:rsid w:val="004208AA"/>
    <w:rsid w:val="00420F53"/>
    <w:rsid w:val="00420F71"/>
    <w:rsid w:val="00421E3F"/>
    <w:rsid w:val="00421EEC"/>
    <w:rsid w:val="00422933"/>
    <w:rsid w:val="00422F4B"/>
    <w:rsid w:val="00423003"/>
    <w:rsid w:val="004234C9"/>
    <w:rsid w:val="004248B4"/>
    <w:rsid w:val="00424C66"/>
    <w:rsid w:val="0042526D"/>
    <w:rsid w:val="0042547C"/>
    <w:rsid w:val="004254A2"/>
    <w:rsid w:val="00426D71"/>
    <w:rsid w:val="004273CC"/>
    <w:rsid w:val="00430256"/>
    <w:rsid w:val="004308D0"/>
    <w:rsid w:val="00430948"/>
    <w:rsid w:val="00430E3D"/>
    <w:rsid w:val="00431122"/>
    <w:rsid w:val="0043139F"/>
    <w:rsid w:val="0043194D"/>
    <w:rsid w:val="00431BF1"/>
    <w:rsid w:val="004334C8"/>
    <w:rsid w:val="00433528"/>
    <w:rsid w:val="00433D22"/>
    <w:rsid w:val="004342F8"/>
    <w:rsid w:val="004347ED"/>
    <w:rsid w:val="00434A2F"/>
    <w:rsid w:val="00434B63"/>
    <w:rsid w:val="00435697"/>
    <w:rsid w:val="00436AF3"/>
    <w:rsid w:val="004373DF"/>
    <w:rsid w:val="00437F7D"/>
    <w:rsid w:val="004402A5"/>
    <w:rsid w:val="00440679"/>
    <w:rsid w:val="00440681"/>
    <w:rsid w:val="0044083A"/>
    <w:rsid w:val="004408FA"/>
    <w:rsid w:val="004411B1"/>
    <w:rsid w:val="00441974"/>
    <w:rsid w:val="00441A5E"/>
    <w:rsid w:val="00441F0B"/>
    <w:rsid w:val="00442A18"/>
    <w:rsid w:val="004432E0"/>
    <w:rsid w:val="004439E1"/>
    <w:rsid w:val="00443D8E"/>
    <w:rsid w:val="00444F73"/>
    <w:rsid w:val="004453FA"/>
    <w:rsid w:val="0044552A"/>
    <w:rsid w:val="00445663"/>
    <w:rsid w:val="00445718"/>
    <w:rsid w:val="004461A4"/>
    <w:rsid w:val="00446576"/>
    <w:rsid w:val="00446612"/>
    <w:rsid w:val="00446F02"/>
    <w:rsid w:val="00450007"/>
    <w:rsid w:val="00450455"/>
    <w:rsid w:val="00450E44"/>
    <w:rsid w:val="00451501"/>
    <w:rsid w:val="004516EF"/>
    <w:rsid w:val="004528D0"/>
    <w:rsid w:val="00453C86"/>
    <w:rsid w:val="00453EBB"/>
    <w:rsid w:val="00454564"/>
    <w:rsid w:val="004562E5"/>
    <w:rsid w:val="00457297"/>
    <w:rsid w:val="00457945"/>
    <w:rsid w:val="00457BC3"/>
    <w:rsid w:val="00460180"/>
    <w:rsid w:val="004601B2"/>
    <w:rsid w:val="0046034D"/>
    <w:rsid w:val="00460642"/>
    <w:rsid w:val="00461801"/>
    <w:rsid w:val="00462272"/>
    <w:rsid w:val="00462FA4"/>
    <w:rsid w:val="004634F0"/>
    <w:rsid w:val="0046390C"/>
    <w:rsid w:val="00463D0D"/>
    <w:rsid w:val="00464569"/>
    <w:rsid w:val="004646DD"/>
    <w:rsid w:val="00465D4E"/>
    <w:rsid w:val="00466381"/>
    <w:rsid w:val="0046643D"/>
    <w:rsid w:val="00466688"/>
    <w:rsid w:val="00466718"/>
    <w:rsid w:val="00467393"/>
    <w:rsid w:val="004677FB"/>
    <w:rsid w:val="00467BDD"/>
    <w:rsid w:val="00467E55"/>
    <w:rsid w:val="00470DF9"/>
    <w:rsid w:val="00471553"/>
    <w:rsid w:val="004717F6"/>
    <w:rsid w:val="0047260C"/>
    <w:rsid w:val="0047266B"/>
    <w:rsid w:val="004734D7"/>
    <w:rsid w:val="0047364D"/>
    <w:rsid w:val="00473C7D"/>
    <w:rsid w:val="0047447B"/>
    <w:rsid w:val="0047481E"/>
    <w:rsid w:val="00474918"/>
    <w:rsid w:val="0047596B"/>
    <w:rsid w:val="00475EAF"/>
    <w:rsid w:val="0047681C"/>
    <w:rsid w:val="00477280"/>
    <w:rsid w:val="00480960"/>
    <w:rsid w:val="0048148C"/>
    <w:rsid w:val="0048153F"/>
    <w:rsid w:val="004815F8"/>
    <w:rsid w:val="00481E32"/>
    <w:rsid w:val="00481F50"/>
    <w:rsid w:val="0048236E"/>
    <w:rsid w:val="00482D4C"/>
    <w:rsid w:val="004831ED"/>
    <w:rsid w:val="004831FC"/>
    <w:rsid w:val="004836A7"/>
    <w:rsid w:val="00483803"/>
    <w:rsid w:val="004847B4"/>
    <w:rsid w:val="00484921"/>
    <w:rsid w:val="00485D6B"/>
    <w:rsid w:val="004863C6"/>
    <w:rsid w:val="00486614"/>
    <w:rsid w:val="00486845"/>
    <w:rsid w:val="00486940"/>
    <w:rsid w:val="004875A4"/>
    <w:rsid w:val="00487E11"/>
    <w:rsid w:val="00487FB8"/>
    <w:rsid w:val="004900FE"/>
    <w:rsid w:val="00490299"/>
    <w:rsid w:val="00490C05"/>
    <w:rsid w:val="004919D4"/>
    <w:rsid w:val="00491FB2"/>
    <w:rsid w:val="0049200C"/>
    <w:rsid w:val="0049212C"/>
    <w:rsid w:val="00493077"/>
    <w:rsid w:val="00493705"/>
    <w:rsid w:val="00494B94"/>
    <w:rsid w:val="0049550A"/>
    <w:rsid w:val="004957B6"/>
    <w:rsid w:val="00495C39"/>
    <w:rsid w:val="00495F3A"/>
    <w:rsid w:val="004962C3"/>
    <w:rsid w:val="004965FD"/>
    <w:rsid w:val="004967C5"/>
    <w:rsid w:val="00497552"/>
    <w:rsid w:val="004975DB"/>
    <w:rsid w:val="00497CFC"/>
    <w:rsid w:val="004A1224"/>
    <w:rsid w:val="004A247B"/>
    <w:rsid w:val="004A2642"/>
    <w:rsid w:val="004A28C5"/>
    <w:rsid w:val="004A2D21"/>
    <w:rsid w:val="004A2E88"/>
    <w:rsid w:val="004A2F59"/>
    <w:rsid w:val="004A318F"/>
    <w:rsid w:val="004A3865"/>
    <w:rsid w:val="004A3F39"/>
    <w:rsid w:val="004A4279"/>
    <w:rsid w:val="004A51EB"/>
    <w:rsid w:val="004A5C56"/>
    <w:rsid w:val="004A5E53"/>
    <w:rsid w:val="004A60C5"/>
    <w:rsid w:val="004A641E"/>
    <w:rsid w:val="004A64B4"/>
    <w:rsid w:val="004A660C"/>
    <w:rsid w:val="004A6B44"/>
    <w:rsid w:val="004A6E0E"/>
    <w:rsid w:val="004A7498"/>
    <w:rsid w:val="004B0176"/>
    <w:rsid w:val="004B0B19"/>
    <w:rsid w:val="004B1E81"/>
    <w:rsid w:val="004B2261"/>
    <w:rsid w:val="004B2932"/>
    <w:rsid w:val="004B2A8B"/>
    <w:rsid w:val="004B2CD9"/>
    <w:rsid w:val="004B2E1E"/>
    <w:rsid w:val="004B35F0"/>
    <w:rsid w:val="004B37A7"/>
    <w:rsid w:val="004B3B7F"/>
    <w:rsid w:val="004B4426"/>
    <w:rsid w:val="004B44E1"/>
    <w:rsid w:val="004B4572"/>
    <w:rsid w:val="004B47DD"/>
    <w:rsid w:val="004B5F2A"/>
    <w:rsid w:val="004B6134"/>
    <w:rsid w:val="004B6945"/>
    <w:rsid w:val="004B6C5A"/>
    <w:rsid w:val="004B6F60"/>
    <w:rsid w:val="004B74B2"/>
    <w:rsid w:val="004B7EC1"/>
    <w:rsid w:val="004C0603"/>
    <w:rsid w:val="004C06F1"/>
    <w:rsid w:val="004C06FE"/>
    <w:rsid w:val="004C0F90"/>
    <w:rsid w:val="004C103D"/>
    <w:rsid w:val="004C1303"/>
    <w:rsid w:val="004C1399"/>
    <w:rsid w:val="004C1C09"/>
    <w:rsid w:val="004C2A17"/>
    <w:rsid w:val="004C2ADA"/>
    <w:rsid w:val="004C2B0E"/>
    <w:rsid w:val="004C2B82"/>
    <w:rsid w:val="004C4A43"/>
    <w:rsid w:val="004C50E3"/>
    <w:rsid w:val="004C5507"/>
    <w:rsid w:val="004C5E5D"/>
    <w:rsid w:val="004C61B5"/>
    <w:rsid w:val="004C67FA"/>
    <w:rsid w:val="004C7206"/>
    <w:rsid w:val="004C783E"/>
    <w:rsid w:val="004D03B9"/>
    <w:rsid w:val="004D0D6B"/>
    <w:rsid w:val="004D1E1A"/>
    <w:rsid w:val="004D1EFF"/>
    <w:rsid w:val="004D23A9"/>
    <w:rsid w:val="004D2683"/>
    <w:rsid w:val="004D29F5"/>
    <w:rsid w:val="004D2F90"/>
    <w:rsid w:val="004D315C"/>
    <w:rsid w:val="004D35C0"/>
    <w:rsid w:val="004D3F41"/>
    <w:rsid w:val="004D4DC7"/>
    <w:rsid w:val="004D54F8"/>
    <w:rsid w:val="004D584E"/>
    <w:rsid w:val="004D5861"/>
    <w:rsid w:val="004D5C09"/>
    <w:rsid w:val="004D64CD"/>
    <w:rsid w:val="004D660D"/>
    <w:rsid w:val="004D7804"/>
    <w:rsid w:val="004E0124"/>
    <w:rsid w:val="004E0308"/>
    <w:rsid w:val="004E0D86"/>
    <w:rsid w:val="004E0DA8"/>
    <w:rsid w:val="004E15AD"/>
    <w:rsid w:val="004E1AE2"/>
    <w:rsid w:val="004E2825"/>
    <w:rsid w:val="004E3079"/>
    <w:rsid w:val="004E3276"/>
    <w:rsid w:val="004E3836"/>
    <w:rsid w:val="004E3B3F"/>
    <w:rsid w:val="004E3FB5"/>
    <w:rsid w:val="004E4E7C"/>
    <w:rsid w:val="004E5656"/>
    <w:rsid w:val="004E5BA6"/>
    <w:rsid w:val="004E5C2B"/>
    <w:rsid w:val="004E62E4"/>
    <w:rsid w:val="004E7C41"/>
    <w:rsid w:val="004F0E2B"/>
    <w:rsid w:val="004F0E90"/>
    <w:rsid w:val="004F0F5B"/>
    <w:rsid w:val="004F1212"/>
    <w:rsid w:val="004F14B3"/>
    <w:rsid w:val="004F22B8"/>
    <w:rsid w:val="004F23A8"/>
    <w:rsid w:val="004F2437"/>
    <w:rsid w:val="004F2D44"/>
    <w:rsid w:val="004F3832"/>
    <w:rsid w:val="004F38E1"/>
    <w:rsid w:val="004F39F6"/>
    <w:rsid w:val="004F4624"/>
    <w:rsid w:val="004F4FFE"/>
    <w:rsid w:val="004F5573"/>
    <w:rsid w:val="004F5D7F"/>
    <w:rsid w:val="004F5D8B"/>
    <w:rsid w:val="004F634F"/>
    <w:rsid w:val="004F7556"/>
    <w:rsid w:val="004F78BF"/>
    <w:rsid w:val="00500700"/>
    <w:rsid w:val="0050141B"/>
    <w:rsid w:val="005016B0"/>
    <w:rsid w:val="00501786"/>
    <w:rsid w:val="00501878"/>
    <w:rsid w:val="00501A17"/>
    <w:rsid w:val="00501FDA"/>
    <w:rsid w:val="00502638"/>
    <w:rsid w:val="005029BC"/>
    <w:rsid w:val="00502B87"/>
    <w:rsid w:val="0050346A"/>
    <w:rsid w:val="005037DD"/>
    <w:rsid w:val="00503DEA"/>
    <w:rsid w:val="00503FD8"/>
    <w:rsid w:val="00504472"/>
    <w:rsid w:val="005048E3"/>
    <w:rsid w:val="00505457"/>
    <w:rsid w:val="00505A77"/>
    <w:rsid w:val="00505CB3"/>
    <w:rsid w:val="005067C7"/>
    <w:rsid w:val="00506A96"/>
    <w:rsid w:val="00506EB0"/>
    <w:rsid w:val="0050798C"/>
    <w:rsid w:val="00507B36"/>
    <w:rsid w:val="00510FD6"/>
    <w:rsid w:val="0051207B"/>
    <w:rsid w:val="00512119"/>
    <w:rsid w:val="005122D5"/>
    <w:rsid w:val="00512611"/>
    <w:rsid w:val="00512A3D"/>
    <w:rsid w:val="005136CD"/>
    <w:rsid w:val="00513B94"/>
    <w:rsid w:val="00514703"/>
    <w:rsid w:val="00514B1A"/>
    <w:rsid w:val="00514E2B"/>
    <w:rsid w:val="005150C5"/>
    <w:rsid w:val="00515328"/>
    <w:rsid w:val="00515872"/>
    <w:rsid w:val="00517038"/>
    <w:rsid w:val="00517351"/>
    <w:rsid w:val="00520ACC"/>
    <w:rsid w:val="00521860"/>
    <w:rsid w:val="00521D74"/>
    <w:rsid w:val="005222CC"/>
    <w:rsid w:val="005222FB"/>
    <w:rsid w:val="00522335"/>
    <w:rsid w:val="005223B1"/>
    <w:rsid w:val="00522622"/>
    <w:rsid w:val="0052295F"/>
    <w:rsid w:val="00522ACD"/>
    <w:rsid w:val="0052392E"/>
    <w:rsid w:val="00523B5E"/>
    <w:rsid w:val="00523D31"/>
    <w:rsid w:val="00524D23"/>
    <w:rsid w:val="00524D9F"/>
    <w:rsid w:val="005250EE"/>
    <w:rsid w:val="00525285"/>
    <w:rsid w:val="00525AB1"/>
    <w:rsid w:val="00525E03"/>
    <w:rsid w:val="00526B01"/>
    <w:rsid w:val="00526C61"/>
    <w:rsid w:val="00527492"/>
    <w:rsid w:val="00527795"/>
    <w:rsid w:val="005277F5"/>
    <w:rsid w:val="0053032A"/>
    <w:rsid w:val="00530E6D"/>
    <w:rsid w:val="005310C1"/>
    <w:rsid w:val="00531696"/>
    <w:rsid w:val="00531934"/>
    <w:rsid w:val="005328A9"/>
    <w:rsid w:val="00532994"/>
    <w:rsid w:val="005329BE"/>
    <w:rsid w:val="00533096"/>
    <w:rsid w:val="00533515"/>
    <w:rsid w:val="00533678"/>
    <w:rsid w:val="00534129"/>
    <w:rsid w:val="005342DE"/>
    <w:rsid w:val="00534690"/>
    <w:rsid w:val="00534AC0"/>
    <w:rsid w:val="00535557"/>
    <w:rsid w:val="00535B6D"/>
    <w:rsid w:val="00535FDF"/>
    <w:rsid w:val="0053606A"/>
    <w:rsid w:val="005360EE"/>
    <w:rsid w:val="005362DA"/>
    <w:rsid w:val="005369C0"/>
    <w:rsid w:val="00536A7C"/>
    <w:rsid w:val="00536B92"/>
    <w:rsid w:val="005402BA"/>
    <w:rsid w:val="00540811"/>
    <w:rsid w:val="00540B25"/>
    <w:rsid w:val="00540B28"/>
    <w:rsid w:val="00540D82"/>
    <w:rsid w:val="00541254"/>
    <w:rsid w:val="00541F47"/>
    <w:rsid w:val="005421CC"/>
    <w:rsid w:val="00542BA5"/>
    <w:rsid w:val="00542FEC"/>
    <w:rsid w:val="00544324"/>
    <w:rsid w:val="00544841"/>
    <w:rsid w:val="005449CD"/>
    <w:rsid w:val="00547058"/>
    <w:rsid w:val="0054715B"/>
    <w:rsid w:val="00547CD4"/>
    <w:rsid w:val="00547E34"/>
    <w:rsid w:val="00547EB8"/>
    <w:rsid w:val="00552FC2"/>
    <w:rsid w:val="005530B5"/>
    <w:rsid w:val="0055362B"/>
    <w:rsid w:val="00553DA2"/>
    <w:rsid w:val="00553EB9"/>
    <w:rsid w:val="00553F16"/>
    <w:rsid w:val="005543FB"/>
    <w:rsid w:val="0055545F"/>
    <w:rsid w:val="00555623"/>
    <w:rsid w:val="00555B73"/>
    <w:rsid w:val="00555CDB"/>
    <w:rsid w:val="00555E0E"/>
    <w:rsid w:val="005562DC"/>
    <w:rsid w:val="005563A7"/>
    <w:rsid w:val="00556725"/>
    <w:rsid w:val="00557A85"/>
    <w:rsid w:val="00560065"/>
    <w:rsid w:val="005606B5"/>
    <w:rsid w:val="005609F8"/>
    <w:rsid w:val="00560D7D"/>
    <w:rsid w:val="00560E2D"/>
    <w:rsid w:val="00562BAD"/>
    <w:rsid w:val="00563438"/>
    <w:rsid w:val="0056365E"/>
    <w:rsid w:val="00564255"/>
    <w:rsid w:val="00564568"/>
    <w:rsid w:val="00565198"/>
    <w:rsid w:val="00565A65"/>
    <w:rsid w:val="00565C77"/>
    <w:rsid w:val="00566181"/>
    <w:rsid w:val="0056669E"/>
    <w:rsid w:val="00566D88"/>
    <w:rsid w:val="005702AA"/>
    <w:rsid w:val="005708BD"/>
    <w:rsid w:val="00570C02"/>
    <w:rsid w:val="0057317E"/>
    <w:rsid w:val="005731D3"/>
    <w:rsid w:val="005733B6"/>
    <w:rsid w:val="005734F4"/>
    <w:rsid w:val="00573C7D"/>
    <w:rsid w:val="00574906"/>
    <w:rsid w:val="00574E9E"/>
    <w:rsid w:val="005752BC"/>
    <w:rsid w:val="00575429"/>
    <w:rsid w:val="0057560F"/>
    <w:rsid w:val="00575729"/>
    <w:rsid w:val="00575826"/>
    <w:rsid w:val="00575835"/>
    <w:rsid w:val="00575D74"/>
    <w:rsid w:val="00576148"/>
    <w:rsid w:val="0057622F"/>
    <w:rsid w:val="00576506"/>
    <w:rsid w:val="00577772"/>
    <w:rsid w:val="00577977"/>
    <w:rsid w:val="00581719"/>
    <w:rsid w:val="00581D30"/>
    <w:rsid w:val="0058259C"/>
    <w:rsid w:val="00583362"/>
    <w:rsid w:val="00584196"/>
    <w:rsid w:val="00584245"/>
    <w:rsid w:val="00584C2D"/>
    <w:rsid w:val="00584D80"/>
    <w:rsid w:val="00584F2D"/>
    <w:rsid w:val="00585A7B"/>
    <w:rsid w:val="00586535"/>
    <w:rsid w:val="00586661"/>
    <w:rsid w:val="00586BB5"/>
    <w:rsid w:val="00586DFB"/>
    <w:rsid w:val="00586FFF"/>
    <w:rsid w:val="0058708B"/>
    <w:rsid w:val="005873FD"/>
    <w:rsid w:val="00587C83"/>
    <w:rsid w:val="005905BC"/>
    <w:rsid w:val="005909CB"/>
    <w:rsid w:val="00590B75"/>
    <w:rsid w:val="00590DAA"/>
    <w:rsid w:val="00590E60"/>
    <w:rsid w:val="005919D9"/>
    <w:rsid w:val="0059205C"/>
    <w:rsid w:val="00592349"/>
    <w:rsid w:val="0059288E"/>
    <w:rsid w:val="00592D49"/>
    <w:rsid w:val="00592DB1"/>
    <w:rsid w:val="00593D63"/>
    <w:rsid w:val="005955BA"/>
    <w:rsid w:val="005955D8"/>
    <w:rsid w:val="00596A9B"/>
    <w:rsid w:val="00596F3F"/>
    <w:rsid w:val="00596F9B"/>
    <w:rsid w:val="00597427"/>
    <w:rsid w:val="00597EEF"/>
    <w:rsid w:val="00597F54"/>
    <w:rsid w:val="005A1110"/>
    <w:rsid w:val="005A1C4E"/>
    <w:rsid w:val="005A1DAB"/>
    <w:rsid w:val="005A1F60"/>
    <w:rsid w:val="005A2E0C"/>
    <w:rsid w:val="005A3678"/>
    <w:rsid w:val="005A3A80"/>
    <w:rsid w:val="005A3DAF"/>
    <w:rsid w:val="005A4251"/>
    <w:rsid w:val="005A4A1A"/>
    <w:rsid w:val="005A4BE5"/>
    <w:rsid w:val="005A4C9F"/>
    <w:rsid w:val="005A4EBF"/>
    <w:rsid w:val="005A53D8"/>
    <w:rsid w:val="005A5ECA"/>
    <w:rsid w:val="005A61D3"/>
    <w:rsid w:val="005A79AB"/>
    <w:rsid w:val="005A7C0B"/>
    <w:rsid w:val="005A7E70"/>
    <w:rsid w:val="005B0991"/>
    <w:rsid w:val="005B1542"/>
    <w:rsid w:val="005B1A53"/>
    <w:rsid w:val="005B1EA3"/>
    <w:rsid w:val="005B2A08"/>
    <w:rsid w:val="005B2AF7"/>
    <w:rsid w:val="005B2DC3"/>
    <w:rsid w:val="005B3159"/>
    <w:rsid w:val="005B40E8"/>
    <w:rsid w:val="005B4266"/>
    <w:rsid w:val="005B58E6"/>
    <w:rsid w:val="005B5BB3"/>
    <w:rsid w:val="005B5D8A"/>
    <w:rsid w:val="005B621F"/>
    <w:rsid w:val="005B6268"/>
    <w:rsid w:val="005B68B8"/>
    <w:rsid w:val="005B6A94"/>
    <w:rsid w:val="005B6DAA"/>
    <w:rsid w:val="005B6FA1"/>
    <w:rsid w:val="005B6FF4"/>
    <w:rsid w:val="005B7314"/>
    <w:rsid w:val="005B74FB"/>
    <w:rsid w:val="005B7C27"/>
    <w:rsid w:val="005B7D8B"/>
    <w:rsid w:val="005C03F6"/>
    <w:rsid w:val="005C0475"/>
    <w:rsid w:val="005C103E"/>
    <w:rsid w:val="005C1569"/>
    <w:rsid w:val="005C17E0"/>
    <w:rsid w:val="005C224F"/>
    <w:rsid w:val="005C2DFC"/>
    <w:rsid w:val="005C32DC"/>
    <w:rsid w:val="005C348A"/>
    <w:rsid w:val="005C3C1A"/>
    <w:rsid w:val="005C3DA3"/>
    <w:rsid w:val="005C4604"/>
    <w:rsid w:val="005C46D8"/>
    <w:rsid w:val="005C4BEE"/>
    <w:rsid w:val="005C5DBB"/>
    <w:rsid w:val="005C67D3"/>
    <w:rsid w:val="005C6E74"/>
    <w:rsid w:val="005C732E"/>
    <w:rsid w:val="005C73F5"/>
    <w:rsid w:val="005C781C"/>
    <w:rsid w:val="005D13ED"/>
    <w:rsid w:val="005D181E"/>
    <w:rsid w:val="005D1BBF"/>
    <w:rsid w:val="005D1E16"/>
    <w:rsid w:val="005D2227"/>
    <w:rsid w:val="005D2B7D"/>
    <w:rsid w:val="005D330E"/>
    <w:rsid w:val="005D3CB7"/>
    <w:rsid w:val="005D42DA"/>
    <w:rsid w:val="005D48B2"/>
    <w:rsid w:val="005D58F4"/>
    <w:rsid w:val="005D5FB7"/>
    <w:rsid w:val="005D70F3"/>
    <w:rsid w:val="005D7363"/>
    <w:rsid w:val="005D7704"/>
    <w:rsid w:val="005D7A35"/>
    <w:rsid w:val="005E0047"/>
    <w:rsid w:val="005E034F"/>
    <w:rsid w:val="005E04EB"/>
    <w:rsid w:val="005E09A7"/>
    <w:rsid w:val="005E0BBF"/>
    <w:rsid w:val="005E143F"/>
    <w:rsid w:val="005E198B"/>
    <w:rsid w:val="005E19D9"/>
    <w:rsid w:val="005E1C15"/>
    <w:rsid w:val="005E1D35"/>
    <w:rsid w:val="005E2588"/>
    <w:rsid w:val="005E2A31"/>
    <w:rsid w:val="005E3D2F"/>
    <w:rsid w:val="005E4077"/>
    <w:rsid w:val="005E41AE"/>
    <w:rsid w:val="005E442F"/>
    <w:rsid w:val="005E54A3"/>
    <w:rsid w:val="005E5625"/>
    <w:rsid w:val="005E57ED"/>
    <w:rsid w:val="005E5FCF"/>
    <w:rsid w:val="005E61D8"/>
    <w:rsid w:val="005E6341"/>
    <w:rsid w:val="005E6F2B"/>
    <w:rsid w:val="005E7E2C"/>
    <w:rsid w:val="005F021B"/>
    <w:rsid w:val="005F1ADE"/>
    <w:rsid w:val="005F1BC2"/>
    <w:rsid w:val="005F1C4B"/>
    <w:rsid w:val="005F1CD8"/>
    <w:rsid w:val="005F2080"/>
    <w:rsid w:val="005F2550"/>
    <w:rsid w:val="005F2799"/>
    <w:rsid w:val="005F29CD"/>
    <w:rsid w:val="005F3175"/>
    <w:rsid w:val="005F3436"/>
    <w:rsid w:val="005F3506"/>
    <w:rsid w:val="005F365A"/>
    <w:rsid w:val="005F41D8"/>
    <w:rsid w:val="005F4739"/>
    <w:rsid w:val="005F55F8"/>
    <w:rsid w:val="005F5695"/>
    <w:rsid w:val="005F5A8B"/>
    <w:rsid w:val="005F616A"/>
    <w:rsid w:val="005F6228"/>
    <w:rsid w:val="005F642B"/>
    <w:rsid w:val="005F67FC"/>
    <w:rsid w:val="005F711B"/>
    <w:rsid w:val="005F7983"/>
    <w:rsid w:val="00600E99"/>
    <w:rsid w:val="00601630"/>
    <w:rsid w:val="006018C3"/>
    <w:rsid w:val="00601A28"/>
    <w:rsid w:val="006026E1"/>
    <w:rsid w:val="0060296D"/>
    <w:rsid w:val="00602DCB"/>
    <w:rsid w:val="00602E68"/>
    <w:rsid w:val="00602EA2"/>
    <w:rsid w:val="006033B6"/>
    <w:rsid w:val="006038A0"/>
    <w:rsid w:val="00603A90"/>
    <w:rsid w:val="00603D13"/>
    <w:rsid w:val="00603ED7"/>
    <w:rsid w:val="00604932"/>
    <w:rsid w:val="00605163"/>
    <w:rsid w:val="00605AB3"/>
    <w:rsid w:val="00606090"/>
    <w:rsid w:val="006065BF"/>
    <w:rsid w:val="00606F5E"/>
    <w:rsid w:val="006070EA"/>
    <w:rsid w:val="00607866"/>
    <w:rsid w:val="00607ABE"/>
    <w:rsid w:val="00607F53"/>
    <w:rsid w:val="006103D0"/>
    <w:rsid w:val="0061103A"/>
    <w:rsid w:val="00611EAE"/>
    <w:rsid w:val="0061364A"/>
    <w:rsid w:val="00613BEA"/>
    <w:rsid w:val="0061402C"/>
    <w:rsid w:val="00614E58"/>
    <w:rsid w:val="0061595F"/>
    <w:rsid w:val="00615A79"/>
    <w:rsid w:val="00616179"/>
    <w:rsid w:val="00616296"/>
    <w:rsid w:val="0061675B"/>
    <w:rsid w:val="00616A7F"/>
    <w:rsid w:val="00617E2A"/>
    <w:rsid w:val="00620109"/>
    <w:rsid w:val="0062052B"/>
    <w:rsid w:val="00620797"/>
    <w:rsid w:val="00620F8F"/>
    <w:rsid w:val="006216BA"/>
    <w:rsid w:val="00621A86"/>
    <w:rsid w:val="00623401"/>
    <w:rsid w:val="00623EA6"/>
    <w:rsid w:val="00624D02"/>
    <w:rsid w:val="00624E1C"/>
    <w:rsid w:val="006258B8"/>
    <w:rsid w:val="00625C40"/>
    <w:rsid w:val="00626B16"/>
    <w:rsid w:val="0062706E"/>
    <w:rsid w:val="006272DB"/>
    <w:rsid w:val="00627E7C"/>
    <w:rsid w:val="00630501"/>
    <w:rsid w:val="00630CFF"/>
    <w:rsid w:val="00631369"/>
    <w:rsid w:val="00632481"/>
    <w:rsid w:val="0063262D"/>
    <w:rsid w:val="0063268B"/>
    <w:rsid w:val="006338D6"/>
    <w:rsid w:val="0063390E"/>
    <w:rsid w:val="00634673"/>
    <w:rsid w:val="00635528"/>
    <w:rsid w:val="006355C6"/>
    <w:rsid w:val="0063707A"/>
    <w:rsid w:val="00637BBD"/>
    <w:rsid w:val="00640440"/>
    <w:rsid w:val="00640D17"/>
    <w:rsid w:val="00641A99"/>
    <w:rsid w:val="00641CCA"/>
    <w:rsid w:val="006426C6"/>
    <w:rsid w:val="00642768"/>
    <w:rsid w:val="006427E2"/>
    <w:rsid w:val="00642A84"/>
    <w:rsid w:val="00642E6C"/>
    <w:rsid w:val="0064314C"/>
    <w:rsid w:val="00643D44"/>
    <w:rsid w:val="0064411F"/>
    <w:rsid w:val="00645E69"/>
    <w:rsid w:val="00646130"/>
    <w:rsid w:val="00646A7B"/>
    <w:rsid w:val="00646ACE"/>
    <w:rsid w:val="00646CDE"/>
    <w:rsid w:val="00646E66"/>
    <w:rsid w:val="0064720A"/>
    <w:rsid w:val="00647288"/>
    <w:rsid w:val="006474C0"/>
    <w:rsid w:val="0064779E"/>
    <w:rsid w:val="00647927"/>
    <w:rsid w:val="006501F8"/>
    <w:rsid w:val="006509E4"/>
    <w:rsid w:val="00650A3D"/>
    <w:rsid w:val="00650B2D"/>
    <w:rsid w:val="00651543"/>
    <w:rsid w:val="006516E6"/>
    <w:rsid w:val="00651B8F"/>
    <w:rsid w:val="00652B9B"/>
    <w:rsid w:val="00652F78"/>
    <w:rsid w:val="00653600"/>
    <w:rsid w:val="00653683"/>
    <w:rsid w:val="00653743"/>
    <w:rsid w:val="00653DD9"/>
    <w:rsid w:val="00653FDD"/>
    <w:rsid w:val="00654119"/>
    <w:rsid w:val="00654E6A"/>
    <w:rsid w:val="00654EC2"/>
    <w:rsid w:val="006551FC"/>
    <w:rsid w:val="006575F3"/>
    <w:rsid w:val="00660871"/>
    <w:rsid w:val="00660C77"/>
    <w:rsid w:val="00660EF3"/>
    <w:rsid w:val="00661030"/>
    <w:rsid w:val="0066176D"/>
    <w:rsid w:val="0066238E"/>
    <w:rsid w:val="00662809"/>
    <w:rsid w:val="006633D6"/>
    <w:rsid w:val="00663823"/>
    <w:rsid w:val="00663A9C"/>
    <w:rsid w:val="00663BD9"/>
    <w:rsid w:val="00664076"/>
    <w:rsid w:val="0066428B"/>
    <w:rsid w:val="00664E08"/>
    <w:rsid w:val="006650D0"/>
    <w:rsid w:val="00666087"/>
    <w:rsid w:val="00666C50"/>
    <w:rsid w:val="00666FE0"/>
    <w:rsid w:val="0066774D"/>
    <w:rsid w:val="006678EE"/>
    <w:rsid w:val="00667F42"/>
    <w:rsid w:val="00670510"/>
    <w:rsid w:val="00671284"/>
    <w:rsid w:val="00671B7C"/>
    <w:rsid w:val="006727FC"/>
    <w:rsid w:val="00673906"/>
    <w:rsid w:val="006741F0"/>
    <w:rsid w:val="006742B7"/>
    <w:rsid w:val="00674726"/>
    <w:rsid w:val="006750F3"/>
    <w:rsid w:val="006756CD"/>
    <w:rsid w:val="006766AE"/>
    <w:rsid w:val="006768F4"/>
    <w:rsid w:val="00676B3C"/>
    <w:rsid w:val="00676E5B"/>
    <w:rsid w:val="00677D6B"/>
    <w:rsid w:val="006803A3"/>
    <w:rsid w:val="00680479"/>
    <w:rsid w:val="006805A5"/>
    <w:rsid w:val="00680795"/>
    <w:rsid w:val="00682713"/>
    <w:rsid w:val="00682F0B"/>
    <w:rsid w:val="00683451"/>
    <w:rsid w:val="00683579"/>
    <w:rsid w:val="00683E08"/>
    <w:rsid w:val="006843F4"/>
    <w:rsid w:val="00684598"/>
    <w:rsid w:val="00684732"/>
    <w:rsid w:val="006854CE"/>
    <w:rsid w:val="00685E2D"/>
    <w:rsid w:val="0068606E"/>
    <w:rsid w:val="00686A9C"/>
    <w:rsid w:val="00686B47"/>
    <w:rsid w:val="00686CE0"/>
    <w:rsid w:val="0068708B"/>
    <w:rsid w:val="0068790B"/>
    <w:rsid w:val="006879F4"/>
    <w:rsid w:val="0069006E"/>
    <w:rsid w:val="006906E4"/>
    <w:rsid w:val="00690A3D"/>
    <w:rsid w:val="00691C54"/>
    <w:rsid w:val="00691E49"/>
    <w:rsid w:val="006922DC"/>
    <w:rsid w:val="006928E4"/>
    <w:rsid w:val="006941DD"/>
    <w:rsid w:val="006942CF"/>
    <w:rsid w:val="006943D1"/>
    <w:rsid w:val="0069443A"/>
    <w:rsid w:val="0069466B"/>
    <w:rsid w:val="00694795"/>
    <w:rsid w:val="00695014"/>
    <w:rsid w:val="00695686"/>
    <w:rsid w:val="0069576A"/>
    <w:rsid w:val="00695B40"/>
    <w:rsid w:val="00695E9E"/>
    <w:rsid w:val="00696354"/>
    <w:rsid w:val="00696AA8"/>
    <w:rsid w:val="00696DB2"/>
    <w:rsid w:val="0069746A"/>
    <w:rsid w:val="006979A4"/>
    <w:rsid w:val="006A0455"/>
    <w:rsid w:val="006A109F"/>
    <w:rsid w:val="006A257C"/>
    <w:rsid w:val="006A2615"/>
    <w:rsid w:val="006A3CE0"/>
    <w:rsid w:val="006A4158"/>
    <w:rsid w:val="006A41F3"/>
    <w:rsid w:val="006A4A62"/>
    <w:rsid w:val="006A4AA7"/>
    <w:rsid w:val="006A4C75"/>
    <w:rsid w:val="006A4E15"/>
    <w:rsid w:val="006A5866"/>
    <w:rsid w:val="006A5B83"/>
    <w:rsid w:val="006A5C92"/>
    <w:rsid w:val="006A5E4F"/>
    <w:rsid w:val="006A643C"/>
    <w:rsid w:val="006A76A9"/>
    <w:rsid w:val="006A7C9F"/>
    <w:rsid w:val="006A7E53"/>
    <w:rsid w:val="006B051F"/>
    <w:rsid w:val="006B0F54"/>
    <w:rsid w:val="006B12C6"/>
    <w:rsid w:val="006B409F"/>
    <w:rsid w:val="006B415B"/>
    <w:rsid w:val="006B46BC"/>
    <w:rsid w:val="006B4C95"/>
    <w:rsid w:val="006B4CBA"/>
    <w:rsid w:val="006B56CF"/>
    <w:rsid w:val="006B5738"/>
    <w:rsid w:val="006B59AD"/>
    <w:rsid w:val="006B62D0"/>
    <w:rsid w:val="006B6FEB"/>
    <w:rsid w:val="006B7542"/>
    <w:rsid w:val="006B76F8"/>
    <w:rsid w:val="006B77C6"/>
    <w:rsid w:val="006C0A59"/>
    <w:rsid w:val="006C0DEB"/>
    <w:rsid w:val="006C19EE"/>
    <w:rsid w:val="006C1DF5"/>
    <w:rsid w:val="006C2E46"/>
    <w:rsid w:val="006C3B05"/>
    <w:rsid w:val="006C406A"/>
    <w:rsid w:val="006C4A8C"/>
    <w:rsid w:val="006C4E45"/>
    <w:rsid w:val="006C5EE1"/>
    <w:rsid w:val="006C61B1"/>
    <w:rsid w:val="006C6C44"/>
    <w:rsid w:val="006C6DB8"/>
    <w:rsid w:val="006C794D"/>
    <w:rsid w:val="006D0669"/>
    <w:rsid w:val="006D067D"/>
    <w:rsid w:val="006D08C1"/>
    <w:rsid w:val="006D1D4E"/>
    <w:rsid w:val="006D202B"/>
    <w:rsid w:val="006D3771"/>
    <w:rsid w:val="006D440A"/>
    <w:rsid w:val="006D5599"/>
    <w:rsid w:val="006D592F"/>
    <w:rsid w:val="006D62BE"/>
    <w:rsid w:val="006D644B"/>
    <w:rsid w:val="006D6A79"/>
    <w:rsid w:val="006D70D5"/>
    <w:rsid w:val="006D7AD6"/>
    <w:rsid w:val="006D7B71"/>
    <w:rsid w:val="006E0006"/>
    <w:rsid w:val="006E01BB"/>
    <w:rsid w:val="006E0DF6"/>
    <w:rsid w:val="006E16ED"/>
    <w:rsid w:val="006E1BDE"/>
    <w:rsid w:val="006E1CEF"/>
    <w:rsid w:val="006E2452"/>
    <w:rsid w:val="006E3201"/>
    <w:rsid w:val="006E336C"/>
    <w:rsid w:val="006E35A9"/>
    <w:rsid w:val="006E3733"/>
    <w:rsid w:val="006E3B9E"/>
    <w:rsid w:val="006E3E33"/>
    <w:rsid w:val="006E41BE"/>
    <w:rsid w:val="006E4A27"/>
    <w:rsid w:val="006E4DF1"/>
    <w:rsid w:val="006E52DD"/>
    <w:rsid w:val="006E5828"/>
    <w:rsid w:val="006E5C4D"/>
    <w:rsid w:val="006E5E9C"/>
    <w:rsid w:val="006E6BB9"/>
    <w:rsid w:val="006E70CE"/>
    <w:rsid w:val="006E784F"/>
    <w:rsid w:val="006E7AE6"/>
    <w:rsid w:val="006E7F37"/>
    <w:rsid w:val="006F04A4"/>
    <w:rsid w:val="006F0B4F"/>
    <w:rsid w:val="006F0E97"/>
    <w:rsid w:val="006F1122"/>
    <w:rsid w:val="006F1592"/>
    <w:rsid w:val="006F1862"/>
    <w:rsid w:val="006F1C73"/>
    <w:rsid w:val="006F2881"/>
    <w:rsid w:val="006F2DF3"/>
    <w:rsid w:val="006F2DF9"/>
    <w:rsid w:val="006F3018"/>
    <w:rsid w:val="006F3C6F"/>
    <w:rsid w:val="006F41C6"/>
    <w:rsid w:val="006F44DE"/>
    <w:rsid w:val="006F47D8"/>
    <w:rsid w:val="006F4FD5"/>
    <w:rsid w:val="006F5DD9"/>
    <w:rsid w:val="006F5E05"/>
    <w:rsid w:val="006F6E5C"/>
    <w:rsid w:val="006F6FA2"/>
    <w:rsid w:val="006F7760"/>
    <w:rsid w:val="006F7AEE"/>
    <w:rsid w:val="007001D0"/>
    <w:rsid w:val="00700CE3"/>
    <w:rsid w:val="00701471"/>
    <w:rsid w:val="00701498"/>
    <w:rsid w:val="00701E70"/>
    <w:rsid w:val="00704BB6"/>
    <w:rsid w:val="00704F47"/>
    <w:rsid w:val="00705001"/>
    <w:rsid w:val="0070595D"/>
    <w:rsid w:val="00705BC0"/>
    <w:rsid w:val="00705DA4"/>
    <w:rsid w:val="0070625C"/>
    <w:rsid w:val="007072C2"/>
    <w:rsid w:val="0070746B"/>
    <w:rsid w:val="007075CA"/>
    <w:rsid w:val="007078EB"/>
    <w:rsid w:val="00707D46"/>
    <w:rsid w:val="00707EE6"/>
    <w:rsid w:val="00707F52"/>
    <w:rsid w:val="00710C02"/>
    <w:rsid w:val="00711145"/>
    <w:rsid w:val="0071151E"/>
    <w:rsid w:val="007118AC"/>
    <w:rsid w:val="00711FC7"/>
    <w:rsid w:val="00712248"/>
    <w:rsid w:val="00712B07"/>
    <w:rsid w:val="0071482B"/>
    <w:rsid w:val="00714C8F"/>
    <w:rsid w:val="0071537A"/>
    <w:rsid w:val="00715A32"/>
    <w:rsid w:val="00716582"/>
    <w:rsid w:val="00716CA7"/>
    <w:rsid w:val="00716F57"/>
    <w:rsid w:val="00717A74"/>
    <w:rsid w:val="007202EF"/>
    <w:rsid w:val="007202F1"/>
    <w:rsid w:val="00720A99"/>
    <w:rsid w:val="00720EA2"/>
    <w:rsid w:val="00721409"/>
    <w:rsid w:val="00721CE0"/>
    <w:rsid w:val="00721F74"/>
    <w:rsid w:val="007221A2"/>
    <w:rsid w:val="007226AD"/>
    <w:rsid w:val="00722935"/>
    <w:rsid w:val="00722DA6"/>
    <w:rsid w:val="00723BA8"/>
    <w:rsid w:val="00724257"/>
    <w:rsid w:val="007242EC"/>
    <w:rsid w:val="0072568C"/>
    <w:rsid w:val="0072675A"/>
    <w:rsid w:val="00726D5B"/>
    <w:rsid w:val="00726FDE"/>
    <w:rsid w:val="00727815"/>
    <w:rsid w:val="0072798A"/>
    <w:rsid w:val="007301A7"/>
    <w:rsid w:val="00730DAE"/>
    <w:rsid w:val="00730E31"/>
    <w:rsid w:val="00731A81"/>
    <w:rsid w:val="00734096"/>
    <w:rsid w:val="007346F8"/>
    <w:rsid w:val="007349FA"/>
    <w:rsid w:val="00734D66"/>
    <w:rsid w:val="00734E06"/>
    <w:rsid w:val="007361DA"/>
    <w:rsid w:val="00736E9D"/>
    <w:rsid w:val="00736F6F"/>
    <w:rsid w:val="007373FA"/>
    <w:rsid w:val="00737989"/>
    <w:rsid w:val="00737E7D"/>
    <w:rsid w:val="007401A6"/>
    <w:rsid w:val="007405C3"/>
    <w:rsid w:val="0074063F"/>
    <w:rsid w:val="0074078F"/>
    <w:rsid w:val="00740EF1"/>
    <w:rsid w:val="007419ED"/>
    <w:rsid w:val="00741BF8"/>
    <w:rsid w:val="0074250E"/>
    <w:rsid w:val="007437BA"/>
    <w:rsid w:val="007444E7"/>
    <w:rsid w:val="00744DBD"/>
    <w:rsid w:val="00744F6D"/>
    <w:rsid w:val="00745160"/>
    <w:rsid w:val="00745398"/>
    <w:rsid w:val="00746F49"/>
    <w:rsid w:val="00746FC3"/>
    <w:rsid w:val="00747B90"/>
    <w:rsid w:val="00750830"/>
    <w:rsid w:val="00750A1C"/>
    <w:rsid w:val="00751B4E"/>
    <w:rsid w:val="00753BB1"/>
    <w:rsid w:val="00753FAE"/>
    <w:rsid w:val="00754870"/>
    <w:rsid w:val="0075564E"/>
    <w:rsid w:val="007561F0"/>
    <w:rsid w:val="00756632"/>
    <w:rsid w:val="0075754A"/>
    <w:rsid w:val="00757E81"/>
    <w:rsid w:val="00760554"/>
    <w:rsid w:val="0076083D"/>
    <w:rsid w:val="00760907"/>
    <w:rsid w:val="007610EA"/>
    <w:rsid w:val="00761659"/>
    <w:rsid w:val="00761DC2"/>
    <w:rsid w:val="00762B1E"/>
    <w:rsid w:val="00763B65"/>
    <w:rsid w:val="007644D9"/>
    <w:rsid w:val="007647CD"/>
    <w:rsid w:val="007648FE"/>
    <w:rsid w:val="00764B94"/>
    <w:rsid w:val="007652E2"/>
    <w:rsid w:val="00765A82"/>
    <w:rsid w:val="00766434"/>
    <w:rsid w:val="0077074E"/>
    <w:rsid w:val="00770E0E"/>
    <w:rsid w:val="00770E10"/>
    <w:rsid w:val="00770EF6"/>
    <w:rsid w:val="00771025"/>
    <w:rsid w:val="007714C5"/>
    <w:rsid w:val="007716B8"/>
    <w:rsid w:val="00771790"/>
    <w:rsid w:val="00771E5C"/>
    <w:rsid w:val="00772107"/>
    <w:rsid w:val="00772466"/>
    <w:rsid w:val="00772BA7"/>
    <w:rsid w:val="007730F8"/>
    <w:rsid w:val="00773CD5"/>
    <w:rsid w:val="00773E30"/>
    <w:rsid w:val="007742FF"/>
    <w:rsid w:val="007743E2"/>
    <w:rsid w:val="00774A83"/>
    <w:rsid w:val="00775146"/>
    <w:rsid w:val="0077566D"/>
    <w:rsid w:val="0077590D"/>
    <w:rsid w:val="00776097"/>
    <w:rsid w:val="007766A5"/>
    <w:rsid w:val="007766B3"/>
    <w:rsid w:val="00776A57"/>
    <w:rsid w:val="00776E39"/>
    <w:rsid w:val="007776F4"/>
    <w:rsid w:val="00777CF1"/>
    <w:rsid w:val="00777DF6"/>
    <w:rsid w:val="0078016D"/>
    <w:rsid w:val="00780D97"/>
    <w:rsid w:val="00781062"/>
    <w:rsid w:val="007810E1"/>
    <w:rsid w:val="0078164A"/>
    <w:rsid w:val="00781778"/>
    <w:rsid w:val="00782098"/>
    <w:rsid w:val="0078242F"/>
    <w:rsid w:val="00782467"/>
    <w:rsid w:val="00782AEE"/>
    <w:rsid w:val="00783250"/>
    <w:rsid w:val="00783D75"/>
    <w:rsid w:val="007857E3"/>
    <w:rsid w:val="00786231"/>
    <w:rsid w:val="0078759B"/>
    <w:rsid w:val="00787704"/>
    <w:rsid w:val="0079000B"/>
    <w:rsid w:val="007900CB"/>
    <w:rsid w:val="0079029D"/>
    <w:rsid w:val="007902B4"/>
    <w:rsid w:val="007905B2"/>
    <w:rsid w:val="00790E9B"/>
    <w:rsid w:val="00791035"/>
    <w:rsid w:val="007916B1"/>
    <w:rsid w:val="007917E7"/>
    <w:rsid w:val="00791FEA"/>
    <w:rsid w:val="007923B3"/>
    <w:rsid w:val="007924FB"/>
    <w:rsid w:val="007927C6"/>
    <w:rsid w:val="00793309"/>
    <w:rsid w:val="0079348E"/>
    <w:rsid w:val="007939AB"/>
    <w:rsid w:val="00793EEB"/>
    <w:rsid w:val="00793FCE"/>
    <w:rsid w:val="0079405B"/>
    <w:rsid w:val="00794BE1"/>
    <w:rsid w:val="007954C0"/>
    <w:rsid w:val="00795679"/>
    <w:rsid w:val="0079797F"/>
    <w:rsid w:val="007A02AC"/>
    <w:rsid w:val="007A05F4"/>
    <w:rsid w:val="007A0B62"/>
    <w:rsid w:val="007A0B85"/>
    <w:rsid w:val="007A0BB9"/>
    <w:rsid w:val="007A14E8"/>
    <w:rsid w:val="007A17CE"/>
    <w:rsid w:val="007A1D73"/>
    <w:rsid w:val="007A2B79"/>
    <w:rsid w:val="007A2DD8"/>
    <w:rsid w:val="007A373E"/>
    <w:rsid w:val="007A3E71"/>
    <w:rsid w:val="007A3FD7"/>
    <w:rsid w:val="007A4023"/>
    <w:rsid w:val="007A5445"/>
    <w:rsid w:val="007A5A94"/>
    <w:rsid w:val="007A5E11"/>
    <w:rsid w:val="007A6834"/>
    <w:rsid w:val="007A6C47"/>
    <w:rsid w:val="007A7FFD"/>
    <w:rsid w:val="007B0088"/>
    <w:rsid w:val="007B06DD"/>
    <w:rsid w:val="007B1C07"/>
    <w:rsid w:val="007B2370"/>
    <w:rsid w:val="007B2637"/>
    <w:rsid w:val="007B2E10"/>
    <w:rsid w:val="007B31F7"/>
    <w:rsid w:val="007B347F"/>
    <w:rsid w:val="007B3911"/>
    <w:rsid w:val="007B39F6"/>
    <w:rsid w:val="007B4481"/>
    <w:rsid w:val="007B4AA7"/>
    <w:rsid w:val="007B5A98"/>
    <w:rsid w:val="007B5B63"/>
    <w:rsid w:val="007B5E30"/>
    <w:rsid w:val="007B5E45"/>
    <w:rsid w:val="007B6BC1"/>
    <w:rsid w:val="007B7D21"/>
    <w:rsid w:val="007B7EFF"/>
    <w:rsid w:val="007C0247"/>
    <w:rsid w:val="007C1BDA"/>
    <w:rsid w:val="007C1DB0"/>
    <w:rsid w:val="007C2270"/>
    <w:rsid w:val="007C253D"/>
    <w:rsid w:val="007C2618"/>
    <w:rsid w:val="007C27D4"/>
    <w:rsid w:val="007C32C6"/>
    <w:rsid w:val="007C4720"/>
    <w:rsid w:val="007C4CCE"/>
    <w:rsid w:val="007C570A"/>
    <w:rsid w:val="007C6467"/>
    <w:rsid w:val="007C66C4"/>
    <w:rsid w:val="007C6D72"/>
    <w:rsid w:val="007C7D49"/>
    <w:rsid w:val="007C7DE5"/>
    <w:rsid w:val="007D0058"/>
    <w:rsid w:val="007D0EEB"/>
    <w:rsid w:val="007D1D99"/>
    <w:rsid w:val="007D1DC5"/>
    <w:rsid w:val="007D1E06"/>
    <w:rsid w:val="007D208D"/>
    <w:rsid w:val="007D2E5B"/>
    <w:rsid w:val="007D4384"/>
    <w:rsid w:val="007D4D2A"/>
    <w:rsid w:val="007D5C4B"/>
    <w:rsid w:val="007D5E52"/>
    <w:rsid w:val="007D6054"/>
    <w:rsid w:val="007D6E1D"/>
    <w:rsid w:val="007D763D"/>
    <w:rsid w:val="007D77A3"/>
    <w:rsid w:val="007D7DCB"/>
    <w:rsid w:val="007E00B1"/>
    <w:rsid w:val="007E0272"/>
    <w:rsid w:val="007E0749"/>
    <w:rsid w:val="007E0A75"/>
    <w:rsid w:val="007E0E76"/>
    <w:rsid w:val="007E166E"/>
    <w:rsid w:val="007E2F87"/>
    <w:rsid w:val="007E334F"/>
    <w:rsid w:val="007E3AC7"/>
    <w:rsid w:val="007E4155"/>
    <w:rsid w:val="007E57B5"/>
    <w:rsid w:val="007E59FD"/>
    <w:rsid w:val="007E5D39"/>
    <w:rsid w:val="007E66C8"/>
    <w:rsid w:val="007E67BD"/>
    <w:rsid w:val="007E6BBD"/>
    <w:rsid w:val="007E6C4A"/>
    <w:rsid w:val="007E6E39"/>
    <w:rsid w:val="007E78FD"/>
    <w:rsid w:val="007E7B82"/>
    <w:rsid w:val="007F000E"/>
    <w:rsid w:val="007F044A"/>
    <w:rsid w:val="007F06E1"/>
    <w:rsid w:val="007F0C09"/>
    <w:rsid w:val="007F0CD0"/>
    <w:rsid w:val="007F13D7"/>
    <w:rsid w:val="007F1972"/>
    <w:rsid w:val="007F1B9C"/>
    <w:rsid w:val="007F2531"/>
    <w:rsid w:val="007F2D56"/>
    <w:rsid w:val="007F36BA"/>
    <w:rsid w:val="007F3B29"/>
    <w:rsid w:val="007F3E75"/>
    <w:rsid w:val="007F4E40"/>
    <w:rsid w:val="007F4F3E"/>
    <w:rsid w:val="007F509A"/>
    <w:rsid w:val="007F517F"/>
    <w:rsid w:val="007F6391"/>
    <w:rsid w:val="007F6BB8"/>
    <w:rsid w:val="007F6CAD"/>
    <w:rsid w:val="007F6FB8"/>
    <w:rsid w:val="007F727A"/>
    <w:rsid w:val="007F7481"/>
    <w:rsid w:val="007F76FF"/>
    <w:rsid w:val="007F7743"/>
    <w:rsid w:val="007F7E83"/>
    <w:rsid w:val="00800536"/>
    <w:rsid w:val="00800ED6"/>
    <w:rsid w:val="00801491"/>
    <w:rsid w:val="008015A7"/>
    <w:rsid w:val="00801B8F"/>
    <w:rsid w:val="00801E64"/>
    <w:rsid w:val="00801EF6"/>
    <w:rsid w:val="00802AEC"/>
    <w:rsid w:val="00803099"/>
    <w:rsid w:val="00803863"/>
    <w:rsid w:val="00803A64"/>
    <w:rsid w:val="0080406C"/>
    <w:rsid w:val="008040A0"/>
    <w:rsid w:val="0080433D"/>
    <w:rsid w:val="0080562C"/>
    <w:rsid w:val="00805A70"/>
    <w:rsid w:val="008071D0"/>
    <w:rsid w:val="0080739A"/>
    <w:rsid w:val="00807618"/>
    <w:rsid w:val="0080771C"/>
    <w:rsid w:val="0081037F"/>
    <w:rsid w:val="0081066B"/>
    <w:rsid w:val="00810809"/>
    <w:rsid w:val="00810C6A"/>
    <w:rsid w:val="00810C86"/>
    <w:rsid w:val="00811069"/>
    <w:rsid w:val="008113E2"/>
    <w:rsid w:val="00812350"/>
    <w:rsid w:val="00812369"/>
    <w:rsid w:val="00812741"/>
    <w:rsid w:val="008128E3"/>
    <w:rsid w:val="00812A42"/>
    <w:rsid w:val="00812B12"/>
    <w:rsid w:val="0081379F"/>
    <w:rsid w:val="00815336"/>
    <w:rsid w:val="00815871"/>
    <w:rsid w:val="0082038E"/>
    <w:rsid w:val="00820BFE"/>
    <w:rsid w:val="00821789"/>
    <w:rsid w:val="0082180B"/>
    <w:rsid w:val="008218C3"/>
    <w:rsid w:val="00821BC9"/>
    <w:rsid w:val="00821EB9"/>
    <w:rsid w:val="008245AC"/>
    <w:rsid w:val="00824FCB"/>
    <w:rsid w:val="00825147"/>
    <w:rsid w:val="00825780"/>
    <w:rsid w:val="00825ABD"/>
    <w:rsid w:val="00825D4F"/>
    <w:rsid w:val="0082623C"/>
    <w:rsid w:val="0082674E"/>
    <w:rsid w:val="00826831"/>
    <w:rsid w:val="0082739A"/>
    <w:rsid w:val="00827FF0"/>
    <w:rsid w:val="00830017"/>
    <w:rsid w:val="008304E2"/>
    <w:rsid w:val="00830787"/>
    <w:rsid w:val="00830DC9"/>
    <w:rsid w:val="00831489"/>
    <w:rsid w:val="00831B88"/>
    <w:rsid w:val="00831C39"/>
    <w:rsid w:val="00832BBB"/>
    <w:rsid w:val="00833159"/>
    <w:rsid w:val="00833A6A"/>
    <w:rsid w:val="00833E2F"/>
    <w:rsid w:val="00834240"/>
    <w:rsid w:val="00834592"/>
    <w:rsid w:val="00834A3F"/>
    <w:rsid w:val="00834F9A"/>
    <w:rsid w:val="00834FDA"/>
    <w:rsid w:val="00835542"/>
    <w:rsid w:val="008358D0"/>
    <w:rsid w:val="008368F3"/>
    <w:rsid w:val="00836F4D"/>
    <w:rsid w:val="008379AA"/>
    <w:rsid w:val="008400A8"/>
    <w:rsid w:val="0084156A"/>
    <w:rsid w:val="008427B1"/>
    <w:rsid w:val="0084290C"/>
    <w:rsid w:val="0084299F"/>
    <w:rsid w:val="00842A3B"/>
    <w:rsid w:val="008436AB"/>
    <w:rsid w:val="00843D76"/>
    <w:rsid w:val="00844095"/>
    <w:rsid w:val="00844375"/>
    <w:rsid w:val="008449FF"/>
    <w:rsid w:val="00844A88"/>
    <w:rsid w:val="00844F27"/>
    <w:rsid w:val="008452E9"/>
    <w:rsid w:val="00845C33"/>
    <w:rsid w:val="00845E77"/>
    <w:rsid w:val="0084601D"/>
    <w:rsid w:val="008462FB"/>
    <w:rsid w:val="00846C73"/>
    <w:rsid w:val="00846C82"/>
    <w:rsid w:val="00846DCE"/>
    <w:rsid w:val="008473F2"/>
    <w:rsid w:val="00850049"/>
    <w:rsid w:val="008500CD"/>
    <w:rsid w:val="00850462"/>
    <w:rsid w:val="00851238"/>
    <w:rsid w:val="0085161D"/>
    <w:rsid w:val="00851D3A"/>
    <w:rsid w:val="00852C38"/>
    <w:rsid w:val="00852EEF"/>
    <w:rsid w:val="00854665"/>
    <w:rsid w:val="00855597"/>
    <w:rsid w:val="00855780"/>
    <w:rsid w:val="00855783"/>
    <w:rsid w:val="008557AA"/>
    <w:rsid w:val="00855C6B"/>
    <w:rsid w:val="00856178"/>
    <w:rsid w:val="008567C0"/>
    <w:rsid w:val="00856C69"/>
    <w:rsid w:val="008570AB"/>
    <w:rsid w:val="008573EA"/>
    <w:rsid w:val="00857A00"/>
    <w:rsid w:val="00860396"/>
    <w:rsid w:val="00860500"/>
    <w:rsid w:val="00860658"/>
    <w:rsid w:val="00860751"/>
    <w:rsid w:val="008618CC"/>
    <w:rsid w:val="00861914"/>
    <w:rsid w:val="00862339"/>
    <w:rsid w:val="00862545"/>
    <w:rsid w:val="00862AEB"/>
    <w:rsid w:val="00862D62"/>
    <w:rsid w:val="00863356"/>
    <w:rsid w:val="008641FC"/>
    <w:rsid w:val="00864544"/>
    <w:rsid w:val="008653B5"/>
    <w:rsid w:val="00865866"/>
    <w:rsid w:val="00865A76"/>
    <w:rsid w:val="008663D7"/>
    <w:rsid w:val="00866D91"/>
    <w:rsid w:val="00866FAD"/>
    <w:rsid w:val="0086730B"/>
    <w:rsid w:val="008674DC"/>
    <w:rsid w:val="008679E6"/>
    <w:rsid w:val="00867A0F"/>
    <w:rsid w:val="00870A29"/>
    <w:rsid w:val="00870BCD"/>
    <w:rsid w:val="0087111F"/>
    <w:rsid w:val="00871811"/>
    <w:rsid w:val="00871C36"/>
    <w:rsid w:val="00872071"/>
    <w:rsid w:val="008728C3"/>
    <w:rsid w:val="00872E1F"/>
    <w:rsid w:val="0087302F"/>
    <w:rsid w:val="00873670"/>
    <w:rsid w:val="00873942"/>
    <w:rsid w:val="0087400E"/>
    <w:rsid w:val="00874A15"/>
    <w:rsid w:val="00874E72"/>
    <w:rsid w:val="00876269"/>
    <w:rsid w:val="00876277"/>
    <w:rsid w:val="0087766B"/>
    <w:rsid w:val="00880558"/>
    <w:rsid w:val="00881498"/>
    <w:rsid w:val="00881534"/>
    <w:rsid w:val="00881DD6"/>
    <w:rsid w:val="0088217F"/>
    <w:rsid w:val="00882E9B"/>
    <w:rsid w:val="00882ED0"/>
    <w:rsid w:val="00883894"/>
    <w:rsid w:val="00883B3E"/>
    <w:rsid w:val="00883DFE"/>
    <w:rsid w:val="0088445A"/>
    <w:rsid w:val="00884E6A"/>
    <w:rsid w:val="00885023"/>
    <w:rsid w:val="00885491"/>
    <w:rsid w:val="00885DA2"/>
    <w:rsid w:val="00885E17"/>
    <w:rsid w:val="00886342"/>
    <w:rsid w:val="00886BC8"/>
    <w:rsid w:val="00886F14"/>
    <w:rsid w:val="008875DE"/>
    <w:rsid w:val="00887BC4"/>
    <w:rsid w:val="00887E8B"/>
    <w:rsid w:val="00890078"/>
    <w:rsid w:val="00890601"/>
    <w:rsid w:val="0089074D"/>
    <w:rsid w:val="0089092F"/>
    <w:rsid w:val="00891358"/>
    <w:rsid w:val="00892FC9"/>
    <w:rsid w:val="00893594"/>
    <w:rsid w:val="008935C7"/>
    <w:rsid w:val="00894100"/>
    <w:rsid w:val="008947EA"/>
    <w:rsid w:val="00894ABF"/>
    <w:rsid w:val="00895FFF"/>
    <w:rsid w:val="00896410"/>
    <w:rsid w:val="008965AD"/>
    <w:rsid w:val="00896FF4"/>
    <w:rsid w:val="0089709F"/>
    <w:rsid w:val="008A07F1"/>
    <w:rsid w:val="008A0A69"/>
    <w:rsid w:val="008A0E85"/>
    <w:rsid w:val="008A14C9"/>
    <w:rsid w:val="008A15CB"/>
    <w:rsid w:val="008A1DDE"/>
    <w:rsid w:val="008A2544"/>
    <w:rsid w:val="008A2E51"/>
    <w:rsid w:val="008A2F4C"/>
    <w:rsid w:val="008A3211"/>
    <w:rsid w:val="008A34CE"/>
    <w:rsid w:val="008A371D"/>
    <w:rsid w:val="008A5230"/>
    <w:rsid w:val="008A52AC"/>
    <w:rsid w:val="008A5443"/>
    <w:rsid w:val="008A55A8"/>
    <w:rsid w:val="008A5F01"/>
    <w:rsid w:val="008A6B66"/>
    <w:rsid w:val="008A7078"/>
    <w:rsid w:val="008A769B"/>
    <w:rsid w:val="008B0969"/>
    <w:rsid w:val="008B0F5B"/>
    <w:rsid w:val="008B11D0"/>
    <w:rsid w:val="008B1AEA"/>
    <w:rsid w:val="008B1F58"/>
    <w:rsid w:val="008B20B3"/>
    <w:rsid w:val="008B32B6"/>
    <w:rsid w:val="008B3DDE"/>
    <w:rsid w:val="008B4464"/>
    <w:rsid w:val="008B47A8"/>
    <w:rsid w:val="008B4BAE"/>
    <w:rsid w:val="008B4BF2"/>
    <w:rsid w:val="008B506E"/>
    <w:rsid w:val="008B56E5"/>
    <w:rsid w:val="008B5AFD"/>
    <w:rsid w:val="008B6650"/>
    <w:rsid w:val="008B7289"/>
    <w:rsid w:val="008B729C"/>
    <w:rsid w:val="008B7524"/>
    <w:rsid w:val="008B7A4E"/>
    <w:rsid w:val="008B7BDB"/>
    <w:rsid w:val="008C1506"/>
    <w:rsid w:val="008C2D30"/>
    <w:rsid w:val="008C317C"/>
    <w:rsid w:val="008C33F2"/>
    <w:rsid w:val="008C444D"/>
    <w:rsid w:val="008C589E"/>
    <w:rsid w:val="008C60C3"/>
    <w:rsid w:val="008C61DB"/>
    <w:rsid w:val="008C6C92"/>
    <w:rsid w:val="008C70A4"/>
    <w:rsid w:val="008C70DD"/>
    <w:rsid w:val="008C77F7"/>
    <w:rsid w:val="008D0262"/>
    <w:rsid w:val="008D0992"/>
    <w:rsid w:val="008D0AE4"/>
    <w:rsid w:val="008D1B0D"/>
    <w:rsid w:val="008D20E6"/>
    <w:rsid w:val="008D2CAB"/>
    <w:rsid w:val="008D2F52"/>
    <w:rsid w:val="008D3A29"/>
    <w:rsid w:val="008D3E19"/>
    <w:rsid w:val="008D418B"/>
    <w:rsid w:val="008D42A0"/>
    <w:rsid w:val="008D57A4"/>
    <w:rsid w:val="008D5F06"/>
    <w:rsid w:val="008D5F59"/>
    <w:rsid w:val="008D6B57"/>
    <w:rsid w:val="008D6EE0"/>
    <w:rsid w:val="008D74C3"/>
    <w:rsid w:val="008D7DFC"/>
    <w:rsid w:val="008D7EDD"/>
    <w:rsid w:val="008E00FD"/>
    <w:rsid w:val="008E07C6"/>
    <w:rsid w:val="008E152D"/>
    <w:rsid w:val="008E3214"/>
    <w:rsid w:val="008E33EA"/>
    <w:rsid w:val="008E3D5D"/>
    <w:rsid w:val="008E4180"/>
    <w:rsid w:val="008E41A0"/>
    <w:rsid w:val="008E4ECE"/>
    <w:rsid w:val="008E543E"/>
    <w:rsid w:val="008E5BB7"/>
    <w:rsid w:val="008E5C12"/>
    <w:rsid w:val="008E5F84"/>
    <w:rsid w:val="008E6A1B"/>
    <w:rsid w:val="008E6FAD"/>
    <w:rsid w:val="008E6FF6"/>
    <w:rsid w:val="008E72E5"/>
    <w:rsid w:val="008E761E"/>
    <w:rsid w:val="008E79F9"/>
    <w:rsid w:val="008E7DCC"/>
    <w:rsid w:val="008F0EA9"/>
    <w:rsid w:val="008F1B1E"/>
    <w:rsid w:val="008F1CE8"/>
    <w:rsid w:val="008F26EF"/>
    <w:rsid w:val="008F2B7E"/>
    <w:rsid w:val="008F31DF"/>
    <w:rsid w:val="008F38F6"/>
    <w:rsid w:val="008F3B9C"/>
    <w:rsid w:val="008F411D"/>
    <w:rsid w:val="008F4521"/>
    <w:rsid w:val="008F4D31"/>
    <w:rsid w:val="008F4DB4"/>
    <w:rsid w:val="008F53F5"/>
    <w:rsid w:val="008F5589"/>
    <w:rsid w:val="008F55D2"/>
    <w:rsid w:val="008F56A2"/>
    <w:rsid w:val="008F5E30"/>
    <w:rsid w:val="008F5FF0"/>
    <w:rsid w:val="008F61F2"/>
    <w:rsid w:val="008F63BC"/>
    <w:rsid w:val="008F6485"/>
    <w:rsid w:val="008F6FF4"/>
    <w:rsid w:val="008F710C"/>
    <w:rsid w:val="008F743D"/>
    <w:rsid w:val="008F7B17"/>
    <w:rsid w:val="008F7F78"/>
    <w:rsid w:val="008F7FEA"/>
    <w:rsid w:val="00900316"/>
    <w:rsid w:val="009010D0"/>
    <w:rsid w:val="0090122A"/>
    <w:rsid w:val="009014A1"/>
    <w:rsid w:val="00901F73"/>
    <w:rsid w:val="0090394F"/>
    <w:rsid w:val="00904C68"/>
    <w:rsid w:val="00905269"/>
    <w:rsid w:val="009054D3"/>
    <w:rsid w:val="00905587"/>
    <w:rsid w:val="009057D3"/>
    <w:rsid w:val="009068B4"/>
    <w:rsid w:val="00906D57"/>
    <w:rsid w:val="00907B9D"/>
    <w:rsid w:val="00910CFA"/>
    <w:rsid w:val="00911D14"/>
    <w:rsid w:val="009125D2"/>
    <w:rsid w:val="00912FAA"/>
    <w:rsid w:val="00913DEC"/>
    <w:rsid w:val="00914007"/>
    <w:rsid w:val="00914FA2"/>
    <w:rsid w:val="00915E3F"/>
    <w:rsid w:val="00915F49"/>
    <w:rsid w:val="00915F97"/>
    <w:rsid w:val="0091621A"/>
    <w:rsid w:val="009164E3"/>
    <w:rsid w:val="00916E04"/>
    <w:rsid w:val="009176DF"/>
    <w:rsid w:val="009179EB"/>
    <w:rsid w:val="0092077C"/>
    <w:rsid w:val="0092273F"/>
    <w:rsid w:val="00922C44"/>
    <w:rsid w:val="009238F1"/>
    <w:rsid w:val="009244FC"/>
    <w:rsid w:val="00924922"/>
    <w:rsid w:val="009249B4"/>
    <w:rsid w:val="00926716"/>
    <w:rsid w:val="009270DB"/>
    <w:rsid w:val="00927850"/>
    <w:rsid w:val="00930BEB"/>
    <w:rsid w:val="009318FE"/>
    <w:rsid w:val="009323DF"/>
    <w:rsid w:val="00932415"/>
    <w:rsid w:val="009324D5"/>
    <w:rsid w:val="00932AFC"/>
    <w:rsid w:val="00932D24"/>
    <w:rsid w:val="0093389C"/>
    <w:rsid w:val="00933A7D"/>
    <w:rsid w:val="00933DA9"/>
    <w:rsid w:val="009344CF"/>
    <w:rsid w:val="0093452F"/>
    <w:rsid w:val="009348BB"/>
    <w:rsid w:val="0093491F"/>
    <w:rsid w:val="00934D29"/>
    <w:rsid w:val="009351CF"/>
    <w:rsid w:val="00935E14"/>
    <w:rsid w:val="0093640D"/>
    <w:rsid w:val="0093679F"/>
    <w:rsid w:val="009371B2"/>
    <w:rsid w:val="00940229"/>
    <w:rsid w:val="009415D7"/>
    <w:rsid w:val="00941E4F"/>
    <w:rsid w:val="009421A0"/>
    <w:rsid w:val="00942454"/>
    <w:rsid w:val="009429CC"/>
    <w:rsid w:val="00942EC5"/>
    <w:rsid w:val="00943503"/>
    <w:rsid w:val="00943AB6"/>
    <w:rsid w:val="00944525"/>
    <w:rsid w:val="0094480E"/>
    <w:rsid w:val="00944A25"/>
    <w:rsid w:val="00945B0B"/>
    <w:rsid w:val="00945BF3"/>
    <w:rsid w:val="0094659C"/>
    <w:rsid w:val="0094787D"/>
    <w:rsid w:val="00947B5B"/>
    <w:rsid w:val="00950281"/>
    <w:rsid w:val="00951BD3"/>
    <w:rsid w:val="00951DB3"/>
    <w:rsid w:val="00951F05"/>
    <w:rsid w:val="009529FD"/>
    <w:rsid w:val="00952B8F"/>
    <w:rsid w:val="00953198"/>
    <w:rsid w:val="0095410A"/>
    <w:rsid w:val="0095496C"/>
    <w:rsid w:val="0095569B"/>
    <w:rsid w:val="009559F2"/>
    <w:rsid w:val="009562CC"/>
    <w:rsid w:val="00956474"/>
    <w:rsid w:val="0095695E"/>
    <w:rsid w:val="00957310"/>
    <w:rsid w:val="009573E1"/>
    <w:rsid w:val="0095750D"/>
    <w:rsid w:val="009576F6"/>
    <w:rsid w:val="00960B83"/>
    <w:rsid w:val="009628FD"/>
    <w:rsid w:val="00962B8F"/>
    <w:rsid w:val="009637E4"/>
    <w:rsid w:val="00963C5E"/>
    <w:rsid w:val="00964464"/>
    <w:rsid w:val="0096538E"/>
    <w:rsid w:val="00965573"/>
    <w:rsid w:val="00965665"/>
    <w:rsid w:val="00965738"/>
    <w:rsid w:val="00965949"/>
    <w:rsid w:val="00965ECE"/>
    <w:rsid w:val="0096632E"/>
    <w:rsid w:val="00966C1F"/>
    <w:rsid w:val="00966D4F"/>
    <w:rsid w:val="00967B4E"/>
    <w:rsid w:val="00970E65"/>
    <w:rsid w:val="0097102C"/>
    <w:rsid w:val="00971CBF"/>
    <w:rsid w:val="00971F52"/>
    <w:rsid w:val="0097202E"/>
    <w:rsid w:val="00972E0B"/>
    <w:rsid w:val="00973DEC"/>
    <w:rsid w:val="0097462D"/>
    <w:rsid w:val="0097484B"/>
    <w:rsid w:val="009748F0"/>
    <w:rsid w:val="00974A7C"/>
    <w:rsid w:val="00974B5D"/>
    <w:rsid w:val="00974C43"/>
    <w:rsid w:val="0097529B"/>
    <w:rsid w:val="0097541B"/>
    <w:rsid w:val="0097560A"/>
    <w:rsid w:val="00975842"/>
    <w:rsid w:val="0097587B"/>
    <w:rsid w:val="009763C1"/>
    <w:rsid w:val="009766FE"/>
    <w:rsid w:val="00976A76"/>
    <w:rsid w:val="00976E7D"/>
    <w:rsid w:val="00977715"/>
    <w:rsid w:val="00980408"/>
    <w:rsid w:val="00980439"/>
    <w:rsid w:val="00980617"/>
    <w:rsid w:val="0098195C"/>
    <w:rsid w:val="00981CDD"/>
    <w:rsid w:val="00982304"/>
    <w:rsid w:val="00982444"/>
    <w:rsid w:val="00982963"/>
    <w:rsid w:val="00982BA7"/>
    <w:rsid w:val="00982D92"/>
    <w:rsid w:val="00982F10"/>
    <w:rsid w:val="009834A0"/>
    <w:rsid w:val="009839BB"/>
    <w:rsid w:val="009843A8"/>
    <w:rsid w:val="00984624"/>
    <w:rsid w:val="00984764"/>
    <w:rsid w:val="00984993"/>
    <w:rsid w:val="00984CA2"/>
    <w:rsid w:val="009854F1"/>
    <w:rsid w:val="00986BA6"/>
    <w:rsid w:val="0098714A"/>
    <w:rsid w:val="009876CD"/>
    <w:rsid w:val="00990428"/>
    <w:rsid w:val="00990530"/>
    <w:rsid w:val="009906B2"/>
    <w:rsid w:val="00990B22"/>
    <w:rsid w:val="009910DC"/>
    <w:rsid w:val="009915F3"/>
    <w:rsid w:val="00991C4C"/>
    <w:rsid w:val="00991F1B"/>
    <w:rsid w:val="00993EA1"/>
    <w:rsid w:val="0099496C"/>
    <w:rsid w:val="00995582"/>
    <w:rsid w:val="0099559F"/>
    <w:rsid w:val="00996215"/>
    <w:rsid w:val="00996569"/>
    <w:rsid w:val="00996C10"/>
    <w:rsid w:val="0099781B"/>
    <w:rsid w:val="009A057B"/>
    <w:rsid w:val="009A06F0"/>
    <w:rsid w:val="009A0706"/>
    <w:rsid w:val="009A0E7C"/>
    <w:rsid w:val="009A14DE"/>
    <w:rsid w:val="009A2294"/>
    <w:rsid w:val="009A386E"/>
    <w:rsid w:val="009A3D78"/>
    <w:rsid w:val="009A40DD"/>
    <w:rsid w:val="009A4A00"/>
    <w:rsid w:val="009A5F36"/>
    <w:rsid w:val="009A633D"/>
    <w:rsid w:val="009A6971"/>
    <w:rsid w:val="009A6DED"/>
    <w:rsid w:val="009A72B5"/>
    <w:rsid w:val="009A7916"/>
    <w:rsid w:val="009A7BC2"/>
    <w:rsid w:val="009B011E"/>
    <w:rsid w:val="009B020B"/>
    <w:rsid w:val="009B0AA3"/>
    <w:rsid w:val="009B0AE3"/>
    <w:rsid w:val="009B1103"/>
    <w:rsid w:val="009B180F"/>
    <w:rsid w:val="009B1897"/>
    <w:rsid w:val="009B1BB7"/>
    <w:rsid w:val="009B1C51"/>
    <w:rsid w:val="009B44B7"/>
    <w:rsid w:val="009B48D4"/>
    <w:rsid w:val="009B4C1C"/>
    <w:rsid w:val="009B751B"/>
    <w:rsid w:val="009B7E53"/>
    <w:rsid w:val="009C0992"/>
    <w:rsid w:val="009C0C48"/>
    <w:rsid w:val="009C1830"/>
    <w:rsid w:val="009C23DA"/>
    <w:rsid w:val="009C24B3"/>
    <w:rsid w:val="009C2C09"/>
    <w:rsid w:val="009C2E5A"/>
    <w:rsid w:val="009C323D"/>
    <w:rsid w:val="009C39DB"/>
    <w:rsid w:val="009C4A3A"/>
    <w:rsid w:val="009C5A7F"/>
    <w:rsid w:val="009C6214"/>
    <w:rsid w:val="009C672A"/>
    <w:rsid w:val="009C67CF"/>
    <w:rsid w:val="009C6DBE"/>
    <w:rsid w:val="009C703A"/>
    <w:rsid w:val="009C78A4"/>
    <w:rsid w:val="009C7B18"/>
    <w:rsid w:val="009C7BF5"/>
    <w:rsid w:val="009C7D55"/>
    <w:rsid w:val="009C7F52"/>
    <w:rsid w:val="009D07F2"/>
    <w:rsid w:val="009D0899"/>
    <w:rsid w:val="009D0DEE"/>
    <w:rsid w:val="009D1884"/>
    <w:rsid w:val="009D1C4C"/>
    <w:rsid w:val="009D24A3"/>
    <w:rsid w:val="009D2974"/>
    <w:rsid w:val="009D2FD6"/>
    <w:rsid w:val="009D3295"/>
    <w:rsid w:val="009D3665"/>
    <w:rsid w:val="009D3A2C"/>
    <w:rsid w:val="009D3C84"/>
    <w:rsid w:val="009D3E2A"/>
    <w:rsid w:val="009D4050"/>
    <w:rsid w:val="009D40C6"/>
    <w:rsid w:val="009D47F0"/>
    <w:rsid w:val="009D54F3"/>
    <w:rsid w:val="009D5DA3"/>
    <w:rsid w:val="009D6720"/>
    <w:rsid w:val="009D6969"/>
    <w:rsid w:val="009D7470"/>
    <w:rsid w:val="009D79A6"/>
    <w:rsid w:val="009D7A58"/>
    <w:rsid w:val="009D7C5C"/>
    <w:rsid w:val="009E0148"/>
    <w:rsid w:val="009E0638"/>
    <w:rsid w:val="009E0828"/>
    <w:rsid w:val="009E0CED"/>
    <w:rsid w:val="009E17A2"/>
    <w:rsid w:val="009E1A09"/>
    <w:rsid w:val="009E1AEE"/>
    <w:rsid w:val="009E2D23"/>
    <w:rsid w:val="009E3199"/>
    <w:rsid w:val="009E35BE"/>
    <w:rsid w:val="009E4043"/>
    <w:rsid w:val="009E43C1"/>
    <w:rsid w:val="009E477E"/>
    <w:rsid w:val="009E5198"/>
    <w:rsid w:val="009E54AE"/>
    <w:rsid w:val="009E5FC3"/>
    <w:rsid w:val="009E6DF1"/>
    <w:rsid w:val="009E7633"/>
    <w:rsid w:val="009E7A6E"/>
    <w:rsid w:val="009F0B8C"/>
    <w:rsid w:val="009F36EF"/>
    <w:rsid w:val="009F3BA0"/>
    <w:rsid w:val="009F3F5D"/>
    <w:rsid w:val="009F43CB"/>
    <w:rsid w:val="009F4CB9"/>
    <w:rsid w:val="009F4F95"/>
    <w:rsid w:val="009F5977"/>
    <w:rsid w:val="009F5A6F"/>
    <w:rsid w:val="009F6551"/>
    <w:rsid w:val="00A00283"/>
    <w:rsid w:val="00A00990"/>
    <w:rsid w:val="00A01C02"/>
    <w:rsid w:val="00A01D79"/>
    <w:rsid w:val="00A02D24"/>
    <w:rsid w:val="00A02E16"/>
    <w:rsid w:val="00A03A16"/>
    <w:rsid w:val="00A041D0"/>
    <w:rsid w:val="00A04808"/>
    <w:rsid w:val="00A05113"/>
    <w:rsid w:val="00A054DC"/>
    <w:rsid w:val="00A069AE"/>
    <w:rsid w:val="00A07DB3"/>
    <w:rsid w:val="00A10389"/>
    <w:rsid w:val="00A1133E"/>
    <w:rsid w:val="00A11888"/>
    <w:rsid w:val="00A11B8C"/>
    <w:rsid w:val="00A11E62"/>
    <w:rsid w:val="00A11E8F"/>
    <w:rsid w:val="00A12369"/>
    <w:rsid w:val="00A12627"/>
    <w:rsid w:val="00A134F2"/>
    <w:rsid w:val="00A13522"/>
    <w:rsid w:val="00A14357"/>
    <w:rsid w:val="00A1524F"/>
    <w:rsid w:val="00A15CD3"/>
    <w:rsid w:val="00A15E63"/>
    <w:rsid w:val="00A167D9"/>
    <w:rsid w:val="00A16DB9"/>
    <w:rsid w:val="00A17672"/>
    <w:rsid w:val="00A20A6B"/>
    <w:rsid w:val="00A20C5D"/>
    <w:rsid w:val="00A2120A"/>
    <w:rsid w:val="00A21597"/>
    <w:rsid w:val="00A219B3"/>
    <w:rsid w:val="00A222CA"/>
    <w:rsid w:val="00A22413"/>
    <w:rsid w:val="00A22423"/>
    <w:rsid w:val="00A22427"/>
    <w:rsid w:val="00A225E3"/>
    <w:rsid w:val="00A239CC"/>
    <w:rsid w:val="00A23BC2"/>
    <w:rsid w:val="00A2464F"/>
    <w:rsid w:val="00A248C9"/>
    <w:rsid w:val="00A24CD4"/>
    <w:rsid w:val="00A24F15"/>
    <w:rsid w:val="00A25416"/>
    <w:rsid w:val="00A26F01"/>
    <w:rsid w:val="00A276E0"/>
    <w:rsid w:val="00A279AC"/>
    <w:rsid w:val="00A27A30"/>
    <w:rsid w:val="00A30C5D"/>
    <w:rsid w:val="00A310F1"/>
    <w:rsid w:val="00A3195C"/>
    <w:rsid w:val="00A31C68"/>
    <w:rsid w:val="00A31E67"/>
    <w:rsid w:val="00A31FFF"/>
    <w:rsid w:val="00A325AE"/>
    <w:rsid w:val="00A326A6"/>
    <w:rsid w:val="00A342D9"/>
    <w:rsid w:val="00A346BE"/>
    <w:rsid w:val="00A35C2A"/>
    <w:rsid w:val="00A35CAC"/>
    <w:rsid w:val="00A35E30"/>
    <w:rsid w:val="00A35FAA"/>
    <w:rsid w:val="00A37128"/>
    <w:rsid w:val="00A372E6"/>
    <w:rsid w:val="00A40163"/>
    <w:rsid w:val="00A405F9"/>
    <w:rsid w:val="00A409BC"/>
    <w:rsid w:val="00A40FC3"/>
    <w:rsid w:val="00A41304"/>
    <w:rsid w:val="00A41835"/>
    <w:rsid w:val="00A41D7C"/>
    <w:rsid w:val="00A42245"/>
    <w:rsid w:val="00A42F15"/>
    <w:rsid w:val="00A42F6D"/>
    <w:rsid w:val="00A432A8"/>
    <w:rsid w:val="00A43B92"/>
    <w:rsid w:val="00A43C9A"/>
    <w:rsid w:val="00A44612"/>
    <w:rsid w:val="00A44720"/>
    <w:rsid w:val="00A44B54"/>
    <w:rsid w:val="00A45561"/>
    <w:rsid w:val="00A46164"/>
    <w:rsid w:val="00A4635C"/>
    <w:rsid w:val="00A46A8E"/>
    <w:rsid w:val="00A4739B"/>
    <w:rsid w:val="00A47F68"/>
    <w:rsid w:val="00A50486"/>
    <w:rsid w:val="00A50B2D"/>
    <w:rsid w:val="00A50C8D"/>
    <w:rsid w:val="00A51337"/>
    <w:rsid w:val="00A520B4"/>
    <w:rsid w:val="00A520E9"/>
    <w:rsid w:val="00A52BA1"/>
    <w:rsid w:val="00A534BD"/>
    <w:rsid w:val="00A537E5"/>
    <w:rsid w:val="00A540A5"/>
    <w:rsid w:val="00A54248"/>
    <w:rsid w:val="00A549C4"/>
    <w:rsid w:val="00A55B6F"/>
    <w:rsid w:val="00A5600D"/>
    <w:rsid w:val="00A56615"/>
    <w:rsid w:val="00A569DF"/>
    <w:rsid w:val="00A57C5B"/>
    <w:rsid w:val="00A6013E"/>
    <w:rsid w:val="00A60869"/>
    <w:rsid w:val="00A616A8"/>
    <w:rsid w:val="00A61BD0"/>
    <w:rsid w:val="00A6388E"/>
    <w:rsid w:val="00A63CAB"/>
    <w:rsid w:val="00A64BC6"/>
    <w:rsid w:val="00A64F4C"/>
    <w:rsid w:val="00A64FD7"/>
    <w:rsid w:val="00A6555D"/>
    <w:rsid w:val="00A659CB"/>
    <w:rsid w:val="00A65F48"/>
    <w:rsid w:val="00A660C8"/>
    <w:rsid w:val="00A6686D"/>
    <w:rsid w:val="00A70398"/>
    <w:rsid w:val="00A70738"/>
    <w:rsid w:val="00A709AD"/>
    <w:rsid w:val="00A70D03"/>
    <w:rsid w:val="00A71441"/>
    <w:rsid w:val="00A71BFC"/>
    <w:rsid w:val="00A721F1"/>
    <w:rsid w:val="00A7299A"/>
    <w:rsid w:val="00A72DA9"/>
    <w:rsid w:val="00A72F5C"/>
    <w:rsid w:val="00A733CB"/>
    <w:rsid w:val="00A739DF"/>
    <w:rsid w:val="00A73A70"/>
    <w:rsid w:val="00A73D98"/>
    <w:rsid w:val="00A740A0"/>
    <w:rsid w:val="00A741D3"/>
    <w:rsid w:val="00A745EF"/>
    <w:rsid w:val="00A751AD"/>
    <w:rsid w:val="00A75A69"/>
    <w:rsid w:val="00A76045"/>
    <w:rsid w:val="00A769AD"/>
    <w:rsid w:val="00A76BD3"/>
    <w:rsid w:val="00A773CD"/>
    <w:rsid w:val="00A775CF"/>
    <w:rsid w:val="00A77853"/>
    <w:rsid w:val="00A77FAF"/>
    <w:rsid w:val="00A80018"/>
    <w:rsid w:val="00A805EB"/>
    <w:rsid w:val="00A80C87"/>
    <w:rsid w:val="00A81EED"/>
    <w:rsid w:val="00A83235"/>
    <w:rsid w:val="00A83332"/>
    <w:rsid w:val="00A84503"/>
    <w:rsid w:val="00A84755"/>
    <w:rsid w:val="00A84A61"/>
    <w:rsid w:val="00A84CDF"/>
    <w:rsid w:val="00A85C67"/>
    <w:rsid w:val="00A85D93"/>
    <w:rsid w:val="00A867DA"/>
    <w:rsid w:val="00A86B17"/>
    <w:rsid w:val="00A874AD"/>
    <w:rsid w:val="00A8782F"/>
    <w:rsid w:val="00A87893"/>
    <w:rsid w:val="00A90D37"/>
    <w:rsid w:val="00A9167D"/>
    <w:rsid w:val="00A917AD"/>
    <w:rsid w:val="00A91895"/>
    <w:rsid w:val="00A9248E"/>
    <w:rsid w:val="00A92D25"/>
    <w:rsid w:val="00A92D79"/>
    <w:rsid w:val="00A93A0E"/>
    <w:rsid w:val="00A9401F"/>
    <w:rsid w:val="00A94689"/>
    <w:rsid w:val="00A94DD0"/>
    <w:rsid w:val="00A94DDB"/>
    <w:rsid w:val="00A94F82"/>
    <w:rsid w:val="00A95086"/>
    <w:rsid w:val="00A950A1"/>
    <w:rsid w:val="00A9569B"/>
    <w:rsid w:val="00A95F2F"/>
    <w:rsid w:val="00A965CD"/>
    <w:rsid w:val="00A96970"/>
    <w:rsid w:val="00AA031C"/>
    <w:rsid w:val="00AA1306"/>
    <w:rsid w:val="00AA1518"/>
    <w:rsid w:val="00AA1BEC"/>
    <w:rsid w:val="00AA2216"/>
    <w:rsid w:val="00AA27AA"/>
    <w:rsid w:val="00AA2DF3"/>
    <w:rsid w:val="00AA328A"/>
    <w:rsid w:val="00AA3E64"/>
    <w:rsid w:val="00AA4355"/>
    <w:rsid w:val="00AA4761"/>
    <w:rsid w:val="00AA49B4"/>
    <w:rsid w:val="00AA50BC"/>
    <w:rsid w:val="00AA5386"/>
    <w:rsid w:val="00AA56B1"/>
    <w:rsid w:val="00AA6AE4"/>
    <w:rsid w:val="00AA6D6C"/>
    <w:rsid w:val="00AA6E8E"/>
    <w:rsid w:val="00AA7982"/>
    <w:rsid w:val="00AB08FA"/>
    <w:rsid w:val="00AB197C"/>
    <w:rsid w:val="00AB2079"/>
    <w:rsid w:val="00AB24E7"/>
    <w:rsid w:val="00AB29CC"/>
    <w:rsid w:val="00AB2D41"/>
    <w:rsid w:val="00AB2FFA"/>
    <w:rsid w:val="00AB3237"/>
    <w:rsid w:val="00AB3917"/>
    <w:rsid w:val="00AB3A2D"/>
    <w:rsid w:val="00AB3FB8"/>
    <w:rsid w:val="00AB4AC8"/>
    <w:rsid w:val="00AB5C80"/>
    <w:rsid w:val="00AB5E21"/>
    <w:rsid w:val="00AB63A3"/>
    <w:rsid w:val="00AB6AD4"/>
    <w:rsid w:val="00AB6B0C"/>
    <w:rsid w:val="00AB75AE"/>
    <w:rsid w:val="00AB76EC"/>
    <w:rsid w:val="00AB7933"/>
    <w:rsid w:val="00AB7947"/>
    <w:rsid w:val="00AB7A30"/>
    <w:rsid w:val="00AB7C50"/>
    <w:rsid w:val="00AC0456"/>
    <w:rsid w:val="00AC0C03"/>
    <w:rsid w:val="00AC0DF3"/>
    <w:rsid w:val="00AC1173"/>
    <w:rsid w:val="00AC13C9"/>
    <w:rsid w:val="00AC1540"/>
    <w:rsid w:val="00AC2107"/>
    <w:rsid w:val="00AC3071"/>
    <w:rsid w:val="00AC3A08"/>
    <w:rsid w:val="00AC3B9C"/>
    <w:rsid w:val="00AC3D18"/>
    <w:rsid w:val="00AC3DCC"/>
    <w:rsid w:val="00AC45B7"/>
    <w:rsid w:val="00AC5364"/>
    <w:rsid w:val="00AC5476"/>
    <w:rsid w:val="00AC5B43"/>
    <w:rsid w:val="00AC6332"/>
    <w:rsid w:val="00AD10CF"/>
    <w:rsid w:val="00AD1F43"/>
    <w:rsid w:val="00AD22B5"/>
    <w:rsid w:val="00AD23C1"/>
    <w:rsid w:val="00AD2A82"/>
    <w:rsid w:val="00AD2B56"/>
    <w:rsid w:val="00AD2FC0"/>
    <w:rsid w:val="00AD2FE5"/>
    <w:rsid w:val="00AD3581"/>
    <w:rsid w:val="00AD35EA"/>
    <w:rsid w:val="00AD3BC7"/>
    <w:rsid w:val="00AD3E99"/>
    <w:rsid w:val="00AD3FB8"/>
    <w:rsid w:val="00AD42E2"/>
    <w:rsid w:val="00AD435A"/>
    <w:rsid w:val="00AD4967"/>
    <w:rsid w:val="00AD55CC"/>
    <w:rsid w:val="00AD562E"/>
    <w:rsid w:val="00AD5B1B"/>
    <w:rsid w:val="00AD66BE"/>
    <w:rsid w:val="00AD692A"/>
    <w:rsid w:val="00AD69BF"/>
    <w:rsid w:val="00AD6DB9"/>
    <w:rsid w:val="00AD70D2"/>
    <w:rsid w:val="00AE0B11"/>
    <w:rsid w:val="00AE12A9"/>
    <w:rsid w:val="00AE1BA9"/>
    <w:rsid w:val="00AE2062"/>
    <w:rsid w:val="00AE2459"/>
    <w:rsid w:val="00AE29C2"/>
    <w:rsid w:val="00AE2B54"/>
    <w:rsid w:val="00AE30ED"/>
    <w:rsid w:val="00AE3A67"/>
    <w:rsid w:val="00AE3D23"/>
    <w:rsid w:val="00AE4139"/>
    <w:rsid w:val="00AE43C0"/>
    <w:rsid w:val="00AE4CEC"/>
    <w:rsid w:val="00AE4EC8"/>
    <w:rsid w:val="00AE517C"/>
    <w:rsid w:val="00AE57C9"/>
    <w:rsid w:val="00AE599E"/>
    <w:rsid w:val="00AE5D9F"/>
    <w:rsid w:val="00AE5F15"/>
    <w:rsid w:val="00AE609B"/>
    <w:rsid w:val="00AE61C0"/>
    <w:rsid w:val="00AE72C2"/>
    <w:rsid w:val="00AE76C9"/>
    <w:rsid w:val="00AF06B4"/>
    <w:rsid w:val="00AF0C7E"/>
    <w:rsid w:val="00AF0EB2"/>
    <w:rsid w:val="00AF1ED5"/>
    <w:rsid w:val="00AF2791"/>
    <w:rsid w:val="00AF2EF5"/>
    <w:rsid w:val="00AF3115"/>
    <w:rsid w:val="00AF3117"/>
    <w:rsid w:val="00AF326B"/>
    <w:rsid w:val="00AF32F0"/>
    <w:rsid w:val="00AF3811"/>
    <w:rsid w:val="00AF418D"/>
    <w:rsid w:val="00AF50E9"/>
    <w:rsid w:val="00AF560E"/>
    <w:rsid w:val="00AF621F"/>
    <w:rsid w:val="00AF6220"/>
    <w:rsid w:val="00AF63DA"/>
    <w:rsid w:val="00AF6AC3"/>
    <w:rsid w:val="00AF70EE"/>
    <w:rsid w:val="00AF74DC"/>
    <w:rsid w:val="00AF7618"/>
    <w:rsid w:val="00B00B01"/>
    <w:rsid w:val="00B01538"/>
    <w:rsid w:val="00B01BEE"/>
    <w:rsid w:val="00B02065"/>
    <w:rsid w:val="00B032F3"/>
    <w:rsid w:val="00B03C1C"/>
    <w:rsid w:val="00B0431E"/>
    <w:rsid w:val="00B044EE"/>
    <w:rsid w:val="00B04550"/>
    <w:rsid w:val="00B04964"/>
    <w:rsid w:val="00B04CBD"/>
    <w:rsid w:val="00B07CCC"/>
    <w:rsid w:val="00B07D60"/>
    <w:rsid w:val="00B07E56"/>
    <w:rsid w:val="00B10605"/>
    <w:rsid w:val="00B10A26"/>
    <w:rsid w:val="00B10F95"/>
    <w:rsid w:val="00B11229"/>
    <w:rsid w:val="00B1199B"/>
    <w:rsid w:val="00B11B0A"/>
    <w:rsid w:val="00B12331"/>
    <w:rsid w:val="00B124AD"/>
    <w:rsid w:val="00B12D33"/>
    <w:rsid w:val="00B133F1"/>
    <w:rsid w:val="00B13565"/>
    <w:rsid w:val="00B139C7"/>
    <w:rsid w:val="00B13C7F"/>
    <w:rsid w:val="00B154B3"/>
    <w:rsid w:val="00B15B71"/>
    <w:rsid w:val="00B15D72"/>
    <w:rsid w:val="00B16085"/>
    <w:rsid w:val="00B166C6"/>
    <w:rsid w:val="00B17F47"/>
    <w:rsid w:val="00B20415"/>
    <w:rsid w:val="00B20E2C"/>
    <w:rsid w:val="00B212C4"/>
    <w:rsid w:val="00B21941"/>
    <w:rsid w:val="00B21EB4"/>
    <w:rsid w:val="00B21F5F"/>
    <w:rsid w:val="00B224FE"/>
    <w:rsid w:val="00B22A5B"/>
    <w:rsid w:val="00B23549"/>
    <w:rsid w:val="00B23898"/>
    <w:rsid w:val="00B239DE"/>
    <w:rsid w:val="00B23B77"/>
    <w:rsid w:val="00B244BD"/>
    <w:rsid w:val="00B24715"/>
    <w:rsid w:val="00B25DF3"/>
    <w:rsid w:val="00B2691D"/>
    <w:rsid w:val="00B26B61"/>
    <w:rsid w:val="00B26C44"/>
    <w:rsid w:val="00B27820"/>
    <w:rsid w:val="00B3031F"/>
    <w:rsid w:val="00B306EA"/>
    <w:rsid w:val="00B30944"/>
    <w:rsid w:val="00B3104B"/>
    <w:rsid w:val="00B314F2"/>
    <w:rsid w:val="00B3167A"/>
    <w:rsid w:val="00B316E0"/>
    <w:rsid w:val="00B318A3"/>
    <w:rsid w:val="00B32644"/>
    <w:rsid w:val="00B32AAC"/>
    <w:rsid w:val="00B33C5A"/>
    <w:rsid w:val="00B33F4D"/>
    <w:rsid w:val="00B3424E"/>
    <w:rsid w:val="00B34CDB"/>
    <w:rsid w:val="00B35C2E"/>
    <w:rsid w:val="00B35FE0"/>
    <w:rsid w:val="00B362A9"/>
    <w:rsid w:val="00B36CFC"/>
    <w:rsid w:val="00B37148"/>
    <w:rsid w:val="00B37AFC"/>
    <w:rsid w:val="00B40094"/>
    <w:rsid w:val="00B406A4"/>
    <w:rsid w:val="00B407DC"/>
    <w:rsid w:val="00B4084B"/>
    <w:rsid w:val="00B41232"/>
    <w:rsid w:val="00B42540"/>
    <w:rsid w:val="00B42B56"/>
    <w:rsid w:val="00B42F3C"/>
    <w:rsid w:val="00B432DC"/>
    <w:rsid w:val="00B43C1E"/>
    <w:rsid w:val="00B4427B"/>
    <w:rsid w:val="00B44C2E"/>
    <w:rsid w:val="00B45554"/>
    <w:rsid w:val="00B45864"/>
    <w:rsid w:val="00B45B80"/>
    <w:rsid w:val="00B460B5"/>
    <w:rsid w:val="00B46A2D"/>
    <w:rsid w:val="00B47F4C"/>
    <w:rsid w:val="00B50032"/>
    <w:rsid w:val="00B50131"/>
    <w:rsid w:val="00B50786"/>
    <w:rsid w:val="00B50895"/>
    <w:rsid w:val="00B50958"/>
    <w:rsid w:val="00B51526"/>
    <w:rsid w:val="00B54AA1"/>
    <w:rsid w:val="00B559E0"/>
    <w:rsid w:val="00B56250"/>
    <w:rsid w:val="00B567D8"/>
    <w:rsid w:val="00B60403"/>
    <w:rsid w:val="00B60BCE"/>
    <w:rsid w:val="00B60F6F"/>
    <w:rsid w:val="00B61A52"/>
    <w:rsid w:val="00B61C04"/>
    <w:rsid w:val="00B6200E"/>
    <w:rsid w:val="00B6230B"/>
    <w:rsid w:val="00B628E8"/>
    <w:rsid w:val="00B635C2"/>
    <w:rsid w:val="00B63A1E"/>
    <w:rsid w:val="00B63A68"/>
    <w:rsid w:val="00B63C3C"/>
    <w:rsid w:val="00B63E1A"/>
    <w:rsid w:val="00B64DE4"/>
    <w:rsid w:val="00B65561"/>
    <w:rsid w:val="00B659E4"/>
    <w:rsid w:val="00B6743B"/>
    <w:rsid w:val="00B676B8"/>
    <w:rsid w:val="00B67BCD"/>
    <w:rsid w:val="00B70250"/>
    <w:rsid w:val="00B70C9E"/>
    <w:rsid w:val="00B70F85"/>
    <w:rsid w:val="00B71222"/>
    <w:rsid w:val="00B71333"/>
    <w:rsid w:val="00B7174A"/>
    <w:rsid w:val="00B72725"/>
    <w:rsid w:val="00B7358B"/>
    <w:rsid w:val="00B7388C"/>
    <w:rsid w:val="00B73E0D"/>
    <w:rsid w:val="00B74DE5"/>
    <w:rsid w:val="00B75189"/>
    <w:rsid w:val="00B7521F"/>
    <w:rsid w:val="00B767AC"/>
    <w:rsid w:val="00B769AE"/>
    <w:rsid w:val="00B76C0E"/>
    <w:rsid w:val="00B7729A"/>
    <w:rsid w:val="00B77B7A"/>
    <w:rsid w:val="00B800CA"/>
    <w:rsid w:val="00B81A33"/>
    <w:rsid w:val="00B82346"/>
    <w:rsid w:val="00B824B5"/>
    <w:rsid w:val="00B830A1"/>
    <w:rsid w:val="00B83160"/>
    <w:rsid w:val="00B8365B"/>
    <w:rsid w:val="00B83705"/>
    <w:rsid w:val="00B83CA0"/>
    <w:rsid w:val="00B84243"/>
    <w:rsid w:val="00B843E3"/>
    <w:rsid w:val="00B84DDC"/>
    <w:rsid w:val="00B84F24"/>
    <w:rsid w:val="00B854E9"/>
    <w:rsid w:val="00B85C34"/>
    <w:rsid w:val="00B86CCD"/>
    <w:rsid w:val="00B87676"/>
    <w:rsid w:val="00B876C0"/>
    <w:rsid w:val="00B87806"/>
    <w:rsid w:val="00B87C53"/>
    <w:rsid w:val="00B916F8"/>
    <w:rsid w:val="00B92B09"/>
    <w:rsid w:val="00B92F00"/>
    <w:rsid w:val="00B93315"/>
    <w:rsid w:val="00B9361F"/>
    <w:rsid w:val="00B93884"/>
    <w:rsid w:val="00B93D53"/>
    <w:rsid w:val="00B94127"/>
    <w:rsid w:val="00B94405"/>
    <w:rsid w:val="00B94A65"/>
    <w:rsid w:val="00B94ADF"/>
    <w:rsid w:val="00B94FB4"/>
    <w:rsid w:val="00B95D28"/>
    <w:rsid w:val="00B95D2D"/>
    <w:rsid w:val="00B9607C"/>
    <w:rsid w:val="00B96277"/>
    <w:rsid w:val="00B9631B"/>
    <w:rsid w:val="00B9646C"/>
    <w:rsid w:val="00B9676C"/>
    <w:rsid w:val="00B96933"/>
    <w:rsid w:val="00BA0966"/>
    <w:rsid w:val="00BA0DA1"/>
    <w:rsid w:val="00BA0F2F"/>
    <w:rsid w:val="00BA0F59"/>
    <w:rsid w:val="00BA28F3"/>
    <w:rsid w:val="00BA379F"/>
    <w:rsid w:val="00BA47F8"/>
    <w:rsid w:val="00BA5D0A"/>
    <w:rsid w:val="00BA6065"/>
    <w:rsid w:val="00BA6777"/>
    <w:rsid w:val="00BA688D"/>
    <w:rsid w:val="00BA7E64"/>
    <w:rsid w:val="00BB1142"/>
    <w:rsid w:val="00BB25C0"/>
    <w:rsid w:val="00BB26F9"/>
    <w:rsid w:val="00BB2A98"/>
    <w:rsid w:val="00BB2D90"/>
    <w:rsid w:val="00BB3856"/>
    <w:rsid w:val="00BB3AB5"/>
    <w:rsid w:val="00BB3DA8"/>
    <w:rsid w:val="00BB498B"/>
    <w:rsid w:val="00BB510C"/>
    <w:rsid w:val="00BB545B"/>
    <w:rsid w:val="00BB5A84"/>
    <w:rsid w:val="00BB5F42"/>
    <w:rsid w:val="00BB6469"/>
    <w:rsid w:val="00BB65B6"/>
    <w:rsid w:val="00BB6980"/>
    <w:rsid w:val="00BB6D23"/>
    <w:rsid w:val="00BB6E78"/>
    <w:rsid w:val="00BB7099"/>
    <w:rsid w:val="00BB721D"/>
    <w:rsid w:val="00BB7455"/>
    <w:rsid w:val="00BC0520"/>
    <w:rsid w:val="00BC0F68"/>
    <w:rsid w:val="00BC1BBB"/>
    <w:rsid w:val="00BC272A"/>
    <w:rsid w:val="00BC29A0"/>
    <w:rsid w:val="00BC2B9A"/>
    <w:rsid w:val="00BC2C65"/>
    <w:rsid w:val="00BC3472"/>
    <w:rsid w:val="00BC3CAB"/>
    <w:rsid w:val="00BC3F11"/>
    <w:rsid w:val="00BC42CE"/>
    <w:rsid w:val="00BC53BF"/>
    <w:rsid w:val="00BC589B"/>
    <w:rsid w:val="00BC6702"/>
    <w:rsid w:val="00BC6A85"/>
    <w:rsid w:val="00BC76B4"/>
    <w:rsid w:val="00BD0B9F"/>
    <w:rsid w:val="00BD15DD"/>
    <w:rsid w:val="00BD17CA"/>
    <w:rsid w:val="00BD18D9"/>
    <w:rsid w:val="00BD210E"/>
    <w:rsid w:val="00BD2CB2"/>
    <w:rsid w:val="00BD34C3"/>
    <w:rsid w:val="00BD40CB"/>
    <w:rsid w:val="00BD4954"/>
    <w:rsid w:val="00BD4F6C"/>
    <w:rsid w:val="00BD6107"/>
    <w:rsid w:val="00BD6D9A"/>
    <w:rsid w:val="00BD78D5"/>
    <w:rsid w:val="00BE0659"/>
    <w:rsid w:val="00BE0A68"/>
    <w:rsid w:val="00BE0B7E"/>
    <w:rsid w:val="00BE0F95"/>
    <w:rsid w:val="00BE11B7"/>
    <w:rsid w:val="00BE2815"/>
    <w:rsid w:val="00BE2C6B"/>
    <w:rsid w:val="00BE3C97"/>
    <w:rsid w:val="00BE3E1B"/>
    <w:rsid w:val="00BE47A6"/>
    <w:rsid w:val="00BE537C"/>
    <w:rsid w:val="00BE56B0"/>
    <w:rsid w:val="00BE57D3"/>
    <w:rsid w:val="00BE588C"/>
    <w:rsid w:val="00BE5FFF"/>
    <w:rsid w:val="00BE6254"/>
    <w:rsid w:val="00BE6D85"/>
    <w:rsid w:val="00BE6E63"/>
    <w:rsid w:val="00BE70B3"/>
    <w:rsid w:val="00BE7B00"/>
    <w:rsid w:val="00BE7D58"/>
    <w:rsid w:val="00BF0270"/>
    <w:rsid w:val="00BF0440"/>
    <w:rsid w:val="00BF0BD6"/>
    <w:rsid w:val="00BF0CB1"/>
    <w:rsid w:val="00BF0E14"/>
    <w:rsid w:val="00BF164E"/>
    <w:rsid w:val="00BF1A33"/>
    <w:rsid w:val="00BF22E3"/>
    <w:rsid w:val="00BF23C3"/>
    <w:rsid w:val="00BF2649"/>
    <w:rsid w:val="00BF2A1D"/>
    <w:rsid w:val="00BF2A99"/>
    <w:rsid w:val="00BF3D35"/>
    <w:rsid w:val="00BF59D7"/>
    <w:rsid w:val="00BF6AE5"/>
    <w:rsid w:val="00BF6D42"/>
    <w:rsid w:val="00BF708E"/>
    <w:rsid w:val="00BF7ED9"/>
    <w:rsid w:val="00C00AA5"/>
    <w:rsid w:val="00C00B3B"/>
    <w:rsid w:val="00C0123B"/>
    <w:rsid w:val="00C0145B"/>
    <w:rsid w:val="00C01A9A"/>
    <w:rsid w:val="00C01C0A"/>
    <w:rsid w:val="00C02450"/>
    <w:rsid w:val="00C026F9"/>
    <w:rsid w:val="00C038B8"/>
    <w:rsid w:val="00C038D0"/>
    <w:rsid w:val="00C03ADA"/>
    <w:rsid w:val="00C03B9B"/>
    <w:rsid w:val="00C03ED8"/>
    <w:rsid w:val="00C03F98"/>
    <w:rsid w:val="00C03FFD"/>
    <w:rsid w:val="00C05846"/>
    <w:rsid w:val="00C05EA2"/>
    <w:rsid w:val="00C066AF"/>
    <w:rsid w:val="00C067A4"/>
    <w:rsid w:val="00C067DB"/>
    <w:rsid w:val="00C06CE4"/>
    <w:rsid w:val="00C07DEC"/>
    <w:rsid w:val="00C07E1D"/>
    <w:rsid w:val="00C07F1C"/>
    <w:rsid w:val="00C1005F"/>
    <w:rsid w:val="00C107D2"/>
    <w:rsid w:val="00C10885"/>
    <w:rsid w:val="00C115B4"/>
    <w:rsid w:val="00C11F05"/>
    <w:rsid w:val="00C11F2F"/>
    <w:rsid w:val="00C12761"/>
    <w:rsid w:val="00C12D0A"/>
    <w:rsid w:val="00C13681"/>
    <w:rsid w:val="00C138B1"/>
    <w:rsid w:val="00C13DA0"/>
    <w:rsid w:val="00C140F0"/>
    <w:rsid w:val="00C1451E"/>
    <w:rsid w:val="00C15DEF"/>
    <w:rsid w:val="00C17B32"/>
    <w:rsid w:val="00C20594"/>
    <w:rsid w:val="00C20AD6"/>
    <w:rsid w:val="00C20E76"/>
    <w:rsid w:val="00C22662"/>
    <w:rsid w:val="00C22E5D"/>
    <w:rsid w:val="00C234E7"/>
    <w:rsid w:val="00C23647"/>
    <w:rsid w:val="00C2476F"/>
    <w:rsid w:val="00C24BB1"/>
    <w:rsid w:val="00C2641F"/>
    <w:rsid w:val="00C26B93"/>
    <w:rsid w:val="00C26C84"/>
    <w:rsid w:val="00C26E10"/>
    <w:rsid w:val="00C2718D"/>
    <w:rsid w:val="00C276B1"/>
    <w:rsid w:val="00C3009E"/>
    <w:rsid w:val="00C3012C"/>
    <w:rsid w:val="00C302A4"/>
    <w:rsid w:val="00C30710"/>
    <w:rsid w:val="00C30C0E"/>
    <w:rsid w:val="00C31122"/>
    <w:rsid w:val="00C31DD0"/>
    <w:rsid w:val="00C31E81"/>
    <w:rsid w:val="00C3239B"/>
    <w:rsid w:val="00C3249E"/>
    <w:rsid w:val="00C32C23"/>
    <w:rsid w:val="00C3303C"/>
    <w:rsid w:val="00C3324A"/>
    <w:rsid w:val="00C33694"/>
    <w:rsid w:val="00C33AD5"/>
    <w:rsid w:val="00C342CD"/>
    <w:rsid w:val="00C34390"/>
    <w:rsid w:val="00C3470E"/>
    <w:rsid w:val="00C34C59"/>
    <w:rsid w:val="00C35186"/>
    <w:rsid w:val="00C358C5"/>
    <w:rsid w:val="00C359BA"/>
    <w:rsid w:val="00C36371"/>
    <w:rsid w:val="00C36775"/>
    <w:rsid w:val="00C37BFF"/>
    <w:rsid w:val="00C400AC"/>
    <w:rsid w:val="00C404DA"/>
    <w:rsid w:val="00C40689"/>
    <w:rsid w:val="00C41058"/>
    <w:rsid w:val="00C41D55"/>
    <w:rsid w:val="00C42089"/>
    <w:rsid w:val="00C428E6"/>
    <w:rsid w:val="00C42D37"/>
    <w:rsid w:val="00C431A3"/>
    <w:rsid w:val="00C43DF8"/>
    <w:rsid w:val="00C44676"/>
    <w:rsid w:val="00C44BE3"/>
    <w:rsid w:val="00C44C1D"/>
    <w:rsid w:val="00C450A9"/>
    <w:rsid w:val="00C45797"/>
    <w:rsid w:val="00C45903"/>
    <w:rsid w:val="00C45DF0"/>
    <w:rsid w:val="00C46399"/>
    <w:rsid w:val="00C46D0E"/>
    <w:rsid w:val="00C474E9"/>
    <w:rsid w:val="00C50E86"/>
    <w:rsid w:val="00C52D6B"/>
    <w:rsid w:val="00C53EF2"/>
    <w:rsid w:val="00C54B0C"/>
    <w:rsid w:val="00C55571"/>
    <w:rsid w:val="00C55846"/>
    <w:rsid w:val="00C55860"/>
    <w:rsid w:val="00C56BA4"/>
    <w:rsid w:val="00C617D6"/>
    <w:rsid w:val="00C61CB2"/>
    <w:rsid w:val="00C61EA2"/>
    <w:rsid w:val="00C624BD"/>
    <w:rsid w:val="00C627BB"/>
    <w:rsid w:val="00C62E44"/>
    <w:rsid w:val="00C6305B"/>
    <w:rsid w:val="00C63109"/>
    <w:rsid w:val="00C63151"/>
    <w:rsid w:val="00C63C1F"/>
    <w:rsid w:val="00C63ED7"/>
    <w:rsid w:val="00C651BC"/>
    <w:rsid w:val="00C65397"/>
    <w:rsid w:val="00C66319"/>
    <w:rsid w:val="00C66516"/>
    <w:rsid w:val="00C669DA"/>
    <w:rsid w:val="00C700F7"/>
    <w:rsid w:val="00C705DA"/>
    <w:rsid w:val="00C7073E"/>
    <w:rsid w:val="00C70861"/>
    <w:rsid w:val="00C7117C"/>
    <w:rsid w:val="00C715F0"/>
    <w:rsid w:val="00C7261C"/>
    <w:rsid w:val="00C73055"/>
    <w:rsid w:val="00C7356F"/>
    <w:rsid w:val="00C73C02"/>
    <w:rsid w:val="00C74126"/>
    <w:rsid w:val="00C7427B"/>
    <w:rsid w:val="00C74C39"/>
    <w:rsid w:val="00C74DA9"/>
    <w:rsid w:val="00C74E8D"/>
    <w:rsid w:val="00C753BA"/>
    <w:rsid w:val="00C75BAA"/>
    <w:rsid w:val="00C76094"/>
    <w:rsid w:val="00C7638D"/>
    <w:rsid w:val="00C763EA"/>
    <w:rsid w:val="00C77281"/>
    <w:rsid w:val="00C77417"/>
    <w:rsid w:val="00C801F1"/>
    <w:rsid w:val="00C8049D"/>
    <w:rsid w:val="00C8093E"/>
    <w:rsid w:val="00C80A86"/>
    <w:rsid w:val="00C817CB"/>
    <w:rsid w:val="00C82B6D"/>
    <w:rsid w:val="00C83642"/>
    <w:rsid w:val="00C83CF1"/>
    <w:rsid w:val="00C83EDE"/>
    <w:rsid w:val="00C8509D"/>
    <w:rsid w:val="00C85484"/>
    <w:rsid w:val="00C854F5"/>
    <w:rsid w:val="00C85E77"/>
    <w:rsid w:val="00C86183"/>
    <w:rsid w:val="00C86D90"/>
    <w:rsid w:val="00C86E8B"/>
    <w:rsid w:val="00C872C5"/>
    <w:rsid w:val="00C8748F"/>
    <w:rsid w:val="00C87FB8"/>
    <w:rsid w:val="00C90205"/>
    <w:rsid w:val="00C902E1"/>
    <w:rsid w:val="00C906D2"/>
    <w:rsid w:val="00C91347"/>
    <w:rsid w:val="00C91618"/>
    <w:rsid w:val="00C91C4B"/>
    <w:rsid w:val="00C91CF4"/>
    <w:rsid w:val="00C91FCC"/>
    <w:rsid w:val="00C92123"/>
    <w:rsid w:val="00C92ABE"/>
    <w:rsid w:val="00C931F0"/>
    <w:rsid w:val="00C93695"/>
    <w:rsid w:val="00C946DC"/>
    <w:rsid w:val="00C94BAB"/>
    <w:rsid w:val="00C95026"/>
    <w:rsid w:val="00C95088"/>
    <w:rsid w:val="00C95596"/>
    <w:rsid w:val="00C95850"/>
    <w:rsid w:val="00C958A9"/>
    <w:rsid w:val="00C95B85"/>
    <w:rsid w:val="00C9649E"/>
    <w:rsid w:val="00C97362"/>
    <w:rsid w:val="00C97866"/>
    <w:rsid w:val="00C978F2"/>
    <w:rsid w:val="00C97E3A"/>
    <w:rsid w:val="00C97E50"/>
    <w:rsid w:val="00C97F24"/>
    <w:rsid w:val="00C97F3F"/>
    <w:rsid w:val="00CA03AC"/>
    <w:rsid w:val="00CA0460"/>
    <w:rsid w:val="00CA0702"/>
    <w:rsid w:val="00CA0B5E"/>
    <w:rsid w:val="00CA0F4F"/>
    <w:rsid w:val="00CA10B6"/>
    <w:rsid w:val="00CA15D7"/>
    <w:rsid w:val="00CA169A"/>
    <w:rsid w:val="00CA2195"/>
    <w:rsid w:val="00CA2F21"/>
    <w:rsid w:val="00CA3214"/>
    <w:rsid w:val="00CA3BDA"/>
    <w:rsid w:val="00CA3EC9"/>
    <w:rsid w:val="00CA450E"/>
    <w:rsid w:val="00CA475B"/>
    <w:rsid w:val="00CA4819"/>
    <w:rsid w:val="00CA49A3"/>
    <w:rsid w:val="00CA4A8C"/>
    <w:rsid w:val="00CA5046"/>
    <w:rsid w:val="00CA5760"/>
    <w:rsid w:val="00CA600B"/>
    <w:rsid w:val="00CA62DE"/>
    <w:rsid w:val="00CA668E"/>
    <w:rsid w:val="00CA709C"/>
    <w:rsid w:val="00CB18FA"/>
    <w:rsid w:val="00CB1F59"/>
    <w:rsid w:val="00CB20FD"/>
    <w:rsid w:val="00CB24C6"/>
    <w:rsid w:val="00CB2844"/>
    <w:rsid w:val="00CB2A50"/>
    <w:rsid w:val="00CB3320"/>
    <w:rsid w:val="00CB365D"/>
    <w:rsid w:val="00CB3967"/>
    <w:rsid w:val="00CB3EA8"/>
    <w:rsid w:val="00CB3EFA"/>
    <w:rsid w:val="00CB4589"/>
    <w:rsid w:val="00CB54F0"/>
    <w:rsid w:val="00CB60C9"/>
    <w:rsid w:val="00CB62C0"/>
    <w:rsid w:val="00CB654A"/>
    <w:rsid w:val="00CB6C5D"/>
    <w:rsid w:val="00CB6D24"/>
    <w:rsid w:val="00CB795F"/>
    <w:rsid w:val="00CC0486"/>
    <w:rsid w:val="00CC0742"/>
    <w:rsid w:val="00CC0B67"/>
    <w:rsid w:val="00CC12AE"/>
    <w:rsid w:val="00CC2114"/>
    <w:rsid w:val="00CC212A"/>
    <w:rsid w:val="00CC2A06"/>
    <w:rsid w:val="00CC36A5"/>
    <w:rsid w:val="00CC3DEB"/>
    <w:rsid w:val="00CC45E2"/>
    <w:rsid w:val="00CC4867"/>
    <w:rsid w:val="00CC48E0"/>
    <w:rsid w:val="00CC5AB0"/>
    <w:rsid w:val="00CC5DB0"/>
    <w:rsid w:val="00CC619F"/>
    <w:rsid w:val="00CC6371"/>
    <w:rsid w:val="00CC6AFF"/>
    <w:rsid w:val="00CC6ECF"/>
    <w:rsid w:val="00CC7A2D"/>
    <w:rsid w:val="00CC7AFA"/>
    <w:rsid w:val="00CC7ED8"/>
    <w:rsid w:val="00CC7F08"/>
    <w:rsid w:val="00CD0381"/>
    <w:rsid w:val="00CD069D"/>
    <w:rsid w:val="00CD1227"/>
    <w:rsid w:val="00CD12CE"/>
    <w:rsid w:val="00CD1BF3"/>
    <w:rsid w:val="00CD2290"/>
    <w:rsid w:val="00CD2456"/>
    <w:rsid w:val="00CD3238"/>
    <w:rsid w:val="00CD3382"/>
    <w:rsid w:val="00CD3834"/>
    <w:rsid w:val="00CD5399"/>
    <w:rsid w:val="00CD6D33"/>
    <w:rsid w:val="00CD73EB"/>
    <w:rsid w:val="00CE0085"/>
    <w:rsid w:val="00CE0472"/>
    <w:rsid w:val="00CE179F"/>
    <w:rsid w:val="00CE1A54"/>
    <w:rsid w:val="00CE1B96"/>
    <w:rsid w:val="00CE24EC"/>
    <w:rsid w:val="00CE2B6C"/>
    <w:rsid w:val="00CE2C1A"/>
    <w:rsid w:val="00CE30C2"/>
    <w:rsid w:val="00CE313A"/>
    <w:rsid w:val="00CE3708"/>
    <w:rsid w:val="00CE3F53"/>
    <w:rsid w:val="00CE4134"/>
    <w:rsid w:val="00CE46DC"/>
    <w:rsid w:val="00CE4D05"/>
    <w:rsid w:val="00CE544B"/>
    <w:rsid w:val="00CE558E"/>
    <w:rsid w:val="00CE5774"/>
    <w:rsid w:val="00CE698C"/>
    <w:rsid w:val="00CE7238"/>
    <w:rsid w:val="00CE7933"/>
    <w:rsid w:val="00CF0B54"/>
    <w:rsid w:val="00CF0FE4"/>
    <w:rsid w:val="00CF11B8"/>
    <w:rsid w:val="00CF14CC"/>
    <w:rsid w:val="00CF164C"/>
    <w:rsid w:val="00CF2484"/>
    <w:rsid w:val="00CF2C6F"/>
    <w:rsid w:val="00CF357C"/>
    <w:rsid w:val="00CF36C6"/>
    <w:rsid w:val="00CF38EE"/>
    <w:rsid w:val="00CF3918"/>
    <w:rsid w:val="00CF3D57"/>
    <w:rsid w:val="00CF4131"/>
    <w:rsid w:val="00CF4630"/>
    <w:rsid w:val="00CF4F39"/>
    <w:rsid w:val="00CF5085"/>
    <w:rsid w:val="00CF5D8B"/>
    <w:rsid w:val="00CF5FDC"/>
    <w:rsid w:val="00CF7DFB"/>
    <w:rsid w:val="00D00074"/>
    <w:rsid w:val="00D00382"/>
    <w:rsid w:val="00D00735"/>
    <w:rsid w:val="00D0086A"/>
    <w:rsid w:val="00D01379"/>
    <w:rsid w:val="00D02C8E"/>
    <w:rsid w:val="00D02EF1"/>
    <w:rsid w:val="00D0355B"/>
    <w:rsid w:val="00D03FF1"/>
    <w:rsid w:val="00D041CB"/>
    <w:rsid w:val="00D050FA"/>
    <w:rsid w:val="00D054C5"/>
    <w:rsid w:val="00D05719"/>
    <w:rsid w:val="00D05931"/>
    <w:rsid w:val="00D05C4F"/>
    <w:rsid w:val="00D06E64"/>
    <w:rsid w:val="00D07A8D"/>
    <w:rsid w:val="00D07F7F"/>
    <w:rsid w:val="00D100AD"/>
    <w:rsid w:val="00D1024D"/>
    <w:rsid w:val="00D109C4"/>
    <w:rsid w:val="00D10BAA"/>
    <w:rsid w:val="00D11086"/>
    <w:rsid w:val="00D1167D"/>
    <w:rsid w:val="00D11F5B"/>
    <w:rsid w:val="00D120BF"/>
    <w:rsid w:val="00D12D3C"/>
    <w:rsid w:val="00D13EF1"/>
    <w:rsid w:val="00D143EC"/>
    <w:rsid w:val="00D1469B"/>
    <w:rsid w:val="00D14A4A"/>
    <w:rsid w:val="00D150EC"/>
    <w:rsid w:val="00D15224"/>
    <w:rsid w:val="00D15792"/>
    <w:rsid w:val="00D16406"/>
    <w:rsid w:val="00D169FF"/>
    <w:rsid w:val="00D16A87"/>
    <w:rsid w:val="00D16D6C"/>
    <w:rsid w:val="00D1741D"/>
    <w:rsid w:val="00D174C3"/>
    <w:rsid w:val="00D17914"/>
    <w:rsid w:val="00D17D15"/>
    <w:rsid w:val="00D17E55"/>
    <w:rsid w:val="00D200A8"/>
    <w:rsid w:val="00D2179B"/>
    <w:rsid w:val="00D21962"/>
    <w:rsid w:val="00D21F46"/>
    <w:rsid w:val="00D224FD"/>
    <w:rsid w:val="00D22699"/>
    <w:rsid w:val="00D2316C"/>
    <w:rsid w:val="00D232B7"/>
    <w:rsid w:val="00D23531"/>
    <w:rsid w:val="00D248CC"/>
    <w:rsid w:val="00D24D0C"/>
    <w:rsid w:val="00D24FF4"/>
    <w:rsid w:val="00D25B4B"/>
    <w:rsid w:val="00D26309"/>
    <w:rsid w:val="00D26990"/>
    <w:rsid w:val="00D30A84"/>
    <w:rsid w:val="00D30CBA"/>
    <w:rsid w:val="00D31F78"/>
    <w:rsid w:val="00D323B5"/>
    <w:rsid w:val="00D327B7"/>
    <w:rsid w:val="00D32FD6"/>
    <w:rsid w:val="00D33ED4"/>
    <w:rsid w:val="00D33FCC"/>
    <w:rsid w:val="00D34311"/>
    <w:rsid w:val="00D34DEE"/>
    <w:rsid w:val="00D3564F"/>
    <w:rsid w:val="00D35954"/>
    <w:rsid w:val="00D36333"/>
    <w:rsid w:val="00D373BC"/>
    <w:rsid w:val="00D37760"/>
    <w:rsid w:val="00D37A7B"/>
    <w:rsid w:val="00D37C36"/>
    <w:rsid w:val="00D40BDD"/>
    <w:rsid w:val="00D41523"/>
    <w:rsid w:val="00D4187B"/>
    <w:rsid w:val="00D428B3"/>
    <w:rsid w:val="00D42D8A"/>
    <w:rsid w:val="00D43CE5"/>
    <w:rsid w:val="00D43E58"/>
    <w:rsid w:val="00D44150"/>
    <w:rsid w:val="00D44C09"/>
    <w:rsid w:val="00D44D21"/>
    <w:rsid w:val="00D456C4"/>
    <w:rsid w:val="00D459CF"/>
    <w:rsid w:val="00D46A7B"/>
    <w:rsid w:val="00D46D74"/>
    <w:rsid w:val="00D471A4"/>
    <w:rsid w:val="00D472A6"/>
    <w:rsid w:val="00D4771A"/>
    <w:rsid w:val="00D478FB"/>
    <w:rsid w:val="00D5073A"/>
    <w:rsid w:val="00D50C9B"/>
    <w:rsid w:val="00D51B0E"/>
    <w:rsid w:val="00D51FBF"/>
    <w:rsid w:val="00D52088"/>
    <w:rsid w:val="00D5235D"/>
    <w:rsid w:val="00D52F83"/>
    <w:rsid w:val="00D549BF"/>
    <w:rsid w:val="00D54AA5"/>
    <w:rsid w:val="00D551E1"/>
    <w:rsid w:val="00D55763"/>
    <w:rsid w:val="00D55FBA"/>
    <w:rsid w:val="00D5708A"/>
    <w:rsid w:val="00D575D3"/>
    <w:rsid w:val="00D576AC"/>
    <w:rsid w:val="00D576B5"/>
    <w:rsid w:val="00D57849"/>
    <w:rsid w:val="00D579C5"/>
    <w:rsid w:val="00D57E72"/>
    <w:rsid w:val="00D60439"/>
    <w:rsid w:val="00D60460"/>
    <w:rsid w:val="00D606C2"/>
    <w:rsid w:val="00D6199A"/>
    <w:rsid w:val="00D623C9"/>
    <w:rsid w:val="00D62AB4"/>
    <w:rsid w:val="00D634BA"/>
    <w:rsid w:val="00D63920"/>
    <w:rsid w:val="00D64469"/>
    <w:rsid w:val="00D647DB"/>
    <w:rsid w:val="00D648F5"/>
    <w:rsid w:val="00D64DF4"/>
    <w:rsid w:val="00D656C6"/>
    <w:rsid w:val="00D6661E"/>
    <w:rsid w:val="00D6714F"/>
    <w:rsid w:val="00D707F8"/>
    <w:rsid w:val="00D70BF5"/>
    <w:rsid w:val="00D70EB2"/>
    <w:rsid w:val="00D715EF"/>
    <w:rsid w:val="00D720BB"/>
    <w:rsid w:val="00D729E3"/>
    <w:rsid w:val="00D729FE"/>
    <w:rsid w:val="00D72BFE"/>
    <w:rsid w:val="00D73C21"/>
    <w:rsid w:val="00D73EF5"/>
    <w:rsid w:val="00D74892"/>
    <w:rsid w:val="00D74CBD"/>
    <w:rsid w:val="00D75924"/>
    <w:rsid w:val="00D75DD0"/>
    <w:rsid w:val="00D7602E"/>
    <w:rsid w:val="00D7655E"/>
    <w:rsid w:val="00D76996"/>
    <w:rsid w:val="00D769A0"/>
    <w:rsid w:val="00D775E0"/>
    <w:rsid w:val="00D77C45"/>
    <w:rsid w:val="00D80163"/>
    <w:rsid w:val="00D801E8"/>
    <w:rsid w:val="00D81071"/>
    <w:rsid w:val="00D821E0"/>
    <w:rsid w:val="00D8233D"/>
    <w:rsid w:val="00D82879"/>
    <w:rsid w:val="00D835A8"/>
    <w:rsid w:val="00D837FB"/>
    <w:rsid w:val="00D83B82"/>
    <w:rsid w:val="00D84C4D"/>
    <w:rsid w:val="00D84F77"/>
    <w:rsid w:val="00D856A3"/>
    <w:rsid w:val="00D85D3F"/>
    <w:rsid w:val="00D865B7"/>
    <w:rsid w:val="00D86F7F"/>
    <w:rsid w:val="00D86FFD"/>
    <w:rsid w:val="00D87479"/>
    <w:rsid w:val="00D878E7"/>
    <w:rsid w:val="00D87937"/>
    <w:rsid w:val="00D87945"/>
    <w:rsid w:val="00D90C8A"/>
    <w:rsid w:val="00D9150D"/>
    <w:rsid w:val="00D92B42"/>
    <w:rsid w:val="00D93254"/>
    <w:rsid w:val="00D952A8"/>
    <w:rsid w:val="00D95DA3"/>
    <w:rsid w:val="00D961F2"/>
    <w:rsid w:val="00D96F5B"/>
    <w:rsid w:val="00D97684"/>
    <w:rsid w:val="00D97687"/>
    <w:rsid w:val="00D9775E"/>
    <w:rsid w:val="00DA06AF"/>
    <w:rsid w:val="00DA1610"/>
    <w:rsid w:val="00DA1A11"/>
    <w:rsid w:val="00DA1BEF"/>
    <w:rsid w:val="00DA1D7B"/>
    <w:rsid w:val="00DA2397"/>
    <w:rsid w:val="00DA28A8"/>
    <w:rsid w:val="00DA3143"/>
    <w:rsid w:val="00DA4EAE"/>
    <w:rsid w:val="00DA55D4"/>
    <w:rsid w:val="00DA641E"/>
    <w:rsid w:val="00DA6854"/>
    <w:rsid w:val="00DA6D4F"/>
    <w:rsid w:val="00DA6FB4"/>
    <w:rsid w:val="00DA7AC3"/>
    <w:rsid w:val="00DA7B65"/>
    <w:rsid w:val="00DA7DBB"/>
    <w:rsid w:val="00DB10A8"/>
    <w:rsid w:val="00DB1AC7"/>
    <w:rsid w:val="00DB1FA9"/>
    <w:rsid w:val="00DB2095"/>
    <w:rsid w:val="00DB22B0"/>
    <w:rsid w:val="00DB3AF8"/>
    <w:rsid w:val="00DB4C98"/>
    <w:rsid w:val="00DB50FC"/>
    <w:rsid w:val="00DB584E"/>
    <w:rsid w:val="00DB6149"/>
    <w:rsid w:val="00DB6251"/>
    <w:rsid w:val="00DB686C"/>
    <w:rsid w:val="00DB69D9"/>
    <w:rsid w:val="00DB7E4A"/>
    <w:rsid w:val="00DC16AF"/>
    <w:rsid w:val="00DC21E3"/>
    <w:rsid w:val="00DC23A7"/>
    <w:rsid w:val="00DC23B8"/>
    <w:rsid w:val="00DC32EC"/>
    <w:rsid w:val="00DC36E6"/>
    <w:rsid w:val="00DC4099"/>
    <w:rsid w:val="00DC4790"/>
    <w:rsid w:val="00DC6737"/>
    <w:rsid w:val="00DC7F8E"/>
    <w:rsid w:val="00DD051E"/>
    <w:rsid w:val="00DD05B3"/>
    <w:rsid w:val="00DD0BA0"/>
    <w:rsid w:val="00DD1046"/>
    <w:rsid w:val="00DD21AC"/>
    <w:rsid w:val="00DD2877"/>
    <w:rsid w:val="00DD2AA6"/>
    <w:rsid w:val="00DD3829"/>
    <w:rsid w:val="00DD42A3"/>
    <w:rsid w:val="00DD4C44"/>
    <w:rsid w:val="00DD4E62"/>
    <w:rsid w:val="00DD53A9"/>
    <w:rsid w:val="00DD55AE"/>
    <w:rsid w:val="00DD5856"/>
    <w:rsid w:val="00DD6015"/>
    <w:rsid w:val="00DD7067"/>
    <w:rsid w:val="00DD7141"/>
    <w:rsid w:val="00DD788E"/>
    <w:rsid w:val="00DD7B40"/>
    <w:rsid w:val="00DE0309"/>
    <w:rsid w:val="00DE05B5"/>
    <w:rsid w:val="00DE106C"/>
    <w:rsid w:val="00DE117E"/>
    <w:rsid w:val="00DE1987"/>
    <w:rsid w:val="00DE1EF9"/>
    <w:rsid w:val="00DE26C9"/>
    <w:rsid w:val="00DE29BD"/>
    <w:rsid w:val="00DE2A71"/>
    <w:rsid w:val="00DE2AC1"/>
    <w:rsid w:val="00DE2D23"/>
    <w:rsid w:val="00DE31A4"/>
    <w:rsid w:val="00DE344B"/>
    <w:rsid w:val="00DE36CF"/>
    <w:rsid w:val="00DE42BA"/>
    <w:rsid w:val="00DE4774"/>
    <w:rsid w:val="00DE50C2"/>
    <w:rsid w:val="00DE566F"/>
    <w:rsid w:val="00DE5DF9"/>
    <w:rsid w:val="00DE5E0C"/>
    <w:rsid w:val="00DE606C"/>
    <w:rsid w:val="00DE623A"/>
    <w:rsid w:val="00DE668F"/>
    <w:rsid w:val="00DE75D1"/>
    <w:rsid w:val="00DE7CD4"/>
    <w:rsid w:val="00DF01F3"/>
    <w:rsid w:val="00DF0728"/>
    <w:rsid w:val="00DF0BA6"/>
    <w:rsid w:val="00DF1002"/>
    <w:rsid w:val="00DF10D3"/>
    <w:rsid w:val="00DF117C"/>
    <w:rsid w:val="00DF11D9"/>
    <w:rsid w:val="00DF146B"/>
    <w:rsid w:val="00DF1ADC"/>
    <w:rsid w:val="00DF2249"/>
    <w:rsid w:val="00DF2347"/>
    <w:rsid w:val="00DF2C5D"/>
    <w:rsid w:val="00DF30D5"/>
    <w:rsid w:val="00DF3151"/>
    <w:rsid w:val="00DF3555"/>
    <w:rsid w:val="00DF363A"/>
    <w:rsid w:val="00DF4173"/>
    <w:rsid w:val="00DF4488"/>
    <w:rsid w:val="00DF472D"/>
    <w:rsid w:val="00DF53E8"/>
    <w:rsid w:val="00DF61C8"/>
    <w:rsid w:val="00DF6271"/>
    <w:rsid w:val="00DF6323"/>
    <w:rsid w:val="00DF6B26"/>
    <w:rsid w:val="00DF7401"/>
    <w:rsid w:val="00DF744E"/>
    <w:rsid w:val="00DF7A85"/>
    <w:rsid w:val="00E00258"/>
    <w:rsid w:val="00E0068F"/>
    <w:rsid w:val="00E00D2D"/>
    <w:rsid w:val="00E0110A"/>
    <w:rsid w:val="00E01B7C"/>
    <w:rsid w:val="00E0231E"/>
    <w:rsid w:val="00E026D8"/>
    <w:rsid w:val="00E03BB1"/>
    <w:rsid w:val="00E054BA"/>
    <w:rsid w:val="00E05967"/>
    <w:rsid w:val="00E06424"/>
    <w:rsid w:val="00E06F9F"/>
    <w:rsid w:val="00E0770A"/>
    <w:rsid w:val="00E106FF"/>
    <w:rsid w:val="00E1099E"/>
    <w:rsid w:val="00E10D3F"/>
    <w:rsid w:val="00E1129E"/>
    <w:rsid w:val="00E11BFC"/>
    <w:rsid w:val="00E120DB"/>
    <w:rsid w:val="00E121DD"/>
    <w:rsid w:val="00E12264"/>
    <w:rsid w:val="00E12CF8"/>
    <w:rsid w:val="00E13D3D"/>
    <w:rsid w:val="00E15243"/>
    <w:rsid w:val="00E155CD"/>
    <w:rsid w:val="00E15A7E"/>
    <w:rsid w:val="00E160CA"/>
    <w:rsid w:val="00E1649B"/>
    <w:rsid w:val="00E1675C"/>
    <w:rsid w:val="00E16977"/>
    <w:rsid w:val="00E16BE1"/>
    <w:rsid w:val="00E17052"/>
    <w:rsid w:val="00E1746C"/>
    <w:rsid w:val="00E17DAB"/>
    <w:rsid w:val="00E20209"/>
    <w:rsid w:val="00E20628"/>
    <w:rsid w:val="00E20C5C"/>
    <w:rsid w:val="00E2103B"/>
    <w:rsid w:val="00E21177"/>
    <w:rsid w:val="00E21C9B"/>
    <w:rsid w:val="00E223BE"/>
    <w:rsid w:val="00E22407"/>
    <w:rsid w:val="00E22A07"/>
    <w:rsid w:val="00E22FB1"/>
    <w:rsid w:val="00E231CA"/>
    <w:rsid w:val="00E235C3"/>
    <w:rsid w:val="00E236A3"/>
    <w:rsid w:val="00E23E38"/>
    <w:rsid w:val="00E253F7"/>
    <w:rsid w:val="00E259E3"/>
    <w:rsid w:val="00E26003"/>
    <w:rsid w:val="00E26C68"/>
    <w:rsid w:val="00E273FF"/>
    <w:rsid w:val="00E27B91"/>
    <w:rsid w:val="00E306E7"/>
    <w:rsid w:val="00E3087C"/>
    <w:rsid w:val="00E30E1D"/>
    <w:rsid w:val="00E30FE2"/>
    <w:rsid w:val="00E313A8"/>
    <w:rsid w:val="00E31C31"/>
    <w:rsid w:val="00E31CEE"/>
    <w:rsid w:val="00E32679"/>
    <w:rsid w:val="00E3267E"/>
    <w:rsid w:val="00E32777"/>
    <w:rsid w:val="00E33171"/>
    <w:rsid w:val="00E33394"/>
    <w:rsid w:val="00E335C8"/>
    <w:rsid w:val="00E34C3E"/>
    <w:rsid w:val="00E35582"/>
    <w:rsid w:val="00E3664F"/>
    <w:rsid w:val="00E37BA9"/>
    <w:rsid w:val="00E37F9B"/>
    <w:rsid w:val="00E405C1"/>
    <w:rsid w:val="00E406CE"/>
    <w:rsid w:val="00E40CF9"/>
    <w:rsid w:val="00E41EF4"/>
    <w:rsid w:val="00E42411"/>
    <w:rsid w:val="00E42A7A"/>
    <w:rsid w:val="00E42C8A"/>
    <w:rsid w:val="00E43181"/>
    <w:rsid w:val="00E4357F"/>
    <w:rsid w:val="00E436F2"/>
    <w:rsid w:val="00E43965"/>
    <w:rsid w:val="00E43E3B"/>
    <w:rsid w:val="00E4452C"/>
    <w:rsid w:val="00E44FAC"/>
    <w:rsid w:val="00E4582E"/>
    <w:rsid w:val="00E46611"/>
    <w:rsid w:val="00E469B5"/>
    <w:rsid w:val="00E46AB8"/>
    <w:rsid w:val="00E473B3"/>
    <w:rsid w:val="00E47459"/>
    <w:rsid w:val="00E479CE"/>
    <w:rsid w:val="00E50219"/>
    <w:rsid w:val="00E50E8D"/>
    <w:rsid w:val="00E518BD"/>
    <w:rsid w:val="00E51F1C"/>
    <w:rsid w:val="00E53BBA"/>
    <w:rsid w:val="00E53F1A"/>
    <w:rsid w:val="00E54185"/>
    <w:rsid w:val="00E5444F"/>
    <w:rsid w:val="00E551DE"/>
    <w:rsid w:val="00E555CD"/>
    <w:rsid w:val="00E55ABA"/>
    <w:rsid w:val="00E570E3"/>
    <w:rsid w:val="00E57CA7"/>
    <w:rsid w:val="00E57CCE"/>
    <w:rsid w:val="00E57E85"/>
    <w:rsid w:val="00E600CF"/>
    <w:rsid w:val="00E603E9"/>
    <w:rsid w:val="00E612DC"/>
    <w:rsid w:val="00E61C5E"/>
    <w:rsid w:val="00E61EC0"/>
    <w:rsid w:val="00E62415"/>
    <w:rsid w:val="00E62B36"/>
    <w:rsid w:val="00E62DF5"/>
    <w:rsid w:val="00E63AA5"/>
    <w:rsid w:val="00E63BDC"/>
    <w:rsid w:val="00E647C8"/>
    <w:rsid w:val="00E649E2"/>
    <w:rsid w:val="00E64EFB"/>
    <w:rsid w:val="00E67C82"/>
    <w:rsid w:val="00E702CE"/>
    <w:rsid w:val="00E7055C"/>
    <w:rsid w:val="00E708A3"/>
    <w:rsid w:val="00E70F0A"/>
    <w:rsid w:val="00E712C3"/>
    <w:rsid w:val="00E71844"/>
    <w:rsid w:val="00E731D7"/>
    <w:rsid w:val="00E7363F"/>
    <w:rsid w:val="00E7371B"/>
    <w:rsid w:val="00E73765"/>
    <w:rsid w:val="00E7462C"/>
    <w:rsid w:val="00E7470B"/>
    <w:rsid w:val="00E74ACE"/>
    <w:rsid w:val="00E74CED"/>
    <w:rsid w:val="00E75294"/>
    <w:rsid w:val="00E75A0F"/>
    <w:rsid w:val="00E75E5E"/>
    <w:rsid w:val="00E76281"/>
    <w:rsid w:val="00E775EB"/>
    <w:rsid w:val="00E77A9E"/>
    <w:rsid w:val="00E77C06"/>
    <w:rsid w:val="00E77DD8"/>
    <w:rsid w:val="00E81A51"/>
    <w:rsid w:val="00E823A1"/>
    <w:rsid w:val="00E8257E"/>
    <w:rsid w:val="00E831F7"/>
    <w:rsid w:val="00E835D7"/>
    <w:rsid w:val="00E84B2F"/>
    <w:rsid w:val="00E855E0"/>
    <w:rsid w:val="00E85C4D"/>
    <w:rsid w:val="00E860B7"/>
    <w:rsid w:val="00E8780D"/>
    <w:rsid w:val="00E87A62"/>
    <w:rsid w:val="00E87F18"/>
    <w:rsid w:val="00E87F9B"/>
    <w:rsid w:val="00E9221F"/>
    <w:rsid w:val="00E92644"/>
    <w:rsid w:val="00E93333"/>
    <w:rsid w:val="00E93972"/>
    <w:rsid w:val="00E93C24"/>
    <w:rsid w:val="00E94499"/>
    <w:rsid w:val="00E95CE7"/>
    <w:rsid w:val="00E95DB8"/>
    <w:rsid w:val="00E95E3B"/>
    <w:rsid w:val="00E96286"/>
    <w:rsid w:val="00E97527"/>
    <w:rsid w:val="00E97984"/>
    <w:rsid w:val="00E97BEF"/>
    <w:rsid w:val="00EA186C"/>
    <w:rsid w:val="00EA20DF"/>
    <w:rsid w:val="00EA2A2A"/>
    <w:rsid w:val="00EA3821"/>
    <w:rsid w:val="00EA4080"/>
    <w:rsid w:val="00EA45F1"/>
    <w:rsid w:val="00EA46A8"/>
    <w:rsid w:val="00EA5A9E"/>
    <w:rsid w:val="00EA6556"/>
    <w:rsid w:val="00EA65B2"/>
    <w:rsid w:val="00EA6842"/>
    <w:rsid w:val="00EA6944"/>
    <w:rsid w:val="00EA6D25"/>
    <w:rsid w:val="00EB0072"/>
    <w:rsid w:val="00EB040B"/>
    <w:rsid w:val="00EB053A"/>
    <w:rsid w:val="00EB0B8A"/>
    <w:rsid w:val="00EB121C"/>
    <w:rsid w:val="00EB1B80"/>
    <w:rsid w:val="00EB2A6B"/>
    <w:rsid w:val="00EB3E7C"/>
    <w:rsid w:val="00EB4C26"/>
    <w:rsid w:val="00EB4CCF"/>
    <w:rsid w:val="00EB4DB1"/>
    <w:rsid w:val="00EB5127"/>
    <w:rsid w:val="00EB53F2"/>
    <w:rsid w:val="00EB548C"/>
    <w:rsid w:val="00EB7803"/>
    <w:rsid w:val="00EB7AFD"/>
    <w:rsid w:val="00EB7BA0"/>
    <w:rsid w:val="00EC0295"/>
    <w:rsid w:val="00EC0454"/>
    <w:rsid w:val="00EC17B3"/>
    <w:rsid w:val="00EC19FA"/>
    <w:rsid w:val="00EC1F39"/>
    <w:rsid w:val="00EC251F"/>
    <w:rsid w:val="00EC2948"/>
    <w:rsid w:val="00EC356E"/>
    <w:rsid w:val="00EC4FB0"/>
    <w:rsid w:val="00EC5F86"/>
    <w:rsid w:val="00EC728F"/>
    <w:rsid w:val="00ED05CE"/>
    <w:rsid w:val="00ED06CB"/>
    <w:rsid w:val="00ED0940"/>
    <w:rsid w:val="00ED0AED"/>
    <w:rsid w:val="00ED133F"/>
    <w:rsid w:val="00ED1DE8"/>
    <w:rsid w:val="00ED25CE"/>
    <w:rsid w:val="00ED25D8"/>
    <w:rsid w:val="00ED2867"/>
    <w:rsid w:val="00ED2B9F"/>
    <w:rsid w:val="00ED32A7"/>
    <w:rsid w:val="00ED3A55"/>
    <w:rsid w:val="00ED3B06"/>
    <w:rsid w:val="00ED402C"/>
    <w:rsid w:val="00ED4426"/>
    <w:rsid w:val="00ED4545"/>
    <w:rsid w:val="00ED511B"/>
    <w:rsid w:val="00ED6992"/>
    <w:rsid w:val="00ED7DD7"/>
    <w:rsid w:val="00EE068C"/>
    <w:rsid w:val="00EE0ACF"/>
    <w:rsid w:val="00EE1163"/>
    <w:rsid w:val="00EE22E3"/>
    <w:rsid w:val="00EE28B1"/>
    <w:rsid w:val="00EE2EA0"/>
    <w:rsid w:val="00EE2ED0"/>
    <w:rsid w:val="00EE3037"/>
    <w:rsid w:val="00EE311B"/>
    <w:rsid w:val="00EE37DE"/>
    <w:rsid w:val="00EE37F3"/>
    <w:rsid w:val="00EE38BB"/>
    <w:rsid w:val="00EE630F"/>
    <w:rsid w:val="00EE67C5"/>
    <w:rsid w:val="00EE7089"/>
    <w:rsid w:val="00EF0D77"/>
    <w:rsid w:val="00EF16DC"/>
    <w:rsid w:val="00EF18EF"/>
    <w:rsid w:val="00EF225A"/>
    <w:rsid w:val="00EF4031"/>
    <w:rsid w:val="00EF41E5"/>
    <w:rsid w:val="00EF4228"/>
    <w:rsid w:val="00EF45CE"/>
    <w:rsid w:val="00EF4C71"/>
    <w:rsid w:val="00EF5858"/>
    <w:rsid w:val="00EF695C"/>
    <w:rsid w:val="00EF6B71"/>
    <w:rsid w:val="00EF6D74"/>
    <w:rsid w:val="00EF706C"/>
    <w:rsid w:val="00EF7914"/>
    <w:rsid w:val="00F00454"/>
    <w:rsid w:val="00F00984"/>
    <w:rsid w:val="00F01FF7"/>
    <w:rsid w:val="00F03CAB"/>
    <w:rsid w:val="00F05908"/>
    <w:rsid w:val="00F05AE8"/>
    <w:rsid w:val="00F071E5"/>
    <w:rsid w:val="00F07E6D"/>
    <w:rsid w:val="00F10305"/>
    <w:rsid w:val="00F10348"/>
    <w:rsid w:val="00F1076B"/>
    <w:rsid w:val="00F10982"/>
    <w:rsid w:val="00F10D71"/>
    <w:rsid w:val="00F10DBD"/>
    <w:rsid w:val="00F10F4D"/>
    <w:rsid w:val="00F10FEB"/>
    <w:rsid w:val="00F11B9B"/>
    <w:rsid w:val="00F11D20"/>
    <w:rsid w:val="00F120D0"/>
    <w:rsid w:val="00F13281"/>
    <w:rsid w:val="00F1363A"/>
    <w:rsid w:val="00F13E0D"/>
    <w:rsid w:val="00F141CC"/>
    <w:rsid w:val="00F144DB"/>
    <w:rsid w:val="00F14A83"/>
    <w:rsid w:val="00F14FB4"/>
    <w:rsid w:val="00F15CE3"/>
    <w:rsid w:val="00F15D23"/>
    <w:rsid w:val="00F15D8F"/>
    <w:rsid w:val="00F15DFF"/>
    <w:rsid w:val="00F16187"/>
    <w:rsid w:val="00F16BBC"/>
    <w:rsid w:val="00F175CA"/>
    <w:rsid w:val="00F20B6E"/>
    <w:rsid w:val="00F20FF5"/>
    <w:rsid w:val="00F2195E"/>
    <w:rsid w:val="00F21D69"/>
    <w:rsid w:val="00F2214E"/>
    <w:rsid w:val="00F248EC"/>
    <w:rsid w:val="00F24BCF"/>
    <w:rsid w:val="00F24C64"/>
    <w:rsid w:val="00F25174"/>
    <w:rsid w:val="00F2639B"/>
    <w:rsid w:val="00F2653E"/>
    <w:rsid w:val="00F26879"/>
    <w:rsid w:val="00F271F4"/>
    <w:rsid w:val="00F276EE"/>
    <w:rsid w:val="00F30102"/>
    <w:rsid w:val="00F311B0"/>
    <w:rsid w:val="00F3202D"/>
    <w:rsid w:val="00F32046"/>
    <w:rsid w:val="00F3255F"/>
    <w:rsid w:val="00F331AC"/>
    <w:rsid w:val="00F33271"/>
    <w:rsid w:val="00F33748"/>
    <w:rsid w:val="00F34A42"/>
    <w:rsid w:val="00F3510E"/>
    <w:rsid w:val="00F353C4"/>
    <w:rsid w:val="00F35B8D"/>
    <w:rsid w:val="00F36800"/>
    <w:rsid w:val="00F36E50"/>
    <w:rsid w:val="00F373DC"/>
    <w:rsid w:val="00F3752D"/>
    <w:rsid w:val="00F3761F"/>
    <w:rsid w:val="00F37C23"/>
    <w:rsid w:val="00F37DA7"/>
    <w:rsid w:val="00F37EF3"/>
    <w:rsid w:val="00F403D6"/>
    <w:rsid w:val="00F40782"/>
    <w:rsid w:val="00F40EAB"/>
    <w:rsid w:val="00F40EEF"/>
    <w:rsid w:val="00F42107"/>
    <w:rsid w:val="00F422EF"/>
    <w:rsid w:val="00F42894"/>
    <w:rsid w:val="00F43E26"/>
    <w:rsid w:val="00F44904"/>
    <w:rsid w:val="00F44E11"/>
    <w:rsid w:val="00F4511D"/>
    <w:rsid w:val="00F4532B"/>
    <w:rsid w:val="00F45578"/>
    <w:rsid w:val="00F45CF2"/>
    <w:rsid w:val="00F46072"/>
    <w:rsid w:val="00F461C5"/>
    <w:rsid w:val="00F46B4B"/>
    <w:rsid w:val="00F470EA"/>
    <w:rsid w:val="00F47B25"/>
    <w:rsid w:val="00F5038E"/>
    <w:rsid w:val="00F506AE"/>
    <w:rsid w:val="00F51346"/>
    <w:rsid w:val="00F5235B"/>
    <w:rsid w:val="00F52CD9"/>
    <w:rsid w:val="00F53C25"/>
    <w:rsid w:val="00F540E9"/>
    <w:rsid w:val="00F5448C"/>
    <w:rsid w:val="00F547F8"/>
    <w:rsid w:val="00F54947"/>
    <w:rsid w:val="00F54F7B"/>
    <w:rsid w:val="00F55CD7"/>
    <w:rsid w:val="00F560DC"/>
    <w:rsid w:val="00F562B4"/>
    <w:rsid w:val="00F56916"/>
    <w:rsid w:val="00F56AD0"/>
    <w:rsid w:val="00F56CB1"/>
    <w:rsid w:val="00F57E02"/>
    <w:rsid w:val="00F6055A"/>
    <w:rsid w:val="00F60BDD"/>
    <w:rsid w:val="00F60DA7"/>
    <w:rsid w:val="00F625E3"/>
    <w:rsid w:val="00F626C2"/>
    <w:rsid w:val="00F628A3"/>
    <w:rsid w:val="00F630EF"/>
    <w:rsid w:val="00F63308"/>
    <w:rsid w:val="00F63F85"/>
    <w:rsid w:val="00F64B3D"/>
    <w:rsid w:val="00F65253"/>
    <w:rsid w:val="00F65819"/>
    <w:rsid w:val="00F66865"/>
    <w:rsid w:val="00F66FC8"/>
    <w:rsid w:val="00F672C3"/>
    <w:rsid w:val="00F67A6B"/>
    <w:rsid w:val="00F70B5B"/>
    <w:rsid w:val="00F71428"/>
    <w:rsid w:val="00F71634"/>
    <w:rsid w:val="00F71BB3"/>
    <w:rsid w:val="00F7244F"/>
    <w:rsid w:val="00F72962"/>
    <w:rsid w:val="00F72D23"/>
    <w:rsid w:val="00F73558"/>
    <w:rsid w:val="00F73B3B"/>
    <w:rsid w:val="00F743D8"/>
    <w:rsid w:val="00F74631"/>
    <w:rsid w:val="00F74CB0"/>
    <w:rsid w:val="00F75495"/>
    <w:rsid w:val="00F75597"/>
    <w:rsid w:val="00F75D04"/>
    <w:rsid w:val="00F7639C"/>
    <w:rsid w:val="00F765EB"/>
    <w:rsid w:val="00F773A0"/>
    <w:rsid w:val="00F77558"/>
    <w:rsid w:val="00F77E2B"/>
    <w:rsid w:val="00F80FDE"/>
    <w:rsid w:val="00F81355"/>
    <w:rsid w:val="00F81425"/>
    <w:rsid w:val="00F81535"/>
    <w:rsid w:val="00F81638"/>
    <w:rsid w:val="00F81CE4"/>
    <w:rsid w:val="00F822BA"/>
    <w:rsid w:val="00F836EA"/>
    <w:rsid w:val="00F83867"/>
    <w:rsid w:val="00F85851"/>
    <w:rsid w:val="00F863AD"/>
    <w:rsid w:val="00F8673B"/>
    <w:rsid w:val="00F87522"/>
    <w:rsid w:val="00F8779E"/>
    <w:rsid w:val="00F879B5"/>
    <w:rsid w:val="00F9030F"/>
    <w:rsid w:val="00F90400"/>
    <w:rsid w:val="00F907D5"/>
    <w:rsid w:val="00F908F8"/>
    <w:rsid w:val="00F92442"/>
    <w:rsid w:val="00F926C8"/>
    <w:rsid w:val="00F92BBE"/>
    <w:rsid w:val="00F939DB"/>
    <w:rsid w:val="00F93CD3"/>
    <w:rsid w:val="00F94D05"/>
    <w:rsid w:val="00F94E8C"/>
    <w:rsid w:val="00F95337"/>
    <w:rsid w:val="00F964B0"/>
    <w:rsid w:val="00F9732A"/>
    <w:rsid w:val="00F973F0"/>
    <w:rsid w:val="00F97A60"/>
    <w:rsid w:val="00F97B52"/>
    <w:rsid w:val="00F97D2D"/>
    <w:rsid w:val="00FA02E7"/>
    <w:rsid w:val="00FA05A4"/>
    <w:rsid w:val="00FA1631"/>
    <w:rsid w:val="00FA2F87"/>
    <w:rsid w:val="00FA30C2"/>
    <w:rsid w:val="00FA31D8"/>
    <w:rsid w:val="00FA3486"/>
    <w:rsid w:val="00FA3A5B"/>
    <w:rsid w:val="00FA4425"/>
    <w:rsid w:val="00FA4E08"/>
    <w:rsid w:val="00FA63B6"/>
    <w:rsid w:val="00FA6958"/>
    <w:rsid w:val="00FA6BC6"/>
    <w:rsid w:val="00FA6CF1"/>
    <w:rsid w:val="00FA7135"/>
    <w:rsid w:val="00FA784C"/>
    <w:rsid w:val="00FA7E11"/>
    <w:rsid w:val="00FB06E1"/>
    <w:rsid w:val="00FB0CA2"/>
    <w:rsid w:val="00FB1A25"/>
    <w:rsid w:val="00FB2462"/>
    <w:rsid w:val="00FB2711"/>
    <w:rsid w:val="00FB3E8C"/>
    <w:rsid w:val="00FB4A9E"/>
    <w:rsid w:val="00FB5442"/>
    <w:rsid w:val="00FB5BA4"/>
    <w:rsid w:val="00FB66AB"/>
    <w:rsid w:val="00FB6912"/>
    <w:rsid w:val="00FB7E9B"/>
    <w:rsid w:val="00FC00DD"/>
    <w:rsid w:val="00FC0A72"/>
    <w:rsid w:val="00FC0FB9"/>
    <w:rsid w:val="00FC1247"/>
    <w:rsid w:val="00FC1268"/>
    <w:rsid w:val="00FC1308"/>
    <w:rsid w:val="00FC13E2"/>
    <w:rsid w:val="00FC14D9"/>
    <w:rsid w:val="00FC1C66"/>
    <w:rsid w:val="00FC23DE"/>
    <w:rsid w:val="00FC27D4"/>
    <w:rsid w:val="00FC36FF"/>
    <w:rsid w:val="00FC3CD4"/>
    <w:rsid w:val="00FC4E2A"/>
    <w:rsid w:val="00FC4F11"/>
    <w:rsid w:val="00FC5014"/>
    <w:rsid w:val="00FC52F9"/>
    <w:rsid w:val="00FC6CF3"/>
    <w:rsid w:val="00FC6F4F"/>
    <w:rsid w:val="00FC6FCC"/>
    <w:rsid w:val="00FC7F99"/>
    <w:rsid w:val="00FD029D"/>
    <w:rsid w:val="00FD09E7"/>
    <w:rsid w:val="00FD0CD6"/>
    <w:rsid w:val="00FD1B30"/>
    <w:rsid w:val="00FD23D3"/>
    <w:rsid w:val="00FD3D3E"/>
    <w:rsid w:val="00FD4975"/>
    <w:rsid w:val="00FD5051"/>
    <w:rsid w:val="00FD522D"/>
    <w:rsid w:val="00FD5958"/>
    <w:rsid w:val="00FD5A0F"/>
    <w:rsid w:val="00FD5A56"/>
    <w:rsid w:val="00FD727E"/>
    <w:rsid w:val="00FD756D"/>
    <w:rsid w:val="00FD760C"/>
    <w:rsid w:val="00FD77DC"/>
    <w:rsid w:val="00FD7972"/>
    <w:rsid w:val="00FD79EA"/>
    <w:rsid w:val="00FE059A"/>
    <w:rsid w:val="00FE0767"/>
    <w:rsid w:val="00FE0781"/>
    <w:rsid w:val="00FE1091"/>
    <w:rsid w:val="00FE2022"/>
    <w:rsid w:val="00FE29AF"/>
    <w:rsid w:val="00FE2ACA"/>
    <w:rsid w:val="00FE395C"/>
    <w:rsid w:val="00FE3CB1"/>
    <w:rsid w:val="00FE3DE9"/>
    <w:rsid w:val="00FE466D"/>
    <w:rsid w:val="00FE478F"/>
    <w:rsid w:val="00FE54AE"/>
    <w:rsid w:val="00FE58C2"/>
    <w:rsid w:val="00FE60F7"/>
    <w:rsid w:val="00FE61EE"/>
    <w:rsid w:val="00FE633E"/>
    <w:rsid w:val="00FE6446"/>
    <w:rsid w:val="00FE7CB0"/>
    <w:rsid w:val="00FF03B0"/>
    <w:rsid w:val="00FF13E9"/>
    <w:rsid w:val="00FF1B1B"/>
    <w:rsid w:val="00FF1E56"/>
    <w:rsid w:val="00FF2122"/>
    <w:rsid w:val="00FF2339"/>
    <w:rsid w:val="00FF2430"/>
    <w:rsid w:val="00FF267E"/>
    <w:rsid w:val="00FF26B9"/>
    <w:rsid w:val="00FF2BA0"/>
    <w:rsid w:val="00FF33AA"/>
    <w:rsid w:val="00FF371D"/>
    <w:rsid w:val="00FF3925"/>
    <w:rsid w:val="00FF4B33"/>
    <w:rsid w:val="00FF4ED5"/>
    <w:rsid w:val="00FF581C"/>
    <w:rsid w:val="00FF637D"/>
    <w:rsid w:val="00FF64CF"/>
    <w:rsid w:val="00FF6633"/>
    <w:rsid w:val="00FF6B5D"/>
    <w:rsid w:val="00FF6BC3"/>
    <w:rsid w:val="00FF6CBA"/>
    <w:rsid w:val="00FF6DD8"/>
    <w:rsid w:val="00FF6E0E"/>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09B"/>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link w:val="DashChar"/>
    <w:rsid w:val="00EC5F86"/>
    <w:pPr>
      <w:numPr>
        <w:ilvl w:val="1"/>
        <w:numId w:val="2"/>
      </w:numPr>
    </w:pPr>
  </w:style>
  <w:style w:type="paragraph" w:customStyle="1" w:styleId="DoubleDot">
    <w:name w:val="Double Dot"/>
    <w:basedOn w:val="Normal"/>
    <w:link w:val="DoubleDotChar"/>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link w:val="OverviewParagraphChar"/>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link w:val="TableColumnHeadingRightChar"/>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link w:val="TitleChar"/>
    <w:uiPriority w:val="10"/>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link w:val="HeaderOddChar"/>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uiPriority w:val="99"/>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uiPriority w:val="99"/>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7"/>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styleId="UnresolvedMention">
    <w:name w:val="Unresolved Mention"/>
    <w:basedOn w:val="DefaultParagraphFont"/>
    <w:uiPriority w:val="99"/>
    <w:semiHidden/>
    <w:unhideWhenUsed/>
    <w:rsid w:val="002F7D13"/>
    <w:rPr>
      <w:color w:val="605E5C"/>
      <w:shd w:val="clear" w:color="auto" w:fill="E1DFDD"/>
    </w:rPr>
  </w:style>
  <w:style w:type="paragraph" w:customStyle="1" w:styleId="paragraph">
    <w:name w:val="paragraph"/>
    <w:basedOn w:val="Normal"/>
    <w:rsid w:val="004F383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4F3832"/>
  </w:style>
  <w:style w:type="character" w:customStyle="1" w:styleId="eop">
    <w:name w:val="eop"/>
    <w:basedOn w:val="DefaultParagraphFont"/>
    <w:rsid w:val="004F3832"/>
  </w:style>
  <w:style w:type="character" w:customStyle="1" w:styleId="PBS16Actsitalics">
    <w:name w:val="PBS16 Acts (italics)"/>
    <w:basedOn w:val="DefaultParagraphFont"/>
    <w:uiPriority w:val="1"/>
    <w:rsid w:val="00E518BD"/>
    <w:rPr>
      <w:i/>
    </w:rPr>
  </w:style>
  <w:style w:type="paragraph" w:customStyle="1" w:styleId="PBS16Glossary">
    <w:name w:val="PBS16 Glossary"/>
    <w:basedOn w:val="Normal"/>
    <w:rsid w:val="00770E0E"/>
    <w:pPr>
      <w:spacing w:before="40" w:after="40" w:line="240" w:lineRule="atLeast"/>
      <w:jc w:val="left"/>
    </w:pPr>
    <w:rPr>
      <w:sz w:val="18"/>
      <w:szCs w:val="18"/>
    </w:rPr>
  </w:style>
  <w:style w:type="table" w:customStyle="1" w:styleId="TableGrid1">
    <w:name w:val="Table Grid1"/>
    <w:basedOn w:val="TableNormal"/>
    <w:next w:val="TableGrid"/>
    <w:uiPriority w:val="59"/>
    <w:rsid w:val="00CA046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5656"/>
    <w:rPr>
      <w:rFonts w:ascii="Arial Bold" w:hAnsi="Arial Bold"/>
      <w:b/>
      <w:kern w:val="34"/>
      <w:sz w:val="36"/>
    </w:rPr>
  </w:style>
  <w:style w:type="character" w:customStyle="1" w:styleId="Heading2Char">
    <w:name w:val="Heading 2 Char"/>
    <w:basedOn w:val="DefaultParagraphFont"/>
    <w:link w:val="Heading2"/>
    <w:rsid w:val="004E5656"/>
    <w:rPr>
      <w:rFonts w:ascii="Arial Bold" w:hAnsi="Arial Bold"/>
      <w:b/>
      <w:sz w:val="26"/>
    </w:rPr>
  </w:style>
  <w:style w:type="character" w:customStyle="1" w:styleId="Heading4Char">
    <w:name w:val="Heading 4 Char"/>
    <w:basedOn w:val="DefaultParagraphFont"/>
    <w:link w:val="Heading4"/>
    <w:rsid w:val="004E5656"/>
    <w:rPr>
      <w:rFonts w:ascii="Arial Bold" w:hAnsi="Arial Bold"/>
      <w:b/>
    </w:rPr>
  </w:style>
  <w:style w:type="character" w:customStyle="1" w:styleId="Heading5Char">
    <w:name w:val="Heading 5 Char"/>
    <w:basedOn w:val="DefaultParagraphFont"/>
    <w:link w:val="Heading5"/>
    <w:rsid w:val="004E5656"/>
    <w:rPr>
      <w:rFonts w:ascii="Arial" w:hAnsi="Arial"/>
      <w:bCs/>
      <w:iCs/>
      <w:szCs w:val="26"/>
    </w:rPr>
  </w:style>
  <w:style w:type="character" w:customStyle="1" w:styleId="Heading6Char">
    <w:name w:val="Heading 6 Char"/>
    <w:basedOn w:val="DefaultParagraphFont"/>
    <w:link w:val="Heading6"/>
    <w:rsid w:val="004E5656"/>
    <w:rPr>
      <w:rFonts w:ascii="Arial" w:hAnsi="Arial"/>
      <w:bCs/>
      <w:szCs w:val="22"/>
    </w:rPr>
  </w:style>
  <w:style w:type="character" w:customStyle="1" w:styleId="Heading7Char">
    <w:name w:val="Heading 7 Char"/>
    <w:basedOn w:val="DefaultParagraphFont"/>
    <w:link w:val="Heading7"/>
    <w:rsid w:val="004E5656"/>
    <w:rPr>
      <w:rFonts w:ascii="Arial" w:hAnsi="Arial"/>
      <w:sz w:val="18"/>
      <w:szCs w:val="24"/>
    </w:rPr>
  </w:style>
  <w:style w:type="character" w:customStyle="1" w:styleId="Heading8Char">
    <w:name w:val="Heading 8 Char"/>
    <w:basedOn w:val="DefaultParagraphFont"/>
    <w:link w:val="Heading8"/>
    <w:rsid w:val="004E5656"/>
    <w:rPr>
      <w:i/>
      <w:iCs/>
      <w:sz w:val="16"/>
      <w:szCs w:val="24"/>
    </w:rPr>
  </w:style>
  <w:style w:type="paragraph" w:customStyle="1" w:styleId="msonormal0">
    <w:name w:val="msonormal"/>
    <w:basedOn w:val="Normal"/>
    <w:rsid w:val="004E5656"/>
    <w:pPr>
      <w:spacing w:before="100" w:beforeAutospacing="1" w:after="100" w:afterAutospacing="1" w:line="240" w:lineRule="auto"/>
      <w:jc w:val="left"/>
    </w:pPr>
    <w:rPr>
      <w:rFonts w:ascii="Times New Roman" w:hAnsi="Times New Roman"/>
      <w:sz w:val="24"/>
      <w:szCs w:val="24"/>
    </w:rPr>
  </w:style>
  <w:style w:type="character" w:customStyle="1" w:styleId="FootnoteTextChar">
    <w:name w:val="Footnote Text Char"/>
    <w:basedOn w:val="DefaultParagraphFont"/>
    <w:link w:val="FootnoteText"/>
    <w:uiPriority w:val="99"/>
    <w:rsid w:val="004E5656"/>
    <w:rPr>
      <w:rFonts w:ascii="Book Antiqua" w:hAnsi="Book Antiqua"/>
      <w:sz w:val="18"/>
    </w:rPr>
  </w:style>
  <w:style w:type="character" w:customStyle="1" w:styleId="EndnoteTextChar">
    <w:name w:val="Endnote Text Char"/>
    <w:basedOn w:val="DefaultParagraphFont"/>
    <w:link w:val="EndnoteText"/>
    <w:semiHidden/>
    <w:rsid w:val="004E5656"/>
    <w:rPr>
      <w:rFonts w:ascii="Book Antiqua" w:hAnsi="Book Antiqua"/>
    </w:rPr>
  </w:style>
  <w:style w:type="character" w:customStyle="1" w:styleId="MacroTextChar">
    <w:name w:val="Macro Text Char"/>
    <w:basedOn w:val="DefaultParagraphFont"/>
    <w:link w:val="MacroText"/>
    <w:semiHidden/>
    <w:rsid w:val="004E5656"/>
    <w:rPr>
      <w:rFonts w:ascii="Courier New" w:hAnsi="Courier New" w:cs="Courier New"/>
    </w:rPr>
  </w:style>
  <w:style w:type="character" w:customStyle="1" w:styleId="TitleChar">
    <w:name w:val="Title Char"/>
    <w:basedOn w:val="DefaultParagraphFont"/>
    <w:link w:val="Title"/>
    <w:uiPriority w:val="10"/>
    <w:rsid w:val="004E5656"/>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4E5656"/>
    <w:rPr>
      <w:rFonts w:ascii="Tahoma" w:hAnsi="Tahoma" w:cs="Tahoma"/>
      <w:shd w:val="clear" w:color="auto" w:fill="000080"/>
    </w:rPr>
  </w:style>
  <w:style w:type="character" w:customStyle="1" w:styleId="CommentSubjectChar">
    <w:name w:val="Comment Subject Char"/>
    <w:basedOn w:val="CommentTextChar"/>
    <w:link w:val="CommentSubject"/>
    <w:uiPriority w:val="99"/>
    <w:semiHidden/>
    <w:rsid w:val="004E5656"/>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4E5656"/>
    <w:rPr>
      <w:rFonts w:ascii="Tahoma" w:hAnsi="Tahoma" w:cs="Tahoma"/>
      <w:sz w:val="16"/>
      <w:szCs w:val="16"/>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4E5656"/>
    <w:rPr>
      <w:rFonts w:ascii="Calibri" w:eastAsia="Calibri" w:hAnsi="Calibri"/>
      <w:sz w:val="22"/>
      <w:szCs w:val="22"/>
      <w:lang w:val="en-US" w:eastAsia="en-US"/>
    </w:rPr>
  </w:style>
  <w:style w:type="paragraph" w:styleId="TOCHeading">
    <w:name w:val="TOC Heading"/>
    <w:basedOn w:val="Heading1"/>
    <w:next w:val="Normal"/>
    <w:uiPriority w:val="39"/>
    <w:semiHidden/>
    <w:unhideWhenUsed/>
    <w:qFormat/>
    <w:rsid w:val="004E5656"/>
    <w:pPr>
      <w:keepLines/>
      <w:spacing w:before="240" w:after="0" w:line="256"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character" w:customStyle="1" w:styleId="DashChar">
    <w:name w:val="Dash Char"/>
    <w:link w:val="Dash"/>
    <w:locked/>
    <w:rsid w:val="004E5656"/>
    <w:rPr>
      <w:rFonts w:ascii="Book Antiqua" w:hAnsi="Book Antiqua"/>
    </w:rPr>
  </w:style>
  <w:style w:type="character" w:customStyle="1" w:styleId="DoubleDotChar">
    <w:name w:val="Double Dot Char"/>
    <w:link w:val="DoubleDot"/>
    <w:locked/>
    <w:rsid w:val="004E5656"/>
    <w:rPr>
      <w:rFonts w:ascii="Book Antiqua" w:hAnsi="Book Antiqua"/>
    </w:rPr>
  </w:style>
  <w:style w:type="character" w:customStyle="1" w:styleId="OverviewParagraphChar">
    <w:name w:val="Overview Paragraph Char"/>
    <w:link w:val="OverviewParagraph"/>
    <w:semiHidden/>
    <w:locked/>
    <w:rsid w:val="004E5656"/>
    <w:rPr>
      <w:rFonts w:ascii="Book Antiqua" w:hAnsi="Book Antiqua"/>
    </w:rPr>
  </w:style>
  <w:style w:type="character" w:customStyle="1" w:styleId="TableColumnHeadingRightChar">
    <w:name w:val="Table Column Heading Right Char"/>
    <w:link w:val="TableColumnHeadingRight"/>
    <w:locked/>
    <w:rsid w:val="004E5656"/>
    <w:rPr>
      <w:rFonts w:ascii="Arial" w:hAnsi="Arial"/>
      <w:b/>
    </w:rPr>
  </w:style>
  <w:style w:type="character" w:customStyle="1" w:styleId="HeaderOddChar">
    <w:name w:val="Header Odd Char"/>
    <w:basedOn w:val="DefaultParagraphFont"/>
    <w:link w:val="HeaderOdd"/>
    <w:locked/>
    <w:rsid w:val="004E5656"/>
    <w:rPr>
      <w:rFonts w:ascii="Arial" w:hAnsi="Arial"/>
      <w:sz w:val="18"/>
    </w:rPr>
  </w:style>
  <w:style w:type="paragraph" w:customStyle="1" w:styleId="PBS16NormalLeft">
    <w:name w:val="PBS16 Normal Left"/>
    <w:basedOn w:val="Normal"/>
    <w:rsid w:val="004E5656"/>
    <w:pPr>
      <w:jc w:val="left"/>
    </w:pPr>
  </w:style>
  <w:style w:type="character" w:customStyle="1" w:styleId="PBS16BulletListChar">
    <w:name w:val="PBS16 Bullet List Char"/>
    <w:basedOn w:val="DefaultParagraphFont"/>
    <w:link w:val="PBS16BulletList"/>
    <w:locked/>
    <w:rsid w:val="004E5656"/>
    <w:rPr>
      <w:rFonts w:ascii="Book Antiqua" w:hAnsi="Book Antiqua"/>
    </w:rPr>
  </w:style>
  <w:style w:type="paragraph" w:customStyle="1" w:styleId="PBS16BulletList">
    <w:name w:val="PBS16 Bullet List"/>
    <w:basedOn w:val="Normal"/>
    <w:link w:val="PBS16BulletListChar"/>
    <w:qFormat/>
    <w:rsid w:val="00E13D3D"/>
    <w:pPr>
      <w:numPr>
        <w:numId w:val="9"/>
      </w:numPr>
      <w:spacing w:before="120" w:after="120"/>
      <w:ind w:left="426"/>
    </w:pPr>
  </w:style>
  <w:style w:type="paragraph" w:customStyle="1" w:styleId="PBS16Port">
    <w:name w:val="PBS16 Port"/>
    <w:basedOn w:val="SingleParagraph"/>
    <w:rsid w:val="004E5656"/>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4E5656"/>
    <w:pPr>
      <w:jc w:val="center"/>
    </w:pPr>
  </w:style>
  <w:style w:type="paragraph" w:customStyle="1" w:styleId="PBS16Agencies">
    <w:name w:val="PBS16 Agencies"/>
    <w:basedOn w:val="Normal"/>
    <w:rsid w:val="004E5656"/>
    <w:pPr>
      <w:spacing w:after="120" w:line="240" w:lineRule="auto"/>
      <w:jc w:val="left"/>
    </w:pPr>
    <w:rPr>
      <w:sz w:val="19"/>
      <w:szCs w:val="19"/>
    </w:rPr>
  </w:style>
  <w:style w:type="paragraph" w:customStyle="1" w:styleId="18PBSPortStrucspacer">
    <w:name w:val="18PBS Port Struc spacer"/>
    <w:basedOn w:val="Normal"/>
    <w:qFormat/>
    <w:rsid w:val="004E5656"/>
    <w:pPr>
      <w:spacing w:after="0"/>
    </w:pPr>
  </w:style>
  <w:style w:type="character" w:customStyle="1" w:styleId="PBS16TableNormalChar">
    <w:name w:val="PBS16 Table Normal Char"/>
    <w:basedOn w:val="DefaultParagraphFont"/>
    <w:link w:val="PBS16TableNormal"/>
    <w:locked/>
    <w:rsid w:val="004E5656"/>
    <w:rPr>
      <w:rFonts w:ascii="Arial" w:hAnsi="Arial" w:cs="Arial"/>
      <w:sz w:val="16"/>
      <w:szCs w:val="16"/>
    </w:rPr>
  </w:style>
  <w:style w:type="paragraph" w:customStyle="1" w:styleId="PBS16TableNormal">
    <w:name w:val="PBS16 Table Normal"/>
    <w:basedOn w:val="Normal"/>
    <w:link w:val="PBS16TableNormalChar"/>
    <w:rsid w:val="004E5656"/>
    <w:pPr>
      <w:spacing w:before="60" w:after="60" w:line="240" w:lineRule="auto"/>
      <w:jc w:val="left"/>
    </w:pPr>
    <w:rPr>
      <w:rFonts w:ascii="Arial" w:hAnsi="Arial" w:cs="Arial"/>
      <w:sz w:val="16"/>
      <w:szCs w:val="16"/>
    </w:rPr>
  </w:style>
  <w:style w:type="character" w:customStyle="1" w:styleId="PBS16TableNormalHeadingChar">
    <w:name w:val="PBS16 Table Normal Heading Char"/>
    <w:basedOn w:val="PBS16TableNormalChar"/>
    <w:link w:val="PBS16TableNormalHeading"/>
    <w:locked/>
    <w:rsid w:val="004E5656"/>
    <w:rPr>
      <w:rFonts w:ascii="Arial" w:hAnsi="Arial" w:cs="Arial"/>
      <w:b/>
      <w:sz w:val="16"/>
      <w:szCs w:val="16"/>
    </w:rPr>
  </w:style>
  <w:style w:type="paragraph" w:customStyle="1" w:styleId="PBS16TableNormalHeading">
    <w:name w:val="PBS16 Table Normal Heading"/>
    <w:basedOn w:val="PBS16TableNormal"/>
    <w:link w:val="PBS16TableNormalHeadingChar"/>
    <w:rsid w:val="004E5656"/>
    <w:rPr>
      <w:b/>
    </w:rPr>
  </w:style>
  <w:style w:type="paragraph" w:customStyle="1" w:styleId="PBS16TableNormalHeading2">
    <w:name w:val="PBS16 Table Normal Heading 2"/>
    <w:basedOn w:val="Normal"/>
    <w:rsid w:val="004E5656"/>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E13D3D"/>
    <w:pPr>
      <w:numPr>
        <w:numId w:val="10"/>
      </w:numPr>
      <w:tabs>
        <w:tab w:val="num" w:pos="360"/>
      </w:tabs>
      <w:ind w:left="176" w:hanging="176"/>
    </w:pPr>
  </w:style>
  <w:style w:type="paragraph" w:customStyle="1" w:styleId="PBS16HeaderOdd">
    <w:name w:val="PBS16 Header Odd"/>
    <w:basedOn w:val="Header"/>
    <w:rsid w:val="004E5656"/>
    <w:pPr>
      <w:jc w:val="right"/>
    </w:pPr>
    <w:rPr>
      <w:lang w:val="en-AU" w:eastAsia="x-none"/>
    </w:rPr>
  </w:style>
  <w:style w:type="paragraph" w:customStyle="1" w:styleId="PBS16HeaderEven">
    <w:name w:val="PBS16 Header Even"/>
    <w:basedOn w:val="PBS16HeaderOdd"/>
    <w:rsid w:val="004E5656"/>
    <w:pPr>
      <w:jc w:val="left"/>
    </w:pPr>
  </w:style>
  <w:style w:type="paragraph" w:customStyle="1" w:styleId="Default">
    <w:name w:val="Default"/>
    <w:basedOn w:val="Normal"/>
    <w:rsid w:val="004E5656"/>
    <w:pPr>
      <w:autoSpaceDE w:val="0"/>
      <w:autoSpaceDN w:val="0"/>
      <w:spacing w:after="0" w:line="240" w:lineRule="auto"/>
      <w:jc w:val="left"/>
    </w:pPr>
    <w:rPr>
      <w:rFonts w:ascii="Cambria" w:eastAsia="Calibri" w:hAnsi="Cambria"/>
      <w:color w:val="000000"/>
      <w:sz w:val="24"/>
      <w:szCs w:val="24"/>
      <w:lang w:eastAsia="en-US"/>
    </w:rPr>
  </w:style>
  <w:style w:type="paragraph" w:customStyle="1" w:styleId="PBS16TableListBullet2">
    <w:name w:val="PBS16 Table List Bullet 2"/>
    <w:basedOn w:val="PBS16TableNormal"/>
    <w:rsid w:val="00E13D3D"/>
    <w:pPr>
      <w:numPr>
        <w:ilvl w:val="1"/>
        <w:numId w:val="11"/>
      </w:numPr>
      <w:tabs>
        <w:tab w:val="num" w:pos="284"/>
        <w:tab w:val="num" w:pos="360"/>
      </w:tabs>
      <w:spacing w:after="120"/>
      <w:ind w:left="456" w:hanging="284"/>
      <w:contextualSpacing/>
    </w:pPr>
    <w:rPr>
      <w:rFonts w:eastAsia="Cambria"/>
    </w:rPr>
  </w:style>
  <w:style w:type="paragraph" w:customStyle="1" w:styleId="PBS16BulletList2">
    <w:name w:val="PBS16 Bullet List 2"/>
    <w:basedOn w:val="PBS16BulletList"/>
    <w:rsid w:val="00E13D3D"/>
    <w:pPr>
      <w:numPr>
        <w:numId w:val="12"/>
      </w:numPr>
      <w:tabs>
        <w:tab w:val="num" w:pos="360"/>
      </w:tabs>
      <w:ind w:left="709" w:hanging="284"/>
    </w:pPr>
  </w:style>
  <w:style w:type="paragraph" w:customStyle="1" w:styleId="PBS16TableSpacer">
    <w:name w:val="PBS16 Table Spacer"/>
    <w:basedOn w:val="Normal"/>
    <w:rsid w:val="004E5656"/>
    <w:pPr>
      <w:shd w:val="clear" w:color="auto" w:fill="FFE599" w:themeFill="accent4" w:themeFillTint="66"/>
      <w:spacing w:after="0" w:line="240" w:lineRule="atLeast"/>
      <w:jc w:val="center"/>
    </w:pPr>
    <w:rPr>
      <w:b/>
      <w:vanish/>
    </w:rPr>
  </w:style>
  <w:style w:type="paragraph" w:customStyle="1" w:styleId="Heading3ptafter">
    <w:name w:val="Heading 3 pt after"/>
    <w:basedOn w:val="Heading6"/>
    <w:rsid w:val="004E5656"/>
    <w:pPr>
      <w:spacing w:before="120" w:after="60" w:line="260" w:lineRule="exact"/>
    </w:pPr>
    <w:rPr>
      <w:rFonts w:cs="Arial"/>
      <w:b/>
      <w:i/>
      <w:sz w:val="18"/>
      <w:lang w:val="x-none"/>
    </w:rPr>
  </w:style>
  <w:style w:type="paragraph" w:customStyle="1" w:styleId="SinglePara">
    <w:name w:val="Single Para"/>
    <w:basedOn w:val="Normal"/>
    <w:rsid w:val="004E5656"/>
    <w:pPr>
      <w:spacing w:after="0"/>
      <w:jc w:val="left"/>
    </w:pPr>
  </w:style>
  <w:style w:type="paragraph" w:customStyle="1" w:styleId="Tabletextjustified0">
    <w:name w:val="Table text justified"/>
    <w:basedOn w:val="Normal"/>
    <w:semiHidden/>
    <w:rsid w:val="004E5656"/>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4E5656"/>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4E5656"/>
    <w:pPr>
      <w:spacing w:before="100" w:after="100" w:line="250" w:lineRule="exact"/>
    </w:pPr>
  </w:style>
  <w:style w:type="paragraph" w:customStyle="1" w:styleId="Area">
    <w:name w:val="Area"/>
    <w:basedOn w:val="Normal"/>
    <w:rsid w:val="004E5656"/>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4E5656"/>
    <w:pPr>
      <w:tabs>
        <w:tab w:val="right" w:pos="9639"/>
      </w:tabs>
      <w:spacing w:before="240" w:after="120"/>
      <w:jc w:val="right"/>
    </w:pPr>
    <w:rPr>
      <w:rFonts w:ascii="Times" w:hAnsi="Times"/>
      <w:b/>
      <w:i w:val="0"/>
      <w:caps/>
      <w:sz w:val="16"/>
      <w:szCs w:val="16"/>
    </w:rPr>
  </w:style>
  <w:style w:type="paragraph" w:customStyle="1" w:styleId="Outcomeheading">
    <w:name w:val="Outcome heading"/>
    <w:basedOn w:val="Heading3"/>
    <w:qFormat/>
    <w:rsid w:val="004E5656"/>
    <w:pPr>
      <w:spacing w:before="240" w:after="240"/>
    </w:pPr>
    <w:rPr>
      <w:rFonts w:ascii="Arial" w:hAnsi="Arial" w:cs="Arial"/>
      <w:smallCaps/>
      <w:sz w:val="26"/>
      <w:lang w:val="x-none"/>
    </w:rPr>
  </w:style>
  <w:style w:type="paragraph" w:customStyle="1" w:styleId="ChartandTableFootnotenumbered">
    <w:name w:val="Chart and Table Footnote numbered"/>
    <w:basedOn w:val="Normal"/>
    <w:next w:val="Normal"/>
    <w:rsid w:val="004E5656"/>
    <w:pPr>
      <w:keepNext/>
      <w:spacing w:after="0"/>
    </w:pPr>
    <w:rPr>
      <w:rFonts w:ascii="Arial" w:hAnsi="Arial"/>
      <w:sz w:val="16"/>
    </w:rPr>
  </w:style>
  <w:style w:type="paragraph" w:customStyle="1" w:styleId="Pa5">
    <w:name w:val="Pa5"/>
    <w:basedOn w:val="Default"/>
    <w:next w:val="Default"/>
    <w:uiPriority w:val="99"/>
    <w:rsid w:val="004E5656"/>
    <w:pPr>
      <w:adjustRightInd w:val="0"/>
      <w:spacing w:line="201" w:lineRule="atLeast"/>
    </w:pPr>
    <w:rPr>
      <w:rFonts w:ascii="News Gothic Com Light" w:eastAsia="Times New Roman" w:hAnsi="News Gothic Com Light"/>
      <w:color w:val="auto"/>
      <w:lang w:eastAsia="en-AU"/>
    </w:rPr>
  </w:style>
  <w:style w:type="character" w:customStyle="1" w:styleId="PBS16TableOutcomeTextChar">
    <w:name w:val="PBS16 Table Outcome Text Char"/>
    <w:basedOn w:val="DefaultParagraphFont"/>
    <w:link w:val="PBS16TableOutcomeText"/>
    <w:locked/>
    <w:rsid w:val="004E5656"/>
    <w:rPr>
      <w:rFonts w:ascii="Arial" w:hAnsi="Arial" w:cs="Arial"/>
    </w:rPr>
  </w:style>
  <w:style w:type="paragraph" w:customStyle="1" w:styleId="PBS16TableOutcomeText">
    <w:name w:val="PBS16 Table Outcome Text"/>
    <w:basedOn w:val="Normal"/>
    <w:link w:val="PBS16TableOutcomeTextChar"/>
    <w:rsid w:val="004E5656"/>
    <w:pPr>
      <w:spacing w:before="60" w:after="60" w:line="240" w:lineRule="auto"/>
      <w:jc w:val="left"/>
    </w:pPr>
    <w:rPr>
      <w:rFonts w:ascii="Arial" w:hAnsi="Arial" w:cs="Arial"/>
    </w:rPr>
  </w:style>
  <w:style w:type="character" w:customStyle="1" w:styleId="PBS16TableOutcomeHeadingChar">
    <w:name w:val="PBS16 Table Outcome Heading Char"/>
    <w:basedOn w:val="PBS16TableOutcomeTextChar"/>
    <w:link w:val="PBS16TableOutcomeHeading"/>
    <w:locked/>
    <w:rsid w:val="004E5656"/>
    <w:rPr>
      <w:rFonts w:ascii="Arial" w:hAnsi="Arial" w:cs="Arial"/>
      <w:b/>
    </w:rPr>
  </w:style>
  <w:style w:type="paragraph" w:customStyle="1" w:styleId="PBS16TableOutcomeHeading">
    <w:name w:val="PBS16 Table Outcome Heading"/>
    <w:basedOn w:val="PBS16TableOutcomeText"/>
    <w:link w:val="PBS16TableOutcomeHeadingChar"/>
    <w:rsid w:val="004E5656"/>
    <w:pPr>
      <w:keepNext/>
    </w:pPr>
    <w:rPr>
      <w:b/>
    </w:rPr>
  </w:style>
  <w:style w:type="paragraph" w:customStyle="1" w:styleId="PBS16indentedlist">
    <w:name w:val="PBS16 indented list"/>
    <w:rsid w:val="004E5656"/>
    <w:pPr>
      <w:tabs>
        <w:tab w:val="left" w:pos="2268"/>
      </w:tabs>
      <w:spacing w:after="240" w:line="260" w:lineRule="exact"/>
      <w:ind w:left="567"/>
    </w:pPr>
    <w:rPr>
      <w:rFonts w:ascii="Book Antiqua" w:hAnsi="Book Antiqua"/>
    </w:rPr>
  </w:style>
  <w:style w:type="paragraph" w:customStyle="1" w:styleId="PBS17LinkedProgHeading">
    <w:name w:val="PBS17 Linked Prog Heading"/>
    <w:basedOn w:val="Normal"/>
    <w:qFormat/>
    <w:rsid w:val="004E5656"/>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4E5656"/>
    <w:pPr>
      <w:keepNext w:val="0"/>
    </w:pPr>
  </w:style>
  <w:style w:type="paragraph" w:customStyle="1" w:styleId="PBS17LinkedProgNormal">
    <w:name w:val="PBS17 Linked Prog Normal"/>
    <w:basedOn w:val="Normal"/>
    <w:qFormat/>
    <w:rsid w:val="004E5656"/>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4E5656"/>
    <w:pPr>
      <w:jc w:val="right"/>
    </w:pPr>
  </w:style>
  <w:style w:type="paragraph" w:customStyle="1" w:styleId="PBS16TableNormalRight">
    <w:name w:val="PBS16 Table Normal Right"/>
    <w:basedOn w:val="PBS16TableNormal"/>
    <w:qFormat/>
    <w:rsid w:val="004E5656"/>
    <w:pPr>
      <w:jc w:val="right"/>
    </w:pPr>
  </w:style>
  <w:style w:type="paragraph" w:customStyle="1" w:styleId="PBS16TableLetterBullets">
    <w:name w:val="PBS16 Table Letter Bullets"/>
    <w:basedOn w:val="PBS16TableNormal"/>
    <w:qFormat/>
    <w:rsid w:val="00E13D3D"/>
    <w:pPr>
      <w:numPr>
        <w:numId w:val="13"/>
      </w:numPr>
      <w:tabs>
        <w:tab w:val="num" w:pos="360"/>
        <w:tab w:val="num" w:pos="643"/>
      </w:tabs>
      <w:ind w:left="245" w:hanging="284"/>
    </w:pPr>
  </w:style>
  <w:style w:type="character" w:customStyle="1" w:styleId="CABNETParagraphAttChar">
    <w:name w:val="CABNET Paragraph Att Char"/>
    <w:basedOn w:val="DefaultParagraphFont"/>
    <w:link w:val="CABNETParagraphAtt"/>
    <w:locked/>
    <w:rsid w:val="004E5656"/>
    <w:rPr>
      <w:rFonts w:ascii="Arial" w:eastAsiaTheme="minorHAnsi" w:hAnsi="Arial" w:cstheme="minorHAnsi"/>
      <w:sz w:val="22"/>
      <w:szCs w:val="22"/>
      <w:lang w:eastAsia="en-US"/>
    </w:rPr>
  </w:style>
  <w:style w:type="paragraph" w:customStyle="1" w:styleId="CABNETParagraphAtt">
    <w:name w:val="CABNET Paragraph Att"/>
    <w:basedOn w:val="Normal"/>
    <w:link w:val="CABNETParagraphAttChar"/>
    <w:qFormat/>
    <w:rsid w:val="004E5656"/>
    <w:pPr>
      <w:spacing w:before="60" w:after="60" w:line="240" w:lineRule="auto"/>
      <w:jc w:val="left"/>
    </w:pPr>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4E5656"/>
  </w:style>
  <w:style w:type="paragraph" w:customStyle="1" w:styleId="Text">
    <w:name w:val="Text"/>
    <w:basedOn w:val="Normal"/>
    <w:link w:val="TextChar"/>
    <w:rsid w:val="004E5656"/>
    <w:pPr>
      <w:spacing w:after="0" w:line="240" w:lineRule="auto"/>
      <w:jc w:val="left"/>
    </w:pPr>
    <w:rPr>
      <w:rFonts w:ascii="Times New Roman" w:hAnsi="Times New Roman"/>
    </w:rPr>
  </w:style>
  <w:style w:type="paragraph" w:customStyle="1" w:styleId="PAESMeasureindentedtext">
    <w:name w:val="PAES Measure indented text"/>
    <w:basedOn w:val="Normal"/>
    <w:qFormat/>
    <w:rsid w:val="00E13D3D"/>
    <w:pPr>
      <w:numPr>
        <w:numId w:val="14"/>
      </w:numPr>
    </w:pPr>
  </w:style>
  <w:style w:type="paragraph" w:customStyle="1" w:styleId="PBSPerformancetablespace">
    <w:name w:val="PBS Performance table space"/>
    <w:basedOn w:val="Normal"/>
    <w:qFormat/>
    <w:rsid w:val="004E5656"/>
    <w:pPr>
      <w:spacing w:after="0" w:line="200" w:lineRule="exact"/>
    </w:pPr>
    <w:rPr>
      <w:sz w:val="16"/>
    </w:rPr>
  </w:style>
  <w:style w:type="paragraph" w:customStyle="1" w:styleId="PBSbudgetlogo">
    <w:name w:val="PBS budget logo"/>
    <w:qFormat/>
    <w:rsid w:val="004E5656"/>
    <w:pPr>
      <w:jc w:val="center"/>
    </w:pPr>
    <w:rPr>
      <w:rFonts w:ascii="Arial" w:hAnsi="Arial"/>
      <w:noProof/>
    </w:rPr>
  </w:style>
  <w:style w:type="paragraph" w:customStyle="1" w:styleId="PBSTableNormalJustified">
    <w:name w:val="PBS Table Normal Justified"/>
    <w:basedOn w:val="PBS16TableNormal"/>
    <w:qFormat/>
    <w:rsid w:val="004E5656"/>
    <w:pPr>
      <w:jc w:val="both"/>
    </w:pPr>
  </w:style>
  <w:style w:type="paragraph" w:customStyle="1" w:styleId="ChartandTableFootnotenotab">
    <w:name w:val="Chart and Table Footnote (no tab)"/>
    <w:basedOn w:val="ChartandTableFootnote"/>
    <w:qFormat/>
    <w:rsid w:val="004E5656"/>
    <w:pPr>
      <w:tabs>
        <w:tab w:val="clear" w:pos="284"/>
      </w:tabs>
      <w:contextualSpacing/>
    </w:pPr>
    <w:rPr>
      <w:rFonts w:cs="Arial"/>
      <w:lang w:val="en-AU"/>
    </w:rPr>
  </w:style>
  <w:style w:type="paragraph" w:customStyle="1" w:styleId="MediumGrid21">
    <w:name w:val="Medium Grid 21"/>
    <w:uiPriority w:val="1"/>
    <w:qFormat/>
    <w:rsid w:val="004E5656"/>
    <w:pPr>
      <w:jc w:val="both"/>
    </w:pPr>
    <w:rPr>
      <w:rFonts w:ascii="Book Antiqua" w:hAnsi="Book Antiqua"/>
    </w:rPr>
  </w:style>
  <w:style w:type="paragraph" w:customStyle="1" w:styleId="Normal2">
    <w:name w:val="Normal2"/>
    <w:basedOn w:val="Normal"/>
    <w:rsid w:val="004E5656"/>
    <w:rPr>
      <w:rFonts w:eastAsiaTheme="minorHAnsi"/>
    </w:rPr>
  </w:style>
  <w:style w:type="paragraph" w:customStyle="1" w:styleId="PBS16BulletList3">
    <w:name w:val="PBS16 Bullet List 3"/>
    <w:basedOn w:val="Normal"/>
    <w:rsid w:val="00E13D3D"/>
    <w:pPr>
      <w:numPr>
        <w:ilvl w:val="1"/>
        <w:numId w:val="15"/>
      </w:numPr>
      <w:spacing w:before="120" w:after="120" w:line="256" w:lineRule="auto"/>
      <w:ind w:left="993"/>
      <w:jc w:val="left"/>
    </w:pPr>
  </w:style>
  <w:style w:type="paragraph" w:customStyle="1" w:styleId="PBS16BulletList4">
    <w:name w:val="PBS16 Bullet List 4"/>
    <w:basedOn w:val="Normal"/>
    <w:rsid w:val="00E13D3D"/>
    <w:pPr>
      <w:numPr>
        <w:ilvl w:val="1"/>
        <w:numId w:val="16"/>
      </w:numPr>
      <w:spacing w:before="120" w:after="120" w:line="256" w:lineRule="auto"/>
      <w:jc w:val="left"/>
    </w:pPr>
  </w:style>
  <w:style w:type="paragraph" w:customStyle="1" w:styleId="PBSTableListNumbers">
    <w:name w:val="PBS Table List Numbers"/>
    <w:basedOn w:val="PBS16TableNormal"/>
    <w:rsid w:val="00E13D3D"/>
    <w:pPr>
      <w:numPr>
        <w:numId w:val="17"/>
      </w:numPr>
      <w:tabs>
        <w:tab w:val="num" w:pos="360"/>
        <w:tab w:val="num" w:pos="1492"/>
      </w:tabs>
      <w:ind w:left="436" w:firstLine="0"/>
    </w:pPr>
  </w:style>
  <w:style w:type="character" w:customStyle="1" w:styleId="PBS16Measure">
    <w:name w:val="PBS16 Measure"/>
    <w:basedOn w:val="DefaultParagraphFont"/>
    <w:uiPriority w:val="1"/>
    <w:rsid w:val="004E5656"/>
    <w:rPr>
      <w:i/>
      <w:iCs w:val="0"/>
      <w:u w:val="single"/>
    </w:rPr>
  </w:style>
  <w:style w:type="character" w:customStyle="1" w:styleId="lexicon-term">
    <w:name w:val="lexicon-term"/>
    <w:basedOn w:val="DefaultParagraphFont"/>
    <w:rsid w:val="004E5656"/>
    <w:rPr>
      <w:strike w:val="0"/>
      <w:dstrike w:val="0"/>
      <w:u w:val="none"/>
      <w:effect w:val="none"/>
    </w:rPr>
  </w:style>
  <w:style w:type="paragraph" w:customStyle="1" w:styleId="PBS16PortHeadingCentre">
    <w:name w:val="PBS16 Port Heading Centre"/>
    <w:basedOn w:val="PBS16Port"/>
    <w:next w:val="PBS16Port"/>
    <w:rsid w:val="004E5656"/>
    <w:pPr>
      <w:jc w:val="center"/>
    </w:pPr>
    <w:rPr>
      <w:b/>
    </w:rPr>
  </w:style>
  <w:style w:type="paragraph" w:customStyle="1" w:styleId="PBS16TableListBullet">
    <w:name w:val="PBS16 Table List Bullet"/>
    <w:basedOn w:val="PBS18TableBullet"/>
    <w:rsid w:val="004E5656"/>
    <w:pPr>
      <w:ind w:left="195"/>
    </w:pPr>
  </w:style>
  <w:style w:type="paragraph" w:customStyle="1" w:styleId="PBS17LinkedProgbullet">
    <w:name w:val="PBS17 Linked Prog bullet"/>
    <w:basedOn w:val="PBS16TableListBullet"/>
    <w:qFormat/>
    <w:rsid w:val="004E5656"/>
  </w:style>
  <w:style w:type="paragraph" w:customStyle="1" w:styleId="PBSTableListBullet">
    <w:name w:val="PBS Table List Bullet"/>
    <w:basedOn w:val="Normal"/>
    <w:rsid w:val="00C7117C"/>
    <w:pPr>
      <w:numPr>
        <w:numId w:val="30"/>
      </w:numPr>
      <w:spacing w:before="60" w:after="60" w:line="240" w:lineRule="auto"/>
      <w:ind w:left="253" w:hanging="184"/>
      <w:jc w:val="left"/>
    </w:pPr>
    <w:rPr>
      <w:rFonts w:ascii="Arial" w:hAnsi="Arial" w:cs="Arial"/>
      <w:sz w:val="16"/>
      <w:szCs w:val="16"/>
    </w:rPr>
  </w:style>
  <w:style w:type="paragraph" w:customStyle="1" w:styleId="PBSLinkedProgHeading">
    <w:name w:val="PBS Linked Prog Heading"/>
    <w:basedOn w:val="Normal"/>
    <w:qFormat/>
    <w:rsid w:val="00C7117C"/>
    <w:pPr>
      <w:keepNext/>
      <w:spacing w:before="60" w:after="60" w:line="240" w:lineRule="exact"/>
    </w:pPr>
    <w:rPr>
      <w:rFonts w:ascii="Arial" w:hAnsi="Arial" w:cs="Arial"/>
      <w:b/>
      <w:sz w:val="16"/>
      <w:szCs w:val="16"/>
    </w:rPr>
  </w:style>
  <w:style w:type="paragraph" w:customStyle="1" w:styleId="PBSLinkedProgHeading2">
    <w:name w:val="PBS Linked Prog Heading 2"/>
    <w:basedOn w:val="PBSLinkedProgHeading"/>
    <w:qFormat/>
    <w:rsid w:val="00C7117C"/>
    <w:pPr>
      <w:keepNext w:val="0"/>
    </w:pPr>
  </w:style>
  <w:style w:type="paragraph" w:customStyle="1" w:styleId="PBSLinkedProgNormal">
    <w:name w:val="PBS Linked Prog Normal"/>
    <w:basedOn w:val="Normal"/>
    <w:qFormat/>
    <w:rsid w:val="00C7117C"/>
    <w:pPr>
      <w:spacing w:before="60" w:after="60" w:line="240" w:lineRule="exact"/>
    </w:pPr>
    <w:rPr>
      <w:rFonts w:ascii="Arial" w:hAnsi="Arial" w:cs="Arial"/>
      <w:sz w:val="16"/>
      <w:szCs w:val="16"/>
    </w:rPr>
  </w:style>
  <w:style w:type="paragraph" w:customStyle="1" w:styleId="PBSLinkedProgbullet">
    <w:name w:val="PBS Linked Prog bullet"/>
    <w:basedOn w:val="PBSTableListBullet"/>
    <w:qFormat/>
    <w:rsid w:val="00C7117C"/>
    <w:pPr>
      <w:numPr>
        <w:numId w:val="29"/>
      </w:numPr>
      <w:spacing w:line="240" w:lineRule="exact"/>
      <w:ind w:left="454" w:hanging="283"/>
    </w:pPr>
  </w:style>
  <w:style w:type="paragraph" w:customStyle="1" w:styleId="PBSperformancetablebreak">
    <w:name w:val="PBS_performance_table_break"/>
    <w:basedOn w:val="Normal"/>
    <w:qFormat/>
    <w:rsid w:val="00503DEA"/>
    <w:pPr>
      <w:spacing w:after="0" w:line="0" w:lineRule="atLeast"/>
    </w:pPr>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695">
      <w:bodyDiv w:val="1"/>
      <w:marLeft w:val="0"/>
      <w:marRight w:val="0"/>
      <w:marTop w:val="0"/>
      <w:marBottom w:val="0"/>
      <w:divBdr>
        <w:top w:val="none" w:sz="0" w:space="0" w:color="auto"/>
        <w:left w:val="none" w:sz="0" w:space="0" w:color="auto"/>
        <w:bottom w:val="none" w:sz="0" w:space="0" w:color="auto"/>
        <w:right w:val="none" w:sz="0" w:space="0" w:color="auto"/>
      </w:divBdr>
    </w:div>
    <w:div w:id="38894756">
      <w:bodyDiv w:val="1"/>
      <w:marLeft w:val="0"/>
      <w:marRight w:val="0"/>
      <w:marTop w:val="0"/>
      <w:marBottom w:val="0"/>
      <w:divBdr>
        <w:top w:val="none" w:sz="0" w:space="0" w:color="auto"/>
        <w:left w:val="none" w:sz="0" w:space="0" w:color="auto"/>
        <w:bottom w:val="none" w:sz="0" w:space="0" w:color="auto"/>
        <w:right w:val="none" w:sz="0" w:space="0" w:color="auto"/>
      </w:divBdr>
    </w:div>
    <w:div w:id="68120798">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597411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8468047">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7669955">
      <w:bodyDiv w:val="1"/>
      <w:marLeft w:val="0"/>
      <w:marRight w:val="0"/>
      <w:marTop w:val="0"/>
      <w:marBottom w:val="0"/>
      <w:divBdr>
        <w:top w:val="none" w:sz="0" w:space="0" w:color="auto"/>
        <w:left w:val="none" w:sz="0" w:space="0" w:color="auto"/>
        <w:bottom w:val="none" w:sz="0" w:space="0" w:color="auto"/>
        <w:right w:val="none" w:sz="0" w:space="0" w:color="auto"/>
      </w:divBdr>
    </w:div>
    <w:div w:id="199171452">
      <w:bodyDiv w:val="1"/>
      <w:marLeft w:val="0"/>
      <w:marRight w:val="0"/>
      <w:marTop w:val="0"/>
      <w:marBottom w:val="0"/>
      <w:divBdr>
        <w:top w:val="none" w:sz="0" w:space="0" w:color="auto"/>
        <w:left w:val="none" w:sz="0" w:space="0" w:color="auto"/>
        <w:bottom w:val="none" w:sz="0" w:space="0" w:color="auto"/>
        <w:right w:val="none" w:sz="0" w:space="0" w:color="auto"/>
      </w:divBdr>
      <w:divsChild>
        <w:div w:id="974216746">
          <w:marLeft w:val="0"/>
          <w:marRight w:val="0"/>
          <w:marTop w:val="0"/>
          <w:marBottom w:val="0"/>
          <w:divBdr>
            <w:top w:val="none" w:sz="0" w:space="0" w:color="auto"/>
            <w:left w:val="none" w:sz="0" w:space="0" w:color="auto"/>
            <w:bottom w:val="none" w:sz="0" w:space="0" w:color="auto"/>
            <w:right w:val="none" w:sz="0" w:space="0" w:color="auto"/>
          </w:divBdr>
        </w:div>
        <w:div w:id="298539357">
          <w:marLeft w:val="0"/>
          <w:marRight w:val="0"/>
          <w:marTop w:val="0"/>
          <w:marBottom w:val="0"/>
          <w:divBdr>
            <w:top w:val="none" w:sz="0" w:space="0" w:color="auto"/>
            <w:left w:val="none" w:sz="0" w:space="0" w:color="auto"/>
            <w:bottom w:val="none" w:sz="0" w:space="0" w:color="auto"/>
            <w:right w:val="none" w:sz="0" w:space="0" w:color="auto"/>
          </w:divBdr>
        </w:div>
        <w:div w:id="2069498094">
          <w:marLeft w:val="0"/>
          <w:marRight w:val="0"/>
          <w:marTop w:val="0"/>
          <w:marBottom w:val="0"/>
          <w:divBdr>
            <w:top w:val="none" w:sz="0" w:space="0" w:color="auto"/>
            <w:left w:val="none" w:sz="0" w:space="0" w:color="auto"/>
            <w:bottom w:val="none" w:sz="0" w:space="0" w:color="auto"/>
            <w:right w:val="none" w:sz="0" w:space="0" w:color="auto"/>
          </w:divBdr>
        </w:div>
        <w:div w:id="395010919">
          <w:marLeft w:val="0"/>
          <w:marRight w:val="0"/>
          <w:marTop w:val="0"/>
          <w:marBottom w:val="0"/>
          <w:divBdr>
            <w:top w:val="none" w:sz="0" w:space="0" w:color="auto"/>
            <w:left w:val="none" w:sz="0" w:space="0" w:color="auto"/>
            <w:bottom w:val="none" w:sz="0" w:space="0" w:color="auto"/>
            <w:right w:val="none" w:sz="0" w:space="0" w:color="auto"/>
          </w:divBdr>
        </w:div>
      </w:divsChild>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2579998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2438591">
      <w:bodyDiv w:val="1"/>
      <w:marLeft w:val="0"/>
      <w:marRight w:val="0"/>
      <w:marTop w:val="0"/>
      <w:marBottom w:val="0"/>
      <w:divBdr>
        <w:top w:val="none" w:sz="0" w:space="0" w:color="auto"/>
        <w:left w:val="none" w:sz="0" w:space="0" w:color="auto"/>
        <w:bottom w:val="none" w:sz="0" w:space="0" w:color="auto"/>
        <w:right w:val="none" w:sz="0" w:space="0" w:color="auto"/>
      </w:divBdr>
    </w:div>
    <w:div w:id="280307251">
      <w:bodyDiv w:val="1"/>
      <w:marLeft w:val="0"/>
      <w:marRight w:val="0"/>
      <w:marTop w:val="0"/>
      <w:marBottom w:val="0"/>
      <w:divBdr>
        <w:top w:val="none" w:sz="0" w:space="0" w:color="auto"/>
        <w:left w:val="none" w:sz="0" w:space="0" w:color="auto"/>
        <w:bottom w:val="none" w:sz="0" w:space="0" w:color="auto"/>
        <w:right w:val="none" w:sz="0" w:space="0" w:color="auto"/>
      </w:divBdr>
    </w:div>
    <w:div w:id="285552812">
      <w:bodyDiv w:val="1"/>
      <w:marLeft w:val="0"/>
      <w:marRight w:val="0"/>
      <w:marTop w:val="0"/>
      <w:marBottom w:val="0"/>
      <w:divBdr>
        <w:top w:val="none" w:sz="0" w:space="0" w:color="auto"/>
        <w:left w:val="none" w:sz="0" w:space="0" w:color="auto"/>
        <w:bottom w:val="none" w:sz="0" w:space="0" w:color="auto"/>
        <w:right w:val="none" w:sz="0" w:space="0" w:color="auto"/>
      </w:divBdr>
    </w:div>
    <w:div w:id="29649686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0424264">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5375334">
      <w:bodyDiv w:val="1"/>
      <w:marLeft w:val="0"/>
      <w:marRight w:val="0"/>
      <w:marTop w:val="0"/>
      <w:marBottom w:val="0"/>
      <w:divBdr>
        <w:top w:val="none" w:sz="0" w:space="0" w:color="auto"/>
        <w:left w:val="none" w:sz="0" w:space="0" w:color="auto"/>
        <w:bottom w:val="none" w:sz="0" w:space="0" w:color="auto"/>
        <w:right w:val="none" w:sz="0" w:space="0" w:color="auto"/>
      </w:divBdr>
    </w:div>
    <w:div w:id="32265861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20567">
      <w:bodyDiv w:val="1"/>
      <w:marLeft w:val="0"/>
      <w:marRight w:val="0"/>
      <w:marTop w:val="0"/>
      <w:marBottom w:val="0"/>
      <w:divBdr>
        <w:top w:val="none" w:sz="0" w:space="0" w:color="auto"/>
        <w:left w:val="none" w:sz="0" w:space="0" w:color="auto"/>
        <w:bottom w:val="none" w:sz="0" w:space="0" w:color="auto"/>
        <w:right w:val="none" w:sz="0" w:space="0" w:color="auto"/>
      </w:divBdr>
    </w:div>
    <w:div w:id="399210607">
      <w:bodyDiv w:val="1"/>
      <w:marLeft w:val="0"/>
      <w:marRight w:val="0"/>
      <w:marTop w:val="0"/>
      <w:marBottom w:val="0"/>
      <w:divBdr>
        <w:top w:val="none" w:sz="0" w:space="0" w:color="auto"/>
        <w:left w:val="none" w:sz="0" w:space="0" w:color="auto"/>
        <w:bottom w:val="none" w:sz="0" w:space="0" w:color="auto"/>
        <w:right w:val="none" w:sz="0" w:space="0" w:color="auto"/>
      </w:divBdr>
    </w:div>
    <w:div w:id="436021620">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0175127">
      <w:bodyDiv w:val="1"/>
      <w:marLeft w:val="0"/>
      <w:marRight w:val="0"/>
      <w:marTop w:val="0"/>
      <w:marBottom w:val="0"/>
      <w:divBdr>
        <w:top w:val="none" w:sz="0" w:space="0" w:color="auto"/>
        <w:left w:val="none" w:sz="0" w:space="0" w:color="auto"/>
        <w:bottom w:val="none" w:sz="0" w:space="0" w:color="auto"/>
        <w:right w:val="none" w:sz="0" w:space="0" w:color="auto"/>
      </w:divBdr>
    </w:div>
    <w:div w:id="48293969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47226531">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6107004">
      <w:bodyDiv w:val="1"/>
      <w:marLeft w:val="0"/>
      <w:marRight w:val="0"/>
      <w:marTop w:val="0"/>
      <w:marBottom w:val="0"/>
      <w:divBdr>
        <w:top w:val="none" w:sz="0" w:space="0" w:color="auto"/>
        <w:left w:val="none" w:sz="0" w:space="0" w:color="auto"/>
        <w:bottom w:val="none" w:sz="0" w:space="0" w:color="auto"/>
        <w:right w:val="none" w:sz="0" w:space="0" w:color="auto"/>
      </w:divBdr>
    </w:div>
    <w:div w:id="57967529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0496560">
      <w:bodyDiv w:val="1"/>
      <w:marLeft w:val="0"/>
      <w:marRight w:val="0"/>
      <w:marTop w:val="0"/>
      <w:marBottom w:val="0"/>
      <w:divBdr>
        <w:top w:val="none" w:sz="0" w:space="0" w:color="auto"/>
        <w:left w:val="none" w:sz="0" w:space="0" w:color="auto"/>
        <w:bottom w:val="none" w:sz="0" w:space="0" w:color="auto"/>
        <w:right w:val="none" w:sz="0" w:space="0" w:color="auto"/>
      </w:divBdr>
    </w:div>
    <w:div w:id="756633649">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2842344">
      <w:bodyDiv w:val="1"/>
      <w:marLeft w:val="0"/>
      <w:marRight w:val="0"/>
      <w:marTop w:val="0"/>
      <w:marBottom w:val="0"/>
      <w:divBdr>
        <w:top w:val="none" w:sz="0" w:space="0" w:color="auto"/>
        <w:left w:val="none" w:sz="0" w:space="0" w:color="auto"/>
        <w:bottom w:val="none" w:sz="0" w:space="0" w:color="auto"/>
        <w:right w:val="none" w:sz="0" w:space="0" w:color="auto"/>
      </w:divBdr>
    </w:div>
    <w:div w:id="83364895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157435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035317">
      <w:bodyDiv w:val="1"/>
      <w:marLeft w:val="0"/>
      <w:marRight w:val="0"/>
      <w:marTop w:val="0"/>
      <w:marBottom w:val="0"/>
      <w:divBdr>
        <w:top w:val="none" w:sz="0" w:space="0" w:color="auto"/>
        <w:left w:val="none" w:sz="0" w:space="0" w:color="auto"/>
        <w:bottom w:val="none" w:sz="0" w:space="0" w:color="auto"/>
        <w:right w:val="none" w:sz="0" w:space="0" w:color="auto"/>
      </w:divBdr>
    </w:div>
    <w:div w:id="910237293">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672919">
      <w:bodyDiv w:val="1"/>
      <w:marLeft w:val="0"/>
      <w:marRight w:val="0"/>
      <w:marTop w:val="0"/>
      <w:marBottom w:val="0"/>
      <w:divBdr>
        <w:top w:val="none" w:sz="0" w:space="0" w:color="auto"/>
        <w:left w:val="none" w:sz="0" w:space="0" w:color="auto"/>
        <w:bottom w:val="none" w:sz="0" w:space="0" w:color="auto"/>
        <w:right w:val="none" w:sz="0" w:space="0" w:color="auto"/>
      </w:divBdr>
    </w:div>
    <w:div w:id="964777207">
      <w:bodyDiv w:val="1"/>
      <w:marLeft w:val="0"/>
      <w:marRight w:val="0"/>
      <w:marTop w:val="0"/>
      <w:marBottom w:val="0"/>
      <w:divBdr>
        <w:top w:val="none" w:sz="0" w:space="0" w:color="auto"/>
        <w:left w:val="none" w:sz="0" w:space="0" w:color="auto"/>
        <w:bottom w:val="none" w:sz="0" w:space="0" w:color="auto"/>
        <w:right w:val="none" w:sz="0" w:space="0" w:color="auto"/>
      </w:divBdr>
    </w:div>
    <w:div w:id="968702168">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653663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051696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3499821">
      <w:bodyDiv w:val="1"/>
      <w:marLeft w:val="0"/>
      <w:marRight w:val="0"/>
      <w:marTop w:val="0"/>
      <w:marBottom w:val="0"/>
      <w:divBdr>
        <w:top w:val="none" w:sz="0" w:space="0" w:color="auto"/>
        <w:left w:val="none" w:sz="0" w:space="0" w:color="auto"/>
        <w:bottom w:val="none" w:sz="0" w:space="0" w:color="auto"/>
        <w:right w:val="none" w:sz="0" w:space="0" w:color="auto"/>
      </w:divBdr>
    </w:div>
    <w:div w:id="1085151372">
      <w:bodyDiv w:val="1"/>
      <w:marLeft w:val="0"/>
      <w:marRight w:val="0"/>
      <w:marTop w:val="0"/>
      <w:marBottom w:val="0"/>
      <w:divBdr>
        <w:top w:val="none" w:sz="0" w:space="0" w:color="auto"/>
        <w:left w:val="none" w:sz="0" w:space="0" w:color="auto"/>
        <w:bottom w:val="none" w:sz="0" w:space="0" w:color="auto"/>
        <w:right w:val="none" w:sz="0" w:space="0" w:color="auto"/>
      </w:divBdr>
      <w:divsChild>
        <w:div w:id="1607228395">
          <w:marLeft w:val="0"/>
          <w:marRight w:val="0"/>
          <w:marTop w:val="0"/>
          <w:marBottom w:val="0"/>
          <w:divBdr>
            <w:top w:val="none" w:sz="0" w:space="0" w:color="auto"/>
            <w:left w:val="none" w:sz="0" w:space="0" w:color="auto"/>
            <w:bottom w:val="none" w:sz="0" w:space="0" w:color="auto"/>
            <w:right w:val="none" w:sz="0" w:space="0" w:color="auto"/>
          </w:divBdr>
          <w:divsChild>
            <w:div w:id="241453859">
              <w:marLeft w:val="0"/>
              <w:marRight w:val="0"/>
              <w:marTop w:val="0"/>
              <w:marBottom w:val="0"/>
              <w:divBdr>
                <w:top w:val="none" w:sz="0" w:space="0" w:color="auto"/>
                <w:left w:val="none" w:sz="0" w:space="0" w:color="auto"/>
                <w:bottom w:val="none" w:sz="0" w:space="0" w:color="auto"/>
                <w:right w:val="none" w:sz="0" w:space="0" w:color="auto"/>
              </w:divBdr>
            </w:div>
            <w:div w:id="646056486">
              <w:marLeft w:val="0"/>
              <w:marRight w:val="0"/>
              <w:marTop w:val="0"/>
              <w:marBottom w:val="0"/>
              <w:divBdr>
                <w:top w:val="none" w:sz="0" w:space="0" w:color="auto"/>
                <w:left w:val="none" w:sz="0" w:space="0" w:color="auto"/>
                <w:bottom w:val="none" w:sz="0" w:space="0" w:color="auto"/>
                <w:right w:val="none" w:sz="0" w:space="0" w:color="auto"/>
              </w:divBdr>
            </w:div>
          </w:divsChild>
        </w:div>
        <w:div w:id="1345205383">
          <w:marLeft w:val="0"/>
          <w:marRight w:val="0"/>
          <w:marTop w:val="0"/>
          <w:marBottom w:val="0"/>
          <w:divBdr>
            <w:top w:val="none" w:sz="0" w:space="0" w:color="auto"/>
            <w:left w:val="none" w:sz="0" w:space="0" w:color="auto"/>
            <w:bottom w:val="none" w:sz="0" w:space="0" w:color="auto"/>
            <w:right w:val="none" w:sz="0" w:space="0" w:color="auto"/>
          </w:divBdr>
          <w:divsChild>
            <w:div w:id="1541822157">
              <w:marLeft w:val="0"/>
              <w:marRight w:val="0"/>
              <w:marTop w:val="0"/>
              <w:marBottom w:val="0"/>
              <w:divBdr>
                <w:top w:val="none" w:sz="0" w:space="0" w:color="auto"/>
                <w:left w:val="none" w:sz="0" w:space="0" w:color="auto"/>
                <w:bottom w:val="none" w:sz="0" w:space="0" w:color="auto"/>
                <w:right w:val="none" w:sz="0" w:space="0" w:color="auto"/>
              </w:divBdr>
            </w:div>
            <w:div w:id="311299265">
              <w:marLeft w:val="0"/>
              <w:marRight w:val="0"/>
              <w:marTop w:val="0"/>
              <w:marBottom w:val="0"/>
              <w:divBdr>
                <w:top w:val="none" w:sz="0" w:space="0" w:color="auto"/>
                <w:left w:val="none" w:sz="0" w:space="0" w:color="auto"/>
                <w:bottom w:val="none" w:sz="0" w:space="0" w:color="auto"/>
                <w:right w:val="none" w:sz="0" w:space="0" w:color="auto"/>
              </w:divBdr>
            </w:div>
          </w:divsChild>
        </w:div>
        <w:div w:id="1060521386">
          <w:marLeft w:val="0"/>
          <w:marRight w:val="0"/>
          <w:marTop w:val="0"/>
          <w:marBottom w:val="0"/>
          <w:divBdr>
            <w:top w:val="none" w:sz="0" w:space="0" w:color="auto"/>
            <w:left w:val="none" w:sz="0" w:space="0" w:color="auto"/>
            <w:bottom w:val="none" w:sz="0" w:space="0" w:color="auto"/>
            <w:right w:val="none" w:sz="0" w:space="0" w:color="auto"/>
          </w:divBdr>
          <w:divsChild>
            <w:div w:id="1004239835">
              <w:marLeft w:val="0"/>
              <w:marRight w:val="0"/>
              <w:marTop w:val="0"/>
              <w:marBottom w:val="0"/>
              <w:divBdr>
                <w:top w:val="none" w:sz="0" w:space="0" w:color="auto"/>
                <w:left w:val="none" w:sz="0" w:space="0" w:color="auto"/>
                <w:bottom w:val="none" w:sz="0" w:space="0" w:color="auto"/>
                <w:right w:val="none" w:sz="0" w:space="0" w:color="auto"/>
              </w:divBdr>
            </w:div>
            <w:div w:id="616454008">
              <w:marLeft w:val="0"/>
              <w:marRight w:val="0"/>
              <w:marTop w:val="0"/>
              <w:marBottom w:val="0"/>
              <w:divBdr>
                <w:top w:val="none" w:sz="0" w:space="0" w:color="auto"/>
                <w:left w:val="none" w:sz="0" w:space="0" w:color="auto"/>
                <w:bottom w:val="none" w:sz="0" w:space="0" w:color="auto"/>
                <w:right w:val="none" w:sz="0" w:space="0" w:color="auto"/>
              </w:divBdr>
            </w:div>
          </w:divsChild>
        </w:div>
        <w:div w:id="1177383905">
          <w:marLeft w:val="0"/>
          <w:marRight w:val="0"/>
          <w:marTop w:val="0"/>
          <w:marBottom w:val="0"/>
          <w:divBdr>
            <w:top w:val="none" w:sz="0" w:space="0" w:color="auto"/>
            <w:left w:val="none" w:sz="0" w:space="0" w:color="auto"/>
            <w:bottom w:val="none" w:sz="0" w:space="0" w:color="auto"/>
            <w:right w:val="none" w:sz="0" w:space="0" w:color="auto"/>
          </w:divBdr>
          <w:divsChild>
            <w:div w:id="921796198">
              <w:marLeft w:val="0"/>
              <w:marRight w:val="0"/>
              <w:marTop w:val="0"/>
              <w:marBottom w:val="0"/>
              <w:divBdr>
                <w:top w:val="none" w:sz="0" w:space="0" w:color="auto"/>
                <w:left w:val="none" w:sz="0" w:space="0" w:color="auto"/>
                <w:bottom w:val="none" w:sz="0" w:space="0" w:color="auto"/>
                <w:right w:val="none" w:sz="0" w:space="0" w:color="auto"/>
              </w:divBdr>
            </w:div>
          </w:divsChild>
        </w:div>
        <w:div w:id="1830250735">
          <w:marLeft w:val="0"/>
          <w:marRight w:val="0"/>
          <w:marTop w:val="0"/>
          <w:marBottom w:val="0"/>
          <w:divBdr>
            <w:top w:val="none" w:sz="0" w:space="0" w:color="auto"/>
            <w:left w:val="none" w:sz="0" w:space="0" w:color="auto"/>
            <w:bottom w:val="none" w:sz="0" w:space="0" w:color="auto"/>
            <w:right w:val="none" w:sz="0" w:space="0" w:color="auto"/>
          </w:divBdr>
          <w:divsChild>
            <w:div w:id="744302631">
              <w:marLeft w:val="0"/>
              <w:marRight w:val="0"/>
              <w:marTop w:val="0"/>
              <w:marBottom w:val="0"/>
              <w:divBdr>
                <w:top w:val="none" w:sz="0" w:space="0" w:color="auto"/>
                <w:left w:val="none" w:sz="0" w:space="0" w:color="auto"/>
                <w:bottom w:val="none" w:sz="0" w:space="0" w:color="auto"/>
                <w:right w:val="none" w:sz="0" w:space="0" w:color="auto"/>
              </w:divBdr>
            </w:div>
          </w:divsChild>
        </w:div>
        <w:div w:id="1804035137">
          <w:marLeft w:val="0"/>
          <w:marRight w:val="0"/>
          <w:marTop w:val="0"/>
          <w:marBottom w:val="0"/>
          <w:divBdr>
            <w:top w:val="none" w:sz="0" w:space="0" w:color="auto"/>
            <w:left w:val="none" w:sz="0" w:space="0" w:color="auto"/>
            <w:bottom w:val="none" w:sz="0" w:space="0" w:color="auto"/>
            <w:right w:val="none" w:sz="0" w:space="0" w:color="auto"/>
          </w:divBdr>
          <w:divsChild>
            <w:div w:id="1301305730">
              <w:marLeft w:val="0"/>
              <w:marRight w:val="0"/>
              <w:marTop w:val="0"/>
              <w:marBottom w:val="0"/>
              <w:divBdr>
                <w:top w:val="none" w:sz="0" w:space="0" w:color="auto"/>
                <w:left w:val="none" w:sz="0" w:space="0" w:color="auto"/>
                <w:bottom w:val="none" w:sz="0" w:space="0" w:color="auto"/>
                <w:right w:val="none" w:sz="0" w:space="0" w:color="auto"/>
              </w:divBdr>
            </w:div>
          </w:divsChild>
        </w:div>
        <w:div w:id="334844794">
          <w:marLeft w:val="0"/>
          <w:marRight w:val="0"/>
          <w:marTop w:val="0"/>
          <w:marBottom w:val="0"/>
          <w:divBdr>
            <w:top w:val="none" w:sz="0" w:space="0" w:color="auto"/>
            <w:left w:val="none" w:sz="0" w:space="0" w:color="auto"/>
            <w:bottom w:val="none" w:sz="0" w:space="0" w:color="auto"/>
            <w:right w:val="none" w:sz="0" w:space="0" w:color="auto"/>
          </w:divBdr>
          <w:divsChild>
            <w:div w:id="1088694247">
              <w:marLeft w:val="0"/>
              <w:marRight w:val="0"/>
              <w:marTop w:val="0"/>
              <w:marBottom w:val="0"/>
              <w:divBdr>
                <w:top w:val="none" w:sz="0" w:space="0" w:color="auto"/>
                <w:left w:val="none" w:sz="0" w:space="0" w:color="auto"/>
                <w:bottom w:val="none" w:sz="0" w:space="0" w:color="auto"/>
                <w:right w:val="none" w:sz="0" w:space="0" w:color="auto"/>
              </w:divBdr>
            </w:div>
            <w:div w:id="1598902139">
              <w:marLeft w:val="0"/>
              <w:marRight w:val="0"/>
              <w:marTop w:val="0"/>
              <w:marBottom w:val="0"/>
              <w:divBdr>
                <w:top w:val="none" w:sz="0" w:space="0" w:color="auto"/>
                <w:left w:val="none" w:sz="0" w:space="0" w:color="auto"/>
                <w:bottom w:val="none" w:sz="0" w:space="0" w:color="auto"/>
                <w:right w:val="none" w:sz="0" w:space="0" w:color="auto"/>
              </w:divBdr>
            </w:div>
            <w:div w:id="1116758237">
              <w:marLeft w:val="0"/>
              <w:marRight w:val="0"/>
              <w:marTop w:val="0"/>
              <w:marBottom w:val="0"/>
              <w:divBdr>
                <w:top w:val="none" w:sz="0" w:space="0" w:color="auto"/>
                <w:left w:val="none" w:sz="0" w:space="0" w:color="auto"/>
                <w:bottom w:val="none" w:sz="0" w:space="0" w:color="auto"/>
                <w:right w:val="none" w:sz="0" w:space="0" w:color="auto"/>
              </w:divBdr>
            </w:div>
            <w:div w:id="702292061">
              <w:marLeft w:val="0"/>
              <w:marRight w:val="0"/>
              <w:marTop w:val="0"/>
              <w:marBottom w:val="0"/>
              <w:divBdr>
                <w:top w:val="none" w:sz="0" w:space="0" w:color="auto"/>
                <w:left w:val="none" w:sz="0" w:space="0" w:color="auto"/>
                <w:bottom w:val="none" w:sz="0" w:space="0" w:color="auto"/>
                <w:right w:val="none" w:sz="0" w:space="0" w:color="auto"/>
              </w:divBdr>
            </w:div>
            <w:div w:id="773668516">
              <w:marLeft w:val="0"/>
              <w:marRight w:val="0"/>
              <w:marTop w:val="0"/>
              <w:marBottom w:val="0"/>
              <w:divBdr>
                <w:top w:val="none" w:sz="0" w:space="0" w:color="auto"/>
                <w:left w:val="none" w:sz="0" w:space="0" w:color="auto"/>
                <w:bottom w:val="none" w:sz="0" w:space="0" w:color="auto"/>
                <w:right w:val="none" w:sz="0" w:space="0" w:color="auto"/>
              </w:divBdr>
            </w:div>
            <w:div w:id="596910583">
              <w:marLeft w:val="0"/>
              <w:marRight w:val="0"/>
              <w:marTop w:val="0"/>
              <w:marBottom w:val="0"/>
              <w:divBdr>
                <w:top w:val="none" w:sz="0" w:space="0" w:color="auto"/>
                <w:left w:val="none" w:sz="0" w:space="0" w:color="auto"/>
                <w:bottom w:val="none" w:sz="0" w:space="0" w:color="auto"/>
                <w:right w:val="none" w:sz="0" w:space="0" w:color="auto"/>
              </w:divBdr>
            </w:div>
          </w:divsChild>
        </w:div>
        <w:div w:id="1174220307">
          <w:marLeft w:val="0"/>
          <w:marRight w:val="0"/>
          <w:marTop w:val="0"/>
          <w:marBottom w:val="0"/>
          <w:divBdr>
            <w:top w:val="none" w:sz="0" w:space="0" w:color="auto"/>
            <w:left w:val="none" w:sz="0" w:space="0" w:color="auto"/>
            <w:bottom w:val="none" w:sz="0" w:space="0" w:color="auto"/>
            <w:right w:val="none" w:sz="0" w:space="0" w:color="auto"/>
          </w:divBdr>
          <w:divsChild>
            <w:div w:id="233667691">
              <w:marLeft w:val="0"/>
              <w:marRight w:val="0"/>
              <w:marTop w:val="0"/>
              <w:marBottom w:val="0"/>
              <w:divBdr>
                <w:top w:val="none" w:sz="0" w:space="0" w:color="auto"/>
                <w:left w:val="none" w:sz="0" w:space="0" w:color="auto"/>
                <w:bottom w:val="none" w:sz="0" w:space="0" w:color="auto"/>
                <w:right w:val="none" w:sz="0" w:space="0" w:color="auto"/>
              </w:divBdr>
            </w:div>
          </w:divsChild>
        </w:div>
        <w:div w:id="472646385">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150369522">
          <w:marLeft w:val="0"/>
          <w:marRight w:val="0"/>
          <w:marTop w:val="0"/>
          <w:marBottom w:val="0"/>
          <w:divBdr>
            <w:top w:val="none" w:sz="0" w:space="0" w:color="auto"/>
            <w:left w:val="none" w:sz="0" w:space="0" w:color="auto"/>
            <w:bottom w:val="none" w:sz="0" w:space="0" w:color="auto"/>
            <w:right w:val="none" w:sz="0" w:space="0" w:color="auto"/>
          </w:divBdr>
          <w:divsChild>
            <w:div w:id="1386946572">
              <w:marLeft w:val="0"/>
              <w:marRight w:val="0"/>
              <w:marTop w:val="0"/>
              <w:marBottom w:val="0"/>
              <w:divBdr>
                <w:top w:val="none" w:sz="0" w:space="0" w:color="auto"/>
                <w:left w:val="none" w:sz="0" w:space="0" w:color="auto"/>
                <w:bottom w:val="none" w:sz="0" w:space="0" w:color="auto"/>
                <w:right w:val="none" w:sz="0" w:space="0" w:color="auto"/>
              </w:divBdr>
            </w:div>
          </w:divsChild>
        </w:div>
        <w:div w:id="1590843670">
          <w:marLeft w:val="0"/>
          <w:marRight w:val="0"/>
          <w:marTop w:val="0"/>
          <w:marBottom w:val="0"/>
          <w:divBdr>
            <w:top w:val="none" w:sz="0" w:space="0" w:color="auto"/>
            <w:left w:val="none" w:sz="0" w:space="0" w:color="auto"/>
            <w:bottom w:val="none" w:sz="0" w:space="0" w:color="auto"/>
            <w:right w:val="none" w:sz="0" w:space="0" w:color="auto"/>
          </w:divBdr>
          <w:divsChild>
            <w:div w:id="351684813">
              <w:marLeft w:val="0"/>
              <w:marRight w:val="0"/>
              <w:marTop w:val="0"/>
              <w:marBottom w:val="0"/>
              <w:divBdr>
                <w:top w:val="none" w:sz="0" w:space="0" w:color="auto"/>
                <w:left w:val="none" w:sz="0" w:space="0" w:color="auto"/>
                <w:bottom w:val="none" w:sz="0" w:space="0" w:color="auto"/>
                <w:right w:val="none" w:sz="0" w:space="0" w:color="auto"/>
              </w:divBdr>
            </w:div>
            <w:div w:id="18625060">
              <w:marLeft w:val="0"/>
              <w:marRight w:val="0"/>
              <w:marTop w:val="0"/>
              <w:marBottom w:val="0"/>
              <w:divBdr>
                <w:top w:val="none" w:sz="0" w:space="0" w:color="auto"/>
                <w:left w:val="none" w:sz="0" w:space="0" w:color="auto"/>
                <w:bottom w:val="none" w:sz="0" w:space="0" w:color="auto"/>
                <w:right w:val="none" w:sz="0" w:space="0" w:color="auto"/>
              </w:divBdr>
            </w:div>
            <w:div w:id="679938047">
              <w:marLeft w:val="0"/>
              <w:marRight w:val="0"/>
              <w:marTop w:val="0"/>
              <w:marBottom w:val="0"/>
              <w:divBdr>
                <w:top w:val="none" w:sz="0" w:space="0" w:color="auto"/>
                <w:left w:val="none" w:sz="0" w:space="0" w:color="auto"/>
                <w:bottom w:val="none" w:sz="0" w:space="0" w:color="auto"/>
                <w:right w:val="none" w:sz="0" w:space="0" w:color="auto"/>
              </w:divBdr>
            </w:div>
          </w:divsChild>
        </w:div>
        <w:div w:id="314534143">
          <w:marLeft w:val="0"/>
          <w:marRight w:val="0"/>
          <w:marTop w:val="0"/>
          <w:marBottom w:val="0"/>
          <w:divBdr>
            <w:top w:val="none" w:sz="0" w:space="0" w:color="auto"/>
            <w:left w:val="none" w:sz="0" w:space="0" w:color="auto"/>
            <w:bottom w:val="none" w:sz="0" w:space="0" w:color="auto"/>
            <w:right w:val="none" w:sz="0" w:space="0" w:color="auto"/>
          </w:divBdr>
          <w:divsChild>
            <w:div w:id="1154418866">
              <w:marLeft w:val="0"/>
              <w:marRight w:val="0"/>
              <w:marTop w:val="0"/>
              <w:marBottom w:val="0"/>
              <w:divBdr>
                <w:top w:val="none" w:sz="0" w:space="0" w:color="auto"/>
                <w:left w:val="none" w:sz="0" w:space="0" w:color="auto"/>
                <w:bottom w:val="none" w:sz="0" w:space="0" w:color="auto"/>
                <w:right w:val="none" w:sz="0" w:space="0" w:color="auto"/>
              </w:divBdr>
            </w:div>
          </w:divsChild>
        </w:div>
        <w:div w:id="800808964">
          <w:marLeft w:val="0"/>
          <w:marRight w:val="0"/>
          <w:marTop w:val="0"/>
          <w:marBottom w:val="0"/>
          <w:divBdr>
            <w:top w:val="none" w:sz="0" w:space="0" w:color="auto"/>
            <w:left w:val="none" w:sz="0" w:space="0" w:color="auto"/>
            <w:bottom w:val="none" w:sz="0" w:space="0" w:color="auto"/>
            <w:right w:val="none" w:sz="0" w:space="0" w:color="auto"/>
          </w:divBdr>
          <w:divsChild>
            <w:div w:id="317922260">
              <w:marLeft w:val="0"/>
              <w:marRight w:val="0"/>
              <w:marTop w:val="0"/>
              <w:marBottom w:val="0"/>
              <w:divBdr>
                <w:top w:val="none" w:sz="0" w:space="0" w:color="auto"/>
                <w:left w:val="none" w:sz="0" w:space="0" w:color="auto"/>
                <w:bottom w:val="none" w:sz="0" w:space="0" w:color="auto"/>
                <w:right w:val="none" w:sz="0" w:space="0" w:color="auto"/>
              </w:divBdr>
            </w:div>
          </w:divsChild>
        </w:div>
        <w:div w:id="1535579982">
          <w:marLeft w:val="0"/>
          <w:marRight w:val="0"/>
          <w:marTop w:val="0"/>
          <w:marBottom w:val="0"/>
          <w:divBdr>
            <w:top w:val="none" w:sz="0" w:space="0" w:color="auto"/>
            <w:left w:val="none" w:sz="0" w:space="0" w:color="auto"/>
            <w:bottom w:val="none" w:sz="0" w:space="0" w:color="auto"/>
            <w:right w:val="none" w:sz="0" w:space="0" w:color="auto"/>
          </w:divBdr>
          <w:divsChild>
            <w:div w:id="722172445">
              <w:marLeft w:val="0"/>
              <w:marRight w:val="0"/>
              <w:marTop w:val="0"/>
              <w:marBottom w:val="0"/>
              <w:divBdr>
                <w:top w:val="none" w:sz="0" w:space="0" w:color="auto"/>
                <w:left w:val="none" w:sz="0" w:space="0" w:color="auto"/>
                <w:bottom w:val="none" w:sz="0" w:space="0" w:color="auto"/>
                <w:right w:val="none" w:sz="0" w:space="0" w:color="auto"/>
              </w:divBdr>
            </w:div>
          </w:divsChild>
        </w:div>
        <w:div w:id="922033442">
          <w:marLeft w:val="0"/>
          <w:marRight w:val="0"/>
          <w:marTop w:val="0"/>
          <w:marBottom w:val="0"/>
          <w:divBdr>
            <w:top w:val="none" w:sz="0" w:space="0" w:color="auto"/>
            <w:left w:val="none" w:sz="0" w:space="0" w:color="auto"/>
            <w:bottom w:val="none" w:sz="0" w:space="0" w:color="auto"/>
            <w:right w:val="none" w:sz="0" w:space="0" w:color="auto"/>
          </w:divBdr>
          <w:divsChild>
            <w:div w:id="201987958">
              <w:marLeft w:val="0"/>
              <w:marRight w:val="0"/>
              <w:marTop w:val="0"/>
              <w:marBottom w:val="0"/>
              <w:divBdr>
                <w:top w:val="none" w:sz="0" w:space="0" w:color="auto"/>
                <w:left w:val="none" w:sz="0" w:space="0" w:color="auto"/>
                <w:bottom w:val="none" w:sz="0" w:space="0" w:color="auto"/>
                <w:right w:val="none" w:sz="0" w:space="0" w:color="auto"/>
              </w:divBdr>
            </w:div>
            <w:div w:id="363016665">
              <w:marLeft w:val="0"/>
              <w:marRight w:val="0"/>
              <w:marTop w:val="0"/>
              <w:marBottom w:val="0"/>
              <w:divBdr>
                <w:top w:val="none" w:sz="0" w:space="0" w:color="auto"/>
                <w:left w:val="none" w:sz="0" w:space="0" w:color="auto"/>
                <w:bottom w:val="none" w:sz="0" w:space="0" w:color="auto"/>
                <w:right w:val="none" w:sz="0" w:space="0" w:color="auto"/>
              </w:divBdr>
            </w:div>
            <w:div w:id="1630672031">
              <w:marLeft w:val="0"/>
              <w:marRight w:val="0"/>
              <w:marTop w:val="0"/>
              <w:marBottom w:val="0"/>
              <w:divBdr>
                <w:top w:val="none" w:sz="0" w:space="0" w:color="auto"/>
                <w:left w:val="none" w:sz="0" w:space="0" w:color="auto"/>
                <w:bottom w:val="none" w:sz="0" w:space="0" w:color="auto"/>
                <w:right w:val="none" w:sz="0" w:space="0" w:color="auto"/>
              </w:divBdr>
            </w:div>
          </w:divsChild>
        </w:div>
        <w:div w:id="357463034">
          <w:marLeft w:val="0"/>
          <w:marRight w:val="0"/>
          <w:marTop w:val="0"/>
          <w:marBottom w:val="0"/>
          <w:divBdr>
            <w:top w:val="none" w:sz="0" w:space="0" w:color="auto"/>
            <w:left w:val="none" w:sz="0" w:space="0" w:color="auto"/>
            <w:bottom w:val="none" w:sz="0" w:space="0" w:color="auto"/>
            <w:right w:val="none" w:sz="0" w:space="0" w:color="auto"/>
          </w:divBdr>
          <w:divsChild>
            <w:div w:id="1128358462">
              <w:marLeft w:val="0"/>
              <w:marRight w:val="0"/>
              <w:marTop w:val="0"/>
              <w:marBottom w:val="0"/>
              <w:divBdr>
                <w:top w:val="none" w:sz="0" w:space="0" w:color="auto"/>
                <w:left w:val="none" w:sz="0" w:space="0" w:color="auto"/>
                <w:bottom w:val="none" w:sz="0" w:space="0" w:color="auto"/>
                <w:right w:val="none" w:sz="0" w:space="0" w:color="auto"/>
              </w:divBdr>
            </w:div>
          </w:divsChild>
        </w:div>
        <w:div w:id="49158860">
          <w:marLeft w:val="0"/>
          <w:marRight w:val="0"/>
          <w:marTop w:val="0"/>
          <w:marBottom w:val="0"/>
          <w:divBdr>
            <w:top w:val="none" w:sz="0" w:space="0" w:color="auto"/>
            <w:left w:val="none" w:sz="0" w:space="0" w:color="auto"/>
            <w:bottom w:val="none" w:sz="0" w:space="0" w:color="auto"/>
            <w:right w:val="none" w:sz="0" w:space="0" w:color="auto"/>
          </w:divBdr>
          <w:divsChild>
            <w:div w:id="1448743881">
              <w:marLeft w:val="0"/>
              <w:marRight w:val="0"/>
              <w:marTop w:val="0"/>
              <w:marBottom w:val="0"/>
              <w:divBdr>
                <w:top w:val="none" w:sz="0" w:space="0" w:color="auto"/>
                <w:left w:val="none" w:sz="0" w:space="0" w:color="auto"/>
                <w:bottom w:val="none" w:sz="0" w:space="0" w:color="auto"/>
                <w:right w:val="none" w:sz="0" w:space="0" w:color="auto"/>
              </w:divBdr>
            </w:div>
          </w:divsChild>
        </w:div>
        <w:div w:id="1940212959">
          <w:marLeft w:val="0"/>
          <w:marRight w:val="0"/>
          <w:marTop w:val="0"/>
          <w:marBottom w:val="0"/>
          <w:divBdr>
            <w:top w:val="none" w:sz="0" w:space="0" w:color="auto"/>
            <w:left w:val="none" w:sz="0" w:space="0" w:color="auto"/>
            <w:bottom w:val="none" w:sz="0" w:space="0" w:color="auto"/>
            <w:right w:val="none" w:sz="0" w:space="0" w:color="auto"/>
          </w:divBdr>
          <w:divsChild>
            <w:div w:id="387727634">
              <w:marLeft w:val="0"/>
              <w:marRight w:val="0"/>
              <w:marTop w:val="0"/>
              <w:marBottom w:val="0"/>
              <w:divBdr>
                <w:top w:val="none" w:sz="0" w:space="0" w:color="auto"/>
                <w:left w:val="none" w:sz="0" w:space="0" w:color="auto"/>
                <w:bottom w:val="none" w:sz="0" w:space="0" w:color="auto"/>
                <w:right w:val="none" w:sz="0" w:space="0" w:color="auto"/>
              </w:divBdr>
            </w:div>
          </w:divsChild>
        </w:div>
        <w:div w:id="1755591831">
          <w:marLeft w:val="0"/>
          <w:marRight w:val="0"/>
          <w:marTop w:val="0"/>
          <w:marBottom w:val="0"/>
          <w:divBdr>
            <w:top w:val="none" w:sz="0" w:space="0" w:color="auto"/>
            <w:left w:val="none" w:sz="0" w:space="0" w:color="auto"/>
            <w:bottom w:val="none" w:sz="0" w:space="0" w:color="auto"/>
            <w:right w:val="none" w:sz="0" w:space="0" w:color="auto"/>
          </w:divBdr>
          <w:divsChild>
            <w:div w:id="447043572">
              <w:marLeft w:val="0"/>
              <w:marRight w:val="0"/>
              <w:marTop w:val="0"/>
              <w:marBottom w:val="0"/>
              <w:divBdr>
                <w:top w:val="none" w:sz="0" w:space="0" w:color="auto"/>
                <w:left w:val="none" w:sz="0" w:space="0" w:color="auto"/>
                <w:bottom w:val="none" w:sz="0" w:space="0" w:color="auto"/>
                <w:right w:val="none" w:sz="0" w:space="0" w:color="auto"/>
              </w:divBdr>
            </w:div>
            <w:div w:id="1517305621">
              <w:marLeft w:val="0"/>
              <w:marRight w:val="0"/>
              <w:marTop w:val="0"/>
              <w:marBottom w:val="0"/>
              <w:divBdr>
                <w:top w:val="none" w:sz="0" w:space="0" w:color="auto"/>
                <w:left w:val="none" w:sz="0" w:space="0" w:color="auto"/>
                <w:bottom w:val="none" w:sz="0" w:space="0" w:color="auto"/>
                <w:right w:val="none" w:sz="0" w:space="0" w:color="auto"/>
              </w:divBdr>
            </w:div>
            <w:div w:id="338894936">
              <w:marLeft w:val="0"/>
              <w:marRight w:val="0"/>
              <w:marTop w:val="0"/>
              <w:marBottom w:val="0"/>
              <w:divBdr>
                <w:top w:val="none" w:sz="0" w:space="0" w:color="auto"/>
                <w:left w:val="none" w:sz="0" w:space="0" w:color="auto"/>
                <w:bottom w:val="none" w:sz="0" w:space="0" w:color="auto"/>
                <w:right w:val="none" w:sz="0" w:space="0" w:color="auto"/>
              </w:divBdr>
            </w:div>
          </w:divsChild>
        </w:div>
        <w:div w:id="521669321">
          <w:marLeft w:val="0"/>
          <w:marRight w:val="0"/>
          <w:marTop w:val="0"/>
          <w:marBottom w:val="0"/>
          <w:divBdr>
            <w:top w:val="none" w:sz="0" w:space="0" w:color="auto"/>
            <w:left w:val="none" w:sz="0" w:space="0" w:color="auto"/>
            <w:bottom w:val="none" w:sz="0" w:space="0" w:color="auto"/>
            <w:right w:val="none" w:sz="0" w:space="0" w:color="auto"/>
          </w:divBdr>
          <w:divsChild>
            <w:div w:id="668093813">
              <w:marLeft w:val="0"/>
              <w:marRight w:val="0"/>
              <w:marTop w:val="0"/>
              <w:marBottom w:val="0"/>
              <w:divBdr>
                <w:top w:val="none" w:sz="0" w:space="0" w:color="auto"/>
                <w:left w:val="none" w:sz="0" w:space="0" w:color="auto"/>
                <w:bottom w:val="none" w:sz="0" w:space="0" w:color="auto"/>
                <w:right w:val="none" w:sz="0" w:space="0" w:color="auto"/>
              </w:divBdr>
            </w:div>
          </w:divsChild>
        </w:div>
        <w:div w:id="1225608344">
          <w:marLeft w:val="0"/>
          <w:marRight w:val="0"/>
          <w:marTop w:val="0"/>
          <w:marBottom w:val="0"/>
          <w:divBdr>
            <w:top w:val="none" w:sz="0" w:space="0" w:color="auto"/>
            <w:left w:val="none" w:sz="0" w:space="0" w:color="auto"/>
            <w:bottom w:val="none" w:sz="0" w:space="0" w:color="auto"/>
            <w:right w:val="none" w:sz="0" w:space="0" w:color="auto"/>
          </w:divBdr>
          <w:divsChild>
            <w:div w:id="1264992105">
              <w:marLeft w:val="0"/>
              <w:marRight w:val="0"/>
              <w:marTop w:val="0"/>
              <w:marBottom w:val="0"/>
              <w:divBdr>
                <w:top w:val="none" w:sz="0" w:space="0" w:color="auto"/>
                <w:left w:val="none" w:sz="0" w:space="0" w:color="auto"/>
                <w:bottom w:val="none" w:sz="0" w:space="0" w:color="auto"/>
                <w:right w:val="none" w:sz="0" w:space="0" w:color="auto"/>
              </w:divBdr>
            </w:div>
          </w:divsChild>
        </w:div>
        <w:div w:id="50158723">
          <w:marLeft w:val="0"/>
          <w:marRight w:val="0"/>
          <w:marTop w:val="0"/>
          <w:marBottom w:val="0"/>
          <w:divBdr>
            <w:top w:val="none" w:sz="0" w:space="0" w:color="auto"/>
            <w:left w:val="none" w:sz="0" w:space="0" w:color="auto"/>
            <w:bottom w:val="none" w:sz="0" w:space="0" w:color="auto"/>
            <w:right w:val="none" w:sz="0" w:space="0" w:color="auto"/>
          </w:divBdr>
          <w:divsChild>
            <w:div w:id="164830420">
              <w:marLeft w:val="0"/>
              <w:marRight w:val="0"/>
              <w:marTop w:val="0"/>
              <w:marBottom w:val="0"/>
              <w:divBdr>
                <w:top w:val="none" w:sz="0" w:space="0" w:color="auto"/>
                <w:left w:val="none" w:sz="0" w:space="0" w:color="auto"/>
                <w:bottom w:val="none" w:sz="0" w:space="0" w:color="auto"/>
                <w:right w:val="none" w:sz="0" w:space="0" w:color="auto"/>
              </w:divBdr>
            </w:div>
          </w:divsChild>
        </w:div>
        <w:div w:id="940647463">
          <w:marLeft w:val="0"/>
          <w:marRight w:val="0"/>
          <w:marTop w:val="0"/>
          <w:marBottom w:val="0"/>
          <w:divBdr>
            <w:top w:val="none" w:sz="0" w:space="0" w:color="auto"/>
            <w:left w:val="none" w:sz="0" w:space="0" w:color="auto"/>
            <w:bottom w:val="none" w:sz="0" w:space="0" w:color="auto"/>
            <w:right w:val="none" w:sz="0" w:space="0" w:color="auto"/>
          </w:divBdr>
          <w:divsChild>
            <w:div w:id="840461675">
              <w:marLeft w:val="0"/>
              <w:marRight w:val="0"/>
              <w:marTop w:val="0"/>
              <w:marBottom w:val="0"/>
              <w:divBdr>
                <w:top w:val="none" w:sz="0" w:space="0" w:color="auto"/>
                <w:left w:val="none" w:sz="0" w:space="0" w:color="auto"/>
                <w:bottom w:val="none" w:sz="0" w:space="0" w:color="auto"/>
                <w:right w:val="none" w:sz="0" w:space="0" w:color="auto"/>
              </w:divBdr>
            </w:div>
            <w:div w:id="1401752044">
              <w:marLeft w:val="0"/>
              <w:marRight w:val="0"/>
              <w:marTop w:val="0"/>
              <w:marBottom w:val="0"/>
              <w:divBdr>
                <w:top w:val="none" w:sz="0" w:space="0" w:color="auto"/>
                <w:left w:val="none" w:sz="0" w:space="0" w:color="auto"/>
                <w:bottom w:val="none" w:sz="0" w:space="0" w:color="auto"/>
                <w:right w:val="none" w:sz="0" w:space="0" w:color="auto"/>
              </w:divBdr>
            </w:div>
            <w:div w:id="752241270">
              <w:marLeft w:val="0"/>
              <w:marRight w:val="0"/>
              <w:marTop w:val="0"/>
              <w:marBottom w:val="0"/>
              <w:divBdr>
                <w:top w:val="none" w:sz="0" w:space="0" w:color="auto"/>
                <w:left w:val="none" w:sz="0" w:space="0" w:color="auto"/>
                <w:bottom w:val="none" w:sz="0" w:space="0" w:color="auto"/>
                <w:right w:val="none" w:sz="0" w:space="0" w:color="auto"/>
              </w:divBdr>
            </w:div>
          </w:divsChild>
        </w:div>
        <w:div w:id="517892636">
          <w:marLeft w:val="0"/>
          <w:marRight w:val="0"/>
          <w:marTop w:val="0"/>
          <w:marBottom w:val="0"/>
          <w:divBdr>
            <w:top w:val="none" w:sz="0" w:space="0" w:color="auto"/>
            <w:left w:val="none" w:sz="0" w:space="0" w:color="auto"/>
            <w:bottom w:val="none" w:sz="0" w:space="0" w:color="auto"/>
            <w:right w:val="none" w:sz="0" w:space="0" w:color="auto"/>
          </w:divBdr>
          <w:divsChild>
            <w:div w:id="108939767">
              <w:marLeft w:val="0"/>
              <w:marRight w:val="0"/>
              <w:marTop w:val="0"/>
              <w:marBottom w:val="0"/>
              <w:divBdr>
                <w:top w:val="none" w:sz="0" w:space="0" w:color="auto"/>
                <w:left w:val="none" w:sz="0" w:space="0" w:color="auto"/>
                <w:bottom w:val="none" w:sz="0" w:space="0" w:color="auto"/>
                <w:right w:val="none" w:sz="0" w:space="0" w:color="auto"/>
              </w:divBdr>
            </w:div>
          </w:divsChild>
        </w:div>
        <w:div w:id="1447887321">
          <w:marLeft w:val="0"/>
          <w:marRight w:val="0"/>
          <w:marTop w:val="0"/>
          <w:marBottom w:val="0"/>
          <w:divBdr>
            <w:top w:val="none" w:sz="0" w:space="0" w:color="auto"/>
            <w:left w:val="none" w:sz="0" w:space="0" w:color="auto"/>
            <w:bottom w:val="none" w:sz="0" w:space="0" w:color="auto"/>
            <w:right w:val="none" w:sz="0" w:space="0" w:color="auto"/>
          </w:divBdr>
          <w:divsChild>
            <w:div w:id="1748571026">
              <w:marLeft w:val="0"/>
              <w:marRight w:val="0"/>
              <w:marTop w:val="0"/>
              <w:marBottom w:val="0"/>
              <w:divBdr>
                <w:top w:val="none" w:sz="0" w:space="0" w:color="auto"/>
                <w:left w:val="none" w:sz="0" w:space="0" w:color="auto"/>
                <w:bottom w:val="none" w:sz="0" w:space="0" w:color="auto"/>
                <w:right w:val="none" w:sz="0" w:space="0" w:color="auto"/>
              </w:divBdr>
            </w:div>
          </w:divsChild>
        </w:div>
        <w:div w:id="239486590">
          <w:marLeft w:val="0"/>
          <w:marRight w:val="0"/>
          <w:marTop w:val="0"/>
          <w:marBottom w:val="0"/>
          <w:divBdr>
            <w:top w:val="none" w:sz="0" w:space="0" w:color="auto"/>
            <w:left w:val="none" w:sz="0" w:space="0" w:color="auto"/>
            <w:bottom w:val="none" w:sz="0" w:space="0" w:color="auto"/>
            <w:right w:val="none" w:sz="0" w:space="0" w:color="auto"/>
          </w:divBdr>
          <w:divsChild>
            <w:div w:id="2101370647">
              <w:marLeft w:val="0"/>
              <w:marRight w:val="0"/>
              <w:marTop w:val="0"/>
              <w:marBottom w:val="0"/>
              <w:divBdr>
                <w:top w:val="none" w:sz="0" w:space="0" w:color="auto"/>
                <w:left w:val="none" w:sz="0" w:space="0" w:color="auto"/>
                <w:bottom w:val="none" w:sz="0" w:space="0" w:color="auto"/>
                <w:right w:val="none" w:sz="0" w:space="0" w:color="auto"/>
              </w:divBdr>
            </w:div>
          </w:divsChild>
        </w:div>
        <w:div w:id="378434997">
          <w:marLeft w:val="0"/>
          <w:marRight w:val="0"/>
          <w:marTop w:val="0"/>
          <w:marBottom w:val="0"/>
          <w:divBdr>
            <w:top w:val="none" w:sz="0" w:space="0" w:color="auto"/>
            <w:left w:val="none" w:sz="0" w:space="0" w:color="auto"/>
            <w:bottom w:val="none" w:sz="0" w:space="0" w:color="auto"/>
            <w:right w:val="none" w:sz="0" w:space="0" w:color="auto"/>
          </w:divBdr>
          <w:divsChild>
            <w:div w:id="1744528228">
              <w:marLeft w:val="0"/>
              <w:marRight w:val="0"/>
              <w:marTop w:val="0"/>
              <w:marBottom w:val="0"/>
              <w:divBdr>
                <w:top w:val="none" w:sz="0" w:space="0" w:color="auto"/>
                <w:left w:val="none" w:sz="0" w:space="0" w:color="auto"/>
                <w:bottom w:val="none" w:sz="0" w:space="0" w:color="auto"/>
                <w:right w:val="none" w:sz="0" w:space="0" w:color="auto"/>
              </w:divBdr>
            </w:div>
            <w:div w:id="241910551">
              <w:marLeft w:val="0"/>
              <w:marRight w:val="0"/>
              <w:marTop w:val="0"/>
              <w:marBottom w:val="0"/>
              <w:divBdr>
                <w:top w:val="none" w:sz="0" w:space="0" w:color="auto"/>
                <w:left w:val="none" w:sz="0" w:space="0" w:color="auto"/>
                <w:bottom w:val="none" w:sz="0" w:space="0" w:color="auto"/>
                <w:right w:val="none" w:sz="0" w:space="0" w:color="auto"/>
              </w:divBdr>
            </w:div>
            <w:div w:id="1967925398">
              <w:marLeft w:val="0"/>
              <w:marRight w:val="0"/>
              <w:marTop w:val="0"/>
              <w:marBottom w:val="0"/>
              <w:divBdr>
                <w:top w:val="none" w:sz="0" w:space="0" w:color="auto"/>
                <w:left w:val="none" w:sz="0" w:space="0" w:color="auto"/>
                <w:bottom w:val="none" w:sz="0" w:space="0" w:color="auto"/>
                <w:right w:val="none" w:sz="0" w:space="0" w:color="auto"/>
              </w:divBdr>
            </w:div>
          </w:divsChild>
        </w:div>
        <w:div w:id="619066508">
          <w:marLeft w:val="0"/>
          <w:marRight w:val="0"/>
          <w:marTop w:val="0"/>
          <w:marBottom w:val="0"/>
          <w:divBdr>
            <w:top w:val="none" w:sz="0" w:space="0" w:color="auto"/>
            <w:left w:val="none" w:sz="0" w:space="0" w:color="auto"/>
            <w:bottom w:val="none" w:sz="0" w:space="0" w:color="auto"/>
            <w:right w:val="none" w:sz="0" w:space="0" w:color="auto"/>
          </w:divBdr>
          <w:divsChild>
            <w:div w:id="1306087133">
              <w:marLeft w:val="0"/>
              <w:marRight w:val="0"/>
              <w:marTop w:val="0"/>
              <w:marBottom w:val="0"/>
              <w:divBdr>
                <w:top w:val="none" w:sz="0" w:space="0" w:color="auto"/>
                <w:left w:val="none" w:sz="0" w:space="0" w:color="auto"/>
                <w:bottom w:val="none" w:sz="0" w:space="0" w:color="auto"/>
                <w:right w:val="none" w:sz="0" w:space="0" w:color="auto"/>
              </w:divBdr>
            </w:div>
          </w:divsChild>
        </w:div>
        <w:div w:id="564874709">
          <w:marLeft w:val="0"/>
          <w:marRight w:val="0"/>
          <w:marTop w:val="0"/>
          <w:marBottom w:val="0"/>
          <w:divBdr>
            <w:top w:val="none" w:sz="0" w:space="0" w:color="auto"/>
            <w:left w:val="none" w:sz="0" w:space="0" w:color="auto"/>
            <w:bottom w:val="none" w:sz="0" w:space="0" w:color="auto"/>
            <w:right w:val="none" w:sz="0" w:space="0" w:color="auto"/>
          </w:divBdr>
          <w:divsChild>
            <w:div w:id="133647469">
              <w:marLeft w:val="0"/>
              <w:marRight w:val="0"/>
              <w:marTop w:val="0"/>
              <w:marBottom w:val="0"/>
              <w:divBdr>
                <w:top w:val="none" w:sz="0" w:space="0" w:color="auto"/>
                <w:left w:val="none" w:sz="0" w:space="0" w:color="auto"/>
                <w:bottom w:val="none" w:sz="0" w:space="0" w:color="auto"/>
                <w:right w:val="none" w:sz="0" w:space="0" w:color="auto"/>
              </w:divBdr>
            </w:div>
          </w:divsChild>
        </w:div>
        <w:div w:id="1041250747">
          <w:marLeft w:val="0"/>
          <w:marRight w:val="0"/>
          <w:marTop w:val="0"/>
          <w:marBottom w:val="0"/>
          <w:divBdr>
            <w:top w:val="none" w:sz="0" w:space="0" w:color="auto"/>
            <w:left w:val="none" w:sz="0" w:space="0" w:color="auto"/>
            <w:bottom w:val="none" w:sz="0" w:space="0" w:color="auto"/>
            <w:right w:val="none" w:sz="0" w:space="0" w:color="auto"/>
          </w:divBdr>
          <w:divsChild>
            <w:div w:id="268781204">
              <w:marLeft w:val="0"/>
              <w:marRight w:val="0"/>
              <w:marTop w:val="0"/>
              <w:marBottom w:val="0"/>
              <w:divBdr>
                <w:top w:val="none" w:sz="0" w:space="0" w:color="auto"/>
                <w:left w:val="none" w:sz="0" w:space="0" w:color="auto"/>
                <w:bottom w:val="none" w:sz="0" w:space="0" w:color="auto"/>
                <w:right w:val="none" w:sz="0" w:space="0" w:color="auto"/>
              </w:divBdr>
            </w:div>
          </w:divsChild>
        </w:div>
        <w:div w:id="372581465">
          <w:marLeft w:val="0"/>
          <w:marRight w:val="0"/>
          <w:marTop w:val="0"/>
          <w:marBottom w:val="0"/>
          <w:divBdr>
            <w:top w:val="none" w:sz="0" w:space="0" w:color="auto"/>
            <w:left w:val="none" w:sz="0" w:space="0" w:color="auto"/>
            <w:bottom w:val="none" w:sz="0" w:space="0" w:color="auto"/>
            <w:right w:val="none" w:sz="0" w:space="0" w:color="auto"/>
          </w:divBdr>
          <w:divsChild>
            <w:div w:id="1106652298">
              <w:marLeft w:val="0"/>
              <w:marRight w:val="0"/>
              <w:marTop w:val="0"/>
              <w:marBottom w:val="0"/>
              <w:divBdr>
                <w:top w:val="none" w:sz="0" w:space="0" w:color="auto"/>
                <w:left w:val="none" w:sz="0" w:space="0" w:color="auto"/>
                <w:bottom w:val="none" w:sz="0" w:space="0" w:color="auto"/>
                <w:right w:val="none" w:sz="0" w:space="0" w:color="auto"/>
              </w:divBdr>
            </w:div>
            <w:div w:id="935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51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6700251">
      <w:bodyDiv w:val="1"/>
      <w:marLeft w:val="0"/>
      <w:marRight w:val="0"/>
      <w:marTop w:val="0"/>
      <w:marBottom w:val="0"/>
      <w:divBdr>
        <w:top w:val="none" w:sz="0" w:space="0" w:color="auto"/>
        <w:left w:val="none" w:sz="0" w:space="0" w:color="auto"/>
        <w:bottom w:val="none" w:sz="0" w:space="0" w:color="auto"/>
        <w:right w:val="none" w:sz="0" w:space="0" w:color="auto"/>
      </w:divBdr>
    </w:div>
    <w:div w:id="1147744703">
      <w:bodyDiv w:val="1"/>
      <w:marLeft w:val="0"/>
      <w:marRight w:val="0"/>
      <w:marTop w:val="0"/>
      <w:marBottom w:val="0"/>
      <w:divBdr>
        <w:top w:val="none" w:sz="0" w:space="0" w:color="auto"/>
        <w:left w:val="none" w:sz="0" w:space="0" w:color="auto"/>
        <w:bottom w:val="none" w:sz="0" w:space="0" w:color="auto"/>
        <w:right w:val="none" w:sz="0" w:space="0" w:color="auto"/>
      </w:divBdr>
    </w:div>
    <w:div w:id="116231334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5558432">
      <w:bodyDiv w:val="1"/>
      <w:marLeft w:val="0"/>
      <w:marRight w:val="0"/>
      <w:marTop w:val="0"/>
      <w:marBottom w:val="0"/>
      <w:divBdr>
        <w:top w:val="none" w:sz="0" w:space="0" w:color="auto"/>
        <w:left w:val="none" w:sz="0" w:space="0" w:color="auto"/>
        <w:bottom w:val="none" w:sz="0" w:space="0" w:color="auto"/>
        <w:right w:val="none" w:sz="0" w:space="0" w:color="auto"/>
      </w:divBdr>
    </w:div>
    <w:div w:id="1191648613">
      <w:bodyDiv w:val="1"/>
      <w:marLeft w:val="0"/>
      <w:marRight w:val="0"/>
      <w:marTop w:val="0"/>
      <w:marBottom w:val="0"/>
      <w:divBdr>
        <w:top w:val="none" w:sz="0" w:space="0" w:color="auto"/>
        <w:left w:val="none" w:sz="0" w:space="0" w:color="auto"/>
        <w:bottom w:val="none" w:sz="0" w:space="0" w:color="auto"/>
        <w:right w:val="none" w:sz="0" w:space="0" w:color="auto"/>
      </w:divBdr>
    </w:div>
    <w:div w:id="121781535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7258749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0694442">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3999879">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086701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7541144">
      <w:bodyDiv w:val="1"/>
      <w:marLeft w:val="0"/>
      <w:marRight w:val="0"/>
      <w:marTop w:val="0"/>
      <w:marBottom w:val="0"/>
      <w:divBdr>
        <w:top w:val="none" w:sz="0" w:space="0" w:color="auto"/>
        <w:left w:val="none" w:sz="0" w:space="0" w:color="auto"/>
        <w:bottom w:val="none" w:sz="0" w:space="0" w:color="auto"/>
        <w:right w:val="none" w:sz="0" w:space="0" w:color="auto"/>
      </w:divBdr>
    </w:div>
    <w:div w:id="1376002593">
      <w:bodyDiv w:val="1"/>
      <w:marLeft w:val="0"/>
      <w:marRight w:val="0"/>
      <w:marTop w:val="0"/>
      <w:marBottom w:val="0"/>
      <w:divBdr>
        <w:top w:val="none" w:sz="0" w:space="0" w:color="auto"/>
        <w:left w:val="none" w:sz="0" w:space="0" w:color="auto"/>
        <w:bottom w:val="none" w:sz="0" w:space="0" w:color="auto"/>
        <w:right w:val="none" w:sz="0" w:space="0" w:color="auto"/>
      </w:divBdr>
    </w:div>
    <w:div w:id="140024647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3406442">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7228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969734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1488297">
      <w:bodyDiv w:val="1"/>
      <w:marLeft w:val="0"/>
      <w:marRight w:val="0"/>
      <w:marTop w:val="0"/>
      <w:marBottom w:val="0"/>
      <w:divBdr>
        <w:top w:val="none" w:sz="0" w:space="0" w:color="auto"/>
        <w:left w:val="none" w:sz="0" w:space="0" w:color="auto"/>
        <w:bottom w:val="none" w:sz="0" w:space="0" w:color="auto"/>
        <w:right w:val="none" w:sz="0" w:space="0" w:color="auto"/>
      </w:divBdr>
    </w:div>
    <w:div w:id="1712268055">
      <w:bodyDiv w:val="1"/>
      <w:marLeft w:val="0"/>
      <w:marRight w:val="0"/>
      <w:marTop w:val="0"/>
      <w:marBottom w:val="0"/>
      <w:divBdr>
        <w:top w:val="none" w:sz="0" w:space="0" w:color="auto"/>
        <w:left w:val="none" w:sz="0" w:space="0" w:color="auto"/>
        <w:bottom w:val="none" w:sz="0" w:space="0" w:color="auto"/>
        <w:right w:val="none" w:sz="0" w:space="0" w:color="auto"/>
      </w:divBdr>
    </w:div>
    <w:div w:id="1725838034">
      <w:bodyDiv w:val="1"/>
      <w:marLeft w:val="0"/>
      <w:marRight w:val="0"/>
      <w:marTop w:val="0"/>
      <w:marBottom w:val="0"/>
      <w:divBdr>
        <w:top w:val="none" w:sz="0" w:space="0" w:color="auto"/>
        <w:left w:val="none" w:sz="0" w:space="0" w:color="auto"/>
        <w:bottom w:val="none" w:sz="0" w:space="0" w:color="auto"/>
        <w:right w:val="none" w:sz="0" w:space="0" w:color="auto"/>
      </w:divBdr>
    </w:div>
    <w:div w:id="172879992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979219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336539">
      <w:bodyDiv w:val="1"/>
      <w:marLeft w:val="0"/>
      <w:marRight w:val="0"/>
      <w:marTop w:val="0"/>
      <w:marBottom w:val="0"/>
      <w:divBdr>
        <w:top w:val="none" w:sz="0" w:space="0" w:color="auto"/>
        <w:left w:val="none" w:sz="0" w:space="0" w:color="auto"/>
        <w:bottom w:val="none" w:sz="0" w:space="0" w:color="auto"/>
        <w:right w:val="none" w:sz="0" w:space="0" w:color="auto"/>
      </w:divBdr>
    </w:div>
    <w:div w:id="184150251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85362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286116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6326911">
      <w:bodyDiv w:val="1"/>
      <w:marLeft w:val="0"/>
      <w:marRight w:val="0"/>
      <w:marTop w:val="0"/>
      <w:marBottom w:val="0"/>
      <w:divBdr>
        <w:top w:val="none" w:sz="0" w:space="0" w:color="auto"/>
        <w:left w:val="none" w:sz="0" w:space="0" w:color="auto"/>
        <w:bottom w:val="none" w:sz="0" w:space="0" w:color="auto"/>
        <w:right w:val="none" w:sz="0" w:space="0" w:color="auto"/>
      </w:divBdr>
    </w:div>
    <w:div w:id="200855106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2268887">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12502589">
      <w:bodyDiv w:val="1"/>
      <w:marLeft w:val="0"/>
      <w:marRight w:val="0"/>
      <w:marTop w:val="0"/>
      <w:marBottom w:val="0"/>
      <w:divBdr>
        <w:top w:val="none" w:sz="0" w:space="0" w:color="auto"/>
        <w:left w:val="none" w:sz="0" w:space="0" w:color="auto"/>
        <w:bottom w:val="none" w:sz="0" w:space="0" w:color="auto"/>
        <w:right w:val="none" w:sz="0" w:space="0" w:color="auto"/>
      </w:divBdr>
    </w:div>
    <w:div w:id="2122918648">
      <w:bodyDiv w:val="1"/>
      <w:marLeft w:val="0"/>
      <w:marRight w:val="0"/>
      <w:marTop w:val="0"/>
      <w:marBottom w:val="0"/>
      <w:divBdr>
        <w:top w:val="none" w:sz="0" w:space="0" w:color="auto"/>
        <w:left w:val="none" w:sz="0" w:space="0" w:color="auto"/>
        <w:bottom w:val="none" w:sz="0" w:space="0" w:color="auto"/>
        <w:right w:val="none" w:sz="0" w:space="0" w:color="auto"/>
      </w:divBdr>
    </w:div>
    <w:div w:id="2142722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arc.gov.au/" TargetMode="External"/><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www.arc.gov.au/" TargetMode="Externa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42558F7A2BC40AB6D2C673FD80505" ma:contentTypeVersion="13" ma:contentTypeDescription="Create a new document." ma:contentTypeScope="" ma:versionID="6ea14e1d60d75b0f58cfde6afd09757e">
  <xsd:schema xmlns:xsd="http://www.w3.org/2001/XMLSchema" xmlns:xs="http://www.w3.org/2001/XMLSchema" xmlns:p="http://schemas.microsoft.com/office/2006/metadata/properties" xmlns:ns2="85b9fc3c-b9bf-4422-a1e5-556659e8a2de" xmlns:ns3="bfb9a6c6-dd22-45ed-a5af-c5a6c6ecb8c7" targetNamespace="http://schemas.microsoft.com/office/2006/metadata/properties" ma:root="true" ma:fieldsID="80774c7914b01431c5aae06455370e37" ns2:_="" ns3:_="">
    <xsd:import namespace="85b9fc3c-b9bf-4422-a1e5-556659e8a2de"/>
    <xsd:import namespace="bfb9a6c6-dd22-45ed-a5af-c5a6c6ecb8c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9fc3c-b9bf-4422-a1e5-556659e8a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5043ab-66c6-4a0b-b596-75a599bf5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9a6c6-dd22-45ed-a5af-c5a6c6ecb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776448-8866-4a5a-b88b-4424e755dd44}" ma:internalName="TaxCatchAll" ma:showField="CatchAllData" ma:web="bfb9a6c6-dd22-45ed-a5af-c5a6c6ecb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bfb9a6c6-dd22-45ed-a5af-c5a6c6ecb8c7" xsi:nil="true"/>
    <lcf76f155ced4ddcb4097134ff3c332f xmlns="85b9fc3c-b9bf-4422-a1e5-556659e8a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DD1BC5-849F-4453-BCEE-11D67EABE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9fc3c-b9bf-4422-a1e5-556659e8a2de"/>
    <ds:schemaRef ds:uri="bfb9a6c6-dd22-45ed-a5af-c5a6c6ecb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customXml/itemProps5.xml><?xml version="1.0" encoding="utf-8"?>
<ds:datastoreItem xmlns:ds="http://schemas.openxmlformats.org/officeDocument/2006/customXml" ds:itemID="{26CEAD22-808A-4C85-A925-26BD5C865F70}">
  <ds:schemaRefs>
    <ds:schemaRef ds:uri="http://schemas.microsoft.com/office/2006/metadata/properties"/>
    <ds:schemaRef ds:uri="http://schemas.microsoft.com/office/infopath/2007/PartnerControls"/>
    <ds:schemaRef ds:uri="bfb9a6c6-dd22-45ed-a5af-c5a6c6ecb8c7"/>
    <ds:schemaRef ds:uri="85b9fc3c-b9bf-4422-a1e5-556659e8a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3956</Words>
  <Characters>24409</Characters>
  <Application>Microsoft Office Word</Application>
  <DocSecurity>0</DocSecurity>
  <Lines>610</Lines>
  <Paragraphs>308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2022-03-25T10:32:00Z</dcterms:created>
  <dcterms:modified xsi:type="dcterms:W3CDTF">2023-01-05T02:46:00Z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0x01010047A42558F7A2BC40AB6D2C673FD80505</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y fmtid="{D5CDD505-2E9C-101B-9397-08002B2CF9AE}" pid="9" name="MediaServiceImageTags">
    <vt:lpwstr/>
  </property>
</Properties>
</file>