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1C46" w14:textId="4E28679D" w:rsidR="00105D08" w:rsidRDefault="00B74244" w:rsidP="00C22C0F">
      <w:pPr>
        <w:ind w:left="720" w:firstLine="720"/>
      </w:pPr>
      <w:r>
        <w:rPr>
          <w:noProof/>
          <w:lang w:eastAsia="en-AU"/>
        </w:rPr>
        <w:drawing>
          <wp:anchor distT="0" distB="0" distL="114300" distR="114300" simplePos="0" relativeHeight="251657728" behindDoc="0" locked="0" layoutInCell="1" allowOverlap="0" wp14:anchorId="248DB716" wp14:editId="31B8052C">
            <wp:simplePos x="0" y="0"/>
            <wp:positionH relativeFrom="page">
              <wp:posOffset>4688039</wp:posOffset>
            </wp:positionH>
            <wp:positionV relativeFrom="page">
              <wp:posOffset>768488</wp:posOffset>
            </wp:positionV>
            <wp:extent cx="2596551" cy="881063"/>
            <wp:effectExtent l="0" t="0" r="0" b="0"/>
            <wp:wrapNone/>
            <wp:docPr id="3" name="Picture 3" descr=":logo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6551" cy="881063"/>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752" behindDoc="0" locked="0" layoutInCell="1" allowOverlap="1" wp14:anchorId="39B2F815" wp14:editId="76266FFA">
            <wp:simplePos x="0" y="0"/>
            <wp:positionH relativeFrom="column">
              <wp:posOffset>1629</wp:posOffset>
            </wp:positionH>
            <wp:positionV relativeFrom="paragraph">
              <wp:posOffset>0</wp:posOffset>
            </wp:positionV>
            <wp:extent cx="3105509" cy="5025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5509" cy="502576"/>
                    </a:xfrm>
                    <a:prstGeom prst="rect">
                      <a:avLst/>
                    </a:prstGeom>
                  </pic:spPr>
                </pic:pic>
              </a:graphicData>
            </a:graphic>
            <wp14:sizeRelH relativeFrom="page">
              <wp14:pctWidth>0</wp14:pctWidth>
            </wp14:sizeRelH>
            <wp14:sizeRelV relativeFrom="page">
              <wp14:pctHeight>0</wp14:pctHeight>
            </wp14:sizeRelV>
          </wp:anchor>
        </w:drawing>
      </w:r>
    </w:p>
    <w:p w14:paraId="30678C56" w14:textId="78E805A7" w:rsidR="00105D08" w:rsidRDefault="00E4223D">
      <w:r>
        <w:t xml:space="preserve">   </w:t>
      </w:r>
    </w:p>
    <w:p w14:paraId="0F7F9018" w14:textId="77777777" w:rsidR="00105D08" w:rsidRDefault="00C22C0F">
      <w:pPr>
        <w:pStyle w:val="Heading1"/>
        <w:jc w:val="center"/>
        <w:rPr>
          <w:sz w:val="72"/>
          <w:szCs w:val="72"/>
        </w:rPr>
      </w:pPr>
      <w:r>
        <w:rPr>
          <w:sz w:val="72"/>
          <w:szCs w:val="72"/>
        </w:rPr>
        <w:tab/>
      </w:r>
      <w:r>
        <w:rPr>
          <w:sz w:val="72"/>
          <w:szCs w:val="72"/>
        </w:rPr>
        <w:tab/>
      </w:r>
    </w:p>
    <w:p w14:paraId="2BC79BD2" w14:textId="77777777" w:rsidR="00105D08" w:rsidRDefault="000A3E22">
      <w:pPr>
        <w:jc w:val="center"/>
        <w:rPr>
          <w:b/>
          <w:sz w:val="72"/>
          <w:szCs w:val="72"/>
        </w:rPr>
      </w:pPr>
      <w:r>
        <w:rPr>
          <w:b/>
          <w:sz w:val="72"/>
          <w:szCs w:val="72"/>
        </w:rPr>
        <w:t xml:space="preserve"> </w:t>
      </w:r>
    </w:p>
    <w:p w14:paraId="23B19C7C" w14:textId="77777777" w:rsidR="00105D08" w:rsidRDefault="000A3E22">
      <w:pPr>
        <w:jc w:val="center"/>
        <w:rPr>
          <w:b/>
          <w:sz w:val="72"/>
          <w:szCs w:val="72"/>
        </w:rPr>
      </w:pPr>
      <w:r>
        <w:rPr>
          <w:b/>
          <w:sz w:val="72"/>
          <w:szCs w:val="72"/>
        </w:rPr>
        <w:t xml:space="preserve">Australian </w:t>
      </w:r>
    </w:p>
    <w:p w14:paraId="6FCD08AD" w14:textId="77777777" w:rsidR="00105D08" w:rsidRDefault="000A3E22">
      <w:pPr>
        <w:jc w:val="center"/>
        <w:rPr>
          <w:b/>
          <w:sz w:val="72"/>
          <w:szCs w:val="72"/>
        </w:rPr>
      </w:pPr>
      <w:r>
        <w:rPr>
          <w:b/>
          <w:sz w:val="72"/>
          <w:szCs w:val="72"/>
        </w:rPr>
        <w:t>Research Integrity Committee</w:t>
      </w:r>
    </w:p>
    <w:p w14:paraId="27D2C791" w14:textId="77777777" w:rsidR="00105D08" w:rsidRDefault="000A3E22">
      <w:pPr>
        <w:jc w:val="center"/>
        <w:rPr>
          <w:b/>
          <w:sz w:val="72"/>
          <w:szCs w:val="72"/>
        </w:rPr>
      </w:pPr>
      <w:r>
        <w:rPr>
          <w:b/>
          <w:sz w:val="72"/>
          <w:szCs w:val="72"/>
        </w:rPr>
        <w:t>Framework</w:t>
      </w:r>
    </w:p>
    <w:p w14:paraId="5C3EBCBF" w14:textId="77777777" w:rsidR="00041564" w:rsidRDefault="00041564">
      <w:pPr>
        <w:jc w:val="center"/>
        <w:rPr>
          <w:b/>
          <w:sz w:val="72"/>
          <w:szCs w:val="72"/>
        </w:rPr>
      </w:pPr>
    </w:p>
    <w:p w14:paraId="6DDBD8A1" w14:textId="77777777" w:rsidR="00041564" w:rsidRDefault="00041564">
      <w:pPr>
        <w:jc w:val="center"/>
        <w:rPr>
          <w:b/>
          <w:sz w:val="72"/>
          <w:szCs w:val="72"/>
        </w:rPr>
      </w:pPr>
    </w:p>
    <w:p w14:paraId="26129240" w14:textId="77777777" w:rsidR="00041564" w:rsidRDefault="00041564">
      <w:pPr>
        <w:jc w:val="center"/>
        <w:rPr>
          <w:b/>
          <w:sz w:val="72"/>
          <w:szCs w:val="72"/>
        </w:rPr>
      </w:pPr>
    </w:p>
    <w:p w14:paraId="31815B2C" w14:textId="6C364EFA" w:rsidR="00041564" w:rsidRDefault="007A75A6">
      <w:pPr>
        <w:jc w:val="center"/>
        <w:rPr>
          <w:b/>
          <w:sz w:val="72"/>
          <w:szCs w:val="72"/>
        </w:rPr>
      </w:pPr>
      <w:r>
        <w:rPr>
          <w:b/>
          <w:sz w:val="72"/>
          <w:szCs w:val="72"/>
        </w:rPr>
        <w:t>20</w:t>
      </w:r>
      <w:r w:rsidR="00901187">
        <w:rPr>
          <w:b/>
          <w:sz w:val="72"/>
          <w:szCs w:val="72"/>
        </w:rPr>
        <w:t>2</w:t>
      </w:r>
      <w:r w:rsidR="00B43AF2">
        <w:rPr>
          <w:b/>
          <w:sz w:val="72"/>
          <w:szCs w:val="72"/>
        </w:rPr>
        <w:t>1</w:t>
      </w:r>
    </w:p>
    <w:p w14:paraId="4A936A1F" w14:textId="77777777" w:rsidR="00105D08" w:rsidRDefault="00105D08"/>
    <w:p w14:paraId="145AF783" w14:textId="77777777" w:rsidR="00105D08" w:rsidRDefault="00105D08">
      <w:pPr>
        <w:pStyle w:val="TOCHeading"/>
      </w:pPr>
    </w:p>
    <w:p w14:paraId="3249AA49" w14:textId="48120E46" w:rsidR="00105D08" w:rsidRPr="00071D6B" w:rsidRDefault="000A3E22" w:rsidP="00A46686">
      <w:pPr>
        <w:pStyle w:val="Heading1"/>
        <w:rPr>
          <w:rFonts w:asciiTheme="minorHAnsi" w:hAnsiTheme="minorHAnsi" w:cstheme="minorHAnsi"/>
        </w:rPr>
      </w:pPr>
      <w:r>
        <w:br w:type="page"/>
      </w:r>
      <w:bookmarkStart w:id="0" w:name="_Toc54850102"/>
      <w:r w:rsidRPr="00071D6B">
        <w:rPr>
          <w:rFonts w:asciiTheme="minorHAnsi" w:hAnsiTheme="minorHAnsi" w:cstheme="minorHAnsi"/>
        </w:rPr>
        <w:lastRenderedPageBreak/>
        <w:t>Contents</w:t>
      </w:r>
      <w:bookmarkEnd w:id="0"/>
    </w:p>
    <w:p w14:paraId="52E6DDA5" w14:textId="36232805" w:rsidR="006C7095" w:rsidRDefault="001D129F">
      <w:pPr>
        <w:pStyle w:val="TOC1"/>
        <w:tabs>
          <w:tab w:val="right" w:leader="dot" w:pos="9736"/>
        </w:tabs>
        <w:rPr>
          <w:rFonts w:asciiTheme="minorHAnsi" w:eastAsiaTheme="minorEastAsia" w:hAnsiTheme="minorHAnsi" w:cstheme="minorBidi"/>
          <w:noProof/>
          <w:lang w:eastAsia="en-AU"/>
        </w:rPr>
      </w:pPr>
      <w:r>
        <w:fldChar w:fldCharType="begin"/>
      </w:r>
      <w:r w:rsidR="000A3E22">
        <w:instrText xml:space="preserve"> TOC \o "1-3" \h \z \u </w:instrText>
      </w:r>
      <w:r>
        <w:fldChar w:fldCharType="separate"/>
      </w:r>
      <w:hyperlink w:anchor="_Toc54850102" w:history="1">
        <w:r w:rsidR="006C7095" w:rsidRPr="00EE042D">
          <w:rPr>
            <w:rStyle w:val="Hyperlink"/>
            <w:noProof/>
          </w:rPr>
          <w:t>Contents</w:t>
        </w:r>
        <w:r w:rsidR="006C7095">
          <w:rPr>
            <w:noProof/>
            <w:webHidden/>
          </w:rPr>
          <w:tab/>
        </w:r>
        <w:r w:rsidR="006C7095">
          <w:rPr>
            <w:noProof/>
            <w:webHidden/>
          </w:rPr>
          <w:fldChar w:fldCharType="begin"/>
        </w:r>
        <w:r w:rsidR="006C7095">
          <w:rPr>
            <w:noProof/>
            <w:webHidden/>
          </w:rPr>
          <w:instrText xml:space="preserve"> PAGEREF _Toc54850102 \h </w:instrText>
        </w:r>
        <w:r w:rsidR="006C7095">
          <w:rPr>
            <w:noProof/>
            <w:webHidden/>
          </w:rPr>
        </w:r>
        <w:r w:rsidR="006C7095">
          <w:rPr>
            <w:noProof/>
            <w:webHidden/>
          </w:rPr>
          <w:fldChar w:fldCharType="separate"/>
        </w:r>
        <w:r w:rsidR="006C7095">
          <w:rPr>
            <w:noProof/>
            <w:webHidden/>
          </w:rPr>
          <w:t>1</w:t>
        </w:r>
        <w:r w:rsidR="006C7095">
          <w:rPr>
            <w:noProof/>
            <w:webHidden/>
          </w:rPr>
          <w:fldChar w:fldCharType="end"/>
        </w:r>
      </w:hyperlink>
    </w:p>
    <w:p w14:paraId="7DD1D2BD" w14:textId="14024FDE" w:rsidR="006C7095" w:rsidRDefault="00F53E26">
      <w:pPr>
        <w:pStyle w:val="TOC1"/>
        <w:tabs>
          <w:tab w:val="right" w:leader="dot" w:pos="9736"/>
        </w:tabs>
        <w:rPr>
          <w:rFonts w:asciiTheme="minorHAnsi" w:eastAsiaTheme="minorEastAsia" w:hAnsiTheme="minorHAnsi" w:cstheme="minorBidi"/>
          <w:noProof/>
          <w:lang w:eastAsia="en-AU"/>
        </w:rPr>
      </w:pPr>
      <w:hyperlink w:anchor="_Toc54850103" w:history="1">
        <w:r w:rsidR="006C7095" w:rsidRPr="00EE042D">
          <w:rPr>
            <w:rStyle w:val="Hyperlink"/>
            <w:rFonts w:cstheme="minorHAnsi"/>
            <w:noProof/>
          </w:rPr>
          <w:t>Terminology</w:t>
        </w:r>
        <w:r w:rsidR="006C7095">
          <w:rPr>
            <w:noProof/>
            <w:webHidden/>
          </w:rPr>
          <w:tab/>
        </w:r>
        <w:r w:rsidR="006C7095">
          <w:rPr>
            <w:noProof/>
            <w:webHidden/>
          </w:rPr>
          <w:fldChar w:fldCharType="begin"/>
        </w:r>
        <w:r w:rsidR="006C7095">
          <w:rPr>
            <w:noProof/>
            <w:webHidden/>
          </w:rPr>
          <w:instrText xml:space="preserve"> PAGEREF _Toc54850103 \h </w:instrText>
        </w:r>
        <w:r w:rsidR="006C7095">
          <w:rPr>
            <w:noProof/>
            <w:webHidden/>
          </w:rPr>
        </w:r>
        <w:r w:rsidR="006C7095">
          <w:rPr>
            <w:noProof/>
            <w:webHidden/>
          </w:rPr>
          <w:fldChar w:fldCharType="separate"/>
        </w:r>
        <w:r w:rsidR="006C7095">
          <w:rPr>
            <w:noProof/>
            <w:webHidden/>
          </w:rPr>
          <w:t>1</w:t>
        </w:r>
        <w:r w:rsidR="006C7095">
          <w:rPr>
            <w:noProof/>
            <w:webHidden/>
          </w:rPr>
          <w:fldChar w:fldCharType="end"/>
        </w:r>
      </w:hyperlink>
    </w:p>
    <w:p w14:paraId="758E87A8" w14:textId="74DF4E40" w:rsidR="006C7095" w:rsidRDefault="00F53E26">
      <w:pPr>
        <w:pStyle w:val="TOC2"/>
        <w:tabs>
          <w:tab w:val="right" w:leader="dot" w:pos="9736"/>
        </w:tabs>
        <w:rPr>
          <w:rFonts w:asciiTheme="minorHAnsi" w:eastAsiaTheme="minorEastAsia" w:hAnsiTheme="minorHAnsi" w:cstheme="minorBidi"/>
          <w:noProof/>
          <w:lang w:eastAsia="en-AU"/>
        </w:rPr>
      </w:pPr>
      <w:hyperlink w:anchor="_Toc54850104" w:history="1">
        <w:r w:rsidR="006C7095" w:rsidRPr="00EE042D">
          <w:rPr>
            <w:rStyle w:val="Hyperlink"/>
            <w:rFonts w:cs="Calibri"/>
            <w:noProof/>
          </w:rPr>
          <w:t>Background</w:t>
        </w:r>
        <w:r w:rsidR="006C7095">
          <w:rPr>
            <w:noProof/>
            <w:webHidden/>
          </w:rPr>
          <w:tab/>
        </w:r>
        <w:r w:rsidR="006C7095">
          <w:rPr>
            <w:noProof/>
            <w:webHidden/>
          </w:rPr>
          <w:fldChar w:fldCharType="begin"/>
        </w:r>
        <w:r w:rsidR="006C7095">
          <w:rPr>
            <w:noProof/>
            <w:webHidden/>
          </w:rPr>
          <w:instrText xml:space="preserve"> PAGEREF _Toc54850104 \h </w:instrText>
        </w:r>
        <w:r w:rsidR="006C7095">
          <w:rPr>
            <w:noProof/>
            <w:webHidden/>
          </w:rPr>
        </w:r>
        <w:r w:rsidR="006C7095">
          <w:rPr>
            <w:noProof/>
            <w:webHidden/>
          </w:rPr>
          <w:fldChar w:fldCharType="separate"/>
        </w:r>
        <w:r w:rsidR="006C7095">
          <w:rPr>
            <w:noProof/>
            <w:webHidden/>
          </w:rPr>
          <w:t>2</w:t>
        </w:r>
        <w:r w:rsidR="006C7095">
          <w:rPr>
            <w:noProof/>
            <w:webHidden/>
          </w:rPr>
          <w:fldChar w:fldCharType="end"/>
        </w:r>
      </w:hyperlink>
    </w:p>
    <w:p w14:paraId="77F7208E" w14:textId="5E9CD4D9" w:rsidR="006C7095" w:rsidRDefault="00F53E26">
      <w:pPr>
        <w:pStyle w:val="TOC2"/>
        <w:tabs>
          <w:tab w:val="right" w:leader="dot" w:pos="9736"/>
        </w:tabs>
        <w:rPr>
          <w:rFonts w:asciiTheme="minorHAnsi" w:eastAsiaTheme="minorEastAsia" w:hAnsiTheme="minorHAnsi" w:cstheme="minorBidi"/>
          <w:noProof/>
          <w:lang w:eastAsia="en-AU"/>
        </w:rPr>
      </w:pPr>
      <w:hyperlink w:anchor="_Toc54850105" w:history="1">
        <w:r w:rsidR="006C7095" w:rsidRPr="00EE042D">
          <w:rPr>
            <w:rStyle w:val="Hyperlink"/>
            <w:rFonts w:cs="Calibri"/>
            <w:noProof/>
          </w:rPr>
          <w:t>Establishment and purpose of the Australian Research Integrity Committee</w:t>
        </w:r>
        <w:r w:rsidR="006C7095">
          <w:rPr>
            <w:noProof/>
            <w:webHidden/>
          </w:rPr>
          <w:tab/>
        </w:r>
        <w:r w:rsidR="006C7095">
          <w:rPr>
            <w:noProof/>
            <w:webHidden/>
          </w:rPr>
          <w:fldChar w:fldCharType="begin"/>
        </w:r>
        <w:r w:rsidR="006C7095">
          <w:rPr>
            <w:noProof/>
            <w:webHidden/>
          </w:rPr>
          <w:instrText xml:space="preserve"> PAGEREF _Toc54850105 \h </w:instrText>
        </w:r>
        <w:r w:rsidR="006C7095">
          <w:rPr>
            <w:noProof/>
            <w:webHidden/>
          </w:rPr>
        </w:r>
        <w:r w:rsidR="006C7095">
          <w:rPr>
            <w:noProof/>
            <w:webHidden/>
          </w:rPr>
          <w:fldChar w:fldCharType="separate"/>
        </w:r>
        <w:r w:rsidR="006C7095">
          <w:rPr>
            <w:noProof/>
            <w:webHidden/>
          </w:rPr>
          <w:t>2</w:t>
        </w:r>
        <w:r w:rsidR="006C7095">
          <w:rPr>
            <w:noProof/>
            <w:webHidden/>
          </w:rPr>
          <w:fldChar w:fldCharType="end"/>
        </w:r>
      </w:hyperlink>
    </w:p>
    <w:p w14:paraId="5EA8D069" w14:textId="2F98E109" w:rsidR="006C7095" w:rsidRDefault="00F53E26">
      <w:pPr>
        <w:pStyle w:val="TOC2"/>
        <w:tabs>
          <w:tab w:val="right" w:leader="dot" w:pos="9736"/>
        </w:tabs>
        <w:rPr>
          <w:rFonts w:asciiTheme="minorHAnsi" w:eastAsiaTheme="minorEastAsia" w:hAnsiTheme="minorHAnsi" w:cstheme="minorBidi"/>
          <w:noProof/>
          <w:lang w:eastAsia="en-AU"/>
        </w:rPr>
      </w:pPr>
      <w:hyperlink w:anchor="_Toc54850106" w:history="1">
        <w:r w:rsidR="006C7095" w:rsidRPr="00EE042D">
          <w:rPr>
            <w:rStyle w:val="Hyperlink"/>
            <w:rFonts w:cs="Calibri"/>
            <w:noProof/>
          </w:rPr>
          <w:t>Responsibilities of ARIC</w:t>
        </w:r>
        <w:r w:rsidR="006C7095">
          <w:rPr>
            <w:noProof/>
            <w:webHidden/>
          </w:rPr>
          <w:tab/>
        </w:r>
        <w:r w:rsidR="006C7095">
          <w:rPr>
            <w:noProof/>
            <w:webHidden/>
          </w:rPr>
          <w:fldChar w:fldCharType="begin"/>
        </w:r>
        <w:r w:rsidR="006C7095">
          <w:rPr>
            <w:noProof/>
            <w:webHidden/>
          </w:rPr>
          <w:instrText xml:space="preserve"> PAGEREF _Toc54850106 \h </w:instrText>
        </w:r>
        <w:r w:rsidR="006C7095">
          <w:rPr>
            <w:noProof/>
            <w:webHidden/>
          </w:rPr>
        </w:r>
        <w:r w:rsidR="006C7095">
          <w:rPr>
            <w:noProof/>
            <w:webHidden/>
          </w:rPr>
          <w:fldChar w:fldCharType="separate"/>
        </w:r>
        <w:r w:rsidR="006C7095">
          <w:rPr>
            <w:noProof/>
            <w:webHidden/>
          </w:rPr>
          <w:t>3</w:t>
        </w:r>
        <w:r w:rsidR="006C7095">
          <w:rPr>
            <w:noProof/>
            <w:webHidden/>
          </w:rPr>
          <w:fldChar w:fldCharType="end"/>
        </w:r>
      </w:hyperlink>
    </w:p>
    <w:p w14:paraId="0D502A7C" w14:textId="63E4CE66" w:rsidR="006C7095" w:rsidRDefault="00F53E26">
      <w:pPr>
        <w:pStyle w:val="TOC2"/>
        <w:tabs>
          <w:tab w:val="right" w:leader="dot" w:pos="9736"/>
        </w:tabs>
        <w:rPr>
          <w:rFonts w:asciiTheme="minorHAnsi" w:eastAsiaTheme="minorEastAsia" w:hAnsiTheme="minorHAnsi" w:cstheme="minorBidi"/>
          <w:noProof/>
          <w:lang w:eastAsia="en-AU"/>
        </w:rPr>
      </w:pPr>
      <w:hyperlink w:anchor="_Toc54850107" w:history="1">
        <w:r w:rsidR="006C7095" w:rsidRPr="00EE042D">
          <w:rPr>
            <w:rStyle w:val="Hyperlink"/>
            <w:rFonts w:cs="Calibri"/>
            <w:noProof/>
          </w:rPr>
          <w:t>Secretariat and funding agency support</w:t>
        </w:r>
        <w:r w:rsidR="006C7095">
          <w:rPr>
            <w:noProof/>
            <w:webHidden/>
          </w:rPr>
          <w:tab/>
        </w:r>
        <w:r w:rsidR="006C7095">
          <w:rPr>
            <w:noProof/>
            <w:webHidden/>
          </w:rPr>
          <w:fldChar w:fldCharType="begin"/>
        </w:r>
        <w:r w:rsidR="006C7095">
          <w:rPr>
            <w:noProof/>
            <w:webHidden/>
          </w:rPr>
          <w:instrText xml:space="preserve"> PAGEREF _Toc54850107 \h </w:instrText>
        </w:r>
        <w:r w:rsidR="006C7095">
          <w:rPr>
            <w:noProof/>
            <w:webHidden/>
          </w:rPr>
        </w:r>
        <w:r w:rsidR="006C7095">
          <w:rPr>
            <w:noProof/>
            <w:webHidden/>
          </w:rPr>
          <w:fldChar w:fldCharType="separate"/>
        </w:r>
        <w:r w:rsidR="006C7095">
          <w:rPr>
            <w:noProof/>
            <w:webHidden/>
          </w:rPr>
          <w:t>3</w:t>
        </w:r>
        <w:r w:rsidR="006C7095">
          <w:rPr>
            <w:noProof/>
            <w:webHidden/>
          </w:rPr>
          <w:fldChar w:fldCharType="end"/>
        </w:r>
      </w:hyperlink>
    </w:p>
    <w:p w14:paraId="577A7E75" w14:textId="042C30BB" w:rsidR="006C7095" w:rsidRDefault="00F53E26">
      <w:pPr>
        <w:pStyle w:val="TOC2"/>
        <w:tabs>
          <w:tab w:val="right" w:leader="dot" w:pos="9736"/>
        </w:tabs>
        <w:rPr>
          <w:rFonts w:asciiTheme="minorHAnsi" w:eastAsiaTheme="minorEastAsia" w:hAnsiTheme="minorHAnsi" w:cstheme="minorBidi"/>
          <w:noProof/>
          <w:lang w:eastAsia="en-AU"/>
        </w:rPr>
      </w:pPr>
      <w:hyperlink w:anchor="_Toc54850108" w:history="1">
        <w:r w:rsidR="006C7095" w:rsidRPr="00EE042D">
          <w:rPr>
            <w:rStyle w:val="Hyperlink"/>
            <w:rFonts w:cs="Calibri"/>
            <w:noProof/>
          </w:rPr>
          <w:t>Committee procedures</w:t>
        </w:r>
        <w:r w:rsidR="006C7095">
          <w:rPr>
            <w:noProof/>
            <w:webHidden/>
          </w:rPr>
          <w:tab/>
        </w:r>
        <w:r w:rsidR="006C7095">
          <w:rPr>
            <w:noProof/>
            <w:webHidden/>
          </w:rPr>
          <w:fldChar w:fldCharType="begin"/>
        </w:r>
        <w:r w:rsidR="006C7095">
          <w:rPr>
            <w:noProof/>
            <w:webHidden/>
          </w:rPr>
          <w:instrText xml:space="preserve"> PAGEREF _Toc54850108 \h </w:instrText>
        </w:r>
        <w:r w:rsidR="006C7095">
          <w:rPr>
            <w:noProof/>
            <w:webHidden/>
          </w:rPr>
        </w:r>
        <w:r w:rsidR="006C7095">
          <w:rPr>
            <w:noProof/>
            <w:webHidden/>
          </w:rPr>
          <w:fldChar w:fldCharType="separate"/>
        </w:r>
        <w:r w:rsidR="006C7095">
          <w:rPr>
            <w:noProof/>
            <w:webHidden/>
          </w:rPr>
          <w:t>3</w:t>
        </w:r>
        <w:r w:rsidR="006C7095">
          <w:rPr>
            <w:noProof/>
            <w:webHidden/>
          </w:rPr>
          <w:fldChar w:fldCharType="end"/>
        </w:r>
      </w:hyperlink>
    </w:p>
    <w:p w14:paraId="11523D2D" w14:textId="222B73DD" w:rsidR="006C7095" w:rsidRDefault="00F53E26">
      <w:pPr>
        <w:pStyle w:val="TOC1"/>
        <w:tabs>
          <w:tab w:val="right" w:leader="dot" w:pos="9736"/>
        </w:tabs>
        <w:rPr>
          <w:rFonts w:asciiTheme="minorHAnsi" w:eastAsiaTheme="minorEastAsia" w:hAnsiTheme="minorHAnsi" w:cstheme="minorBidi"/>
          <w:noProof/>
          <w:lang w:eastAsia="en-AU"/>
        </w:rPr>
      </w:pPr>
      <w:hyperlink w:anchor="_Toc54850109" w:history="1">
        <w:r w:rsidR="006C7095" w:rsidRPr="00EE042D">
          <w:rPr>
            <w:rStyle w:val="Hyperlink"/>
            <w:rFonts w:cs="Calibri"/>
            <w:noProof/>
          </w:rPr>
          <w:t>Section 1: Scope of an ARIC review, outcomes and interaction with institutional legal frameworks</w:t>
        </w:r>
        <w:r w:rsidR="006C7095">
          <w:rPr>
            <w:noProof/>
            <w:webHidden/>
          </w:rPr>
          <w:tab/>
        </w:r>
        <w:r w:rsidR="006C7095">
          <w:rPr>
            <w:noProof/>
            <w:webHidden/>
          </w:rPr>
          <w:fldChar w:fldCharType="begin"/>
        </w:r>
        <w:r w:rsidR="006C7095">
          <w:rPr>
            <w:noProof/>
            <w:webHidden/>
          </w:rPr>
          <w:instrText xml:space="preserve"> PAGEREF _Toc54850109 \h </w:instrText>
        </w:r>
        <w:r w:rsidR="006C7095">
          <w:rPr>
            <w:noProof/>
            <w:webHidden/>
          </w:rPr>
        </w:r>
        <w:r w:rsidR="006C7095">
          <w:rPr>
            <w:noProof/>
            <w:webHidden/>
          </w:rPr>
          <w:fldChar w:fldCharType="separate"/>
        </w:r>
        <w:r w:rsidR="006C7095">
          <w:rPr>
            <w:noProof/>
            <w:webHidden/>
          </w:rPr>
          <w:t>4</w:t>
        </w:r>
        <w:r w:rsidR="006C7095">
          <w:rPr>
            <w:noProof/>
            <w:webHidden/>
          </w:rPr>
          <w:fldChar w:fldCharType="end"/>
        </w:r>
      </w:hyperlink>
    </w:p>
    <w:p w14:paraId="1B01A5B1" w14:textId="7E437C9B" w:rsidR="006C7095" w:rsidRDefault="00F53E26">
      <w:pPr>
        <w:pStyle w:val="TOC2"/>
        <w:tabs>
          <w:tab w:val="right" w:leader="dot" w:pos="9736"/>
        </w:tabs>
        <w:rPr>
          <w:rFonts w:asciiTheme="minorHAnsi" w:eastAsiaTheme="minorEastAsia" w:hAnsiTheme="minorHAnsi" w:cstheme="minorBidi"/>
          <w:noProof/>
          <w:lang w:eastAsia="en-AU"/>
        </w:rPr>
      </w:pPr>
      <w:hyperlink w:anchor="_Toc54850110" w:history="1">
        <w:r w:rsidR="006C7095" w:rsidRPr="00EE042D">
          <w:rPr>
            <w:rStyle w:val="Hyperlink"/>
            <w:rFonts w:cs="Calibri"/>
            <w:noProof/>
          </w:rPr>
          <w:t>Matters outside the scope of an ARIC review</w:t>
        </w:r>
        <w:r w:rsidR="006C7095">
          <w:rPr>
            <w:noProof/>
            <w:webHidden/>
          </w:rPr>
          <w:tab/>
        </w:r>
        <w:r w:rsidR="006C7095">
          <w:rPr>
            <w:noProof/>
            <w:webHidden/>
          </w:rPr>
          <w:fldChar w:fldCharType="begin"/>
        </w:r>
        <w:r w:rsidR="006C7095">
          <w:rPr>
            <w:noProof/>
            <w:webHidden/>
          </w:rPr>
          <w:instrText xml:space="preserve"> PAGEREF _Toc54850110 \h </w:instrText>
        </w:r>
        <w:r w:rsidR="006C7095">
          <w:rPr>
            <w:noProof/>
            <w:webHidden/>
          </w:rPr>
        </w:r>
        <w:r w:rsidR="006C7095">
          <w:rPr>
            <w:noProof/>
            <w:webHidden/>
          </w:rPr>
          <w:fldChar w:fldCharType="separate"/>
        </w:r>
        <w:r w:rsidR="006C7095">
          <w:rPr>
            <w:noProof/>
            <w:webHidden/>
          </w:rPr>
          <w:t>4</w:t>
        </w:r>
        <w:r w:rsidR="006C7095">
          <w:rPr>
            <w:noProof/>
            <w:webHidden/>
          </w:rPr>
          <w:fldChar w:fldCharType="end"/>
        </w:r>
      </w:hyperlink>
    </w:p>
    <w:p w14:paraId="293E2F93" w14:textId="3EE8B3B4" w:rsidR="006C7095" w:rsidRDefault="00F53E26">
      <w:pPr>
        <w:pStyle w:val="TOC2"/>
        <w:tabs>
          <w:tab w:val="right" w:leader="dot" w:pos="9736"/>
        </w:tabs>
        <w:rPr>
          <w:rFonts w:asciiTheme="minorHAnsi" w:eastAsiaTheme="minorEastAsia" w:hAnsiTheme="minorHAnsi" w:cstheme="minorBidi"/>
          <w:noProof/>
          <w:lang w:eastAsia="en-AU"/>
        </w:rPr>
      </w:pPr>
      <w:hyperlink w:anchor="_Toc54850111" w:history="1">
        <w:r w:rsidR="006C7095" w:rsidRPr="00EE042D">
          <w:rPr>
            <w:rStyle w:val="Hyperlink"/>
            <w:rFonts w:cs="Calibri"/>
            <w:noProof/>
          </w:rPr>
          <w:t>Possible outcomes of an ARIC review</w:t>
        </w:r>
        <w:r w:rsidR="006C7095">
          <w:rPr>
            <w:noProof/>
            <w:webHidden/>
          </w:rPr>
          <w:tab/>
        </w:r>
        <w:r w:rsidR="006C7095">
          <w:rPr>
            <w:noProof/>
            <w:webHidden/>
          </w:rPr>
          <w:fldChar w:fldCharType="begin"/>
        </w:r>
        <w:r w:rsidR="006C7095">
          <w:rPr>
            <w:noProof/>
            <w:webHidden/>
          </w:rPr>
          <w:instrText xml:space="preserve"> PAGEREF _Toc54850111 \h </w:instrText>
        </w:r>
        <w:r w:rsidR="006C7095">
          <w:rPr>
            <w:noProof/>
            <w:webHidden/>
          </w:rPr>
        </w:r>
        <w:r w:rsidR="006C7095">
          <w:rPr>
            <w:noProof/>
            <w:webHidden/>
          </w:rPr>
          <w:fldChar w:fldCharType="separate"/>
        </w:r>
        <w:r w:rsidR="006C7095">
          <w:rPr>
            <w:noProof/>
            <w:webHidden/>
          </w:rPr>
          <w:t>4</w:t>
        </w:r>
        <w:r w:rsidR="006C7095">
          <w:rPr>
            <w:noProof/>
            <w:webHidden/>
          </w:rPr>
          <w:fldChar w:fldCharType="end"/>
        </w:r>
      </w:hyperlink>
    </w:p>
    <w:p w14:paraId="51B3DDB0" w14:textId="77043876" w:rsidR="006C7095" w:rsidRDefault="00F53E26">
      <w:pPr>
        <w:pStyle w:val="TOC2"/>
        <w:tabs>
          <w:tab w:val="right" w:leader="dot" w:pos="9736"/>
        </w:tabs>
        <w:rPr>
          <w:rFonts w:asciiTheme="minorHAnsi" w:eastAsiaTheme="minorEastAsia" w:hAnsiTheme="minorHAnsi" w:cstheme="minorBidi"/>
          <w:noProof/>
          <w:lang w:eastAsia="en-AU"/>
        </w:rPr>
      </w:pPr>
      <w:hyperlink w:anchor="_Toc54850112" w:history="1">
        <w:r w:rsidR="006C7095" w:rsidRPr="00EE042D">
          <w:rPr>
            <w:rStyle w:val="Hyperlink"/>
            <w:rFonts w:cs="Calibri"/>
            <w:noProof/>
          </w:rPr>
          <w:t>Use of the Investigation Guide (for the Code)</w:t>
        </w:r>
        <w:r w:rsidR="006C7095">
          <w:rPr>
            <w:noProof/>
            <w:webHidden/>
          </w:rPr>
          <w:tab/>
        </w:r>
        <w:r w:rsidR="006C7095">
          <w:rPr>
            <w:noProof/>
            <w:webHidden/>
          </w:rPr>
          <w:fldChar w:fldCharType="begin"/>
        </w:r>
        <w:r w:rsidR="006C7095">
          <w:rPr>
            <w:noProof/>
            <w:webHidden/>
          </w:rPr>
          <w:instrText xml:space="preserve"> PAGEREF _Toc54850112 \h </w:instrText>
        </w:r>
        <w:r w:rsidR="006C7095">
          <w:rPr>
            <w:noProof/>
            <w:webHidden/>
          </w:rPr>
        </w:r>
        <w:r w:rsidR="006C7095">
          <w:rPr>
            <w:noProof/>
            <w:webHidden/>
          </w:rPr>
          <w:fldChar w:fldCharType="separate"/>
        </w:r>
        <w:r w:rsidR="006C7095">
          <w:rPr>
            <w:noProof/>
            <w:webHidden/>
          </w:rPr>
          <w:t>5</w:t>
        </w:r>
        <w:r w:rsidR="006C7095">
          <w:rPr>
            <w:noProof/>
            <w:webHidden/>
          </w:rPr>
          <w:fldChar w:fldCharType="end"/>
        </w:r>
      </w:hyperlink>
    </w:p>
    <w:p w14:paraId="7C4C871E" w14:textId="29E1E41B" w:rsidR="006C7095" w:rsidRDefault="00F53E26">
      <w:pPr>
        <w:pStyle w:val="TOC2"/>
        <w:tabs>
          <w:tab w:val="right" w:leader="dot" w:pos="9736"/>
        </w:tabs>
        <w:rPr>
          <w:rFonts w:asciiTheme="minorHAnsi" w:eastAsiaTheme="minorEastAsia" w:hAnsiTheme="minorHAnsi" w:cstheme="minorBidi"/>
          <w:noProof/>
          <w:lang w:eastAsia="en-AU"/>
        </w:rPr>
      </w:pPr>
      <w:hyperlink w:anchor="_Toc54850113" w:history="1">
        <w:r w:rsidR="006C7095" w:rsidRPr="00EE042D">
          <w:rPr>
            <w:rStyle w:val="Hyperlink"/>
            <w:rFonts w:cs="Calibri"/>
            <w:noProof/>
          </w:rPr>
          <w:t>Relationship to enterprise agreements</w:t>
        </w:r>
        <w:r w:rsidR="006C7095">
          <w:rPr>
            <w:noProof/>
            <w:webHidden/>
          </w:rPr>
          <w:tab/>
        </w:r>
        <w:r w:rsidR="006C7095">
          <w:rPr>
            <w:noProof/>
            <w:webHidden/>
          </w:rPr>
          <w:fldChar w:fldCharType="begin"/>
        </w:r>
        <w:r w:rsidR="006C7095">
          <w:rPr>
            <w:noProof/>
            <w:webHidden/>
          </w:rPr>
          <w:instrText xml:space="preserve"> PAGEREF _Toc54850113 \h </w:instrText>
        </w:r>
        <w:r w:rsidR="006C7095">
          <w:rPr>
            <w:noProof/>
            <w:webHidden/>
          </w:rPr>
        </w:r>
        <w:r w:rsidR="006C7095">
          <w:rPr>
            <w:noProof/>
            <w:webHidden/>
          </w:rPr>
          <w:fldChar w:fldCharType="separate"/>
        </w:r>
        <w:r w:rsidR="006C7095">
          <w:rPr>
            <w:noProof/>
            <w:webHidden/>
          </w:rPr>
          <w:t>6</w:t>
        </w:r>
        <w:r w:rsidR="006C7095">
          <w:rPr>
            <w:noProof/>
            <w:webHidden/>
          </w:rPr>
          <w:fldChar w:fldCharType="end"/>
        </w:r>
      </w:hyperlink>
    </w:p>
    <w:p w14:paraId="1EE89677" w14:textId="6595299C" w:rsidR="006C7095" w:rsidRDefault="00F53E26">
      <w:pPr>
        <w:pStyle w:val="TOC1"/>
        <w:tabs>
          <w:tab w:val="right" w:leader="dot" w:pos="9736"/>
        </w:tabs>
        <w:rPr>
          <w:rFonts w:asciiTheme="minorHAnsi" w:eastAsiaTheme="minorEastAsia" w:hAnsiTheme="minorHAnsi" w:cstheme="minorBidi"/>
          <w:noProof/>
          <w:lang w:eastAsia="en-AU"/>
        </w:rPr>
      </w:pPr>
      <w:hyperlink w:anchor="_Toc54850114" w:history="1">
        <w:r w:rsidR="006C7095" w:rsidRPr="00EE042D">
          <w:rPr>
            <w:rStyle w:val="Hyperlink"/>
            <w:rFonts w:cs="Calibri"/>
            <w:noProof/>
          </w:rPr>
          <w:t>Section 2: Requests for ARIC Review</w:t>
        </w:r>
        <w:r w:rsidR="006C7095">
          <w:rPr>
            <w:noProof/>
            <w:webHidden/>
          </w:rPr>
          <w:tab/>
        </w:r>
        <w:r w:rsidR="006C7095">
          <w:rPr>
            <w:noProof/>
            <w:webHidden/>
          </w:rPr>
          <w:fldChar w:fldCharType="begin"/>
        </w:r>
        <w:r w:rsidR="006C7095">
          <w:rPr>
            <w:noProof/>
            <w:webHidden/>
          </w:rPr>
          <w:instrText xml:space="preserve"> PAGEREF _Toc54850114 \h </w:instrText>
        </w:r>
        <w:r w:rsidR="006C7095">
          <w:rPr>
            <w:noProof/>
            <w:webHidden/>
          </w:rPr>
        </w:r>
        <w:r w:rsidR="006C7095">
          <w:rPr>
            <w:noProof/>
            <w:webHidden/>
          </w:rPr>
          <w:fldChar w:fldCharType="separate"/>
        </w:r>
        <w:r w:rsidR="006C7095">
          <w:rPr>
            <w:noProof/>
            <w:webHidden/>
          </w:rPr>
          <w:t>6</w:t>
        </w:r>
        <w:r w:rsidR="006C7095">
          <w:rPr>
            <w:noProof/>
            <w:webHidden/>
          </w:rPr>
          <w:fldChar w:fldCharType="end"/>
        </w:r>
      </w:hyperlink>
    </w:p>
    <w:p w14:paraId="5BE123C7" w14:textId="46ADDF89" w:rsidR="006C7095" w:rsidRDefault="00F53E26">
      <w:pPr>
        <w:pStyle w:val="TOC2"/>
        <w:tabs>
          <w:tab w:val="right" w:leader="dot" w:pos="9736"/>
        </w:tabs>
        <w:rPr>
          <w:rFonts w:asciiTheme="minorHAnsi" w:eastAsiaTheme="minorEastAsia" w:hAnsiTheme="minorHAnsi" w:cstheme="minorBidi"/>
          <w:noProof/>
          <w:lang w:eastAsia="en-AU"/>
        </w:rPr>
      </w:pPr>
      <w:hyperlink w:anchor="_Toc54850115" w:history="1">
        <w:r w:rsidR="006C7095" w:rsidRPr="00EE042D">
          <w:rPr>
            <w:rStyle w:val="Hyperlink"/>
            <w:rFonts w:cs="Calibri"/>
            <w:noProof/>
          </w:rPr>
          <w:t>What can ARIC review</w:t>
        </w:r>
        <w:r w:rsidR="006C7095">
          <w:rPr>
            <w:noProof/>
            <w:webHidden/>
          </w:rPr>
          <w:tab/>
        </w:r>
        <w:r w:rsidR="006C7095">
          <w:rPr>
            <w:noProof/>
            <w:webHidden/>
          </w:rPr>
          <w:fldChar w:fldCharType="begin"/>
        </w:r>
        <w:r w:rsidR="006C7095">
          <w:rPr>
            <w:noProof/>
            <w:webHidden/>
          </w:rPr>
          <w:instrText xml:space="preserve"> PAGEREF _Toc54850115 \h </w:instrText>
        </w:r>
        <w:r w:rsidR="006C7095">
          <w:rPr>
            <w:noProof/>
            <w:webHidden/>
          </w:rPr>
        </w:r>
        <w:r w:rsidR="006C7095">
          <w:rPr>
            <w:noProof/>
            <w:webHidden/>
          </w:rPr>
          <w:fldChar w:fldCharType="separate"/>
        </w:r>
        <w:r w:rsidR="006C7095">
          <w:rPr>
            <w:noProof/>
            <w:webHidden/>
          </w:rPr>
          <w:t>6</w:t>
        </w:r>
        <w:r w:rsidR="006C7095">
          <w:rPr>
            <w:noProof/>
            <w:webHidden/>
          </w:rPr>
          <w:fldChar w:fldCharType="end"/>
        </w:r>
      </w:hyperlink>
    </w:p>
    <w:p w14:paraId="67266D3F" w14:textId="68BFA6FC" w:rsidR="006C7095" w:rsidRDefault="00F53E26">
      <w:pPr>
        <w:pStyle w:val="TOC2"/>
        <w:tabs>
          <w:tab w:val="right" w:leader="dot" w:pos="9736"/>
        </w:tabs>
        <w:rPr>
          <w:rFonts w:asciiTheme="minorHAnsi" w:eastAsiaTheme="minorEastAsia" w:hAnsiTheme="minorHAnsi" w:cstheme="minorBidi"/>
          <w:noProof/>
          <w:lang w:eastAsia="en-AU"/>
        </w:rPr>
      </w:pPr>
      <w:hyperlink w:anchor="_Toc54850116" w:history="1">
        <w:r w:rsidR="006C7095" w:rsidRPr="00EE042D">
          <w:rPr>
            <w:rStyle w:val="Hyperlink"/>
            <w:rFonts w:cs="Calibri"/>
            <w:noProof/>
          </w:rPr>
          <w:t>Grounds for review</w:t>
        </w:r>
        <w:r w:rsidR="006C7095">
          <w:rPr>
            <w:noProof/>
            <w:webHidden/>
          </w:rPr>
          <w:tab/>
        </w:r>
        <w:r w:rsidR="006C7095">
          <w:rPr>
            <w:noProof/>
            <w:webHidden/>
          </w:rPr>
          <w:fldChar w:fldCharType="begin"/>
        </w:r>
        <w:r w:rsidR="006C7095">
          <w:rPr>
            <w:noProof/>
            <w:webHidden/>
          </w:rPr>
          <w:instrText xml:space="preserve"> PAGEREF _Toc54850116 \h </w:instrText>
        </w:r>
        <w:r w:rsidR="006C7095">
          <w:rPr>
            <w:noProof/>
            <w:webHidden/>
          </w:rPr>
        </w:r>
        <w:r w:rsidR="006C7095">
          <w:rPr>
            <w:noProof/>
            <w:webHidden/>
          </w:rPr>
          <w:fldChar w:fldCharType="separate"/>
        </w:r>
        <w:r w:rsidR="006C7095">
          <w:rPr>
            <w:noProof/>
            <w:webHidden/>
          </w:rPr>
          <w:t>7</w:t>
        </w:r>
        <w:r w:rsidR="006C7095">
          <w:rPr>
            <w:noProof/>
            <w:webHidden/>
          </w:rPr>
          <w:fldChar w:fldCharType="end"/>
        </w:r>
      </w:hyperlink>
    </w:p>
    <w:p w14:paraId="4839EF90" w14:textId="7A02706B" w:rsidR="006C7095" w:rsidRDefault="00F53E26">
      <w:pPr>
        <w:pStyle w:val="TOC2"/>
        <w:tabs>
          <w:tab w:val="right" w:leader="dot" w:pos="9736"/>
        </w:tabs>
        <w:rPr>
          <w:rFonts w:asciiTheme="minorHAnsi" w:eastAsiaTheme="minorEastAsia" w:hAnsiTheme="minorHAnsi" w:cstheme="minorBidi"/>
          <w:noProof/>
          <w:lang w:eastAsia="en-AU"/>
        </w:rPr>
      </w:pPr>
      <w:hyperlink w:anchor="_Toc54850117" w:history="1">
        <w:r w:rsidR="006C7095" w:rsidRPr="00EE042D">
          <w:rPr>
            <w:rStyle w:val="Hyperlink"/>
            <w:rFonts w:cs="Calibri"/>
            <w:noProof/>
          </w:rPr>
          <w:t>How to seek a review</w:t>
        </w:r>
        <w:r w:rsidR="006C7095">
          <w:rPr>
            <w:noProof/>
            <w:webHidden/>
          </w:rPr>
          <w:tab/>
        </w:r>
        <w:r w:rsidR="006C7095">
          <w:rPr>
            <w:noProof/>
            <w:webHidden/>
          </w:rPr>
          <w:fldChar w:fldCharType="begin"/>
        </w:r>
        <w:r w:rsidR="006C7095">
          <w:rPr>
            <w:noProof/>
            <w:webHidden/>
          </w:rPr>
          <w:instrText xml:space="preserve"> PAGEREF _Toc54850117 \h </w:instrText>
        </w:r>
        <w:r w:rsidR="006C7095">
          <w:rPr>
            <w:noProof/>
            <w:webHidden/>
          </w:rPr>
        </w:r>
        <w:r w:rsidR="006C7095">
          <w:rPr>
            <w:noProof/>
            <w:webHidden/>
          </w:rPr>
          <w:fldChar w:fldCharType="separate"/>
        </w:r>
        <w:r w:rsidR="006C7095">
          <w:rPr>
            <w:noProof/>
            <w:webHidden/>
          </w:rPr>
          <w:t>7</w:t>
        </w:r>
        <w:r w:rsidR="006C7095">
          <w:rPr>
            <w:noProof/>
            <w:webHidden/>
          </w:rPr>
          <w:fldChar w:fldCharType="end"/>
        </w:r>
      </w:hyperlink>
    </w:p>
    <w:p w14:paraId="71A853CE" w14:textId="58C4D2DE" w:rsidR="006C7095" w:rsidRDefault="00F53E26">
      <w:pPr>
        <w:pStyle w:val="TOC2"/>
        <w:tabs>
          <w:tab w:val="right" w:leader="dot" w:pos="9736"/>
        </w:tabs>
        <w:rPr>
          <w:rFonts w:asciiTheme="minorHAnsi" w:eastAsiaTheme="minorEastAsia" w:hAnsiTheme="minorHAnsi" w:cstheme="minorBidi"/>
          <w:noProof/>
          <w:lang w:eastAsia="en-AU"/>
        </w:rPr>
      </w:pPr>
      <w:hyperlink w:anchor="_Toc54850118" w:history="1">
        <w:r w:rsidR="006C7095" w:rsidRPr="00EE042D">
          <w:rPr>
            <w:rStyle w:val="Hyperlink"/>
            <w:rFonts w:cs="Calibri"/>
            <w:noProof/>
          </w:rPr>
          <w:t>Referral mechanisms</w:t>
        </w:r>
        <w:r w:rsidR="006C7095">
          <w:rPr>
            <w:noProof/>
            <w:webHidden/>
          </w:rPr>
          <w:tab/>
        </w:r>
        <w:r w:rsidR="006C7095">
          <w:rPr>
            <w:noProof/>
            <w:webHidden/>
          </w:rPr>
          <w:fldChar w:fldCharType="begin"/>
        </w:r>
        <w:r w:rsidR="006C7095">
          <w:rPr>
            <w:noProof/>
            <w:webHidden/>
          </w:rPr>
          <w:instrText xml:space="preserve"> PAGEREF _Toc54850118 \h </w:instrText>
        </w:r>
        <w:r w:rsidR="006C7095">
          <w:rPr>
            <w:noProof/>
            <w:webHidden/>
          </w:rPr>
        </w:r>
        <w:r w:rsidR="006C7095">
          <w:rPr>
            <w:noProof/>
            <w:webHidden/>
          </w:rPr>
          <w:fldChar w:fldCharType="separate"/>
        </w:r>
        <w:r w:rsidR="006C7095">
          <w:rPr>
            <w:noProof/>
            <w:webHidden/>
          </w:rPr>
          <w:t>8</w:t>
        </w:r>
        <w:r w:rsidR="006C7095">
          <w:rPr>
            <w:noProof/>
            <w:webHidden/>
          </w:rPr>
          <w:fldChar w:fldCharType="end"/>
        </w:r>
      </w:hyperlink>
    </w:p>
    <w:p w14:paraId="61A406A3" w14:textId="01EF4EB0" w:rsidR="006C7095" w:rsidRDefault="00F53E26">
      <w:pPr>
        <w:pStyle w:val="TOC2"/>
        <w:tabs>
          <w:tab w:val="right" w:leader="dot" w:pos="9736"/>
        </w:tabs>
        <w:rPr>
          <w:rFonts w:asciiTheme="minorHAnsi" w:eastAsiaTheme="minorEastAsia" w:hAnsiTheme="minorHAnsi" w:cstheme="minorBidi"/>
          <w:noProof/>
          <w:lang w:eastAsia="en-AU"/>
        </w:rPr>
      </w:pPr>
      <w:hyperlink w:anchor="_Toc54850119" w:history="1">
        <w:r w:rsidR="006C7095" w:rsidRPr="00EE042D">
          <w:rPr>
            <w:rStyle w:val="Hyperlink"/>
            <w:rFonts w:cs="Calibri"/>
            <w:noProof/>
          </w:rPr>
          <w:t>Limitations</w:t>
        </w:r>
        <w:r w:rsidR="006C7095">
          <w:rPr>
            <w:noProof/>
            <w:webHidden/>
          </w:rPr>
          <w:tab/>
        </w:r>
        <w:r w:rsidR="006C7095">
          <w:rPr>
            <w:noProof/>
            <w:webHidden/>
          </w:rPr>
          <w:fldChar w:fldCharType="begin"/>
        </w:r>
        <w:r w:rsidR="006C7095">
          <w:rPr>
            <w:noProof/>
            <w:webHidden/>
          </w:rPr>
          <w:instrText xml:space="preserve"> PAGEREF _Toc54850119 \h </w:instrText>
        </w:r>
        <w:r w:rsidR="006C7095">
          <w:rPr>
            <w:noProof/>
            <w:webHidden/>
          </w:rPr>
        </w:r>
        <w:r w:rsidR="006C7095">
          <w:rPr>
            <w:noProof/>
            <w:webHidden/>
          </w:rPr>
          <w:fldChar w:fldCharType="separate"/>
        </w:r>
        <w:r w:rsidR="006C7095">
          <w:rPr>
            <w:noProof/>
            <w:webHidden/>
          </w:rPr>
          <w:t>8</w:t>
        </w:r>
        <w:r w:rsidR="006C7095">
          <w:rPr>
            <w:noProof/>
            <w:webHidden/>
          </w:rPr>
          <w:fldChar w:fldCharType="end"/>
        </w:r>
      </w:hyperlink>
    </w:p>
    <w:p w14:paraId="6C9F7E58" w14:textId="31B851B0" w:rsidR="006C7095" w:rsidRDefault="00F53E26">
      <w:pPr>
        <w:pStyle w:val="TOC2"/>
        <w:tabs>
          <w:tab w:val="right" w:leader="dot" w:pos="9736"/>
        </w:tabs>
        <w:rPr>
          <w:rFonts w:asciiTheme="minorHAnsi" w:eastAsiaTheme="minorEastAsia" w:hAnsiTheme="minorHAnsi" w:cstheme="minorBidi"/>
          <w:noProof/>
          <w:lang w:eastAsia="en-AU"/>
        </w:rPr>
      </w:pPr>
      <w:hyperlink w:anchor="_Toc54850120" w:history="1">
        <w:r w:rsidR="006C7095" w:rsidRPr="00EE042D">
          <w:rPr>
            <w:rStyle w:val="Hyperlink"/>
            <w:rFonts w:cs="Calibri"/>
            <w:noProof/>
          </w:rPr>
          <w:t>Referral of matters by the CEOs of the ARC and NHMRC</w:t>
        </w:r>
        <w:r w:rsidR="006C7095">
          <w:rPr>
            <w:noProof/>
            <w:webHidden/>
          </w:rPr>
          <w:tab/>
        </w:r>
        <w:r w:rsidR="006C7095">
          <w:rPr>
            <w:noProof/>
            <w:webHidden/>
          </w:rPr>
          <w:fldChar w:fldCharType="begin"/>
        </w:r>
        <w:r w:rsidR="006C7095">
          <w:rPr>
            <w:noProof/>
            <w:webHidden/>
          </w:rPr>
          <w:instrText xml:space="preserve"> PAGEREF _Toc54850120 \h </w:instrText>
        </w:r>
        <w:r w:rsidR="006C7095">
          <w:rPr>
            <w:noProof/>
            <w:webHidden/>
          </w:rPr>
        </w:r>
        <w:r w:rsidR="006C7095">
          <w:rPr>
            <w:noProof/>
            <w:webHidden/>
          </w:rPr>
          <w:fldChar w:fldCharType="separate"/>
        </w:r>
        <w:r w:rsidR="006C7095">
          <w:rPr>
            <w:noProof/>
            <w:webHidden/>
          </w:rPr>
          <w:t>9</w:t>
        </w:r>
        <w:r w:rsidR="006C7095">
          <w:rPr>
            <w:noProof/>
            <w:webHidden/>
          </w:rPr>
          <w:fldChar w:fldCharType="end"/>
        </w:r>
      </w:hyperlink>
    </w:p>
    <w:p w14:paraId="3DBEDBB9" w14:textId="4DF631ED" w:rsidR="006C7095" w:rsidRDefault="00F53E26">
      <w:pPr>
        <w:pStyle w:val="TOC2"/>
        <w:tabs>
          <w:tab w:val="right" w:leader="dot" w:pos="9736"/>
        </w:tabs>
        <w:rPr>
          <w:rFonts w:asciiTheme="minorHAnsi" w:eastAsiaTheme="minorEastAsia" w:hAnsiTheme="minorHAnsi" w:cstheme="minorBidi"/>
          <w:noProof/>
          <w:lang w:eastAsia="en-AU"/>
        </w:rPr>
      </w:pPr>
      <w:hyperlink w:anchor="_Toc54850121" w:history="1">
        <w:r w:rsidR="006C7095" w:rsidRPr="00EE042D">
          <w:rPr>
            <w:rStyle w:val="Hyperlink"/>
            <w:rFonts w:cs="Calibri"/>
            <w:noProof/>
          </w:rPr>
          <w:t>Commencement and timing of reviews</w:t>
        </w:r>
        <w:r w:rsidR="006C7095">
          <w:rPr>
            <w:noProof/>
            <w:webHidden/>
          </w:rPr>
          <w:tab/>
        </w:r>
        <w:r w:rsidR="006C7095">
          <w:rPr>
            <w:noProof/>
            <w:webHidden/>
          </w:rPr>
          <w:fldChar w:fldCharType="begin"/>
        </w:r>
        <w:r w:rsidR="006C7095">
          <w:rPr>
            <w:noProof/>
            <w:webHidden/>
          </w:rPr>
          <w:instrText xml:space="preserve"> PAGEREF _Toc54850121 \h </w:instrText>
        </w:r>
        <w:r w:rsidR="006C7095">
          <w:rPr>
            <w:noProof/>
            <w:webHidden/>
          </w:rPr>
        </w:r>
        <w:r w:rsidR="006C7095">
          <w:rPr>
            <w:noProof/>
            <w:webHidden/>
          </w:rPr>
          <w:fldChar w:fldCharType="separate"/>
        </w:r>
        <w:r w:rsidR="006C7095">
          <w:rPr>
            <w:noProof/>
            <w:webHidden/>
          </w:rPr>
          <w:t>9</w:t>
        </w:r>
        <w:r w:rsidR="006C7095">
          <w:rPr>
            <w:noProof/>
            <w:webHidden/>
          </w:rPr>
          <w:fldChar w:fldCharType="end"/>
        </w:r>
      </w:hyperlink>
    </w:p>
    <w:p w14:paraId="5E001575" w14:textId="4D143DCE" w:rsidR="006C7095" w:rsidRDefault="00F53E26">
      <w:pPr>
        <w:pStyle w:val="TOC1"/>
        <w:tabs>
          <w:tab w:val="right" w:leader="dot" w:pos="9736"/>
        </w:tabs>
        <w:rPr>
          <w:rFonts w:asciiTheme="minorHAnsi" w:eastAsiaTheme="minorEastAsia" w:hAnsiTheme="minorHAnsi" w:cstheme="minorBidi"/>
          <w:noProof/>
          <w:lang w:eastAsia="en-AU"/>
        </w:rPr>
      </w:pPr>
      <w:hyperlink w:anchor="_Toc54850122" w:history="1">
        <w:r w:rsidR="006C7095" w:rsidRPr="00EE042D">
          <w:rPr>
            <w:rStyle w:val="Hyperlink"/>
            <w:rFonts w:cstheme="minorHAnsi"/>
            <w:noProof/>
          </w:rPr>
          <w:t>Section 3: Other</w:t>
        </w:r>
        <w:r w:rsidR="006C7095" w:rsidRPr="00EE042D">
          <w:rPr>
            <w:rStyle w:val="Hyperlink"/>
            <w:noProof/>
          </w:rPr>
          <w:t xml:space="preserve"> matters</w:t>
        </w:r>
        <w:r w:rsidR="006C7095">
          <w:rPr>
            <w:noProof/>
            <w:webHidden/>
          </w:rPr>
          <w:tab/>
        </w:r>
        <w:r w:rsidR="006C7095">
          <w:rPr>
            <w:noProof/>
            <w:webHidden/>
          </w:rPr>
          <w:fldChar w:fldCharType="begin"/>
        </w:r>
        <w:r w:rsidR="006C7095">
          <w:rPr>
            <w:noProof/>
            <w:webHidden/>
          </w:rPr>
          <w:instrText xml:space="preserve"> PAGEREF _Toc54850122 \h </w:instrText>
        </w:r>
        <w:r w:rsidR="006C7095">
          <w:rPr>
            <w:noProof/>
            <w:webHidden/>
          </w:rPr>
        </w:r>
        <w:r w:rsidR="006C7095">
          <w:rPr>
            <w:noProof/>
            <w:webHidden/>
          </w:rPr>
          <w:fldChar w:fldCharType="separate"/>
        </w:r>
        <w:r w:rsidR="006C7095">
          <w:rPr>
            <w:noProof/>
            <w:webHidden/>
          </w:rPr>
          <w:t>9</w:t>
        </w:r>
        <w:r w:rsidR="006C7095">
          <w:rPr>
            <w:noProof/>
            <w:webHidden/>
          </w:rPr>
          <w:fldChar w:fldCharType="end"/>
        </w:r>
      </w:hyperlink>
    </w:p>
    <w:p w14:paraId="44440DC2" w14:textId="3762AF17" w:rsidR="006C7095" w:rsidRDefault="00F53E26">
      <w:pPr>
        <w:pStyle w:val="TOC2"/>
        <w:tabs>
          <w:tab w:val="right" w:leader="dot" w:pos="9736"/>
        </w:tabs>
        <w:rPr>
          <w:rFonts w:asciiTheme="minorHAnsi" w:eastAsiaTheme="minorEastAsia" w:hAnsiTheme="minorHAnsi" w:cstheme="minorBidi"/>
          <w:noProof/>
          <w:lang w:eastAsia="en-AU"/>
        </w:rPr>
      </w:pPr>
      <w:hyperlink w:anchor="_Toc54850123" w:history="1">
        <w:r w:rsidR="006C7095" w:rsidRPr="00EE042D">
          <w:rPr>
            <w:rStyle w:val="Hyperlink"/>
            <w:rFonts w:cs="Calibri"/>
            <w:noProof/>
          </w:rPr>
          <w:t>Procedural fairness and draft reports</w:t>
        </w:r>
        <w:r w:rsidR="006C7095">
          <w:rPr>
            <w:noProof/>
            <w:webHidden/>
          </w:rPr>
          <w:tab/>
        </w:r>
        <w:r w:rsidR="006C7095">
          <w:rPr>
            <w:noProof/>
            <w:webHidden/>
          </w:rPr>
          <w:fldChar w:fldCharType="begin"/>
        </w:r>
        <w:r w:rsidR="006C7095">
          <w:rPr>
            <w:noProof/>
            <w:webHidden/>
          </w:rPr>
          <w:instrText xml:space="preserve"> PAGEREF _Toc54850123 \h </w:instrText>
        </w:r>
        <w:r w:rsidR="006C7095">
          <w:rPr>
            <w:noProof/>
            <w:webHidden/>
          </w:rPr>
        </w:r>
        <w:r w:rsidR="006C7095">
          <w:rPr>
            <w:noProof/>
            <w:webHidden/>
          </w:rPr>
          <w:fldChar w:fldCharType="separate"/>
        </w:r>
        <w:r w:rsidR="006C7095">
          <w:rPr>
            <w:noProof/>
            <w:webHidden/>
          </w:rPr>
          <w:t>9</w:t>
        </w:r>
        <w:r w:rsidR="006C7095">
          <w:rPr>
            <w:noProof/>
            <w:webHidden/>
          </w:rPr>
          <w:fldChar w:fldCharType="end"/>
        </w:r>
      </w:hyperlink>
    </w:p>
    <w:p w14:paraId="01D0A6AB" w14:textId="28C73F11" w:rsidR="006C7095" w:rsidRDefault="00F53E26">
      <w:pPr>
        <w:pStyle w:val="TOC2"/>
        <w:tabs>
          <w:tab w:val="right" w:leader="dot" w:pos="9736"/>
        </w:tabs>
        <w:rPr>
          <w:rFonts w:asciiTheme="minorHAnsi" w:eastAsiaTheme="minorEastAsia" w:hAnsiTheme="minorHAnsi" w:cstheme="minorBidi"/>
          <w:noProof/>
          <w:lang w:eastAsia="en-AU"/>
        </w:rPr>
      </w:pPr>
      <w:hyperlink w:anchor="_Toc54850124" w:history="1">
        <w:r w:rsidR="006C7095" w:rsidRPr="00EE042D">
          <w:rPr>
            <w:rStyle w:val="Hyperlink"/>
            <w:rFonts w:cs="Calibri"/>
            <w:noProof/>
          </w:rPr>
          <w:t>Privacy</w:t>
        </w:r>
        <w:r w:rsidR="006C7095">
          <w:rPr>
            <w:noProof/>
            <w:webHidden/>
          </w:rPr>
          <w:tab/>
        </w:r>
        <w:r w:rsidR="006C7095">
          <w:rPr>
            <w:noProof/>
            <w:webHidden/>
          </w:rPr>
          <w:fldChar w:fldCharType="begin"/>
        </w:r>
        <w:r w:rsidR="006C7095">
          <w:rPr>
            <w:noProof/>
            <w:webHidden/>
          </w:rPr>
          <w:instrText xml:space="preserve"> PAGEREF _Toc54850124 \h </w:instrText>
        </w:r>
        <w:r w:rsidR="006C7095">
          <w:rPr>
            <w:noProof/>
            <w:webHidden/>
          </w:rPr>
        </w:r>
        <w:r w:rsidR="006C7095">
          <w:rPr>
            <w:noProof/>
            <w:webHidden/>
          </w:rPr>
          <w:fldChar w:fldCharType="separate"/>
        </w:r>
        <w:r w:rsidR="006C7095">
          <w:rPr>
            <w:noProof/>
            <w:webHidden/>
          </w:rPr>
          <w:t>9</w:t>
        </w:r>
        <w:r w:rsidR="006C7095">
          <w:rPr>
            <w:noProof/>
            <w:webHidden/>
          </w:rPr>
          <w:fldChar w:fldCharType="end"/>
        </w:r>
      </w:hyperlink>
    </w:p>
    <w:p w14:paraId="3C96A3C5" w14:textId="0EAE623C" w:rsidR="006C7095" w:rsidRDefault="00F53E26">
      <w:pPr>
        <w:pStyle w:val="TOC2"/>
        <w:tabs>
          <w:tab w:val="right" w:leader="dot" w:pos="9736"/>
        </w:tabs>
        <w:rPr>
          <w:rFonts w:asciiTheme="minorHAnsi" w:eastAsiaTheme="minorEastAsia" w:hAnsiTheme="minorHAnsi" w:cstheme="minorBidi"/>
          <w:noProof/>
          <w:lang w:eastAsia="en-AU"/>
        </w:rPr>
      </w:pPr>
      <w:hyperlink w:anchor="_Toc54850125" w:history="1">
        <w:r w:rsidR="006C7095" w:rsidRPr="00EE042D">
          <w:rPr>
            <w:rStyle w:val="Hyperlink"/>
            <w:rFonts w:cs="Calibri"/>
            <w:noProof/>
          </w:rPr>
          <w:t>Whistleblowers</w:t>
        </w:r>
        <w:r w:rsidR="006C7095">
          <w:rPr>
            <w:noProof/>
            <w:webHidden/>
          </w:rPr>
          <w:tab/>
        </w:r>
        <w:r w:rsidR="006C7095">
          <w:rPr>
            <w:noProof/>
            <w:webHidden/>
          </w:rPr>
          <w:fldChar w:fldCharType="begin"/>
        </w:r>
        <w:r w:rsidR="006C7095">
          <w:rPr>
            <w:noProof/>
            <w:webHidden/>
          </w:rPr>
          <w:instrText xml:space="preserve"> PAGEREF _Toc54850125 \h </w:instrText>
        </w:r>
        <w:r w:rsidR="006C7095">
          <w:rPr>
            <w:noProof/>
            <w:webHidden/>
          </w:rPr>
        </w:r>
        <w:r w:rsidR="006C7095">
          <w:rPr>
            <w:noProof/>
            <w:webHidden/>
          </w:rPr>
          <w:fldChar w:fldCharType="separate"/>
        </w:r>
        <w:r w:rsidR="006C7095">
          <w:rPr>
            <w:noProof/>
            <w:webHidden/>
          </w:rPr>
          <w:t>10</w:t>
        </w:r>
        <w:r w:rsidR="006C7095">
          <w:rPr>
            <w:noProof/>
            <w:webHidden/>
          </w:rPr>
          <w:fldChar w:fldCharType="end"/>
        </w:r>
      </w:hyperlink>
    </w:p>
    <w:p w14:paraId="7A159881" w14:textId="3237B782" w:rsidR="006C7095" w:rsidRDefault="00F53E26">
      <w:pPr>
        <w:pStyle w:val="TOC2"/>
        <w:tabs>
          <w:tab w:val="right" w:leader="dot" w:pos="9736"/>
        </w:tabs>
        <w:rPr>
          <w:rFonts w:asciiTheme="minorHAnsi" w:eastAsiaTheme="minorEastAsia" w:hAnsiTheme="minorHAnsi" w:cstheme="minorBidi"/>
          <w:noProof/>
          <w:lang w:eastAsia="en-AU"/>
        </w:rPr>
      </w:pPr>
      <w:hyperlink w:anchor="_Toc54850126" w:history="1">
        <w:r w:rsidR="006C7095" w:rsidRPr="00EE042D">
          <w:rPr>
            <w:rStyle w:val="Hyperlink"/>
            <w:rFonts w:cs="Calibri"/>
            <w:noProof/>
          </w:rPr>
          <w:t>When applicants and other parties are unavailable</w:t>
        </w:r>
        <w:r w:rsidR="006C7095">
          <w:rPr>
            <w:noProof/>
            <w:webHidden/>
          </w:rPr>
          <w:tab/>
        </w:r>
        <w:r w:rsidR="006C7095">
          <w:rPr>
            <w:noProof/>
            <w:webHidden/>
          </w:rPr>
          <w:fldChar w:fldCharType="begin"/>
        </w:r>
        <w:r w:rsidR="006C7095">
          <w:rPr>
            <w:noProof/>
            <w:webHidden/>
          </w:rPr>
          <w:instrText xml:space="preserve"> PAGEREF _Toc54850126 \h </w:instrText>
        </w:r>
        <w:r w:rsidR="006C7095">
          <w:rPr>
            <w:noProof/>
            <w:webHidden/>
          </w:rPr>
        </w:r>
        <w:r w:rsidR="006C7095">
          <w:rPr>
            <w:noProof/>
            <w:webHidden/>
          </w:rPr>
          <w:fldChar w:fldCharType="separate"/>
        </w:r>
        <w:r w:rsidR="006C7095">
          <w:rPr>
            <w:noProof/>
            <w:webHidden/>
          </w:rPr>
          <w:t>10</w:t>
        </w:r>
        <w:r w:rsidR="006C7095">
          <w:rPr>
            <w:noProof/>
            <w:webHidden/>
          </w:rPr>
          <w:fldChar w:fldCharType="end"/>
        </w:r>
      </w:hyperlink>
    </w:p>
    <w:p w14:paraId="298878D6" w14:textId="548C0393" w:rsidR="006C7095" w:rsidRDefault="00F53E26">
      <w:pPr>
        <w:pStyle w:val="TOC1"/>
        <w:tabs>
          <w:tab w:val="right" w:leader="dot" w:pos="9736"/>
        </w:tabs>
        <w:rPr>
          <w:rFonts w:asciiTheme="minorHAnsi" w:eastAsiaTheme="minorEastAsia" w:hAnsiTheme="minorHAnsi" w:cstheme="minorBidi"/>
          <w:noProof/>
          <w:lang w:eastAsia="en-AU"/>
        </w:rPr>
      </w:pPr>
      <w:hyperlink w:anchor="_Toc54850127" w:history="1">
        <w:r w:rsidR="006C7095" w:rsidRPr="00EE042D">
          <w:rPr>
            <w:rStyle w:val="Hyperlink"/>
            <w:rFonts w:cs="Calibri"/>
            <w:noProof/>
          </w:rPr>
          <w:t>Appendix A: Glossary of Terms</w:t>
        </w:r>
        <w:r w:rsidR="006C7095">
          <w:rPr>
            <w:noProof/>
            <w:webHidden/>
          </w:rPr>
          <w:tab/>
        </w:r>
        <w:r w:rsidR="006C7095">
          <w:rPr>
            <w:noProof/>
            <w:webHidden/>
          </w:rPr>
          <w:fldChar w:fldCharType="begin"/>
        </w:r>
        <w:r w:rsidR="006C7095">
          <w:rPr>
            <w:noProof/>
            <w:webHidden/>
          </w:rPr>
          <w:instrText xml:space="preserve"> PAGEREF _Toc54850127 \h </w:instrText>
        </w:r>
        <w:r w:rsidR="006C7095">
          <w:rPr>
            <w:noProof/>
            <w:webHidden/>
          </w:rPr>
        </w:r>
        <w:r w:rsidR="006C7095">
          <w:rPr>
            <w:noProof/>
            <w:webHidden/>
          </w:rPr>
          <w:fldChar w:fldCharType="separate"/>
        </w:r>
        <w:r w:rsidR="006C7095">
          <w:rPr>
            <w:noProof/>
            <w:webHidden/>
          </w:rPr>
          <w:t>11</w:t>
        </w:r>
        <w:r w:rsidR="006C7095">
          <w:rPr>
            <w:noProof/>
            <w:webHidden/>
          </w:rPr>
          <w:fldChar w:fldCharType="end"/>
        </w:r>
      </w:hyperlink>
    </w:p>
    <w:p w14:paraId="0D2ADEE5" w14:textId="658FB1FD" w:rsidR="00B51E16" w:rsidRDefault="001D129F" w:rsidP="00AB46DA">
      <w:r>
        <w:fldChar w:fldCharType="end"/>
      </w:r>
    </w:p>
    <w:p w14:paraId="27A5B1C6" w14:textId="3BA0ECB5" w:rsidR="00B67B38" w:rsidRPr="00861562" w:rsidRDefault="00B51E16" w:rsidP="00B67B38">
      <w:pPr>
        <w:pStyle w:val="Heading1"/>
        <w:rPr>
          <w:rFonts w:asciiTheme="minorHAnsi" w:hAnsiTheme="minorHAnsi" w:cstheme="minorHAnsi"/>
          <w:color w:val="1F497D" w:themeColor="text2"/>
        </w:rPr>
      </w:pPr>
      <w:bookmarkStart w:id="1" w:name="_Toc54850103"/>
      <w:r w:rsidRPr="00861562">
        <w:rPr>
          <w:rFonts w:asciiTheme="minorHAnsi" w:hAnsiTheme="minorHAnsi" w:cstheme="minorHAnsi"/>
          <w:color w:val="365F91" w:themeColor="accent1" w:themeShade="BF"/>
        </w:rPr>
        <w:t>Terminology</w:t>
      </w:r>
      <w:bookmarkEnd w:id="1"/>
    </w:p>
    <w:p w14:paraId="3AA1CF98" w14:textId="43F912EF" w:rsidR="00105D08" w:rsidRPr="00CC0114" w:rsidRDefault="00B51E16" w:rsidP="00A46686">
      <w:pPr>
        <w:spacing w:before="120" w:after="120"/>
        <w:rPr>
          <w:color w:val="1F497D" w:themeColor="text2"/>
        </w:rPr>
      </w:pPr>
      <w:r w:rsidRPr="00B67B38">
        <w:t>Unless otherwise specified</w:t>
      </w:r>
      <w:r w:rsidR="00391A63" w:rsidRPr="00B67B38">
        <w:t>,</w:t>
      </w:r>
      <w:r w:rsidRPr="00B67B38">
        <w:t xml:space="preserve"> a reference in this document to ‘the Code’ is a reference to the </w:t>
      </w:r>
      <w:r w:rsidRPr="00803F0D">
        <w:rPr>
          <w:i/>
        </w:rPr>
        <w:t>Australian Code for the Responsible Conduct of Research</w:t>
      </w:r>
      <w:r w:rsidRPr="00B67B38">
        <w:t xml:space="preserve">, </w:t>
      </w:r>
      <w:r w:rsidRPr="00803F0D">
        <w:rPr>
          <w:i/>
        </w:rPr>
        <w:t>2018</w:t>
      </w:r>
      <w:r w:rsidRPr="00B67B38">
        <w:t>.</w:t>
      </w:r>
      <w:r w:rsidR="000A3E22">
        <w:br w:type="page"/>
      </w:r>
      <w:r w:rsidR="000A3E22" w:rsidRPr="00861562">
        <w:rPr>
          <w:rStyle w:val="Heading1Char"/>
          <w:rFonts w:asciiTheme="minorHAnsi" w:hAnsiTheme="minorHAnsi" w:cstheme="minorHAnsi"/>
          <w:color w:val="365F91" w:themeColor="accent1" w:themeShade="BF"/>
        </w:rPr>
        <w:lastRenderedPageBreak/>
        <w:t>Introduction</w:t>
      </w:r>
    </w:p>
    <w:p w14:paraId="6CA5D3E8" w14:textId="77777777" w:rsidR="00105D08" w:rsidRPr="00861562" w:rsidRDefault="000A3E22" w:rsidP="000372C1">
      <w:pPr>
        <w:pStyle w:val="Heading2"/>
        <w:spacing w:before="0"/>
        <w:rPr>
          <w:rFonts w:ascii="Calibri" w:hAnsi="Calibri" w:cs="Calibri"/>
          <w:b w:val="0"/>
          <w:color w:val="365F91" w:themeColor="accent1" w:themeShade="BF"/>
          <w:sz w:val="24"/>
          <w:szCs w:val="24"/>
        </w:rPr>
      </w:pPr>
      <w:bookmarkStart w:id="2" w:name="_Toc54850104"/>
      <w:r w:rsidRPr="00861562">
        <w:rPr>
          <w:rFonts w:ascii="Calibri" w:hAnsi="Calibri" w:cs="Calibri"/>
          <w:b w:val="0"/>
          <w:color w:val="365F91" w:themeColor="accent1" w:themeShade="BF"/>
          <w:sz w:val="24"/>
          <w:szCs w:val="24"/>
        </w:rPr>
        <w:t>Background</w:t>
      </w:r>
      <w:bookmarkEnd w:id="2"/>
    </w:p>
    <w:p w14:paraId="30BF5562" w14:textId="123DE25D" w:rsidR="00DA1BF2" w:rsidRDefault="005921ED" w:rsidP="00A46686">
      <w:pPr>
        <w:spacing w:before="120" w:after="120"/>
        <w:rPr>
          <w:iCs/>
          <w:color w:val="000000"/>
        </w:rPr>
      </w:pPr>
      <w:r>
        <w:rPr>
          <w:iCs/>
          <w:color w:val="000000"/>
        </w:rPr>
        <w:t>The Australian and international community expects</w:t>
      </w:r>
      <w:r w:rsidR="002677F6">
        <w:rPr>
          <w:iCs/>
          <w:color w:val="000000"/>
        </w:rPr>
        <w:t xml:space="preserve"> i</w:t>
      </w:r>
      <w:r w:rsidR="000A3E22">
        <w:rPr>
          <w:iCs/>
          <w:color w:val="000000"/>
        </w:rPr>
        <w:t>nstitutions and individuals in receipt of public funds to apply the highest ethical and professional standards to their work and workplace relations</w:t>
      </w:r>
      <w:r>
        <w:rPr>
          <w:iCs/>
          <w:color w:val="000000"/>
        </w:rPr>
        <w:t xml:space="preserve">. The </w:t>
      </w:r>
      <w:r>
        <w:rPr>
          <w:i/>
          <w:iCs/>
          <w:color w:val="000000"/>
        </w:rPr>
        <w:t>Australian Code for the Responsible Conduct of Research, 2018</w:t>
      </w:r>
      <w:r w:rsidR="00A44D4E">
        <w:rPr>
          <w:i/>
          <w:iCs/>
          <w:color w:val="000000"/>
        </w:rPr>
        <w:t xml:space="preserve"> </w:t>
      </w:r>
      <w:r w:rsidR="00A44D4E">
        <w:rPr>
          <w:iCs/>
          <w:color w:val="000000"/>
        </w:rPr>
        <w:t>(the Code)</w:t>
      </w:r>
      <w:r>
        <w:rPr>
          <w:iCs/>
          <w:color w:val="000000"/>
        </w:rPr>
        <w:t>, jointly authored by the Australian Research Council (ARC), National Health and Medical Research Council (NHMRC) and Universities Australia</w:t>
      </w:r>
      <w:r w:rsidR="00DC12D2">
        <w:rPr>
          <w:iCs/>
          <w:color w:val="000000"/>
        </w:rPr>
        <w:t>,</w:t>
      </w:r>
      <w:r>
        <w:rPr>
          <w:iCs/>
          <w:color w:val="000000"/>
        </w:rPr>
        <w:t xml:space="preserve"> clearly articulates the broad principles that underpin an ‘honest, ethical and conscientious research culture’.</w:t>
      </w:r>
      <w:r w:rsidR="00CB1E12">
        <w:rPr>
          <w:rStyle w:val="FootnoteReference"/>
          <w:iCs/>
          <w:color w:val="000000"/>
        </w:rPr>
        <w:footnoteReference w:id="2"/>
      </w:r>
      <w:r>
        <w:rPr>
          <w:iCs/>
          <w:color w:val="000000"/>
        </w:rPr>
        <w:t xml:space="preserve"> </w:t>
      </w:r>
      <w:r w:rsidR="000A3E22">
        <w:rPr>
          <w:iCs/>
          <w:color w:val="000000"/>
        </w:rPr>
        <w:t xml:space="preserve">It is a condition of </w:t>
      </w:r>
      <w:r w:rsidR="006B41DD">
        <w:rPr>
          <w:iCs/>
          <w:color w:val="000000"/>
        </w:rPr>
        <w:t xml:space="preserve">NHMRC and ARC </w:t>
      </w:r>
      <w:r w:rsidR="000A3E22">
        <w:rPr>
          <w:iCs/>
          <w:color w:val="000000"/>
        </w:rPr>
        <w:t>funding that institutions ensure research is conducted according to the</w:t>
      </w:r>
      <w:r w:rsidR="00A44D4E">
        <w:rPr>
          <w:iCs/>
          <w:color w:val="000000"/>
        </w:rPr>
        <w:t xml:space="preserve"> Code</w:t>
      </w:r>
      <w:r w:rsidR="005F3581">
        <w:rPr>
          <w:iCs/>
          <w:color w:val="000000"/>
        </w:rPr>
        <w:t xml:space="preserve">. This </w:t>
      </w:r>
      <w:r w:rsidR="00ED3B11">
        <w:rPr>
          <w:iCs/>
          <w:color w:val="000000"/>
        </w:rPr>
        <w:t>also requires</w:t>
      </w:r>
      <w:r w:rsidR="005F3581">
        <w:rPr>
          <w:iCs/>
          <w:color w:val="000000"/>
        </w:rPr>
        <w:t xml:space="preserve"> institutions to</w:t>
      </w:r>
      <w:r w:rsidR="000A3E22">
        <w:rPr>
          <w:iCs/>
          <w:color w:val="000000"/>
        </w:rPr>
        <w:t xml:space="preserve"> </w:t>
      </w:r>
      <w:r w:rsidR="00ED3B11">
        <w:rPr>
          <w:iCs/>
          <w:color w:val="000000"/>
        </w:rPr>
        <w:t>facilitate the prevention and detection of potential breaches of the</w:t>
      </w:r>
      <w:r w:rsidR="00C74E54">
        <w:rPr>
          <w:iCs/>
          <w:color w:val="000000"/>
        </w:rPr>
        <w:t xml:space="preserve"> </w:t>
      </w:r>
      <w:r w:rsidR="00ED3B11">
        <w:rPr>
          <w:iCs/>
          <w:color w:val="000000"/>
        </w:rPr>
        <w:t xml:space="preserve">Code, to </w:t>
      </w:r>
      <w:r w:rsidR="005F3581">
        <w:rPr>
          <w:iCs/>
          <w:color w:val="000000"/>
        </w:rPr>
        <w:t>provide mechanisms to receive concerns or complaints about potential breaches of the Code and to investigate and resolve potential breaches of the Code.</w:t>
      </w:r>
      <w:r w:rsidR="005F3581" w:rsidRPr="00DB03BA">
        <w:rPr>
          <w:vertAlign w:val="superscript"/>
        </w:rPr>
        <w:footnoteReference w:id="3"/>
      </w:r>
      <w:r w:rsidR="005F3581" w:rsidRPr="00DB03BA">
        <w:rPr>
          <w:iCs/>
          <w:color w:val="000000"/>
          <w:vertAlign w:val="superscript"/>
        </w:rPr>
        <w:t xml:space="preserve"> </w:t>
      </w:r>
    </w:p>
    <w:p w14:paraId="373B4BDF" w14:textId="6A9274AE" w:rsidR="005F3581" w:rsidRDefault="002825BE" w:rsidP="00A46686">
      <w:pPr>
        <w:spacing w:before="120" w:after="120"/>
        <w:rPr>
          <w:iCs/>
          <w:color w:val="000000"/>
        </w:rPr>
      </w:pPr>
      <w:r>
        <w:rPr>
          <w:iCs/>
          <w:color w:val="000000"/>
        </w:rPr>
        <w:t>T</w:t>
      </w:r>
      <w:r w:rsidR="00ED3B11">
        <w:rPr>
          <w:iCs/>
          <w:color w:val="000000"/>
        </w:rPr>
        <w:t>he Code</w:t>
      </w:r>
      <w:r>
        <w:rPr>
          <w:iCs/>
          <w:color w:val="000000"/>
        </w:rPr>
        <w:t xml:space="preserve"> requires that</w:t>
      </w:r>
      <w:r w:rsidR="00ED3B11">
        <w:rPr>
          <w:iCs/>
          <w:color w:val="000000"/>
        </w:rPr>
        <w:t xml:space="preserve"> </w:t>
      </w:r>
      <w:r w:rsidR="00592AC4">
        <w:rPr>
          <w:iCs/>
          <w:color w:val="000000"/>
        </w:rPr>
        <w:t>institution</w:t>
      </w:r>
      <w:r>
        <w:rPr>
          <w:iCs/>
          <w:color w:val="000000"/>
        </w:rPr>
        <w:t xml:space="preserve">s have </w:t>
      </w:r>
      <w:r w:rsidR="00ED3B11">
        <w:rPr>
          <w:iCs/>
          <w:color w:val="000000"/>
        </w:rPr>
        <w:t xml:space="preserve">processes for managing and investigating concerns or complaints about potential breaches of the Code </w:t>
      </w:r>
      <w:r>
        <w:rPr>
          <w:iCs/>
          <w:color w:val="000000"/>
        </w:rPr>
        <w:t xml:space="preserve">in a </w:t>
      </w:r>
      <w:r w:rsidR="00ED3B11">
        <w:rPr>
          <w:iCs/>
          <w:color w:val="000000"/>
        </w:rPr>
        <w:t>timely</w:t>
      </w:r>
      <w:r>
        <w:rPr>
          <w:iCs/>
          <w:color w:val="000000"/>
        </w:rPr>
        <w:t xml:space="preserve"> and</w:t>
      </w:r>
      <w:r w:rsidR="00ED3B11">
        <w:rPr>
          <w:iCs/>
          <w:color w:val="000000"/>
        </w:rPr>
        <w:t xml:space="preserve"> effective</w:t>
      </w:r>
      <w:r>
        <w:rPr>
          <w:iCs/>
          <w:color w:val="000000"/>
        </w:rPr>
        <w:t xml:space="preserve"> way</w:t>
      </w:r>
      <w:r w:rsidR="00ED3B11">
        <w:rPr>
          <w:iCs/>
          <w:color w:val="000000"/>
        </w:rPr>
        <w:t xml:space="preserve"> and </w:t>
      </w:r>
      <w:r w:rsidR="006170A0">
        <w:rPr>
          <w:iCs/>
          <w:color w:val="000000"/>
        </w:rPr>
        <w:t xml:space="preserve">in </w:t>
      </w:r>
      <w:r w:rsidR="00DA1BF2">
        <w:rPr>
          <w:iCs/>
          <w:color w:val="000000"/>
        </w:rPr>
        <w:t>accord</w:t>
      </w:r>
      <w:r w:rsidR="006170A0">
        <w:rPr>
          <w:iCs/>
          <w:color w:val="000000"/>
        </w:rPr>
        <w:t>ance</w:t>
      </w:r>
      <w:r w:rsidR="00DA1BF2">
        <w:rPr>
          <w:iCs/>
          <w:color w:val="000000"/>
        </w:rPr>
        <w:t xml:space="preserve"> with </w:t>
      </w:r>
      <w:r w:rsidR="00ED3B11">
        <w:rPr>
          <w:iCs/>
          <w:color w:val="000000"/>
        </w:rPr>
        <w:t>procedural fairness</w:t>
      </w:r>
      <w:r w:rsidR="00DA1BF2">
        <w:rPr>
          <w:iCs/>
          <w:color w:val="000000"/>
        </w:rPr>
        <w:t>.</w:t>
      </w:r>
      <w:r w:rsidR="00DA1BF2">
        <w:rPr>
          <w:rStyle w:val="FootnoteReference"/>
          <w:iCs/>
          <w:color w:val="000000"/>
        </w:rPr>
        <w:footnoteReference w:id="4"/>
      </w:r>
      <w:r w:rsidR="00DA1BF2">
        <w:rPr>
          <w:iCs/>
          <w:color w:val="000000"/>
        </w:rPr>
        <w:t xml:space="preserve"> In managing and investigating potential breaches of the Code, institutional processes must support the welfare of all parties</w:t>
      </w:r>
      <w:r w:rsidR="006B41DD">
        <w:rPr>
          <w:iCs/>
          <w:color w:val="000000"/>
        </w:rPr>
        <w:t xml:space="preserve"> (including complainants)</w:t>
      </w:r>
      <w:r w:rsidR="00DA1BF2">
        <w:rPr>
          <w:iCs/>
          <w:color w:val="000000"/>
        </w:rPr>
        <w:t xml:space="preserve">, result in findings based on the balance of probabilities and </w:t>
      </w:r>
      <w:r w:rsidR="006B41DD">
        <w:rPr>
          <w:iCs/>
          <w:color w:val="000000"/>
        </w:rPr>
        <w:t>lead to</w:t>
      </w:r>
      <w:r w:rsidR="00DA1BF2">
        <w:rPr>
          <w:iCs/>
          <w:color w:val="000000"/>
        </w:rPr>
        <w:t xml:space="preserve"> actions (including corrective actions) that are commensurate with the seriousness of the breach.</w:t>
      </w:r>
      <w:r w:rsidR="00DA1BF2">
        <w:rPr>
          <w:rStyle w:val="FootnoteReference"/>
          <w:iCs/>
          <w:color w:val="000000"/>
        </w:rPr>
        <w:footnoteReference w:id="5"/>
      </w:r>
      <w:r w:rsidR="00014DE8">
        <w:rPr>
          <w:iCs/>
          <w:color w:val="000000"/>
        </w:rPr>
        <w:t xml:space="preserve"> Further guidance for institutions on the management of potential breaches of the Code is set out in the </w:t>
      </w:r>
      <w:r w:rsidR="00014DE8">
        <w:rPr>
          <w:i/>
          <w:iCs/>
          <w:color w:val="000000"/>
        </w:rPr>
        <w:t xml:space="preserve">Guide to </w:t>
      </w:r>
      <w:r w:rsidR="00014DE8" w:rsidRPr="00B67B38">
        <w:rPr>
          <w:i/>
          <w:iCs/>
          <w:color w:val="000000"/>
        </w:rPr>
        <w:t>Managing and Investigating Potential Breaches of the Code</w:t>
      </w:r>
      <w:r w:rsidR="00014DE8">
        <w:rPr>
          <w:iCs/>
          <w:color w:val="000000"/>
        </w:rPr>
        <w:t xml:space="preserve"> (the Investigation Guide). </w:t>
      </w:r>
    </w:p>
    <w:p w14:paraId="78DA777C" w14:textId="7364A3DD" w:rsidR="006D3A89" w:rsidRDefault="00E30E40" w:rsidP="00A46686">
      <w:pPr>
        <w:spacing w:before="120" w:after="120"/>
      </w:pPr>
      <w:r>
        <w:t>This</w:t>
      </w:r>
      <w:r w:rsidR="00A87749" w:rsidRPr="006D3A89">
        <w:t xml:space="preserve"> Framework sets out the background to </w:t>
      </w:r>
      <w:r w:rsidR="00365211">
        <w:t xml:space="preserve">the </w:t>
      </w:r>
      <w:r w:rsidR="00A87749" w:rsidRPr="006D3A89">
        <w:t>A</w:t>
      </w:r>
      <w:r>
        <w:t>ustralian Research Integrity Committee (A</w:t>
      </w:r>
      <w:r w:rsidR="00A87749" w:rsidRPr="006D3A89">
        <w:t>RIC</w:t>
      </w:r>
      <w:r>
        <w:t>)</w:t>
      </w:r>
      <w:r w:rsidR="00A87749" w:rsidRPr="006D3A89">
        <w:t xml:space="preserve">, its scope and purpose, the process for seeking an ARIC review and </w:t>
      </w:r>
      <w:r w:rsidR="001847EA">
        <w:t>an overview of how</w:t>
      </w:r>
      <w:r w:rsidR="007A6BD0" w:rsidRPr="006D3A89">
        <w:t xml:space="preserve"> the committee operates. </w:t>
      </w:r>
      <w:r w:rsidR="000F4E02">
        <w:t>T</w:t>
      </w:r>
      <w:r w:rsidR="001847EA">
        <w:t>his</w:t>
      </w:r>
      <w:r w:rsidR="007A6BD0" w:rsidRPr="006D3A89">
        <w:t xml:space="preserve"> Framework was updated in </w:t>
      </w:r>
      <w:r w:rsidR="000F4E02">
        <w:t>2019</w:t>
      </w:r>
      <w:r w:rsidR="007A6BD0" w:rsidRPr="006D3A89">
        <w:t xml:space="preserve"> to align with the Code and Investigation Guide</w:t>
      </w:r>
      <w:r w:rsidR="00C313F3">
        <w:t xml:space="preserve">. </w:t>
      </w:r>
    </w:p>
    <w:p w14:paraId="022EDBDD" w14:textId="77777777" w:rsidR="00420991" w:rsidRDefault="00420991" w:rsidP="000372C1">
      <w:pPr>
        <w:spacing w:after="0"/>
      </w:pPr>
    </w:p>
    <w:p w14:paraId="7026C934" w14:textId="77777777" w:rsidR="00105D08" w:rsidRPr="00861562" w:rsidRDefault="000A3E22" w:rsidP="000372C1">
      <w:pPr>
        <w:pStyle w:val="Heading2"/>
        <w:spacing w:before="0"/>
        <w:rPr>
          <w:rFonts w:ascii="Calibri" w:hAnsi="Calibri" w:cs="Calibri"/>
          <w:b w:val="0"/>
          <w:color w:val="1F497D" w:themeColor="text2"/>
          <w:sz w:val="24"/>
          <w:szCs w:val="24"/>
        </w:rPr>
      </w:pPr>
      <w:bookmarkStart w:id="3" w:name="_Toc54850105"/>
      <w:r w:rsidRPr="00861562">
        <w:rPr>
          <w:rFonts w:ascii="Calibri" w:hAnsi="Calibri" w:cs="Calibri"/>
          <w:b w:val="0"/>
          <w:color w:val="1F497D" w:themeColor="text2"/>
          <w:sz w:val="24"/>
          <w:szCs w:val="24"/>
        </w:rPr>
        <w:t>Establishment</w:t>
      </w:r>
      <w:r w:rsidR="00791493" w:rsidRPr="00861562">
        <w:rPr>
          <w:rFonts w:ascii="Calibri" w:hAnsi="Calibri" w:cs="Calibri"/>
          <w:b w:val="0"/>
          <w:color w:val="1F497D" w:themeColor="text2"/>
          <w:sz w:val="24"/>
          <w:szCs w:val="24"/>
        </w:rPr>
        <w:t xml:space="preserve"> and purpose</w:t>
      </w:r>
      <w:r w:rsidRPr="00861562">
        <w:rPr>
          <w:rFonts w:ascii="Calibri" w:hAnsi="Calibri" w:cs="Calibri"/>
          <w:b w:val="0"/>
          <w:color w:val="1F497D" w:themeColor="text2"/>
          <w:sz w:val="24"/>
          <w:szCs w:val="24"/>
        </w:rPr>
        <w:t xml:space="preserve"> of the Australian Research Integrity Committee</w:t>
      </w:r>
      <w:bookmarkEnd w:id="3"/>
    </w:p>
    <w:p w14:paraId="1B01C528" w14:textId="37CB8709" w:rsidR="00C12EDD" w:rsidRPr="00C73453" w:rsidRDefault="00C12EDD" w:rsidP="00A46686">
      <w:pPr>
        <w:spacing w:before="120" w:after="120"/>
        <w:rPr>
          <w:iCs/>
          <w:color w:val="000000"/>
        </w:rPr>
      </w:pPr>
      <w:r w:rsidRPr="00B67B38">
        <w:t xml:space="preserve">ARIC was established by the Australian Government in February 2011. ARIC </w:t>
      </w:r>
      <w:r w:rsidR="00C313F3">
        <w:t xml:space="preserve">undertakes </w:t>
      </w:r>
      <w:r w:rsidRPr="00B67B38">
        <w:t>review</w:t>
      </w:r>
      <w:r w:rsidR="00C313F3">
        <w:t>s of</w:t>
      </w:r>
      <w:r w:rsidRPr="00B67B38">
        <w:t xml:space="preserve"> institutional processes use</w:t>
      </w:r>
      <w:r w:rsidR="00DB6F3A">
        <w:t>d</w:t>
      </w:r>
      <w:r w:rsidRPr="00B67B38">
        <w:t xml:space="preserve"> to manage and investigate potential breaches of the Code. </w:t>
      </w:r>
      <w:r w:rsidR="00DB6F3A">
        <w:t>ARIC</w:t>
      </w:r>
      <w:r w:rsidR="002F3D60">
        <w:t xml:space="preserve"> aims</w:t>
      </w:r>
      <w:r w:rsidRPr="00B67B38">
        <w:t xml:space="preserve"> to ensure that </w:t>
      </w:r>
      <w:r w:rsidR="00DC12D2">
        <w:t>in investigating</w:t>
      </w:r>
      <w:r w:rsidRPr="00B67B38">
        <w:t xml:space="preserve"> potential breaches of the Code</w:t>
      </w:r>
      <w:r w:rsidR="00DC12D2">
        <w:t>, institutions</w:t>
      </w:r>
      <w:r w:rsidRPr="00B67B38">
        <w:t xml:space="preserve"> observe proper process</w:t>
      </w:r>
      <w:r w:rsidR="00DC12D2">
        <w:t>es</w:t>
      </w:r>
      <w:r w:rsidRPr="00B67B38">
        <w:t xml:space="preserve">. </w:t>
      </w:r>
      <w:r w:rsidR="002F3D60">
        <w:t xml:space="preserve">In this way, </w:t>
      </w:r>
      <w:r w:rsidRPr="00B67B38">
        <w:t xml:space="preserve">ARIC </w:t>
      </w:r>
      <w:r w:rsidRPr="00C73453">
        <w:rPr>
          <w:iCs/>
          <w:color w:val="000000"/>
        </w:rPr>
        <w:t xml:space="preserve">contributes to public confidence in the integrity of Australia’s research effort. </w:t>
      </w:r>
    </w:p>
    <w:p w14:paraId="36A5238D" w14:textId="247CC388" w:rsidR="00105D08" w:rsidRPr="00C73453" w:rsidRDefault="000A3E22" w:rsidP="00A46686">
      <w:pPr>
        <w:spacing w:before="120" w:after="120"/>
        <w:rPr>
          <w:iCs/>
          <w:color w:val="000000"/>
        </w:rPr>
      </w:pPr>
      <w:r w:rsidRPr="00C73453">
        <w:rPr>
          <w:iCs/>
          <w:color w:val="000000"/>
        </w:rPr>
        <w:t xml:space="preserve">ARIC operates as: </w:t>
      </w:r>
    </w:p>
    <w:p w14:paraId="7851B85A" w14:textId="7C47CD40" w:rsidR="00105D08" w:rsidRDefault="000A3E22" w:rsidP="00A46686">
      <w:pPr>
        <w:numPr>
          <w:ilvl w:val="0"/>
          <w:numId w:val="4"/>
        </w:numPr>
        <w:spacing w:before="120" w:after="120" w:line="240" w:lineRule="auto"/>
      </w:pPr>
      <w:r>
        <w:t xml:space="preserve">ARIC-NHMRC, established under s39 of the </w:t>
      </w:r>
      <w:r>
        <w:rPr>
          <w:i/>
        </w:rPr>
        <w:t>National Health and Medical Research Council Act 1992</w:t>
      </w:r>
      <w:r>
        <w:t xml:space="preserve"> </w:t>
      </w:r>
    </w:p>
    <w:p w14:paraId="721A569E" w14:textId="772704BF" w:rsidR="00105D08" w:rsidRDefault="000A3E22" w:rsidP="00A46686">
      <w:pPr>
        <w:numPr>
          <w:ilvl w:val="0"/>
          <w:numId w:val="4"/>
        </w:numPr>
        <w:spacing w:before="120" w:after="120" w:line="240" w:lineRule="auto"/>
      </w:pPr>
      <w:r>
        <w:t xml:space="preserve">ARIC-ARC, established under the executive powers of the Chief Executive Officer (CEO) of the ARC. </w:t>
      </w:r>
    </w:p>
    <w:p w14:paraId="56011062" w14:textId="2EEDFE3C" w:rsidR="00E02F6F" w:rsidRDefault="002825BE" w:rsidP="00A46686">
      <w:pPr>
        <w:spacing w:before="120" w:after="120"/>
      </w:pPr>
      <w:r>
        <w:t xml:space="preserve">ARIC provides </w:t>
      </w:r>
      <w:r w:rsidR="00DC12D2">
        <w:t xml:space="preserve">its </w:t>
      </w:r>
      <w:r w:rsidR="002F3D60">
        <w:t xml:space="preserve">advice to </w:t>
      </w:r>
      <w:r w:rsidR="000A3E22">
        <w:t xml:space="preserve">the </w:t>
      </w:r>
      <w:r w:rsidR="00314008" w:rsidRPr="00620E12">
        <w:t xml:space="preserve">Chief Executive Officer </w:t>
      </w:r>
      <w:r w:rsidR="00314008">
        <w:t>(</w:t>
      </w:r>
      <w:r w:rsidR="000A3E22">
        <w:t>CEO</w:t>
      </w:r>
      <w:r w:rsidR="00314008">
        <w:t>)</w:t>
      </w:r>
      <w:r w:rsidR="000A3E22">
        <w:t xml:space="preserve"> of the relevant agency (</w:t>
      </w:r>
      <w:r>
        <w:t>either NHMRC or ARC)</w:t>
      </w:r>
      <w:r w:rsidR="000A3E22">
        <w:t xml:space="preserve">. </w:t>
      </w:r>
      <w:r w:rsidR="00CE0863">
        <w:t>In this Framework, a reference to ‘ARIC’ is a reference to ‘ARIC-NHMRC’ and ‘ARIC-ARC’</w:t>
      </w:r>
      <w:r w:rsidR="000A3E22">
        <w:t>.</w:t>
      </w:r>
      <w:r w:rsidR="00C553F3">
        <w:t xml:space="preserve"> </w:t>
      </w:r>
    </w:p>
    <w:p w14:paraId="1B2246C4" w14:textId="63152F18" w:rsidR="009223F6" w:rsidRDefault="00AB7964" w:rsidP="00A46686">
      <w:pPr>
        <w:spacing w:before="120" w:after="120" w:line="240" w:lineRule="auto"/>
      </w:pPr>
      <w:r>
        <w:t xml:space="preserve">To support ARIC, NHMRC and ARC may </w:t>
      </w:r>
      <w:r w:rsidR="002A3DA7">
        <w:t>appoint a</w:t>
      </w:r>
      <w:r>
        <w:t xml:space="preserve"> </w:t>
      </w:r>
      <w:r w:rsidR="00B21A95">
        <w:t>Deputy</w:t>
      </w:r>
      <w:r w:rsidR="00901187">
        <w:t xml:space="preserve"> Chair</w:t>
      </w:r>
      <w:r>
        <w:t xml:space="preserve">. The </w:t>
      </w:r>
      <w:r w:rsidR="00901187">
        <w:t>Deputy Chair</w:t>
      </w:r>
      <w:r>
        <w:t xml:space="preserve"> will be </w:t>
      </w:r>
      <w:r w:rsidR="00901187">
        <w:t xml:space="preserve">appointed </w:t>
      </w:r>
      <w:r>
        <w:t xml:space="preserve">on the same legislative basis as </w:t>
      </w:r>
      <w:r w:rsidR="00901187">
        <w:t xml:space="preserve">the </w:t>
      </w:r>
      <w:r>
        <w:t>ARIC</w:t>
      </w:r>
      <w:r w:rsidR="00901187">
        <w:t xml:space="preserve"> Chair and other members</w:t>
      </w:r>
      <w:r>
        <w:t xml:space="preserve"> (</w:t>
      </w:r>
      <w:r w:rsidR="00C73453">
        <w:t>i.e.</w:t>
      </w:r>
      <w:r>
        <w:t xml:space="preserve"> appointed under the</w:t>
      </w:r>
      <w:r w:rsidR="00B45F6A">
        <w:t xml:space="preserve"> respective</w:t>
      </w:r>
      <w:r>
        <w:t xml:space="preserve"> ARC</w:t>
      </w:r>
      <w:r w:rsidR="001048DA">
        <w:t xml:space="preserve"> and NHMRC </w:t>
      </w:r>
      <w:r w:rsidR="00B45F6A">
        <w:t>A</w:t>
      </w:r>
      <w:r w:rsidR="001048DA">
        <w:t>cts</w:t>
      </w:r>
      <w:r>
        <w:t xml:space="preserve">). </w:t>
      </w:r>
      <w:r w:rsidR="00CE0863">
        <w:t xml:space="preserve">Where a matter is reviewed by </w:t>
      </w:r>
      <w:r w:rsidR="002A3DA7">
        <w:t>the</w:t>
      </w:r>
      <w:r w:rsidR="00CE0863">
        <w:t xml:space="preserve"> </w:t>
      </w:r>
      <w:r w:rsidR="00901187">
        <w:t xml:space="preserve">Deputy Chair </w:t>
      </w:r>
      <w:r w:rsidR="00CE0863">
        <w:t xml:space="preserve">of ARIC, the </w:t>
      </w:r>
      <w:r w:rsidR="00901187">
        <w:t xml:space="preserve">Deputy </w:t>
      </w:r>
      <w:r w:rsidR="00CE0863">
        <w:t xml:space="preserve">Chair will provide their advice to the CEO via the ARIC Chair. </w:t>
      </w:r>
    </w:p>
    <w:p w14:paraId="4DD99F42" w14:textId="77777777" w:rsidR="006733AE" w:rsidRDefault="006733AE" w:rsidP="006733AE">
      <w:pPr>
        <w:spacing w:after="0" w:line="240" w:lineRule="auto"/>
      </w:pPr>
    </w:p>
    <w:p w14:paraId="18A119C9" w14:textId="77777777" w:rsidR="00A6492B" w:rsidRPr="00861562" w:rsidRDefault="00A6492B" w:rsidP="00A822E1">
      <w:pPr>
        <w:pStyle w:val="Heading2"/>
        <w:spacing w:before="0"/>
        <w:rPr>
          <w:rFonts w:ascii="Calibri" w:hAnsi="Calibri" w:cs="Calibri"/>
          <w:b w:val="0"/>
          <w:color w:val="365F91" w:themeColor="accent1" w:themeShade="BF"/>
          <w:sz w:val="24"/>
          <w:szCs w:val="24"/>
        </w:rPr>
      </w:pPr>
      <w:bookmarkStart w:id="4" w:name="_Toc54850106"/>
      <w:r w:rsidRPr="00861562">
        <w:rPr>
          <w:rFonts w:ascii="Calibri" w:hAnsi="Calibri" w:cs="Calibri"/>
          <w:b w:val="0"/>
          <w:color w:val="365F91" w:themeColor="accent1" w:themeShade="BF"/>
          <w:sz w:val="24"/>
          <w:szCs w:val="24"/>
        </w:rPr>
        <w:lastRenderedPageBreak/>
        <w:t>Responsibilities of ARIC</w:t>
      </w:r>
      <w:bookmarkEnd w:id="4"/>
      <w:r w:rsidRPr="00861562">
        <w:rPr>
          <w:rFonts w:ascii="Calibri" w:hAnsi="Calibri" w:cs="Calibri"/>
          <w:b w:val="0"/>
          <w:color w:val="365F91" w:themeColor="accent1" w:themeShade="BF"/>
          <w:sz w:val="24"/>
          <w:szCs w:val="24"/>
        </w:rPr>
        <w:t xml:space="preserve"> </w:t>
      </w:r>
    </w:p>
    <w:p w14:paraId="7766F7E7" w14:textId="7B3F1E88" w:rsidR="00A6492B" w:rsidRDefault="00A6492B" w:rsidP="00A46686">
      <w:pPr>
        <w:spacing w:before="120" w:after="120"/>
      </w:pPr>
      <w:r>
        <w:t xml:space="preserve">ARC and NHMRC jointly administer ARIC to: </w:t>
      </w:r>
    </w:p>
    <w:p w14:paraId="4441487C" w14:textId="6224095E" w:rsidR="00A6492B" w:rsidRDefault="00A6492B" w:rsidP="00A46686">
      <w:pPr>
        <w:numPr>
          <w:ilvl w:val="0"/>
          <w:numId w:val="4"/>
        </w:numPr>
        <w:spacing w:before="120" w:after="120" w:line="240" w:lineRule="auto"/>
      </w:pPr>
      <w:r>
        <w:t xml:space="preserve">review, on receipt of a valid request, the </w:t>
      </w:r>
      <w:r w:rsidRPr="00B67B38">
        <w:rPr>
          <w:i/>
        </w:rPr>
        <w:t>process</w:t>
      </w:r>
      <w:r>
        <w:rPr>
          <w:i/>
        </w:rPr>
        <w:t>es</w:t>
      </w:r>
      <w:r>
        <w:t xml:space="preserve"> by which an institution that is eligible to receive funding from the ARC and/or NHMRC has managed and/or investigated a potential breach of the Code </w:t>
      </w:r>
    </w:p>
    <w:p w14:paraId="1786A8B9" w14:textId="3F834656" w:rsidR="00A6492B" w:rsidRDefault="00A6492B" w:rsidP="00A46686">
      <w:pPr>
        <w:numPr>
          <w:ilvl w:val="0"/>
          <w:numId w:val="4"/>
        </w:numPr>
        <w:spacing w:before="120" w:after="120" w:line="240" w:lineRule="auto"/>
      </w:pPr>
      <w:r>
        <w:t xml:space="preserve">provide findings and, where relevant, recommendations to the CEO of the ARC and/or the CEO of NHMRC </w:t>
      </w:r>
    </w:p>
    <w:p w14:paraId="2403755C" w14:textId="28282614" w:rsidR="00A6492B" w:rsidRDefault="00A6492B" w:rsidP="00A46686">
      <w:pPr>
        <w:numPr>
          <w:ilvl w:val="0"/>
          <w:numId w:val="4"/>
        </w:numPr>
        <w:spacing w:before="120" w:after="120" w:line="240" w:lineRule="auto"/>
      </w:pPr>
      <w:r>
        <w:t>provide reports or verbal advice to the Council of NHMRC or other Principal Committees</w:t>
      </w:r>
      <w:r w:rsidR="008F6E28">
        <w:t>, as requested,</w:t>
      </w:r>
      <w:r>
        <w:t xml:space="preserve"> on the activities of ARIC-NHMRC</w:t>
      </w:r>
      <w:r w:rsidR="00FB1A39">
        <w:t>,</w:t>
      </w:r>
      <w:r>
        <w:t xml:space="preserve"> and</w:t>
      </w:r>
    </w:p>
    <w:p w14:paraId="33BA0E15" w14:textId="77777777" w:rsidR="00A6492B" w:rsidRDefault="00A6492B" w:rsidP="00A46686">
      <w:pPr>
        <w:numPr>
          <w:ilvl w:val="0"/>
          <w:numId w:val="4"/>
        </w:numPr>
        <w:spacing w:before="120" w:after="120" w:line="240" w:lineRule="auto"/>
      </w:pPr>
      <w:r>
        <w:t xml:space="preserve">publish de-identified information on its activities at least annually. </w:t>
      </w:r>
    </w:p>
    <w:p w14:paraId="03BB164C" w14:textId="55ABC829" w:rsidR="00A6492B" w:rsidRDefault="00A6492B" w:rsidP="00A46686">
      <w:pPr>
        <w:spacing w:before="120" w:after="120"/>
      </w:pPr>
      <w:r>
        <w:t>In all matters</w:t>
      </w:r>
      <w:r w:rsidR="00B45F6A">
        <w:t>,</w:t>
      </w:r>
      <w:r>
        <w:t xml:space="preserve"> ARIC considers whether the institution’s response to a potential breach of the Code was consistent with the principles and responsibilities in the Code, the guidance in the Investigation Guide</w:t>
      </w:r>
      <w:r w:rsidR="006170A0">
        <w:t>,</w:t>
      </w:r>
      <w:r>
        <w:t xml:space="preserve"> and the institution’s policies and procedures for investigating potential breaches of the Code. </w:t>
      </w:r>
    </w:p>
    <w:p w14:paraId="0338463C" w14:textId="2E12DAA8" w:rsidR="00A6492B" w:rsidRDefault="00A6492B" w:rsidP="00A46686">
      <w:pPr>
        <w:spacing w:before="120" w:after="120"/>
      </w:pPr>
      <w:r w:rsidRPr="00D77F63">
        <w:t>It is not the role of ARIC to determine whether a breach of the Code occurred.</w:t>
      </w:r>
    </w:p>
    <w:p w14:paraId="245B2DB5" w14:textId="77777777" w:rsidR="00420991" w:rsidRPr="00D77F63" w:rsidRDefault="00420991" w:rsidP="000372C1">
      <w:pPr>
        <w:spacing w:after="0"/>
      </w:pPr>
    </w:p>
    <w:p w14:paraId="00792BEE" w14:textId="39977A36" w:rsidR="00AB7964" w:rsidRPr="00861562" w:rsidRDefault="00AB7964" w:rsidP="000372C1">
      <w:pPr>
        <w:pStyle w:val="Heading2"/>
        <w:spacing w:before="0"/>
        <w:rPr>
          <w:rFonts w:ascii="Calibri" w:hAnsi="Calibri" w:cs="Calibri"/>
          <w:b w:val="0"/>
          <w:color w:val="365F91" w:themeColor="accent1" w:themeShade="BF"/>
          <w:sz w:val="24"/>
          <w:szCs w:val="24"/>
        </w:rPr>
      </w:pPr>
      <w:bookmarkStart w:id="5" w:name="_Toc54850107"/>
      <w:r w:rsidRPr="00861562">
        <w:rPr>
          <w:rFonts w:ascii="Calibri" w:hAnsi="Calibri" w:cs="Calibri"/>
          <w:b w:val="0"/>
          <w:color w:val="365F91" w:themeColor="accent1" w:themeShade="BF"/>
          <w:sz w:val="24"/>
          <w:szCs w:val="24"/>
        </w:rPr>
        <w:t>Secretariat and funding agency support</w:t>
      </w:r>
      <w:bookmarkEnd w:id="5"/>
      <w:r w:rsidRPr="00861562">
        <w:rPr>
          <w:rFonts w:ascii="Calibri" w:hAnsi="Calibri" w:cs="Calibri"/>
          <w:b w:val="0"/>
          <w:color w:val="365F91" w:themeColor="accent1" w:themeShade="BF"/>
          <w:sz w:val="24"/>
          <w:szCs w:val="24"/>
        </w:rPr>
        <w:t xml:space="preserve"> </w:t>
      </w:r>
    </w:p>
    <w:p w14:paraId="43970CBF" w14:textId="7C906F44" w:rsidR="00AB7964" w:rsidRDefault="00AB7964" w:rsidP="00A46686">
      <w:pPr>
        <w:spacing w:before="120" w:after="120"/>
      </w:pPr>
      <w:r>
        <w:t xml:space="preserve">ARIC secretariat support is provided by the relevant funding agency. The Secretariats process requests for review following the submission of an ARIC Request for Review form and, where appropriate, direct the request to the appropriate funding agency. The Secretariats are also responsible for ensuring applications meet any formal requirements and will advise applicants on changes that may be required. </w:t>
      </w:r>
    </w:p>
    <w:p w14:paraId="1E3F71BC" w14:textId="77777777" w:rsidR="00420991" w:rsidRDefault="00420991" w:rsidP="006733AE">
      <w:pPr>
        <w:spacing w:after="0"/>
      </w:pPr>
    </w:p>
    <w:p w14:paraId="20B261D5" w14:textId="77777777" w:rsidR="00600661" w:rsidRPr="00861562" w:rsidRDefault="00600661" w:rsidP="006733AE">
      <w:pPr>
        <w:pStyle w:val="Heading2"/>
        <w:spacing w:before="0"/>
        <w:rPr>
          <w:rFonts w:ascii="Calibri" w:hAnsi="Calibri" w:cs="Calibri"/>
          <w:b w:val="0"/>
          <w:color w:val="365F91" w:themeColor="accent1" w:themeShade="BF"/>
          <w:sz w:val="24"/>
          <w:szCs w:val="24"/>
        </w:rPr>
      </w:pPr>
      <w:bookmarkStart w:id="6" w:name="_Toc54850108"/>
      <w:r w:rsidRPr="00861562">
        <w:rPr>
          <w:rFonts w:ascii="Calibri" w:hAnsi="Calibri" w:cs="Calibri"/>
          <w:b w:val="0"/>
          <w:color w:val="365F91" w:themeColor="accent1" w:themeShade="BF"/>
          <w:sz w:val="24"/>
          <w:szCs w:val="24"/>
        </w:rPr>
        <w:t>Committee procedures</w:t>
      </w:r>
      <w:bookmarkEnd w:id="6"/>
      <w:r w:rsidRPr="00861562">
        <w:rPr>
          <w:rFonts w:ascii="Calibri" w:hAnsi="Calibri" w:cs="Calibri"/>
          <w:b w:val="0"/>
          <w:color w:val="365F91" w:themeColor="accent1" w:themeShade="BF"/>
          <w:sz w:val="24"/>
          <w:szCs w:val="24"/>
        </w:rPr>
        <w:t xml:space="preserve"> </w:t>
      </w:r>
    </w:p>
    <w:p w14:paraId="765FF2EE" w14:textId="1187A942" w:rsidR="00600661" w:rsidRDefault="00A6492B" w:rsidP="00A46686">
      <w:pPr>
        <w:spacing w:before="120" w:after="120"/>
      </w:pPr>
      <w:r>
        <w:t xml:space="preserve">The funding agencies are </w:t>
      </w:r>
      <w:r w:rsidR="00F60E68">
        <w:t>responsib</w:t>
      </w:r>
      <w:r w:rsidR="00D4547F">
        <w:t xml:space="preserve">le </w:t>
      </w:r>
      <w:r>
        <w:t>for developing internal operating procedures to govern the functions of ARIC</w:t>
      </w:r>
      <w:r w:rsidR="00764C54">
        <w:t>, duties of members</w:t>
      </w:r>
      <w:r>
        <w:t xml:space="preserve"> and </w:t>
      </w:r>
      <w:r w:rsidR="00764C54">
        <w:t xml:space="preserve">functions of </w:t>
      </w:r>
      <w:r>
        <w:t xml:space="preserve">the Secretariat. </w:t>
      </w:r>
    </w:p>
    <w:p w14:paraId="59F78A66" w14:textId="243E9CED" w:rsidR="00600661" w:rsidRPr="00C3062D" w:rsidRDefault="00A6492B" w:rsidP="00A46686">
      <w:pPr>
        <w:spacing w:before="120" w:after="120"/>
      </w:pPr>
      <w:r w:rsidRPr="00C3062D">
        <w:t xml:space="preserve">The funding agencies will also </w:t>
      </w:r>
      <w:r w:rsidR="00D50EE9" w:rsidRPr="00C3062D">
        <w:t xml:space="preserve">maintain </w:t>
      </w:r>
      <w:r w:rsidRPr="00C3062D">
        <w:t>an ARIC Request for Review Form that</w:t>
      </w:r>
      <w:r w:rsidR="00600661" w:rsidRPr="00C3062D">
        <w:t xml:space="preserve"> </w:t>
      </w:r>
      <w:r w:rsidR="001048DA" w:rsidRPr="00C3062D">
        <w:t xml:space="preserve">should </w:t>
      </w:r>
      <w:r w:rsidR="00600661" w:rsidRPr="00C3062D">
        <w:t xml:space="preserve">be used for all </w:t>
      </w:r>
      <w:r w:rsidR="0045186F" w:rsidRPr="00C3062D">
        <w:t xml:space="preserve">external </w:t>
      </w:r>
      <w:r w:rsidR="00600661" w:rsidRPr="00C3062D">
        <w:t>requests for an ARIC Review</w:t>
      </w:r>
      <w:r w:rsidR="0045186F" w:rsidRPr="00C3062D">
        <w:t>.</w:t>
      </w:r>
      <w:r w:rsidR="00F07BA5" w:rsidRPr="00C3062D" w:rsidDel="0045186F">
        <w:t xml:space="preserve"> </w:t>
      </w:r>
    </w:p>
    <w:p w14:paraId="2C969DF0" w14:textId="77777777" w:rsidR="00C3062D" w:rsidRPr="00C3062D" w:rsidRDefault="00C3062D" w:rsidP="00A46686">
      <w:pPr>
        <w:spacing w:before="120" w:after="120"/>
      </w:pPr>
      <w:r w:rsidRPr="00C3062D">
        <w:t>An ARIC review may take up to 12 months to complete, depending on the complexity of the matter.</w:t>
      </w:r>
    </w:p>
    <w:p w14:paraId="55292187" w14:textId="57940DD9" w:rsidR="00105D08" w:rsidRPr="00C3062D" w:rsidRDefault="00105D08" w:rsidP="00A822E1">
      <w:pPr>
        <w:spacing w:after="120"/>
      </w:pPr>
    </w:p>
    <w:p w14:paraId="727BB96B" w14:textId="664CF57C" w:rsidR="00105D08" w:rsidRPr="00861562" w:rsidRDefault="000A3E22" w:rsidP="000372C1">
      <w:pPr>
        <w:pStyle w:val="Heading1"/>
        <w:spacing w:before="0" w:after="120"/>
        <w:rPr>
          <w:rFonts w:ascii="Calibri" w:hAnsi="Calibri" w:cs="Calibri"/>
          <w:color w:val="365F91" w:themeColor="accent1" w:themeShade="BF"/>
        </w:rPr>
      </w:pPr>
      <w:r>
        <w:br w:type="page"/>
      </w:r>
      <w:bookmarkStart w:id="7" w:name="_Toc54850109"/>
      <w:r w:rsidRPr="00861562">
        <w:rPr>
          <w:rFonts w:ascii="Calibri" w:hAnsi="Calibri" w:cs="Calibri"/>
          <w:color w:val="365F91" w:themeColor="accent1" w:themeShade="BF"/>
        </w:rPr>
        <w:lastRenderedPageBreak/>
        <w:t xml:space="preserve">Section </w:t>
      </w:r>
      <w:r w:rsidR="00AB7964" w:rsidRPr="00861562">
        <w:rPr>
          <w:rFonts w:ascii="Calibri" w:hAnsi="Calibri" w:cs="Calibri"/>
          <w:color w:val="365F91" w:themeColor="accent1" w:themeShade="BF"/>
        </w:rPr>
        <w:t>1</w:t>
      </w:r>
      <w:r w:rsidRPr="00861562">
        <w:rPr>
          <w:rFonts w:ascii="Calibri" w:hAnsi="Calibri" w:cs="Calibri"/>
          <w:color w:val="365F91" w:themeColor="accent1" w:themeShade="BF"/>
        </w:rPr>
        <w:t xml:space="preserve">: </w:t>
      </w:r>
      <w:r w:rsidR="005E3608" w:rsidRPr="00861562">
        <w:rPr>
          <w:rFonts w:ascii="Calibri" w:hAnsi="Calibri" w:cs="Calibri"/>
          <w:color w:val="365F91" w:themeColor="accent1" w:themeShade="BF"/>
        </w:rPr>
        <w:t xml:space="preserve">Scope of </w:t>
      </w:r>
      <w:r w:rsidR="00A6492B" w:rsidRPr="00861562">
        <w:rPr>
          <w:rFonts w:ascii="Calibri" w:hAnsi="Calibri" w:cs="Calibri"/>
          <w:color w:val="365F91" w:themeColor="accent1" w:themeShade="BF"/>
        </w:rPr>
        <w:t xml:space="preserve">an </w:t>
      </w:r>
      <w:r w:rsidR="005E3608" w:rsidRPr="00861562">
        <w:rPr>
          <w:rFonts w:ascii="Calibri" w:hAnsi="Calibri" w:cs="Calibri"/>
          <w:color w:val="365F91" w:themeColor="accent1" w:themeShade="BF"/>
        </w:rPr>
        <w:t>ARIC review</w:t>
      </w:r>
      <w:r w:rsidR="00D77F63" w:rsidRPr="00861562">
        <w:rPr>
          <w:rFonts w:ascii="Calibri" w:hAnsi="Calibri" w:cs="Calibri"/>
          <w:color w:val="365F91" w:themeColor="accent1" w:themeShade="BF"/>
        </w:rPr>
        <w:t>, outcomes and interaction with institutional legal frameworks</w:t>
      </w:r>
      <w:bookmarkEnd w:id="7"/>
    </w:p>
    <w:p w14:paraId="02A5F384" w14:textId="4D7BF188" w:rsidR="00105D08" w:rsidRDefault="00C66FE3" w:rsidP="00A46686">
      <w:pPr>
        <w:pStyle w:val="ListParagraph"/>
        <w:spacing w:before="120" w:after="120"/>
        <w:ind w:left="0"/>
        <w:contextualSpacing w:val="0"/>
      </w:pPr>
      <w:r>
        <w:t>Following acceptance of a request by the Secretariat and ARIC</w:t>
      </w:r>
      <w:r w:rsidR="00DA18C8">
        <w:t xml:space="preserve"> Chair</w:t>
      </w:r>
      <w:r w:rsidR="004D54FC">
        <w:t xml:space="preserve"> (see Section </w:t>
      </w:r>
      <w:r w:rsidR="00A6492B">
        <w:t>2</w:t>
      </w:r>
      <w:r w:rsidR="004D54FC">
        <w:t>)</w:t>
      </w:r>
      <w:r>
        <w:t xml:space="preserve">, </w:t>
      </w:r>
      <w:r w:rsidR="00A6492B">
        <w:t>the Chair will convene a</w:t>
      </w:r>
      <w:r w:rsidR="00D50EE9">
        <w:t xml:space="preserve"> panel </w:t>
      </w:r>
      <w:r w:rsidR="000372C1">
        <w:t>(an ARIC panel)</w:t>
      </w:r>
      <w:r w:rsidR="00861562">
        <w:t xml:space="preserve"> </w:t>
      </w:r>
      <w:r w:rsidR="00D50EE9">
        <w:t xml:space="preserve">of usually three or more members, drawn from </w:t>
      </w:r>
      <w:r w:rsidR="00F60E68">
        <w:t xml:space="preserve">the members of </w:t>
      </w:r>
      <w:r w:rsidR="00D50EE9">
        <w:t xml:space="preserve">ARIC </w:t>
      </w:r>
      <w:r w:rsidR="00A85AD2">
        <w:t>to</w:t>
      </w:r>
      <w:r w:rsidR="000A3E22">
        <w:t>:</w:t>
      </w:r>
    </w:p>
    <w:p w14:paraId="337BCBF2" w14:textId="11E4D757" w:rsidR="00105D08" w:rsidRDefault="000A3E22" w:rsidP="00A46686">
      <w:pPr>
        <w:numPr>
          <w:ilvl w:val="0"/>
          <w:numId w:val="14"/>
        </w:numPr>
        <w:spacing w:before="120" w:after="120"/>
        <w:ind w:hanging="357"/>
      </w:pPr>
      <w:r>
        <w:t>Conduct an independent review</w:t>
      </w:r>
      <w:r w:rsidR="00A85AD2">
        <w:t xml:space="preserve"> of</w:t>
      </w:r>
      <w:r>
        <w:t xml:space="preserve"> the </w:t>
      </w:r>
      <w:r w:rsidRPr="00DB03BA">
        <w:t>process</w:t>
      </w:r>
      <w:r w:rsidR="00417497" w:rsidRPr="00DB03BA">
        <w:t>es</w:t>
      </w:r>
      <w:r>
        <w:t xml:space="preserve"> followed by a</w:t>
      </w:r>
      <w:r w:rsidR="005E3608">
        <w:t>n</w:t>
      </w:r>
      <w:r>
        <w:t xml:space="preserve"> institution in </w:t>
      </w:r>
      <w:r w:rsidR="009744DE">
        <w:t xml:space="preserve">the management or investigation of a potential breach of the Code </w:t>
      </w:r>
      <w:r w:rsidR="008F6E28">
        <w:t xml:space="preserve">to determine whether they </w:t>
      </w:r>
      <w:r w:rsidR="00417497">
        <w:t xml:space="preserve">were </w:t>
      </w:r>
      <w:r>
        <w:t xml:space="preserve">in accordance with the Code </w:t>
      </w:r>
      <w:r w:rsidR="008F6E28">
        <w:t xml:space="preserve">and </w:t>
      </w:r>
      <w:r w:rsidR="009744DE">
        <w:t>the Investigation Guide</w:t>
      </w:r>
      <w:r>
        <w:t xml:space="preserve"> and</w:t>
      </w:r>
      <w:r w:rsidR="00A85AD2">
        <w:t>/or</w:t>
      </w:r>
      <w:r>
        <w:t xml:space="preserve"> with relevant institutional policy and procedures. </w:t>
      </w:r>
    </w:p>
    <w:p w14:paraId="080DDEC3" w14:textId="724B89AA" w:rsidR="00532987" w:rsidRDefault="00A64446" w:rsidP="00A46686">
      <w:pPr>
        <w:numPr>
          <w:ilvl w:val="0"/>
          <w:numId w:val="14"/>
        </w:numPr>
        <w:spacing w:before="120" w:after="120"/>
      </w:pPr>
      <w:r>
        <w:t>Develop advice to</w:t>
      </w:r>
      <w:r w:rsidR="000A3E22">
        <w:t xml:space="preserve"> the </w:t>
      </w:r>
      <w:r w:rsidR="008F6E28">
        <w:t xml:space="preserve">relevant </w:t>
      </w:r>
      <w:r w:rsidR="000A3E22">
        <w:t xml:space="preserve">CEO </w:t>
      </w:r>
      <w:r>
        <w:t>on</w:t>
      </w:r>
      <w:r w:rsidR="000A3E22">
        <w:t xml:space="preserve"> the outcome of the review</w:t>
      </w:r>
      <w:r w:rsidR="008F6E28">
        <w:t xml:space="preserve"> and</w:t>
      </w:r>
      <w:r w:rsidR="00414E9C">
        <w:t>,</w:t>
      </w:r>
      <w:r w:rsidR="008F6E28">
        <w:t xml:space="preserve"> where relevant</w:t>
      </w:r>
      <w:r w:rsidR="00414E9C">
        <w:t>, on</w:t>
      </w:r>
      <w:r w:rsidR="008F6E28">
        <w:t xml:space="preserve"> any recommendations for further action</w:t>
      </w:r>
      <w:r w:rsidR="00414E9C">
        <w:t xml:space="preserve"> by an institution</w:t>
      </w:r>
      <w:r w:rsidR="000A3E22">
        <w:t xml:space="preserve">. </w:t>
      </w:r>
    </w:p>
    <w:p w14:paraId="74C42566" w14:textId="7151B825" w:rsidR="00532987" w:rsidRDefault="00532987" w:rsidP="00A46686">
      <w:pPr>
        <w:spacing w:before="120" w:after="120"/>
      </w:pPr>
      <w:r>
        <w:t xml:space="preserve">The relevant CEO will communicate </w:t>
      </w:r>
      <w:r w:rsidR="009817A7">
        <w:t xml:space="preserve">some or all of </w:t>
      </w:r>
      <w:r>
        <w:t>ARIC’s recommendations and advice to relevant parties.</w:t>
      </w:r>
    </w:p>
    <w:p w14:paraId="657CB76D" w14:textId="24C9E6F2" w:rsidR="00A6492B" w:rsidRDefault="00A6492B" w:rsidP="00A46686">
      <w:pPr>
        <w:spacing w:before="120" w:after="120"/>
      </w:pPr>
      <w:r w:rsidRPr="00D50EE9">
        <w:t>A panel will be chaired by the ARIC</w:t>
      </w:r>
      <w:r w:rsidR="00DA18C8">
        <w:t xml:space="preserve"> Chair</w:t>
      </w:r>
      <w:r w:rsidRPr="00D50EE9">
        <w:t xml:space="preserve"> or the </w:t>
      </w:r>
      <w:r w:rsidR="00987F7D">
        <w:t xml:space="preserve">Deputy </w:t>
      </w:r>
      <w:r w:rsidRPr="00D50EE9">
        <w:t>Chair.</w:t>
      </w:r>
      <w:r>
        <w:t xml:space="preserve"> </w:t>
      </w:r>
    </w:p>
    <w:p w14:paraId="236FF463" w14:textId="77777777" w:rsidR="00420991" w:rsidRDefault="00420991" w:rsidP="000372C1">
      <w:pPr>
        <w:spacing w:after="0"/>
      </w:pPr>
    </w:p>
    <w:p w14:paraId="6E35FEE2" w14:textId="29A33EE9" w:rsidR="00105D08" w:rsidRPr="00861562" w:rsidRDefault="005E3608" w:rsidP="000372C1">
      <w:pPr>
        <w:pStyle w:val="Heading2"/>
        <w:spacing w:before="0"/>
        <w:rPr>
          <w:rFonts w:ascii="Calibri" w:hAnsi="Calibri" w:cs="Calibri"/>
          <w:b w:val="0"/>
          <w:color w:val="365F91" w:themeColor="accent1" w:themeShade="BF"/>
          <w:sz w:val="24"/>
          <w:szCs w:val="24"/>
        </w:rPr>
      </w:pPr>
      <w:bookmarkStart w:id="8" w:name="_Toc54850110"/>
      <w:r w:rsidRPr="00861562">
        <w:rPr>
          <w:rFonts w:ascii="Calibri" w:hAnsi="Calibri" w:cs="Calibri"/>
          <w:b w:val="0"/>
          <w:color w:val="365F91" w:themeColor="accent1" w:themeShade="BF"/>
          <w:sz w:val="24"/>
          <w:szCs w:val="24"/>
        </w:rPr>
        <w:t>Matters outside the scope of an ARIC review</w:t>
      </w:r>
      <w:bookmarkEnd w:id="8"/>
    </w:p>
    <w:p w14:paraId="288017F1" w14:textId="0ABCC623" w:rsidR="00105D08" w:rsidRDefault="000A3E22" w:rsidP="00A46686">
      <w:pPr>
        <w:pStyle w:val="ListParagraph"/>
        <w:spacing w:before="120" w:after="120"/>
        <w:ind w:left="0"/>
        <w:contextualSpacing w:val="0"/>
      </w:pPr>
      <w:r>
        <w:t xml:space="preserve">ARIC will not enquire into: </w:t>
      </w:r>
    </w:p>
    <w:p w14:paraId="55234B7F" w14:textId="77777777" w:rsidR="00105D08" w:rsidRDefault="008535EA" w:rsidP="00A46686">
      <w:pPr>
        <w:pStyle w:val="ListParagraph"/>
        <w:numPr>
          <w:ilvl w:val="0"/>
          <w:numId w:val="24"/>
        </w:numPr>
        <w:spacing w:before="120" w:after="120"/>
        <w:ind w:left="426"/>
        <w:contextualSpacing w:val="0"/>
      </w:pPr>
      <w:r>
        <w:t xml:space="preserve">The conduct, act or omission that is alleged to be a </w:t>
      </w:r>
      <w:r w:rsidR="009744DE">
        <w:t xml:space="preserve">potential </w:t>
      </w:r>
      <w:r>
        <w:t xml:space="preserve">breach of the Code </w:t>
      </w:r>
      <w:r w:rsidR="000A3E22">
        <w:t xml:space="preserve">(as distinct from complaints about institutions’ processes in response to </w:t>
      </w:r>
      <w:r>
        <w:t>potential breaches of the Code</w:t>
      </w:r>
      <w:r w:rsidR="000A3E22">
        <w:t>).</w:t>
      </w:r>
    </w:p>
    <w:p w14:paraId="461423E6" w14:textId="7E33D50E" w:rsidR="00105D08" w:rsidRDefault="000A3E22" w:rsidP="00A46686">
      <w:pPr>
        <w:pStyle w:val="ListParagraph"/>
        <w:numPr>
          <w:ilvl w:val="0"/>
          <w:numId w:val="24"/>
        </w:numPr>
        <w:spacing w:before="120" w:after="120"/>
        <w:ind w:left="426"/>
        <w:contextualSpacing w:val="0"/>
      </w:pPr>
      <w:r>
        <w:t xml:space="preserve">The merits of any findings made by </w:t>
      </w:r>
      <w:r w:rsidR="002F3D60">
        <w:t>the</w:t>
      </w:r>
      <w:r w:rsidR="00CE03E0">
        <w:t xml:space="preserve"> i</w:t>
      </w:r>
      <w:r w:rsidR="002F3D60">
        <w:t xml:space="preserve">nstitution </w:t>
      </w:r>
      <w:r w:rsidR="009B3C0C">
        <w:t>in a preliminary assessment or by an</w:t>
      </w:r>
      <w:r w:rsidR="00CE03E0">
        <w:t xml:space="preserve"> i</w:t>
      </w:r>
      <w:r w:rsidR="009B3C0C">
        <w:t xml:space="preserve">nvestigation </w:t>
      </w:r>
      <w:r w:rsidR="00CE03E0">
        <w:t>p</w:t>
      </w:r>
      <w:r w:rsidR="009B3C0C">
        <w:t>anel</w:t>
      </w:r>
      <w:r>
        <w:t xml:space="preserve"> (whether internal or external) at the institutional level</w:t>
      </w:r>
      <w:r w:rsidR="00143C96">
        <w:t>, except to the extent that a finding of an error or flaw in the institution’s processes necessarily reflects on the merits of the</w:t>
      </w:r>
      <w:r w:rsidR="009B3C0C">
        <w:t xml:space="preserve"> preliminary assessment or</w:t>
      </w:r>
      <w:r w:rsidR="00143C96">
        <w:t xml:space="preserve"> finding</w:t>
      </w:r>
      <w:r w:rsidR="009B3C0C">
        <w:t xml:space="preserve">s of the </w:t>
      </w:r>
      <w:r w:rsidR="00CE03E0">
        <w:t>i</w:t>
      </w:r>
      <w:r w:rsidR="009B3C0C">
        <w:t xml:space="preserve">nvestigation </w:t>
      </w:r>
      <w:r w:rsidR="00CE03E0">
        <w:t>p</w:t>
      </w:r>
      <w:r w:rsidR="009B3C0C">
        <w:t>anel</w:t>
      </w:r>
      <w:r w:rsidR="00143C96">
        <w:t xml:space="preserve"> conducted under those processes.</w:t>
      </w:r>
    </w:p>
    <w:p w14:paraId="0DB20374" w14:textId="6D9C14A4" w:rsidR="00105D08" w:rsidRDefault="000A3E22" w:rsidP="00A46686">
      <w:pPr>
        <w:pStyle w:val="ListParagraph"/>
        <w:numPr>
          <w:ilvl w:val="0"/>
          <w:numId w:val="24"/>
        </w:numPr>
        <w:spacing w:before="120" w:after="120"/>
        <w:ind w:left="426"/>
        <w:contextualSpacing w:val="0"/>
      </w:pPr>
      <w:r>
        <w:t xml:space="preserve">Institutional processes involving allegations of misconduct on the part of an employee other than </w:t>
      </w:r>
      <w:r w:rsidR="009B3C0C">
        <w:t>potential breaches of the Code</w:t>
      </w:r>
      <w:r>
        <w:t>, and any sanctions applied to such a matter.</w:t>
      </w:r>
    </w:p>
    <w:p w14:paraId="013B24E7" w14:textId="77777777" w:rsidR="00105D08" w:rsidRDefault="000A3E22" w:rsidP="00A46686">
      <w:pPr>
        <w:pStyle w:val="ListParagraph"/>
        <w:numPr>
          <w:ilvl w:val="0"/>
          <w:numId w:val="24"/>
        </w:numPr>
        <w:spacing w:before="120" w:after="120"/>
        <w:ind w:left="426"/>
        <w:contextualSpacing w:val="0"/>
      </w:pPr>
      <w:r>
        <w:t xml:space="preserve">Institutional decisions regarding sanctions consequent upon a finding of </w:t>
      </w:r>
      <w:r w:rsidR="009B3C0C">
        <w:t>a breach of the Code</w:t>
      </w:r>
      <w:r>
        <w:t>.</w:t>
      </w:r>
    </w:p>
    <w:p w14:paraId="55036864" w14:textId="3FF05C7A" w:rsidR="00105D08" w:rsidRDefault="000A3E22" w:rsidP="00A46686">
      <w:pPr>
        <w:pStyle w:val="ListParagraph"/>
        <w:numPr>
          <w:ilvl w:val="0"/>
          <w:numId w:val="24"/>
        </w:numPr>
        <w:spacing w:before="120" w:after="120"/>
        <w:ind w:left="426"/>
        <w:contextualSpacing w:val="0"/>
      </w:pPr>
      <w:r>
        <w:t xml:space="preserve">Funding agency decisions </w:t>
      </w:r>
      <w:r w:rsidR="002F3D60">
        <w:t xml:space="preserve">about actions </w:t>
      </w:r>
      <w:r>
        <w:t xml:space="preserve">consequent upon a finding of </w:t>
      </w:r>
      <w:r w:rsidR="009B3C0C">
        <w:t>a breach of the Code</w:t>
      </w:r>
      <w:r>
        <w:t xml:space="preserve">. </w:t>
      </w:r>
    </w:p>
    <w:p w14:paraId="7EC8A030" w14:textId="77777777" w:rsidR="00105D08" w:rsidRDefault="000A3E22" w:rsidP="00A46686">
      <w:pPr>
        <w:pStyle w:val="ListParagraph"/>
        <w:numPr>
          <w:ilvl w:val="0"/>
          <w:numId w:val="24"/>
        </w:numPr>
        <w:spacing w:before="120" w:after="120"/>
        <w:ind w:left="426"/>
        <w:contextualSpacing w:val="0"/>
      </w:pPr>
      <w:r>
        <w:t>Institutional processes still underway</w:t>
      </w:r>
      <w:r w:rsidR="00D86B9D">
        <w:t xml:space="preserve"> (but see Grounds for Review below)</w:t>
      </w:r>
      <w:r>
        <w:t>.</w:t>
      </w:r>
    </w:p>
    <w:p w14:paraId="71B65143" w14:textId="0DF8DC8C" w:rsidR="009744DE" w:rsidRDefault="009744DE" w:rsidP="00A46686">
      <w:pPr>
        <w:pStyle w:val="ListParagraph"/>
        <w:numPr>
          <w:ilvl w:val="0"/>
          <w:numId w:val="24"/>
        </w:numPr>
        <w:spacing w:before="120" w:after="120"/>
        <w:ind w:left="426"/>
        <w:contextualSpacing w:val="0"/>
      </w:pPr>
      <w:r>
        <w:t>Any other matter that the CEO directs ARIC in writing to disregard.</w:t>
      </w:r>
    </w:p>
    <w:p w14:paraId="1F319C10" w14:textId="77777777" w:rsidR="00420991" w:rsidRDefault="00420991" w:rsidP="000372C1">
      <w:pPr>
        <w:pStyle w:val="ListParagraph"/>
        <w:spacing w:after="0"/>
        <w:ind w:left="426"/>
      </w:pPr>
    </w:p>
    <w:p w14:paraId="74EAF322" w14:textId="77777777" w:rsidR="00AB7964" w:rsidRPr="00861562" w:rsidRDefault="00AB7964" w:rsidP="000372C1">
      <w:pPr>
        <w:pStyle w:val="Heading2"/>
        <w:spacing w:before="0"/>
        <w:rPr>
          <w:rFonts w:ascii="Calibri" w:hAnsi="Calibri" w:cs="Calibri"/>
          <w:b w:val="0"/>
          <w:color w:val="365F91" w:themeColor="accent1" w:themeShade="BF"/>
          <w:sz w:val="24"/>
          <w:szCs w:val="24"/>
        </w:rPr>
      </w:pPr>
      <w:bookmarkStart w:id="9" w:name="_Toc54850111"/>
      <w:r w:rsidRPr="00861562">
        <w:rPr>
          <w:rFonts w:ascii="Calibri" w:hAnsi="Calibri" w:cs="Calibri"/>
          <w:b w:val="0"/>
          <w:color w:val="365F91" w:themeColor="accent1" w:themeShade="BF"/>
          <w:sz w:val="24"/>
          <w:szCs w:val="24"/>
        </w:rPr>
        <w:t>Possible outcomes of an ARIC review</w:t>
      </w:r>
      <w:bookmarkEnd w:id="9"/>
    </w:p>
    <w:p w14:paraId="075E8947" w14:textId="56ED35D1" w:rsidR="00746C4C" w:rsidRDefault="00AB7964" w:rsidP="00A46686">
      <w:pPr>
        <w:spacing w:before="120" w:after="120"/>
      </w:pPr>
      <w:r w:rsidRPr="00925BD6">
        <w:t>In preparing any recommendations</w:t>
      </w:r>
      <w:r w:rsidR="00746C4C">
        <w:t xml:space="preserve"> to the </w:t>
      </w:r>
      <w:r w:rsidR="008F6E28">
        <w:t xml:space="preserve">relevant </w:t>
      </w:r>
      <w:r w:rsidR="00746C4C">
        <w:t>CEO</w:t>
      </w:r>
      <w:r w:rsidRPr="00925BD6">
        <w:t xml:space="preserve">, ARIC must consider the extent to which </w:t>
      </w:r>
      <w:r w:rsidR="00746C4C">
        <w:t>its</w:t>
      </w:r>
      <w:r w:rsidRPr="00925BD6">
        <w:t xml:space="preserve"> proposed recommendations are proportional</w:t>
      </w:r>
      <w:r w:rsidR="00A47312">
        <w:t>, having regard</w:t>
      </w:r>
      <w:r w:rsidRPr="00925BD6">
        <w:t xml:space="preserve"> to the nature of the complaint and the </w:t>
      </w:r>
      <w:r w:rsidR="004A70D4">
        <w:t xml:space="preserve">community’s </w:t>
      </w:r>
      <w:r w:rsidR="00CE0863">
        <w:t xml:space="preserve">trust </w:t>
      </w:r>
      <w:r w:rsidR="004A70D4">
        <w:t>in</w:t>
      </w:r>
      <w:r w:rsidRPr="00925BD6">
        <w:t xml:space="preserve"> research integrity. </w:t>
      </w:r>
    </w:p>
    <w:p w14:paraId="487C3CD0" w14:textId="7C5E4EC4" w:rsidR="00746C4C" w:rsidRDefault="00AB7964" w:rsidP="00A46686">
      <w:pPr>
        <w:spacing w:before="120" w:after="120"/>
      </w:pPr>
      <w:r w:rsidRPr="00925BD6">
        <w:t xml:space="preserve">An ARIC </w:t>
      </w:r>
      <w:r w:rsidR="00764C54">
        <w:t>r</w:t>
      </w:r>
      <w:r w:rsidRPr="00925BD6">
        <w:t xml:space="preserve">eview may </w:t>
      </w:r>
      <w:r>
        <w:t>result in</w:t>
      </w:r>
      <w:r w:rsidRPr="00925BD6">
        <w:t xml:space="preserve"> general </w:t>
      </w:r>
      <w:r w:rsidR="00D77F63">
        <w:t xml:space="preserve">or specific </w:t>
      </w:r>
      <w:r w:rsidRPr="00925BD6">
        <w:t>advice</w:t>
      </w:r>
      <w:r w:rsidR="000F79EF">
        <w:t xml:space="preserve"> or recommendations</w:t>
      </w:r>
      <w:r>
        <w:t xml:space="preserve"> being provided </w:t>
      </w:r>
      <w:r w:rsidR="008F6E28">
        <w:t xml:space="preserve">to </w:t>
      </w:r>
      <w:r>
        <w:t>the CEO</w:t>
      </w:r>
      <w:r w:rsidR="00B26089">
        <w:t xml:space="preserve">. The advice </w:t>
      </w:r>
      <w:r w:rsidR="001F11A3">
        <w:t xml:space="preserve">from </w:t>
      </w:r>
      <w:r w:rsidR="00B26089">
        <w:t>ARIC may include</w:t>
      </w:r>
      <w:r w:rsidR="008F6E28">
        <w:t xml:space="preserve">: </w:t>
      </w:r>
      <w:r w:rsidRPr="00925BD6">
        <w:t xml:space="preserve"> </w:t>
      </w:r>
    </w:p>
    <w:p w14:paraId="0D1282C2" w14:textId="0590794A" w:rsidR="00746C4C" w:rsidRDefault="008F6E28" w:rsidP="00A46686">
      <w:pPr>
        <w:pStyle w:val="ListParagraph"/>
        <w:numPr>
          <w:ilvl w:val="0"/>
          <w:numId w:val="4"/>
        </w:numPr>
        <w:spacing w:before="120" w:after="120"/>
        <w:contextualSpacing w:val="0"/>
      </w:pPr>
      <w:r>
        <w:t xml:space="preserve">advice on improvements an institution </w:t>
      </w:r>
      <w:r w:rsidR="00414E9C">
        <w:t>could or should</w:t>
      </w:r>
      <w:r>
        <w:t xml:space="preserve"> make to manage or investigate potential breaches of the Code in the future</w:t>
      </w:r>
      <w:r w:rsidR="00AB7964">
        <w:t xml:space="preserve"> </w:t>
      </w:r>
    </w:p>
    <w:p w14:paraId="65C13EDB" w14:textId="507BB7B8" w:rsidR="00746C4C" w:rsidRDefault="00B26089" w:rsidP="00A46686">
      <w:pPr>
        <w:pStyle w:val="ListParagraph"/>
        <w:numPr>
          <w:ilvl w:val="0"/>
          <w:numId w:val="4"/>
        </w:numPr>
        <w:spacing w:before="120" w:after="120"/>
        <w:contextualSpacing w:val="0"/>
      </w:pPr>
      <w:r>
        <w:t xml:space="preserve">that an institution should </w:t>
      </w:r>
      <w:r w:rsidR="00AB7964">
        <w:t>offer an apology to the complainant</w:t>
      </w:r>
      <w:r w:rsidR="00746C4C">
        <w:t xml:space="preserve"> or the applicant</w:t>
      </w:r>
      <w:r w:rsidR="00AB7964">
        <w:t xml:space="preserve"> </w:t>
      </w:r>
    </w:p>
    <w:p w14:paraId="5471D5E8" w14:textId="6E6FB939" w:rsidR="00746C4C" w:rsidRDefault="00B26089" w:rsidP="00A46686">
      <w:pPr>
        <w:pStyle w:val="ListParagraph"/>
        <w:numPr>
          <w:ilvl w:val="0"/>
          <w:numId w:val="4"/>
        </w:numPr>
        <w:spacing w:before="120" w:after="120"/>
        <w:contextualSpacing w:val="0"/>
      </w:pPr>
      <w:r>
        <w:lastRenderedPageBreak/>
        <w:t xml:space="preserve">that an </w:t>
      </w:r>
      <w:r w:rsidR="00AB7964">
        <w:t>independent individual</w:t>
      </w:r>
      <w:r w:rsidR="004A70D4">
        <w:t xml:space="preserve"> or individuals</w:t>
      </w:r>
      <w:r w:rsidR="00AB7964">
        <w:t xml:space="preserve"> </w:t>
      </w:r>
      <w:r>
        <w:t xml:space="preserve">should be engaged by an institution </w:t>
      </w:r>
      <w:r w:rsidR="00AB7964">
        <w:t>to provide an independent review of the merits of any finding of a breach of the Code</w:t>
      </w:r>
      <w:r w:rsidR="000A14C2">
        <w:t>,</w:t>
      </w:r>
      <w:r w:rsidR="00AB7964">
        <w:t xml:space="preserve"> </w:t>
      </w:r>
      <w:r w:rsidR="008B282B">
        <w:t xml:space="preserve">or </w:t>
      </w:r>
    </w:p>
    <w:p w14:paraId="2F35DB8F" w14:textId="644F3F9F" w:rsidR="00AB7964" w:rsidRDefault="001F11A3" w:rsidP="00A46686">
      <w:pPr>
        <w:pStyle w:val="ListParagraph"/>
        <w:numPr>
          <w:ilvl w:val="0"/>
          <w:numId w:val="4"/>
        </w:numPr>
        <w:spacing w:before="120" w:after="120"/>
        <w:contextualSpacing w:val="0"/>
      </w:pPr>
      <w:r>
        <w:t xml:space="preserve">that an institution should </w:t>
      </w:r>
      <w:r w:rsidR="00AB7964">
        <w:t xml:space="preserve">conduct a new </w:t>
      </w:r>
      <w:r w:rsidR="000A14C2">
        <w:t>preliminary assessment or investigation</w:t>
      </w:r>
      <w:r w:rsidR="00AB7964">
        <w:t>.</w:t>
      </w:r>
    </w:p>
    <w:p w14:paraId="718A95C1" w14:textId="690AA817" w:rsidR="0047532E" w:rsidRPr="00B74244" w:rsidRDefault="00DA1D21" w:rsidP="00A46686">
      <w:pPr>
        <w:spacing w:before="120" w:after="120"/>
        <w:rPr>
          <w:b/>
          <w:bCs/>
        </w:rPr>
      </w:pPr>
      <w:r w:rsidRPr="00B74244">
        <w:t xml:space="preserve">In deciding how to proceed with ARIC’s findings, the relevant CEO </w:t>
      </w:r>
      <w:r w:rsidR="001F11A3" w:rsidRPr="00B74244">
        <w:t xml:space="preserve">may </w:t>
      </w:r>
      <w:r w:rsidRPr="00B74244">
        <w:t>take</w:t>
      </w:r>
      <w:r w:rsidR="001F11A3" w:rsidRPr="00B74244">
        <w:t xml:space="preserve"> into account</w:t>
      </w:r>
      <w:r w:rsidRPr="00B74244">
        <w:t xml:space="preserve"> advice from ARIC </w:t>
      </w:r>
      <w:r w:rsidR="001F11A3" w:rsidRPr="00B74244">
        <w:t>as well as</w:t>
      </w:r>
      <w:r w:rsidRPr="00B74244">
        <w:t xml:space="preserve"> other relevant factors. For example, the CEO may consider information provided by the relevant parties in response to correspondence from ARIC and any other matters which are relevant to the respective funding agency.</w:t>
      </w:r>
    </w:p>
    <w:p w14:paraId="61A6DD99" w14:textId="77777777" w:rsidR="00A46686" w:rsidRDefault="00A46686" w:rsidP="006733AE">
      <w:pPr>
        <w:pStyle w:val="Heading2"/>
        <w:spacing w:before="0"/>
        <w:rPr>
          <w:rFonts w:ascii="Calibri" w:hAnsi="Calibri" w:cs="Calibri"/>
          <w:b w:val="0"/>
          <w:bCs w:val="0"/>
          <w:color w:val="365F91" w:themeColor="accent1" w:themeShade="BF"/>
          <w:sz w:val="24"/>
          <w:szCs w:val="24"/>
        </w:rPr>
      </w:pPr>
    </w:p>
    <w:p w14:paraId="7A58730B" w14:textId="3B23A612" w:rsidR="003662C3" w:rsidRPr="00861562" w:rsidRDefault="00D477AC" w:rsidP="006733AE">
      <w:pPr>
        <w:pStyle w:val="Heading2"/>
        <w:spacing w:before="0"/>
        <w:rPr>
          <w:rFonts w:ascii="Calibri" w:hAnsi="Calibri" w:cs="Calibri"/>
          <w:bCs w:val="0"/>
          <w:color w:val="365F91" w:themeColor="accent1" w:themeShade="BF"/>
          <w:sz w:val="24"/>
          <w:szCs w:val="24"/>
        </w:rPr>
      </w:pPr>
      <w:bookmarkStart w:id="10" w:name="_Toc54850112"/>
      <w:r w:rsidRPr="00861562">
        <w:rPr>
          <w:rFonts w:ascii="Calibri" w:hAnsi="Calibri" w:cs="Calibri"/>
          <w:b w:val="0"/>
          <w:bCs w:val="0"/>
          <w:color w:val="365F91" w:themeColor="accent1" w:themeShade="BF"/>
          <w:sz w:val="24"/>
          <w:szCs w:val="24"/>
        </w:rPr>
        <w:t>Use of</w:t>
      </w:r>
      <w:r w:rsidR="003662C3" w:rsidRPr="00861562">
        <w:rPr>
          <w:rFonts w:ascii="Calibri" w:hAnsi="Calibri" w:cs="Calibri"/>
          <w:b w:val="0"/>
          <w:bCs w:val="0"/>
          <w:color w:val="365F91" w:themeColor="accent1" w:themeShade="BF"/>
          <w:sz w:val="24"/>
          <w:szCs w:val="24"/>
        </w:rPr>
        <w:t xml:space="preserve"> the Investigation Guide</w:t>
      </w:r>
      <w:r w:rsidR="00BB038F" w:rsidRPr="00861562">
        <w:rPr>
          <w:rFonts w:ascii="Calibri" w:hAnsi="Calibri" w:cs="Calibri"/>
          <w:b w:val="0"/>
          <w:bCs w:val="0"/>
          <w:color w:val="365F91" w:themeColor="accent1" w:themeShade="BF"/>
          <w:sz w:val="24"/>
          <w:szCs w:val="24"/>
        </w:rPr>
        <w:t xml:space="preserve"> (for the Cod</w:t>
      </w:r>
      <w:r w:rsidR="00BB038F" w:rsidRPr="00E419C2">
        <w:rPr>
          <w:rFonts w:ascii="Calibri" w:hAnsi="Calibri" w:cs="Calibri"/>
          <w:b w:val="0"/>
          <w:bCs w:val="0"/>
          <w:color w:val="365F91" w:themeColor="accent1" w:themeShade="BF"/>
          <w:sz w:val="24"/>
          <w:szCs w:val="24"/>
        </w:rPr>
        <w:t>e)</w:t>
      </w:r>
      <w:bookmarkEnd w:id="10"/>
    </w:p>
    <w:p w14:paraId="79C5731F" w14:textId="77777777" w:rsidR="00D77F63" w:rsidRDefault="003662C3" w:rsidP="00A46686">
      <w:pPr>
        <w:spacing w:before="120" w:after="120"/>
      </w:pPr>
      <w:r w:rsidRPr="00B67B38">
        <w:t xml:space="preserve">The Investigation Guide outlines the preferred model for institutions to use to </w:t>
      </w:r>
      <w:r w:rsidR="00277014" w:rsidRPr="00B67B38">
        <w:t xml:space="preserve">manage and </w:t>
      </w:r>
      <w:r w:rsidRPr="00B67B38">
        <w:t>investigate potential breaches</w:t>
      </w:r>
      <w:r w:rsidR="00277014" w:rsidRPr="00B67B38">
        <w:t xml:space="preserve"> of the Code</w:t>
      </w:r>
      <w:r w:rsidRPr="00B67B38">
        <w:t>, determine any corrective actions to ensure the integrity of the research record</w:t>
      </w:r>
      <w:r w:rsidR="006862BF" w:rsidRPr="00B67B38">
        <w:t xml:space="preserve"> and when a finding of </w:t>
      </w:r>
      <w:r w:rsidR="00277014" w:rsidRPr="00B67B38">
        <w:t>‘</w:t>
      </w:r>
      <w:r w:rsidR="006862BF" w:rsidRPr="00B67B38">
        <w:t xml:space="preserve">research </w:t>
      </w:r>
      <w:r w:rsidR="00277014" w:rsidRPr="00B67B38">
        <w:t>mis</w:t>
      </w:r>
      <w:r w:rsidR="006862BF" w:rsidRPr="00B67B38">
        <w:t>conduct</w:t>
      </w:r>
      <w:r w:rsidR="00277014" w:rsidRPr="00B67B38">
        <w:t>’</w:t>
      </w:r>
      <w:r w:rsidR="006862BF" w:rsidRPr="00B67B38">
        <w:t xml:space="preserve"> may be </w:t>
      </w:r>
      <w:r w:rsidR="00D86B9D" w:rsidRPr="00B67B38">
        <w:t>appropriate</w:t>
      </w:r>
      <w:r w:rsidR="006862BF" w:rsidRPr="00B67B38">
        <w:t xml:space="preserve">. </w:t>
      </w:r>
      <w:r w:rsidR="00F13BE7" w:rsidRPr="00B67B38">
        <w:t>The Investigation Guide provides examples of the range of behaviours that can constitute a breach of the Code</w:t>
      </w:r>
      <w:r w:rsidR="00554AFB" w:rsidRPr="00B67B38">
        <w:t>, a range of factors to consider when determining the seriousness of a breach and a recommended definition of ‘research misconduct’</w:t>
      </w:r>
      <w:r w:rsidR="00F13BE7" w:rsidRPr="00B67B38">
        <w:t xml:space="preserve">. </w:t>
      </w:r>
    </w:p>
    <w:p w14:paraId="2E426901" w14:textId="068CD90A" w:rsidR="003662C3" w:rsidRPr="00B67B38" w:rsidRDefault="00261136" w:rsidP="00A46686">
      <w:pPr>
        <w:spacing w:before="120" w:after="120"/>
        <w:rPr>
          <w:b/>
          <w:bCs/>
        </w:rPr>
      </w:pPr>
      <w:r w:rsidRPr="00DB03BA">
        <w:rPr>
          <w:bCs/>
        </w:rPr>
        <w:t xml:space="preserve">From 1 </w:t>
      </w:r>
      <w:r w:rsidR="00FB21FD" w:rsidRPr="00DB03BA">
        <w:rPr>
          <w:bCs/>
        </w:rPr>
        <w:t xml:space="preserve">July </w:t>
      </w:r>
      <w:r w:rsidRPr="00DB03BA">
        <w:rPr>
          <w:bCs/>
        </w:rPr>
        <w:t>2019,</w:t>
      </w:r>
      <w:r w:rsidRPr="00B67B38">
        <w:rPr>
          <w:b/>
          <w:bCs/>
        </w:rPr>
        <w:t xml:space="preserve"> </w:t>
      </w:r>
      <w:r w:rsidR="00F13BE7" w:rsidRPr="00B67B38">
        <w:t xml:space="preserve">ARIC will use the Investigation Guide as </w:t>
      </w:r>
      <w:r w:rsidR="00FB21FD">
        <w:t>the</w:t>
      </w:r>
      <w:r w:rsidR="00FB21FD" w:rsidRPr="00B67B38">
        <w:t xml:space="preserve"> </w:t>
      </w:r>
      <w:r w:rsidR="00F13BE7" w:rsidRPr="00B67B38">
        <w:t>benchmark for reviewing how an institution funded by the ARC or NHMRC has managed a potential breach of the Code</w:t>
      </w:r>
      <w:r w:rsidR="00BF3EA9">
        <w:t xml:space="preserve"> </w:t>
      </w:r>
      <w:r w:rsidRPr="00B67B38">
        <w:rPr>
          <w:b/>
          <w:bCs/>
        </w:rPr>
        <w:t xml:space="preserve">(see </w:t>
      </w:r>
      <w:r w:rsidR="00242314">
        <w:rPr>
          <w:b/>
          <w:bCs/>
        </w:rPr>
        <w:t>Box</w:t>
      </w:r>
      <w:r w:rsidR="00B74244">
        <w:rPr>
          <w:b/>
          <w:bCs/>
        </w:rPr>
        <w:t xml:space="preserve"> 1</w:t>
      </w:r>
      <w:r w:rsidRPr="00B67B38">
        <w:rPr>
          <w:b/>
          <w:bCs/>
        </w:rPr>
        <w:t>)</w:t>
      </w:r>
      <w:r w:rsidR="00554AFB" w:rsidRPr="00B67B38">
        <w:t>.</w:t>
      </w:r>
      <w:r w:rsidR="00F13BE7" w:rsidRPr="00B67B38">
        <w:rPr>
          <w:rStyle w:val="FootnoteReference"/>
        </w:rPr>
        <w:footnoteReference w:id="6"/>
      </w:r>
      <w:r w:rsidR="00F13BE7" w:rsidRPr="00B67B38">
        <w:t xml:space="preserve"> </w:t>
      </w:r>
    </w:p>
    <w:p w14:paraId="0B43A6EA" w14:textId="5448871F" w:rsidR="00F13BE7" w:rsidRDefault="007C4789" w:rsidP="00A46686">
      <w:pPr>
        <w:spacing w:before="120" w:after="120"/>
      </w:pPr>
      <w:r>
        <w:t>I</w:t>
      </w:r>
      <w:r w:rsidR="00BF3EA9">
        <w:t xml:space="preserve">nstitutions </w:t>
      </w:r>
      <w:r w:rsidR="007A4F68">
        <w:t xml:space="preserve">must ensure their investigations </w:t>
      </w:r>
      <w:r w:rsidR="00D477AC">
        <w:t xml:space="preserve">are </w:t>
      </w:r>
      <w:r w:rsidR="007A4F68">
        <w:t>‘procedurally fair’</w:t>
      </w:r>
      <w:r w:rsidR="00BF3EA9">
        <w:t xml:space="preserve"> and the Investigation Guide provides a model as to how this can be achieved</w:t>
      </w:r>
      <w:r w:rsidR="007A4F68">
        <w:t xml:space="preserve">. </w:t>
      </w:r>
      <w:r w:rsidR="00AC5F6C">
        <w:t xml:space="preserve">ARIC will </w:t>
      </w:r>
      <w:r>
        <w:t xml:space="preserve">assess the extent to which an institution’s investigation has incorporated </w:t>
      </w:r>
      <w:r w:rsidR="007A4F68">
        <w:t>the principles of procedural fairness set out in Section</w:t>
      </w:r>
      <w:r w:rsidR="007C5271">
        <w:t xml:space="preserve"> 3 of the Investigation Guide, i.e.</w:t>
      </w:r>
      <w:r w:rsidR="0042627C">
        <w:t xml:space="preserve"> whether the </w:t>
      </w:r>
      <w:r w:rsidR="007C5271">
        <w:t>process</w:t>
      </w:r>
      <w:r w:rsidR="0042627C">
        <w:t xml:space="preserve"> was</w:t>
      </w:r>
      <w:r w:rsidR="00AC5F6C">
        <w:t xml:space="preserve"> proportional, fair, impartial, timely, transparent and confidential.</w:t>
      </w:r>
      <w:r w:rsidR="007A4F68">
        <w:rPr>
          <w:rStyle w:val="FootnoteReference"/>
        </w:rPr>
        <w:footnoteReference w:id="7"/>
      </w:r>
      <w:r w:rsidR="00AC5F6C">
        <w:t xml:space="preserve"> ARIC will also be guided by the institutional responsibilities in the Code, in particular </w:t>
      </w:r>
      <w:r w:rsidR="007A4F68">
        <w:t xml:space="preserve">R9-R13 </w:t>
      </w:r>
      <w:r w:rsidR="004A70D4">
        <w:t>and any other aspect of the Investigation Guide that is relevant to the review</w:t>
      </w:r>
      <w:r w:rsidR="007A4F68">
        <w:t>.</w:t>
      </w:r>
      <w:r w:rsidR="00AC5F6C">
        <w:t xml:space="preserve"> </w:t>
      </w:r>
      <w:r w:rsidR="009723BA">
        <w:t>At the commencement of a review, ARIC will seek advice from the relevant institution on which edition of the Code they applied to their investigation and copies of all relevant institutional policies.</w:t>
      </w:r>
    </w:p>
    <w:p w14:paraId="3D671422" w14:textId="645B882F" w:rsidR="0042627C" w:rsidRDefault="0042627C" w:rsidP="00A46686">
      <w:pPr>
        <w:spacing w:before="120" w:after="120"/>
      </w:pPr>
      <w:r>
        <w:t xml:space="preserve">Where a term is not defined in an </w:t>
      </w:r>
      <w:r w:rsidR="007C5271">
        <w:t>institution’s</w:t>
      </w:r>
      <w:r>
        <w:t xml:space="preserve"> policy but is defined in the Code or Investigation Guide, ARIC will adopt the Code or Investigation Guide’s definition. </w:t>
      </w:r>
      <w:r w:rsidR="007C5271">
        <w:t xml:space="preserve">A glossary of </w:t>
      </w:r>
      <w:r w:rsidR="00261136">
        <w:t xml:space="preserve">some </w:t>
      </w:r>
      <w:r w:rsidR="007C5271">
        <w:t>terms used in the Code and Investigation</w:t>
      </w:r>
      <w:r w:rsidR="00261136">
        <w:t xml:space="preserve"> Guide</w:t>
      </w:r>
      <w:r w:rsidR="007C5271">
        <w:t xml:space="preserve"> is at the end of this Framework. </w:t>
      </w:r>
    </w:p>
    <w:p w14:paraId="26846EEF" w14:textId="26021DF2" w:rsidR="00B74244" w:rsidRDefault="00B74244">
      <w:pPr>
        <w:spacing w:after="0" w:line="240" w:lineRule="auto"/>
      </w:pPr>
      <w:r>
        <w:br w:type="page"/>
      </w:r>
    </w:p>
    <w:tbl>
      <w:tblPr>
        <w:tblStyle w:val="TableGrid"/>
        <w:tblW w:w="0" w:type="auto"/>
        <w:tblLook w:val="04A0" w:firstRow="1" w:lastRow="0" w:firstColumn="1" w:lastColumn="0" w:noHBand="0" w:noVBand="1"/>
      </w:tblPr>
      <w:tblGrid>
        <w:gridCol w:w="9736"/>
      </w:tblGrid>
      <w:tr w:rsidR="00D86B9D" w14:paraId="0C8DC3F7" w14:textId="625DD661" w:rsidTr="00A23F73">
        <w:tc>
          <w:tcPr>
            <w:tcW w:w="9962" w:type="dxa"/>
          </w:tcPr>
          <w:p w14:paraId="722AAB76" w14:textId="237E63D9" w:rsidR="007C4789" w:rsidRDefault="00242314" w:rsidP="00F71E02">
            <w:pPr>
              <w:rPr>
                <w:b/>
                <w:color w:val="4F81BD"/>
              </w:rPr>
            </w:pPr>
            <w:r>
              <w:rPr>
                <w:b/>
                <w:color w:val="4F81BD"/>
              </w:rPr>
              <w:lastRenderedPageBreak/>
              <w:t>Box</w:t>
            </w:r>
            <w:r w:rsidR="007C4789">
              <w:rPr>
                <w:b/>
                <w:color w:val="4F81BD"/>
              </w:rPr>
              <w:t xml:space="preserve"> 1</w:t>
            </w:r>
          </w:p>
          <w:p w14:paraId="367C2DE0" w14:textId="0C9F3112" w:rsidR="00D86B9D" w:rsidRDefault="006F7DD1" w:rsidP="00B67B38">
            <w:pPr>
              <w:jc w:val="center"/>
              <w:rPr>
                <w:b/>
                <w:color w:val="4F81BD"/>
              </w:rPr>
            </w:pPr>
            <w:r>
              <w:rPr>
                <w:b/>
                <w:color w:val="4F81BD"/>
              </w:rPr>
              <w:t>Transition to</w:t>
            </w:r>
            <w:r w:rsidR="00D86B9D">
              <w:rPr>
                <w:b/>
                <w:color w:val="4F81BD"/>
              </w:rPr>
              <w:t xml:space="preserve"> the 2018 Code</w:t>
            </w:r>
          </w:p>
          <w:p w14:paraId="54F8B5D4" w14:textId="624835A1" w:rsidR="00D86B9D" w:rsidRDefault="00B21A95" w:rsidP="00836DDE">
            <w:pPr>
              <w:spacing w:after="120"/>
              <w:rPr>
                <w:color w:val="4F81BD"/>
              </w:rPr>
            </w:pPr>
            <w:r>
              <w:rPr>
                <w:color w:val="4F81BD"/>
              </w:rPr>
              <w:t xml:space="preserve">Institutions should have updated their existing policies to reflect the principles and responsibilities of the </w:t>
            </w:r>
            <w:r w:rsidR="00D86B9D" w:rsidRPr="00AB2E21">
              <w:rPr>
                <w:color w:val="4F81BD"/>
              </w:rPr>
              <w:t>2018 Code and</w:t>
            </w:r>
            <w:r>
              <w:rPr>
                <w:color w:val="4F81BD"/>
              </w:rPr>
              <w:t xml:space="preserve"> the processes outlined in the</w:t>
            </w:r>
            <w:r w:rsidR="00D86B9D" w:rsidRPr="00AB2E21">
              <w:rPr>
                <w:color w:val="4F81BD"/>
              </w:rPr>
              <w:t xml:space="preserve"> Investigation Guide</w:t>
            </w:r>
            <w:r w:rsidR="00D86B9D">
              <w:rPr>
                <w:color w:val="4F81BD"/>
              </w:rPr>
              <w:t xml:space="preserve"> by 1 July 2019. </w:t>
            </w:r>
          </w:p>
          <w:p w14:paraId="64645C7B" w14:textId="4BCB8B31" w:rsidR="00D86B9D" w:rsidRDefault="00D86B9D" w:rsidP="00836DDE">
            <w:pPr>
              <w:spacing w:after="120"/>
              <w:rPr>
                <w:color w:val="4F81BD"/>
              </w:rPr>
            </w:pPr>
            <w:r>
              <w:rPr>
                <w:color w:val="4F81BD"/>
              </w:rPr>
              <w:t xml:space="preserve">Complaints or concerns received by an institution </w:t>
            </w:r>
            <w:r w:rsidR="00FB21FD">
              <w:rPr>
                <w:b/>
                <w:color w:val="4F81BD"/>
              </w:rPr>
              <w:t>on</w:t>
            </w:r>
            <w:r w:rsidR="00FB21FD" w:rsidRPr="006D3A89">
              <w:rPr>
                <w:b/>
                <w:color w:val="4F81BD"/>
              </w:rPr>
              <w:t xml:space="preserve"> </w:t>
            </w:r>
            <w:r w:rsidRPr="006D3A89">
              <w:rPr>
                <w:b/>
                <w:color w:val="4F81BD"/>
              </w:rPr>
              <w:t>or after 1 July 2019</w:t>
            </w:r>
            <w:r>
              <w:rPr>
                <w:color w:val="4F81BD"/>
              </w:rPr>
              <w:t xml:space="preserve"> should be managed and investigated consistently with the 2018 Code and Investigation Guide. From 1 July 2019, ARIC will apply the 2018 Code and Investigation Guide as its benchmark for reviewing how an institution funded by NHMRC or ARC has managed a potential breach of the Code.</w:t>
            </w:r>
          </w:p>
          <w:p w14:paraId="793CCC0C" w14:textId="0C4FC877" w:rsidR="00D86B9D" w:rsidRDefault="00D86B9D" w:rsidP="00836DDE">
            <w:pPr>
              <w:spacing w:after="120"/>
              <w:rPr>
                <w:color w:val="4F81BD"/>
              </w:rPr>
            </w:pPr>
            <w:r>
              <w:rPr>
                <w:color w:val="4F81BD"/>
              </w:rPr>
              <w:t xml:space="preserve">For complaints, concerns or allegations received by an institution </w:t>
            </w:r>
            <w:r w:rsidRPr="001847EA">
              <w:rPr>
                <w:b/>
                <w:color w:val="4F81BD"/>
              </w:rPr>
              <w:t>before 1 July 2019</w:t>
            </w:r>
            <w:r>
              <w:rPr>
                <w:color w:val="4F81BD"/>
              </w:rPr>
              <w:t xml:space="preserve">, </w:t>
            </w:r>
            <w:r w:rsidRPr="006D3A89">
              <w:rPr>
                <w:b/>
                <w:color w:val="4F81BD"/>
              </w:rPr>
              <w:t>but for which a preliminary assessment or investigation has not commenced</w:t>
            </w:r>
            <w:r w:rsidR="00D477AC">
              <w:rPr>
                <w:b/>
                <w:color w:val="4F81BD"/>
              </w:rPr>
              <w:t xml:space="preserve"> by 1 July 2019</w:t>
            </w:r>
            <w:r>
              <w:rPr>
                <w:color w:val="4F81BD"/>
              </w:rPr>
              <w:t>, it is recommended that institutions undertake any subsequent management or investigation consistently with the 2018 Code and Investigation Guide. ARIC will apply the 2018 Code and Investigation Guide as its benchmark for reviewing how an institution conducted the preliminary assessment, investigation and outcome processes.</w:t>
            </w:r>
          </w:p>
          <w:p w14:paraId="2C6CE1BF" w14:textId="4C8C5632" w:rsidR="00D86B9D" w:rsidRDefault="00D86B9D" w:rsidP="00836DDE">
            <w:pPr>
              <w:spacing w:after="120"/>
              <w:rPr>
                <w:color w:val="4F81BD"/>
              </w:rPr>
            </w:pPr>
            <w:r>
              <w:rPr>
                <w:color w:val="4F81BD"/>
              </w:rPr>
              <w:t xml:space="preserve">For complaints, concerns or allegations received by an institution </w:t>
            </w:r>
            <w:r w:rsidRPr="001847EA">
              <w:rPr>
                <w:b/>
                <w:color w:val="4F81BD"/>
              </w:rPr>
              <w:t xml:space="preserve">before 1 July 2019, and </w:t>
            </w:r>
            <w:r w:rsidRPr="00262CA8">
              <w:rPr>
                <w:b/>
                <w:color w:val="4F81BD"/>
              </w:rPr>
              <w:t xml:space="preserve">for which a determination has been made that a </w:t>
            </w:r>
            <w:r w:rsidRPr="00262CA8">
              <w:rPr>
                <w:b/>
                <w:i/>
                <w:color w:val="4F81BD"/>
              </w:rPr>
              <w:t xml:space="preserve">prima facie </w:t>
            </w:r>
            <w:r w:rsidRPr="00262CA8">
              <w:rPr>
                <w:b/>
                <w:color w:val="4F81BD"/>
              </w:rPr>
              <w:t xml:space="preserve">case exists </w:t>
            </w:r>
            <w:r w:rsidR="007F35AD">
              <w:rPr>
                <w:b/>
                <w:color w:val="4F81BD"/>
              </w:rPr>
              <w:t xml:space="preserve">(as per the 2007 Code) </w:t>
            </w:r>
            <w:r w:rsidRPr="00262CA8">
              <w:rPr>
                <w:b/>
                <w:color w:val="4F81BD"/>
              </w:rPr>
              <w:t>or where an inquiry is in progress</w:t>
            </w:r>
            <w:r>
              <w:rPr>
                <w:color w:val="4F81BD"/>
              </w:rPr>
              <w:t xml:space="preserve">, ARIC will apply the 2007 Code as its benchmark. </w:t>
            </w:r>
          </w:p>
          <w:p w14:paraId="681D19C0" w14:textId="547F496F" w:rsidR="00D86B9D" w:rsidRDefault="00D86B9D" w:rsidP="00836DDE">
            <w:pPr>
              <w:spacing w:after="120"/>
              <w:rPr>
                <w:color w:val="4F81BD"/>
              </w:rPr>
            </w:pPr>
            <w:r>
              <w:rPr>
                <w:color w:val="4F81BD"/>
              </w:rPr>
              <w:t>ARIC will seek advice from institutions on which edition of the Code they applied to pre-1 July 2019 investigations.</w:t>
            </w:r>
          </w:p>
          <w:p w14:paraId="3F71D1E3" w14:textId="751FDC92" w:rsidR="00D86B9D" w:rsidRPr="00A87749" w:rsidRDefault="00D86B9D" w:rsidP="00836DDE">
            <w:pPr>
              <w:spacing w:after="120"/>
              <w:rPr>
                <w:color w:val="4F81BD"/>
              </w:rPr>
            </w:pPr>
            <w:r>
              <w:rPr>
                <w:b/>
                <w:color w:val="4F81BD"/>
              </w:rPr>
              <w:t>Note:</w:t>
            </w:r>
            <w:r>
              <w:rPr>
                <w:color w:val="4F81BD"/>
              </w:rPr>
              <w:t xml:space="preserve"> The above applies to the </w:t>
            </w:r>
            <w:r w:rsidRPr="006D3A89">
              <w:rPr>
                <w:i/>
                <w:color w:val="4F81BD"/>
              </w:rPr>
              <w:t>processes</w:t>
            </w:r>
            <w:r>
              <w:rPr>
                <w:color w:val="4F81BD"/>
              </w:rPr>
              <w:t xml:space="preserve"> that an institution is expected to apply when investigating a potential breach of the 2007 or 2018 Code. </w:t>
            </w:r>
            <w:r w:rsidR="00261136">
              <w:rPr>
                <w:color w:val="4F81BD"/>
              </w:rPr>
              <w:t>I</w:t>
            </w:r>
            <w:r>
              <w:rPr>
                <w:color w:val="4F81BD"/>
              </w:rPr>
              <w:t xml:space="preserve">nstitutions will need to ensure procedural fairness </w:t>
            </w:r>
            <w:r w:rsidR="00261136">
              <w:rPr>
                <w:color w:val="4F81BD"/>
              </w:rPr>
              <w:t xml:space="preserve">if </w:t>
            </w:r>
            <w:r>
              <w:rPr>
                <w:color w:val="4F81BD"/>
              </w:rPr>
              <w:t xml:space="preserve">they seek to apply the principles and responsibilities in the 2018 Code to </w:t>
            </w:r>
            <w:r>
              <w:rPr>
                <w:i/>
                <w:color w:val="4F81BD"/>
              </w:rPr>
              <w:t>conduct</w:t>
            </w:r>
            <w:r>
              <w:rPr>
                <w:color w:val="4F81BD"/>
              </w:rPr>
              <w:t xml:space="preserve"> that occurred before the institution </w:t>
            </w:r>
            <w:r w:rsidR="00FB21FD">
              <w:rPr>
                <w:color w:val="4F81BD"/>
              </w:rPr>
              <w:t>implemented</w:t>
            </w:r>
            <w:r>
              <w:rPr>
                <w:color w:val="4F81BD"/>
              </w:rPr>
              <w:t xml:space="preserve"> the 2018 Code.</w:t>
            </w:r>
          </w:p>
        </w:tc>
      </w:tr>
    </w:tbl>
    <w:p w14:paraId="5E7F39D4" w14:textId="5C89D7C3" w:rsidR="00105D08" w:rsidRPr="00861562" w:rsidRDefault="00623604">
      <w:pPr>
        <w:pStyle w:val="Heading2"/>
        <w:rPr>
          <w:rFonts w:ascii="Calibri" w:hAnsi="Calibri" w:cs="Calibri"/>
          <w:b w:val="0"/>
          <w:bCs w:val="0"/>
          <w:color w:val="365F91" w:themeColor="accent1" w:themeShade="BF"/>
          <w:sz w:val="24"/>
          <w:szCs w:val="24"/>
        </w:rPr>
      </w:pPr>
      <w:bookmarkStart w:id="11" w:name="_Toc54850113"/>
      <w:r w:rsidRPr="00861562">
        <w:rPr>
          <w:rFonts w:ascii="Calibri" w:hAnsi="Calibri" w:cs="Calibri"/>
          <w:b w:val="0"/>
          <w:bCs w:val="0"/>
          <w:color w:val="365F91" w:themeColor="accent1" w:themeShade="BF"/>
          <w:sz w:val="24"/>
          <w:szCs w:val="24"/>
        </w:rPr>
        <w:t>Relation</w:t>
      </w:r>
      <w:r w:rsidR="00D77F63" w:rsidRPr="00861562">
        <w:rPr>
          <w:rFonts w:ascii="Calibri" w:hAnsi="Calibri" w:cs="Calibri"/>
          <w:b w:val="0"/>
          <w:bCs w:val="0"/>
          <w:color w:val="365F91" w:themeColor="accent1" w:themeShade="BF"/>
          <w:sz w:val="24"/>
          <w:szCs w:val="24"/>
        </w:rPr>
        <w:t>ship</w:t>
      </w:r>
      <w:r w:rsidRPr="00861562">
        <w:rPr>
          <w:rFonts w:ascii="Calibri" w:hAnsi="Calibri" w:cs="Calibri"/>
          <w:b w:val="0"/>
          <w:bCs w:val="0"/>
          <w:color w:val="365F91" w:themeColor="accent1" w:themeShade="BF"/>
          <w:sz w:val="24"/>
          <w:szCs w:val="24"/>
        </w:rPr>
        <w:t xml:space="preserve"> to </w:t>
      </w:r>
      <w:r w:rsidR="00414E9C" w:rsidRPr="00861562">
        <w:rPr>
          <w:rFonts w:ascii="Calibri" w:hAnsi="Calibri" w:cs="Calibri"/>
          <w:b w:val="0"/>
          <w:bCs w:val="0"/>
          <w:color w:val="365F91" w:themeColor="accent1" w:themeShade="BF"/>
          <w:sz w:val="24"/>
          <w:szCs w:val="24"/>
        </w:rPr>
        <w:t xml:space="preserve">enterprise </w:t>
      </w:r>
      <w:r w:rsidRPr="00861562">
        <w:rPr>
          <w:rFonts w:ascii="Calibri" w:hAnsi="Calibri" w:cs="Calibri"/>
          <w:b w:val="0"/>
          <w:bCs w:val="0"/>
          <w:color w:val="365F91" w:themeColor="accent1" w:themeShade="BF"/>
          <w:sz w:val="24"/>
          <w:szCs w:val="24"/>
        </w:rPr>
        <w:t>a</w:t>
      </w:r>
      <w:r w:rsidR="000A3E22" w:rsidRPr="00861562">
        <w:rPr>
          <w:rFonts w:ascii="Calibri" w:hAnsi="Calibri" w:cs="Calibri"/>
          <w:b w:val="0"/>
          <w:bCs w:val="0"/>
          <w:color w:val="365F91" w:themeColor="accent1" w:themeShade="BF"/>
          <w:sz w:val="24"/>
          <w:szCs w:val="24"/>
        </w:rPr>
        <w:t>greements</w:t>
      </w:r>
      <w:bookmarkEnd w:id="11"/>
    </w:p>
    <w:p w14:paraId="51DA7040" w14:textId="22E5384B" w:rsidR="00105D08" w:rsidRDefault="000A3E22" w:rsidP="00A46686">
      <w:pPr>
        <w:spacing w:before="120" w:after="120"/>
      </w:pPr>
      <w:r>
        <w:t xml:space="preserve">ARIC </w:t>
      </w:r>
      <w:r w:rsidR="00D477AC">
        <w:t xml:space="preserve">reviews </w:t>
      </w:r>
      <w:r>
        <w:t xml:space="preserve">will respect the legal status of instruments, including </w:t>
      </w:r>
      <w:r w:rsidR="00FB21FD">
        <w:t xml:space="preserve">enterprise </w:t>
      </w:r>
      <w:r>
        <w:t>agreements</w:t>
      </w:r>
      <w:r w:rsidR="00FB21FD">
        <w:t xml:space="preserve"> that regulate</w:t>
      </w:r>
      <w:r>
        <w:t xml:space="preserve"> employment conditions.</w:t>
      </w:r>
      <w:r w:rsidR="007C5271">
        <w:t xml:space="preserve"> In particular, ARIC will be mindful that, in implementing the Code and Investigation Guide, institutions will need to consider the legal framework within which they operate</w:t>
      </w:r>
      <w:r w:rsidR="00AB2E21">
        <w:t>, as processes established in workplace and student disciplinary agreements may prevail over the model set out in the Investigation Guide.</w:t>
      </w:r>
    </w:p>
    <w:p w14:paraId="4EAD615F" w14:textId="77777777" w:rsidR="00A822E1" w:rsidRDefault="00A822E1" w:rsidP="00A822E1">
      <w:pPr>
        <w:spacing w:after="120"/>
      </w:pPr>
    </w:p>
    <w:p w14:paraId="44113937" w14:textId="6512EEAE" w:rsidR="00105D08" w:rsidRPr="00861562" w:rsidRDefault="000A3E22" w:rsidP="00A822E1">
      <w:pPr>
        <w:pStyle w:val="Heading1"/>
        <w:spacing w:before="0" w:after="120"/>
        <w:rPr>
          <w:rFonts w:ascii="Calibri" w:hAnsi="Calibri" w:cs="Calibri"/>
          <w:color w:val="365F91" w:themeColor="accent1" w:themeShade="BF"/>
        </w:rPr>
      </w:pPr>
      <w:bookmarkStart w:id="12" w:name="_Toc54850114"/>
      <w:r w:rsidRPr="00861562">
        <w:rPr>
          <w:rFonts w:ascii="Calibri" w:hAnsi="Calibri" w:cs="Calibri"/>
          <w:color w:val="365F91" w:themeColor="accent1" w:themeShade="BF"/>
        </w:rPr>
        <w:t xml:space="preserve">Section </w:t>
      </w:r>
      <w:r w:rsidR="00457E69" w:rsidRPr="00861562">
        <w:rPr>
          <w:rFonts w:ascii="Calibri" w:hAnsi="Calibri" w:cs="Calibri"/>
          <w:color w:val="365F91" w:themeColor="accent1" w:themeShade="BF"/>
        </w:rPr>
        <w:t>2</w:t>
      </w:r>
      <w:r w:rsidRPr="00861562">
        <w:rPr>
          <w:rFonts w:ascii="Calibri" w:hAnsi="Calibri" w:cs="Calibri"/>
          <w:color w:val="365F91" w:themeColor="accent1" w:themeShade="BF"/>
        </w:rPr>
        <w:t>: Requests for ARIC Review</w:t>
      </w:r>
      <w:bookmarkEnd w:id="12"/>
    </w:p>
    <w:p w14:paraId="63CCD762" w14:textId="0BED36BD" w:rsidR="00350662" w:rsidRPr="00861562" w:rsidRDefault="00350662" w:rsidP="006733AE">
      <w:pPr>
        <w:pStyle w:val="Heading2"/>
        <w:spacing w:before="0"/>
        <w:rPr>
          <w:rFonts w:ascii="Calibri" w:hAnsi="Calibri" w:cs="Calibri"/>
          <w:b w:val="0"/>
          <w:color w:val="365F91" w:themeColor="accent1" w:themeShade="BF"/>
          <w:sz w:val="24"/>
          <w:szCs w:val="24"/>
        </w:rPr>
      </w:pPr>
      <w:bookmarkStart w:id="13" w:name="_Toc54850115"/>
      <w:r w:rsidRPr="00861562">
        <w:rPr>
          <w:rFonts w:ascii="Calibri" w:hAnsi="Calibri" w:cs="Calibri"/>
          <w:b w:val="0"/>
          <w:color w:val="365F91" w:themeColor="accent1" w:themeShade="BF"/>
          <w:sz w:val="24"/>
          <w:szCs w:val="24"/>
        </w:rPr>
        <w:t>What can ARIC review</w:t>
      </w:r>
      <w:bookmarkEnd w:id="13"/>
    </w:p>
    <w:p w14:paraId="446FB3BA" w14:textId="3C72234C" w:rsidR="00350662" w:rsidRPr="00350662" w:rsidRDefault="00350662" w:rsidP="00A46686">
      <w:pPr>
        <w:spacing w:before="120" w:after="120"/>
      </w:pPr>
      <w:r>
        <w:t xml:space="preserve">Under </w:t>
      </w:r>
      <w:r w:rsidR="001A2BA9">
        <w:t xml:space="preserve">ARIC’s </w:t>
      </w:r>
      <w:r w:rsidR="00261136" w:rsidRPr="00B67B38">
        <w:rPr>
          <w:bCs/>
        </w:rPr>
        <w:t>t</w:t>
      </w:r>
      <w:r w:rsidRPr="00B67B38">
        <w:t xml:space="preserve">erms of </w:t>
      </w:r>
      <w:r w:rsidR="00261136" w:rsidRPr="00B67B38">
        <w:rPr>
          <w:bCs/>
        </w:rPr>
        <w:t>r</w:t>
      </w:r>
      <w:r w:rsidR="00261136" w:rsidRPr="00B67B38">
        <w:t>eference</w:t>
      </w:r>
      <w:r>
        <w:t>, a</w:t>
      </w:r>
      <w:r w:rsidRPr="00350662">
        <w:t xml:space="preserve">pplications for </w:t>
      </w:r>
      <w:r w:rsidR="00277014">
        <w:t xml:space="preserve">an </w:t>
      </w:r>
      <w:r w:rsidRPr="009817A7">
        <w:t xml:space="preserve">ARIC review may be made </w:t>
      </w:r>
      <w:r w:rsidRPr="00A47312">
        <w:rPr>
          <w:u w:val="single"/>
        </w:rPr>
        <w:t>only in relation to</w:t>
      </w:r>
      <w:r w:rsidR="001A2BA9" w:rsidRPr="00A47312">
        <w:rPr>
          <w:u w:val="single"/>
        </w:rPr>
        <w:t xml:space="preserve"> the processes used by institutions</w:t>
      </w:r>
      <w:r w:rsidR="001A2BA9">
        <w:t xml:space="preserve"> to investigate</w:t>
      </w:r>
      <w:r w:rsidRPr="00350662">
        <w:t>:</w:t>
      </w:r>
    </w:p>
    <w:p w14:paraId="0C4EBA58" w14:textId="491DBE14" w:rsidR="00350662" w:rsidRDefault="00C85B92" w:rsidP="00A46686">
      <w:pPr>
        <w:numPr>
          <w:ilvl w:val="2"/>
          <w:numId w:val="14"/>
        </w:numPr>
        <w:spacing w:before="120" w:after="120"/>
      </w:pPr>
      <w:r>
        <w:t xml:space="preserve">potential </w:t>
      </w:r>
      <w:r w:rsidR="00350662">
        <w:t>breaches of the Code involving</w:t>
      </w:r>
      <w:r w:rsidR="006A01F1">
        <w:t xml:space="preserve"> </w:t>
      </w:r>
      <w:r w:rsidR="004A70D4">
        <w:t>research</w:t>
      </w:r>
      <w:r w:rsidR="00350662">
        <w:t xml:space="preserve"> at or under the auspices of institutions in receipt of research funding under the </w:t>
      </w:r>
      <w:r w:rsidR="00350662" w:rsidRPr="006B5FD6">
        <w:rPr>
          <w:i/>
        </w:rPr>
        <w:t>National Health and Medical Research Council Act 1992</w:t>
      </w:r>
      <w:r w:rsidR="00503943">
        <w:rPr>
          <w:i/>
        </w:rPr>
        <w:t>,</w:t>
      </w:r>
      <w:r w:rsidR="00350662">
        <w:t xml:space="preserve"> </w:t>
      </w:r>
      <w:r w:rsidR="00D86B9D">
        <w:t>or</w:t>
      </w:r>
    </w:p>
    <w:p w14:paraId="434F784B" w14:textId="2BB60298" w:rsidR="00350662" w:rsidRDefault="00C85B92" w:rsidP="00A46686">
      <w:pPr>
        <w:numPr>
          <w:ilvl w:val="2"/>
          <w:numId w:val="14"/>
        </w:numPr>
        <w:spacing w:before="120" w:after="120"/>
        <w:ind w:left="1077" w:hanging="357"/>
      </w:pPr>
      <w:r>
        <w:t xml:space="preserve">potential </w:t>
      </w:r>
      <w:r w:rsidR="00350662">
        <w:t xml:space="preserve">breaches of the Code involving research conducted at or under the auspices of institutions in receipt of research funding under the </w:t>
      </w:r>
      <w:r w:rsidR="00350662" w:rsidRPr="006B5FD6">
        <w:rPr>
          <w:i/>
        </w:rPr>
        <w:t>Australian Research Council Act 2001</w:t>
      </w:r>
      <w:r w:rsidR="00350662">
        <w:t xml:space="preserve"> and/or </w:t>
      </w:r>
      <w:r w:rsidR="00350662">
        <w:lastRenderedPageBreak/>
        <w:t xml:space="preserve">of funding under any of the research grants specified in the table at section 41-10(1) of the </w:t>
      </w:r>
      <w:r w:rsidR="00350662" w:rsidRPr="006B5FD6">
        <w:rPr>
          <w:i/>
        </w:rPr>
        <w:t>Higher Education Support Act 2003</w:t>
      </w:r>
      <w:r w:rsidR="00350662">
        <w:t xml:space="preserve"> at items 7, 8, 10 and 11(b)</w:t>
      </w:r>
      <w:r w:rsidR="00D86B9D">
        <w:t>.</w:t>
      </w:r>
    </w:p>
    <w:p w14:paraId="3FF709D0" w14:textId="5355E5DC" w:rsidR="004A70D4" w:rsidRDefault="004A70D4" w:rsidP="00A46686">
      <w:pPr>
        <w:spacing w:before="120" w:after="120"/>
      </w:pPr>
      <w:r>
        <w:t xml:space="preserve">The ARIC Secretariat will determine whether a matter should be referred to ARIC-NHMRC or ARIC-ARC depending on the </w:t>
      </w:r>
      <w:r w:rsidR="00DE2B4A">
        <w:t>nature of the research, the institution at which the research occurred</w:t>
      </w:r>
      <w:r w:rsidR="009723BA">
        <w:t xml:space="preserve"> and whether the research in question was funded by one of the Funding Agencies.</w:t>
      </w:r>
    </w:p>
    <w:p w14:paraId="215FFECB" w14:textId="77777777" w:rsidR="007C43EB" w:rsidRDefault="007C43EB" w:rsidP="000372C1">
      <w:pPr>
        <w:spacing w:after="0"/>
      </w:pPr>
    </w:p>
    <w:p w14:paraId="5AC6A32C" w14:textId="77777777" w:rsidR="007E1803" w:rsidRPr="00861562" w:rsidRDefault="007E1803" w:rsidP="000372C1">
      <w:pPr>
        <w:pStyle w:val="Heading2"/>
        <w:spacing w:before="0"/>
        <w:rPr>
          <w:rFonts w:ascii="Calibri" w:hAnsi="Calibri" w:cs="Calibri"/>
          <w:b w:val="0"/>
          <w:color w:val="365F91" w:themeColor="accent1" w:themeShade="BF"/>
          <w:sz w:val="24"/>
          <w:szCs w:val="24"/>
        </w:rPr>
      </w:pPr>
      <w:bookmarkStart w:id="14" w:name="_Toc54850116"/>
      <w:r w:rsidRPr="00861562">
        <w:rPr>
          <w:rFonts w:ascii="Calibri" w:hAnsi="Calibri" w:cs="Calibri"/>
          <w:b w:val="0"/>
          <w:color w:val="365F91" w:themeColor="accent1" w:themeShade="BF"/>
          <w:sz w:val="24"/>
          <w:szCs w:val="24"/>
        </w:rPr>
        <w:t>Grounds for review</w:t>
      </w:r>
      <w:bookmarkEnd w:id="14"/>
    </w:p>
    <w:p w14:paraId="116EA53B" w14:textId="3019E03C" w:rsidR="007E1803" w:rsidRDefault="007E1803" w:rsidP="00A46686">
      <w:pPr>
        <w:spacing w:before="120" w:after="120"/>
      </w:pPr>
      <w:r>
        <w:t>Grounds for review include that the institution’s process</w:t>
      </w:r>
      <w:r w:rsidR="001A2BA9">
        <w:t>es</w:t>
      </w:r>
      <w:r>
        <w:t xml:space="preserve"> allegedly: </w:t>
      </w:r>
    </w:p>
    <w:p w14:paraId="5CC57E88" w14:textId="641AB122" w:rsidR="007E1803" w:rsidRDefault="007E1803" w:rsidP="00A46686">
      <w:pPr>
        <w:pStyle w:val="ListParagraph"/>
        <w:numPr>
          <w:ilvl w:val="1"/>
          <w:numId w:val="17"/>
        </w:numPr>
        <w:spacing w:before="120" w:after="120"/>
        <w:contextualSpacing w:val="0"/>
      </w:pPr>
      <w:r>
        <w:t xml:space="preserve">involved a breach of procedural fairness as defined in the Code and </w:t>
      </w:r>
      <w:r w:rsidR="00D86B9D">
        <w:t xml:space="preserve">section 3 of the </w:t>
      </w:r>
      <w:r>
        <w:t xml:space="preserve">Investigation Guide </w:t>
      </w:r>
    </w:p>
    <w:p w14:paraId="1F9406CB" w14:textId="566D1340" w:rsidR="007E1803" w:rsidRDefault="001A2BA9" w:rsidP="00A46686">
      <w:pPr>
        <w:pStyle w:val="ListParagraph"/>
        <w:numPr>
          <w:ilvl w:val="1"/>
          <w:numId w:val="17"/>
        </w:numPr>
        <w:spacing w:before="120" w:after="120"/>
        <w:contextualSpacing w:val="0"/>
      </w:pPr>
      <w:r>
        <w:t xml:space="preserve">were </w:t>
      </w:r>
      <w:r w:rsidR="007E1803">
        <w:t>carried out in an untimely manner that compromised procedural fairness or resulted in detriment to the complainant or respondent</w:t>
      </w:r>
      <w:r w:rsidR="0017750E">
        <w:t>,</w:t>
      </w:r>
      <w:r w:rsidR="00D77F63">
        <w:t xml:space="preserve"> </w:t>
      </w:r>
      <w:r w:rsidR="007E1803">
        <w:t>or</w:t>
      </w:r>
    </w:p>
    <w:p w14:paraId="0CD555FE" w14:textId="625AFC10" w:rsidR="007E1803" w:rsidRDefault="00DE2B4A" w:rsidP="00A46686">
      <w:pPr>
        <w:pStyle w:val="ListParagraph"/>
        <w:numPr>
          <w:ilvl w:val="1"/>
          <w:numId w:val="17"/>
        </w:numPr>
        <w:spacing w:before="120" w:after="120"/>
        <w:contextualSpacing w:val="0"/>
      </w:pPr>
      <w:r>
        <w:t>did not follow</w:t>
      </w:r>
      <w:r w:rsidR="007E1803">
        <w:t xml:space="preserve"> the processes defined in the Code</w:t>
      </w:r>
      <w:r w:rsidR="004A2B80">
        <w:t xml:space="preserve"> and</w:t>
      </w:r>
      <w:r w:rsidR="00727D7C">
        <w:t xml:space="preserve"> Investigation Guide </w:t>
      </w:r>
      <w:r w:rsidR="007E1803">
        <w:t xml:space="preserve">and/or the institution’s documented processes. </w:t>
      </w:r>
    </w:p>
    <w:p w14:paraId="0406A8D7" w14:textId="502B1408" w:rsidR="00D86B9D" w:rsidRDefault="00261136" w:rsidP="00A46686">
      <w:pPr>
        <w:spacing w:before="120" w:after="120"/>
      </w:pPr>
      <w:r>
        <w:t xml:space="preserve">Except in limited circumstances (see below), </w:t>
      </w:r>
      <w:r w:rsidR="00D86B9D" w:rsidRPr="00D86B9D">
        <w:t xml:space="preserve">ARIC will not review institutional processes </w:t>
      </w:r>
      <w:r w:rsidR="001A2BA9">
        <w:t>that</w:t>
      </w:r>
      <w:r w:rsidR="001A2BA9" w:rsidRPr="00D86B9D">
        <w:t xml:space="preserve"> </w:t>
      </w:r>
      <w:r w:rsidR="00D86B9D" w:rsidRPr="00D86B9D">
        <w:t>are still underway. If the matter is not yet finalised, the applicant will be referred to the institution until the institution has finalised the matter.</w:t>
      </w:r>
    </w:p>
    <w:p w14:paraId="0FB27726" w14:textId="646B95A3" w:rsidR="00D86B9D" w:rsidRDefault="00D86B9D" w:rsidP="00A46686">
      <w:pPr>
        <w:spacing w:before="120" w:after="120"/>
        <w:rPr>
          <w:rStyle w:val="CommentReference"/>
        </w:rPr>
      </w:pPr>
      <w:r w:rsidRPr="00D86B9D">
        <w:t xml:space="preserve">Where a </w:t>
      </w:r>
      <w:r w:rsidR="001A2BA9">
        <w:t xml:space="preserve">request for </w:t>
      </w:r>
      <w:r w:rsidRPr="00D86B9D">
        <w:t xml:space="preserve">review </w:t>
      </w:r>
      <w:r w:rsidR="001A2BA9">
        <w:t>alleges</w:t>
      </w:r>
      <w:r w:rsidRPr="00D86B9D">
        <w:t xml:space="preserve"> institutional delay and/or inaction, ARIC will notify the institution that a request for ARIC review has been received. This letter will be a notification only and no action will be required from the institution at this stage. If, after receiving an ARIC notification, the institution has not completed (or progressed satisfactorily) </w:t>
      </w:r>
      <w:r w:rsidR="00BB038F">
        <w:t>a</w:t>
      </w:r>
      <w:r w:rsidR="00BB038F" w:rsidRPr="00D86B9D">
        <w:t xml:space="preserve"> </w:t>
      </w:r>
      <w:r w:rsidRPr="00D86B9D">
        <w:t xml:space="preserve">preliminary assessment or investigation within </w:t>
      </w:r>
      <w:r w:rsidR="00261136">
        <w:t>one</w:t>
      </w:r>
      <w:r w:rsidRPr="00D86B9D">
        <w:t xml:space="preserve"> month, an ARIC panel may review whether the </w:t>
      </w:r>
      <w:r w:rsidRPr="00DB03BA">
        <w:t>delay</w:t>
      </w:r>
      <w:r w:rsidR="00261136">
        <w:t>, in all the circumstances, could prejudice the findings or fairness of a</w:t>
      </w:r>
      <w:r w:rsidR="001A2BA9">
        <w:t xml:space="preserve"> preliminary assessment or</w:t>
      </w:r>
      <w:r w:rsidR="00261136">
        <w:t xml:space="preserve"> investigation</w:t>
      </w:r>
      <w:r w:rsidR="001A2BA9">
        <w:t>,</w:t>
      </w:r>
      <w:r w:rsidR="00261136">
        <w:t xml:space="preserve"> or impose hardship on </w:t>
      </w:r>
      <w:r w:rsidR="009723BA">
        <w:t xml:space="preserve">a </w:t>
      </w:r>
      <w:r w:rsidR="00261136">
        <w:t>relevant person.</w:t>
      </w:r>
      <w:r w:rsidR="00261136" w:rsidDel="00261136">
        <w:rPr>
          <w:rStyle w:val="CommentReference"/>
        </w:rPr>
        <w:t xml:space="preserve"> </w:t>
      </w:r>
    </w:p>
    <w:p w14:paraId="3195A7BF" w14:textId="77777777" w:rsidR="00420991" w:rsidRPr="00B67B38" w:rsidRDefault="00420991" w:rsidP="000372C1">
      <w:pPr>
        <w:spacing w:after="0"/>
      </w:pPr>
    </w:p>
    <w:p w14:paraId="0D17554B" w14:textId="4F489878" w:rsidR="00105D08" w:rsidRPr="000C1AD8" w:rsidRDefault="001B1637" w:rsidP="000372C1">
      <w:pPr>
        <w:pStyle w:val="Heading2"/>
        <w:spacing w:before="0"/>
        <w:rPr>
          <w:rFonts w:ascii="Calibri" w:hAnsi="Calibri" w:cs="Calibri"/>
          <w:b w:val="0"/>
          <w:color w:val="1F497D" w:themeColor="text2"/>
          <w:sz w:val="24"/>
          <w:szCs w:val="24"/>
        </w:rPr>
      </w:pPr>
      <w:bookmarkStart w:id="15" w:name="_Toc54850117"/>
      <w:r>
        <w:rPr>
          <w:rFonts w:ascii="Calibri" w:hAnsi="Calibri" w:cs="Calibri"/>
          <w:b w:val="0"/>
          <w:color w:val="1F497D" w:themeColor="text2"/>
          <w:sz w:val="24"/>
          <w:szCs w:val="24"/>
        </w:rPr>
        <w:t xml:space="preserve">How to </w:t>
      </w:r>
      <w:r w:rsidR="000A3E22" w:rsidRPr="000C1AD8">
        <w:rPr>
          <w:rFonts w:ascii="Calibri" w:hAnsi="Calibri" w:cs="Calibri"/>
          <w:b w:val="0"/>
          <w:color w:val="1F497D" w:themeColor="text2"/>
          <w:sz w:val="24"/>
          <w:szCs w:val="24"/>
        </w:rPr>
        <w:t xml:space="preserve">seek </w:t>
      </w:r>
      <w:r>
        <w:rPr>
          <w:rFonts w:ascii="Calibri" w:hAnsi="Calibri" w:cs="Calibri"/>
          <w:b w:val="0"/>
          <w:color w:val="1F497D" w:themeColor="text2"/>
          <w:sz w:val="24"/>
          <w:szCs w:val="24"/>
        </w:rPr>
        <w:t xml:space="preserve">a </w:t>
      </w:r>
      <w:r w:rsidR="000A3E22" w:rsidRPr="000C1AD8">
        <w:rPr>
          <w:rFonts w:ascii="Calibri" w:hAnsi="Calibri" w:cs="Calibri"/>
          <w:b w:val="0"/>
          <w:color w:val="1F497D" w:themeColor="text2"/>
          <w:sz w:val="24"/>
          <w:szCs w:val="24"/>
        </w:rPr>
        <w:t>review</w:t>
      </w:r>
      <w:bookmarkEnd w:id="15"/>
    </w:p>
    <w:p w14:paraId="532FD0D2" w14:textId="62550799" w:rsidR="00105D08" w:rsidRDefault="002A30A0" w:rsidP="00A46686">
      <w:pPr>
        <w:spacing w:before="120" w:after="120"/>
      </w:pPr>
      <w:r>
        <w:t xml:space="preserve">Any person or group or </w:t>
      </w:r>
      <w:r w:rsidR="00D77F63">
        <w:t>organisation</w:t>
      </w:r>
      <w:r w:rsidR="000A3E22">
        <w:t xml:space="preserve"> may request that ARIC review the process undertaken by an institution in relation to </w:t>
      </w:r>
      <w:r w:rsidR="006B5FD6">
        <w:t>a potential breach of the Code</w:t>
      </w:r>
      <w:r w:rsidR="000A3E22">
        <w:t xml:space="preserve">. A request for an ARIC review </w:t>
      </w:r>
      <w:r w:rsidR="0015362F">
        <w:t>should</w:t>
      </w:r>
      <w:r w:rsidR="006B5FD6">
        <w:t xml:space="preserve"> be made </w:t>
      </w:r>
      <w:r w:rsidR="00AF44F8">
        <w:t>via the online</w:t>
      </w:r>
      <w:r w:rsidR="000F026C">
        <w:t xml:space="preserve"> </w:t>
      </w:r>
      <w:r w:rsidR="000F026C" w:rsidRPr="00AF6099">
        <w:t xml:space="preserve">ARIC </w:t>
      </w:r>
      <w:r w:rsidR="000F026C">
        <w:t>Request for Review</w:t>
      </w:r>
      <w:r w:rsidR="000F026C" w:rsidRPr="00AF6099">
        <w:t xml:space="preserve"> form</w:t>
      </w:r>
      <w:r w:rsidR="000F026C" w:rsidDel="000F026C">
        <w:t xml:space="preserve"> </w:t>
      </w:r>
      <w:r w:rsidR="006B5FD6">
        <w:t xml:space="preserve">and should </w:t>
      </w:r>
      <w:r w:rsidR="000A3E22">
        <w:t>be accompanied by the following information:</w:t>
      </w:r>
    </w:p>
    <w:p w14:paraId="6C6AF96E" w14:textId="77777777" w:rsidR="00105D08" w:rsidRDefault="000A3E22" w:rsidP="00A46686">
      <w:pPr>
        <w:pStyle w:val="ListParagraph"/>
        <w:numPr>
          <w:ilvl w:val="0"/>
          <w:numId w:val="16"/>
        </w:numPr>
        <w:spacing w:before="120" w:after="120"/>
        <w:ind w:hanging="357"/>
        <w:contextualSpacing w:val="0"/>
      </w:pPr>
      <w:r>
        <w:t>Applicant/s name and contact details</w:t>
      </w:r>
    </w:p>
    <w:p w14:paraId="5EEFD570" w14:textId="75A758B0" w:rsidR="00105D08" w:rsidRDefault="007F6117" w:rsidP="00A46686">
      <w:pPr>
        <w:numPr>
          <w:ilvl w:val="0"/>
          <w:numId w:val="35"/>
        </w:numPr>
        <w:autoSpaceDE w:val="0"/>
        <w:autoSpaceDN w:val="0"/>
        <w:adjustRightInd w:val="0"/>
        <w:spacing w:before="120" w:after="120" w:line="240" w:lineRule="auto"/>
        <w:ind w:left="1134" w:hanging="357"/>
      </w:pPr>
      <w:r w:rsidRPr="007F6117">
        <w:rPr>
          <w:rFonts w:cs="MyriadPro-Regular"/>
          <w:lang w:eastAsia="en-AU"/>
        </w:rPr>
        <w:t xml:space="preserve">ARIC accepts anonymous </w:t>
      </w:r>
      <w:r w:rsidR="000372C1">
        <w:rPr>
          <w:rFonts w:cs="MyriadPro-Regular"/>
          <w:lang w:eastAsia="en-AU"/>
        </w:rPr>
        <w:t>request</w:t>
      </w:r>
      <w:r w:rsidR="003F640F">
        <w:rPr>
          <w:rFonts w:cs="MyriadPro-Regular"/>
          <w:lang w:eastAsia="en-AU"/>
        </w:rPr>
        <w:t>s</w:t>
      </w:r>
      <w:r w:rsidR="000372C1">
        <w:rPr>
          <w:rFonts w:cs="MyriadPro-Regular"/>
          <w:lang w:eastAsia="en-AU"/>
        </w:rPr>
        <w:t xml:space="preserve"> for review,</w:t>
      </w:r>
      <w:r w:rsidRPr="007F6117">
        <w:rPr>
          <w:rFonts w:cs="MyriadPro-Regular"/>
          <w:lang w:eastAsia="en-AU"/>
        </w:rPr>
        <w:t xml:space="preserve"> however, anonymity can </w:t>
      </w:r>
      <w:r w:rsidR="008B5193">
        <w:rPr>
          <w:rFonts w:cs="MyriadPro-Regular"/>
          <w:lang w:eastAsia="en-AU"/>
        </w:rPr>
        <w:t>make it</w:t>
      </w:r>
      <w:r w:rsidRPr="007F6117">
        <w:rPr>
          <w:rFonts w:cs="MyriadPro-Regular"/>
          <w:lang w:eastAsia="en-AU"/>
        </w:rPr>
        <w:t xml:space="preserve"> difficult </w:t>
      </w:r>
      <w:r w:rsidR="0093233F">
        <w:rPr>
          <w:rFonts w:cs="MyriadPro-Regular"/>
          <w:lang w:eastAsia="en-AU"/>
        </w:rPr>
        <w:t xml:space="preserve">to </w:t>
      </w:r>
      <w:r w:rsidR="008B5193">
        <w:rPr>
          <w:rFonts w:cs="MyriadPro-Regular"/>
          <w:lang w:eastAsia="en-AU"/>
        </w:rPr>
        <w:t xml:space="preserve">obtain the evidence required for review. </w:t>
      </w:r>
      <w:r w:rsidRPr="007F6117">
        <w:rPr>
          <w:rFonts w:cs="MyriadPro-Regular"/>
          <w:lang w:eastAsia="en-AU"/>
        </w:rPr>
        <w:t xml:space="preserve">ARIC often </w:t>
      </w:r>
      <w:r w:rsidR="008B5193">
        <w:rPr>
          <w:rFonts w:cs="MyriadPro-Regular"/>
          <w:lang w:eastAsia="en-AU"/>
        </w:rPr>
        <w:t xml:space="preserve">requires </w:t>
      </w:r>
      <w:r w:rsidRPr="007F6117">
        <w:rPr>
          <w:rFonts w:cs="MyriadPro-Regular"/>
          <w:lang w:eastAsia="en-AU"/>
        </w:rPr>
        <w:t xml:space="preserve">additional information to </w:t>
      </w:r>
      <w:r w:rsidR="008B5193">
        <w:rPr>
          <w:rFonts w:cs="MyriadPro-Regular"/>
          <w:lang w:eastAsia="en-AU"/>
        </w:rPr>
        <w:t>progress a review</w:t>
      </w:r>
      <w:r w:rsidRPr="007F6117">
        <w:rPr>
          <w:rFonts w:cs="MyriadPro-Regular"/>
          <w:lang w:eastAsia="en-AU"/>
        </w:rPr>
        <w:t>. The inability to contact the applicant or other persons who have standing in the matter may make this process more difficult.</w:t>
      </w:r>
    </w:p>
    <w:p w14:paraId="31DC19DB" w14:textId="11ED7490" w:rsidR="00105D08" w:rsidRDefault="000A3E22" w:rsidP="00A46686">
      <w:pPr>
        <w:pStyle w:val="ListParagraph"/>
        <w:numPr>
          <w:ilvl w:val="0"/>
          <w:numId w:val="16"/>
        </w:numPr>
        <w:spacing w:before="120" w:after="120"/>
        <w:contextualSpacing w:val="0"/>
      </w:pPr>
      <w:r>
        <w:t xml:space="preserve">The name and </w:t>
      </w:r>
      <w:r w:rsidR="008E2F00">
        <w:t>institutional affiliation</w:t>
      </w:r>
      <w:r>
        <w:t xml:space="preserve"> of the relevant person/s (i.e. who has </w:t>
      </w:r>
      <w:r w:rsidR="009C343E">
        <w:t>had a complaint or concern made against them</w:t>
      </w:r>
      <w:r>
        <w:t>)</w:t>
      </w:r>
      <w:r w:rsidR="00661BA7">
        <w:t xml:space="preserve"> – if different from the above</w:t>
      </w:r>
      <w:r>
        <w:t>.</w:t>
      </w:r>
    </w:p>
    <w:p w14:paraId="63D8BD2D" w14:textId="4F48D6AE" w:rsidR="00105D08" w:rsidRDefault="000A3E22" w:rsidP="00A46686">
      <w:pPr>
        <w:pStyle w:val="ListParagraph"/>
        <w:numPr>
          <w:ilvl w:val="0"/>
          <w:numId w:val="16"/>
        </w:numPr>
        <w:spacing w:before="120" w:after="120"/>
        <w:contextualSpacing w:val="0"/>
      </w:pPr>
      <w:r>
        <w:t>Names of agencies, institutions and</w:t>
      </w:r>
      <w:r w:rsidR="005E3608">
        <w:t xml:space="preserve"> staff</w:t>
      </w:r>
      <w:r>
        <w:t xml:space="preserve"> involved</w:t>
      </w:r>
      <w:r w:rsidR="004740D3">
        <w:t xml:space="preserve"> in managing and/or investigating the complaint</w:t>
      </w:r>
      <w:r>
        <w:t>.</w:t>
      </w:r>
    </w:p>
    <w:p w14:paraId="455521A9" w14:textId="1A297750" w:rsidR="00105D08" w:rsidRDefault="000A3E22" w:rsidP="00A46686">
      <w:pPr>
        <w:pStyle w:val="ListParagraph"/>
        <w:numPr>
          <w:ilvl w:val="0"/>
          <w:numId w:val="16"/>
        </w:numPr>
        <w:spacing w:before="120" w:after="120"/>
        <w:contextualSpacing w:val="0"/>
      </w:pPr>
      <w:r>
        <w:t xml:space="preserve">The date on which the institution finalised its </w:t>
      </w:r>
      <w:r w:rsidR="00333CF2">
        <w:t xml:space="preserve">preliminary assessment </w:t>
      </w:r>
      <w:r w:rsidR="0098679C">
        <w:t>(</w:t>
      </w:r>
      <w:r w:rsidR="009723BA">
        <w:t xml:space="preserve">e.g. </w:t>
      </w:r>
      <w:r w:rsidR="0098679C">
        <w:t>with a recommendation to not proceed to an investigation</w:t>
      </w:r>
      <w:r w:rsidR="009723BA">
        <w:t xml:space="preserve"> or a decision to resolve the matter locally</w:t>
      </w:r>
      <w:r w:rsidR="0098679C">
        <w:t xml:space="preserve">) </w:t>
      </w:r>
      <w:r w:rsidR="00333CF2">
        <w:t xml:space="preserve">or </w:t>
      </w:r>
      <w:r>
        <w:t>investigation into the matter</w:t>
      </w:r>
      <w:r w:rsidR="00D86B9D">
        <w:t>.</w:t>
      </w:r>
    </w:p>
    <w:p w14:paraId="7C77BE74" w14:textId="5B1C4748" w:rsidR="00105D08" w:rsidRDefault="000A3E22" w:rsidP="00A46686">
      <w:pPr>
        <w:pStyle w:val="ListParagraph"/>
        <w:numPr>
          <w:ilvl w:val="0"/>
          <w:numId w:val="16"/>
        </w:numPr>
        <w:spacing w:before="120" w:after="120"/>
        <w:contextualSpacing w:val="0"/>
      </w:pPr>
      <w:r>
        <w:lastRenderedPageBreak/>
        <w:t>A summary of the matter</w:t>
      </w:r>
      <w:r w:rsidR="00B66F19">
        <w:t xml:space="preserve"> </w:t>
      </w:r>
      <w:r w:rsidR="00D77F63">
        <w:t>(word limits apply) including:</w:t>
      </w:r>
    </w:p>
    <w:p w14:paraId="18D26B91" w14:textId="2ACD2346" w:rsidR="00105D08" w:rsidRDefault="000A3E22" w:rsidP="00A46686">
      <w:pPr>
        <w:pStyle w:val="ListParagraph"/>
        <w:numPr>
          <w:ilvl w:val="1"/>
          <w:numId w:val="17"/>
        </w:numPr>
        <w:spacing w:before="120" w:after="120"/>
        <w:contextualSpacing w:val="0"/>
      </w:pPr>
      <w:r>
        <w:t>relevant dates (even if approximate) and locations</w:t>
      </w:r>
    </w:p>
    <w:p w14:paraId="5B75643A" w14:textId="395CC254" w:rsidR="00105D08" w:rsidRDefault="000A3E22" w:rsidP="00A46686">
      <w:pPr>
        <w:pStyle w:val="ListParagraph"/>
        <w:numPr>
          <w:ilvl w:val="1"/>
          <w:numId w:val="17"/>
        </w:numPr>
        <w:spacing w:before="120" w:after="120"/>
        <w:contextualSpacing w:val="0"/>
      </w:pPr>
      <w:r>
        <w:t>detail</w:t>
      </w:r>
      <w:r w:rsidR="00D77F63">
        <w:t>s</w:t>
      </w:r>
      <w:r>
        <w:t xml:space="preserve"> of how the institution has not observed </w:t>
      </w:r>
      <w:r w:rsidR="00261136">
        <w:t>procedural fairness</w:t>
      </w:r>
      <w:r>
        <w:t xml:space="preserve"> in accordance with the Code</w:t>
      </w:r>
      <w:r w:rsidR="00B66F19">
        <w:t>, Investigation Guide</w:t>
      </w:r>
      <w:r>
        <w:t xml:space="preserve"> and/or with institutional policy and procedures. </w:t>
      </w:r>
    </w:p>
    <w:p w14:paraId="3EB451D2" w14:textId="77777777" w:rsidR="00105D08" w:rsidRDefault="000A3E22" w:rsidP="00A46686">
      <w:pPr>
        <w:pStyle w:val="ListParagraph"/>
        <w:numPr>
          <w:ilvl w:val="0"/>
          <w:numId w:val="16"/>
        </w:numPr>
        <w:spacing w:before="120" w:after="120"/>
        <w:contextualSpacing w:val="0"/>
      </w:pPr>
      <w:r>
        <w:t>Other organisations or regulators contacted</w:t>
      </w:r>
    </w:p>
    <w:p w14:paraId="26B3B3D1" w14:textId="77777777" w:rsidR="00105D08" w:rsidRDefault="000A3E22" w:rsidP="00A46686">
      <w:pPr>
        <w:pStyle w:val="ListParagraph"/>
        <w:numPr>
          <w:ilvl w:val="1"/>
          <w:numId w:val="17"/>
        </w:numPr>
        <w:spacing w:before="120" w:after="120"/>
        <w:contextualSpacing w:val="0"/>
      </w:pPr>
      <w:r>
        <w:t>This should include the matters reported, the initial and subsequent date/s of contact and the response/s, if any, received.</w:t>
      </w:r>
    </w:p>
    <w:p w14:paraId="57061A30" w14:textId="77777777" w:rsidR="00105D08" w:rsidRDefault="000A3E22" w:rsidP="00A46686">
      <w:pPr>
        <w:pStyle w:val="ListParagraph"/>
        <w:numPr>
          <w:ilvl w:val="0"/>
          <w:numId w:val="16"/>
        </w:numPr>
        <w:spacing w:before="120" w:after="120"/>
        <w:contextualSpacing w:val="0"/>
      </w:pPr>
      <w:r>
        <w:t>Documentary evidence</w:t>
      </w:r>
    </w:p>
    <w:p w14:paraId="7023D0A5" w14:textId="19702C2B" w:rsidR="00F643C2" w:rsidRDefault="00D86B9D" w:rsidP="00A46686">
      <w:pPr>
        <w:pStyle w:val="ListParagraph"/>
        <w:numPr>
          <w:ilvl w:val="1"/>
          <w:numId w:val="17"/>
        </w:numPr>
        <w:spacing w:before="120" w:after="120"/>
        <w:ind w:left="1077" w:hanging="357"/>
        <w:contextualSpacing w:val="0"/>
      </w:pPr>
      <w:r>
        <w:t>Evidence should be limited to</w:t>
      </w:r>
      <w:r w:rsidR="000A3E22">
        <w:t xml:space="preserve"> copies of any relevant</w:t>
      </w:r>
      <w:r>
        <w:t>, formal documents</w:t>
      </w:r>
      <w:r w:rsidR="000A3E22">
        <w:t xml:space="preserve"> and correspondence related to the allegation/s.</w:t>
      </w:r>
    </w:p>
    <w:p w14:paraId="273170A1" w14:textId="709281AF" w:rsidR="00105D08" w:rsidRDefault="000A3E22" w:rsidP="00A46686">
      <w:pPr>
        <w:spacing w:before="120" w:after="120"/>
      </w:pPr>
      <w:r>
        <w:t xml:space="preserve">ARIC will only review requests where the applicant has sufficiently addressed the criteria as outlined above. Where the ARIC Secretariat </w:t>
      </w:r>
      <w:r w:rsidR="00B25B92">
        <w:t xml:space="preserve">assesses </w:t>
      </w:r>
      <w:r>
        <w:t xml:space="preserve">this not to be the case, the applicant’s request for review will not be </w:t>
      </w:r>
      <w:r w:rsidR="001D6254">
        <w:t xml:space="preserve">processed </w:t>
      </w:r>
      <w:r>
        <w:t xml:space="preserve">until the required information is provided. </w:t>
      </w:r>
    </w:p>
    <w:p w14:paraId="7BE374E4" w14:textId="39A9D6EE" w:rsidR="00835D69" w:rsidRDefault="00835D69" w:rsidP="00A46686">
      <w:pPr>
        <w:spacing w:before="120" w:after="120"/>
      </w:pPr>
      <w:r>
        <w:t>Requests for review will be received in confidence by the Secretariat and by ARIC. However, where appropriate</w:t>
      </w:r>
      <w:r w:rsidR="00D6215A">
        <w:t>,</w:t>
      </w:r>
      <w:r w:rsidR="007B10ED">
        <w:t xml:space="preserve"> it will be necessary to provide certain information to an institution</w:t>
      </w:r>
      <w:r w:rsidR="00D6215A">
        <w:t xml:space="preserve"> to enable ARIC to carry out its review</w:t>
      </w:r>
      <w:r w:rsidR="007B10ED">
        <w:t xml:space="preserve">. </w:t>
      </w:r>
    </w:p>
    <w:p w14:paraId="473CABAF" w14:textId="55266D4F" w:rsidR="00105D08" w:rsidRDefault="000A3E22" w:rsidP="00A46686">
      <w:pPr>
        <w:spacing w:before="120" w:after="120"/>
      </w:pPr>
      <w:r>
        <w:t>ARIC will only accept requests for review</w:t>
      </w:r>
      <w:r w:rsidR="00E4721E">
        <w:t xml:space="preserve"> </w:t>
      </w:r>
      <w:r w:rsidR="00B01804">
        <w:t xml:space="preserve">submitted online or </w:t>
      </w:r>
      <w:r w:rsidR="00A47312">
        <w:t>emailed</w:t>
      </w:r>
      <w:r>
        <w:t xml:space="preserve"> to:</w:t>
      </w:r>
    </w:p>
    <w:p w14:paraId="7D932B24" w14:textId="77777777" w:rsidR="00105D08" w:rsidRDefault="000A3E22" w:rsidP="0060529B">
      <w:pPr>
        <w:spacing w:after="0" w:line="240" w:lineRule="auto"/>
        <w:ind w:firstLine="720"/>
        <w:rPr>
          <w:b/>
        </w:rPr>
      </w:pPr>
      <w:r>
        <w:rPr>
          <w:b/>
        </w:rPr>
        <w:t>ARIC-NHMRC Secretariat [IN CONFIDENCE]</w:t>
      </w:r>
    </w:p>
    <w:p w14:paraId="11EB0ABA" w14:textId="77777777" w:rsidR="00105D08" w:rsidRDefault="000A3E22" w:rsidP="0060529B">
      <w:pPr>
        <w:spacing w:after="0" w:line="240" w:lineRule="auto"/>
        <w:ind w:firstLine="720"/>
      </w:pPr>
      <w:r>
        <w:t>National Health and Medical Research Council</w:t>
      </w:r>
    </w:p>
    <w:p w14:paraId="010744C9" w14:textId="61810474" w:rsidR="00105D08" w:rsidRDefault="000A3E22" w:rsidP="0060529B">
      <w:pPr>
        <w:spacing w:after="0" w:line="240" w:lineRule="auto"/>
        <w:ind w:left="720"/>
        <w:rPr>
          <w:bCs/>
        </w:rPr>
      </w:pPr>
      <w:r>
        <w:rPr>
          <w:bCs/>
        </w:rPr>
        <w:t>GPO Box 1421</w:t>
      </w:r>
      <w:r>
        <w:rPr>
          <w:bCs/>
        </w:rPr>
        <w:br/>
        <w:t>Canberra ACT 2601</w:t>
      </w:r>
    </w:p>
    <w:p w14:paraId="0EE683E0" w14:textId="7EA2DABF" w:rsidR="00105D08" w:rsidRDefault="001852EE" w:rsidP="0060529B">
      <w:pPr>
        <w:spacing w:after="0" w:line="240" w:lineRule="auto"/>
        <w:rPr>
          <w:bCs/>
        </w:rPr>
      </w:pPr>
      <w:r>
        <w:rPr>
          <w:bCs/>
        </w:rPr>
        <w:tab/>
        <w:t xml:space="preserve">Email: </w:t>
      </w:r>
      <w:hyperlink r:id="rId10" w:history="1">
        <w:r w:rsidR="0060529B" w:rsidRPr="00B103C8">
          <w:rPr>
            <w:rStyle w:val="Hyperlink"/>
            <w:bCs/>
          </w:rPr>
          <w:t>aric@nhmrc.gov.au</w:t>
        </w:r>
      </w:hyperlink>
    </w:p>
    <w:p w14:paraId="7A407AEA" w14:textId="77777777" w:rsidR="007D0FA0" w:rsidRDefault="00E4721E">
      <w:pPr>
        <w:spacing w:after="0" w:line="240" w:lineRule="auto"/>
        <w:rPr>
          <w:bCs/>
        </w:rPr>
      </w:pPr>
      <w:r>
        <w:rPr>
          <w:bCs/>
        </w:rPr>
        <w:t>or</w:t>
      </w:r>
    </w:p>
    <w:p w14:paraId="393ED1C0" w14:textId="77777777" w:rsidR="00105D08" w:rsidRDefault="000A3E22" w:rsidP="0060529B">
      <w:pPr>
        <w:spacing w:after="0" w:line="240" w:lineRule="auto"/>
        <w:ind w:firstLine="720"/>
        <w:rPr>
          <w:b/>
        </w:rPr>
      </w:pPr>
      <w:r>
        <w:rPr>
          <w:b/>
        </w:rPr>
        <w:t>ARIC-ARC Secretariat [IN CONFIDENCE]</w:t>
      </w:r>
    </w:p>
    <w:p w14:paraId="3A017909" w14:textId="77777777" w:rsidR="00105D08" w:rsidRDefault="000A3E22" w:rsidP="0060529B">
      <w:pPr>
        <w:spacing w:after="0" w:line="240" w:lineRule="auto"/>
        <w:ind w:firstLine="720"/>
      </w:pPr>
      <w:r>
        <w:t>Australian Research Council</w:t>
      </w:r>
    </w:p>
    <w:p w14:paraId="658D1048" w14:textId="2B837AED" w:rsidR="00105D08" w:rsidRDefault="000A3E22" w:rsidP="0060529B">
      <w:pPr>
        <w:spacing w:after="0" w:line="240" w:lineRule="auto"/>
        <w:ind w:firstLine="720"/>
      </w:pPr>
      <w:r>
        <w:t>GPO Box 2702</w:t>
      </w:r>
    </w:p>
    <w:p w14:paraId="6FB674F7" w14:textId="77777777" w:rsidR="00105D08" w:rsidRDefault="000A3E22" w:rsidP="0060529B">
      <w:pPr>
        <w:spacing w:after="0" w:line="240" w:lineRule="auto"/>
        <w:ind w:firstLine="720"/>
      </w:pPr>
      <w:r>
        <w:t>Canberra ACT 2601</w:t>
      </w:r>
    </w:p>
    <w:p w14:paraId="45B22DA1" w14:textId="231083FA" w:rsidR="00105D08" w:rsidRDefault="001852EE" w:rsidP="0060529B">
      <w:pPr>
        <w:spacing w:after="0" w:line="240" w:lineRule="auto"/>
      </w:pPr>
      <w:r>
        <w:tab/>
        <w:t xml:space="preserve">Email: </w:t>
      </w:r>
      <w:hyperlink r:id="rId11" w:history="1">
        <w:r w:rsidR="00BC70B6" w:rsidRPr="00D94759">
          <w:rPr>
            <w:rStyle w:val="Hyperlink"/>
          </w:rPr>
          <w:t>aric@arc.gov.au</w:t>
        </w:r>
      </w:hyperlink>
    </w:p>
    <w:p w14:paraId="1252B2AF" w14:textId="77777777" w:rsidR="00BC70B6" w:rsidRDefault="00BC70B6" w:rsidP="0060529B">
      <w:pPr>
        <w:spacing w:after="120" w:line="240" w:lineRule="auto"/>
      </w:pPr>
    </w:p>
    <w:p w14:paraId="496CAA16" w14:textId="77777777" w:rsidR="00105D08" w:rsidRPr="00861562" w:rsidRDefault="00623604" w:rsidP="0060529B">
      <w:pPr>
        <w:pStyle w:val="Heading2"/>
        <w:spacing w:before="0"/>
        <w:rPr>
          <w:rFonts w:ascii="Calibri" w:hAnsi="Calibri" w:cs="Calibri"/>
          <w:b w:val="0"/>
          <w:color w:val="1F497D" w:themeColor="text2"/>
          <w:sz w:val="24"/>
          <w:szCs w:val="24"/>
        </w:rPr>
      </w:pPr>
      <w:bookmarkStart w:id="16" w:name="_Toc54850118"/>
      <w:r w:rsidRPr="00F643C2">
        <w:rPr>
          <w:rFonts w:ascii="Calibri" w:hAnsi="Calibri" w:cs="Calibri"/>
          <w:b w:val="0"/>
          <w:color w:val="365F91" w:themeColor="accent1" w:themeShade="BF"/>
          <w:sz w:val="24"/>
          <w:szCs w:val="24"/>
        </w:rPr>
        <w:t>Referral m</w:t>
      </w:r>
      <w:r w:rsidR="000A3E22" w:rsidRPr="00861562">
        <w:rPr>
          <w:rFonts w:ascii="Calibri" w:hAnsi="Calibri" w:cs="Calibri"/>
          <w:b w:val="0"/>
          <w:color w:val="1F497D" w:themeColor="text2"/>
          <w:sz w:val="24"/>
          <w:szCs w:val="24"/>
        </w:rPr>
        <w:t>echanisms</w:t>
      </w:r>
      <w:bookmarkEnd w:id="16"/>
    </w:p>
    <w:p w14:paraId="68C5F491" w14:textId="46EE0652" w:rsidR="00105D08" w:rsidRDefault="000A3E22" w:rsidP="00A46686">
      <w:pPr>
        <w:spacing w:before="120" w:after="120"/>
      </w:pPr>
      <w:r>
        <w:t xml:space="preserve">Where a request for </w:t>
      </w:r>
      <w:r w:rsidR="007D0411">
        <w:t xml:space="preserve">an </w:t>
      </w:r>
      <w:r>
        <w:t>ARIC review does not meet the criteria for review but can be referred to another appropriate body, the ARIC Secretariat will endeavour to refer individuals and organisations</w:t>
      </w:r>
      <w:r w:rsidR="004A439F">
        <w:t xml:space="preserve"> directly</w:t>
      </w:r>
      <w:r>
        <w:t xml:space="preserve"> to </w:t>
      </w:r>
      <w:r w:rsidR="004A439F">
        <w:t>those</w:t>
      </w:r>
      <w:r>
        <w:t xml:space="preserve"> bodies</w:t>
      </w:r>
      <w:r w:rsidR="004A439F">
        <w:t xml:space="preserve"> or suggest the applicant approach them themselves</w:t>
      </w:r>
      <w:r>
        <w:t xml:space="preserve">. Information on relevant bodies and appropriate avenues for pursuing allegations </w:t>
      </w:r>
      <w:r w:rsidR="007E1803">
        <w:t xml:space="preserve">not about a potential breach of the Code </w:t>
      </w:r>
      <w:r w:rsidR="001C048D">
        <w:t>will be</w:t>
      </w:r>
      <w:r>
        <w:t xml:space="preserve"> provided online on the NHMRC</w:t>
      </w:r>
      <w:r w:rsidR="001A0EF8">
        <w:t xml:space="preserve"> and the ARC</w:t>
      </w:r>
      <w:r>
        <w:t xml:space="preserve"> website</w:t>
      </w:r>
      <w:r w:rsidR="001A0EF8">
        <w:t>s</w:t>
      </w:r>
      <w:r>
        <w:t>.</w:t>
      </w:r>
    </w:p>
    <w:p w14:paraId="35AC9603" w14:textId="77777777" w:rsidR="00BC70B6" w:rsidRDefault="00BC70B6" w:rsidP="0060529B">
      <w:pPr>
        <w:spacing w:after="0"/>
      </w:pPr>
    </w:p>
    <w:p w14:paraId="0D445212" w14:textId="77777777" w:rsidR="00105D08" w:rsidRPr="00861562" w:rsidRDefault="000A3E22" w:rsidP="0060529B">
      <w:pPr>
        <w:pStyle w:val="Heading2"/>
        <w:spacing w:before="0"/>
        <w:rPr>
          <w:rFonts w:ascii="Calibri" w:hAnsi="Calibri" w:cs="Calibri"/>
          <w:b w:val="0"/>
          <w:color w:val="1F497D" w:themeColor="text2"/>
          <w:sz w:val="24"/>
          <w:szCs w:val="24"/>
        </w:rPr>
      </w:pPr>
      <w:bookmarkStart w:id="17" w:name="_Toc54850119"/>
      <w:r w:rsidRPr="00861562">
        <w:rPr>
          <w:rFonts w:ascii="Calibri" w:hAnsi="Calibri" w:cs="Calibri"/>
          <w:b w:val="0"/>
          <w:color w:val="1F497D" w:themeColor="text2"/>
          <w:sz w:val="24"/>
          <w:szCs w:val="24"/>
        </w:rPr>
        <w:t>Limitations</w:t>
      </w:r>
      <w:bookmarkEnd w:id="17"/>
    </w:p>
    <w:p w14:paraId="110D2587" w14:textId="404D69FF" w:rsidR="00105D08" w:rsidRDefault="000A3E22" w:rsidP="00A46686">
      <w:pPr>
        <w:spacing w:before="120" w:after="120"/>
      </w:pPr>
      <w:r>
        <w:t xml:space="preserve">Time limitations within which ARIC </w:t>
      </w:r>
      <w:r w:rsidR="00661BA7">
        <w:t>will</w:t>
      </w:r>
      <w:r>
        <w:t xml:space="preserve"> accept requests apply. </w:t>
      </w:r>
      <w:r w:rsidR="00B26089">
        <w:t>R</w:t>
      </w:r>
      <w:r w:rsidR="008B1884">
        <w:t>equests for ARIC review</w:t>
      </w:r>
      <w:r w:rsidR="00B26089">
        <w:t>s can be made</w:t>
      </w:r>
      <w:r w:rsidR="008B1884">
        <w:t xml:space="preserve"> up to </w:t>
      </w:r>
      <w:r w:rsidR="009723BA">
        <w:t>12 weeks</w:t>
      </w:r>
      <w:r>
        <w:t xml:space="preserve"> following formal notification from an institution that it has finalised its </w:t>
      </w:r>
      <w:r w:rsidR="00727D7C">
        <w:t>preliminary assessment or investigation</w:t>
      </w:r>
      <w:r>
        <w:t xml:space="preserve"> into the </w:t>
      </w:r>
      <w:r w:rsidR="007D0411">
        <w:t xml:space="preserve">potential </w:t>
      </w:r>
      <w:r w:rsidR="00727D7C">
        <w:t>breach of the Code</w:t>
      </w:r>
      <w:r>
        <w:t xml:space="preserve">. </w:t>
      </w:r>
      <w:r w:rsidR="004A439F">
        <w:t>R</w:t>
      </w:r>
      <w:r>
        <w:t>equests</w:t>
      </w:r>
      <w:r w:rsidR="004A439F">
        <w:t xml:space="preserve"> that are outside of this timeframe</w:t>
      </w:r>
      <w:r>
        <w:t xml:space="preserve"> </w:t>
      </w:r>
      <w:r w:rsidR="004A2B80">
        <w:t xml:space="preserve">will </w:t>
      </w:r>
      <w:r w:rsidR="006217B2">
        <w:t>be as</w:t>
      </w:r>
      <w:r w:rsidR="00BD2F4B">
        <w:t>sessed on a case by case basis</w:t>
      </w:r>
      <w:r w:rsidR="00177FBC">
        <w:t xml:space="preserve"> at the discretion of the </w:t>
      </w:r>
      <w:r w:rsidR="004A439F">
        <w:t xml:space="preserve">ARIC </w:t>
      </w:r>
      <w:r w:rsidR="00177FBC">
        <w:t>Chair</w:t>
      </w:r>
      <w:r w:rsidR="006217B2">
        <w:t>.</w:t>
      </w:r>
      <w:r w:rsidR="00BD2F4B" w:rsidDel="00BD2F4B">
        <w:t xml:space="preserve"> </w:t>
      </w:r>
    </w:p>
    <w:p w14:paraId="01A99063" w14:textId="77777777" w:rsidR="00D77F63" w:rsidRPr="00861562" w:rsidRDefault="00D77F63" w:rsidP="0060529B">
      <w:pPr>
        <w:pStyle w:val="Heading2"/>
        <w:spacing w:before="0"/>
        <w:rPr>
          <w:rFonts w:ascii="Calibri" w:hAnsi="Calibri" w:cs="Calibri"/>
          <w:b w:val="0"/>
          <w:color w:val="1F497D" w:themeColor="text2"/>
          <w:sz w:val="24"/>
          <w:szCs w:val="24"/>
        </w:rPr>
      </w:pPr>
      <w:bookmarkStart w:id="18" w:name="_Toc54850120"/>
      <w:r w:rsidRPr="00861562">
        <w:rPr>
          <w:rFonts w:ascii="Calibri" w:hAnsi="Calibri" w:cs="Calibri"/>
          <w:b w:val="0"/>
          <w:color w:val="1F497D" w:themeColor="text2"/>
          <w:sz w:val="24"/>
          <w:szCs w:val="24"/>
        </w:rPr>
        <w:lastRenderedPageBreak/>
        <w:t>Referral of matters by the CEOs of the ARC and NHMRC</w:t>
      </w:r>
      <w:bookmarkEnd w:id="18"/>
    </w:p>
    <w:p w14:paraId="6114CAE7" w14:textId="30024EC6" w:rsidR="00D77F63" w:rsidRDefault="00D77F63" w:rsidP="00A46686">
      <w:pPr>
        <w:spacing w:before="120" w:after="120"/>
      </w:pPr>
      <w:r>
        <w:t xml:space="preserve">The CEO of the ARC or NHMRC may refer a matter to ARIC for review. </w:t>
      </w:r>
      <w:r w:rsidR="00F07BA5" w:rsidRPr="00F07BA5">
        <w:t xml:space="preserve">In referring a matter to ARIC, the CEO of the ARC or NHMRC </w:t>
      </w:r>
      <w:r w:rsidR="00F07BA5">
        <w:t xml:space="preserve">may </w:t>
      </w:r>
      <w:r w:rsidR="0098679C">
        <w:t xml:space="preserve">specify </w:t>
      </w:r>
      <w:r w:rsidR="00F07BA5">
        <w:t xml:space="preserve">matters to be </w:t>
      </w:r>
      <w:r w:rsidR="00C35067">
        <w:t xml:space="preserve">included </w:t>
      </w:r>
      <w:r w:rsidR="00F07BA5">
        <w:t>or excluded from an ARIC review.</w:t>
      </w:r>
    </w:p>
    <w:p w14:paraId="04D8A560" w14:textId="5D68E9B5" w:rsidR="00D77F63" w:rsidRDefault="00F07BA5" w:rsidP="00A46686">
      <w:pPr>
        <w:spacing w:before="120" w:after="120"/>
      </w:pPr>
      <w:r>
        <w:t>A referral from the CEOs of the ARC and NHMRC is not subject</w:t>
      </w:r>
      <w:r w:rsidR="001B20FE">
        <w:t xml:space="preserve"> to</w:t>
      </w:r>
      <w:r>
        <w:t xml:space="preserve"> the time limitations specified above.</w:t>
      </w:r>
    </w:p>
    <w:p w14:paraId="69A8CD57" w14:textId="77777777" w:rsidR="00BC70B6" w:rsidRDefault="00BC70B6" w:rsidP="0060529B">
      <w:pPr>
        <w:spacing w:after="0"/>
      </w:pPr>
    </w:p>
    <w:p w14:paraId="40656D3B" w14:textId="110B9826" w:rsidR="00105D08" w:rsidRPr="00861562" w:rsidRDefault="00623604" w:rsidP="0060529B">
      <w:pPr>
        <w:pStyle w:val="Heading2"/>
        <w:spacing w:before="0"/>
        <w:rPr>
          <w:rFonts w:ascii="Calibri" w:hAnsi="Calibri" w:cs="Calibri"/>
          <w:b w:val="0"/>
          <w:color w:val="1F497D" w:themeColor="text2"/>
          <w:sz w:val="24"/>
          <w:szCs w:val="24"/>
        </w:rPr>
      </w:pPr>
      <w:bookmarkStart w:id="19" w:name="_Toc54850121"/>
      <w:r w:rsidRPr="00861562">
        <w:rPr>
          <w:rFonts w:ascii="Calibri" w:hAnsi="Calibri" w:cs="Calibri"/>
          <w:b w:val="0"/>
          <w:color w:val="1F497D" w:themeColor="text2"/>
          <w:sz w:val="24"/>
          <w:szCs w:val="24"/>
        </w:rPr>
        <w:t>Commencement and t</w:t>
      </w:r>
      <w:r w:rsidR="000A3E22" w:rsidRPr="00861562">
        <w:rPr>
          <w:rFonts w:ascii="Calibri" w:hAnsi="Calibri" w:cs="Calibri"/>
          <w:b w:val="0"/>
          <w:color w:val="1F497D" w:themeColor="text2"/>
          <w:sz w:val="24"/>
          <w:szCs w:val="24"/>
        </w:rPr>
        <w:t xml:space="preserve">iming of </w:t>
      </w:r>
      <w:r w:rsidRPr="00861562">
        <w:rPr>
          <w:rFonts w:ascii="Calibri" w:hAnsi="Calibri" w:cs="Calibri"/>
          <w:b w:val="0"/>
          <w:color w:val="1F497D" w:themeColor="text2"/>
          <w:sz w:val="24"/>
          <w:szCs w:val="24"/>
        </w:rPr>
        <w:t>r</w:t>
      </w:r>
      <w:r w:rsidR="000A3E22" w:rsidRPr="00861562">
        <w:rPr>
          <w:rFonts w:ascii="Calibri" w:hAnsi="Calibri" w:cs="Calibri"/>
          <w:b w:val="0"/>
          <w:color w:val="1F497D" w:themeColor="text2"/>
          <w:sz w:val="24"/>
          <w:szCs w:val="24"/>
        </w:rPr>
        <w:t>eviews</w:t>
      </w:r>
      <w:bookmarkEnd w:id="19"/>
    </w:p>
    <w:p w14:paraId="0E1C4B53" w14:textId="1C1AC289" w:rsidR="00BA745D" w:rsidRDefault="00962CF6" w:rsidP="000372C1">
      <w:pPr>
        <w:spacing w:after="120"/>
      </w:pPr>
      <w:r w:rsidRPr="00962CF6">
        <w:t xml:space="preserve">Within </w:t>
      </w:r>
      <w:r w:rsidR="009723BA">
        <w:t>one week</w:t>
      </w:r>
      <w:r w:rsidRPr="00962CF6">
        <w:t xml:space="preserve"> of receiving an application</w:t>
      </w:r>
      <w:r w:rsidR="00C51FFC">
        <w:t>,</w:t>
      </w:r>
      <w:r w:rsidRPr="00962CF6">
        <w:t xml:space="preserve"> the Secretariat will write to the applicant acknowledging receipt of their application. Within </w:t>
      </w:r>
      <w:r w:rsidR="009723BA">
        <w:t>six weeks</w:t>
      </w:r>
      <w:r w:rsidRPr="00962CF6">
        <w:t xml:space="preserve"> of receiving an application for ARIC Review</w:t>
      </w:r>
      <w:r>
        <w:t>,</w:t>
      </w:r>
      <w:r w:rsidRPr="00962CF6">
        <w:t xml:space="preserve"> the Secretariat</w:t>
      </w:r>
      <w:r>
        <w:t xml:space="preserve"> will write to the applicant</w:t>
      </w:r>
      <w:r w:rsidR="00E434AB">
        <w:t xml:space="preserve">, </w:t>
      </w:r>
      <w:r>
        <w:t>providing them with an update of their review</w:t>
      </w:r>
      <w:r w:rsidRPr="00962CF6">
        <w:t xml:space="preserve">, </w:t>
      </w:r>
      <w:r>
        <w:t>seeking additional information</w:t>
      </w:r>
      <w:r w:rsidR="00E434AB">
        <w:t>,</w:t>
      </w:r>
      <w:r>
        <w:t xml:space="preserve"> or informing the</w:t>
      </w:r>
      <w:r w:rsidR="00E434AB">
        <w:t>m</w:t>
      </w:r>
      <w:r>
        <w:t xml:space="preserve"> that </w:t>
      </w:r>
      <w:r w:rsidR="00F07BA5">
        <w:t>ARIC has determined to not proceed with the review.</w:t>
      </w:r>
    </w:p>
    <w:p w14:paraId="01CB7882" w14:textId="375A4BFB" w:rsidR="00605CAA" w:rsidRDefault="00605CAA" w:rsidP="009016C3">
      <w:pPr>
        <w:spacing w:after="120"/>
        <w:rPr>
          <w:rFonts w:asciiTheme="minorHAnsi" w:hAnsiTheme="minorHAnsi" w:cstheme="minorHAnsi"/>
        </w:rPr>
      </w:pPr>
      <w:r>
        <w:t xml:space="preserve">Applicants should be aware that time frames may be extended during reduced activity periods, i.e. </w:t>
      </w:r>
      <w:r w:rsidRPr="00407ECB">
        <w:rPr>
          <w:rFonts w:asciiTheme="minorHAnsi" w:hAnsiTheme="minorHAnsi" w:cstheme="minorHAnsi"/>
        </w:rPr>
        <w:t>Christmas/New Year and Easter.</w:t>
      </w:r>
    </w:p>
    <w:p w14:paraId="1E21B367" w14:textId="77777777" w:rsidR="00A46686" w:rsidRPr="00407ECB" w:rsidRDefault="00A46686" w:rsidP="009016C3">
      <w:pPr>
        <w:spacing w:after="120"/>
        <w:rPr>
          <w:rFonts w:asciiTheme="minorHAnsi" w:hAnsiTheme="minorHAnsi" w:cstheme="minorHAnsi"/>
        </w:rPr>
      </w:pPr>
    </w:p>
    <w:p w14:paraId="1F15A74C" w14:textId="54C245C9" w:rsidR="00457E69" w:rsidRDefault="00457E69" w:rsidP="00E75ED0">
      <w:pPr>
        <w:pStyle w:val="Heading1"/>
        <w:spacing w:before="0" w:after="120"/>
      </w:pPr>
      <w:bookmarkStart w:id="20" w:name="_Toc54850122"/>
      <w:r w:rsidRPr="00407ECB">
        <w:rPr>
          <w:rFonts w:asciiTheme="minorHAnsi" w:hAnsiTheme="minorHAnsi" w:cstheme="minorHAnsi"/>
        </w:rPr>
        <w:t>Section 3: Other</w:t>
      </w:r>
      <w:r w:rsidRPr="00CC0114">
        <w:t xml:space="preserve"> </w:t>
      </w:r>
      <w:r w:rsidRPr="00A17B6D">
        <w:rPr>
          <w:rFonts w:ascii="Calibri" w:hAnsi="Calibri" w:cs="Calibri"/>
        </w:rPr>
        <w:t>matters</w:t>
      </w:r>
      <w:bookmarkEnd w:id="20"/>
    </w:p>
    <w:p w14:paraId="649FC1E1" w14:textId="52BD58B3" w:rsidR="00105D08" w:rsidRPr="00861562" w:rsidRDefault="00623604" w:rsidP="00A46686">
      <w:pPr>
        <w:pStyle w:val="Heading2"/>
        <w:spacing w:before="120"/>
        <w:rPr>
          <w:rFonts w:ascii="Calibri" w:hAnsi="Calibri" w:cs="Calibri"/>
          <w:b w:val="0"/>
          <w:color w:val="1F497D" w:themeColor="text2"/>
          <w:sz w:val="24"/>
          <w:szCs w:val="24"/>
        </w:rPr>
      </w:pPr>
      <w:bookmarkStart w:id="21" w:name="_Toc54850123"/>
      <w:r w:rsidRPr="00861562">
        <w:rPr>
          <w:rFonts w:ascii="Calibri" w:hAnsi="Calibri" w:cs="Calibri"/>
          <w:b w:val="0"/>
          <w:color w:val="1F497D" w:themeColor="text2"/>
          <w:sz w:val="24"/>
          <w:szCs w:val="24"/>
        </w:rPr>
        <w:t>Procedural f</w:t>
      </w:r>
      <w:r w:rsidR="000A3E22" w:rsidRPr="00861562">
        <w:rPr>
          <w:rFonts w:ascii="Calibri" w:hAnsi="Calibri" w:cs="Calibri"/>
          <w:b w:val="0"/>
          <w:color w:val="1F497D" w:themeColor="text2"/>
          <w:sz w:val="24"/>
          <w:szCs w:val="24"/>
        </w:rPr>
        <w:t xml:space="preserve">airness </w:t>
      </w:r>
      <w:r w:rsidR="00146506" w:rsidRPr="00861562">
        <w:rPr>
          <w:rFonts w:ascii="Calibri" w:hAnsi="Calibri" w:cs="Calibri"/>
          <w:b w:val="0"/>
          <w:color w:val="1F497D" w:themeColor="text2"/>
          <w:sz w:val="24"/>
          <w:szCs w:val="24"/>
        </w:rPr>
        <w:t xml:space="preserve">and </w:t>
      </w:r>
      <w:r w:rsidR="001A2BA9" w:rsidRPr="00861562">
        <w:rPr>
          <w:rFonts w:ascii="Calibri" w:hAnsi="Calibri" w:cs="Calibri"/>
          <w:b w:val="0"/>
          <w:color w:val="1F497D" w:themeColor="text2"/>
          <w:sz w:val="24"/>
          <w:szCs w:val="24"/>
        </w:rPr>
        <w:t>draft reports</w:t>
      </w:r>
      <w:bookmarkEnd w:id="21"/>
    </w:p>
    <w:p w14:paraId="02D6D106" w14:textId="7D2E3FAE" w:rsidR="00F07BA5" w:rsidRDefault="000A3E22" w:rsidP="00A46686">
      <w:pPr>
        <w:spacing w:before="120" w:after="120"/>
      </w:pPr>
      <w:r>
        <w:t xml:space="preserve">ARIC extends procedural fairness to parties subject to ARIC review. </w:t>
      </w:r>
      <w:r w:rsidR="00146506" w:rsidRPr="00146506">
        <w:t xml:space="preserve">Once </w:t>
      </w:r>
      <w:r w:rsidR="00F07BA5">
        <w:t>an</w:t>
      </w:r>
      <w:r w:rsidR="00F07BA5" w:rsidRPr="00146506">
        <w:t xml:space="preserve"> </w:t>
      </w:r>
      <w:r w:rsidR="00146506" w:rsidRPr="00146506">
        <w:t xml:space="preserve">ARIC </w:t>
      </w:r>
      <w:r w:rsidR="00F07BA5">
        <w:t>p</w:t>
      </w:r>
      <w:r w:rsidR="00F07BA5" w:rsidRPr="00146506">
        <w:t xml:space="preserve">anel </w:t>
      </w:r>
      <w:r w:rsidR="00146506" w:rsidRPr="00146506">
        <w:t xml:space="preserve">has </w:t>
      </w:r>
      <w:r w:rsidR="001123A2">
        <w:t>finalised its review</w:t>
      </w:r>
      <w:r w:rsidR="00146506" w:rsidRPr="00146506">
        <w:t xml:space="preserve">, the institution will be </w:t>
      </w:r>
      <w:r w:rsidR="00DE2B4A">
        <w:t xml:space="preserve">provided </w:t>
      </w:r>
      <w:r w:rsidR="00146506" w:rsidRPr="00146506">
        <w:t xml:space="preserve">with </w:t>
      </w:r>
      <w:r w:rsidR="00DE2B4A">
        <w:t xml:space="preserve">ARIC’s draft report and given an opportunity to correct any factual errors. </w:t>
      </w:r>
      <w:r w:rsidR="007F35AD">
        <w:t xml:space="preserve">The </w:t>
      </w:r>
      <w:r w:rsidR="00114667">
        <w:t>applicant</w:t>
      </w:r>
      <w:r w:rsidR="00DE2B4A">
        <w:t xml:space="preserve"> may also </w:t>
      </w:r>
      <w:r w:rsidR="00114667">
        <w:t xml:space="preserve">be </w:t>
      </w:r>
      <w:r w:rsidR="00DE2B4A">
        <w:t>provide</w:t>
      </w:r>
      <w:r w:rsidR="00114667">
        <w:t>d with</w:t>
      </w:r>
      <w:r w:rsidR="00DE2B4A">
        <w:t xml:space="preserve"> the draft report,</w:t>
      </w:r>
      <w:r w:rsidR="00A449E3">
        <w:t xml:space="preserve"> </w:t>
      </w:r>
      <w:r w:rsidR="007243AB">
        <w:t xml:space="preserve">relevant </w:t>
      </w:r>
      <w:r w:rsidR="00A449E3">
        <w:t>parts of the report</w:t>
      </w:r>
      <w:r w:rsidR="00DE2B4A">
        <w:t xml:space="preserve"> or a summary, </w:t>
      </w:r>
      <w:r w:rsidR="00146506" w:rsidRPr="00146506">
        <w:t xml:space="preserve">to ensure that the facts and issues of the matter </w:t>
      </w:r>
      <w:r w:rsidR="00146506">
        <w:t xml:space="preserve">have been accurately </w:t>
      </w:r>
      <w:r w:rsidR="001A2BA9">
        <w:t>represented</w:t>
      </w:r>
      <w:r w:rsidR="00146506">
        <w:t xml:space="preserve">. </w:t>
      </w:r>
    </w:p>
    <w:p w14:paraId="142CBE8F" w14:textId="308659C6" w:rsidR="00105D08" w:rsidRDefault="00146506" w:rsidP="00A46686">
      <w:pPr>
        <w:spacing w:before="120" w:after="120"/>
      </w:pPr>
      <w:r w:rsidRPr="00146506">
        <w:t xml:space="preserve">ARIC </w:t>
      </w:r>
      <w:r w:rsidR="001A2BA9">
        <w:t xml:space="preserve">or the relevant </w:t>
      </w:r>
      <w:r w:rsidR="009723BA">
        <w:t xml:space="preserve">funding agency </w:t>
      </w:r>
      <w:r w:rsidRPr="00146506">
        <w:t xml:space="preserve">may </w:t>
      </w:r>
      <w:r w:rsidR="001A2BA9">
        <w:t>determine</w:t>
      </w:r>
      <w:r w:rsidR="001A2BA9" w:rsidRPr="00146506">
        <w:t xml:space="preserve"> </w:t>
      </w:r>
      <w:r w:rsidRPr="00146506">
        <w:t xml:space="preserve">that it is </w:t>
      </w:r>
      <w:r w:rsidR="004B694D">
        <w:t xml:space="preserve">also </w:t>
      </w:r>
      <w:r w:rsidRPr="00146506">
        <w:t>appropriate to provide the draft report, or relevant parts of the report, to other parties who are directly affected by the report or who have provided significant input to the considerations</w:t>
      </w:r>
      <w:r w:rsidR="004B694D">
        <w:t>, to ensure that their input has been accurately represented</w:t>
      </w:r>
      <w:r w:rsidRPr="00146506">
        <w:t xml:space="preserve">. </w:t>
      </w:r>
      <w:r w:rsidR="000A3E22">
        <w:t xml:space="preserve">In rare cases, such as a serious risk to safety or to substantial amounts of public funds, the procedural fairness requirements may need to be </w:t>
      </w:r>
      <w:r w:rsidR="001D723A">
        <w:t xml:space="preserve">restricted or </w:t>
      </w:r>
      <w:r w:rsidR="007B10ED">
        <w:t>will not apply</w:t>
      </w:r>
      <w:r w:rsidR="001D723A">
        <w:t xml:space="preserve"> </w:t>
      </w:r>
      <w:r w:rsidR="000A3E22">
        <w:t xml:space="preserve">due to overriding public interest. Definitions for </w:t>
      </w:r>
      <w:r w:rsidR="001123A2">
        <w:t xml:space="preserve">the principles </w:t>
      </w:r>
      <w:r w:rsidR="000A3E22">
        <w:t>of procedural fairness</w:t>
      </w:r>
      <w:r w:rsidR="001123A2">
        <w:t xml:space="preserve"> (i.e., proportionality, fairness, impartiality, timeliness, transparency and confidentiality)</w:t>
      </w:r>
      <w:r w:rsidR="000A3E22">
        <w:t xml:space="preserve"> </w:t>
      </w:r>
      <w:r w:rsidR="001123A2">
        <w:t>are</w:t>
      </w:r>
      <w:r w:rsidR="000A3E22">
        <w:t xml:space="preserve"> located in the Glossary of Terms</w:t>
      </w:r>
      <w:r w:rsidR="00DF4827">
        <w:t xml:space="preserve"> and in Section 3 of the Investigation Guide.</w:t>
      </w:r>
    </w:p>
    <w:p w14:paraId="5BF7EFCB" w14:textId="7849B5F0" w:rsidR="00DE2B4A" w:rsidRDefault="00DE2B4A" w:rsidP="00A46686">
      <w:pPr>
        <w:spacing w:before="120" w:after="120"/>
      </w:pPr>
      <w:r>
        <w:t>The decision to provide information relating to an ARIC review, including the draft</w:t>
      </w:r>
      <w:r w:rsidR="009723BA">
        <w:t xml:space="preserve"> or </w:t>
      </w:r>
      <w:r w:rsidR="009A4DA1">
        <w:t xml:space="preserve">final </w:t>
      </w:r>
      <w:r>
        <w:t xml:space="preserve">report, is </w:t>
      </w:r>
      <w:r w:rsidR="009723BA">
        <w:t xml:space="preserve">ultimately </w:t>
      </w:r>
      <w:r>
        <w:t xml:space="preserve">at the discretion of the relevant CEO and may be subject to </w:t>
      </w:r>
      <w:r w:rsidR="0062459F">
        <w:t xml:space="preserve">binding confidentiality </w:t>
      </w:r>
      <w:r>
        <w:t>obligation</w:t>
      </w:r>
      <w:r w:rsidR="0062459F">
        <w:t>s</w:t>
      </w:r>
      <w:r w:rsidR="006A01F1">
        <w:t xml:space="preserve">. </w:t>
      </w:r>
    </w:p>
    <w:p w14:paraId="353A1B6F" w14:textId="77777777" w:rsidR="00BC70B6" w:rsidRDefault="00BC70B6" w:rsidP="00A46686">
      <w:pPr>
        <w:spacing w:before="120" w:after="120"/>
      </w:pPr>
    </w:p>
    <w:p w14:paraId="139739B6" w14:textId="77777777" w:rsidR="00105D08" w:rsidRPr="00861562" w:rsidRDefault="000A3E22" w:rsidP="00A46686">
      <w:pPr>
        <w:pStyle w:val="Heading2"/>
        <w:spacing w:before="120"/>
        <w:rPr>
          <w:rFonts w:ascii="Calibri" w:hAnsi="Calibri" w:cs="Calibri"/>
          <w:b w:val="0"/>
          <w:color w:val="1F497D" w:themeColor="text2"/>
          <w:sz w:val="24"/>
          <w:szCs w:val="24"/>
        </w:rPr>
      </w:pPr>
      <w:bookmarkStart w:id="22" w:name="_Toc54850124"/>
      <w:r w:rsidRPr="00861562">
        <w:rPr>
          <w:rFonts w:ascii="Calibri" w:hAnsi="Calibri" w:cs="Calibri"/>
          <w:b w:val="0"/>
          <w:color w:val="1F497D" w:themeColor="text2"/>
          <w:sz w:val="24"/>
          <w:szCs w:val="24"/>
        </w:rPr>
        <w:t>Privacy</w:t>
      </w:r>
      <w:bookmarkEnd w:id="22"/>
    </w:p>
    <w:p w14:paraId="2B8DB2B7" w14:textId="7A671200" w:rsidR="00105D08" w:rsidRDefault="000A3E22" w:rsidP="00A46686">
      <w:pPr>
        <w:spacing w:before="120" w:after="120"/>
      </w:pPr>
      <w:r>
        <w:t xml:space="preserve">The ARIC Secretariat of the relevant funding agency will manage </w:t>
      </w:r>
      <w:r w:rsidR="00146506">
        <w:t xml:space="preserve">personal </w:t>
      </w:r>
      <w:r>
        <w:t xml:space="preserve">information received </w:t>
      </w:r>
      <w:r w:rsidR="00146506">
        <w:t xml:space="preserve">in accordance with the </w:t>
      </w:r>
      <w:r w:rsidR="00146506">
        <w:rPr>
          <w:i/>
        </w:rPr>
        <w:t xml:space="preserve">Privacy Act 1988 </w:t>
      </w:r>
      <w:r>
        <w:t xml:space="preserve">and take reasonable steps to protect information from misuse and loss, and from unauthorised access, modification and disclosure. </w:t>
      </w:r>
      <w:r w:rsidR="00146506">
        <w:t>Further information can be found in the Privacy Policies for NHMRC and the ARC</w:t>
      </w:r>
      <w:r>
        <w:t>.</w:t>
      </w:r>
      <w:r w:rsidR="00EE53F7">
        <w:t xml:space="preserve"> </w:t>
      </w:r>
      <w:r>
        <w:t xml:space="preserve">Subject to requirements under the </w:t>
      </w:r>
      <w:r>
        <w:rPr>
          <w:i/>
        </w:rPr>
        <w:t xml:space="preserve">Archives Act 1983, </w:t>
      </w:r>
      <w:r>
        <w:t>the ARIC Secretariat will only keep information that is relevant and necessary.</w:t>
      </w:r>
    </w:p>
    <w:p w14:paraId="760DE7C6" w14:textId="6A51CF49" w:rsidR="00DF4827" w:rsidRDefault="00DF4827" w:rsidP="00A46686">
      <w:pPr>
        <w:spacing w:before="120" w:after="120"/>
      </w:pPr>
      <w:r>
        <w:t>NHMRC</w:t>
      </w:r>
      <w:r w:rsidR="00146506">
        <w:t xml:space="preserve"> and </w:t>
      </w:r>
      <w:r>
        <w:t>ARC may share information, including personal information, to support the operation of ARIC</w:t>
      </w:r>
      <w:r w:rsidR="00A2072F">
        <w:t xml:space="preserve"> and to ensure consistency in recommendations and advice.</w:t>
      </w:r>
      <w:r w:rsidR="001A2BA9">
        <w:t xml:space="preserve"> Information sharing arrangements will be established through </w:t>
      </w:r>
      <w:r w:rsidR="001123A2">
        <w:t>common Standard Operating Procedures</w:t>
      </w:r>
      <w:r w:rsidR="001A2BA9">
        <w:t xml:space="preserve"> between the two funding agencies. NHMRC </w:t>
      </w:r>
      <w:r w:rsidR="001A2BA9">
        <w:lastRenderedPageBreak/>
        <w:t>and ARC</w:t>
      </w:r>
      <w:r w:rsidR="001A2BA9" w:rsidRPr="00D86274">
        <w:t xml:space="preserve"> may </w:t>
      </w:r>
      <w:r w:rsidR="001A2BA9">
        <w:t xml:space="preserve">also </w:t>
      </w:r>
      <w:r w:rsidR="001A2BA9" w:rsidRPr="00D86274">
        <w:t>share information about ARIC rev</w:t>
      </w:r>
      <w:r w:rsidR="001A2BA9">
        <w:t xml:space="preserve">iews on an in-confidence basis where both agencies have an </w:t>
      </w:r>
      <w:r w:rsidR="001A2BA9" w:rsidRPr="00D86274">
        <w:t>interest in a matter that is the subject of a review.</w:t>
      </w:r>
    </w:p>
    <w:p w14:paraId="1FDE3688" w14:textId="77777777" w:rsidR="00BC70B6" w:rsidRDefault="00BC70B6" w:rsidP="0060529B">
      <w:pPr>
        <w:spacing w:after="0"/>
      </w:pPr>
    </w:p>
    <w:p w14:paraId="0E819A35" w14:textId="77777777" w:rsidR="00105D08" w:rsidRPr="00861562" w:rsidRDefault="000A3E22" w:rsidP="0060529B">
      <w:pPr>
        <w:pStyle w:val="Heading2"/>
        <w:spacing w:before="0"/>
        <w:rPr>
          <w:rFonts w:ascii="Calibri" w:hAnsi="Calibri" w:cs="Calibri"/>
          <w:b w:val="0"/>
          <w:color w:val="1F497D" w:themeColor="text2"/>
          <w:sz w:val="24"/>
          <w:szCs w:val="24"/>
        </w:rPr>
      </w:pPr>
      <w:bookmarkStart w:id="23" w:name="_Toc54850125"/>
      <w:r w:rsidRPr="00861562">
        <w:rPr>
          <w:rFonts w:ascii="Calibri" w:hAnsi="Calibri" w:cs="Calibri"/>
          <w:b w:val="0"/>
          <w:color w:val="1F497D" w:themeColor="text2"/>
          <w:sz w:val="24"/>
          <w:szCs w:val="24"/>
        </w:rPr>
        <w:t>Whistleblowers</w:t>
      </w:r>
      <w:bookmarkEnd w:id="23"/>
    </w:p>
    <w:p w14:paraId="1D059FB9" w14:textId="290573DC" w:rsidR="00105D08" w:rsidRDefault="000A3E22" w:rsidP="00A46686">
      <w:pPr>
        <w:spacing w:before="120" w:after="120"/>
      </w:pPr>
      <w:r>
        <w:t>Individuals or organisation</w:t>
      </w:r>
      <w:r w:rsidR="001125E3">
        <w:t>s</w:t>
      </w:r>
      <w:r>
        <w:t xml:space="preserve"> should be aware that ARIC is unable to provide protection to whistleblowers</w:t>
      </w:r>
      <w:r w:rsidR="0079785F">
        <w:t>.</w:t>
      </w:r>
      <w:r>
        <w:t xml:space="preserve"> Employees should ensure that </w:t>
      </w:r>
      <w:r w:rsidR="00452EEA">
        <w:t xml:space="preserve">the provision of </w:t>
      </w:r>
      <w:r>
        <w:t xml:space="preserve">information in an ARIC application </w:t>
      </w:r>
      <w:r w:rsidR="00452EEA">
        <w:t>does not breach a workplace confidentiality agreement</w:t>
      </w:r>
      <w:r>
        <w:t xml:space="preserve">, as unauthorised disclosure may render an individual or organisation liable to prosecution or civil action by their employer or a local authority. Australian Public Service employees are reminded of their obligation under section 70 of the </w:t>
      </w:r>
      <w:r>
        <w:rPr>
          <w:i/>
        </w:rPr>
        <w:t xml:space="preserve">Crimes Act 1914 </w:t>
      </w:r>
      <w:r>
        <w:t xml:space="preserve">(Cth) and Regulation 2.4 of the </w:t>
      </w:r>
      <w:r>
        <w:rPr>
          <w:i/>
        </w:rPr>
        <w:t xml:space="preserve">Public Service Regulations 1999 </w:t>
      </w:r>
      <w:r>
        <w:t>(Cth) to not disclose Commonwealth information without authorisation.</w:t>
      </w:r>
      <w:r w:rsidR="000E4D36">
        <w:rPr>
          <w:rStyle w:val="FootnoteReference"/>
        </w:rPr>
        <w:footnoteReference w:id="8"/>
      </w:r>
      <w:r>
        <w:t xml:space="preserve"> </w:t>
      </w:r>
    </w:p>
    <w:p w14:paraId="513A7DC9" w14:textId="77777777" w:rsidR="006733AE" w:rsidRPr="00012B6D" w:rsidRDefault="006733AE" w:rsidP="00A46686">
      <w:pPr>
        <w:spacing w:before="120" w:after="120"/>
      </w:pPr>
    </w:p>
    <w:p w14:paraId="7BCD4615" w14:textId="77777777" w:rsidR="00105D08" w:rsidRPr="00861562" w:rsidRDefault="000A3E22" w:rsidP="00A46686">
      <w:pPr>
        <w:pStyle w:val="Heading2"/>
        <w:spacing w:before="120" w:after="120"/>
        <w:rPr>
          <w:rFonts w:ascii="Calibri" w:hAnsi="Calibri" w:cs="Calibri"/>
          <w:b w:val="0"/>
          <w:color w:val="1F497D" w:themeColor="text2"/>
          <w:sz w:val="24"/>
          <w:szCs w:val="24"/>
        </w:rPr>
      </w:pPr>
      <w:bookmarkStart w:id="24" w:name="_Toc54850126"/>
      <w:r w:rsidRPr="00861562">
        <w:rPr>
          <w:rFonts w:ascii="Calibri" w:hAnsi="Calibri" w:cs="Calibri"/>
          <w:b w:val="0"/>
          <w:color w:val="1F497D" w:themeColor="text2"/>
          <w:sz w:val="24"/>
          <w:szCs w:val="24"/>
        </w:rPr>
        <w:t xml:space="preserve">When </w:t>
      </w:r>
      <w:r w:rsidR="00623604" w:rsidRPr="00861562">
        <w:rPr>
          <w:rFonts w:ascii="Calibri" w:hAnsi="Calibri" w:cs="Calibri"/>
          <w:b w:val="0"/>
          <w:color w:val="1F497D" w:themeColor="text2"/>
          <w:sz w:val="24"/>
          <w:szCs w:val="24"/>
        </w:rPr>
        <w:t>a</w:t>
      </w:r>
      <w:r w:rsidR="00A36C69" w:rsidRPr="00861562">
        <w:rPr>
          <w:rFonts w:ascii="Calibri" w:hAnsi="Calibri" w:cs="Calibri"/>
          <w:b w:val="0"/>
          <w:color w:val="1F497D" w:themeColor="text2"/>
          <w:sz w:val="24"/>
          <w:szCs w:val="24"/>
        </w:rPr>
        <w:t xml:space="preserve">pplicants and other </w:t>
      </w:r>
      <w:r w:rsidR="00623604" w:rsidRPr="00861562">
        <w:rPr>
          <w:rFonts w:ascii="Calibri" w:hAnsi="Calibri" w:cs="Calibri"/>
          <w:b w:val="0"/>
          <w:color w:val="1F497D" w:themeColor="text2"/>
          <w:sz w:val="24"/>
          <w:szCs w:val="24"/>
        </w:rPr>
        <w:t>p</w:t>
      </w:r>
      <w:r w:rsidR="00A36C69" w:rsidRPr="00861562">
        <w:rPr>
          <w:rFonts w:ascii="Calibri" w:hAnsi="Calibri" w:cs="Calibri"/>
          <w:b w:val="0"/>
          <w:color w:val="1F497D" w:themeColor="text2"/>
          <w:sz w:val="24"/>
          <w:szCs w:val="24"/>
        </w:rPr>
        <w:t xml:space="preserve">arties are </w:t>
      </w:r>
      <w:r w:rsidR="00623604" w:rsidRPr="00861562">
        <w:rPr>
          <w:rFonts w:ascii="Calibri" w:hAnsi="Calibri" w:cs="Calibri"/>
          <w:b w:val="0"/>
          <w:color w:val="1F497D" w:themeColor="text2"/>
          <w:sz w:val="24"/>
          <w:szCs w:val="24"/>
        </w:rPr>
        <w:t>u</w:t>
      </w:r>
      <w:r w:rsidR="00A36C69" w:rsidRPr="00861562">
        <w:rPr>
          <w:rFonts w:ascii="Calibri" w:hAnsi="Calibri" w:cs="Calibri"/>
          <w:b w:val="0"/>
          <w:color w:val="1F497D" w:themeColor="text2"/>
          <w:sz w:val="24"/>
          <w:szCs w:val="24"/>
        </w:rPr>
        <w:t>navailable</w:t>
      </w:r>
      <w:bookmarkEnd w:id="24"/>
      <w:r w:rsidRPr="00861562">
        <w:rPr>
          <w:rFonts w:ascii="Calibri" w:hAnsi="Calibri" w:cs="Calibri"/>
          <w:b w:val="0"/>
          <w:color w:val="1F497D" w:themeColor="text2"/>
          <w:sz w:val="24"/>
          <w:szCs w:val="24"/>
        </w:rPr>
        <w:t xml:space="preserve"> </w:t>
      </w:r>
    </w:p>
    <w:p w14:paraId="0D069795" w14:textId="12EF62DD" w:rsidR="00105D08" w:rsidRDefault="000A3E22" w:rsidP="00A46686">
      <w:pPr>
        <w:spacing w:before="120" w:after="120"/>
      </w:pPr>
      <w:r>
        <w:t xml:space="preserve">If the applicant or persons involved in an ARIC matter are </w:t>
      </w:r>
      <w:r w:rsidR="00A36C69">
        <w:t>unavailable</w:t>
      </w:r>
      <w:r>
        <w:t xml:space="preserve"> during the course of their review, steps will be taken to ensure they are not disadvantaged. Applicants or persons involved in an ARIC matter may choose to provide supplementary information by correspondence or other means, may request that a person act on their behalf</w:t>
      </w:r>
      <w:r w:rsidR="00F025CB">
        <w:t>,</w:t>
      </w:r>
      <w:r>
        <w:t xml:space="preserve"> or </w:t>
      </w:r>
      <w:r w:rsidR="00F025CB">
        <w:t xml:space="preserve">may request </w:t>
      </w:r>
      <w:r>
        <w:t>that the ARIC panel conclude</w:t>
      </w:r>
      <w:r w:rsidR="0024569C">
        <w:t>s</w:t>
      </w:r>
      <w:r>
        <w:t xml:space="preserve"> its findings and makes recommendations based on the information and material already provided. </w:t>
      </w:r>
    </w:p>
    <w:p w14:paraId="04B075A8" w14:textId="16C18525" w:rsidR="00A822E1" w:rsidRDefault="00A822E1" w:rsidP="00A822E1">
      <w:pPr>
        <w:spacing w:after="0"/>
      </w:pPr>
    </w:p>
    <w:p w14:paraId="191D9E9B" w14:textId="16460DA2" w:rsidR="000C1AD8" w:rsidRDefault="000C1AD8">
      <w:pPr>
        <w:spacing w:after="0" w:line="240" w:lineRule="auto"/>
      </w:pPr>
      <w:r>
        <w:br w:type="page"/>
      </w:r>
    </w:p>
    <w:p w14:paraId="69D16E84" w14:textId="69EE2118" w:rsidR="00105D08" w:rsidRPr="00CA5539" w:rsidRDefault="000A3E22" w:rsidP="00A822E1">
      <w:pPr>
        <w:pStyle w:val="Heading1"/>
        <w:spacing w:before="0"/>
        <w:rPr>
          <w:rFonts w:ascii="Calibri" w:hAnsi="Calibri" w:cs="Calibri"/>
        </w:rPr>
      </w:pPr>
      <w:bookmarkStart w:id="25" w:name="_Toc54850127"/>
      <w:r w:rsidRPr="00CA5539">
        <w:rPr>
          <w:rFonts w:ascii="Calibri" w:hAnsi="Calibri" w:cs="Calibri"/>
          <w:color w:val="1F497D" w:themeColor="text2"/>
        </w:rPr>
        <w:lastRenderedPageBreak/>
        <w:t xml:space="preserve">Appendix </w:t>
      </w:r>
      <w:r w:rsidR="0087543A" w:rsidRPr="00CA5539">
        <w:rPr>
          <w:rFonts w:ascii="Calibri" w:hAnsi="Calibri" w:cs="Calibri"/>
          <w:color w:val="1F497D" w:themeColor="text2"/>
        </w:rPr>
        <w:t>A</w:t>
      </w:r>
      <w:r w:rsidRPr="00CA5539">
        <w:rPr>
          <w:rFonts w:ascii="Calibri" w:hAnsi="Calibri" w:cs="Calibri"/>
          <w:color w:val="1F497D" w:themeColor="text2"/>
        </w:rPr>
        <w:t>: Glossary of Terms</w:t>
      </w:r>
      <w:bookmarkEnd w:id="25"/>
    </w:p>
    <w:p w14:paraId="592C73FC" w14:textId="110511C3" w:rsidR="00452EEA" w:rsidRDefault="00452EEA" w:rsidP="00A46686">
      <w:pPr>
        <w:spacing w:before="120" w:after="120"/>
        <w:ind w:left="360"/>
      </w:pPr>
      <w:r w:rsidRPr="00AB5A49">
        <w:rPr>
          <w:b/>
          <w:i/>
        </w:rPr>
        <w:t>Allegation</w:t>
      </w:r>
      <w:r>
        <w:t xml:space="preserve"> means a claim or assertion arising from a preliminary assessment that there are reasonable grounds to believe a breach of the Code has occurred. May refer to a single allegation or multiple allegations.</w:t>
      </w:r>
    </w:p>
    <w:p w14:paraId="196A7B8B" w14:textId="7AE3359B" w:rsidR="00452EEA" w:rsidRDefault="00452EEA" w:rsidP="00A46686">
      <w:pPr>
        <w:spacing w:before="120" w:after="120"/>
        <w:ind w:left="360"/>
      </w:pPr>
      <w:r w:rsidRPr="00AB5A49">
        <w:rPr>
          <w:b/>
          <w:i/>
        </w:rPr>
        <w:t>Applicant</w:t>
      </w:r>
      <w:r>
        <w:t xml:space="preserve"> means a person, organisation or persons who have made a request for an ARIC review. </w:t>
      </w:r>
    </w:p>
    <w:p w14:paraId="0C6C306A" w14:textId="393B733D" w:rsidR="00407ECB" w:rsidRDefault="00407ECB" w:rsidP="00A46686">
      <w:pPr>
        <w:spacing w:before="120" w:after="120"/>
        <w:ind w:left="360"/>
      </w:pPr>
      <w:r w:rsidRPr="00AB5A49">
        <w:rPr>
          <w:b/>
          <w:i/>
        </w:rPr>
        <w:t>ARIC</w:t>
      </w:r>
      <w:r>
        <w:t xml:space="preserve"> means the Australian Research Integrity Committee</w:t>
      </w:r>
      <w:r w:rsidR="000C1AD8">
        <w:t>.</w:t>
      </w:r>
    </w:p>
    <w:p w14:paraId="251233AD" w14:textId="55722CC2" w:rsidR="00452EEA" w:rsidRDefault="00452EEA" w:rsidP="00A46686">
      <w:pPr>
        <w:spacing w:before="120" w:after="120"/>
        <w:ind w:left="360"/>
      </w:pPr>
      <w:r w:rsidRPr="00AB5A49">
        <w:rPr>
          <w:b/>
          <w:i/>
        </w:rPr>
        <w:t>ARIC Chair</w:t>
      </w:r>
      <w:r>
        <w:t xml:space="preserve"> means the person appointed as the Chair of the Australian Research Integrity Committee.</w:t>
      </w:r>
    </w:p>
    <w:p w14:paraId="50645830" w14:textId="2531BC2E" w:rsidR="00452EEA" w:rsidRPr="00A87749" w:rsidRDefault="00452EEA" w:rsidP="00A46686">
      <w:pPr>
        <w:spacing w:before="120" w:after="120"/>
        <w:ind w:left="360"/>
      </w:pPr>
      <w:r w:rsidRPr="003C5E3E">
        <w:rPr>
          <w:b/>
          <w:i/>
        </w:rPr>
        <w:t>ARIC Secretariat</w:t>
      </w:r>
      <w:r w:rsidRPr="003C5E3E">
        <w:t xml:space="preserve"> refers to </w:t>
      </w:r>
      <w:r w:rsidR="00E73C9F" w:rsidRPr="003C5E3E">
        <w:t>staff of either</w:t>
      </w:r>
      <w:r w:rsidRPr="003C5E3E">
        <w:t xml:space="preserve"> NHMRC </w:t>
      </w:r>
      <w:r w:rsidR="00E73C9F" w:rsidRPr="003C5E3E">
        <w:t xml:space="preserve">or the </w:t>
      </w:r>
      <w:r w:rsidRPr="003C5E3E">
        <w:t>ARC</w:t>
      </w:r>
      <w:r w:rsidR="00E73C9F" w:rsidRPr="003C5E3E">
        <w:t xml:space="preserve">, or both, </w:t>
      </w:r>
      <w:r w:rsidRPr="003C5E3E">
        <w:t xml:space="preserve">who are </w:t>
      </w:r>
      <w:r w:rsidR="00E73C9F" w:rsidRPr="003C5E3E">
        <w:t xml:space="preserve">responsible for receiving and handling of ARIC </w:t>
      </w:r>
      <w:r w:rsidR="001A08CF" w:rsidRPr="003C5E3E">
        <w:t xml:space="preserve">Request for Reviews or queries concerning ARIC. </w:t>
      </w:r>
    </w:p>
    <w:p w14:paraId="344235A4" w14:textId="1534D035" w:rsidR="00452EEA" w:rsidRDefault="00452EEA" w:rsidP="00A46686">
      <w:pPr>
        <w:spacing w:before="120" w:after="120"/>
        <w:ind w:left="360"/>
      </w:pPr>
      <w:r w:rsidRPr="00AB5A49">
        <w:rPr>
          <w:b/>
          <w:i/>
        </w:rPr>
        <w:t>Breach</w:t>
      </w:r>
      <w:r>
        <w:t xml:space="preserve"> means a failure to meet the principles and responsibilities of the Code. It may refer to a single breach or multiple breaches.</w:t>
      </w:r>
    </w:p>
    <w:p w14:paraId="340E65B4" w14:textId="596334F0" w:rsidR="0047532E" w:rsidRDefault="00452EEA" w:rsidP="00A46686">
      <w:pPr>
        <w:spacing w:before="120" w:after="120"/>
        <w:ind w:left="360"/>
      </w:pPr>
      <w:r w:rsidRPr="00AB5A49">
        <w:rPr>
          <w:b/>
          <w:i/>
        </w:rPr>
        <w:t>Complainant</w:t>
      </w:r>
      <w:r>
        <w:t xml:space="preserve"> means a person or persons who have made a complaint to an institution about the conduct of research.</w:t>
      </w:r>
      <w:r w:rsidR="00407ECB">
        <w:t xml:space="preserve"> </w:t>
      </w:r>
    </w:p>
    <w:p w14:paraId="7A33CE36" w14:textId="725707E0" w:rsidR="00452EEA" w:rsidRDefault="00452EEA" w:rsidP="00A46686">
      <w:pPr>
        <w:spacing w:before="120" w:after="120"/>
        <w:ind w:left="360"/>
      </w:pPr>
      <w:r w:rsidRPr="00AB5A49">
        <w:rPr>
          <w:b/>
          <w:i/>
        </w:rPr>
        <w:t>Conflict of interest</w:t>
      </w:r>
      <w:r>
        <w:t xml:space="preserve"> exists in a situation where an independent observer might reasonably conclude that the professional actions of a person are or may be unduly influenced by other interests. In relation to ARIC members, ‘interest’ is defined in the </w:t>
      </w:r>
      <w:r>
        <w:rPr>
          <w:i/>
        </w:rPr>
        <w:t>National Health and Medical Research Council Act 1992</w:t>
      </w:r>
      <w:r>
        <w:t xml:space="preserve"> and is subject to rules issued under section 29 of the </w:t>
      </w:r>
      <w:r>
        <w:rPr>
          <w:i/>
        </w:rPr>
        <w:t>Public Governance, Performance and Accountability Act 2013</w:t>
      </w:r>
      <w:r>
        <w:t xml:space="preserve">.  </w:t>
      </w:r>
    </w:p>
    <w:p w14:paraId="307AEFEB" w14:textId="25243F4E" w:rsidR="00452EEA" w:rsidRDefault="00452EEA" w:rsidP="00A46686">
      <w:pPr>
        <w:spacing w:before="120" w:after="120"/>
        <w:ind w:left="360"/>
      </w:pPr>
      <w:r w:rsidRPr="00AB5A49">
        <w:rPr>
          <w:b/>
          <w:i/>
        </w:rPr>
        <w:t>Corrective action</w:t>
      </w:r>
      <w:r>
        <w:t xml:space="preserve"> include retractions or errata of publications, training, counselling and systemic improvements.</w:t>
      </w:r>
    </w:p>
    <w:p w14:paraId="4151C591" w14:textId="7F8A0188" w:rsidR="00452EEA" w:rsidRDefault="00452EEA" w:rsidP="00A46686">
      <w:pPr>
        <w:spacing w:before="120" w:after="120"/>
        <w:ind w:left="360"/>
      </w:pPr>
      <w:r w:rsidRPr="00AB5A49">
        <w:rPr>
          <w:b/>
          <w:i/>
        </w:rPr>
        <w:t>Delay and/or inaction</w:t>
      </w:r>
      <w:r>
        <w:t xml:space="preserve"> means a delay or inaction which, in all the circumstances, could prejudice the findings or fairness of an investigation/inquiry or imposes hardship on the relevant person.</w:t>
      </w:r>
    </w:p>
    <w:p w14:paraId="50AE09C6" w14:textId="061DE54F" w:rsidR="00071D6B" w:rsidRDefault="003B0C20" w:rsidP="00A46686">
      <w:pPr>
        <w:spacing w:before="120" w:after="120"/>
        <w:ind w:left="360"/>
      </w:pPr>
      <w:r w:rsidRPr="003C5E3E">
        <w:rPr>
          <w:b/>
          <w:i/>
        </w:rPr>
        <w:t xml:space="preserve">Deputy Chair </w:t>
      </w:r>
      <w:r w:rsidRPr="003C5E3E">
        <w:t>means the person appointed to</w:t>
      </w:r>
      <w:r w:rsidR="00E73C9F" w:rsidRPr="003C5E3E">
        <w:t xml:space="preserve"> undertake duties of</w:t>
      </w:r>
      <w:r w:rsidRPr="003C5E3E">
        <w:t xml:space="preserve"> the Chair if the Chair is </w:t>
      </w:r>
      <w:r w:rsidR="00FC50B5" w:rsidRPr="003C5E3E">
        <w:t xml:space="preserve">absent or </w:t>
      </w:r>
      <w:r w:rsidR="00B005FF" w:rsidRPr="003C5E3E">
        <w:t>at the request of the Chair</w:t>
      </w:r>
      <w:r w:rsidRPr="003C5E3E">
        <w:t>.</w:t>
      </w:r>
    </w:p>
    <w:p w14:paraId="2E038890" w14:textId="1FD53063" w:rsidR="000C1AD8" w:rsidRPr="000C1AD8" w:rsidRDefault="000C1AD8" w:rsidP="00A46686">
      <w:pPr>
        <w:spacing w:before="120" w:after="120"/>
        <w:ind w:left="360"/>
      </w:pPr>
      <w:r>
        <w:rPr>
          <w:b/>
          <w:i/>
        </w:rPr>
        <w:t xml:space="preserve">Funding Agency </w:t>
      </w:r>
      <w:r>
        <w:t>means either the ARC or NHMRC</w:t>
      </w:r>
      <w:r w:rsidR="00CE03E0">
        <w:t>.</w:t>
      </w:r>
    </w:p>
    <w:p w14:paraId="38E8D8A5" w14:textId="31C015FC" w:rsidR="00E75ED0" w:rsidRPr="00E75ED0" w:rsidRDefault="00E75ED0" w:rsidP="00A46686">
      <w:pPr>
        <w:pStyle w:val="ListParagraph"/>
        <w:spacing w:before="120" w:after="120"/>
        <w:ind w:left="363"/>
        <w:contextualSpacing w:val="0"/>
        <w:rPr>
          <w:rFonts w:cs="Calibri"/>
        </w:rPr>
      </w:pPr>
      <w:r w:rsidRPr="00AB5A49">
        <w:rPr>
          <w:rFonts w:cs="Calibri"/>
          <w:b/>
          <w:i/>
        </w:rPr>
        <w:t>Investigation Guide</w:t>
      </w:r>
      <w:r w:rsidRPr="00AB5A49">
        <w:rPr>
          <w:rFonts w:cs="Calibri"/>
          <w:i/>
        </w:rPr>
        <w:t xml:space="preserve"> </w:t>
      </w:r>
      <w:r w:rsidRPr="00E75ED0">
        <w:rPr>
          <w:rFonts w:cs="Calibri"/>
        </w:rPr>
        <w:t xml:space="preserve">means the </w:t>
      </w:r>
      <w:r w:rsidRPr="00AB5A49">
        <w:rPr>
          <w:rFonts w:cs="Calibri"/>
          <w:i/>
        </w:rPr>
        <w:t>Guide to Managing and Investigating Potential Breaches of the Code, 2018</w:t>
      </w:r>
      <w:r w:rsidRPr="00E75ED0">
        <w:rPr>
          <w:rFonts w:cs="Calibri"/>
        </w:rPr>
        <w:t>.</w:t>
      </w:r>
    </w:p>
    <w:p w14:paraId="4AE95519" w14:textId="2F607CD1" w:rsidR="00452EEA" w:rsidRDefault="00452EEA" w:rsidP="00A46686">
      <w:pPr>
        <w:spacing w:before="120" w:after="120"/>
        <w:ind w:left="363"/>
      </w:pPr>
      <w:r w:rsidRPr="00AB5A49">
        <w:rPr>
          <w:b/>
          <w:i/>
        </w:rPr>
        <w:t>Institution</w:t>
      </w:r>
      <w:r>
        <w:t xml:space="preserve"> includes universities, independent research institutes, hospitals or any other organisation that conducts research. May refer to one or multiple institutions.</w:t>
      </w:r>
    </w:p>
    <w:p w14:paraId="74728921" w14:textId="79E27783" w:rsidR="00452EEA" w:rsidRDefault="00452EEA" w:rsidP="00A46686">
      <w:pPr>
        <w:spacing w:before="120" w:after="120"/>
        <w:ind w:left="360"/>
      </w:pPr>
      <w:r w:rsidRPr="00AB5A49">
        <w:rPr>
          <w:b/>
          <w:i/>
        </w:rPr>
        <w:t>Procedural fairness</w:t>
      </w:r>
      <w:r>
        <w:t xml:space="preserve"> is used when referring to administrative decision-making as it pertains to the procedures used by a decision-maker, rather than any outcome reached. It requires a fair and proper procedure be used when making a decision. A fair and proper procedure for managing and investigating potential breaches of the Code is one that satisfies the principles in Section 3 of the </w:t>
      </w:r>
      <w:r>
        <w:rPr>
          <w:i/>
        </w:rPr>
        <w:t xml:space="preserve">Guide to Managing and Investigating </w:t>
      </w:r>
      <w:r w:rsidR="00F07BA5">
        <w:rPr>
          <w:i/>
        </w:rPr>
        <w:t>Pot</w:t>
      </w:r>
      <w:r w:rsidR="00F07BA5" w:rsidDel="001C5DE6">
        <w:rPr>
          <w:i/>
        </w:rPr>
        <w:t>e</w:t>
      </w:r>
      <w:r w:rsidR="00F07BA5">
        <w:rPr>
          <w:i/>
        </w:rPr>
        <w:t>ntial</w:t>
      </w:r>
      <w:r>
        <w:rPr>
          <w:i/>
        </w:rPr>
        <w:t xml:space="preserve"> Breaches of the Code, 2018</w:t>
      </w:r>
      <w:r>
        <w:t xml:space="preserve">. </w:t>
      </w:r>
    </w:p>
    <w:p w14:paraId="6903AA27" w14:textId="799C4040" w:rsidR="00452EEA" w:rsidRDefault="00452EEA" w:rsidP="00A46686">
      <w:pPr>
        <w:spacing w:before="120" w:after="120"/>
        <w:ind w:left="360"/>
      </w:pPr>
      <w:r w:rsidRPr="00AB5A49">
        <w:rPr>
          <w:b/>
          <w:i/>
        </w:rPr>
        <w:t>Processes</w:t>
      </w:r>
      <w:r>
        <w:t xml:space="preserve"> includes </w:t>
      </w:r>
      <w:r w:rsidR="001A2BA9">
        <w:t>the specific series of actions taken in response to a particular complaint, as well as the policies, procedures, guidelines and standards used in managing the complaint.</w:t>
      </w:r>
    </w:p>
    <w:p w14:paraId="4CA37B0D" w14:textId="641B778E" w:rsidR="00452EEA" w:rsidRDefault="00452EEA" w:rsidP="00A46686">
      <w:pPr>
        <w:spacing w:before="120" w:after="120"/>
        <w:ind w:left="360"/>
      </w:pPr>
      <w:r w:rsidRPr="00AB5A49">
        <w:rPr>
          <w:b/>
          <w:i/>
        </w:rPr>
        <w:t>Relevant parties</w:t>
      </w:r>
      <w:r>
        <w:t xml:space="preserve"> may include: the person, group or organisation seeking ARIC review; the institution</w:t>
      </w:r>
      <w:r w:rsidR="00F07BA5">
        <w:t xml:space="preserve"> at which the research or investigation occurred</w:t>
      </w:r>
      <w:r>
        <w:t xml:space="preserve">; the researcher(s) allegedly involved in a breach of the </w:t>
      </w:r>
      <w:r>
        <w:lastRenderedPageBreak/>
        <w:t>Code; and such other persons, groups or organisations who are identified by ARIC as having an interest in a specific review.</w:t>
      </w:r>
    </w:p>
    <w:p w14:paraId="36B4763E" w14:textId="321C4487" w:rsidR="00452EEA" w:rsidRDefault="00452EEA" w:rsidP="00A46686">
      <w:pPr>
        <w:spacing w:before="120" w:after="120"/>
        <w:ind w:left="360"/>
      </w:pPr>
      <w:r w:rsidRPr="00AB5A49">
        <w:rPr>
          <w:b/>
          <w:i/>
        </w:rPr>
        <w:t>Research misconduct</w:t>
      </w:r>
      <w:r>
        <w:t xml:space="preserve"> is a serious breach of the Code which is also intentional </w:t>
      </w:r>
      <w:r w:rsidRPr="00927689">
        <w:rPr>
          <w:i/>
        </w:rPr>
        <w:t>or</w:t>
      </w:r>
      <w:r>
        <w:t xml:space="preserve"> reckless </w:t>
      </w:r>
      <w:r w:rsidRPr="00927689">
        <w:rPr>
          <w:i/>
        </w:rPr>
        <w:t>or</w:t>
      </w:r>
      <w:r>
        <w:t xml:space="preserve"> negligent. </w:t>
      </w:r>
    </w:p>
    <w:p w14:paraId="255AB991" w14:textId="5014E8D8" w:rsidR="003A1528" w:rsidRDefault="00452EEA" w:rsidP="00A46686">
      <w:pPr>
        <w:spacing w:before="120" w:after="120"/>
        <w:ind w:left="360"/>
      </w:pPr>
      <w:r w:rsidRPr="00AB5A49">
        <w:rPr>
          <w:b/>
          <w:i/>
        </w:rPr>
        <w:t>Researcher</w:t>
      </w:r>
      <w:r>
        <w:t xml:space="preserve"> means a person (or persons) who conducts, or assists with the conduct of, research.</w:t>
      </w:r>
    </w:p>
    <w:p w14:paraId="174B5AF2" w14:textId="4F96744E" w:rsidR="0050124A" w:rsidRPr="00A87749" w:rsidRDefault="00F07BA5" w:rsidP="00A46686">
      <w:pPr>
        <w:spacing w:before="120" w:after="120"/>
        <w:ind w:left="360"/>
      </w:pPr>
      <w:r w:rsidRPr="00AB5A49">
        <w:rPr>
          <w:b/>
          <w:i/>
        </w:rPr>
        <w:t>Respondent</w:t>
      </w:r>
      <w:r>
        <w:t xml:space="preserve"> means the person the subject of a preliminary assessment or investigation into whether their conduct breached the Code. </w:t>
      </w:r>
    </w:p>
    <w:sectPr w:rsidR="0050124A" w:rsidRPr="00A87749" w:rsidSect="00E255C6">
      <w:footerReference w:type="default" r:id="rId12"/>
      <w:headerReference w:type="first" r:id="rId13"/>
      <w:footerReference w:type="first" r:id="rId14"/>
      <w:pgSz w:w="11906" w:h="16838"/>
      <w:pgMar w:top="1440" w:right="1080" w:bottom="1440" w:left="1080" w:header="62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F193" w14:textId="77777777" w:rsidR="00F53E26" w:rsidRDefault="00F53E26">
      <w:pPr>
        <w:spacing w:after="0" w:line="240" w:lineRule="auto"/>
      </w:pPr>
      <w:r>
        <w:separator/>
      </w:r>
    </w:p>
  </w:endnote>
  <w:endnote w:type="continuationSeparator" w:id="0">
    <w:p w14:paraId="4E9F9800" w14:textId="77777777" w:rsidR="00F53E26" w:rsidRDefault="00F53E26">
      <w:pPr>
        <w:spacing w:after="0" w:line="240" w:lineRule="auto"/>
      </w:pPr>
      <w:r>
        <w:continuationSeparator/>
      </w:r>
    </w:p>
  </w:endnote>
  <w:endnote w:type="continuationNotice" w:id="1">
    <w:p w14:paraId="4B8ECE0E" w14:textId="77777777" w:rsidR="00F53E26" w:rsidRDefault="00F53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A035" w14:textId="7BEEC6BE" w:rsidR="002A3DA7" w:rsidRPr="00802B80" w:rsidRDefault="002A3DA7">
    <w:pPr>
      <w:pStyle w:val="Footer"/>
      <w:rPr>
        <w:i/>
        <w:sz w:val="18"/>
        <w:szCs w:val="18"/>
      </w:rPr>
    </w:pPr>
    <w:r w:rsidRPr="00802B80">
      <w:rPr>
        <w:i/>
        <w:sz w:val="18"/>
        <w:szCs w:val="18"/>
      </w:rPr>
      <w:t>Australian Research Integrity Committee Framework (20</w:t>
    </w:r>
    <w:r>
      <w:rPr>
        <w:i/>
        <w:sz w:val="18"/>
        <w:szCs w:val="18"/>
      </w:rPr>
      <w:t>21</w:t>
    </w:r>
    <w:r w:rsidRPr="00802B80">
      <w:rPr>
        <w:i/>
        <w:sz w:val="18"/>
        <w:szCs w:val="18"/>
      </w:rPr>
      <w:t>)</w:t>
    </w:r>
  </w:p>
  <w:p w14:paraId="27F91C85" w14:textId="7DBB0378" w:rsidR="002A3DA7" w:rsidRPr="00E255C6" w:rsidRDefault="002A3DA7" w:rsidP="00FB1422">
    <w:pPr>
      <w:pStyle w:val="Footer"/>
      <w:jc w:val="right"/>
      <w:rPr>
        <w:sz w:val="18"/>
        <w:szCs w:val="18"/>
      </w:rPr>
    </w:pPr>
    <w:r>
      <w:rPr>
        <w:sz w:val="18"/>
        <w:szCs w:val="18"/>
      </w:rPr>
      <w:ptab w:relativeTo="margin" w:alignment="right" w:leader="none"/>
    </w:r>
    <w:r>
      <w:rPr>
        <w:sz w:val="18"/>
        <w:szCs w:val="18"/>
      </w:rPr>
      <w:fldChar w:fldCharType="begin"/>
    </w:r>
    <w:r>
      <w:rPr>
        <w:sz w:val="18"/>
        <w:szCs w:val="18"/>
      </w:rPr>
      <w:instrText xml:space="preserve"> PAGE  \* Arabic  \* MERGEFORMAT </w:instrText>
    </w:r>
    <w:r>
      <w:rPr>
        <w:sz w:val="18"/>
        <w:szCs w:val="18"/>
      </w:rPr>
      <w:fldChar w:fldCharType="separate"/>
    </w:r>
    <w:r w:rsidR="000F6E6E">
      <w:rPr>
        <w:noProof/>
        <w:sz w:val="18"/>
        <w:szCs w:val="18"/>
      </w:rPr>
      <w:t>12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1AC8" w14:textId="4AAC09B7" w:rsidR="002A3DA7" w:rsidRDefault="002A3DA7">
    <w:pPr>
      <w:pStyle w:val="Footer"/>
      <w:jc w:val="right"/>
    </w:pPr>
  </w:p>
  <w:p w14:paraId="3343C940" w14:textId="24FCAEC9" w:rsidR="002A3DA7" w:rsidRDefault="002A3DA7">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7BDE" w14:textId="77777777" w:rsidR="00F53E26" w:rsidRDefault="00F53E26">
      <w:pPr>
        <w:spacing w:after="0" w:line="240" w:lineRule="auto"/>
      </w:pPr>
      <w:r>
        <w:separator/>
      </w:r>
    </w:p>
  </w:footnote>
  <w:footnote w:type="continuationSeparator" w:id="0">
    <w:p w14:paraId="2835286A" w14:textId="77777777" w:rsidR="00F53E26" w:rsidRDefault="00F53E26">
      <w:pPr>
        <w:spacing w:after="0" w:line="240" w:lineRule="auto"/>
      </w:pPr>
      <w:r>
        <w:continuationSeparator/>
      </w:r>
    </w:p>
  </w:footnote>
  <w:footnote w:type="continuationNotice" w:id="1">
    <w:p w14:paraId="5DA05F91" w14:textId="77777777" w:rsidR="00F53E26" w:rsidRDefault="00F53E26">
      <w:pPr>
        <w:spacing w:after="0" w:line="240" w:lineRule="auto"/>
      </w:pPr>
    </w:p>
  </w:footnote>
  <w:footnote w:id="2">
    <w:p w14:paraId="52CF4B76" w14:textId="0A1F0405" w:rsidR="002A3DA7" w:rsidRPr="003C2257" w:rsidRDefault="002A3DA7" w:rsidP="00CB1E12">
      <w:pPr>
        <w:pStyle w:val="FootnoteText"/>
        <w:rPr>
          <w:sz w:val="18"/>
          <w:szCs w:val="18"/>
        </w:rPr>
      </w:pPr>
      <w:r>
        <w:rPr>
          <w:rStyle w:val="FootnoteReference"/>
        </w:rPr>
        <w:footnoteRef/>
      </w:r>
      <w:r>
        <w:t xml:space="preserve"> </w:t>
      </w:r>
      <w:r w:rsidRPr="003C2257">
        <w:rPr>
          <w:sz w:val="18"/>
          <w:szCs w:val="18"/>
        </w:rPr>
        <w:t xml:space="preserve">Preamble, </w:t>
      </w:r>
      <w:r w:rsidRPr="003C2257">
        <w:rPr>
          <w:i/>
          <w:sz w:val="18"/>
          <w:szCs w:val="18"/>
        </w:rPr>
        <w:t>Australian Code for the Responsible Conduct of Research, 2018.</w:t>
      </w:r>
    </w:p>
  </w:footnote>
  <w:footnote w:id="3">
    <w:p w14:paraId="6C4E7EC6" w14:textId="77777777" w:rsidR="002A3DA7" w:rsidRPr="003C2257" w:rsidRDefault="002A3DA7">
      <w:pPr>
        <w:pStyle w:val="FootnoteText"/>
        <w:rPr>
          <w:sz w:val="18"/>
          <w:szCs w:val="18"/>
        </w:rPr>
      </w:pPr>
      <w:r w:rsidRPr="003C2257">
        <w:rPr>
          <w:rStyle w:val="FootnoteReference"/>
          <w:sz w:val="18"/>
          <w:szCs w:val="18"/>
        </w:rPr>
        <w:footnoteRef/>
      </w:r>
      <w:r w:rsidRPr="003C2257">
        <w:rPr>
          <w:sz w:val="18"/>
          <w:szCs w:val="18"/>
        </w:rPr>
        <w:t xml:space="preserve"> R9, R10, </w:t>
      </w:r>
      <w:r w:rsidRPr="003C2257">
        <w:rPr>
          <w:i/>
          <w:sz w:val="18"/>
          <w:szCs w:val="18"/>
        </w:rPr>
        <w:t xml:space="preserve">Australian Code for the Responsible Conduct of Research, 2018. </w:t>
      </w:r>
    </w:p>
  </w:footnote>
  <w:footnote w:id="4">
    <w:p w14:paraId="1A625CC8" w14:textId="77777777" w:rsidR="002A3DA7" w:rsidRPr="003C2257" w:rsidRDefault="002A3DA7">
      <w:pPr>
        <w:pStyle w:val="FootnoteText"/>
        <w:rPr>
          <w:sz w:val="18"/>
          <w:szCs w:val="18"/>
        </w:rPr>
      </w:pPr>
      <w:r w:rsidRPr="003C2257">
        <w:rPr>
          <w:rStyle w:val="FootnoteReference"/>
          <w:sz w:val="18"/>
          <w:szCs w:val="18"/>
        </w:rPr>
        <w:footnoteRef/>
      </w:r>
      <w:r w:rsidRPr="003C2257">
        <w:rPr>
          <w:sz w:val="18"/>
          <w:szCs w:val="18"/>
        </w:rPr>
        <w:t xml:space="preserve"> R11, </w:t>
      </w:r>
      <w:r w:rsidRPr="003C2257">
        <w:rPr>
          <w:i/>
          <w:sz w:val="18"/>
          <w:szCs w:val="18"/>
        </w:rPr>
        <w:t>Australian Code for the Responsible Conduct of Research, 2018.</w:t>
      </w:r>
    </w:p>
  </w:footnote>
  <w:footnote w:id="5">
    <w:p w14:paraId="4A8E1908" w14:textId="77777777" w:rsidR="002A3DA7" w:rsidRPr="003C2257" w:rsidRDefault="002A3DA7">
      <w:pPr>
        <w:pStyle w:val="FootnoteText"/>
        <w:rPr>
          <w:sz w:val="18"/>
          <w:szCs w:val="18"/>
        </w:rPr>
      </w:pPr>
      <w:r w:rsidRPr="003C2257">
        <w:rPr>
          <w:rStyle w:val="FootnoteReference"/>
          <w:sz w:val="18"/>
          <w:szCs w:val="18"/>
        </w:rPr>
        <w:footnoteRef/>
      </w:r>
      <w:r w:rsidRPr="003C2257">
        <w:rPr>
          <w:sz w:val="18"/>
          <w:szCs w:val="18"/>
        </w:rPr>
        <w:t xml:space="preserve"> R12, R13, </w:t>
      </w:r>
      <w:r w:rsidRPr="003C2257">
        <w:rPr>
          <w:i/>
          <w:sz w:val="18"/>
          <w:szCs w:val="18"/>
        </w:rPr>
        <w:t>Australian Code for the Responsible Conduct of Research, 2018.</w:t>
      </w:r>
    </w:p>
  </w:footnote>
  <w:footnote w:id="6">
    <w:p w14:paraId="1DE19042" w14:textId="2D2EDF44" w:rsidR="002A3DA7" w:rsidRPr="003C2257" w:rsidRDefault="002A3DA7" w:rsidP="00F13BE7">
      <w:pPr>
        <w:pStyle w:val="FootnoteText"/>
        <w:rPr>
          <w:sz w:val="18"/>
          <w:szCs w:val="18"/>
        </w:rPr>
      </w:pPr>
      <w:r>
        <w:rPr>
          <w:rStyle w:val="FootnoteReference"/>
        </w:rPr>
        <w:footnoteRef/>
      </w:r>
      <w:r>
        <w:t xml:space="preserve"> </w:t>
      </w:r>
      <w:r w:rsidRPr="003C2257">
        <w:rPr>
          <w:sz w:val="18"/>
          <w:szCs w:val="18"/>
        </w:rPr>
        <w:t>P</w:t>
      </w:r>
      <w:r>
        <w:rPr>
          <w:sz w:val="18"/>
          <w:szCs w:val="18"/>
        </w:rPr>
        <w:t>reamble</w:t>
      </w:r>
      <w:r w:rsidRPr="003C2257">
        <w:rPr>
          <w:sz w:val="18"/>
          <w:szCs w:val="18"/>
        </w:rPr>
        <w:t xml:space="preserve">, </w:t>
      </w:r>
      <w:r w:rsidRPr="003C2257">
        <w:rPr>
          <w:i/>
          <w:sz w:val="18"/>
          <w:szCs w:val="18"/>
        </w:rPr>
        <w:t>Australian Code for the Responsible Conduct of Research, 2018.</w:t>
      </w:r>
    </w:p>
  </w:footnote>
  <w:footnote w:id="7">
    <w:p w14:paraId="716806B2" w14:textId="77777777" w:rsidR="002A3DA7" w:rsidRPr="003C2257" w:rsidRDefault="002A3DA7">
      <w:pPr>
        <w:pStyle w:val="FootnoteText"/>
        <w:rPr>
          <w:sz w:val="18"/>
          <w:szCs w:val="18"/>
        </w:rPr>
      </w:pPr>
      <w:r w:rsidRPr="003C2257">
        <w:rPr>
          <w:rStyle w:val="FootnoteReference"/>
          <w:sz w:val="18"/>
          <w:szCs w:val="18"/>
        </w:rPr>
        <w:footnoteRef/>
      </w:r>
      <w:r w:rsidRPr="003C2257">
        <w:rPr>
          <w:sz w:val="18"/>
          <w:szCs w:val="18"/>
        </w:rPr>
        <w:t xml:space="preserve"> Section 3, </w:t>
      </w:r>
      <w:r w:rsidRPr="003C2257">
        <w:rPr>
          <w:i/>
          <w:iCs/>
          <w:color w:val="000000"/>
          <w:sz w:val="18"/>
          <w:szCs w:val="18"/>
        </w:rPr>
        <w:t>Guide to Managing and Investigating Potential Breaches of the Code</w:t>
      </w:r>
      <w:r w:rsidRPr="003C2257">
        <w:rPr>
          <w:iCs/>
          <w:color w:val="000000"/>
          <w:sz w:val="18"/>
          <w:szCs w:val="18"/>
        </w:rPr>
        <w:t>.</w:t>
      </w:r>
    </w:p>
  </w:footnote>
  <w:footnote w:id="8">
    <w:p w14:paraId="5DB8BA5A" w14:textId="2518AADD" w:rsidR="002A3DA7" w:rsidRPr="004A2BF7" w:rsidRDefault="002A3DA7">
      <w:pPr>
        <w:pStyle w:val="FootnoteText"/>
        <w:rPr>
          <w:sz w:val="18"/>
          <w:szCs w:val="18"/>
        </w:rPr>
      </w:pPr>
      <w:r w:rsidRPr="004A2BF7">
        <w:rPr>
          <w:rStyle w:val="FootnoteReference"/>
          <w:sz w:val="18"/>
          <w:szCs w:val="18"/>
        </w:rPr>
        <w:footnoteRef/>
      </w:r>
      <w:r w:rsidRPr="004A2BF7">
        <w:rPr>
          <w:sz w:val="18"/>
          <w:szCs w:val="18"/>
        </w:rPr>
        <w:t xml:space="preserve"> Employees of universities are not public servants for the purposes of the </w:t>
      </w:r>
      <w:r w:rsidRPr="00DB03BA">
        <w:rPr>
          <w:i/>
          <w:sz w:val="18"/>
          <w:szCs w:val="18"/>
        </w:rPr>
        <w:t>Public Service Act 1999</w:t>
      </w:r>
      <w:r w:rsidRPr="004A2BF7">
        <w:rPr>
          <w:sz w:val="18"/>
          <w:szCs w:val="18"/>
        </w:rPr>
        <w:t>, except where they are employed under the Public Service Act in another capacity.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AD2B" w14:textId="77777777" w:rsidR="002A3DA7" w:rsidRDefault="002A3DA7">
    <w:pPr>
      <w:pStyle w:val="Header"/>
      <w:tabs>
        <w:tab w:val="clear" w:pos="4513"/>
        <w:tab w:val="clear" w:pos="9026"/>
        <w:tab w:val="center" w:pos="5233"/>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v:imagedata r:id="rId1" o:title=""/>
      </v:shape>
    </w:pict>
  </w:numPicBullet>
  <w:abstractNum w:abstractNumId="0" w15:restartNumberingAfterBreak="0">
    <w:nsid w:val="FFFFFF7C"/>
    <w:multiLevelType w:val="singleLevel"/>
    <w:tmpl w:val="01429F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D839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A645A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AC07EF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ED021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A6A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1A6B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6A8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2448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E041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73720"/>
    <w:multiLevelType w:val="multilevel"/>
    <w:tmpl w:val="FAAE832C"/>
    <w:lvl w:ilvl="0">
      <w:start w:val="1"/>
      <w:numFmt w:val="low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15:restartNumberingAfterBreak="0">
    <w:nsid w:val="0F58500A"/>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B55287A"/>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CFD278A"/>
    <w:multiLevelType w:val="multilevel"/>
    <w:tmpl w:val="0D68C61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4" w15:restartNumberingAfterBreak="0">
    <w:nsid w:val="321D3595"/>
    <w:multiLevelType w:val="multilevel"/>
    <w:tmpl w:val="AF3C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C71AB7"/>
    <w:multiLevelType w:val="multilevel"/>
    <w:tmpl w:val="930CA8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6" w15:restartNumberingAfterBreak="0">
    <w:nsid w:val="3F345C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3F8B7A6D"/>
    <w:multiLevelType w:val="multilevel"/>
    <w:tmpl w:val="15CC937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8" w15:restartNumberingAfterBreak="0">
    <w:nsid w:val="43777A77"/>
    <w:multiLevelType w:val="multilevel"/>
    <w:tmpl w:val="14846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EC100E"/>
    <w:multiLevelType w:val="multilevel"/>
    <w:tmpl w:val="930CA8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0" w15:restartNumberingAfterBreak="0">
    <w:nsid w:val="4A931BE3"/>
    <w:multiLevelType w:val="multilevel"/>
    <w:tmpl w:val="126AAF5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15:restartNumberingAfterBreak="0">
    <w:nsid w:val="57854D78"/>
    <w:multiLevelType w:val="hybridMultilevel"/>
    <w:tmpl w:val="3BF0F0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E60C92"/>
    <w:multiLevelType w:val="multilevel"/>
    <w:tmpl w:val="930CA8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3" w15:restartNumberingAfterBreak="0">
    <w:nsid w:val="621C2437"/>
    <w:multiLevelType w:val="multilevel"/>
    <w:tmpl w:val="41605C02"/>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63A9146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653859E4"/>
    <w:multiLevelType w:val="multilevel"/>
    <w:tmpl w:val="767A98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6" w15:restartNumberingAfterBreak="0">
    <w:nsid w:val="67E17B2F"/>
    <w:multiLevelType w:val="hybridMultilevel"/>
    <w:tmpl w:val="A2AE99C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90647EE"/>
    <w:multiLevelType w:val="multilevel"/>
    <w:tmpl w:val="EDF0BD1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8" w15:restartNumberingAfterBreak="0">
    <w:nsid w:val="6A2E26CA"/>
    <w:multiLevelType w:val="hybridMultilevel"/>
    <w:tmpl w:val="6E60B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B231FF"/>
    <w:multiLevelType w:val="multilevel"/>
    <w:tmpl w:val="930CA8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0" w15:restartNumberingAfterBreak="0">
    <w:nsid w:val="74E076A5"/>
    <w:multiLevelType w:val="hybridMultilevel"/>
    <w:tmpl w:val="E348D992"/>
    <w:lvl w:ilvl="0" w:tplc="0C09001B">
      <w:start w:val="1"/>
      <w:numFmt w:val="lowerRoman"/>
      <w:lvlText w:val="%1."/>
      <w:lvlJc w:val="righ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63346BA"/>
    <w:multiLevelType w:val="multilevel"/>
    <w:tmpl w:val="24123F04"/>
    <w:lvl w:ilvl="0">
      <w:start w:val="1"/>
      <w:numFmt w:val="decimal"/>
      <w:lvlText w:val="%1)"/>
      <w:lvlJc w:val="left"/>
      <w:pPr>
        <w:ind w:left="360" w:hanging="360"/>
      </w:pPr>
      <w:rPr>
        <w:rFonts w:ascii="Calibri" w:eastAsia="Times New Roman" w:hAnsi="Calibri"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73737FD"/>
    <w:multiLevelType w:val="multilevel"/>
    <w:tmpl w:val="73E238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BB240A8"/>
    <w:multiLevelType w:val="multilevel"/>
    <w:tmpl w:val="6EE0F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A808B4"/>
    <w:multiLevelType w:val="hybridMultilevel"/>
    <w:tmpl w:val="227C7746"/>
    <w:lvl w:ilvl="0" w:tplc="776A8704">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5" w15:restartNumberingAfterBreak="0">
    <w:nsid w:val="7CB9268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6"/>
  </w:num>
  <w:num w:numId="2">
    <w:abstractNumId w:val="17"/>
  </w:num>
  <w:num w:numId="3">
    <w:abstractNumId w:val="14"/>
  </w:num>
  <w:num w:numId="4">
    <w:abstractNumId w:val="18"/>
  </w:num>
  <w:num w:numId="5">
    <w:abstractNumId w:val="13"/>
  </w:num>
  <w:num w:numId="6">
    <w:abstractNumId w:val="20"/>
  </w:num>
  <w:num w:numId="7">
    <w:abstractNumId w:val="29"/>
  </w:num>
  <w:num w:numId="8">
    <w:abstractNumId w:val="10"/>
  </w:num>
  <w:num w:numId="9">
    <w:abstractNumId w:val="10"/>
    <w:lvlOverride w:ilvl="0">
      <w:lvl w:ilvl="0">
        <w:numFmt w:val="decimal"/>
        <w:lvlText w:val=""/>
        <w:lvlJc w:val="left"/>
        <w:rPr>
          <w:rFonts w:cs="Times New Roman"/>
        </w:rPr>
      </w:lvl>
    </w:lvlOverride>
    <w:lvlOverride w:ilvl="1">
      <w:lvl w:ilvl="1">
        <w:numFmt w:val="lowerRoman"/>
        <w:lvlText w:val="%2."/>
        <w:lvlJc w:val="right"/>
        <w:rPr>
          <w:rFonts w:cs="Times New Roman"/>
        </w:rPr>
      </w:lvl>
    </w:lvlOverride>
  </w:num>
  <w:num w:numId="10">
    <w:abstractNumId w:val="30"/>
  </w:num>
  <w:num w:numId="11">
    <w:abstractNumId w:val="12"/>
  </w:num>
  <w:num w:numId="12">
    <w:abstractNumId w:val="11"/>
  </w:num>
  <w:num w:numId="13">
    <w:abstractNumId w:val="19"/>
  </w:num>
  <w:num w:numId="14">
    <w:abstractNumId w:val="23"/>
  </w:num>
  <w:num w:numId="15">
    <w:abstractNumId w:val="16"/>
  </w:num>
  <w:num w:numId="16">
    <w:abstractNumId w:val="24"/>
  </w:num>
  <w:num w:numId="17">
    <w:abstractNumId w:val="22"/>
  </w:num>
  <w:num w:numId="18">
    <w:abstractNumId w:val="35"/>
  </w:num>
  <w:num w:numId="19">
    <w:abstractNumId w:val="33"/>
  </w:num>
  <w:num w:numId="20">
    <w:abstractNumId w:val="15"/>
  </w:num>
  <w:num w:numId="21">
    <w:abstractNumId w:val="25"/>
  </w:num>
  <w:num w:numId="22">
    <w:abstractNumId w:val="27"/>
  </w:num>
  <w:num w:numId="23">
    <w:abstractNumId w:val="31"/>
  </w:num>
  <w:num w:numId="24">
    <w:abstractNumId w:val="3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8"/>
  </w:num>
  <w:num w:numId="36">
    <w:abstractNumId w:val="3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3C8"/>
    <w:rsid w:val="00001255"/>
    <w:rsid w:val="00003991"/>
    <w:rsid w:val="0001178C"/>
    <w:rsid w:val="00012B6D"/>
    <w:rsid w:val="00014392"/>
    <w:rsid w:val="00014DE8"/>
    <w:rsid w:val="000151D9"/>
    <w:rsid w:val="00020B7E"/>
    <w:rsid w:val="000259E7"/>
    <w:rsid w:val="00026AF7"/>
    <w:rsid w:val="00031955"/>
    <w:rsid w:val="000372C1"/>
    <w:rsid w:val="00041564"/>
    <w:rsid w:val="0004553A"/>
    <w:rsid w:val="00053014"/>
    <w:rsid w:val="00063384"/>
    <w:rsid w:val="00071D6B"/>
    <w:rsid w:val="000816E8"/>
    <w:rsid w:val="000835B7"/>
    <w:rsid w:val="00083EEE"/>
    <w:rsid w:val="00084025"/>
    <w:rsid w:val="000843C4"/>
    <w:rsid w:val="000869EB"/>
    <w:rsid w:val="0008796C"/>
    <w:rsid w:val="0009199A"/>
    <w:rsid w:val="00093C0E"/>
    <w:rsid w:val="000A14C2"/>
    <w:rsid w:val="000A194D"/>
    <w:rsid w:val="000A2152"/>
    <w:rsid w:val="000A3E22"/>
    <w:rsid w:val="000A53C8"/>
    <w:rsid w:val="000A5DB3"/>
    <w:rsid w:val="000B18DF"/>
    <w:rsid w:val="000C1AD8"/>
    <w:rsid w:val="000C6FB5"/>
    <w:rsid w:val="000D25DE"/>
    <w:rsid w:val="000D42C6"/>
    <w:rsid w:val="000D5CA8"/>
    <w:rsid w:val="000E17FE"/>
    <w:rsid w:val="000E2608"/>
    <w:rsid w:val="000E4D36"/>
    <w:rsid w:val="000E75BA"/>
    <w:rsid w:val="000F026C"/>
    <w:rsid w:val="000F4E02"/>
    <w:rsid w:val="000F6E6E"/>
    <w:rsid w:val="000F79EF"/>
    <w:rsid w:val="001038D5"/>
    <w:rsid w:val="001048DA"/>
    <w:rsid w:val="00105D08"/>
    <w:rsid w:val="001123A2"/>
    <w:rsid w:val="001125E3"/>
    <w:rsid w:val="00114667"/>
    <w:rsid w:val="001201DD"/>
    <w:rsid w:val="0012293F"/>
    <w:rsid w:val="001350AC"/>
    <w:rsid w:val="00143C96"/>
    <w:rsid w:val="00145B5C"/>
    <w:rsid w:val="00146506"/>
    <w:rsid w:val="0015362F"/>
    <w:rsid w:val="00163DEA"/>
    <w:rsid w:val="0017750E"/>
    <w:rsid w:val="00177CD9"/>
    <w:rsid w:val="00177FBC"/>
    <w:rsid w:val="001847EA"/>
    <w:rsid w:val="001852EE"/>
    <w:rsid w:val="001A08CF"/>
    <w:rsid w:val="001A0EF8"/>
    <w:rsid w:val="001A2BA9"/>
    <w:rsid w:val="001A30B3"/>
    <w:rsid w:val="001B0B42"/>
    <w:rsid w:val="001B1637"/>
    <w:rsid w:val="001B20FE"/>
    <w:rsid w:val="001C048D"/>
    <w:rsid w:val="001C5DE6"/>
    <w:rsid w:val="001D129F"/>
    <w:rsid w:val="001D6254"/>
    <w:rsid w:val="001D723A"/>
    <w:rsid w:val="001E116C"/>
    <w:rsid w:val="001E33AC"/>
    <w:rsid w:val="001E360C"/>
    <w:rsid w:val="001E55D4"/>
    <w:rsid w:val="001E6F18"/>
    <w:rsid w:val="001E7513"/>
    <w:rsid w:val="001F11A3"/>
    <w:rsid w:val="001F559A"/>
    <w:rsid w:val="001F5DCF"/>
    <w:rsid w:val="001F68F6"/>
    <w:rsid w:val="001F6AF5"/>
    <w:rsid w:val="00201923"/>
    <w:rsid w:val="00226D15"/>
    <w:rsid w:val="00226D9B"/>
    <w:rsid w:val="002307ED"/>
    <w:rsid w:val="00231E94"/>
    <w:rsid w:val="0023662B"/>
    <w:rsid w:val="00240D2B"/>
    <w:rsid w:val="00242314"/>
    <w:rsid w:val="0024569C"/>
    <w:rsid w:val="002500F1"/>
    <w:rsid w:val="00250519"/>
    <w:rsid w:val="00261136"/>
    <w:rsid w:val="00261D93"/>
    <w:rsid w:val="00262CA8"/>
    <w:rsid w:val="00264B05"/>
    <w:rsid w:val="002677F6"/>
    <w:rsid w:val="00274108"/>
    <w:rsid w:val="00277014"/>
    <w:rsid w:val="002773EF"/>
    <w:rsid w:val="002825BE"/>
    <w:rsid w:val="0028553D"/>
    <w:rsid w:val="00294696"/>
    <w:rsid w:val="0029668C"/>
    <w:rsid w:val="002A0198"/>
    <w:rsid w:val="002A30A0"/>
    <w:rsid w:val="002A3902"/>
    <w:rsid w:val="002A3DA7"/>
    <w:rsid w:val="002B26BD"/>
    <w:rsid w:val="002C6093"/>
    <w:rsid w:val="002D3C3F"/>
    <w:rsid w:val="002D6873"/>
    <w:rsid w:val="002D7354"/>
    <w:rsid w:val="002E3DE9"/>
    <w:rsid w:val="002E5AFD"/>
    <w:rsid w:val="002E71C1"/>
    <w:rsid w:val="002F13B3"/>
    <w:rsid w:val="002F38AA"/>
    <w:rsid w:val="002F3D60"/>
    <w:rsid w:val="002F7281"/>
    <w:rsid w:val="002F7824"/>
    <w:rsid w:val="0030126E"/>
    <w:rsid w:val="00301673"/>
    <w:rsid w:val="00314008"/>
    <w:rsid w:val="00315EB1"/>
    <w:rsid w:val="003235EA"/>
    <w:rsid w:val="003261AC"/>
    <w:rsid w:val="00333CF2"/>
    <w:rsid w:val="0033466E"/>
    <w:rsid w:val="00341A9E"/>
    <w:rsid w:val="00344E05"/>
    <w:rsid w:val="003505C2"/>
    <w:rsid w:val="00350662"/>
    <w:rsid w:val="003576FC"/>
    <w:rsid w:val="0036213D"/>
    <w:rsid w:val="00363CA7"/>
    <w:rsid w:val="003651DF"/>
    <w:rsid w:val="00365211"/>
    <w:rsid w:val="003662C3"/>
    <w:rsid w:val="00371AC4"/>
    <w:rsid w:val="00372D10"/>
    <w:rsid w:val="0037576D"/>
    <w:rsid w:val="00381876"/>
    <w:rsid w:val="003821CD"/>
    <w:rsid w:val="00391A63"/>
    <w:rsid w:val="00392A3B"/>
    <w:rsid w:val="00397155"/>
    <w:rsid w:val="003A1528"/>
    <w:rsid w:val="003A3045"/>
    <w:rsid w:val="003A7CA9"/>
    <w:rsid w:val="003B0C20"/>
    <w:rsid w:val="003B4002"/>
    <w:rsid w:val="003C2257"/>
    <w:rsid w:val="003C5E3E"/>
    <w:rsid w:val="003D2548"/>
    <w:rsid w:val="003E6A22"/>
    <w:rsid w:val="003E6C4D"/>
    <w:rsid w:val="003F640F"/>
    <w:rsid w:val="0040106E"/>
    <w:rsid w:val="004030DA"/>
    <w:rsid w:val="00407ECB"/>
    <w:rsid w:val="0041351D"/>
    <w:rsid w:val="00414E9C"/>
    <w:rsid w:val="00416197"/>
    <w:rsid w:val="00417497"/>
    <w:rsid w:val="004204E6"/>
    <w:rsid w:val="00420991"/>
    <w:rsid w:val="00423564"/>
    <w:rsid w:val="0042627C"/>
    <w:rsid w:val="004263A5"/>
    <w:rsid w:val="00432999"/>
    <w:rsid w:val="004470F3"/>
    <w:rsid w:val="00447308"/>
    <w:rsid w:val="0045186F"/>
    <w:rsid w:val="00452EEA"/>
    <w:rsid w:val="00457E69"/>
    <w:rsid w:val="004637D5"/>
    <w:rsid w:val="004740D3"/>
    <w:rsid w:val="00474CD7"/>
    <w:rsid w:val="0047532E"/>
    <w:rsid w:val="00475384"/>
    <w:rsid w:val="00487726"/>
    <w:rsid w:val="00491D56"/>
    <w:rsid w:val="004962A9"/>
    <w:rsid w:val="004A0E83"/>
    <w:rsid w:val="004A2B80"/>
    <w:rsid w:val="004A2BF7"/>
    <w:rsid w:val="004A439F"/>
    <w:rsid w:val="004A56D0"/>
    <w:rsid w:val="004A70D4"/>
    <w:rsid w:val="004B150F"/>
    <w:rsid w:val="004B5572"/>
    <w:rsid w:val="004B694D"/>
    <w:rsid w:val="004D1DAC"/>
    <w:rsid w:val="004D54FC"/>
    <w:rsid w:val="004E09B5"/>
    <w:rsid w:val="004E0EED"/>
    <w:rsid w:val="004E179B"/>
    <w:rsid w:val="004E7874"/>
    <w:rsid w:val="004F0661"/>
    <w:rsid w:val="004F5F12"/>
    <w:rsid w:val="0050124A"/>
    <w:rsid w:val="005020D0"/>
    <w:rsid w:val="00503943"/>
    <w:rsid w:val="00513FC9"/>
    <w:rsid w:val="0051747D"/>
    <w:rsid w:val="005201DE"/>
    <w:rsid w:val="00523558"/>
    <w:rsid w:val="00525949"/>
    <w:rsid w:val="00532987"/>
    <w:rsid w:val="00535FF0"/>
    <w:rsid w:val="00543E79"/>
    <w:rsid w:val="00545503"/>
    <w:rsid w:val="00554403"/>
    <w:rsid w:val="00554AFB"/>
    <w:rsid w:val="0057089C"/>
    <w:rsid w:val="00571CA2"/>
    <w:rsid w:val="005754A3"/>
    <w:rsid w:val="00585189"/>
    <w:rsid w:val="005921ED"/>
    <w:rsid w:val="00592AC4"/>
    <w:rsid w:val="0059449C"/>
    <w:rsid w:val="005954B8"/>
    <w:rsid w:val="005A370F"/>
    <w:rsid w:val="005B3917"/>
    <w:rsid w:val="005E3608"/>
    <w:rsid w:val="005E49C3"/>
    <w:rsid w:val="005F0648"/>
    <w:rsid w:val="005F3581"/>
    <w:rsid w:val="00600661"/>
    <w:rsid w:val="006028ED"/>
    <w:rsid w:val="0060529B"/>
    <w:rsid w:val="00605CAA"/>
    <w:rsid w:val="00607DED"/>
    <w:rsid w:val="00611461"/>
    <w:rsid w:val="00614E92"/>
    <w:rsid w:val="006170A0"/>
    <w:rsid w:val="00620E12"/>
    <w:rsid w:val="006217B2"/>
    <w:rsid w:val="00623604"/>
    <w:rsid w:val="0062459F"/>
    <w:rsid w:val="0063488C"/>
    <w:rsid w:val="00636651"/>
    <w:rsid w:val="00647D87"/>
    <w:rsid w:val="00650D79"/>
    <w:rsid w:val="00654616"/>
    <w:rsid w:val="00654E03"/>
    <w:rsid w:val="00660525"/>
    <w:rsid w:val="00661BA7"/>
    <w:rsid w:val="0066619E"/>
    <w:rsid w:val="006733AE"/>
    <w:rsid w:val="00675EF3"/>
    <w:rsid w:val="00685841"/>
    <w:rsid w:val="006862BF"/>
    <w:rsid w:val="00695F46"/>
    <w:rsid w:val="006A01F1"/>
    <w:rsid w:val="006A27E9"/>
    <w:rsid w:val="006A3403"/>
    <w:rsid w:val="006A7726"/>
    <w:rsid w:val="006B41DD"/>
    <w:rsid w:val="006B5FD6"/>
    <w:rsid w:val="006B72AB"/>
    <w:rsid w:val="006C2405"/>
    <w:rsid w:val="006C7095"/>
    <w:rsid w:val="006C7E25"/>
    <w:rsid w:val="006C7F6F"/>
    <w:rsid w:val="006D3A89"/>
    <w:rsid w:val="006D4B9B"/>
    <w:rsid w:val="006E7B69"/>
    <w:rsid w:val="006F3A44"/>
    <w:rsid w:val="006F7DD1"/>
    <w:rsid w:val="0070219C"/>
    <w:rsid w:val="00706072"/>
    <w:rsid w:val="00710A76"/>
    <w:rsid w:val="007147EF"/>
    <w:rsid w:val="007243AB"/>
    <w:rsid w:val="00727D7C"/>
    <w:rsid w:val="00727DD4"/>
    <w:rsid w:val="00737AD6"/>
    <w:rsid w:val="00746C4C"/>
    <w:rsid w:val="00756025"/>
    <w:rsid w:val="00756E35"/>
    <w:rsid w:val="0076272E"/>
    <w:rsid w:val="00763178"/>
    <w:rsid w:val="00764C54"/>
    <w:rsid w:val="00771A2B"/>
    <w:rsid w:val="007723A5"/>
    <w:rsid w:val="00772849"/>
    <w:rsid w:val="00774DCF"/>
    <w:rsid w:val="00776F51"/>
    <w:rsid w:val="00777D14"/>
    <w:rsid w:val="00791493"/>
    <w:rsid w:val="00791D78"/>
    <w:rsid w:val="0079277F"/>
    <w:rsid w:val="0079785F"/>
    <w:rsid w:val="00797A9D"/>
    <w:rsid w:val="007A2276"/>
    <w:rsid w:val="007A4F68"/>
    <w:rsid w:val="007A6197"/>
    <w:rsid w:val="007A6BD0"/>
    <w:rsid w:val="007A75A6"/>
    <w:rsid w:val="007B0575"/>
    <w:rsid w:val="007B10ED"/>
    <w:rsid w:val="007C43EB"/>
    <w:rsid w:val="007C4789"/>
    <w:rsid w:val="007C5271"/>
    <w:rsid w:val="007D0411"/>
    <w:rsid w:val="007D0FA0"/>
    <w:rsid w:val="007D4024"/>
    <w:rsid w:val="007E07E5"/>
    <w:rsid w:val="007E09A6"/>
    <w:rsid w:val="007E1803"/>
    <w:rsid w:val="007E2705"/>
    <w:rsid w:val="007E474E"/>
    <w:rsid w:val="007F0A48"/>
    <w:rsid w:val="007F35AD"/>
    <w:rsid w:val="007F6117"/>
    <w:rsid w:val="00802B80"/>
    <w:rsid w:val="008036C2"/>
    <w:rsid w:val="00803F0D"/>
    <w:rsid w:val="00804352"/>
    <w:rsid w:val="008062FB"/>
    <w:rsid w:val="00806F0A"/>
    <w:rsid w:val="00810C6C"/>
    <w:rsid w:val="00823A17"/>
    <w:rsid w:val="00832C60"/>
    <w:rsid w:val="00835D69"/>
    <w:rsid w:val="00836DDE"/>
    <w:rsid w:val="00837CDD"/>
    <w:rsid w:val="008403E3"/>
    <w:rsid w:val="00842C47"/>
    <w:rsid w:val="008441D8"/>
    <w:rsid w:val="00851564"/>
    <w:rsid w:val="008535EA"/>
    <w:rsid w:val="00854390"/>
    <w:rsid w:val="008568E2"/>
    <w:rsid w:val="00856B69"/>
    <w:rsid w:val="00860875"/>
    <w:rsid w:val="008610DD"/>
    <w:rsid w:val="00861562"/>
    <w:rsid w:val="00874923"/>
    <w:rsid w:val="0087539F"/>
    <w:rsid w:val="0087543A"/>
    <w:rsid w:val="00886FFE"/>
    <w:rsid w:val="00887AED"/>
    <w:rsid w:val="00890A64"/>
    <w:rsid w:val="00890FA0"/>
    <w:rsid w:val="008963DB"/>
    <w:rsid w:val="008B1884"/>
    <w:rsid w:val="008B282B"/>
    <w:rsid w:val="008B5193"/>
    <w:rsid w:val="008C2F5A"/>
    <w:rsid w:val="008C79B8"/>
    <w:rsid w:val="008E2F00"/>
    <w:rsid w:val="008F6E28"/>
    <w:rsid w:val="00901187"/>
    <w:rsid w:val="009016C3"/>
    <w:rsid w:val="009030C9"/>
    <w:rsid w:val="00915978"/>
    <w:rsid w:val="00915A2E"/>
    <w:rsid w:val="009223F6"/>
    <w:rsid w:val="00925BD6"/>
    <w:rsid w:val="00927689"/>
    <w:rsid w:val="0093233F"/>
    <w:rsid w:val="00932DF1"/>
    <w:rsid w:val="0093363C"/>
    <w:rsid w:val="00952E4F"/>
    <w:rsid w:val="00954A93"/>
    <w:rsid w:val="00955C87"/>
    <w:rsid w:val="00955EC3"/>
    <w:rsid w:val="009571AB"/>
    <w:rsid w:val="00962CF6"/>
    <w:rsid w:val="009643FD"/>
    <w:rsid w:val="00971794"/>
    <w:rsid w:val="009723BA"/>
    <w:rsid w:val="009744DE"/>
    <w:rsid w:val="00981306"/>
    <w:rsid w:val="009817A7"/>
    <w:rsid w:val="0098679C"/>
    <w:rsid w:val="00987F7D"/>
    <w:rsid w:val="009977B8"/>
    <w:rsid w:val="00997AB3"/>
    <w:rsid w:val="009A0867"/>
    <w:rsid w:val="009A4DA1"/>
    <w:rsid w:val="009B1A4E"/>
    <w:rsid w:val="009B3C0C"/>
    <w:rsid w:val="009C037D"/>
    <w:rsid w:val="009C0942"/>
    <w:rsid w:val="009C343E"/>
    <w:rsid w:val="009C5669"/>
    <w:rsid w:val="009C56F3"/>
    <w:rsid w:val="009D1047"/>
    <w:rsid w:val="009D4DA3"/>
    <w:rsid w:val="009D793A"/>
    <w:rsid w:val="009E68D2"/>
    <w:rsid w:val="009F0CD6"/>
    <w:rsid w:val="00A04E5F"/>
    <w:rsid w:val="00A069A6"/>
    <w:rsid w:val="00A17B6D"/>
    <w:rsid w:val="00A20215"/>
    <w:rsid w:val="00A2072F"/>
    <w:rsid w:val="00A23F73"/>
    <w:rsid w:val="00A36C69"/>
    <w:rsid w:val="00A441B2"/>
    <w:rsid w:val="00A449E3"/>
    <w:rsid w:val="00A44D4E"/>
    <w:rsid w:val="00A46686"/>
    <w:rsid w:val="00A47312"/>
    <w:rsid w:val="00A47DB1"/>
    <w:rsid w:val="00A510B1"/>
    <w:rsid w:val="00A64446"/>
    <w:rsid w:val="00A6492B"/>
    <w:rsid w:val="00A82073"/>
    <w:rsid w:val="00A822E1"/>
    <w:rsid w:val="00A833F0"/>
    <w:rsid w:val="00A85AD2"/>
    <w:rsid w:val="00A87749"/>
    <w:rsid w:val="00A971EE"/>
    <w:rsid w:val="00AB2E21"/>
    <w:rsid w:val="00AB45A9"/>
    <w:rsid w:val="00AB46DA"/>
    <w:rsid w:val="00AB5A49"/>
    <w:rsid w:val="00AB7964"/>
    <w:rsid w:val="00AB798F"/>
    <w:rsid w:val="00AC5F6C"/>
    <w:rsid w:val="00AD35D0"/>
    <w:rsid w:val="00AD54F0"/>
    <w:rsid w:val="00AD5610"/>
    <w:rsid w:val="00AD56FA"/>
    <w:rsid w:val="00AD6AE9"/>
    <w:rsid w:val="00AF44F8"/>
    <w:rsid w:val="00AF6099"/>
    <w:rsid w:val="00B005FF"/>
    <w:rsid w:val="00B013AE"/>
    <w:rsid w:val="00B01804"/>
    <w:rsid w:val="00B21A95"/>
    <w:rsid w:val="00B25B92"/>
    <w:rsid w:val="00B26089"/>
    <w:rsid w:val="00B314B3"/>
    <w:rsid w:val="00B324D1"/>
    <w:rsid w:val="00B402BC"/>
    <w:rsid w:val="00B403F3"/>
    <w:rsid w:val="00B40A67"/>
    <w:rsid w:val="00B43AF2"/>
    <w:rsid w:val="00B45F6A"/>
    <w:rsid w:val="00B51992"/>
    <w:rsid w:val="00B51E16"/>
    <w:rsid w:val="00B56C88"/>
    <w:rsid w:val="00B66F19"/>
    <w:rsid w:val="00B67B38"/>
    <w:rsid w:val="00B700C7"/>
    <w:rsid w:val="00B72E66"/>
    <w:rsid w:val="00B73BB4"/>
    <w:rsid w:val="00B73E12"/>
    <w:rsid w:val="00B74244"/>
    <w:rsid w:val="00B765ED"/>
    <w:rsid w:val="00B76619"/>
    <w:rsid w:val="00B87605"/>
    <w:rsid w:val="00B9569F"/>
    <w:rsid w:val="00BA745D"/>
    <w:rsid w:val="00BB038F"/>
    <w:rsid w:val="00BB7BB1"/>
    <w:rsid w:val="00BC0C42"/>
    <w:rsid w:val="00BC21BE"/>
    <w:rsid w:val="00BC70B6"/>
    <w:rsid w:val="00BD2F4B"/>
    <w:rsid w:val="00BD65A0"/>
    <w:rsid w:val="00BE0786"/>
    <w:rsid w:val="00BE5AEA"/>
    <w:rsid w:val="00BE6E1E"/>
    <w:rsid w:val="00BF3EA9"/>
    <w:rsid w:val="00C03BC7"/>
    <w:rsid w:val="00C05AA1"/>
    <w:rsid w:val="00C0654C"/>
    <w:rsid w:val="00C12845"/>
    <w:rsid w:val="00C12EDD"/>
    <w:rsid w:val="00C22C0F"/>
    <w:rsid w:val="00C236B1"/>
    <w:rsid w:val="00C3062D"/>
    <w:rsid w:val="00C313F3"/>
    <w:rsid w:val="00C31E84"/>
    <w:rsid w:val="00C35067"/>
    <w:rsid w:val="00C473BE"/>
    <w:rsid w:val="00C47D85"/>
    <w:rsid w:val="00C5015B"/>
    <w:rsid w:val="00C51FFC"/>
    <w:rsid w:val="00C553F3"/>
    <w:rsid w:val="00C5708E"/>
    <w:rsid w:val="00C621DE"/>
    <w:rsid w:val="00C66FE3"/>
    <w:rsid w:val="00C72AD3"/>
    <w:rsid w:val="00C73453"/>
    <w:rsid w:val="00C74E54"/>
    <w:rsid w:val="00C76AEA"/>
    <w:rsid w:val="00C81B24"/>
    <w:rsid w:val="00C84770"/>
    <w:rsid w:val="00C84DDF"/>
    <w:rsid w:val="00C85B92"/>
    <w:rsid w:val="00C9131A"/>
    <w:rsid w:val="00C9145E"/>
    <w:rsid w:val="00CA5539"/>
    <w:rsid w:val="00CA720A"/>
    <w:rsid w:val="00CB1E12"/>
    <w:rsid w:val="00CB2020"/>
    <w:rsid w:val="00CB5901"/>
    <w:rsid w:val="00CC0114"/>
    <w:rsid w:val="00CC480C"/>
    <w:rsid w:val="00CC63A4"/>
    <w:rsid w:val="00CD26CD"/>
    <w:rsid w:val="00CD4D88"/>
    <w:rsid w:val="00CD6DF9"/>
    <w:rsid w:val="00CE03E0"/>
    <w:rsid w:val="00CE0863"/>
    <w:rsid w:val="00CF484A"/>
    <w:rsid w:val="00D00048"/>
    <w:rsid w:val="00D023F9"/>
    <w:rsid w:val="00D03F1C"/>
    <w:rsid w:val="00D11D97"/>
    <w:rsid w:val="00D120A8"/>
    <w:rsid w:val="00D15AF0"/>
    <w:rsid w:val="00D23754"/>
    <w:rsid w:val="00D256D4"/>
    <w:rsid w:val="00D3115D"/>
    <w:rsid w:val="00D34E65"/>
    <w:rsid w:val="00D37528"/>
    <w:rsid w:val="00D42DBF"/>
    <w:rsid w:val="00D4547F"/>
    <w:rsid w:val="00D45F5D"/>
    <w:rsid w:val="00D477AC"/>
    <w:rsid w:val="00D504EC"/>
    <w:rsid w:val="00D50EE9"/>
    <w:rsid w:val="00D52A28"/>
    <w:rsid w:val="00D530C7"/>
    <w:rsid w:val="00D60E05"/>
    <w:rsid w:val="00D6215A"/>
    <w:rsid w:val="00D74B10"/>
    <w:rsid w:val="00D762AC"/>
    <w:rsid w:val="00D77F63"/>
    <w:rsid w:val="00D86B9D"/>
    <w:rsid w:val="00D907CC"/>
    <w:rsid w:val="00D951E2"/>
    <w:rsid w:val="00D9728C"/>
    <w:rsid w:val="00DA0026"/>
    <w:rsid w:val="00DA18C8"/>
    <w:rsid w:val="00DA1BF2"/>
    <w:rsid w:val="00DA1D21"/>
    <w:rsid w:val="00DA2873"/>
    <w:rsid w:val="00DB03BA"/>
    <w:rsid w:val="00DB2367"/>
    <w:rsid w:val="00DB521A"/>
    <w:rsid w:val="00DB6F3A"/>
    <w:rsid w:val="00DC12D2"/>
    <w:rsid w:val="00DC7AED"/>
    <w:rsid w:val="00DD1701"/>
    <w:rsid w:val="00DD4E97"/>
    <w:rsid w:val="00DD4F21"/>
    <w:rsid w:val="00DD78DA"/>
    <w:rsid w:val="00DD7B50"/>
    <w:rsid w:val="00DE0F2C"/>
    <w:rsid w:val="00DE2B4A"/>
    <w:rsid w:val="00DE34FF"/>
    <w:rsid w:val="00DE6B1F"/>
    <w:rsid w:val="00DE6D4B"/>
    <w:rsid w:val="00DE6F35"/>
    <w:rsid w:val="00DF22F3"/>
    <w:rsid w:val="00DF2C7B"/>
    <w:rsid w:val="00DF46B2"/>
    <w:rsid w:val="00DF4827"/>
    <w:rsid w:val="00DF4DAB"/>
    <w:rsid w:val="00DF58DF"/>
    <w:rsid w:val="00DF7449"/>
    <w:rsid w:val="00DF79CC"/>
    <w:rsid w:val="00E002DE"/>
    <w:rsid w:val="00E02F6F"/>
    <w:rsid w:val="00E11C2E"/>
    <w:rsid w:val="00E216B5"/>
    <w:rsid w:val="00E255C6"/>
    <w:rsid w:val="00E26DDC"/>
    <w:rsid w:val="00E30E40"/>
    <w:rsid w:val="00E419C2"/>
    <w:rsid w:val="00E4223D"/>
    <w:rsid w:val="00E434AB"/>
    <w:rsid w:val="00E4721E"/>
    <w:rsid w:val="00E57A64"/>
    <w:rsid w:val="00E704DE"/>
    <w:rsid w:val="00E72D04"/>
    <w:rsid w:val="00E73C9F"/>
    <w:rsid w:val="00E75ED0"/>
    <w:rsid w:val="00E806DB"/>
    <w:rsid w:val="00E83952"/>
    <w:rsid w:val="00E87808"/>
    <w:rsid w:val="00E87AFE"/>
    <w:rsid w:val="00E95D12"/>
    <w:rsid w:val="00EB02DD"/>
    <w:rsid w:val="00EB49D4"/>
    <w:rsid w:val="00EB5DAC"/>
    <w:rsid w:val="00EB6C94"/>
    <w:rsid w:val="00ED3B11"/>
    <w:rsid w:val="00ED5C75"/>
    <w:rsid w:val="00ED69C9"/>
    <w:rsid w:val="00EE0387"/>
    <w:rsid w:val="00EE53F7"/>
    <w:rsid w:val="00F025CB"/>
    <w:rsid w:val="00F03F16"/>
    <w:rsid w:val="00F07BA5"/>
    <w:rsid w:val="00F11DB8"/>
    <w:rsid w:val="00F13BE7"/>
    <w:rsid w:val="00F27443"/>
    <w:rsid w:val="00F44C04"/>
    <w:rsid w:val="00F53E26"/>
    <w:rsid w:val="00F60E68"/>
    <w:rsid w:val="00F643C2"/>
    <w:rsid w:val="00F7085C"/>
    <w:rsid w:val="00F70D78"/>
    <w:rsid w:val="00F71633"/>
    <w:rsid w:val="00F71E02"/>
    <w:rsid w:val="00F77B21"/>
    <w:rsid w:val="00F8286D"/>
    <w:rsid w:val="00FA2D39"/>
    <w:rsid w:val="00FA5DB9"/>
    <w:rsid w:val="00FB0076"/>
    <w:rsid w:val="00FB03B3"/>
    <w:rsid w:val="00FB1422"/>
    <w:rsid w:val="00FB1A39"/>
    <w:rsid w:val="00FB21FD"/>
    <w:rsid w:val="00FB298E"/>
    <w:rsid w:val="00FB407E"/>
    <w:rsid w:val="00FB7231"/>
    <w:rsid w:val="00FC50B5"/>
    <w:rsid w:val="00FD5C0A"/>
    <w:rsid w:val="00FF38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7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D08"/>
    <w:pPr>
      <w:spacing w:after="200" w:line="276" w:lineRule="auto"/>
    </w:pPr>
    <w:rPr>
      <w:sz w:val="22"/>
      <w:szCs w:val="22"/>
      <w:lang w:eastAsia="en-US"/>
    </w:rPr>
  </w:style>
  <w:style w:type="paragraph" w:styleId="Heading1">
    <w:name w:val="heading 1"/>
    <w:basedOn w:val="Normal"/>
    <w:next w:val="Normal"/>
    <w:link w:val="Heading1Char"/>
    <w:qFormat/>
    <w:rsid w:val="00105D0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105D08"/>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105D0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105D08"/>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05D08"/>
    <w:rPr>
      <w:rFonts w:ascii="Cambria" w:hAnsi="Cambria" w:cs="Times New Roman"/>
      <w:b/>
      <w:bCs/>
      <w:color w:val="365F91"/>
      <w:sz w:val="28"/>
      <w:szCs w:val="28"/>
    </w:rPr>
  </w:style>
  <w:style w:type="character" w:customStyle="1" w:styleId="Heading2Char">
    <w:name w:val="Heading 2 Char"/>
    <w:basedOn w:val="DefaultParagraphFont"/>
    <w:link w:val="Heading2"/>
    <w:locked/>
    <w:rsid w:val="00105D08"/>
    <w:rPr>
      <w:rFonts w:ascii="Cambria" w:hAnsi="Cambria" w:cs="Times New Roman"/>
      <w:b/>
      <w:bCs/>
      <w:color w:val="4F81BD"/>
      <w:sz w:val="26"/>
      <w:szCs w:val="26"/>
    </w:rPr>
  </w:style>
  <w:style w:type="character" w:customStyle="1" w:styleId="Heading3Char">
    <w:name w:val="Heading 3 Char"/>
    <w:basedOn w:val="DefaultParagraphFont"/>
    <w:link w:val="Heading3"/>
    <w:semiHidden/>
    <w:locked/>
    <w:rsid w:val="00105D08"/>
    <w:rPr>
      <w:rFonts w:ascii="Cambria" w:hAnsi="Cambria" w:cs="Times New Roman"/>
      <w:b/>
      <w:bCs/>
      <w:color w:val="4F81BD"/>
    </w:rPr>
  </w:style>
  <w:style w:type="character" w:customStyle="1" w:styleId="Heading4Char">
    <w:name w:val="Heading 4 Char"/>
    <w:basedOn w:val="DefaultParagraphFont"/>
    <w:link w:val="Heading4"/>
    <w:semiHidden/>
    <w:locked/>
    <w:rsid w:val="00105D08"/>
    <w:rPr>
      <w:rFonts w:ascii="Cambria" w:hAnsi="Cambria" w:cs="Times New Roman"/>
      <w:b/>
      <w:bCs/>
      <w:i/>
      <w:iCs/>
      <w:color w:val="4F81BD"/>
    </w:rPr>
  </w:style>
  <w:style w:type="paragraph" w:styleId="ListParagraph">
    <w:name w:val="List Paragraph"/>
    <w:basedOn w:val="Normal"/>
    <w:qFormat/>
    <w:rsid w:val="00105D08"/>
    <w:pPr>
      <w:ind w:left="720"/>
      <w:contextualSpacing/>
    </w:pPr>
  </w:style>
  <w:style w:type="paragraph" w:styleId="BalloonText">
    <w:name w:val="Balloon Text"/>
    <w:basedOn w:val="Normal"/>
    <w:link w:val="BalloonTextChar"/>
    <w:semiHidden/>
    <w:rsid w:val="00105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05D08"/>
    <w:rPr>
      <w:rFonts w:ascii="Tahoma" w:hAnsi="Tahoma" w:cs="Tahoma"/>
      <w:sz w:val="16"/>
      <w:szCs w:val="16"/>
    </w:rPr>
  </w:style>
  <w:style w:type="paragraph" w:styleId="TOCHeading">
    <w:name w:val="TOC Heading"/>
    <w:basedOn w:val="Heading1"/>
    <w:next w:val="Normal"/>
    <w:qFormat/>
    <w:rsid w:val="00105D08"/>
    <w:pPr>
      <w:outlineLvl w:val="9"/>
    </w:pPr>
    <w:rPr>
      <w:lang w:val="en-US"/>
    </w:rPr>
  </w:style>
  <w:style w:type="paragraph" w:styleId="TOC1">
    <w:name w:val="toc 1"/>
    <w:basedOn w:val="Normal"/>
    <w:next w:val="Normal"/>
    <w:autoRedefine/>
    <w:uiPriority w:val="39"/>
    <w:rsid w:val="00105D08"/>
    <w:pPr>
      <w:spacing w:after="100"/>
    </w:pPr>
  </w:style>
  <w:style w:type="paragraph" w:styleId="TOC2">
    <w:name w:val="toc 2"/>
    <w:basedOn w:val="Normal"/>
    <w:next w:val="Normal"/>
    <w:autoRedefine/>
    <w:uiPriority w:val="39"/>
    <w:rsid w:val="00105D08"/>
    <w:pPr>
      <w:spacing w:after="100"/>
      <w:ind w:left="220"/>
    </w:pPr>
  </w:style>
  <w:style w:type="character" w:styleId="Hyperlink">
    <w:name w:val="Hyperlink"/>
    <w:basedOn w:val="DefaultParagraphFont"/>
    <w:uiPriority w:val="99"/>
    <w:rsid w:val="00105D08"/>
    <w:rPr>
      <w:rFonts w:cs="Times New Roman"/>
      <w:color w:val="0000FF"/>
      <w:u w:val="single"/>
    </w:rPr>
  </w:style>
  <w:style w:type="paragraph" w:styleId="TOC3">
    <w:name w:val="toc 3"/>
    <w:basedOn w:val="Normal"/>
    <w:next w:val="Normal"/>
    <w:autoRedefine/>
    <w:uiPriority w:val="39"/>
    <w:rsid w:val="00105D08"/>
    <w:pPr>
      <w:spacing w:after="100"/>
      <w:ind w:left="440"/>
    </w:pPr>
  </w:style>
  <w:style w:type="paragraph" w:styleId="FootnoteText">
    <w:name w:val="footnote text"/>
    <w:basedOn w:val="Normal"/>
    <w:link w:val="FootnoteTextChar"/>
    <w:semiHidden/>
    <w:rsid w:val="00105D08"/>
    <w:pPr>
      <w:spacing w:after="0" w:line="240" w:lineRule="auto"/>
    </w:pPr>
    <w:rPr>
      <w:sz w:val="20"/>
      <w:szCs w:val="20"/>
    </w:rPr>
  </w:style>
  <w:style w:type="character" w:customStyle="1" w:styleId="FootnoteTextChar">
    <w:name w:val="Footnote Text Char"/>
    <w:basedOn w:val="DefaultParagraphFont"/>
    <w:link w:val="FootnoteText"/>
    <w:semiHidden/>
    <w:locked/>
    <w:rsid w:val="00105D08"/>
    <w:rPr>
      <w:rFonts w:cs="Times New Roman"/>
      <w:sz w:val="20"/>
      <w:szCs w:val="20"/>
    </w:rPr>
  </w:style>
  <w:style w:type="character" w:styleId="FootnoteReference">
    <w:name w:val="footnote reference"/>
    <w:basedOn w:val="DefaultParagraphFont"/>
    <w:semiHidden/>
    <w:rsid w:val="00105D08"/>
    <w:rPr>
      <w:rFonts w:cs="Times New Roman"/>
      <w:vertAlign w:val="superscript"/>
    </w:rPr>
  </w:style>
  <w:style w:type="paragraph" w:styleId="Header">
    <w:name w:val="header"/>
    <w:basedOn w:val="Normal"/>
    <w:link w:val="HeaderChar"/>
    <w:uiPriority w:val="99"/>
    <w:rsid w:val="00105D0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05D08"/>
    <w:rPr>
      <w:rFonts w:cs="Times New Roman"/>
    </w:rPr>
  </w:style>
  <w:style w:type="paragraph" w:styleId="Footer">
    <w:name w:val="footer"/>
    <w:basedOn w:val="Normal"/>
    <w:link w:val="FooterChar"/>
    <w:uiPriority w:val="99"/>
    <w:rsid w:val="00105D0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05D08"/>
    <w:rPr>
      <w:rFonts w:cs="Times New Roman"/>
    </w:rPr>
  </w:style>
  <w:style w:type="character" w:styleId="CommentReference">
    <w:name w:val="annotation reference"/>
    <w:basedOn w:val="DefaultParagraphFont"/>
    <w:uiPriority w:val="99"/>
    <w:semiHidden/>
    <w:rsid w:val="00105D08"/>
    <w:rPr>
      <w:rFonts w:cs="Times New Roman"/>
      <w:sz w:val="16"/>
      <w:szCs w:val="16"/>
    </w:rPr>
  </w:style>
  <w:style w:type="paragraph" w:styleId="CommentText">
    <w:name w:val="annotation text"/>
    <w:basedOn w:val="Normal"/>
    <w:link w:val="CommentTextChar"/>
    <w:uiPriority w:val="99"/>
    <w:rsid w:val="00105D08"/>
    <w:pPr>
      <w:spacing w:line="240" w:lineRule="auto"/>
    </w:pPr>
    <w:rPr>
      <w:sz w:val="20"/>
      <w:szCs w:val="20"/>
    </w:rPr>
  </w:style>
  <w:style w:type="character" w:customStyle="1" w:styleId="CommentTextChar">
    <w:name w:val="Comment Text Char"/>
    <w:basedOn w:val="DefaultParagraphFont"/>
    <w:link w:val="CommentText"/>
    <w:uiPriority w:val="99"/>
    <w:locked/>
    <w:rsid w:val="00105D08"/>
    <w:rPr>
      <w:rFonts w:cs="Times New Roman"/>
      <w:sz w:val="20"/>
      <w:szCs w:val="20"/>
    </w:rPr>
  </w:style>
  <w:style w:type="paragraph" w:styleId="CommentSubject">
    <w:name w:val="annotation subject"/>
    <w:basedOn w:val="CommentText"/>
    <w:next w:val="CommentText"/>
    <w:link w:val="CommentSubjectChar"/>
    <w:semiHidden/>
    <w:rsid w:val="00105D08"/>
    <w:rPr>
      <w:b/>
      <w:bCs/>
    </w:rPr>
  </w:style>
  <w:style w:type="character" w:customStyle="1" w:styleId="CommentSubjectChar">
    <w:name w:val="Comment Subject Char"/>
    <w:basedOn w:val="CommentTextChar"/>
    <w:link w:val="CommentSubject"/>
    <w:semiHidden/>
    <w:locked/>
    <w:rsid w:val="00105D08"/>
    <w:rPr>
      <w:rFonts w:cs="Times New Roman"/>
      <w:b/>
      <w:bCs/>
      <w:sz w:val="20"/>
      <w:szCs w:val="20"/>
    </w:rPr>
  </w:style>
  <w:style w:type="paragraph" w:styleId="Revision">
    <w:name w:val="Revision"/>
    <w:hidden/>
    <w:semiHidden/>
    <w:rsid w:val="00105D08"/>
    <w:rPr>
      <w:sz w:val="22"/>
      <w:szCs w:val="22"/>
      <w:lang w:eastAsia="en-US"/>
    </w:rPr>
  </w:style>
  <w:style w:type="table" w:styleId="TableGrid">
    <w:name w:val="Table Grid"/>
    <w:basedOn w:val="TableNormal"/>
    <w:uiPriority w:val="59"/>
    <w:rsid w:val="00475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2B80"/>
    <w:rPr>
      <w:color w:val="808080"/>
    </w:rPr>
  </w:style>
  <w:style w:type="table" w:customStyle="1" w:styleId="ListTable2-Accent31">
    <w:name w:val="List Table 2 - Accent 31"/>
    <w:basedOn w:val="TableNormal"/>
    <w:uiPriority w:val="47"/>
    <w:rsid w:val="0050124A"/>
    <w:rPr>
      <w:rFonts w:asciiTheme="minorHAnsi" w:eastAsiaTheme="minorEastAsia" w:hAnsiTheme="minorHAnsi" w:cstheme="minorBidi"/>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single" w:sz="24" w:space="0" w:color="B0C910"/>
            <w:right w:val="none" w:sz="0" w:space="0" w:color="auto"/>
          </w:divBdr>
          <w:divsChild>
            <w:div w:id="18">
              <w:marLeft w:val="0"/>
              <w:marRight w:val="0"/>
              <w:marTop w:val="0"/>
              <w:marBottom w:val="0"/>
              <w:divBdr>
                <w:top w:val="single" w:sz="24" w:space="0" w:color="B0C910"/>
                <w:left w:val="none" w:sz="0" w:space="0" w:color="auto"/>
                <w:bottom w:val="none" w:sz="0" w:space="0" w:color="auto"/>
                <w:right w:val="none" w:sz="0" w:space="0" w:color="auto"/>
              </w:divBdr>
              <w:divsChild>
                <w:div w:id="16">
                  <w:marLeft w:val="2038"/>
                  <w:marRight w:val="2581"/>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24" w:space="0" w:color="B0C910"/>
            <w:right w:val="none" w:sz="0" w:space="0" w:color="auto"/>
          </w:divBdr>
          <w:divsChild>
            <w:div w:id="7">
              <w:marLeft w:val="0"/>
              <w:marRight w:val="0"/>
              <w:marTop w:val="0"/>
              <w:marBottom w:val="0"/>
              <w:divBdr>
                <w:top w:val="single" w:sz="24" w:space="0" w:color="B0C910"/>
                <w:left w:val="none" w:sz="0" w:space="0" w:color="auto"/>
                <w:bottom w:val="none" w:sz="0" w:space="0" w:color="auto"/>
                <w:right w:val="none" w:sz="0" w:space="0" w:color="auto"/>
              </w:divBdr>
              <w:divsChild>
                <w:div w:id="12">
                  <w:marLeft w:val="2038"/>
                  <w:marRight w:val="2581"/>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single" w:sz="24" w:space="0" w:color="B0C910"/>
            <w:right w:val="none" w:sz="0" w:space="0" w:color="auto"/>
          </w:divBdr>
          <w:divsChild>
            <w:div w:id="9">
              <w:marLeft w:val="0"/>
              <w:marRight w:val="0"/>
              <w:marTop w:val="0"/>
              <w:marBottom w:val="0"/>
              <w:divBdr>
                <w:top w:val="single" w:sz="24" w:space="0" w:color="B0C910"/>
                <w:left w:val="none" w:sz="0" w:space="0" w:color="auto"/>
                <w:bottom w:val="none" w:sz="0" w:space="0" w:color="auto"/>
                <w:right w:val="none" w:sz="0" w:space="0" w:color="auto"/>
              </w:divBdr>
              <w:divsChild>
                <w:div w:id="23">
                  <w:marLeft w:val="2038"/>
                  <w:marRight w:val="2581"/>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24" w:space="0" w:color="B0C910"/>
            <w:right w:val="none" w:sz="0" w:space="0" w:color="auto"/>
          </w:divBdr>
          <w:divsChild>
            <w:div w:id="1">
              <w:marLeft w:val="0"/>
              <w:marRight w:val="0"/>
              <w:marTop w:val="0"/>
              <w:marBottom w:val="0"/>
              <w:divBdr>
                <w:top w:val="single" w:sz="24" w:space="0" w:color="B0C910"/>
                <w:left w:val="none" w:sz="0" w:space="0" w:color="auto"/>
                <w:bottom w:val="none" w:sz="0" w:space="0" w:color="auto"/>
                <w:right w:val="none" w:sz="0" w:space="0" w:color="auto"/>
              </w:divBdr>
              <w:divsChild>
                <w:div w:id="8">
                  <w:marLeft w:val="2038"/>
                  <w:marRight w:val="2581"/>
                  <w:marTop w:val="0"/>
                  <w:marBottom w:val="0"/>
                  <w:divBdr>
                    <w:top w:val="none" w:sz="0" w:space="0" w:color="auto"/>
                    <w:left w:val="none" w:sz="0" w:space="0" w:color="auto"/>
                    <w:bottom w:val="none" w:sz="0" w:space="0" w:color="auto"/>
                    <w:right w:val="none" w:sz="0" w:space="0" w:color="auto"/>
                  </w:divBdr>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458188337">
      <w:bodyDiv w:val="1"/>
      <w:marLeft w:val="0"/>
      <w:marRight w:val="0"/>
      <w:marTop w:val="0"/>
      <w:marBottom w:val="0"/>
      <w:divBdr>
        <w:top w:val="none" w:sz="0" w:space="0" w:color="auto"/>
        <w:left w:val="none" w:sz="0" w:space="0" w:color="auto"/>
        <w:bottom w:val="none" w:sz="0" w:space="0" w:color="auto"/>
        <w:right w:val="none" w:sz="0" w:space="0" w:color="auto"/>
      </w:divBdr>
    </w:div>
    <w:div w:id="516626324">
      <w:bodyDiv w:val="1"/>
      <w:marLeft w:val="0"/>
      <w:marRight w:val="0"/>
      <w:marTop w:val="0"/>
      <w:marBottom w:val="0"/>
      <w:divBdr>
        <w:top w:val="none" w:sz="0" w:space="0" w:color="auto"/>
        <w:left w:val="none" w:sz="0" w:space="0" w:color="auto"/>
        <w:bottom w:val="none" w:sz="0" w:space="0" w:color="auto"/>
        <w:right w:val="none" w:sz="0" w:space="0" w:color="auto"/>
      </w:divBdr>
    </w:div>
    <w:div w:id="12034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c@ar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ic@nhmrc.gov.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DB9D-96A1-4BEF-8CAB-4EA819EC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28878</CharactersWithSpaces>
  <SharedDoc>false</SharedDoc>
  <HLinks>
    <vt:vector size="138" baseType="variant">
      <vt:variant>
        <vt:i4>1966131</vt:i4>
      </vt:variant>
      <vt:variant>
        <vt:i4>134</vt:i4>
      </vt:variant>
      <vt:variant>
        <vt:i4>0</vt:i4>
      </vt:variant>
      <vt:variant>
        <vt:i4>5</vt:i4>
      </vt:variant>
      <vt:variant>
        <vt:lpwstr/>
      </vt:variant>
      <vt:variant>
        <vt:lpwstr>_Toc283627002</vt:lpwstr>
      </vt:variant>
      <vt:variant>
        <vt:i4>1966131</vt:i4>
      </vt:variant>
      <vt:variant>
        <vt:i4>128</vt:i4>
      </vt:variant>
      <vt:variant>
        <vt:i4>0</vt:i4>
      </vt:variant>
      <vt:variant>
        <vt:i4>5</vt:i4>
      </vt:variant>
      <vt:variant>
        <vt:lpwstr/>
      </vt:variant>
      <vt:variant>
        <vt:lpwstr>_Toc283627001</vt:lpwstr>
      </vt:variant>
      <vt:variant>
        <vt:i4>1966131</vt:i4>
      </vt:variant>
      <vt:variant>
        <vt:i4>122</vt:i4>
      </vt:variant>
      <vt:variant>
        <vt:i4>0</vt:i4>
      </vt:variant>
      <vt:variant>
        <vt:i4>5</vt:i4>
      </vt:variant>
      <vt:variant>
        <vt:lpwstr/>
      </vt:variant>
      <vt:variant>
        <vt:lpwstr>_Toc283627000</vt:lpwstr>
      </vt:variant>
      <vt:variant>
        <vt:i4>1441850</vt:i4>
      </vt:variant>
      <vt:variant>
        <vt:i4>116</vt:i4>
      </vt:variant>
      <vt:variant>
        <vt:i4>0</vt:i4>
      </vt:variant>
      <vt:variant>
        <vt:i4>5</vt:i4>
      </vt:variant>
      <vt:variant>
        <vt:lpwstr/>
      </vt:variant>
      <vt:variant>
        <vt:lpwstr>_Toc283626999</vt:lpwstr>
      </vt:variant>
      <vt:variant>
        <vt:i4>1441850</vt:i4>
      </vt:variant>
      <vt:variant>
        <vt:i4>110</vt:i4>
      </vt:variant>
      <vt:variant>
        <vt:i4>0</vt:i4>
      </vt:variant>
      <vt:variant>
        <vt:i4>5</vt:i4>
      </vt:variant>
      <vt:variant>
        <vt:lpwstr/>
      </vt:variant>
      <vt:variant>
        <vt:lpwstr>_Toc283626998</vt:lpwstr>
      </vt:variant>
      <vt:variant>
        <vt:i4>1441850</vt:i4>
      </vt:variant>
      <vt:variant>
        <vt:i4>104</vt:i4>
      </vt:variant>
      <vt:variant>
        <vt:i4>0</vt:i4>
      </vt:variant>
      <vt:variant>
        <vt:i4>5</vt:i4>
      </vt:variant>
      <vt:variant>
        <vt:lpwstr/>
      </vt:variant>
      <vt:variant>
        <vt:lpwstr>_Toc283626997</vt:lpwstr>
      </vt:variant>
      <vt:variant>
        <vt:i4>1441850</vt:i4>
      </vt:variant>
      <vt:variant>
        <vt:i4>98</vt:i4>
      </vt:variant>
      <vt:variant>
        <vt:i4>0</vt:i4>
      </vt:variant>
      <vt:variant>
        <vt:i4>5</vt:i4>
      </vt:variant>
      <vt:variant>
        <vt:lpwstr/>
      </vt:variant>
      <vt:variant>
        <vt:lpwstr>_Toc283626996</vt:lpwstr>
      </vt:variant>
      <vt:variant>
        <vt:i4>1441850</vt:i4>
      </vt:variant>
      <vt:variant>
        <vt:i4>92</vt:i4>
      </vt:variant>
      <vt:variant>
        <vt:i4>0</vt:i4>
      </vt:variant>
      <vt:variant>
        <vt:i4>5</vt:i4>
      </vt:variant>
      <vt:variant>
        <vt:lpwstr/>
      </vt:variant>
      <vt:variant>
        <vt:lpwstr>_Toc283626995</vt:lpwstr>
      </vt:variant>
      <vt:variant>
        <vt:i4>1441850</vt:i4>
      </vt:variant>
      <vt:variant>
        <vt:i4>86</vt:i4>
      </vt:variant>
      <vt:variant>
        <vt:i4>0</vt:i4>
      </vt:variant>
      <vt:variant>
        <vt:i4>5</vt:i4>
      </vt:variant>
      <vt:variant>
        <vt:lpwstr/>
      </vt:variant>
      <vt:variant>
        <vt:lpwstr>_Toc283626994</vt:lpwstr>
      </vt:variant>
      <vt:variant>
        <vt:i4>1441850</vt:i4>
      </vt:variant>
      <vt:variant>
        <vt:i4>80</vt:i4>
      </vt:variant>
      <vt:variant>
        <vt:i4>0</vt:i4>
      </vt:variant>
      <vt:variant>
        <vt:i4>5</vt:i4>
      </vt:variant>
      <vt:variant>
        <vt:lpwstr/>
      </vt:variant>
      <vt:variant>
        <vt:lpwstr>_Toc283626993</vt:lpwstr>
      </vt:variant>
      <vt:variant>
        <vt:i4>1441850</vt:i4>
      </vt:variant>
      <vt:variant>
        <vt:i4>74</vt:i4>
      </vt:variant>
      <vt:variant>
        <vt:i4>0</vt:i4>
      </vt:variant>
      <vt:variant>
        <vt:i4>5</vt:i4>
      </vt:variant>
      <vt:variant>
        <vt:lpwstr/>
      </vt:variant>
      <vt:variant>
        <vt:lpwstr>_Toc283626992</vt:lpwstr>
      </vt:variant>
      <vt:variant>
        <vt:i4>1441850</vt:i4>
      </vt:variant>
      <vt:variant>
        <vt:i4>68</vt:i4>
      </vt:variant>
      <vt:variant>
        <vt:i4>0</vt:i4>
      </vt:variant>
      <vt:variant>
        <vt:i4>5</vt:i4>
      </vt:variant>
      <vt:variant>
        <vt:lpwstr/>
      </vt:variant>
      <vt:variant>
        <vt:lpwstr>_Toc283626991</vt:lpwstr>
      </vt:variant>
      <vt:variant>
        <vt:i4>1441850</vt:i4>
      </vt:variant>
      <vt:variant>
        <vt:i4>62</vt:i4>
      </vt:variant>
      <vt:variant>
        <vt:i4>0</vt:i4>
      </vt:variant>
      <vt:variant>
        <vt:i4>5</vt:i4>
      </vt:variant>
      <vt:variant>
        <vt:lpwstr/>
      </vt:variant>
      <vt:variant>
        <vt:lpwstr>_Toc283626990</vt:lpwstr>
      </vt:variant>
      <vt:variant>
        <vt:i4>1507386</vt:i4>
      </vt:variant>
      <vt:variant>
        <vt:i4>56</vt:i4>
      </vt:variant>
      <vt:variant>
        <vt:i4>0</vt:i4>
      </vt:variant>
      <vt:variant>
        <vt:i4>5</vt:i4>
      </vt:variant>
      <vt:variant>
        <vt:lpwstr/>
      </vt:variant>
      <vt:variant>
        <vt:lpwstr>_Toc283626989</vt:lpwstr>
      </vt:variant>
      <vt:variant>
        <vt:i4>1507386</vt:i4>
      </vt:variant>
      <vt:variant>
        <vt:i4>50</vt:i4>
      </vt:variant>
      <vt:variant>
        <vt:i4>0</vt:i4>
      </vt:variant>
      <vt:variant>
        <vt:i4>5</vt:i4>
      </vt:variant>
      <vt:variant>
        <vt:lpwstr/>
      </vt:variant>
      <vt:variant>
        <vt:lpwstr>_Toc283626988</vt:lpwstr>
      </vt:variant>
      <vt:variant>
        <vt:i4>1507386</vt:i4>
      </vt:variant>
      <vt:variant>
        <vt:i4>44</vt:i4>
      </vt:variant>
      <vt:variant>
        <vt:i4>0</vt:i4>
      </vt:variant>
      <vt:variant>
        <vt:i4>5</vt:i4>
      </vt:variant>
      <vt:variant>
        <vt:lpwstr/>
      </vt:variant>
      <vt:variant>
        <vt:lpwstr>_Toc283626987</vt:lpwstr>
      </vt:variant>
      <vt:variant>
        <vt:i4>1507386</vt:i4>
      </vt:variant>
      <vt:variant>
        <vt:i4>38</vt:i4>
      </vt:variant>
      <vt:variant>
        <vt:i4>0</vt:i4>
      </vt:variant>
      <vt:variant>
        <vt:i4>5</vt:i4>
      </vt:variant>
      <vt:variant>
        <vt:lpwstr/>
      </vt:variant>
      <vt:variant>
        <vt:lpwstr>_Toc283626986</vt:lpwstr>
      </vt:variant>
      <vt:variant>
        <vt:i4>1507386</vt:i4>
      </vt:variant>
      <vt:variant>
        <vt:i4>32</vt:i4>
      </vt:variant>
      <vt:variant>
        <vt:i4>0</vt:i4>
      </vt:variant>
      <vt:variant>
        <vt:i4>5</vt:i4>
      </vt:variant>
      <vt:variant>
        <vt:lpwstr/>
      </vt:variant>
      <vt:variant>
        <vt:lpwstr>_Toc283626985</vt:lpwstr>
      </vt:variant>
      <vt:variant>
        <vt:i4>1507386</vt:i4>
      </vt:variant>
      <vt:variant>
        <vt:i4>26</vt:i4>
      </vt:variant>
      <vt:variant>
        <vt:i4>0</vt:i4>
      </vt:variant>
      <vt:variant>
        <vt:i4>5</vt:i4>
      </vt:variant>
      <vt:variant>
        <vt:lpwstr/>
      </vt:variant>
      <vt:variant>
        <vt:lpwstr>_Toc283626984</vt:lpwstr>
      </vt:variant>
      <vt:variant>
        <vt:i4>1507386</vt:i4>
      </vt:variant>
      <vt:variant>
        <vt:i4>20</vt:i4>
      </vt:variant>
      <vt:variant>
        <vt:i4>0</vt:i4>
      </vt:variant>
      <vt:variant>
        <vt:i4>5</vt:i4>
      </vt:variant>
      <vt:variant>
        <vt:lpwstr/>
      </vt:variant>
      <vt:variant>
        <vt:lpwstr>_Toc283626983</vt:lpwstr>
      </vt:variant>
      <vt:variant>
        <vt:i4>1507386</vt:i4>
      </vt:variant>
      <vt:variant>
        <vt:i4>14</vt:i4>
      </vt:variant>
      <vt:variant>
        <vt:i4>0</vt:i4>
      </vt:variant>
      <vt:variant>
        <vt:i4>5</vt:i4>
      </vt:variant>
      <vt:variant>
        <vt:lpwstr/>
      </vt:variant>
      <vt:variant>
        <vt:lpwstr>_Toc283626982</vt:lpwstr>
      </vt:variant>
      <vt:variant>
        <vt:i4>1507386</vt:i4>
      </vt:variant>
      <vt:variant>
        <vt:i4>8</vt:i4>
      </vt:variant>
      <vt:variant>
        <vt:i4>0</vt:i4>
      </vt:variant>
      <vt:variant>
        <vt:i4>5</vt:i4>
      </vt:variant>
      <vt:variant>
        <vt:lpwstr/>
      </vt:variant>
      <vt:variant>
        <vt:lpwstr>_Toc283626981</vt:lpwstr>
      </vt:variant>
      <vt:variant>
        <vt:i4>1507386</vt:i4>
      </vt:variant>
      <vt:variant>
        <vt:i4>2</vt:i4>
      </vt:variant>
      <vt:variant>
        <vt:i4>0</vt:i4>
      </vt:variant>
      <vt:variant>
        <vt:i4>5</vt:i4>
      </vt:variant>
      <vt:variant>
        <vt:lpwstr/>
      </vt:variant>
      <vt:variant>
        <vt:lpwstr>_Toc283626980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2021-08-24T23:44:00Z</dcterms:created>
  <dcterms:modified xsi:type="dcterms:W3CDTF">2021-08-24T23:44:00Z</dcterms:modified>
</cp:coreProperties>
</file>