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B6143" w14:textId="2FD83481" w:rsidR="00282885" w:rsidRDefault="00282885" w:rsidP="00A214BF">
      <w:pPr>
        <w:jc w:val="center"/>
      </w:pPr>
      <w:r>
        <w:rPr>
          <w:noProof/>
          <w:lang w:eastAsia="en-AU"/>
        </w:rPr>
        <w:drawing>
          <wp:inline distT="0" distB="0" distL="0" distR="0" wp14:anchorId="657B761D" wp14:editId="06EFA70D">
            <wp:extent cx="2762250" cy="1718451"/>
            <wp:effectExtent l="0" t="0" r="0" b="0"/>
            <wp:docPr id="6" name="Picture 6" descr="ARC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ntent.webarchive.nla.gov.au/gov/wayback/20171113003242/http:/www.arc.gov.au/sites/default/files/filedepot/Public/Media%20&amp;%20Resources%20Centre/Images/ARC_logos/STACKED/PC/ARC_stack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0889" cy="1723825"/>
                    </a:xfrm>
                    <a:prstGeom prst="rect">
                      <a:avLst/>
                    </a:prstGeom>
                    <a:noFill/>
                    <a:ln>
                      <a:noFill/>
                    </a:ln>
                  </pic:spPr>
                </pic:pic>
              </a:graphicData>
            </a:graphic>
          </wp:inline>
        </w:drawing>
      </w:r>
    </w:p>
    <w:p w14:paraId="1462FBA1" w14:textId="2A58DA66" w:rsidR="00A214BF" w:rsidRDefault="00A214BF" w:rsidP="00A214BF"/>
    <w:p w14:paraId="2DBF381F" w14:textId="77777777" w:rsidR="00A214BF" w:rsidRDefault="00A214BF" w:rsidP="00A214BF"/>
    <w:p w14:paraId="2BE0DD64" w14:textId="49A539A4" w:rsidR="00D24FF4" w:rsidRPr="00A03AC2" w:rsidRDefault="00CB373D" w:rsidP="00CB373D">
      <w:pPr>
        <w:pStyle w:val="Title"/>
        <w:rPr>
          <w:sz w:val="40"/>
          <w:szCs w:val="40"/>
        </w:rPr>
      </w:pPr>
      <w:r w:rsidRPr="003673FA">
        <w:t>Evaluation of the implementation of the continuous Linkage Projects process</w:t>
      </w:r>
      <w:r w:rsidR="00A03AC2">
        <w:br/>
      </w:r>
      <w:r w:rsidR="00A03AC2" w:rsidRPr="00A03AC2">
        <w:rPr>
          <w:sz w:val="40"/>
          <w:szCs w:val="40"/>
        </w:rPr>
        <w:br/>
        <w:t>Final report</w:t>
      </w:r>
    </w:p>
    <w:p w14:paraId="7AC3A473" w14:textId="77777777" w:rsidR="00A03AC2" w:rsidRPr="00A03AC2" w:rsidRDefault="00A03AC2" w:rsidP="00A03AC2"/>
    <w:p w14:paraId="36F339B9" w14:textId="56967652" w:rsidR="000D7B41" w:rsidRPr="003673FA" w:rsidRDefault="000D7B41" w:rsidP="000D7B41">
      <w:pPr>
        <w:rPr>
          <w:szCs w:val="24"/>
        </w:rPr>
      </w:pPr>
      <w:r w:rsidRPr="003673FA">
        <w:rPr>
          <w:szCs w:val="24"/>
        </w:rPr>
        <w:t>Australian Research Council</w:t>
      </w:r>
      <w:r w:rsidRPr="003673FA">
        <w:rPr>
          <w:szCs w:val="24"/>
        </w:rPr>
        <w:br/>
        <w:t>Program Evaluation Section</w:t>
      </w:r>
    </w:p>
    <w:p w14:paraId="2BFA346B" w14:textId="77777777" w:rsidR="000D7B41" w:rsidRPr="003673FA" w:rsidRDefault="000D7B41" w:rsidP="000D7B41">
      <w:pPr>
        <w:rPr>
          <w:szCs w:val="24"/>
        </w:rPr>
      </w:pPr>
    </w:p>
    <w:p w14:paraId="38B9A7EA" w14:textId="6770E41F" w:rsidR="000D7B41" w:rsidRPr="003673FA" w:rsidRDefault="00BF07C8" w:rsidP="000D7B41">
      <w:pPr>
        <w:rPr>
          <w:szCs w:val="24"/>
        </w:rPr>
      </w:pPr>
      <w:r>
        <w:rPr>
          <w:szCs w:val="24"/>
        </w:rPr>
        <w:t>May</w:t>
      </w:r>
      <w:r w:rsidR="000D7B41" w:rsidRPr="003673FA">
        <w:rPr>
          <w:szCs w:val="24"/>
        </w:rPr>
        <w:t xml:space="preserve"> 2019</w:t>
      </w:r>
    </w:p>
    <w:p w14:paraId="456B9AF1" w14:textId="77777777" w:rsidR="000D7B41" w:rsidRPr="003673FA" w:rsidRDefault="000D7B41" w:rsidP="000D7B41">
      <w:pPr>
        <w:rPr>
          <w:szCs w:val="24"/>
        </w:rPr>
      </w:pPr>
    </w:p>
    <w:p w14:paraId="3FD83E45" w14:textId="77777777" w:rsidR="00066F58" w:rsidRPr="003673FA" w:rsidRDefault="00066F58">
      <w:pPr>
        <w:rPr>
          <w:b/>
          <w:szCs w:val="24"/>
        </w:rPr>
      </w:pPr>
      <w:r w:rsidRPr="003673FA">
        <w:rPr>
          <w:b/>
          <w:szCs w:val="24"/>
        </w:rPr>
        <w:br w:type="page"/>
      </w:r>
    </w:p>
    <w:sdt>
      <w:sdtPr>
        <w:rPr>
          <w:rFonts w:ascii="Times New Roman" w:eastAsia="Calibri" w:hAnsi="Times New Roman"/>
          <w:b/>
          <w:bCs w:val="0"/>
          <w:color w:val="auto"/>
          <w:sz w:val="24"/>
          <w:szCs w:val="22"/>
        </w:rPr>
        <w:id w:val="-1199928377"/>
        <w:docPartObj>
          <w:docPartGallery w:val="Table of Contents"/>
          <w:docPartUnique/>
        </w:docPartObj>
      </w:sdtPr>
      <w:sdtEndPr>
        <w:rPr>
          <w:noProof/>
        </w:rPr>
      </w:sdtEndPr>
      <w:sdtContent>
        <w:p w14:paraId="6026BB28" w14:textId="083B0BBB" w:rsidR="00874CD7" w:rsidRPr="003673FA" w:rsidRDefault="00874CD7">
          <w:pPr>
            <w:pStyle w:val="TOCHeading"/>
            <w:rPr>
              <w:b/>
            </w:rPr>
          </w:pPr>
          <w:r w:rsidRPr="003673FA">
            <w:rPr>
              <w:b/>
            </w:rPr>
            <w:t>Contents</w:t>
          </w:r>
        </w:p>
        <w:p w14:paraId="6C6BA7E1" w14:textId="22F0C6AE" w:rsidR="005B308A" w:rsidRPr="003673FA" w:rsidRDefault="00874CD7">
          <w:pPr>
            <w:pStyle w:val="TOC1"/>
            <w:rPr>
              <w:rFonts w:asciiTheme="minorHAnsi" w:eastAsiaTheme="minorEastAsia" w:hAnsiTheme="minorHAnsi" w:cstheme="minorBidi"/>
              <w:b w:val="0"/>
              <w:bCs w:val="0"/>
              <w:iCs w:val="0"/>
              <w:noProof/>
              <w:color w:val="auto"/>
              <w:sz w:val="22"/>
              <w:szCs w:val="22"/>
              <w:lang w:eastAsia="en-AU"/>
            </w:rPr>
          </w:pPr>
          <w:r w:rsidRPr="003673FA">
            <w:rPr>
              <w:b w:val="0"/>
              <w:bCs w:val="0"/>
              <w:iCs w:val="0"/>
              <w:noProof/>
            </w:rPr>
            <w:fldChar w:fldCharType="begin"/>
          </w:r>
          <w:r w:rsidRPr="003673FA">
            <w:rPr>
              <w:b w:val="0"/>
              <w:bCs w:val="0"/>
              <w:iCs w:val="0"/>
              <w:noProof/>
            </w:rPr>
            <w:instrText xml:space="preserve"> TOC \o "1-2" \h \z \u </w:instrText>
          </w:r>
          <w:r w:rsidRPr="003673FA">
            <w:rPr>
              <w:b w:val="0"/>
              <w:bCs w:val="0"/>
              <w:iCs w:val="0"/>
              <w:noProof/>
            </w:rPr>
            <w:fldChar w:fldCharType="separate"/>
          </w:r>
          <w:hyperlink w:anchor="_Toc6218364" w:history="1">
            <w:r w:rsidR="005B308A" w:rsidRPr="003673FA">
              <w:rPr>
                <w:rStyle w:val="Hyperlink"/>
                <w:noProof/>
              </w:rPr>
              <w:t>Abbreviations and glossary</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_Toc6218364 \h </w:instrText>
            </w:r>
            <w:r w:rsidR="005B308A" w:rsidRPr="003673FA">
              <w:rPr>
                <w:noProof/>
                <w:webHidden/>
              </w:rPr>
            </w:r>
            <w:r w:rsidR="005B308A" w:rsidRPr="003673FA">
              <w:rPr>
                <w:noProof/>
                <w:webHidden/>
              </w:rPr>
              <w:fldChar w:fldCharType="separate"/>
            </w:r>
            <w:r w:rsidR="005B308A" w:rsidRPr="003673FA">
              <w:rPr>
                <w:noProof/>
                <w:webHidden/>
              </w:rPr>
              <w:t>3</w:t>
            </w:r>
            <w:r w:rsidR="005B308A" w:rsidRPr="003673FA">
              <w:rPr>
                <w:noProof/>
                <w:webHidden/>
              </w:rPr>
              <w:fldChar w:fldCharType="end"/>
            </w:r>
          </w:hyperlink>
        </w:p>
        <w:p w14:paraId="79145573" w14:textId="18AA9FF4" w:rsidR="005B308A" w:rsidRPr="003673FA" w:rsidRDefault="00883017">
          <w:pPr>
            <w:pStyle w:val="TOC1"/>
            <w:rPr>
              <w:rFonts w:asciiTheme="minorHAnsi" w:eastAsiaTheme="minorEastAsia" w:hAnsiTheme="minorHAnsi" w:cstheme="minorBidi"/>
              <w:b w:val="0"/>
              <w:bCs w:val="0"/>
              <w:iCs w:val="0"/>
              <w:noProof/>
              <w:color w:val="auto"/>
              <w:sz w:val="22"/>
              <w:szCs w:val="22"/>
              <w:lang w:eastAsia="en-AU"/>
            </w:rPr>
          </w:pPr>
          <w:hyperlink w:anchor="_Toc6218365" w:history="1">
            <w:r w:rsidR="005B308A" w:rsidRPr="003673FA">
              <w:rPr>
                <w:rStyle w:val="Hyperlink"/>
                <w:noProof/>
              </w:rPr>
              <w:t>Executive summary</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_Toc6218365 \h </w:instrText>
            </w:r>
            <w:r w:rsidR="005B308A" w:rsidRPr="003673FA">
              <w:rPr>
                <w:noProof/>
                <w:webHidden/>
              </w:rPr>
            </w:r>
            <w:r w:rsidR="005B308A" w:rsidRPr="003673FA">
              <w:rPr>
                <w:noProof/>
                <w:webHidden/>
              </w:rPr>
              <w:fldChar w:fldCharType="separate"/>
            </w:r>
            <w:r w:rsidR="005B308A" w:rsidRPr="003673FA">
              <w:rPr>
                <w:noProof/>
                <w:webHidden/>
              </w:rPr>
              <w:t>4</w:t>
            </w:r>
            <w:r w:rsidR="005B308A" w:rsidRPr="003673FA">
              <w:rPr>
                <w:noProof/>
                <w:webHidden/>
              </w:rPr>
              <w:fldChar w:fldCharType="end"/>
            </w:r>
          </w:hyperlink>
        </w:p>
        <w:p w14:paraId="1C1F2094" w14:textId="0F2C41A1" w:rsidR="005B308A" w:rsidRPr="003673FA" w:rsidRDefault="00883017">
          <w:pPr>
            <w:pStyle w:val="TOC1"/>
            <w:rPr>
              <w:rFonts w:asciiTheme="minorHAnsi" w:eastAsiaTheme="minorEastAsia" w:hAnsiTheme="minorHAnsi" w:cstheme="minorBidi"/>
              <w:b w:val="0"/>
              <w:bCs w:val="0"/>
              <w:iCs w:val="0"/>
              <w:noProof/>
              <w:color w:val="auto"/>
              <w:sz w:val="22"/>
              <w:szCs w:val="22"/>
              <w:lang w:eastAsia="en-AU"/>
            </w:rPr>
          </w:pPr>
          <w:hyperlink w:anchor="_Toc6218366" w:history="1">
            <w:r w:rsidR="005B308A" w:rsidRPr="003673FA">
              <w:rPr>
                <w:rStyle w:val="Hyperlink"/>
                <w:noProof/>
              </w:rPr>
              <w:t>Background and context</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_Toc6218366 \h </w:instrText>
            </w:r>
            <w:r w:rsidR="005B308A" w:rsidRPr="003673FA">
              <w:rPr>
                <w:noProof/>
                <w:webHidden/>
              </w:rPr>
            </w:r>
            <w:r w:rsidR="005B308A" w:rsidRPr="003673FA">
              <w:rPr>
                <w:noProof/>
                <w:webHidden/>
              </w:rPr>
              <w:fldChar w:fldCharType="separate"/>
            </w:r>
            <w:r w:rsidR="005B308A" w:rsidRPr="003673FA">
              <w:rPr>
                <w:noProof/>
                <w:webHidden/>
              </w:rPr>
              <w:t>5</w:t>
            </w:r>
            <w:r w:rsidR="005B308A" w:rsidRPr="003673FA">
              <w:rPr>
                <w:noProof/>
                <w:webHidden/>
              </w:rPr>
              <w:fldChar w:fldCharType="end"/>
            </w:r>
          </w:hyperlink>
        </w:p>
        <w:p w14:paraId="713194B8" w14:textId="363CAD45" w:rsidR="005B308A" w:rsidRPr="003673FA" w:rsidRDefault="00883017">
          <w:pPr>
            <w:pStyle w:val="TOC2"/>
            <w:tabs>
              <w:tab w:val="right" w:leader="underscore" w:pos="9038"/>
            </w:tabs>
            <w:rPr>
              <w:rFonts w:asciiTheme="minorHAnsi" w:eastAsiaTheme="minorEastAsia" w:hAnsiTheme="minorHAnsi" w:cstheme="minorBidi"/>
              <w:b w:val="0"/>
              <w:bCs w:val="0"/>
              <w:noProof/>
              <w:lang w:eastAsia="en-AU"/>
            </w:rPr>
          </w:pPr>
          <w:hyperlink w:anchor="_Toc6218367" w:history="1">
            <w:r w:rsidR="005B308A" w:rsidRPr="003673FA">
              <w:rPr>
                <w:rStyle w:val="Hyperlink"/>
                <w:noProof/>
              </w:rPr>
              <w:t>The Linkage Projects scheme</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_Toc6218367 \h </w:instrText>
            </w:r>
            <w:r w:rsidR="005B308A" w:rsidRPr="003673FA">
              <w:rPr>
                <w:noProof/>
                <w:webHidden/>
              </w:rPr>
            </w:r>
            <w:r w:rsidR="005B308A" w:rsidRPr="003673FA">
              <w:rPr>
                <w:noProof/>
                <w:webHidden/>
              </w:rPr>
              <w:fldChar w:fldCharType="separate"/>
            </w:r>
            <w:r w:rsidR="005B308A" w:rsidRPr="003673FA">
              <w:rPr>
                <w:noProof/>
                <w:webHidden/>
              </w:rPr>
              <w:t>5</w:t>
            </w:r>
            <w:r w:rsidR="005B308A" w:rsidRPr="003673FA">
              <w:rPr>
                <w:noProof/>
                <w:webHidden/>
              </w:rPr>
              <w:fldChar w:fldCharType="end"/>
            </w:r>
          </w:hyperlink>
        </w:p>
        <w:p w14:paraId="16235793" w14:textId="4C4676D2" w:rsidR="005B308A" w:rsidRPr="003673FA" w:rsidRDefault="00883017">
          <w:pPr>
            <w:pStyle w:val="TOC2"/>
            <w:tabs>
              <w:tab w:val="right" w:leader="underscore" w:pos="9038"/>
            </w:tabs>
            <w:rPr>
              <w:rFonts w:asciiTheme="minorHAnsi" w:eastAsiaTheme="minorEastAsia" w:hAnsiTheme="minorHAnsi" w:cstheme="minorBidi"/>
              <w:b w:val="0"/>
              <w:bCs w:val="0"/>
              <w:noProof/>
              <w:lang w:eastAsia="en-AU"/>
            </w:rPr>
          </w:pPr>
          <w:hyperlink w:anchor="_Toc6218368" w:history="1">
            <w:r w:rsidR="005B308A" w:rsidRPr="003673FA">
              <w:rPr>
                <w:rStyle w:val="Hyperlink"/>
                <w:noProof/>
              </w:rPr>
              <w:t>The continuous Linkage Projects process</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_Toc6218368 \h </w:instrText>
            </w:r>
            <w:r w:rsidR="005B308A" w:rsidRPr="003673FA">
              <w:rPr>
                <w:noProof/>
                <w:webHidden/>
              </w:rPr>
            </w:r>
            <w:r w:rsidR="005B308A" w:rsidRPr="003673FA">
              <w:rPr>
                <w:noProof/>
                <w:webHidden/>
              </w:rPr>
              <w:fldChar w:fldCharType="separate"/>
            </w:r>
            <w:r w:rsidR="005B308A" w:rsidRPr="003673FA">
              <w:rPr>
                <w:noProof/>
                <w:webHidden/>
              </w:rPr>
              <w:t>5</w:t>
            </w:r>
            <w:r w:rsidR="005B308A" w:rsidRPr="003673FA">
              <w:rPr>
                <w:noProof/>
                <w:webHidden/>
              </w:rPr>
              <w:fldChar w:fldCharType="end"/>
            </w:r>
          </w:hyperlink>
        </w:p>
        <w:p w14:paraId="64E35846" w14:textId="2BF6B502" w:rsidR="005B308A" w:rsidRPr="003673FA" w:rsidRDefault="00883017">
          <w:pPr>
            <w:pStyle w:val="TOC2"/>
            <w:tabs>
              <w:tab w:val="right" w:leader="underscore" w:pos="9038"/>
            </w:tabs>
            <w:rPr>
              <w:rFonts w:asciiTheme="minorHAnsi" w:eastAsiaTheme="minorEastAsia" w:hAnsiTheme="minorHAnsi" w:cstheme="minorBidi"/>
              <w:b w:val="0"/>
              <w:bCs w:val="0"/>
              <w:noProof/>
              <w:lang w:eastAsia="en-AU"/>
            </w:rPr>
          </w:pPr>
          <w:hyperlink w:anchor="_Toc6218369" w:history="1">
            <w:r w:rsidR="005B308A" w:rsidRPr="003673FA">
              <w:rPr>
                <w:rStyle w:val="Hyperlink"/>
                <w:noProof/>
              </w:rPr>
              <w:t>ARC implementation of the continuous process</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_Toc6218369 \h </w:instrText>
            </w:r>
            <w:r w:rsidR="005B308A" w:rsidRPr="003673FA">
              <w:rPr>
                <w:noProof/>
                <w:webHidden/>
              </w:rPr>
            </w:r>
            <w:r w:rsidR="005B308A" w:rsidRPr="003673FA">
              <w:rPr>
                <w:noProof/>
                <w:webHidden/>
              </w:rPr>
              <w:fldChar w:fldCharType="separate"/>
            </w:r>
            <w:r w:rsidR="005B308A" w:rsidRPr="003673FA">
              <w:rPr>
                <w:noProof/>
                <w:webHidden/>
              </w:rPr>
              <w:t>6</w:t>
            </w:r>
            <w:r w:rsidR="005B308A" w:rsidRPr="003673FA">
              <w:rPr>
                <w:noProof/>
                <w:webHidden/>
              </w:rPr>
              <w:fldChar w:fldCharType="end"/>
            </w:r>
          </w:hyperlink>
        </w:p>
        <w:p w14:paraId="00BE6647" w14:textId="1122AE1B" w:rsidR="005B308A" w:rsidRPr="003673FA" w:rsidRDefault="00883017">
          <w:pPr>
            <w:pStyle w:val="TOC1"/>
            <w:rPr>
              <w:rFonts w:asciiTheme="minorHAnsi" w:eastAsiaTheme="minorEastAsia" w:hAnsiTheme="minorHAnsi" w:cstheme="minorBidi"/>
              <w:b w:val="0"/>
              <w:bCs w:val="0"/>
              <w:iCs w:val="0"/>
              <w:noProof/>
              <w:color w:val="auto"/>
              <w:sz w:val="22"/>
              <w:szCs w:val="22"/>
              <w:lang w:eastAsia="en-AU"/>
            </w:rPr>
          </w:pPr>
          <w:hyperlink w:anchor="_Toc6218370" w:history="1">
            <w:r w:rsidR="005B308A" w:rsidRPr="003673FA">
              <w:rPr>
                <w:rStyle w:val="Hyperlink"/>
                <w:noProof/>
              </w:rPr>
              <w:t>Evaluation overview</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_Toc6218370 \h </w:instrText>
            </w:r>
            <w:r w:rsidR="005B308A" w:rsidRPr="003673FA">
              <w:rPr>
                <w:noProof/>
                <w:webHidden/>
              </w:rPr>
            </w:r>
            <w:r w:rsidR="005B308A" w:rsidRPr="003673FA">
              <w:rPr>
                <w:noProof/>
                <w:webHidden/>
              </w:rPr>
              <w:fldChar w:fldCharType="separate"/>
            </w:r>
            <w:r w:rsidR="005B308A" w:rsidRPr="003673FA">
              <w:rPr>
                <w:noProof/>
                <w:webHidden/>
              </w:rPr>
              <w:t>7</w:t>
            </w:r>
            <w:r w:rsidR="005B308A" w:rsidRPr="003673FA">
              <w:rPr>
                <w:noProof/>
                <w:webHidden/>
              </w:rPr>
              <w:fldChar w:fldCharType="end"/>
            </w:r>
          </w:hyperlink>
        </w:p>
        <w:p w14:paraId="2366540A" w14:textId="052BE63B" w:rsidR="005B308A" w:rsidRPr="003673FA" w:rsidRDefault="00883017">
          <w:pPr>
            <w:pStyle w:val="TOC2"/>
            <w:tabs>
              <w:tab w:val="right" w:leader="underscore" w:pos="9038"/>
            </w:tabs>
            <w:rPr>
              <w:rFonts w:asciiTheme="minorHAnsi" w:eastAsiaTheme="minorEastAsia" w:hAnsiTheme="minorHAnsi" w:cstheme="minorBidi"/>
              <w:b w:val="0"/>
              <w:bCs w:val="0"/>
              <w:noProof/>
              <w:lang w:eastAsia="en-AU"/>
            </w:rPr>
          </w:pPr>
          <w:hyperlink w:anchor="_Toc6218371" w:history="1">
            <w:r w:rsidR="005B308A" w:rsidRPr="003673FA">
              <w:rPr>
                <w:rStyle w:val="Hyperlink"/>
                <w:noProof/>
              </w:rPr>
              <w:t>Authorisation and management</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_Toc6218371 \h </w:instrText>
            </w:r>
            <w:r w:rsidR="005B308A" w:rsidRPr="003673FA">
              <w:rPr>
                <w:noProof/>
                <w:webHidden/>
              </w:rPr>
            </w:r>
            <w:r w:rsidR="005B308A" w:rsidRPr="003673FA">
              <w:rPr>
                <w:noProof/>
                <w:webHidden/>
              </w:rPr>
              <w:fldChar w:fldCharType="separate"/>
            </w:r>
            <w:r w:rsidR="005B308A" w:rsidRPr="003673FA">
              <w:rPr>
                <w:noProof/>
                <w:webHidden/>
              </w:rPr>
              <w:t>7</w:t>
            </w:r>
            <w:r w:rsidR="005B308A" w:rsidRPr="003673FA">
              <w:rPr>
                <w:noProof/>
                <w:webHidden/>
              </w:rPr>
              <w:fldChar w:fldCharType="end"/>
            </w:r>
          </w:hyperlink>
        </w:p>
        <w:p w14:paraId="27B2B77C" w14:textId="00B26EFF" w:rsidR="005B308A" w:rsidRPr="003673FA" w:rsidRDefault="00883017">
          <w:pPr>
            <w:pStyle w:val="TOC2"/>
            <w:tabs>
              <w:tab w:val="right" w:leader="underscore" w:pos="9038"/>
            </w:tabs>
            <w:rPr>
              <w:rFonts w:asciiTheme="minorHAnsi" w:eastAsiaTheme="minorEastAsia" w:hAnsiTheme="minorHAnsi" w:cstheme="minorBidi"/>
              <w:b w:val="0"/>
              <w:bCs w:val="0"/>
              <w:noProof/>
              <w:lang w:eastAsia="en-AU"/>
            </w:rPr>
          </w:pPr>
          <w:hyperlink w:anchor="_Toc6218372" w:history="1">
            <w:r w:rsidR="005B308A" w:rsidRPr="003673FA">
              <w:rPr>
                <w:rStyle w:val="Hyperlink"/>
                <w:noProof/>
              </w:rPr>
              <w:t>Reasons for the evaluation</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_Toc6218372 \h </w:instrText>
            </w:r>
            <w:r w:rsidR="005B308A" w:rsidRPr="003673FA">
              <w:rPr>
                <w:noProof/>
                <w:webHidden/>
              </w:rPr>
            </w:r>
            <w:r w:rsidR="005B308A" w:rsidRPr="003673FA">
              <w:rPr>
                <w:noProof/>
                <w:webHidden/>
              </w:rPr>
              <w:fldChar w:fldCharType="separate"/>
            </w:r>
            <w:r w:rsidR="005B308A" w:rsidRPr="003673FA">
              <w:rPr>
                <w:noProof/>
                <w:webHidden/>
              </w:rPr>
              <w:t>7</w:t>
            </w:r>
            <w:r w:rsidR="005B308A" w:rsidRPr="003673FA">
              <w:rPr>
                <w:noProof/>
                <w:webHidden/>
              </w:rPr>
              <w:fldChar w:fldCharType="end"/>
            </w:r>
          </w:hyperlink>
        </w:p>
        <w:p w14:paraId="0E35E9B4" w14:textId="089C002B" w:rsidR="005B308A" w:rsidRPr="003673FA" w:rsidRDefault="00883017">
          <w:pPr>
            <w:pStyle w:val="TOC2"/>
            <w:tabs>
              <w:tab w:val="right" w:leader="underscore" w:pos="9038"/>
            </w:tabs>
            <w:rPr>
              <w:rFonts w:asciiTheme="minorHAnsi" w:eastAsiaTheme="minorEastAsia" w:hAnsiTheme="minorHAnsi" w:cstheme="minorBidi"/>
              <w:b w:val="0"/>
              <w:bCs w:val="0"/>
              <w:noProof/>
              <w:lang w:eastAsia="en-AU"/>
            </w:rPr>
          </w:pPr>
          <w:hyperlink w:anchor="_Toc6218373" w:history="1">
            <w:r w:rsidR="005B308A" w:rsidRPr="003673FA">
              <w:rPr>
                <w:rStyle w:val="Hyperlink"/>
                <w:noProof/>
              </w:rPr>
              <w:t>Purpose and scope</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_Toc6218373 \h </w:instrText>
            </w:r>
            <w:r w:rsidR="005B308A" w:rsidRPr="003673FA">
              <w:rPr>
                <w:noProof/>
                <w:webHidden/>
              </w:rPr>
            </w:r>
            <w:r w:rsidR="005B308A" w:rsidRPr="003673FA">
              <w:rPr>
                <w:noProof/>
                <w:webHidden/>
              </w:rPr>
              <w:fldChar w:fldCharType="separate"/>
            </w:r>
            <w:r w:rsidR="005B308A" w:rsidRPr="003673FA">
              <w:rPr>
                <w:noProof/>
                <w:webHidden/>
              </w:rPr>
              <w:t>8</w:t>
            </w:r>
            <w:r w:rsidR="005B308A" w:rsidRPr="003673FA">
              <w:rPr>
                <w:noProof/>
                <w:webHidden/>
              </w:rPr>
              <w:fldChar w:fldCharType="end"/>
            </w:r>
          </w:hyperlink>
        </w:p>
        <w:p w14:paraId="45534B76" w14:textId="2EF3C348" w:rsidR="005B308A" w:rsidRPr="003673FA" w:rsidRDefault="00883017">
          <w:pPr>
            <w:pStyle w:val="TOC2"/>
            <w:tabs>
              <w:tab w:val="right" w:leader="underscore" w:pos="9038"/>
            </w:tabs>
            <w:rPr>
              <w:rFonts w:asciiTheme="minorHAnsi" w:eastAsiaTheme="minorEastAsia" w:hAnsiTheme="minorHAnsi" w:cstheme="minorBidi"/>
              <w:b w:val="0"/>
              <w:bCs w:val="0"/>
              <w:noProof/>
              <w:lang w:eastAsia="en-AU"/>
            </w:rPr>
          </w:pPr>
          <w:hyperlink w:anchor="_Toc6218374" w:history="1">
            <w:r w:rsidR="005B308A" w:rsidRPr="003673FA">
              <w:rPr>
                <w:rStyle w:val="Hyperlink"/>
                <w:noProof/>
              </w:rPr>
              <w:t>Terms of reference</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_Toc6218374 \h </w:instrText>
            </w:r>
            <w:r w:rsidR="005B308A" w:rsidRPr="003673FA">
              <w:rPr>
                <w:noProof/>
                <w:webHidden/>
              </w:rPr>
            </w:r>
            <w:r w:rsidR="005B308A" w:rsidRPr="003673FA">
              <w:rPr>
                <w:noProof/>
                <w:webHidden/>
              </w:rPr>
              <w:fldChar w:fldCharType="separate"/>
            </w:r>
            <w:r w:rsidR="005B308A" w:rsidRPr="003673FA">
              <w:rPr>
                <w:noProof/>
                <w:webHidden/>
              </w:rPr>
              <w:t>8</w:t>
            </w:r>
            <w:r w:rsidR="005B308A" w:rsidRPr="003673FA">
              <w:rPr>
                <w:noProof/>
                <w:webHidden/>
              </w:rPr>
              <w:fldChar w:fldCharType="end"/>
            </w:r>
          </w:hyperlink>
        </w:p>
        <w:p w14:paraId="2782BE61" w14:textId="14D43820" w:rsidR="005B308A" w:rsidRPr="003673FA" w:rsidRDefault="00883017">
          <w:pPr>
            <w:pStyle w:val="TOC2"/>
            <w:tabs>
              <w:tab w:val="right" w:leader="underscore" w:pos="9038"/>
            </w:tabs>
            <w:rPr>
              <w:rFonts w:asciiTheme="minorHAnsi" w:eastAsiaTheme="minorEastAsia" w:hAnsiTheme="minorHAnsi" w:cstheme="minorBidi"/>
              <w:b w:val="0"/>
              <w:bCs w:val="0"/>
              <w:noProof/>
              <w:lang w:eastAsia="en-AU"/>
            </w:rPr>
          </w:pPr>
          <w:hyperlink w:anchor="_Toc6218375" w:history="1">
            <w:r w:rsidR="005B308A" w:rsidRPr="003673FA">
              <w:rPr>
                <w:rStyle w:val="Hyperlink"/>
                <w:noProof/>
              </w:rPr>
              <w:t>Evaluation questions</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_Toc6218375 \h </w:instrText>
            </w:r>
            <w:r w:rsidR="005B308A" w:rsidRPr="003673FA">
              <w:rPr>
                <w:noProof/>
                <w:webHidden/>
              </w:rPr>
            </w:r>
            <w:r w:rsidR="005B308A" w:rsidRPr="003673FA">
              <w:rPr>
                <w:noProof/>
                <w:webHidden/>
              </w:rPr>
              <w:fldChar w:fldCharType="separate"/>
            </w:r>
            <w:r w:rsidR="005B308A" w:rsidRPr="003673FA">
              <w:rPr>
                <w:noProof/>
                <w:webHidden/>
              </w:rPr>
              <w:t>8</w:t>
            </w:r>
            <w:r w:rsidR="005B308A" w:rsidRPr="003673FA">
              <w:rPr>
                <w:noProof/>
                <w:webHidden/>
              </w:rPr>
              <w:fldChar w:fldCharType="end"/>
            </w:r>
          </w:hyperlink>
        </w:p>
        <w:p w14:paraId="5DCE5C90" w14:textId="2044CF98" w:rsidR="005B308A" w:rsidRPr="003673FA" w:rsidRDefault="00883017">
          <w:pPr>
            <w:pStyle w:val="TOC2"/>
            <w:tabs>
              <w:tab w:val="right" w:leader="underscore" w:pos="9038"/>
            </w:tabs>
            <w:rPr>
              <w:rFonts w:asciiTheme="minorHAnsi" w:eastAsiaTheme="minorEastAsia" w:hAnsiTheme="minorHAnsi" w:cstheme="minorBidi"/>
              <w:b w:val="0"/>
              <w:bCs w:val="0"/>
              <w:noProof/>
              <w:lang w:eastAsia="en-AU"/>
            </w:rPr>
          </w:pPr>
          <w:hyperlink w:anchor="_Toc6218376" w:history="1">
            <w:r w:rsidR="005B308A" w:rsidRPr="003673FA">
              <w:rPr>
                <w:rStyle w:val="Hyperlink"/>
                <w:noProof/>
              </w:rPr>
              <w:t>Methodology</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_Toc6218376 \h </w:instrText>
            </w:r>
            <w:r w:rsidR="005B308A" w:rsidRPr="003673FA">
              <w:rPr>
                <w:noProof/>
                <w:webHidden/>
              </w:rPr>
            </w:r>
            <w:r w:rsidR="005B308A" w:rsidRPr="003673FA">
              <w:rPr>
                <w:noProof/>
                <w:webHidden/>
              </w:rPr>
              <w:fldChar w:fldCharType="separate"/>
            </w:r>
            <w:r w:rsidR="005B308A" w:rsidRPr="003673FA">
              <w:rPr>
                <w:noProof/>
                <w:webHidden/>
              </w:rPr>
              <w:t>9</w:t>
            </w:r>
            <w:r w:rsidR="005B308A" w:rsidRPr="003673FA">
              <w:rPr>
                <w:noProof/>
                <w:webHidden/>
              </w:rPr>
              <w:fldChar w:fldCharType="end"/>
            </w:r>
          </w:hyperlink>
        </w:p>
        <w:p w14:paraId="50C1EB89" w14:textId="2294E3E6" w:rsidR="005B308A" w:rsidRPr="003673FA" w:rsidRDefault="00883017">
          <w:pPr>
            <w:pStyle w:val="TOC1"/>
            <w:rPr>
              <w:rFonts w:asciiTheme="minorHAnsi" w:eastAsiaTheme="minorEastAsia" w:hAnsiTheme="minorHAnsi" w:cstheme="minorBidi"/>
              <w:b w:val="0"/>
              <w:bCs w:val="0"/>
              <w:iCs w:val="0"/>
              <w:noProof/>
              <w:color w:val="auto"/>
              <w:sz w:val="22"/>
              <w:szCs w:val="22"/>
              <w:lang w:eastAsia="en-AU"/>
            </w:rPr>
          </w:pPr>
          <w:hyperlink w:anchor="_Toc6218377" w:history="1">
            <w:r w:rsidR="005B308A" w:rsidRPr="003673FA">
              <w:rPr>
                <w:rStyle w:val="Hyperlink"/>
                <w:noProof/>
              </w:rPr>
              <w:t>Analysis and findings</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_Toc6218377 \h </w:instrText>
            </w:r>
            <w:r w:rsidR="005B308A" w:rsidRPr="003673FA">
              <w:rPr>
                <w:noProof/>
                <w:webHidden/>
              </w:rPr>
            </w:r>
            <w:r w:rsidR="005B308A" w:rsidRPr="003673FA">
              <w:rPr>
                <w:noProof/>
                <w:webHidden/>
              </w:rPr>
              <w:fldChar w:fldCharType="separate"/>
            </w:r>
            <w:r w:rsidR="005B308A" w:rsidRPr="003673FA">
              <w:rPr>
                <w:noProof/>
                <w:webHidden/>
              </w:rPr>
              <w:t>12</w:t>
            </w:r>
            <w:r w:rsidR="005B308A" w:rsidRPr="003673FA">
              <w:rPr>
                <w:noProof/>
                <w:webHidden/>
              </w:rPr>
              <w:fldChar w:fldCharType="end"/>
            </w:r>
          </w:hyperlink>
        </w:p>
        <w:p w14:paraId="3A75BDD6" w14:textId="106819CF" w:rsidR="005B308A" w:rsidRPr="003673FA" w:rsidRDefault="00883017">
          <w:pPr>
            <w:pStyle w:val="TOC2"/>
            <w:tabs>
              <w:tab w:val="right" w:leader="underscore" w:pos="9038"/>
            </w:tabs>
            <w:rPr>
              <w:rFonts w:asciiTheme="minorHAnsi" w:eastAsiaTheme="minorEastAsia" w:hAnsiTheme="minorHAnsi" w:cstheme="minorBidi"/>
              <w:b w:val="0"/>
              <w:bCs w:val="0"/>
              <w:noProof/>
              <w:lang w:eastAsia="en-AU"/>
            </w:rPr>
          </w:pPr>
          <w:hyperlink w:anchor="_Toc6218378" w:history="1">
            <w:r w:rsidR="005B308A" w:rsidRPr="003673FA">
              <w:rPr>
                <w:rStyle w:val="Hyperlink"/>
                <w:noProof/>
              </w:rPr>
              <w:t>Evaluation question 1: Partner organisation involvement</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_Toc6218378 \h </w:instrText>
            </w:r>
            <w:r w:rsidR="005B308A" w:rsidRPr="003673FA">
              <w:rPr>
                <w:noProof/>
                <w:webHidden/>
              </w:rPr>
            </w:r>
            <w:r w:rsidR="005B308A" w:rsidRPr="003673FA">
              <w:rPr>
                <w:noProof/>
                <w:webHidden/>
              </w:rPr>
              <w:fldChar w:fldCharType="separate"/>
            </w:r>
            <w:r w:rsidR="005B308A" w:rsidRPr="003673FA">
              <w:rPr>
                <w:noProof/>
                <w:webHidden/>
              </w:rPr>
              <w:t>12</w:t>
            </w:r>
            <w:r w:rsidR="005B308A" w:rsidRPr="003673FA">
              <w:rPr>
                <w:noProof/>
                <w:webHidden/>
              </w:rPr>
              <w:fldChar w:fldCharType="end"/>
            </w:r>
          </w:hyperlink>
        </w:p>
        <w:p w14:paraId="52009721" w14:textId="5947E123" w:rsidR="005B308A" w:rsidRPr="003673FA" w:rsidRDefault="00883017">
          <w:pPr>
            <w:pStyle w:val="TOC2"/>
            <w:tabs>
              <w:tab w:val="right" w:leader="underscore" w:pos="9038"/>
            </w:tabs>
            <w:rPr>
              <w:rFonts w:asciiTheme="minorHAnsi" w:eastAsiaTheme="minorEastAsia" w:hAnsiTheme="minorHAnsi" w:cstheme="minorBidi"/>
              <w:b w:val="0"/>
              <w:bCs w:val="0"/>
              <w:noProof/>
              <w:lang w:eastAsia="en-AU"/>
            </w:rPr>
          </w:pPr>
          <w:hyperlink w:anchor="_Toc6218379" w:history="1">
            <w:r w:rsidR="005B308A" w:rsidRPr="003673FA">
              <w:rPr>
                <w:rStyle w:val="Hyperlink"/>
                <w:noProof/>
              </w:rPr>
              <w:t>Evaluation question 2: Applications and selection outcomes</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_Toc6218379 \h </w:instrText>
            </w:r>
            <w:r w:rsidR="005B308A" w:rsidRPr="003673FA">
              <w:rPr>
                <w:noProof/>
                <w:webHidden/>
              </w:rPr>
            </w:r>
            <w:r w:rsidR="005B308A" w:rsidRPr="003673FA">
              <w:rPr>
                <w:noProof/>
                <w:webHidden/>
              </w:rPr>
              <w:fldChar w:fldCharType="separate"/>
            </w:r>
            <w:r w:rsidR="005B308A" w:rsidRPr="003673FA">
              <w:rPr>
                <w:noProof/>
                <w:webHidden/>
              </w:rPr>
              <w:t>18</w:t>
            </w:r>
            <w:r w:rsidR="005B308A" w:rsidRPr="003673FA">
              <w:rPr>
                <w:noProof/>
                <w:webHidden/>
              </w:rPr>
              <w:fldChar w:fldCharType="end"/>
            </w:r>
          </w:hyperlink>
        </w:p>
        <w:p w14:paraId="7BB2A566" w14:textId="3C0AF1DC" w:rsidR="005B308A" w:rsidRPr="003673FA" w:rsidRDefault="00883017">
          <w:pPr>
            <w:pStyle w:val="TOC2"/>
            <w:tabs>
              <w:tab w:val="right" w:leader="underscore" w:pos="9038"/>
            </w:tabs>
            <w:rPr>
              <w:rFonts w:asciiTheme="minorHAnsi" w:eastAsiaTheme="minorEastAsia" w:hAnsiTheme="minorHAnsi" w:cstheme="minorBidi"/>
              <w:b w:val="0"/>
              <w:bCs w:val="0"/>
              <w:noProof/>
              <w:lang w:eastAsia="en-AU"/>
            </w:rPr>
          </w:pPr>
          <w:hyperlink w:anchor="_Toc6218380" w:history="1">
            <w:r w:rsidR="005B308A" w:rsidRPr="003673FA">
              <w:rPr>
                <w:rStyle w:val="Hyperlink"/>
                <w:noProof/>
              </w:rPr>
              <w:t>Evaluation question 3: ARC administration</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_Toc6218380 \h </w:instrText>
            </w:r>
            <w:r w:rsidR="005B308A" w:rsidRPr="003673FA">
              <w:rPr>
                <w:noProof/>
                <w:webHidden/>
              </w:rPr>
            </w:r>
            <w:r w:rsidR="005B308A" w:rsidRPr="003673FA">
              <w:rPr>
                <w:noProof/>
                <w:webHidden/>
              </w:rPr>
              <w:fldChar w:fldCharType="separate"/>
            </w:r>
            <w:r w:rsidR="005B308A" w:rsidRPr="003673FA">
              <w:rPr>
                <w:noProof/>
                <w:webHidden/>
              </w:rPr>
              <w:t>22</w:t>
            </w:r>
            <w:r w:rsidR="005B308A" w:rsidRPr="003673FA">
              <w:rPr>
                <w:noProof/>
                <w:webHidden/>
              </w:rPr>
              <w:fldChar w:fldCharType="end"/>
            </w:r>
          </w:hyperlink>
        </w:p>
        <w:p w14:paraId="0F804726" w14:textId="0D7FE850" w:rsidR="005B308A" w:rsidRPr="003673FA" w:rsidRDefault="00883017">
          <w:pPr>
            <w:pStyle w:val="TOC2"/>
            <w:tabs>
              <w:tab w:val="right" w:leader="underscore" w:pos="9038"/>
            </w:tabs>
            <w:rPr>
              <w:rFonts w:asciiTheme="minorHAnsi" w:eastAsiaTheme="minorEastAsia" w:hAnsiTheme="minorHAnsi" w:cstheme="minorBidi"/>
              <w:b w:val="0"/>
              <w:bCs w:val="0"/>
              <w:noProof/>
              <w:lang w:eastAsia="en-AU"/>
            </w:rPr>
          </w:pPr>
          <w:hyperlink w:anchor="_Toc6218381" w:history="1">
            <w:r w:rsidR="005B308A" w:rsidRPr="003673FA">
              <w:rPr>
                <w:rStyle w:val="Hyperlink"/>
                <w:noProof/>
              </w:rPr>
              <w:t>Evaluation question 4: Stakeholder views – collaboration and innovation</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_Toc6218381 \h </w:instrText>
            </w:r>
            <w:r w:rsidR="005B308A" w:rsidRPr="003673FA">
              <w:rPr>
                <w:noProof/>
                <w:webHidden/>
              </w:rPr>
            </w:r>
            <w:r w:rsidR="005B308A" w:rsidRPr="003673FA">
              <w:rPr>
                <w:noProof/>
                <w:webHidden/>
              </w:rPr>
              <w:fldChar w:fldCharType="separate"/>
            </w:r>
            <w:r w:rsidR="005B308A" w:rsidRPr="003673FA">
              <w:rPr>
                <w:noProof/>
                <w:webHidden/>
              </w:rPr>
              <w:t>25</w:t>
            </w:r>
            <w:r w:rsidR="005B308A" w:rsidRPr="003673FA">
              <w:rPr>
                <w:noProof/>
                <w:webHidden/>
              </w:rPr>
              <w:fldChar w:fldCharType="end"/>
            </w:r>
          </w:hyperlink>
        </w:p>
        <w:p w14:paraId="4736317B" w14:textId="2993B648" w:rsidR="005B308A" w:rsidRPr="003673FA" w:rsidRDefault="00883017">
          <w:pPr>
            <w:pStyle w:val="TOC2"/>
            <w:tabs>
              <w:tab w:val="right" w:leader="underscore" w:pos="9038"/>
            </w:tabs>
            <w:rPr>
              <w:rFonts w:asciiTheme="minorHAnsi" w:eastAsiaTheme="minorEastAsia" w:hAnsiTheme="minorHAnsi" w:cstheme="minorBidi"/>
              <w:b w:val="0"/>
              <w:bCs w:val="0"/>
              <w:noProof/>
              <w:lang w:eastAsia="en-AU"/>
            </w:rPr>
          </w:pPr>
          <w:hyperlink w:anchor="_Toc6218382" w:history="1">
            <w:r w:rsidR="005B308A" w:rsidRPr="003673FA">
              <w:rPr>
                <w:rStyle w:val="Hyperlink"/>
                <w:noProof/>
              </w:rPr>
              <w:t>Evaluation question 5: Stakeholder views – processes</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_Toc6218382 \h </w:instrText>
            </w:r>
            <w:r w:rsidR="005B308A" w:rsidRPr="003673FA">
              <w:rPr>
                <w:noProof/>
                <w:webHidden/>
              </w:rPr>
            </w:r>
            <w:r w:rsidR="005B308A" w:rsidRPr="003673FA">
              <w:rPr>
                <w:noProof/>
                <w:webHidden/>
              </w:rPr>
              <w:fldChar w:fldCharType="separate"/>
            </w:r>
            <w:r w:rsidR="005B308A" w:rsidRPr="003673FA">
              <w:rPr>
                <w:noProof/>
                <w:webHidden/>
              </w:rPr>
              <w:t>33</w:t>
            </w:r>
            <w:r w:rsidR="005B308A" w:rsidRPr="003673FA">
              <w:rPr>
                <w:noProof/>
                <w:webHidden/>
              </w:rPr>
              <w:fldChar w:fldCharType="end"/>
            </w:r>
          </w:hyperlink>
        </w:p>
        <w:p w14:paraId="051509C3" w14:textId="4480B59B" w:rsidR="005B308A" w:rsidRPr="003673FA" w:rsidRDefault="00883017">
          <w:pPr>
            <w:pStyle w:val="TOC2"/>
            <w:tabs>
              <w:tab w:val="right" w:leader="underscore" w:pos="9038"/>
            </w:tabs>
            <w:rPr>
              <w:rFonts w:asciiTheme="minorHAnsi" w:eastAsiaTheme="minorEastAsia" w:hAnsiTheme="minorHAnsi" w:cstheme="minorBidi"/>
              <w:b w:val="0"/>
              <w:bCs w:val="0"/>
              <w:noProof/>
              <w:lang w:eastAsia="en-AU"/>
            </w:rPr>
          </w:pPr>
          <w:hyperlink w:anchor="_Toc6218383" w:history="1">
            <w:r w:rsidR="005B308A" w:rsidRPr="003673FA">
              <w:rPr>
                <w:rStyle w:val="Hyperlink"/>
                <w:noProof/>
              </w:rPr>
              <w:t>Evaluation question 6: Stakeholder views – assessors and SAC members</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_Toc6218383 \h </w:instrText>
            </w:r>
            <w:r w:rsidR="005B308A" w:rsidRPr="003673FA">
              <w:rPr>
                <w:noProof/>
                <w:webHidden/>
              </w:rPr>
            </w:r>
            <w:r w:rsidR="005B308A" w:rsidRPr="003673FA">
              <w:rPr>
                <w:noProof/>
                <w:webHidden/>
              </w:rPr>
              <w:fldChar w:fldCharType="separate"/>
            </w:r>
            <w:r w:rsidR="005B308A" w:rsidRPr="003673FA">
              <w:rPr>
                <w:noProof/>
                <w:webHidden/>
              </w:rPr>
              <w:t>37</w:t>
            </w:r>
            <w:r w:rsidR="005B308A" w:rsidRPr="003673FA">
              <w:rPr>
                <w:noProof/>
                <w:webHidden/>
              </w:rPr>
              <w:fldChar w:fldCharType="end"/>
            </w:r>
          </w:hyperlink>
        </w:p>
        <w:p w14:paraId="13243BA9" w14:textId="0C28A7F4" w:rsidR="005B308A" w:rsidRPr="003673FA" w:rsidRDefault="00883017">
          <w:pPr>
            <w:pStyle w:val="TOC1"/>
            <w:rPr>
              <w:rFonts w:asciiTheme="minorHAnsi" w:eastAsiaTheme="minorEastAsia" w:hAnsiTheme="minorHAnsi" w:cstheme="minorBidi"/>
              <w:b w:val="0"/>
              <w:bCs w:val="0"/>
              <w:iCs w:val="0"/>
              <w:noProof/>
              <w:color w:val="auto"/>
              <w:sz w:val="22"/>
              <w:szCs w:val="22"/>
              <w:lang w:eastAsia="en-AU"/>
            </w:rPr>
          </w:pPr>
          <w:hyperlink w:anchor="_Toc6218384" w:history="1">
            <w:r w:rsidR="005B308A" w:rsidRPr="003673FA">
              <w:rPr>
                <w:rStyle w:val="Hyperlink"/>
                <w:noProof/>
              </w:rPr>
              <w:t>Recommendations</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_Toc6218384 \h </w:instrText>
            </w:r>
            <w:r w:rsidR="005B308A" w:rsidRPr="003673FA">
              <w:rPr>
                <w:noProof/>
                <w:webHidden/>
              </w:rPr>
            </w:r>
            <w:r w:rsidR="005B308A" w:rsidRPr="003673FA">
              <w:rPr>
                <w:noProof/>
                <w:webHidden/>
              </w:rPr>
              <w:fldChar w:fldCharType="separate"/>
            </w:r>
            <w:r w:rsidR="005B308A" w:rsidRPr="003673FA">
              <w:rPr>
                <w:noProof/>
                <w:webHidden/>
              </w:rPr>
              <w:t>43</w:t>
            </w:r>
            <w:r w:rsidR="005B308A" w:rsidRPr="003673FA">
              <w:rPr>
                <w:noProof/>
                <w:webHidden/>
              </w:rPr>
              <w:fldChar w:fldCharType="end"/>
            </w:r>
          </w:hyperlink>
        </w:p>
        <w:p w14:paraId="7011703F" w14:textId="123D3B06" w:rsidR="005B308A" w:rsidRPr="003673FA" w:rsidRDefault="00883017">
          <w:pPr>
            <w:pStyle w:val="TOC2"/>
            <w:tabs>
              <w:tab w:val="right" w:leader="underscore" w:pos="9038"/>
            </w:tabs>
            <w:rPr>
              <w:rFonts w:asciiTheme="minorHAnsi" w:eastAsiaTheme="minorEastAsia" w:hAnsiTheme="minorHAnsi" w:cstheme="minorBidi"/>
              <w:b w:val="0"/>
              <w:bCs w:val="0"/>
              <w:noProof/>
              <w:lang w:eastAsia="en-AU"/>
            </w:rPr>
          </w:pPr>
          <w:hyperlink w:anchor="_Toc6218385" w:history="1">
            <w:r w:rsidR="005B308A" w:rsidRPr="003673FA">
              <w:rPr>
                <w:rStyle w:val="Hyperlink"/>
                <w:noProof/>
              </w:rPr>
              <w:t>Recommendation 1: Application deadlines</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_Toc6218385 \h </w:instrText>
            </w:r>
            <w:r w:rsidR="005B308A" w:rsidRPr="003673FA">
              <w:rPr>
                <w:noProof/>
                <w:webHidden/>
              </w:rPr>
            </w:r>
            <w:r w:rsidR="005B308A" w:rsidRPr="003673FA">
              <w:rPr>
                <w:noProof/>
                <w:webHidden/>
              </w:rPr>
              <w:fldChar w:fldCharType="separate"/>
            </w:r>
            <w:r w:rsidR="005B308A" w:rsidRPr="003673FA">
              <w:rPr>
                <w:noProof/>
                <w:webHidden/>
              </w:rPr>
              <w:t>43</w:t>
            </w:r>
            <w:r w:rsidR="005B308A" w:rsidRPr="003673FA">
              <w:rPr>
                <w:noProof/>
                <w:webHidden/>
              </w:rPr>
              <w:fldChar w:fldCharType="end"/>
            </w:r>
          </w:hyperlink>
        </w:p>
        <w:p w14:paraId="680C2762" w14:textId="6D976585" w:rsidR="005B308A" w:rsidRPr="003673FA" w:rsidRDefault="00883017">
          <w:pPr>
            <w:pStyle w:val="TOC2"/>
            <w:tabs>
              <w:tab w:val="right" w:leader="underscore" w:pos="9038"/>
            </w:tabs>
            <w:rPr>
              <w:rFonts w:asciiTheme="minorHAnsi" w:eastAsiaTheme="minorEastAsia" w:hAnsiTheme="minorHAnsi" w:cstheme="minorBidi"/>
              <w:b w:val="0"/>
              <w:bCs w:val="0"/>
              <w:noProof/>
              <w:lang w:eastAsia="en-AU"/>
            </w:rPr>
          </w:pPr>
          <w:hyperlink w:anchor="_Toc6218386" w:history="1">
            <w:r w:rsidR="005B308A" w:rsidRPr="003673FA">
              <w:rPr>
                <w:rStyle w:val="Hyperlink"/>
                <w:noProof/>
              </w:rPr>
              <w:t>Recommendation 2: Information on assessment process</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_Toc6218386 \h </w:instrText>
            </w:r>
            <w:r w:rsidR="005B308A" w:rsidRPr="003673FA">
              <w:rPr>
                <w:noProof/>
                <w:webHidden/>
              </w:rPr>
            </w:r>
            <w:r w:rsidR="005B308A" w:rsidRPr="003673FA">
              <w:rPr>
                <w:noProof/>
                <w:webHidden/>
              </w:rPr>
              <w:fldChar w:fldCharType="separate"/>
            </w:r>
            <w:r w:rsidR="005B308A" w:rsidRPr="003673FA">
              <w:rPr>
                <w:noProof/>
                <w:webHidden/>
              </w:rPr>
              <w:t>44</w:t>
            </w:r>
            <w:r w:rsidR="005B308A" w:rsidRPr="003673FA">
              <w:rPr>
                <w:noProof/>
                <w:webHidden/>
              </w:rPr>
              <w:fldChar w:fldCharType="end"/>
            </w:r>
          </w:hyperlink>
        </w:p>
        <w:p w14:paraId="354FB63D" w14:textId="01239652" w:rsidR="005B308A" w:rsidRPr="003673FA" w:rsidRDefault="00883017">
          <w:pPr>
            <w:pStyle w:val="TOC2"/>
            <w:tabs>
              <w:tab w:val="right" w:leader="underscore" w:pos="9038"/>
            </w:tabs>
            <w:rPr>
              <w:rFonts w:asciiTheme="minorHAnsi" w:eastAsiaTheme="minorEastAsia" w:hAnsiTheme="minorHAnsi" w:cstheme="minorBidi"/>
              <w:b w:val="0"/>
              <w:bCs w:val="0"/>
              <w:noProof/>
              <w:lang w:eastAsia="en-AU"/>
            </w:rPr>
          </w:pPr>
          <w:hyperlink w:anchor="_Toc6218387" w:history="1">
            <w:r w:rsidR="005B308A" w:rsidRPr="003673FA">
              <w:rPr>
                <w:rStyle w:val="Hyperlink"/>
                <w:noProof/>
              </w:rPr>
              <w:t>Recommendation 3: Funding commencement</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_Toc6218387 \h </w:instrText>
            </w:r>
            <w:r w:rsidR="005B308A" w:rsidRPr="003673FA">
              <w:rPr>
                <w:noProof/>
                <w:webHidden/>
              </w:rPr>
            </w:r>
            <w:r w:rsidR="005B308A" w:rsidRPr="003673FA">
              <w:rPr>
                <w:noProof/>
                <w:webHidden/>
              </w:rPr>
              <w:fldChar w:fldCharType="separate"/>
            </w:r>
            <w:r w:rsidR="005B308A" w:rsidRPr="003673FA">
              <w:rPr>
                <w:noProof/>
                <w:webHidden/>
              </w:rPr>
              <w:t>44</w:t>
            </w:r>
            <w:r w:rsidR="005B308A" w:rsidRPr="003673FA">
              <w:rPr>
                <w:noProof/>
                <w:webHidden/>
              </w:rPr>
              <w:fldChar w:fldCharType="end"/>
            </w:r>
          </w:hyperlink>
        </w:p>
        <w:p w14:paraId="4E0F219E" w14:textId="65AD311B" w:rsidR="005B308A" w:rsidRPr="003673FA" w:rsidRDefault="00883017">
          <w:pPr>
            <w:pStyle w:val="TOC2"/>
            <w:tabs>
              <w:tab w:val="right" w:leader="underscore" w:pos="9038"/>
            </w:tabs>
            <w:rPr>
              <w:rFonts w:asciiTheme="minorHAnsi" w:eastAsiaTheme="minorEastAsia" w:hAnsiTheme="minorHAnsi" w:cstheme="minorBidi"/>
              <w:b w:val="0"/>
              <w:bCs w:val="0"/>
              <w:noProof/>
              <w:lang w:eastAsia="en-AU"/>
            </w:rPr>
          </w:pPr>
          <w:hyperlink w:anchor="_Toc6218388" w:history="1">
            <w:r w:rsidR="005B308A" w:rsidRPr="003673FA">
              <w:rPr>
                <w:rStyle w:val="Hyperlink"/>
                <w:noProof/>
              </w:rPr>
              <w:t>Recommendation 4: Guidance to SAC members</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_Toc6218388 \h </w:instrText>
            </w:r>
            <w:r w:rsidR="005B308A" w:rsidRPr="003673FA">
              <w:rPr>
                <w:noProof/>
                <w:webHidden/>
              </w:rPr>
            </w:r>
            <w:r w:rsidR="005B308A" w:rsidRPr="003673FA">
              <w:rPr>
                <w:noProof/>
                <w:webHidden/>
              </w:rPr>
              <w:fldChar w:fldCharType="separate"/>
            </w:r>
            <w:r w:rsidR="005B308A" w:rsidRPr="003673FA">
              <w:rPr>
                <w:noProof/>
                <w:webHidden/>
              </w:rPr>
              <w:t>44</w:t>
            </w:r>
            <w:r w:rsidR="005B308A" w:rsidRPr="003673FA">
              <w:rPr>
                <w:noProof/>
                <w:webHidden/>
              </w:rPr>
              <w:fldChar w:fldCharType="end"/>
            </w:r>
          </w:hyperlink>
        </w:p>
        <w:p w14:paraId="358993F9" w14:textId="6F8EA942" w:rsidR="005B308A" w:rsidRPr="003673FA" w:rsidRDefault="00883017">
          <w:pPr>
            <w:pStyle w:val="TOC2"/>
            <w:tabs>
              <w:tab w:val="right" w:leader="underscore" w:pos="9038"/>
            </w:tabs>
            <w:rPr>
              <w:rFonts w:asciiTheme="minorHAnsi" w:eastAsiaTheme="minorEastAsia" w:hAnsiTheme="minorHAnsi" w:cstheme="minorBidi"/>
              <w:b w:val="0"/>
              <w:bCs w:val="0"/>
              <w:noProof/>
              <w:lang w:eastAsia="en-AU"/>
            </w:rPr>
          </w:pPr>
          <w:hyperlink w:anchor="_Toc6218389" w:history="1">
            <w:r w:rsidR="005B308A" w:rsidRPr="003673FA">
              <w:rPr>
                <w:rStyle w:val="Hyperlink"/>
                <w:noProof/>
              </w:rPr>
              <w:t>Recommendation 5: Data and monitoring</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_Toc6218389 \h </w:instrText>
            </w:r>
            <w:r w:rsidR="005B308A" w:rsidRPr="003673FA">
              <w:rPr>
                <w:noProof/>
                <w:webHidden/>
              </w:rPr>
            </w:r>
            <w:r w:rsidR="005B308A" w:rsidRPr="003673FA">
              <w:rPr>
                <w:noProof/>
                <w:webHidden/>
              </w:rPr>
              <w:fldChar w:fldCharType="separate"/>
            </w:r>
            <w:r w:rsidR="005B308A" w:rsidRPr="003673FA">
              <w:rPr>
                <w:noProof/>
                <w:webHidden/>
              </w:rPr>
              <w:t>45</w:t>
            </w:r>
            <w:r w:rsidR="005B308A" w:rsidRPr="003673FA">
              <w:rPr>
                <w:noProof/>
                <w:webHidden/>
              </w:rPr>
              <w:fldChar w:fldCharType="end"/>
            </w:r>
          </w:hyperlink>
        </w:p>
        <w:p w14:paraId="79FE8EAC" w14:textId="471493E1" w:rsidR="005B308A" w:rsidRPr="003673FA" w:rsidRDefault="00883017">
          <w:pPr>
            <w:pStyle w:val="TOC1"/>
            <w:rPr>
              <w:rFonts w:asciiTheme="minorHAnsi" w:eastAsiaTheme="minorEastAsia" w:hAnsiTheme="minorHAnsi" w:cstheme="minorBidi"/>
              <w:b w:val="0"/>
              <w:bCs w:val="0"/>
              <w:iCs w:val="0"/>
              <w:noProof/>
              <w:color w:val="auto"/>
              <w:sz w:val="22"/>
              <w:szCs w:val="22"/>
              <w:lang w:eastAsia="en-AU"/>
            </w:rPr>
          </w:pPr>
          <w:hyperlink w:anchor="_Toc6218390" w:history="1">
            <w:r w:rsidR="005B308A" w:rsidRPr="003673FA">
              <w:rPr>
                <w:rStyle w:val="Hyperlink"/>
                <w:noProof/>
              </w:rPr>
              <w:t>Appendix 1</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_Toc6218390 \h </w:instrText>
            </w:r>
            <w:r w:rsidR="005B308A" w:rsidRPr="003673FA">
              <w:rPr>
                <w:noProof/>
                <w:webHidden/>
              </w:rPr>
            </w:r>
            <w:r w:rsidR="005B308A" w:rsidRPr="003673FA">
              <w:rPr>
                <w:noProof/>
                <w:webHidden/>
              </w:rPr>
              <w:fldChar w:fldCharType="separate"/>
            </w:r>
            <w:r w:rsidR="005B308A" w:rsidRPr="003673FA">
              <w:rPr>
                <w:noProof/>
                <w:webHidden/>
              </w:rPr>
              <w:t>46</w:t>
            </w:r>
            <w:r w:rsidR="005B308A" w:rsidRPr="003673FA">
              <w:rPr>
                <w:noProof/>
                <w:webHidden/>
              </w:rPr>
              <w:fldChar w:fldCharType="end"/>
            </w:r>
          </w:hyperlink>
        </w:p>
        <w:p w14:paraId="35B446CF" w14:textId="6EAFBCCE" w:rsidR="005B308A" w:rsidRPr="003673FA" w:rsidRDefault="00883017">
          <w:pPr>
            <w:pStyle w:val="TOC2"/>
            <w:tabs>
              <w:tab w:val="right" w:leader="underscore" w:pos="9038"/>
            </w:tabs>
            <w:rPr>
              <w:rFonts w:asciiTheme="minorHAnsi" w:eastAsiaTheme="minorEastAsia" w:hAnsiTheme="minorHAnsi" w:cstheme="minorBidi"/>
              <w:b w:val="0"/>
              <w:bCs w:val="0"/>
              <w:noProof/>
              <w:lang w:eastAsia="en-AU"/>
            </w:rPr>
          </w:pPr>
          <w:hyperlink w:anchor="_Toc6218391" w:history="1">
            <w:r w:rsidR="005B308A" w:rsidRPr="003673FA">
              <w:rPr>
                <w:rStyle w:val="Hyperlink"/>
                <w:noProof/>
                <w:lang w:bidi="hi-IN"/>
              </w:rPr>
              <w:t>Conclusion and opportunities</w:t>
            </w:r>
            <w:r w:rsidR="00F81136" w:rsidRPr="003673FA">
              <w:rPr>
                <w:rStyle w:val="Hyperlink"/>
                <w:noProof/>
                <w:lang w:bidi="hi-IN"/>
              </w:rPr>
              <w:t xml:space="preserve"> (ACIL Allen Consulting)</w:t>
            </w:r>
            <w:r w:rsidR="005B308A" w:rsidRPr="003673FA">
              <w:rPr>
                <w:noProof/>
                <w:webHidden/>
              </w:rPr>
              <w:tab/>
            </w:r>
            <w:r w:rsidR="005B308A" w:rsidRPr="003673FA">
              <w:rPr>
                <w:noProof/>
                <w:webHidden/>
              </w:rPr>
              <w:fldChar w:fldCharType="begin"/>
            </w:r>
            <w:r w:rsidR="005B308A" w:rsidRPr="003673FA">
              <w:rPr>
                <w:noProof/>
                <w:webHidden/>
              </w:rPr>
              <w:instrText xml:space="preserve"> PAGEREF _Toc6218391 \h </w:instrText>
            </w:r>
            <w:r w:rsidR="005B308A" w:rsidRPr="003673FA">
              <w:rPr>
                <w:noProof/>
                <w:webHidden/>
              </w:rPr>
            </w:r>
            <w:r w:rsidR="005B308A" w:rsidRPr="003673FA">
              <w:rPr>
                <w:noProof/>
                <w:webHidden/>
              </w:rPr>
              <w:fldChar w:fldCharType="separate"/>
            </w:r>
            <w:r w:rsidR="005B308A" w:rsidRPr="003673FA">
              <w:rPr>
                <w:noProof/>
                <w:webHidden/>
              </w:rPr>
              <w:t>46</w:t>
            </w:r>
            <w:r w:rsidR="005B308A" w:rsidRPr="003673FA">
              <w:rPr>
                <w:noProof/>
                <w:webHidden/>
              </w:rPr>
              <w:fldChar w:fldCharType="end"/>
            </w:r>
          </w:hyperlink>
        </w:p>
        <w:p w14:paraId="48E6D216" w14:textId="1FA3DD40" w:rsidR="00874CD7" w:rsidRPr="003673FA" w:rsidRDefault="00874CD7">
          <w:r w:rsidRPr="003673FA">
            <w:rPr>
              <w:b/>
              <w:bCs/>
              <w:iCs/>
              <w:noProof/>
              <w:color w:val="215868"/>
              <w:szCs w:val="24"/>
            </w:rPr>
            <w:fldChar w:fldCharType="end"/>
          </w:r>
        </w:p>
      </w:sdtContent>
    </w:sdt>
    <w:p w14:paraId="2BA50481" w14:textId="77777777" w:rsidR="00B62121" w:rsidRPr="003673FA" w:rsidRDefault="00B62121">
      <w:pPr>
        <w:rPr>
          <w:szCs w:val="24"/>
        </w:rPr>
      </w:pPr>
    </w:p>
    <w:p w14:paraId="0BE8B0B8" w14:textId="4082D9A0" w:rsidR="00A22DBF" w:rsidRPr="003673FA" w:rsidRDefault="00A22DBF">
      <w:pPr>
        <w:rPr>
          <w:szCs w:val="24"/>
        </w:rPr>
      </w:pPr>
      <w:r w:rsidRPr="003673FA">
        <w:rPr>
          <w:szCs w:val="24"/>
        </w:rPr>
        <w:br w:type="page"/>
      </w:r>
    </w:p>
    <w:p w14:paraId="60F53656" w14:textId="347D4862" w:rsidR="00A22DBF" w:rsidRPr="003673FA" w:rsidRDefault="005B308A" w:rsidP="00A22DBF">
      <w:pPr>
        <w:pStyle w:val="Heading1"/>
      </w:pPr>
      <w:bookmarkStart w:id="0" w:name="_Toc6218364"/>
      <w:r w:rsidRPr="003673FA">
        <w:lastRenderedPageBreak/>
        <w:t>Abbreviations and g</w:t>
      </w:r>
      <w:r w:rsidR="00A22DBF" w:rsidRPr="003673FA">
        <w:t>lossary</w:t>
      </w:r>
      <w:bookmarkEnd w:id="0"/>
    </w:p>
    <w:p w14:paraId="4891E92D" w14:textId="77777777" w:rsidR="00A22DBF" w:rsidRPr="003673FA" w:rsidRDefault="00A22DBF">
      <w:pPr>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86"/>
      </w:tblGrid>
      <w:tr w:rsidR="00B47357" w:rsidRPr="003673FA" w14:paraId="58DAB8A8" w14:textId="77777777" w:rsidTr="00E66E04">
        <w:trPr>
          <w:tblHeader/>
        </w:trPr>
        <w:tc>
          <w:tcPr>
            <w:tcW w:w="2552" w:type="dxa"/>
          </w:tcPr>
          <w:p w14:paraId="6CFACD94" w14:textId="77777777" w:rsidR="00B47357" w:rsidRPr="003673FA" w:rsidRDefault="00B47357" w:rsidP="00F54F35">
            <w:pPr>
              <w:spacing w:after="240"/>
              <w:rPr>
                <w:szCs w:val="24"/>
              </w:rPr>
            </w:pPr>
            <w:r w:rsidRPr="003673FA">
              <w:rPr>
                <w:szCs w:val="24"/>
              </w:rPr>
              <w:t>ARC</w:t>
            </w:r>
          </w:p>
        </w:tc>
        <w:tc>
          <w:tcPr>
            <w:tcW w:w="6486" w:type="dxa"/>
          </w:tcPr>
          <w:p w14:paraId="6CAD8BD7" w14:textId="77777777" w:rsidR="00B47357" w:rsidRPr="003673FA" w:rsidRDefault="00B47357" w:rsidP="00F54F35">
            <w:pPr>
              <w:spacing w:after="240"/>
              <w:rPr>
                <w:szCs w:val="24"/>
              </w:rPr>
            </w:pPr>
            <w:r w:rsidRPr="003673FA">
              <w:rPr>
                <w:szCs w:val="24"/>
              </w:rPr>
              <w:t>Australian Research Council</w:t>
            </w:r>
          </w:p>
        </w:tc>
      </w:tr>
      <w:tr w:rsidR="00B47357" w:rsidRPr="003673FA" w14:paraId="656995AE" w14:textId="77777777" w:rsidTr="00E66E04">
        <w:trPr>
          <w:tblHeader/>
        </w:trPr>
        <w:tc>
          <w:tcPr>
            <w:tcW w:w="2552" w:type="dxa"/>
          </w:tcPr>
          <w:p w14:paraId="59EAE11E" w14:textId="77777777" w:rsidR="00B47357" w:rsidRPr="003673FA" w:rsidRDefault="00B47357" w:rsidP="00F54F35">
            <w:pPr>
              <w:spacing w:after="240"/>
              <w:rPr>
                <w:szCs w:val="24"/>
              </w:rPr>
            </w:pPr>
            <w:r w:rsidRPr="003673FA">
              <w:rPr>
                <w:szCs w:val="24"/>
              </w:rPr>
              <w:t>CEO</w:t>
            </w:r>
          </w:p>
        </w:tc>
        <w:tc>
          <w:tcPr>
            <w:tcW w:w="6486" w:type="dxa"/>
          </w:tcPr>
          <w:p w14:paraId="22CB1ECE" w14:textId="77777777" w:rsidR="00B47357" w:rsidRPr="003673FA" w:rsidRDefault="00B47357" w:rsidP="00F54F35">
            <w:pPr>
              <w:spacing w:after="240"/>
              <w:rPr>
                <w:szCs w:val="24"/>
              </w:rPr>
            </w:pPr>
            <w:r w:rsidRPr="003673FA">
              <w:rPr>
                <w:szCs w:val="24"/>
              </w:rPr>
              <w:t>Chief Executive Officer</w:t>
            </w:r>
          </w:p>
        </w:tc>
      </w:tr>
      <w:tr w:rsidR="00B47357" w:rsidRPr="003673FA" w14:paraId="2E05E4A6" w14:textId="77777777" w:rsidTr="00E66E04">
        <w:trPr>
          <w:tblHeader/>
        </w:trPr>
        <w:tc>
          <w:tcPr>
            <w:tcW w:w="2552" w:type="dxa"/>
          </w:tcPr>
          <w:p w14:paraId="1EA0340A" w14:textId="77777777" w:rsidR="00B47357" w:rsidRPr="003673FA" w:rsidRDefault="00B47357" w:rsidP="00F54F35">
            <w:pPr>
              <w:spacing w:after="240"/>
              <w:rPr>
                <w:szCs w:val="24"/>
              </w:rPr>
            </w:pPr>
            <w:r w:rsidRPr="003673FA">
              <w:rPr>
                <w:szCs w:val="24"/>
              </w:rPr>
              <w:t>CI</w:t>
            </w:r>
          </w:p>
        </w:tc>
        <w:tc>
          <w:tcPr>
            <w:tcW w:w="6486" w:type="dxa"/>
          </w:tcPr>
          <w:p w14:paraId="02F938D5" w14:textId="77777777" w:rsidR="00B47357" w:rsidRPr="003673FA" w:rsidRDefault="00B47357" w:rsidP="00F54F35">
            <w:pPr>
              <w:spacing w:after="240"/>
              <w:rPr>
                <w:szCs w:val="24"/>
              </w:rPr>
            </w:pPr>
            <w:r w:rsidRPr="003673FA">
              <w:rPr>
                <w:szCs w:val="24"/>
              </w:rPr>
              <w:t>Chief Investigator</w:t>
            </w:r>
          </w:p>
        </w:tc>
      </w:tr>
      <w:tr w:rsidR="00B47357" w:rsidRPr="003673FA" w14:paraId="01A97CE8" w14:textId="77777777" w:rsidTr="00E66E04">
        <w:trPr>
          <w:tblHeader/>
        </w:trPr>
        <w:tc>
          <w:tcPr>
            <w:tcW w:w="2552" w:type="dxa"/>
          </w:tcPr>
          <w:p w14:paraId="332180A9" w14:textId="77777777" w:rsidR="00B47357" w:rsidRPr="003673FA" w:rsidRDefault="00B47357" w:rsidP="00F54F35">
            <w:pPr>
              <w:spacing w:after="240"/>
              <w:rPr>
                <w:szCs w:val="24"/>
              </w:rPr>
            </w:pPr>
            <w:r w:rsidRPr="003673FA">
              <w:rPr>
                <w:szCs w:val="24"/>
              </w:rPr>
              <w:t>Detailed assessor</w:t>
            </w:r>
          </w:p>
        </w:tc>
        <w:tc>
          <w:tcPr>
            <w:tcW w:w="6486" w:type="dxa"/>
          </w:tcPr>
          <w:p w14:paraId="2751A166" w14:textId="77777777" w:rsidR="00B47357" w:rsidRPr="003673FA" w:rsidRDefault="00B47357" w:rsidP="00F54F35">
            <w:pPr>
              <w:spacing w:after="240"/>
              <w:rPr>
                <w:szCs w:val="24"/>
              </w:rPr>
            </w:pPr>
            <w:r w:rsidRPr="003673FA">
              <w:rPr>
                <w:szCs w:val="24"/>
              </w:rPr>
              <w:t>Detailed Assessors provide scores and written comments addressing the relevant assessment criteria on applications for ARC grants</w:t>
            </w:r>
          </w:p>
        </w:tc>
      </w:tr>
      <w:tr w:rsidR="00B47357" w:rsidRPr="003673FA" w14:paraId="64F0FFD8" w14:textId="77777777" w:rsidTr="00E66E04">
        <w:trPr>
          <w:tblHeader/>
        </w:trPr>
        <w:tc>
          <w:tcPr>
            <w:tcW w:w="2552" w:type="dxa"/>
          </w:tcPr>
          <w:p w14:paraId="5E298242" w14:textId="77777777" w:rsidR="00B47357" w:rsidRPr="003673FA" w:rsidRDefault="00B47357" w:rsidP="00F54F35">
            <w:pPr>
              <w:spacing w:after="240"/>
              <w:rPr>
                <w:szCs w:val="24"/>
              </w:rPr>
            </w:pPr>
            <w:r w:rsidRPr="003673FA">
              <w:rPr>
                <w:szCs w:val="24"/>
              </w:rPr>
              <w:t>General assessor</w:t>
            </w:r>
          </w:p>
        </w:tc>
        <w:tc>
          <w:tcPr>
            <w:tcW w:w="6486" w:type="dxa"/>
          </w:tcPr>
          <w:p w14:paraId="7976FDBC" w14:textId="77777777" w:rsidR="00B47357" w:rsidRPr="003673FA" w:rsidRDefault="00B47357" w:rsidP="00F54F35">
            <w:pPr>
              <w:spacing w:after="240"/>
              <w:rPr>
                <w:szCs w:val="24"/>
              </w:rPr>
            </w:pPr>
            <w:r w:rsidRPr="003673FA">
              <w:rPr>
                <w:szCs w:val="24"/>
              </w:rPr>
              <w:t>General Assessors are selected to form a Selection Advisory Committee (SAC) to oversee the peer review process for ARC grant applications</w:t>
            </w:r>
          </w:p>
        </w:tc>
      </w:tr>
      <w:tr w:rsidR="00B47357" w:rsidRPr="003673FA" w14:paraId="0394F049" w14:textId="77777777" w:rsidTr="00E66E04">
        <w:trPr>
          <w:tblHeader/>
        </w:trPr>
        <w:tc>
          <w:tcPr>
            <w:tcW w:w="2552" w:type="dxa"/>
          </w:tcPr>
          <w:p w14:paraId="0C93E6B3" w14:textId="77777777" w:rsidR="00B47357" w:rsidRPr="003673FA" w:rsidRDefault="00B47357" w:rsidP="00F54F35">
            <w:pPr>
              <w:spacing w:after="240"/>
              <w:rPr>
                <w:szCs w:val="24"/>
              </w:rPr>
            </w:pPr>
            <w:r w:rsidRPr="003673FA">
              <w:rPr>
                <w:szCs w:val="24"/>
              </w:rPr>
              <w:t>NISA</w:t>
            </w:r>
          </w:p>
        </w:tc>
        <w:tc>
          <w:tcPr>
            <w:tcW w:w="6486" w:type="dxa"/>
          </w:tcPr>
          <w:p w14:paraId="210623B7" w14:textId="77777777" w:rsidR="00B47357" w:rsidRPr="003673FA" w:rsidRDefault="00B47357" w:rsidP="00F54F35">
            <w:pPr>
              <w:spacing w:after="240"/>
              <w:rPr>
                <w:szCs w:val="24"/>
              </w:rPr>
            </w:pPr>
            <w:r w:rsidRPr="003673FA">
              <w:rPr>
                <w:szCs w:val="24"/>
              </w:rPr>
              <w:t>National Innovation and Science Agenda</w:t>
            </w:r>
          </w:p>
        </w:tc>
      </w:tr>
      <w:tr w:rsidR="00B47357" w:rsidRPr="003673FA" w14:paraId="32B5BAEC" w14:textId="77777777" w:rsidTr="00E66E04">
        <w:trPr>
          <w:tblHeader/>
        </w:trPr>
        <w:tc>
          <w:tcPr>
            <w:tcW w:w="2552" w:type="dxa"/>
          </w:tcPr>
          <w:p w14:paraId="03D2DAF8" w14:textId="77777777" w:rsidR="00B47357" w:rsidRPr="003673FA" w:rsidRDefault="00B47357" w:rsidP="00F54F35">
            <w:pPr>
              <w:spacing w:after="240"/>
              <w:rPr>
                <w:szCs w:val="24"/>
              </w:rPr>
            </w:pPr>
            <w:r w:rsidRPr="003673FA">
              <w:rPr>
                <w:szCs w:val="24"/>
              </w:rPr>
              <w:t>PI</w:t>
            </w:r>
          </w:p>
        </w:tc>
        <w:tc>
          <w:tcPr>
            <w:tcW w:w="6486" w:type="dxa"/>
          </w:tcPr>
          <w:p w14:paraId="4B270348" w14:textId="77777777" w:rsidR="00B47357" w:rsidRPr="003673FA" w:rsidRDefault="00B47357" w:rsidP="00F54F35">
            <w:pPr>
              <w:spacing w:after="240"/>
              <w:rPr>
                <w:szCs w:val="24"/>
              </w:rPr>
            </w:pPr>
            <w:r w:rsidRPr="003673FA">
              <w:rPr>
                <w:szCs w:val="24"/>
              </w:rPr>
              <w:t>Partner Investigator</w:t>
            </w:r>
          </w:p>
        </w:tc>
      </w:tr>
      <w:tr w:rsidR="00B47357" w:rsidRPr="003673FA" w14:paraId="5EB1CA61" w14:textId="77777777" w:rsidTr="00E66E04">
        <w:trPr>
          <w:tblHeader/>
        </w:trPr>
        <w:tc>
          <w:tcPr>
            <w:tcW w:w="2552" w:type="dxa"/>
          </w:tcPr>
          <w:p w14:paraId="00D0BA71" w14:textId="77777777" w:rsidR="00B47357" w:rsidRPr="003673FA" w:rsidRDefault="00B47357" w:rsidP="00F54F35">
            <w:pPr>
              <w:spacing w:after="240"/>
              <w:rPr>
                <w:szCs w:val="24"/>
              </w:rPr>
            </w:pPr>
            <w:r w:rsidRPr="003673FA">
              <w:rPr>
                <w:szCs w:val="24"/>
              </w:rPr>
              <w:t>Return rate</w:t>
            </w:r>
          </w:p>
        </w:tc>
        <w:tc>
          <w:tcPr>
            <w:tcW w:w="6486" w:type="dxa"/>
          </w:tcPr>
          <w:p w14:paraId="628D3832" w14:textId="77777777" w:rsidR="00B47357" w:rsidRPr="003673FA" w:rsidRDefault="00B47357" w:rsidP="00F54F35">
            <w:pPr>
              <w:spacing w:after="240"/>
              <w:rPr>
                <w:szCs w:val="24"/>
              </w:rPr>
            </w:pPr>
            <w:r w:rsidRPr="003673FA">
              <w:rPr>
                <w:szCs w:val="24"/>
              </w:rPr>
              <w:t>The amount of ARC funding awarded as a percentage of funding requested in successful applications</w:t>
            </w:r>
          </w:p>
        </w:tc>
      </w:tr>
      <w:tr w:rsidR="00B47357" w:rsidRPr="003673FA" w14:paraId="0EFD0445" w14:textId="77777777" w:rsidTr="00E66E04">
        <w:trPr>
          <w:tblHeader/>
        </w:trPr>
        <w:tc>
          <w:tcPr>
            <w:tcW w:w="2552" w:type="dxa"/>
          </w:tcPr>
          <w:p w14:paraId="65ADC5F9" w14:textId="77777777" w:rsidR="00B47357" w:rsidRPr="003673FA" w:rsidRDefault="00B47357" w:rsidP="00F54F35">
            <w:pPr>
              <w:spacing w:after="240"/>
              <w:rPr>
                <w:szCs w:val="24"/>
              </w:rPr>
            </w:pPr>
            <w:r w:rsidRPr="003673FA">
              <w:rPr>
                <w:szCs w:val="24"/>
              </w:rPr>
              <w:t>RMS</w:t>
            </w:r>
          </w:p>
        </w:tc>
        <w:tc>
          <w:tcPr>
            <w:tcW w:w="6486" w:type="dxa"/>
          </w:tcPr>
          <w:p w14:paraId="5690E062" w14:textId="77777777" w:rsidR="00B47357" w:rsidRPr="003673FA" w:rsidRDefault="00B47357" w:rsidP="00F54F35">
            <w:pPr>
              <w:spacing w:after="240"/>
              <w:rPr>
                <w:szCs w:val="24"/>
              </w:rPr>
            </w:pPr>
            <w:r w:rsidRPr="003673FA">
              <w:rPr>
                <w:szCs w:val="24"/>
              </w:rPr>
              <w:t>Research Management System</w:t>
            </w:r>
          </w:p>
        </w:tc>
      </w:tr>
      <w:tr w:rsidR="00B47357" w:rsidRPr="003673FA" w14:paraId="08593B67" w14:textId="77777777" w:rsidTr="00E66E04">
        <w:trPr>
          <w:tblHeader/>
        </w:trPr>
        <w:tc>
          <w:tcPr>
            <w:tcW w:w="2552" w:type="dxa"/>
          </w:tcPr>
          <w:p w14:paraId="1B99776D" w14:textId="77777777" w:rsidR="00B47357" w:rsidRPr="003673FA" w:rsidRDefault="00B47357" w:rsidP="00F54F35">
            <w:pPr>
              <w:spacing w:after="240"/>
              <w:rPr>
                <w:szCs w:val="24"/>
              </w:rPr>
            </w:pPr>
            <w:r w:rsidRPr="003673FA">
              <w:rPr>
                <w:szCs w:val="24"/>
              </w:rPr>
              <w:t>SAC</w:t>
            </w:r>
          </w:p>
        </w:tc>
        <w:tc>
          <w:tcPr>
            <w:tcW w:w="6486" w:type="dxa"/>
          </w:tcPr>
          <w:p w14:paraId="69875874" w14:textId="77777777" w:rsidR="00B47357" w:rsidRPr="003673FA" w:rsidRDefault="00B47357" w:rsidP="00F54F35">
            <w:pPr>
              <w:spacing w:after="240"/>
              <w:rPr>
                <w:szCs w:val="24"/>
              </w:rPr>
            </w:pPr>
            <w:r w:rsidRPr="003673FA">
              <w:rPr>
                <w:szCs w:val="24"/>
              </w:rPr>
              <w:t>Selection Advisory Committee</w:t>
            </w:r>
          </w:p>
        </w:tc>
      </w:tr>
      <w:tr w:rsidR="00B47357" w:rsidRPr="003673FA" w14:paraId="12EB5B94" w14:textId="77777777" w:rsidTr="00E66E04">
        <w:trPr>
          <w:tblHeader/>
        </w:trPr>
        <w:tc>
          <w:tcPr>
            <w:tcW w:w="2552" w:type="dxa"/>
          </w:tcPr>
          <w:p w14:paraId="6248890D" w14:textId="77777777" w:rsidR="00B47357" w:rsidRPr="003673FA" w:rsidRDefault="00B47357" w:rsidP="00F54F35">
            <w:pPr>
              <w:spacing w:after="240"/>
              <w:rPr>
                <w:szCs w:val="24"/>
              </w:rPr>
            </w:pPr>
            <w:r w:rsidRPr="003673FA">
              <w:rPr>
                <w:szCs w:val="24"/>
              </w:rPr>
              <w:t>SAC member</w:t>
            </w:r>
          </w:p>
        </w:tc>
        <w:tc>
          <w:tcPr>
            <w:tcW w:w="6486" w:type="dxa"/>
          </w:tcPr>
          <w:p w14:paraId="13BE9F20" w14:textId="77777777" w:rsidR="00B47357" w:rsidRPr="003673FA" w:rsidRDefault="00B47357" w:rsidP="00F54F35">
            <w:pPr>
              <w:spacing w:after="240"/>
              <w:rPr>
                <w:szCs w:val="24"/>
              </w:rPr>
            </w:pPr>
            <w:r w:rsidRPr="003673FA">
              <w:rPr>
                <w:szCs w:val="24"/>
              </w:rPr>
              <w:t>See ‘general assessor’</w:t>
            </w:r>
          </w:p>
        </w:tc>
      </w:tr>
      <w:tr w:rsidR="00B47357" w:rsidRPr="003673FA" w14:paraId="15325B0D" w14:textId="77777777" w:rsidTr="00E66E04">
        <w:trPr>
          <w:tblHeader/>
        </w:trPr>
        <w:tc>
          <w:tcPr>
            <w:tcW w:w="2552" w:type="dxa"/>
          </w:tcPr>
          <w:p w14:paraId="6A250525" w14:textId="77777777" w:rsidR="00B47357" w:rsidRPr="003673FA" w:rsidRDefault="00B47357" w:rsidP="00F54F35">
            <w:pPr>
              <w:spacing w:after="240"/>
              <w:rPr>
                <w:szCs w:val="24"/>
              </w:rPr>
            </w:pPr>
            <w:r w:rsidRPr="003673FA">
              <w:rPr>
                <w:szCs w:val="24"/>
              </w:rPr>
              <w:t>Success rate</w:t>
            </w:r>
          </w:p>
        </w:tc>
        <w:tc>
          <w:tcPr>
            <w:tcW w:w="6486" w:type="dxa"/>
          </w:tcPr>
          <w:p w14:paraId="2943481D" w14:textId="5E7C4BED" w:rsidR="00B47357" w:rsidRPr="003673FA" w:rsidRDefault="00B47357" w:rsidP="00F54F35">
            <w:pPr>
              <w:spacing w:after="240"/>
              <w:rPr>
                <w:szCs w:val="24"/>
              </w:rPr>
            </w:pPr>
            <w:r w:rsidRPr="003673FA">
              <w:rPr>
                <w:szCs w:val="24"/>
              </w:rPr>
              <w:t>The number of funded projects as a percentage of applications submitted for ARC grants</w:t>
            </w:r>
          </w:p>
        </w:tc>
      </w:tr>
      <w:tr w:rsidR="00B47357" w:rsidRPr="003673FA" w14:paraId="3192D14D" w14:textId="77777777" w:rsidTr="00E66E04">
        <w:trPr>
          <w:tblHeader/>
        </w:trPr>
        <w:tc>
          <w:tcPr>
            <w:tcW w:w="2552" w:type="dxa"/>
          </w:tcPr>
          <w:p w14:paraId="47DBC562" w14:textId="77777777" w:rsidR="00B47357" w:rsidRPr="003673FA" w:rsidRDefault="00B47357" w:rsidP="00F54F35">
            <w:pPr>
              <w:spacing w:after="240"/>
              <w:rPr>
                <w:szCs w:val="24"/>
              </w:rPr>
            </w:pPr>
            <w:r w:rsidRPr="003673FA">
              <w:rPr>
                <w:szCs w:val="24"/>
              </w:rPr>
              <w:t>Watt Review</w:t>
            </w:r>
          </w:p>
        </w:tc>
        <w:tc>
          <w:tcPr>
            <w:tcW w:w="6486" w:type="dxa"/>
          </w:tcPr>
          <w:p w14:paraId="55301B44" w14:textId="77777777" w:rsidR="00B47357" w:rsidRPr="003673FA" w:rsidRDefault="00B47357" w:rsidP="00F54F35">
            <w:pPr>
              <w:spacing w:after="240"/>
              <w:rPr>
                <w:szCs w:val="24"/>
              </w:rPr>
            </w:pPr>
            <w:r w:rsidRPr="003673FA">
              <w:rPr>
                <w:szCs w:val="24"/>
              </w:rPr>
              <w:t>2015 Review of Research Policy and Funding Arrangements</w:t>
            </w:r>
          </w:p>
        </w:tc>
      </w:tr>
    </w:tbl>
    <w:p w14:paraId="22C05833" w14:textId="628E3CB2" w:rsidR="005708F6" w:rsidRPr="003673FA" w:rsidRDefault="005708F6">
      <w:pPr>
        <w:rPr>
          <w:szCs w:val="24"/>
        </w:rPr>
      </w:pPr>
      <w:r w:rsidRPr="003673FA">
        <w:rPr>
          <w:szCs w:val="24"/>
        </w:rPr>
        <w:br w:type="page"/>
      </w:r>
    </w:p>
    <w:p w14:paraId="2E3822A8" w14:textId="5B4D0DAC" w:rsidR="00CB373D" w:rsidRPr="003673FA" w:rsidRDefault="00CB373D" w:rsidP="00CB373D">
      <w:pPr>
        <w:pStyle w:val="Heading1"/>
      </w:pPr>
      <w:bookmarkStart w:id="1" w:name="_Toc3285742"/>
      <w:bookmarkStart w:id="2" w:name="_Toc6218365"/>
      <w:r w:rsidRPr="003673FA">
        <w:lastRenderedPageBreak/>
        <w:t>Executive summary</w:t>
      </w:r>
      <w:bookmarkEnd w:id="1"/>
      <w:bookmarkEnd w:id="2"/>
    </w:p>
    <w:p w14:paraId="3612556E" w14:textId="78641D8C" w:rsidR="00CB373D" w:rsidRPr="003673FA" w:rsidRDefault="00CB373D" w:rsidP="002B12A6"/>
    <w:p w14:paraId="39DC085E" w14:textId="354FC82D" w:rsidR="002B12A6" w:rsidRPr="003673FA" w:rsidRDefault="00A47AB7" w:rsidP="002B12A6">
      <w:r w:rsidRPr="003673FA">
        <w:t xml:space="preserve">The Australian Research Council (ARC) Linkage Projects scheme promotes research partnerships by providing funding to Australian higher education institutions for collaborative research with industry and other research end users. </w:t>
      </w:r>
      <w:r w:rsidR="00EE7293" w:rsidRPr="003673FA">
        <w:t>A</w:t>
      </w:r>
      <w:r w:rsidR="002B12A6" w:rsidRPr="003673FA">
        <w:t xml:space="preserve"> </w:t>
      </w:r>
      <w:r w:rsidRPr="003673FA">
        <w:t>continuous application and assessment process was introduced to the scheme on 1 July 2016</w:t>
      </w:r>
      <w:r w:rsidR="00EE7293" w:rsidRPr="003673FA">
        <w:t>, as an Australian Government initiative to facilitate timely collaboration and greater responsiveness to innovation opportunities</w:t>
      </w:r>
      <w:r w:rsidR="002B12A6" w:rsidRPr="003673FA">
        <w:t xml:space="preserve">. The process </w:t>
      </w:r>
      <w:r w:rsidR="00EE7293" w:rsidRPr="003673FA">
        <w:t xml:space="preserve">was designed to enable the submission of </w:t>
      </w:r>
      <w:r w:rsidR="002B12A6" w:rsidRPr="003673FA">
        <w:t xml:space="preserve">grant applications </w:t>
      </w:r>
      <w:r w:rsidR="00EE7293" w:rsidRPr="003673FA">
        <w:t>at any time and the</w:t>
      </w:r>
      <w:r w:rsidR="002B12A6" w:rsidRPr="003673FA">
        <w:t xml:space="preserve"> </w:t>
      </w:r>
      <w:r w:rsidR="00EE7293" w:rsidRPr="003673FA">
        <w:t>announcement of grant outcomes within six months</w:t>
      </w:r>
      <w:r w:rsidR="002B12A6" w:rsidRPr="003673FA">
        <w:t>.</w:t>
      </w:r>
    </w:p>
    <w:p w14:paraId="6DE67FB5" w14:textId="033D7890" w:rsidR="002B12A6" w:rsidRPr="003673FA" w:rsidRDefault="002B12A6" w:rsidP="002B12A6"/>
    <w:p w14:paraId="1DBF28BB" w14:textId="0D9445D1" w:rsidR="00066F58" w:rsidRPr="003673FA" w:rsidRDefault="002B12A6" w:rsidP="00896494">
      <w:r w:rsidRPr="003673FA">
        <w:t xml:space="preserve">The ARC committed to undertake an evaluation of the continuous process within three years of its implementation. </w:t>
      </w:r>
      <w:r w:rsidR="00493EE7" w:rsidRPr="003673FA">
        <w:t>Th</w:t>
      </w:r>
      <w:r w:rsidR="002B4948" w:rsidRPr="003673FA">
        <w:t>is</w:t>
      </w:r>
      <w:r w:rsidR="00493EE7" w:rsidRPr="003673FA">
        <w:t xml:space="preserve"> evaluation assessed the effectiveness </w:t>
      </w:r>
      <w:r w:rsidR="002B4948" w:rsidRPr="003673FA">
        <w:t>of</w:t>
      </w:r>
      <w:r w:rsidR="00493EE7" w:rsidRPr="003673FA">
        <w:t xml:space="preserve"> the continuous process in supporting research </w:t>
      </w:r>
      <w:r w:rsidR="002B4948" w:rsidRPr="003673FA">
        <w:t>collaboration and responsiveness to innovation opportunities, and the efficiency and effectiveness of the ARC’s implementation of the process. T</w:t>
      </w:r>
      <w:r w:rsidR="00896494" w:rsidRPr="003673FA">
        <w:t xml:space="preserve">he </w:t>
      </w:r>
      <w:r w:rsidR="002B4948" w:rsidRPr="003673FA">
        <w:t>evaluation drew</w:t>
      </w:r>
      <w:r w:rsidR="00896494" w:rsidRPr="003673FA">
        <w:t xml:space="preserve"> upon ARC policy and program documents and program management data, as well as independent survey and interview research </w:t>
      </w:r>
      <w:r w:rsidR="002B4948" w:rsidRPr="003673FA">
        <w:t xml:space="preserve">conducted with a range of Linkage Projects stakeholders </w:t>
      </w:r>
      <w:r w:rsidR="00896494" w:rsidRPr="003673FA">
        <w:t>by ACIL Allen Consulting Pty Ltd.</w:t>
      </w:r>
    </w:p>
    <w:p w14:paraId="4C13EB40" w14:textId="77777777" w:rsidR="00394DBF" w:rsidRPr="003673FA" w:rsidRDefault="00394DBF" w:rsidP="002B12A6"/>
    <w:p w14:paraId="0F1D30CB" w14:textId="2639A417" w:rsidR="00066F58" w:rsidRPr="003673FA" w:rsidRDefault="00394DBF" w:rsidP="002B12A6">
      <w:r w:rsidRPr="003673FA">
        <w:t xml:space="preserve">The evaluation found that the </w:t>
      </w:r>
      <w:r w:rsidR="00C81FDA" w:rsidRPr="003673FA">
        <w:t xml:space="preserve">introduction of the continuous process coincided with a decline </w:t>
      </w:r>
      <w:proofErr w:type="gramStart"/>
      <w:r w:rsidR="00C81FDA" w:rsidRPr="003673FA">
        <w:t>in</w:t>
      </w:r>
      <w:proofErr w:type="gramEnd"/>
      <w:r w:rsidR="00C81FDA" w:rsidRPr="003673FA">
        <w:t xml:space="preserve"> </w:t>
      </w:r>
      <w:r w:rsidRPr="003673FA">
        <w:t>total Linkage Projects</w:t>
      </w:r>
      <w:r w:rsidR="00C81FDA" w:rsidRPr="003673FA">
        <w:t xml:space="preserve"> applications, funded projects</w:t>
      </w:r>
      <w:r w:rsidRPr="003673FA">
        <w:t>,</w:t>
      </w:r>
      <w:r w:rsidR="008710A8" w:rsidRPr="003673FA">
        <w:t xml:space="preserve"> </w:t>
      </w:r>
      <w:r w:rsidRPr="003673FA">
        <w:t>partner organisation</w:t>
      </w:r>
      <w:r w:rsidR="008710A8" w:rsidRPr="003673FA">
        <w:t xml:space="preserve"> participation </w:t>
      </w:r>
      <w:r w:rsidR="006E4824" w:rsidRPr="003673FA">
        <w:t xml:space="preserve">(especially business and industry organisations) </w:t>
      </w:r>
      <w:r w:rsidR="008710A8" w:rsidRPr="003673FA">
        <w:t xml:space="preserve">and </w:t>
      </w:r>
      <w:r w:rsidR="00DF33DA" w:rsidRPr="003673FA">
        <w:t xml:space="preserve">partner organisation </w:t>
      </w:r>
      <w:r w:rsidRPr="003673FA">
        <w:t xml:space="preserve">contributions. </w:t>
      </w:r>
      <w:r w:rsidR="00E32464" w:rsidRPr="003673FA">
        <w:t>M</w:t>
      </w:r>
      <w:r w:rsidR="00FB0D9C" w:rsidRPr="003673FA">
        <w:t>any s</w:t>
      </w:r>
      <w:r w:rsidRPr="003673FA">
        <w:t>takeholder</w:t>
      </w:r>
      <w:r w:rsidR="00FB0D9C" w:rsidRPr="003673FA">
        <w:t>s reported that without deadlines</w:t>
      </w:r>
      <w:r w:rsidR="00E32464" w:rsidRPr="003673FA">
        <w:t>, Linkage Projects applic</w:t>
      </w:r>
      <w:r w:rsidR="001E724C" w:rsidRPr="003673FA">
        <w:t xml:space="preserve">ations do not receive priority, and that </w:t>
      </w:r>
      <w:r w:rsidR="00E32464" w:rsidRPr="003673FA">
        <w:t>planning and managing the workloads associated with Linkage Projects applications is challenging for researchers and their partners</w:t>
      </w:r>
      <w:r w:rsidR="00FB0D9C" w:rsidRPr="003673FA">
        <w:t>.</w:t>
      </w:r>
    </w:p>
    <w:p w14:paraId="07B8E012" w14:textId="034F3D33" w:rsidR="00FB0D9C" w:rsidRPr="003673FA" w:rsidRDefault="00FB0D9C" w:rsidP="002B12A6"/>
    <w:p w14:paraId="11EB7671" w14:textId="3A245411" w:rsidR="00FB0D9C" w:rsidRPr="003673FA" w:rsidRDefault="008710A8" w:rsidP="002B12A6">
      <w:r w:rsidRPr="003673FA">
        <w:t xml:space="preserve">However, </w:t>
      </w:r>
      <w:r w:rsidR="005667D8" w:rsidRPr="003673FA">
        <w:t xml:space="preserve">there have been increases in the </w:t>
      </w:r>
      <w:r w:rsidRPr="003673FA">
        <w:t>average number of partner organisations</w:t>
      </w:r>
      <w:r w:rsidR="005667D8" w:rsidRPr="003673FA">
        <w:t xml:space="preserve"> per application and funded project, and </w:t>
      </w:r>
      <w:r w:rsidR="004E2F33" w:rsidRPr="003673FA">
        <w:t xml:space="preserve">indications of increasing </w:t>
      </w:r>
      <w:r w:rsidR="000E1FD1" w:rsidRPr="003673FA">
        <w:t xml:space="preserve">average </w:t>
      </w:r>
      <w:r w:rsidR="005667D8" w:rsidRPr="003673FA">
        <w:t xml:space="preserve">partner </w:t>
      </w:r>
      <w:r w:rsidRPr="003673FA">
        <w:t>contribution</w:t>
      </w:r>
      <w:r w:rsidR="000E1FD1" w:rsidRPr="003673FA">
        <w:t xml:space="preserve"> value</w:t>
      </w:r>
      <w:r w:rsidRPr="003673FA">
        <w:t xml:space="preserve"> </w:t>
      </w:r>
      <w:r w:rsidR="000E1FD1" w:rsidRPr="003673FA">
        <w:t>per project</w:t>
      </w:r>
      <w:r w:rsidRPr="003673FA">
        <w:t xml:space="preserve">. </w:t>
      </w:r>
      <w:r w:rsidR="006E4824" w:rsidRPr="003673FA">
        <w:t>Many stakeholders</w:t>
      </w:r>
      <w:r w:rsidRPr="003673FA">
        <w:t xml:space="preserve"> also perceived increased and improved collaboration in applications and funded projects under the continuous process, as well as more timely collaboration and greater responsiveness to innovation opportunities.</w:t>
      </w:r>
    </w:p>
    <w:p w14:paraId="77AF41E7" w14:textId="56714204" w:rsidR="00AA333F" w:rsidRPr="003673FA" w:rsidRDefault="00AA333F" w:rsidP="002B12A6"/>
    <w:p w14:paraId="51FE67E6" w14:textId="21C914AF" w:rsidR="006E4824" w:rsidRPr="003673FA" w:rsidRDefault="0054698B" w:rsidP="002B12A6">
      <w:r w:rsidRPr="003673FA">
        <w:t>M</w:t>
      </w:r>
      <w:r w:rsidR="006E4824" w:rsidRPr="003673FA">
        <w:t>ost stakeholders expressed satisfaction with the ARC’s implementation of the continuous process</w:t>
      </w:r>
      <w:r w:rsidRPr="003673FA">
        <w:t xml:space="preserve">. However, </w:t>
      </w:r>
      <w:r w:rsidR="006E4824" w:rsidRPr="003673FA">
        <w:t xml:space="preserve">areas of concern included </w:t>
      </w:r>
      <w:r w:rsidRPr="003673FA">
        <w:t xml:space="preserve">the </w:t>
      </w:r>
      <w:r w:rsidR="006E4824" w:rsidRPr="003673FA">
        <w:t>transparency of the process and an inability to track applications, issues related to the provision of feedbac</w:t>
      </w:r>
      <w:r w:rsidR="008F75D2" w:rsidRPr="003673FA">
        <w:t xml:space="preserve">k on unsuccessful applications, </w:t>
      </w:r>
      <w:r w:rsidR="006E4824" w:rsidRPr="003673FA">
        <w:t>difficulties in benchmarking and assessing the relative quality of applications</w:t>
      </w:r>
      <w:r w:rsidR="00DF33DA" w:rsidRPr="003673FA">
        <w:t>, and assessment timeframes</w:t>
      </w:r>
      <w:r w:rsidR="006E4824" w:rsidRPr="003673FA">
        <w:t>. There was also evidence of an increased administrative burden for the ARC.</w:t>
      </w:r>
    </w:p>
    <w:p w14:paraId="10E1A847" w14:textId="77777777" w:rsidR="006E4824" w:rsidRPr="003673FA" w:rsidRDefault="006E4824" w:rsidP="002B12A6"/>
    <w:p w14:paraId="0D3BD94D" w14:textId="2E7BC4FF" w:rsidR="00F82B85" w:rsidRPr="003673FA" w:rsidRDefault="00AA333F">
      <w:r w:rsidRPr="003673FA">
        <w:t>The evaluation ma</w:t>
      </w:r>
      <w:r w:rsidR="00C81FDA" w:rsidRPr="003673FA">
        <w:t>kes</w:t>
      </w:r>
      <w:r w:rsidR="00F82B85" w:rsidRPr="003673FA">
        <w:t xml:space="preserve"> </w:t>
      </w:r>
      <w:r w:rsidR="00A5452B">
        <w:t>five</w:t>
      </w:r>
      <w:r w:rsidRPr="003673FA">
        <w:t xml:space="preserve"> recommendations to </w:t>
      </w:r>
      <w:r w:rsidR="003E347F" w:rsidRPr="003673FA">
        <w:t xml:space="preserve">the ARC to </w:t>
      </w:r>
      <w:r w:rsidRPr="003673FA">
        <w:t xml:space="preserve">improve the effectiveness and efficiency of </w:t>
      </w:r>
      <w:r w:rsidR="003E347F" w:rsidRPr="003673FA">
        <w:t>its</w:t>
      </w:r>
      <w:r w:rsidRPr="003673FA">
        <w:t xml:space="preserve"> implementation of the con</w:t>
      </w:r>
      <w:r w:rsidR="00F82B85" w:rsidRPr="003673FA">
        <w:t>tinuous process:</w:t>
      </w:r>
    </w:p>
    <w:p w14:paraId="19C6FCBD" w14:textId="77777777" w:rsidR="00F82B85" w:rsidRPr="003673FA" w:rsidRDefault="00F82B85" w:rsidP="00F82B85">
      <w:pPr>
        <w:pStyle w:val="ListParagraph"/>
        <w:numPr>
          <w:ilvl w:val="0"/>
          <w:numId w:val="30"/>
        </w:numPr>
        <w:rPr>
          <w:color w:val="auto"/>
          <w:szCs w:val="24"/>
        </w:rPr>
      </w:pPr>
      <w:r w:rsidRPr="003673FA">
        <w:rPr>
          <w:color w:val="auto"/>
          <w:szCs w:val="24"/>
        </w:rPr>
        <w:t xml:space="preserve">Introduce three or four application deadlines and assessment rounds each year </w:t>
      </w:r>
    </w:p>
    <w:p w14:paraId="1BB10597" w14:textId="762E0E9C" w:rsidR="00F82B85" w:rsidRPr="003673FA" w:rsidRDefault="00F82B85" w:rsidP="00F82B85">
      <w:pPr>
        <w:pStyle w:val="ListParagraph"/>
        <w:numPr>
          <w:ilvl w:val="0"/>
          <w:numId w:val="30"/>
        </w:numPr>
        <w:rPr>
          <w:color w:val="auto"/>
          <w:szCs w:val="24"/>
        </w:rPr>
      </w:pPr>
      <w:r w:rsidRPr="003673FA">
        <w:rPr>
          <w:color w:val="auto"/>
          <w:szCs w:val="24"/>
        </w:rPr>
        <w:t xml:space="preserve">Provide additional information on the ARC website and in </w:t>
      </w:r>
      <w:r w:rsidR="001D34D2" w:rsidRPr="003673FA">
        <w:rPr>
          <w:color w:val="auto"/>
          <w:szCs w:val="24"/>
        </w:rPr>
        <w:t>the Research Management System (</w:t>
      </w:r>
      <w:r w:rsidRPr="003673FA">
        <w:rPr>
          <w:color w:val="auto"/>
          <w:szCs w:val="24"/>
        </w:rPr>
        <w:t>RMS</w:t>
      </w:r>
      <w:r w:rsidR="001D34D2" w:rsidRPr="003673FA">
        <w:rPr>
          <w:color w:val="auto"/>
          <w:szCs w:val="24"/>
        </w:rPr>
        <w:t>)</w:t>
      </w:r>
      <w:r w:rsidRPr="003673FA">
        <w:rPr>
          <w:color w:val="auto"/>
          <w:szCs w:val="24"/>
        </w:rPr>
        <w:t xml:space="preserve"> regarding assessment processes and announcements</w:t>
      </w:r>
    </w:p>
    <w:p w14:paraId="0F56BBD2" w14:textId="3E07CAF0" w:rsidR="00F82B85" w:rsidRPr="003673FA" w:rsidRDefault="00F82B85" w:rsidP="00F82B85">
      <w:pPr>
        <w:pStyle w:val="ListParagraph"/>
        <w:numPr>
          <w:ilvl w:val="0"/>
          <w:numId w:val="30"/>
        </w:numPr>
        <w:rPr>
          <w:color w:val="auto"/>
          <w:szCs w:val="24"/>
        </w:rPr>
      </w:pPr>
      <w:r w:rsidRPr="003673FA">
        <w:rPr>
          <w:color w:val="auto"/>
          <w:szCs w:val="24"/>
        </w:rPr>
        <w:t xml:space="preserve">Modify ARC financial systems to allow for </w:t>
      </w:r>
      <w:r w:rsidR="00395B08" w:rsidRPr="003673FA">
        <w:rPr>
          <w:color w:val="auto"/>
          <w:szCs w:val="24"/>
        </w:rPr>
        <w:t>more frequent releases of initial funding</w:t>
      </w:r>
    </w:p>
    <w:p w14:paraId="1E0BC949" w14:textId="1B038EDC" w:rsidR="00F82B85" w:rsidRPr="003673FA" w:rsidRDefault="00F82B85" w:rsidP="00F82B85">
      <w:pPr>
        <w:pStyle w:val="ListParagraph"/>
        <w:numPr>
          <w:ilvl w:val="0"/>
          <w:numId w:val="30"/>
        </w:numPr>
        <w:rPr>
          <w:color w:val="auto"/>
          <w:szCs w:val="24"/>
        </w:rPr>
      </w:pPr>
      <w:r w:rsidRPr="003673FA">
        <w:rPr>
          <w:color w:val="auto"/>
          <w:szCs w:val="24"/>
        </w:rPr>
        <w:t xml:space="preserve">Provide guidance to Linkage Projects </w:t>
      </w:r>
      <w:r w:rsidR="001D34D2" w:rsidRPr="003673FA">
        <w:rPr>
          <w:color w:val="auto"/>
          <w:szCs w:val="24"/>
        </w:rPr>
        <w:t>Selection Advisory Committees (</w:t>
      </w:r>
      <w:r w:rsidRPr="003673FA">
        <w:rPr>
          <w:color w:val="auto"/>
          <w:szCs w:val="24"/>
        </w:rPr>
        <w:t>SACs</w:t>
      </w:r>
      <w:r w:rsidR="001D34D2" w:rsidRPr="003673FA">
        <w:rPr>
          <w:color w:val="auto"/>
          <w:szCs w:val="24"/>
        </w:rPr>
        <w:t>)</w:t>
      </w:r>
      <w:r w:rsidRPr="003673FA">
        <w:rPr>
          <w:color w:val="auto"/>
          <w:szCs w:val="24"/>
        </w:rPr>
        <w:t xml:space="preserve"> to ensure high quality </w:t>
      </w:r>
      <w:r w:rsidR="0054698B" w:rsidRPr="003673FA">
        <w:rPr>
          <w:color w:val="auto"/>
          <w:szCs w:val="24"/>
        </w:rPr>
        <w:t>applications</w:t>
      </w:r>
      <w:r w:rsidRPr="003673FA">
        <w:rPr>
          <w:color w:val="auto"/>
          <w:szCs w:val="24"/>
        </w:rPr>
        <w:t xml:space="preserve"> that involve business partner organisations are given greater priority</w:t>
      </w:r>
    </w:p>
    <w:p w14:paraId="3C58C8B1" w14:textId="31B4B9B9" w:rsidR="00F82B85" w:rsidRPr="003673FA" w:rsidRDefault="00F82B85" w:rsidP="00F82B85">
      <w:pPr>
        <w:pStyle w:val="ListParagraph"/>
        <w:numPr>
          <w:ilvl w:val="0"/>
          <w:numId w:val="30"/>
        </w:numPr>
        <w:rPr>
          <w:color w:val="auto"/>
          <w:szCs w:val="24"/>
        </w:rPr>
      </w:pPr>
      <w:r w:rsidRPr="003673FA">
        <w:rPr>
          <w:color w:val="auto"/>
          <w:szCs w:val="24"/>
        </w:rPr>
        <w:t>Consider using metrics provided in this report as benchmarks to monitor future performance of the continuous process and inform improvements.</w:t>
      </w:r>
    </w:p>
    <w:p w14:paraId="6AF1C378" w14:textId="6FE5A7E4" w:rsidR="00066F58" w:rsidRPr="003673FA" w:rsidRDefault="00066F58" w:rsidP="00F82B85">
      <w:pPr>
        <w:rPr>
          <w:szCs w:val="24"/>
        </w:rPr>
      </w:pPr>
      <w:r w:rsidRPr="003673FA">
        <w:rPr>
          <w:szCs w:val="24"/>
        </w:rPr>
        <w:br w:type="page"/>
      </w:r>
    </w:p>
    <w:p w14:paraId="4D83C171" w14:textId="23CE047C" w:rsidR="00CB373D" w:rsidRPr="003673FA" w:rsidRDefault="00CB373D" w:rsidP="00CB373D">
      <w:pPr>
        <w:pStyle w:val="Heading1"/>
      </w:pPr>
      <w:bookmarkStart w:id="3" w:name="_Toc3285743"/>
      <w:bookmarkStart w:id="4" w:name="_Toc6218366"/>
      <w:r w:rsidRPr="003673FA">
        <w:lastRenderedPageBreak/>
        <w:t>Background</w:t>
      </w:r>
      <w:bookmarkEnd w:id="3"/>
      <w:r w:rsidR="007C42D8" w:rsidRPr="003673FA">
        <w:t xml:space="preserve"> and context</w:t>
      </w:r>
      <w:bookmarkEnd w:id="4"/>
    </w:p>
    <w:p w14:paraId="637C032C" w14:textId="77777777" w:rsidR="00A21012" w:rsidRPr="003673FA" w:rsidRDefault="00A21012" w:rsidP="003317C2"/>
    <w:p w14:paraId="77965BD2" w14:textId="46C5378E" w:rsidR="009C175D" w:rsidRPr="003673FA" w:rsidRDefault="00DB3A32" w:rsidP="00CB373D">
      <w:pPr>
        <w:pStyle w:val="Heading2"/>
      </w:pPr>
      <w:bookmarkStart w:id="5" w:name="_Toc3285744"/>
      <w:bookmarkStart w:id="6" w:name="_Toc6218367"/>
      <w:r w:rsidRPr="003673FA">
        <w:t xml:space="preserve">The Linkage Projects </w:t>
      </w:r>
      <w:r w:rsidR="004F3F5A" w:rsidRPr="003673FA">
        <w:t>scheme</w:t>
      </w:r>
      <w:bookmarkEnd w:id="5"/>
      <w:bookmarkEnd w:id="6"/>
    </w:p>
    <w:p w14:paraId="5E4D895D" w14:textId="77777777" w:rsidR="009C175D" w:rsidRPr="003673FA" w:rsidRDefault="009C175D" w:rsidP="009C175D">
      <w:pPr>
        <w:rPr>
          <w:u w:val="single"/>
        </w:rPr>
      </w:pPr>
    </w:p>
    <w:p w14:paraId="35277BF9" w14:textId="10302055" w:rsidR="004F3F5A" w:rsidRPr="003673FA" w:rsidRDefault="009C175D" w:rsidP="004F3F5A">
      <w:r w:rsidRPr="003673FA">
        <w:t xml:space="preserve">The ARC Linkage Projects scheme promotes research partnerships by providing funding to </w:t>
      </w:r>
      <w:r w:rsidR="00A91FEE" w:rsidRPr="003673FA">
        <w:t xml:space="preserve">Australian </w:t>
      </w:r>
      <w:r w:rsidRPr="003673FA">
        <w:t xml:space="preserve">higher education institutions for collaborative research with industry and other research end users. </w:t>
      </w:r>
      <w:r w:rsidR="004F3F5A" w:rsidRPr="003673FA">
        <w:t>The scheme’s objectives are to:</w:t>
      </w:r>
    </w:p>
    <w:p w14:paraId="46CBDBB2" w14:textId="77777777" w:rsidR="004F3F5A" w:rsidRPr="003673FA" w:rsidRDefault="004F3F5A" w:rsidP="00765927">
      <w:pPr>
        <w:pStyle w:val="ListParagraph"/>
        <w:numPr>
          <w:ilvl w:val="0"/>
          <w:numId w:val="3"/>
        </w:numPr>
        <w:rPr>
          <w:color w:val="auto"/>
        </w:rPr>
      </w:pPr>
      <w:r w:rsidRPr="003673FA">
        <w:rPr>
          <w:color w:val="auto"/>
        </w:rPr>
        <w:t>support the initiation and/or development of long term strategic research alliances between higher education organisations and other organisations, including industry and other research end users, in order to apply advanced knowledge to problems and/or to provide opportunities to obtain national economic, commercial, social or cultural benefits</w:t>
      </w:r>
    </w:p>
    <w:p w14:paraId="15B80625" w14:textId="77777777" w:rsidR="004F3F5A" w:rsidRPr="003673FA" w:rsidRDefault="004F3F5A" w:rsidP="00765927">
      <w:pPr>
        <w:pStyle w:val="ListParagraph"/>
        <w:numPr>
          <w:ilvl w:val="0"/>
          <w:numId w:val="3"/>
        </w:numPr>
        <w:rPr>
          <w:color w:val="auto"/>
        </w:rPr>
      </w:pPr>
      <w:r w:rsidRPr="003673FA">
        <w:rPr>
          <w:color w:val="auto"/>
        </w:rPr>
        <w:t xml:space="preserve">provide opportunities for internationally competitive research projects to be conducted in collaboration with organisations outside the higher education sector, targeting those who have demonstrated a clear commitment to high-quality research </w:t>
      </w:r>
    </w:p>
    <w:p w14:paraId="4FD0820C" w14:textId="77777777" w:rsidR="004F3F5A" w:rsidRPr="003673FA" w:rsidRDefault="004F3F5A" w:rsidP="00765927">
      <w:pPr>
        <w:pStyle w:val="ListParagraph"/>
        <w:numPr>
          <w:ilvl w:val="0"/>
          <w:numId w:val="3"/>
        </w:numPr>
        <w:rPr>
          <w:color w:val="auto"/>
        </w:rPr>
      </w:pPr>
      <w:r w:rsidRPr="003673FA">
        <w:rPr>
          <w:color w:val="auto"/>
        </w:rPr>
        <w:t>encourage growth of a national pool of world-class researchers to meet the needs of the broader Australian innovation system</w:t>
      </w:r>
    </w:p>
    <w:p w14:paraId="0D19E094" w14:textId="77777777" w:rsidR="004F3F5A" w:rsidRPr="003673FA" w:rsidRDefault="004F3F5A" w:rsidP="00765927">
      <w:pPr>
        <w:pStyle w:val="ListParagraph"/>
        <w:numPr>
          <w:ilvl w:val="0"/>
          <w:numId w:val="3"/>
        </w:numPr>
        <w:rPr>
          <w:color w:val="auto"/>
        </w:rPr>
      </w:pPr>
      <w:proofErr w:type="gramStart"/>
      <w:r w:rsidRPr="003673FA">
        <w:rPr>
          <w:color w:val="auto"/>
        </w:rPr>
        <w:t>build</w:t>
      </w:r>
      <w:proofErr w:type="gramEnd"/>
      <w:r w:rsidRPr="003673FA">
        <w:rPr>
          <w:color w:val="auto"/>
        </w:rPr>
        <w:t xml:space="preserve"> the scale and focus of research in the national Science and Research Priorities.</w:t>
      </w:r>
      <w:r w:rsidRPr="003673FA">
        <w:rPr>
          <w:rStyle w:val="FootnoteReference"/>
          <w:color w:val="auto"/>
        </w:rPr>
        <w:footnoteReference w:id="1"/>
      </w:r>
    </w:p>
    <w:p w14:paraId="08652AE5" w14:textId="77777777" w:rsidR="004F3F5A" w:rsidRPr="003673FA" w:rsidRDefault="004F3F5A" w:rsidP="009C175D"/>
    <w:p w14:paraId="125CEA24" w14:textId="55385A31" w:rsidR="004F3F5A" w:rsidRPr="003673FA" w:rsidRDefault="004F3F5A" w:rsidP="00CB373D">
      <w:pPr>
        <w:pStyle w:val="Heading2"/>
      </w:pPr>
      <w:bookmarkStart w:id="7" w:name="_Toc3285745"/>
      <w:bookmarkStart w:id="8" w:name="_Toc6218368"/>
      <w:r w:rsidRPr="003673FA">
        <w:t>The continuous Linkage Projects process</w:t>
      </w:r>
      <w:bookmarkEnd w:id="7"/>
      <w:bookmarkEnd w:id="8"/>
    </w:p>
    <w:p w14:paraId="2DBBCC04" w14:textId="77777777" w:rsidR="004F3F5A" w:rsidRPr="003673FA" w:rsidRDefault="004F3F5A" w:rsidP="009C175D"/>
    <w:p w14:paraId="5F9B9B36" w14:textId="2DCE2349" w:rsidR="009C175D" w:rsidRPr="003673FA" w:rsidRDefault="00A91FEE" w:rsidP="009C175D">
      <w:r w:rsidRPr="003673FA">
        <w:t xml:space="preserve">Between 2013 and 2016, the Linkage Projects scheme was administered with an annual round of applications and associated assessment processes. </w:t>
      </w:r>
      <w:r w:rsidR="009C175D" w:rsidRPr="003673FA">
        <w:t>As part of the Australian Government’s National Innovation and Science Agenda (NISA),</w:t>
      </w:r>
      <w:r w:rsidR="009C175D" w:rsidRPr="003673FA">
        <w:rPr>
          <w:rStyle w:val="FootnoteReference"/>
        </w:rPr>
        <w:footnoteReference w:id="2"/>
      </w:r>
      <w:r w:rsidR="009C175D" w:rsidRPr="003673FA">
        <w:t xml:space="preserve"> a continuous </w:t>
      </w:r>
      <w:r w:rsidR="004F3F5A" w:rsidRPr="003673FA">
        <w:t xml:space="preserve">Linkage Projects </w:t>
      </w:r>
      <w:r w:rsidR="009C175D" w:rsidRPr="003673FA">
        <w:t>application and assessment process was introduced on 1 July 2016 to facilitate timely, successful collaboration and greater responsiveness to innovation opportunities.</w:t>
      </w:r>
    </w:p>
    <w:p w14:paraId="6F9E4C11" w14:textId="77777777" w:rsidR="009C175D" w:rsidRPr="003673FA" w:rsidRDefault="009C175D" w:rsidP="009C175D"/>
    <w:p w14:paraId="0A3387FF" w14:textId="79184CF8" w:rsidR="009C175D" w:rsidRPr="003673FA" w:rsidRDefault="009C175D" w:rsidP="009C175D">
      <w:r w:rsidRPr="003673FA">
        <w:t xml:space="preserve">The introduction of the continuous process under NISA was informed by the 2015 </w:t>
      </w:r>
      <w:r w:rsidRPr="003673FA">
        <w:rPr>
          <w:i/>
        </w:rPr>
        <w:t>Review of Research Policy and Funding Arrangements</w:t>
      </w:r>
      <w:r w:rsidRPr="003673FA">
        <w:t xml:space="preserve"> (Watt Review). The Watt Review found that annual timeframes undermined the ability of businesses and other research end users to respond to time critical market or innovation opportunities. </w:t>
      </w:r>
      <w:r w:rsidR="00A91FEE" w:rsidRPr="003673FA">
        <w:t xml:space="preserve">The Watt Review </w:t>
      </w:r>
      <w:r w:rsidRPr="003673FA">
        <w:t>also noted t</w:t>
      </w:r>
      <w:r w:rsidR="00A91FEE" w:rsidRPr="003673FA">
        <w:t xml:space="preserve">he </w:t>
      </w:r>
      <w:r w:rsidRPr="003673FA">
        <w:t>government</w:t>
      </w:r>
      <w:r w:rsidR="00A91FEE" w:rsidRPr="003673FA">
        <w:t>’s specific</w:t>
      </w:r>
      <w:r w:rsidRPr="003673FA">
        <w:t xml:space="preserve"> focus on increasing business engagement in research to strengthen innovation and commercial outcomes. </w:t>
      </w:r>
    </w:p>
    <w:p w14:paraId="75F4E8D2" w14:textId="77777777" w:rsidR="009C175D" w:rsidRPr="003673FA" w:rsidRDefault="009C175D" w:rsidP="009C175D"/>
    <w:p w14:paraId="4F94C06A" w14:textId="77777777" w:rsidR="009C175D" w:rsidRPr="003673FA" w:rsidRDefault="009C175D" w:rsidP="009C175D">
      <w:r w:rsidRPr="003673FA">
        <w:t>The implementation of the continuous process responded specifically to the Watt Review recommendations that:</w:t>
      </w:r>
    </w:p>
    <w:p w14:paraId="18A693BA" w14:textId="77777777" w:rsidR="009C175D" w:rsidRPr="003673FA" w:rsidRDefault="009C175D" w:rsidP="00765927">
      <w:pPr>
        <w:pStyle w:val="ListParagraph"/>
        <w:numPr>
          <w:ilvl w:val="0"/>
          <w:numId w:val="3"/>
        </w:numPr>
        <w:rPr>
          <w:color w:val="auto"/>
        </w:rPr>
      </w:pPr>
      <w:r w:rsidRPr="003673FA">
        <w:rPr>
          <w:color w:val="auto"/>
        </w:rPr>
        <w:t>the Linkage Projects scheme moves from one round per year to a continuous application and peer assessment process from 1 July 2016, with strong applications to be progressed immediately for ministerial approval, and the remaining applications to be considered in one of three selection meetings per year (recommendation 6a)</w:t>
      </w:r>
    </w:p>
    <w:p w14:paraId="497E0BA7" w14:textId="77777777" w:rsidR="009C175D" w:rsidRPr="003673FA" w:rsidRDefault="009C175D" w:rsidP="00765927">
      <w:pPr>
        <w:pStyle w:val="ListParagraph"/>
        <w:numPr>
          <w:ilvl w:val="0"/>
          <w:numId w:val="3"/>
        </w:numPr>
        <w:rPr>
          <w:color w:val="auto"/>
        </w:rPr>
      </w:pPr>
      <w:r w:rsidRPr="003673FA">
        <w:rPr>
          <w:color w:val="auto"/>
        </w:rPr>
        <w:t>grant outcomes should be announced within a maximum of six months from the submission of applications (recommendation 6b)</w:t>
      </w:r>
    </w:p>
    <w:p w14:paraId="10EFF09B" w14:textId="2B13500C" w:rsidR="009C175D" w:rsidRPr="003673FA" w:rsidRDefault="009C175D" w:rsidP="00765927">
      <w:pPr>
        <w:pStyle w:val="ListParagraph"/>
        <w:numPr>
          <w:ilvl w:val="0"/>
          <w:numId w:val="3"/>
        </w:numPr>
        <w:rPr>
          <w:color w:val="auto"/>
        </w:rPr>
      </w:pPr>
      <w:proofErr w:type="gramStart"/>
      <w:r w:rsidRPr="003673FA">
        <w:rPr>
          <w:color w:val="auto"/>
        </w:rPr>
        <w:t>the</w:t>
      </w:r>
      <w:proofErr w:type="gramEnd"/>
      <w:r w:rsidRPr="003673FA">
        <w:rPr>
          <w:color w:val="auto"/>
        </w:rPr>
        <w:t xml:space="preserve"> ARC revises its guidance for selection advisory committees for the Linkage Projects scheme to ensure that high quality proposals that involve business partner organisations are given greater priority (recommendation 6c)</w:t>
      </w:r>
      <w:r w:rsidR="00CB23C7" w:rsidRPr="003673FA">
        <w:rPr>
          <w:color w:val="auto"/>
        </w:rPr>
        <w:t>.</w:t>
      </w:r>
      <w:r w:rsidRPr="003673FA">
        <w:rPr>
          <w:rStyle w:val="FootnoteReference"/>
          <w:color w:val="auto"/>
        </w:rPr>
        <w:footnoteReference w:id="3"/>
      </w:r>
    </w:p>
    <w:p w14:paraId="5FEE1D7C" w14:textId="719FDD50" w:rsidR="009C175D" w:rsidRPr="003673FA" w:rsidRDefault="009C175D" w:rsidP="009C175D"/>
    <w:p w14:paraId="1CFA272C" w14:textId="507A1243" w:rsidR="009E58C9" w:rsidRPr="003673FA" w:rsidRDefault="009E58C9" w:rsidP="00CB373D">
      <w:pPr>
        <w:pStyle w:val="Heading2"/>
      </w:pPr>
      <w:bookmarkStart w:id="9" w:name="_Toc3285746"/>
      <w:bookmarkStart w:id="10" w:name="_Toc6218369"/>
      <w:r w:rsidRPr="003673FA">
        <w:lastRenderedPageBreak/>
        <w:t>ARC implementation of the continuous process</w:t>
      </w:r>
      <w:bookmarkEnd w:id="9"/>
      <w:bookmarkEnd w:id="10"/>
    </w:p>
    <w:p w14:paraId="761B749F" w14:textId="1655E143" w:rsidR="009E58C9" w:rsidRPr="003673FA" w:rsidRDefault="009E58C9" w:rsidP="009C175D"/>
    <w:p w14:paraId="58CC43A3" w14:textId="305F9411" w:rsidR="009E58C9" w:rsidRPr="003673FA" w:rsidRDefault="00006A4E" w:rsidP="009C175D">
      <w:r w:rsidRPr="003673FA">
        <w:t>T</w:t>
      </w:r>
      <w:r w:rsidR="009C51B1" w:rsidRPr="003673FA">
        <w:t>he continuous process</w:t>
      </w:r>
      <w:r w:rsidRPr="003673FA">
        <w:t xml:space="preserve"> commenced on 1 July 2016. As part of the process</w:t>
      </w:r>
      <w:r w:rsidR="009C51B1" w:rsidRPr="003673FA">
        <w:t xml:space="preserve">, Linkage Projects applications </w:t>
      </w:r>
      <w:r w:rsidR="00DF5B9B" w:rsidRPr="003673FA">
        <w:t xml:space="preserve">for each round of the scheme (that is, approximately each year of the scheme) </w:t>
      </w:r>
      <w:r w:rsidR="009C51B1" w:rsidRPr="003673FA">
        <w:t>may be submitted to the ARC at any time. The opening and closing dates for each round are listed on the ARC website, as well as an indication</w:t>
      </w:r>
      <w:r w:rsidR="00DF5B9B" w:rsidRPr="003673FA">
        <w:t xml:space="preserve"> that all proposal outcomes are </w:t>
      </w:r>
      <w:r w:rsidR="009C51B1" w:rsidRPr="003673FA">
        <w:t xml:space="preserve">recommended to the Minister </w:t>
      </w:r>
      <w:r w:rsidR="005B4EEC" w:rsidRPr="003673FA">
        <w:t xml:space="preserve">for Education </w:t>
      </w:r>
      <w:r w:rsidR="009C51B1" w:rsidRPr="003673FA">
        <w:t xml:space="preserve">within six months of submission. </w:t>
      </w:r>
      <w:r w:rsidR="00DF5B9B" w:rsidRPr="003673FA">
        <w:t>T</w:t>
      </w:r>
      <w:r w:rsidR="009C51B1" w:rsidRPr="003673FA">
        <w:t xml:space="preserve">he continuous nature of </w:t>
      </w:r>
      <w:r w:rsidR="00DF5B9B" w:rsidRPr="003673FA">
        <w:t>submissions within the scheme means</w:t>
      </w:r>
      <w:r w:rsidR="009C51B1" w:rsidRPr="003673FA">
        <w:t xml:space="preserve"> it is not possible to publish dates for </w:t>
      </w:r>
      <w:r w:rsidR="00DF5B9B" w:rsidRPr="003673FA">
        <w:t>specific</w:t>
      </w:r>
      <w:r w:rsidR="009C51B1" w:rsidRPr="003673FA">
        <w:t xml:space="preserve"> stages of the </w:t>
      </w:r>
      <w:r w:rsidR="00DF5B9B" w:rsidRPr="003673FA">
        <w:t xml:space="preserve">assessment </w:t>
      </w:r>
      <w:r w:rsidR="009C51B1" w:rsidRPr="003673FA">
        <w:t xml:space="preserve">process in the same way </w:t>
      </w:r>
      <w:r w:rsidR="007F728B" w:rsidRPr="003673FA">
        <w:t xml:space="preserve">as </w:t>
      </w:r>
      <w:r w:rsidR="0053081A" w:rsidRPr="003673FA">
        <w:t xml:space="preserve">the ARC does for </w:t>
      </w:r>
      <w:r w:rsidR="007F728B" w:rsidRPr="003673FA">
        <w:t>other schemes.</w:t>
      </w:r>
    </w:p>
    <w:p w14:paraId="6188E362" w14:textId="2E77632D" w:rsidR="005708F6" w:rsidRPr="003673FA" w:rsidRDefault="005708F6"/>
    <w:p w14:paraId="126455D5" w14:textId="5D7BDC3C" w:rsidR="007F728B" w:rsidRPr="003673FA" w:rsidRDefault="007F728B" w:rsidP="00C768B0">
      <w:r w:rsidRPr="003673FA">
        <w:t xml:space="preserve">To manage the </w:t>
      </w:r>
      <w:r w:rsidR="00DF5B9B" w:rsidRPr="003673FA">
        <w:t>continuous</w:t>
      </w:r>
      <w:r w:rsidRPr="003673FA">
        <w:t xml:space="preserve"> submission of applications and ensure recommendations are provided to the Minister within six months, the ARC </w:t>
      </w:r>
      <w:r w:rsidR="00DF5B9B" w:rsidRPr="003673FA">
        <w:t xml:space="preserve">generally </w:t>
      </w:r>
      <w:r w:rsidRPr="003673FA">
        <w:t xml:space="preserve">processes applications in a number of ‘batches’ per round. </w:t>
      </w:r>
      <w:r w:rsidR="00DF5B9B" w:rsidRPr="003673FA">
        <w:t xml:space="preserve">Reflecting the sporadic nature of submissions, batches vary considerably in size. </w:t>
      </w:r>
      <w:r w:rsidR="00C621DB" w:rsidRPr="003673FA">
        <w:t>B</w:t>
      </w:r>
      <w:r w:rsidR="00CF34F1" w:rsidRPr="003673FA">
        <w:t>atch timelines are set by the ARC when the first application in a round is received</w:t>
      </w:r>
      <w:r w:rsidR="00C621DB" w:rsidRPr="003673FA">
        <w:t>, and provide the basis for the ARC to manage the required assessment process</w:t>
      </w:r>
      <w:r w:rsidR="00DF5B9B" w:rsidRPr="003673FA">
        <w:t>es and meet the six month commitment</w:t>
      </w:r>
      <w:r w:rsidR="00CF34F1" w:rsidRPr="003673FA">
        <w:t>.</w:t>
      </w:r>
    </w:p>
    <w:p w14:paraId="3B59B0CE" w14:textId="77777777" w:rsidR="007F728B" w:rsidRPr="003673FA" w:rsidRDefault="007F728B" w:rsidP="00C768B0"/>
    <w:p w14:paraId="3524812D" w14:textId="397EF015" w:rsidR="00C768B0" w:rsidRPr="003673FA" w:rsidRDefault="00C91D96" w:rsidP="00C768B0">
      <w:r w:rsidRPr="003673FA">
        <w:t xml:space="preserve">Three </w:t>
      </w:r>
      <w:r w:rsidR="00455F0F" w:rsidRPr="003673FA">
        <w:t xml:space="preserve">Selection Advisory Committee (SAC) members (also known as </w:t>
      </w:r>
      <w:r w:rsidRPr="003673FA">
        <w:t>g</w:t>
      </w:r>
      <w:r w:rsidR="007F728B" w:rsidRPr="003673FA">
        <w:t>eneral assessors</w:t>
      </w:r>
      <w:r w:rsidR="00455F0F" w:rsidRPr="003673FA">
        <w:t>)</w:t>
      </w:r>
      <w:r w:rsidR="007F728B" w:rsidRPr="003673FA">
        <w:t xml:space="preserve"> are assigned to </w:t>
      </w:r>
      <w:r w:rsidRPr="003673FA">
        <w:t xml:space="preserve">each </w:t>
      </w:r>
      <w:r w:rsidR="007F728B" w:rsidRPr="003673FA">
        <w:t>applic</w:t>
      </w:r>
      <w:r w:rsidRPr="003673FA">
        <w:t>ation</w:t>
      </w:r>
      <w:r w:rsidR="004A6626" w:rsidRPr="003673FA">
        <w:t xml:space="preserve">. </w:t>
      </w:r>
      <w:r w:rsidR="00DF5B9B" w:rsidRPr="003673FA">
        <w:t>In common with other ARC schemes, o</w:t>
      </w:r>
      <w:r w:rsidR="004A6626" w:rsidRPr="003673FA">
        <w:t xml:space="preserve">ne </w:t>
      </w:r>
      <w:r w:rsidR="003E3113" w:rsidRPr="003673FA">
        <w:t>SAC member</w:t>
      </w:r>
      <w:r w:rsidR="004A6626" w:rsidRPr="003673FA">
        <w:t xml:space="preserve"> (‘Carriage 1’) on each application is required to assign detailed assessors to the application </w:t>
      </w:r>
      <w:r w:rsidR="008A5EC7" w:rsidRPr="003673FA">
        <w:t>in the ARC’s Research Management System (</w:t>
      </w:r>
      <w:r w:rsidR="004A6626" w:rsidRPr="003673FA">
        <w:t>RMS</w:t>
      </w:r>
      <w:r w:rsidR="008A5EC7" w:rsidRPr="003673FA">
        <w:t>)</w:t>
      </w:r>
      <w:r w:rsidR="004A6626" w:rsidRPr="003673FA">
        <w:t>. Under the continuous process</w:t>
      </w:r>
      <w:r w:rsidR="00CF34F1" w:rsidRPr="003673FA">
        <w:t>—unlike the annual process</w:t>
      </w:r>
      <w:r w:rsidR="008A5EC7" w:rsidRPr="003673FA">
        <w:t xml:space="preserve"> and other ARC schemes</w:t>
      </w:r>
      <w:r w:rsidR="00DF5B9B" w:rsidRPr="003673FA">
        <w:t>—</w:t>
      </w:r>
      <w:r w:rsidR="003E3113" w:rsidRPr="003673FA">
        <w:t>SAC members</w:t>
      </w:r>
      <w:r w:rsidR="00DF5B9B" w:rsidRPr="003673FA">
        <w:t xml:space="preserve"> and detailed </w:t>
      </w:r>
      <w:r w:rsidR="004A6626" w:rsidRPr="003673FA">
        <w:t xml:space="preserve">assessors may be responsible for multiple applications with staggered </w:t>
      </w:r>
      <w:r w:rsidR="008A5EC7" w:rsidRPr="003673FA">
        <w:t>timeframes</w:t>
      </w:r>
      <w:r w:rsidR="00CF34F1" w:rsidRPr="003673FA">
        <w:t xml:space="preserve"> </w:t>
      </w:r>
      <w:r w:rsidR="008A5EC7" w:rsidRPr="003673FA">
        <w:t>simultaneously</w:t>
      </w:r>
      <w:r w:rsidR="00CF34F1" w:rsidRPr="003673FA">
        <w:t>, and may be assigned applications at any time</w:t>
      </w:r>
      <w:r w:rsidR="006B40F7" w:rsidRPr="003673FA">
        <w:t xml:space="preserve"> across a number of batches</w:t>
      </w:r>
      <w:r w:rsidR="00CF34F1" w:rsidRPr="003673FA">
        <w:t>.</w:t>
      </w:r>
    </w:p>
    <w:p w14:paraId="320350D6" w14:textId="18368B8C" w:rsidR="008A5EC7" w:rsidRPr="003673FA" w:rsidRDefault="008A5EC7" w:rsidP="00C768B0"/>
    <w:p w14:paraId="7F9432A7" w14:textId="1CD5BC92" w:rsidR="008A5EC7" w:rsidRPr="003673FA" w:rsidRDefault="00A95055" w:rsidP="00C768B0">
      <w:r w:rsidRPr="003673FA">
        <w:t>D</w:t>
      </w:r>
      <w:r w:rsidR="00E451E7" w:rsidRPr="003673FA">
        <w:t xml:space="preserve">etailed assessors </w:t>
      </w:r>
      <w:r w:rsidR="00335A50" w:rsidRPr="003673FA">
        <w:t xml:space="preserve">generally </w:t>
      </w:r>
      <w:r w:rsidRPr="003673FA">
        <w:t xml:space="preserve">have </w:t>
      </w:r>
      <w:r w:rsidR="00A91FEE" w:rsidRPr="003673FA">
        <w:t>three</w:t>
      </w:r>
      <w:r w:rsidRPr="003673FA">
        <w:t xml:space="preserve"> weeks </w:t>
      </w:r>
      <w:r w:rsidR="00335A50" w:rsidRPr="003673FA">
        <w:t xml:space="preserve">(less time than other ARC schemes) </w:t>
      </w:r>
      <w:r w:rsidRPr="003673FA">
        <w:t xml:space="preserve">to </w:t>
      </w:r>
      <w:r w:rsidR="00E451E7" w:rsidRPr="003673FA">
        <w:t xml:space="preserve">provide scores and comments on the applications </w:t>
      </w:r>
      <w:r w:rsidR="00DF5B9B" w:rsidRPr="003673FA">
        <w:t>assigned to them within any given batch</w:t>
      </w:r>
      <w:r w:rsidRPr="003673FA">
        <w:t xml:space="preserve">. </w:t>
      </w:r>
      <w:r w:rsidR="00DF5B9B" w:rsidRPr="003673FA">
        <w:t>Following this, a</w:t>
      </w:r>
      <w:r w:rsidR="00E451E7" w:rsidRPr="003673FA">
        <w:t xml:space="preserve">pplicants have </w:t>
      </w:r>
      <w:r w:rsidR="00BC6F7D" w:rsidRPr="003673FA">
        <w:t>one week</w:t>
      </w:r>
      <w:r w:rsidR="00E451E7" w:rsidRPr="003673FA">
        <w:t xml:space="preserve"> to complete any rejoinders (half as long as other ARC schemes)</w:t>
      </w:r>
      <w:r w:rsidR="00DF5B9B" w:rsidRPr="003673FA">
        <w:t xml:space="preserve">. </w:t>
      </w:r>
      <w:r w:rsidR="003E3113" w:rsidRPr="003673FA">
        <w:t>SAC members</w:t>
      </w:r>
      <w:r w:rsidR="00DF5B9B" w:rsidRPr="003673FA">
        <w:t xml:space="preserve"> then</w:t>
      </w:r>
      <w:r w:rsidRPr="003673FA">
        <w:t xml:space="preserve"> have around </w:t>
      </w:r>
      <w:r w:rsidR="0086039A" w:rsidRPr="003673FA">
        <w:t>two</w:t>
      </w:r>
      <w:r w:rsidRPr="003673FA">
        <w:t xml:space="preserve"> weeks to submit their assessments. Under the continuous process, Carriage 1 is asked to provide</w:t>
      </w:r>
      <w:r w:rsidR="00364C1F" w:rsidRPr="003673FA">
        <w:t>—by email to the ARC</w:t>
      </w:r>
      <w:r w:rsidR="00A91FEE" w:rsidRPr="003673FA">
        <w:t xml:space="preserve">, and with the agreement of the other </w:t>
      </w:r>
      <w:r w:rsidR="003E3113" w:rsidRPr="003673FA">
        <w:t>SAC members</w:t>
      </w:r>
      <w:r w:rsidR="00A91FEE" w:rsidRPr="003673FA">
        <w:t xml:space="preserve"> </w:t>
      </w:r>
      <w:r w:rsidR="00ED3637" w:rsidRPr="003673FA">
        <w:t>assigned to each</w:t>
      </w:r>
      <w:r w:rsidR="00A91FEE" w:rsidRPr="003673FA">
        <w:t xml:space="preserve"> application</w:t>
      </w:r>
      <w:r w:rsidR="00364C1F" w:rsidRPr="003673FA">
        <w:t>—</w:t>
      </w:r>
      <w:r w:rsidRPr="003673FA">
        <w:t>a one line budget recommendation for highly scored applications</w:t>
      </w:r>
      <w:r w:rsidR="00364C1F" w:rsidRPr="003673FA">
        <w:t>, and confirmation of whether an application should be ‘</w:t>
      </w:r>
      <w:r w:rsidR="000E681A" w:rsidRPr="003673FA">
        <w:t xml:space="preserve">fast </w:t>
      </w:r>
      <w:r w:rsidR="00364C1F" w:rsidRPr="003673FA">
        <w:t>tracked’</w:t>
      </w:r>
      <w:r w:rsidRPr="003673FA">
        <w:t>.</w:t>
      </w:r>
      <w:r w:rsidR="001355CF" w:rsidRPr="003673FA">
        <w:t xml:space="preserve"> </w:t>
      </w:r>
    </w:p>
    <w:p w14:paraId="31E4DE9E" w14:textId="77777777" w:rsidR="00CF34F1" w:rsidRPr="003673FA" w:rsidRDefault="00CF34F1"/>
    <w:p w14:paraId="142E80E7" w14:textId="20391260" w:rsidR="00CB373D" w:rsidRPr="003673FA" w:rsidRDefault="00364C1F">
      <w:r w:rsidRPr="003673FA">
        <w:t xml:space="preserve">In practice, fast tracking refers to whether or not an application is considered in a Linkage Projects </w:t>
      </w:r>
      <w:r w:rsidR="00EA1DE0" w:rsidRPr="003673FA">
        <w:t>SAC</w:t>
      </w:r>
      <w:r w:rsidRPr="003673FA">
        <w:t xml:space="preserve"> meeting</w:t>
      </w:r>
      <w:r w:rsidR="000E681A" w:rsidRPr="003673FA">
        <w:t xml:space="preserve"> (one meeting is held for each batch of applications)</w:t>
      </w:r>
      <w:r w:rsidRPr="003673FA">
        <w:t xml:space="preserve">. </w:t>
      </w:r>
      <w:r w:rsidR="0038601D" w:rsidRPr="003673FA">
        <w:t>F</w:t>
      </w:r>
      <w:r w:rsidR="000E681A" w:rsidRPr="003673FA">
        <w:t xml:space="preserve">ast tracked </w:t>
      </w:r>
      <w:r w:rsidRPr="003673FA">
        <w:t>applications are</w:t>
      </w:r>
      <w:r w:rsidR="000E681A" w:rsidRPr="003673FA">
        <w:t xml:space="preserve"> either</w:t>
      </w:r>
      <w:r w:rsidRPr="003673FA">
        <w:t xml:space="preserve"> </w:t>
      </w:r>
      <w:r w:rsidR="000E681A" w:rsidRPr="003673FA">
        <w:t xml:space="preserve">those with high overall assessment scores that are recommended for funding, or low overall assessment scores that are not recommended for funding. If a </w:t>
      </w:r>
      <w:r w:rsidR="003E3113" w:rsidRPr="003673FA">
        <w:t>SAC member</w:t>
      </w:r>
      <w:r w:rsidR="000E681A" w:rsidRPr="003673FA">
        <w:t xml:space="preserve"> raises an issue with a high or low scoring application, or if an application has received disparate assessment scores, it will be considered in a meeting.</w:t>
      </w:r>
    </w:p>
    <w:p w14:paraId="085BAEE2" w14:textId="5FA65E61" w:rsidR="000E681A" w:rsidRPr="003673FA" w:rsidRDefault="000E681A"/>
    <w:p w14:paraId="0C7F9991" w14:textId="39AB7CD3" w:rsidR="000E681A" w:rsidRPr="003673FA" w:rsidRDefault="00EA1DE0">
      <w:r w:rsidRPr="003673FA">
        <w:t>To manage the increased frequency of SAC meetings under the continuous process, they are held via Zoom</w:t>
      </w:r>
      <w:r w:rsidR="005B4EEC" w:rsidRPr="003673FA">
        <w:t xml:space="preserve"> videoconference</w:t>
      </w:r>
      <w:r w:rsidR="0068168C" w:rsidRPr="003673FA">
        <w:t xml:space="preserve">. All </w:t>
      </w:r>
      <w:r w:rsidR="004761F8" w:rsidRPr="003673FA">
        <w:t>SAC members</w:t>
      </w:r>
      <w:r w:rsidR="0068168C" w:rsidRPr="003673FA">
        <w:t xml:space="preserve"> involved in the </w:t>
      </w:r>
      <w:r w:rsidR="0038601D" w:rsidRPr="003673FA">
        <w:t>included</w:t>
      </w:r>
      <w:r w:rsidR="0068168C" w:rsidRPr="003673FA">
        <w:t xml:space="preserve"> applications are tentatively invited to the meeting as early as practicable, but after fast tracked applications have been confirmed, those </w:t>
      </w:r>
      <w:r w:rsidR="004761F8" w:rsidRPr="003673FA">
        <w:t>SAC members</w:t>
      </w:r>
      <w:r w:rsidR="0068168C" w:rsidRPr="003673FA">
        <w:t xml:space="preserve"> who are no longer required to attend the meeting are notified by the ARC. </w:t>
      </w:r>
      <w:r w:rsidR="003D2847" w:rsidRPr="003673FA">
        <w:t xml:space="preserve">SAC members are asked to review a sample of high and low marked applications provided by the ARC prior to the meeting to assist them in assessing the relative quality of the </w:t>
      </w:r>
      <w:r w:rsidR="00DF5B9B" w:rsidRPr="003673FA">
        <w:t>applications</w:t>
      </w:r>
      <w:r w:rsidR="003D2847" w:rsidRPr="003673FA">
        <w:t xml:space="preserve"> discussed at the meeting.</w:t>
      </w:r>
      <w:r w:rsidR="0038601D" w:rsidRPr="003673FA">
        <w:t xml:space="preserve"> At </w:t>
      </w:r>
      <w:r w:rsidR="00DF5B9B" w:rsidRPr="003673FA">
        <w:t>every SAC</w:t>
      </w:r>
      <w:r w:rsidR="0038601D" w:rsidRPr="003673FA">
        <w:t xml:space="preserve"> meeting, discussion</w:t>
      </w:r>
      <w:r w:rsidR="00DF5B9B" w:rsidRPr="003673FA">
        <w:t>s</w:t>
      </w:r>
      <w:r w:rsidR="0038601D" w:rsidRPr="003673FA">
        <w:t xml:space="preserve"> on each application </w:t>
      </w:r>
      <w:r w:rsidR="00DF5B9B" w:rsidRPr="003673FA">
        <w:t>are</w:t>
      </w:r>
      <w:r w:rsidR="0038601D" w:rsidRPr="003673FA">
        <w:t xml:space="preserve"> led by </w:t>
      </w:r>
      <w:r w:rsidR="00DF5B9B" w:rsidRPr="003673FA">
        <w:t>the relevant</w:t>
      </w:r>
      <w:r w:rsidR="0038601D" w:rsidRPr="003673FA">
        <w:t xml:space="preserve"> Carriage 1</w:t>
      </w:r>
      <w:r w:rsidR="00C621DB" w:rsidRPr="003673FA">
        <w:t xml:space="preserve">, and if </w:t>
      </w:r>
      <w:r w:rsidR="00DF5B9B" w:rsidRPr="003673FA">
        <w:t xml:space="preserve">the </w:t>
      </w:r>
      <w:r w:rsidR="00C621DB" w:rsidRPr="003673FA">
        <w:t>meeting participants</w:t>
      </w:r>
      <w:r w:rsidR="0038601D" w:rsidRPr="003673FA">
        <w:t xml:space="preserve"> vote to recommend </w:t>
      </w:r>
      <w:r w:rsidR="00DF5B9B" w:rsidRPr="003673FA">
        <w:t>the</w:t>
      </w:r>
      <w:r w:rsidR="0038601D" w:rsidRPr="003673FA">
        <w:t xml:space="preserve"> application for funding, Carriage 1 must </w:t>
      </w:r>
      <w:r w:rsidR="00C621DB" w:rsidRPr="003673FA">
        <w:t>recommend a</w:t>
      </w:r>
      <w:r w:rsidR="0038601D" w:rsidRPr="003673FA">
        <w:t xml:space="preserve"> </w:t>
      </w:r>
      <w:r w:rsidR="00C621DB" w:rsidRPr="003673FA">
        <w:t xml:space="preserve">project </w:t>
      </w:r>
      <w:r w:rsidR="0038601D" w:rsidRPr="003673FA">
        <w:t xml:space="preserve">budget </w:t>
      </w:r>
      <w:r w:rsidR="00771116" w:rsidRPr="003673FA">
        <w:t>for discussion and agreement</w:t>
      </w:r>
      <w:r w:rsidR="0038601D" w:rsidRPr="003673FA">
        <w:t>.</w:t>
      </w:r>
    </w:p>
    <w:p w14:paraId="298A3500" w14:textId="199C143E" w:rsidR="0038601D" w:rsidRPr="003673FA" w:rsidRDefault="0038601D"/>
    <w:p w14:paraId="2C509344" w14:textId="4D9238A7" w:rsidR="0038601D" w:rsidRPr="003673FA" w:rsidRDefault="00C621DB" w:rsidP="008561A6">
      <w:r w:rsidRPr="003673FA">
        <w:t>Following each SAC meeting</w:t>
      </w:r>
      <w:r w:rsidR="00BB4830" w:rsidRPr="003673FA">
        <w:t>,</w:t>
      </w:r>
      <w:r w:rsidRPr="003673FA">
        <w:t xml:space="preserve"> and </w:t>
      </w:r>
      <w:r w:rsidR="00151732" w:rsidRPr="003673FA">
        <w:t>Chief Executive Officer (</w:t>
      </w:r>
      <w:r w:rsidRPr="003673FA">
        <w:t>CEO</w:t>
      </w:r>
      <w:r w:rsidR="00151732" w:rsidRPr="003673FA">
        <w:t>)</w:t>
      </w:r>
      <w:r w:rsidRPr="003673FA">
        <w:t xml:space="preserve"> approval of the recommendations, the ARC finalises the relevant outcome documentation (including </w:t>
      </w:r>
      <w:r w:rsidR="005B4EEC" w:rsidRPr="003673FA">
        <w:t xml:space="preserve">both </w:t>
      </w:r>
      <w:r w:rsidRPr="003673FA">
        <w:lastRenderedPageBreak/>
        <w:t xml:space="preserve">applications that were considered at the meeting and </w:t>
      </w:r>
      <w:r w:rsidR="00174080" w:rsidRPr="003673FA">
        <w:t xml:space="preserve">those that were </w:t>
      </w:r>
      <w:r w:rsidRPr="003673FA">
        <w:t xml:space="preserve">fast tracked) for approval </w:t>
      </w:r>
      <w:r w:rsidR="005B4EEC" w:rsidRPr="003673FA">
        <w:t xml:space="preserve">and announcement </w:t>
      </w:r>
      <w:r w:rsidRPr="003673FA">
        <w:t xml:space="preserve">by the </w:t>
      </w:r>
      <w:r w:rsidR="005B4EEC" w:rsidRPr="003673FA">
        <w:t>M</w:t>
      </w:r>
      <w:r w:rsidRPr="003673FA">
        <w:t xml:space="preserve">inister. </w:t>
      </w:r>
      <w:r w:rsidR="005B4EEC" w:rsidRPr="003673FA">
        <w:t xml:space="preserve">Once the Minister has publicly announced the successful grants (unsuccessful applications are not announced publicly), </w:t>
      </w:r>
      <w:r w:rsidR="008561A6" w:rsidRPr="003673FA">
        <w:t xml:space="preserve">applicants </w:t>
      </w:r>
      <w:r w:rsidR="00BB4830" w:rsidRPr="003673FA">
        <w:t>on all applications in the batch can see their outcomes</w:t>
      </w:r>
      <w:r w:rsidR="005B4EEC" w:rsidRPr="003673FA">
        <w:t xml:space="preserve"> in </w:t>
      </w:r>
      <w:r w:rsidR="008561A6" w:rsidRPr="003673FA">
        <w:t>RMS</w:t>
      </w:r>
      <w:r w:rsidR="005B4EEC" w:rsidRPr="003673FA">
        <w:t>.</w:t>
      </w:r>
      <w:r w:rsidR="008561A6" w:rsidRPr="003673FA">
        <w:t xml:space="preserve"> Feedback is also provided to unsuccessful applicants in RMS after the announcement, advising whether their application was considered at a selection meeting </w:t>
      </w:r>
      <w:r w:rsidR="00BB4830" w:rsidRPr="003673FA">
        <w:t xml:space="preserve">or fast tracked </w:t>
      </w:r>
      <w:r w:rsidR="00A7726F" w:rsidRPr="003673FA">
        <w:t>with low assessment scores</w:t>
      </w:r>
      <w:r w:rsidR="008561A6" w:rsidRPr="003673FA">
        <w:t>. Unlike other schemes</w:t>
      </w:r>
      <w:r w:rsidR="00ED3637" w:rsidRPr="003673FA">
        <w:t xml:space="preserve"> where all applications submitted in a round are considered in one SAC meeting</w:t>
      </w:r>
      <w:r w:rsidR="008561A6" w:rsidRPr="003673FA">
        <w:t>, the ARC does not provide</w:t>
      </w:r>
      <w:r w:rsidR="00ED3637" w:rsidRPr="003673FA">
        <w:t xml:space="preserve"> advice or feedback on </w:t>
      </w:r>
      <w:r w:rsidR="008561A6" w:rsidRPr="003673FA">
        <w:t>the scoring bands in which unsuccessful applications fell</w:t>
      </w:r>
      <w:r w:rsidR="00ED3637" w:rsidRPr="003673FA">
        <w:t xml:space="preserve"> </w:t>
      </w:r>
      <w:r w:rsidR="00BB4830" w:rsidRPr="003673FA">
        <w:t>under the continuous process.</w:t>
      </w:r>
    </w:p>
    <w:p w14:paraId="41190B76" w14:textId="7B7F831B" w:rsidR="005B4EEC" w:rsidRPr="003673FA" w:rsidRDefault="005B4EEC"/>
    <w:p w14:paraId="1A399F95" w14:textId="075CB0D8" w:rsidR="000E681A" w:rsidRPr="003673FA" w:rsidRDefault="008561A6">
      <w:r w:rsidRPr="003673FA">
        <w:t xml:space="preserve">A publicly available selection report providing statistics for </w:t>
      </w:r>
      <w:r w:rsidR="00ED3637" w:rsidRPr="003673FA">
        <w:t>each</w:t>
      </w:r>
      <w:r w:rsidRPr="003673FA">
        <w:t xml:space="preserve"> scheme round is provided on the ARC we</w:t>
      </w:r>
      <w:r w:rsidR="00A91FEE" w:rsidRPr="003673FA">
        <w:t>bsite at the end of the round</w:t>
      </w:r>
      <w:r w:rsidRPr="003673FA">
        <w:t>,</w:t>
      </w:r>
      <w:r w:rsidRPr="003673FA">
        <w:rPr>
          <w:rStyle w:val="FootnoteReference"/>
        </w:rPr>
        <w:footnoteReference w:id="4"/>
      </w:r>
      <w:r w:rsidRPr="003673FA">
        <w:t xml:space="preserve"> not after each announcement under the continuous process. </w:t>
      </w:r>
    </w:p>
    <w:p w14:paraId="6E73EFC7" w14:textId="77777777" w:rsidR="005B4EEC" w:rsidRPr="003673FA" w:rsidRDefault="005B4EEC"/>
    <w:p w14:paraId="79966DE1" w14:textId="44D400C6" w:rsidR="00CB373D" w:rsidRPr="003673FA" w:rsidRDefault="00CB373D" w:rsidP="00CB373D">
      <w:pPr>
        <w:pStyle w:val="Heading1"/>
      </w:pPr>
      <w:bookmarkStart w:id="11" w:name="_Toc3285747"/>
      <w:bookmarkStart w:id="12" w:name="_Toc6218370"/>
      <w:r w:rsidRPr="003673FA">
        <w:t>Evaluation overview</w:t>
      </w:r>
      <w:bookmarkEnd w:id="11"/>
      <w:bookmarkEnd w:id="12"/>
    </w:p>
    <w:p w14:paraId="437A98C7" w14:textId="77A3BCE3" w:rsidR="00CB373D" w:rsidRPr="003673FA" w:rsidRDefault="00CB373D" w:rsidP="009C175D"/>
    <w:p w14:paraId="474538F9" w14:textId="77777777" w:rsidR="00CB373D" w:rsidRPr="003673FA" w:rsidRDefault="00CB373D" w:rsidP="00CB373D">
      <w:pPr>
        <w:pStyle w:val="Heading2"/>
      </w:pPr>
      <w:bookmarkStart w:id="13" w:name="_Toc3285748"/>
      <w:bookmarkStart w:id="14" w:name="_Toc6218371"/>
      <w:r w:rsidRPr="003673FA">
        <w:t>Authorisation and management</w:t>
      </w:r>
      <w:bookmarkEnd w:id="13"/>
      <w:bookmarkEnd w:id="14"/>
    </w:p>
    <w:p w14:paraId="45A78A17" w14:textId="77777777" w:rsidR="00CB373D" w:rsidRPr="003673FA" w:rsidRDefault="00CB373D" w:rsidP="00CB373D"/>
    <w:p w14:paraId="476961D5" w14:textId="77777777" w:rsidR="00CB373D" w:rsidRPr="003673FA" w:rsidRDefault="00CB373D" w:rsidP="00CB373D">
      <w:r w:rsidRPr="003673FA">
        <w:t>This evaluation was authorised and undertaken in accordance with the ARC Evaluation Strategy and Strategic Evaluation Plan.</w:t>
      </w:r>
      <w:r w:rsidRPr="003673FA">
        <w:rPr>
          <w:rStyle w:val="FootnoteReference"/>
        </w:rPr>
        <w:footnoteReference w:id="5"/>
      </w:r>
    </w:p>
    <w:p w14:paraId="30DAFB2D" w14:textId="77777777" w:rsidR="00CB373D" w:rsidRPr="003673FA" w:rsidRDefault="00CB373D" w:rsidP="00CB373D"/>
    <w:p w14:paraId="5BE2BC2C" w14:textId="77777777" w:rsidR="00CB373D" w:rsidRPr="003673FA" w:rsidRDefault="00CB373D" w:rsidP="00CB373D">
      <w:r w:rsidRPr="003673FA">
        <w:t xml:space="preserve">The evaluation was managed and conducted by the ARC Program Evaluation Section, which sits within the Corporate Services Branch and is independent from policy and program functions within the ARC organisational structure. </w:t>
      </w:r>
    </w:p>
    <w:p w14:paraId="2459C11F" w14:textId="77777777" w:rsidR="00CB373D" w:rsidRPr="003673FA" w:rsidRDefault="00CB373D" w:rsidP="00CB373D"/>
    <w:p w14:paraId="225293A3" w14:textId="77777777" w:rsidR="00CB373D" w:rsidRPr="003673FA" w:rsidRDefault="00CB373D" w:rsidP="00CB373D">
      <w:r w:rsidRPr="003673FA">
        <w:t>The Program Evaluation Section consulted with relevant ARC line areas to identify the priorities and issues addressed in the evaluation, seek advice on policy and program matters, and access policy and program data, documents and information.</w:t>
      </w:r>
    </w:p>
    <w:p w14:paraId="54F691BB" w14:textId="77777777" w:rsidR="00CB373D" w:rsidRPr="003673FA" w:rsidRDefault="00CB373D" w:rsidP="00CB373D"/>
    <w:p w14:paraId="124191A5" w14:textId="32BC9F70" w:rsidR="00CB373D" w:rsidRPr="003673FA" w:rsidRDefault="00ED3637" w:rsidP="00CB373D">
      <w:r w:rsidRPr="003673FA">
        <w:t xml:space="preserve">The Program Evaluation Section engaged ACIL Allen Consulting Pty Ltd to conduct independent survey and interview research with external and internal stakeholders </w:t>
      </w:r>
      <w:r w:rsidR="00CB373D" w:rsidRPr="003673FA">
        <w:t xml:space="preserve">as </w:t>
      </w:r>
      <w:r w:rsidR="00573170" w:rsidRPr="003673FA">
        <w:t xml:space="preserve">an input to the evaluation. </w:t>
      </w:r>
      <w:r w:rsidR="00CB373D" w:rsidRPr="003673FA">
        <w:t>ACIL Allen Consulting</w:t>
      </w:r>
      <w:r w:rsidR="00573170" w:rsidRPr="003673FA">
        <w:t>’s stakeholder engagement services</w:t>
      </w:r>
      <w:r w:rsidR="00CB373D" w:rsidRPr="003673FA">
        <w:t xml:space="preserve"> were procured under the whole-of-government Research, Evaluation and Data panel arrangement, administered by the Department of Social Services.</w:t>
      </w:r>
    </w:p>
    <w:p w14:paraId="5F92407B" w14:textId="08C09DCE" w:rsidR="00CB373D" w:rsidRPr="003673FA" w:rsidRDefault="00CB373D" w:rsidP="009C175D"/>
    <w:p w14:paraId="4CEDFA35" w14:textId="065B3E7D" w:rsidR="009C175D" w:rsidRPr="003673FA" w:rsidRDefault="009C175D" w:rsidP="00CB373D">
      <w:pPr>
        <w:pStyle w:val="Heading2"/>
      </w:pPr>
      <w:bookmarkStart w:id="15" w:name="_Toc3285749"/>
      <w:bookmarkStart w:id="16" w:name="_Toc6218372"/>
      <w:r w:rsidRPr="003673FA">
        <w:t xml:space="preserve">Reasons for </w:t>
      </w:r>
      <w:r w:rsidR="00B676FC" w:rsidRPr="003673FA">
        <w:t xml:space="preserve">the </w:t>
      </w:r>
      <w:r w:rsidRPr="003673FA">
        <w:t>evaluation</w:t>
      </w:r>
      <w:bookmarkEnd w:id="15"/>
      <w:bookmarkEnd w:id="16"/>
    </w:p>
    <w:p w14:paraId="60A4AD20" w14:textId="77777777" w:rsidR="009C175D" w:rsidRPr="003673FA" w:rsidRDefault="009C175D" w:rsidP="009C175D">
      <w:pPr>
        <w:rPr>
          <w:u w:val="single"/>
        </w:rPr>
      </w:pPr>
    </w:p>
    <w:p w14:paraId="289297B7" w14:textId="14FA2C81" w:rsidR="009C175D" w:rsidRPr="003673FA" w:rsidRDefault="009C175D" w:rsidP="009C175D">
      <w:r w:rsidRPr="003673FA">
        <w:t xml:space="preserve">As part of the development of the continuous </w:t>
      </w:r>
      <w:r w:rsidR="009E58C9" w:rsidRPr="003673FA">
        <w:t xml:space="preserve">Linkage Projects </w:t>
      </w:r>
      <w:r w:rsidRPr="003673FA">
        <w:t xml:space="preserve">process, the ARC committed to undertake an evaluation within three years of its implementation. As the continuous process </w:t>
      </w:r>
      <w:r w:rsidR="009E58C9" w:rsidRPr="003673FA">
        <w:t>was</w:t>
      </w:r>
      <w:r w:rsidRPr="003673FA">
        <w:t xml:space="preserve"> a government initiative and is unique among ARC schemes, assessing its </w:t>
      </w:r>
      <w:r w:rsidR="009E58C9" w:rsidRPr="003673FA">
        <w:t xml:space="preserve">performance was </w:t>
      </w:r>
      <w:r w:rsidRPr="003673FA">
        <w:t>a priority</w:t>
      </w:r>
      <w:r w:rsidR="009E58C9" w:rsidRPr="003673FA">
        <w:t xml:space="preserve"> for the ARC</w:t>
      </w:r>
      <w:r w:rsidRPr="003673FA">
        <w:t>.</w:t>
      </w:r>
    </w:p>
    <w:p w14:paraId="1AD32152" w14:textId="77777777" w:rsidR="009C175D" w:rsidRPr="003673FA" w:rsidRDefault="009C175D" w:rsidP="009C175D"/>
    <w:p w14:paraId="2CF4731E" w14:textId="00E88EDA" w:rsidR="007F7CB5" w:rsidRPr="003673FA" w:rsidRDefault="007F7CB5">
      <w:pPr>
        <w:rPr>
          <w:rFonts w:ascii="Arial" w:eastAsia="Times New Roman" w:hAnsi="Arial"/>
          <w:b/>
          <w:bCs/>
          <w:i/>
          <w:sz w:val="28"/>
          <w:szCs w:val="26"/>
        </w:rPr>
      </w:pPr>
      <w:bookmarkStart w:id="17" w:name="_Toc3285750"/>
      <w:r w:rsidRPr="003673FA">
        <w:br w:type="page"/>
      </w:r>
    </w:p>
    <w:p w14:paraId="30B21876" w14:textId="339D19D3" w:rsidR="009C175D" w:rsidRPr="003673FA" w:rsidRDefault="00AA6C5F" w:rsidP="00CB373D">
      <w:pPr>
        <w:pStyle w:val="Heading2"/>
      </w:pPr>
      <w:bookmarkStart w:id="18" w:name="_Toc6218373"/>
      <w:r w:rsidRPr="003673FA">
        <w:lastRenderedPageBreak/>
        <w:t>P</w:t>
      </w:r>
      <w:r w:rsidR="009C175D" w:rsidRPr="003673FA">
        <w:t>urpose and scope</w:t>
      </w:r>
      <w:bookmarkEnd w:id="17"/>
      <w:bookmarkEnd w:id="18"/>
    </w:p>
    <w:p w14:paraId="3B614042" w14:textId="77777777" w:rsidR="009C175D" w:rsidRPr="003673FA" w:rsidRDefault="009C175D" w:rsidP="009C175D">
      <w:pPr>
        <w:rPr>
          <w:u w:val="single"/>
        </w:rPr>
      </w:pPr>
    </w:p>
    <w:p w14:paraId="5D10BA60" w14:textId="44566EE9" w:rsidR="00B676FC" w:rsidRPr="003673FA" w:rsidRDefault="00B676FC" w:rsidP="00B676FC">
      <w:r w:rsidRPr="003673FA">
        <w:t xml:space="preserve">The purpose of the evaluation was </w:t>
      </w:r>
      <w:r w:rsidR="009C175D" w:rsidRPr="003673FA">
        <w:t xml:space="preserve">to assess the effectiveness of the continuous process in supporting research collaboration with industry and other end-users, including in response to innovation opportunities, and the efficiency of the process and its implementation. </w:t>
      </w:r>
    </w:p>
    <w:p w14:paraId="301E5784" w14:textId="77777777" w:rsidR="00B676FC" w:rsidRPr="003673FA" w:rsidRDefault="00B676FC" w:rsidP="00B676FC"/>
    <w:p w14:paraId="2C328B69" w14:textId="0BB45069" w:rsidR="00B676FC" w:rsidRPr="003673FA" w:rsidRDefault="00B676FC" w:rsidP="00B676FC">
      <w:r w:rsidRPr="003673FA">
        <w:t>The evaluation did not assess the Linkage Projects scheme more broadly, or the outcomes and impacts of funded projects.</w:t>
      </w:r>
      <w:r w:rsidR="00FB5200" w:rsidRPr="003673FA">
        <w:t xml:space="preserve"> Projects funded under the continuous process were still underway and it was too early to assess the ultimate success of the collaboration involved.</w:t>
      </w:r>
    </w:p>
    <w:p w14:paraId="5DE6D4A6" w14:textId="77777777" w:rsidR="00B676FC" w:rsidRPr="003673FA" w:rsidRDefault="00B676FC" w:rsidP="00B676FC"/>
    <w:p w14:paraId="4E8DCA14" w14:textId="16B63492" w:rsidR="00B676FC" w:rsidRPr="003673FA" w:rsidRDefault="00B676FC" w:rsidP="00B676FC">
      <w:r w:rsidRPr="003673FA">
        <w:t xml:space="preserve">The </w:t>
      </w:r>
      <w:r w:rsidR="00ED3637" w:rsidRPr="003673FA">
        <w:t>primary</w:t>
      </w:r>
      <w:r w:rsidR="00113A26" w:rsidRPr="003673FA">
        <w:t xml:space="preserve"> </w:t>
      </w:r>
      <w:r w:rsidRPr="003673FA">
        <w:t xml:space="preserve">intended </w:t>
      </w:r>
      <w:r w:rsidR="00ED3637" w:rsidRPr="003673FA">
        <w:t>use of this evaluation is</w:t>
      </w:r>
      <w:r w:rsidR="00113A26" w:rsidRPr="003673FA">
        <w:t xml:space="preserve"> to </w:t>
      </w:r>
      <w:r w:rsidRPr="003673FA">
        <w:t xml:space="preserve">inform </w:t>
      </w:r>
      <w:r w:rsidR="006B40F7" w:rsidRPr="003673FA">
        <w:t xml:space="preserve">whether any </w:t>
      </w:r>
      <w:r w:rsidRPr="003673FA">
        <w:t xml:space="preserve">changes and improvements </w:t>
      </w:r>
      <w:r w:rsidR="006B40F7" w:rsidRPr="003673FA">
        <w:t xml:space="preserve">should be made </w:t>
      </w:r>
      <w:r w:rsidRPr="003673FA">
        <w:t xml:space="preserve">to </w:t>
      </w:r>
      <w:r w:rsidR="00113A26" w:rsidRPr="003673FA">
        <w:t>the</w:t>
      </w:r>
      <w:r w:rsidRPr="003673FA">
        <w:t xml:space="preserve"> implementation of the continuous process</w:t>
      </w:r>
      <w:r w:rsidR="00ED3637" w:rsidRPr="003673FA">
        <w:t xml:space="preserve"> by ARC policy and program areas</w:t>
      </w:r>
      <w:r w:rsidRPr="003673FA">
        <w:t>. It may also provide useful information and advice for administering and partner organisations to consider when engaging in the process.</w:t>
      </w:r>
    </w:p>
    <w:p w14:paraId="165E2DDD" w14:textId="7D7B2D29" w:rsidR="009C175D" w:rsidRPr="003673FA" w:rsidRDefault="009C175D" w:rsidP="009C175D"/>
    <w:p w14:paraId="36122A50" w14:textId="77777777" w:rsidR="009C175D" w:rsidRPr="003673FA" w:rsidRDefault="009C175D" w:rsidP="00CB373D">
      <w:pPr>
        <w:pStyle w:val="Heading2"/>
      </w:pPr>
      <w:bookmarkStart w:id="19" w:name="_Toc3285751"/>
      <w:bookmarkStart w:id="20" w:name="_Toc6218374"/>
      <w:r w:rsidRPr="003673FA">
        <w:t>Terms of reference</w:t>
      </w:r>
      <w:bookmarkEnd w:id="19"/>
      <w:bookmarkEnd w:id="20"/>
    </w:p>
    <w:p w14:paraId="71EE0D49" w14:textId="77777777" w:rsidR="009C175D" w:rsidRPr="003673FA" w:rsidRDefault="009C175D" w:rsidP="009C175D"/>
    <w:p w14:paraId="54809BA2" w14:textId="4EA61076" w:rsidR="009C175D" w:rsidRPr="003673FA" w:rsidRDefault="00DB3A32" w:rsidP="009C175D">
      <w:r w:rsidRPr="003673FA">
        <w:t>The evaluation’s terms of reference were to</w:t>
      </w:r>
      <w:r w:rsidR="009C175D" w:rsidRPr="003673FA">
        <w:t>:</w:t>
      </w:r>
    </w:p>
    <w:p w14:paraId="64DF8844" w14:textId="77777777" w:rsidR="009C175D" w:rsidRPr="003673FA" w:rsidRDefault="009C175D" w:rsidP="009C175D"/>
    <w:p w14:paraId="6E7B808D" w14:textId="77777777" w:rsidR="009C175D" w:rsidRPr="003673FA" w:rsidRDefault="009C175D" w:rsidP="00765927">
      <w:pPr>
        <w:pStyle w:val="ListParagraph"/>
        <w:numPr>
          <w:ilvl w:val="0"/>
          <w:numId w:val="2"/>
        </w:numPr>
        <w:rPr>
          <w:color w:val="auto"/>
        </w:rPr>
      </w:pPr>
      <w:r w:rsidRPr="003673FA">
        <w:rPr>
          <w:color w:val="auto"/>
        </w:rPr>
        <w:t>Assess the effectiveness of the continuous Linkage Projects process in supporting research collaboration, including:</w:t>
      </w:r>
    </w:p>
    <w:p w14:paraId="12FF97FD" w14:textId="77777777" w:rsidR="009C175D" w:rsidRPr="003673FA" w:rsidRDefault="009C175D" w:rsidP="00765927">
      <w:pPr>
        <w:pStyle w:val="ListParagraph"/>
        <w:numPr>
          <w:ilvl w:val="1"/>
          <w:numId w:val="2"/>
        </w:numPr>
        <w:rPr>
          <w:color w:val="auto"/>
        </w:rPr>
      </w:pPr>
      <w:r w:rsidRPr="003673FA">
        <w:rPr>
          <w:color w:val="auto"/>
        </w:rPr>
        <w:t>its influence on the participation of partner organisations, including industry and other research end-users</w:t>
      </w:r>
    </w:p>
    <w:p w14:paraId="727674A3" w14:textId="77777777" w:rsidR="009C175D" w:rsidRPr="003673FA" w:rsidRDefault="009C175D" w:rsidP="00765927">
      <w:pPr>
        <w:pStyle w:val="ListParagraph"/>
        <w:numPr>
          <w:ilvl w:val="1"/>
          <w:numId w:val="2"/>
        </w:numPr>
        <w:rPr>
          <w:color w:val="auto"/>
        </w:rPr>
      </w:pPr>
      <w:r w:rsidRPr="003673FA">
        <w:rPr>
          <w:color w:val="auto"/>
        </w:rPr>
        <w:t>its facilitation of support for research that responds to time critical innovation opportunities</w:t>
      </w:r>
    </w:p>
    <w:p w14:paraId="4565861A" w14:textId="77777777" w:rsidR="009C175D" w:rsidRPr="003673FA" w:rsidRDefault="009C175D" w:rsidP="00765927">
      <w:pPr>
        <w:pStyle w:val="ListParagraph"/>
        <w:numPr>
          <w:ilvl w:val="0"/>
          <w:numId w:val="2"/>
        </w:numPr>
        <w:rPr>
          <w:color w:val="auto"/>
        </w:rPr>
      </w:pPr>
      <w:r w:rsidRPr="003673FA">
        <w:rPr>
          <w:color w:val="auto"/>
        </w:rPr>
        <w:t>Assess the efficiency and effectiveness of the continuous Linkage Projects process and its implementation, from the perspectives of the ARC, higher education institutions and partner organisations, including:</w:t>
      </w:r>
    </w:p>
    <w:p w14:paraId="62D67B12" w14:textId="77777777" w:rsidR="009C175D" w:rsidRPr="003673FA" w:rsidRDefault="009C175D" w:rsidP="00765927">
      <w:pPr>
        <w:pStyle w:val="ListParagraph"/>
        <w:numPr>
          <w:ilvl w:val="1"/>
          <w:numId w:val="2"/>
        </w:numPr>
        <w:rPr>
          <w:color w:val="auto"/>
        </w:rPr>
      </w:pPr>
      <w:r w:rsidRPr="003673FA">
        <w:rPr>
          <w:color w:val="auto"/>
        </w:rPr>
        <w:t>application and assessment processes</w:t>
      </w:r>
    </w:p>
    <w:p w14:paraId="593C4365" w14:textId="77777777" w:rsidR="009C175D" w:rsidRPr="003673FA" w:rsidRDefault="009C175D" w:rsidP="00765927">
      <w:pPr>
        <w:pStyle w:val="ListParagraph"/>
        <w:numPr>
          <w:ilvl w:val="1"/>
          <w:numId w:val="2"/>
        </w:numPr>
        <w:rPr>
          <w:color w:val="auto"/>
        </w:rPr>
      </w:pPr>
      <w:r w:rsidRPr="003673FA">
        <w:rPr>
          <w:color w:val="auto"/>
        </w:rPr>
        <w:t>fast tracking processes</w:t>
      </w:r>
    </w:p>
    <w:p w14:paraId="77F25C12" w14:textId="77777777" w:rsidR="009C175D" w:rsidRPr="003673FA" w:rsidRDefault="009C175D" w:rsidP="00765927">
      <w:pPr>
        <w:pStyle w:val="ListParagraph"/>
        <w:numPr>
          <w:ilvl w:val="1"/>
          <w:numId w:val="2"/>
        </w:numPr>
        <w:rPr>
          <w:color w:val="auto"/>
        </w:rPr>
      </w:pPr>
      <w:proofErr w:type="gramStart"/>
      <w:r w:rsidRPr="003673FA">
        <w:rPr>
          <w:color w:val="auto"/>
        </w:rPr>
        <w:t>announcement</w:t>
      </w:r>
      <w:proofErr w:type="gramEnd"/>
      <w:r w:rsidRPr="003673FA">
        <w:rPr>
          <w:color w:val="auto"/>
        </w:rPr>
        <w:t xml:space="preserve"> and commencement of funding.</w:t>
      </w:r>
    </w:p>
    <w:p w14:paraId="27C30B56" w14:textId="77777777" w:rsidR="009C175D" w:rsidRPr="003673FA" w:rsidRDefault="009C175D" w:rsidP="009C175D"/>
    <w:p w14:paraId="3734D9E1" w14:textId="77777777" w:rsidR="00DB3A32" w:rsidRPr="003673FA" w:rsidRDefault="00DB3A32" w:rsidP="00CB373D">
      <w:pPr>
        <w:pStyle w:val="Heading2"/>
      </w:pPr>
      <w:bookmarkStart w:id="21" w:name="_Toc3285752"/>
      <w:bookmarkStart w:id="22" w:name="_Toc6218375"/>
      <w:r w:rsidRPr="003673FA">
        <w:t>Evaluation questions</w:t>
      </w:r>
      <w:bookmarkEnd w:id="21"/>
      <w:bookmarkEnd w:id="22"/>
    </w:p>
    <w:p w14:paraId="019762AF" w14:textId="77777777" w:rsidR="00DB3A32" w:rsidRPr="003673FA" w:rsidRDefault="00DB3A32" w:rsidP="00DB3A32"/>
    <w:p w14:paraId="27B1942A" w14:textId="77777777" w:rsidR="00DB3A32" w:rsidRPr="003673FA" w:rsidRDefault="00DB3A32" w:rsidP="00DB3A32">
      <w:r w:rsidRPr="003673FA">
        <w:t>To address the terms of reference, the evaluation sought to answer the following questions:</w:t>
      </w:r>
    </w:p>
    <w:p w14:paraId="628DD8C3" w14:textId="77777777" w:rsidR="00DB3A32" w:rsidRPr="003673FA" w:rsidRDefault="00DB3A32" w:rsidP="00DB3A32"/>
    <w:p w14:paraId="76C19D72" w14:textId="77777777" w:rsidR="00DB3A32" w:rsidRPr="003673FA" w:rsidRDefault="00DB3A32" w:rsidP="00765927">
      <w:pPr>
        <w:pStyle w:val="ListParagraph"/>
        <w:numPr>
          <w:ilvl w:val="0"/>
          <w:numId w:val="4"/>
        </w:numPr>
        <w:rPr>
          <w:color w:val="auto"/>
        </w:rPr>
      </w:pPr>
      <w:r w:rsidRPr="003673FA">
        <w:rPr>
          <w:color w:val="auto"/>
        </w:rPr>
        <w:t>What are the differences in partner organisation involvement in Linkage Projects grants awarded before and after the introduction of the continuous process? Specifically:</w:t>
      </w:r>
    </w:p>
    <w:p w14:paraId="7CC21672" w14:textId="77777777" w:rsidR="00DB3A32" w:rsidRPr="003673FA" w:rsidRDefault="00DB3A32" w:rsidP="00765927">
      <w:pPr>
        <w:pStyle w:val="ListParagraph"/>
        <w:numPr>
          <w:ilvl w:val="1"/>
          <w:numId w:val="4"/>
        </w:numPr>
        <w:rPr>
          <w:color w:val="auto"/>
        </w:rPr>
      </w:pPr>
      <w:r w:rsidRPr="003673FA">
        <w:rPr>
          <w:color w:val="auto"/>
        </w:rPr>
        <w:t>How many partner organisations have been involved?</w:t>
      </w:r>
    </w:p>
    <w:p w14:paraId="3CE41351" w14:textId="77777777" w:rsidR="00DB3A32" w:rsidRPr="003673FA" w:rsidRDefault="00DB3A32" w:rsidP="00765927">
      <w:pPr>
        <w:pStyle w:val="ListParagraph"/>
        <w:numPr>
          <w:ilvl w:val="1"/>
          <w:numId w:val="4"/>
        </w:numPr>
        <w:rPr>
          <w:color w:val="auto"/>
        </w:rPr>
      </w:pPr>
      <w:r w:rsidRPr="003673FA">
        <w:rPr>
          <w:color w:val="auto"/>
        </w:rPr>
        <w:t>What types of partner organisations have been involved?</w:t>
      </w:r>
    </w:p>
    <w:p w14:paraId="14C5E6AA" w14:textId="77777777" w:rsidR="00DB3A32" w:rsidRPr="003673FA" w:rsidRDefault="00DB3A32" w:rsidP="00765927">
      <w:pPr>
        <w:pStyle w:val="ListParagraph"/>
        <w:numPr>
          <w:ilvl w:val="1"/>
          <w:numId w:val="4"/>
        </w:numPr>
        <w:rPr>
          <w:color w:val="auto"/>
        </w:rPr>
      </w:pPr>
      <w:r w:rsidRPr="003673FA">
        <w:rPr>
          <w:color w:val="auto"/>
        </w:rPr>
        <w:t>How frequently have partner organisations been involved (i.e. repeat participants)?</w:t>
      </w:r>
    </w:p>
    <w:p w14:paraId="072ED23E" w14:textId="77777777" w:rsidR="00DB3A32" w:rsidRPr="003673FA" w:rsidRDefault="00DB3A32" w:rsidP="00765927">
      <w:pPr>
        <w:pStyle w:val="ListParagraph"/>
        <w:numPr>
          <w:ilvl w:val="1"/>
          <w:numId w:val="4"/>
        </w:numPr>
        <w:rPr>
          <w:color w:val="auto"/>
        </w:rPr>
      </w:pPr>
      <w:r w:rsidRPr="003673FA">
        <w:rPr>
          <w:color w:val="auto"/>
        </w:rPr>
        <w:t>In what disciplines have partner organisations been involved?</w:t>
      </w:r>
    </w:p>
    <w:p w14:paraId="2A4436C4" w14:textId="77777777" w:rsidR="00DB3A32" w:rsidRPr="003673FA" w:rsidRDefault="00DB3A32" w:rsidP="00765927">
      <w:pPr>
        <w:pStyle w:val="ListParagraph"/>
        <w:numPr>
          <w:ilvl w:val="1"/>
          <w:numId w:val="4"/>
        </w:numPr>
        <w:rPr>
          <w:color w:val="auto"/>
        </w:rPr>
      </w:pPr>
      <w:r w:rsidRPr="003673FA">
        <w:rPr>
          <w:color w:val="auto"/>
        </w:rPr>
        <w:t>How much and what kind of contributions (cash/in kind) have they provided?</w:t>
      </w:r>
    </w:p>
    <w:p w14:paraId="15F5D76B" w14:textId="77777777" w:rsidR="00DB3A32" w:rsidRPr="003673FA" w:rsidRDefault="00DB3A32" w:rsidP="00765927">
      <w:pPr>
        <w:pStyle w:val="ListParagraph"/>
        <w:numPr>
          <w:ilvl w:val="0"/>
          <w:numId w:val="4"/>
        </w:numPr>
        <w:rPr>
          <w:color w:val="auto"/>
        </w:rPr>
      </w:pPr>
      <w:r w:rsidRPr="003673FA">
        <w:rPr>
          <w:color w:val="auto"/>
        </w:rPr>
        <w:t>What changes have there been in Linkage Projects applications and selection outcomes under the continuous process, including:</w:t>
      </w:r>
    </w:p>
    <w:p w14:paraId="1355F206" w14:textId="77777777" w:rsidR="00DB3A32" w:rsidRPr="003673FA" w:rsidRDefault="00DB3A32" w:rsidP="00765927">
      <w:pPr>
        <w:pStyle w:val="ListParagraph"/>
        <w:numPr>
          <w:ilvl w:val="1"/>
          <w:numId w:val="4"/>
        </w:numPr>
        <w:rPr>
          <w:color w:val="auto"/>
        </w:rPr>
      </w:pPr>
      <w:r w:rsidRPr="003673FA">
        <w:rPr>
          <w:color w:val="auto"/>
        </w:rPr>
        <w:t>the number of applications submitted</w:t>
      </w:r>
    </w:p>
    <w:p w14:paraId="633294F6" w14:textId="77777777" w:rsidR="00DB3A32" w:rsidRPr="003673FA" w:rsidRDefault="00DB3A32" w:rsidP="00765927">
      <w:pPr>
        <w:pStyle w:val="ListParagraph"/>
        <w:numPr>
          <w:ilvl w:val="1"/>
          <w:numId w:val="4"/>
        </w:numPr>
        <w:rPr>
          <w:color w:val="auto"/>
        </w:rPr>
      </w:pPr>
      <w:r w:rsidRPr="003673FA">
        <w:rPr>
          <w:color w:val="auto"/>
        </w:rPr>
        <w:t>the timing of application submissions</w:t>
      </w:r>
    </w:p>
    <w:p w14:paraId="08A5B9F7" w14:textId="77777777" w:rsidR="00D86F69" w:rsidRPr="003673FA" w:rsidRDefault="00D86F69" w:rsidP="00D86F69">
      <w:pPr>
        <w:pStyle w:val="ListParagraph"/>
        <w:numPr>
          <w:ilvl w:val="1"/>
          <w:numId w:val="4"/>
        </w:numPr>
        <w:rPr>
          <w:color w:val="auto"/>
        </w:rPr>
      </w:pPr>
      <w:r w:rsidRPr="003673FA">
        <w:rPr>
          <w:color w:val="auto"/>
        </w:rPr>
        <w:t>success and return rates</w:t>
      </w:r>
    </w:p>
    <w:p w14:paraId="268997D5" w14:textId="77777777" w:rsidR="00DB3A32" w:rsidRPr="003673FA" w:rsidRDefault="00DB3A32" w:rsidP="00765927">
      <w:pPr>
        <w:pStyle w:val="ListParagraph"/>
        <w:numPr>
          <w:ilvl w:val="1"/>
          <w:numId w:val="4"/>
        </w:numPr>
        <w:rPr>
          <w:color w:val="auto"/>
        </w:rPr>
      </w:pPr>
      <w:r w:rsidRPr="003673FA">
        <w:rPr>
          <w:color w:val="auto"/>
        </w:rPr>
        <w:t>the quality of applications</w:t>
      </w:r>
    </w:p>
    <w:p w14:paraId="1A596CB9" w14:textId="77777777" w:rsidR="00DB3A32" w:rsidRPr="003673FA" w:rsidRDefault="00DB3A32" w:rsidP="00765927">
      <w:pPr>
        <w:pStyle w:val="ListParagraph"/>
        <w:numPr>
          <w:ilvl w:val="1"/>
          <w:numId w:val="4"/>
        </w:numPr>
        <w:rPr>
          <w:color w:val="auto"/>
        </w:rPr>
      </w:pPr>
      <w:proofErr w:type="gramStart"/>
      <w:r w:rsidRPr="003673FA">
        <w:rPr>
          <w:color w:val="auto"/>
        </w:rPr>
        <w:lastRenderedPageBreak/>
        <w:t>the</w:t>
      </w:r>
      <w:proofErr w:type="gramEnd"/>
      <w:r w:rsidRPr="003673FA">
        <w:rPr>
          <w:color w:val="auto"/>
        </w:rPr>
        <w:t xml:space="preserve"> timing of announcements?</w:t>
      </w:r>
    </w:p>
    <w:p w14:paraId="73ACB917" w14:textId="77777777" w:rsidR="00DB3A32" w:rsidRPr="003673FA" w:rsidRDefault="00DB3A32" w:rsidP="00765927">
      <w:pPr>
        <w:pStyle w:val="ListParagraph"/>
        <w:numPr>
          <w:ilvl w:val="0"/>
          <w:numId w:val="4"/>
        </w:numPr>
        <w:rPr>
          <w:color w:val="auto"/>
        </w:rPr>
      </w:pPr>
      <w:r w:rsidRPr="003673FA">
        <w:rPr>
          <w:color w:val="auto"/>
        </w:rPr>
        <w:t>What are the pros and cons for the ARC in administering the continuous process, including:</w:t>
      </w:r>
    </w:p>
    <w:p w14:paraId="444596EC" w14:textId="77777777" w:rsidR="00DB3A32" w:rsidRPr="003673FA" w:rsidRDefault="00DB3A32" w:rsidP="00765927">
      <w:pPr>
        <w:pStyle w:val="ListParagraph"/>
        <w:numPr>
          <w:ilvl w:val="1"/>
          <w:numId w:val="4"/>
        </w:numPr>
        <w:rPr>
          <w:color w:val="auto"/>
        </w:rPr>
      </w:pPr>
      <w:r w:rsidRPr="003673FA">
        <w:rPr>
          <w:color w:val="auto"/>
        </w:rPr>
        <w:t>efficiencies or burdens in terms of costs and resources</w:t>
      </w:r>
    </w:p>
    <w:p w14:paraId="3CBBC768" w14:textId="77777777" w:rsidR="00DB3A32" w:rsidRPr="003673FA" w:rsidRDefault="00DB3A32" w:rsidP="00765927">
      <w:pPr>
        <w:pStyle w:val="ListParagraph"/>
        <w:numPr>
          <w:ilvl w:val="1"/>
          <w:numId w:val="4"/>
        </w:numPr>
        <w:rPr>
          <w:color w:val="auto"/>
        </w:rPr>
      </w:pPr>
      <w:r w:rsidRPr="003673FA">
        <w:rPr>
          <w:color w:val="auto"/>
        </w:rPr>
        <w:t>managing the flow of applications and assessment (including ‘batching’ of applications)</w:t>
      </w:r>
    </w:p>
    <w:p w14:paraId="0ADDBB4C" w14:textId="77777777" w:rsidR="00DB3A32" w:rsidRPr="003673FA" w:rsidRDefault="00DB3A32" w:rsidP="00765927">
      <w:pPr>
        <w:pStyle w:val="ListParagraph"/>
        <w:numPr>
          <w:ilvl w:val="1"/>
          <w:numId w:val="4"/>
        </w:numPr>
        <w:rPr>
          <w:color w:val="auto"/>
        </w:rPr>
      </w:pPr>
      <w:r w:rsidRPr="003673FA">
        <w:rPr>
          <w:color w:val="auto"/>
        </w:rPr>
        <w:t>effectiveness of assessment processes (including virtual meetings, peer review, ensuring quality applications are funded)</w:t>
      </w:r>
    </w:p>
    <w:p w14:paraId="77671644" w14:textId="77777777" w:rsidR="00DB3A32" w:rsidRPr="003673FA" w:rsidRDefault="00DB3A32" w:rsidP="00765927">
      <w:pPr>
        <w:pStyle w:val="ListParagraph"/>
        <w:numPr>
          <w:ilvl w:val="1"/>
          <w:numId w:val="4"/>
        </w:numPr>
        <w:rPr>
          <w:color w:val="auto"/>
        </w:rPr>
      </w:pPr>
      <w:proofErr w:type="gramStart"/>
      <w:r w:rsidRPr="003673FA">
        <w:rPr>
          <w:color w:val="auto"/>
        </w:rPr>
        <w:t>administrative</w:t>
      </w:r>
      <w:proofErr w:type="gramEnd"/>
      <w:r w:rsidRPr="003673FA">
        <w:rPr>
          <w:color w:val="auto"/>
        </w:rPr>
        <w:t xml:space="preserve"> risks (such as monitoring, fraud and legal issues)? </w:t>
      </w:r>
    </w:p>
    <w:p w14:paraId="48CE2FBB" w14:textId="77777777" w:rsidR="00DB3A32" w:rsidRPr="003673FA" w:rsidRDefault="00DB3A32" w:rsidP="00765927">
      <w:pPr>
        <w:pStyle w:val="ListParagraph"/>
        <w:numPr>
          <w:ilvl w:val="0"/>
          <w:numId w:val="4"/>
        </w:numPr>
        <w:rPr>
          <w:color w:val="auto"/>
        </w:rPr>
      </w:pPr>
      <w:r w:rsidRPr="003673FA">
        <w:rPr>
          <w:color w:val="auto"/>
        </w:rPr>
        <w:t xml:space="preserve">What are administering and partner organisations’ views on whether, and how, the continuous process: </w:t>
      </w:r>
    </w:p>
    <w:p w14:paraId="2909EAAF" w14:textId="77777777" w:rsidR="00DB3A32" w:rsidRPr="003673FA" w:rsidRDefault="00DB3A32" w:rsidP="00765927">
      <w:pPr>
        <w:pStyle w:val="ListParagraph"/>
        <w:numPr>
          <w:ilvl w:val="1"/>
          <w:numId w:val="4"/>
        </w:numPr>
        <w:rPr>
          <w:color w:val="auto"/>
        </w:rPr>
      </w:pPr>
      <w:r w:rsidRPr="003673FA">
        <w:rPr>
          <w:color w:val="auto"/>
        </w:rPr>
        <w:t>facilitates greater collaboration within the university sector and with partner organisations</w:t>
      </w:r>
    </w:p>
    <w:p w14:paraId="7C7CF591" w14:textId="77777777" w:rsidR="00DB3A32" w:rsidRPr="003673FA" w:rsidRDefault="00DB3A32" w:rsidP="00765927">
      <w:pPr>
        <w:pStyle w:val="ListParagraph"/>
        <w:numPr>
          <w:ilvl w:val="1"/>
          <w:numId w:val="4"/>
        </w:numPr>
        <w:rPr>
          <w:color w:val="auto"/>
        </w:rPr>
      </w:pPr>
      <w:r w:rsidRPr="003673FA">
        <w:rPr>
          <w:color w:val="auto"/>
        </w:rPr>
        <w:t>encourages partner organisations to participate in collaborative research</w:t>
      </w:r>
    </w:p>
    <w:p w14:paraId="60E5AC24" w14:textId="77777777" w:rsidR="00DB3A32" w:rsidRPr="003673FA" w:rsidRDefault="00DB3A32" w:rsidP="00765927">
      <w:pPr>
        <w:pStyle w:val="ListParagraph"/>
        <w:numPr>
          <w:ilvl w:val="1"/>
          <w:numId w:val="4"/>
        </w:numPr>
        <w:rPr>
          <w:color w:val="auto"/>
        </w:rPr>
      </w:pPr>
      <w:r w:rsidRPr="003673FA">
        <w:rPr>
          <w:color w:val="auto"/>
        </w:rPr>
        <w:t>influences the ways in which collaboration is initiated and managed, and by whom</w:t>
      </w:r>
    </w:p>
    <w:p w14:paraId="6609D3A4" w14:textId="77777777" w:rsidR="00DB3A32" w:rsidRPr="003673FA" w:rsidRDefault="00DB3A32" w:rsidP="00765927">
      <w:pPr>
        <w:pStyle w:val="ListParagraph"/>
        <w:numPr>
          <w:ilvl w:val="1"/>
          <w:numId w:val="4"/>
        </w:numPr>
        <w:rPr>
          <w:color w:val="auto"/>
        </w:rPr>
      </w:pPr>
      <w:r w:rsidRPr="003673FA">
        <w:rPr>
          <w:color w:val="auto"/>
        </w:rPr>
        <w:t xml:space="preserve">facilitates support for research that responds to time critical innovation opportunities </w:t>
      </w:r>
    </w:p>
    <w:p w14:paraId="2209305E" w14:textId="77777777" w:rsidR="00DB3A32" w:rsidRPr="003673FA" w:rsidRDefault="00DB3A32" w:rsidP="00765927">
      <w:pPr>
        <w:pStyle w:val="ListParagraph"/>
        <w:numPr>
          <w:ilvl w:val="1"/>
          <w:numId w:val="4"/>
        </w:numPr>
        <w:rPr>
          <w:color w:val="auto"/>
        </w:rPr>
      </w:pPr>
      <w:r w:rsidRPr="003673FA">
        <w:rPr>
          <w:color w:val="auto"/>
        </w:rPr>
        <w:t>influences administering and partner organisations’ approaches and responses to time critical innovation opportunities</w:t>
      </w:r>
    </w:p>
    <w:p w14:paraId="55914E4E" w14:textId="77777777" w:rsidR="00DB3A32" w:rsidRPr="003673FA" w:rsidRDefault="00DB3A32" w:rsidP="00765927">
      <w:pPr>
        <w:pStyle w:val="ListParagraph"/>
        <w:numPr>
          <w:ilvl w:val="1"/>
          <w:numId w:val="4"/>
        </w:numPr>
        <w:rPr>
          <w:color w:val="auto"/>
        </w:rPr>
      </w:pPr>
      <w:proofErr w:type="gramStart"/>
      <w:r w:rsidRPr="003673FA">
        <w:rPr>
          <w:color w:val="auto"/>
        </w:rPr>
        <w:t>meets</w:t>
      </w:r>
      <w:proofErr w:type="gramEnd"/>
      <w:r w:rsidRPr="003673FA">
        <w:rPr>
          <w:color w:val="auto"/>
        </w:rPr>
        <w:t xml:space="preserve"> its objectives as outlined by NISA and the Watt Review?</w:t>
      </w:r>
    </w:p>
    <w:p w14:paraId="4275DD1A" w14:textId="77777777" w:rsidR="00DB3A32" w:rsidRPr="003673FA" w:rsidRDefault="00DB3A32" w:rsidP="00765927">
      <w:pPr>
        <w:pStyle w:val="ListParagraph"/>
        <w:numPr>
          <w:ilvl w:val="0"/>
          <w:numId w:val="4"/>
        </w:numPr>
        <w:rPr>
          <w:color w:val="auto"/>
        </w:rPr>
      </w:pPr>
      <w:r w:rsidRPr="003673FA">
        <w:rPr>
          <w:color w:val="auto"/>
        </w:rPr>
        <w:t>How satisfied are administering and partner organisations with:</w:t>
      </w:r>
    </w:p>
    <w:p w14:paraId="3EB01552" w14:textId="77777777" w:rsidR="00DB3A32" w:rsidRPr="003673FA" w:rsidRDefault="00DB3A32" w:rsidP="00765927">
      <w:pPr>
        <w:pStyle w:val="ListParagraph"/>
        <w:numPr>
          <w:ilvl w:val="1"/>
          <w:numId w:val="4"/>
        </w:numPr>
        <w:rPr>
          <w:color w:val="auto"/>
        </w:rPr>
      </w:pPr>
      <w:r w:rsidRPr="003673FA">
        <w:rPr>
          <w:color w:val="auto"/>
        </w:rPr>
        <w:t>the efficiency and effectiveness of the continuous Linkage Projects application and assessment processes, including fast-tracking</w:t>
      </w:r>
    </w:p>
    <w:p w14:paraId="042ED3B1" w14:textId="77777777" w:rsidR="00DB3A32" w:rsidRPr="003673FA" w:rsidRDefault="00DB3A32" w:rsidP="00765927">
      <w:pPr>
        <w:pStyle w:val="ListParagraph"/>
        <w:numPr>
          <w:ilvl w:val="1"/>
          <w:numId w:val="4"/>
        </w:numPr>
        <w:rPr>
          <w:color w:val="auto"/>
        </w:rPr>
      </w:pPr>
      <w:r w:rsidRPr="003673FA">
        <w:rPr>
          <w:color w:val="auto"/>
        </w:rPr>
        <w:t>the timeliness of announcements</w:t>
      </w:r>
    </w:p>
    <w:p w14:paraId="137BEC2B" w14:textId="77777777" w:rsidR="00DB3A32" w:rsidRPr="003673FA" w:rsidRDefault="00DB3A32" w:rsidP="00765927">
      <w:pPr>
        <w:pStyle w:val="ListParagraph"/>
        <w:numPr>
          <w:ilvl w:val="1"/>
          <w:numId w:val="4"/>
        </w:numPr>
        <w:rPr>
          <w:color w:val="auto"/>
        </w:rPr>
      </w:pPr>
      <w:proofErr w:type="gramStart"/>
      <w:r w:rsidRPr="003673FA">
        <w:rPr>
          <w:color w:val="auto"/>
        </w:rPr>
        <w:t>the</w:t>
      </w:r>
      <w:proofErr w:type="gramEnd"/>
      <w:r w:rsidRPr="003673FA">
        <w:rPr>
          <w:color w:val="auto"/>
        </w:rPr>
        <w:t xml:space="preserve"> administration and provision of awarded funding?</w:t>
      </w:r>
    </w:p>
    <w:p w14:paraId="141FF04F" w14:textId="77777777" w:rsidR="00DB3A32" w:rsidRPr="003673FA" w:rsidRDefault="00DB3A32" w:rsidP="00765927">
      <w:pPr>
        <w:pStyle w:val="ListParagraph"/>
        <w:numPr>
          <w:ilvl w:val="0"/>
          <w:numId w:val="4"/>
        </w:numPr>
        <w:rPr>
          <w:color w:val="auto"/>
        </w:rPr>
      </w:pPr>
      <w:r w:rsidRPr="003673FA">
        <w:rPr>
          <w:color w:val="auto"/>
        </w:rPr>
        <w:t>What are assessors and Selection Advisory Committee members’ views on the efficiency and effectiveness of the continuous process?</w:t>
      </w:r>
    </w:p>
    <w:p w14:paraId="2857721A" w14:textId="7181411C" w:rsidR="00EE59CA" w:rsidRPr="003673FA" w:rsidRDefault="00EE59CA" w:rsidP="009C175D"/>
    <w:p w14:paraId="18F5C699" w14:textId="5584571B" w:rsidR="009C175D" w:rsidRPr="003673FA" w:rsidRDefault="00AA6C5F" w:rsidP="00AA6C5F">
      <w:pPr>
        <w:pStyle w:val="Heading2"/>
      </w:pPr>
      <w:bookmarkStart w:id="23" w:name="_Toc3285753"/>
      <w:bookmarkStart w:id="24" w:name="_Toc6218376"/>
      <w:r w:rsidRPr="003673FA">
        <w:t>M</w:t>
      </w:r>
      <w:r w:rsidR="009C175D" w:rsidRPr="003673FA">
        <w:t>ethodology</w:t>
      </w:r>
      <w:bookmarkEnd w:id="23"/>
      <w:bookmarkEnd w:id="24"/>
    </w:p>
    <w:p w14:paraId="4448412C" w14:textId="77777777" w:rsidR="00FA3F60" w:rsidRPr="003673FA" w:rsidRDefault="00FA3F60" w:rsidP="009C175D"/>
    <w:p w14:paraId="0B4013C2" w14:textId="4A1BE1C7" w:rsidR="009C175D" w:rsidRPr="003673FA" w:rsidRDefault="001756CC" w:rsidP="009C175D">
      <w:r w:rsidRPr="003673FA">
        <w:t xml:space="preserve">The evaluation involved analysis of the </w:t>
      </w:r>
      <w:r w:rsidR="00B35FD7" w:rsidRPr="003673FA">
        <w:t xml:space="preserve">following </w:t>
      </w:r>
      <w:r w:rsidR="00FA3F60" w:rsidRPr="003673FA">
        <w:t xml:space="preserve">sources of </w:t>
      </w:r>
      <w:r w:rsidR="00B35FD7" w:rsidRPr="003673FA">
        <w:t>data and information</w:t>
      </w:r>
      <w:r w:rsidR="009C175D" w:rsidRPr="003673FA">
        <w:t>:</w:t>
      </w:r>
    </w:p>
    <w:p w14:paraId="2F87A79D" w14:textId="7AD40C2E" w:rsidR="00B35FD7" w:rsidRPr="003673FA" w:rsidRDefault="001756CC" w:rsidP="00765927">
      <w:pPr>
        <w:pStyle w:val="ListParagraph"/>
        <w:numPr>
          <w:ilvl w:val="0"/>
          <w:numId w:val="5"/>
        </w:numPr>
        <w:rPr>
          <w:color w:val="auto"/>
        </w:rPr>
      </w:pPr>
      <w:r w:rsidRPr="003673FA">
        <w:rPr>
          <w:color w:val="auto"/>
        </w:rPr>
        <w:t>ARC policy and program documents</w:t>
      </w:r>
    </w:p>
    <w:p w14:paraId="3442A5C3" w14:textId="4DAE9E61" w:rsidR="009C175D" w:rsidRPr="003673FA" w:rsidRDefault="00B35FD7" w:rsidP="00765927">
      <w:pPr>
        <w:pStyle w:val="ListParagraph"/>
        <w:numPr>
          <w:ilvl w:val="0"/>
          <w:numId w:val="5"/>
        </w:numPr>
        <w:rPr>
          <w:color w:val="auto"/>
        </w:rPr>
      </w:pPr>
      <w:r w:rsidRPr="003673FA">
        <w:rPr>
          <w:color w:val="auto"/>
        </w:rPr>
        <w:t>ARC program management data</w:t>
      </w:r>
    </w:p>
    <w:p w14:paraId="7BDDEAB9" w14:textId="41E3A0EB" w:rsidR="009C175D" w:rsidRPr="003673FA" w:rsidRDefault="009C175D" w:rsidP="00765927">
      <w:pPr>
        <w:pStyle w:val="ListParagraph"/>
        <w:numPr>
          <w:ilvl w:val="0"/>
          <w:numId w:val="5"/>
        </w:numPr>
        <w:rPr>
          <w:color w:val="auto"/>
        </w:rPr>
      </w:pPr>
      <w:proofErr w:type="gramStart"/>
      <w:r w:rsidRPr="003673FA">
        <w:rPr>
          <w:color w:val="auto"/>
        </w:rPr>
        <w:t>stakeholder</w:t>
      </w:r>
      <w:proofErr w:type="gramEnd"/>
      <w:r w:rsidRPr="003673FA">
        <w:rPr>
          <w:color w:val="auto"/>
        </w:rPr>
        <w:t xml:space="preserve"> </w:t>
      </w:r>
      <w:r w:rsidR="00B35FD7" w:rsidRPr="003673FA">
        <w:rPr>
          <w:color w:val="auto"/>
        </w:rPr>
        <w:t>surveys and interviews conducted by ACIL Allen Consulting</w:t>
      </w:r>
      <w:r w:rsidRPr="003673FA">
        <w:rPr>
          <w:color w:val="auto"/>
        </w:rPr>
        <w:t>.</w:t>
      </w:r>
    </w:p>
    <w:p w14:paraId="0B82C6F4" w14:textId="6C9522F3" w:rsidR="009C175D" w:rsidRPr="003673FA" w:rsidRDefault="009C175D" w:rsidP="009C175D"/>
    <w:p w14:paraId="306AC3E2" w14:textId="723D06BC" w:rsidR="00B35FD7" w:rsidRPr="003673FA" w:rsidRDefault="00B35FD7" w:rsidP="00B35FD7">
      <w:pPr>
        <w:pStyle w:val="Heading3"/>
      </w:pPr>
      <w:r w:rsidRPr="003673FA">
        <w:t>ARC policy and program documents</w:t>
      </w:r>
    </w:p>
    <w:p w14:paraId="1E2CC04F" w14:textId="38671161" w:rsidR="00B35FD7" w:rsidRPr="003673FA" w:rsidRDefault="00B35FD7" w:rsidP="009C175D"/>
    <w:p w14:paraId="20302E2F" w14:textId="54CE6E87" w:rsidR="007C14B0" w:rsidRPr="003673FA" w:rsidRDefault="00FB1BA7" w:rsidP="009C175D">
      <w:r w:rsidRPr="003673FA">
        <w:t xml:space="preserve">A range of </w:t>
      </w:r>
      <w:r w:rsidR="00ED3637" w:rsidRPr="003673FA">
        <w:t xml:space="preserve">ARC </w:t>
      </w:r>
      <w:r w:rsidRPr="003673FA">
        <w:t>policy and program documents and materials were</w:t>
      </w:r>
      <w:r w:rsidR="007C14B0" w:rsidRPr="003673FA">
        <w:t xml:space="preserve"> used to inform the </w:t>
      </w:r>
      <w:r w:rsidRPr="003673FA">
        <w:t>development of the evaluation and the analysis presented in this report. These include</w:t>
      </w:r>
      <w:r w:rsidR="00A96143" w:rsidRPr="003673FA">
        <w:t>d</w:t>
      </w:r>
      <w:r w:rsidRPr="003673FA">
        <w:t xml:space="preserve"> publicly available sources such as the ARC Linkage Projects webpage,</w:t>
      </w:r>
      <w:r w:rsidRPr="003673FA">
        <w:rPr>
          <w:rStyle w:val="FootnoteReference"/>
        </w:rPr>
        <w:footnoteReference w:id="6"/>
      </w:r>
      <w:r w:rsidRPr="003673FA">
        <w:t xml:space="preserve"> grant guidelines and funding rules</w:t>
      </w:r>
      <w:r w:rsidR="007C14B0" w:rsidRPr="003673FA">
        <w:t>,</w:t>
      </w:r>
      <w:r w:rsidRPr="003673FA">
        <w:rPr>
          <w:rStyle w:val="FootnoteReference"/>
        </w:rPr>
        <w:footnoteReference w:id="7"/>
      </w:r>
      <w:r w:rsidRPr="003673FA">
        <w:t xml:space="preserve"> </w:t>
      </w:r>
      <w:r w:rsidR="007C14B0" w:rsidRPr="003673FA">
        <w:t xml:space="preserve">as well as </w:t>
      </w:r>
      <w:r w:rsidR="00A96143" w:rsidRPr="003673FA">
        <w:t xml:space="preserve">internal </w:t>
      </w:r>
      <w:r w:rsidR="007C14B0" w:rsidRPr="003673FA">
        <w:t xml:space="preserve">ARC policy </w:t>
      </w:r>
      <w:r w:rsidR="00A96143" w:rsidRPr="003673FA">
        <w:t xml:space="preserve">documents and </w:t>
      </w:r>
      <w:r w:rsidR="00CA19FD" w:rsidRPr="003673FA">
        <w:t>program</w:t>
      </w:r>
      <w:r w:rsidR="007C14B0" w:rsidRPr="003673FA">
        <w:t xml:space="preserve"> </w:t>
      </w:r>
      <w:r w:rsidR="00A96143" w:rsidRPr="003673FA">
        <w:t>management information</w:t>
      </w:r>
      <w:r w:rsidR="007C14B0" w:rsidRPr="003673FA">
        <w:t xml:space="preserve"> </w:t>
      </w:r>
      <w:r w:rsidR="00A96143" w:rsidRPr="003673FA">
        <w:t xml:space="preserve">such as </w:t>
      </w:r>
      <w:r w:rsidR="00CA19FD" w:rsidRPr="003673FA">
        <w:t xml:space="preserve">scheme timelines, </w:t>
      </w:r>
      <w:r w:rsidR="007C14B0" w:rsidRPr="003673FA">
        <w:t>standard operating procedures</w:t>
      </w:r>
      <w:r w:rsidR="003B7406" w:rsidRPr="003673FA">
        <w:t xml:space="preserve">, </w:t>
      </w:r>
      <w:r w:rsidR="00CA19FD" w:rsidRPr="003673FA">
        <w:t xml:space="preserve">SAC meeting </w:t>
      </w:r>
      <w:r w:rsidR="00A96143" w:rsidRPr="003673FA">
        <w:t>materials</w:t>
      </w:r>
      <w:r w:rsidR="003B7406" w:rsidRPr="003673FA">
        <w:t xml:space="preserve"> and previous feedback from stakeholders</w:t>
      </w:r>
      <w:r w:rsidR="00CA19FD" w:rsidRPr="003673FA">
        <w:t>.</w:t>
      </w:r>
    </w:p>
    <w:p w14:paraId="3A3325D4" w14:textId="247FAB76" w:rsidR="00B35FD7" w:rsidRPr="003673FA" w:rsidRDefault="00B35FD7" w:rsidP="009C175D"/>
    <w:p w14:paraId="7D485DD0" w14:textId="77777777" w:rsidR="00BD6623" w:rsidRPr="003673FA" w:rsidRDefault="00BD6623">
      <w:pPr>
        <w:rPr>
          <w:rFonts w:ascii="Arial" w:eastAsia="Times New Roman" w:hAnsi="Arial"/>
          <w:b/>
          <w:bCs/>
        </w:rPr>
      </w:pPr>
      <w:r w:rsidRPr="003673FA">
        <w:br w:type="page"/>
      </w:r>
    </w:p>
    <w:p w14:paraId="50E189A9" w14:textId="5CA33C2C" w:rsidR="00B35FD7" w:rsidRPr="003673FA" w:rsidRDefault="00B35FD7" w:rsidP="00B35FD7">
      <w:pPr>
        <w:pStyle w:val="Heading3"/>
      </w:pPr>
      <w:r w:rsidRPr="003673FA">
        <w:lastRenderedPageBreak/>
        <w:t>ARC program management data</w:t>
      </w:r>
    </w:p>
    <w:p w14:paraId="09E276DA" w14:textId="42259075" w:rsidR="00B35FD7" w:rsidRPr="003673FA" w:rsidRDefault="00B35FD7" w:rsidP="009C175D"/>
    <w:p w14:paraId="47B56D19" w14:textId="1167BBD9" w:rsidR="004E6182" w:rsidRPr="003673FA" w:rsidRDefault="00D6250E" w:rsidP="009C175D">
      <w:r w:rsidRPr="003673FA">
        <w:t>P</w:t>
      </w:r>
      <w:r w:rsidR="001B505D" w:rsidRPr="003673FA">
        <w:t xml:space="preserve">rogram management data on the </w:t>
      </w:r>
      <w:r w:rsidR="003A0AB8" w:rsidRPr="003673FA">
        <w:t xml:space="preserve">Linkage Projects scheme and </w:t>
      </w:r>
      <w:r w:rsidR="001B505D" w:rsidRPr="003673FA">
        <w:t xml:space="preserve">the </w:t>
      </w:r>
      <w:r w:rsidR="003A0AB8" w:rsidRPr="003673FA">
        <w:t>continuous process</w:t>
      </w:r>
      <w:r w:rsidR="001B505D" w:rsidRPr="003673FA">
        <w:t xml:space="preserve"> </w:t>
      </w:r>
      <w:r w:rsidR="00E5412A" w:rsidRPr="003673FA">
        <w:t>were sourced from</w:t>
      </w:r>
      <w:r w:rsidR="001B505D" w:rsidRPr="003673FA">
        <w:t xml:space="preserve"> </w:t>
      </w:r>
      <w:r w:rsidR="007F728B" w:rsidRPr="003673FA">
        <w:t>RMS</w:t>
      </w:r>
      <w:r w:rsidRPr="003673FA">
        <w:t>—</w:t>
      </w:r>
      <w:r w:rsidR="001B505D" w:rsidRPr="003673FA">
        <w:t>including application, outcome, funding, part</w:t>
      </w:r>
      <w:r w:rsidRPr="003673FA">
        <w:t>n</w:t>
      </w:r>
      <w:r w:rsidR="004E6182" w:rsidRPr="003673FA">
        <w:t>er organisation and other data.</w:t>
      </w:r>
    </w:p>
    <w:p w14:paraId="770AAF08" w14:textId="1C255B95" w:rsidR="004E6182" w:rsidRPr="003673FA" w:rsidRDefault="004E6182" w:rsidP="009C175D"/>
    <w:p w14:paraId="4780B3F6" w14:textId="77777777" w:rsidR="00E349D9" w:rsidRPr="003673FA" w:rsidRDefault="00E349D9" w:rsidP="00E349D9">
      <w:r w:rsidRPr="003673FA">
        <w:t>Advice on interpretation, complexities and caveats associated with the data was provided by relevant policy and program owners and administrators within the ARC. Some of the analysis presented in this report also builds upon existing data analysis undertaken internally by the ARC, including as part of regular program review and monitoring processes.</w:t>
      </w:r>
    </w:p>
    <w:p w14:paraId="6322A553" w14:textId="77777777" w:rsidR="00E349D9" w:rsidRPr="003673FA" w:rsidRDefault="00E349D9" w:rsidP="009C175D"/>
    <w:p w14:paraId="341F2751" w14:textId="3BB4E37A" w:rsidR="004E6182" w:rsidRPr="003673FA" w:rsidRDefault="00001F27" w:rsidP="004E6182">
      <w:r w:rsidRPr="003673FA">
        <w:t xml:space="preserve">The program management data analysed </w:t>
      </w:r>
      <w:r w:rsidR="004E6182" w:rsidRPr="003673FA">
        <w:t xml:space="preserve">in this report </w:t>
      </w:r>
      <w:r w:rsidR="0002464A" w:rsidRPr="003673FA">
        <w:t xml:space="preserve">is </w:t>
      </w:r>
      <w:r w:rsidR="004E6182" w:rsidRPr="003673FA">
        <w:t>limited t</w:t>
      </w:r>
      <w:r w:rsidR="001E2150" w:rsidRPr="003673FA">
        <w:t xml:space="preserve">o </w:t>
      </w:r>
      <w:r w:rsidR="004E6182" w:rsidRPr="003673FA">
        <w:t>Linkage Pr</w:t>
      </w:r>
      <w:r w:rsidR="00526CD1" w:rsidRPr="003673FA">
        <w:t xml:space="preserve">ojects rounds from 2013 to 2017, </w:t>
      </w:r>
      <w:r w:rsidR="00382CAD" w:rsidRPr="003673FA">
        <w:t>and</w:t>
      </w:r>
      <w:r w:rsidR="00526CD1" w:rsidRPr="003673FA">
        <w:t xml:space="preserve"> some application data for the 2018 round, </w:t>
      </w:r>
      <w:r w:rsidR="004E6182" w:rsidRPr="003673FA">
        <w:t>for the following reasons:</w:t>
      </w:r>
    </w:p>
    <w:p w14:paraId="105DEBD1" w14:textId="67C4D783" w:rsidR="004E6182" w:rsidRPr="003673FA" w:rsidRDefault="004E6182" w:rsidP="00765927">
      <w:pPr>
        <w:pStyle w:val="ListParagraph"/>
        <w:numPr>
          <w:ilvl w:val="0"/>
          <w:numId w:val="15"/>
        </w:numPr>
        <w:rPr>
          <w:color w:val="auto"/>
        </w:rPr>
      </w:pPr>
      <w:r w:rsidRPr="003673FA">
        <w:rPr>
          <w:color w:val="auto"/>
        </w:rPr>
        <w:t>The Watt Review</w:t>
      </w:r>
      <w:r w:rsidR="001E2150" w:rsidRPr="003673FA">
        <w:rPr>
          <w:color w:val="auto"/>
        </w:rPr>
        <w:t xml:space="preserve"> findings that informed the introduction of the continuous process</w:t>
      </w:r>
      <w:r w:rsidRPr="003673FA">
        <w:rPr>
          <w:color w:val="auto"/>
        </w:rPr>
        <w:t xml:space="preserve"> were based on </w:t>
      </w:r>
      <w:r w:rsidR="001E2150" w:rsidRPr="003673FA">
        <w:rPr>
          <w:color w:val="auto"/>
        </w:rPr>
        <w:t>the annual application and assessment process</w:t>
      </w:r>
      <w:r w:rsidR="0002464A" w:rsidRPr="003673FA">
        <w:rPr>
          <w:color w:val="auto"/>
        </w:rPr>
        <w:t xml:space="preserve"> that</w:t>
      </w:r>
      <w:r w:rsidR="001E2150" w:rsidRPr="003673FA">
        <w:rPr>
          <w:color w:val="auto"/>
        </w:rPr>
        <w:t xml:space="preserve"> commenced in the 2013 r</w:t>
      </w:r>
      <w:r w:rsidR="0080655C" w:rsidRPr="003673FA">
        <w:rPr>
          <w:color w:val="auto"/>
        </w:rPr>
        <w:t>ound (</w:t>
      </w:r>
      <w:r w:rsidR="0002464A" w:rsidRPr="003673FA">
        <w:rPr>
          <w:color w:val="auto"/>
        </w:rPr>
        <w:t>prior to that</w:t>
      </w:r>
      <w:r w:rsidR="0080655C" w:rsidRPr="003673FA">
        <w:rPr>
          <w:color w:val="auto"/>
        </w:rPr>
        <w:t xml:space="preserve">, </w:t>
      </w:r>
      <w:r w:rsidR="001E2150" w:rsidRPr="003673FA">
        <w:rPr>
          <w:color w:val="auto"/>
        </w:rPr>
        <w:t>the scheme included two rounds per year</w:t>
      </w:r>
      <w:r w:rsidR="0080655C" w:rsidRPr="003673FA">
        <w:rPr>
          <w:color w:val="auto"/>
        </w:rPr>
        <w:t>)</w:t>
      </w:r>
      <w:r w:rsidR="001E2150" w:rsidRPr="003673FA">
        <w:rPr>
          <w:color w:val="auto"/>
        </w:rPr>
        <w:t>.</w:t>
      </w:r>
    </w:p>
    <w:p w14:paraId="1DCC0578" w14:textId="7558270E" w:rsidR="00F47FC8" w:rsidRPr="003673FA" w:rsidRDefault="00F47FC8" w:rsidP="00765927">
      <w:pPr>
        <w:pStyle w:val="ListParagraph"/>
        <w:numPr>
          <w:ilvl w:val="0"/>
          <w:numId w:val="15"/>
        </w:numPr>
        <w:rPr>
          <w:color w:val="auto"/>
        </w:rPr>
      </w:pPr>
      <w:r w:rsidRPr="003673FA">
        <w:rPr>
          <w:color w:val="auto"/>
        </w:rPr>
        <w:t>Application, assessment and announcement processes for the 2017 r</w:t>
      </w:r>
      <w:r w:rsidR="00B56038" w:rsidRPr="003673FA">
        <w:rPr>
          <w:color w:val="auto"/>
        </w:rPr>
        <w:t>ound</w:t>
      </w:r>
      <w:r w:rsidR="00524204" w:rsidRPr="003673FA">
        <w:rPr>
          <w:color w:val="auto"/>
        </w:rPr>
        <w:t xml:space="preserve"> were completed in mid-2018. At the time of this </w:t>
      </w:r>
      <w:r w:rsidR="005E02D9" w:rsidRPr="003673FA">
        <w:rPr>
          <w:color w:val="auto"/>
        </w:rPr>
        <w:t>report’s preparation</w:t>
      </w:r>
      <w:r w:rsidR="00524204" w:rsidRPr="003673FA">
        <w:rPr>
          <w:color w:val="auto"/>
        </w:rPr>
        <w:t xml:space="preserve">, the 2017 round was the </w:t>
      </w:r>
      <w:r w:rsidR="0002464A" w:rsidRPr="003673FA">
        <w:rPr>
          <w:color w:val="auto"/>
        </w:rPr>
        <w:t>la</w:t>
      </w:r>
      <w:r w:rsidR="00001F27" w:rsidRPr="003673FA">
        <w:rPr>
          <w:color w:val="auto"/>
        </w:rPr>
        <w:t>test</w:t>
      </w:r>
      <w:r w:rsidR="00524204" w:rsidRPr="003673FA">
        <w:rPr>
          <w:color w:val="auto"/>
        </w:rPr>
        <w:t xml:space="preserve"> for which </w:t>
      </w:r>
      <w:r w:rsidR="00B56038" w:rsidRPr="003673FA">
        <w:rPr>
          <w:color w:val="auto"/>
        </w:rPr>
        <w:t xml:space="preserve">complete data </w:t>
      </w:r>
      <w:r w:rsidR="00B253CD" w:rsidRPr="003673FA">
        <w:rPr>
          <w:color w:val="auto"/>
        </w:rPr>
        <w:t>were</w:t>
      </w:r>
      <w:r w:rsidR="00B56038" w:rsidRPr="003673FA">
        <w:rPr>
          <w:color w:val="auto"/>
        </w:rPr>
        <w:t xml:space="preserve"> </w:t>
      </w:r>
      <w:r w:rsidR="00524204" w:rsidRPr="003673FA">
        <w:rPr>
          <w:color w:val="auto"/>
        </w:rPr>
        <w:t>available</w:t>
      </w:r>
      <w:r w:rsidR="00B56038" w:rsidRPr="003673FA">
        <w:rPr>
          <w:color w:val="auto"/>
        </w:rPr>
        <w:t>.</w:t>
      </w:r>
    </w:p>
    <w:p w14:paraId="430E8CBE" w14:textId="2B774E1B" w:rsidR="0080655C" w:rsidRPr="003673FA" w:rsidRDefault="0002464A" w:rsidP="001E374D">
      <w:pPr>
        <w:pStyle w:val="ListParagraph"/>
        <w:numPr>
          <w:ilvl w:val="0"/>
          <w:numId w:val="15"/>
        </w:numPr>
      </w:pPr>
      <w:r w:rsidRPr="003673FA">
        <w:rPr>
          <w:color w:val="auto"/>
        </w:rPr>
        <w:t>While a</w:t>
      </w:r>
      <w:r w:rsidR="00F47FC8" w:rsidRPr="003673FA">
        <w:rPr>
          <w:color w:val="auto"/>
        </w:rPr>
        <w:t>pplications for the 2018 round closed at the end of 2018</w:t>
      </w:r>
      <w:r w:rsidR="00B253CD" w:rsidRPr="003673FA">
        <w:rPr>
          <w:color w:val="auto"/>
        </w:rPr>
        <w:t xml:space="preserve">, </w:t>
      </w:r>
      <w:r w:rsidRPr="003673FA">
        <w:rPr>
          <w:color w:val="auto"/>
        </w:rPr>
        <w:t>assessment and announcement processes will continue until mid-2019</w:t>
      </w:r>
      <w:r w:rsidR="000D425C" w:rsidRPr="003673FA">
        <w:rPr>
          <w:color w:val="auto"/>
        </w:rPr>
        <w:t xml:space="preserve">. </w:t>
      </w:r>
      <w:r w:rsidR="00001F27" w:rsidRPr="003673FA">
        <w:rPr>
          <w:color w:val="auto"/>
        </w:rPr>
        <w:t xml:space="preserve">Complete data </w:t>
      </w:r>
      <w:r w:rsidR="00ED3637" w:rsidRPr="003673FA">
        <w:rPr>
          <w:color w:val="auto"/>
        </w:rPr>
        <w:t>on grant outcomes</w:t>
      </w:r>
      <w:r w:rsidR="00001F27" w:rsidRPr="003673FA">
        <w:rPr>
          <w:color w:val="auto"/>
        </w:rPr>
        <w:t xml:space="preserve"> </w:t>
      </w:r>
      <w:r w:rsidR="00ED3637" w:rsidRPr="003673FA">
        <w:rPr>
          <w:color w:val="auto"/>
        </w:rPr>
        <w:t xml:space="preserve">from </w:t>
      </w:r>
      <w:r w:rsidR="00001F27" w:rsidRPr="003673FA">
        <w:rPr>
          <w:color w:val="auto"/>
        </w:rPr>
        <w:t xml:space="preserve">the 2018 round were therefore not available at the time of this report’s preparation, but </w:t>
      </w:r>
      <w:r w:rsidR="00B253CD" w:rsidRPr="003673FA">
        <w:rPr>
          <w:color w:val="auto"/>
        </w:rPr>
        <w:t xml:space="preserve">application data have </w:t>
      </w:r>
      <w:r w:rsidR="00001F27" w:rsidRPr="003673FA">
        <w:rPr>
          <w:color w:val="auto"/>
        </w:rPr>
        <w:t>been included</w:t>
      </w:r>
      <w:r w:rsidR="00382CAD" w:rsidRPr="003673FA">
        <w:rPr>
          <w:color w:val="auto"/>
        </w:rPr>
        <w:t xml:space="preserve"> in the analysis</w:t>
      </w:r>
      <w:r w:rsidR="006557F6" w:rsidRPr="003673FA">
        <w:rPr>
          <w:color w:val="auto"/>
        </w:rPr>
        <w:t xml:space="preserve"> where possible</w:t>
      </w:r>
      <w:r w:rsidR="00001F27" w:rsidRPr="003673FA">
        <w:rPr>
          <w:color w:val="auto"/>
        </w:rPr>
        <w:t>.</w:t>
      </w:r>
    </w:p>
    <w:p w14:paraId="15470522" w14:textId="77777777" w:rsidR="00DD3AAF" w:rsidRPr="003673FA" w:rsidRDefault="00DD3AAF" w:rsidP="00DD3AAF"/>
    <w:p w14:paraId="15B2CBF4" w14:textId="0A58CD95" w:rsidR="00DD3AAF" w:rsidRPr="003673FA" w:rsidRDefault="00DD3AAF" w:rsidP="00DD3AAF">
      <w:r w:rsidRPr="003673FA">
        <w:t xml:space="preserve">Linkage Projects rounds </w:t>
      </w:r>
      <w:r w:rsidR="00526CD1" w:rsidRPr="003673FA">
        <w:t xml:space="preserve">for each year have been identified </w:t>
      </w:r>
      <w:r w:rsidR="00C31516" w:rsidRPr="003673FA">
        <w:t xml:space="preserve">in this report </w:t>
      </w:r>
      <w:r w:rsidR="00526CD1" w:rsidRPr="003673FA">
        <w:t xml:space="preserve">according to whether they were run under the annual process (signified by an </w:t>
      </w:r>
      <w:r w:rsidRPr="003673FA">
        <w:t>‘A’</w:t>
      </w:r>
      <w:r w:rsidR="00B51563" w:rsidRPr="003673FA">
        <w:t xml:space="preserve">, </w:t>
      </w:r>
      <w:r w:rsidR="00526CD1" w:rsidRPr="003673FA">
        <w:t>in 2013 A, 2014 A, 2015 A and 2016 A) or the continuous process (signified by a ‘C’</w:t>
      </w:r>
      <w:r w:rsidR="00001F27" w:rsidRPr="003673FA">
        <w:t>,</w:t>
      </w:r>
      <w:r w:rsidR="00B51563" w:rsidRPr="003673FA">
        <w:t xml:space="preserve"> </w:t>
      </w:r>
      <w:r w:rsidR="00526CD1" w:rsidRPr="003673FA">
        <w:t>in 2016 C, 2017 C and 2018 C)</w:t>
      </w:r>
      <w:r w:rsidRPr="003673FA">
        <w:t xml:space="preserve">. </w:t>
      </w:r>
    </w:p>
    <w:p w14:paraId="3585959A" w14:textId="77777777" w:rsidR="00F63CF1" w:rsidRPr="003673FA" w:rsidRDefault="00F63CF1" w:rsidP="00E349D9"/>
    <w:p w14:paraId="795DBBB3" w14:textId="43ACE5AA" w:rsidR="004E6182" w:rsidRPr="003673FA" w:rsidRDefault="007C0556" w:rsidP="009C175D">
      <w:r w:rsidRPr="003673FA">
        <w:t>T</w:t>
      </w:r>
      <w:r w:rsidR="00C036D3" w:rsidRPr="003673FA">
        <w:t>he 2016 round</w:t>
      </w:r>
      <w:r w:rsidR="00001F27" w:rsidRPr="003673FA">
        <w:t xml:space="preserve"> included both an annual component (</w:t>
      </w:r>
      <w:r w:rsidR="00C31516" w:rsidRPr="003673FA">
        <w:t xml:space="preserve">represented as </w:t>
      </w:r>
      <w:r w:rsidR="00001F27" w:rsidRPr="003673FA">
        <w:t>2016 A) and a continuous component (2016 C)</w:t>
      </w:r>
      <w:r w:rsidRPr="003673FA">
        <w:t>, and it is important to explain how this is reflected in the significantly lower values for 2016 C in the data</w:t>
      </w:r>
      <w:r w:rsidR="00382CAD" w:rsidRPr="003673FA">
        <w:t xml:space="preserve">. </w:t>
      </w:r>
      <w:r w:rsidR="00DD3AAF" w:rsidRPr="003673FA">
        <w:t>When the continuous process commenced on 1 July 2016</w:t>
      </w:r>
      <w:r w:rsidR="00B51563" w:rsidRPr="003673FA">
        <w:t xml:space="preserve"> (</w:t>
      </w:r>
      <w:r w:rsidR="00DD3AAF" w:rsidRPr="003673FA">
        <w:t xml:space="preserve">in line with the </w:t>
      </w:r>
      <w:r w:rsidR="00B51563" w:rsidRPr="003673FA">
        <w:t xml:space="preserve">NISA </w:t>
      </w:r>
      <w:r w:rsidR="00DD3AAF" w:rsidRPr="003673FA">
        <w:t>commitment</w:t>
      </w:r>
      <w:r w:rsidR="00B51563" w:rsidRPr="003673FA">
        <w:t>)</w:t>
      </w:r>
      <w:r w:rsidR="00DD3AAF" w:rsidRPr="003673FA">
        <w:t xml:space="preserve">, the </w:t>
      </w:r>
      <w:r w:rsidR="00C31516" w:rsidRPr="003673FA">
        <w:t xml:space="preserve">full </w:t>
      </w:r>
      <w:r w:rsidR="00DD3AAF" w:rsidRPr="003673FA">
        <w:t xml:space="preserve">annual Linkage Projects round for 2016 </w:t>
      </w:r>
      <w:r w:rsidR="00E349D9" w:rsidRPr="003673FA">
        <w:t>had al</w:t>
      </w:r>
      <w:r w:rsidR="00955D69" w:rsidRPr="003673FA">
        <w:t>ready been compl</w:t>
      </w:r>
      <w:r w:rsidR="00D05095" w:rsidRPr="003673FA">
        <w:t>eted</w:t>
      </w:r>
      <w:r w:rsidR="00DD3AAF" w:rsidRPr="003673FA">
        <w:t>.</w:t>
      </w:r>
      <w:r w:rsidR="00D05095" w:rsidRPr="003673FA">
        <w:t xml:space="preserve"> </w:t>
      </w:r>
      <w:r w:rsidR="00B51563" w:rsidRPr="003673FA">
        <w:t>T</w:t>
      </w:r>
      <w:r w:rsidR="00C31516" w:rsidRPr="003673FA">
        <w:t>o manage the transition to the new</w:t>
      </w:r>
      <w:r w:rsidR="00F63CF1" w:rsidRPr="003673FA">
        <w:t xml:space="preserve"> process, </w:t>
      </w:r>
      <w:r w:rsidR="00D05095" w:rsidRPr="003673FA">
        <w:t xml:space="preserve">the ARC effectively ‘reopened’ the 2016 round </w:t>
      </w:r>
      <w:r w:rsidRPr="003673FA">
        <w:t xml:space="preserve">to applications </w:t>
      </w:r>
      <w:r w:rsidR="00D05095" w:rsidRPr="003673FA">
        <w:t>under the continuous process</w:t>
      </w:r>
      <w:r w:rsidR="00C31516" w:rsidRPr="003673FA">
        <w:t xml:space="preserve"> until the end of that year. This represented </w:t>
      </w:r>
      <w:r w:rsidR="005A2BFA" w:rsidRPr="003673FA">
        <w:t xml:space="preserve">an application cycle of </w:t>
      </w:r>
      <w:r w:rsidR="00DD3AAF" w:rsidRPr="003673FA">
        <w:t>only six months</w:t>
      </w:r>
      <w:r w:rsidR="00C31516" w:rsidRPr="003673FA">
        <w:t xml:space="preserve">, as opposed </w:t>
      </w:r>
      <w:r w:rsidR="00DD3AAF" w:rsidRPr="003673FA">
        <w:t>to</w:t>
      </w:r>
      <w:r w:rsidR="00C31516" w:rsidRPr="003673FA">
        <w:t xml:space="preserve"> the </w:t>
      </w:r>
      <w:r w:rsidR="00DD3AAF" w:rsidRPr="003673FA">
        <w:t>12 m</w:t>
      </w:r>
      <w:r w:rsidR="00D0493A" w:rsidRPr="003673FA">
        <w:t xml:space="preserve">onth </w:t>
      </w:r>
      <w:r w:rsidR="00C31516" w:rsidRPr="003673FA">
        <w:t xml:space="preserve">application </w:t>
      </w:r>
      <w:r w:rsidR="00D0493A" w:rsidRPr="003673FA">
        <w:t xml:space="preserve">cycles for </w:t>
      </w:r>
      <w:r w:rsidR="00D05095" w:rsidRPr="003673FA">
        <w:t>earlier annual rounds and later continuous rounds</w:t>
      </w:r>
      <w:r w:rsidR="00B51563" w:rsidRPr="003673FA">
        <w:t>.</w:t>
      </w:r>
    </w:p>
    <w:p w14:paraId="275630E6" w14:textId="44DE9061" w:rsidR="00B35FD7" w:rsidRPr="003673FA" w:rsidRDefault="00B35FD7" w:rsidP="009C175D"/>
    <w:p w14:paraId="01E1C56A" w14:textId="506B8462" w:rsidR="00B35FD7" w:rsidRPr="003673FA" w:rsidRDefault="00B35FD7" w:rsidP="00B35FD7">
      <w:pPr>
        <w:pStyle w:val="Heading3"/>
      </w:pPr>
      <w:r w:rsidRPr="003673FA">
        <w:t>Stakeholder surveys and interviews</w:t>
      </w:r>
    </w:p>
    <w:p w14:paraId="47C28250" w14:textId="1538732D" w:rsidR="00B35FD7" w:rsidRPr="003673FA" w:rsidRDefault="00B35FD7" w:rsidP="00B35FD7"/>
    <w:p w14:paraId="6133DA23" w14:textId="587F9CA3" w:rsidR="00F850A3" w:rsidRPr="003673FA" w:rsidRDefault="002A4122" w:rsidP="009C175D">
      <w:r w:rsidRPr="003673FA">
        <w:t xml:space="preserve">The stakeholder engagement undertaken by ACIL Allen Consulting </w:t>
      </w:r>
      <w:r w:rsidR="00B35715" w:rsidRPr="003673FA">
        <w:t xml:space="preserve">included delivery of </w:t>
      </w:r>
      <w:r w:rsidRPr="003673FA">
        <w:t xml:space="preserve">surveys </w:t>
      </w:r>
      <w:r w:rsidR="00B35715" w:rsidRPr="003673FA">
        <w:t>and interviews, collection and analysis of</w:t>
      </w:r>
      <w:r w:rsidR="00A96143" w:rsidRPr="003673FA">
        <w:t xml:space="preserve"> quantitative and qualitative </w:t>
      </w:r>
      <w:r w:rsidR="00B35715" w:rsidRPr="003673FA">
        <w:t>response data, and reporting to the ARC.</w:t>
      </w:r>
    </w:p>
    <w:p w14:paraId="1197ACD2" w14:textId="2277ABE0" w:rsidR="00B35715" w:rsidRPr="003673FA" w:rsidRDefault="00B35715" w:rsidP="009C175D"/>
    <w:p w14:paraId="64098617" w14:textId="0BA85D34" w:rsidR="00B35715" w:rsidRPr="003673FA" w:rsidRDefault="00E07117" w:rsidP="009C175D">
      <w:r w:rsidRPr="003673FA">
        <w:t>The s</w:t>
      </w:r>
      <w:r w:rsidR="00B35715" w:rsidRPr="003673FA">
        <w:t>urveys were</w:t>
      </w:r>
      <w:r w:rsidRPr="003673FA">
        <w:t xml:space="preserve"> released on 23 October 2018 and closed on 14 November 2018. They were</w:t>
      </w:r>
      <w:r w:rsidR="00B35715" w:rsidRPr="003673FA">
        <w:t xml:space="preserve"> </w:t>
      </w:r>
      <w:r w:rsidR="00383F5B" w:rsidRPr="003673FA">
        <w:t>tailored</w:t>
      </w:r>
      <w:r w:rsidR="00B35715" w:rsidRPr="003673FA">
        <w:t xml:space="preserve"> and delivered to four Linkage Projects stakeholder groups:</w:t>
      </w:r>
    </w:p>
    <w:p w14:paraId="6BCC1ABF" w14:textId="40EA6BB3" w:rsidR="009C175D" w:rsidRPr="003673FA" w:rsidRDefault="00F850A3" w:rsidP="00765927">
      <w:pPr>
        <w:pStyle w:val="ListParagraph"/>
        <w:numPr>
          <w:ilvl w:val="0"/>
          <w:numId w:val="13"/>
        </w:numPr>
        <w:rPr>
          <w:color w:val="auto"/>
        </w:rPr>
      </w:pPr>
      <w:r w:rsidRPr="003673FA">
        <w:rPr>
          <w:color w:val="auto"/>
        </w:rPr>
        <w:t xml:space="preserve">Chief Investigators </w:t>
      </w:r>
      <w:r w:rsidR="00E077A6" w:rsidRPr="003673FA">
        <w:rPr>
          <w:color w:val="auto"/>
        </w:rPr>
        <w:t xml:space="preserve">(CIs) </w:t>
      </w:r>
      <w:r w:rsidRPr="003673FA">
        <w:rPr>
          <w:color w:val="auto"/>
        </w:rPr>
        <w:t xml:space="preserve">on </w:t>
      </w:r>
      <w:r w:rsidR="00B35715" w:rsidRPr="003673FA">
        <w:rPr>
          <w:color w:val="auto"/>
        </w:rPr>
        <w:t>successful applications under the continuous process</w:t>
      </w:r>
    </w:p>
    <w:p w14:paraId="1C56101A" w14:textId="6D9FD265" w:rsidR="00B35715" w:rsidRPr="003673FA" w:rsidRDefault="00F850A3" w:rsidP="00765927">
      <w:pPr>
        <w:pStyle w:val="ListParagraph"/>
        <w:numPr>
          <w:ilvl w:val="0"/>
          <w:numId w:val="13"/>
        </w:numPr>
        <w:rPr>
          <w:color w:val="auto"/>
        </w:rPr>
      </w:pPr>
      <w:r w:rsidRPr="003673FA">
        <w:rPr>
          <w:color w:val="auto"/>
        </w:rPr>
        <w:t xml:space="preserve">Partner Investigators </w:t>
      </w:r>
      <w:r w:rsidR="00E077A6" w:rsidRPr="003673FA">
        <w:rPr>
          <w:color w:val="auto"/>
        </w:rPr>
        <w:t xml:space="preserve">(PIs) </w:t>
      </w:r>
      <w:r w:rsidRPr="003673FA">
        <w:rPr>
          <w:color w:val="auto"/>
        </w:rPr>
        <w:t>on</w:t>
      </w:r>
      <w:r w:rsidR="00B35715" w:rsidRPr="003673FA">
        <w:rPr>
          <w:color w:val="auto"/>
        </w:rPr>
        <w:t xml:space="preserve"> successful</w:t>
      </w:r>
      <w:r w:rsidRPr="003673FA">
        <w:rPr>
          <w:color w:val="auto"/>
        </w:rPr>
        <w:t xml:space="preserve"> </w:t>
      </w:r>
      <w:r w:rsidR="00B35715" w:rsidRPr="003673FA">
        <w:rPr>
          <w:color w:val="auto"/>
        </w:rPr>
        <w:t>applications under the continuous process</w:t>
      </w:r>
      <w:r w:rsidR="005A01C2" w:rsidRPr="003673FA">
        <w:rPr>
          <w:color w:val="auto"/>
        </w:rPr>
        <w:t xml:space="preserve"> (</w:t>
      </w:r>
      <w:r w:rsidR="00EB4FA3" w:rsidRPr="003673FA">
        <w:rPr>
          <w:color w:val="auto"/>
        </w:rPr>
        <w:t>representing the perspectives of partner organisations)</w:t>
      </w:r>
    </w:p>
    <w:p w14:paraId="2E784682" w14:textId="42E6DBE0" w:rsidR="00F850A3" w:rsidRPr="003673FA" w:rsidRDefault="00B35715" w:rsidP="00765927">
      <w:pPr>
        <w:pStyle w:val="ListParagraph"/>
        <w:numPr>
          <w:ilvl w:val="0"/>
          <w:numId w:val="13"/>
        </w:numPr>
        <w:rPr>
          <w:color w:val="auto"/>
        </w:rPr>
      </w:pPr>
      <w:r w:rsidRPr="003673FA">
        <w:rPr>
          <w:color w:val="auto"/>
        </w:rPr>
        <w:t xml:space="preserve">Detailed </w:t>
      </w:r>
      <w:r w:rsidR="00976BC9" w:rsidRPr="003673FA">
        <w:rPr>
          <w:color w:val="auto"/>
        </w:rPr>
        <w:t>a</w:t>
      </w:r>
      <w:r w:rsidRPr="003673FA">
        <w:rPr>
          <w:color w:val="auto"/>
        </w:rPr>
        <w:t xml:space="preserve">ssessors </w:t>
      </w:r>
      <w:r w:rsidR="00CA2FC5" w:rsidRPr="003673FA">
        <w:rPr>
          <w:color w:val="auto"/>
        </w:rPr>
        <w:t>who had</w:t>
      </w:r>
      <w:r w:rsidR="001E3ADB" w:rsidRPr="003673FA">
        <w:rPr>
          <w:color w:val="auto"/>
        </w:rPr>
        <w:t xml:space="preserve"> </w:t>
      </w:r>
      <w:r w:rsidRPr="003673FA">
        <w:rPr>
          <w:color w:val="auto"/>
        </w:rPr>
        <w:t>assess</w:t>
      </w:r>
      <w:r w:rsidR="001E3ADB" w:rsidRPr="003673FA">
        <w:rPr>
          <w:color w:val="auto"/>
        </w:rPr>
        <w:t>ed</w:t>
      </w:r>
      <w:r w:rsidRPr="003673FA">
        <w:rPr>
          <w:color w:val="auto"/>
        </w:rPr>
        <w:t xml:space="preserve"> applications under the continuous process</w:t>
      </w:r>
    </w:p>
    <w:p w14:paraId="602D9A37" w14:textId="36AF9D4B" w:rsidR="00F850A3" w:rsidRPr="003673FA" w:rsidRDefault="00CA19FD" w:rsidP="00765927">
      <w:pPr>
        <w:pStyle w:val="ListParagraph"/>
        <w:numPr>
          <w:ilvl w:val="0"/>
          <w:numId w:val="13"/>
        </w:numPr>
        <w:rPr>
          <w:color w:val="auto"/>
        </w:rPr>
      </w:pPr>
      <w:r w:rsidRPr="003673FA">
        <w:rPr>
          <w:color w:val="auto"/>
        </w:rPr>
        <w:t>SAC</w:t>
      </w:r>
      <w:r w:rsidR="00F850A3" w:rsidRPr="003673FA">
        <w:rPr>
          <w:color w:val="auto"/>
        </w:rPr>
        <w:t xml:space="preserve"> </w:t>
      </w:r>
      <w:r w:rsidR="00B35715" w:rsidRPr="003673FA">
        <w:rPr>
          <w:color w:val="auto"/>
        </w:rPr>
        <w:t>members involved in selection</w:t>
      </w:r>
      <w:r w:rsidR="00811047" w:rsidRPr="003673FA">
        <w:rPr>
          <w:color w:val="auto"/>
        </w:rPr>
        <w:t xml:space="preserve"> processes and</w:t>
      </w:r>
      <w:r w:rsidR="00B35715" w:rsidRPr="003673FA">
        <w:rPr>
          <w:color w:val="auto"/>
        </w:rPr>
        <w:t xml:space="preserve"> </w:t>
      </w:r>
      <w:r w:rsidR="00811047" w:rsidRPr="003673FA">
        <w:rPr>
          <w:color w:val="auto"/>
        </w:rPr>
        <w:t>meetings</w:t>
      </w:r>
      <w:r w:rsidR="00B35715" w:rsidRPr="003673FA">
        <w:rPr>
          <w:color w:val="auto"/>
        </w:rPr>
        <w:t xml:space="preserve"> under the continuous process.</w:t>
      </w:r>
    </w:p>
    <w:p w14:paraId="0E7F326E" w14:textId="1CCD20F2" w:rsidR="00B35715" w:rsidRPr="003673FA" w:rsidRDefault="00B35715" w:rsidP="00B35715"/>
    <w:p w14:paraId="11E32162" w14:textId="77777777" w:rsidR="00CA7D22" w:rsidRPr="003673FA" w:rsidRDefault="00BA0001" w:rsidP="00B35715">
      <w:r w:rsidRPr="003673FA">
        <w:lastRenderedPageBreak/>
        <w:t>Participants</w:t>
      </w:r>
      <w:r w:rsidR="001E3ADB" w:rsidRPr="003673FA">
        <w:t xml:space="preserve"> were asked </w:t>
      </w:r>
      <w:r w:rsidRPr="003673FA">
        <w:t xml:space="preserve">whether they had also been involved in the Linkage Projects scheme in their respective roles prior to the introduction of the continuous process. This </w:t>
      </w:r>
      <w:r w:rsidR="0082316E" w:rsidRPr="003673FA">
        <w:t xml:space="preserve">enabled the surveys to </w:t>
      </w:r>
      <w:r w:rsidR="00FB27D2" w:rsidRPr="003673FA">
        <w:t>illuminate</w:t>
      </w:r>
      <w:r w:rsidR="0082316E" w:rsidRPr="003673FA">
        <w:t xml:space="preserve"> </w:t>
      </w:r>
      <w:r w:rsidRPr="003673FA">
        <w:t>perspectives</w:t>
      </w:r>
      <w:r w:rsidR="005D334E" w:rsidRPr="003673FA">
        <w:t xml:space="preserve"> of relevant stakeholders on </w:t>
      </w:r>
      <w:r w:rsidR="0082316E" w:rsidRPr="003673FA">
        <w:t>changes arising from the implementa</w:t>
      </w:r>
      <w:r w:rsidR="00312955" w:rsidRPr="003673FA">
        <w:t>tion of the continuous process.</w:t>
      </w:r>
      <w:r w:rsidR="00CA7D22" w:rsidRPr="003673FA">
        <w:t xml:space="preserve"> </w:t>
      </w:r>
    </w:p>
    <w:p w14:paraId="61F9FC38" w14:textId="77777777" w:rsidR="00CA7D22" w:rsidRPr="003673FA" w:rsidRDefault="00CA7D22" w:rsidP="00B35715"/>
    <w:p w14:paraId="0475A375" w14:textId="1CD8F28A" w:rsidR="001E3ADB" w:rsidRPr="003673FA" w:rsidRDefault="007F7CB5" w:rsidP="00B35715">
      <w:r w:rsidRPr="003673FA">
        <w:t>P</w:t>
      </w:r>
      <w:r w:rsidR="00CA7D22" w:rsidRPr="003673FA">
        <w:t xml:space="preserve">articipants who had not been involved prior to the </w:t>
      </w:r>
      <w:r w:rsidRPr="003673FA">
        <w:t xml:space="preserve">introduction of the </w:t>
      </w:r>
      <w:r w:rsidR="00CA7D22" w:rsidRPr="003673FA">
        <w:t xml:space="preserve">continuous process were </w:t>
      </w:r>
      <w:r w:rsidRPr="003673FA">
        <w:t xml:space="preserve">sometimes </w:t>
      </w:r>
      <w:r w:rsidR="00CA7D22" w:rsidRPr="003673FA">
        <w:t>asked similar questions about changes or impacts</w:t>
      </w:r>
      <w:r w:rsidRPr="003673FA">
        <w:t xml:space="preserve"> associated with it</w:t>
      </w:r>
      <w:r w:rsidR="00CA7D22" w:rsidRPr="003673FA">
        <w:t xml:space="preserve">. </w:t>
      </w:r>
      <w:r w:rsidR="002E4863" w:rsidRPr="003673FA">
        <w:t>Their r</w:t>
      </w:r>
      <w:r w:rsidR="00CA7D22" w:rsidRPr="003673FA">
        <w:t>esponses to</w:t>
      </w:r>
      <w:r w:rsidR="002E4863" w:rsidRPr="003673FA">
        <w:t xml:space="preserve"> some of</w:t>
      </w:r>
      <w:r w:rsidR="00CA7D22" w:rsidRPr="003673FA">
        <w:t xml:space="preserve"> these questions were difficult to interpret, as it </w:t>
      </w:r>
      <w:r w:rsidR="00A7481C" w:rsidRPr="003673FA">
        <w:t>was</w:t>
      </w:r>
      <w:r w:rsidR="00CA7D22" w:rsidRPr="003673FA">
        <w:t xml:space="preserve"> unclear what comparisons they were making in rela</w:t>
      </w:r>
      <w:r w:rsidR="00A7481C" w:rsidRPr="003673FA">
        <w:t xml:space="preserve">tion to the continuous process. </w:t>
      </w:r>
      <w:r w:rsidRPr="003673FA">
        <w:t>Such instances</w:t>
      </w:r>
      <w:r w:rsidR="00A7481C" w:rsidRPr="003673FA">
        <w:t xml:space="preserve"> are addressed in this report, and care has been taken throughout to indicate which stakeholders’ views have informed the discussion and analysis.</w:t>
      </w:r>
    </w:p>
    <w:p w14:paraId="397A515D" w14:textId="2112DE0F" w:rsidR="00312955" w:rsidRPr="003673FA" w:rsidRDefault="00312955"/>
    <w:p w14:paraId="7426040A" w14:textId="58FE6C0E" w:rsidR="001756CC" w:rsidRPr="003673FA" w:rsidRDefault="00CA2FC5" w:rsidP="00CA2FC5">
      <w:pPr>
        <w:pStyle w:val="Heading4"/>
      </w:pPr>
      <w:bookmarkStart w:id="25" w:name="Table1"/>
      <w:bookmarkEnd w:id="25"/>
      <w:r w:rsidRPr="003673FA">
        <w:t xml:space="preserve">Table </w:t>
      </w:r>
      <w:r w:rsidR="00636621" w:rsidRPr="003673FA">
        <w:t>1</w:t>
      </w:r>
      <w:r w:rsidRPr="003673FA">
        <w:t>: Summary of survey participation</w:t>
      </w:r>
    </w:p>
    <w:tbl>
      <w:tblPr>
        <w:tblStyle w:val="GridTable5Dark-Accent1"/>
        <w:tblW w:w="0" w:type="auto"/>
        <w:tblLook w:val="04A0" w:firstRow="1" w:lastRow="0" w:firstColumn="1" w:lastColumn="0" w:noHBand="0" w:noVBand="1"/>
      </w:tblPr>
      <w:tblGrid>
        <w:gridCol w:w="1807"/>
        <w:gridCol w:w="1807"/>
        <w:gridCol w:w="1808"/>
        <w:gridCol w:w="1808"/>
        <w:gridCol w:w="1808"/>
      </w:tblGrid>
      <w:tr w:rsidR="0082316E" w:rsidRPr="003673FA" w14:paraId="0689A57F" w14:textId="77777777" w:rsidTr="00E66E0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07" w:type="dxa"/>
          </w:tcPr>
          <w:p w14:paraId="42C5F569" w14:textId="4F5C5B0F" w:rsidR="0082316E" w:rsidRPr="003673FA" w:rsidRDefault="0082316E" w:rsidP="009C175D">
            <w:pPr>
              <w:rPr>
                <w:sz w:val="22"/>
              </w:rPr>
            </w:pPr>
            <w:r w:rsidRPr="003673FA">
              <w:rPr>
                <w:sz w:val="22"/>
              </w:rPr>
              <w:t>Stakeholder group</w:t>
            </w:r>
          </w:p>
        </w:tc>
        <w:tc>
          <w:tcPr>
            <w:tcW w:w="1807" w:type="dxa"/>
          </w:tcPr>
          <w:p w14:paraId="3F649BDB" w14:textId="7269C623" w:rsidR="0082316E" w:rsidRPr="003673FA" w:rsidRDefault="0082316E" w:rsidP="009C175D">
            <w:pPr>
              <w:cnfStyle w:val="100000000000" w:firstRow="1" w:lastRow="0" w:firstColumn="0" w:lastColumn="0" w:oddVBand="0" w:evenVBand="0" w:oddHBand="0" w:evenHBand="0" w:firstRowFirstColumn="0" w:firstRowLastColumn="0" w:lastRowFirstColumn="0" w:lastRowLastColumn="0"/>
              <w:rPr>
                <w:sz w:val="22"/>
              </w:rPr>
            </w:pPr>
            <w:r w:rsidRPr="003673FA">
              <w:rPr>
                <w:sz w:val="22"/>
              </w:rPr>
              <w:t>Surveys sent</w:t>
            </w:r>
          </w:p>
        </w:tc>
        <w:tc>
          <w:tcPr>
            <w:tcW w:w="1808" w:type="dxa"/>
          </w:tcPr>
          <w:p w14:paraId="11BBEAD1" w14:textId="3CB353F0" w:rsidR="0082316E" w:rsidRPr="003673FA" w:rsidRDefault="0082316E" w:rsidP="009C175D">
            <w:pPr>
              <w:cnfStyle w:val="100000000000" w:firstRow="1" w:lastRow="0" w:firstColumn="0" w:lastColumn="0" w:oddVBand="0" w:evenVBand="0" w:oddHBand="0" w:evenHBand="0" w:firstRowFirstColumn="0" w:firstRowLastColumn="0" w:lastRowFirstColumn="0" w:lastRowLastColumn="0"/>
              <w:rPr>
                <w:sz w:val="22"/>
              </w:rPr>
            </w:pPr>
            <w:r w:rsidRPr="003673FA">
              <w:rPr>
                <w:sz w:val="22"/>
              </w:rPr>
              <w:t>Surveys completed</w:t>
            </w:r>
          </w:p>
        </w:tc>
        <w:tc>
          <w:tcPr>
            <w:tcW w:w="1808" w:type="dxa"/>
          </w:tcPr>
          <w:p w14:paraId="712C07A0" w14:textId="4AABDD7F" w:rsidR="0082316E" w:rsidRPr="003673FA" w:rsidRDefault="0082316E" w:rsidP="009C175D">
            <w:pPr>
              <w:cnfStyle w:val="100000000000" w:firstRow="1" w:lastRow="0" w:firstColumn="0" w:lastColumn="0" w:oddVBand="0" w:evenVBand="0" w:oddHBand="0" w:evenHBand="0" w:firstRowFirstColumn="0" w:firstRowLastColumn="0" w:lastRowFirstColumn="0" w:lastRowLastColumn="0"/>
              <w:rPr>
                <w:sz w:val="22"/>
              </w:rPr>
            </w:pPr>
            <w:r w:rsidRPr="003673FA">
              <w:rPr>
                <w:sz w:val="22"/>
              </w:rPr>
              <w:t>Response rate (%)</w:t>
            </w:r>
          </w:p>
        </w:tc>
        <w:tc>
          <w:tcPr>
            <w:tcW w:w="1808" w:type="dxa"/>
          </w:tcPr>
          <w:p w14:paraId="412D6BB4" w14:textId="32AB3016" w:rsidR="0082316E" w:rsidRPr="003673FA" w:rsidRDefault="00CA2FC5" w:rsidP="009C175D">
            <w:pPr>
              <w:cnfStyle w:val="100000000000" w:firstRow="1" w:lastRow="0" w:firstColumn="0" w:lastColumn="0" w:oddVBand="0" w:evenVBand="0" w:oddHBand="0" w:evenHBand="0" w:firstRowFirstColumn="0" w:firstRowLastColumn="0" w:lastRowFirstColumn="0" w:lastRowLastColumn="0"/>
              <w:rPr>
                <w:sz w:val="22"/>
              </w:rPr>
            </w:pPr>
            <w:r w:rsidRPr="003673FA">
              <w:rPr>
                <w:sz w:val="22"/>
              </w:rPr>
              <w:t>Respondents i</w:t>
            </w:r>
            <w:r w:rsidR="0082316E" w:rsidRPr="003673FA">
              <w:rPr>
                <w:sz w:val="22"/>
              </w:rPr>
              <w:t>nvolved prior to continuous process (%)</w:t>
            </w:r>
          </w:p>
        </w:tc>
      </w:tr>
      <w:tr w:rsidR="0082316E" w:rsidRPr="003673FA" w14:paraId="10F4C5C1" w14:textId="77777777" w:rsidTr="003129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7" w:type="dxa"/>
          </w:tcPr>
          <w:p w14:paraId="699EA917" w14:textId="004B7AB3" w:rsidR="0082316E" w:rsidRPr="003673FA" w:rsidRDefault="0082316E" w:rsidP="0082316E">
            <w:pPr>
              <w:rPr>
                <w:sz w:val="22"/>
              </w:rPr>
            </w:pPr>
            <w:r w:rsidRPr="003673FA">
              <w:rPr>
                <w:sz w:val="22"/>
              </w:rPr>
              <w:t>Chief Investigators</w:t>
            </w:r>
          </w:p>
        </w:tc>
        <w:tc>
          <w:tcPr>
            <w:tcW w:w="1807" w:type="dxa"/>
          </w:tcPr>
          <w:p w14:paraId="06C9BACA" w14:textId="3CF3E1C7" w:rsidR="0082316E" w:rsidRPr="003673FA" w:rsidRDefault="0082316E" w:rsidP="0082316E">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711</w:t>
            </w:r>
          </w:p>
        </w:tc>
        <w:tc>
          <w:tcPr>
            <w:tcW w:w="1808" w:type="dxa"/>
          </w:tcPr>
          <w:p w14:paraId="040F8C49" w14:textId="73296E26" w:rsidR="0082316E" w:rsidRPr="003673FA" w:rsidRDefault="0082316E" w:rsidP="0082316E">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294</w:t>
            </w:r>
          </w:p>
        </w:tc>
        <w:tc>
          <w:tcPr>
            <w:tcW w:w="1808" w:type="dxa"/>
          </w:tcPr>
          <w:p w14:paraId="63858922" w14:textId="1773A65D" w:rsidR="0082316E" w:rsidRPr="003673FA" w:rsidRDefault="0082316E" w:rsidP="0082316E">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41</w:t>
            </w:r>
          </w:p>
        </w:tc>
        <w:tc>
          <w:tcPr>
            <w:tcW w:w="1808" w:type="dxa"/>
          </w:tcPr>
          <w:p w14:paraId="14EADB89" w14:textId="4AC1E951" w:rsidR="0082316E" w:rsidRPr="003673FA" w:rsidRDefault="0082316E" w:rsidP="0082316E">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62</w:t>
            </w:r>
          </w:p>
        </w:tc>
      </w:tr>
      <w:tr w:rsidR="0082316E" w:rsidRPr="003673FA" w14:paraId="25EBEF22" w14:textId="77777777" w:rsidTr="00312955">
        <w:trPr>
          <w:cantSplit/>
        </w:trPr>
        <w:tc>
          <w:tcPr>
            <w:cnfStyle w:val="001000000000" w:firstRow="0" w:lastRow="0" w:firstColumn="1" w:lastColumn="0" w:oddVBand="0" w:evenVBand="0" w:oddHBand="0" w:evenHBand="0" w:firstRowFirstColumn="0" w:firstRowLastColumn="0" w:lastRowFirstColumn="0" w:lastRowLastColumn="0"/>
            <w:tcW w:w="1807" w:type="dxa"/>
          </w:tcPr>
          <w:p w14:paraId="19532C52" w14:textId="6AAEC3BF" w:rsidR="0082316E" w:rsidRPr="003673FA" w:rsidRDefault="0082316E" w:rsidP="0082316E">
            <w:pPr>
              <w:rPr>
                <w:sz w:val="22"/>
              </w:rPr>
            </w:pPr>
            <w:r w:rsidRPr="003673FA">
              <w:rPr>
                <w:sz w:val="22"/>
              </w:rPr>
              <w:t>Partner Investigators</w:t>
            </w:r>
          </w:p>
        </w:tc>
        <w:tc>
          <w:tcPr>
            <w:tcW w:w="1807" w:type="dxa"/>
          </w:tcPr>
          <w:p w14:paraId="26D809E7" w14:textId="0C20B6B9" w:rsidR="0082316E" w:rsidRPr="003673FA" w:rsidRDefault="0082316E" w:rsidP="0082316E">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356</w:t>
            </w:r>
          </w:p>
        </w:tc>
        <w:tc>
          <w:tcPr>
            <w:tcW w:w="1808" w:type="dxa"/>
          </w:tcPr>
          <w:p w14:paraId="49009AAA" w14:textId="5E0E9911" w:rsidR="0082316E" w:rsidRPr="003673FA" w:rsidRDefault="0082316E" w:rsidP="0082316E">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106</w:t>
            </w:r>
          </w:p>
        </w:tc>
        <w:tc>
          <w:tcPr>
            <w:tcW w:w="1808" w:type="dxa"/>
          </w:tcPr>
          <w:p w14:paraId="373A4AFE" w14:textId="7113146A" w:rsidR="0082316E" w:rsidRPr="003673FA" w:rsidRDefault="0082316E" w:rsidP="0082316E">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30</w:t>
            </w:r>
          </w:p>
        </w:tc>
        <w:tc>
          <w:tcPr>
            <w:tcW w:w="1808" w:type="dxa"/>
          </w:tcPr>
          <w:p w14:paraId="525BC6F1" w14:textId="04030E4A" w:rsidR="0082316E" w:rsidRPr="003673FA" w:rsidRDefault="0082316E" w:rsidP="0082316E">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51</w:t>
            </w:r>
          </w:p>
        </w:tc>
      </w:tr>
      <w:tr w:rsidR="0082316E" w:rsidRPr="003673FA" w14:paraId="67BB4317" w14:textId="77777777" w:rsidTr="0031295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07" w:type="dxa"/>
          </w:tcPr>
          <w:p w14:paraId="6741AE2F" w14:textId="587A4D58" w:rsidR="0082316E" w:rsidRPr="003673FA" w:rsidRDefault="00976BC9" w:rsidP="0082316E">
            <w:pPr>
              <w:rPr>
                <w:sz w:val="22"/>
              </w:rPr>
            </w:pPr>
            <w:r w:rsidRPr="003673FA">
              <w:rPr>
                <w:sz w:val="22"/>
              </w:rPr>
              <w:t>Detailed a</w:t>
            </w:r>
            <w:r w:rsidR="0082316E" w:rsidRPr="003673FA">
              <w:rPr>
                <w:sz w:val="22"/>
              </w:rPr>
              <w:t>ssessors</w:t>
            </w:r>
          </w:p>
        </w:tc>
        <w:tc>
          <w:tcPr>
            <w:tcW w:w="1807" w:type="dxa"/>
          </w:tcPr>
          <w:p w14:paraId="5DC4422D" w14:textId="140A7070" w:rsidR="0082316E" w:rsidRPr="003673FA" w:rsidRDefault="00265DBF" w:rsidP="0082316E">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1</w:t>
            </w:r>
            <w:r w:rsidR="0082316E" w:rsidRPr="003673FA">
              <w:rPr>
                <w:sz w:val="22"/>
              </w:rPr>
              <w:t>864</w:t>
            </w:r>
          </w:p>
        </w:tc>
        <w:tc>
          <w:tcPr>
            <w:tcW w:w="1808" w:type="dxa"/>
          </w:tcPr>
          <w:p w14:paraId="4D2B90EA" w14:textId="52045749" w:rsidR="0082316E" w:rsidRPr="003673FA" w:rsidRDefault="0082316E" w:rsidP="0082316E">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576</w:t>
            </w:r>
          </w:p>
        </w:tc>
        <w:tc>
          <w:tcPr>
            <w:tcW w:w="1808" w:type="dxa"/>
          </w:tcPr>
          <w:p w14:paraId="1B632F4F" w14:textId="0B9574F2" w:rsidR="0082316E" w:rsidRPr="003673FA" w:rsidRDefault="0082316E" w:rsidP="0082316E">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31</w:t>
            </w:r>
          </w:p>
        </w:tc>
        <w:tc>
          <w:tcPr>
            <w:tcW w:w="1808" w:type="dxa"/>
          </w:tcPr>
          <w:p w14:paraId="471ABC6C" w14:textId="7FB43131" w:rsidR="0082316E" w:rsidRPr="003673FA" w:rsidRDefault="0082316E" w:rsidP="0082316E">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74</w:t>
            </w:r>
          </w:p>
        </w:tc>
      </w:tr>
      <w:tr w:rsidR="0082316E" w:rsidRPr="003673FA" w14:paraId="75A8A22E" w14:textId="77777777" w:rsidTr="00312955">
        <w:trPr>
          <w:cantSplit/>
        </w:trPr>
        <w:tc>
          <w:tcPr>
            <w:cnfStyle w:val="001000000000" w:firstRow="0" w:lastRow="0" w:firstColumn="1" w:lastColumn="0" w:oddVBand="0" w:evenVBand="0" w:oddHBand="0" w:evenHBand="0" w:firstRowFirstColumn="0" w:firstRowLastColumn="0" w:lastRowFirstColumn="0" w:lastRowLastColumn="0"/>
            <w:tcW w:w="1807" w:type="dxa"/>
          </w:tcPr>
          <w:p w14:paraId="1609AA9E" w14:textId="6A0241D4" w:rsidR="0082316E" w:rsidRPr="003673FA" w:rsidRDefault="0082316E" w:rsidP="0082316E">
            <w:pPr>
              <w:rPr>
                <w:sz w:val="22"/>
              </w:rPr>
            </w:pPr>
            <w:r w:rsidRPr="003673FA">
              <w:rPr>
                <w:sz w:val="22"/>
              </w:rPr>
              <w:t>SAC members</w:t>
            </w:r>
          </w:p>
        </w:tc>
        <w:tc>
          <w:tcPr>
            <w:tcW w:w="1807" w:type="dxa"/>
          </w:tcPr>
          <w:p w14:paraId="0BE31A09" w14:textId="3ED0175E" w:rsidR="0082316E" w:rsidRPr="003673FA" w:rsidRDefault="0082316E" w:rsidP="0082316E">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128</w:t>
            </w:r>
          </w:p>
        </w:tc>
        <w:tc>
          <w:tcPr>
            <w:tcW w:w="1808" w:type="dxa"/>
          </w:tcPr>
          <w:p w14:paraId="226A8C4F" w14:textId="501D40A6" w:rsidR="0082316E" w:rsidRPr="003673FA" w:rsidRDefault="0082316E" w:rsidP="0082316E">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57</w:t>
            </w:r>
          </w:p>
        </w:tc>
        <w:tc>
          <w:tcPr>
            <w:tcW w:w="1808" w:type="dxa"/>
          </w:tcPr>
          <w:p w14:paraId="6C957FA6" w14:textId="0D45EF6F" w:rsidR="0082316E" w:rsidRPr="003673FA" w:rsidRDefault="0082316E" w:rsidP="0082316E">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45</w:t>
            </w:r>
          </w:p>
        </w:tc>
        <w:tc>
          <w:tcPr>
            <w:tcW w:w="1808" w:type="dxa"/>
          </w:tcPr>
          <w:p w14:paraId="3E4EF20D" w14:textId="4EFF219B" w:rsidR="0082316E" w:rsidRPr="003673FA" w:rsidRDefault="0082316E" w:rsidP="0082316E">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42</w:t>
            </w:r>
          </w:p>
        </w:tc>
      </w:tr>
    </w:tbl>
    <w:p w14:paraId="4F9EA868" w14:textId="409B2161" w:rsidR="00BA0001" w:rsidRPr="003673FA" w:rsidRDefault="00CA2FC5" w:rsidP="009C175D">
      <w:pPr>
        <w:rPr>
          <w:sz w:val="20"/>
          <w:szCs w:val="20"/>
        </w:rPr>
      </w:pPr>
      <w:r w:rsidRPr="003673FA">
        <w:rPr>
          <w:sz w:val="20"/>
          <w:szCs w:val="20"/>
        </w:rPr>
        <w:t>Source: ACIL Allen Consulting</w:t>
      </w:r>
      <w:r w:rsidR="006557F6" w:rsidRPr="003673FA">
        <w:rPr>
          <w:sz w:val="20"/>
          <w:szCs w:val="20"/>
        </w:rPr>
        <w:t>.</w:t>
      </w:r>
    </w:p>
    <w:p w14:paraId="059D636D" w14:textId="77777777" w:rsidR="0082316E" w:rsidRPr="003673FA" w:rsidRDefault="0082316E" w:rsidP="009C175D"/>
    <w:p w14:paraId="7B78977F" w14:textId="3F0BB2F3" w:rsidR="0082316E" w:rsidRPr="003673FA" w:rsidRDefault="0082316E" w:rsidP="0082316E">
      <w:r w:rsidRPr="003673FA">
        <w:t xml:space="preserve">Ten interviews were also held </w:t>
      </w:r>
      <w:r w:rsidR="00E07117" w:rsidRPr="003673FA">
        <w:t xml:space="preserve">between 25 October 2018 and 16 November 2018, </w:t>
      </w:r>
      <w:r w:rsidRPr="003673FA">
        <w:t>with the following Linkage Projects stakeholder groups:</w:t>
      </w:r>
    </w:p>
    <w:p w14:paraId="5C58CC2F" w14:textId="5475E80A" w:rsidR="0082316E" w:rsidRPr="003673FA" w:rsidRDefault="0082316E" w:rsidP="00765927">
      <w:pPr>
        <w:pStyle w:val="ListParagraph"/>
        <w:numPr>
          <w:ilvl w:val="0"/>
          <w:numId w:val="14"/>
        </w:numPr>
        <w:rPr>
          <w:color w:val="auto"/>
        </w:rPr>
      </w:pPr>
      <w:r w:rsidRPr="003673FA">
        <w:rPr>
          <w:color w:val="auto"/>
        </w:rPr>
        <w:t xml:space="preserve">A sample of eight research offices from </w:t>
      </w:r>
      <w:r w:rsidR="00CA2FC5" w:rsidRPr="003673FA">
        <w:rPr>
          <w:color w:val="auto"/>
        </w:rPr>
        <w:t>universities that had</w:t>
      </w:r>
      <w:r w:rsidRPr="003673FA">
        <w:rPr>
          <w:color w:val="auto"/>
        </w:rPr>
        <w:t xml:space="preserve"> been </w:t>
      </w:r>
      <w:r w:rsidR="009A208F" w:rsidRPr="003673FA">
        <w:rPr>
          <w:color w:val="auto"/>
        </w:rPr>
        <w:t>a</w:t>
      </w:r>
      <w:r w:rsidRPr="003673FA">
        <w:rPr>
          <w:color w:val="auto"/>
        </w:rPr>
        <w:t xml:space="preserve">dministering </w:t>
      </w:r>
      <w:r w:rsidR="009A208F" w:rsidRPr="003673FA">
        <w:rPr>
          <w:color w:val="auto"/>
        </w:rPr>
        <w:t>o</w:t>
      </w:r>
      <w:r w:rsidRPr="003673FA">
        <w:rPr>
          <w:color w:val="auto"/>
        </w:rPr>
        <w:t>rganisations on successful applications under the continuous process</w:t>
      </w:r>
    </w:p>
    <w:p w14:paraId="4F752008" w14:textId="465121D3" w:rsidR="00E077A6" w:rsidRPr="003673FA" w:rsidRDefault="0082316E" w:rsidP="00765927">
      <w:pPr>
        <w:pStyle w:val="ListParagraph"/>
        <w:numPr>
          <w:ilvl w:val="0"/>
          <w:numId w:val="14"/>
        </w:numPr>
        <w:rPr>
          <w:color w:val="auto"/>
        </w:rPr>
      </w:pPr>
      <w:r w:rsidRPr="003673FA">
        <w:rPr>
          <w:color w:val="auto"/>
        </w:rPr>
        <w:t>Two ARC officers involved in policy and program aspects of the implementation of the continuous process.</w:t>
      </w:r>
    </w:p>
    <w:p w14:paraId="33634A2D" w14:textId="3E938ED4" w:rsidR="0040185D" w:rsidRPr="003673FA" w:rsidRDefault="0040185D" w:rsidP="00F8728A"/>
    <w:p w14:paraId="3DDB3F7F" w14:textId="5CA5EC22" w:rsidR="00C451E7" w:rsidRPr="003673FA" w:rsidRDefault="00ED220B" w:rsidP="00F8728A">
      <w:r w:rsidRPr="003673FA">
        <w:t>It is important to note that o</w:t>
      </w:r>
      <w:r w:rsidR="009A208F" w:rsidRPr="003673FA">
        <w:t>nly CIs, PIs and a</w:t>
      </w:r>
      <w:r w:rsidR="00C451E7" w:rsidRPr="003673FA">
        <w:t xml:space="preserve">dministering </w:t>
      </w:r>
      <w:r w:rsidR="009A208F" w:rsidRPr="003673FA">
        <w:t>o</w:t>
      </w:r>
      <w:r w:rsidR="00C451E7" w:rsidRPr="003673FA">
        <w:t xml:space="preserve">rganisations </w:t>
      </w:r>
      <w:r w:rsidRPr="003673FA">
        <w:t xml:space="preserve">who had been successful </w:t>
      </w:r>
      <w:r w:rsidR="00C451E7" w:rsidRPr="003673FA">
        <w:t>under the continuous process were included in the surveys and interviews</w:t>
      </w:r>
      <w:r w:rsidRPr="003673FA">
        <w:t xml:space="preserve"> (although some of these stakeholders had also been involved in unsuccessful applications). </w:t>
      </w:r>
      <w:r w:rsidR="00C451E7" w:rsidRPr="003673FA">
        <w:t xml:space="preserve">This was largely due to the better availability of current contact details for </w:t>
      </w:r>
      <w:r w:rsidRPr="003673FA">
        <w:t>successful</w:t>
      </w:r>
      <w:r w:rsidR="00C451E7" w:rsidRPr="003673FA">
        <w:t xml:space="preserve"> stakeholders </w:t>
      </w:r>
      <w:r w:rsidR="003B7406" w:rsidRPr="003673FA">
        <w:t xml:space="preserve">within </w:t>
      </w:r>
      <w:r w:rsidR="003A0AB8" w:rsidRPr="003673FA">
        <w:t>RMS</w:t>
      </w:r>
      <w:r w:rsidRPr="003673FA">
        <w:t xml:space="preserve">. Care has </w:t>
      </w:r>
      <w:r w:rsidR="00C451E7" w:rsidRPr="003673FA">
        <w:t xml:space="preserve">been taken </w:t>
      </w:r>
      <w:r w:rsidRPr="003673FA">
        <w:t xml:space="preserve">in this report </w:t>
      </w:r>
      <w:r w:rsidR="00C451E7" w:rsidRPr="003673FA">
        <w:t xml:space="preserve">to </w:t>
      </w:r>
      <w:r w:rsidR="007B103F" w:rsidRPr="003673FA">
        <w:t>address</w:t>
      </w:r>
      <w:r w:rsidR="00C451E7" w:rsidRPr="003673FA">
        <w:t xml:space="preserve"> </w:t>
      </w:r>
      <w:r w:rsidR="005B29C9" w:rsidRPr="003673FA">
        <w:t xml:space="preserve">the potential implications of </w:t>
      </w:r>
      <w:r w:rsidR="00C451E7" w:rsidRPr="003673FA">
        <w:t xml:space="preserve">this limitation </w:t>
      </w:r>
      <w:r w:rsidR="005B29C9" w:rsidRPr="003673FA">
        <w:t>of</w:t>
      </w:r>
      <w:r w:rsidR="007B103F" w:rsidRPr="003673FA">
        <w:t xml:space="preserve"> the evaluation</w:t>
      </w:r>
      <w:r w:rsidRPr="003673FA">
        <w:t>’s</w:t>
      </w:r>
      <w:r w:rsidR="007B103F" w:rsidRPr="003673FA">
        <w:t xml:space="preserve"> methodology where relevant</w:t>
      </w:r>
      <w:r w:rsidR="00C451E7" w:rsidRPr="003673FA">
        <w:t>.</w:t>
      </w:r>
    </w:p>
    <w:p w14:paraId="54F4CE06" w14:textId="77777777" w:rsidR="00C451E7" w:rsidRPr="003673FA" w:rsidRDefault="00C451E7" w:rsidP="00F8728A"/>
    <w:p w14:paraId="71758853" w14:textId="12E5C095" w:rsidR="0040185D" w:rsidRPr="003673FA" w:rsidRDefault="0040185D" w:rsidP="0040185D">
      <w:r w:rsidRPr="003673FA">
        <w:t>Contact details for all stakeholder groups were provided confidentially to ACIL Allen Consulting by the ARC. ACIL Allen Consulting de-identified all survey and interview responses</w:t>
      </w:r>
      <w:r w:rsidR="00FD590B" w:rsidRPr="003673FA">
        <w:t>, including</w:t>
      </w:r>
      <w:r w:rsidRPr="003673FA">
        <w:t xml:space="preserve"> </w:t>
      </w:r>
      <w:r w:rsidR="00FD590B" w:rsidRPr="003673FA">
        <w:t xml:space="preserve">in the data, analysis and reporting provided back to the ARC, </w:t>
      </w:r>
      <w:r w:rsidRPr="003673FA">
        <w:t xml:space="preserve">and </w:t>
      </w:r>
      <w:r w:rsidR="00811047" w:rsidRPr="003673FA">
        <w:t>destroyed all stakeholder</w:t>
      </w:r>
      <w:r w:rsidRPr="003673FA">
        <w:t xml:space="preserve"> contact details upon completion of the services.</w:t>
      </w:r>
    </w:p>
    <w:p w14:paraId="34AFCA18" w14:textId="77777777" w:rsidR="0040185D" w:rsidRPr="003673FA" w:rsidRDefault="0040185D" w:rsidP="0040185D"/>
    <w:p w14:paraId="7B3C1823" w14:textId="1AB7B4E2" w:rsidR="0040185D" w:rsidRPr="003673FA" w:rsidRDefault="0040185D" w:rsidP="00F8728A">
      <w:r w:rsidRPr="003673FA">
        <w:t xml:space="preserve">The concluding findings and opportunities identified in ACIL Allen Consulting’s final report to the ARC are provided in Appendix 1. </w:t>
      </w:r>
    </w:p>
    <w:p w14:paraId="7FF9FA2A" w14:textId="488C2265" w:rsidR="00F8728A" w:rsidRPr="003673FA" w:rsidRDefault="00F8728A" w:rsidP="009C175D"/>
    <w:p w14:paraId="5F3DC7C4" w14:textId="70AB73DA" w:rsidR="00BE3BED" w:rsidRPr="003673FA" w:rsidRDefault="00BE3BED">
      <w:pPr>
        <w:rPr>
          <w:szCs w:val="24"/>
        </w:rPr>
      </w:pPr>
      <w:r w:rsidRPr="003673FA">
        <w:rPr>
          <w:szCs w:val="24"/>
        </w:rPr>
        <w:br w:type="page"/>
      </w:r>
    </w:p>
    <w:p w14:paraId="43FFA067" w14:textId="11E88E78" w:rsidR="00AA6C5F" w:rsidRPr="003673FA" w:rsidRDefault="00AA6C5F" w:rsidP="00AA6C5F">
      <w:pPr>
        <w:pStyle w:val="Heading1"/>
      </w:pPr>
      <w:bookmarkStart w:id="26" w:name="_Toc3285754"/>
      <w:bookmarkStart w:id="27" w:name="_Toc6218377"/>
      <w:r w:rsidRPr="003673FA">
        <w:lastRenderedPageBreak/>
        <w:t>Analysis and findings</w:t>
      </w:r>
      <w:bookmarkEnd w:id="26"/>
      <w:bookmarkEnd w:id="27"/>
    </w:p>
    <w:p w14:paraId="6CE8E6EE" w14:textId="00C8F61F" w:rsidR="00AA6C5F" w:rsidRPr="003673FA" w:rsidRDefault="00AA6C5F" w:rsidP="005D392C"/>
    <w:p w14:paraId="3896B517" w14:textId="3226A28B" w:rsidR="00D709B8" w:rsidRPr="003673FA" w:rsidRDefault="009706EA" w:rsidP="005D392C">
      <w:r w:rsidRPr="003673FA">
        <w:t xml:space="preserve">This section presents the evaluation analysis and findings </w:t>
      </w:r>
      <w:r w:rsidR="00B1584A" w:rsidRPr="003673FA">
        <w:t xml:space="preserve">in relation to </w:t>
      </w:r>
      <w:r w:rsidRPr="003673FA">
        <w:t>each of the identified evaluation questions.</w:t>
      </w:r>
      <w:r w:rsidR="00EE55E1" w:rsidRPr="003673FA">
        <w:t xml:space="preserve"> </w:t>
      </w:r>
    </w:p>
    <w:p w14:paraId="2D70D835" w14:textId="5BCFDB58" w:rsidR="00D709B8" w:rsidRPr="003673FA" w:rsidRDefault="00D709B8" w:rsidP="005D392C"/>
    <w:p w14:paraId="13D7277F" w14:textId="251F9A99" w:rsidR="009706EA" w:rsidRPr="003673FA" w:rsidRDefault="005D392C" w:rsidP="009706EA">
      <w:pPr>
        <w:pStyle w:val="Heading2"/>
      </w:pPr>
      <w:bookmarkStart w:id="28" w:name="_Toc3285755"/>
      <w:bookmarkStart w:id="29" w:name="_Toc6218378"/>
      <w:r w:rsidRPr="003673FA">
        <w:t>Evaluation question 1</w:t>
      </w:r>
      <w:r w:rsidR="00F6414A" w:rsidRPr="003673FA">
        <w:t>: Partner organisation involvement</w:t>
      </w:r>
      <w:bookmarkEnd w:id="28"/>
      <w:bookmarkEnd w:id="29"/>
    </w:p>
    <w:p w14:paraId="7A7CB996" w14:textId="1F0FEB4C" w:rsidR="009706EA" w:rsidRPr="003673FA" w:rsidRDefault="009706EA" w:rsidP="005D392C">
      <w:r w:rsidRPr="003673FA">
        <w:rPr>
          <w:noProof/>
          <w:lang w:eastAsia="en-AU"/>
        </w:rPr>
        <mc:AlternateContent>
          <mc:Choice Requires="wps">
            <w:drawing>
              <wp:inline distT="0" distB="0" distL="0" distR="0" wp14:anchorId="40C27543" wp14:editId="26E62536">
                <wp:extent cx="5724525" cy="1333500"/>
                <wp:effectExtent l="0" t="0" r="2857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333500"/>
                        </a:xfrm>
                        <a:prstGeom prst="rect">
                          <a:avLst/>
                        </a:prstGeom>
                        <a:solidFill>
                          <a:srgbClr val="FFFFFF"/>
                        </a:solidFill>
                        <a:ln w="9525">
                          <a:solidFill>
                            <a:srgbClr val="000000"/>
                          </a:solidFill>
                          <a:miter lim="800000"/>
                          <a:headEnd/>
                          <a:tailEnd/>
                        </a:ln>
                      </wps:spPr>
                      <wps:txbx>
                        <w:txbxContent>
                          <w:p w14:paraId="0831A9AA" w14:textId="77777777" w:rsidR="00FC696C" w:rsidRPr="009706EA" w:rsidRDefault="00FC696C" w:rsidP="009706EA">
                            <w:r w:rsidRPr="009706EA">
                              <w:t>What are the differences in partner organisation involvement in Linkage Projects grants awarded before and after the introduction of the continuous process? Specifically:</w:t>
                            </w:r>
                          </w:p>
                          <w:p w14:paraId="5DCB94C2" w14:textId="77777777" w:rsidR="00FC696C" w:rsidRPr="009706EA" w:rsidRDefault="00FC696C" w:rsidP="00765927">
                            <w:pPr>
                              <w:pStyle w:val="ListParagraph"/>
                              <w:numPr>
                                <w:ilvl w:val="0"/>
                                <w:numId w:val="11"/>
                              </w:numPr>
                              <w:rPr>
                                <w:color w:val="auto"/>
                              </w:rPr>
                            </w:pPr>
                            <w:r w:rsidRPr="009706EA">
                              <w:rPr>
                                <w:color w:val="auto"/>
                              </w:rPr>
                              <w:t>How many partner organisations have been involved?</w:t>
                            </w:r>
                          </w:p>
                          <w:p w14:paraId="26BD8365" w14:textId="77777777" w:rsidR="00FC696C" w:rsidRPr="009706EA" w:rsidRDefault="00FC696C" w:rsidP="00765927">
                            <w:pPr>
                              <w:pStyle w:val="ListParagraph"/>
                              <w:numPr>
                                <w:ilvl w:val="0"/>
                                <w:numId w:val="11"/>
                              </w:numPr>
                              <w:rPr>
                                <w:color w:val="auto"/>
                              </w:rPr>
                            </w:pPr>
                            <w:r w:rsidRPr="009706EA">
                              <w:rPr>
                                <w:color w:val="auto"/>
                              </w:rPr>
                              <w:t>What types of partner organisations have been involved?</w:t>
                            </w:r>
                          </w:p>
                          <w:p w14:paraId="3583E751" w14:textId="77777777" w:rsidR="00FC696C" w:rsidRPr="009706EA" w:rsidRDefault="00FC696C" w:rsidP="00765927">
                            <w:pPr>
                              <w:pStyle w:val="ListParagraph"/>
                              <w:numPr>
                                <w:ilvl w:val="0"/>
                                <w:numId w:val="11"/>
                              </w:numPr>
                              <w:rPr>
                                <w:color w:val="auto"/>
                              </w:rPr>
                            </w:pPr>
                            <w:r w:rsidRPr="009706EA">
                              <w:rPr>
                                <w:color w:val="auto"/>
                              </w:rPr>
                              <w:t>How frequently have partner organisations been involved (i.e. repeat participants)?</w:t>
                            </w:r>
                          </w:p>
                          <w:p w14:paraId="15E966E6" w14:textId="77777777" w:rsidR="00FC696C" w:rsidRPr="009706EA" w:rsidRDefault="00FC696C" w:rsidP="00EE0C2D">
                            <w:pPr>
                              <w:pStyle w:val="ListParagraph"/>
                              <w:numPr>
                                <w:ilvl w:val="0"/>
                                <w:numId w:val="11"/>
                              </w:numPr>
                              <w:rPr>
                                <w:color w:val="auto"/>
                              </w:rPr>
                            </w:pPr>
                            <w:r w:rsidRPr="009706EA">
                              <w:rPr>
                                <w:color w:val="auto"/>
                              </w:rPr>
                              <w:t>How much and what kind of contributions (cash/in kind) have they provided?</w:t>
                            </w:r>
                          </w:p>
                          <w:p w14:paraId="7220BB1E" w14:textId="0B227FD4" w:rsidR="00FC696C" w:rsidRPr="009706EA" w:rsidRDefault="00FC696C" w:rsidP="00765927">
                            <w:pPr>
                              <w:pStyle w:val="ListParagraph"/>
                              <w:numPr>
                                <w:ilvl w:val="0"/>
                                <w:numId w:val="11"/>
                              </w:numPr>
                              <w:rPr>
                                <w:color w:val="auto"/>
                              </w:rPr>
                            </w:pPr>
                            <w:r w:rsidRPr="009706EA">
                              <w:rPr>
                                <w:color w:val="auto"/>
                              </w:rPr>
                              <w:t xml:space="preserve">In </w:t>
                            </w:r>
                            <w:r>
                              <w:rPr>
                                <w:color w:val="auto"/>
                              </w:rPr>
                              <w:t>which</w:t>
                            </w:r>
                            <w:r w:rsidRPr="009706EA">
                              <w:rPr>
                                <w:color w:val="auto"/>
                              </w:rPr>
                              <w:t xml:space="preserve"> disciplines have partner organisations been involved?</w:t>
                            </w:r>
                          </w:p>
                          <w:p w14:paraId="13864180" w14:textId="77777777" w:rsidR="00FC696C" w:rsidRDefault="00FC696C"/>
                        </w:txbxContent>
                      </wps:txbx>
                      <wps:bodyPr rot="0" vert="horz" wrap="square" lIns="91440" tIns="45720" rIns="91440" bIns="45720" anchor="t" anchorCtr="0">
                        <a:noAutofit/>
                      </wps:bodyPr>
                    </wps:wsp>
                  </a:graphicData>
                </a:graphic>
              </wp:inline>
            </w:drawing>
          </mc:Choice>
          <mc:Fallback>
            <w:pict>
              <v:shapetype w14:anchorId="40C27543" id="_x0000_t202" coordsize="21600,21600" o:spt="202" path="m,l,21600r21600,l21600,xe">
                <v:stroke joinstyle="miter"/>
                <v:path gradientshapeok="t" o:connecttype="rect"/>
              </v:shapetype>
              <v:shape id="Text Box 2" o:spid="_x0000_s1026" type="#_x0000_t202" style="width:450.75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CsWIgIAAEcEAAAOAAAAZHJzL2Uyb0RvYy54bWysU9tuGyEQfa/Uf0C813ux3SQrr6PUqatK&#10;6UVK+gEsy3pRgaGAvZt+fQbWca206kNVHhDDDIczZ2ZW16NW5CCcl2BqWsxySoTh0Eqzq+m3h+2b&#10;S0p8YKZlCoyo6aPw9Hr9+tVqsJUooQfVCkcQxPhqsDXtQ7BVlnneC838DKww6OzAaRbQdLusdWxA&#10;dK2yMs/fZgO41jrgwnu8vZ2cdJ3wu07w8KXrvAhE1RS5hbS7tDdxz9YrVu0cs73kRxrsH1hoJg1+&#10;eoK6ZYGRvZO/QWnJHXjowoyDzqDrJBcpB8ymyF9kc98zK1IuKI63J5n8/4Plnw9fHZFtTcvighLD&#10;NBbpQYyBvIORlFGfwfoKw+4tBoYRr7HOKVdv74B/98TApmdmJ26cg6EXrEV+RXyZnT2dcHwEaYZP&#10;0OI3bB8gAY2d01E8lIMgOtbp8VSbSIXj5fKiXCzLJSUcfcV8Pl/mqXoZq56fW+fDBwGaxENNHRY/&#10;wbPDnQ+RDqueQ+JvHpRst1KpZLhds1GOHBg2yjatlMGLMGXIUNOrSOTvEHlaf4LQMmDHK6lrenkK&#10;YlXU7b1pUz8GJtV0RsrKHIWM2k0qhrEZj4VpoH1ESR1MnY2TiIce3E9KBuzqmvofe+YEJeqjwbJc&#10;FYtFHINkLFBTNNy5pzn3MMMRqqaBkum4CWl0YuoGbrB8nUzCxjpPTI5csVuT3sfJiuNwbqeoX/O/&#10;fgIAAP//AwBQSwMEFAAGAAgAAAAhAArhSJ3dAAAABQEAAA8AAABkcnMvZG93bnJldi54bWxMj8FO&#10;wzAQRO+V+AdrkbhUrZ1CSxviVAgJRG+lRXB1420SYa+D7abh7zFc4LLSaEYzb4v1YA3r0YfWkYRs&#10;KoAhVU63VEt43T9OlsBCVKSVcYQSvjDAurwYFSrX7kwv2O9izVIJhVxJaGLscs5D1aBVYeo6pOQd&#10;nbcqJulrrr06p3Jr+EyIBbeqpbTQqA4fGqw+dicrYXnz3L+HzfX2rVoczSqOb/unTy/l1eVwfwcs&#10;4hD/wvCDn9ChTEwHdyIdmJGQHom/N3krkc2BHSTMMiGAlwX/T19+AwAA//8DAFBLAQItABQABgAI&#10;AAAAIQC2gziS/gAAAOEBAAATAAAAAAAAAAAAAAAAAAAAAABbQ29udGVudF9UeXBlc10ueG1sUEsB&#10;Ai0AFAAGAAgAAAAhADj9If/WAAAAlAEAAAsAAAAAAAAAAAAAAAAALwEAAF9yZWxzLy5yZWxzUEsB&#10;Ai0AFAAGAAgAAAAhADHcKxYiAgAARwQAAA4AAAAAAAAAAAAAAAAALgIAAGRycy9lMm9Eb2MueG1s&#10;UEsBAi0AFAAGAAgAAAAhAArhSJ3dAAAABQEAAA8AAAAAAAAAAAAAAAAAfAQAAGRycy9kb3ducmV2&#10;LnhtbFBLBQYAAAAABAAEAPMAAACGBQAAAAA=&#10;">
                <v:textbox>
                  <w:txbxContent>
                    <w:p w14:paraId="0831A9AA" w14:textId="77777777" w:rsidR="00FC696C" w:rsidRPr="009706EA" w:rsidRDefault="00FC696C" w:rsidP="009706EA">
                      <w:r w:rsidRPr="009706EA">
                        <w:t>What are the differences in partner organisation involvement in Linkage Projects grants awarded before and after the introduction of the continuous process? Specifically:</w:t>
                      </w:r>
                    </w:p>
                    <w:p w14:paraId="5DCB94C2" w14:textId="77777777" w:rsidR="00FC696C" w:rsidRPr="009706EA" w:rsidRDefault="00FC696C" w:rsidP="00765927">
                      <w:pPr>
                        <w:pStyle w:val="ListParagraph"/>
                        <w:numPr>
                          <w:ilvl w:val="0"/>
                          <w:numId w:val="11"/>
                        </w:numPr>
                        <w:rPr>
                          <w:color w:val="auto"/>
                        </w:rPr>
                      </w:pPr>
                      <w:r w:rsidRPr="009706EA">
                        <w:rPr>
                          <w:color w:val="auto"/>
                        </w:rPr>
                        <w:t>How many partner organisations have been involved?</w:t>
                      </w:r>
                    </w:p>
                    <w:p w14:paraId="26BD8365" w14:textId="77777777" w:rsidR="00FC696C" w:rsidRPr="009706EA" w:rsidRDefault="00FC696C" w:rsidP="00765927">
                      <w:pPr>
                        <w:pStyle w:val="ListParagraph"/>
                        <w:numPr>
                          <w:ilvl w:val="0"/>
                          <w:numId w:val="11"/>
                        </w:numPr>
                        <w:rPr>
                          <w:color w:val="auto"/>
                        </w:rPr>
                      </w:pPr>
                      <w:r w:rsidRPr="009706EA">
                        <w:rPr>
                          <w:color w:val="auto"/>
                        </w:rPr>
                        <w:t>What types of partner organisations have been involved?</w:t>
                      </w:r>
                    </w:p>
                    <w:p w14:paraId="3583E751" w14:textId="77777777" w:rsidR="00FC696C" w:rsidRPr="009706EA" w:rsidRDefault="00FC696C" w:rsidP="00765927">
                      <w:pPr>
                        <w:pStyle w:val="ListParagraph"/>
                        <w:numPr>
                          <w:ilvl w:val="0"/>
                          <w:numId w:val="11"/>
                        </w:numPr>
                        <w:rPr>
                          <w:color w:val="auto"/>
                        </w:rPr>
                      </w:pPr>
                      <w:r w:rsidRPr="009706EA">
                        <w:rPr>
                          <w:color w:val="auto"/>
                        </w:rPr>
                        <w:t>How frequently have partner organisations been involved (i.e. repeat participants)?</w:t>
                      </w:r>
                    </w:p>
                    <w:p w14:paraId="15E966E6" w14:textId="77777777" w:rsidR="00FC696C" w:rsidRPr="009706EA" w:rsidRDefault="00FC696C" w:rsidP="00EE0C2D">
                      <w:pPr>
                        <w:pStyle w:val="ListParagraph"/>
                        <w:numPr>
                          <w:ilvl w:val="0"/>
                          <w:numId w:val="11"/>
                        </w:numPr>
                        <w:rPr>
                          <w:color w:val="auto"/>
                        </w:rPr>
                      </w:pPr>
                      <w:r w:rsidRPr="009706EA">
                        <w:rPr>
                          <w:color w:val="auto"/>
                        </w:rPr>
                        <w:t>How much and what kind of contributions (cash/in kind) have they provided?</w:t>
                      </w:r>
                    </w:p>
                    <w:p w14:paraId="7220BB1E" w14:textId="0B227FD4" w:rsidR="00FC696C" w:rsidRPr="009706EA" w:rsidRDefault="00FC696C" w:rsidP="00765927">
                      <w:pPr>
                        <w:pStyle w:val="ListParagraph"/>
                        <w:numPr>
                          <w:ilvl w:val="0"/>
                          <w:numId w:val="11"/>
                        </w:numPr>
                        <w:rPr>
                          <w:color w:val="auto"/>
                        </w:rPr>
                      </w:pPr>
                      <w:r w:rsidRPr="009706EA">
                        <w:rPr>
                          <w:color w:val="auto"/>
                        </w:rPr>
                        <w:t xml:space="preserve">In </w:t>
                      </w:r>
                      <w:r>
                        <w:rPr>
                          <w:color w:val="auto"/>
                        </w:rPr>
                        <w:t>which</w:t>
                      </w:r>
                      <w:r w:rsidRPr="009706EA">
                        <w:rPr>
                          <w:color w:val="auto"/>
                        </w:rPr>
                        <w:t xml:space="preserve"> disciplines have partner organisations been involved?</w:t>
                      </w:r>
                    </w:p>
                    <w:p w14:paraId="13864180" w14:textId="77777777" w:rsidR="00FC696C" w:rsidRDefault="00FC696C"/>
                  </w:txbxContent>
                </v:textbox>
                <w10:anchorlock/>
              </v:shape>
            </w:pict>
          </mc:Fallback>
        </mc:AlternateContent>
      </w:r>
    </w:p>
    <w:p w14:paraId="4E046688" w14:textId="51F7B4EC" w:rsidR="005D392C" w:rsidRPr="003673FA" w:rsidRDefault="005D392C" w:rsidP="005D392C"/>
    <w:p w14:paraId="143C17B3" w14:textId="351CC427" w:rsidR="005D392C" w:rsidRPr="003673FA" w:rsidRDefault="005D392C" w:rsidP="00595B9A">
      <w:pPr>
        <w:pStyle w:val="Heading3"/>
      </w:pPr>
      <w:r w:rsidRPr="003673FA">
        <w:t>How many partner organisations have been involved?</w:t>
      </w:r>
    </w:p>
    <w:p w14:paraId="441AE178" w14:textId="755D1B7F" w:rsidR="00A13AA3" w:rsidRPr="003673FA" w:rsidRDefault="00A13AA3" w:rsidP="005D392C">
      <w:pPr>
        <w:spacing w:line="259" w:lineRule="auto"/>
        <w:rPr>
          <w:szCs w:val="24"/>
        </w:rPr>
      </w:pPr>
    </w:p>
    <w:p w14:paraId="1CCEE046" w14:textId="26717853" w:rsidR="00B10A5B" w:rsidRPr="003673FA" w:rsidRDefault="00B1584A" w:rsidP="005D392C">
      <w:pPr>
        <w:spacing w:line="259" w:lineRule="auto"/>
        <w:rPr>
          <w:szCs w:val="24"/>
        </w:rPr>
      </w:pPr>
      <w:r w:rsidRPr="003673FA">
        <w:rPr>
          <w:szCs w:val="24"/>
        </w:rPr>
        <w:t xml:space="preserve">The </w:t>
      </w:r>
      <w:r w:rsidR="007F7CB5" w:rsidRPr="003673FA">
        <w:rPr>
          <w:szCs w:val="24"/>
        </w:rPr>
        <w:t>intention</w:t>
      </w:r>
      <w:r w:rsidRPr="003673FA">
        <w:rPr>
          <w:szCs w:val="24"/>
        </w:rPr>
        <w:t xml:space="preserve"> of the continuous Linkage Projects process was to incentivise greater collaboration between universities and business</w:t>
      </w:r>
      <w:r w:rsidR="002D29D5" w:rsidRPr="003673FA">
        <w:rPr>
          <w:szCs w:val="24"/>
        </w:rPr>
        <w:t>es</w:t>
      </w:r>
      <w:r w:rsidRPr="003673FA">
        <w:rPr>
          <w:szCs w:val="24"/>
        </w:rPr>
        <w:t xml:space="preserve"> and </w:t>
      </w:r>
      <w:r w:rsidR="00B10A5B" w:rsidRPr="003673FA">
        <w:rPr>
          <w:szCs w:val="24"/>
        </w:rPr>
        <w:t xml:space="preserve">other research end users. </w:t>
      </w:r>
      <w:r w:rsidR="007F7CB5" w:rsidRPr="003673FA">
        <w:rPr>
          <w:szCs w:val="24"/>
        </w:rPr>
        <w:t>However, its introduction has coincided with</w:t>
      </w:r>
      <w:r w:rsidR="00F051B7" w:rsidRPr="003673FA">
        <w:rPr>
          <w:szCs w:val="24"/>
        </w:rPr>
        <w:t xml:space="preserve"> a reduction in</w:t>
      </w:r>
      <w:r w:rsidR="00B10A5B" w:rsidRPr="003673FA">
        <w:rPr>
          <w:szCs w:val="24"/>
        </w:rPr>
        <w:t xml:space="preserve"> </w:t>
      </w:r>
      <w:r w:rsidR="00A950CE" w:rsidRPr="003673FA">
        <w:rPr>
          <w:szCs w:val="24"/>
        </w:rPr>
        <w:t xml:space="preserve">the total </w:t>
      </w:r>
      <w:r w:rsidR="00B10A5B" w:rsidRPr="003673FA">
        <w:rPr>
          <w:szCs w:val="24"/>
        </w:rPr>
        <w:t>number</w:t>
      </w:r>
      <w:r w:rsidR="00A950CE" w:rsidRPr="003673FA">
        <w:rPr>
          <w:szCs w:val="24"/>
        </w:rPr>
        <w:t xml:space="preserve"> </w:t>
      </w:r>
      <w:r w:rsidR="00B10A5B" w:rsidRPr="003673FA">
        <w:rPr>
          <w:szCs w:val="24"/>
        </w:rPr>
        <w:t>of partner organisation</w:t>
      </w:r>
      <w:r w:rsidR="00A950CE" w:rsidRPr="003673FA">
        <w:rPr>
          <w:szCs w:val="24"/>
        </w:rPr>
        <w:t xml:space="preserve">s </w:t>
      </w:r>
      <w:r w:rsidR="00B10A5B" w:rsidRPr="003673FA">
        <w:rPr>
          <w:szCs w:val="24"/>
        </w:rPr>
        <w:t>on</w:t>
      </w:r>
      <w:r w:rsidR="00A950CE" w:rsidRPr="003673FA">
        <w:rPr>
          <w:szCs w:val="24"/>
        </w:rPr>
        <w:t xml:space="preserve"> </w:t>
      </w:r>
      <w:r w:rsidR="00F051B7" w:rsidRPr="003673FA">
        <w:rPr>
          <w:szCs w:val="24"/>
        </w:rPr>
        <w:t xml:space="preserve">both </w:t>
      </w:r>
      <w:r w:rsidR="00B10A5B" w:rsidRPr="003673FA">
        <w:rPr>
          <w:szCs w:val="24"/>
        </w:rPr>
        <w:t>applications and funded projects (successful</w:t>
      </w:r>
      <w:r w:rsidR="00A950CE" w:rsidRPr="003673FA">
        <w:rPr>
          <w:szCs w:val="24"/>
        </w:rPr>
        <w:t xml:space="preserve"> applications)</w:t>
      </w:r>
      <w:r w:rsidR="00F051B7" w:rsidRPr="003673FA">
        <w:rPr>
          <w:szCs w:val="24"/>
        </w:rPr>
        <w:t xml:space="preserve">, as shown in </w:t>
      </w:r>
      <w:hyperlink w:anchor="Figure1" w:history="1">
        <w:r w:rsidR="00F051B7" w:rsidRPr="00FC696C">
          <w:rPr>
            <w:rStyle w:val="Hyperlink"/>
            <w:szCs w:val="24"/>
          </w:rPr>
          <w:t xml:space="preserve">Figure </w:t>
        </w:r>
        <w:r w:rsidR="00EB37C2" w:rsidRPr="00FC696C">
          <w:rPr>
            <w:rStyle w:val="Hyperlink"/>
            <w:szCs w:val="24"/>
          </w:rPr>
          <w:t>1</w:t>
        </w:r>
      </w:hyperlink>
      <w:r w:rsidR="00A950CE" w:rsidRPr="003673FA">
        <w:rPr>
          <w:szCs w:val="24"/>
        </w:rPr>
        <w:t>.</w:t>
      </w:r>
      <w:r w:rsidR="004238C2" w:rsidRPr="003673FA">
        <w:rPr>
          <w:szCs w:val="24"/>
        </w:rPr>
        <w:t xml:space="preserve"> </w:t>
      </w:r>
    </w:p>
    <w:p w14:paraId="2C84AF02" w14:textId="667FAF89" w:rsidR="00B10A5B" w:rsidRPr="003673FA" w:rsidRDefault="00B10A5B" w:rsidP="005D392C">
      <w:pPr>
        <w:spacing w:line="259" w:lineRule="auto"/>
        <w:rPr>
          <w:szCs w:val="24"/>
        </w:rPr>
      </w:pPr>
    </w:p>
    <w:p w14:paraId="67970409" w14:textId="433DAD46" w:rsidR="00502159" w:rsidRPr="003673FA" w:rsidRDefault="007F7CB5" w:rsidP="005D392C">
      <w:pPr>
        <w:spacing w:line="259" w:lineRule="auto"/>
        <w:rPr>
          <w:szCs w:val="24"/>
        </w:rPr>
      </w:pPr>
      <w:r w:rsidRPr="003673FA">
        <w:rPr>
          <w:szCs w:val="24"/>
        </w:rPr>
        <w:t xml:space="preserve">The participation of fewer partner organisations </w:t>
      </w:r>
      <w:r w:rsidR="002D29D5" w:rsidRPr="003673FA">
        <w:rPr>
          <w:szCs w:val="24"/>
        </w:rPr>
        <w:t>is a reflection of</w:t>
      </w:r>
      <w:r w:rsidR="00C91085" w:rsidRPr="003673FA">
        <w:rPr>
          <w:szCs w:val="24"/>
        </w:rPr>
        <w:t xml:space="preserve"> the </w:t>
      </w:r>
      <w:r w:rsidR="000539B3" w:rsidRPr="003673FA">
        <w:rPr>
          <w:szCs w:val="24"/>
        </w:rPr>
        <w:t xml:space="preserve">lower numbers of </w:t>
      </w:r>
      <w:r w:rsidR="00C91085" w:rsidRPr="003673FA">
        <w:rPr>
          <w:szCs w:val="24"/>
        </w:rPr>
        <w:t xml:space="preserve">Linkage Projects </w:t>
      </w:r>
      <w:r w:rsidR="000539B3" w:rsidRPr="003673FA">
        <w:rPr>
          <w:szCs w:val="24"/>
        </w:rPr>
        <w:t>applications</w:t>
      </w:r>
      <w:r w:rsidR="002D29D5" w:rsidRPr="003673FA">
        <w:rPr>
          <w:szCs w:val="24"/>
        </w:rPr>
        <w:t xml:space="preserve"> </w:t>
      </w:r>
      <w:r w:rsidR="00C91085" w:rsidRPr="003673FA">
        <w:rPr>
          <w:szCs w:val="24"/>
        </w:rPr>
        <w:t>and funded</w:t>
      </w:r>
      <w:r w:rsidR="00744FE5" w:rsidRPr="003673FA">
        <w:rPr>
          <w:szCs w:val="24"/>
        </w:rPr>
        <w:t xml:space="preserve"> </w:t>
      </w:r>
      <w:r w:rsidR="00C91085" w:rsidRPr="003673FA">
        <w:rPr>
          <w:szCs w:val="24"/>
        </w:rPr>
        <w:t xml:space="preserve">projects </w:t>
      </w:r>
      <w:r w:rsidR="00A950CE" w:rsidRPr="003673FA">
        <w:rPr>
          <w:szCs w:val="24"/>
        </w:rPr>
        <w:t>under the continuous process</w:t>
      </w:r>
      <w:r w:rsidR="000539B3" w:rsidRPr="003673FA">
        <w:rPr>
          <w:szCs w:val="24"/>
        </w:rPr>
        <w:t xml:space="preserve">, </w:t>
      </w:r>
      <w:r w:rsidR="00C91085" w:rsidRPr="003673FA">
        <w:rPr>
          <w:szCs w:val="24"/>
        </w:rPr>
        <w:t xml:space="preserve">as </w:t>
      </w:r>
      <w:r w:rsidR="00502159" w:rsidRPr="003673FA">
        <w:rPr>
          <w:szCs w:val="24"/>
        </w:rPr>
        <w:t xml:space="preserve">described </w:t>
      </w:r>
      <w:r w:rsidR="006F1B54" w:rsidRPr="003673FA">
        <w:rPr>
          <w:szCs w:val="24"/>
        </w:rPr>
        <w:t>under evaluation question 2</w:t>
      </w:r>
      <w:r w:rsidR="00502159" w:rsidRPr="003673FA">
        <w:rPr>
          <w:szCs w:val="24"/>
        </w:rPr>
        <w:t xml:space="preserve"> and </w:t>
      </w:r>
      <w:r w:rsidR="000539B3" w:rsidRPr="003673FA">
        <w:rPr>
          <w:szCs w:val="24"/>
        </w:rPr>
        <w:t xml:space="preserve">shown in </w:t>
      </w:r>
      <w:hyperlink w:anchor="Figure6" w:history="1">
        <w:r w:rsidR="000539B3" w:rsidRPr="00FC696C">
          <w:rPr>
            <w:rStyle w:val="Hyperlink"/>
            <w:szCs w:val="24"/>
          </w:rPr>
          <w:t xml:space="preserve">Figure </w:t>
        </w:r>
        <w:r w:rsidR="00EB37C2" w:rsidRPr="00FC696C">
          <w:rPr>
            <w:rStyle w:val="Hyperlink"/>
            <w:szCs w:val="24"/>
          </w:rPr>
          <w:t>6</w:t>
        </w:r>
      </w:hyperlink>
      <w:r w:rsidR="00EB37C2" w:rsidRPr="003673FA">
        <w:rPr>
          <w:szCs w:val="24"/>
        </w:rPr>
        <w:t>, below</w:t>
      </w:r>
      <w:r w:rsidR="000539B3" w:rsidRPr="003673FA">
        <w:rPr>
          <w:szCs w:val="24"/>
        </w:rPr>
        <w:t>.</w:t>
      </w:r>
      <w:r w:rsidR="00B10A5B" w:rsidRPr="003673FA">
        <w:rPr>
          <w:szCs w:val="24"/>
        </w:rPr>
        <w:t xml:space="preserve"> </w:t>
      </w:r>
      <w:r w:rsidRPr="003673FA">
        <w:rPr>
          <w:szCs w:val="24"/>
        </w:rPr>
        <w:t>H</w:t>
      </w:r>
      <w:r w:rsidR="00C91085" w:rsidRPr="003673FA">
        <w:rPr>
          <w:szCs w:val="24"/>
        </w:rPr>
        <w:t xml:space="preserve">owever, </w:t>
      </w:r>
      <w:r w:rsidR="00502159" w:rsidRPr="003673FA">
        <w:rPr>
          <w:szCs w:val="24"/>
        </w:rPr>
        <w:t>t</w:t>
      </w:r>
      <w:r w:rsidR="00B33BF9" w:rsidRPr="003673FA">
        <w:rPr>
          <w:szCs w:val="24"/>
        </w:rPr>
        <w:t>he number of partner organisations involved</w:t>
      </w:r>
      <w:r w:rsidR="00502159" w:rsidRPr="003673FA">
        <w:rPr>
          <w:szCs w:val="24"/>
        </w:rPr>
        <w:t xml:space="preserve"> </w:t>
      </w:r>
      <w:r w:rsidR="00B40D92" w:rsidRPr="003673FA">
        <w:rPr>
          <w:szCs w:val="24"/>
        </w:rPr>
        <w:t>has been</w:t>
      </w:r>
      <w:r w:rsidR="005E32A6" w:rsidRPr="003673FA">
        <w:rPr>
          <w:szCs w:val="24"/>
        </w:rPr>
        <w:t xml:space="preserve"> </w:t>
      </w:r>
      <w:r w:rsidR="00744FE5" w:rsidRPr="003673FA">
        <w:rPr>
          <w:szCs w:val="24"/>
        </w:rPr>
        <w:t xml:space="preserve">gradually </w:t>
      </w:r>
      <w:r w:rsidR="005E32A6" w:rsidRPr="003673FA">
        <w:rPr>
          <w:szCs w:val="24"/>
        </w:rPr>
        <w:t xml:space="preserve">increasing </w:t>
      </w:r>
      <w:r w:rsidR="00B40D92" w:rsidRPr="003673FA">
        <w:rPr>
          <w:szCs w:val="24"/>
        </w:rPr>
        <w:t>over the first three rounds</w:t>
      </w:r>
      <w:r w:rsidR="005E32A6" w:rsidRPr="003673FA">
        <w:rPr>
          <w:szCs w:val="24"/>
        </w:rPr>
        <w:t xml:space="preserve"> of the continuous process, </w:t>
      </w:r>
      <w:r w:rsidR="000539B3" w:rsidRPr="003673FA">
        <w:rPr>
          <w:szCs w:val="24"/>
        </w:rPr>
        <w:t>which may indicate</w:t>
      </w:r>
      <w:r w:rsidR="005E32A6" w:rsidRPr="003673FA">
        <w:rPr>
          <w:szCs w:val="24"/>
        </w:rPr>
        <w:t xml:space="preserve"> that stakeholders are adjusting to the changes.</w:t>
      </w:r>
    </w:p>
    <w:p w14:paraId="693174CB" w14:textId="77777777" w:rsidR="006859B8" w:rsidRPr="003673FA" w:rsidRDefault="006859B8" w:rsidP="005D392C">
      <w:pPr>
        <w:spacing w:line="259" w:lineRule="auto"/>
        <w:rPr>
          <w:szCs w:val="24"/>
        </w:rPr>
      </w:pPr>
    </w:p>
    <w:p w14:paraId="1B42E206" w14:textId="3350EC3D" w:rsidR="006859B8" w:rsidRPr="003673FA" w:rsidRDefault="00EB37C2" w:rsidP="006859B8">
      <w:pPr>
        <w:pStyle w:val="Heading4"/>
      </w:pPr>
      <w:bookmarkStart w:id="30" w:name="Figure1"/>
      <w:bookmarkEnd w:id="30"/>
      <w:r w:rsidRPr="003673FA">
        <w:t>Figure 1</w:t>
      </w:r>
      <w:r w:rsidR="006859B8" w:rsidRPr="003673FA">
        <w:t xml:space="preserve">: Number of partner organisations </w:t>
      </w:r>
      <w:r w:rsidR="002303DA" w:rsidRPr="003673FA">
        <w:t>involved in</w:t>
      </w:r>
      <w:r w:rsidR="006859B8" w:rsidRPr="003673FA">
        <w:t xml:space="preserve"> applications and funded projects</w:t>
      </w:r>
    </w:p>
    <w:p w14:paraId="26A86F2F" w14:textId="3BB601E8" w:rsidR="00D35A21" w:rsidRPr="003673FA" w:rsidRDefault="005037A2" w:rsidP="005D392C">
      <w:pPr>
        <w:spacing w:line="259" w:lineRule="auto"/>
        <w:rPr>
          <w:szCs w:val="24"/>
        </w:rPr>
      </w:pPr>
      <w:r w:rsidRPr="003673FA">
        <w:rPr>
          <w:noProof/>
          <w:szCs w:val="24"/>
          <w:lang w:eastAsia="en-AU"/>
        </w:rPr>
        <w:drawing>
          <wp:inline distT="0" distB="0" distL="0" distR="0" wp14:anchorId="73BB74DA" wp14:editId="737F44D6">
            <wp:extent cx="4291965" cy="3243580"/>
            <wp:effectExtent l="0" t="0" r="0" b="0"/>
            <wp:docPr id="27" name="Picture 27" descr="For each Linkage Projects round from 2013 to 2018, Figure 1 shows the total number of partner organisations involved in all applications and all funded projects, and the average number of partner organisations per application and per funded project." title="Figure 1: Number of partner organisations involved in applications and funded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1965" cy="3243580"/>
                    </a:xfrm>
                    <a:prstGeom prst="rect">
                      <a:avLst/>
                    </a:prstGeom>
                    <a:noFill/>
                  </pic:spPr>
                </pic:pic>
              </a:graphicData>
            </a:graphic>
          </wp:inline>
        </w:drawing>
      </w:r>
    </w:p>
    <w:p w14:paraId="35EC1CD8" w14:textId="357977B5" w:rsidR="00D35A21" w:rsidRPr="003673FA" w:rsidRDefault="00AE3889" w:rsidP="005D392C">
      <w:pPr>
        <w:spacing w:line="259" w:lineRule="auto"/>
        <w:rPr>
          <w:sz w:val="20"/>
          <w:szCs w:val="20"/>
        </w:rPr>
      </w:pPr>
      <w:r w:rsidRPr="003673FA">
        <w:rPr>
          <w:sz w:val="20"/>
          <w:szCs w:val="20"/>
        </w:rPr>
        <w:t>Source: ARC</w:t>
      </w:r>
      <w:r w:rsidR="008022DC" w:rsidRPr="003673FA">
        <w:rPr>
          <w:sz w:val="20"/>
          <w:szCs w:val="20"/>
        </w:rPr>
        <w:t xml:space="preserve">. </w:t>
      </w:r>
      <w:r w:rsidR="008022DC" w:rsidRPr="003673FA">
        <w:rPr>
          <w:i/>
          <w:sz w:val="20"/>
          <w:szCs w:val="20"/>
        </w:rPr>
        <w:t>Note: complete data for 2018 C were not available at the time of this report’s preparation.</w:t>
      </w:r>
    </w:p>
    <w:p w14:paraId="37142D17" w14:textId="77777777" w:rsidR="00A81F31" w:rsidRPr="003673FA" w:rsidRDefault="00A81F31" w:rsidP="00A81F31">
      <w:pPr>
        <w:spacing w:line="259" w:lineRule="auto"/>
        <w:rPr>
          <w:szCs w:val="24"/>
        </w:rPr>
      </w:pPr>
    </w:p>
    <w:p w14:paraId="1C129E27" w14:textId="358A6277" w:rsidR="00A81F31" w:rsidRPr="003673FA" w:rsidRDefault="00A81F31" w:rsidP="00A81F31">
      <w:pPr>
        <w:spacing w:line="259" w:lineRule="auto"/>
        <w:rPr>
          <w:szCs w:val="24"/>
        </w:rPr>
      </w:pPr>
      <w:r w:rsidRPr="003673FA">
        <w:rPr>
          <w:szCs w:val="24"/>
        </w:rPr>
        <w:t>It is also notable that the average number</w:t>
      </w:r>
      <w:r w:rsidR="00C91085" w:rsidRPr="003673FA">
        <w:rPr>
          <w:szCs w:val="24"/>
        </w:rPr>
        <w:t>s</w:t>
      </w:r>
      <w:r w:rsidRPr="003673FA">
        <w:rPr>
          <w:szCs w:val="24"/>
        </w:rPr>
        <w:t xml:space="preserve"> of partner organisations </w:t>
      </w:r>
      <w:r w:rsidR="00C91085" w:rsidRPr="003673FA">
        <w:rPr>
          <w:szCs w:val="24"/>
        </w:rPr>
        <w:t>per</w:t>
      </w:r>
      <w:r w:rsidRPr="003673FA">
        <w:rPr>
          <w:szCs w:val="24"/>
        </w:rPr>
        <w:t xml:space="preserve"> application and funded project</w:t>
      </w:r>
      <w:r w:rsidR="00C91085" w:rsidRPr="003673FA">
        <w:rPr>
          <w:szCs w:val="24"/>
        </w:rPr>
        <w:t xml:space="preserve"> have</w:t>
      </w:r>
      <w:r w:rsidRPr="003673FA">
        <w:rPr>
          <w:szCs w:val="24"/>
        </w:rPr>
        <w:t xml:space="preserve"> maintained </w:t>
      </w:r>
      <w:r w:rsidR="00C91085" w:rsidRPr="003673FA">
        <w:rPr>
          <w:szCs w:val="24"/>
        </w:rPr>
        <w:t xml:space="preserve">an </w:t>
      </w:r>
      <w:r w:rsidRPr="003673FA">
        <w:rPr>
          <w:szCs w:val="24"/>
        </w:rPr>
        <w:t xml:space="preserve">overall upward trend through the introduction of the continuous </w:t>
      </w:r>
      <w:r w:rsidRPr="003673FA">
        <w:rPr>
          <w:szCs w:val="24"/>
        </w:rPr>
        <w:lastRenderedPageBreak/>
        <w:t xml:space="preserve">process. This may indicate that while the introduction of the continuous process has not so far supported increased </w:t>
      </w:r>
      <w:r w:rsidR="00C91085" w:rsidRPr="003673FA">
        <w:rPr>
          <w:szCs w:val="24"/>
        </w:rPr>
        <w:t xml:space="preserve">participation by </w:t>
      </w:r>
      <w:r w:rsidRPr="003673FA">
        <w:rPr>
          <w:szCs w:val="24"/>
        </w:rPr>
        <w:t>partner organisation</w:t>
      </w:r>
      <w:r w:rsidR="00C91085" w:rsidRPr="003673FA">
        <w:rPr>
          <w:szCs w:val="24"/>
        </w:rPr>
        <w:t>s</w:t>
      </w:r>
      <w:r w:rsidRPr="003673FA">
        <w:rPr>
          <w:szCs w:val="24"/>
        </w:rPr>
        <w:t xml:space="preserve"> at the scheme level, it may have done so at the project level.</w:t>
      </w:r>
    </w:p>
    <w:p w14:paraId="75797A87" w14:textId="07ECC5C1" w:rsidR="00AE3889" w:rsidRPr="003673FA" w:rsidRDefault="00AE3889" w:rsidP="005D392C">
      <w:pPr>
        <w:spacing w:line="259" w:lineRule="auto"/>
        <w:rPr>
          <w:szCs w:val="24"/>
        </w:rPr>
      </w:pPr>
    </w:p>
    <w:p w14:paraId="069362EA" w14:textId="5F39BBA7" w:rsidR="005D392C" w:rsidRPr="003673FA" w:rsidRDefault="005D392C" w:rsidP="00595B9A">
      <w:pPr>
        <w:pStyle w:val="Heading3"/>
      </w:pPr>
      <w:r w:rsidRPr="003673FA">
        <w:t>What types of partner organisations have been involved?</w:t>
      </w:r>
    </w:p>
    <w:p w14:paraId="22E7FBB6" w14:textId="6C715874" w:rsidR="003B6F5F" w:rsidRPr="003673FA" w:rsidRDefault="003B6F5F" w:rsidP="006F1661"/>
    <w:p w14:paraId="535B4E5B" w14:textId="08DAC14E" w:rsidR="00453826" w:rsidRPr="003673FA" w:rsidRDefault="00453826" w:rsidP="008F3CB9">
      <w:pPr>
        <w:spacing w:line="259" w:lineRule="auto"/>
        <w:rPr>
          <w:szCs w:val="24"/>
        </w:rPr>
      </w:pPr>
      <w:r w:rsidRPr="003673FA">
        <w:rPr>
          <w:szCs w:val="24"/>
        </w:rPr>
        <w:t>In identifying opportunities to support increased research collaboration, the Watt Review noted the government</w:t>
      </w:r>
      <w:r w:rsidR="00B40D92" w:rsidRPr="003673FA">
        <w:rPr>
          <w:szCs w:val="24"/>
        </w:rPr>
        <w:t>’s specific</w:t>
      </w:r>
      <w:r w:rsidRPr="003673FA">
        <w:rPr>
          <w:szCs w:val="24"/>
        </w:rPr>
        <w:t xml:space="preserve"> focus on increasing business engagement and recommended that high quality proposals involving business partner organisations be given greater priority.</w:t>
      </w:r>
      <w:r w:rsidRPr="003673FA">
        <w:rPr>
          <w:rStyle w:val="FootnoteReference"/>
        </w:rPr>
        <w:footnoteReference w:id="8"/>
      </w:r>
    </w:p>
    <w:p w14:paraId="71D58A6D" w14:textId="77777777" w:rsidR="00453826" w:rsidRPr="003673FA" w:rsidRDefault="00453826" w:rsidP="008F3CB9">
      <w:pPr>
        <w:spacing w:line="259" w:lineRule="auto"/>
        <w:rPr>
          <w:szCs w:val="24"/>
        </w:rPr>
      </w:pPr>
    </w:p>
    <w:p w14:paraId="5A741632" w14:textId="6120DFA3" w:rsidR="00EF4570" w:rsidRPr="003673FA" w:rsidRDefault="00FE266F" w:rsidP="008F3CB9">
      <w:pPr>
        <w:spacing w:line="259" w:lineRule="auto"/>
        <w:rPr>
          <w:szCs w:val="24"/>
        </w:rPr>
      </w:pPr>
      <w:r w:rsidRPr="003673FA">
        <w:rPr>
          <w:szCs w:val="24"/>
        </w:rPr>
        <w:t xml:space="preserve">As shown in </w:t>
      </w:r>
      <w:hyperlink w:anchor="Figure2" w:history="1">
        <w:r w:rsidRPr="00FC696C">
          <w:rPr>
            <w:rStyle w:val="Hyperlink"/>
            <w:szCs w:val="24"/>
          </w:rPr>
          <w:t xml:space="preserve">Figure </w:t>
        </w:r>
        <w:r w:rsidR="00EB37C2" w:rsidRPr="00FC696C">
          <w:rPr>
            <w:rStyle w:val="Hyperlink"/>
            <w:szCs w:val="24"/>
          </w:rPr>
          <w:t>2</w:t>
        </w:r>
      </w:hyperlink>
      <w:r w:rsidRPr="003673FA">
        <w:rPr>
          <w:szCs w:val="24"/>
        </w:rPr>
        <w:t xml:space="preserve">, business and industry (identified as ‘Australian Company Industry Body’ and ‘International Company Industry Body’) represented the largest proportion </w:t>
      </w:r>
      <w:r w:rsidR="00D5187B" w:rsidRPr="003673FA">
        <w:rPr>
          <w:szCs w:val="24"/>
        </w:rPr>
        <w:t>of</w:t>
      </w:r>
      <w:r w:rsidRPr="003673FA">
        <w:rPr>
          <w:szCs w:val="24"/>
        </w:rPr>
        <w:t xml:space="preserve"> partner organisations</w:t>
      </w:r>
      <w:r w:rsidR="00ED4886" w:rsidRPr="003673FA">
        <w:rPr>
          <w:szCs w:val="24"/>
        </w:rPr>
        <w:t xml:space="preserve"> </w:t>
      </w:r>
      <w:r w:rsidR="001B5861" w:rsidRPr="003673FA">
        <w:rPr>
          <w:szCs w:val="24"/>
        </w:rPr>
        <w:t>listed on Linkage Projects</w:t>
      </w:r>
      <w:r w:rsidRPr="003673FA">
        <w:rPr>
          <w:szCs w:val="24"/>
        </w:rPr>
        <w:t xml:space="preserve"> </w:t>
      </w:r>
      <w:r w:rsidR="00ED4886" w:rsidRPr="003673FA">
        <w:rPr>
          <w:szCs w:val="24"/>
        </w:rPr>
        <w:t xml:space="preserve">applications in </w:t>
      </w:r>
      <w:r w:rsidR="001B5861" w:rsidRPr="003673FA">
        <w:rPr>
          <w:szCs w:val="24"/>
        </w:rPr>
        <w:t>all rounds from</w:t>
      </w:r>
      <w:r w:rsidR="00ED4886" w:rsidRPr="003673FA">
        <w:rPr>
          <w:szCs w:val="24"/>
        </w:rPr>
        <w:t xml:space="preserve"> </w:t>
      </w:r>
      <w:r w:rsidRPr="003673FA">
        <w:rPr>
          <w:szCs w:val="24"/>
        </w:rPr>
        <w:t xml:space="preserve">2013 to 2017. However, </w:t>
      </w:r>
      <w:r w:rsidR="00F4789F" w:rsidRPr="003673FA">
        <w:rPr>
          <w:szCs w:val="24"/>
        </w:rPr>
        <w:t>under</w:t>
      </w:r>
      <w:r w:rsidR="001B5861" w:rsidRPr="003673FA">
        <w:rPr>
          <w:szCs w:val="24"/>
        </w:rPr>
        <w:t xml:space="preserve"> the continuous process, their </w:t>
      </w:r>
      <w:r w:rsidR="00A71E8B" w:rsidRPr="003673FA">
        <w:rPr>
          <w:szCs w:val="24"/>
        </w:rPr>
        <w:t>presence</w:t>
      </w:r>
      <w:r w:rsidR="001B5861" w:rsidRPr="003673FA">
        <w:rPr>
          <w:szCs w:val="24"/>
        </w:rPr>
        <w:t xml:space="preserve"> has declined </w:t>
      </w:r>
      <w:r w:rsidR="00ED4886" w:rsidRPr="003673FA">
        <w:rPr>
          <w:szCs w:val="24"/>
        </w:rPr>
        <w:t xml:space="preserve">from 44 per cent </w:t>
      </w:r>
      <w:r w:rsidR="00A71E8B" w:rsidRPr="003673FA">
        <w:rPr>
          <w:szCs w:val="24"/>
        </w:rPr>
        <w:t xml:space="preserve">of </w:t>
      </w:r>
      <w:r w:rsidR="00B40D92" w:rsidRPr="003673FA">
        <w:rPr>
          <w:szCs w:val="24"/>
        </w:rPr>
        <w:t>named</w:t>
      </w:r>
      <w:r w:rsidR="00A71E8B" w:rsidRPr="003673FA">
        <w:rPr>
          <w:szCs w:val="24"/>
        </w:rPr>
        <w:t xml:space="preserve"> partner organisations </w:t>
      </w:r>
      <w:r w:rsidR="00ED4886" w:rsidRPr="003673FA">
        <w:rPr>
          <w:szCs w:val="24"/>
        </w:rPr>
        <w:t xml:space="preserve">in </w:t>
      </w:r>
      <w:r w:rsidR="001B5861" w:rsidRPr="003673FA">
        <w:rPr>
          <w:szCs w:val="24"/>
        </w:rPr>
        <w:t xml:space="preserve">2016 </w:t>
      </w:r>
      <w:r w:rsidR="00ED4886" w:rsidRPr="003673FA">
        <w:rPr>
          <w:szCs w:val="24"/>
        </w:rPr>
        <w:t>to</w:t>
      </w:r>
      <w:r w:rsidR="00691F65" w:rsidRPr="003673FA">
        <w:rPr>
          <w:szCs w:val="24"/>
        </w:rPr>
        <w:t xml:space="preserve"> 35 per cent in 2017 and</w:t>
      </w:r>
      <w:r w:rsidR="00ED4886" w:rsidRPr="003673FA">
        <w:rPr>
          <w:szCs w:val="24"/>
        </w:rPr>
        <w:t xml:space="preserve"> 3</w:t>
      </w:r>
      <w:r w:rsidR="001B5861" w:rsidRPr="003673FA">
        <w:rPr>
          <w:szCs w:val="24"/>
        </w:rPr>
        <w:t>2 per cent in 2018</w:t>
      </w:r>
      <w:r w:rsidR="00F4789F" w:rsidRPr="003673FA">
        <w:rPr>
          <w:szCs w:val="24"/>
        </w:rPr>
        <w:t xml:space="preserve">, with 2017 and 2018 being their weakest results over the period. </w:t>
      </w:r>
      <w:r w:rsidR="001B5861" w:rsidRPr="003673FA">
        <w:rPr>
          <w:szCs w:val="24"/>
        </w:rPr>
        <w:t>In the 2018 round, g</w:t>
      </w:r>
      <w:r w:rsidR="00ED4886" w:rsidRPr="003673FA">
        <w:rPr>
          <w:szCs w:val="24"/>
        </w:rPr>
        <w:t xml:space="preserve">overnment </w:t>
      </w:r>
      <w:r w:rsidR="00B40D92" w:rsidRPr="003673FA">
        <w:rPr>
          <w:szCs w:val="24"/>
        </w:rPr>
        <w:t xml:space="preserve">partner organisations </w:t>
      </w:r>
      <w:r w:rsidR="001B5861" w:rsidRPr="003673FA">
        <w:rPr>
          <w:szCs w:val="24"/>
        </w:rPr>
        <w:t xml:space="preserve">(Commonwealth, State and Local, and International) </w:t>
      </w:r>
      <w:r w:rsidR="008A125C" w:rsidRPr="003673FA">
        <w:rPr>
          <w:szCs w:val="24"/>
        </w:rPr>
        <w:t>represented</w:t>
      </w:r>
      <w:r w:rsidR="001B5861" w:rsidRPr="003673FA">
        <w:rPr>
          <w:szCs w:val="24"/>
        </w:rPr>
        <w:t xml:space="preserve"> the largest proportion</w:t>
      </w:r>
      <w:r w:rsidR="00C91085" w:rsidRPr="003673FA">
        <w:rPr>
          <w:szCs w:val="24"/>
        </w:rPr>
        <w:t xml:space="preserve"> of listed partner organisations</w:t>
      </w:r>
      <w:r w:rsidR="001B5861" w:rsidRPr="003673FA">
        <w:rPr>
          <w:szCs w:val="24"/>
        </w:rPr>
        <w:t xml:space="preserve"> (35 per cent) for the first time.</w:t>
      </w:r>
    </w:p>
    <w:p w14:paraId="31116524" w14:textId="37E4AAAA" w:rsidR="001B5861" w:rsidRPr="003673FA" w:rsidRDefault="00453826" w:rsidP="006F1661">
      <w:r w:rsidRPr="003673FA">
        <w:t xml:space="preserve"> </w:t>
      </w:r>
    </w:p>
    <w:p w14:paraId="11771CE1" w14:textId="53EFD14A" w:rsidR="003B6F5F" w:rsidRPr="003673FA" w:rsidRDefault="003B6F5F" w:rsidP="003B6F5F">
      <w:pPr>
        <w:pStyle w:val="Heading4"/>
      </w:pPr>
      <w:bookmarkStart w:id="31" w:name="Figure2"/>
      <w:bookmarkEnd w:id="31"/>
      <w:r w:rsidRPr="003673FA">
        <w:t xml:space="preserve">Figure </w:t>
      </w:r>
      <w:r w:rsidR="00EB37C2" w:rsidRPr="003673FA">
        <w:t>2</w:t>
      </w:r>
      <w:r w:rsidRPr="003673FA">
        <w:t>: Types of p</w:t>
      </w:r>
      <w:r w:rsidRPr="003673FA">
        <w:rPr>
          <w:rFonts w:eastAsia="Calibri"/>
        </w:rPr>
        <w:t>artner organisations on applications (%)</w:t>
      </w:r>
    </w:p>
    <w:p w14:paraId="6BB1236A" w14:textId="4D548C82" w:rsidR="007A70A8" w:rsidRPr="003673FA" w:rsidRDefault="005037A2" w:rsidP="006F1661">
      <w:r w:rsidRPr="003673FA">
        <w:rPr>
          <w:noProof/>
          <w:lang w:eastAsia="en-AU"/>
        </w:rPr>
        <w:drawing>
          <wp:inline distT="0" distB="0" distL="0" distR="0" wp14:anchorId="7C01C41F" wp14:editId="3ECBC930">
            <wp:extent cx="5755005" cy="2974975"/>
            <wp:effectExtent l="0" t="0" r="0" b="0"/>
            <wp:docPr id="37" name="Picture 37" descr="Figure 2 shows the proportions of partner organisations types involved in applications in each Linkage Projects round from 2013 to 2018." title="Figure 2: Types of partner organisations on applica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5005" cy="2974975"/>
                    </a:xfrm>
                    <a:prstGeom prst="rect">
                      <a:avLst/>
                    </a:prstGeom>
                    <a:noFill/>
                  </pic:spPr>
                </pic:pic>
              </a:graphicData>
            </a:graphic>
          </wp:inline>
        </w:drawing>
      </w:r>
    </w:p>
    <w:p w14:paraId="33778756" w14:textId="6B5739C7" w:rsidR="005846AB" w:rsidRPr="003673FA" w:rsidRDefault="003B6F5F" w:rsidP="005846AB">
      <w:pPr>
        <w:rPr>
          <w:sz w:val="20"/>
          <w:szCs w:val="20"/>
        </w:rPr>
      </w:pPr>
      <w:r w:rsidRPr="003673FA">
        <w:rPr>
          <w:sz w:val="20"/>
          <w:szCs w:val="20"/>
        </w:rPr>
        <w:t>Source: ARC</w:t>
      </w:r>
      <w:r w:rsidR="006557F6" w:rsidRPr="003673FA">
        <w:rPr>
          <w:sz w:val="20"/>
          <w:szCs w:val="20"/>
        </w:rPr>
        <w:t>.</w:t>
      </w:r>
      <w:r w:rsidR="005846AB" w:rsidRPr="003673FA">
        <w:rPr>
          <w:sz w:val="20"/>
          <w:szCs w:val="20"/>
        </w:rPr>
        <w:t xml:space="preserve"> </w:t>
      </w:r>
    </w:p>
    <w:p w14:paraId="0C50773D" w14:textId="6D0000AC" w:rsidR="005846AB" w:rsidRPr="003673FA" w:rsidRDefault="005846AB" w:rsidP="005846AB">
      <w:pPr>
        <w:rPr>
          <w:szCs w:val="24"/>
        </w:rPr>
      </w:pPr>
    </w:p>
    <w:p w14:paraId="3426A98A" w14:textId="3A9B1B60" w:rsidR="005846AB" w:rsidRPr="003673FA" w:rsidRDefault="00883017" w:rsidP="00F35BFD">
      <w:pPr>
        <w:spacing w:line="259" w:lineRule="auto"/>
        <w:rPr>
          <w:szCs w:val="24"/>
        </w:rPr>
      </w:pPr>
      <w:hyperlink w:anchor="Figure3" w:history="1">
        <w:r w:rsidR="0062028C" w:rsidRPr="00FC696C">
          <w:rPr>
            <w:rStyle w:val="Hyperlink"/>
            <w:szCs w:val="24"/>
          </w:rPr>
          <w:t xml:space="preserve">Figure </w:t>
        </w:r>
        <w:r w:rsidR="00EB37C2" w:rsidRPr="00FC696C">
          <w:rPr>
            <w:rStyle w:val="Hyperlink"/>
            <w:szCs w:val="24"/>
          </w:rPr>
          <w:t>3</w:t>
        </w:r>
      </w:hyperlink>
      <w:r w:rsidR="00857B52" w:rsidRPr="003673FA">
        <w:rPr>
          <w:szCs w:val="24"/>
        </w:rPr>
        <w:t xml:space="preserve"> shows that</w:t>
      </w:r>
      <w:r w:rsidR="0062028C" w:rsidRPr="003673FA">
        <w:rPr>
          <w:szCs w:val="24"/>
        </w:rPr>
        <w:t xml:space="preserve"> </w:t>
      </w:r>
      <w:r w:rsidR="00857B52" w:rsidRPr="003673FA">
        <w:rPr>
          <w:szCs w:val="24"/>
        </w:rPr>
        <w:t>the types of</w:t>
      </w:r>
      <w:r w:rsidR="0062028C" w:rsidRPr="003673FA">
        <w:rPr>
          <w:szCs w:val="24"/>
        </w:rPr>
        <w:t xml:space="preserve"> partner organisation</w:t>
      </w:r>
      <w:r w:rsidR="00857B52" w:rsidRPr="003673FA">
        <w:rPr>
          <w:szCs w:val="24"/>
        </w:rPr>
        <w:t>s</w:t>
      </w:r>
      <w:r w:rsidR="0062028C" w:rsidRPr="003673FA">
        <w:rPr>
          <w:szCs w:val="24"/>
        </w:rPr>
        <w:t xml:space="preserve"> involve</w:t>
      </w:r>
      <w:r w:rsidR="00857B52" w:rsidRPr="003673FA">
        <w:rPr>
          <w:szCs w:val="24"/>
        </w:rPr>
        <w:t xml:space="preserve">d </w:t>
      </w:r>
      <w:r w:rsidR="0062028C" w:rsidRPr="003673FA">
        <w:rPr>
          <w:szCs w:val="24"/>
        </w:rPr>
        <w:t>in funded projects d</w:t>
      </w:r>
      <w:r w:rsidR="00857B52" w:rsidRPr="003673FA">
        <w:rPr>
          <w:szCs w:val="24"/>
        </w:rPr>
        <w:t xml:space="preserve">iffer in small but </w:t>
      </w:r>
      <w:r w:rsidR="00B40D92" w:rsidRPr="003673FA">
        <w:rPr>
          <w:szCs w:val="24"/>
        </w:rPr>
        <w:t>important</w:t>
      </w:r>
      <w:r w:rsidR="00857B52" w:rsidRPr="003673FA">
        <w:rPr>
          <w:szCs w:val="24"/>
        </w:rPr>
        <w:t xml:space="preserve"> ways from those involved in applications. </w:t>
      </w:r>
      <w:r w:rsidR="00F4789F" w:rsidRPr="003673FA">
        <w:rPr>
          <w:szCs w:val="24"/>
        </w:rPr>
        <w:t>G</w:t>
      </w:r>
      <w:r w:rsidR="00857B52" w:rsidRPr="003673FA">
        <w:rPr>
          <w:szCs w:val="24"/>
        </w:rPr>
        <w:t xml:space="preserve">overnment </w:t>
      </w:r>
      <w:r w:rsidR="00273040" w:rsidRPr="003673FA">
        <w:rPr>
          <w:szCs w:val="24"/>
        </w:rPr>
        <w:t xml:space="preserve">partner </w:t>
      </w:r>
      <w:r w:rsidR="00857B52" w:rsidRPr="003673FA">
        <w:rPr>
          <w:szCs w:val="24"/>
        </w:rPr>
        <w:t xml:space="preserve">organisations outnumbered businesses </w:t>
      </w:r>
      <w:r w:rsidR="00273040" w:rsidRPr="003673FA">
        <w:rPr>
          <w:szCs w:val="24"/>
        </w:rPr>
        <w:t xml:space="preserve">and industry from 2015 to 2017, except in the first continuous round in 2016. </w:t>
      </w:r>
      <w:r w:rsidR="00571B93" w:rsidRPr="003673FA">
        <w:rPr>
          <w:szCs w:val="24"/>
        </w:rPr>
        <w:t xml:space="preserve">In addition, </w:t>
      </w:r>
      <w:r w:rsidR="00273040" w:rsidRPr="003673FA">
        <w:rPr>
          <w:szCs w:val="24"/>
        </w:rPr>
        <w:t xml:space="preserve">while </w:t>
      </w:r>
      <w:r w:rsidR="00F4789F" w:rsidRPr="003673FA">
        <w:rPr>
          <w:szCs w:val="24"/>
        </w:rPr>
        <w:t xml:space="preserve">the proportion of </w:t>
      </w:r>
      <w:r w:rsidR="00273040" w:rsidRPr="003673FA">
        <w:rPr>
          <w:szCs w:val="24"/>
        </w:rPr>
        <w:t xml:space="preserve">business and industry partner organisations in </w:t>
      </w:r>
      <w:r w:rsidR="00F4789F" w:rsidRPr="003673FA">
        <w:rPr>
          <w:szCs w:val="24"/>
        </w:rPr>
        <w:t>that r</w:t>
      </w:r>
      <w:r w:rsidR="00273040" w:rsidRPr="003673FA">
        <w:rPr>
          <w:szCs w:val="24"/>
        </w:rPr>
        <w:t xml:space="preserve">ound was the highest it has been over the period (50 per cent), </w:t>
      </w:r>
      <w:r w:rsidR="00F4789F" w:rsidRPr="003673FA">
        <w:rPr>
          <w:szCs w:val="24"/>
        </w:rPr>
        <w:t xml:space="preserve">in </w:t>
      </w:r>
      <w:r w:rsidR="00273040" w:rsidRPr="003673FA">
        <w:rPr>
          <w:szCs w:val="24"/>
        </w:rPr>
        <w:t>the following, and most recently completed round</w:t>
      </w:r>
      <w:r w:rsidR="00B05294" w:rsidRPr="003673FA">
        <w:rPr>
          <w:szCs w:val="24"/>
        </w:rPr>
        <w:t xml:space="preserve"> in 2017</w:t>
      </w:r>
      <w:r w:rsidR="00F4789F" w:rsidRPr="003673FA">
        <w:rPr>
          <w:szCs w:val="24"/>
        </w:rPr>
        <w:t xml:space="preserve">, it fell to its lowest </w:t>
      </w:r>
      <w:r w:rsidR="00273040" w:rsidRPr="003673FA">
        <w:rPr>
          <w:szCs w:val="24"/>
        </w:rPr>
        <w:t>(31 per cent)</w:t>
      </w:r>
      <w:r w:rsidR="00F4789F" w:rsidRPr="003673FA">
        <w:rPr>
          <w:szCs w:val="24"/>
        </w:rPr>
        <w:t>.</w:t>
      </w:r>
    </w:p>
    <w:p w14:paraId="5C4ED771" w14:textId="09009C31" w:rsidR="003B6F5F" w:rsidRPr="003673FA" w:rsidRDefault="005846AB" w:rsidP="005846AB">
      <w:pPr>
        <w:pStyle w:val="Heading4"/>
      </w:pPr>
      <w:bookmarkStart w:id="32" w:name="Figure3"/>
      <w:bookmarkEnd w:id="32"/>
      <w:r w:rsidRPr="003673FA">
        <w:lastRenderedPageBreak/>
        <w:t xml:space="preserve">Figure </w:t>
      </w:r>
      <w:r w:rsidR="00EB37C2" w:rsidRPr="003673FA">
        <w:t>3</w:t>
      </w:r>
      <w:r w:rsidRPr="003673FA">
        <w:t>: Types of p</w:t>
      </w:r>
      <w:r w:rsidRPr="003673FA">
        <w:rPr>
          <w:rFonts w:eastAsia="Calibri"/>
        </w:rPr>
        <w:t>artner organisations on funded projects (%)</w:t>
      </w:r>
    </w:p>
    <w:p w14:paraId="78341A51" w14:textId="15FDFDD3" w:rsidR="005846AB" w:rsidRPr="003673FA" w:rsidRDefault="005037A2" w:rsidP="006F1661">
      <w:pPr>
        <w:rPr>
          <w:szCs w:val="24"/>
        </w:rPr>
      </w:pPr>
      <w:r w:rsidRPr="003673FA">
        <w:rPr>
          <w:noProof/>
          <w:szCs w:val="24"/>
          <w:lang w:eastAsia="en-AU"/>
        </w:rPr>
        <w:drawing>
          <wp:inline distT="0" distB="0" distL="0" distR="0" wp14:anchorId="46AA9F2F" wp14:editId="30624237">
            <wp:extent cx="5755005" cy="2804160"/>
            <wp:effectExtent l="0" t="0" r="0" b="0"/>
            <wp:docPr id="47" name="Picture 47" descr="Figure 3 shows the proportions of partner organisations types involved in funded projects in each Linkage Projects round from 2013 to 2017." title="Figure 3: Types of partner organisation on funded projec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5005" cy="2804160"/>
                    </a:xfrm>
                    <a:prstGeom prst="rect">
                      <a:avLst/>
                    </a:prstGeom>
                    <a:noFill/>
                  </pic:spPr>
                </pic:pic>
              </a:graphicData>
            </a:graphic>
          </wp:inline>
        </w:drawing>
      </w:r>
    </w:p>
    <w:p w14:paraId="40210C63" w14:textId="2C6CC774" w:rsidR="0089226B" w:rsidRPr="003673FA" w:rsidRDefault="00C43865" w:rsidP="005D392C">
      <w:pPr>
        <w:spacing w:line="259" w:lineRule="auto"/>
        <w:rPr>
          <w:szCs w:val="24"/>
        </w:rPr>
      </w:pPr>
      <w:r w:rsidRPr="003673FA">
        <w:rPr>
          <w:sz w:val="20"/>
          <w:szCs w:val="20"/>
        </w:rPr>
        <w:t>Source: ARC</w:t>
      </w:r>
      <w:r w:rsidR="006557F6" w:rsidRPr="003673FA">
        <w:rPr>
          <w:sz w:val="20"/>
          <w:szCs w:val="20"/>
        </w:rPr>
        <w:t xml:space="preserve">. </w:t>
      </w:r>
      <w:r w:rsidR="006557F6" w:rsidRPr="003673FA">
        <w:rPr>
          <w:i/>
          <w:sz w:val="20"/>
          <w:szCs w:val="20"/>
        </w:rPr>
        <w:t>Note: data for 2018 C were not available at the time of this report’s preparation.</w:t>
      </w:r>
      <w:r w:rsidR="00AF3458" w:rsidRPr="003673FA">
        <w:rPr>
          <w:sz w:val="20"/>
          <w:szCs w:val="20"/>
        </w:rPr>
        <w:br w:type="textWrapping" w:clear="all"/>
      </w:r>
    </w:p>
    <w:p w14:paraId="64EF689B" w14:textId="526E2213" w:rsidR="00810781" w:rsidRPr="003673FA" w:rsidRDefault="002050AF" w:rsidP="005D392C">
      <w:pPr>
        <w:spacing w:line="259" w:lineRule="auto"/>
        <w:rPr>
          <w:szCs w:val="24"/>
        </w:rPr>
      </w:pPr>
      <w:r w:rsidRPr="003673FA">
        <w:rPr>
          <w:szCs w:val="24"/>
        </w:rPr>
        <w:t xml:space="preserve">While there appears to have been a somewhat more equal balance of partner organisation types participating in the scheme in recent rounds, these data suggest that the continuous process has not incentivised increased participation by business and industry partner organisations specifically. Further, the decline in their representation on funded projects appears at odds with the </w:t>
      </w:r>
      <w:r w:rsidR="00BD6623" w:rsidRPr="003673FA">
        <w:rPr>
          <w:szCs w:val="24"/>
        </w:rPr>
        <w:t xml:space="preserve">intended </w:t>
      </w:r>
      <w:r w:rsidRPr="003673FA">
        <w:rPr>
          <w:szCs w:val="24"/>
        </w:rPr>
        <w:t xml:space="preserve">outcomes </w:t>
      </w:r>
      <w:r w:rsidR="00BD6623" w:rsidRPr="003673FA">
        <w:rPr>
          <w:szCs w:val="24"/>
        </w:rPr>
        <w:t>of</w:t>
      </w:r>
      <w:r w:rsidRPr="003673FA">
        <w:rPr>
          <w:szCs w:val="24"/>
        </w:rPr>
        <w:t xml:space="preserve"> the Watt Review recommendation to </w:t>
      </w:r>
      <w:r w:rsidR="00BD6623" w:rsidRPr="003673FA">
        <w:rPr>
          <w:szCs w:val="24"/>
        </w:rPr>
        <w:t xml:space="preserve">ensure </w:t>
      </w:r>
      <w:r w:rsidRPr="003673FA">
        <w:rPr>
          <w:szCs w:val="24"/>
        </w:rPr>
        <w:t>applications involving business and industry partners</w:t>
      </w:r>
      <w:r w:rsidR="00BD6623" w:rsidRPr="003673FA">
        <w:rPr>
          <w:szCs w:val="24"/>
        </w:rPr>
        <w:t xml:space="preserve"> are given greater priority</w:t>
      </w:r>
      <w:r w:rsidRPr="003673FA">
        <w:rPr>
          <w:szCs w:val="24"/>
        </w:rPr>
        <w:t>.</w:t>
      </w:r>
    </w:p>
    <w:p w14:paraId="28D51686" w14:textId="77777777" w:rsidR="00810781" w:rsidRPr="003673FA" w:rsidRDefault="00810781" w:rsidP="005D392C">
      <w:pPr>
        <w:spacing w:line="259" w:lineRule="auto"/>
        <w:rPr>
          <w:szCs w:val="24"/>
        </w:rPr>
      </w:pPr>
    </w:p>
    <w:p w14:paraId="43B44AF5" w14:textId="68ECF605" w:rsidR="005D392C" w:rsidRPr="003673FA" w:rsidRDefault="005D392C" w:rsidP="00595B9A">
      <w:pPr>
        <w:pStyle w:val="Heading3"/>
      </w:pPr>
      <w:r w:rsidRPr="003673FA">
        <w:t>How frequently have partner organisations been involved?</w:t>
      </w:r>
    </w:p>
    <w:p w14:paraId="3FA9BBBA" w14:textId="51C30466" w:rsidR="002B11AD" w:rsidRPr="003673FA" w:rsidRDefault="002B11AD" w:rsidP="00CD3EC2">
      <w:pPr>
        <w:rPr>
          <w:szCs w:val="24"/>
        </w:rPr>
      </w:pPr>
    </w:p>
    <w:p w14:paraId="765C1D1F" w14:textId="177125C8" w:rsidR="00945741" w:rsidRPr="003673FA" w:rsidRDefault="001402EE" w:rsidP="00CD3EC2">
      <w:pPr>
        <w:rPr>
          <w:szCs w:val="24"/>
        </w:rPr>
      </w:pPr>
      <w:r w:rsidRPr="003673FA">
        <w:rPr>
          <w:szCs w:val="24"/>
        </w:rPr>
        <w:t>The data p</w:t>
      </w:r>
      <w:r w:rsidR="00F21439" w:rsidRPr="003673FA">
        <w:rPr>
          <w:szCs w:val="24"/>
        </w:rPr>
        <w:t>resented</w:t>
      </w:r>
      <w:r w:rsidR="00346690" w:rsidRPr="003673FA">
        <w:rPr>
          <w:szCs w:val="24"/>
        </w:rPr>
        <w:t xml:space="preserve"> in </w:t>
      </w:r>
      <w:hyperlink w:anchor="Table2" w:history="1">
        <w:r w:rsidR="00636621" w:rsidRPr="00FC696C">
          <w:rPr>
            <w:rStyle w:val="Hyperlink"/>
            <w:szCs w:val="24"/>
          </w:rPr>
          <w:t>Table 2</w:t>
        </w:r>
      </w:hyperlink>
      <w:r w:rsidRPr="003673FA">
        <w:rPr>
          <w:szCs w:val="24"/>
        </w:rPr>
        <w:t xml:space="preserve"> </w:t>
      </w:r>
      <w:r w:rsidR="00B30656" w:rsidRPr="003673FA">
        <w:rPr>
          <w:szCs w:val="24"/>
        </w:rPr>
        <w:t xml:space="preserve">appear to </w:t>
      </w:r>
      <w:r w:rsidR="00F21439" w:rsidRPr="003673FA">
        <w:rPr>
          <w:szCs w:val="24"/>
        </w:rPr>
        <w:t xml:space="preserve">suggest that </w:t>
      </w:r>
      <w:r w:rsidR="00EE037E" w:rsidRPr="003673FA">
        <w:rPr>
          <w:szCs w:val="24"/>
        </w:rPr>
        <w:t xml:space="preserve">a smaller </w:t>
      </w:r>
      <w:r w:rsidR="00F21439" w:rsidRPr="003673FA">
        <w:rPr>
          <w:szCs w:val="24"/>
        </w:rPr>
        <w:t xml:space="preserve">proportion of partner organisations </w:t>
      </w:r>
      <w:r w:rsidRPr="003673FA">
        <w:rPr>
          <w:szCs w:val="24"/>
        </w:rPr>
        <w:t xml:space="preserve">have </w:t>
      </w:r>
      <w:r w:rsidR="00EE037E" w:rsidRPr="003673FA">
        <w:rPr>
          <w:szCs w:val="24"/>
        </w:rPr>
        <w:t>been repeat participants on</w:t>
      </w:r>
      <w:r w:rsidR="00945741" w:rsidRPr="003673FA">
        <w:rPr>
          <w:szCs w:val="24"/>
        </w:rPr>
        <w:t xml:space="preserve"> Linkage Projects</w:t>
      </w:r>
      <w:r w:rsidR="00EE037E" w:rsidRPr="003673FA">
        <w:rPr>
          <w:szCs w:val="24"/>
        </w:rPr>
        <w:t xml:space="preserve"> applications</w:t>
      </w:r>
      <w:r w:rsidR="00945741" w:rsidRPr="003673FA">
        <w:rPr>
          <w:szCs w:val="24"/>
        </w:rPr>
        <w:t xml:space="preserve"> under the continuous process</w:t>
      </w:r>
      <w:r w:rsidRPr="003673FA">
        <w:rPr>
          <w:szCs w:val="24"/>
        </w:rPr>
        <w:t xml:space="preserve"> (</w:t>
      </w:r>
      <w:r w:rsidR="00EE037E" w:rsidRPr="003673FA">
        <w:rPr>
          <w:szCs w:val="24"/>
        </w:rPr>
        <w:t>22 per cent</w:t>
      </w:r>
      <w:r w:rsidR="00945741" w:rsidRPr="003673FA">
        <w:rPr>
          <w:szCs w:val="24"/>
        </w:rPr>
        <w:t xml:space="preserve">) than </w:t>
      </w:r>
      <w:r w:rsidR="007D64FC" w:rsidRPr="003673FA">
        <w:rPr>
          <w:szCs w:val="24"/>
        </w:rPr>
        <w:t xml:space="preserve">under </w:t>
      </w:r>
      <w:r w:rsidR="00945741" w:rsidRPr="003673FA">
        <w:rPr>
          <w:szCs w:val="24"/>
        </w:rPr>
        <w:t>the annual process (</w:t>
      </w:r>
      <w:r w:rsidRPr="003673FA">
        <w:rPr>
          <w:szCs w:val="24"/>
        </w:rPr>
        <w:t>29 per cent</w:t>
      </w:r>
      <w:r w:rsidR="00945741" w:rsidRPr="003673FA">
        <w:rPr>
          <w:szCs w:val="24"/>
        </w:rPr>
        <w:t xml:space="preserve">). However, on average, those organisations that have participated in multiple applications appear to have done so more frequently under the continuous process (1.21 </w:t>
      </w:r>
      <w:r w:rsidR="007D64FC" w:rsidRPr="003673FA">
        <w:rPr>
          <w:szCs w:val="24"/>
        </w:rPr>
        <w:t>applications</w:t>
      </w:r>
      <w:r w:rsidR="00945741" w:rsidRPr="003673FA">
        <w:rPr>
          <w:szCs w:val="24"/>
        </w:rPr>
        <w:t xml:space="preserve"> per year) than the annual process (0.79 per year).</w:t>
      </w:r>
    </w:p>
    <w:p w14:paraId="54F234C4" w14:textId="61585E73" w:rsidR="00945741" w:rsidRPr="003673FA" w:rsidRDefault="00945741" w:rsidP="00CD3EC2">
      <w:pPr>
        <w:rPr>
          <w:szCs w:val="24"/>
        </w:rPr>
      </w:pPr>
    </w:p>
    <w:p w14:paraId="6F80CC0B" w14:textId="44CA59CB" w:rsidR="007D64FC" w:rsidRPr="003673FA" w:rsidRDefault="00945741" w:rsidP="00CD3EC2">
      <w:pPr>
        <w:rPr>
          <w:szCs w:val="24"/>
        </w:rPr>
      </w:pPr>
      <w:r w:rsidRPr="003673FA">
        <w:rPr>
          <w:szCs w:val="24"/>
        </w:rPr>
        <w:t xml:space="preserve">The pattern </w:t>
      </w:r>
      <w:r w:rsidR="00C91085" w:rsidRPr="003673FA">
        <w:rPr>
          <w:szCs w:val="24"/>
        </w:rPr>
        <w:t>is similar for</w:t>
      </w:r>
      <w:r w:rsidRPr="003673FA">
        <w:rPr>
          <w:szCs w:val="24"/>
        </w:rPr>
        <w:t xml:space="preserve"> funded projects</w:t>
      </w:r>
      <w:r w:rsidR="00D22F16" w:rsidRPr="003673FA">
        <w:rPr>
          <w:szCs w:val="24"/>
        </w:rPr>
        <w:t xml:space="preserve">, where 11 </w:t>
      </w:r>
      <w:r w:rsidRPr="003673FA">
        <w:rPr>
          <w:szCs w:val="24"/>
        </w:rPr>
        <w:t xml:space="preserve">per cent </w:t>
      </w:r>
      <w:r w:rsidR="007D64FC" w:rsidRPr="003673FA">
        <w:rPr>
          <w:szCs w:val="24"/>
        </w:rPr>
        <w:t>of organisations involved in funded projects have been repeat participants under the continuous pro</w:t>
      </w:r>
      <w:r w:rsidRPr="003673FA">
        <w:rPr>
          <w:szCs w:val="24"/>
        </w:rPr>
        <w:t>cess, compared to 17 per cent under the annual process</w:t>
      </w:r>
      <w:r w:rsidR="007D64FC" w:rsidRPr="003673FA">
        <w:rPr>
          <w:szCs w:val="24"/>
        </w:rPr>
        <w:t xml:space="preserve">. However, on average, repeat participants </w:t>
      </w:r>
      <w:r w:rsidRPr="003673FA">
        <w:rPr>
          <w:szCs w:val="24"/>
        </w:rPr>
        <w:t>under the continuous process</w:t>
      </w:r>
      <w:r w:rsidR="007D64FC" w:rsidRPr="003673FA">
        <w:rPr>
          <w:szCs w:val="24"/>
        </w:rPr>
        <w:t xml:space="preserve"> appear to have been involved in more funded projects (1.71 per year) than those under the annual process (0.74 per year).</w:t>
      </w:r>
    </w:p>
    <w:p w14:paraId="1ADA4E06" w14:textId="0CEE349B" w:rsidR="007D64FC" w:rsidRPr="003673FA" w:rsidRDefault="007D64FC" w:rsidP="00CD3EC2">
      <w:pPr>
        <w:rPr>
          <w:szCs w:val="24"/>
        </w:rPr>
      </w:pPr>
    </w:p>
    <w:p w14:paraId="21460F54" w14:textId="77777777" w:rsidR="00EB67FB" w:rsidRPr="003673FA" w:rsidRDefault="00D22F16" w:rsidP="00CD3EC2">
      <w:pPr>
        <w:rPr>
          <w:szCs w:val="24"/>
        </w:rPr>
      </w:pPr>
      <w:r w:rsidRPr="003673FA">
        <w:rPr>
          <w:szCs w:val="24"/>
        </w:rPr>
        <w:t>It is important to note that t</w:t>
      </w:r>
      <w:r w:rsidR="00BC3D32" w:rsidRPr="003673FA">
        <w:rPr>
          <w:szCs w:val="24"/>
        </w:rPr>
        <w:t xml:space="preserve">hese comparisons </w:t>
      </w:r>
      <w:r w:rsidRPr="003673FA">
        <w:rPr>
          <w:szCs w:val="24"/>
        </w:rPr>
        <w:t>are</w:t>
      </w:r>
      <w:r w:rsidR="00BC3D32" w:rsidRPr="003673FA">
        <w:rPr>
          <w:szCs w:val="24"/>
        </w:rPr>
        <w:t xml:space="preserve"> indicative only, </w:t>
      </w:r>
      <w:r w:rsidRPr="003673FA">
        <w:rPr>
          <w:szCs w:val="24"/>
        </w:rPr>
        <w:t xml:space="preserve">as </w:t>
      </w:r>
      <w:r w:rsidR="00BC3D32" w:rsidRPr="003673FA">
        <w:rPr>
          <w:szCs w:val="24"/>
        </w:rPr>
        <w:t xml:space="preserve">the continuous process has operated for a shorter period than the annual process </w:t>
      </w:r>
      <w:r w:rsidRPr="003673FA">
        <w:rPr>
          <w:szCs w:val="24"/>
        </w:rPr>
        <w:t>and</w:t>
      </w:r>
      <w:r w:rsidR="00BC3D32" w:rsidRPr="003673FA">
        <w:rPr>
          <w:szCs w:val="24"/>
        </w:rPr>
        <w:t xml:space="preserve"> partner organisations have had less time (and</w:t>
      </w:r>
      <w:r w:rsidRPr="003673FA">
        <w:rPr>
          <w:szCs w:val="24"/>
        </w:rPr>
        <w:t>,</w:t>
      </w:r>
      <w:r w:rsidR="00BC3D32" w:rsidRPr="003673FA">
        <w:rPr>
          <w:szCs w:val="24"/>
        </w:rPr>
        <w:t xml:space="preserve"> therefore, possibly fewer opportunities) for repeat participation.</w:t>
      </w:r>
      <w:r w:rsidR="005F6EB0" w:rsidRPr="003673FA">
        <w:rPr>
          <w:szCs w:val="24"/>
        </w:rPr>
        <w:t xml:space="preserve"> </w:t>
      </w:r>
    </w:p>
    <w:p w14:paraId="5663FE62" w14:textId="77777777" w:rsidR="00EB67FB" w:rsidRPr="003673FA" w:rsidRDefault="00EB67FB" w:rsidP="00CD3EC2">
      <w:pPr>
        <w:rPr>
          <w:szCs w:val="24"/>
        </w:rPr>
      </w:pPr>
    </w:p>
    <w:p w14:paraId="2964C3C6" w14:textId="426E4A0B" w:rsidR="00A95DFB" w:rsidRPr="003673FA" w:rsidRDefault="00A034CB" w:rsidP="00CD3EC2">
      <w:pPr>
        <w:rPr>
          <w:szCs w:val="24"/>
        </w:rPr>
      </w:pPr>
      <w:r w:rsidRPr="003673FA">
        <w:rPr>
          <w:szCs w:val="24"/>
        </w:rPr>
        <w:t>In addition</w:t>
      </w:r>
      <w:r w:rsidR="00207124" w:rsidRPr="003673FA">
        <w:rPr>
          <w:szCs w:val="24"/>
        </w:rPr>
        <w:t xml:space="preserve"> to repeat participation</w:t>
      </w:r>
      <w:r w:rsidRPr="003673FA">
        <w:rPr>
          <w:szCs w:val="24"/>
        </w:rPr>
        <w:t xml:space="preserve">, the </w:t>
      </w:r>
      <w:r w:rsidR="00EB67FB" w:rsidRPr="003673FA">
        <w:rPr>
          <w:szCs w:val="24"/>
        </w:rPr>
        <w:t xml:space="preserve">extent to which </w:t>
      </w:r>
      <w:r w:rsidRPr="003673FA">
        <w:rPr>
          <w:szCs w:val="24"/>
        </w:rPr>
        <w:t>new partner organisations</w:t>
      </w:r>
      <w:r w:rsidR="00EB67FB" w:rsidRPr="003673FA">
        <w:rPr>
          <w:szCs w:val="24"/>
        </w:rPr>
        <w:t xml:space="preserve"> are attracted to the scheme </w:t>
      </w:r>
      <w:r w:rsidR="005F6EB0" w:rsidRPr="003673FA">
        <w:rPr>
          <w:szCs w:val="24"/>
        </w:rPr>
        <w:t xml:space="preserve">may be </w:t>
      </w:r>
      <w:r w:rsidR="00207124" w:rsidRPr="003673FA">
        <w:rPr>
          <w:szCs w:val="24"/>
        </w:rPr>
        <w:t xml:space="preserve">another </w:t>
      </w:r>
      <w:r w:rsidR="00EB67FB" w:rsidRPr="003673FA">
        <w:rPr>
          <w:szCs w:val="24"/>
        </w:rPr>
        <w:t>useful</w:t>
      </w:r>
      <w:r w:rsidR="00207124" w:rsidRPr="003673FA">
        <w:rPr>
          <w:szCs w:val="24"/>
        </w:rPr>
        <w:t xml:space="preserve"> indicator of support for</w:t>
      </w:r>
      <w:r w:rsidR="005F6EB0" w:rsidRPr="003673FA">
        <w:rPr>
          <w:szCs w:val="24"/>
        </w:rPr>
        <w:t xml:space="preserve"> greater collaboration. </w:t>
      </w:r>
      <w:r w:rsidR="00EB67FB" w:rsidRPr="003673FA">
        <w:rPr>
          <w:szCs w:val="24"/>
        </w:rPr>
        <w:t>This is addressed</w:t>
      </w:r>
      <w:r w:rsidR="00823FDB" w:rsidRPr="003673FA">
        <w:rPr>
          <w:szCs w:val="24"/>
        </w:rPr>
        <w:t xml:space="preserve"> under evaluation question 4, in relation to</w:t>
      </w:r>
      <w:r w:rsidR="00EB67FB" w:rsidRPr="003673FA">
        <w:rPr>
          <w:szCs w:val="24"/>
        </w:rPr>
        <w:t xml:space="preserve"> stakeholder perceptions </w:t>
      </w:r>
      <w:r w:rsidR="00823FDB" w:rsidRPr="003673FA">
        <w:rPr>
          <w:szCs w:val="24"/>
        </w:rPr>
        <w:t>regarding</w:t>
      </w:r>
      <w:r w:rsidR="00EB67FB" w:rsidRPr="003673FA">
        <w:rPr>
          <w:szCs w:val="24"/>
        </w:rPr>
        <w:t xml:space="preserve"> </w:t>
      </w:r>
      <w:r w:rsidR="00823FDB" w:rsidRPr="003673FA">
        <w:rPr>
          <w:szCs w:val="24"/>
        </w:rPr>
        <w:t>the initiation of collaboration</w:t>
      </w:r>
      <w:r w:rsidR="00EB67FB" w:rsidRPr="003673FA">
        <w:rPr>
          <w:szCs w:val="24"/>
        </w:rPr>
        <w:t>.</w:t>
      </w:r>
    </w:p>
    <w:p w14:paraId="3052AC56" w14:textId="58E3B285" w:rsidR="00C11639" w:rsidRPr="003673FA" w:rsidRDefault="00C11639">
      <w:pPr>
        <w:rPr>
          <w:rFonts w:eastAsia="Times New Roman"/>
          <w:b/>
          <w:bCs/>
          <w:i/>
          <w:iCs/>
          <w:color w:val="000000"/>
        </w:rPr>
      </w:pPr>
      <w:r w:rsidRPr="003673FA">
        <w:br w:type="page"/>
      </w:r>
    </w:p>
    <w:p w14:paraId="2859624A" w14:textId="371F0C6D" w:rsidR="00265DBF" w:rsidRPr="003673FA" w:rsidRDefault="00265DBF" w:rsidP="00265DBF">
      <w:pPr>
        <w:pStyle w:val="Heading4"/>
      </w:pPr>
      <w:bookmarkStart w:id="33" w:name="Table2"/>
      <w:bookmarkEnd w:id="33"/>
      <w:r w:rsidRPr="003673FA">
        <w:lastRenderedPageBreak/>
        <w:t xml:space="preserve">Table </w:t>
      </w:r>
      <w:r w:rsidR="00636621" w:rsidRPr="003673FA">
        <w:t>2</w:t>
      </w:r>
      <w:r w:rsidRPr="003673FA">
        <w:t>: Frequency of p</w:t>
      </w:r>
      <w:r w:rsidR="00A81F31" w:rsidRPr="003673FA">
        <w:t>artner organisation involvement</w:t>
      </w:r>
    </w:p>
    <w:tbl>
      <w:tblPr>
        <w:tblStyle w:val="GridTable5Dark-Accent1"/>
        <w:tblW w:w="9067" w:type="dxa"/>
        <w:tblLook w:val="04A0" w:firstRow="1" w:lastRow="0" w:firstColumn="1" w:lastColumn="0" w:noHBand="0" w:noVBand="1"/>
      </w:tblPr>
      <w:tblGrid>
        <w:gridCol w:w="4815"/>
        <w:gridCol w:w="2126"/>
        <w:gridCol w:w="2126"/>
      </w:tblGrid>
      <w:tr w:rsidR="00CA6ACA" w:rsidRPr="003673FA" w14:paraId="377F0DB8" w14:textId="77777777" w:rsidTr="00E66E04">
        <w:trPr>
          <w:cnfStyle w:val="100000000000" w:firstRow="1" w:lastRow="0" w:firstColumn="0" w:lastColumn="0" w:oddVBand="0" w:evenVBand="0" w:oddHBand="0" w:evenHBand="0" w:firstRowFirstColumn="0" w:firstRowLastColumn="0" w:lastRowFirstColumn="0" w:lastRowLastColumn="0"/>
          <w:trHeight w:val="305"/>
          <w:tblHeader/>
        </w:trPr>
        <w:tc>
          <w:tcPr>
            <w:cnfStyle w:val="001000000000" w:firstRow="0" w:lastRow="0" w:firstColumn="1" w:lastColumn="0" w:oddVBand="0" w:evenVBand="0" w:oddHBand="0" w:evenHBand="0" w:firstRowFirstColumn="0" w:firstRowLastColumn="0" w:lastRowFirstColumn="0" w:lastRowLastColumn="0"/>
            <w:tcW w:w="9067" w:type="dxa"/>
            <w:gridSpan w:val="3"/>
          </w:tcPr>
          <w:p w14:paraId="422F2F28" w14:textId="14C98A39" w:rsidR="00CA6ACA" w:rsidRPr="003673FA" w:rsidRDefault="00BB6960" w:rsidP="002B11AD">
            <w:pPr>
              <w:jc w:val="center"/>
              <w:rPr>
                <w:sz w:val="22"/>
              </w:rPr>
            </w:pPr>
            <w:r w:rsidRPr="003673FA">
              <w:rPr>
                <w:sz w:val="22"/>
              </w:rPr>
              <w:t>APPLICATIONS</w:t>
            </w:r>
          </w:p>
        </w:tc>
      </w:tr>
      <w:tr w:rsidR="00CA6ACA" w:rsidRPr="003673FA" w14:paraId="1928A01C" w14:textId="77777777" w:rsidTr="001B15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815" w:type="dxa"/>
          </w:tcPr>
          <w:p w14:paraId="515190CE" w14:textId="77777777" w:rsidR="00CA6ACA" w:rsidRPr="003673FA" w:rsidRDefault="00CA6ACA" w:rsidP="00CD3EC2">
            <w:pPr>
              <w:rPr>
                <w:sz w:val="22"/>
              </w:rPr>
            </w:pPr>
          </w:p>
        </w:tc>
        <w:tc>
          <w:tcPr>
            <w:tcW w:w="2126" w:type="dxa"/>
          </w:tcPr>
          <w:p w14:paraId="367FB4C3" w14:textId="4F156412" w:rsidR="00CA6ACA" w:rsidRPr="003673FA" w:rsidRDefault="00CA6ACA" w:rsidP="000B0B4F">
            <w:pPr>
              <w:jc w:val="center"/>
              <w:cnfStyle w:val="000000100000" w:firstRow="0" w:lastRow="0" w:firstColumn="0" w:lastColumn="0" w:oddVBand="0" w:evenVBand="0" w:oddHBand="1" w:evenHBand="0" w:firstRowFirstColumn="0" w:firstRowLastColumn="0" w:lastRowFirstColumn="0" w:lastRowLastColumn="0"/>
              <w:rPr>
                <w:b/>
                <w:sz w:val="22"/>
              </w:rPr>
            </w:pPr>
            <w:r w:rsidRPr="003673FA">
              <w:rPr>
                <w:b/>
                <w:sz w:val="22"/>
              </w:rPr>
              <w:t xml:space="preserve">Annual </w:t>
            </w:r>
            <w:r w:rsidR="000B0B4F" w:rsidRPr="003673FA">
              <w:rPr>
                <w:b/>
                <w:sz w:val="22"/>
              </w:rPr>
              <w:t>p</w:t>
            </w:r>
            <w:r w:rsidRPr="003673FA">
              <w:rPr>
                <w:b/>
                <w:sz w:val="22"/>
              </w:rPr>
              <w:t>rocess</w:t>
            </w:r>
            <w:r w:rsidRPr="003673FA">
              <w:rPr>
                <w:b/>
                <w:sz w:val="22"/>
              </w:rPr>
              <w:br/>
              <w:t>(2013 A – 2016 A)</w:t>
            </w:r>
          </w:p>
        </w:tc>
        <w:tc>
          <w:tcPr>
            <w:tcW w:w="2126" w:type="dxa"/>
          </w:tcPr>
          <w:p w14:paraId="412D1E54" w14:textId="1D966B84" w:rsidR="00CA6ACA" w:rsidRPr="003673FA" w:rsidRDefault="00CA6ACA" w:rsidP="000B0B4F">
            <w:pPr>
              <w:jc w:val="center"/>
              <w:cnfStyle w:val="000000100000" w:firstRow="0" w:lastRow="0" w:firstColumn="0" w:lastColumn="0" w:oddVBand="0" w:evenVBand="0" w:oddHBand="1" w:evenHBand="0" w:firstRowFirstColumn="0" w:firstRowLastColumn="0" w:lastRowFirstColumn="0" w:lastRowLastColumn="0"/>
              <w:rPr>
                <w:b/>
                <w:sz w:val="22"/>
              </w:rPr>
            </w:pPr>
            <w:r w:rsidRPr="003673FA">
              <w:rPr>
                <w:b/>
                <w:sz w:val="22"/>
              </w:rPr>
              <w:t xml:space="preserve">Continuous </w:t>
            </w:r>
            <w:r w:rsidR="000B0B4F" w:rsidRPr="003673FA">
              <w:rPr>
                <w:b/>
                <w:sz w:val="22"/>
              </w:rPr>
              <w:t>p</w:t>
            </w:r>
            <w:r w:rsidRPr="003673FA">
              <w:rPr>
                <w:b/>
                <w:sz w:val="22"/>
              </w:rPr>
              <w:t>rocess</w:t>
            </w:r>
            <w:r w:rsidRPr="003673FA">
              <w:rPr>
                <w:b/>
                <w:sz w:val="22"/>
              </w:rPr>
              <w:br/>
              <w:t>(2016 C – 2018 C)</w:t>
            </w:r>
          </w:p>
        </w:tc>
      </w:tr>
      <w:tr w:rsidR="008B33AB" w:rsidRPr="003673FA" w14:paraId="12930ABB" w14:textId="77777777" w:rsidTr="001B158E">
        <w:tc>
          <w:tcPr>
            <w:cnfStyle w:val="001000000000" w:firstRow="0" w:lastRow="0" w:firstColumn="1" w:lastColumn="0" w:oddVBand="0" w:evenVBand="0" w:oddHBand="0" w:evenHBand="0" w:firstRowFirstColumn="0" w:firstRowLastColumn="0" w:lastRowFirstColumn="0" w:lastRowLastColumn="0"/>
            <w:tcW w:w="4815" w:type="dxa"/>
          </w:tcPr>
          <w:p w14:paraId="0872F695" w14:textId="138B0E56" w:rsidR="008B33AB" w:rsidRPr="003673FA" w:rsidRDefault="008B33AB" w:rsidP="00CA6ACA">
            <w:pPr>
              <w:rPr>
                <w:sz w:val="22"/>
              </w:rPr>
            </w:pPr>
            <w:r w:rsidRPr="003673FA">
              <w:rPr>
                <w:sz w:val="22"/>
              </w:rPr>
              <w:t>Time period</w:t>
            </w:r>
          </w:p>
        </w:tc>
        <w:tc>
          <w:tcPr>
            <w:tcW w:w="2126" w:type="dxa"/>
          </w:tcPr>
          <w:p w14:paraId="3D6A62C2" w14:textId="312D6324" w:rsidR="008B33AB" w:rsidRPr="003673FA" w:rsidRDefault="008B33AB" w:rsidP="00CD3EC2">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4 years</w:t>
            </w:r>
          </w:p>
        </w:tc>
        <w:tc>
          <w:tcPr>
            <w:tcW w:w="2126" w:type="dxa"/>
          </w:tcPr>
          <w:p w14:paraId="355B81E5" w14:textId="1D5BDD97" w:rsidR="008B33AB" w:rsidRPr="003673FA" w:rsidRDefault="008B33AB" w:rsidP="00CD3EC2">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2.5 years</w:t>
            </w:r>
          </w:p>
        </w:tc>
      </w:tr>
      <w:tr w:rsidR="00CA6ACA" w:rsidRPr="003673FA" w14:paraId="0A774855" w14:textId="77777777" w:rsidTr="001B1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53B9AE85" w14:textId="39F4EBC4" w:rsidR="00CA6ACA" w:rsidRPr="003673FA" w:rsidRDefault="00CA6ACA" w:rsidP="00CA6ACA">
            <w:pPr>
              <w:rPr>
                <w:sz w:val="22"/>
              </w:rPr>
            </w:pPr>
            <w:r w:rsidRPr="003673FA">
              <w:rPr>
                <w:sz w:val="22"/>
              </w:rPr>
              <w:t>Partner organisations listed on all applications</w:t>
            </w:r>
          </w:p>
        </w:tc>
        <w:tc>
          <w:tcPr>
            <w:tcW w:w="2126" w:type="dxa"/>
          </w:tcPr>
          <w:p w14:paraId="156912B0" w14:textId="5710DE3A" w:rsidR="00CA6ACA" w:rsidRPr="003673FA" w:rsidRDefault="00CA6ACA" w:rsidP="00CD3EC2">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6240</w:t>
            </w:r>
          </w:p>
        </w:tc>
        <w:tc>
          <w:tcPr>
            <w:tcW w:w="2126" w:type="dxa"/>
          </w:tcPr>
          <w:p w14:paraId="7AFEB2C4" w14:textId="2EEDDB61" w:rsidR="00CA6ACA" w:rsidRPr="003673FA" w:rsidRDefault="00CA6ACA" w:rsidP="00CD3EC2">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2731</w:t>
            </w:r>
          </w:p>
        </w:tc>
      </w:tr>
      <w:tr w:rsidR="00CA6ACA" w:rsidRPr="003673FA" w14:paraId="0DB871DA" w14:textId="77777777" w:rsidTr="001B158E">
        <w:tc>
          <w:tcPr>
            <w:cnfStyle w:val="001000000000" w:firstRow="0" w:lastRow="0" w:firstColumn="1" w:lastColumn="0" w:oddVBand="0" w:evenVBand="0" w:oddHBand="0" w:evenHBand="0" w:firstRowFirstColumn="0" w:firstRowLastColumn="0" w:lastRowFirstColumn="0" w:lastRowLastColumn="0"/>
            <w:tcW w:w="4815" w:type="dxa"/>
          </w:tcPr>
          <w:p w14:paraId="1D1EA64B" w14:textId="37EBFD00" w:rsidR="00CA6ACA" w:rsidRPr="003673FA" w:rsidRDefault="00CA6ACA" w:rsidP="00CD3EC2">
            <w:pPr>
              <w:rPr>
                <w:sz w:val="22"/>
              </w:rPr>
            </w:pPr>
            <w:r w:rsidRPr="003673FA">
              <w:rPr>
                <w:sz w:val="22"/>
              </w:rPr>
              <w:t>Unique partner organisations</w:t>
            </w:r>
          </w:p>
        </w:tc>
        <w:tc>
          <w:tcPr>
            <w:tcW w:w="2126" w:type="dxa"/>
          </w:tcPr>
          <w:p w14:paraId="3BDE54AD" w14:textId="63B41C6D" w:rsidR="00CA6ACA" w:rsidRPr="003673FA" w:rsidRDefault="00CA6ACA" w:rsidP="00CD3EC2">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3830</w:t>
            </w:r>
          </w:p>
        </w:tc>
        <w:tc>
          <w:tcPr>
            <w:tcW w:w="2126" w:type="dxa"/>
          </w:tcPr>
          <w:p w14:paraId="5B634AFC" w14:textId="57A05968" w:rsidR="00CA6ACA" w:rsidRPr="003673FA" w:rsidRDefault="00CA6ACA" w:rsidP="00CD3EC2">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1895</w:t>
            </w:r>
          </w:p>
        </w:tc>
      </w:tr>
      <w:tr w:rsidR="00CA6ACA" w:rsidRPr="003673FA" w14:paraId="1040D27F" w14:textId="77777777" w:rsidTr="001B1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6E95732" w14:textId="7CA56C79" w:rsidR="00CA6ACA" w:rsidRPr="003673FA" w:rsidRDefault="003E4F24" w:rsidP="00CA6ACA">
            <w:pPr>
              <w:rPr>
                <w:sz w:val="22"/>
              </w:rPr>
            </w:pPr>
            <w:r w:rsidRPr="003673FA">
              <w:rPr>
                <w:sz w:val="22"/>
              </w:rPr>
              <w:t>Partner organisations i</w:t>
            </w:r>
            <w:r w:rsidR="00CA6ACA" w:rsidRPr="003673FA">
              <w:rPr>
                <w:sz w:val="22"/>
              </w:rPr>
              <w:t>nvolved in more than one application</w:t>
            </w:r>
          </w:p>
        </w:tc>
        <w:tc>
          <w:tcPr>
            <w:tcW w:w="2126" w:type="dxa"/>
          </w:tcPr>
          <w:p w14:paraId="40C2CDD7" w14:textId="48C67B9D" w:rsidR="00A525E9" w:rsidRPr="003673FA" w:rsidRDefault="00CA6ACA" w:rsidP="00A525E9">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1119</w:t>
            </w:r>
            <w:r w:rsidR="00A525E9" w:rsidRPr="003673FA">
              <w:rPr>
                <w:sz w:val="22"/>
              </w:rPr>
              <w:t xml:space="preserve"> (29%)</w:t>
            </w:r>
          </w:p>
        </w:tc>
        <w:tc>
          <w:tcPr>
            <w:tcW w:w="2126" w:type="dxa"/>
          </w:tcPr>
          <w:p w14:paraId="0C5F7F2F" w14:textId="0CBE86E8" w:rsidR="00CA6ACA" w:rsidRPr="003673FA" w:rsidRDefault="00A525E9" w:rsidP="00CD3EC2">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412 (22%)</w:t>
            </w:r>
          </w:p>
        </w:tc>
      </w:tr>
      <w:tr w:rsidR="00CA6ACA" w:rsidRPr="003673FA" w14:paraId="2620EAD3" w14:textId="77777777" w:rsidTr="001B158E">
        <w:tc>
          <w:tcPr>
            <w:cnfStyle w:val="001000000000" w:firstRow="0" w:lastRow="0" w:firstColumn="1" w:lastColumn="0" w:oddVBand="0" w:evenVBand="0" w:oddHBand="0" w:evenHBand="0" w:firstRowFirstColumn="0" w:firstRowLastColumn="0" w:lastRowFirstColumn="0" w:lastRowLastColumn="0"/>
            <w:tcW w:w="4815" w:type="dxa"/>
          </w:tcPr>
          <w:p w14:paraId="7781665E" w14:textId="4CCBEF3B" w:rsidR="00CA6ACA" w:rsidRPr="003673FA" w:rsidRDefault="00A525E9" w:rsidP="00A525E9">
            <w:pPr>
              <w:rPr>
                <w:sz w:val="22"/>
              </w:rPr>
            </w:pPr>
            <w:r w:rsidRPr="003673FA">
              <w:rPr>
                <w:sz w:val="22"/>
              </w:rPr>
              <w:t>Average number of applications</w:t>
            </w:r>
            <w:r w:rsidR="003E4F24" w:rsidRPr="003673FA">
              <w:rPr>
                <w:sz w:val="22"/>
              </w:rPr>
              <w:t xml:space="preserve"> </w:t>
            </w:r>
            <w:r w:rsidR="008304A7" w:rsidRPr="003673FA">
              <w:rPr>
                <w:sz w:val="22"/>
              </w:rPr>
              <w:t xml:space="preserve">partner organisations were involved in </w:t>
            </w:r>
            <w:r w:rsidR="003E4F24" w:rsidRPr="003673FA">
              <w:rPr>
                <w:sz w:val="22"/>
              </w:rPr>
              <w:t>over the period</w:t>
            </w:r>
            <w:r w:rsidRPr="003673FA">
              <w:rPr>
                <w:sz w:val="22"/>
              </w:rPr>
              <w:t xml:space="preserve"> (if involved in more than one)</w:t>
            </w:r>
          </w:p>
        </w:tc>
        <w:tc>
          <w:tcPr>
            <w:tcW w:w="2126" w:type="dxa"/>
          </w:tcPr>
          <w:p w14:paraId="3A411331" w14:textId="00495B25" w:rsidR="00CA6ACA" w:rsidRPr="003673FA" w:rsidRDefault="00A525E9" w:rsidP="00CD3EC2">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3.15</w:t>
            </w:r>
          </w:p>
        </w:tc>
        <w:tc>
          <w:tcPr>
            <w:tcW w:w="2126" w:type="dxa"/>
          </w:tcPr>
          <w:p w14:paraId="6D8A2021" w14:textId="39E72938" w:rsidR="00CA6ACA" w:rsidRPr="003673FA" w:rsidRDefault="00A525E9" w:rsidP="00CD3EC2">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3.03</w:t>
            </w:r>
          </w:p>
        </w:tc>
      </w:tr>
      <w:tr w:rsidR="00CA6ACA" w:rsidRPr="003673FA" w14:paraId="332A4A52" w14:textId="77777777" w:rsidTr="001B1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CF4ACB6" w14:textId="26E9DF7B" w:rsidR="00CA6ACA" w:rsidRPr="003673FA" w:rsidRDefault="00A525E9" w:rsidP="00CD3EC2">
            <w:pPr>
              <w:rPr>
                <w:sz w:val="22"/>
              </w:rPr>
            </w:pPr>
            <w:r w:rsidRPr="003673FA">
              <w:rPr>
                <w:sz w:val="22"/>
              </w:rPr>
              <w:t xml:space="preserve">Average number of applications </w:t>
            </w:r>
            <w:r w:rsidR="008304A7" w:rsidRPr="003673FA">
              <w:rPr>
                <w:sz w:val="22"/>
              </w:rPr>
              <w:t xml:space="preserve">partner organisations were involved in </w:t>
            </w:r>
            <w:r w:rsidRPr="003673FA">
              <w:rPr>
                <w:sz w:val="22"/>
              </w:rPr>
              <w:t>per year (if</w:t>
            </w:r>
            <w:r w:rsidR="00265DBF" w:rsidRPr="003673FA">
              <w:rPr>
                <w:sz w:val="22"/>
              </w:rPr>
              <w:t xml:space="preserve"> involved in</w:t>
            </w:r>
            <w:r w:rsidRPr="003673FA">
              <w:rPr>
                <w:sz w:val="22"/>
              </w:rPr>
              <w:t xml:space="preserve"> more than one)</w:t>
            </w:r>
          </w:p>
        </w:tc>
        <w:tc>
          <w:tcPr>
            <w:tcW w:w="2126" w:type="dxa"/>
          </w:tcPr>
          <w:p w14:paraId="5192C8EA" w14:textId="2A540B7B" w:rsidR="00CA6ACA" w:rsidRPr="003673FA" w:rsidRDefault="00A525E9" w:rsidP="008B33AB">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0.79</w:t>
            </w:r>
          </w:p>
        </w:tc>
        <w:tc>
          <w:tcPr>
            <w:tcW w:w="2126" w:type="dxa"/>
          </w:tcPr>
          <w:p w14:paraId="07328A29" w14:textId="7F8C629A" w:rsidR="00CA6ACA" w:rsidRPr="003673FA" w:rsidRDefault="00A525E9" w:rsidP="008B33AB">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1.21</w:t>
            </w:r>
          </w:p>
        </w:tc>
      </w:tr>
      <w:tr w:rsidR="00BB6960" w:rsidRPr="003673FA" w14:paraId="4B21848C" w14:textId="77777777" w:rsidTr="00BC3D32">
        <w:trPr>
          <w:trHeight w:val="305"/>
        </w:trPr>
        <w:tc>
          <w:tcPr>
            <w:cnfStyle w:val="001000000000" w:firstRow="0" w:lastRow="0" w:firstColumn="1" w:lastColumn="0" w:oddVBand="0" w:evenVBand="0" w:oddHBand="0" w:evenHBand="0" w:firstRowFirstColumn="0" w:firstRowLastColumn="0" w:lastRowFirstColumn="0" w:lastRowLastColumn="0"/>
            <w:tcW w:w="9067" w:type="dxa"/>
            <w:gridSpan w:val="3"/>
          </w:tcPr>
          <w:p w14:paraId="0C44EC14" w14:textId="39DE51EA" w:rsidR="00BB6960" w:rsidRPr="003673FA" w:rsidRDefault="00BB6960" w:rsidP="00BB6960">
            <w:pPr>
              <w:jc w:val="center"/>
              <w:rPr>
                <w:sz w:val="22"/>
              </w:rPr>
            </w:pPr>
            <w:r w:rsidRPr="003673FA">
              <w:rPr>
                <w:sz w:val="22"/>
              </w:rPr>
              <w:t>FUNDED PROJECTS</w:t>
            </w:r>
          </w:p>
        </w:tc>
      </w:tr>
      <w:tr w:rsidR="00BB6960" w:rsidRPr="003673FA" w14:paraId="79C2FA31" w14:textId="77777777" w:rsidTr="001B15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815" w:type="dxa"/>
          </w:tcPr>
          <w:p w14:paraId="5FE6BB0F" w14:textId="77777777" w:rsidR="00BB6960" w:rsidRPr="003673FA" w:rsidRDefault="00BB6960" w:rsidP="00BC3D32">
            <w:pPr>
              <w:rPr>
                <w:sz w:val="22"/>
              </w:rPr>
            </w:pPr>
          </w:p>
        </w:tc>
        <w:tc>
          <w:tcPr>
            <w:tcW w:w="2126" w:type="dxa"/>
          </w:tcPr>
          <w:p w14:paraId="31A3243D" w14:textId="68DF7112" w:rsidR="00BB6960" w:rsidRPr="003673FA" w:rsidRDefault="00BB6960" w:rsidP="000B0B4F">
            <w:pPr>
              <w:jc w:val="center"/>
              <w:cnfStyle w:val="000000100000" w:firstRow="0" w:lastRow="0" w:firstColumn="0" w:lastColumn="0" w:oddVBand="0" w:evenVBand="0" w:oddHBand="1" w:evenHBand="0" w:firstRowFirstColumn="0" w:firstRowLastColumn="0" w:lastRowFirstColumn="0" w:lastRowLastColumn="0"/>
              <w:rPr>
                <w:b/>
                <w:sz w:val="22"/>
              </w:rPr>
            </w:pPr>
            <w:r w:rsidRPr="003673FA">
              <w:rPr>
                <w:b/>
                <w:sz w:val="22"/>
              </w:rPr>
              <w:t xml:space="preserve">Annual </w:t>
            </w:r>
            <w:r w:rsidR="000B0B4F" w:rsidRPr="003673FA">
              <w:rPr>
                <w:b/>
                <w:sz w:val="22"/>
              </w:rPr>
              <w:t>p</w:t>
            </w:r>
            <w:r w:rsidRPr="003673FA">
              <w:rPr>
                <w:b/>
                <w:sz w:val="22"/>
              </w:rPr>
              <w:t>rocess</w:t>
            </w:r>
            <w:r w:rsidRPr="003673FA">
              <w:rPr>
                <w:b/>
                <w:sz w:val="22"/>
              </w:rPr>
              <w:br/>
              <w:t>(2013 A – 2016 A)</w:t>
            </w:r>
          </w:p>
        </w:tc>
        <w:tc>
          <w:tcPr>
            <w:tcW w:w="2126" w:type="dxa"/>
          </w:tcPr>
          <w:p w14:paraId="5AB20051" w14:textId="71A29837" w:rsidR="00BB6960" w:rsidRPr="003673FA" w:rsidRDefault="00BB6960" w:rsidP="000B0B4F">
            <w:pPr>
              <w:jc w:val="center"/>
              <w:cnfStyle w:val="000000100000" w:firstRow="0" w:lastRow="0" w:firstColumn="0" w:lastColumn="0" w:oddVBand="0" w:evenVBand="0" w:oddHBand="1" w:evenHBand="0" w:firstRowFirstColumn="0" w:firstRowLastColumn="0" w:lastRowFirstColumn="0" w:lastRowLastColumn="0"/>
              <w:rPr>
                <w:b/>
                <w:sz w:val="22"/>
              </w:rPr>
            </w:pPr>
            <w:r w:rsidRPr="003673FA">
              <w:rPr>
                <w:b/>
                <w:sz w:val="22"/>
              </w:rPr>
              <w:t xml:space="preserve">Continuous </w:t>
            </w:r>
            <w:r w:rsidR="000B0B4F" w:rsidRPr="003673FA">
              <w:rPr>
                <w:b/>
                <w:sz w:val="22"/>
              </w:rPr>
              <w:t>p</w:t>
            </w:r>
            <w:r w:rsidRPr="003673FA">
              <w:rPr>
                <w:b/>
                <w:sz w:val="22"/>
              </w:rPr>
              <w:t>rocess</w:t>
            </w:r>
            <w:r w:rsidRPr="003673FA">
              <w:rPr>
                <w:b/>
                <w:sz w:val="22"/>
              </w:rPr>
              <w:br/>
              <w:t>(2016 C – 2017 C)</w:t>
            </w:r>
          </w:p>
        </w:tc>
      </w:tr>
      <w:tr w:rsidR="008B33AB" w:rsidRPr="003673FA" w14:paraId="35C085E9" w14:textId="77777777" w:rsidTr="001B158E">
        <w:tc>
          <w:tcPr>
            <w:cnfStyle w:val="001000000000" w:firstRow="0" w:lastRow="0" w:firstColumn="1" w:lastColumn="0" w:oddVBand="0" w:evenVBand="0" w:oddHBand="0" w:evenHBand="0" w:firstRowFirstColumn="0" w:firstRowLastColumn="0" w:lastRowFirstColumn="0" w:lastRowLastColumn="0"/>
            <w:tcW w:w="4815" w:type="dxa"/>
          </w:tcPr>
          <w:p w14:paraId="5E39127C" w14:textId="5EC3E2B4" w:rsidR="008B33AB" w:rsidRPr="003673FA" w:rsidRDefault="008B33AB" w:rsidP="00BC3D32">
            <w:pPr>
              <w:rPr>
                <w:sz w:val="22"/>
              </w:rPr>
            </w:pPr>
            <w:r w:rsidRPr="003673FA">
              <w:rPr>
                <w:sz w:val="22"/>
              </w:rPr>
              <w:t>Time period</w:t>
            </w:r>
          </w:p>
        </w:tc>
        <w:tc>
          <w:tcPr>
            <w:tcW w:w="2126" w:type="dxa"/>
          </w:tcPr>
          <w:p w14:paraId="4E870819" w14:textId="6576A918" w:rsidR="008B33AB" w:rsidRPr="003673FA" w:rsidRDefault="008B33AB" w:rsidP="00BC3D32">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4 years</w:t>
            </w:r>
          </w:p>
        </w:tc>
        <w:tc>
          <w:tcPr>
            <w:tcW w:w="2126" w:type="dxa"/>
          </w:tcPr>
          <w:p w14:paraId="2D4E73E3" w14:textId="7FE770D1" w:rsidR="008B33AB" w:rsidRPr="003673FA" w:rsidRDefault="008B33AB" w:rsidP="00BC3D32">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1.5 years</w:t>
            </w:r>
          </w:p>
        </w:tc>
      </w:tr>
      <w:tr w:rsidR="00BB6960" w:rsidRPr="003673FA" w14:paraId="056F5AFB" w14:textId="77777777" w:rsidTr="001B1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80510AD" w14:textId="77777777" w:rsidR="00BB6960" w:rsidRPr="003673FA" w:rsidRDefault="00BB6960" w:rsidP="00BC3D32">
            <w:pPr>
              <w:rPr>
                <w:sz w:val="22"/>
              </w:rPr>
            </w:pPr>
            <w:r w:rsidRPr="003673FA">
              <w:rPr>
                <w:sz w:val="22"/>
              </w:rPr>
              <w:t>Partner organisations listed on all funded projects</w:t>
            </w:r>
          </w:p>
        </w:tc>
        <w:tc>
          <w:tcPr>
            <w:tcW w:w="2126" w:type="dxa"/>
          </w:tcPr>
          <w:p w14:paraId="055DA5D3" w14:textId="77777777" w:rsidR="00BB6960" w:rsidRPr="003673FA" w:rsidRDefault="00BB6960" w:rsidP="00BC3D32">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2335</w:t>
            </w:r>
          </w:p>
        </w:tc>
        <w:tc>
          <w:tcPr>
            <w:tcW w:w="2126" w:type="dxa"/>
          </w:tcPr>
          <w:p w14:paraId="74AF557C" w14:textId="77777777" w:rsidR="00BB6960" w:rsidRPr="003673FA" w:rsidRDefault="00BB6960" w:rsidP="00BC3D32">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547</w:t>
            </w:r>
          </w:p>
        </w:tc>
      </w:tr>
      <w:tr w:rsidR="00BB6960" w:rsidRPr="003673FA" w14:paraId="6781AED6" w14:textId="77777777" w:rsidTr="001B158E">
        <w:tc>
          <w:tcPr>
            <w:cnfStyle w:val="001000000000" w:firstRow="0" w:lastRow="0" w:firstColumn="1" w:lastColumn="0" w:oddVBand="0" w:evenVBand="0" w:oddHBand="0" w:evenHBand="0" w:firstRowFirstColumn="0" w:firstRowLastColumn="0" w:lastRowFirstColumn="0" w:lastRowLastColumn="0"/>
            <w:tcW w:w="4815" w:type="dxa"/>
          </w:tcPr>
          <w:p w14:paraId="1C01F613" w14:textId="77777777" w:rsidR="00BB6960" w:rsidRPr="003673FA" w:rsidRDefault="00BB6960" w:rsidP="00BC3D32">
            <w:pPr>
              <w:rPr>
                <w:sz w:val="22"/>
              </w:rPr>
            </w:pPr>
            <w:r w:rsidRPr="003673FA">
              <w:rPr>
                <w:sz w:val="22"/>
              </w:rPr>
              <w:t>Unique partner organisations</w:t>
            </w:r>
          </w:p>
        </w:tc>
        <w:tc>
          <w:tcPr>
            <w:tcW w:w="2126" w:type="dxa"/>
          </w:tcPr>
          <w:p w14:paraId="1249F4CC" w14:textId="77777777" w:rsidR="00BB6960" w:rsidRPr="003673FA" w:rsidRDefault="00BB6960" w:rsidP="00BC3D32">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1740</w:t>
            </w:r>
          </w:p>
        </w:tc>
        <w:tc>
          <w:tcPr>
            <w:tcW w:w="2126" w:type="dxa"/>
          </w:tcPr>
          <w:p w14:paraId="3A40EAEF" w14:textId="77777777" w:rsidR="00BB6960" w:rsidRPr="003673FA" w:rsidRDefault="00BB6960" w:rsidP="00BC3D32">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469</w:t>
            </w:r>
          </w:p>
        </w:tc>
      </w:tr>
      <w:tr w:rsidR="00BB6960" w:rsidRPr="003673FA" w14:paraId="6828D100" w14:textId="77777777" w:rsidTr="001B1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751D23AD" w14:textId="507A99F5" w:rsidR="00BB6960" w:rsidRPr="003673FA" w:rsidRDefault="003E4F24" w:rsidP="00BC3D32">
            <w:pPr>
              <w:rPr>
                <w:sz w:val="22"/>
              </w:rPr>
            </w:pPr>
            <w:r w:rsidRPr="003673FA">
              <w:rPr>
                <w:sz w:val="22"/>
              </w:rPr>
              <w:t>Partner organisations i</w:t>
            </w:r>
            <w:r w:rsidR="00BB6960" w:rsidRPr="003673FA">
              <w:rPr>
                <w:sz w:val="22"/>
              </w:rPr>
              <w:t>nvolved in more than one funded project</w:t>
            </w:r>
          </w:p>
        </w:tc>
        <w:tc>
          <w:tcPr>
            <w:tcW w:w="2126" w:type="dxa"/>
          </w:tcPr>
          <w:p w14:paraId="79EE9F2D" w14:textId="77777777" w:rsidR="00BB6960" w:rsidRPr="003673FA" w:rsidRDefault="00BB6960" w:rsidP="00BC3D32">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304 (17%)</w:t>
            </w:r>
          </w:p>
        </w:tc>
        <w:tc>
          <w:tcPr>
            <w:tcW w:w="2126" w:type="dxa"/>
          </w:tcPr>
          <w:p w14:paraId="525D80F3" w14:textId="77777777" w:rsidR="00BB6960" w:rsidRPr="003673FA" w:rsidRDefault="00BB6960" w:rsidP="00BC3D32">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50 (11%)</w:t>
            </w:r>
          </w:p>
        </w:tc>
      </w:tr>
      <w:tr w:rsidR="00BB6960" w:rsidRPr="003673FA" w14:paraId="67553C1F" w14:textId="77777777" w:rsidTr="001B158E">
        <w:tc>
          <w:tcPr>
            <w:cnfStyle w:val="001000000000" w:firstRow="0" w:lastRow="0" w:firstColumn="1" w:lastColumn="0" w:oddVBand="0" w:evenVBand="0" w:oddHBand="0" w:evenHBand="0" w:firstRowFirstColumn="0" w:firstRowLastColumn="0" w:lastRowFirstColumn="0" w:lastRowLastColumn="0"/>
            <w:tcW w:w="4815" w:type="dxa"/>
          </w:tcPr>
          <w:p w14:paraId="00E6EE55" w14:textId="1BC2000F" w:rsidR="00BB6960" w:rsidRPr="003673FA" w:rsidRDefault="00BB6960" w:rsidP="00BC3D32">
            <w:pPr>
              <w:rPr>
                <w:sz w:val="22"/>
              </w:rPr>
            </w:pPr>
            <w:r w:rsidRPr="003673FA">
              <w:rPr>
                <w:sz w:val="22"/>
              </w:rPr>
              <w:t xml:space="preserve">Average number of funded projects </w:t>
            </w:r>
            <w:r w:rsidR="008304A7" w:rsidRPr="003673FA">
              <w:rPr>
                <w:sz w:val="22"/>
              </w:rPr>
              <w:t xml:space="preserve">partner organisations were involved in </w:t>
            </w:r>
            <w:r w:rsidR="003E4F24" w:rsidRPr="003673FA">
              <w:rPr>
                <w:sz w:val="22"/>
              </w:rPr>
              <w:t xml:space="preserve">over the period </w:t>
            </w:r>
            <w:r w:rsidRPr="003673FA">
              <w:rPr>
                <w:sz w:val="22"/>
              </w:rPr>
              <w:t>(if involved in more than one)</w:t>
            </w:r>
          </w:p>
        </w:tc>
        <w:tc>
          <w:tcPr>
            <w:tcW w:w="2126" w:type="dxa"/>
          </w:tcPr>
          <w:p w14:paraId="3651D3A0" w14:textId="77777777" w:rsidR="00BB6960" w:rsidRPr="003673FA" w:rsidRDefault="00BB6960" w:rsidP="00BC3D32">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2.96</w:t>
            </w:r>
          </w:p>
        </w:tc>
        <w:tc>
          <w:tcPr>
            <w:tcW w:w="2126" w:type="dxa"/>
          </w:tcPr>
          <w:p w14:paraId="7C30630F" w14:textId="77777777" w:rsidR="00BB6960" w:rsidRPr="003673FA" w:rsidRDefault="00BB6960" w:rsidP="00BC3D32">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2.56</w:t>
            </w:r>
          </w:p>
        </w:tc>
      </w:tr>
      <w:tr w:rsidR="00BB6960" w:rsidRPr="003673FA" w14:paraId="7A2087F9" w14:textId="77777777" w:rsidTr="001B15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4BF04CE6" w14:textId="301F1931" w:rsidR="00BB6960" w:rsidRPr="003673FA" w:rsidRDefault="00BB6960" w:rsidP="00BC3D32">
            <w:pPr>
              <w:rPr>
                <w:sz w:val="22"/>
              </w:rPr>
            </w:pPr>
            <w:r w:rsidRPr="003673FA">
              <w:rPr>
                <w:sz w:val="22"/>
              </w:rPr>
              <w:t>Average number of funded projects</w:t>
            </w:r>
            <w:r w:rsidR="00265DBF" w:rsidRPr="003673FA">
              <w:rPr>
                <w:sz w:val="22"/>
              </w:rPr>
              <w:t xml:space="preserve"> </w:t>
            </w:r>
            <w:r w:rsidR="008304A7" w:rsidRPr="003673FA">
              <w:rPr>
                <w:sz w:val="22"/>
              </w:rPr>
              <w:t xml:space="preserve">partner organisations were involved in </w:t>
            </w:r>
            <w:r w:rsidR="00265DBF" w:rsidRPr="003673FA">
              <w:rPr>
                <w:sz w:val="22"/>
              </w:rPr>
              <w:t xml:space="preserve">per year (if involved in </w:t>
            </w:r>
            <w:r w:rsidRPr="003673FA">
              <w:rPr>
                <w:sz w:val="22"/>
              </w:rPr>
              <w:t>more than one)</w:t>
            </w:r>
          </w:p>
        </w:tc>
        <w:tc>
          <w:tcPr>
            <w:tcW w:w="2126" w:type="dxa"/>
          </w:tcPr>
          <w:p w14:paraId="5CC2F303" w14:textId="63C1103C" w:rsidR="00BB6960" w:rsidRPr="003673FA" w:rsidRDefault="00BB6960" w:rsidP="008B33AB">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0.74</w:t>
            </w:r>
          </w:p>
        </w:tc>
        <w:tc>
          <w:tcPr>
            <w:tcW w:w="2126" w:type="dxa"/>
          </w:tcPr>
          <w:p w14:paraId="3DF1A3AA" w14:textId="4DA616C6" w:rsidR="00BB6960" w:rsidRPr="003673FA" w:rsidRDefault="00BB6960" w:rsidP="008B33AB">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1.71</w:t>
            </w:r>
          </w:p>
        </w:tc>
      </w:tr>
    </w:tbl>
    <w:p w14:paraId="338FCF2A" w14:textId="4C3F16AE" w:rsidR="00BB6960" w:rsidRPr="003673FA" w:rsidRDefault="00265DBF" w:rsidP="00CD3EC2">
      <w:pPr>
        <w:rPr>
          <w:szCs w:val="24"/>
        </w:rPr>
      </w:pPr>
      <w:r w:rsidRPr="003673FA">
        <w:rPr>
          <w:sz w:val="20"/>
          <w:szCs w:val="20"/>
        </w:rPr>
        <w:t>Source: ARC</w:t>
      </w:r>
      <w:r w:rsidR="00A05C69" w:rsidRPr="003673FA">
        <w:rPr>
          <w:sz w:val="20"/>
          <w:szCs w:val="20"/>
        </w:rPr>
        <w:t xml:space="preserve">. </w:t>
      </w:r>
      <w:r w:rsidR="00A05C69" w:rsidRPr="003673FA">
        <w:rPr>
          <w:i/>
          <w:sz w:val="20"/>
          <w:szCs w:val="20"/>
        </w:rPr>
        <w:t xml:space="preserve">Note: </w:t>
      </w:r>
      <w:r w:rsidR="00C52E62" w:rsidRPr="003673FA">
        <w:rPr>
          <w:i/>
          <w:sz w:val="20"/>
          <w:szCs w:val="20"/>
        </w:rPr>
        <w:t xml:space="preserve">the </w:t>
      </w:r>
      <w:r w:rsidR="00A05C69" w:rsidRPr="003673FA">
        <w:rPr>
          <w:i/>
          <w:sz w:val="20"/>
          <w:szCs w:val="20"/>
        </w:rPr>
        <w:t xml:space="preserve">data </w:t>
      </w:r>
      <w:r w:rsidR="00B30656" w:rsidRPr="003673FA">
        <w:rPr>
          <w:i/>
          <w:sz w:val="20"/>
          <w:szCs w:val="20"/>
        </w:rPr>
        <w:t xml:space="preserve">presented </w:t>
      </w:r>
      <w:r w:rsidR="00A05C69" w:rsidRPr="003673FA">
        <w:rPr>
          <w:i/>
          <w:sz w:val="20"/>
          <w:szCs w:val="20"/>
        </w:rPr>
        <w:t>in this table are</w:t>
      </w:r>
      <w:r w:rsidR="00C52E62" w:rsidRPr="003673FA">
        <w:rPr>
          <w:i/>
          <w:sz w:val="20"/>
          <w:szCs w:val="20"/>
        </w:rPr>
        <w:t xml:space="preserve"> </w:t>
      </w:r>
      <w:r w:rsidR="00B55366" w:rsidRPr="003673FA">
        <w:rPr>
          <w:i/>
          <w:sz w:val="20"/>
          <w:szCs w:val="20"/>
        </w:rPr>
        <w:t>approximate</w:t>
      </w:r>
      <w:r w:rsidR="00C52E62" w:rsidRPr="003673FA">
        <w:rPr>
          <w:i/>
          <w:sz w:val="20"/>
          <w:szCs w:val="20"/>
        </w:rPr>
        <w:t xml:space="preserve"> only. They </w:t>
      </w:r>
      <w:r w:rsidR="00A95DFB" w:rsidRPr="003673FA">
        <w:rPr>
          <w:i/>
          <w:sz w:val="20"/>
          <w:szCs w:val="20"/>
        </w:rPr>
        <w:t xml:space="preserve">have been calculated on the basis of </w:t>
      </w:r>
      <w:r w:rsidR="00C52E62" w:rsidRPr="003673FA">
        <w:rPr>
          <w:i/>
          <w:sz w:val="20"/>
          <w:szCs w:val="20"/>
        </w:rPr>
        <w:t>partner</w:t>
      </w:r>
      <w:r w:rsidR="00D83670" w:rsidRPr="003673FA">
        <w:rPr>
          <w:i/>
          <w:sz w:val="20"/>
          <w:szCs w:val="20"/>
        </w:rPr>
        <w:t xml:space="preserve"> organisation names recorded</w:t>
      </w:r>
      <w:r w:rsidR="00C52E62" w:rsidRPr="003673FA">
        <w:rPr>
          <w:i/>
          <w:sz w:val="20"/>
          <w:szCs w:val="20"/>
        </w:rPr>
        <w:t xml:space="preserve"> in RMS, which may have </w:t>
      </w:r>
      <w:r w:rsidR="00D83670" w:rsidRPr="003673FA">
        <w:rPr>
          <w:i/>
          <w:sz w:val="20"/>
          <w:szCs w:val="20"/>
        </w:rPr>
        <w:t xml:space="preserve">changed between rounds or </w:t>
      </w:r>
      <w:r w:rsidR="00C52E62" w:rsidRPr="003673FA">
        <w:rPr>
          <w:i/>
          <w:sz w:val="20"/>
          <w:szCs w:val="20"/>
        </w:rPr>
        <w:t xml:space="preserve">entered inconsistently </w:t>
      </w:r>
      <w:r w:rsidR="00D83670" w:rsidRPr="003673FA">
        <w:rPr>
          <w:i/>
          <w:sz w:val="20"/>
          <w:szCs w:val="20"/>
        </w:rPr>
        <w:t>in different applications</w:t>
      </w:r>
      <w:r w:rsidR="00C52E62" w:rsidRPr="003673FA">
        <w:rPr>
          <w:i/>
          <w:sz w:val="20"/>
          <w:szCs w:val="20"/>
        </w:rPr>
        <w:t>.</w:t>
      </w:r>
    </w:p>
    <w:p w14:paraId="38D7E39C" w14:textId="75D278F3" w:rsidR="00AD0CFF" w:rsidRPr="003673FA" w:rsidRDefault="00AD0CFF" w:rsidP="005D392C">
      <w:pPr>
        <w:spacing w:line="259" w:lineRule="auto"/>
        <w:rPr>
          <w:szCs w:val="24"/>
        </w:rPr>
      </w:pPr>
    </w:p>
    <w:p w14:paraId="3D4D5132" w14:textId="76B46F50" w:rsidR="005D392C" w:rsidRPr="003673FA" w:rsidRDefault="005D392C" w:rsidP="00595B9A">
      <w:pPr>
        <w:pStyle w:val="Heading3"/>
      </w:pPr>
      <w:r w:rsidRPr="003673FA">
        <w:t xml:space="preserve">How much and what kind of contributions have </w:t>
      </w:r>
      <w:r w:rsidR="00EE0C2D" w:rsidRPr="003673FA">
        <w:t>partner organisations</w:t>
      </w:r>
      <w:r w:rsidRPr="003673FA">
        <w:t xml:space="preserve"> provided?</w:t>
      </w:r>
    </w:p>
    <w:p w14:paraId="0D91D471" w14:textId="4F7E3805" w:rsidR="005D392C" w:rsidRPr="003673FA" w:rsidRDefault="005D392C" w:rsidP="005D392C"/>
    <w:p w14:paraId="30CCEACF" w14:textId="2A41F0FD" w:rsidR="00A27B35" w:rsidRPr="003673FA" w:rsidRDefault="00BD6623" w:rsidP="005D392C">
      <w:r w:rsidRPr="003673FA">
        <w:t xml:space="preserve">The continuous process has coincided with a lower value of total partner organisation contributions on funded projects, as shown in </w:t>
      </w:r>
      <w:hyperlink w:anchor="Figure4" w:history="1">
        <w:r w:rsidRPr="00FC696C">
          <w:rPr>
            <w:rStyle w:val="Hyperlink"/>
          </w:rPr>
          <w:t xml:space="preserve">Figure </w:t>
        </w:r>
        <w:r w:rsidR="00EB37C2" w:rsidRPr="00FC696C">
          <w:rPr>
            <w:rStyle w:val="Hyperlink"/>
          </w:rPr>
          <w:t>4</w:t>
        </w:r>
      </w:hyperlink>
      <w:r w:rsidRPr="003673FA">
        <w:t>. This is i</w:t>
      </w:r>
      <w:r w:rsidR="004B148C" w:rsidRPr="003673FA">
        <w:t>n line with the</w:t>
      </w:r>
      <w:r w:rsidR="00DD50F6" w:rsidRPr="003673FA">
        <w:t xml:space="preserve"> </w:t>
      </w:r>
      <w:r w:rsidR="007116A2" w:rsidRPr="003673FA">
        <w:t xml:space="preserve">lower </w:t>
      </w:r>
      <w:r w:rsidR="00722F25" w:rsidRPr="003673FA">
        <w:t xml:space="preserve">numbers of applications, funded projects and </w:t>
      </w:r>
      <w:r w:rsidR="00DD50F6" w:rsidRPr="003673FA">
        <w:t>partner organisation</w:t>
      </w:r>
      <w:r w:rsidR="00722F25" w:rsidRPr="003673FA">
        <w:t>s</w:t>
      </w:r>
      <w:r w:rsidR="00DD50F6" w:rsidRPr="003673FA">
        <w:t xml:space="preserve"> </w:t>
      </w:r>
      <w:r w:rsidRPr="003673FA">
        <w:t>noted previously</w:t>
      </w:r>
      <w:r w:rsidR="00DD50F6" w:rsidRPr="003673FA">
        <w:t xml:space="preserve">. </w:t>
      </w:r>
    </w:p>
    <w:p w14:paraId="297C5D3D" w14:textId="34C40714" w:rsidR="00ED5EC2" w:rsidRPr="003673FA" w:rsidRDefault="00ED5EC2" w:rsidP="005D392C"/>
    <w:p w14:paraId="38170CA0" w14:textId="0F718DFE" w:rsidR="0075422A" w:rsidRPr="003673FA" w:rsidRDefault="0075422A" w:rsidP="0075422A">
      <w:r w:rsidRPr="003673FA">
        <w:t xml:space="preserve">However, over the period since 2013, there has been an overall upward trend in the average value of cash and in kind contributions each application and funded project has attracted, as </w:t>
      </w:r>
      <w:hyperlink w:anchor="Figure5" w:history="1">
        <w:r w:rsidRPr="00FC696C">
          <w:rPr>
            <w:rStyle w:val="Hyperlink"/>
          </w:rPr>
          <w:t>Figure 5</w:t>
        </w:r>
      </w:hyperlink>
      <w:r w:rsidRPr="003673FA">
        <w:t xml:space="preserve"> shows. This has included some fluctuations, with in kind contributions jumping quite sharply in the 2017 round (due in part to two projects that attracted particularly large</w:t>
      </w:r>
      <w:r w:rsidR="00A03353" w:rsidRPr="003673FA">
        <w:t xml:space="preserve"> in kind contributions</w:t>
      </w:r>
      <w:r w:rsidRPr="003673FA">
        <w:t xml:space="preserve"> </w:t>
      </w:r>
      <w:r w:rsidR="00A03353" w:rsidRPr="003673FA">
        <w:t>and</w:t>
      </w:r>
      <w:r w:rsidRPr="003673FA">
        <w:t xml:space="preserve"> together accounted for 15 per cent of the round’s total).</w:t>
      </w:r>
      <w:r w:rsidRPr="003673FA">
        <w:rPr>
          <w:rStyle w:val="FootnoteReference"/>
        </w:rPr>
        <w:footnoteReference w:id="9"/>
      </w:r>
      <w:r w:rsidRPr="003673FA">
        <w:t xml:space="preserve"> As the overall upward trend has continued through both the annual and continuous processes to date, it is difficult to draw conclusions on the role (if any) played by the continuous process. It may be possible to gain further insights after the 2018 round is complete and the data from another full year of the continuous process can be added to the analysis of partner </w:t>
      </w:r>
      <w:r w:rsidR="00DA2BED" w:rsidRPr="003673FA">
        <w:t xml:space="preserve">organisation </w:t>
      </w:r>
      <w:r w:rsidRPr="003673FA">
        <w:t>contributions.</w:t>
      </w:r>
    </w:p>
    <w:p w14:paraId="5F50496E" w14:textId="77777777" w:rsidR="0075422A" w:rsidRPr="003673FA" w:rsidRDefault="0075422A" w:rsidP="005D392C"/>
    <w:p w14:paraId="48EA9281" w14:textId="2F9BCF89" w:rsidR="002C7052" w:rsidRPr="003673FA" w:rsidRDefault="002C7052" w:rsidP="002C7052">
      <w:pPr>
        <w:pStyle w:val="Heading4"/>
      </w:pPr>
      <w:bookmarkStart w:id="34" w:name="Figure4"/>
      <w:bookmarkEnd w:id="34"/>
      <w:r w:rsidRPr="003673FA">
        <w:lastRenderedPageBreak/>
        <w:t xml:space="preserve">Figure </w:t>
      </w:r>
      <w:r w:rsidR="00EB37C2" w:rsidRPr="003673FA">
        <w:t>4</w:t>
      </w:r>
      <w:r w:rsidRPr="003673FA">
        <w:t>: Total partner organisation contributions</w:t>
      </w:r>
      <w:r w:rsidR="00DD50F6" w:rsidRPr="003673FA">
        <w:t xml:space="preserve"> (cash and in kind)</w:t>
      </w:r>
      <w:r w:rsidRPr="003673FA">
        <w:t xml:space="preserve"> </w:t>
      </w:r>
      <w:r w:rsidR="0068574E" w:rsidRPr="003673FA">
        <w:t>on</w:t>
      </w:r>
      <w:r w:rsidRPr="003673FA">
        <w:t xml:space="preserve"> funded projects</w:t>
      </w:r>
    </w:p>
    <w:p w14:paraId="3878F9B3" w14:textId="12C3D130" w:rsidR="005D392C" w:rsidRPr="003673FA" w:rsidRDefault="005037A2" w:rsidP="005D392C">
      <w:r w:rsidRPr="003673FA">
        <w:rPr>
          <w:noProof/>
          <w:lang w:eastAsia="en-AU"/>
        </w:rPr>
        <w:drawing>
          <wp:inline distT="0" distB="0" distL="0" distR="0" wp14:anchorId="2A8017BC" wp14:editId="0BF66D65">
            <wp:extent cx="5755005" cy="2859405"/>
            <wp:effectExtent l="0" t="0" r="0" b="0"/>
            <wp:docPr id="48" name="Picture 48" descr="Figure 4 depicts total partner organisation contributions on funded projects for each Linkage Projects round from 2013 to 2017, broken down by partner organisation type." title="Figure 4: Total partner organisation contributions (cash and in kind) on funded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5005" cy="2859405"/>
                    </a:xfrm>
                    <a:prstGeom prst="rect">
                      <a:avLst/>
                    </a:prstGeom>
                    <a:noFill/>
                  </pic:spPr>
                </pic:pic>
              </a:graphicData>
            </a:graphic>
          </wp:inline>
        </w:drawing>
      </w:r>
    </w:p>
    <w:p w14:paraId="6E39146D" w14:textId="1ABBDCB7" w:rsidR="00666E31" w:rsidRPr="003673FA" w:rsidRDefault="0079103A" w:rsidP="005D392C">
      <w:pPr>
        <w:rPr>
          <w:sz w:val="20"/>
          <w:szCs w:val="20"/>
        </w:rPr>
      </w:pPr>
      <w:r w:rsidRPr="003673FA">
        <w:rPr>
          <w:sz w:val="20"/>
          <w:szCs w:val="20"/>
        </w:rPr>
        <w:t>Source: ARC</w:t>
      </w:r>
      <w:r w:rsidR="006557F6" w:rsidRPr="003673FA">
        <w:rPr>
          <w:sz w:val="20"/>
          <w:szCs w:val="20"/>
        </w:rPr>
        <w:t xml:space="preserve">. </w:t>
      </w:r>
      <w:r w:rsidR="006557F6" w:rsidRPr="003673FA">
        <w:rPr>
          <w:i/>
          <w:sz w:val="20"/>
          <w:szCs w:val="20"/>
        </w:rPr>
        <w:t>Note: data for 2018 C were not available at the time of this report’s preparation.</w:t>
      </w:r>
    </w:p>
    <w:p w14:paraId="181C305C" w14:textId="10B7C40C" w:rsidR="00EE0C2D" w:rsidRPr="003673FA" w:rsidRDefault="00EE0C2D" w:rsidP="005D392C"/>
    <w:p w14:paraId="7BACD412" w14:textId="00D56E01" w:rsidR="0005353D" w:rsidRPr="003673FA" w:rsidRDefault="0005353D" w:rsidP="0005353D">
      <w:pPr>
        <w:pStyle w:val="Heading4"/>
      </w:pPr>
      <w:bookmarkStart w:id="35" w:name="Figure5"/>
      <w:bookmarkEnd w:id="35"/>
      <w:r w:rsidRPr="003673FA">
        <w:t xml:space="preserve">Figure </w:t>
      </w:r>
      <w:r w:rsidR="00EB37C2" w:rsidRPr="003673FA">
        <w:t>5</w:t>
      </w:r>
      <w:r w:rsidR="0068574E" w:rsidRPr="003673FA">
        <w:t xml:space="preserve">: </w:t>
      </w:r>
      <w:r w:rsidR="00A02678" w:rsidRPr="003673FA">
        <w:t>Average p</w:t>
      </w:r>
      <w:r w:rsidR="00FA099D" w:rsidRPr="003673FA">
        <w:t>artner organisation c</w:t>
      </w:r>
      <w:r w:rsidR="0068574E" w:rsidRPr="003673FA">
        <w:t>ash and in kind contributions per application and funded project</w:t>
      </w:r>
    </w:p>
    <w:p w14:paraId="492C2827" w14:textId="5B2F597F" w:rsidR="0005353D" w:rsidRPr="003673FA" w:rsidRDefault="005037A2" w:rsidP="005D392C">
      <w:r w:rsidRPr="003673FA">
        <w:rPr>
          <w:noProof/>
          <w:lang w:eastAsia="en-AU"/>
        </w:rPr>
        <w:drawing>
          <wp:inline distT="0" distB="0" distL="0" distR="0" wp14:anchorId="538FEF33" wp14:editId="0FB0668C">
            <wp:extent cx="4584700" cy="2755900"/>
            <wp:effectExtent l="0" t="0" r="6350" b="6350"/>
            <wp:docPr id="49" name="Picture 49" descr="Figure 5 shows the average total partner organisation cash and in kind contributions per application for each Linkage Projects round from 2013 to 2018. and per funded project for each round from 2013 to 2017." title="Figure 5: Average partner organisation cash and in kind contributions per application and funded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44CB732" w14:textId="58EB52F0" w:rsidR="0005353D" w:rsidRPr="003673FA" w:rsidRDefault="0005353D" w:rsidP="005D392C">
      <w:r w:rsidRPr="003673FA">
        <w:rPr>
          <w:sz w:val="20"/>
          <w:szCs w:val="20"/>
        </w:rPr>
        <w:t xml:space="preserve">Source: ARC. </w:t>
      </w:r>
      <w:r w:rsidRPr="003673FA">
        <w:rPr>
          <w:i/>
          <w:sz w:val="20"/>
          <w:szCs w:val="20"/>
        </w:rPr>
        <w:t>Note: complete data for 2018 C were not available at the time of this report’s preparation.</w:t>
      </w:r>
    </w:p>
    <w:p w14:paraId="32B4534B" w14:textId="407CE26B" w:rsidR="0005353D" w:rsidRPr="003673FA" w:rsidRDefault="0005353D" w:rsidP="005D392C"/>
    <w:p w14:paraId="79986B12" w14:textId="6AC9AF6D" w:rsidR="00412DEE" w:rsidRPr="003673FA" w:rsidRDefault="00883017" w:rsidP="005D392C">
      <w:hyperlink w:anchor="Figure4" w:history="1">
        <w:r w:rsidR="00B05294" w:rsidRPr="00FC696C">
          <w:rPr>
            <w:rStyle w:val="Hyperlink"/>
          </w:rPr>
          <w:t xml:space="preserve">Figure </w:t>
        </w:r>
        <w:r w:rsidR="00EB37C2" w:rsidRPr="00FC696C">
          <w:rPr>
            <w:rStyle w:val="Hyperlink"/>
          </w:rPr>
          <w:t>4</w:t>
        </w:r>
      </w:hyperlink>
      <w:r w:rsidR="00B05294" w:rsidRPr="003673FA">
        <w:t xml:space="preserve"> </w:t>
      </w:r>
      <w:r w:rsidR="008464C2" w:rsidRPr="003673FA">
        <w:t xml:space="preserve">also depicts the breakdown of total partner organisation contributions </w:t>
      </w:r>
      <w:r w:rsidR="003D136C" w:rsidRPr="003673FA">
        <w:t>on</w:t>
      </w:r>
      <w:r w:rsidR="008464C2" w:rsidRPr="003673FA">
        <w:t xml:space="preserve"> funded projects by organisation type. B</w:t>
      </w:r>
      <w:r w:rsidR="00156767" w:rsidRPr="003673FA">
        <w:t xml:space="preserve">usiness and industry </w:t>
      </w:r>
      <w:r w:rsidR="008464C2" w:rsidRPr="003673FA">
        <w:t xml:space="preserve">organisations </w:t>
      </w:r>
      <w:r w:rsidR="00156767" w:rsidRPr="003673FA">
        <w:t>have consistently accounted for largest proportion</w:t>
      </w:r>
      <w:r w:rsidR="00BD6623" w:rsidRPr="003673FA">
        <w:t xml:space="preserve"> of partner contributions</w:t>
      </w:r>
      <w:r w:rsidR="00156767" w:rsidRPr="003673FA">
        <w:t xml:space="preserve">, even when outnumbered by government </w:t>
      </w:r>
      <w:r w:rsidR="008464C2" w:rsidRPr="003673FA">
        <w:t xml:space="preserve">partner </w:t>
      </w:r>
      <w:r w:rsidR="00156767" w:rsidRPr="003673FA">
        <w:t>organisations (</w:t>
      </w:r>
      <w:r w:rsidR="008464C2" w:rsidRPr="003673FA">
        <w:t xml:space="preserve">in </w:t>
      </w:r>
      <w:r w:rsidR="00156767" w:rsidRPr="003673FA">
        <w:t>2015 A, 2016 A and 2017 C).</w:t>
      </w:r>
      <w:r w:rsidR="008464C2" w:rsidRPr="003673FA">
        <w:t xml:space="preserve"> </w:t>
      </w:r>
      <w:r w:rsidR="00A34BC8" w:rsidRPr="003673FA">
        <w:t>Over the period from</w:t>
      </w:r>
      <w:r w:rsidR="008464C2" w:rsidRPr="003673FA">
        <w:t xml:space="preserve"> 2013 to 2017, they accounted for </w:t>
      </w:r>
      <w:r w:rsidR="00A34BC8" w:rsidRPr="003673FA">
        <w:t xml:space="preserve">just under </w:t>
      </w:r>
      <w:r w:rsidR="008464C2" w:rsidRPr="003673FA">
        <w:t>54 per cent of all partner organisation contributions</w:t>
      </w:r>
      <w:r w:rsidR="00A34BC8" w:rsidRPr="003673FA">
        <w:t xml:space="preserve"> (54 </w:t>
      </w:r>
      <w:r w:rsidR="00981F02" w:rsidRPr="003673FA">
        <w:t xml:space="preserve">per cent </w:t>
      </w:r>
      <w:r w:rsidR="00A34BC8" w:rsidRPr="003673FA">
        <w:t xml:space="preserve">under the annual process and 53 per cent under the continuous process). </w:t>
      </w:r>
      <w:r w:rsidR="00412DEE" w:rsidRPr="003673FA">
        <w:t>Notably</w:t>
      </w:r>
      <w:r w:rsidR="00A34BC8" w:rsidRPr="003673FA">
        <w:t>,</w:t>
      </w:r>
      <w:r w:rsidR="00412DEE" w:rsidRPr="003673FA">
        <w:t xml:space="preserve"> </w:t>
      </w:r>
      <w:r w:rsidR="00006014" w:rsidRPr="003673FA">
        <w:t xml:space="preserve">both </w:t>
      </w:r>
      <w:r w:rsidR="00412DEE" w:rsidRPr="003673FA">
        <w:t>their highest</w:t>
      </w:r>
      <w:r w:rsidR="00A34BC8" w:rsidRPr="003673FA">
        <w:t xml:space="preserve"> (66 per cent in 2016 C) and lowest (47 per cent in 2017 C)</w:t>
      </w:r>
      <w:r w:rsidR="00412DEE" w:rsidRPr="003673FA">
        <w:t xml:space="preserve"> </w:t>
      </w:r>
      <w:r w:rsidR="0032513B" w:rsidRPr="003673FA">
        <w:t>shares of total contributions</w:t>
      </w:r>
      <w:r w:rsidR="00412DEE" w:rsidRPr="003673FA">
        <w:t xml:space="preserve"> have </w:t>
      </w:r>
      <w:r w:rsidR="00006014" w:rsidRPr="003673FA">
        <w:t>occurred</w:t>
      </w:r>
      <w:r w:rsidR="00412DEE" w:rsidRPr="003673FA">
        <w:t xml:space="preserve"> under the continuous process. Given these varied results</w:t>
      </w:r>
      <w:r w:rsidR="0032513B" w:rsidRPr="003673FA">
        <w:t xml:space="preserve"> in relation to the continuous process</w:t>
      </w:r>
      <w:r w:rsidR="00412DEE" w:rsidRPr="003673FA">
        <w:t xml:space="preserve">, further analysis following the completion of the 2018 round may help to </w:t>
      </w:r>
      <w:r w:rsidR="001759D8" w:rsidRPr="003673FA">
        <w:t xml:space="preserve">provide a clearer picture of </w:t>
      </w:r>
      <w:r w:rsidR="00412DEE" w:rsidRPr="003673FA">
        <w:t>trends.</w:t>
      </w:r>
    </w:p>
    <w:p w14:paraId="1EEC0060" w14:textId="43F54A91" w:rsidR="00096FE2" w:rsidRPr="003673FA" w:rsidRDefault="00096FE2" w:rsidP="005D392C"/>
    <w:p w14:paraId="4141FBFE" w14:textId="28EA22B1" w:rsidR="00EE0C2D" w:rsidRPr="003673FA" w:rsidRDefault="00EE0C2D" w:rsidP="00EE0C2D">
      <w:pPr>
        <w:pStyle w:val="Heading3"/>
      </w:pPr>
      <w:r w:rsidRPr="003673FA">
        <w:t xml:space="preserve">In </w:t>
      </w:r>
      <w:r w:rsidR="00B36C73" w:rsidRPr="003673FA">
        <w:t>which</w:t>
      </w:r>
      <w:r w:rsidRPr="003673FA">
        <w:t xml:space="preserve"> disciplines have partner organisations been involved?</w:t>
      </w:r>
    </w:p>
    <w:p w14:paraId="4318542D" w14:textId="29F26B98" w:rsidR="00EE0C2D" w:rsidRPr="003673FA" w:rsidRDefault="00EE0C2D" w:rsidP="005D392C"/>
    <w:p w14:paraId="721A79B1" w14:textId="6A303154" w:rsidR="005D303B" w:rsidRPr="003673FA" w:rsidRDefault="00883017" w:rsidP="005D303B">
      <w:hyperlink w:anchor="Table3" w:history="1">
        <w:r w:rsidR="00636621" w:rsidRPr="00FC696C">
          <w:rPr>
            <w:rStyle w:val="Hyperlink"/>
          </w:rPr>
          <w:t>Table 3</w:t>
        </w:r>
      </w:hyperlink>
      <w:r w:rsidR="005D303B" w:rsidRPr="003673FA">
        <w:t xml:space="preserve"> provides an overview of the</w:t>
      </w:r>
      <w:r w:rsidR="004722F4" w:rsidRPr="003673FA">
        <w:t xml:space="preserve"> f</w:t>
      </w:r>
      <w:r w:rsidR="00FA099D" w:rsidRPr="003673FA">
        <w:t>ields of research (</w:t>
      </w:r>
      <w:proofErr w:type="spellStart"/>
      <w:r w:rsidR="00FA099D" w:rsidRPr="003673FA">
        <w:t>FoR</w:t>
      </w:r>
      <w:proofErr w:type="spellEnd"/>
      <w:r w:rsidR="001045BD" w:rsidRPr="003673FA">
        <w:t>)—</w:t>
      </w:r>
      <w:r w:rsidR="008953A5" w:rsidRPr="003673FA">
        <w:t>for</w:t>
      </w:r>
      <w:r w:rsidR="001045BD" w:rsidRPr="003673FA">
        <w:t xml:space="preserve"> applications and funded projects—</w:t>
      </w:r>
      <w:r w:rsidR="00F3436B" w:rsidRPr="003673FA">
        <w:t xml:space="preserve">in which </w:t>
      </w:r>
      <w:r w:rsidR="004722F4" w:rsidRPr="003673FA">
        <w:t xml:space="preserve">the </w:t>
      </w:r>
      <w:r w:rsidR="00D14BB7" w:rsidRPr="003673FA">
        <w:t>most</w:t>
      </w:r>
      <w:r w:rsidR="004722F4" w:rsidRPr="003673FA">
        <w:t xml:space="preserve"> </w:t>
      </w:r>
      <w:r w:rsidR="00604A11" w:rsidRPr="003673FA">
        <w:t xml:space="preserve">Linkage Projects </w:t>
      </w:r>
      <w:r w:rsidR="005D303B" w:rsidRPr="003673FA">
        <w:t>pa</w:t>
      </w:r>
      <w:r w:rsidR="00F3436B" w:rsidRPr="003673FA">
        <w:t xml:space="preserve">rtner organisations have </w:t>
      </w:r>
      <w:r w:rsidR="00604A11" w:rsidRPr="003673FA">
        <w:t>been involved</w:t>
      </w:r>
      <w:r w:rsidR="00D14BB7" w:rsidRPr="003673FA">
        <w:t xml:space="preserve"> under </w:t>
      </w:r>
      <w:r w:rsidR="00D14BB7" w:rsidRPr="003673FA">
        <w:lastRenderedPageBreak/>
        <w:t>the annual and continuous processes</w:t>
      </w:r>
      <w:r w:rsidR="005D303B" w:rsidRPr="003673FA">
        <w:t>.</w:t>
      </w:r>
      <w:r w:rsidR="005D303B" w:rsidRPr="003673FA">
        <w:rPr>
          <w:rStyle w:val="FootnoteReference"/>
        </w:rPr>
        <w:footnoteReference w:id="10"/>
      </w:r>
      <w:r w:rsidR="005D303B" w:rsidRPr="003673FA">
        <w:t xml:space="preserve"> In general, it shows that</w:t>
      </w:r>
      <w:r w:rsidR="00986DFB" w:rsidRPr="003673FA">
        <w:t xml:space="preserve"> although there has been some movement,</w:t>
      </w:r>
      <w:r w:rsidR="005D303B" w:rsidRPr="003673FA">
        <w:t xml:space="preserve"> the </w:t>
      </w:r>
      <w:r w:rsidR="00604A11" w:rsidRPr="003673FA">
        <w:t xml:space="preserve">application and project </w:t>
      </w:r>
      <w:proofErr w:type="spellStart"/>
      <w:r w:rsidR="00FA099D" w:rsidRPr="003673FA">
        <w:t>FoRs</w:t>
      </w:r>
      <w:proofErr w:type="spellEnd"/>
      <w:r w:rsidR="005D303B" w:rsidRPr="003673FA">
        <w:t xml:space="preserve"> </w:t>
      </w:r>
      <w:r w:rsidR="00604A11" w:rsidRPr="003673FA">
        <w:t>accounting</w:t>
      </w:r>
      <w:r w:rsidR="00D14BB7" w:rsidRPr="003673FA">
        <w:t xml:space="preserve"> for the largest proportions of</w:t>
      </w:r>
      <w:r w:rsidR="008953A5" w:rsidRPr="003673FA">
        <w:t xml:space="preserve"> partner organisation</w:t>
      </w:r>
      <w:r w:rsidR="00604A11" w:rsidRPr="003673FA">
        <w:t xml:space="preserve">s </w:t>
      </w:r>
      <w:r w:rsidR="001045BD" w:rsidRPr="003673FA">
        <w:t xml:space="preserve">have </w:t>
      </w:r>
      <w:r w:rsidR="00986DFB" w:rsidRPr="003673FA">
        <w:t xml:space="preserve">remained quite </w:t>
      </w:r>
      <w:r w:rsidR="00D461A8" w:rsidRPr="003673FA">
        <w:t>consistent</w:t>
      </w:r>
      <w:r w:rsidR="008953A5" w:rsidRPr="003673FA">
        <w:t xml:space="preserve"> between the annual and continuous processes</w:t>
      </w:r>
      <w:r w:rsidR="00F3436B" w:rsidRPr="003673FA">
        <w:t>.</w:t>
      </w:r>
    </w:p>
    <w:p w14:paraId="7CC5AD9D" w14:textId="77777777" w:rsidR="00ED5EC2" w:rsidRPr="003673FA" w:rsidRDefault="00ED5EC2" w:rsidP="005D303B"/>
    <w:p w14:paraId="3EAFFDB8" w14:textId="2F626015" w:rsidR="00F94A63" w:rsidRPr="003673FA" w:rsidRDefault="00636621" w:rsidP="00F94A63">
      <w:pPr>
        <w:pStyle w:val="Heading4"/>
      </w:pPr>
      <w:bookmarkStart w:id="36" w:name="Table3"/>
      <w:bookmarkEnd w:id="36"/>
      <w:r w:rsidRPr="003673FA">
        <w:t>Table 3</w:t>
      </w:r>
      <w:r w:rsidR="00D14BB7" w:rsidRPr="003673FA">
        <w:t xml:space="preserve">: </w:t>
      </w:r>
      <w:r w:rsidR="00604A11" w:rsidRPr="003673FA">
        <w:t xml:space="preserve">Most common </w:t>
      </w:r>
      <w:proofErr w:type="spellStart"/>
      <w:r w:rsidR="00604A11" w:rsidRPr="003673FA">
        <w:t>FoRs</w:t>
      </w:r>
      <w:proofErr w:type="spellEnd"/>
      <w:r w:rsidR="00604A11" w:rsidRPr="003673FA">
        <w:t xml:space="preserve"> for partner organisation participation</w:t>
      </w:r>
    </w:p>
    <w:tbl>
      <w:tblPr>
        <w:tblStyle w:val="TableGrid"/>
        <w:tblW w:w="0" w:type="auto"/>
        <w:tblLook w:val="04A0" w:firstRow="1" w:lastRow="0" w:firstColumn="1" w:lastColumn="0" w:noHBand="0" w:noVBand="1"/>
      </w:tblPr>
      <w:tblGrid>
        <w:gridCol w:w="2231"/>
        <w:gridCol w:w="2232"/>
        <w:gridCol w:w="2231"/>
        <w:gridCol w:w="2232"/>
      </w:tblGrid>
      <w:tr w:rsidR="00F94A63" w:rsidRPr="003673FA" w14:paraId="5559CEC4" w14:textId="645EE13F" w:rsidTr="00E66E04">
        <w:trPr>
          <w:tblHeader/>
        </w:trPr>
        <w:tc>
          <w:tcPr>
            <w:tcW w:w="4463" w:type="dxa"/>
            <w:gridSpan w:val="2"/>
          </w:tcPr>
          <w:p w14:paraId="6B1B89AF" w14:textId="6F9B0FA9" w:rsidR="00F94A63" w:rsidRPr="003673FA" w:rsidRDefault="00F94A63" w:rsidP="00F94A63">
            <w:pPr>
              <w:jc w:val="center"/>
              <w:rPr>
                <w:b/>
                <w:sz w:val="22"/>
              </w:rPr>
            </w:pPr>
            <w:r w:rsidRPr="003673FA">
              <w:rPr>
                <w:b/>
                <w:sz w:val="22"/>
              </w:rPr>
              <w:t>APPLICATIONS</w:t>
            </w:r>
          </w:p>
        </w:tc>
        <w:tc>
          <w:tcPr>
            <w:tcW w:w="4463" w:type="dxa"/>
            <w:gridSpan w:val="2"/>
          </w:tcPr>
          <w:p w14:paraId="69D2C198" w14:textId="4765CBAB" w:rsidR="00F94A63" w:rsidRPr="003673FA" w:rsidRDefault="00F94A63" w:rsidP="00F94A63">
            <w:pPr>
              <w:jc w:val="center"/>
              <w:rPr>
                <w:b/>
                <w:sz w:val="22"/>
              </w:rPr>
            </w:pPr>
            <w:r w:rsidRPr="003673FA">
              <w:rPr>
                <w:b/>
                <w:sz w:val="22"/>
              </w:rPr>
              <w:t>FUNDED PROJECTS</w:t>
            </w:r>
          </w:p>
        </w:tc>
      </w:tr>
      <w:tr w:rsidR="00F94A63" w:rsidRPr="003673FA" w14:paraId="574A3507" w14:textId="7D93BCD0" w:rsidTr="00D4166A">
        <w:tc>
          <w:tcPr>
            <w:tcW w:w="2231" w:type="dxa"/>
            <w:tcBorders>
              <w:bottom w:val="single" w:sz="4" w:space="0" w:color="auto"/>
            </w:tcBorders>
          </w:tcPr>
          <w:p w14:paraId="715E1A47" w14:textId="15FAF1EC" w:rsidR="00F94A63" w:rsidRPr="003673FA" w:rsidRDefault="00D4166A" w:rsidP="00D4166A">
            <w:pPr>
              <w:jc w:val="center"/>
              <w:rPr>
                <w:b/>
                <w:sz w:val="22"/>
              </w:rPr>
            </w:pPr>
            <w:r w:rsidRPr="003673FA">
              <w:rPr>
                <w:b/>
                <w:sz w:val="22"/>
              </w:rPr>
              <w:t>Annual process</w:t>
            </w:r>
            <w:r w:rsidRPr="003673FA">
              <w:rPr>
                <w:b/>
                <w:sz w:val="22"/>
              </w:rPr>
              <w:br/>
              <w:t>(2013 A – 2016 A)</w:t>
            </w:r>
          </w:p>
        </w:tc>
        <w:tc>
          <w:tcPr>
            <w:tcW w:w="2232" w:type="dxa"/>
            <w:tcBorders>
              <w:bottom w:val="single" w:sz="4" w:space="0" w:color="auto"/>
            </w:tcBorders>
          </w:tcPr>
          <w:p w14:paraId="42231745" w14:textId="3A2D7FD0" w:rsidR="00F94A63" w:rsidRPr="003673FA" w:rsidRDefault="00D4166A" w:rsidP="00D4166A">
            <w:pPr>
              <w:jc w:val="center"/>
              <w:rPr>
                <w:b/>
                <w:sz w:val="22"/>
              </w:rPr>
            </w:pPr>
            <w:r w:rsidRPr="003673FA">
              <w:rPr>
                <w:b/>
                <w:sz w:val="22"/>
              </w:rPr>
              <w:t>Continuous process</w:t>
            </w:r>
            <w:r w:rsidRPr="003673FA">
              <w:rPr>
                <w:b/>
                <w:sz w:val="22"/>
              </w:rPr>
              <w:br/>
              <w:t>(2016 C – 2018 C)</w:t>
            </w:r>
          </w:p>
        </w:tc>
        <w:tc>
          <w:tcPr>
            <w:tcW w:w="2231" w:type="dxa"/>
            <w:tcBorders>
              <w:bottom w:val="single" w:sz="4" w:space="0" w:color="auto"/>
            </w:tcBorders>
          </w:tcPr>
          <w:p w14:paraId="2182A682" w14:textId="60BA9397" w:rsidR="00F94A63" w:rsidRPr="003673FA" w:rsidRDefault="00D4166A" w:rsidP="00F94A63">
            <w:pPr>
              <w:jc w:val="center"/>
              <w:rPr>
                <w:b/>
                <w:sz w:val="22"/>
              </w:rPr>
            </w:pPr>
            <w:r w:rsidRPr="003673FA">
              <w:rPr>
                <w:b/>
                <w:sz w:val="22"/>
              </w:rPr>
              <w:t>Annual process</w:t>
            </w:r>
          </w:p>
          <w:p w14:paraId="5740871C" w14:textId="17775726" w:rsidR="00F94A63" w:rsidRPr="003673FA" w:rsidRDefault="00D4166A" w:rsidP="00D4166A">
            <w:pPr>
              <w:jc w:val="center"/>
              <w:rPr>
                <w:b/>
                <w:sz w:val="22"/>
              </w:rPr>
            </w:pPr>
            <w:r w:rsidRPr="003673FA">
              <w:rPr>
                <w:b/>
                <w:sz w:val="22"/>
              </w:rPr>
              <w:t>(2013 A – 2016 A)</w:t>
            </w:r>
          </w:p>
        </w:tc>
        <w:tc>
          <w:tcPr>
            <w:tcW w:w="2232" w:type="dxa"/>
            <w:tcBorders>
              <w:bottom w:val="single" w:sz="4" w:space="0" w:color="auto"/>
            </w:tcBorders>
          </w:tcPr>
          <w:p w14:paraId="618C1D3A" w14:textId="6EC8855A" w:rsidR="00F94A63" w:rsidRPr="003673FA" w:rsidRDefault="00D4166A" w:rsidP="00D4166A">
            <w:pPr>
              <w:jc w:val="center"/>
              <w:rPr>
                <w:b/>
                <w:sz w:val="22"/>
              </w:rPr>
            </w:pPr>
            <w:r w:rsidRPr="003673FA">
              <w:rPr>
                <w:b/>
                <w:sz w:val="22"/>
              </w:rPr>
              <w:t>Continuous process</w:t>
            </w:r>
            <w:r w:rsidRPr="003673FA">
              <w:rPr>
                <w:b/>
                <w:sz w:val="22"/>
              </w:rPr>
              <w:br/>
              <w:t>(2016 C – 2017 C)</w:t>
            </w:r>
          </w:p>
        </w:tc>
      </w:tr>
      <w:tr w:rsidR="00F94A63" w:rsidRPr="003673FA" w14:paraId="457D046F" w14:textId="76B8D381" w:rsidTr="00D4166A">
        <w:tc>
          <w:tcPr>
            <w:tcW w:w="2231" w:type="dxa"/>
            <w:tcBorders>
              <w:bottom w:val="nil"/>
              <w:right w:val="single" w:sz="4" w:space="0" w:color="auto"/>
            </w:tcBorders>
            <w:shd w:val="clear" w:color="auto" w:fill="4F81BD" w:themeFill="accent1"/>
          </w:tcPr>
          <w:p w14:paraId="07CA9156" w14:textId="77777777" w:rsidR="00F94A63" w:rsidRPr="003673FA" w:rsidRDefault="00F94A63" w:rsidP="00F94A63">
            <w:pPr>
              <w:rPr>
                <w:color w:val="FFFFFF" w:themeColor="background1"/>
                <w:sz w:val="20"/>
                <w:szCs w:val="20"/>
              </w:rPr>
            </w:pPr>
            <w:r w:rsidRPr="003673FA">
              <w:rPr>
                <w:color w:val="FFFFFF" w:themeColor="background1"/>
                <w:sz w:val="20"/>
                <w:szCs w:val="20"/>
              </w:rPr>
              <w:t xml:space="preserve">Engineering </w:t>
            </w:r>
            <w:r w:rsidRPr="003673FA">
              <w:rPr>
                <w:color w:val="FFFFFF" w:themeColor="background1"/>
                <w:sz w:val="20"/>
                <w:szCs w:val="20"/>
              </w:rPr>
              <w:br/>
              <w:t>(21%)</w:t>
            </w:r>
          </w:p>
          <w:p w14:paraId="54E12A27" w14:textId="2F37B940" w:rsidR="00D4166A" w:rsidRPr="003673FA" w:rsidRDefault="00D4166A" w:rsidP="00F94A63">
            <w:pPr>
              <w:rPr>
                <w:rFonts w:ascii="Calibri" w:hAnsi="Calibri" w:cs="Calibri"/>
                <w:color w:val="FFFFFF" w:themeColor="background1"/>
                <w:sz w:val="20"/>
                <w:szCs w:val="20"/>
                <w:lang w:eastAsia="en-AU"/>
              </w:rPr>
            </w:pPr>
          </w:p>
        </w:tc>
        <w:tc>
          <w:tcPr>
            <w:tcW w:w="2232" w:type="dxa"/>
            <w:tcBorders>
              <w:left w:val="single" w:sz="4" w:space="0" w:color="auto"/>
              <w:bottom w:val="nil"/>
            </w:tcBorders>
            <w:shd w:val="clear" w:color="auto" w:fill="4F81BD" w:themeFill="accent1"/>
          </w:tcPr>
          <w:p w14:paraId="5D1B077D" w14:textId="624141CF" w:rsidR="00F94A63" w:rsidRPr="003673FA" w:rsidRDefault="00F94A63" w:rsidP="00F94A63">
            <w:pPr>
              <w:rPr>
                <w:color w:val="FFFFFF" w:themeColor="background1"/>
                <w:sz w:val="20"/>
                <w:szCs w:val="20"/>
              </w:rPr>
            </w:pPr>
            <w:r w:rsidRPr="003673FA">
              <w:rPr>
                <w:color w:val="FFFFFF" w:themeColor="background1"/>
                <w:sz w:val="20"/>
                <w:szCs w:val="20"/>
              </w:rPr>
              <w:t xml:space="preserve">Engineering </w:t>
            </w:r>
            <w:r w:rsidRPr="003673FA">
              <w:rPr>
                <w:color w:val="FFFFFF" w:themeColor="background1"/>
                <w:sz w:val="20"/>
                <w:szCs w:val="20"/>
              </w:rPr>
              <w:br/>
              <w:t>(19%)</w:t>
            </w:r>
          </w:p>
        </w:tc>
        <w:tc>
          <w:tcPr>
            <w:tcW w:w="2231" w:type="dxa"/>
            <w:tcBorders>
              <w:bottom w:val="nil"/>
              <w:right w:val="single" w:sz="4" w:space="0" w:color="auto"/>
            </w:tcBorders>
            <w:shd w:val="clear" w:color="auto" w:fill="4F81BD" w:themeFill="accent1"/>
          </w:tcPr>
          <w:p w14:paraId="70FB20C5" w14:textId="564BD116" w:rsidR="00F94A63" w:rsidRPr="003673FA" w:rsidRDefault="00F94A63" w:rsidP="00F94A63">
            <w:pPr>
              <w:rPr>
                <w:color w:val="FFFFFF" w:themeColor="background1"/>
                <w:sz w:val="20"/>
                <w:szCs w:val="20"/>
              </w:rPr>
            </w:pPr>
            <w:r w:rsidRPr="003673FA">
              <w:rPr>
                <w:color w:val="FFFFFF" w:themeColor="background1"/>
                <w:sz w:val="20"/>
                <w:szCs w:val="20"/>
              </w:rPr>
              <w:t xml:space="preserve">Engineering </w:t>
            </w:r>
            <w:r w:rsidRPr="003673FA">
              <w:rPr>
                <w:color w:val="FFFFFF" w:themeColor="background1"/>
                <w:sz w:val="20"/>
                <w:szCs w:val="20"/>
              </w:rPr>
              <w:br/>
              <w:t>(20%)</w:t>
            </w:r>
          </w:p>
        </w:tc>
        <w:tc>
          <w:tcPr>
            <w:tcW w:w="2232" w:type="dxa"/>
            <w:tcBorders>
              <w:left w:val="single" w:sz="4" w:space="0" w:color="auto"/>
              <w:bottom w:val="nil"/>
            </w:tcBorders>
            <w:shd w:val="clear" w:color="auto" w:fill="4F81BD" w:themeFill="accent1"/>
          </w:tcPr>
          <w:p w14:paraId="6D252804" w14:textId="62025667" w:rsidR="00F94A63" w:rsidRPr="003673FA" w:rsidRDefault="00F94A63" w:rsidP="00F94A63">
            <w:pPr>
              <w:rPr>
                <w:color w:val="FFFFFF" w:themeColor="background1"/>
                <w:sz w:val="20"/>
                <w:szCs w:val="20"/>
              </w:rPr>
            </w:pPr>
            <w:r w:rsidRPr="003673FA">
              <w:rPr>
                <w:color w:val="FFFFFF" w:themeColor="background1"/>
                <w:sz w:val="20"/>
                <w:szCs w:val="20"/>
              </w:rPr>
              <w:t xml:space="preserve">Engineering </w:t>
            </w:r>
            <w:r w:rsidRPr="003673FA">
              <w:rPr>
                <w:color w:val="FFFFFF" w:themeColor="background1"/>
                <w:sz w:val="20"/>
                <w:szCs w:val="20"/>
              </w:rPr>
              <w:br/>
              <w:t>(22%)</w:t>
            </w:r>
          </w:p>
        </w:tc>
      </w:tr>
      <w:tr w:rsidR="00F94A63" w:rsidRPr="003673FA" w14:paraId="59F2678B" w14:textId="5671369D" w:rsidTr="00D4166A">
        <w:tc>
          <w:tcPr>
            <w:tcW w:w="2231" w:type="dxa"/>
            <w:tcBorders>
              <w:top w:val="nil"/>
              <w:bottom w:val="nil"/>
              <w:right w:val="single" w:sz="4" w:space="0" w:color="auto"/>
            </w:tcBorders>
            <w:shd w:val="clear" w:color="auto" w:fill="1F497D" w:themeFill="text2"/>
          </w:tcPr>
          <w:p w14:paraId="6A25528C" w14:textId="77777777" w:rsidR="00F94A63" w:rsidRPr="003673FA" w:rsidRDefault="00F94A63" w:rsidP="00F94A63">
            <w:pPr>
              <w:rPr>
                <w:color w:val="FFFFFF" w:themeColor="background1"/>
                <w:sz w:val="20"/>
                <w:szCs w:val="20"/>
              </w:rPr>
            </w:pPr>
            <w:r w:rsidRPr="003673FA">
              <w:rPr>
                <w:color w:val="FFFFFF" w:themeColor="background1"/>
                <w:sz w:val="20"/>
                <w:szCs w:val="20"/>
              </w:rPr>
              <w:t>Studies in Human Society (10%)</w:t>
            </w:r>
          </w:p>
          <w:p w14:paraId="681FEE37" w14:textId="1F646938" w:rsidR="00D4166A" w:rsidRPr="003673FA" w:rsidRDefault="00D4166A" w:rsidP="00F94A63">
            <w:pPr>
              <w:rPr>
                <w:color w:val="FFFFFF" w:themeColor="background1"/>
                <w:sz w:val="20"/>
                <w:szCs w:val="20"/>
              </w:rPr>
            </w:pPr>
          </w:p>
        </w:tc>
        <w:tc>
          <w:tcPr>
            <w:tcW w:w="2232" w:type="dxa"/>
            <w:tcBorders>
              <w:top w:val="nil"/>
              <w:left w:val="single" w:sz="4" w:space="0" w:color="auto"/>
              <w:bottom w:val="nil"/>
            </w:tcBorders>
            <w:shd w:val="clear" w:color="auto" w:fill="1F497D" w:themeFill="text2"/>
          </w:tcPr>
          <w:p w14:paraId="2C02904B" w14:textId="688A6885" w:rsidR="00F94A63" w:rsidRPr="003673FA" w:rsidRDefault="00F94A63" w:rsidP="00F94A63">
            <w:pPr>
              <w:rPr>
                <w:color w:val="FFFFFF" w:themeColor="background1"/>
                <w:sz w:val="20"/>
                <w:szCs w:val="20"/>
              </w:rPr>
            </w:pPr>
            <w:r w:rsidRPr="003673FA">
              <w:rPr>
                <w:color w:val="FFFFFF" w:themeColor="background1"/>
                <w:sz w:val="20"/>
                <w:szCs w:val="20"/>
              </w:rPr>
              <w:t>Studies in Human Society (9%)</w:t>
            </w:r>
          </w:p>
        </w:tc>
        <w:tc>
          <w:tcPr>
            <w:tcW w:w="2231" w:type="dxa"/>
            <w:tcBorders>
              <w:top w:val="nil"/>
              <w:bottom w:val="nil"/>
              <w:right w:val="single" w:sz="4" w:space="0" w:color="auto"/>
            </w:tcBorders>
            <w:shd w:val="clear" w:color="auto" w:fill="1F497D" w:themeFill="text2"/>
          </w:tcPr>
          <w:p w14:paraId="79665EB1" w14:textId="35E14E3C" w:rsidR="00F94A63" w:rsidRPr="003673FA" w:rsidRDefault="00F94A63" w:rsidP="00F94A63">
            <w:pPr>
              <w:rPr>
                <w:color w:val="FFFFFF" w:themeColor="background1"/>
                <w:sz w:val="20"/>
                <w:szCs w:val="20"/>
              </w:rPr>
            </w:pPr>
            <w:r w:rsidRPr="003673FA">
              <w:rPr>
                <w:color w:val="FFFFFF" w:themeColor="background1"/>
                <w:sz w:val="20"/>
                <w:szCs w:val="20"/>
              </w:rPr>
              <w:t>Studies in Human Society (11%)</w:t>
            </w:r>
          </w:p>
        </w:tc>
        <w:tc>
          <w:tcPr>
            <w:tcW w:w="2232" w:type="dxa"/>
            <w:tcBorders>
              <w:top w:val="nil"/>
              <w:left w:val="single" w:sz="4" w:space="0" w:color="auto"/>
              <w:bottom w:val="nil"/>
            </w:tcBorders>
            <w:shd w:val="clear" w:color="auto" w:fill="1F497D" w:themeFill="text2"/>
          </w:tcPr>
          <w:p w14:paraId="674B9725" w14:textId="318C4D37" w:rsidR="00F94A63" w:rsidRPr="003673FA" w:rsidRDefault="00F94A63" w:rsidP="00F94A63">
            <w:pPr>
              <w:rPr>
                <w:color w:val="FFFFFF" w:themeColor="background1"/>
                <w:sz w:val="20"/>
                <w:szCs w:val="20"/>
              </w:rPr>
            </w:pPr>
            <w:r w:rsidRPr="003673FA">
              <w:rPr>
                <w:color w:val="FFFFFF" w:themeColor="background1"/>
                <w:sz w:val="20"/>
                <w:szCs w:val="20"/>
              </w:rPr>
              <w:t>Studies in Human Society (14%)</w:t>
            </w:r>
          </w:p>
        </w:tc>
      </w:tr>
      <w:tr w:rsidR="00F94A63" w:rsidRPr="003673FA" w14:paraId="34174AB6" w14:textId="1DC52DC3" w:rsidTr="00D4166A">
        <w:tc>
          <w:tcPr>
            <w:tcW w:w="2231" w:type="dxa"/>
            <w:tcBorders>
              <w:top w:val="nil"/>
              <w:bottom w:val="nil"/>
              <w:right w:val="single" w:sz="4" w:space="0" w:color="auto"/>
            </w:tcBorders>
            <w:shd w:val="clear" w:color="auto" w:fill="9BBB59" w:themeFill="accent3"/>
          </w:tcPr>
          <w:p w14:paraId="0921C367" w14:textId="77777777" w:rsidR="00F94A63" w:rsidRPr="003673FA" w:rsidRDefault="00F94A63" w:rsidP="00F94A63">
            <w:pPr>
              <w:rPr>
                <w:sz w:val="20"/>
                <w:szCs w:val="20"/>
              </w:rPr>
            </w:pPr>
            <w:r w:rsidRPr="003673FA">
              <w:rPr>
                <w:sz w:val="20"/>
                <w:szCs w:val="20"/>
              </w:rPr>
              <w:t>Environmental Sciences (9%)</w:t>
            </w:r>
          </w:p>
          <w:p w14:paraId="437B1810" w14:textId="1A8205B5" w:rsidR="00D4166A" w:rsidRPr="003673FA" w:rsidRDefault="00D4166A" w:rsidP="00F94A63">
            <w:pPr>
              <w:rPr>
                <w:sz w:val="20"/>
                <w:szCs w:val="20"/>
              </w:rPr>
            </w:pPr>
          </w:p>
        </w:tc>
        <w:tc>
          <w:tcPr>
            <w:tcW w:w="2232" w:type="dxa"/>
            <w:tcBorders>
              <w:top w:val="nil"/>
              <w:left w:val="single" w:sz="4" w:space="0" w:color="auto"/>
              <w:bottom w:val="nil"/>
            </w:tcBorders>
            <w:shd w:val="clear" w:color="auto" w:fill="9BBB59" w:themeFill="accent3"/>
          </w:tcPr>
          <w:p w14:paraId="6456EC1C" w14:textId="488592BC" w:rsidR="00F94A63" w:rsidRPr="003673FA" w:rsidRDefault="00F94A63" w:rsidP="00F94A63">
            <w:pPr>
              <w:rPr>
                <w:sz w:val="20"/>
                <w:szCs w:val="20"/>
              </w:rPr>
            </w:pPr>
            <w:r w:rsidRPr="003673FA">
              <w:rPr>
                <w:sz w:val="20"/>
                <w:szCs w:val="20"/>
              </w:rPr>
              <w:t>Environmental Sciences (9%)</w:t>
            </w:r>
          </w:p>
        </w:tc>
        <w:tc>
          <w:tcPr>
            <w:tcW w:w="2231" w:type="dxa"/>
            <w:tcBorders>
              <w:top w:val="nil"/>
              <w:bottom w:val="nil"/>
              <w:right w:val="single" w:sz="4" w:space="0" w:color="auto"/>
            </w:tcBorders>
            <w:shd w:val="clear" w:color="auto" w:fill="9BBB59" w:themeFill="accent3"/>
          </w:tcPr>
          <w:p w14:paraId="75ACE741" w14:textId="5E32FD3A" w:rsidR="00F94A63" w:rsidRPr="003673FA" w:rsidRDefault="00F94A63" w:rsidP="00F94A63">
            <w:pPr>
              <w:rPr>
                <w:sz w:val="20"/>
                <w:szCs w:val="20"/>
              </w:rPr>
            </w:pPr>
            <w:r w:rsidRPr="003673FA">
              <w:rPr>
                <w:sz w:val="20"/>
                <w:szCs w:val="20"/>
              </w:rPr>
              <w:t>Environmental Sciences (9%)</w:t>
            </w:r>
          </w:p>
        </w:tc>
        <w:tc>
          <w:tcPr>
            <w:tcW w:w="2232" w:type="dxa"/>
            <w:tcBorders>
              <w:top w:val="nil"/>
              <w:left w:val="single" w:sz="4" w:space="0" w:color="auto"/>
              <w:bottom w:val="nil"/>
            </w:tcBorders>
            <w:shd w:val="clear" w:color="auto" w:fill="D9D9D9" w:themeFill="background1" w:themeFillShade="D9"/>
          </w:tcPr>
          <w:p w14:paraId="053096D6" w14:textId="68A85CF3" w:rsidR="00F94A63" w:rsidRPr="003673FA" w:rsidRDefault="00F94A63" w:rsidP="00F94A63">
            <w:pPr>
              <w:rPr>
                <w:sz w:val="20"/>
                <w:szCs w:val="20"/>
              </w:rPr>
            </w:pPr>
            <w:r w:rsidRPr="003673FA">
              <w:rPr>
                <w:sz w:val="20"/>
                <w:szCs w:val="20"/>
              </w:rPr>
              <w:t xml:space="preserve">Earth Sciences </w:t>
            </w:r>
            <w:r w:rsidRPr="003673FA">
              <w:rPr>
                <w:sz w:val="20"/>
                <w:szCs w:val="20"/>
              </w:rPr>
              <w:br/>
              <w:t>(10%)</w:t>
            </w:r>
          </w:p>
        </w:tc>
      </w:tr>
      <w:tr w:rsidR="00F94A63" w:rsidRPr="003673FA" w14:paraId="7B54B390" w14:textId="393F50C2" w:rsidTr="00D4166A">
        <w:tc>
          <w:tcPr>
            <w:tcW w:w="2231" w:type="dxa"/>
            <w:tcBorders>
              <w:top w:val="nil"/>
              <w:bottom w:val="nil"/>
              <w:right w:val="single" w:sz="4" w:space="0" w:color="auto"/>
            </w:tcBorders>
            <w:shd w:val="clear" w:color="auto" w:fill="4F6228" w:themeFill="accent3" w:themeFillShade="80"/>
          </w:tcPr>
          <w:p w14:paraId="6031E1F9" w14:textId="77777777" w:rsidR="00F94A63" w:rsidRPr="003673FA" w:rsidRDefault="00F94A63" w:rsidP="00F94A63">
            <w:pPr>
              <w:rPr>
                <w:color w:val="FFFFFF" w:themeColor="background1"/>
                <w:sz w:val="20"/>
                <w:szCs w:val="20"/>
              </w:rPr>
            </w:pPr>
            <w:r w:rsidRPr="003673FA">
              <w:rPr>
                <w:color w:val="FFFFFF" w:themeColor="background1"/>
                <w:sz w:val="20"/>
                <w:szCs w:val="20"/>
              </w:rPr>
              <w:t>Biological Sciences (7%)</w:t>
            </w:r>
          </w:p>
          <w:p w14:paraId="3DD6F179" w14:textId="5B763090" w:rsidR="00D4166A" w:rsidRPr="003673FA" w:rsidRDefault="00D4166A" w:rsidP="00F94A63">
            <w:pPr>
              <w:rPr>
                <w:color w:val="FFFFFF" w:themeColor="background1"/>
                <w:sz w:val="20"/>
                <w:szCs w:val="20"/>
              </w:rPr>
            </w:pPr>
          </w:p>
        </w:tc>
        <w:tc>
          <w:tcPr>
            <w:tcW w:w="2232" w:type="dxa"/>
            <w:tcBorders>
              <w:top w:val="nil"/>
              <w:left w:val="single" w:sz="4" w:space="0" w:color="auto"/>
              <w:bottom w:val="nil"/>
            </w:tcBorders>
            <w:shd w:val="clear" w:color="auto" w:fill="F79646" w:themeFill="accent6"/>
          </w:tcPr>
          <w:p w14:paraId="79FA7B88" w14:textId="01CF4BD8" w:rsidR="00F94A63" w:rsidRPr="003673FA" w:rsidRDefault="00F94A63" w:rsidP="00F94A63">
            <w:pPr>
              <w:rPr>
                <w:color w:val="FFFFFF" w:themeColor="background1"/>
                <w:sz w:val="20"/>
                <w:szCs w:val="20"/>
              </w:rPr>
            </w:pPr>
            <w:r w:rsidRPr="003673FA">
              <w:rPr>
                <w:sz w:val="20"/>
                <w:szCs w:val="20"/>
              </w:rPr>
              <w:t>Medical and Health Sciences (8%)</w:t>
            </w:r>
          </w:p>
        </w:tc>
        <w:tc>
          <w:tcPr>
            <w:tcW w:w="2231" w:type="dxa"/>
            <w:tcBorders>
              <w:top w:val="nil"/>
              <w:bottom w:val="nil"/>
              <w:right w:val="single" w:sz="4" w:space="0" w:color="auto"/>
            </w:tcBorders>
            <w:shd w:val="clear" w:color="auto" w:fill="4F6228" w:themeFill="accent3" w:themeFillShade="80"/>
          </w:tcPr>
          <w:p w14:paraId="196202AD" w14:textId="7550A1D1" w:rsidR="00F94A63" w:rsidRPr="003673FA" w:rsidRDefault="00F94A63" w:rsidP="00F94A63">
            <w:pPr>
              <w:rPr>
                <w:sz w:val="20"/>
                <w:szCs w:val="20"/>
              </w:rPr>
            </w:pPr>
            <w:r w:rsidRPr="003673FA">
              <w:rPr>
                <w:color w:val="FFFFFF" w:themeColor="background1"/>
                <w:sz w:val="20"/>
                <w:szCs w:val="20"/>
              </w:rPr>
              <w:t>Biological Sciences (8%)</w:t>
            </w:r>
          </w:p>
        </w:tc>
        <w:tc>
          <w:tcPr>
            <w:tcW w:w="2232" w:type="dxa"/>
            <w:tcBorders>
              <w:top w:val="nil"/>
              <w:left w:val="single" w:sz="4" w:space="0" w:color="auto"/>
              <w:bottom w:val="nil"/>
            </w:tcBorders>
            <w:shd w:val="clear" w:color="auto" w:fill="9BBB59" w:themeFill="accent3"/>
          </w:tcPr>
          <w:p w14:paraId="600D5A79" w14:textId="58743E45" w:rsidR="00F94A63" w:rsidRPr="003673FA" w:rsidRDefault="00F94A63" w:rsidP="00F94A63">
            <w:pPr>
              <w:rPr>
                <w:sz w:val="20"/>
                <w:szCs w:val="20"/>
              </w:rPr>
            </w:pPr>
            <w:r w:rsidRPr="003673FA">
              <w:rPr>
                <w:sz w:val="20"/>
                <w:szCs w:val="20"/>
              </w:rPr>
              <w:t>Environmental Sciences (9%)</w:t>
            </w:r>
          </w:p>
        </w:tc>
      </w:tr>
      <w:tr w:rsidR="00F94A63" w:rsidRPr="003673FA" w14:paraId="707DD15D" w14:textId="14A58FA4" w:rsidTr="00D4166A">
        <w:tc>
          <w:tcPr>
            <w:tcW w:w="2231" w:type="dxa"/>
            <w:tcBorders>
              <w:top w:val="nil"/>
              <w:bottom w:val="nil"/>
              <w:right w:val="single" w:sz="4" w:space="0" w:color="auto"/>
            </w:tcBorders>
            <w:shd w:val="clear" w:color="auto" w:fill="F79646" w:themeFill="accent6"/>
          </w:tcPr>
          <w:p w14:paraId="492559EC" w14:textId="77777777" w:rsidR="00F94A63" w:rsidRPr="003673FA" w:rsidRDefault="00F94A63" w:rsidP="00F94A63">
            <w:pPr>
              <w:rPr>
                <w:sz w:val="20"/>
                <w:szCs w:val="20"/>
              </w:rPr>
            </w:pPr>
            <w:r w:rsidRPr="003673FA">
              <w:rPr>
                <w:sz w:val="20"/>
                <w:szCs w:val="20"/>
              </w:rPr>
              <w:t>Medical and Health Sciences (7%)</w:t>
            </w:r>
          </w:p>
          <w:p w14:paraId="7249B17B" w14:textId="3BB5D125" w:rsidR="00D4166A" w:rsidRPr="003673FA" w:rsidRDefault="00D4166A" w:rsidP="00F94A63">
            <w:pPr>
              <w:rPr>
                <w:sz w:val="20"/>
                <w:szCs w:val="20"/>
              </w:rPr>
            </w:pPr>
          </w:p>
        </w:tc>
        <w:tc>
          <w:tcPr>
            <w:tcW w:w="2232" w:type="dxa"/>
            <w:tcBorders>
              <w:top w:val="nil"/>
              <w:left w:val="single" w:sz="4" w:space="0" w:color="auto"/>
              <w:bottom w:val="nil"/>
            </w:tcBorders>
            <w:shd w:val="clear" w:color="auto" w:fill="4F6228" w:themeFill="accent3" w:themeFillShade="80"/>
          </w:tcPr>
          <w:p w14:paraId="102AA75C" w14:textId="0E308819" w:rsidR="00F94A63" w:rsidRPr="003673FA" w:rsidRDefault="00F94A63" w:rsidP="00F94A63">
            <w:pPr>
              <w:rPr>
                <w:sz w:val="20"/>
                <w:szCs w:val="20"/>
              </w:rPr>
            </w:pPr>
            <w:r w:rsidRPr="003673FA">
              <w:rPr>
                <w:color w:val="FFFFFF" w:themeColor="background1"/>
                <w:sz w:val="20"/>
                <w:szCs w:val="20"/>
              </w:rPr>
              <w:t>Biological Sciences (7%)</w:t>
            </w:r>
          </w:p>
        </w:tc>
        <w:tc>
          <w:tcPr>
            <w:tcW w:w="2231" w:type="dxa"/>
            <w:tcBorders>
              <w:top w:val="nil"/>
              <w:bottom w:val="nil"/>
              <w:right w:val="single" w:sz="4" w:space="0" w:color="auto"/>
            </w:tcBorders>
            <w:shd w:val="clear" w:color="auto" w:fill="F79646" w:themeFill="accent6"/>
          </w:tcPr>
          <w:p w14:paraId="4F6328A5" w14:textId="1469CE21" w:rsidR="00F94A63" w:rsidRPr="003673FA" w:rsidRDefault="00F94A63" w:rsidP="00F94A63">
            <w:pPr>
              <w:rPr>
                <w:color w:val="FFFFFF" w:themeColor="background1"/>
                <w:sz w:val="20"/>
                <w:szCs w:val="20"/>
              </w:rPr>
            </w:pPr>
            <w:r w:rsidRPr="003673FA">
              <w:rPr>
                <w:sz w:val="20"/>
                <w:szCs w:val="20"/>
              </w:rPr>
              <w:t>Medical and Health Sciences (5%)</w:t>
            </w:r>
          </w:p>
        </w:tc>
        <w:tc>
          <w:tcPr>
            <w:tcW w:w="2232" w:type="dxa"/>
            <w:tcBorders>
              <w:top w:val="nil"/>
              <w:left w:val="single" w:sz="4" w:space="0" w:color="auto"/>
              <w:bottom w:val="nil"/>
            </w:tcBorders>
            <w:shd w:val="clear" w:color="auto" w:fill="4F6228" w:themeFill="accent3" w:themeFillShade="80"/>
          </w:tcPr>
          <w:p w14:paraId="2A1B32EF" w14:textId="4B27144F" w:rsidR="00F94A63" w:rsidRPr="003673FA" w:rsidRDefault="00F94A63" w:rsidP="00F94A63">
            <w:pPr>
              <w:rPr>
                <w:color w:val="FFFFFF" w:themeColor="background1"/>
                <w:sz w:val="20"/>
                <w:szCs w:val="20"/>
              </w:rPr>
            </w:pPr>
            <w:r w:rsidRPr="003673FA">
              <w:rPr>
                <w:color w:val="FFFFFF" w:themeColor="background1"/>
                <w:sz w:val="20"/>
                <w:szCs w:val="20"/>
              </w:rPr>
              <w:t>Biological Sciences (6%)</w:t>
            </w:r>
          </w:p>
        </w:tc>
      </w:tr>
      <w:tr w:rsidR="00F94A63" w:rsidRPr="003673FA" w14:paraId="4E097A48" w14:textId="247FBC8F" w:rsidTr="00D4166A">
        <w:tc>
          <w:tcPr>
            <w:tcW w:w="2231" w:type="dxa"/>
            <w:tcBorders>
              <w:top w:val="nil"/>
              <w:bottom w:val="nil"/>
              <w:right w:val="single" w:sz="4" w:space="0" w:color="auto"/>
            </w:tcBorders>
            <w:shd w:val="clear" w:color="auto" w:fill="D60093"/>
          </w:tcPr>
          <w:p w14:paraId="1D2E859B" w14:textId="781EEB91" w:rsidR="00F94A63" w:rsidRPr="003673FA" w:rsidRDefault="00F94A63" w:rsidP="00F94A63">
            <w:pPr>
              <w:rPr>
                <w:color w:val="FFFFFF" w:themeColor="background1"/>
                <w:sz w:val="20"/>
                <w:szCs w:val="20"/>
              </w:rPr>
            </w:pPr>
            <w:r w:rsidRPr="003673FA">
              <w:rPr>
                <w:color w:val="FFFFFF" w:themeColor="background1"/>
                <w:sz w:val="20"/>
                <w:szCs w:val="20"/>
              </w:rPr>
              <w:t>Information and Computing Sciences</w:t>
            </w:r>
            <w:r w:rsidR="00D4166A" w:rsidRPr="003673FA">
              <w:rPr>
                <w:color w:val="FFFFFF" w:themeColor="background1"/>
                <w:sz w:val="20"/>
                <w:szCs w:val="20"/>
              </w:rPr>
              <w:t xml:space="preserve"> </w:t>
            </w:r>
            <w:r w:rsidRPr="003673FA">
              <w:rPr>
                <w:color w:val="FFFFFF" w:themeColor="background1"/>
                <w:sz w:val="20"/>
                <w:szCs w:val="20"/>
              </w:rPr>
              <w:t>(6%)</w:t>
            </w:r>
          </w:p>
        </w:tc>
        <w:tc>
          <w:tcPr>
            <w:tcW w:w="2232" w:type="dxa"/>
            <w:tcBorders>
              <w:top w:val="nil"/>
              <w:left w:val="single" w:sz="4" w:space="0" w:color="auto"/>
              <w:bottom w:val="nil"/>
            </w:tcBorders>
            <w:shd w:val="clear" w:color="auto" w:fill="632423" w:themeFill="accent2" w:themeFillShade="80"/>
          </w:tcPr>
          <w:p w14:paraId="1CC83D97" w14:textId="30BCAC26" w:rsidR="00F94A63" w:rsidRPr="003673FA" w:rsidRDefault="00F94A63" w:rsidP="00F94A63">
            <w:pPr>
              <w:rPr>
                <w:sz w:val="20"/>
                <w:szCs w:val="20"/>
              </w:rPr>
            </w:pPr>
            <w:r w:rsidRPr="003673FA">
              <w:rPr>
                <w:sz w:val="20"/>
                <w:szCs w:val="20"/>
              </w:rPr>
              <w:t xml:space="preserve">Education </w:t>
            </w:r>
            <w:r w:rsidRPr="003673FA">
              <w:rPr>
                <w:sz w:val="20"/>
                <w:szCs w:val="20"/>
              </w:rPr>
              <w:br/>
              <w:t>(5%)</w:t>
            </w:r>
          </w:p>
        </w:tc>
        <w:tc>
          <w:tcPr>
            <w:tcW w:w="2231" w:type="dxa"/>
            <w:tcBorders>
              <w:top w:val="nil"/>
              <w:bottom w:val="nil"/>
              <w:right w:val="single" w:sz="4" w:space="0" w:color="auto"/>
            </w:tcBorders>
            <w:shd w:val="clear" w:color="auto" w:fill="632423" w:themeFill="accent2" w:themeFillShade="80"/>
          </w:tcPr>
          <w:p w14:paraId="48EF78C3" w14:textId="4B7BF7EA" w:rsidR="00F94A63" w:rsidRPr="003673FA" w:rsidRDefault="00F94A63" w:rsidP="00F94A63">
            <w:pPr>
              <w:rPr>
                <w:sz w:val="20"/>
                <w:szCs w:val="20"/>
              </w:rPr>
            </w:pPr>
            <w:r w:rsidRPr="003673FA">
              <w:rPr>
                <w:sz w:val="20"/>
                <w:szCs w:val="20"/>
              </w:rPr>
              <w:t xml:space="preserve">Education </w:t>
            </w:r>
            <w:r w:rsidRPr="003673FA">
              <w:rPr>
                <w:sz w:val="20"/>
                <w:szCs w:val="20"/>
              </w:rPr>
              <w:br/>
              <w:t>(5%)</w:t>
            </w:r>
          </w:p>
        </w:tc>
        <w:tc>
          <w:tcPr>
            <w:tcW w:w="2232" w:type="dxa"/>
            <w:tcBorders>
              <w:top w:val="nil"/>
              <w:left w:val="single" w:sz="4" w:space="0" w:color="auto"/>
              <w:bottom w:val="nil"/>
            </w:tcBorders>
            <w:shd w:val="clear" w:color="auto" w:fill="F79646" w:themeFill="accent6"/>
          </w:tcPr>
          <w:p w14:paraId="25F89F71" w14:textId="37159600" w:rsidR="00F94A63" w:rsidRPr="003673FA" w:rsidRDefault="00F94A63" w:rsidP="00F94A63">
            <w:pPr>
              <w:rPr>
                <w:sz w:val="20"/>
                <w:szCs w:val="20"/>
              </w:rPr>
            </w:pPr>
            <w:r w:rsidRPr="003673FA">
              <w:rPr>
                <w:sz w:val="20"/>
                <w:szCs w:val="20"/>
              </w:rPr>
              <w:t>Medical and Health Sciences (5%)</w:t>
            </w:r>
          </w:p>
        </w:tc>
      </w:tr>
      <w:tr w:rsidR="00F94A63" w:rsidRPr="003673FA" w14:paraId="26204029" w14:textId="42E1505D" w:rsidTr="00D4166A">
        <w:tc>
          <w:tcPr>
            <w:tcW w:w="2231" w:type="dxa"/>
            <w:tcBorders>
              <w:top w:val="nil"/>
              <w:bottom w:val="nil"/>
              <w:right w:val="single" w:sz="4" w:space="0" w:color="auto"/>
            </w:tcBorders>
            <w:shd w:val="clear" w:color="auto" w:fill="632423" w:themeFill="accent2" w:themeFillShade="80"/>
          </w:tcPr>
          <w:p w14:paraId="6D8221EA" w14:textId="083A6843" w:rsidR="00F94A63" w:rsidRPr="003673FA" w:rsidRDefault="00F94A63" w:rsidP="00F94A63">
            <w:pPr>
              <w:rPr>
                <w:sz w:val="20"/>
                <w:szCs w:val="20"/>
              </w:rPr>
            </w:pPr>
            <w:r w:rsidRPr="003673FA">
              <w:rPr>
                <w:sz w:val="20"/>
                <w:szCs w:val="20"/>
              </w:rPr>
              <w:t xml:space="preserve">Education </w:t>
            </w:r>
            <w:r w:rsidRPr="003673FA">
              <w:rPr>
                <w:sz w:val="20"/>
                <w:szCs w:val="20"/>
              </w:rPr>
              <w:br/>
              <w:t>(6%)</w:t>
            </w:r>
          </w:p>
        </w:tc>
        <w:tc>
          <w:tcPr>
            <w:tcW w:w="2232" w:type="dxa"/>
            <w:tcBorders>
              <w:top w:val="nil"/>
              <w:left w:val="single" w:sz="4" w:space="0" w:color="auto"/>
              <w:bottom w:val="nil"/>
            </w:tcBorders>
            <w:shd w:val="clear" w:color="auto" w:fill="00B0F0"/>
          </w:tcPr>
          <w:p w14:paraId="345C03B9" w14:textId="4D7C401A" w:rsidR="00F94A63" w:rsidRPr="003673FA" w:rsidRDefault="00F94A63" w:rsidP="00F94A63">
            <w:pPr>
              <w:rPr>
                <w:color w:val="FFFFFF" w:themeColor="background1"/>
                <w:sz w:val="20"/>
                <w:szCs w:val="20"/>
              </w:rPr>
            </w:pPr>
            <w:r w:rsidRPr="003673FA">
              <w:rPr>
                <w:sz w:val="20"/>
                <w:szCs w:val="20"/>
              </w:rPr>
              <w:t>Agricultural and Veterinary Sciences (5%)</w:t>
            </w:r>
          </w:p>
        </w:tc>
        <w:tc>
          <w:tcPr>
            <w:tcW w:w="2231" w:type="dxa"/>
            <w:tcBorders>
              <w:top w:val="nil"/>
              <w:bottom w:val="nil"/>
              <w:right w:val="single" w:sz="4" w:space="0" w:color="auto"/>
            </w:tcBorders>
            <w:shd w:val="clear" w:color="auto" w:fill="D60093"/>
          </w:tcPr>
          <w:p w14:paraId="49079178" w14:textId="05A63BDD" w:rsidR="00F94A63" w:rsidRPr="003673FA" w:rsidRDefault="00F94A63" w:rsidP="00F94A63">
            <w:pPr>
              <w:rPr>
                <w:sz w:val="20"/>
                <w:szCs w:val="20"/>
              </w:rPr>
            </w:pPr>
            <w:r w:rsidRPr="003673FA">
              <w:rPr>
                <w:color w:val="FFFFFF" w:themeColor="background1"/>
                <w:sz w:val="20"/>
                <w:szCs w:val="20"/>
              </w:rPr>
              <w:t>Information and Computing Sciences (4%)</w:t>
            </w:r>
          </w:p>
        </w:tc>
        <w:tc>
          <w:tcPr>
            <w:tcW w:w="2232" w:type="dxa"/>
            <w:tcBorders>
              <w:top w:val="nil"/>
              <w:left w:val="single" w:sz="4" w:space="0" w:color="auto"/>
              <w:bottom w:val="nil"/>
            </w:tcBorders>
            <w:shd w:val="clear" w:color="auto" w:fill="D60093"/>
          </w:tcPr>
          <w:p w14:paraId="42648A73" w14:textId="7709E6B7" w:rsidR="00F94A63" w:rsidRPr="003673FA" w:rsidRDefault="00F94A63" w:rsidP="00F94A63">
            <w:pPr>
              <w:rPr>
                <w:color w:val="FFFFFF" w:themeColor="background1"/>
                <w:sz w:val="20"/>
                <w:szCs w:val="20"/>
              </w:rPr>
            </w:pPr>
            <w:r w:rsidRPr="003673FA">
              <w:rPr>
                <w:color w:val="FFFFFF" w:themeColor="background1"/>
                <w:sz w:val="20"/>
                <w:szCs w:val="20"/>
              </w:rPr>
              <w:t>Information and Computing Sciences (4%)</w:t>
            </w:r>
          </w:p>
        </w:tc>
      </w:tr>
      <w:tr w:rsidR="00F94A63" w:rsidRPr="003673FA" w14:paraId="1DF20A8D" w14:textId="77630FAB" w:rsidTr="00D4166A">
        <w:tc>
          <w:tcPr>
            <w:tcW w:w="2231" w:type="dxa"/>
            <w:tcBorders>
              <w:top w:val="nil"/>
              <w:bottom w:val="nil"/>
              <w:right w:val="single" w:sz="4" w:space="0" w:color="auto"/>
            </w:tcBorders>
            <w:shd w:val="clear" w:color="auto" w:fill="8064A2" w:themeFill="accent4"/>
          </w:tcPr>
          <w:p w14:paraId="470310C4" w14:textId="77777777" w:rsidR="00F94A63" w:rsidRPr="003673FA" w:rsidRDefault="00F94A63" w:rsidP="00F94A63">
            <w:pPr>
              <w:rPr>
                <w:color w:val="FFFFFF" w:themeColor="background1"/>
                <w:sz w:val="20"/>
                <w:szCs w:val="20"/>
              </w:rPr>
            </w:pPr>
            <w:r w:rsidRPr="003673FA">
              <w:rPr>
                <w:color w:val="FFFFFF" w:themeColor="background1"/>
                <w:sz w:val="20"/>
                <w:szCs w:val="20"/>
              </w:rPr>
              <w:t>Built Environment and Design (5%)</w:t>
            </w:r>
          </w:p>
          <w:p w14:paraId="521A88C3" w14:textId="0A8C64C8" w:rsidR="00D4166A" w:rsidRPr="003673FA" w:rsidRDefault="00D4166A" w:rsidP="00F94A63">
            <w:pPr>
              <w:rPr>
                <w:color w:val="FFFFFF" w:themeColor="background1"/>
                <w:sz w:val="20"/>
                <w:szCs w:val="20"/>
              </w:rPr>
            </w:pPr>
          </w:p>
        </w:tc>
        <w:tc>
          <w:tcPr>
            <w:tcW w:w="2232" w:type="dxa"/>
            <w:tcBorders>
              <w:top w:val="nil"/>
              <w:left w:val="single" w:sz="4" w:space="0" w:color="auto"/>
              <w:bottom w:val="nil"/>
            </w:tcBorders>
            <w:shd w:val="clear" w:color="auto" w:fill="D9D9D9" w:themeFill="background1" w:themeFillShade="D9"/>
          </w:tcPr>
          <w:p w14:paraId="5EFD841E" w14:textId="2CB07D64" w:rsidR="00F94A63" w:rsidRPr="003673FA" w:rsidRDefault="00F94A63" w:rsidP="00F94A63">
            <w:pPr>
              <w:rPr>
                <w:sz w:val="20"/>
                <w:szCs w:val="20"/>
              </w:rPr>
            </w:pPr>
            <w:r w:rsidRPr="003673FA">
              <w:rPr>
                <w:sz w:val="20"/>
                <w:szCs w:val="20"/>
              </w:rPr>
              <w:t xml:space="preserve">Earth Sciences </w:t>
            </w:r>
            <w:r w:rsidRPr="003673FA">
              <w:rPr>
                <w:sz w:val="20"/>
                <w:szCs w:val="20"/>
              </w:rPr>
              <w:br/>
              <w:t>(5%)</w:t>
            </w:r>
          </w:p>
        </w:tc>
        <w:tc>
          <w:tcPr>
            <w:tcW w:w="2231" w:type="dxa"/>
            <w:tcBorders>
              <w:top w:val="nil"/>
              <w:bottom w:val="nil"/>
              <w:right w:val="single" w:sz="4" w:space="0" w:color="auto"/>
            </w:tcBorders>
            <w:shd w:val="clear" w:color="auto" w:fill="D9D9D9" w:themeFill="background1" w:themeFillShade="D9"/>
          </w:tcPr>
          <w:p w14:paraId="3EC26697" w14:textId="66049056" w:rsidR="00F94A63" w:rsidRPr="003673FA" w:rsidRDefault="00F94A63" w:rsidP="00F94A63">
            <w:pPr>
              <w:rPr>
                <w:sz w:val="20"/>
                <w:szCs w:val="20"/>
              </w:rPr>
            </w:pPr>
            <w:r w:rsidRPr="003673FA">
              <w:rPr>
                <w:sz w:val="20"/>
                <w:szCs w:val="20"/>
              </w:rPr>
              <w:t xml:space="preserve">Earth Sciences </w:t>
            </w:r>
            <w:r w:rsidRPr="003673FA">
              <w:rPr>
                <w:sz w:val="20"/>
                <w:szCs w:val="20"/>
              </w:rPr>
              <w:br/>
              <w:t>(4%)</w:t>
            </w:r>
          </w:p>
        </w:tc>
        <w:tc>
          <w:tcPr>
            <w:tcW w:w="2232" w:type="dxa"/>
            <w:tcBorders>
              <w:top w:val="nil"/>
              <w:left w:val="single" w:sz="4" w:space="0" w:color="auto"/>
              <w:bottom w:val="nil"/>
            </w:tcBorders>
            <w:shd w:val="clear" w:color="auto" w:fill="000000" w:themeFill="text1"/>
          </w:tcPr>
          <w:p w14:paraId="42E673B7" w14:textId="2DA71699" w:rsidR="00F94A63" w:rsidRPr="003673FA" w:rsidRDefault="00F94A63" w:rsidP="00F94A63">
            <w:pPr>
              <w:rPr>
                <w:sz w:val="20"/>
                <w:szCs w:val="20"/>
              </w:rPr>
            </w:pPr>
            <w:r w:rsidRPr="003673FA">
              <w:rPr>
                <w:sz w:val="20"/>
                <w:szCs w:val="20"/>
              </w:rPr>
              <w:t>History and Archaeology (4%)</w:t>
            </w:r>
          </w:p>
        </w:tc>
      </w:tr>
      <w:tr w:rsidR="00F94A63" w:rsidRPr="003673FA" w14:paraId="3FAA49B6" w14:textId="3FF2748F" w:rsidTr="00D4166A">
        <w:tc>
          <w:tcPr>
            <w:tcW w:w="2231" w:type="dxa"/>
            <w:tcBorders>
              <w:top w:val="nil"/>
              <w:bottom w:val="nil"/>
              <w:right w:val="single" w:sz="4" w:space="0" w:color="auto"/>
            </w:tcBorders>
            <w:shd w:val="clear" w:color="auto" w:fill="00B0F0"/>
          </w:tcPr>
          <w:p w14:paraId="5224BEF8" w14:textId="45EEF86B" w:rsidR="00F94A63" w:rsidRPr="003673FA" w:rsidRDefault="00F94A63" w:rsidP="00F94A63">
            <w:pPr>
              <w:rPr>
                <w:sz w:val="20"/>
                <w:szCs w:val="20"/>
              </w:rPr>
            </w:pPr>
            <w:r w:rsidRPr="003673FA">
              <w:rPr>
                <w:sz w:val="20"/>
                <w:szCs w:val="20"/>
              </w:rPr>
              <w:t>Agricultural and Veterinary Sciences (5%)</w:t>
            </w:r>
          </w:p>
        </w:tc>
        <w:tc>
          <w:tcPr>
            <w:tcW w:w="2232" w:type="dxa"/>
            <w:tcBorders>
              <w:top w:val="nil"/>
              <w:left w:val="single" w:sz="4" w:space="0" w:color="auto"/>
              <w:bottom w:val="nil"/>
            </w:tcBorders>
            <w:shd w:val="clear" w:color="auto" w:fill="D60093"/>
          </w:tcPr>
          <w:p w14:paraId="66BF05A9" w14:textId="527C8E8B" w:rsidR="00F94A63" w:rsidRPr="003673FA" w:rsidRDefault="00F94A63" w:rsidP="00F94A63">
            <w:pPr>
              <w:rPr>
                <w:color w:val="FFFFFF" w:themeColor="background1"/>
                <w:sz w:val="20"/>
                <w:szCs w:val="20"/>
              </w:rPr>
            </w:pPr>
            <w:r w:rsidRPr="003673FA">
              <w:rPr>
                <w:color w:val="FFFFFF" w:themeColor="background1"/>
                <w:sz w:val="20"/>
                <w:szCs w:val="20"/>
              </w:rPr>
              <w:t>Information and Computing Sciences (5%)</w:t>
            </w:r>
          </w:p>
        </w:tc>
        <w:tc>
          <w:tcPr>
            <w:tcW w:w="2231" w:type="dxa"/>
            <w:tcBorders>
              <w:top w:val="nil"/>
              <w:bottom w:val="nil"/>
              <w:right w:val="single" w:sz="4" w:space="0" w:color="auto"/>
            </w:tcBorders>
            <w:shd w:val="clear" w:color="auto" w:fill="8064A2" w:themeFill="accent4"/>
          </w:tcPr>
          <w:p w14:paraId="49490EDE" w14:textId="147B167B" w:rsidR="00F94A63" w:rsidRPr="003673FA" w:rsidRDefault="00F94A63" w:rsidP="00F94A63">
            <w:pPr>
              <w:rPr>
                <w:color w:val="FFFFFF" w:themeColor="background1"/>
                <w:sz w:val="20"/>
                <w:szCs w:val="20"/>
              </w:rPr>
            </w:pPr>
            <w:r w:rsidRPr="003673FA">
              <w:rPr>
                <w:color w:val="FFFFFF" w:themeColor="background1"/>
                <w:sz w:val="20"/>
                <w:szCs w:val="20"/>
              </w:rPr>
              <w:t>Built Environment and Design (4%)</w:t>
            </w:r>
          </w:p>
        </w:tc>
        <w:tc>
          <w:tcPr>
            <w:tcW w:w="2232" w:type="dxa"/>
            <w:tcBorders>
              <w:top w:val="nil"/>
              <w:left w:val="single" w:sz="4" w:space="0" w:color="auto"/>
              <w:bottom w:val="nil"/>
            </w:tcBorders>
            <w:shd w:val="clear" w:color="auto" w:fill="00B0F0"/>
          </w:tcPr>
          <w:p w14:paraId="12CC38C3" w14:textId="2EEC6C33" w:rsidR="00F94A63" w:rsidRPr="003673FA" w:rsidRDefault="00F94A63" w:rsidP="00F94A63">
            <w:pPr>
              <w:rPr>
                <w:sz w:val="20"/>
                <w:szCs w:val="20"/>
              </w:rPr>
            </w:pPr>
            <w:r w:rsidRPr="003673FA">
              <w:rPr>
                <w:sz w:val="20"/>
                <w:szCs w:val="20"/>
              </w:rPr>
              <w:t>Agricultural and Veterinary Sciences (4%)</w:t>
            </w:r>
          </w:p>
        </w:tc>
      </w:tr>
      <w:tr w:rsidR="00F94A63" w:rsidRPr="003673FA" w14:paraId="4A8ADC62" w14:textId="4B97B3AB" w:rsidTr="00D4166A">
        <w:tc>
          <w:tcPr>
            <w:tcW w:w="2231" w:type="dxa"/>
            <w:tcBorders>
              <w:top w:val="nil"/>
              <w:right w:val="single" w:sz="4" w:space="0" w:color="auto"/>
            </w:tcBorders>
            <w:shd w:val="clear" w:color="auto" w:fill="000000" w:themeFill="text1"/>
          </w:tcPr>
          <w:p w14:paraId="7C9A0014" w14:textId="43D1FB8F" w:rsidR="00F94A63" w:rsidRPr="003673FA" w:rsidRDefault="00F94A63" w:rsidP="00F94A63">
            <w:pPr>
              <w:rPr>
                <w:sz w:val="20"/>
                <w:szCs w:val="20"/>
              </w:rPr>
            </w:pPr>
            <w:r w:rsidRPr="003673FA">
              <w:rPr>
                <w:sz w:val="20"/>
                <w:szCs w:val="20"/>
              </w:rPr>
              <w:t>Commerce, Management, Tourism and Services (4%)</w:t>
            </w:r>
          </w:p>
        </w:tc>
        <w:tc>
          <w:tcPr>
            <w:tcW w:w="2232" w:type="dxa"/>
            <w:tcBorders>
              <w:top w:val="nil"/>
              <w:left w:val="single" w:sz="4" w:space="0" w:color="auto"/>
            </w:tcBorders>
            <w:shd w:val="clear" w:color="auto" w:fill="8064A2" w:themeFill="accent4"/>
          </w:tcPr>
          <w:p w14:paraId="3B0208E9" w14:textId="1F2F007B" w:rsidR="00F94A63" w:rsidRPr="003673FA" w:rsidRDefault="00F94A63" w:rsidP="00F94A63">
            <w:pPr>
              <w:rPr>
                <w:sz w:val="20"/>
                <w:szCs w:val="20"/>
              </w:rPr>
            </w:pPr>
            <w:r w:rsidRPr="003673FA">
              <w:rPr>
                <w:color w:val="FFFFFF" w:themeColor="background1"/>
                <w:sz w:val="20"/>
                <w:szCs w:val="20"/>
              </w:rPr>
              <w:t>Built Environment and Design (4%)</w:t>
            </w:r>
          </w:p>
        </w:tc>
        <w:tc>
          <w:tcPr>
            <w:tcW w:w="2231" w:type="dxa"/>
            <w:tcBorders>
              <w:top w:val="nil"/>
              <w:right w:val="single" w:sz="4" w:space="0" w:color="auto"/>
            </w:tcBorders>
            <w:shd w:val="clear" w:color="auto" w:fill="00B0F0"/>
          </w:tcPr>
          <w:p w14:paraId="581CA00B" w14:textId="3A893628" w:rsidR="00F94A63" w:rsidRPr="003673FA" w:rsidRDefault="00F94A63" w:rsidP="00F94A63">
            <w:pPr>
              <w:rPr>
                <w:color w:val="FFFFFF" w:themeColor="background1"/>
                <w:sz w:val="20"/>
                <w:szCs w:val="20"/>
              </w:rPr>
            </w:pPr>
            <w:r w:rsidRPr="003673FA">
              <w:rPr>
                <w:sz w:val="20"/>
                <w:szCs w:val="20"/>
              </w:rPr>
              <w:t>Agricultural and Veterinary Sciences (4%)</w:t>
            </w:r>
          </w:p>
        </w:tc>
        <w:tc>
          <w:tcPr>
            <w:tcW w:w="2232" w:type="dxa"/>
            <w:tcBorders>
              <w:top w:val="nil"/>
              <w:left w:val="single" w:sz="4" w:space="0" w:color="auto"/>
            </w:tcBorders>
            <w:shd w:val="clear" w:color="auto" w:fill="000000" w:themeFill="text1"/>
          </w:tcPr>
          <w:p w14:paraId="5D34B82F" w14:textId="327BDAF3" w:rsidR="00F94A63" w:rsidRPr="003673FA" w:rsidRDefault="00F94A63" w:rsidP="00F94A63">
            <w:pPr>
              <w:rPr>
                <w:sz w:val="20"/>
                <w:szCs w:val="20"/>
              </w:rPr>
            </w:pPr>
            <w:r w:rsidRPr="003673FA">
              <w:rPr>
                <w:sz w:val="20"/>
                <w:szCs w:val="20"/>
              </w:rPr>
              <w:t>Psychology and Cognitive Sciences (3%)</w:t>
            </w:r>
          </w:p>
        </w:tc>
      </w:tr>
    </w:tbl>
    <w:p w14:paraId="580E7D4D" w14:textId="370A05DE" w:rsidR="00F64D20" w:rsidRPr="003673FA" w:rsidRDefault="00015E17" w:rsidP="005D392C">
      <w:pPr>
        <w:rPr>
          <w:sz w:val="20"/>
          <w:szCs w:val="20"/>
        </w:rPr>
      </w:pPr>
      <w:r w:rsidRPr="003673FA">
        <w:rPr>
          <w:sz w:val="20"/>
          <w:szCs w:val="20"/>
        </w:rPr>
        <w:t>Source: ARC.</w:t>
      </w:r>
    </w:p>
    <w:p w14:paraId="41060919" w14:textId="6A3DCD51" w:rsidR="005D303B" w:rsidRPr="003673FA" w:rsidRDefault="005D303B" w:rsidP="005D392C"/>
    <w:p w14:paraId="357AE338" w14:textId="2B85D8E7" w:rsidR="00251FF4" w:rsidRPr="003673FA" w:rsidRDefault="00010DD6" w:rsidP="00010DD6">
      <w:r w:rsidRPr="003673FA">
        <w:t xml:space="preserve">Engineering has clearly been the dominant </w:t>
      </w:r>
      <w:proofErr w:type="spellStart"/>
      <w:proofErr w:type="gramStart"/>
      <w:r w:rsidR="00FA099D" w:rsidRPr="003673FA">
        <w:t>FoR</w:t>
      </w:r>
      <w:proofErr w:type="spellEnd"/>
      <w:proofErr w:type="gramEnd"/>
      <w:r w:rsidRPr="003673FA">
        <w:t xml:space="preserve">. It accounted for 21 per cent of all partner organisations on Linkage Projects applications under the annual process and 19 per cent under the continuous process. It also accounted for 20 percent of all partner organisations on funded projects under the annual process and 22 percent under the continuous process. </w:t>
      </w:r>
    </w:p>
    <w:p w14:paraId="16EA8C11" w14:textId="77777777" w:rsidR="00251FF4" w:rsidRPr="003673FA" w:rsidRDefault="00251FF4" w:rsidP="00010DD6"/>
    <w:p w14:paraId="681ECD36" w14:textId="023B5712" w:rsidR="00986DFB" w:rsidRPr="003673FA" w:rsidRDefault="00010DD6" w:rsidP="00010DD6">
      <w:r w:rsidRPr="003673FA">
        <w:t xml:space="preserve">Engineering has led all other </w:t>
      </w:r>
      <w:proofErr w:type="spellStart"/>
      <w:r w:rsidR="00FA099D" w:rsidRPr="003673FA">
        <w:t>FoRs</w:t>
      </w:r>
      <w:proofErr w:type="spellEnd"/>
      <w:r w:rsidRPr="003673FA">
        <w:t xml:space="preserve"> in these measures in every round since 2013, except in </w:t>
      </w:r>
      <w:r w:rsidR="00251FF4" w:rsidRPr="003673FA">
        <w:t xml:space="preserve">relation to funded projects in </w:t>
      </w:r>
      <w:r w:rsidRPr="003673FA">
        <w:t>the most recently completed continuous round (2017 C</w:t>
      </w:r>
      <w:r w:rsidR="00251FF4" w:rsidRPr="003673FA">
        <w:t xml:space="preserve">). In that round, </w:t>
      </w:r>
      <w:r w:rsidRPr="003673FA">
        <w:t xml:space="preserve">Studies in Human Society accounted for 20 per cent of all partner organisations on funded projects, while Engineering accounted for </w:t>
      </w:r>
      <w:r w:rsidR="00251FF4" w:rsidRPr="003673FA">
        <w:t>14 per cent. It is important to note</w:t>
      </w:r>
      <w:r w:rsidR="00D52C11" w:rsidRPr="003673FA">
        <w:t xml:space="preserve"> </w:t>
      </w:r>
      <w:r w:rsidR="00251FF4" w:rsidRPr="003673FA">
        <w:t>that the figures in the previous round (2016 C) were just 3 per cent for Studies in Human Society, as opposed to 36 per cent for Engineering</w:t>
      </w:r>
      <w:r w:rsidR="00986DFB" w:rsidRPr="003673FA">
        <w:t>.</w:t>
      </w:r>
      <w:r w:rsidR="00251FF4" w:rsidRPr="003673FA">
        <w:rPr>
          <w:rStyle w:val="FootnoteReference"/>
        </w:rPr>
        <w:footnoteReference w:id="11"/>
      </w:r>
      <w:r w:rsidR="00251FF4" w:rsidRPr="003673FA">
        <w:t xml:space="preserve"> </w:t>
      </w:r>
    </w:p>
    <w:p w14:paraId="37383733" w14:textId="77777777" w:rsidR="00986DFB" w:rsidRPr="003673FA" w:rsidRDefault="00986DFB" w:rsidP="00010DD6"/>
    <w:p w14:paraId="16CF5903" w14:textId="24883F2F" w:rsidR="00010DD6" w:rsidRPr="003673FA" w:rsidRDefault="00986DFB" w:rsidP="00010DD6">
      <w:r w:rsidRPr="003673FA">
        <w:t xml:space="preserve">Overall, the introduction of the continuous process does not yet appear to have created any significant changes in relation to the </w:t>
      </w:r>
      <w:proofErr w:type="spellStart"/>
      <w:r w:rsidR="00FA099D" w:rsidRPr="003673FA">
        <w:t>FoRs</w:t>
      </w:r>
      <w:proofErr w:type="spellEnd"/>
      <w:r w:rsidRPr="003673FA">
        <w:t xml:space="preserve"> in which partner organisations participate. However, there has been some variation within key </w:t>
      </w:r>
      <w:proofErr w:type="spellStart"/>
      <w:r w:rsidR="00FA099D" w:rsidRPr="003673FA">
        <w:t>FoRs</w:t>
      </w:r>
      <w:proofErr w:type="spellEnd"/>
      <w:r w:rsidRPr="003673FA">
        <w:t xml:space="preserve"> across the first two continuous </w:t>
      </w:r>
      <w:r w:rsidRPr="003673FA">
        <w:lastRenderedPageBreak/>
        <w:t>rounds, and further analysis following the completion of the 2018 round may help to provide a clearer picture of any changes.</w:t>
      </w:r>
    </w:p>
    <w:p w14:paraId="17FF9D43" w14:textId="3A0AF9E6" w:rsidR="00ED5EC2" w:rsidRPr="003673FA" w:rsidRDefault="00ED5EC2">
      <w:pPr>
        <w:rPr>
          <w:rFonts w:ascii="Arial" w:eastAsia="Times New Roman" w:hAnsi="Arial"/>
          <w:b/>
          <w:bCs/>
        </w:rPr>
      </w:pPr>
    </w:p>
    <w:p w14:paraId="4C48782A" w14:textId="377E957A" w:rsidR="00F15310" w:rsidRPr="003673FA" w:rsidRDefault="00CF3BCB" w:rsidP="007A17BC">
      <w:pPr>
        <w:pStyle w:val="Heading3"/>
      </w:pPr>
      <w:r w:rsidRPr="003673FA">
        <w:t>Key findings</w:t>
      </w:r>
      <w:r w:rsidR="00F930AF" w:rsidRPr="003673FA">
        <w:t>: Partner organisation involvement</w:t>
      </w:r>
    </w:p>
    <w:p w14:paraId="615EC815" w14:textId="0178D30F" w:rsidR="00F15310" w:rsidRPr="003673FA" w:rsidRDefault="00F15310" w:rsidP="005D392C"/>
    <w:p w14:paraId="1345A2B2" w14:textId="60E40A6A" w:rsidR="007A17BC" w:rsidRPr="003673FA" w:rsidRDefault="007A17BC" w:rsidP="007A17BC">
      <w:pPr>
        <w:pStyle w:val="ListParagraph"/>
        <w:numPr>
          <w:ilvl w:val="0"/>
          <w:numId w:val="20"/>
        </w:numPr>
        <w:rPr>
          <w:color w:val="auto"/>
        </w:rPr>
      </w:pPr>
      <w:r w:rsidRPr="003673FA">
        <w:rPr>
          <w:color w:val="auto"/>
        </w:rPr>
        <w:t xml:space="preserve">The total number of partner organisations involved in </w:t>
      </w:r>
      <w:r w:rsidR="00CC0FD8" w:rsidRPr="003673FA">
        <w:rPr>
          <w:color w:val="auto"/>
        </w:rPr>
        <w:t xml:space="preserve">each round of </w:t>
      </w:r>
      <w:r w:rsidRPr="003673FA">
        <w:rPr>
          <w:color w:val="auto"/>
        </w:rPr>
        <w:t xml:space="preserve">the Linkage Projects scheme has </w:t>
      </w:r>
      <w:r w:rsidR="00BD6623" w:rsidRPr="003673FA">
        <w:rPr>
          <w:color w:val="auto"/>
        </w:rPr>
        <w:t>declined since the introduction of the</w:t>
      </w:r>
      <w:r w:rsidRPr="003673FA">
        <w:rPr>
          <w:color w:val="auto"/>
        </w:rPr>
        <w:t xml:space="preserve"> continuous process</w:t>
      </w:r>
      <w:r w:rsidR="005965F6" w:rsidRPr="003673FA">
        <w:rPr>
          <w:color w:val="auto"/>
        </w:rPr>
        <w:t xml:space="preserve">, but has gradually </w:t>
      </w:r>
      <w:r w:rsidR="00A32A48" w:rsidRPr="003673FA">
        <w:rPr>
          <w:color w:val="auto"/>
        </w:rPr>
        <w:t>increased</w:t>
      </w:r>
      <w:r w:rsidR="005965F6" w:rsidRPr="003673FA">
        <w:rPr>
          <w:color w:val="auto"/>
        </w:rPr>
        <w:t xml:space="preserve"> with each </w:t>
      </w:r>
      <w:r w:rsidR="00CC0FD8" w:rsidRPr="003673FA">
        <w:rPr>
          <w:color w:val="auto"/>
        </w:rPr>
        <w:t xml:space="preserve">continuous </w:t>
      </w:r>
      <w:r w:rsidR="005965F6" w:rsidRPr="003673FA">
        <w:rPr>
          <w:color w:val="auto"/>
        </w:rPr>
        <w:t>round</w:t>
      </w:r>
      <w:r w:rsidRPr="003673FA">
        <w:rPr>
          <w:color w:val="auto"/>
        </w:rPr>
        <w:t>.</w:t>
      </w:r>
    </w:p>
    <w:p w14:paraId="63A916F4" w14:textId="4400BB78" w:rsidR="007A17BC" w:rsidRPr="003673FA" w:rsidRDefault="007A17BC" w:rsidP="007A17BC">
      <w:pPr>
        <w:pStyle w:val="ListParagraph"/>
        <w:numPr>
          <w:ilvl w:val="0"/>
          <w:numId w:val="20"/>
        </w:numPr>
        <w:rPr>
          <w:color w:val="auto"/>
        </w:rPr>
      </w:pPr>
      <w:r w:rsidRPr="003673FA">
        <w:rPr>
          <w:color w:val="auto"/>
        </w:rPr>
        <w:t xml:space="preserve">The average number of partner organisations </w:t>
      </w:r>
      <w:r w:rsidR="00BD6623" w:rsidRPr="003673FA">
        <w:rPr>
          <w:color w:val="auto"/>
        </w:rPr>
        <w:t>per</w:t>
      </w:r>
      <w:r w:rsidRPr="003673FA">
        <w:rPr>
          <w:color w:val="auto"/>
        </w:rPr>
        <w:t xml:space="preserve"> application and funded project has </w:t>
      </w:r>
      <w:r w:rsidR="001D2F92" w:rsidRPr="003673FA">
        <w:rPr>
          <w:color w:val="auto"/>
        </w:rPr>
        <w:t>increased</w:t>
      </w:r>
      <w:r w:rsidRPr="003673FA">
        <w:rPr>
          <w:color w:val="auto"/>
        </w:rPr>
        <w:t xml:space="preserve"> under the continuous process.</w:t>
      </w:r>
    </w:p>
    <w:p w14:paraId="076BF6F0" w14:textId="284A7BF7" w:rsidR="001D2F92" w:rsidRPr="003673FA" w:rsidRDefault="00C10C80" w:rsidP="007A17BC">
      <w:pPr>
        <w:pStyle w:val="ListParagraph"/>
        <w:numPr>
          <w:ilvl w:val="0"/>
          <w:numId w:val="20"/>
        </w:numPr>
        <w:rPr>
          <w:color w:val="auto"/>
        </w:rPr>
      </w:pPr>
      <w:r w:rsidRPr="003673FA">
        <w:rPr>
          <w:color w:val="auto"/>
        </w:rPr>
        <w:t>Business and industry organisations have declined as a proportion of all partner organisations on applications and funded projects under the continuous process.</w:t>
      </w:r>
    </w:p>
    <w:p w14:paraId="3EA28365" w14:textId="6CB80540" w:rsidR="001D2F92" w:rsidRPr="003673FA" w:rsidRDefault="00677EE1" w:rsidP="007A17BC">
      <w:pPr>
        <w:pStyle w:val="ListParagraph"/>
        <w:numPr>
          <w:ilvl w:val="0"/>
          <w:numId w:val="20"/>
        </w:numPr>
        <w:rPr>
          <w:color w:val="auto"/>
        </w:rPr>
      </w:pPr>
      <w:r w:rsidRPr="003673FA">
        <w:rPr>
          <w:color w:val="auto"/>
        </w:rPr>
        <w:t>There are indications</w:t>
      </w:r>
      <w:r w:rsidR="001D2F92" w:rsidRPr="003673FA">
        <w:rPr>
          <w:color w:val="auto"/>
        </w:rPr>
        <w:t xml:space="preserve"> that a </w:t>
      </w:r>
      <w:r w:rsidR="001E509F" w:rsidRPr="003673FA">
        <w:rPr>
          <w:color w:val="auto"/>
        </w:rPr>
        <w:t>smaller</w:t>
      </w:r>
      <w:r w:rsidR="00CC0FD8" w:rsidRPr="003673FA">
        <w:rPr>
          <w:color w:val="auto"/>
        </w:rPr>
        <w:t xml:space="preserve"> proportion of</w:t>
      </w:r>
      <w:r w:rsidR="001D2F92" w:rsidRPr="003673FA">
        <w:rPr>
          <w:color w:val="auto"/>
        </w:rPr>
        <w:t xml:space="preserve"> partner organisations have been repeat participants </w:t>
      </w:r>
      <w:r w:rsidR="00361E0A" w:rsidRPr="003673FA">
        <w:rPr>
          <w:color w:val="auto"/>
        </w:rPr>
        <w:t>in</w:t>
      </w:r>
      <w:r w:rsidR="00F20274" w:rsidRPr="003673FA">
        <w:rPr>
          <w:color w:val="auto"/>
        </w:rPr>
        <w:t xml:space="preserve"> the </w:t>
      </w:r>
      <w:r w:rsidR="001E509F" w:rsidRPr="003673FA">
        <w:rPr>
          <w:color w:val="auto"/>
        </w:rPr>
        <w:t>continuous</w:t>
      </w:r>
      <w:r w:rsidR="00F20274" w:rsidRPr="003673FA">
        <w:rPr>
          <w:color w:val="auto"/>
        </w:rPr>
        <w:t xml:space="preserve"> process than </w:t>
      </w:r>
      <w:r w:rsidR="00361E0A" w:rsidRPr="003673FA">
        <w:rPr>
          <w:color w:val="auto"/>
        </w:rPr>
        <w:t>in</w:t>
      </w:r>
      <w:r w:rsidR="001D2F92" w:rsidRPr="003673FA">
        <w:rPr>
          <w:color w:val="auto"/>
        </w:rPr>
        <w:t xml:space="preserve"> the </w:t>
      </w:r>
      <w:r w:rsidR="001E509F" w:rsidRPr="003673FA">
        <w:rPr>
          <w:color w:val="auto"/>
        </w:rPr>
        <w:t>annual</w:t>
      </w:r>
      <w:r w:rsidR="001D2F92" w:rsidRPr="003673FA">
        <w:rPr>
          <w:color w:val="auto"/>
        </w:rPr>
        <w:t xml:space="preserve"> process</w:t>
      </w:r>
      <w:r w:rsidRPr="003673FA">
        <w:rPr>
          <w:color w:val="auto"/>
        </w:rPr>
        <w:t xml:space="preserve">, but that repeat participants in the continuous process </w:t>
      </w:r>
      <w:r w:rsidR="00F20274" w:rsidRPr="003673FA">
        <w:rPr>
          <w:color w:val="auto"/>
        </w:rPr>
        <w:t>have been</w:t>
      </w:r>
      <w:r w:rsidRPr="003673FA">
        <w:rPr>
          <w:color w:val="auto"/>
        </w:rPr>
        <w:t xml:space="preserve"> involved more frequently</w:t>
      </w:r>
      <w:r w:rsidR="001D2F92" w:rsidRPr="003673FA">
        <w:rPr>
          <w:color w:val="auto"/>
        </w:rPr>
        <w:t>.</w:t>
      </w:r>
    </w:p>
    <w:p w14:paraId="4C1C138C" w14:textId="38212FAC" w:rsidR="00D407E7" w:rsidRPr="003673FA" w:rsidRDefault="00D407E7" w:rsidP="007A17BC">
      <w:pPr>
        <w:pStyle w:val="ListParagraph"/>
        <w:numPr>
          <w:ilvl w:val="0"/>
          <w:numId w:val="20"/>
        </w:numPr>
        <w:rPr>
          <w:color w:val="auto"/>
        </w:rPr>
      </w:pPr>
      <w:r w:rsidRPr="003673FA">
        <w:rPr>
          <w:color w:val="auto"/>
        </w:rPr>
        <w:t xml:space="preserve">The total value of partner organisation contributions has </w:t>
      </w:r>
      <w:r w:rsidR="00BD6623" w:rsidRPr="003673FA">
        <w:rPr>
          <w:color w:val="auto"/>
        </w:rPr>
        <w:t xml:space="preserve">declined </w:t>
      </w:r>
      <w:r w:rsidR="00AD2408" w:rsidRPr="003673FA">
        <w:rPr>
          <w:color w:val="auto"/>
        </w:rPr>
        <w:t xml:space="preserve">under the continuous process. </w:t>
      </w:r>
      <w:r w:rsidR="00DC3143" w:rsidRPr="003673FA">
        <w:rPr>
          <w:color w:val="auto"/>
        </w:rPr>
        <w:t>Data indicate the</w:t>
      </w:r>
      <w:r w:rsidRPr="003673FA">
        <w:rPr>
          <w:color w:val="auto"/>
        </w:rPr>
        <w:t xml:space="preserve"> average</w:t>
      </w:r>
      <w:r w:rsidR="00AD2408" w:rsidRPr="003673FA">
        <w:rPr>
          <w:color w:val="auto"/>
        </w:rPr>
        <w:t xml:space="preserve"> value</w:t>
      </w:r>
      <w:r w:rsidRPr="003673FA">
        <w:rPr>
          <w:color w:val="auto"/>
        </w:rPr>
        <w:t xml:space="preserve"> per project </w:t>
      </w:r>
      <w:r w:rsidR="00DC3143" w:rsidRPr="003673FA">
        <w:rPr>
          <w:color w:val="auto"/>
        </w:rPr>
        <w:t>is growing</w:t>
      </w:r>
      <w:r w:rsidR="009B602B" w:rsidRPr="003673FA">
        <w:rPr>
          <w:color w:val="auto"/>
        </w:rPr>
        <w:t xml:space="preserve">, but further analysis </w:t>
      </w:r>
      <w:r w:rsidR="00BF00A7" w:rsidRPr="003673FA">
        <w:rPr>
          <w:color w:val="auto"/>
        </w:rPr>
        <w:t>would be desirable</w:t>
      </w:r>
      <w:r w:rsidR="009B602B" w:rsidRPr="003673FA">
        <w:rPr>
          <w:color w:val="auto"/>
        </w:rPr>
        <w:t xml:space="preserve"> when more data are available.</w:t>
      </w:r>
    </w:p>
    <w:p w14:paraId="385303B9" w14:textId="7776832A" w:rsidR="00D407E7" w:rsidRPr="003673FA" w:rsidRDefault="009B602B" w:rsidP="007A17BC">
      <w:pPr>
        <w:pStyle w:val="ListParagraph"/>
        <w:numPr>
          <w:ilvl w:val="0"/>
          <w:numId w:val="20"/>
        </w:numPr>
        <w:rPr>
          <w:color w:val="auto"/>
        </w:rPr>
      </w:pPr>
      <w:r w:rsidRPr="003673FA">
        <w:rPr>
          <w:color w:val="auto"/>
        </w:rPr>
        <w:t>Business and industry organisations have continued to provide the highest proportion of partner organisation contributions under the continuous process.</w:t>
      </w:r>
    </w:p>
    <w:p w14:paraId="1892EBC1" w14:textId="17449AF3" w:rsidR="00986DFB" w:rsidRPr="003673FA" w:rsidRDefault="00986DFB" w:rsidP="007A17BC">
      <w:pPr>
        <w:pStyle w:val="ListParagraph"/>
        <w:numPr>
          <w:ilvl w:val="0"/>
          <w:numId w:val="20"/>
        </w:numPr>
        <w:rPr>
          <w:color w:val="auto"/>
        </w:rPr>
      </w:pPr>
      <w:r w:rsidRPr="003673FA">
        <w:rPr>
          <w:color w:val="auto"/>
        </w:rPr>
        <w:t xml:space="preserve">The continuous </w:t>
      </w:r>
      <w:r w:rsidR="00BF00A7" w:rsidRPr="003673FA">
        <w:rPr>
          <w:color w:val="auto"/>
        </w:rPr>
        <w:t>process</w:t>
      </w:r>
      <w:r w:rsidRPr="003673FA">
        <w:rPr>
          <w:color w:val="auto"/>
        </w:rPr>
        <w:t xml:space="preserve"> does not appear to </w:t>
      </w:r>
      <w:r w:rsidR="00DC3143" w:rsidRPr="003673FA">
        <w:rPr>
          <w:color w:val="auto"/>
        </w:rPr>
        <w:t>be associated with a major change</w:t>
      </w:r>
      <w:r w:rsidRPr="003673FA">
        <w:rPr>
          <w:color w:val="auto"/>
        </w:rPr>
        <w:t xml:space="preserve"> </w:t>
      </w:r>
      <w:r w:rsidR="00DC3143" w:rsidRPr="003673FA">
        <w:rPr>
          <w:color w:val="auto"/>
        </w:rPr>
        <w:t xml:space="preserve">in </w:t>
      </w:r>
      <w:r w:rsidRPr="003673FA">
        <w:rPr>
          <w:color w:val="auto"/>
        </w:rPr>
        <w:t>the disciplines in which partner organisations have been involved</w:t>
      </w:r>
      <w:r w:rsidR="00BF00A7" w:rsidRPr="003673FA">
        <w:rPr>
          <w:color w:val="auto"/>
        </w:rPr>
        <w:t xml:space="preserve">, but further analysis would be desirable when more </w:t>
      </w:r>
      <w:r w:rsidR="000722BA" w:rsidRPr="003673FA">
        <w:rPr>
          <w:color w:val="auto"/>
        </w:rPr>
        <w:t>rounds have been completed</w:t>
      </w:r>
      <w:r w:rsidR="00BF00A7" w:rsidRPr="003673FA">
        <w:rPr>
          <w:color w:val="auto"/>
        </w:rPr>
        <w:t>.</w:t>
      </w:r>
    </w:p>
    <w:p w14:paraId="73B650D9" w14:textId="77777777" w:rsidR="005965F6" w:rsidRPr="003673FA" w:rsidRDefault="005965F6" w:rsidP="005965F6"/>
    <w:p w14:paraId="7302988C" w14:textId="1EB9C2B3" w:rsidR="009706EA" w:rsidRPr="003673FA" w:rsidRDefault="005D392C" w:rsidP="009706EA">
      <w:pPr>
        <w:pStyle w:val="Heading2"/>
      </w:pPr>
      <w:bookmarkStart w:id="37" w:name="_Toc3285756"/>
      <w:bookmarkStart w:id="38" w:name="_Toc6218379"/>
      <w:r w:rsidRPr="003673FA">
        <w:t>Evaluation question 2</w:t>
      </w:r>
      <w:r w:rsidR="00F6414A" w:rsidRPr="003673FA">
        <w:t xml:space="preserve">: Applications and </w:t>
      </w:r>
      <w:r w:rsidR="00F930AF" w:rsidRPr="003673FA">
        <w:t xml:space="preserve">selection </w:t>
      </w:r>
      <w:r w:rsidR="00F6414A" w:rsidRPr="003673FA">
        <w:t>outcomes</w:t>
      </w:r>
      <w:bookmarkEnd w:id="37"/>
      <w:bookmarkEnd w:id="38"/>
    </w:p>
    <w:p w14:paraId="5FEDE027" w14:textId="53F410D8" w:rsidR="009706EA" w:rsidRPr="003673FA" w:rsidRDefault="009706EA" w:rsidP="005D392C">
      <w:r w:rsidRPr="003673FA">
        <w:rPr>
          <w:noProof/>
          <w:lang w:eastAsia="en-AU"/>
        </w:rPr>
        <mc:AlternateContent>
          <mc:Choice Requires="wps">
            <w:drawing>
              <wp:inline distT="0" distB="0" distL="0" distR="0" wp14:anchorId="55371425" wp14:editId="5393150B">
                <wp:extent cx="5724525" cy="1400175"/>
                <wp:effectExtent l="0" t="0" r="28575"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0175"/>
                        </a:xfrm>
                        <a:prstGeom prst="rect">
                          <a:avLst/>
                        </a:prstGeom>
                        <a:solidFill>
                          <a:srgbClr val="FFFFFF"/>
                        </a:solidFill>
                        <a:ln w="9525">
                          <a:solidFill>
                            <a:srgbClr val="000000"/>
                          </a:solidFill>
                          <a:miter lim="800000"/>
                          <a:headEnd/>
                          <a:tailEnd/>
                        </a:ln>
                      </wps:spPr>
                      <wps:txbx>
                        <w:txbxContent>
                          <w:p w14:paraId="73407F24" w14:textId="0A499628" w:rsidR="00FC696C" w:rsidRPr="005D392C" w:rsidRDefault="00FC696C" w:rsidP="009706EA">
                            <w:r w:rsidRPr="005D392C">
                              <w:t>What changes have there been in Linkage Projects applications and selection outcomes under the continuous process, including:</w:t>
                            </w:r>
                          </w:p>
                          <w:p w14:paraId="0C5A819E" w14:textId="77777777" w:rsidR="00FC696C" w:rsidRDefault="00FC696C" w:rsidP="00765927">
                            <w:pPr>
                              <w:pStyle w:val="ListParagraph"/>
                              <w:numPr>
                                <w:ilvl w:val="0"/>
                                <w:numId w:val="8"/>
                              </w:numPr>
                              <w:spacing w:line="259" w:lineRule="auto"/>
                              <w:rPr>
                                <w:color w:val="auto"/>
                                <w:szCs w:val="24"/>
                              </w:rPr>
                            </w:pPr>
                            <w:r w:rsidRPr="005D392C">
                              <w:rPr>
                                <w:color w:val="auto"/>
                                <w:szCs w:val="24"/>
                              </w:rPr>
                              <w:t>the number of applications submitted</w:t>
                            </w:r>
                          </w:p>
                          <w:p w14:paraId="38C716BE" w14:textId="77777777" w:rsidR="00FC696C" w:rsidRDefault="00FC696C" w:rsidP="00765927">
                            <w:pPr>
                              <w:pStyle w:val="ListParagraph"/>
                              <w:numPr>
                                <w:ilvl w:val="0"/>
                                <w:numId w:val="8"/>
                              </w:numPr>
                              <w:spacing w:line="259" w:lineRule="auto"/>
                              <w:rPr>
                                <w:color w:val="auto"/>
                                <w:szCs w:val="24"/>
                              </w:rPr>
                            </w:pPr>
                            <w:r w:rsidRPr="005D392C">
                              <w:rPr>
                                <w:color w:val="auto"/>
                                <w:szCs w:val="24"/>
                              </w:rPr>
                              <w:t>the timing of application submissions</w:t>
                            </w:r>
                          </w:p>
                          <w:p w14:paraId="41DC6E28" w14:textId="77777777" w:rsidR="00FC696C" w:rsidRDefault="00FC696C" w:rsidP="00D86F69">
                            <w:pPr>
                              <w:pStyle w:val="ListParagraph"/>
                              <w:numPr>
                                <w:ilvl w:val="0"/>
                                <w:numId w:val="8"/>
                              </w:numPr>
                              <w:spacing w:line="259" w:lineRule="auto"/>
                              <w:rPr>
                                <w:color w:val="auto"/>
                                <w:szCs w:val="24"/>
                              </w:rPr>
                            </w:pPr>
                            <w:r w:rsidRPr="005D392C">
                              <w:rPr>
                                <w:color w:val="auto"/>
                                <w:szCs w:val="24"/>
                              </w:rPr>
                              <w:t>success and return rates</w:t>
                            </w:r>
                          </w:p>
                          <w:p w14:paraId="63628F57" w14:textId="77777777" w:rsidR="00FC696C" w:rsidRDefault="00FC696C" w:rsidP="00765927">
                            <w:pPr>
                              <w:pStyle w:val="ListParagraph"/>
                              <w:numPr>
                                <w:ilvl w:val="0"/>
                                <w:numId w:val="8"/>
                              </w:numPr>
                              <w:spacing w:line="259" w:lineRule="auto"/>
                              <w:rPr>
                                <w:color w:val="auto"/>
                                <w:szCs w:val="24"/>
                              </w:rPr>
                            </w:pPr>
                            <w:r w:rsidRPr="005D392C">
                              <w:rPr>
                                <w:color w:val="auto"/>
                                <w:szCs w:val="24"/>
                              </w:rPr>
                              <w:t>the quality of applications</w:t>
                            </w:r>
                          </w:p>
                          <w:p w14:paraId="2B75F5C8" w14:textId="0426D467" w:rsidR="00FC696C" w:rsidRPr="009706EA" w:rsidRDefault="00FC696C" w:rsidP="00765927">
                            <w:pPr>
                              <w:pStyle w:val="ListParagraph"/>
                              <w:numPr>
                                <w:ilvl w:val="0"/>
                                <w:numId w:val="8"/>
                              </w:numPr>
                              <w:spacing w:line="259" w:lineRule="auto"/>
                              <w:rPr>
                                <w:color w:val="auto"/>
                              </w:rPr>
                            </w:pPr>
                            <w:proofErr w:type="gramStart"/>
                            <w:r w:rsidRPr="009706EA">
                              <w:rPr>
                                <w:color w:val="auto"/>
                                <w:szCs w:val="24"/>
                              </w:rPr>
                              <w:t>the</w:t>
                            </w:r>
                            <w:proofErr w:type="gramEnd"/>
                            <w:r w:rsidRPr="009706EA">
                              <w:rPr>
                                <w:color w:val="auto"/>
                                <w:szCs w:val="24"/>
                              </w:rPr>
                              <w:t xml:space="preserve"> timing of announcements?</w:t>
                            </w:r>
                          </w:p>
                        </w:txbxContent>
                      </wps:txbx>
                      <wps:bodyPr rot="0" vert="horz" wrap="square" lIns="91440" tIns="45720" rIns="91440" bIns="45720" anchor="t" anchorCtr="0">
                        <a:noAutofit/>
                      </wps:bodyPr>
                    </wps:wsp>
                  </a:graphicData>
                </a:graphic>
              </wp:inline>
            </w:drawing>
          </mc:Choice>
          <mc:Fallback>
            <w:pict>
              <v:shape w14:anchorId="55371425" id="_x0000_s1027" type="#_x0000_t202" style="width:450.75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dy6IgIAAEwEAAAOAAAAZHJzL2Uyb0RvYy54bWysVNuO0zAQfUfiHyy/0yRVy+5GTVdLlyKk&#10;5SLt8gFTx2ksbE+w3Sbl6xk72VIB4gGRB8vjGR+fOTOT1e1gNDtK5xXaiheznDNpBdbK7iv+5Wn7&#10;6pozH8DWoNHKip+k57frly9WfVfKObaoa+kYgVhf9l3F2xC6Msu8aKUBP8NOWnI26AwEMt0+qx30&#10;hG50Ns/z11mPru4cCuk9nd6PTr5O+E0jRfjUNF4GpitO3EJaXVp3cc3WKyj3DrpWiYkG/AMLA8rS&#10;o2eoewjADk79BmWUcOixCTOBJsOmUUKmHCibIv8lm8cWOplyIXF8d5bJ/z9Y8fH42TFVU+04s2Co&#10;RE9yCOwNDmwe1ek7X1LQY0dhYaDjGBkz9d0Diq+eWdy0YPfyzjnsWwk1sSvizezi6ojjI8iu/4A1&#10;PQOHgAloaJyJgCQGI3Sq0ulcmUhF0OHyar5YzpecCfIVizwvrpbpDSifr3fOh3cSDYubijsqfYKH&#10;44MPkQ6UzyGJPmpVb5XWyXD73UY7dgRqk236JnR/GaYt6yt+E4n8HSJP358gjArU71qZil+fg6CM&#10;ur21derGAEqPe6Ks7SRk1G5UMQy7YarYVJ8d1idS1uHY3jSOtGnRfeesp9auuP92ACc50+8tVeem&#10;WCziLCRjQdKS4S49u0sPWEFQFQ+cjdtNSPMTFbB4R1VsVNI3lntkMlGmlk2yT+MVZ+LSTlE/fwLr&#10;HwAAAP//AwBQSwMEFAAGAAgAAAAhAFPu3NjdAAAABQEAAA8AAABkcnMvZG93bnJldi54bWxMj8FO&#10;wzAQRO9I/IO1SFwQtRtoaUOcCiFRwa20FVzdeJtE2Otgu2n4e1wu9LLSaEYzb4vFYA3r0YfWkYTx&#10;SABDqpxuqZaw3bzczoCFqEgr4wgl/GCARXl5UahcuyO9Y7+ONUslFHIloYmxyzkPVYNWhZHrkJK3&#10;d96qmKSvufbqmMqt4ZkQU25VS2mhUR0+N1h9rQ9Wwuz+tf8Mb3erj2q6N/N489Avv72U11fD0yOw&#10;iEP8D8MJP6FDmZh27kA6MCMhPRL/bvLmYjwBtpOQZWICvCz4OX35CwAA//8DAFBLAQItABQABgAI&#10;AAAAIQC2gziS/gAAAOEBAAATAAAAAAAAAAAAAAAAAAAAAABbQ29udGVudF9UeXBlc10ueG1sUEsB&#10;Ai0AFAAGAAgAAAAhADj9If/WAAAAlAEAAAsAAAAAAAAAAAAAAAAALwEAAF9yZWxzLy5yZWxzUEsB&#10;Ai0AFAAGAAgAAAAhAIKp3LoiAgAATAQAAA4AAAAAAAAAAAAAAAAALgIAAGRycy9lMm9Eb2MueG1s&#10;UEsBAi0AFAAGAAgAAAAhAFPu3NjdAAAABQEAAA8AAAAAAAAAAAAAAAAAfAQAAGRycy9kb3ducmV2&#10;LnhtbFBLBQYAAAAABAAEAPMAAACGBQAAAAA=&#10;">
                <v:textbox>
                  <w:txbxContent>
                    <w:p w14:paraId="73407F24" w14:textId="0A499628" w:rsidR="00FC696C" w:rsidRPr="005D392C" w:rsidRDefault="00FC696C" w:rsidP="009706EA">
                      <w:r w:rsidRPr="005D392C">
                        <w:t>What changes have there been in Linkage Projects applications and selection outcomes under the continuous process, including:</w:t>
                      </w:r>
                    </w:p>
                    <w:p w14:paraId="0C5A819E" w14:textId="77777777" w:rsidR="00FC696C" w:rsidRDefault="00FC696C" w:rsidP="00765927">
                      <w:pPr>
                        <w:pStyle w:val="ListParagraph"/>
                        <w:numPr>
                          <w:ilvl w:val="0"/>
                          <w:numId w:val="8"/>
                        </w:numPr>
                        <w:spacing w:line="259" w:lineRule="auto"/>
                        <w:rPr>
                          <w:color w:val="auto"/>
                          <w:szCs w:val="24"/>
                        </w:rPr>
                      </w:pPr>
                      <w:r w:rsidRPr="005D392C">
                        <w:rPr>
                          <w:color w:val="auto"/>
                          <w:szCs w:val="24"/>
                        </w:rPr>
                        <w:t>the number of applications submitted</w:t>
                      </w:r>
                    </w:p>
                    <w:p w14:paraId="38C716BE" w14:textId="77777777" w:rsidR="00FC696C" w:rsidRDefault="00FC696C" w:rsidP="00765927">
                      <w:pPr>
                        <w:pStyle w:val="ListParagraph"/>
                        <w:numPr>
                          <w:ilvl w:val="0"/>
                          <w:numId w:val="8"/>
                        </w:numPr>
                        <w:spacing w:line="259" w:lineRule="auto"/>
                        <w:rPr>
                          <w:color w:val="auto"/>
                          <w:szCs w:val="24"/>
                        </w:rPr>
                      </w:pPr>
                      <w:r w:rsidRPr="005D392C">
                        <w:rPr>
                          <w:color w:val="auto"/>
                          <w:szCs w:val="24"/>
                        </w:rPr>
                        <w:t>the timing of application submissions</w:t>
                      </w:r>
                    </w:p>
                    <w:p w14:paraId="41DC6E28" w14:textId="77777777" w:rsidR="00FC696C" w:rsidRDefault="00FC696C" w:rsidP="00D86F69">
                      <w:pPr>
                        <w:pStyle w:val="ListParagraph"/>
                        <w:numPr>
                          <w:ilvl w:val="0"/>
                          <w:numId w:val="8"/>
                        </w:numPr>
                        <w:spacing w:line="259" w:lineRule="auto"/>
                        <w:rPr>
                          <w:color w:val="auto"/>
                          <w:szCs w:val="24"/>
                        </w:rPr>
                      </w:pPr>
                      <w:r w:rsidRPr="005D392C">
                        <w:rPr>
                          <w:color w:val="auto"/>
                          <w:szCs w:val="24"/>
                        </w:rPr>
                        <w:t>success and return rates</w:t>
                      </w:r>
                    </w:p>
                    <w:p w14:paraId="63628F57" w14:textId="77777777" w:rsidR="00FC696C" w:rsidRDefault="00FC696C" w:rsidP="00765927">
                      <w:pPr>
                        <w:pStyle w:val="ListParagraph"/>
                        <w:numPr>
                          <w:ilvl w:val="0"/>
                          <w:numId w:val="8"/>
                        </w:numPr>
                        <w:spacing w:line="259" w:lineRule="auto"/>
                        <w:rPr>
                          <w:color w:val="auto"/>
                          <w:szCs w:val="24"/>
                        </w:rPr>
                      </w:pPr>
                      <w:r w:rsidRPr="005D392C">
                        <w:rPr>
                          <w:color w:val="auto"/>
                          <w:szCs w:val="24"/>
                        </w:rPr>
                        <w:t>the quality of applications</w:t>
                      </w:r>
                    </w:p>
                    <w:p w14:paraId="2B75F5C8" w14:textId="0426D467" w:rsidR="00FC696C" w:rsidRPr="009706EA" w:rsidRDefault="00FC696C" w:rsidP="00765927">
                      <w:pPr>
                        <w:pStyle w:val="ListParagraph"/>
                        <w:numPr>
                          <w:ilvl w:val="0"/>
                          <w:numId w:val="8"/>
                        </w:numPr>
                        <w:spacing w:line="259" w:lineRule="auto"/>
                        <w:rPr>
                          <w:color w:val="auto"/>
                        </w:rPr>
                      </w:pPr>
                      <w:proofErr w:type="gramStart"/>
                      <w:r w:rsidRPr="009706EA">
                        <w:rPr>
                          <w:color w:val="auto"/>
                          <w:szCs w:val="24"/>
                        </w:rPr>
                        <w:t>the</w:t>
                      </w:r>
                      <w:proofErr w:type="gramEnd"/>
                      <w:r w:rsidRPr="009706EA">
                        <w:rPr>
                          <w:color w:val="auto"/>
                          <w:szCs w:val="24"/>
                        </w:rPr>
                        <w:t xml:space="preserve"> timing of announcements?</w:t>
                      </w:r>
                    </w:p>
                  </w:txbxContent>
                </v:textbox>
                <w10:anchorlock/>
              </v:shape>
            </w:pict>
          </mc:Fallback>
        </mc:AlternateContent>
      </w:r>
    </w:p>
    <w:p w14:paraId="006549B0" w14:textId="0984084A" w:rsidR="0092757A" w:rsidRPr="003673FA" w:rsidRDefault="0092757A" w:rsidP="005D392C"/>
    <w:p w14:paraId="7B20BE2B" w14:textId="5B340560" w:rsidR="005D392C" w:rsidRPr="003673FA" w:rsidRDefault="00595B9A" w:rsidP="00595B9A">
      <w:pPr>
        <w:pStyle w:val="Heading3"/>
      </w:pPr>
      <w:r w:rsidRPr="003673FA">
        <w:t>N</w:t>
      </w:r>
      <w:r w:rsidR="005D392C" w:rsidRPr="003673FA">
        <w:t>umber of applications submitted</w:t>
      </w:r>
    </w:p>
    <w:p w14:paraId="4F47A15C" w14:textId="69009C69" w:rsidR="0092757A" w:rsidRPr="003673FA" w:rsidRDefault="0092757A" w:rsidP="0092757A">
      <w:pPr>
        <w:spacing w:line="259" w:lineRule="auto"/>
        <w:rPr>
          <w:szCs w:val="24"/>
        </w:rPr>
      </w:pPr>
    </w:p>
    <w:p w14:paraId="242D90C6" w14:textId="1C31764E" w:rsidR="00585A66" w:rsidRPr="003673FA" w:rsidRDefault="001F0271" w:rsidP="0092757A">
      <w:pPr>
        <w:spacing w:line="259" w:lineRule="auto"/>
        <w:rPr>
          <w:szCs w:val="24"/>
        </w:rPr>
      </w:pPr>
      <w:r w:rsidRPr="003673FA">
        <w:rPr>
          <w:szCs w:val="24"/>
        </w:rPr>
        <w:t xml:space="preserve">As foreshadowed </w:t>
      </w:r>
      <w:r w:rsidR="004C6361" w:rsidRPr="003673FA">
        <w:rPr>
          <w:szCs w:val="24"/>
        </w:rPr>
        <w:t>above</w:t>
      </w:r>
      <w:r w:rsidRPr="003673FA">
        <w:rPr>
          <w:szCs w:val="24"/>
        </w:rPr>
        <w:t xml:space="preserve">, the number of Linkage Projects applications submitted and funded </w:t>
      </w:r>
      <w:r w:rsidR="00F520A8" w:rsidRPr="003673FA">
        <w:rPr>
          <w:szCs w:val="24"/>
        </w:rPr>
        <w:t xml:space="preserve">has </w:t>
      </w:r>
      <w:r w:rsidR="00DC3143" w:rsidRPr="003673FA">
        <w:rPr>
          <w:szCs w:val="24"/>
        </w:rPr>
        <w:t>declined</w:t>
      </w:r>
      <w:r w:rsidR="00F520A8" w:rsidRPr="003673FA">
        <w:rPr>
          <w:szCs w:val="24"/>
        </w:rPr>
        <w:t xml:space="preserve"> since the introduction of the continuous process.</w:t>
      </w:r>
      <w:r w:rsidR="001949F9" w:rsidRPr="003673FA">
        <w:rPr>
          <w:szCs w:val="24"/>
        </w:rPr>
        <w:t xml:space="preserve"> </w:t>
      </w:r>
      <w:hyperlink w:anchor="Figure6" w:history="1">
        <w:r w:rsidRPr="00FC696C">
          <w:rPr>
            <w:rStyle w:val="Hyperlink"/>
            <w:szCs w:val="24"/>
          </w:rPr>
          <w:t xml:space="preserve">Figure </w:t>
        </w:r>
        <w:r w:rsidR="00EB37C2" w:rsidRPr="00FC696C">
          <w:rPr>
            <w:rStyle w:val="Hyperlink"/>
            <w:szCs w:val="24"/>
          </w:rPr>
          <w:t>6</w:t>
        </w:r>
      </w:hyperlink>
      <w:r w:rsidRPr="003673FA">
        <w:rPr>
          <w:szCs w:val="24"/>
        </w:rPr>
        <w:t xml:space="preserve"> </w:t>
      </w:r>
      <w:r w:rsidR="00F520A8" w:rsidRPr="003673FA">
        <w:rPr>
          <w:szCs w:val="24"/>
        </w:rPr>
        <w:t xml:space="preserve">shows that while </w:t>
      </w:r>
      <w:r w:rsidRPr="003673FA">
        <w:rPr>
          <w:szCs w:val="24"/>
        </w:rPr>
        <w:t xml:space="preserve">these numbers appear to be gradually </w:t>
      </w:r>
      <w:r w:rsidR="00F520A8" w:rsidRPr="003673FA">
        <w:rPr>
          <w:szCs w:val="24"/>
        </w:rPr>
        <w:t>increasing with each round, they remain well below the totals</w:t>
      </w:r>
      <w:r w:rsidR="00CC36DD" w:rsidRPr="003673FA">
        <w:rPr>
          <w:szCs w:val="24"/>
        </w:rPr>
        <w:t xml:space="preserve"> for each round</w:t>
      </w:r>
      <w:r w:rsidR="00F520A8" w:rsidRPr="003673FA">
        <w:rPr>
          <w:szCs w:val="24"/>
        </w:rPr>
        <w:t xml:space="preserve"> </w:t>
      </w:r>
      <w:r w:rsidR="00454045" w:rsidRPr="003673FA">
        <w:rPr>
          <w:szCs w:val="24"/>
        </w:rPr>
        <w:t xml:space="preserve">under the </w:t>
      </w:r>
      <w:r w:rsidR="00F520A8" w:rsidRPr="003673FA">
        <w:rPr>
          <w:szCs w:val="24"/>
        </w:rPr>
        <w:t>annual process.</w:t>
      </w:r>
      <w:r w:rsidR="001949F9" w:rsidRPr="003673FA">
        <w:rPr>
          <w:szCs w:val="24"/>
        </w:rPr>
        <w:t xml:space="preserve"> </w:t>
      </w:r>
    </w:p>
    <w:p w14:paraId="7F138672" w14:textId="77777777" w:rsidR="00585A66" w:rsidRPr="003673FA" w:rsidRDefault="00585A66" w:rsidP="0092757A">
      <w:pPr>
        <w:spacing w:line="259" w:lineRule="auto"/>
        <w:rPr>
          <w:szCs w:val="24"/>
        </w:rPr>
      </w:pPr>
    </w:p>
    <w:p w14:paraId="78AC8447" w14:textId="78A4316F" w:rsidR="001F0271" w:rsidRPr="003673FA" w:rsidRDefault="00223DE0" w:rsidP="0092757A">
      <w:pPr>
        <w:spacing w:line="259" w:lineRule="auto"/>
        <w:rPr>
          <w:szCs w:val="24"/>
        </w:rPr>
      </w:pPr>
      <w:r w:rsidRPr="003673FA">
        <w:rPr>
          <w:szCs w:val="24"/>
        </w:rPr>
        <w:t>A</w:t>
      </w:r>
      <w:r w:rsidR="00585A66" w:rsidRPr="003673FA">
        <w:rPr>
          <w:szCs w:val="24"/>
        </w:rPr>
        <w:t xml:space="preserve">dministering and partner organisation </w:t>
      </w:r>
      <w:r w:rsidR="001536D8" w:rsidRPr="003673FA">
        <w:rPr>
          <w:szCs w:val="24"/>
        </w:rPr>
        <w:t>stakeholders</w:t>
      </w:r>
      <w:r w:rsidRPr="003673FA">
        <w:rPr>
          <w:szCs w:val="24"/>
        </w:rPr>
        <w:t xml:space="preserve"> expressed a view that</w:t>
      </w:r>
      <w:r w:rsidR="00C82DFF" w:rsidRPr="003673FA">
        <w:rPr>
          <w:szCs w:val="24"/>
        </w:rPr>
        <w:t xml:space="preserve"> the lack of deadlines under </w:t>
      </w:r>
      <w:r w:rsidRPr="003673FA">
        <w:rPr>
          <w:szCs w:val="24"/>
        </w:rPr>
        <w:t>the continuous process has made Linkage Projects applications less of a priority</w:t>
      </w:r>
      <w:r w:rsidR="00585A66" w:rsidRPr="003673FA">
        <w:rPr>
          <w:szCs w:val="24"/>
        </w:rPr>
        <w:t>.</w:t>
      </w:r>
      <w:r w:rsidR="007E7E8A" w:rsidRPr="003673FA">
        <w:rPr>
          <w:rStyle w:val="FootnoteReference"/>
          <w:szCs w:val="24"/>
        </w:rPr>
        <w:footnoteReference w:id="12"/>
      </w:r>
      <w:r w:rsidRPr="003673FA">
        <w:rPr>
          <w:szCs w:val="24"/>
        </w:rPr>
        <w:t xml:space="preserve"> This is discussed in more detail under evaluation questions 4 and 5.</w:t>
      </w:r>
    </w:p>
    <w:p w14:paraId="196E6263" w14:textId="77777777" w:rsidR="001536D8" w:rsidRPr="003673FA" w:rsidRDefault="001536D8" w:rsidP="0092757A">
      <w:pPr>
        <w:spacing w:line="259" w:lineRule="auto"/>
        <w:rPr>
          <w:szCs w:val="24"/>
        </w:rPr>
      </w:pPr>
    </w:p>
    <w:p w14:paraId="07C22727" w14:textId="58161A3D" w:rsidR="00434C81" w:rsidRPr="003673FA" w:rsidRDefault="00434C81" w:rsidP="00434C81">
      <w:pPr>
        <w:pStyle w:val="Heading4"/>
      </w:pPr>
      <w:bookmarkStart w:id="39" w:name="Figure6"/>
      <w:bookmarkEnd w:id="39"/>
      <w:r w:rsidRPr="003673FA">
        <w:lastRenderedPageBreak/>
        <w:t xml:space="preserve">Figure </w:t>
      </w:r>
      <w:r w:rsidR="00EB37C2" w:rsidRPr="003673FA">
        <w:t>6</w:t>
      </w:r>
      <w:r w:rsidRPr="003673FA">
        <w:t>: Total number of applications submitted and funded</w:t>
      </w:r>
    </w:p>
    <w:p w14:paraId="63EB979C" w14:textId="119F6541" w:rsidR="00434C81" w:rsidRPr="003673FA" w:rsidRDefault="005037A2" w:rsidP="0092757A">
      <w:pPr>
        <w:spacing w:line="259" w:lineRule="auto"/>
        <w:rPr>
          <w:szCs w:val="24"/>
        </w:rPr>
      </w:pPr>
      <w:r w:rsidRPr="003673FA">
        <w:rPr>
          <w:noProof/>
          <w:szCs w:val="24"/>
          <w:lang w:eastAsia="en-AU"/>
        </w:rPr>
        <w:drawing>
          <wp:inline distT="0" distB="0" distL="0" distR="0" wp14:anchorId="7F628A0E" wp14:editId="02B9EFCB">
            <wp:extent cx="3670300" cy="2755900"/>
            <wp:effectExtent l="0" t="0" r="6350" b="6350"/>
            <wp:docPr id="50" name="Picture 50" descr="Figure 6 shows the total applications submitted in each Linkage Projects round from 2013 to 2018, and the total funded in each round from 2013 to 2018." title="Figure 6: Total number of applications submitted and fun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70300" cy="2755900"/>
                    </a:xfrm>
                    <a:prstGeom prst="rect">
                      <a:avLst/>
                    </a:prstGeom>
                    <a:noFill/>
                  </pic:spPr>
                </pic:pic>
              </a:graphicData>
            </a:graphic>
          </wp:inline>
        </w:drawing>
      </w:r>
    </w:p>
    <w:p w14:paraId="31875B58" w14:textId="77777777" w:rsidR="00434C81" w:rsidRPr="003673FA" w:rsidRDefault="00434C81" w:rsidP="00434C81">
      <w:pPr>
        <w:spacing w:line="259" w:lineRule="auto"/>
        <w:rPr>
          <w:sz w:val="20"/>
          <w:szCs w:val="20"/>
        </w:rPr>
      </w:pPr>
      <w:r w:rsidRPr="003673FA">
        <w:rPr>
          <w:sz w:val="20"/>
          <w:szCs w:val="20"/>
        </w:rPr>
        <w:t xml:space="preserve">Source: ARC. </w:t>
      </w:r>
      <w:r w:rsidRPr="003673FA">
        <w:rPr>
          <w:i/>
          <w:sz w:val="20"/>
          <w:szCs w:val="20"/>
        </w:rPr>
        <w:t>Note: complete data for 2018 C were not available at the time of this report’s preparation.</w:t>
      </w:r>
    </w:p>
    <w:p w14:paraId="43B859AE" w14:textId="2ABFF94D" w:rsidR="00434C81" w:rsidRPr="003673FA" w:rsidRDefault="00434C81" w:rsidP="0092757A">
      <w:pPr>
        <w:spacing w:line="259" w:lineRule="auto"/>
        <w:rPr>
          <w:szCs w:val="24"/>
        </w:rPr>
      </w:pPr>
    </w:p>
    <w:p w14:paraId="0FE7C99B" w14:textId="62AB3C1B" w:rsidR="00C43C25" w:rsidRPr="003673FA" w:rsidRDefault="00C43C25" w:rsidP="00C43C25">
      <w:pPr>
        <w:spacing w:line="259" w:lineRule="auto"/>
      </w:pPr>
      <w:r w:rsidRPr="003673FA">
        <w:rPr>
          <w:szCs w:val="24"/>
        </w:rPr>
        <w:t xml:space="preserve">Consistent with </w:t>
      </w:r>
      <w:r w:rsidR="00DC3143" w:rsidRPr="003673FA">
        <w:rPr>
          <w:szCs w:val="24"/>
        </w:rPr>
        <w:t>fewer</w:t>
      </w:r>
      <w:r w:rsidRPr="003673FA">
        <w:rPr>
          <w:szCs w:val="24"/>
        </w:rPr>
        <w:t xml:space="preserve"> funded projects, there has been less total funding awarded in continuous rounds than annual rounds, as shown in </w:t>
      </w:r>
      <w:hyperlink w:anchor="Figure7" w:history="1">
        <w:r w:rsidRPr="00FC696C">
          <w:rPr>
            <w:rStyle w:val="Hyperlink"/>
            <w:szCs w:val="24"/>
          </w:rPr>
          <w:t xml:space="preserve">Figure </w:t>
        </w:r>
        <w:r w:rsidR="00EB37C2" w:rsidRPr="00FC696C">
          <w:rPr>
            <w:rStyle w:val="Hyperlink"/>
            <w:szCs w:val="24"/>
          </w:rPr>
          <w:t>7</w:t>
        </w:r>
      </w:hyperlink>
      <w:r w:rsidRPr="003673FA">
        <w:rPr>
          <w:szCs w:val="24"/>
        </w:rPr>
        <w:t xml:space="preserve">. </w:t>
      </w:r>
      <w:r w:rsidR="008B77E9" w:rsidRPr="003673FA">
        <w:rPr>
          <w:szCs w:val="24"/>
        </w:rPr>
        <w:t>However, t</w:t>
      </w:r>
      <w:r w:rsidRPr="003673FA">
        <w:t xml:space="preserve">he average funding awarded </w:t>
      </w:r>
      <w:r w:rsidR="00DC3143" w:rsidRPr="003673FA">
        <w:t>per</w:t>
      </w:r>
      <w:r w:rsidRPr="003673FA">
        <w:t xml:space="preserve"> project</w:t>
      </w:r>
      <w:r w:rsidR="008B77E9" w:rsidRPr="003673FA">
        <w:t xml:space="preserve"> </w:t>
      </w:r>
      <w:r w:rsidRPr="003673FA">
        <w:t xml:space="preserve">has increased over the period from </w:t>
      </w:r>
      <w:r w:rsidR="00703B7B" w:rsidRPr="003673FA">
        <w:t xml:space="preserve">2013 </w:t>
      </w:r>
      <w:r w:rsidR="00496395" w:rsidRPr="003673FA">
        <w:t>(</w:t>
      </w:r>
      <w:r w:rsidRPr="003673FA">
        <w:t>$332,710 per project</w:t>
      </w:r>
      <w:r w:rsidR="00496395" w:rsidRPr="003673FA">
        <w:t xml:space="preserve">) </w:t>
      </w:r>
      <w:r w:rsidRPr="003673FA">
        <w:t>to</w:t>
      </w:r>
      <w:r w:rsidR="00496395" w:rsidRPr="003673FA">
        <w:t xml:space="preserve"> 2017</w:t>
      </w:r>
      <w:r w:rsidRPr="003673FA">
        <w:t xml:space="preserve"> </w:t>
      </w:r>
      <w:r w:rsidR="00496395" w:rsidRPr="003673FA">
        <w:t>(</w:t>
      </w:r>
      <w:r w:rsidRPr="003673FA">
        <w:t xml:space="preserve">$404,017 </w:t>
      </w:r>
      <w:r w:rsidR="00496395" w:rsidRPr="003673FA">
        <w:t>per project)</w:t>
      </w:r>
      <w:r w:rsidR="00703B7B" w:rsidRPr="003673FA">
        <w:t>, with</w:t>
      </w:r>
      <w:r w:rsidR="00EE1230" w:rsidRPr="003673FA">
        <w:t xml:space="preserve"> higher</w:t>
      </w:r>
      <w:r w:rsidR="008B77E9" w:rsidRPr="003673FA">
        <w:t xml:space="preserve"> values and greater </w:t>
      </w:r>
      <w:r w:rsidR="00703B7B" w:rsidRPr="003673FA">
        <w:t xml:space="preserve">growth </w:t>
      </w:r>
      <w:r w:rsidR="008B77E9" w:rsidRPr="003673FA">
        <w:t>in</w:t>
      </w:r>
      <w:r w:rsidR="00703B7B" w:rsidRPr="003673FA">
        <w:t xml:space="preserve"> the two completed continuous rounds.</w:t>
      </w:r>
    </w:p>
    <w:p w14:paraId="5F661F16" w14:textId="77777777" w:rsidR="00C43C25" w:rsidRPr="003673FA" w:rsidRDefault="00C43C25" w:rsidP="00C43C25">
      <w:pPr>
        <w:spacing w:line="259" w:lineRule="auto"/>
        <w:rPr>
          <w:szCs w:val="24"/>
        </w:rPr>
      </w:pPr>
    </w:p>
    <w:p w14:paraId="6BC38168" w14:textId="5B17B067" w:rsidR="00C43C25" w:rsidRPr="003673FA" w:rsidRDefault="00C43C25" w:rsidP="00C43C25">
      <w:pPr>
        <w:pStyle w:val="Heading4"/>
      </w:pPr>
      <w:bookmarkStart w:id="40" w:name="Figure7"/>
      <w:bookmarkEnd w:id="40"/>
      <w:r w:rsidRPr="003673FA">
        <w:t xml:space="preserve">Figure </w:t>
      </w:r>
      <w:r w:rsidR="00EB37C2" w:rsidRPr="003673FA">
        <w:t>7</w:t>
      </w:r>
      <w:r w:rsidRPr="003673FA">
        <w:t>: Linkage Projects funding awarded</w:t>
      </w:r>
    </w:p>
    <w:p w14:paraId="46485AA2" w14:textId="67AD62ED" w:rsidR="00C43C25" w:rsidRPr="003673FA" w:rsidRDefault="005037A2" w:rsidP="00C43C25">
      <w:pPr>
        <w:spacing w:line="259" w:lineRule="auto"/>
        <w:rPr>
          <w:szCs w:val="24"/>
        </w:rPr>
      </w:pPr>
      <w:r w:rsidRPr="003673FA">
        <w:rPr>
          <w:noProof/>
          <w:szCs w:val="24"/>
          <w:lang w:eastAsia="en-AU"/>
        </w:rPr>
        <w:drawing>
          <wp:inline distT="0" distB="0" distL="0" distR="0" wp14:anchorId="61CB5FF9" wp14:editId="0090263C">
            <wp:extent cx="4529455" cy="2755900"/>
            <wp:effectExtent l="0" t="0" r="4445" b="6350"/>
            <wp:docPr id="51" name="Picture 51" descr="Figure 7 shows the total funding awarded in each round and the average funding awarded per project in each Linkage Projects round from 2013 to 2017." title="Figure 7: Linkage Projects funding award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29455" cy="2755900"/>
                    </a:xfrm>
                    <a:prstGeom prst="rect">
                      <a:avLst/>
                    </a:prstGeom>
                    <a:noFill/>
                  </pic:spPr>
                </pic:pic>
              </a:graphicData>
            </a:graphic>
          </wp:inline>
        </w:drawing>
      </w:r>
    </w:p>
    <w:p w14:paraId="60C9C966" w14:textId="7B2C78BC" w:rsidR="00C43C25" w:rsidRPr="003673FA" w:rsidRDefault="00C43C25" w:rsidP="00C43C25">
      <w:pPr>
        <w:spacing w:line="259" w:lineRule="auto"/>
        <w:rPr>
          <w:sz w:val="20"/>
          <w:szCs w:val="20"/>
        </w:rPr>
      </w:pPr>
      <w:r w:rsidRPr="003673FA">
        <w:rPr>
          <w:sz w:val="20"/>
          <w:szCs w:val="20"/>
        </w:rPr>
        <w:t xml:space="preserve">Source: ARC. </w:t>
      </w:r>
      <w:r w:rsidRPr="003673FA">
        <w:rPr>
          <w:i/>
          <w:sz w:val="20"/>
          <w:szCs w:val="20"/>
        </w:rPr>
        <w:t>Note: data for 2018 C were not available at the time of this report’s preparation.</w:t>
      </w:r>
    </w:p>
    <w:p w14:paraId="5EA03CA5" w14:textId="77777777" w:rsidR="00C43C25" w:rsidRPr="003673FA" w:rsidRDefault="00C43C25" w:rsidP="0092757A">
      <w:pPr>
        <w:spacing w:line="259" w:lineRule="auto"/>
        <w:rPr>
          <w:szCs w:val="24"/>
        </w:rPr>
      </w:pPr>
    </w:p>
    <w:p w14:paraId="322C7653" w14:textId="03A96521" w:rsidR="005D392C" w:rsidRPr="003673FA" w:rsidRDefault="00595B9A" w:rsidP="00595B9A">
      <w:pPr>
        <w:pStyle w:val="Heading3"/>
      </w:pPr>
      <w:r w:rsidRPr="003673FA">
        <w:t>T</w:t>
      </w:r>
      <w:r w:rsidR="005D392C" w:rsidRPr="003673FA">
        <w:t>iming of application submissions</w:t>
      </w:r>
    </w:p>
    <w:p w14:paraId="6BB5161B" w14:textId="224F8F01" w:rsidR="007F37C2" w:rsidRPr="003673FA" w:rsidRDefault="007F37C2" w:rsidP="007F37C2"/>
    <w:p w14:paraId="612DCC04" w14:textId="1925E193" w:rsidR="00AE4A2A" w:rsidRPr="003673FA" w:rsidRDefault="005C089C" w:rsidP="00496395">
      <w:pPr>
        <w:spacing w:line="259" w:lineRule="auto"/>
        <w:rPr>
          <w:szCs w:val="24"/>
        </w:rPr>
      </w:pPr>
      <w:r w:rsidRPr="003673FA">
        <w:rPr>
          <w:szCs w:val="24"/>
        </w:rPr>
        <w:t>T</w:t>
      </w:r>
      <w:r w:rsidR="00AE4A2A" w:rsidRPr="003673FA">
        <w:rPr>
          <w:szCs w:val="24"/>
        </w:rPr>
        <w:t xml:space="preserve">o manage the </w:t>
      </w:r>
      <w:r w:rsidR="00DE7835" w:rsidRPr="003673FA">
        <w:rPr>
          <w:szCs w:val="24"/>
        </w:rPr>
        <w:t xml:space="preserve">continuous process and ensure all funding recommendations are provided to the Minister within six months of </w:t>
      </w:r>
      <w:r w:rsidRPr="003673FA">
        <w:rPr>
          <w:szCs w:val="24"/>
        </w:rPr>
        <w:t>application</w:t>
      </w:r>
      <w:r w:rsidR="00DE7835" w:rsidRPr="003673FA">
        <w:rPr>
          <w:szCs w:val="24"/>
        </w:rPr>
        <w:t xml:space="preserve"> submission, the ARC processes applications in batches. </w:t>
      </w:r>
      <w:r w:rsidRPr="003673FA">
        <w:rPr>
          <w:szCs w:val="24"/>
        </w:rPr>
        <w:t>W</w:t>
      </w:r>
      <w:r w:rsidR="00DE7835" w:rsidRPr="003673FA">
        <w:rPr>
          <w:szCs w:val="24"/>
        </w:rPr>
        <w:t xml:space="preserve">hen the first application under </w:t>
      </w:r>
      <w:r w:rsidRPr="003673FA">
        <w:rPr>
          <w:szCs w:val="24"/>
        </w:rPr>
        <w:t>a</w:t>
      </w:r>
      <w:r w:rsidR="00DE7835" w:rsidRPr="003673FA">
        <w:rPr>
          <w:szCs w:val="24"/>
        </w:rPr>
        <w:t xml:space="preserve"> scheme round is </w:t>
      </w:r>
      <w:r w:rsidRPr="003673FA">
        <w:rPr>
          <w:szCs w:val="24"/>
        </w:rPr>
        <w:t xml:space="preserve">received, the timelines for </w:t>
      </w:r>
      <w:r w:rsidR="00003222" w:rsidRPr="003673FA">
        <w:rPr>
          <w:szCs w:val="24"/>
        </w:rPr>
        <w:t xml:space="preserve">that </w:t>
      </w:r>
      <w:r w:rsidRPr="003673FA">
        <w:rPr>
          <w:szCs w:val="24"/>
        </w:rPr>
        <w:t>round’s batches are set—usually</w:t>
      </w:r>
      <w:r w:rsidR="00DE7835" w:rsidRPr="003673FA">
        <w:rPr>
          <w:szCs w:val="24"/>
        </w:rPr>
        <w:t xml:space="preserve"> at intervals ranging from around 3 weeks to 8 weeks</w:t>
      </w:r>
      <w:r w:rsidRPr="003673FA">
        <w:rPr>
          <w:szCs w:val="24"/>
        </w:rPr>
        <w:t>—</w:t>
      </w:r>
      <w:r w:rsidR="00DE7835" w:rsidRPr="003673FA">
        <w:rPr>
          <w:szCs w:val="24"/>
        </w:rPr>
        <w:t xml:space="preserve">with the final batch </w:t>
      </w:r>
      <w:r w:rsidR="0006012E" w:rsidRPr="003673FA">
        <w:rPr>
          <w:szCs w:val="24"/>
        </w:rPr>
        <w:t>collecting</w:t>
      </w:r>
      <w:r w:rsidR="00DE7835" w:rsidRPr="003673FA">
        <w:rPr>
          <w:szCs w:val="24"/>
        </w:rPr>
        <w:t xml:space="preserve"> all applications received in </w:t>
      </w:r>
      <w:r w:rsidRPr="003673FA">
        <w:rPr>
          <w:szCs w:val="24"/>
        </w:rPr>
        <w:t xml:space="preserve">the last interval up to a date in late </w:t>
      </w:r>
      <w:r w:rsidR="00DE7835" w:rsidRPr="003673FA">
        <w:rPr>
          <w:szCs w:val="24"/>
        </w:rPr>
        <w:t>December</w:t>
      </w:r>
      <w:r w:rsidRPr="003673FA">
        <w:rPr>
          <w:szCs w:val="24"/>
        </w:rPr>
        <w:t xml:space="preserve"> (for example, the final batch for </w:t>
      </w:r>
      <w:r w:rsidR="00BB527E" w:rsidRPr="003673FA">
        <w:rPr>
          <w:szCs w:val="24"/>
        </w:rPr>
        <w:t xml:space="preserve">the </w:t>
      </w:r>
      <w:r w:rsidRPr="003673FA">
        <w:rPr>
          <w:szCs w:val="24"/>
        </w:rPr>
        <w:t xml:space="preserve">2018 </w:t>
      </w:r>
      <w:r w:rsidR="00BB527E" w:rsidRPr="003673FA">
        <w:rPr>
          <w:szCs w:val="24"/>
        </w:rPr>
        <w:t xml:space="preserve">round </w:t>
      </w:r>
      <w:r w:rsidR="0006012E" w:rsidRPr="003673FA">
        <w:rPr>
          <w:szCs w:val="24"/>
        </w:rPr>
        <w:t xml:space="preserve">consisted of </w:t>
      </w:r>
      <w:r w:rsidRPr="003673FA">
        <w:rPr>
          <w:szCs w:val="24"/>
        </w:rPr>
        <w:t>applications received between 28 November and 20 December 2018).</w:t>
      </w:r>
    </w:p>
    <w:p w14:paraId="7796CF37" w14:textId="7D78AF15" w:rsidR="005C089C" w:rsidRPr="003673FA" w:rsidRDefault="005C089C" w:rsidP="007F37C2"/>
    <w:p w14:paraId="128E33ED" w14:textId="434981DE" w:rsidR="005C089C" w:rsidRPr="003673FA" w:rsidRDefault="00BC3735" w:rsidP="005C089C">
      <w:pPr>
        <w:spacing w:line="259" w:lineRule="auto"/>
        <w:rPr>
          <w:szCs w:val="24"/>
        </w:rPr>
      </w:pPr>
      <w:r w:rsidRPr="003673FA">
        <w:t>T</w:t>
      </w:r>
      <w:r w:rsidR="005C089C" w:rsidRPr="003673FA">
        <w:t xml:space="preserve">he size of </w:t>
      </w:r>
      <w:r w:rsidR="00003222" w:rsidRPr="003673FA">
        <w:t>each batch</w:t>
      </w:r>
      <w:r w:rsidR="005C089C" w:rsidRPr="003673FA">
        <w:t xml:space="preserve"> gives a good indication of when applications </w:t>
      </w:r>
      <w:r w:rsidR="00003222" w:rsidRPr="003673FA">
        <w:t>have been</w:t>
      </w:r>
      <w:r w:rsidR="005C089C" w:rsidRPr="003673FA">
        <w:t xml:space="preserve"> submitted</w:t>
      </w:r>
      <w:r w:rsidR="008B1DDF" w:rsidRPr="003673FA">
        <w:t xml:space="preserve"> </w:t>
      </w:r>
      <w:r w:rsidR="0006012E" w:rsidRPr="003673FA">
        <w:t>under the continuous process</w:t>
      </w:r>
      <w:r w:rsidRPr="003673FA">
        <w:t xml:space="preserve">. As shown in </w:t>
      </w:r>
      <w:hyperlink w:anchor="Figure8" w:history="1">
        <w:r w:rsidRPr="00FC696C">
          <w:rPr>
            <w:rStyle w:val="Hyperlink"/>
          </w:rPr>
          <w:t xml:space="preserve">Figure </w:t>
        </w:r>
        <w:r w:rsidR="00EB37C2" w:rsidRPr="00FC696C">
          <w:rPr>
            <w:rStyle w:val="Hyperlink"/>
          </w:rPr>
          <w:t>8</w:t>
        </w:r>
      </w:hyperlink>
      <w:r w:rsidRPr="003673FA">
        <w:t>, t</w:t>
      </w:r>
      <w:r w:rsidR="000A0B07" w:rsidRPr="003673FA">
        <w:t>hey have not been submitted steadily throughout the year, and</w:t>
      </w:r>
      <w:r w:rsidR="008B1DDF" w:rsidRPr="003673FA">
        <w:t xml:space="preserve"> </w:t>
      </w:r>
      <w:r w:rsidR="00BB527E" w:rsidRPr="003673FA">
        <w:t>t</w:t>
      </w:r>
      <w:r w:rsidR="00003222" w:rsidRPr="003673FA">
        <w:t xml:space="preserve">he final batch </w:t>
      </w:r>
      <w:r w:rsidR="0006012E" w:rsidRPr="003673FA">
        <w:t xml:space="preserve">in each round </w:t>
      </w:r>
      <w:r w:rsidR="000A0B07" w:rsidRPr="003673FA">
        <w:t>has accounted</w:t>
      </w:r>
      <w:r w:rsidR="008B1DDF" w:rsidRPr="003673FA">
        <w:t xml:space="preserve"> </w:t>
      </w:r>
      <w:r w:rsidR="00003222" w:rsidRPr="003673FA">
        <w:t xml:space="preserve">for a disproportionate </w:t>
      </w:r>
      <w:r w:rsidR="00BB527E" w:rsidRPr="003673FA">
        <w:t>share</w:t>
      </w:r>
      <w:r w:rsidR="00003222" w:rsidRPr="003673FA">
        <w:t>—</w:t>
      </w:r>
      <w:r w:rsidR="005C089C" w:rsidRPr="003673FA">
        <w:rPr>
          <w:szCs w:val="24"/>
        </w:rPr>
        <w:t>74 per cent in 2016</w:t>
      </w:r>
      <w:r w:rsidR="00BB527E" w:rsidRPr="003673FA">
        <w:rPr>
          <w:szCs w:val="24"/>
        </w:rPr>
        <w:t xml:space="preserve"> C</w:t>
      </w:r>
      <w:r w:rsidR="005C089C" w:rsidRPr="003673FA">
        <w:rPr>
          <w:szCs w:val="24"/>
        </w:rPr>
        <w:t>, and around 47</w:t>
      </w:r>
      <w:r w:rsidRPr="003673FA">
        <w:rPr>
          <w:szCs w:val="24"/>
        </w:rPr>
        <w:t xml:space="preserve"> per cent in both 2017 and 2018—approximately 53 per cent of all applications since the continuous process was introduced.</w:t>
      </w:r>
    </w:p>
    <w:p w14:paraId="441ED424" w14:textId="6BEDB63A" w:rsidR="00C43865" w:rsidRPr="003673FA" w:rsidRDefault="00C43865" w:rsidP="007F37C2"/>
    <w:p w14:paraId="645E946E" w14:textId="1A444A1E" w:rsidR="007F37C2" w:rsidRPr="003673FA" w:rsidRDefault="006C62BE" w:rsidP="007F37C2">
      <w:pPr>
        <w:pStyle w:val="Heading4"/>
      </w:pPr>
      <w:bookmarkStart w:id="41" w:name="Figure8"/>
      <w:bookmarkEnd w:id="41"/>
      <w:r w:rsidRPr="003673FA">
        <w:t xml:space="preserve">Figure </w:t>
      </w:r>
      <w:r w:rsidR="00EB37C2" w:rsidRPr="003673FA">
        <w:t>8</w:t>
      </w:r>
      <w:r w:rsidRPr="003673FA">
        <w:t xml:space="preserve">: Number of applications </w:t>
      </w:r>
      <w:r w:rsidR="00376B9B" w:rsidRPr="003673FA">
        <w:t>by</w:t>
      </w:r>
      <w:r w:rsidRPr="003673FA">
        <w:t xml:space="preserve"> batch</w:t>
      </w:r>
    </w:p>
    <w:p w14:paraId="6163FBB0" w14:textId="3F7FE31E" w:rsidR="00BF6E12" w:rsidRPr="003673FA" w:rsidRDefault="005037A2" w:rsidP="0092757A">
      <w:pPr>
        <w:spacing w:line="259" w:lineRule="auto"/>
        <w:rPr>
          <w:szCs w:val="24"/>
        </w:rPr>
      </w:pPr>
      <w:r w:rsidRPr="003673FA">
        <w:rPr>
          <w:noProof/>
          <w:szCs w:val="24"/>
          <w:lang w:eastAsia="en-AU"/>
        </w:rPr>
        <w:drawing>
          <wp:inline distT="0" distB="0" distL="0" distR="0" wp14:anchorId="0D7BE7D6" wp14:editId="05BEEA88">
            <wp:extent cx="3590925" cy="3243580"/>
            <wp:effectExtent l="0" t="0" r="9525" b="0"/>
            <wp:docPr id="52" name="Picture 52" descr="Figure 8 shows the number of applications submitted in each batch under continuous process rounds from 2016 to 2018." title="Figure 8: Number of applications by b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90925" cy="3243580"/>
                    </a:xfrm>
                    <a:prstGeom prst="rect">
                      <a:avLst/>
                    </a:prstGeom>
                    <a:noFill/>
                  </pic:spPr>
                </pic:pic>
              </a:graphicData>
            </a:graphic>
          </wp:inline>
        </w:drawing>
      </w:r>
    </w:p>
    <w:p w14:paraId="07D8F2D9" w14:textId="7CFEA753" w:rsidR="00AF3458" w:rsidRPr="003673FA" w:rsidRDefault="006C62BE" w:rsidP="0092757A">
      <w:pPr>
        <w:spacing w:line="259" w:lineRule="auto"/>
        <w:rPr>
          <w:sz w:val="20"/>
          <w:szCs w:val="20"/>
        </w:rPr>
      </w:pPr>
      <w:r w:rsidRPr="003673FA">
        <w:rPr>
          <w:sz w:val="20"/>
          <w:szCs w:val="20"/>
        </w:rPr>
        <w:t>Source: ARC</w:t>
      </w:r>
      <w:r w:rsidR="006557F6" w:rsidRPr="003673FA">
        <w:rPr>
          <w:sz w:val="20"/>
          <w:szCs w:val="20"/>
        </w:rPr>
        <w:t>.</w:t>
      </w:r>
    </w:p>
    <w:p w14:paraId="7BB5D59C" w14:textId="77777777" w:rsidR="006C62BE" w:rsidRPr="003673FA" w:rsidRDefault="006C62BE" w:rsidP="0092757A">
      <w:pPr>
        <w:spacing w:line="259" w:lineRule="auto"/>
        <w:rPr>
          <w:szCs w:val="24"/>
        </w:rPr>
      </w:pPr>
    </w:p>
    <w:p w14:paraId="28422B9C" w14:textId="58B9FF2F" w:rsidR="00BB527E" w:rsidRPr="003673FA" w:rsidRDefault="00BB527E" w:rsidP="0092757A">
      <w:pPr>
        <w:spacing w:line="259" w:lineRule="auto"/>
        <w:rPr>
          <w:szCs w:val="24"/>
        </w:rPr>
      </w:pPr>
      <w:r w:rsidRPr="003673FA">
        <w:rPr>
          <w:szCs w:val="24"/>
        </w:rPr>
        <w:t xml:space="preserve">These data suggest that </w:t>
      </w:r>
      <w:r w:rsidR="00EB0106" w:rsidRPr="003673FA">
        <w:rPr>
          <w:szCs w:val="24"/>
        </w:rPr>
        <w:t>many</w:t>
      </w:r>
      <w:r w:rsidRPr="003673FA">
        <w:rPr>
          <w:szCs w:val="24"/>
        </w:rPr>
        <w:t xml:space="preserve"> </w:t>
      </w:r>
      <w:r w:rsidR="0006012E" w:rsidRPr="003673FA">
        <w:rPr>
          <w:szCs w:val="24"/>
        </w:rPr>
        <w:t xml:space="preserve">researchers, universities, and </w:t>
      </w:r>
      <w:r w:rsidRPr="003673FA">
        <w:rPr>
          <w:szCs w:val="24"/>
        </w:rPr>
        <w:t xml:space="preserve">possibly </w:t>
      </w:r>
      <w:r w:rsidR="0006012E" w:rsidRPr="003673FA">
        <w:rPr>
          <w:szCs w:val="24"/>
        </w:rPr>
        <w:t xml:space="preserve">their </w:t>
      </w:r>
      <w:r w:rsidRPr="003673FA">
        <w:rPr>
          <w:szCs w:val="24"/>
        </w:rPr>
        <w:t xml:space="preserve">partner organisations are not responding to the continuous process as the Watt Review and </w:t>
      </w:r>
      <w:r w:rsidR="00EB0106" w:rsidRPr="003673FA">
        <w:rPr>
          <w:szCs w:val="24"/>
        </w:rPr>
        <w:t xml:space="preserve">NISA </w:t>
      </w:r>
      <w:r w:rsidRPr="003673FA">
        <w:rPr>
          <w:szCs w:val="24"/>
        </w:rPr>
        <w:t>envisaged</w:t>
      </w:r>
      <w:r w:rsidR="00EB0106" w:rsidRPr="003673FA">
        <w:rPr>
          <w:szCs w:val="24"/>
        </w:rPr>
        <w:t xml:space="preserve">, and </w:t>
      </w:r>
      <w:r w:rsidR="00DF2126" w:rsidRPr="003673FA">
        <w:rPr>
          <w:szCs w:val="24"/>
        </w:rPr>
        <w:t xml:space="preserve">are not using the </w:t>
      </w:r>
      <w:r w:rsidR="00DC3143" w:rsidRPr="003673FA">
        <w:rPr>
          <w:szCs w:val="24"/>
        </w:rPr>
        <w:t xml:space="preserve">continuous </w:t>
      </w:r>
      <w:r w:rsidR="00DF2126" w:rsidRPr="003673FA">
        <w:rPr>
          <w:szCs w:val="24"/>
        </w:rPr>
        <w:t xml:space="preserve">process to submit applications </w:t>
      </w:r>
      <w:r w:rsidR="00234396" w:rsidRPr="003673FA">
        <w:rPr>
          <w:szCs w:val="24"/>
        </w:rPr>
        <w:t>as opportunities for collaboration arise. Stakeholder perspectives on these issues are discussed in detail under evaluation questions 4 and 5.</w:t>
      </w:r>
    </w:p>
    <w:p w14:paraId="49D189B1" w14:textId="77777777" w:rsidR="00BB527E" w:rsidRPr="003673FA" w:rsidRDefault="00BB527E" w:rsidP="0092757A">
      <w:pPr>
        <w:spacing w:line="259" w:lineRule="auto"/>
        <w:rPr>
          <w:szCs w:val="24"/>
        </w:rPr>
      </w:pPr>
    </w:p>
    <w:p w14:paraId="77250299" w14:textId="71C70098" w:rsidR="005D392C" w:rsidRPr="003673FA" w:rsidRDefault="00595B9A" w:rsidP="00595B9A">
      <w:pPr>
        <w:pStyle w:val="Heading3"/>
      </w:pPr>
      <w:r w:rsidRPr="003673FA">
        <w:t>S</w:t>
      </w:r>
      <w:r w:rsidR="00662D6C" w:rsidRPr="003673FA">
        <w:t>uccess</w:t>
      </w:r>
      <w:r w:rsidR="00282E66" w:rsidRPr="003673FA">
        <w:t xml:space="preserve"> rates, </w:t>
      </w:r>
      <w:r w:rsidR="005D392C" w:rsidRPr="003673FA">
        <w:t>return rates</w:t>
      </w:r>
      <w:r w:rsidR="00662D6C" w:rsidRPr="003673FA">
        <w:t xml:space="preserve"> and quality of applications</w:t>
      </w:r>
    </w:p>
    <w:p w14:paraId="428E382A" w14:textId="77810FCE" w:rsidR="0092757A" w:rsidRPr="003673FA" w:rsidRDefault="0092757A" w:rsidP="0092757A">
      <w:pPr>
        <w:spacing w:line="259" w:lineRule="auto"/>
        <w:rPr>
          <w:szCs w:val="24"/>
        </w:rPr>
      </w:pPr>
    </w:p>
    <w:p w14:paraId="0291AB25" w14:textId="581E9910" w:rsidR="002274F9" w:rsidRPr="003673FA" w:rsidRDefault="002274F9" w:rsidP="0092757A">
      <w:pPr>
        <w:spacing w:line="259" w:lineRule="auto"/>
        <w:rPr>
          <w:szCs w:val="24"/>
        </w:rPr>
      </w:pPr>
      <w:r w:rsidRPr="003673FA">
        <w:rPr>
          <w:szCs w:val="24"/>
        </w:rPr>
        <w:t xml:space="preserve">As shown in </w:t>
      </w:r>
      <w:hyperlink w:anchor="Figure9" w:history="1">
        <w:r w:rsidRPr="00FC696C">
          <w:rPr>
            <w:rStyle w:val="Hyperlink"/>
            <w:szCs w:val="24"/>
          </w:rPr>
          <w:t>Figure 9</w:t>
        </w:r>
      </w:hyperlink>
      <w:r w:rsidRPr="003673FA">
        <w:rPr>
          <w:szCs w:val="24"/>
        </w:rPr>
        <w:t>, there have been fluctuations in Linkage Projects success rates (the number of funded projects as a percentage of applications submitted) and return rates (the amount of ARC funding awarded as a percentage of funding requested in successful applications). The success rate fell from 39 per cent to 31 per cent under the annual process. It then jumped to 40 per cent in the first continuous round in 2016, before falling back to 32 per cent in the 2017 round. By contrast, the return rate increased slightly in the first three rounds of the annual process, before falling from 79 per cent in 2015 to 72 per cent in 2016 A. It then rose in the first two continuous rounds—to 77 per cent in 2016 C and 82 per cent in 2017.</w:t>
      </w:r>
    </w:p>
    <w:p w14:paraId="7E20DDD4" w14:textId="77777777" w:rsidR="00A06E5B" w:rsidRPr="003673FA" w:rsidRDefault="00A06E5B" w:rsidP="00A06E5B">
      <w:pPr>
        <w:spacing w:line="259" w:lineRule="auto"/>
      </w:pPr>
    </w:p>
    <w:p w14:paraId="12B7A82F" w14:textId="47901921" w:rsidR="002274F9" w:rsidRPr="003673FA" w:rsidRDefault="00A06E5B" w:rsidP="00A06E5B">
      <w:pPr>
        <w:spacing w:line="259" w:lineRule="auto"/>
        <w:rPr>
          <w:szCs w:val="24"/>
        </w:rPr>
      </w:pPr>
      <w:r w:rsidRPr="003673FA">
        <w:t>Further analysis of success and return rates should be undertaken after completion of the 2018 round to investigate whether any clearer trends emerge in relation to the continuous process.</w:t>
      </w:r>
    </w:p>
    <w:p w14:paraId="0A19664C" w14:textId="77777777" w:rsidR="00A06E5B" w:rsidRPr="003673FA" w:rsidRDefault="00A06E5B" w:rsidP="0092757A">
      <w:pPr>
        <w:spacing w:line="259" w:lineRule="auto"/>
        <w:rPr>
          <w:szCs w:val="24"/>
        </w:rPr>
      </w:pPr>
    </w:p>
    <w:p w14:paraId="5CB357D9" w14:textId="113BC424" w:rsidR="00413C7F" w:rsidRPr="003673FA" w:rsidRDefault="00413C7F" w:rsidP="00413C7F">
      <w:pPr>
        <w:pStyle w:val="Heading4"/>
      </w:pPr>
      <w:bookmarkStart w:id="42" w:name="Figure9"/>
      <w:bookmarkEnd w:id="42"/>
      <w:r w:rsidRPr="003673FA">
        <w:lastRenderedPageBreak/>
        <w:t xml:space="preserve">Figure </w:t>
      </w:r>
      <w:r w:rsidR="00EB37C2" w:rsidRPr="003673FA">
        <w:t>9</w:t>
      </w:r>
      <w:r w:rsidRPr="003673FA">
        <w:t>: Linkage Projects success and return rates</w:t>
      </w:r>
    </w:p>
    <w:p w14:paraId="0C82431E" w14:textId="30AC63AD" w:rsidR="00560273" w:rsidRPr="003673FA" w:rsidRDefault="005037A2" w:rsidP="0092757A">
      <w:pPr>
        <w:spacing w:line="259" w:lineRule="auto"/>
        <w:rPr>
          <w:szCs w:val="24"/>
        </w:rPr>
      </w:pPr>
      <w:r w:rsidRPr="003673FA">
        <w:rPr>
          <w:noProof/>
          <w:szCs w:val="24"/>
          <w:lang w:eastAsia="en-AU"/>
        </w:rPr>
        <w:drawing>
          <wp:inline distT="0" distB="0" distL="0" distR="0" wp14:anchorId="348D7AF3" wp14:editId="04B016C1">
            <wp:extent cx="4584700" cy="2755900"/>
            <wp:effectExtent l="0" t="0" r="6350" b="6350"/>
            <wp:docPr id="53" name="Picture 53" descr="Figure 9 shows success rates and return rates for each Linkahge Projects round from 2013 to 2017." title="Figure 9: Linkage Projects success and return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9298F62" w14:textId="1466F46C" w:rsidR="006970B3" w:rsidRPr="003673FA" w:rsidRDefault="00A13185" w:rsidP="0092757A">
      <w:pPr>
        <w:spacing w:line="259" w:lineRule="auto"/>
        <w:rPr>
          <w:sz w:val="20"/>
          <w:szCs w:val="20"/>
        </w:rPr>
      </w:pPr>
      <w:r w:rsidRPr="003673FA">
        <w:rPr>
          <w:sz w:val="20"/>
          <w:szCs w:val="20"/>
        </w:rPr>
        <w:t>Source: ARC</w:t>
      </w:r>
      <w:r w:rsidR="006557F6" w:rsidRPr="003673FA">
        <w:rPr>
          <w:sz w:val="20"/>
          <w:szCs w:val="20"/>
        </w:rPr>
        <w:t xml:space="preserve">. </w:t>
      </w:r>
      <w:r w:rsidR="006557F6" w:rsidRPr="003673FA">
        <w:rPr>
          <w:i/>
          <w:sz w:val="20"/>
          <w:szCs w:val="20"/>
        </w:rPr>
        <w:t>Note: data for 2018 C were not available at the time of this report’s preparation.</w:t>
      </w:r>
    </w:p>
    <w:p w14:paraId="41732F2A" w14:textId="2B5282C3" w:rsidR="00FC7593" w:rsidRPr="003673FA" w:rsidRDefault="00FC7593" w:rsidP="0092757A">
      <w:pPr>
        <w:spacing w:line="259" w:lineRule="auto"/>
        <w:rPr>
          <w:szCs w:val="24"/>
        </w:rPr>
      </w:pPr>
    </w:p>
    <w:p w14:paraId="7F77655F" w14:textId="7C42088B" w:rsidR="003A25C4" w:rsidRPr="003673FA" w:rsidRDefault="00A06E5B" w:rsidP="0092757A">
      <w:pPr>
        <w:spacing w:line="259" w:lineRule="auto"/>
        <w:rPr>
          <w:szCs w:val="24"/>
        </w:rPr>
      </w:pPr>
      <w:r w:rsidRPr="003673FA">
        <w:rPr>
          <w:szCs w:val="24"/>
        </w:rPr>
        <w:t xml:space="preserve">Scheme success rates and return rates may provide some insights into the quality of applications. For example, higher success rates for a particular round may indicate that better quality applications have been submitted, and higher return rates may indicate better justified project budgets. However, other variables such as the number of applications </w:t>
      </w:r>
      <w:r w:rsidR="00002A6E" w:rsidRPr="003673FA">
        <w:rPr>
          <w:szCs w:val="24"/>
        </w:rPr>
        <w:t xml:space="preserve">submitted </w:t>
      </w:r>
      <w:r w:rsidR="007C3038" w:rsidRPr="003673FA">
        <w:rPr>
          <w:szCs w:val="24"/>
        </w:rPr>
        <w:t>in a round and</w:t>
      </w:r>
      <w:r w:rsidR="00002A6E" w:rsidRPr="003673FA">
        <w:rPr>
          <w:szCs w:val="24"/>
        </w:rPr>
        <w:t xml:space="preserve"> the </w:t>
      </w:r>
      <w:r w:rsidRPr="003673FA">
        <w:rPr>
          <w:szCs w:val="24"/>
        </w:rPr>
        <w:t>amount of funding available</w:t>
      </w:r>
      <w:r w:rsidR="00002A6E" w:rsidRPr="003673FA">
        <w:rPr>
          <w:szCs w:val="24"/>
        </w:rPr>
        <w:t xml:space="preserve"> must </w:t>
      </w:r>
      <w:r w:rsidR="007C3038" w:rsidRPr="003673FA">
        <w:rPr>
          <w:szCs w:val="24"/>
        </w:rPr>
        <w:t xml:space="preserve">also be taken into account. </w:t>
      </w:r>
      <w:r w:rsidR="00002A6E" w:rsidRPr="003673FA">
        <w:rPr>
          <w:szCs w:val="24"/>
        </w:rPr>
        <w:t>Given the</w:t>
      </w:r>
      <w:r w:rsidR="007C3038" w:rsidRPr="003673FA">
        <w:rPr>
          <w:szCs w:val="24"/>
        </w:rPr>
        <w:t xml:space="preserve"> variations </w:t>
      </w:r>
      <w:r w:rsidR="00A20952" w:rsidRPr="003673FA">
        <w:rPr>
          <w:szCs w:val="24"/>
        </w:rPr>
        <w:t xml:space="preserve">in these areas </w:t>
      </w:r>
      <w:r w:rsidR="007C3038" w:rsidRPr="003673FA">
        <w:rPr>
          <w:szCs w:val="24"/>
        </w:rPr>
        <w:t xml:space="preserve">that have </w:t>
      </w:r>
      <w:r w:rsidR="00A20952" w:rsidRPr="003673FA">
        <w:rPr>
          <w:szCs w:val="24"/>
        </w:rPr>
        <w:t xml:space="preserve">occurred with </w:t>
      </w:r>
      <w:r w:rsidR="00002A6E" w:rsidRPr="003673FA">
        <w:rPr>
          <w:szCs w:val="24"/>
        </w:rPr>
        <w:t xml:space="preserve">the change to the continuous process, </w:t>
      </w:r>
      <w:r w:rsidRPr="003673FA">
        <w:rPr>
          <w:szCs w:val="24"/>
        </w:rPr>
        <w:t xml:space="preserve">it </w:t>
      </w:r>
      <w:r w:rsidR="00002A6E" w:rsidRPr="003673FA">
        <w:rPr>
          <w:szCs w:val="24"/>
        </w:rPr>
        <w:t xml:space="preserve">is </w:t>
      </w:r>
      <w:r w:rsidRPr="003673FA">
        <w:rPr>
          <w:szCs w:val="24"/>
        </w:rPr>
        <w:t>difficult</w:t>
      </w:r>
      <w:r w:rsidR="007C3038" w:rsidRPr="003673FA">
        <w:rPr>
          <w:szCs w:val="24"/>
        </w:rPr>
        <w:t xml:space="preserve"> to</w:t>
      </w:r>
      <w:r w:rsidRPr="003673FA">
        <w:rPr>
          <w:szCs w:val="24"/>
        </w:rPr>
        <w:t xml:space="preserve"> draw clear conclusions </w:t>
      </w:r>
      <w:r w:rsidR="00575DDE" w:rsidRPr="003673FA">
        <w:rPr>
          <w:szCs w:val="24"/>
        </w:rPr>
        <w:t xml:space="preserve">from the data </w:t>
      </w:r>
      <w:r w:rsidRPr="003673FA">
        <w:rPr>
          <w:szCs w:val="24"/>
        </w:rPr>
        <w:t xml:space="preserve">about </w:t>
      </w:r>
      <w:r w:rsidR="007C3038" w:rsidRPr="003673FA">
        <w:rPr>
          <w:szCs w:val="24"/>
        </w:rPr>
        <w:t xml:space="preserve">changes in the </w:t>
      </w:r>
      <w:r w:rsidRPr="003673FA">
        <w:rPr>
          <w:szCs w:val="24"/>
        </w:rPr>
        <w:t>quality of applications.</w:t>
      </w:r>
      <w:r w:rsidR="007C3038" w:rsidRPr="003673FA">
        <w:rPr>
          <w:szCs w:val="24"/>
        </w:rPr>
        <w:t xml:space="preserve"> However, s</w:t>
      </w:r>
      <w:r w:rsidR="00A0723C" w:rsidRPr="003673FA">
        <w:t xml:space="preserve">ome </w:t>
      </w:r>
      <w:r w:rsidR="00796972" w:rsidRPr="003673FA">
        <w:t>p</w:t>
      </w:r>
      <w:r w:rsidR="00A0723C" w:rsidRPr="003673FA">
        <w:t>erceptions of detailed assessors and SAC members in relation to the quality of applications are discussed under evaluation question 6.</w:t>
      </w:r>
    </w:p>
    <w:p w14:paraId="26ABC8B4" w14:textId="77777777" w:rsidR="00FC7593" w:rsidRPr="003673FA" w:rsidRDefault="00FC7593" w:rsidP="0092757A">
      <w:pPr>
        <w:spacing w:line="259" w:lineRule="auto"/>
        <w:rPr>
          <w:szCs w:val="24"/>
        </w:rPr>
      </w:pPr>
    </w:p>
    <w:p w14:paraId="61E190B4" w14:textId="46768176" w:rsidR="005D392C" w:rsidRPr="003673FA" w:rsidRDefault="00595B9A" w:rsidP="00595B9A">
      <w:pPr>
        <w:pStyle w:val="Heading3"/>
      </w:pPr>
      <w:r w:rsidRPr="003673FA">
        <w:t>Timing of announcements</w:t>
      </w:r>
    </w:p>
    <w:p w14:paraId="1E194B1F" w14:textId="3F87954E" w:rsidR="005D392C" w:rsidRPr="003673FA" w:rsidRDefault="005D392C" w:rsidP="005D392C"/>
    <w:p w14:paraId="6625495F" w14:textId="395A10EC" w:rsidR="00580CC6" w:rsidRPr="003673FA" w:rsidRDefault="00DC3143" w:rsidP="00F912D8">
      <w:r w:rsidRPr="003673FA">
        <w:t>T</w:t>
      </w:r>
      <w:r w:rsidR="00580CC6" w:rsidRPr="003673FA">
        <w:t xml:space="preserve">he Watt Review recommended that </w:t>
      </w:r>
      <w:r w:rsidR="00504E09" w:rsidRPr="003673FA">
        <w:t xml:space="preserve">grant announcements </w:t>
      </w:r>
      <w:r w:rsidRPr="003673FA">
        <w:t xml:space="preserve">under the continuous process </w:t>
      </w:r>
      <w:r w:rsidR="00504E09" w:rsidRPr="003673FA">
        <w:t xml:space="preserve">be made within six months </w:t>
      </w:r>
      <w:r w:rsidR="00580CC6" w:rsidRPr="003673FA">
        <w:t>of</w:t>
      </w:r>
      <w:r w:rsidR="00504E09" w:rsidRPr="003673FA">
        <w:t xml:space="preserve"> the submission of applications.</w:t>
      </w:r>
      <w:r w:rsidR="00504E09" w:rsidRPr="003673FA">
        <w:rPr>
          <w:rStyle w:val="FootnoteReference"/>
        </w:rPr>
        <w:footnoteReference w:id="13"/>
      </w:r>
      <w:r w:rsidR="00504E09" w:rsidRPr="003673FA">
        <w:t xml:space="preserve"> </w:t>
      </w:r>
      <w:r w:rsidR="00ED450D" w:rsidRPr="003673FA">
        <w:t xml:space="preserve">In accordance with the </w:t>
      </w:r>
      <w:r w:rsidR="00ED450D" w:rsidRPr="003673FA">
        <w:rPr>
          <w:i/>
        </w:rPr>
        <w:t>Australian Research Council Act 2001</w:t>
      </w:r>
      <w:r w:rsidR="00ED450D" w:rsidRPr="003673FA">
        <w:t>, ministerial approval is required for all ARC grant</w:t>
      </w:r>
      <w:r w:rsidR="00415BF4" w:rsidRPr="003673FA">
        <w:t>s</w:t>
      </w:r>
      <w:r w:rsidR="00ED450D" w:rsidRPr="003673FA">
        <w:t xml:space="preserve">, with </w:t>
      </w:r>
      <w:r w:rsidR="00715165" w:rsidRPr="003673FA">
        <w:t xml:space="preserve">the ARC </w:t>
      </w:r>
      <w:r w:rsidR="00151732" w:rsidRPr="003673FA">
        <w:t>CEO</w:t>
      </w:r>
      <w:r w:rsidR="00715165" w:rsidRPr="003673FA">
        <w:t xml:space="preserve"> to make </w:t>
      </w:r>
      <w:r w:rsidR="00ED450D" w:rsidRPr="003673FA">
        <w:t xml:space="preserve">recommendations </w:t>
      </w:r>
      <w:r w:rsidR="00715165" w:rsidRPr="003673FA">
        <w:t xml:space="preserve">to the relevant Minister </w:t>
      </w:r>
      <w:r w:rsidR="00415BF4" w:rsidRPr="003673FA">
        <w:t>on</w:t>
      </w:r>
      <w:r w:rsidR="00715165" w:rsidRPr="003673FA">
        <w:t xml:space="preserve"> which grants should be approved and the funding amounts</w:t>
      </w:r>
      <w:r w:rsidR="00ED450D" w:rsidRPr="003673FA">
        <w:t>.</w:t>
      </w:r>
      <w:r w:rsidR="00ED450D" w:rsidRPr="003673FA">
        <w:rPr>
          <w:rStyle w:val="FootnoteReference"/>
        </w:rPr>
        <w:footnoteReference w:id="14"/>
      </w:r>
      <w:r w:rsidR="00ED450D" w:rsidRPr="003673FA">
        <w:t xml:space="preserve"> </w:t>
      </w:r>
      <w:r w:rsidR="00F912D8" w:rsidRPr="003673FA">
        <w:t xml:space="preserve">As </w:t>
      </w:r>
      <w:r w:rsidR="00883017">
        <w:t>with all ARC grant schemes,</w:t>
      </w:r>
      <w:r w:rsidR="00F912D8" w:rsidRPr="003673FA">
        <w:t xml:space="preserve"> successful grants are announced publicly by the Minister, with unsuccessful outcomes made available to applicants via RMS. </w:t>
      </w:r>
      <w:r w:rsidR="00883017">
        <w:t>The timing of grant announcements is at the discretion of the Minister</w:t>
      </w:r>
      <w:r w:rsidR="00F912D8" w:rsidRPr="003673FA">
        <w:t>.</w:t>
      </w:r>
    </w:p>
    <w:p w14:paraId="78C8AC0C" w14:textId="77777777" w:rsidR="00580CC6" w:rsidRPr="003673FA" w:rsidRDefault="00580CC6" w:rsidP="005D392C"/>
    <w:p w14:paraId="4F77B6A3" w14:textId="3ECC7E23" w:rsidR="006970B3" w:rsidRPr="003673FA" w:rsidRDefault="00B12A4B" w:rsidP="005D392C">
      <w:r w:rsidRPr="003673FA">
        <w:t xml:space="preserve">In the 2016 and 2017 continuous rounds, </w:t>
      </w:r>
      <w:r w:rsidR="00580CC6" w:rsidRPr="003673FA">
        <w:t xml:space="preserve">the ARC provided </w:t>
      </w:r>
      <w:r w:rsidRPr="003673FA">
        <w:t>a</w:t>
      </w:r>
      <w:r w:rsidR="00DA6688" w:rsidRPr="003673FA">
        <w:t>ll funding recommendations to the Minister within six months</w:t>
      </w:r>
      <w:r w:rsidR="00F912D8" w:rsidRPr="003673FA">
        <w:t xml:space="preserve">. While all </w:t>
      </w:r>
      <w:r w:rsidR="001703E1" w:rsidRPr="003673FA">
        <w:t xml:space="preserve">successful grants </w:t>
      </w:r>
      <w:r w:rsidR="00F912D8" w:rsidRPr="003673FA">
        <w:t xml:space="preserve">were </w:t>
      </w:r>
      <w:r w:rsidR="001703E1" w:rsidRPr="003673FA">
        <w:t>announced publicly and unsuccessful outcomes made available in RMS w</w:t>
      </w:r>
      <w:r w:rsidR="00F912D8" w:rsidRPr="003673FA">
        <w:t xml:space="preserve">ithin six months in the 2016 continuous round, </w:t>
      </w:r>
      <w:r w:rsidR="00580CC6" w:rsidRPr="003673FA">
        <w:t>this fell to 7</w:t>
      </w:r>
      <w:r w:rsidR="0035283A" w:rsidRPr="003673FA">
        <w:t>2</w:t>
      </w:r>
      <w:r w:rsidR="002F1CAE" w:rsidRPr="003673FA">
        <w:t xml:space="preserve"> per cent in the 2017 round.</w:t>
      </w:r>
      <w:r w:rsidR="00F912D8" w:rsidRPr="003673FA">
        <w:rPr>
          <w:rStyle w:val="FootnoteReference"/>
        </w:rPr>
        <w:footnoteReference w:id="15"/>
      </w:r>
      <w:r w:rsidR="002F1CAE" w:rsidRPr="003673FA">
        <w:t xml:space="preserve"> </w:t>
      </w:r>
    </w:p>
    <w:p w14:paraId="2FCC0231" w14:textId="77777777" w:rsidR="00FE4DC9" w:rsidRPr="003673FA" w:rsidRDefault="00FE4DC9" w:rsidP="005D392C"/>
    <w:p w14:paraId="560D86F3" w14:textId="77777777" w:rsidR="005A4466" w:rsidRPr="003673FA" w:rsidRDefault="005A4466">
      <w:pPr>
        <w:rPr>
          <w:rFonts w:ascii="Arial" w:eastAsia="Times New Roman" w:hAnsi="Arial"/>
          <w:b/>
          <w:bCs/>
        </w:rPr>
      </w:pPr>
      <w:bookmarkStart w:id="43" w:name="_GoBack"/>
      <w:bookmarkEnd w:id="43"/>
      <w:r w:rsidRPr="003673FA">
        <w:br w:type="page"/>
      </w:r>
    </w:p>
    <w:p w14:paraId="16ADFE51" w14:textId="1F0320C9" w:rsidR="00F15310" w:rsidRPr="003673FA" w:rsidRDefault="00CF3BCB" w:rsidP="00F15310">
      <w:pPr>
        <w:pStyle w:val="Heading3"/>
      </w:pPr>
      <w:r w:rsidRPr="003673FA">
        <w:lastRenderedPageBreak/>
        <w:t>Key findings</w:t>
      </w:r>
      <w:r w:rsidR="00F930AF" w:rsidRPr="003673FA">
        <w:t>: Applications and selection outcomes</w:t>
      </w:r>
    </w:p>
    <w:p w14:paraId="4098F321" w14:textId="3785A4B2" w:rsidR="005965F6" w:rsidRPr="003673FA" w:rsidRDefault="005965F6" w:rsidP="005965F6"/>
    <w:p w14:paraId="170A85A4" w14:textId="3CE3A683" w:rsidR="005965F6" w:rsidRPr="003673FA" w:rsidRDefault="005965F6" w:rsidP="005965F6">
      <w:pPr>
        <w:pStyle w:val="ListParagraph"/>
        <w:numPr>
          <w:ilvl w:val="0"/>
          <w:numId w:val="20"/>
        </w:numPr>
        <w:rPr>
          <w:color w:val="auto"/>
        </w:rPr>
      </w:pPr>
      <w:r w:rsidRPr="003673FA">
        <w:rPr>
          <w:color w:val="auto"/>
        </w:rPr>
        <w:t>The total number</w:t>
      </w:r>
      <w:r w:rsidR="00BC3735" w:rsidRPr="003673FA">
        <w:rPr>
          <w:color w:val="auto"/>
        </w:rPr>
        <w:t>s</w:t>
      </w:r>
      <w:r w:rsidRPr="003673FA">
        <w:rPr>
          <w:color w:val="auto"/>
        </w:rPr>
        <w:t xml:space="preserve"> of applications and </w:t>
      </w:r>
      <w:r w:rsidR="008B77E9" w:rsidRPr="003673FA">
        <w:rPr>
          <w:color w:val="auto"/>
        </w:rPr>
        <w:t xml:space="preserve">funded </w:t>
      </w:r>
      <w:r w:rsidRPr="003673FA">
        <w:rPr>
          <w:color w:val="auto"/>
        </w:rPr>
        <w:t xml:space="preserve">projects have </w:t>
      </w:r>
      <w:r w:rsidR="00DC3143" w:rsidRPr="003673FA">
        <w:rPr>
          <w:color w:val="auto"/>
        </w:rPr>
        <w:t>declined since the introduction of</w:t>
      </w:r>
      <w:r w:rsidRPr="003673FA">
        <w:rPr>
          <w:color w:val="auto"/>
        </w:rPr>
        <w:t xml:space="preserve"> the continuous process, but have gradually </w:t>
      </w:r>
      <w:r w:rsidR="00760FBD" w:rsidRPr="003673FA">
        <w:rPr>
          <w:color w:val="auto"/>
        </w:rPr>
        <w:t>increased with each continuous round</w:t>
      </w:r>
      <w:r w:rsidRPr="003673FA">
        <w:rPr>
          <w:color w:val="auto"/>
        </w:rPr>
        <w:t>.</w:t>
      </w:r>
    </w:p>
    <w:p w14:paraId="1D0C2046" w14:textId="32ACB3EB" w:rsidR="005965F6" w:rsidRPr="003673FA" w:rsidRDefault="008B77E9" w:rsidP="005965F6">
      <w:pPr>
        <w:pStyle w:val="ListParagraph"/>
        <w:numPr>
          <w:ilvl w:val="0"/>
          <w:numId w:val="20"/>
        </w:numPr>
        <w:rPr>
          <w:color w:val="auto"/>
        </w:rPr>
      </w:pPr>
      <w:r w:rsidRPr="003673FA">
        <w:rPr>
          <w:color w:val="auto"/>
        </w:rPr>
        <w:t xml:space="preserve">Total grant funding has been lower under the continuous process, but average funding per project has been higher and has grown </w:t>
      </w:r>
      <w:r w:rsidR="00B45136" w:rsidRPr="003673FA">
        <w:rPr>
          <w:color w:val="auto"/>
        </w:rPr>
        <w:t>at a</w:t>
      </w:r>
      <w:r w:rsidR="00DC3143" w:rsidRPr="003673FA">
        <w:rPr>
          <w:color w:val="auto"/>
        </w:rPr>
        <w:t xml:space="preserve"> relatively fast</w:t>
      </w:r>
      <w:r w:rsidR="00B45136" w:rsidRPr="003673FA">
        <w:rPr>
          <w:color w:val="auto"/>
        </w:rPr>
        <w:t xml:space="preserve"> rate</w:t>
      </w:r>
      <w:r w:rsidRPr="003673FA">
        <w:rPr>
          <w:color w:val="auto"/>
        </w:rPr>
        <w:t>.</w:t>
      </w:r>
    </w:p>
    <w:p w14:paraId="158A225E" w14:textId="63A00433" w:rsidR="008B77E9" w:rsidRPr="003673FA" w:rsidRDefault="00BC3735" w:rsidP="005965F6">
      <w:pPr>
        <w:pStyle w:val="ListParagraph"/>
        <w:numPr>
          <w:ilvl w:val="0"/>
          <w:numId w:val="20"/>
        </w:numPr>
        <w:rPr>
          <w:color w:val="auto"/>
        </w:rPr>
      </w:pPr>
      <w:r w:rsidRPr="003673FA">
        <w:rPr>
          <w:color w:val="auto"/>
        </w:rPr>
        <w:t>Around</w:t>
      </w:r>
      <w:r w:rsidR="002B3EAC" w:rsidRPr="003673FA">
        <w:rPr>
          <w:color w:val="auto"/>
        </w:rPr>
        <w:t xml:space="preserve"> half of all applications under the continuous process have been submitted in the </w:t>
      </w:r>
      <w:r w:rsidRPr="003673FA">
        <w:rPr>
          <w:color w:val="auto"/>
        </w:rPr>
        <w:t xml:space="preserve">final few weeks </w:t>
      </w:r>
      <w:r w:rsidR="002B3EAC" w:rsidRPr="003673FA">
        <w:rPr>
          <w:color w:val="auto"/>
        </w:rPr>
        <w:t>of each round</w:t>
      </w:r>
      <w:r w:rsidR="00B45136" w:rsidRPr="003673FA">
        <w:rPr>
          <w:color w:val="auto"/>
        </w:rPr>
        <w:t xml:space="preserve">, not </w:t>
      </w:r>
      <w:r w:rsidR="00D53798" w:rsidRPr="003673FA">
        <w:rPr>
          <w:color w:val="auto"/>
        </w:rPr>
        <w:t>steadily</w:t>
      </w:r>
      <w:r w:rsidR="00B45136" w:rsidRPr="003673FA">
        <w:rPr>
          <w:color w:val="auto"/>
        </w:rPr>
        <w:t xml:space="preserve"> throughout the round</w:t>
      </w:r>
      <w:r w:rsidR="002B3EAC" w:rsidRPr="003673FA">
        <w:rPr>
          <w:color w:val="auto"/>
        </w:rPr>
        <w:t>.</w:t>
      </w:r>
    </w:p>
    <w:p w14:paraId="4368241D" w14:textId="7EC2DAFD" w:rsidR="003D4ABB" w:rsidRPr="003673FA" w:rsidRDefault="00B45136" w:rsidP="005965F6">
      <w:pPr>
        <w:pStyle w:val="ListParagraph"/>
        <w:numPr>
          <w:ilvl w:val="0"/>
          <w:numId w:val="20"/>
        </w:numPr>
        <w:rPr>
          <w:color w:val="auto"/>
        </w:rPr>
      </w:pPr>
      <w:r w:rsidRPr="003673FA">
        <w:rPr>
          <w:color w:val="auto"/>
        </w:rPr>
        <w:t>It is too early to</w:t>
      </w:r>
      <w:r w:rsidR="005A4466" w:rsidRPr="003673FA">
        <w:rPr>
          <w:color w:val="auto"/>
        </w:rPr>
        <w:t xml:space="preserve"> identify clear trends in </w:t>
      </w:r>
      <w:r w:rsidR="00742003" w:rsidRPr="003673FA">
        <w:rPr>
          <w:color w:val="auto"/>
        </w:rPr>
        <w:t xml:space="preserve">success rates and return rates </w:t>
      </w:r>
      <w:r w:rsidR="005A4466" w:rsidRPr="003673FA">
        <w:rPr>
          <w:color w:val="auto"/>
        </w:rPr>
        <w:t xml:space="preserve">under the </w:t>
      </w:r>
      <w:r w:rsidR="00742003" w:rsidRPr="003673FA">
        <w:rPr>
          <w:color w:val="auto"/>
        </w:rPr>
        <w:t>continuous process</w:t>
      </w:r>
      <w:r w:rsidRPr="003673FA">
        <w:rPr>
          <w:color w:val="auto"/>
        </w:rPr>
        <w:t xml:space="preserve">. Further analysis would be desirable when more </w:t>
      </w:r>
      <w:r w:rsidR="005A4466" w:rsidRPr="003673FA">
        <w:rPr>
          <w:color w:val="auto"/>
        </w:rPr>
        <w:t>rounds have been completed</w:t>
      </w:r>
      <w:r w:rsidRPr="003673FA">
        <w:rPr>
          <w:color w:val="auto"/>
        </w:rPr>
        <w:t>.</w:t>
      </w:r>
    </w:p>
    <w:p w14:paraId="1CB950CB" w14:textId="76A3A494" w:rsidR="003D4ABB" w:rsidRPr="003673FA" w:rsidRDefault="00B45136" w:rsidP="005965F6">
      <w:pPr>
        <w:pStyle w:val="ListParagraph"/>
        <w:numPr>
          <w:ilvl w:val="0"/>
          <w:numId w:val="20"/>
        </w:numPr>
        <w:rPr>
          <w:color w:val="auto"/>
        </w:rPr>
      </w:pPr>
      <w:r w:rsidRPr="003673FA">
        <w:rPr>
          <w:color w:val="auto"/>
        </w:rPr>
        <w:t xml:space="preserve">Not all grant outcomes have been announced within six months from </w:t>
      </w:r>
      <w:r w:rsidR="005A4466" w:rsidRPr="003673FA">
        <w:rPr>
          <w:color w:val="auto"/>
        </w:rPr>
        <w:t>the submission of applications.</w:t>
      </w:r>
    </w:p>
    <w:p w14:paraId="060400AC" w14:textId="77777777" w:rsidR="00F15310" w:rsidRPr="003673FA" w:rsidRDefault="00F15310" w:rsidP="005D392C"/>
    <w:p w14:paraId="33988508" w14:textId="0261F2A4" w:rsidR="009706EA" w:rsidRPr="003673FA" w:rsidRDefault="005D392C" w:rsidP="009706EA">
      <w:pPr>
        <w:pStyle w:val="Heading2"/>
      </w:pPr>
      <w:bookmarkStart w:id="44" w:name="_Toc3285757"/>
      <w:bookmarkStart w:id="45" w:name="_Toc6218380"/>
      <w:r w:rsidRPr="003673FA">
        <w:t>Evaluation question 3</w:t>
      </w:r>
      <w:r w:rsidR="00F6414A" w:rsidRPr="003673FA">
        <w:t>: ARC administration</w:t>
      </w:r>
      <w:bookmarkEnd w:id="44"/>
      <w:bookmarkEnd w:id="45"/>
    </w:p>
    <w:p w14:paraId="0E250E97" w14:textId="16BBB27B" w:rsidR="009706EA" w:rsidRPr="003673FA" w:rsidRDefault="009706EA" w:rsidP="005D392C">
      <w:r w:rsidRPr="003673FA">
        <w:rPr>
          <w:noProof/>
          <w:lang w:eastAsia="en-AU"/>
        </w:rPr>
        <mc:AlternateContent>
          <mc:Choice Requires="wps">
            <w:drawing>
              <wp:inline distT="0" distB="0" distL="0" distR="0" wp14:anchorId="39BAC45E" wp14:editId="22348C24">
                <wp:extent cx="5724525" cy="1590675"/>
                <wp:effectExtent l="0" t="0" r="28575" b="2857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590675"/>
                        </a:xfrm>
                        <a:prstGeom prst="rect">
                          <a:avLst/>
                        </a:prstGeom>
                        <a:solidFill>
                          <a:srgbClr val="FFFFFF"/>
                        </a:solidFill>
                        <a:ln w="9525">
                          <a:solidFill>
                            <a:srgbClr val="000000"/>
                          </a:solidFill>
                          <a:miter lim="800000"/>
                          <a:headEnd/>
                          <a:tailEnd/>
                        </a:ln>
                      </wps:spPr>
                      <wps:txbx>
                        <w:txbxContent>
                          <w:p w14:paraId="49E3D621" w14:textId="2E16BD70" w:rsidR="00FC696C" w:rsidRPr="005D392C" w:rsidRDefault="00FC696C" w:rsidP="009706EA">
                            <w:r w:rsidRPr="005D392C">
                              <w:t>What are the pros and cons for the ARC in administering the continuous process, including:</w:t>
                            </w:r>
                          </w:p>
                          <w:p w14:paraId="43BAF102" w14:textId="596EAF69" w:rsidR="00FC696C" w:rsidRPr="009706EA" w:rsidRDefault="00FC696C" w:rsidP="00765927">
                            <w:pPr>
                              <w:pStyle w:val="ListParagraph"/>
                              <w:numPr>
                                <w:ilvl w:val="0"/>
                                <w:numId w:val="12"/>
                              </w:numPr>
                              <w:spacing w:line="259" w:lineRule="auto"/>
                              <w:rPr>
                                <w:szCs w:val="24"/>
                              </w:rPr>
                            </w:pPr>
                            <w:r w:rsidRPr="009706EA">
                              <w:rPr>
                                <w:color w:val="auto"/>
                                <w:szCs w:val="24"/>
                              </w:rPr>
                              <w:t>efficiencies or burdens in terms of costs and resources</w:t>
                            </w:r>
                          </w:p>
                          <w:p w14:paraId="75BCA447" w14:textId="77777777" w:rsidR="00FC696C" w:rsidRDefault="00FC696C" w:rsidP="00765927">
                            <w:pPr>
                              <w:pStyle w:val="ListParagraph"/>
                              <w:numPr>
                                <w:ilvl w:val="0"/>
                                <w:numId w:val="12"/>
                              </w:numPr>
                              <w:spacing w:line="259" w:lineRule="auto"/>
                              <w:rPr>
                                <w:color w:val="auto"/>
                                <w:szCs w:val="24"/>
                              </w:rPr>
                            </w:pPr>
                            <w:r w:rsidRPr="005D392C">
                              <w:rPr>
                                <w:color w:val="auto"/>
                                <w:szCs w:val="24"/>
                              </w:rPr>
                              <w:t>managing the flow of applications and assessment (including ‘batching’ of applications)</w:t>
                            </w:r>
                          </w:p>
                          <w:p w14:paraId="3ADEDBCF" w14:textId="77777777" w:rsidR="00FC696C" w:rsidRDefault="00FC696C" w:rsidP="00765927">
                            <w:pPr>
                              <w:pStyle w:val="ListParagraph"/>
                              <w:numPr>
                                <w:ilvl w:val="0"/>
                                <w:numId w:val="12"/>
                              </w:numPr>
                              <w:spacing w:line="259" w:lineRule="auto"/>
                              <w:rPr>
                                <w:color w:val="auto"/>
                                <w:szCs w:val="24"/>
                              </w:rPr>
                            </w:pPr>
                            <w:r w:rsidRPr="005D392C">
                              <w:rPr>
                                <w:color w:val="auto"/>
                                <w:szCs w:val="24"/>
                              </w:rPr>
                              <w:t>effectiveness of assessment processes (including virtual meetings, peer review, ensuring quality applications are funded)</w:t>
                            </w:r>
                          </w:p>
                          <w:p w14:paraId="2763EC58" w14:textId="4C33F0A2" w:rsidR="00FC696C" w:rsidRPr="009706EA" w:rsidRDefault="00FC696C" w:rsidP="00765927">
                            <w:pPr>
                              <w:pStyle w:val="ListParagraph"/>
                              <w:numPr>
                                <w:ilvl w:val="0"/>
                                <w:numId w:val="12"/>
                              </w:numPr>
                              <w:spacing w:line="259" w:lineRule="auto"/>
                              <w:rPr>
                                <w:color w:val="auto"/>
                              </w:rPr>
                            </w:pPr>
                            <w:proofErr w:type="gramStart"/>
                            <w:r w:rsidRPr="009706EA">
                              <w:rPr>
                                <w:color w:val="auto"/>
                                <w:szCs w:val="24"/>
                              </w:rPr>
                              <w:t>administrative</w:t>
                            </w:r>
                            <w:proofErr w:type="gramEnd"/>
                            <w:r w:rsidRPr="009706EA">
                              <w:rPr>
                                <w:color w:val="auto"/>
                                <w:szCs w:val="24"/>
                              </w:rPr>
                              <w:t xml:space="preserve"> risks (such as monitoring, fraud and legal issues)?</w:t>
                            </w:r>
                          </w:p>
                        </w:txbxContent>
                      </wps:txbx>
                      <wps:bodyPr rot="0" vert="horz" wrap="square" lIns="91440" tIns="45720" rIns="91440" bIns="45720" anchor="t" anchorCtr="0">
                        <a:noAutofit/>
                      </wps:bodyPr>
                    </wps:wsp>
                  </a:graphicData>
                </a:graphic>
              </wp:inline>
            </w:drawing>
          </mc:Choice>
          <mc:Fallback>
            <w:pict>
              <v:shape w14:anchorId="39BAC45E" id="_x0000_s1028" type="#_x0000_t202" style="width:450.75pt;height:12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I8yIwIAAEwEAAAOAAAAZHJzL2Uyb0RvYy54bWysVNuO2yAQfa/Uf0C8N3asZHdjxVlts01V&#10;aXuRdvsBGOMYFRgKJHb69R2wN00v6kNVPyCGGQ5nzsx4fTtoRY7CeQmmovNZTokwHBpp9hX9/LR7&#10;dUOJD8w0TIERFT0JT283L1+se1uKAjpQjXAEQYwve1vRLgRbZpnnndDMz8AKg84WnGYBTbfPGsd6&#10;RNcqK/L8KuvBNdYBF97j6f3opJuE37aCh49t60UgqqLILaTVpbWOa7ZZs3LvmO0kn2iwf2ChmTT4&#10;6BnqngVGDk7+BqUld+ChDTMOOoO2lVykHDCbef5LNo8dsyLlguJ4e5bJ/z9Y/uH4yRHZVLSgxDCN&#10;JXoSQyCvYSBFVKe3vsSgR4thYcBjrHLK1NsH4F88MbDtmNmLO+eg7wRrkN083swuro44PoLU/Xto&#10;8Bl2CJCAhtbpKB2KQRAdq3Q6VyZS4Xi4vC4Wy2JJCUfffLnKr66X6Q1WPl+3zoe3AjSJm4o6LH2C&#10;Z8cHHyIdVj6HxNc8KNnspFLJcPt6qxw5MmyTXfom9J/ClCF9RVeRyN8h8vT9CULLgP2upK7ozTmI&#10;lVG3N6ZJ3RiYVOMeKSszCRm1G1UMQz1MFZvqU0NzQmUdjO2N44ibDtw3Snps7Yr6rwfmBCXqncHq&#10;rOaLRZyFZCxQWjTcpae+9DDDEaqigZJxuw1pfqICBu6wiq1M+sZyj0wmytiySfZpvOJMXNop6sdP&#10;YPMdAAD//wMAUEsDBBQABgAIAAAAIQALaDux3QAAAAUBAAAPAAAAZHJzL2Rvd25yZXYueG1sTI/B&#10;TsMwEETvSPyDtUhcELXbktKGOBVCKoJbaSu4uvE2ibDXwXbT8PcYLvSy0mhGM2+L5WAN69GH1pGE&#10;8UgAQ6qcbqmWsNuubufAQlSklXGEEr4xwLK8vChUrt2J3rDfxJqlEgq5ktDE2OWch6pBq8LIdUjJ&#10;OzhvVUzS11x7dUrl1vCJEDNuVUtpoVEdPjVYfW6OVsL87qX/CK/T9Xs1O5hFvLnvn7+8lNdXw+MD&#10;sIhD/A/DL35ChzIx7d2RdGBGQnok/t3kLcQ4A7aXMMlEBrws+Dl9+QMAAP//AwBQSwECLQAUAAYA&#10;CAAAACEAtoM4kv4AAADhAQAAEwAAAAAAAAAAAAAAAAAAAAAAW0NvbnRlbnRfVHlwZXNdLnhtbFBL&#10;AQItABQABgAIAAAAIQA4/SH/1gAAAJQBAAALAAAAAAAAAAAAAAAAAC8BAABfcmVscy8ucmVsc1BL&#10;AQItABQABgAIAAAAIQBxII8yIwIAAEwEAAAOAAAAAAAAAAAAAAAAAC4CAABkcnMvZTJvRG9jLnht&#10;bFBLAQItABQABgAIAAAAIQALaDux3QAAAAUBAAAPAAAAAAAAAAAAAAAAAH0EAABkcnMvZG93bnJl&#10;di54bWxQSwUGAAAAAAQABADzAAAAhwUAAAAA&#10;">
                <v:textbox>
                  <w:txbxContent>
                    <w:p w14:paraId="49E3D621" w14:textId="2E16BD70" w:rsidR="00FC696C" w:rsidRPr="005D392C" w:rsidRDefault="00FC696C" w:rsidP="009706EA">
                      <w:r w:rsidRPr="005D392C">
                        <w:t>What are the pros and cons for the ARC in administering the continuous process, including:</w:t>
                      </w:r>
                    </w:p>
                    <w:p w14:paraId="43BAF102" w14:textId="596EAF69" w:rsidR="00FC696C" w:rsidRPr="009706EA" w:rsidRDefault="00FC696C" w:rsidP="00765927">
                      <w:pPr>
                        <w:pStyle w:val="ListParagraph"/>
                        <w:numPr>
                          <w:ilvl w:val="0"/>
                          <w:numId w:val="12"/>
                        </w:numPr>
                        <w:spacing w:line="259" w:lineRule="auto"/>
                        <w:rPr>
                          <w:szCs w:val="24"/>
                        </w:rPr>
                      </w:pPr>
                      <w:r w:rsidRPr="009706EA">
                        <w:rPr>
                          <w:color w:val="auto"/>
                          <w:szCs w:val="24"/>
                        </w:rPr>
                        <w:t>efficiencies or burdens in terms of costs and resources</w:t>
                      </w:r>
                    </w:p>
                    <w:p w14:paraId="75BCA447" w14:textId="77777777" w:rsidR="00FC696C" w:rsidRDefault="00FC696C" w:rsidP="00765927">
                      <w:pPr>
                        <w:pStyle w:val="ListParagraph"/>
                        <w:numPr>
                          <w:ilvl w:val="0"/>
                          <w:numId w:val="12"/>
                        </w:numPr>
                        <w:spacing w:line="259" w:lineRule="auto"/>
                        <w:rPr>
                          <w:color w:val="auto"/>
                          <w:szCs w:val="24"/>
                        </w:rPr>
                      </w:pPr>
                      <w:r w:rsidRPr="005D392C">
                        <w:rPr>
                          <w:color w:val="auto"/>
                          <w:szCs w:val="24"/>
                        </w:rPr>
                        <w:t>managing the flow of applications and assessment (including ‘batching’ of applications)</w:t>
                      </w:r>
                    </w:p>
                    <w:p w14:paraId="3ADEDBCF" w14:textId="77777777" w:rsidR="00FC696C" w:rsidRDefault="00FC696C" w:rsidP="00765927">
                      <w:pPr>
                        <w:pStyle w:val="ListParagraph"/>
                        <w:numPr>
                          <w:ilvl w:val="0"/>
                          <w:numId w:val="12"/>
                        </w:numPr>
                        <w:spacing w:line="259" w:lineRule="auto"/>
                        <w:rPr>
                          <w:color w:val="auto"/>
                          <w:szCs w:val="24"/>
                        </w:rPr>
                      </w:pPr>
                      <w:r w:rsidRPr="005D392C">
                        <w:rPr>
                          <w:color w:val="auto"/>
                          <w:szCs w:val="24"/>
                        </w:rPr>
                        <w:t>effectiveness of assessment processes (including virtual meetings, peer review, ensuring quality applications are funded)</w:t>
                      </w:r>
                    </w:p>
                    <w:p w14:paraId="2763EC58" w14:textId="4C33F0A2" w:rsidR="00FC696C" w:rsidRPr="009706EA" w:rsidRDefault="00FC696C" w:rsidP="00765927">
                      <w:pPr>
                        <w:pStyle w:val="ListParagraph"/>
                        <w:numPr>
                          <w:ilvl w:val="0"/>
                          <w:numId w:val="12"/>
                        </w:numPr>
                        <w:spacing w:line="259" w:lineRule="auto"/>
                        <w:rPr>
                          <w:color w:val="auto"/>
                        </w:rPr>
                      </w:pPr>
                      <w:proofErr w:type="gramStart"/>
                      <w:r w:rsidRPr="009706EA">
                        <w:rPr>
                          <w:color w:val="auto"/>
                          <w:szCs w:val="24"/>
                        </w:rPr>
                        <w:t>administrative</w:t>
                      </w:r>
                      <w:proofErr w:type="gramEnd"/>
                      <w:r w:rsidRPr="009706EA">
                        <w:rPr>
                          <w:color w:val="auto"/>
                          <w:szCs w:val="24"/>
                        </w:rPr>
                        <w:t xml:space="preserve"> risks (such as monitoring, fraud and legal issues)?</w:t>
                      </w:r>
                    </w:p>
                  </w:txbxContent>
                </v:textbox>
                <w10:anchorlock/>
              </v:shape>
            </w:pict>
          </mc:Fallback>
        </mc:AlternateContent>
      </w:r>
    </w:p>
    <w:p w14:paraId="6225AF64" w14:textId="4F52AB88" w:rsidR="0092757A" w:rsidRPr="003673FA" w:rsidRDefault="0092757A" w:rsidP="005D392C"/>
    <w:p w14:paraId="3823283D" w14:textId="1A48F1EC" w:rsidR="005D392C" w:rsidRPr="003673FA" w:rsidRDefault="00CF7A80" w:rsidP="00595B9A">
      <w:pPr>
        <w:pStyle w:val="Heading3"/>
      </w:pPr>
      <w:r w:rsidRPr="003673FA">
        <w:t xml:space="preserve">Efficiencies and </w:t>
      </w:r>
      <w:r w:rsidR="003645AC" w:rsidRPr="003673FA">
        <w:t>burdens</w:t>
      </w:r>
      <w:r w:rsidRPr="003673FA">
        <w:t xml:space="preserve"> in managing the continuous process</w:t>
      </w:r>
    </w:p>
    <w:p w14:paraId="0B8C07F7" w14:textId="54647C36" w:rsidR="0092757A" w:rsidRPr="003673FA" w:rsidRDefault="0092757A" w:rsidP="0092757A">
      <w:pPr>
        <w:spacing w:line="259" w:lineRule="auto"/>
        <w:rPr>
          <w:szCs w:val="24"/>
        </w:rPr>
      </w:pPr>
    </w:p>
    <w:p w14:paraId="1F084B94" w14:textId="77CB4300" w:rsidR="00D87402" w:rsidRPr="003673FA" w:rsidRDefault="00096B3C" w:rsidP="007D78AE">
      <w:pPr>
        <w:spacing w:line="259" w:lineRule="auto"/>
        <w:rPr>
          <w:szCs w:val="24"/>
        </w:rPr>
      </w:pPr>
      <w:r w:rsidRPr="003673FA">
        <w:rPr>
          <w:szCs w:val="24"/>
        </w:rPr>
        <w:t>In response to the</w:t>
      </w:r>
      <w:r w:rsidR="00C076DB" w:rsidRPr="003673FA">
        <w:rPr>
          <w:szCs w:val="24"/>
        </w:rPr>
        <w:t xml:space="preserve"> </w:t>
      </w:r>
      <w:r w:rsidRPr="003673FA">
        <w:rPr>
          <w:szCs w:val="24"/>
        </w:rPr>
        <w:t>introduction of the continuous process, the ARC implemented a number of modifications to accommodate the continuous nature of the scheme</w:t>
      </w:r>
      <w:r w:rsidR="007D78AE" w:rsidRPr="003673FA">
        <w:rPr>
          <w:szCs w:val="24"/>
        </w:rPr>
        <w:t>.</w:t>
      </w:r>
      <w:r w:rsidR="009A2BF4" w:rsidRPr="003673FA">
        <w:rPr>
          <w:rStyle w:val="FootnoteReference"/>
          <w:szCs w:val="24"/>
        </w:rPr>
        <w:footnoteReference w:id="16"/>
      </w:r>
      <w:r w:rsidR="007D78AE" w:rsidRPr="003673FA">
        <w:rPr>
          <w:szCs w:val="24"/>
        </w:rPr>
        <w:t xml:space="preserve"> </w:t>
      </w:r>
      <w:r w:rsidR="0043090B" w:rsidRPr="003673FA">
        <w:rPr>
          <w:szCs w:val="24"/>
        </w:rPr>
        <w:t>For example, c</w:t>
      </w:r>
      <w:r w:rsidR="007D78AE" w:rsidRPr="003673FA">
        <w:rPr>
          <w:szCs w:val="24"/>
        </w:rPr>
        <w:t xml:space="preserve">hanges </w:t>
      </w:r>
      <w:r w:rsidRPr="003673FA">
        <w:rPr>
          <w:szCs w:val="24"/>
        </w:rPr>
        <w:t>were</w:t>
      </w:r>
      <w:r w:rsidR="007D78AE" w:rsidRPr="003673FA">
        <w:rPr>
          <w:szCs w:val="24"/>
        </w:rPr>
        <w:t xml:space="preserve"> required </w:t>
      </w:r>
      <w:r w:rsidR="0043090B" w:rsidRPr="003673FA">
        <w:rPr>
          <w:szCs w:val="24"/>
        </w:rPr>
        <w:t>in</w:t>
      </w:r>
      <w:r w:rsidR="007D78AE" w:rsidRPr="003673FA">
        <w:rPr>
          <w:szCs w:val="24"/>
        </w:rPr>
        <w:t xml:space="preserve"> RMS </w:t>
      </w:r>
      <w:r w:rsidR="0043090B" w:rsidRPr="003673FA">
        <w:rPr>
          <w:szCs w:val="24"/>
        </w:rPr>
        <w:t xml:space="preserve">to allow </w:t>
      </w:r>
      <w:r w:rsidR="007D78AE" w:rsidRPr="003673FA">
        <w:rPr>
          <w:szCs w:val="24"/>
        </w:rPr>
        <w:t xml:space="preserve">applications </w:t>
      </w:r>
      <w:r w:rsidR="0043090B" w:rsidRPr="003673FA">
        <w:rPr>
          <w:szCs w:val="24"/>
        </w:rPr>
        <w:t>to be received, processed and assessed throughout the year, rather than on set dates (like other ARC schemes).</w:t>
      </w:r>
      <w:r w:rsidR="00D87402" w:rsidRPr="003673FA">
        <w:rPr>
          <w:szCs w:val="24"/>
        </w:rPr>
        <w:t xml:space="preserve"> </w:t>
      </w:r>
    </w:p>
    <w:p w14:paraId="106D0130" w14:textId="77777777" w:rsidR="00D87402" w:rsidRPr="003673FA" w:rsidRDefault="00D87402" w:rsidP="007D78AE">
      <w:pPr>
        <w:spacing w:line="259" w:lineRule="auto"/>
        <w:rPr>
          <w:szCs w:val="24"/>
        </w:rPr>
      </w:pPr>
    </w:p>
    <w:p w14:paraId="5CA7A7F9" w14:textId="2B32CD13" w:rsidR="00CF7A80" w:rsidRPr="003673FA" w:rsidRDefault="00C076DB" w:rsidP="007D78AE">
      <w:pPr>
        <w:spacing w:line="259" w:lineRule="auto"/>
        <w:rPr>
          <w:szCs w:val="24"/>
        </w:rPr>
      </w:pPr>
      <w:r w:rsidRPr="003673FA">
        <w:rPr>
          <w:szCs w:val="24"/>
        </w:rPr>
        <w:t>D</w:t>
      </w:r>
      <w:r w:rsidR="00D87402" w:rsidRPr="003673FA">
        <w:rPr>
          <w:szCs w:val="24"/>
        </w:rPr>
        <w:t>espite the overall decline in application numbers</w:t>
      </w:r>
      <w:r w:rsidR="00096B3C" w:rsidRPr="003673FA">
        <w:rPr>
          <w:szCs w:val="24"/>
        </w:rPr>
        <w:t xml:space="preserve">, </w:t>
      </w:r>
      <w:r w:rsidR="00D87402" w:rsidRPr="003673FA">
        <w:rPr>
          <w:szCs w:val="24"/>
        </w:rPr>
        <w:t>the continuous process has</w:t>
      </w:r>
      <w:r w:rsidR="00CF7A80" w:rsidRPr="003673FA">
        <w:rPr>
          <w:szCs w:val="24"/>
        </w:rPr>
        <w:t xml:space="preserve"> been administratively demanding</w:t>
      </w:r>
      <w:r w:rsidR="00096B3C" w:rsidRPr="003673FA">
        <w:rPr>
          <w:szCs w:val="24"/>
        </w:rPr>
        <w:t xml:space="preserve"> for the ARC</w:t>
      </w:r>
      <w:r w:rsidR="00CF7A80" w:rsidRPr="003673FA">
        <w:rPr>
          <w:szCs w:val="24"/>
        </w:rPr>
        <w:t xml:space="preserve">. </w:t>
      </w:r>
      <w:r w:rsidR="00F8683F" w:rsidRPr="003673FA">
        <w:rPr>
          <w:szCs w:val="24"/>
        </w:rPr>
        <w:t xml:space="preserve">Compared with the annual process, greater </w:t>
      </w:r>
      <w:r w:rsidR="00333EE8" w:rsidRPr="003673FA">
        <w:rPr>
          <w:szCs w:val="24"/>
        </w:rPr>
        <w:t xml:space="preserve">manual processing is required to manage each application through RMS and more </w:t>
      </w:r>
      <w:r w:rsidR="00096B3C" w:rsidRPr="003673FA">
        <w:rPr>
          <w:szCs w:val="24"/>
        </w:rPr>
        <w:t>intervention</w:t>
      </w:r>
      <w:r w:rsidR="00333EE8" w:rsidRPr="003673FA">
        <w:rPr>
          <w:szCs w:val="24"/>
        </w:rPr>
        <w:t xml:space="preserve"> </w:t>
      </w:r>
      <w:r w:rsidR="00F8683F" w:rsidRPr="003673FA">
        <w:rPr>
          <w:szCs w:val="24"/>
        </w:rPr>
        <w:t xml:space="preserve">is required to </w:t>
      </w:r>
      <w:r w:rsidR="00096B3C" w:rsidRPr="003673FA">
        <w:rPr>
          <w:szCs w:val="24"/>
        </w:rPr>
        <w:t>manage the assessment process and support assessors. There is also additional work associated with</w:t>
      </w:r>
      <w:r w:rsidR="000504D6" w:rsidRPr="003673FA">
        <w:rPr>
          <w:szCs w:val="24"/>
        </w:rPr>
        <w:t xml:space="preserve"> managing applications in multiple batches, including the administration of multiple SAC meetings each round (five in 2016 C, seven in 2017 C and eight in 2018 C), seeking ministerial approval of funding recommendations for each batch and the announcement of outcomes.</w:t>
      </w:r>
      <w:r w:rsidR="000504D6" w:rsidRPr="003673FA">
        <w:rPr>
          <w:rStyle w:val="FootnoteReference"/>
          <w:szCs w:val="24"/>
        </w:rPr>
        <w:footnoteReference w:id="17"/>
      </w:r>
    </w:p>
    <w:p w14:paraId="183202B0" w14:textId="77777777" w:rsidR="00CF7A80" w:rsidRPr="003673FA" w:rsidRDefault="00CF7A80" w:rsidP="007D78AE">
      <w:pPr>
        <w:spacing w:line="259" w:lineRule="auto"/>
        <w:rPr>
          <w:szCs w:val="24"/>
        </w:rPr>
      </w:pPr>
    </w:p>
    <w:p w14:paraId="5969BF45" w14:textId="694A00B1" w:rsidR="00C33E27" w:rsidRPr="003673FA" w:rsidRDefault="00F8683F" w:rsidP="007D78AE">
      <w:pPr>
        <w:spacing w:line="259" w:lineRule="auto"/>
        <w:rPr>
          <w:szCs w:val="24"/>
        </w:rPr>
      </w:pPr>
      <w:r w:rsidRPr="003673FA">
        <w:rPr>
          <w:szCs w:val="24"/>
        </w:rPr>
        <w:t xml:space="preserve">This has encouraged the introduction of </w:t>
      </w:r>
      <w:r w:rsidR="00C33E27" w:rsidRPr="003673FA">
        <w:rPr>
          <w:szCs w:val="24"/>
        </w:rPr>
        <w:t xml:space="preserve">efficiencies </w:t>
      </w:r>
      <w:r w:rsidRPr="003673FA">
        <w:rPr>
          <w:szCs w:val="24"/>
        </w:rPr>
        <w:t>such as conducting SAC meetings</w:t>
      </w:r>
      <w:r w:rsidR="00C33E27" w:rsidRPr="003673FA">
        <w:rPr>
          <w:szCs w:val="24"/>
        </w:rPr>
        <w:t xml:space="preserve"> via Zoom videoconference, </w:t>
      </w:r>
      <w:r w:rsidR="00333EE8" w:rsidRPr="003673FA">
        <w:rPr>
          <w:szCs w:val="24"/>
        </w:rPr>
        <w:t>which has avoided</w:t>
      </w:r>
      <w:r w:rsidR="00C33E27" w:rsidRPr="003673FA">
        <w:rPr>
          <w:szCs w:val="24"/>
        </w:rPr>
        <w:t xml:space="preserve"> many of the </w:t>
      </w:r>
      <w:r w:rsidR="00333EE8" w:rsidRPr="003673FA">
        <w:rPr>
          <w:szCs w:val="24"/>
        </w:rPr>
        <w:t xml:space="preserve">financial and time </w:t>
      </w:r>
      <w:r w:rsidR="00C33E27" w:rsidRPr="003673FA">
        <w:rPr>
          <w:szCs w:val="24"/>
        </w:rPr>
        <w:t xml:space="preserve">costs of in-person meetings for both the ARC and </w:t>
      </w:r>
      <w:r w:rsidR="000504D6" w:rsidRPr="003673FA">
        <w:rPr>
          <w:szCs w:val="24"/>
        </w:rPr>
        <w:t>SAC members</w:t>
      </w:r>
      <w:r w:rsidRPr="003673FA">
        <w:rPr>
          <w:szCs w:val="24"/>
        </w:rPr>
        <w:t xml:space="preserve">. Further, due to fast tracking and the ARC managing applications in batches, </w:t>
      </w:r>
      <w:r w:rsidR="00D0741B" w:rsidRPr="003673FA">
        <w:rPr>
          <w:szCs w:val="24"/>
        </w:rPr>
        <w:t xml:space="preserve">each </w:t>
      </w:r>
      <w:r w:rsidRPr="003673FA">
        <w:rPr>
          <w:szCs w:val="24"/>
        </w:rPr>
        <w:t xml:space="preserve">SAC </w:t>
      </w:r>
      <w:r w:rsidR="00C33E27" w:rsidRPr="003673FA">
        <w:rPr>
          <w:szCs w:val="24"/>
        </w:rPr>
        <w:t xml:space="preserve">meeting involves </w:t>
      </w:r>
      <w:r w:rsidRPr="003673FA">
        <w:rPr>
          <w:szCs w:val="24"/>
        </w:rPr>
        <w:t xml:space="preserve">the </w:t>
      </w:r>
      <w:r w:rsidR="00C33E27" w:rsidRPr="003673FA">
        <w:rPr>
          <w:szCs w:val="24"/>
        </w:rPr>
        <w:t xml:space="preserve">discussion of </w:t>
      </w:r>
      <w:r w:rsidRPr="003673FA">
        <w:rPr>
          <w:szCs w:val="24"/>
        </w:rPr>
        <w:t>fewer</w:t>
      </w:r>
      <w:r w:rsidR="00C33E27" w:rsidRPr="003673FA">
        <w:rPr>
          <w:szCs w:val="24"/>
        </w:rPr>
        <w:t xml:space="preserve"> applications</w:t>
      </w:r>
      <w:r w:rsidRPr="003673FA">
        <w:rPr>
          <w:szCs w:val="24"/>
        </w:rPr>
        <w:t xml:space="preserve"> and a lighter workload compared with</w:t>
      </w:r>
      <w:r w:rsidR="00C33E27" w:rsidRPr="003673FA">
        <w:rPr>
          <w:szCs w:val="24"/>
        </w:rPr>
        <w:t xml:space="preserve"> an annual meeting </w:t>
      </w:r>
      <w:r w:rsidR="00333EE8" w:rsidRPr="003673FA">
        <w:rPr>
          <w:szCs w:val="24"/>
        </w:rPr>
        <w:t xml:space="preserve">that </w:t>
      </w:r>
      <w:r w:rsidR="00602A91" w:rsidRPr="003673FA">
        <w:rPr>
          <w:szCs w:val="24"/>
        </w:rPr>
        <w:t xml:space="preserve">would </w:t>
      </w:r>
      <w:r w:rsidRPr="003673FA">
        <w:rPr>
          <w:szCs w:val="24"/>
        </w:rPr>
        <w:t xml:space="preserve">address the </w:t>
      </w:r>
      <w:r w:rsidRPr="003673FA">
        <w:rPr>
          <w:szCs w:val="24"/>
        </w:rPr>
        <w:lastRenderedPageBreak/>
        <w:t>entire round</w:t>
      </w:r>
      <w:r w:rsidR="002B7964" w:rsidRPr="003673FA">
        <w:rPr>
          <w:szCs w:val="24"/>
        </w:rPr>
        <w:t xml:space="preserve">. </w:t>
      </w:r>
      <w:hyperlink w:anchor="Figure10" w:history="1">
        <w:r w:rsidR="002B7964" w:rsidRPr="00FC696C">
          <w:rPr>
            <w:rStyle w:val="Hyperlink"/>
            <w:szCs w:val="24"/>
          </w:rPr>
          <w:t xml:space="preserve">Figure </w:t>
        </w:r>
        <w:r w:rsidR="00EB37C2" w:rsidRPr="00FC696C">
          <w:rPr>
            <w:rStyle w:val="Hyperlink"/>
            <w:szCs w:val="24"/>
          </w:rPr>
          <w:t>10</w:t>
        </w:r>
      </w:hyperlink>
      <w:r w:rsidR="002B7964" w:rsidRPr="003673FA">
        <w:rPr>
          <w:szCs w:val="24"/>
        </w:rPr>
        <w:t xml:space="preserve"> shows that the majority of applications </w:t>
      </w:r>
      <w:r w:rsidR="00EF3D2D" w:rsidRPr="003673FA">
        <w:rPr>
          <w:szCs w:val="24"/>
        </w:rPr>
        <w:t xml:space="preserve">(58 per cent) </w:t>
      </w:r>
      <w:r w:rsidR="002B7964" w:rsidRPr="003673FA">
        <w:rPr>
          <w:szCs w:val="24"/>
        </w:rPr>
        <w:t>were fast tracked in</w:t>
      </w:r>
      <w:r w:rsidR="00EF3D2D" w:rsidRPr="003673FA">
        <w:rPr>
          <w:szCs w:val="24"/>
        </w:rPr>
        <w:t xml:space="preserve"> both</w:t>
      </w:r>
      <w:r w:rsidR="002B7964" w:rsidRPr="003673FA">
        <w:rPr>
          <w:szCs w:val="24"/>
        </w:rPr>
        <w:t xml:space="preserve"> the 2016 and 2017 continuous rounds</w:t>
      </w:r>
      <w:r w:rsidR="00EF3D2D" w:rsidRPr="003673FA">
        <w:rPr>
          <w:szCs w:val="24"/>
        </w:rPr>
        <w:t>.</w:t>
      </w:r>
    </w:p>
    <w:p w14:paraId="6F802C34" w14:textId="5A015773" w:rsidR="00C33E27" w:rsidRPr="003673FA" w:rsidRDefault="00C33E27" w:rsidP="007D78AE">
      <w:pPr>
        <w:spacing w:line="259" w:lineRule="auto"/>
        <w:rPr>
          <w:szCs w:val="24"/>
        </w:rPr>
      </w:pPr>
    </w:p>
    <w:p w14:paraId="3E5BF7F4" w14:textId="4D5D5401" w:rsidR="00C33E27" w:rsidRPr="003673FA" w:rsidRDefault="00C33E27" w:rsidP="00C33E27">
      <w:pPr>
        <w:pStyle w:val="Heading4"/>
      </w:pPr>
      <w:bookmarkStart w:id="46" w:name="Figure10"/>
      <w:bookmarkEnd w:id="46"/>
      <w:r w:rsidRPr="003673FA">
        <w:t xml:space="preserve">Figure </w:t>
      </w:r>
      <w:r w:rsidR="00EB37C2" w:rsidRPr="003673FA">
        <w:t>10</w:t>
      </w:r>
      <w:r w:rsidRPr="003673FA">
        <w:t>: Number of applications – fast tracked vs SAC meeting</w:t>
      </w:r>
    </w:p>
    <w:p w14:paraId="694413DF" w14:textId="7249816F" w:rsidR="00C33E27" w:rsidRPr="003673FA" w:rsidRDefault="005037A2" w:rsidP="00C33E27">
      <w:pPr>
        <w:spacing w:line="259" w:lineRule="auto"/>
        <w:rPr>
          <w:szCs w:val="24"/>
        </w:rPr>
      </w:pPr>
      <w:r w:rsidRPr="003673FA">
        <w:rPr>
          <w:noProof/>
          <w:szCs w:val="24"/>
          <w:lang w:eastAsia="en-AU"/>
        </w:rPr>
        <w:drawing>
          <wp:inline distT="0" distB="0" distL="0" distR="0" wp14:anchorId="09C65C67" wp14:editId="071F2115">
            <wp:extent cx="4615180" cy="1926590"/>
            <wp:effectExtent l="0" t="0" r="0" b="0"/>
            <wp:docPr id="54" name="Picture 54" descr="For the continuous rounds in 2016 and 2017, Figure 10 shows the number of applications that were fast tracked and funded, fast tracked and not funded, considered at a SAC meeting and funded, and considered at a SAC meeting and not funded." title="Figure 10: Number of applications – fast tracked vs SAC mee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15180" cy="1926590"/>
                    </a:xfrm>
                    <a:prstGeom prst="rect">
                      <a:avLst/>
                    </a:prstGeom>
                    <a:noFill/>
                  </pic:spPr>
                </pic:pic>
              </a:graphicData>
            </a:graphic>
          </wp:inline>
        </w:drawing>
      </w:r>
    </w:p>
    <w:p w14:paraId="73BB2FBF" w14:textId="77777777" w:rsidR="00C33E27" w:rsidRPr="003673FA" w:rsidRDefault="00C33E27" w:rsidP="00C33E27">
      <w:pPr>
        <w:spacing w:line="259" w:lineRule="auto"/>
        <w:rPr>
          <w:sz w:val="20"/>
          <w:szCs w:val="20"/>
        </w:rPr>
      </w:pPr>
      <w:r w:rsidRPr="003673FA">
        <w:rPr>
          <w:sz w:val="20"/>
          <w:szCs w:val="20"/>
        </w:rPr>
        <w:t xml:space="preserve">Source: ARC. </w:t>
      </w:r>
      <w:r w:rsidRPr="003673FA">
        <w:rPr>
          <w:i/>
          <w:sz w:val="20"/>
          <w:szCs w:val="20"/>
        </w:rPr>
        <w:t>Note: complete data for 2018 C were not available at the time of this report’s preparation.</w:t>
      </w:r>
    </w:p>
    <w:p w14:paraId="412195A6" w14:textId="516726DA" w:rsidR="00563E94" w:rsidRPr="003673FA" w:rsidRDefault="00563E94" w:rsidP="0092757A">
      <w:pPr>
        <w:spacing w:line="259" w:lineRule="auto"/>
        <w:rPr>
          <w:szCs w:val="24"/>
        </w:rPr>
      </w:pPr>
    </w:p>
    <w:p w14:paraId="13795B5A" w14:textId="2E5925C1" w:rsidR="005D392C" w:rsidRPr="003673FA" w:rsidRDefault="00595B9A" w:rsidP="00595B9A">
      <w:pPr>
        <w:pStyle w:val="Heading3"/>
      </w:pPr>
      <w:r w:rsidRPr="003673FA">
        <w:t>E</w:t>
      </w:r>
      <w:r w:rsidR="005D392C" w:rsidRPr="003673FA">
        <w:t>ffect</w:t>
      </w:r>
      <w:r w:rsidRPr="003673FA">
        <w:t>iveness of assessment processes</w:t>
      </w:r>
    </w:p>
    <w:p w14:paraId="2767684A" w14:textId="77777777" w:rsidR="00A1186F" w:rsidRPr="003673FA" w:rsidRDefault="00A1186F" w:rsidP="00A1186F">
      <w:pPr>
        <w:spacing w:line="259" w:lineRule="auto"/>
        <w:rPr>
          <w:szCs w:val="24"/>
        </w:rPr>
      </w:pPr>
    </w:p>
    <w:p w14:paraId="7AC5BC3A" w14:textId="20884E2B" w:rsidR="00694B3A" w:rsidRPr="003673FA" w:rsidRDefault="009E3552" w:rsidP="00A1186F">
      <w:pPr>
        <w:spacing w:line="259" w:lineRule="auto"/>
        <w:rPr>
          <w:szCs w:val="24"/>
        </w:rPr>
      </w:pPr>
      <w:r w:rsidRPr="003673FA">
        <w:rPr>
          <w:szCs w:val="24"/>
        </w:rPr>
        <w:t xml:space="preserve">Additional mechanisms have been required to ensure maintenance of a robust and consistent assessment process. </w:t>
      </w:r>
      <w:r w:rsidR="00A1186F" w:rsidRPr="003673FA">
        <w:rPr>
          <w:szCs w:val="24"/>
        </w:rPr>
        <w:t xml:space="preserve">ARC officers were confident that </w:t>
      </w:r>
      <w:r w:rsidRPr="003673FA">
        <w:rPr>
          <w:szCs w:val="24"/>
        </w:rPr>
        <w:t xml:space="preserve">these have ensured that </w:t>
      </w:r>
      <w:r w:rsidR="00A1186F" w:rsidRPr="003673FA">
        <w:rPr>
          <w:szCs w:val="24"/>
        </w:rPr>
        <w:t>only quality proposals receive funding under the continuous process.</w:t>
      </w:r>
      <w:r w:rsidR="009A2BF4" w:rsidRPr="003673FA">
        <w:rPr>
          <w:rStyle w:val="FootnoteReference"/>
          <w:szCs w:val="24"/>
        </w:rPr>
        <w:footnoteReference w:id="18"/>
      </w:r>
    </w:p>
    <w:p w14:paraId="7B834BA4" w14:textId="77777777" w:rsidR="00694B3A" w:rsidRPr="003673FA" w:rsidRDefault="00694B3A" w:rsidP="00A1186F">
      <w:pPr>
        <w:spacing w:line="259" w:lineRule="auto"/>
        <w:rPr>
          <w:szCs w:val="24"/>
        </w:rPr>
      </w:pPr>
    </w:p>
    <w:p w14:paraId="7E41928F" w14:textId="5C414CAF" w:rsidR="00A1186F" w:rsidRPr="003673FA" w:rsidRDefault="00A1186F" w:rsidP="00A1186F">
      <w:pPr>
        <w:spacing w:line="259" w:lineRule="auto"/>
        <w:rPr>
          <w:szCs w:val="24"/>
        </w:rPr>
      </w:pPr>
      <w:r w:rsidRPr="003673FA">
        <w:rPr>
          <w:szCs w:val="24"/>
        </w:rPr>
        <w:t xml:space="preserve">For instance, while assessing a single annual </w:t>
      </w:r>
      <w:r w:rsidR="00F8683F" w:rsidRPr="003673FA">
        <w:rPr>
          <w:szCs w:val="24"/>
        </w:rPr>
        <w:t>round</w:t>
      </w:r>
      <w:r w:rsidRPr="003673FA">
        <w:rPr>
          <w:szCs w:val="24"/>
        </w:rPr>
        <w:t xml:space="preserve"> of applications allows for </w:t>
      </w:r>
      <w:r w:rsidR="00F8683F" w:rsidRPr="003673FA">
        <w:rPr>
          <w:szCs w:val="24"/>
        </w:rPr>
        <w:t xml:space="preserve">a ready </w:t>
      </w:r>
      <w:r w:rsidR="00296384" w:rsidRPr="003673FA">
        <w:rPr>
          <w:szCs w:val="24"/>
        </w:rPr>
        <w:t xml:space="preserve">comparison </w:t>
      </w:r>
      <w:r w:rsidRPr="003673FA">
        <w:rPr>
          <w:szCs w:val="24"/>
        </w:rPr>
        <w:t xml:space="preserve">of their quality, assessing </w:t>
      </w:r>
      <w:r w:rsidR="00296384" w:rsidRPr="003673FA">
        <w:rPr>
          <w:szCs w:val="24"/>
        </w:rPr>
        <w:t>applications</w:t>
      </w:r>
      <w:r w:rsidR="00F8683F" w:rsidRPr="003673FA">
        <w:rPr>
          <w:szCs w:val="24"/>
        </w:rPr>
        <w:t xml:space="preserve"> throughout the year</w:t>
      </w:r>
      <w:r w:rsidR="00296384" w:rsidRPr="003673FA">
        <w:rPr>
          <w:szCs w:val="24"/>
        </w:rPr>
        <w:t xml:space="preserve"> in smaller batches</w:t>
      </w:r>
      <w:r w:rsidR="00F8683F" w:rsidRPr="003673FA">
        <w:rPr>
          <w:szCs w:val="24"/>
        </w:rPr>
        <w:t xml:space="preserve"> </w:t>
      </w:r>
      <w:r w:rsidRPr="003673FA">
        <w:rPr>
          <w:szCs w:val="24"/>
        </w:rPr>
        <w:t xml:space="preserve">makes relative </w:t>
      </w:r>
      <w:r w:rsidR="00296384" w:rsidRPr="003673FA">
        <w:rPr>
          <w:szCs w:val="24"/>
        </w:rPr>
        <w:t>assessments of quality</w:t>
      </w:r>
      <w:r w:rsidRPr="003673FA">
        <w:rPr>
          <w:szCs w:val="24"/>
        </w:rPr>
        <w:t xml:space="preserve"> more </w:t>
      </w:r>
      <w:r w:rsidR="00296384" w:rsidRPr="003673FA">
        <w:rPr>
          <w:szCs w:val="24"/>
        </w:rPr>
        <w:t xml:space="preserve">difficult. </w:t>
      </w:r>
      <w:r w:rsidR="00694B3A" w:rsidRPr="003673FA">
        <w:rPr>
          <w:szCs w:val="24"/>
        </w:rPr>
        <w:t xml:space="preserve">In addition, </w:t>
      </w:r>
      <w:r w:rsidR="00F8683F" w:rsidRPr="003673FA">
        <w:rPr>
          <w:szCs w:val="24"/>
        </w:rPr>
        <w:t>only those application</w:t>
      </w:r>
      <w:r w:rsidR="0094109E" w:rsidRPr="003673FA">
        <w:rPr>
          <w:szCs w:val="24"/>
        </w:rPr>
        <w:t>s</w:t>
      </w:r>
      <w:r w:rsidR="00F8683F" w:rsidRPr="003673FA">
        <w:rPr>
          <w:szCs w:val="24"/>
        </w:rPr>
        <w:t xml:space="preserve"> that have not been fast tracked are considered and discussed at a SAC meeting</w:t>
      </w:r>
      <w:r w:rsidR="00694B3A" w:rsidRPr="003673FA">
        <w:rPr>
          <w:szCs w:val="24"/>
        </w:rPr>
        <w:t xml:space="preserve">. </w:t>
      </w:r>
      <w:r w:rsidR="00296384" w:rsidRPr="003673FA">
        <w:rPr>
          <w:szCs w:val="24"/>
        </w:rPr>
        <w:t xml:space="preserve">To </w:t>
      </w:r>
      <w:r w:rsidR="00694B3A" w:rsidRPr="003673FA">
        <w:rPr>
          <w:szCs w:val="24"/>
        </w:rPr>
        <w:t>assist with benchmarking</w:t>
      </w:r>
      <w:r w:rsidR="00296384" w:rsidRPr="003673FA">
        <w:rPr>
          <w:szCs w:val="24"/>
        </w:rPr>
        <w:t xml:space="preserve">, SAC members have been provided with samples of high and low quality applications </w:t>
      </w:r>
      <w:r w:rsidR="00694B3A" w:rsidRPr="003673FA">
        <w:rPr>
          <w:szCs w:val="24"/>
        </w:rPr>
        <w:t>to review before considering newly received applications. In addition, SAC</w:t>
      </w:r>
      <w:r w:rsidR="0094109E" w:rsidRPr="003673FA">
        <w:rPr>
          <w:szCs w:val="24"/>
        </w:rPr>
        <w:t xml:space="preserve"> member</w:t>
      </w:r>
      <w:r w:rsidR="00694B3A" w:rsidRPr="003673FA">
        <w:rPr>
          <w:szCs w:val="24"/>
        </w:rPr>
        <w:t xml:space="preserve">s </w:t>
      </w:r>
      <w:r w:rsidR="0094109E" w:rsidRPr="003673FA">
        <w:rPr>
          <w:szCs w:val="24"/>
        </w:rPr>
        <w:t xml:space="preserve">have been selected to ensure that experienced </w:t>
      </w:r>
      <w:r w:rsidR="00694B3A" w:rsidRPr="003673FA">
        <w:rPr>
          <w:szCs w:val="24"/>
        </w:rPr>
        <w:t xml:space="preserve">members are retained </w:t>
      </w:r>
      <w:r w:rsidRPr="003673FA">
        <w:rPr>
          <w:szCs w:val="24"/>
        </w:rPr>
        <w:t>every year</w:t>
      </w:r>
      <w:r w:rsidR="00694B3A" w:rsidRPr="003673FA">
        <w:rPr>
          <w:szCs w:val="24"/>
        </w:rPr>
        <w:t xml:space="preserve"> in order to </w:t>
      </w:r>
      <w:r w:rsidR="0094109E" w:rsidRPr="003673FA">
        <w:rPr>
          <w:szCs w:val="24"/>
        </w:rPr>
        <w:t>maintain</w:t>
      </w:r>
      <w:r w:rsidR="00694B3A" w:rsidRPr="003673FA">
        <w:rPr>
          <w:szCs w:val="24"/>
        </w:rPr>
        <w:t xml:space="preserve"> knowledge and </w:t>
      </w:r>
      <w:r w:rsidR="0094109E" w:rsidRPr="003673FA">
        <w:rPr>
          <w:szCs w:val="24"/>
        </w:rPr>
        <w:t>continuity in the assessment process</w:t>
      </w:r>
      <w:r w:rsidRPr="003673FA">
        <w:rPr>
          <w:szCs w:val="24"/>
        </w:rPr>
        <w:t>.</w:t>
      </w:r>
    </w:p>
    <w:p w14:paraId="7D5FEF28" w14:textId="1765244B" w:rsidR="00FB5200" w:rsidRPr="003673FA" w:rsidRDefault="00FB5200" w:rsidP="0092757A">
      <w:pPr>
        <w:spacing w:line="259" w:lineRule="auto"/>
        <w:rPr>
          <w:szCs w:val="24"/>
        </w:rPr>
      </w:pPr>
    </w:p>
    <w:p w14:paraId="7ECC0160" w14:textId="3AD3E27B" w:rsidR="006D67E8" w:rsidRPr="003673FA" w:rsidRDefault="009E3552" w:rsidP="0092757A">
      <w:pPr>
        <w:spacing w:line="259" w:lineRule="auto"/>
        <w:rPr>
          <w:szCs w:val="24"/>
        </w:rPr>
      </w:pPr>
      <w:r w:rsidRPr="003673FA">
        <w:rPr>
          <w:szCs w:val="24"/>
        </w:rPr>
        <w:t xml:space="preserve">A risk of the continuous process is that the </w:t>
      </w:r>
      <w:r w:rsidR="004A5401" w:rsidRPr="003673FA">
        <w:rPr>
          <w:szCs w:val="24"/>
        </w:rPr>
        <w:t xml:space="preserve">increased number of SAC meetings </w:t>
      </w:r>
      <w:r w:rsidRPr="003673FA">
        <w:rPr>
          <w:szCs w:val="24"/>
        </w:rPr>
        <w:t>may result in a decline in attendance</w:t>
      </w:r>
      <w:r w:rsidR="004A5401" w:rsidRPr="003673FA">
        <w:rPr>
          <w:szCs w:val="24"/>
        </w:rPr>
        <w:t xml:space="preserve"> at each meeting by SAC members</w:t>
      </w:r>
      <w:r w:rsidR="00AB24C4" w:rsidRPr="003673FA">
        <w:rPr>
          <w:szCs w:val="24"/>
        </w:rPr>
        <w:t xml:space="preserve">. This could have implications for the effectiveness </w:t>
      </w:r>
      <w:r w:rsidR="0094109E" w:rsidRPr="003673FA">
        <w:rPr>
          <w:szCs w:val="24"/>
        </w:rPr>
        <w:t xml:space="preserve">and robustness </w:t>
      </w:r>
      <w:r w:rsidR="00AB24C4" w:rsidRPr="003673FA">
        <w:rPr>
          <w:szCs w:val="24"/>
        </w:rPr>
        <w:t xml:space="preserve">of the </w:t>
      </w:r>
      <w:r w:rsidR="0094109E" w:rsidRPr="003673FA">
        <w:rPr>
          <w:szCs w:val="24"/>
        </w:rPr>
        <w:t xml:space="preserve">peer review process and </w:t>
      </w:r>
      <w:r w:rsidR="00AB24C4" w:rsidRPr="003673FA">
        <w:rPr>
          <w:szCs w:val="24"/>
        </w:rPr>
        <w:t>potentially weaken the representation of relevant disciplinary expertise in the meetings.</w:t>
      </w:r>
      <w:r w:rsidR="00393114" w:rsidRPr="003673FA">
        <w:rPr>
          <w:szCs w:val="24"/>
        </w:rPr>
        <w:t xml:space="preserve"> Out of an aggregate 189 </w:t>
      </w:r>
      <w:r w:rsidR="00990704" w:rsidRPr="003673FA">
        <w:rPr>
          <w:szCs w:val="24"/>
        </w:rPr>
        <w:t xml:space="preserve">member </w:t>
      </w:r>
      <w:r w:rsidR="00393114" w:rsidRPr="003673FA">
        <w:rPr>
          <w:szCs w:val="24"/>
        </w:rPr>
        <w:t xml:space="preserve">positions on the seven SAC meetings held </w:t>
      </w:r>
      <w:r w:rsidR="00AB24C4" w:rsidRPr="003673FA">
        <w:rPr>
          <w:szCs w:val="24"/>
        </w:rPr>
        <w:t>under</w:t>
      </w:r>
      <w:r w:rsidR="00393114" w:rsidRPr="003673FA">
        <w:rPr>
          <w:szCs w:val="24"/>
        </w:rPr>
        <w:t xml:space="preserve"> the 2017 continuous round, there were 23 total absences, with up to </w:t>
      </w:r>
      <w:r w:rsidR="00E00D9D" w:rsidRPr="003673FA">
        <w:rPr>
          <w:szCs w:val="24"/>
        </w:rPr>
        <w:t>nine</w:t>
      </w:r>
      <w:r w:rsidR="00393114" w:rsidRPr="003673FA">
        <w:rPr>
          <w:szCs w:val="24"/>
        </w:rPr>
        <w:t xml:space="preserve"> members absent </w:t>
      </w:r>
      <w:r w:rsidR="00AF6CF1" w:rsidRPr="003673FA">
        <w:rPr>
          <w:szCs w:val="24"/>
        </w:rPr>
        <w:t>from</w:t>
      </w:r>
      <w:r w:rsidR="00393114" w:rsidRPr="003673FA">
        <w:rPr>
          <w:szCs w:val="24"/>
        </w:rPr>
        <w:t xml:space="preserve"> a single meeting.</w:t>
      </w:r>
      <w:r w:rsidR="00393114" w:rsidRPr="003673FA">
        <w:rPr>
          <w:rStyle w:val="FootnoteReference"/>
          <w:szCs w:val="24"/>
        </w:rPr>
        <w:footnoteReference w:id="19"/>
      </w:r>
      <w:r w:rsidR="00393114" w:rsidRPr="003673FA">
        <w:rPr>
          <w:szCs w:val="24"/>
        </w:rPr>
        <w:t xml:space="preserve"> </w:t>
      </w:r>
    </w:p>
    <w:p w14:paraId="38D6515B" w14:textId="77777777" w:rsidR="006D67E8" w:rsidRPr="003673FA" w:rsidRDefault="006D67E8" w:rsidP="0092757A">
      <w:pPr>
        <w:spacing w:line="259" w:lineRule="auto"/>
        <w:rPr>
          <w:szCs w:val="24"/>
        </w:rPr>
      </w:pPr>
    </w:p>
    <w:p w14:paraId="1E2E16EF" w14:textId="181ADA9D" w:rsidR="00694B3A" w:rsidRPr="003673FA" w:rsidRDefault="006D67E8" w:rsidP="0092757A">
      <w:pPr>
        <w:spacing w:line="259" w:lineRule="auto"/>
        <w:rPr>
          <w:szCs w:val="24"/>
        </w:rPr>
      </w:pPr>
      <w:r w:rsidRPr="003673FA">
        <w:rPr>
          <w:szCs w:val="24"/>
        </w:rPr>
        <w:t>As absences</w:t>
      </w:r>
      <w:r w:rsidR="00AF6CF1" w:rsidRPr="003673FA">
        <w:rPr>
          <w:szCs w:val="24"/>
        </w:rPr>
        <w:t xml:space="preserve"> </w:t>
      </w:r>
      <w:r w:rsidRPr="003673FA">
        <w:rPr>
          <w:szCs w:val="24"/>
        </w:rPr>
        <w:t xml:space="preserve">continued to be a concern in </w:t>
      </w:r>
      <w:r w:rsidR="00AF6CF1" w:rsidRPr="003673FA">
        <w:rPr>
          <w:szCs w:val="24"/>
        </w:rPr>
        <w:t>the early SAC meetings for the 2018 round</w:t>
      </w:r>
      <w:r w:rsidRPr="003673FA">
        <w:rPr>
          <w:szCs w:val="24"/>
        </w:rPr>
        <w:t xml:space="preserve">, </w:t>
      </w:r>
      <w:r w:rsidR="00AB24C4" w:rsidRPr="003673FA">
        <w:rPr>
          <w:szCs w:val="24"/>
        </w:rPr>
        <w:t>the ARC conducted a ra</w:t>
      </w:r>
      <w:r w:rsidR="00AF6CF1" w:rsidRPr="003673FA">
        <w:rPr>
          <w:szCs w:val="24"/>
        </w:rPr>
        <w:t xml:space="preserve">nge of outreach activities </w:t>
      </w:r>
      <w:r w:rsidR="00AB24C4" w:rsidRPr="003673FA">
        <w:rPr>
          <w:szCs w:val="24"/>
        </w:rPr>
        <w:t xml:space="preserve">to stress the importance of </w:t>
      </w:r>
      <w:r w:rsidRPr="003673FA">
        <w:rPr>
          <w:szCs w:val="24"/>
        </w:rPr>
        <w:t xml:space="preserve">SAC members’ </w:t>
      </w:r>
      <w:r w:rsidR="00AF6CF1" w:rsidRPr="003673FA">
        <w:rPr>
          <w:szCs w:val="24"/>
        </w:rPr>
        <w:t>participation</w:t>
      </w:r>
      <w:r w:rsidRPr="003673FA">
        <w:rPr>
          <w:szCs w:val="24"/>
        </w:rPr>
        <w:t xml:space="preserve">, including as part of induction </w:t>
      </w:r>
      <w:r w:rsidR="00AE6BD3" w:rsidRPr="003673FA">
        <w:rPr>
          <w:szCs w:val="24"/>
        </w:rPr>
        <w:t>for</w:t>
      </w:r>
      <w:r w:rsidRPr="003673FA">
        <w:rPr>
          <w:szCs w:val="24"/>
        </w:rPr>
        <w:t xml:space="preserve"> new SAC members</w:t>
      </w:r>
      <w:r w:rsidR="00AB24C4" w:rsidRPr="003673FA">
        <w:rPr>
          <w:szCs w:val="24"/>
        </w:rPr>
        <w:t xml:space="preserve">. </w:t>
      </w:r>
      <w:r w:rsidR="00AE6BD3" w:rsidRPr="003673FA">
        <w:rPr>
          <w:szCs w:val="24"/>
        </w:rPr>
        <w:t xml:space="preserve">There is some anecdotal evidence that attendance at SAC meetings has since improved, but </w:t>
      </w:r>
      <w:r w:rsidR="00F53D64" w:rsidRPr="003673FA">
        <w:rPr>
          <w:szCs w:val="24"/>
        </w:rPr>
        <w:t xml:space="preserve">to confirm whether the ARC’s response has been effective, </w:t>
      </w:r>
      <w:r w:rsidR="00C732E0" w:rsidRPr="003673FA">
        <w:rPr>
          <w:szCs w:val="24"/>
        </w:rPr>
        <w:t xml:space="preserve">further analysis </w:t>
      </w:r>
      <w:r w:rsidR="00F53D64" w:rsidRPr="003673FA">
        <w:rPr>
          <w:szCs w:val="24"/>
        </w:rPr>
        <w:t xml:space="preserve">would be beneficial </w:t>
      </w:r>
      <w:r w:rsidR="00C732E0" w:rsidRPr="003673FA">
        <w:rPr>
          <w:szCs w:val="24"/>
        </w:rPr>
        <w:t>after all meetings for the 2018 round have been completed</w:t>
      </w:r>
      <w:r w:rsidR="00757614" w:rsidRPr="003673FA">
        <w:rPr>
          <w:szCs w:val="24"/>
        </w:rPr>
        <w:t>.</w:t>
      </w:r>
    </w:p>
    <w:p w14:paraId="3E4894D0" w14:textId="77777777" w:rsidR="00694B3A" w:rsidRPr="003673FA" w:rsidRDefault="00694B3A" w:rsidP="0092757A">
      <w:pPr>
        <w:spacing w:line="259" w:lineRule="auto"/>
        <w:rPr>
          <w:szCs w:val="24"/>
        </w:rPr>
      </w:pPr>
    </w:p>
    <w:p w14:paraId="1F02CDDE" w14:textId="77777777" w:rsidR="009E3552" w:rsidRPr="003673FA" w:rsidRDefault="009E3552">
      <w:pPr>
        <w:rPr>
          <w:rFonts w:ascii="Arial" w:eastAsia="Times New Roman" w:hAnsi="Arial"/>
          <w:b/>
          <w:bCs/>
        </w:rPr>
      </w:pPr>
      <w:r w:rsidRPr="003673FA">
        <w:br w:type="page"/>
      </w:r>
    </w:p>
    <w:p w14:paraId="4DC53FCC" w14:textId="12B759F5" w:rsidR="00930238" w:rsidRPr="003673FA" w:rsidRDefault="00930238" w:rsidP="00930238">
      <w:pPr>
        <w:pStyle w:val="Heading3"/>
      </w:pPr>
      <w:r w:rsidRPr="003673FA">
        <w:lastRenderedPageBreak/>
        <w:t>Administrative risks</w:t>
      </w:r>
    </w:p>
    <w:p w14:paraId="232D6594" w14:textId="2C89985D" w:rsidR="00930238" w:rsidRPr="003673FA" w:rsidRDefault="00930238" w:rsidP="00930238"/>
    <w:p w14:paraId="77FFCAFA" w14:textId="2717D767" w:rsidR="005611C5" w:rsidRPr="003673FA" w:rsidRDefault="00A43E36" w:rsidP="00930238">
      <w:r w:rsidRPr="003673FA">
        <w:t xml:space="preserve">Despite the changes </w:t>
      </w:r>
      <w:r w:rsidR="00C634AB" w:rsidRPr="003673FA">
        <w:t xml:space="preserve">allowing </w:t>
      </w:r>
      <w:r w:rsidRPr="003673FA">
        <w:t>application submission and assessment to occur</w:t>
      </w:r>
      <w:r w:rsidR="00C634AB" w:rsidRPr="003673FA">
        <w:t xml:space="preserve"> continuously </w:t>
      </w:r>
      <w:r w:rsidRPr="003673FA">
        <w:t>throughout each round</w:t>
      </w:r>
      <w:r w:rsidR="00A71C2B" w:rsidRPr="003673FA">
        <w:t xml:space="preserve">, ARC funding for successful </w:t>
      </w:r>
      <w:r w:rsidR="00542385" w:rsidRPr="003673FA">
        <w:t xml:space="preserve">Linkage Projects </w:t>
      </w:r>
      <w:r w:rsidR="008C3284" w:rsidRPr="003673FA">
        <w:t>applications</w:t>
      </w:r>
      <w:r w:rsidR="00A71C2B" w:rsidRPr="003673FA">
        <w:t xml:space="preserve"> commences </w:t>
      </w:r>
      <w:r w:rsidR="009E3552" w:rsidRPr="003673FA">
        <w:t>on either 1 January or 1 July each year</w:t>
      </w:r>
      <w:r w:rsidR="00C634AB" w:rsidRPr="003673FA">
        <w:t xml:space="preserve">. </w:t>
      </w:r>
      <w:r w:rsidR="0036648E" w:rsidRPr="003673FA">
        <w:t>T</w:t>
      </w:r>
      <w:r w:rsidR="00AA123F" w:rsidRPr="003673FA">
        <w:t>he Li</w:t>
      </w:r>
      <w:r w:rsidR="0036648E" w:rsidRPr="003673FA">
        <w:t xml:space="preserve">nkage Projects Grant Agreement </w:t>
      </w:r>
      <w:r w:rsidR="003F281B" w:rsidRPr="003673FA">
        <w:t xml:space="preserve">also </w:t>
      </w:r>
      <w:r w:rsidR="00C634AB" w:rsidRPr="003673FA">
        <w:t>requires universities</w:t>
      </w:r>
      <w:r w:rsidR="008C3284" w:rsidRPr="003673FA">
        <w:t xml:space="preserve"> to</w:t>
      </w:r>
      <w:r w:rsidR="00AA123F" w:rsidRPr="003673FA">
        <w:t xml:space="preserve"> commence projects within six months of the grant announcement, and to </w:t>
      </w:r>
      <w:r w:rsidR="005C3A96" w:rsidRPr="003673FA">
        <w:t xml:space="preserve">have a written </w:t>
      </w:r>
      <w:r w:rsidR="008C3284" w:rsidRPr="003673FA">
        <w:t>a</w:t>
      </w:r>
      <w:r w:rsidR="005C3A96" w:rsidRPr="003673FA">
        <w:t>greement in place with each</w:t>
      </w:r>
      <w:r w:rsidR="008C3284" w:rsidRPr="003673FA">
        <w:t xml:space="preserve"> partner</w:t>
      </w:r>
      <w:r w:rsidR="00C634AB" w:rsidRPr="003673FA">
        <w:t xml:space="preserve"> organisation </w:t>
      </w:r>
      <w:r w:rsidR="00AA123F" w:rsidRPr="003673FA">
        <w:t>before</w:t>
      </w:r>
      <w:r w:rsidR="005C3A96" w:rsidRPr="003673FA">
        <w:t xml:space="preserve"> commencing the project.</w:t>
      </w:r>
      <w:r w:rsidR="005C3A96" w:rsidRPr="003673FA">
        <w:rPr>
          <w:rStyle w:val="FootnoteReference"/>
        </w:rPr>
        <w:footnoteReference w:id="20"/>
      </w:r>
      <w:r w:rsidR="005611C5" w:rsidRPr="003673FA">
        <w:t xml:space="preserve"> </w:t>
      </w:r>
    </w:p>
    <w:p w14:paraId="25795003" w14:textId="1809D709" w:rsidR="005611C5" w:rsidRPr="003673FA" w:rsidRDefault="005611C5" w:rsidP="00930238"/>
    <w:p w14:paraId="77ABC46B" w14:textId="23162BF7" w:rsidR="00E60F09" w:rsidRPr="003673FA" w:rsidRDefault="005611C5" w:rsidP="00930238">
      <w:r w:rsidRPr="003673FA">
        <w:t xml:space="preserve">While these requirements are not </w:t>
      </w:r>
      <w:r w:rsidR="0036648E" w:rsidRPr="003673FA">
        <w:t xml:space="preserve">unique to the Linkage Projects scheme, </w:t>
      </w:r>
      <w:r w:rsidRPr="003673FA">
        <w:t xml:space="preserve">they may impact on the </w:t>
      </w:r>
      <w:r w:rsidR="0036648E" w:rsidRPr="003673FA">
        <w:t xml:space="preserve">ability </w:t>
      </w:r>
      <w:r w:rsidRPr="003673FA">
        <w:t xml:space="preserve">of the continuous process </w:t>
      </w:r>
      <w:r w:rsidR="0036648E" w:rsidRPr="003673FA">
        <w:t xml:space="preserve">to support timely collaboration. </w:t>
      </w:r>
      <w:r w:rsidR="00DA1A22" w:rsidRPr="003673FA">
        <w:t xml:space="preserve">Survey and interview responses </w:t>
      </w:r>
      <w:r w:rsidR="008279EA" w:rsidRPr="003673FA">
        <w:t xml:space="preserve">from </w:t>
      </w:r>
      <w:r w:rsidR="00CF2ABC" w:rsidRPr="003673FA">
        <w:t xml:space="preserve">research office, CI and PI </w:t>
      </w:r>
      <w:r w:rsidR="008279EA" w:rsidRPr="003673FA">
        <w:t>participants included</w:t>
      </w:r>
      <w:r w:rsidR="00CF2ABC" w:rsidRPr="003673FA">
        <w:t xml:space="preserve"> </w:t>
      </w:r>
      <w:r w:rsidR="003F281B" w:rsidRPr="003673FA">
        <w:t>that these requirements add to the time taken to commence projects</w:t>
      </w:r>
      <w:r w:rsidR="008279EA" w:rsidRPr="003673FA">
        <w:t xml:space="preserve"> </w:t>
      </w:r>
      <w:r w:rsidR="00CC4E01" w:rsidRPr="003673FA">
        <w:t>and the ARC should ease the restriction</w:t>
      </w:r>
      <w:r w:rsidR="00542385" w:rsidRPr="003673FA">
        <w:t xml:space="preserve"> and allow projects to commence before agreements are signed by partner organisations</w:t>
      </w:r>
      <w:r w:rsidR="00DA1A22" w:rsidRPr="003673FA">
        <w:t xml:space="preserve">. Other comments included that universities </w:t>
      </w:r>
      <w:r w:rsidR="008279EA" w:rsidRPr="003673FA">
        <w:t xml:space="preserve">do not control or know when partner organisations will sign </w:t>
      </w:r>
      <w:r w:rsidR="00DA1A22" w:rsidRPr="003673FA">
        <w:t>and, c</w:t>
      </w:r>
      <w:r w:rsidR="00CC4E01" w:rsidRPr="003673FA">
        <w:t>o</w:t>
      </w:r>
      <w:r w:rsidR="00CF2ABC" w:rsidRPr="003673FA">
        <w:t xml:space="preserve">nsistent with a perception that </w:t>
      </w:r>
      <w:r w:rsidR="00CC4E01" w:rsidRPr="003673FA">
        <w:t xml:space="preserve">tracking </w:t>
      </w:r>
      <w:r w:rsidR="00CF2ABC" w:rsidRPr="003673FA">
        <w:rPr>
          <w:szCs w:val="24"/>
        </w:rPr>
        <w:t xml:space="preserve">applications through the continuous process </w:t>
      </w:r>
      <w:r w:rsidR="00CC4E01" w:rsidRPr="003673FA">
        <w:rPr>
          <w:szCs w:val="24"/>
        </w:rPr>
        <w:t xml:space="preserve">is difficult </w:t>
      </w:r>
      <w:r w:rsidR="00CF2ABC" w:rsidRPr="003673FA">
        <w:rPr>
          <w:szCs w:val="24"/>
        </w:rPr>
        <w:t xml:space="preserve">(discussed </w:t>
      </w:r>
      <w:r w:rsidR="00CC4E01" w:rsidRPr="003673FA">
        <w:rPr>
          <w:szCs w:val="24"/>
        </w:rPr>
        <w:t>further under eva</w:t>
      </w:r>
      <w:r w:rsidR="00DA1A22" w:rsidRPr="003673FA">
        <w:rPr>
          <w:szCs w:val="24"/>
        </w:rPr>
        <w:t xml:space="preserve">luation question 5), </w:t>
      </w:r>
      <w:r w:rsidR="00CC4E01" w:rsidRPr="003673FA">
        <w:rPr>
          <w:szCs w:val="24"/>
        </w:rPr>
        <w:t xml:space="preserve">it is not easy to plan for agreements </w:t>
      </w:r>
      <w:r w:rsidR="00DA1A22" w:rsidRPr="003673FA">
        <w:rPr>
          <w:szCs w:val="24"/>
        </w:rPr>
        <w:t xml:space="preserve">when </w:t>
      </w:r>
      <w:r w:rsidR="00CC4E01" w:rsidRPr="003673FA">
        <w:t xml:space="preserve">the timeframes for </w:t>
      </w:r>
      <w:r w:rsidR="00DA1A22" w:rsidRPr="003673FA">
        <w:t xml:space="preserve">grant </w:t>
      </w:r>
      <w:r w:rsidR="00CC4E01" w:rsidRPr="003673FA">
        <w:t>announcements are uncertain.</w:t>
      </w:r>
      <w:r w:rsidR="00DA1A22" w:rsidRPr="003673FA">
        <w:rPr>
          <w:rStyle w:val="FootnoteReference"/>
        </w:rPr>
        <w:footnoteReference w:id="21"/>
      </w:r>
    </w:p>
    <w:p w14:paraId="6ADEDCF1" w14:textId="6C8CC4A5" w:rsidR="005611C5" w:rsidRPr="003673FA" w:rsidRDefault="005611C5" w:rsidP="00930238"/>
    <w:p w14:paraId="6F60E753" w14:textId="224396F8" w:rsidR="00F1463D" w:rsidRPr="003673FA" w:rsidRDefault="00883017" w:rsidP="00930238">
      <w:hyperlink w:anchor="Table4" w:history="1">
        <w:r w:rsidR="004D3498" w:rsidRPr="00FC696C">
          <w:rPr>
            <w:rStyle w:val="Hyperlink"/>
          </w:rPr>
          <w:t>Table 4</w:t>
        </w:r>
      </w:hyperlink>
      <w:r w:rsidR="004D3498" w:rsidRPr="003673FA">
        <w:t xml:space="preserve"> shows the percentage of </w:t>
      </w:r>
      <w:r w:rsidR="008B4E66" w:rsidRPr="003673FA">
        <w:t xml:space="preserve">funded projects with formally deferred commencement dates </w:t>
      </w:r>
      <w:r w:rsidR="009922D5" w:rsidRPr="003673FA">
        <w:t>in each Linkage Projects round under the annual and continuous processes</w:t>
      </w:r>
      <w:r w:rsidR="008B4E66" w:rsidRPr="003673FA">
        <w:t xml:space="preserve">. </w:t>
      </w:r>
      <w:r w:rsidR="009922D5" w:rsidRPr="003673FA">
        <w:t xml:space="preserve">The predominant reason for these deferrals in all rounds has been delay in the conclusion of agreements with partner organisations. After a </w:t>
      </w:r>
      <w:r w:rsidR="008B4E66" w:rsidRPr="003673FA">
        <w:t>remarkable spike in the 2016 annual round</w:t>
      </w:r>
      <w:r w:rsidR="00FF4CFA" w:rsidRPr="003673FA">
        <w:t xml:space="preserve"> (which, anecdotally, appears to have been due to external factors rather than any change in ARC processes)</w:t>
      </w:r>
      <w:r w:rsidR="008B4E66" w:rsidRPr="003673FA">
        <w:t xml:space="preserve">, </w:t>
      </w:r>
      <w:r w:rsidR="009922D5" w:rsidRPr="003673FA">
        <w:t xml:space="preserve">deferrals declined in the 2016 and 2017 continuous rounds, but have been more </w:t>
      </w:r>
      <w:r w:rsidR="00FF4CFA" w:rsidRPr="003673FA">
        <w:t>frequent</w:t>
      </w:r>
      <w:r w:rsidR="009922D5" w:rsidRPr="003673FA">
        <w:t xml:space="preserve"> than in earlier annual rounds.</w:t>
      </w:r>
      <w:r w:rsidR="00FF4CFA" w:rsidRPr="003673FA">
        <w:t xml:space="preserve"> Given the fluctuations in the data, it</w:t>
      </w:r>
      <w:r w:rsidR="009922D5" w:rsidRPr="003673FA">
        <w:t xml:space="preserve"> is not possible</w:t>
      </w:r>
      <w:r w:rsidR="00FF4CFA" w:rsidRPr="003673FA">
        <w:t xml:space="preserve"> </w:t>
      </w:r>
      <w:r w:rsidR="009922D5" w:rsidRPr="003673FA">
        <w:t xml:space="preserve">to </w:t>
      </w:r>
      <w:r w:rsidR="00FF4CFA" w:rsidRPr="003673FA">
        <w:t>draw conclusions on whether</w:t>
      </w:r>
      <w:r w:rsidR="009922D5" w:rsidRPr="003673FA">
        <w:t xml:space="preserve"> the continuous process </w:t>
      </w:r>
      <w:r w:rsidR="00FF4CFA" w:rsidRPr="003673FA">
        <w:t>is associated with any changes in this area.</w:t>
      </w:r>
    </w:p>
    <w:p w14:paraId="6EA436EC" w14:textId="55038B44" w:rsidR="00A531CC" w:rsidRPr="003673FA" w:rsidRDefault="00A531CC" w:rsidP="00930238"/>
    <w:p w14:paraId="0402A365" w14:textId="2DD07A4A" w:rsidR="004D3498" w:rsidRPr="003673FA" w:rsidRDefault="004D3498" w:rsidP="004D3498">
      <w:pPr>
        <w:pStyle w:val="Heading4"/>
      </w:pPr>
      <w:bookmarkStart w:id="47" w:name="Table4"/>
      <w:bookmarkEnd w:id="47"/>
      <w:r w:rsidRPr="003673FA">
        <w:t>Table 4: Funded projects with deferred commencement</w:t>
      </w:r>
    </w:p>
    <w:tbl>
      <w:tblPr>
        <w:tblStyle w:val="GridTable5Dark-Accent1"/>
        <w:tblW w:w="0" w:type="auto"/>
        <w:tblLook w:val="04A0" w:firstRow="1" w:lastRow="0" w:firstColumn="1" w:lastColumn="0" w:noHBand="0" w:noVBand="1"/>
      </w:tblPr>
      <w:tblGrid>
        <w:gridCol w:w="1291"/>
        <w:gridCol w:w="1291"/>
        <w:gridCol w:w="1291"/>
        <w:gridCol w:w="1291"/>
        <w:gridCol w:w="1291"/>
        <w:gridCol w:w="1291"/>
        <w:gridCol w:w="1292"/>
      </w:tblGrid>
      <w:tr w:rsidR="004D3498" w:rsidRPr="003673FA" w14:paraId="7A342DFA" w14:textId="77777777" w:rsidTr="00E66E0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291" w:type="dxa"/>
          </w:tcPr>
          <w:p w14:paraId="12E438D8" w14:textId="77777777" w:rsidR="004D3498" w:rsidRPr="003673FA" w:rsidRDefault="004D3498" w:rsidP="00930238">
            <w:pPr>
              <w:rPr>
                <w:sz w:val="22"/>
              </w:rPr>
            </w:pPr>
          </w:p>
        </w:tc>
        <w:tc>
          <w:tcPr>
            <w:tcW w:w="1291" w:type="dxa"/>
          </w:tcPr>
          <w:p w14:paraId="58657FD3" w14:textId="6AE61D73" w:rsidR="004D3498" w:rsidRPr="003673FA" w:rsidRDefault="004D3498" w:rsidP="004D3498">
            <w:pPr>
              <w:jc w:val="center"/>
              <w:cnfStyle w:val="100000000000" w:firstRow="1" w:lastRow="0" w:firstColumn="0" w:lastColumn="0" w:oddVBand="0" w:evenVBand="0" w:oddHBand="0" w:evenHBand="0" w:firstRowFirstColumn="0" w:firstRowLastColumn="0" w:lastRowFirstColumn="0" w:lastRowLastColumn="0"/>
              <w:rPr>
                <w:sz w:val="22"/>
              </w:rPr>
            </w:pPr>
            <w:r w:rsidRPr="003673FA">
              <w:rPr>
                <w:sz w:val="22"/>
              </w:rPr>
              <w:t>2013 A</w:t>
            </w:r>
          </w:p>
        </w:tc>
        <w:tc>
          <w:tcPr>
            <w:tcW w:w="1291" w:type="dxa"/>
          </w:tcPr>
          <w:p w14:paraId="48E594D3" w14:textId="50DFA89D" w:rsidR="004D3498" w:rsidRPr="003673FA" w:rsidRDefault="004D3498" w:rsidP="004D3498">
            <w:pPr>
              <w:jc w:val="center"/>
              <w:cnfStyle w:val="100000000000" w:firstRow="1" w:lastRow="0" w:firstColumn="0" w:lastColumn="0" w:oddVBand="0" w:evenVBand="0" w:oddHBand="0" w:evenHBand="0" w:firstRowFirstColumn="0" w:firstRowLastColumn="0" w:lastRowFirstColumn="0" w:lastRowLastColumn="0"/>
              <w:rPr>
                <w:sz w:val="22"/>
              </w:rPr>
            </w:pPr>
            <w:r w:rsidRPr="003673FA">
              <w:rPr>
                <w:sz w:val="22"/>
              </w:rPr>
              <w:t>2014 A</w:t>
            </w:r>
          </w:p>
        </w:tc>
        <w:tc>
          <w:tcPr>
            <w:tcW w:w="1291" w:type="dxa"/>
          </w:tcPr>
          <w:p w14:paraId="2A8B2DF5" w14:textId="5CB847C2" w:rsidR="004D3498" w:rsidRPr="003673FA" w:rsidRDefault="004D3498" w:rsidP="004D3498">
            <w:pPr>
              <w:jc w:val="center"/>
              <w:cnfStyle w:val="100000000000" w:firstRow="1" w:lastRow="0" w:firstColumn="0" w:lastColumn="0" w:oddVBand="0" w:evenVBand="0" w:oddHBand="0" w:evenHBand="0" w:firstRowFirstColumn="0" w:firstRowLastColumn="0" w:lastRowFirstColumn="0" w:lastRowLastColumn="0"/>
              <w:rPr>
                <w:sz w:val="22"/>
              </w:rPr>
            </w:pPr>
            <w:r w:rsidRPr="003673FA">
              <w:rPr>
                <w:sz w:val="22"/>
              </w:rPr>
              <w:t>2015 A</w:t>
            </w:r>
          </w:p>
        </w:tc>
        <w:tc>
          <w:tcPr>
            <w:tcW w:w="1291" w:type="dxa"/>
          </w:tcPr>
          <w:p w14:paraId="386ED889" w14:textId="016171B3" w:rsidR="004D3498" w:rsidRPr="003673FA" w:rsidRDefault="004D3498" w:rsidP="004D3498">
            <w:pPr>
              <w:jc w:val="center"/>
              <w:cnfStyle w:val="100000000000" w:firstRow="1" w:lastRow="0" w:firstColumn="0" w:lastColumn="0" w:oddVBand="0" w:evenVBand="0" w:oddHBand="0" w:evenHBand="0" w:firstRowFirstColumn="0" w:firstRowLastColumn="0" w:lastRowFirstColumn="0" w:lastRowLastColumn="0"/>
              <w:rPr>
                <w:sz w:val="22"/>
              </w:rPr>
            </w:pPr>
            <w:r w:rsidRPr="003673FA">
              <w:rPr>
                <w:sz w:val="22"/>
              </w:rPr>
              <w:t>2016 A</w:t>
            </w:r>
          </w:p>
        </w:tc>
        <w:tc>
          <w:tcPr>
            <w:tcW w:w="1291" w:type="dxa"/>
          </w:tcPr>
          <w:p w14:paraId="0F75D305" w14:textId="15B92E81" w:rsidR="004D3498" w:rsidRPr="003673FA" w:rsidRDefault="004D3498" w:rsidP="004D3498">
            <w:pPr>
              <w:jc w:val="center"/>
              <w:cnfStyle w:val="100000000000" w:firstRow="1" w:lastRow="0" w:firstColumn="0" w:lastColumn="0" w:oddVBand="0" w:evenVBand="0" w:oddHBand="0" w:evenHBand="0" w:firstRowFirstColumn="0" w:firstRowLastColumn="0" w:lastRowFirstColumn="0" w:lastRowLastColumn="0"/>
              <w:rPr>
                <w:sz w:val="22"/>
              </w:rPr>
            </w:pPr>
            <w:r w:rsidRPr="003673FA">
              <w:rPr>
                <w:sz w:val="22"/>
              </w:rPr>
              <w:t>2016 C</w:t>
            </w:r>
          </w:p>
        </w:tc>
        <w:tc>
          <w:tcPr>
            <w:tcW w:w="1292" w:type="dxa"/>
          </w:tcPr>
          <w:p w14:paraId="362D12BA" w14:textId="3BAC4EAA" w:rsidR="004D3498" w:rsidRPr="003673FA" w:rsidRDefault="004D3498" w:rsidP="004D3498">
            <w:pPr>
              <w:jc w:val="center"/>
              <w:cnfStyle w:val="100000000000" w:firstRow="1" w:lastRow="0" w:firstColumn="0" w:lastColumn="0" w:oddVBand="0" w:evenVBand="0" w:oddHBand="0" w:evenHBand="0" w:firstRowFirstColumn="0" w:firstRowLastColumn="0" w:lastRowFirstColumn="0" w:lastRowLastColumn="0"/>
              <w:rPr>
                <w:sz w:val="22"/>
              </w:rPr>
            </w:pPr>
            <w:r w:rsidRPr="003673FA">
              <w:rPr>
                <w:sz w:val="22"/>
              </w:rPr>
              <w:t>2017 C</w:t>
            </w:r>
          </w:p>
        </w:tc>
      </w:tr>
      <w:tr w:rsidR="004D3498" w:rsidRPr="003673FA" w14:paraId="5084E727" w14:textId="77777777" w:rsidTr="004D3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14:paraId="3ED4C9CE" w14:textId="42FD0FC9" w:rsidR="004D3498" w:rsidRPr="003673FA" w:rsidRDefault="004D3498" w:rsidP="00930238">
            <w:pPr>
              <w:rPr>
                <w:sz w:val="22"/>
              </w:rPr>
            </w:pPr>
            <w:r w:rsidRPr="003673FA">
              <w:rPr>
                <w:sz w:val="22"/>
              </w:rPr>
              <w:t>Total</w:t>
            </w:r>
          </w:p>
        </w:tc>
        <w:tc>
          <w:tcPr>
            <w:tcW w:w="1291" w:type="dxa"/>
          </w:tcPr>
          <w:p w14:paraId="044EB297" w14:textId="4A536F53" w:rsidR="004D3498" w:rsidRPr="003673FA" w:rsidRDefault="004D3498" w:rsidP="00B46C2B">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306</w:t>
            </w:r>
          </w:p>
        </w:tc>
        <w:tc>
          <w:tcPr>
            <w:tcW w:w="1291" w:type="dxa"/>
          </w:tcPr>
          <w:p w14:paraId="5A25FAA9" w14:textId="51AA8FB3" w:rsidR="004D3498" w:rsidRPr="003673FA" w:rsidRDefault="004D3498" w:rsidP="00B46C2B">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251</w:t>
            </w:r>
          </w:p>
        </w:tc>
        <w:tc>
          <w:tcPr>
            <w:tcW w:w="1291" w:type="dxa"/>
          </w:tcPr>
          <w:p w14:paraId="7E0DFAE2" w14:textId="3019A163" w:rsidR="004D3498" w:rsidRPr="003673FA" w:rsidRDefault="004D3498" w:rsidP="00B46C2B">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252</w:t>
            </w:r>
          </w:p>
        </w:tc>
        <w:tc>
          <w:tcPr>
            <w:tcW w:w="1291" w:type="dxa"/>
          </w:tcPr>
          <w:p w14:paraId="795EB9F7" w14:textId="24D30F29" w:rsidR="004D3498" w:rsidRPr="003673FA" w:rsidRDefault="004D3498" w:rsidP="00B46C2B">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231</w:t>
            </w:r>
          </w:p>
        </w:tc>
        <w:tc>
          <w:tcPr>
            <w:tcW w:w="1291" w:type="dxa"/>
          </w:tcPr>
          <w:p w14:paraId="42114153" w14:textId="4FC95AE2" w:rsidR="004D3498" w:rsidRPr="003673FA" w:rsidRDefault="004D3498" w:rsidP="00B46C2B">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89</w:t>
            </w:r>
          </w:p>
        </w:tc>
        <w:tc>
          <w:tcPr>
            <w:tcW w:w="1292" w:type="dxa"/>
          </w:tcPr>
          <w:p w14:paraId="2B03EC17" w14:textId="7755642E" w:rsidR="004D3498" w:rsidRPr="003673FA" w:rsidRDefault="004D3498" w:rsidP="00B46C2B">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132</w:t>
            </w:r>
          </w:p>
        </w:tc>
      </w:tr>
      <w:tr w:rsidR="004D3498" w:rsidRPr="003673FA" w14:paraId="3FF93F07" w14:textId="77777777" w:rsidTr="004D3498">
        <w:tc>
          <w:tcPr>
            <w:cnfStyle w:val="001000000000" w:firstRow="0" w:lastRow="0" w:firstColumn="1" w:lastColumn="0" w:oddVBand="0" w:evenVBand="0" w:oddHBand="0" w:evenHBand="0" w:firstRowFirstColumn="0" w:firstRowLastColumn="0" w:lastRowFirstColumn="0" w:lastRowLastColumn="0"/>
            <w:tcW w:w="1291" w:type="dxa"/>
          </w:tcPr>
          <w:p w14:paraId="15A490DF" w14:textId="26E9D675" w:rsidR="004D3498" w:rsidRPr="003673FA" w:rsidRDefault="004D3498" w:rsidP="00930238">
            <w:pPr>
              <w:rPr>
                <w:sz w:val="22"/>
              </w:rPr>
            </w:pPr>
            <w:r w:rsidRPr="003673FA">
              <w:rPr>
                <w:sz w:val="22"/>
              </w:rPr>
              <w:t>Deferred</w:t>
            </w:r>
          </w:p>
        </w:tc>
        <w:tc>
          <w:tcPr>
            <w:tcW w:w="1291" w:type="dxa"/>
          </w:tcPr>
          <w:p w14:paraId="65567C59" w14:textId="1653621A" w:rsidR="004D3498" w:rsidRPr="003673FA" w:rsidRDefault="004D3498" w:rsidP="00B46C2B">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36</w:t>
            </w:r>
          </w:p>
        </w:tc>
        <w:tc>
          <w:tcPr>
            <w:tcW w:w="1291" w:type="dxa"/>
          </w:tcPr>
          <w:p w14:paraId="41ED4B28" w14:textId="5A733B47" w:rsidR="004D3498" w:rsidRPr="003673FA" w:rsidRDefault="004D3498" w:rsidP="00B46C2B">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17</w:t>
            </w:r>
          </w:p>
        </w:tc>
        <w:tc>
          <w:tcPr>
            <w:tcW w:w="1291" w:type="dxa"/>
          </w:tcPr>
          <w:p w14:paraId="47691BCA" w14:textId="19F0079E" w:rsidR="004D3498" w:rsidRPr="003673FA" w:rsidRDefault="004D3498" w:rsidP="00B46C2B">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21</w:t>
            </w:r>
          </w:p>
        </w:tc>
        <w:tc>
          <w:tcPr>
            <w:tcW w:w="1291" w:type="dxa"/>
          </w:tcPr>
          <w:p w14:paraId="265C018E" w14:textId="12C4A550" w:rsidR="004D3498" w:rsidRPr="003673FA" w:rsidRDefault="008B4E66" w:rsidP="00B46C2B">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228</w:t>
            </w:r>
          </w:p>
        </w:tc>
        <w:tc>
          <w:tcPr>
            <w:tcW w:w="1291" w:type="dxa"/>
          </w:tcPr>
          <w:p w14:paraId="32B47104" w14:textId="037F61B1" w:rsidR="004D3498" w:rsidRPr="003673FA" w:rsidRDefault="004D3498" w:rsidP="00B46C2B">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61</w:t>
            </w:r>
          </w:p>
        </w:tc>
        <w:tc>
          <w:tcPr>
            <w:tcW w:w="1292" w:type="dxa"/>
          </w:tcPr>
          <w:p w14:paraId="4F60646B" w14:textId="3A89919C" w:rsidR="004D3498" w:rsidRPr="003673FA" w:rsidRDefault="004D3498" w:rsidP="00B46C2B">
            <w:pPr>
              <w:cnfStyle w:val="000000000000" w:firstRow="0" w:lastRow="0" w:firstColumn="0" w:lastColumn="0" w:oddVBand="0" w:evenVBand="0" w:oddHBand="0" w:evenHBand="0" w:firstRowFirstColumn="0" w:firstRowLastColumn="0" w:lastRowFirstColumn="0" w:lastRowLastColumn="0"/>
              <w:rPr>
                <w:sz w:val="22"/>
              </w:rPr>
            </w:pPr>
            <w:r w:rsidRPr="003673FA">
              <w:rPr>
                <w:sz w:val="22"/>
              </w:rPr>
              <w:t>31</w:t>
            </w:r>
          </w:p>
        </w:tc>
      </w:tr>
      <w:tr w:rsidR="004D3498" w:rsidRPr="003673FA" w14:paraId="0F7D6073" w14:textId="77777777" w:rsidTr="004D349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1" w:type="dxa"/>
          </w:tcPr>
          <w:p w14:paraId="57F3C76F" w14:textId="74589775" w:rsidR="004D3498" w:rsidRPr="003673FA" w:rsidRDefault="004D3498" w:rsidP="00930238">
            <w:pPr>
              <w:rPr>
                <w:sz w:val="22"/>
              </w:rPr>
            </w:pPr>
            <w:r w:rsidRPr="003673FA">
              <w:rPr>
                <w:sz w:val="22"/>
              </w:rPr>
              <w:t>%</w:t>
            </w:r>
          </w:p>
        </w:tc>
        <w:tc>
          <w:tcPr>
            <w:tcW w:w="1291" w:type="dxa"/>
          </w:tcPr>
          <w:p w14:paraId="3E36C9A3" w14:textId="4F48739C" w:rsidR="004D3498" w:rsidRPr="003673FA" w:rsidRDefault="004D3498" w:rsidP="00B46C2B">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12</w:t>
            </w:r>
          </w:p>
        </w:tc>
        <w:tc>
          <w:tcPr>
            <w:tcW w:w="1291" w:type="dxa"/>
          </w:tcPr>
          <w:p w14:paraId="56E243A9" w14:textId="457D8104" w:rsidR="004D3498" w:rsidRPr="003673FA" w:rsidRDefault="004D3498" w:rsidP="00B46C2B">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7</w:t>
            </w:r>
          </w:p>
        </w:tc>
        <w:tc>
          <w:tcPr>
            <w:tcW w:w="1291" w:type="dxa"/>
          </w:tcPr>
          <w:p w14:paraId="414A953E" w14:textId="263CAD07" w:rsidR="004D3498" w:rsidRPr="003673FA" w:rsidRDefault="004D3498" w:rsidP="00B46C2B">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8</w:t>
            </w:r>
          </w:p>
        </w:tc>
        <w:tc>
          <w:tcPr>
            <w:tcW w:w="1291" w:type="dxa"/>
          </w:tcPr>
          <w:p w14:paraId="654C461C" w14:textId="7B3E0F18" w:rsidR="004D3498" w:rsidRPr="003673FA" w:rsidRDefault="004D3498" w:rsidP="00B46C2B">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99</w:t>
            </w:r>
          </w:p>
        </w:tc>
        <w:tc>
          <w:tcPr>
            <w:tcW w:w="1291" w:type="dxa"/>
          </w:tcPr>
          <w:p w14:paraId="3A2A912A" w14:textId="0F8B95A7" w:rsidR="004D3498" w:rsidRPr="003673FA" w:rsidRDefault="004D3498" w:rsidP="00B46C2B">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69</w:t>
            </w:r>
          </w:p>
        </w:tc>
        <w:tc>
          <w:tcPr>
            <w:tcW w:w="1292" w:type="dxa"/>
          </w:tcPr>
          <w:p w14:paraId="0E0FCECE" w14:textId="17EE0917" w:rsidR="004D3498" w:rsidRPr="003673FA" w:rsidRDefault="004D3498" w:rsidP="00B46C2B">
            <w:pPr>
              <w:cnfStyle w:val="000000100000" w:firstRow="0" w:lastRow="0" w:firstColumn="0" w:lastColumn="0" w:oddVBand="0" w:evenVBand="0" w:oddHBand="1" w:evenHBand="0" w:firstRowFirstColumn="0" w:firstRowLastColumn="0" w:lastRowFirstColumn="0" w:lastRowLastColumn="0"/>
              <w:rPr>
                <w:sz w:val="22"/>
              </w:rPr>
            </w:pPr>
            <w:r w:rsidRPr="003673FA">
              <w:rPr>
                <w:sz w:val="22"/>
              </w:rPr>
              <w:t>23</w:t>
            </w:r>
          </w:p>
        </w:tc>
      </w:tr>
    </w:tbl>
    <w:p w14:paraId="09DE4D22" w14:textId="77777777" w:rsidR="004D3498" w:rsidRPr="003673FA" w:rsidRDefault="004D3498" w:rsidP="004D3498">
      <w:pPr>
        <w:spacing w:line="259" w:lineRule="auto"/>
        <w:rPr>
          <w:sz w:val="20"/>
          <w:szCs w:val="20"/>
        </w:rPr>
      </w:pPr>
      <w:r w:rsidRPr="003673FA">
        <w:rPr>
          <w:sz w:val="20"/>
          <w:szCs w:val="20"/>
        </w:rPr>
        <w:t xml:space="preserve">Source: ARC. </w:t>
      </w:r>
      <w:r w:rsidRPr="003673FA">
        <w:rPr>
          <w:i/>
          <w:sz w:val="20"/>
          <w:szCs w:val="20"/>
        </w:rPr>
        <w:t>Note: complete data for 2018 C were not available at the time of this report’s preparation.</w:t>
      </w:r>
    </w:p>
    <w:p w14:paraId="2FF1E921" w14:textId="1BFBB833" w:rsidR="00542385" w:rsidRPr="003673FA" w:rsidRDefault="00542385" w:rsidP="00930238"/>
    <w:p w14:paraId="22D630C1" w14:textId="1998C73A" w:rsidR="00FF4CFA" w:rsidRPr="003673FA" w:rsidRDefault="00FF4CFA" w:rsidP="00930238">
      <w:r w:rsidRPr="003673FA">
        <w:t xml:space="preserve">Nonetheless, in order </w:t>
      </w:r>
      <w:r w:rsidR="00573834" w:rsidRPr="003673FA">
        <w:t xml:space="preserve">to </w:t>
      </w:r>
      <w:r w:rsidRPr="003673FA">
        <w:t>support better alignment between grant announcements and the commencement of fundin</w:t>
      </w:r>
      <w:r w:rsidR="009E3552" w:rsidRPr="003673FA">
        <w:t>g under the continuous process, the ARC could consider potentia</w:t>
      </w:r>
      <w:r w:rsidR="00E0046A" w:rsidRPr="003673FA">
        <w:t xml:space="preserve">l modification of </w:t>
      </w:r>
      <w:r w:rsidR="009E3552" w:rsidRPr="003673FA">
        <w:t>its</w:t>
      </w:r>
      <w:r w:rsidR="00E0046A" w:rsidRPr="003673FA">
        <w:t xml:space="preserve"> financial systems to allow for the release of initial funding </w:t>
      </w:r>
      <w:r w:rsidR="009E3552" w:rsidRPr="003673FA">
        <w:t xml:space="preserve">for frequently </w:t>
      </w:r>
      <w:r w:rsidR="00E0046A" w:rsidRPr="003673FA">
        <w:t xml:space="preserve">throughout the year (for example, quarterly). </w:t>
      </w:r>
      <w:r w:rsidR="009E3552" w:rsidRPr="003673FA">
        <w:t>T</w:t>
      </w:r>
      <w:r w:rsidR="00B46C2B" w:rsidRPr="003673FA">
        <w:t xml:space="preserve">he ARC could </w:t>
      </w:r>
      <w:r w:rsidR="009E3552" w:rsidRPr="003673FA">
        <w:t xml:space="preserve">also </w:t>
      </w:r>
      <w:r w:rsidR="00B46C2B" w:rsidRPr="003673FA">
        <w:t xml:space="preserve">consider asking industry partners to provide their funding contributions first </w:t>
      </w:r>
      <w:r w:rsidR="004C2D2D" w:rsidRPr="003673FA">
        <w:t xml:space="preserve">(that is, before ARC funding commences) </w:t>
      </w:r>
      <w:r w:rsidR="00B46C2B" w:rsidRPr="003673FA">
        <w:t>t</w:t>
      </w:r>
      <w:r w:rsidR="00D949D9" w:rsidRPr="003673FA">
        <w:t>o avoid delays in commencement, but noted th</w:t>
      </w:r>
      <w:r w:rsidR="00B46C2B" w:rsidRPr="003673FA">
        <w:t>is is likely to be challenging for projects where smaller partner organisations are not contributing cash or have limited cash resources.</w:t>
      </w:r>
      <w:r w:rsidR="00B46C2B" w:rsidRPr="003673FA">
        <w:rPr>
          <w:rStyle w:val="FootnoteReference"/>
        </w:rPr>
        <w:footnoteReference w:id="22"/>
      </w:r>
    </w:p>
    <w:p w14:paraId="34E7F69C" w14:textId="1E581C90" w:rsidR="00830FEF" w:rsidRPr="003673FA" w:rsidRDefault="00830FEF"/>
    <w:p w14:paraId="354C8E3D" w14:textId="2155CA6C" w:rsidR="000F7ACD" w:rsidRPr="003673FA" w:rsidRDefault="000F7ACD" w:rsidP="000F7ACD">
      <w:pPr>
        <w:pStyle w:val="Heading3"/>
      </w:pPr>
      <w:r w:rsidRPr="003673FA">
        <w:t>Suggestions for improvement</w:t>
      </w:r>
    </w:p>
    <w:p w14:paraId="32BDF833" w14:textId="62A3C7A1" w:rsidR="000F7ACD" w:rsidRPr="003673FA" w:rsidRDefault="000F7ACD"/>
    <w:p w14:paraId="21049E27" w14:textId="57F01001" w:rsidR="004C2D2D" w:rsidRPr="003673FA" w:rsidRDefault="004C2D2D">
      <w:r w:rsidRPr="003673FA">
        <w:t>As discussed throughout this report, the lack of deadlines in the continuous process was seen as an important issue in a number of respects by Linkage Projects stakeholders</w:t>
      </w:r>
      <w:r w:rsidR="00C47D3D" w:rsidRPr="003673FA">
        <w:t>. A</w:t>
      </w:r>
      <w:r w:rsidRPr="003673FA">
        <w:t>s outlined under evaluation questions 5 and 6, many</w:t>
      </w:r>
      <w:r w:rsidR="005B7A62" w:rsidRPr="003673FA">
        <w:t xml:space="preserve"> stakeholders</w:t>
      </w:r>
      <w:r w:rsidRPr="003673FA">
        <w:t xml:space="preserve"> </w:t>
      </w:r>
      <w:r w:rsidR="00976AA0" w:rsidRPr="003673FA">
        <w:t>felt that the</w:t>
      </w:r>
      <w:r w:rsidRPr="003673FA">
        <w:t xml:space="preserve"> introduction of </w:t>
      </w:r>
      <w:r w:rsidR="003110F0" w:rsidRPr="003673FA">
        <w:t xml:space="preserve">application </w:t>
      </w:r>
      <w:r w:rsidRPr="003673FA">
        <w:t>deadlines</w:t>
      </w:r>
      <w:r w:rsidR="00976AA0" w:rsidRPr="003673FA">
        <w:t xml:space="preserve"> would improve the process</w:t>
      </w:r>
      <w:r w:rsidRPr="003673FA">
        <w:t xml:space="preserve">. </w:t>
      </w:r>
    </w:p>
    <w:p w14:paraId="4DFA913D" w14:textId="0FCADB58" w:rsidR="004C2D2D" w:rsidRPr="003673FA" w:rsidRDefault="004C2D2D"/>
    <w:p w14:paraId="402E6685" w14:textId="2063BE27" w:rsidR="000F7ACD" w:rsidRPr="003673FA" w:rsidRDefault="00976AA0">
      <w:r w:rsidRPr="003673FA">
        <w:t xml:space="preserve">An approach to modifying the ARC’s administration of the continuous process could </w:t>
      </w:r>
      <w:r w:rsidR="003110F0" w:rsidRPr="003673FA">
        <w:t xml:space="preserve">be to continue to </w:t>
      </w:r>
      <w:r w:rsidRPr="003673FA">
        <w:t xml:space="preserve">allow applications to be submitted at any time, </w:t>
      </w:r>
      <w:r w:rsidR="003110F0" w:rsidRPr="003673FA">
        <w:t>and</w:t>
      </w:r>
      <w:r w:rsidR="008541E0" w:rsidRPr="003673FA">
        <w:t xml:space="preserve"> to</w:t>
      </w:r>
      <w:r w:rsidR="003110F0" w:rsidRPr="003673FA">
        <w:t xml:space="preserve"> publicly announce </w:t>
      </w:r>
      <w:r w:rsidRPr="003673FA">
        <w:t xml:space="preserve">three or four application </w:t>
      </w:r>
      <w:r w:rsidR="003110F0" w:rsidRPr="003673FA">
        <w:t xml:space="preserve">batch </w:t>
      </w:r>
      <w:r w:rsidRPr="003673FA">
        <w:t xml:space="preserve">deadlines per year. Assessment would occur in </w:t>
      </w:r>
      <w:r w:rsidR="003110F0" w:rsidRPr="003673FA">
        <w:t xml:space="preserve">three or four rounds, aligned with </w:t>
      </w:r>
      <w:r w:rsidR="008541E0" w:rsidRPr="003673FA">
        <w:t>the</w:t>
      </w:r>
      <w:r w:rsidR="003110F0" w:rsidRPr="003673FA">
        <w:t xml:space="preserve"> application deadline</w:t>
      </w:r>
      <w:r w:rsidR="008541E0" w:rsidRPr="003673FA">
        <w:t>s</w:t>
      </w:r>
      <w:r w:rsidR="003110F0" w:rsidRPr="003673FA">
        <w:t xml:space="preserve"> (it should be noted that the original Watt Review recommendation was for three selection meetings to be held per year). A move to </w:t>
      </w:r>
      <w:r w:rsidR="007C383F" w:rsidRPr="003673FA">
        <w:t>published</w:t>
      </w:r>
      <w:r w:rsidR="003110F0" w:rsidRPr="003673FA">
        <w:t xml:space="preserve"> deadlines would </w:t>
      </w:r>
      <w:r w:rsidR="007C383F" w:rsidRPr="003673FA">
        <w:t xml:space="preserve">require a change to </w:t>
      </w:r>
      <w:r w:rsidR="003110F0" w:rsidRPr="003673FA">
        <w:t xml:space="preserve">the commitment to announce outcomes within six </w:t>
      </w:r>
      <w:r w:rsidR="007C383F" w:rsidRPr="003673FA">
        <w:t>months, with the timeframe to begin</w:t>
      </w:r>
      <w:r w:rsidR="003110F0" w:rsidRPr="003673FA">
        <w:t xml:space="preserve"> from the a</w:t>
      </w:r>
      <w:r w:rsidR="00294664" w:rsidRPr="003673FA">
        <w:t xml:space="preserve">pplication </w:t>
      </w:r>
      <w:r w:rsidR="007C383F" w:rsidRPr="003673FA">
        <w:t>deadline</w:t>
      </w:r>
      <w:r w:rsidR="003110F0" w:rsidRPr="003673FA">
        <w:t>.</w:t>
      </w:r>
    </w:p>
    <w:p w14:paraId="025F59C7" w14:textId="6546F50F" w:rsidR="00563E94" w:rsidRPr="003673FA" w:rsidRDefault="00563E94"/>
    <w:p w14:paraId="0E270864" w14:textId="0BFE5B96" w:rsidR="00F15310" w:rsidRPr="003673FA" w:rsidRDefault="00CF3BCB" w:rsidP="00F15310">
      <w:pPr>
        <w:pStyle w:val="Heading3"/>
      </w:pPr>
      <w:r w:rsidRPr="003673FA">
        <w:t>Key findings</w:t>
      </w:r>
      <w:r w:rsidR="00F930AF" w:rsidRPr="003673FA">
        <w:t>: ARC administration</w:t>
      </w:r>
    </w:p>
    <w:p w14:paraId="72CD9DC4" w14:textId="68A8B7A9" w:rsidR="005D392C" w:rsidRPr="003673FA" w:rsidRDefault="005D392C" w:rsidP="005D392C"/>
    <w:p w14:paraId="0718737F" w14:textId="77777777" w:rsidR="00744B85" w:rsidRPr="003673FA" w:rsidRDefault="00744B85" w:rsidP="00744B85">
      <w:pPr>
        <w:pStyle w:val="ListParagraph"/>
        <w:numPr>
          <w:ilvl w:val="0"/>
          <w:numId w:val="20"/>
        </w:numPr>
        <w:rPr>
          <w:color w:val="auto"/>
        </w:rPr>
      </w:pPr>
      <w:r w:rsidRPr="003673FA">
        <w:rPr>
          <w:color w:val="auto"/>
        </w:rPr>
        <w:t>Efficiencies have been achieved by holding SAC meetings via Zoom, and the fast tracking of applications has reduced SAC workloads.</w:t>
      </w:r>
    </w:p>
    <w:p w14:paraId="71D558CE" w14:textId="394F3E5D" w:rsidR="00744B85" w:rsidRPr="003673FA" w:rsidRDefault="00CF32FA" w:rsidP="00744B85">
      <w:pPr>
        <w:pStyle w:val="ListParagraph"/>
        <w:numPr>
          <w:ilvl w:val="0"/>
          <w:numId w:val="20"/>
        </w:numPr>
        <w:rPr>
          <w:color w:val="auto"/>
        </w:rPr>
      </w:pPr>
      <w:r w:rsidRPr="003673FA">
        <w:rPr>
          <w:color w:val="auto"/>
        </w:rPr>
        <w:t>The need for multiple SAC meetings in each round has increased the demands placed on SAC members and created risks</w:t>
      </w:r>
      <w:r w:rsidR="00744B85" w:rsidRPr="003673FA">
        <w:rPr>
          <w:color w:val="auto"/>
        </w:rPr>
        <w:t xml:space="preserve"> relating to</w:t>
      </w:r>
      <w:r w:rsidR="00757614" w:rsidRPr="003673FA">
        <w:rPr>
          <w:color w:val="auto"/>
        </w:rPr>
        <w:t xml:space="preserve"> their</w:t>
      </w:r>
      <w:r w:rsidR="00744B85" w:rsidRPr="003673FA">
        <w:rPr>
          <w:color w:val="auto"/>
        </w:rPr>
        <w:t xml:space="preserve"> meeting attendance</w:t>
      </w:r>
      <w:r w:rsidR="00AE6BD3" w:rsidRPr="003673FA">
        <w:rPr>
          <w:color w:val="auto"/>
        </w:rPr>
        <w:t xml:space="preserve">. </w:t>
      </w:r>
      <w:r w:rsidR="00C732E0" w:rsidRPr="003673FA">
        <w:rPr>
          <w:color w:val="auto"/>
        </w:rPr>
        <w:t>Further analysis of SAC attendance would be beneficial after the 2018 round is complete</w:t>
      </w:r>
      <w:r w:rsidR="00744B85" w:rsidRPr="003673FA">
        <w:rPr>
          <w:color w:val="auto"/>
        </w:rPr>
        <w:t>.</w:t>
      </w:r>
    </w:p>
    <w:p w14:paraId="62B8392C" w14:textId="77777777" w:rsidR="00961C9A" w:rsidRPr="003673FA" w:rsidRDefault="00961C9A" w:rsidP="00961C9A">
      <w:pPr>
        <w:pStyle w:val="ListParagraph"/>
        <w:numPr>
          <w:ilvl w:val="0"/>
          <w:numId w:val="20"/>
        </w:numPr>
        <w:rPr>
          <w:color w:val="auto"/>
        </w:rPr>
      </w:pPr>
      <w:r w:rsidRPr="003673FA">
        <w:rPr>
          <w:color w:val="auto"/>
        </w:rPr>
        <w:t>The implementation of the continuous process has increased the ARC’s administrative burden in managing application, assessment, approval and announcement processes throughout the year.</w:t>
      </w:r>
    </w:p>
    <w:p w14:paraId="3F88D1A8" w14:textId="68ADA2A1" w:rsidR="00410722" w:rsidRPr="003673FA" w:rsidRDefault="00770CF3" w:rsidP="00744B85">
      <w:pPr>
        <w:pStyle w:val="ListParagraph"/>
        <w:numPr>
          <w:ilvl w:val="0"/>
          <w:numId w:val="20"/>
        </w:numPr>
        <w:rPr>
          <w:color w:val="auto"/>
        </w:rPr>
      </w:pPr>
      <w:r w:rsidRPr="003673FA">
        <w:rPr>
          <w:color w:val="auto"/>
        </w:rPr>
        <w:t xml:space="preserve">More frequent Linkage Projects funding commencement dates may </w:t>
      </w:r>
      <w:r w:rsidR="00395B08" w:rsidRPr="003673FA">
        <w:rPr>
          <w:color w:val="auto"/>
        </w:rPr>
        <w:t xml:space="preserve">help to </w:t>
      </w:r>
      <w:r w:rsidRPr="003673FA">
        <w:rPr>
          <w:color w:val="auto"/>
        </w:rPr>
        <w:t xml:space="preserve">support </w:t>
      </w:r>
      <w:proofErr w:type="gramStart"/>
      <w:r w:rsidR="00395B08" w:rsidRPr="003673FA">
        <w:rPr>
          <w:color w:val="auto"/>
        </w:rPr>
        <w:t>more timely</w:t>
      </w:r>
      <w:proofErr w:type="gramEnd"/>
      <w:r w:rsidR="00395B08" w:rsidRPr="003673FA">
        <w:rPr>
          <w:color w:val="auto"/>
        </w:rPr>
        <w:t xml:space="preserve"> project commencement</w:t>
      </w:r>
      <w:r w:rsidR="00410722" w:rsidRPr="003673FA">
        <w:rPr>
          <w:color w:val="auto"/>
        </w:rPr>
        <w:t>.</w:t>
      </w:r>
    </w:p>
    <w:p w14:paraId="7DA7EA1F" w14:textId="22340E73" w:rsidR="00410722" w:rsidRPr="003673FA" w:rsidRDefault="0029232E" w:rsidP="00744B85">
      <w:pPr>
        <w:pStyle w:val="ListParagraph"/>
        <w:numPr>
          <w:ilvl w:val="0"/>
          <w:numId w:val="20"/>
        </w:numPr>
        <w:rPr>
          <w:color w:val="auto"/>
        </w:rPr>
      </w:pPr>
      <w:r w:rsidRPr="003673FA">
        <w:rPr>
          <w:color w:val="auto"/>
        </w:rPr>
        <w:t>T</w:t>
      </w:r>
      <w:r w:rsidR="00410722" w:rsidRPr="003673FA">
        <w:rPr>
          <w:color w:val="auto"/>
        </w:rPr>
        <w:t>he introduction of multiple application deadlines and assessment rounds per year</w:t>
      </w:r>
      <w:r w:rsidRPr="003673FA">
        <w:rPr>
          <w:color w:val="auto"/>
        </w:rPr>
        <w:t xml:space="preserve"> may improve the continuous process</w:t>
      </w:r>
      <w:r w:rsidR="00410722" w:rsidRPr="003673FA">
        <w:rPr>
          <w:color w:val="auto"/>
        </w:rPr>
        <w:t>.</w:t>
      </w:r>
    </w:p>
    <w:p w14:paraId="0FBF96FE" w14:textId="77777777" w:rsidR="00F15310" w:rsidRPr="003673FA" w:rsidRDefault="00F15310" w:rsidP="005D392C"/>
    <w:p w14:paraId="614CA727" w14:textId="65E33D05" w:rsidR="009706EA" w:rsidRPr="003673FA" w:rsidRDefault="005D392C" w:rsidP="009706EA">
      <w:pPr>
        <w:pStyle w:val="Heading2"/>
      </w:pPr>
      <w:bookmarkStart w:id="48" w:name="_Toc3285758"/>
      <w:bookmarkStart w:id="49" w:name="_Toc6218381"/>
      <w:r w:rsidRPr="003673FA">
        <w:t>Evaluation question 4</w:t>
      </w:r>
      <w:r w:rsidR="00F6414A" w:rsidRPr="003673FA">
        <w:t xml:space="preserve">: </w:t>
      </w:r>
      <w:r w:rsidR="00414108" w:rsidRPr="003673FA">
        <w:t>Stakeholder views – collaboration and innovation</w:t>
      </w:r>
      <w:bookmarkEnd w:id="48"/>
      <w:bookmarkEnd w:id="49"/>
    </w:p>
    <w:p w14:paraId="6CF8374E" w14:textId="1DE49566" w:rsidR="009706EA" w:rsidRPr="003673FA" w:rsidRDefault="009706EA" w:rsidP="005D392C">
      <w:r w:rsidRPr="003673FA">
        <w:rPr>
          <w:noProof/>
          <w:lang w:eastAsia="en-AU"/>
        </w:rPr>
        <mc:AlternateContent>
          <mc:Choice Requires="wps">
            <w:drawing>
              <wp:inline distT="0" distB="0" distL="0" distR="0" wp14:anchorId="65442073" wp14:editId="488D1C87">
                <wp:extent cx="5724525" cy="2162175"/>
                <wp:effectExtent l="0" t="0" r="28575" b="2857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2162175"/>
                        </a:xfrm>
                        <a:prstGeom prst="rect">
                          <a:avLst/>
                        </a:prstGeom>
                        <a:solidFill>
                          <a:srgbClr val="FFFFFF"/>
                        </a:solidFill>
                        <a:ln w="9525">
                          <a:solidFill>
                            <a:srgbClr val="000000"/>
                          </a:solidFill>
                          <a:miter lim="800000"/>
                          <a:headEnd/>
                          <a:tailEnd/>
                        </a:ln>
                      </wps:spPr>
                      <wps:txbx>
                        <w:txbxContent>
                          <w:p w14:paraId="313B95DF" w14:textId="0FBB5A05" w:rsidR="00FC696C" w:rsidRPr="005D392C" w:rsidRDefault="00FC696C" w:rsidP="009706EA">
                            <w:r w:rsidRPr="005D392C">
                              <w:t xml:space="preserve">What are administering and partner organisations’ views on whether, and how, the continuous process: </w:t>
                            </w:r>
                          </w:p>
                          <w:p w14:paraId="3CAD018C" w14:textId="66B07594" w:rsidR="00FC696C" w:rsidRPr="009706EA" w:rsidRDefault="00FC696C" w:rsidP="00765927">
                            <w:pPr>
                              <w:pStyle w:val="ListParagraph"/>
                              <w:numPr>
                                <w:ilvl w:val="0"/>
                                <w:numId w:val="9"/>
                              </w:numPr>
                              <w:spacing w:line="259" w:lineRule="auto"/>
                              <w:rPr>
                                <w:color w:val="auto"/>
                                <w:szCs w:val="24"/>
                              </w:rPr>
                            </w:pPr>
                            <w:r w:rsidRPr="005D392C">
                              <w:rPr>
                                <w:color w:val="auto"/>
                                <w:szCs w:val="24"/>
                              </w:rPr>
                              <w:t>facilitates greater collaboration within the university sector and with partner organisations</w:t>
                            </w:r>
                          </w:p>
                          <w:p w14:paraId="147DE0F5" w14:textId="5F014264" w:rsidR="00FC696C" w:rsidRPr="009706EA" w:rsidRDefault="00FC696C" w:rsidP="00765927">
                            <w:pPr>
                              <w:pStyle w:val="ListParagraph"/>
                              <w:numPr>
                                <w:ilvl w:val="0"/>
                                <w:numId w:val="9"/>
                              </w:numPr>
                              <w:spacing w:line="259" w:lineRule="auto"/>
                              <w:rPr>
                                <w:color w:val="auto"/>
                                <w:szCs w:val="24"/>
                              </w:rPr>
                            </w:pPr>
                            <w:r w:rsidRPr="005D392C">
                              <w:rPr>
                                <w:color w:val="auto"/>
                                <w:szCs w:val="24"/>
                              </w:rPr>
                              <w:t>encourages partner organisations to participate in collaborative research</w:t>
                            </w:r>
                          </w:p>
                          <w:p w14:paraId="3C2BC336" w14:textId="77777777" w:rsidR="00FC696C" w:rsidRDefault="00FC696C" w:rsidP="00765927">
                            <w:pPr>
                              <w:pStyle w:val="ListParagraph"/>
                              <w:numPr>
                                <w:ilvl w:val="0"/>
                                <w:numId w:val="9"/>
                              </w:numPr>
                              <w:spacing w:line="259" w:lineRule="auto"/>
                              <w:rPr>
                                <w:color w:val="auto"/>
                                <w:szCs w:val="24"/>
                              </w:rPr>
                            </w:pPr>
                            <w:r w:rsidRPr="005D392C">
                              <w:rPr>
                                <w:color w:val="auto"/>
                                <w:szCs w:val="24"/>
                              </w:rPr>
                              <w:t>influences the ways in which collaboration is initiated and managed, and by whom</w:t>
                            </w:r>
                          </w:p>
                          <w:p w14:paraId="267362F4" w14:textId="75929282" w:rsidR="00FC696C" w:rsidRPr="009706EA" w:rsidRDefault="00FC696C" w:rsidP="00765927">
                            <w:pPr>
                              <w:pStyle w:val="ListParagraph"/>
                              <w:numPr>
                                <w:ilvl w:val="0"/>
                                <w:numId w:val="9"/>
                              </w:numPr>
                              <w:spacing w:line="259" w:lineRule="auto"/>
                              <w:rPr>
                                <w:color w:val="auto"/>
                                <w:szCs w:val="24"/>
                              </w:rPr>
                            </w:pPr>
                            <w:r w:rsidRPr="005D392C">
                              <w:rPr>
                                <w:color w:val="auto"/>
                                <w:szCs w:val="24"/>
                              </w:rPr>
                              <w:t>facilitates support for research that responds to time cr</w:t>
                            </w:r>
                            <w:r>
                              <w:rPr>
                                <w:color w:val="auto"/>
                                <w:szCs w:val="24"/>
                              </w:rPr>
                              <w:t>itical innovation opportunities</w:t>
                            </w:r>
                          </w:p>
                          <w:p w14:paraId="0067B221" w14:textId="77777777" w:rsidR="00FC696C" w:rsidRPr="009706EA" w:rsidRDefault="00FC696C" w:rsidP="00765927">
                            <w:pPr>
                              <w:pStyle w:val="ListParagraph"/>
                              <w:numPr>
                                <w:ilvl w:val="0"/>
                                <w:numId w:val="9"/>
                              </w:numPr>
                              <w:spacing w:line="259" w:lineRule="auto"/>
                              <w:rPr>
                                <w:color w:val="auto"/>
                              </w:rPr>
                            </w:pPr>
                            <w:r w:rsidRPr="009706EA">
                              <w:rPr>
                                <w:color w:val="auto"/>
                                <w:szCs w:val="24"/>
                              </w:rPr>
                              <w:t>influences administering and partner organisations’ approaches and responses to time critical innovation opportunities</w:t>
                            </w:r>
                          </w:p>
                          <w:p w14:paraId="7037E587" w14:textId="1213105E" w:rsidR="00FC696C" w:rsidRPr="009706EA" w:rsidRDefault="00FC696C" w:rsidP="00765927">
                            <w:pPr>
                              <w:pStyle w:val="ListParagraph"/>
                              <w:numPr>
                                <w:ilvl w:val="0"/>
                                <w:numId w:val="9"/>
                              </w:numPr>
                              <w:spacing w:line="259" w:lineRule="auto"/>
                              <w:rPr>
                                <w:color w:val="auto"/>
                              </w:rPr>
                            </w:pPr>
                            <w:proofErr w:type="gramStart"/>
                            <w:r w:rsidRPr="009706EA">
                              <w:rPr>
                                <w:color w:val="auto"/>
                                <w:szCs w:val="24"/>
                              </w:rPr>
                              <w:t>meets</w:t>
                            </w:r>
                            <w:proofErr w:type="gramEnd"/>
                            <w:r w:rsidRPr="009706EA">
                              <w:rPr>
                                <w:color w:val="auto"/>
                                <w:szCs w:val="24"/>
                              </w:rPr>
                              <w:t xml:space="preserve"> its objectives as outlined by NISA and the Watt Review?</w:t>
                            </w:r>
                          </w:p>
                        </w:txbxContent>
                      </wps:txbx>
                      <wps:bodyPr rot="0" vert="horz" wrap="square" lIns="91440" tIns="45720" rIns="91440" bIns="45720" anchor="t" anchorCtr="0">
                        <a:noAutofit/>
                      </wps:bodyPr>
                    </wps:wsp>
                  </a:graphicData>
                </a:graphic>
              </wp:inline>
            </w:drawing>
          </mc:Choice>
          <mc:Fallback>
            <w:pict>
              <v:shape w14:anchorId="65442073" id="Text Box 3" o:spid="_x0000_s1029" type="#_x0000_t202" style="width:450.75pt;height:17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GWAJAIAAEwEAAAOAAAAZHJzL2Uyb0RvYy54bWysVNuO2yAQfa/Uf0C8N469yV6sOKtttqkq&#10;bS/Sbj8AYxyjAkOBxE6/vgP2pulFfajqB8Qww+HMmRmvbgetyEE4L8FUNJ/NKRGGQyPNrqKfn7av&#10;rinxgZmGKTCiokfh6e365YtVb0tRQAeqEY4giPFlbyvahWDLLPO8E5r5GVhh0NmC0yyg6XZZ41iP&#10;6FplxXx+mfXgGuuAC+/x9H500nXCb1vBw8e29SIQVVHkFtLq0lrHNVuvWLlzzHaSTzTYP7DQTBp8&#10;9AR1zwIjeyd/g9KSO/DQhhkHnUHbSi5SDphNPv8lm8eOWZFyQXG8Pcnk/x8s/3D45IhsKnpBiWEa&#10;S/QkhkBew0Auojq99SUGPVoMCwMeY5VTpt4+AP/iiYFNx8xO3DkHfSdYg+zyeDM7uzri+AhS9++h&#10;wWfYPkACGlqno3QoBkF0rNLxVJlIhePh8qpYLIslJRx9RX5Z5FfL9AYrn69b58NbAZrETUUdlj7B&#10;s8ODD5EOK59D4mselGy2UqlkuF29UY4cGLbJNn0T+k9hypC+ojeRyN8h5un7E4SWAftdSV3R61MQ&#10;K6Nub0yTujEwqcY9UlZmEjJqN6oYhnqYKjbVp4bmiMo6GNsbxxE3HbhvlPTY2hX1X/fMCUrUO4PV&#10;uckXizgLyVigtGi4c0997mGGI1RFAyXjdhPS/EQFDNxhFVuZ9I3lHplMlLFlk+zTeMWZOLdT1I+f&#10;wPo7AAAA//8DAFBLAwQUAAYACAAAACEAVY/JOd4AAAAFAQAADwAAAGRycy9kb3ducmV2LnhtbEyP&#10;zU7DMBCE70i8g7WVuKDWLv2hTeNUCImK3qBFcHXjbRJhr4PtpunbY7jAZaXRjGa+zde9NaxDHxpH&#10;EsYjAQypdLqhSsLb/mm4ABaiIq2MI5RwwQDr4voqV5l2Z3rFbhcrlkooZEpCHWObcR7KGq0KI9ci&#10;Je/ovFUxSV9x7dU5lVvD74SYc6saSgu1avGxxvJzd7ISFtPn7iNsJy/v5fxolvH2vtt8eSlvBv3D&#10;CljEPv6F4Qc/oUORmA7uRDowIyE9En9v8pZiPAN2kDCZihnwIuf/6YtvAAAA//8DAFBLAQItABQA&#10;BgAIAAAAIQC2gziS/gAAAOEBAAATAAAAAAAAAAAAAAAAAAAAAABbQ29udGVudF9UeXBlc10ueG1s&#10;UEsBAi0AFAAGAAgAAAAhADj9If/WAAAAlAEAAAsAAAAAAAAAAAAAAAAALwEAAF9yZWxzLy5yZWxz&#10;UEsBAi0AFAAGAAgAAAAhALgUZYAkAgAATAQAAA4AAAAAAAAAAAAAAAAALgIAAGRycy9lMm9Eb2Mu&#10;eG1sUEsBAi0AFAAGAAgAAAAhAFWPyTneAAAABQEAAA8AAAAAAAAAAAAAAAAAfgQAAGRycy9kb3du&#10;cmV2LnhtbFBLBQYAAAAABAAEAPMAAACJBQAAAAA=&#10;">
                <v:textbox>
                  <w:txbxContent>
                    <w:p w14:paraId="313B95DF" w14:textId="0FBB5A05" w:rsidR="00FC696C" w:rsidRPr="005D392C" w:rsidRDefault="00FC696C" w:rsidP="009706EA">
                      <w:r w:rsidRPr="005D392C">
                        <w:t xml:space="preserve">What are administering and partner organisations’ views on whether, and how, the continuous process: </w:t>
                      </w:r>
                    </w:p>
                    <w:p w14:paraId="3CAD018C" w14:textId="66B07594" w:rsidR="00FC696C" w:rsidRPr="009706EA" w:rsidRDefault="00FC696C" w:rsidP="00765927">
                      <w:pPr>
                        <w:pStyle w:val="ListParagraph"/>
                        <w:numPr>
                          <w:ilvl w:val="0"/>
                          <w:numId w:val="9"/>
                        </w:numPr>
                        <w:spacing w:line="259" w:lineRule="auto"/>
                        <w:rPr>
                          <w:color w:val="auto"/>
                          <w:szCs w:val="24"/>
                        </w:rPr>
                      </w:pPr>
                      <w:r w:rsidRPr="005D392C">
                        <w:rPr>
                          <w:color w:val="auto"/>
                          <w:szCs w:val="24"/>
                        </w:rPr>
                        <w:t>facilitates greater collaboration within the university sector and with partner organisations</w:t>
                      </w:r>
                    </w:p>
                    <w:p w14:paraId="147DE0F5" w14:textId="5F014264" w:rsidR="00FC696C" w:rsidRPr="009706EA" w:rsidRDefault="00FC696C" w:rsidP="00765927">
                      <w:pPr>
                        <w:pStyle w:val="ListParagraph"/>
                        <w:numPr>
                          <w:ilvl w:val="0"/>
                          <w:numId w:val="9"/>
                        </w:numPr>
                        <w:spacing w:line="259" w:lineRule="auto"/>
                        <w:rPr>
                          <w:color w:val="auto"/>
                          <w:szCs w:val="24"/>
                        </w:rPr>
                      </w:pPr>
                      <w:r w:rsidRPr="005D392C">
                        <w:rPr>
                          <w:color w:val="auto"/>
                          <w:szCs w:val="24"/>
                        </w:rPr>
                        <w:t>encourages partner organisations to participate in collaborative research</w:t>
                      </w:r>
                    </w:p>
                    <w:p w14:paraId="3C2BC336" w14:textId="77777777" w:rsidR="00FC696C" w:rsidRDefault="00FC696C" w:rsidP="00765927">
                      <w:pPr>
                        <w:pStyle w:val="ListParagraph"/>
                        <w:numPr>
                          <w:ilvl w:val="0"/>
                          <w:numId w:val="9"/>
                        </w:numPr>
                        <w:spacing w:line="259" w:lineRule="auto"/>
                        <w:rPr>
                          <w:color w:val="auto"/>
                          <w:szCs w:val="24"/>
                        </w:rPr>
                      </w:pPr>
                      <w:r w:rsidRPr="005D392C">
                        <w:rPr>
                          <w:color w:val="auto"/>
                          <w:szCs w:val="24"/>
                        </w:rPr>
                        <w:t>influences the ways in which collaboration is initiated and managed, and by whom</w:t>
                      </w:r>
                    </w:p>
                    <w:p w14:paraId="267362F4" w14:textId="75929282" w:rsidR="00FC696C" w:rsidRPr="009706EA" w:rsidRDefault="00FC696C" w:rsidP="00765927">
                      <w:pPr>
                        <w:pStyle w:val="ListParagraph"/>
                        <w:numPr>
                          <w:ilvl w:val="0"/>
                          <w:numId w:val="9"/>
                        </w:numPr>
                        <w:spacing w:line="259" w:lineRule="auto"/>
                        <w:rPr>
                          <w:color w:val="auto"/>
                          <w:szCs w:val="24"/>
                        </w:rPr>
                      </w:pPr>
                      <w:r w:rsidRPr="005D392C">
                        <w:rPr>
                          <w:color w:val="auto"/>
                          <w:szCs w:val="24"/>
                        </w:rPr>
                        <w:t>facilitates support for research that responds to time cr</w:t>
                      </w:r>
                      <w:r>
                        <w:rPr>
                          <w:color w:val="auto"/>
                          <w:szCs w:val="24"/>
                        </w:rPr>
                        <w:t>itical innovation opportunities</w:t>
                      </w:r>
                    </w:p>
                    <w:p w14:paraId="0067B221" w14:textId="77777777" w:rsidR="00FC696C" w:rsidRPr="009706EA" w:rsidRDefault="00FC696C" w:rsidP="00765927">
                      <w:pPr>
                        <w:pStyle w:val="ListParagraph"/>
                        <w:numPr>
                          <w:ilvl w:val="0"/>
                          <w:numId w:val="9"/>
                        </w:numPr>
                        <w:spacing w:line="259" w:lineRule="auto"/>
                        <w:rPr>
                          <w:color w:val="auto"/>
                        </w:rPr>
                      </w:pPr>
                      <w:r w:rsidRPr="009706EA">
                        <w:rPr>
                          <w:color w:val="auto"/>
                          <w:szCs w:val="24"/>
                        </w:rPr>
                        <w:t>influences administering and partner organisations’ approaches and responses to time critical innovation opportunities</w:t>
                      </w:r>
                    </w:p>
                    <w:p w14:paraId="7037E587" w14:textId="1213105E" w:rsidR="00FC696C" w:rsidRPr="009706EA" w:rsidRDefault="00FC696C" w:rsidP="00765927">
                      <w:pPr>
                        <w:pStyle w:val="ListParagraph"/>
                        <w:numPr>
                          <w:ilvl w:val="0"/>
                          <w:numId w:val="9"/>
                        </w:numPr>
                        <w:spacing w:line="259" w:lineRule="auto"/>
                        <w:rPr>
                          <w:color w:val="auto"/>
                        </w:rPr>
                      </w:pPr>
                      <w:proofErr w:type="gramStart"/>
                      <w:r w:rsidRPr="009706EA">
                        <w:rPr>
                          <w:color w:val="auto"/>
                          <w:szCs w:val="24"/>
                        </w:rPr>
                        <w:t>meets</w:t>
                      </w:r>
                      <w:proofErr w:type="gramEnd"/>
                      <w:r w:rsidRPr="009706EA">
                        <w:rPr>
                          <w:color w:val="auto"/>
                          <w:szCs w:val="24"/>
                        </w:rPr>
                        <w:t xml:space="preserve"> its objectives as outlined by NISA and the Watt Review?</w:t>
                      </w:r>
                    </w:p>
                  </w:txbxContent>
                </v:textbox>
                <w10:anchorlock/>
              </v:shape>
            </w:pict>
          </mc:Fallback>
        </mc:AlternateContent>
      </w:r>
    </w:p>
    <w:p w14:paraId="7D17AFB8" w14:textId="77777777" w:rsidR="00EE55E1" w:rsidRPr="003673FA" w:rsidRDefault="00EE55E1" w:rsidP="005D392C"/>
    <w:p w14:paraId="45F2ABBC" w14:textId="693DF704" w:rsidR="005D392C" w:rsidRPr="003673FA" w:rsidRDefault="00032B53" w:rsidP="00032B53">
      <w:pPr>
        <w:pStyle w:val="Heading3"/>
      </w:pPr>
      <w:r w:rsidRPr="003673FA">
        <w:t>Collaboration within the university sector and with partner organisations</w:t>
      </w:r>
    </w:p>
    <w:p w14:paraId="0D20C291" w14:textId="18B5441A" w:rsidR="0092757A" w:rsidRPr="003673FA" w:rsidRDefault="0092757A" w:rsidP="0092757A">
      <w:pPr>
        <w:spacing w:line="259" w:lineRule="auto"/>
        <w:rPr>
          <w:szCs w:val="24"/>
        </w:rPr>
      </w:pPr>
    </w:p>
    <w:p w14:paraId="72B6A087" w14:textId="7C3C9F30" w:rsidR="00A36429" w:rsidRPr="003673FA" w:rsidRDefault="009F5F29" w:rsidP="00EE55E1">
      <w:pPr>
        <w:spacing w:line="259" w:lineRule="auto"/>
        <w:rPr>
          <w:szCs w:val="24"/>
        </w:rPr>
      </w:pPr>
      <w:r w:rsidRPr="003673FA">
        <w:rPr>
          <w:szCs w:val="24"/>
        </w:rPr>
        <w:t xml:space="preserve">Consistent with the ARC data discussed </w:t>
      </w:r>
      <w:r w:rsidR="00AE6106" w:rsidRPr="003673FA">
        <w:rPr>
          <w:szCs w:val="24"/>
        </w:rPr>
        <w:t>under evaluation questions 1 and 2</w:t>
      </w:r>
      <w:r w:rsidRPr="003673FA">
        <w:rPr>
          <w:szCs w:val="24"/>
        </w:rPr>
        <w:t>, a</w:t>
      </w:r>
      <w:r w:rsidR="009A208F" w:rsidRPr="003673FA">
        <w:rPr>
          <w:szCs w:val="24"/>
        </w:rPr>
        <w:t>ll a</w:t>
      </w:r>
      <w:r w:rsidR="00D2125F" w:rsidRPr="003673FA">
        <w:rPr>
          <w:szCs w:val="24"/>
        </w:rPr>
        <w:t xml:space="preserve">dministering </w:t>
      </w:r>
      <w:r w:rsidR="009A208F" w:rsidRPr="003673FA">
        <w:rPr>
          <w:szCs w:val="24"/>
        </w:rPr>
        <w:t>o</w:t>
      </w:r>
      <w:r w:rsidR="00D2125F" w:rsidRPr="003673FA">
        <w:rPr>
          <w:szCs w:val="24"/>
        </w:rPr>
        <w:t>rganisation research offices interviewed</w:t>
      </w:r>
      <w:r w:rsidR="00EE55E1" w:rsidRPr="003673FA">
        <w:rPr>
          <w:szCs w:val="24"/>
        </w:rPr>
        <w:t xml:space="preserve"> by ACIL Allen Consulting noted a decline in the number</w:t>
      </w:r>
      <w:r w:rsidR="00A36429" w:rsidRPr="003673FA">
        <w:rPr>
          <w:szCs w:val="24"/>
        </w:rPr>
        <w:t xml:space="preserve"> of applications submitted since the introduction of the continuous process</w:t>
      </w:r>
      <w:r w:rsidR="00572109" w:rsidRPr="003673FA">
        <w:rPr>
          <w:szCs w:val="24"/>
        </w:rPr>
        <w:t xml:space="preserve">. They </w:t>
      </w:r>
      <w:r w:rsidR="00C00311" w:rsidRPr="003673FA">
        <w:rPr>
          <w:szCs w:val="24"/>
        </w:rPr>
        <w:t>viewed this as</w:t>
      </w:r>
      <w:r w:rsidR="00D2125F" w:rsidRPr="003673FA">
        <w:rPr>
          <w:szCs w:val="24"/>
        </w:rPr>
        <w:t xml:space="preserve"> represent</w:t>
      </w:r>
      <w:r w:rsidR="00C00311" w:rsidRPr="003673FA">
        <w:rPr>
          <w:szCs w:val="24"/>
        </w:rPr>
        <w:t>ing</w:t>
      </w:r>
      <w:r w:rsidR="00D2125F" w:rsidRPr="003673FA">
        <w:rPr>
          <w:szCs w:val="24"/>
        </w:rPr>
        <w:t xml:space="preserve"> a decline in </w:t>
      </w:r>
      <w:r w:rsidR="00A36429" w:rsidRPr="003673FA">
        <w:rPr>
          <w:szCs w:val="24"/>
        </w:rPr>
        <w:t>engagem</w:t>
      </w:r>
      <w:r w:rsidR="00572109" w:rsidRPr="003673FA">
        <w:rPr>
          <w:szCs w:val="24"/>
        </w:rPr>
        <w:t xml:space="preserve">ent with partner organisations and </w:t>
      </w:r>
      <w:r w:rsidR="00A36429" w:rsidRPr="003673FA">
        <w:rPr>
          <w:szCs w:val="24"/>
        </w:rPr>
        <w:t xml:space="preserve">were unanimous on the reasons for the decline: both </w:t>
      </w:r>
      <w:r w:rsidR="00D2125F" w:rsidRPr="003673FA">
        <w:rPr>
          <w:szCs w:val="24"/>
        </w:rPr>
        <w:t>university applicants and partner organisations</w:t>
      </w:r>
      <w:r w:rsidR="00A36429" w:rsidRPr="003673FA">
        <w:rPr>
          <w:szCs w:val="24"/>
        </w:rPr>
        <w:t xml:space="preserve"> prioritise applications that have deadline</w:t>
      </w:r>
      <w:r w:rsidR="00C00311" w:rsidRPr="003673FA">
        <w:rPr>
          <w:szCs w:val="24"/>
        </w:rPr>
        <w:t>s</w:t>
      </w:r>
      <w:r w:rsidR="00A36429" w:rsidRPr="003673FA">
        <w:rPr>
          <w:szCs w:val="24"/>
        </w:rPr>
        <w:t xml:space="preserve">. </w:t>
      </w:r>
      <w:r w:rsidR="00C00311" w:rsidRPr="003673FA">
        <w:rPr>
          <w:szCs w:val="24"/>
        </w:rPr>
        <w:t>They viewed d</w:t>
      </w:r>
      <w:r w:rsidR="00A36429" w:rsidRPr="003673FA">
        <w:rPr>
          <w:szCs w:val="24"/>
        </w:rPr>
        <w:t>eadline</w:t>
      </w:r>
      <w:r w:rsidR="00C00311" w:rsidRPr="003673FA">
        <w:rPr>
          <w:szCs w:val="24"/>
        </w:rPr>
        <w:t>s as</w:t>
      </w:r>
      <w:r w:rsidR="00A36429" w:rsidRPr="003673FA">
        <w:rPr>
          <w:szCs w:val="24"/>
        </w:rPr>
        <w:t xml:space="preserve"> provid</w:t>
      </w:r>
      <w:r w:rsidR="00C00311" w:rsidRPr="003673FA">
        <w:rPr>
          <w:szCs w:val="24"/>
        </w:rPr>
        <w:t>ing</w:t>
      </w:r>
      <w:r w:rsidR="00A36429" w:rsidRPr="003673FA">
        <w:rPr>
          <w:szCs w:val="24"/>
        </w:rPr>
        <w:t xml:space="preserve"> an incentive </w:t>
      </w:r>
      <w:r w:rsidR="00C00311" w:rsidRPr="003673FA">
        <w:rPr>
          <w:szCs w:val="24"/>
        </w:rPr>
        <w:t xml:space="preserve">for university researchers to finalise their applications and </w:t>
      </w:r>
      <w:r w:rsidR="00A36429" w:rsidRPr="003673FA">
        <w:rPr>
          <w:szCs w:val="24"/>
        </w:rPr>
        <w:t xml:space="preserve">organise and conclude </w:t>
      </w:r>
      <w:r w:rsidR="00C00311" w:rsidRPr="003673FA">
        <w:rPr>
          <w:szCs w:val="24"/>
        </w:rPr>
        <w:t xml:space="preserve">arrangements with </w:t>
      </w:r>
      <w:r w:rsidR="00A36429" w:rsidRPr="003673FA">
        <w:rPr>
          <w:szCs w:val="24"/>
        </w:rPr>
        <w:t xml:space="preserve">partner </w:t>
      </w:r>
      <w:r w:rsidR="00C00311" w:rsidRPr="003673FA">
        <w:rPr>
          <w:szCs w:val="24"/>
        </w:rPr>
        <w:t>organisations, and as being c</w:t>
      </w:r>
      <w:r w:rsidR="00A36429" w:rsidRPr="003673FA">
        <w:rPr>
          <w:szCs w:val="24"/>
        </w:rPr>
        <w:t xml:space="preserve">entral to </w:t>
      </w:r>
      <w:r w:rsidR="00C00311" w:rsidRPr="003673FA">
        <w:rPr>
          <w:szCs w:val="24"/>
        </w:rPr>
        <w:t>partner organisations</w:t>
      </w:r>
      <w:r w:rsidR="00D041D7" w:rsidRPr="003673FA">
        <w:rPr>
          <w:szCs w:val="24"/>
        </w:rPr>
        <w:t xml:space="preserve">’ work </w:t>
      </w:r>
      <w:r w:rsidR="00D041D7" w:rsidRPr="003673FA">
        <w:rPr>
          <w:szCs w:val="24"/>
        </w:rPr>
        <w:lastRenderedPageBreak/>
        <w:t xml:space="preserve">planning, resource allocation and </w:t>
      </w:r>
      <w:r w:rsidR="00A36429" w:rsidRPr="003673FA">
        <w:rPr>
          <w:szCs w:val="24"/>
        </w:rPr>
        <w:t>budgets.</w:t>
      </w:r>
      <w:r w:rsidR="00E3467D" w:rsidRPr="003673FA">
        <w:rPr>
          <w:rStyle w:val="FootnoteReference"/>
          <w:szCs w:val="24"/>
        </w:rPr>
        <w:footnoteReference w:id="23"/>
      </w:r>
      <w:r w:rsidR="00AE6106" w:rsidRPr="003673FA">
        <w:rPr>
          <w:szCs w:val="24"/>
        </w:rPr>
        <w:t xml:space="preserve"> </w:t>
      </w:r>
      <w:r w:rsidR="00FF46C0" w:rsidRPr="003673FA">
        <w:rPr>
          <w:szCs w:val="24"/>
        </w:rPr>
        <w:t>As already noted, t</w:t>
      </w:r>
      <w:r w:rsidR="00CA7D22" w:rsidRPr="003673FA">
        <w:rPr>
          <w:szCs w:val="24"/>
        </w:rPr>
        <w:t xml:space="preserve">he lack of deadlines was a recurring theme in </w:t>
      </w:r>
      <w:r w:rsidR="00D041D7" w:rsidRPr="003673FA">
        <w:rPr>
          <w:szCs w:val="24"/>
        </w:rPr>
        <w:t xml:space="preserve">feedback from </w:t>
      </w:r>
      <w:r w:rsidR="00CA7D22" w:rsidRPr="003673FA">
        <w:rPr>
          <w:szCs w:val="24"/>
        </w:rPr>
        <w:t>all stakeholder groups, a</w:t>
      </w:r>
      <w:r w:rsidR="00AE6106" w:rsidRPr="003673FA">
        <w:rPr>
          <w:szCs w:val="24"/>
        </w:rPr>
        <w:t>lthough views on its impact</w:t>
      </w:r>
      <w:r w:rsidR="00CA7D22" w:rsidRPr="003673FA">
        <w:rPr>
          <w:szCs w:val="24"/>
        </w:rPr>
        <w:t>s</w:t>
      </w:r>
      <w:r w:rsidR="00AE6106" w:rsidRPr="003673FA">
        <w:rPr>
          <w:szCs w:val="24"/>
        </w:rPr>
        <w:t xml:space="preserve"> varied.</w:t>
      </w:r>
    </w:p>
    <w:p w14:paraId="5E443031" w14:textId="77777777" w:rsidR="005973C3" w:rsidRPr="003673FA" w:rsidRDefault="005973C3" w:rsidP="00A36429">
      <w:pPr>
        <w:spacing w:line="259" w:lineRule="auto"/>
        <w:rPr>
          <w:szCs w:val="24"/>
        </w:rPr>
      </w:pPr>
    </w:p>
    <w:p w14:paraId="3126E33F" w14:textId="70179975" w:rsidR="00EE55E1" w:rsidRPr="003673FA" w:rsidRDefault="005973C3" w:rsidP="00A36429">
      <w:pPr>
        <w:spacing w:line="259" w:lineRule="auto"/>
        <w:rPr>
          <w:szCs w:val="24"/>
        </w:rPr>
      </w:pPr>
      <w:r w:rsidRPr="003673FA">
        <w:rPr>
          <w:szCs w:val="24"/>
        </w:rPr>
        <w:t>Despite th</w:t>
      </w:r>
      <w:r w:rsidR="001903F3" w:rsidRPr="003673FA">
        <w:rPr>
          <w:szCs w:val="24"/>
        </w:rPr>
        <w:t>e</w:t>
      </w:r>
      <w:r w:rsidRPr="003673FA">
        <w:rPr>
          <w:szCs w:val="24"/>
        </w:rPr>
        <w:t xml:space="preserve"> overall decline</w:t>
      </w:r>
      <w:r w:rsidR="001903F3" w:rsidRPr="003673FA">
        <w:rPr>
          <w:szCs w:val="24"/>
        </w:rPr>
        <w:t xml:space="preserve"> in collaboration</w:t>
      </w:r>
      <w:r w:rsidRPr="003673FA">
        <w:rPr>
          <w:szCs w:val="24"/>
        </w:rPr>
        <w:t>,</w:t>
      </w:r>
      <w:r w:rsidR="001903F3" w:rsidRPr="003673FA">
        <w:rPr>
          <w:szCs w:val="24"/>
        </w:rPr>
        <w:t xml:space="preserve"> survey respon</w:t>
      </w:r>
      <w:r w:rsidR="006B7DD1" w:rsidRPr="003673FA">
        <w:rPr>
          <w:szCs w:val="24"/>
        </w:rPr>
        <w:t xml:space="preserve">ses from CIs </w:t>
      </w:r>
      <w:r w:rsidRPr="003673FA">
        <w:rPr>
          <w:szCs w:val="24"/>
        </w:rPr>
        <w:t xml:space="preserve">who had been involved in Linkage Projects both prior to and after the introduction of the continuous process </w:t>
      </w:r>
      <w:r w:rsidR="00AA7B7A" w:rsidRPr="003673FA">
        <w:rPr>
          <w:szCs w:val="24"/>
        </w:rPr>
        <w:t>suggest</w:t>
      </w:r>
      <w:r w:rsidR="001903F3" w:rsidRPr="003673FA">
        <w:rPr>
          <w:szCs w:val="24"/>
        </w:rPr>
        <w:t xml:space="preserve"> some </w:t>
      </w:r>
      <w:r w:rsidRPr="003673FA">
        <w:rPr>
          <w:szCs w:val="24"/>
        </w:rPr>
        <w:t xml:space="preserve">positive </w:t>
      </w:r>
      <w:r w:rsidR="008D3C6E" w:rsidRPr="003673FA">
        <w:rPr>
          <w:szCs w:val="24"/>
        </w:rPr>
        <w:t>impacts</w:t>
      </w:r>
      <w:r w:rsidRPr="003673FA">
        <w:rPr>
          <w:szCs w:val="24"/>
        </w:rPr>
        <w:t xml:space="preserve">. </w:t>
      </w:r>
      <w:r w:rsidR="006B7DD1" w:rsidRPr="003673FA">
        <w:rPr>
          <w:szCs w:val="24"/>
        </w:rPr>
        <w:t xml:space="preserve">As shown in </w:t>
      </w:r>
      <w:hyperlink w:anchor="Figure11a" w:history="1">
        <w:r w:rsidR="006B7DD1" w:rsidRPr="00FC696C">
          <w:rPr>
            <w:rStyle w:val="Hyperlink"/>
            <w:szCs w:val="24"/>
          </w:rPr>
          <w:t xml:space="preserve">Figure </w:t>
        </w:r>
        <w:r w:rsidR="00EB37C2" w:rsidRPr="00FC696C">
          <w:rPr>
            <w:rStyle w:val="Hyperlink"/>
            <w:szCs w:val="24"/>
          </w:rPr>
          <w:t>11</w:t>
        </w:r>
        <w:r w:rsidR="00155252" w:rsidRPr="00FC696C">
          <w:rPr>
            <w:rStyle w:val="Hyperlink"/>
            <w:szCs w:val="24"/>
          </w:rPr>
          <w:t>a</w:t>
        </w:r>
      </w:hyperlink>
      <w:r w:rsidR="00237982" w:rsidRPr="003673FA">
        <w:rPr>
          <w:szCs w:val="24"/>
        </w:rPr>
        <w:t>,</w:t>
      </w:r>
      <w:r w:rsidR="00AE4F58" w:rsidRPr="003673FA">
        <w:rPr>
          <w:szCs w:val="24"/>
        </w:rPr>
        <w:t xml:space="preserve"> </w:t>
      </w:r>
      <w:r w:rsidR="006B7DD1" w:rsidRPr="003673FA">
        <w:rPr>
          <w:szCs w:val="24"/>
        </w:rPr>
        <w:t xml:space="preserve">36 per cent </w:t>
      </w:r>
      <w:r w:rsidR="00AE4F58" w:rsidRPr="003673FA">
        <w:rPr>
          <w:szCs w:val="24"/>
        </w:rPr>
        <w:t>reported</w:t>
      </w:r>
      <w:r w:rsidR="006B7DD1" w:rsidRPr="003673FA">
        <w:rPr>
          <w:szCs w:val="24"/>
        </w:rPr>
        <w:t xml:space="preserve"> forming more collaborations, forming collaborations with a broader range of partner organisations and experiencing more successful collaborations</w:t>
      </w:r>
      <w:r w:rsidR="00AE4F58" w:rsidRPr="003673FA">
        <w:rPr>
          <w:szCs w:val="24"/>
        </w:rPr>
        <w:t xml:space="preserve">—although the most </w:t>
      </w:r>
      <w:r w:rsidR="002B297E" w:rsidRPr="003673FA">
        <w:rPr>
          <w:szCs w:val="24"/>
        </w:rPr>
        <w:t>frequent</w:t>
      </w:r>
      <w:r w:rsidR="00AE4F58" w:rsidRPr="003673FA">
        <w:rPr>
          <w:szCs w:val="24"/>
        </w:rPr>
        <w:t xml:space="preserve"> response in each of these areas was ‘no change’</w:t>
      </w:r>
      <w:r w:rsidR="006B7DD1" w:rsidRPr="003673FA">
        <w:rPr>
          <w:szCs w:val="24"/>
        </w:rPr>
        <w:t>.</w:t>
      </w:r>
    </w:p>
    <w:p w14:paraId="4786B429" w14:textId="6BB09713" w:rsidR="00006E8F" w:rsidRPr="003673FA" w:rsidRDefault="00006E8F" w:rsidP="008522AB">
      <w:pPr>
        <w:spacing w:line="259" w:lineRule="auto"/>
        <w:rPr>
          <w:szCs w:val="24"/>
        </w:rPr>
      </w:pPr>
    </w:p>
    <w:p w14:paraId="70A0A0FF" w14:textId="627D933F" w:rsidR="005973C3" w:rsidRPr="003673FA" w:rsidRDefault="006B7DD1" w:rsidP="006B7DD1">
      <w:pPr>
        <w:pStyle w:val="Heading4"/>
      </w:pPr>
      <w:bookmarkStart w:id="50" w:name="Figure11a"/>
      <w:bookmarkEnd w:id="50"/>
      <w:r w:rsidRPr="003673FA">
        <w:t xml:space="preserve">Figure </w:t>
      </w:r>
      <w:r w:rsidR="00EB37C2" w:rsidRPr="003673FA">
        <w:t>11</w:t>
      </w:r>
      <w:r w:rsidR="00155252" w:rsidRPr="003673FA">
        <w:t>a</w:t>
      </w:r>
      <w:r w:rsidRPr="003673FA">
        <w:t xml:space="preserve">: </w:t>
      </w:r>
      <w:r w:rsidR="008D3C6E" w:rsidRPr="003673FA">
        <w:t>CIs (involved prior)</w:t>
      </w:r>
      <w:r w:rsidR="003B0391" w:rsidRPr="003673FA">
        <w:t xml:space="preserve"> – i</w:t>
      </w:r>
      <w:r w:rsidRPr="003673FA">
        <w:t>mpact of the continuous process on collaboration</w:t>
      </w:r>
    </w:p>
    <w:p w14:paraId="7A59913C" w14:textId="2A3FADA2" w:rsidR="008522AB" w:rsidRPr="003673FA" w:rsidRDefault="005037A2" w:rsidP="00006E8F">
      <w:pPr>
        <w:spacing w:line="259" w:lineRule="auto"/>
        <w:rPr>
          <w:sz w:val="20"/>
          <w:szCs w:val="20"/>
        </w:rPr>
      </w:pPr>
      <w:r w:rsidRPr="003673FA">
        <w:rPr>
          <w:noProof/>
          <w:sz w:val="20"/>
          <w:szCs w:val="20"/>
          <w:lang w:eastAsia="en-AU"/>
        </w:rPr>
        <w:drawing>
          <wp:inline distT="0" distB="0" distL="0" distR="0" wp14:anchorId="77400F32" wp14:editId="50915914">
            <wp:extent cx="4615180" cy="1840865"/>
            <wp:effectExtent l="0" t="0" r="0" b="6985"/>
            <wp:docPr id="55" name="Picture 55" descr="Figure 11a depicts the responses of CIs (involved prior) in relation to forming more collaborations, forming collaborations with a broader range of partner organisations, and experiencing more successful collaborations as a result of the implementation of the continuous process." title="Figure 11a: CIs (involved prior) – impact of the continuous process on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15180" cy="1840865"/>
                    </a:xfrm>
                    <a:prstGeom prst="rect">
                      <a:avLst/>
                    </a:prstGeom>
                    <a:noFill/>
                  </pic:spPr>
                </pic:pic>
              </a:graphicData>
            </a:graphic>
          </wp:inline>
        </w:drawing>
      </w:r>
    </w:p>
    <w:p w14:paraId="42EAD3AC" w14:textId="63A299E6" w:rsidR="00006E8F" w:rsidRPr="003673FA" w:rsidRDefault="00006E8F" w:rsidP="00006E8F">
      <w:pPr>
        <w:spacing w:line="259" w:lineRule="auto"/>
        <w:rPr>
          <w:i/>
          <w:sz w:val="20"/>
          <w:szCs w:val="20"/>
        </w:rPr>
      </w:pPr>
      <w:r w:rsidRPr="003673FA">
        <w:rPr>
          <w:sz w:val="20"/>
          <w:szCs w:val="20"/>
        </w:rPr>
        <w:t>Source: ACIL Allen Consulting.</w:t>
      </w:r>
      <w:r w:rsidR="00513527" w:rsidRPr="003673FA">
        <w:rPr>
          <w:sz w:val="20"/>
          <w:szCs w:val="20"/>
        </w:rPr>
        <w:t xml:space="preserve"> </w:t>
      </w:r>
      <w:r w:rsidRPr="003673FA">
        <w:rPr>
          <w:i/>
          <w:sz w:val="20"/>
          <w:szCs w:val="20"/>
        </w:rPr>
        <w:t>Note</w:t>
      </w:r>
      <w:r w:rsidR="000F2030" w:rsidRPr="003673FA">
        <w:rPr>
          <w:i/>
          <w:sz w:val="20"/>
          <w:szCs w:val="20"/>
        </w:rPr>
        <w:t>:</w:t>
      </w:r>
      <w:r w:rsidR="00513527" w:rsidRPr="003673FA">
        <w:rPr>
          <w:i/>
          <w:sz w:val="20"/>
          <w:szCs w:val="20"/>
        </w:rPr>
        <w:t xml:space="preserve"> </w:t>
      </w:r>
      <w:r w:rsidR="000F2030" w:rsidRPr="003673FA">
        <w:rPr>
          <w:i/>
          <w:sz w:val="20"/>
          <w:szCs w:val="20"/>
        </w:rPr>
        <w:t>n=</w:t>
      </w:r>
      <w:r w:rsidR="00513527" w:rsidRPr="003673FA">
        <w:rPr>
          <w:i/>
          <w:sz w:val="20"/>
          <w:szCs w:val="20"/>
        </w:rPr>
        <w:t>18</w:t>
      </w:r>
      <w:r w:rsidR="000F2030" w:rsidRPr="003673FA">
        <w:rPr>
          <w:i/>
          <w:sz w:val="20"/>
          <w:szCs w:val="20"/>
        </w:rPr>
        <w:t>3</w:t>
      </w:r>
      <w:r w:rsidR="00513527" w:rsidRPr="003673FA">
        <w:rPr>
          <w:i/>
          <w:sz w:val="20"/>
          <w:szCs w:val="20"/>
        </w:rPr>
        <w:t xml:space="preserve"> </w:t>
      </w:r>
      <w:r w:rsidR="00C408E9" w:rsidRPr="003673FA">
        <w:rPr>
          <w:i/>
          <w:sz w:val="20"/>
          <w:szCs w:val="20"/>
        </w:rPr>
        <w:t xml:space="preserve">(*n=181) </w:t>
      </w:r>
      <w:r w:rsidR="006B7DD1" w:rsidRPr="003673FA">
        <w:rPr>
          <w:i/>
          <w:sz w:val="20"/>
          <w:szCs w:val="20"/>
        </w:rPr>
        <w:t xml:space="preserve">CIs </w:t>
      </w:r>
      <w:r w:rsidRPr="003673FA">
        <w:rPr>
          <w:i/>
          <w:sz w:val="20"/>
          <w:szCs w:val="20"/>
        </w:rPr>
        <w:t>who had been involved prior to the continuous process.</w:t>
      </w:r>
    </w:p>
    <w:p w14:paraId="6FF7051D" w14:textId="77777777" w:rsidR="00ED5EC2" w:rsidRPr="003673FA" w:rsidRDefault="00ED5EC2" w:rsidP="00006E8F">
      <w:pPr>
        <w:spacing w:line="259" w:lineRule="auto"/>
        <w:rPr>
          <w:szCs w:val="24"/>
        </w:rPr>
      </w:pPr>
    </w:p>
    <w:p w14:paraId="7959E8FD" w14:textId="46FDBA3D" w:rsidR="00006E8F" w:rsidRPr="003673FA" w:rsidRDefault="00AE4F58" w:rsidP="0092757A">
      <w:pPr>
        <w:spacing w:line="259" w:lineRule="auto"/>
        <w:rPr>
          <w:szCs w:val="24"/>
        </w:rPr>
      </w:pPr>
      <w:r w:rsidRPr="003673FA">
        <w:rPr>
          <w:szCs w:val="24"/>
        </w:rPr>
        <w:t>CIs who had not been involved in Linkage Projects prior to the introduction of the continuous process</w:t>
      </w:r>
      <w:r w:rsidR="005825B5" w:rsidRPr="003673FA">
        <w:rPr>
          <w:szCs w:val="24"/>
        </w:rPr>
        <w:t xml:space="preserve"> </w:t>
      </w:r>
      <w:r w:rsidR="00D041D7" w:rsidRPr="003673FA">
        <w:rPr>
          <w:szCs w:val="24"/>
        </w:rPr>
        <w:t>w</w:t>
      </w:r>
      <w:r w:rsidR="008D5EF7" w:rsidRPr="003673FA">
        <w:rPr>
          <w:szCs w:val="24"/>
        </w:rPr>
        <w:t>ere asked the same question and</w:t>
      </w:r>
      <w:r w:rsidR="005825B5" w:rsidRPr="003673FA">
        <w:rPr>
          <w:szCs w:val="24"/>
        </w:rPr>
        <w:t xml:space="preserve">, as shown in </w:t>
      </w:r>
      <w:hyperlink w:anchor="Figure11b" w:history="1">
        <w:r w:rsidR="005825B5" w:rsidRPr="00FC696C">
          <w:rPr>
            <w:rStyle w:val="Hyperlink"/>
            <w:szCs w:val="24"/>
          </w:rPr>
          <w:t xml:space="preserve">Figure </w:t>
        </w:r>
        <w:r w:rsidR="00EB37C2" w:rsidRPr="00FC696C">
          <w:rPr>
            <w:rStyle w:val="Hyperlink"/>
            <w:szCs w:val="24"/>
          </w:rPr>
          <w:t>11</w:t>
        </w:r>
        <w:r w:rsidR="005825B5" w:rsidRPr="00FC696C">
          <w:rPr>
            <w:rStyle w:val="Hyperlink"/>
            <w:szCs w:val="24"/>
          </w:rPr>
          <w:t>b</w:t>
        </w:r>
      </w:hyperlink>
      <w:r w:rsidR="005825B5" w:rsidRPr="003673FA">
        <w:rPr>
          <w:szCs w:val="24"/>
        </w:rPr>
        <w:t xml:space="preserve">, their </w:t>
      </w:r>
      <w:r w:rsidRPr="003673FA">
        <w:rPr>
          <w:szCs w:val="24"/>
        </w:rPr>
        <w:t xml:space="preserve">responses were </w:t>
      </w:r>
      <w:r w:rsidR="002B297E" w:rsidRPr="003673FA">
        <w:rPr>
          <w:szCs w:val="24"/>
        </w:rPr>
        <w:t xml:space="preserve">clearly </w:t>
      </w:r>
      <w:r w:rsidRPr="003673FA">
        <w:rPr>
          <w:szCs w:val="24"/>
        </w:rPr>
        <w:t>more posit</w:t>
      </w:r>
      <w:r w:rsidR="005825B5" w:rsidRPr="003673FA">
        <w:rPr>
          <w:szCs w:val="24"/>
        </w:rPr>
        <w:t>ive</w:t>
      </w:r>
      <w:r w:rsidR="00155252" w:rsidRPr="003673FA">
        <w:rPr>
          <w:szCs w:val="24"/>
        </w:rPr>
        <w:t xml:space="preserve">. </w:t>
      </w:r>
      <w:r w:rsidR="002B297E" w:rsidRPr="003673FA">
        <w:rPr>
          <w:szCs w:val="24"/>
        </w:rPr>
        <w:t xml:space="preserve">However, </w:t>
      </w:r>
      <w:r w:rsidR="00237982" w:rsidRPr="003673FA">
        <w:rPr>
          <w:szCs w:val="24"/>
        </w:rPr>
        <w:t xml:space="preserve">these findings are difficult to interpret. CIs </w:t>
      </w:r>
      <w:r w:rsidR="008D5EF7" w:rsidRPr="003673FA">
        <w:rPr>
          <w:szCs w:val="24"/>
        </w:rPr>
        <w:t xml:space="preserve">who </w:t>
      </w:r>
      <w:r w:rsidR="00237982" w:rsidRPr="003673FA">
        <w:rPr>
          <w:szCs w:val="24"/>
        </w:rPr>
        <w:t>had been involved in</w:t>
      </w:r>
      <w:r w:rsidR="008D5EF7" w:rsidRPr="003673FA">
        <w:rPr>
          <w:szCs w:val="24"/>
        </w:rPr>
        <w:t xml:space="preserve"> the annual</w:t>
      </w:r>
      <w:r w:rsidR="00237982" w:rsidRPr="003673FA">
        <w:rPr>
          <w:szCs w:val="24"/>
        </w:rPr>
        <w:t xml:space="preserve"> Linkage Projects </w:t>
      </w:r>
      <w:r w:rsidR="008D5EF7" w:rsidRPr="003673FA">
        <w:rPr>
          <w:szCs w:val="24"/>
        </w:rPr>
        <w:t xml:space="preserve">process could compare </w:t>
      </w:r>
      <w:r w:rsidR="00237982" w:rsidRPr="003673FA">
        <w:rPr>
          <w:szCs w:val="24"/>
        </w:rPr>
        <w:t xml:space="preserve">their experiences </w:t>
      </w:r>
      <w:r w:rsidR="008D5EF7" w:rsidRPr="003673FA">
        <w:rPr>
          <w:szCs w:val="24"/>
        </w:rPr>
        <w:t xml:space="preserve">from </w:t>
      </w:r>
      <w:r w:rsidR="00237982" w:rsidRPr="003673FA">
        <w:rPr>
          <w:szCs w:val="24"/>
        </w:rPr>
        <w:t xml:space="preserve">before and after the continuous process. </w:t>
      </w:r>
      <w:r w:rsidR="008D5EF7" w:rsidRPr="003673FA">
        <w:rPr>
          <w:szCs w:val="24"/>
        </w:rPr>
        <w:t>For</w:t>
      </w:r>
      <w:r w:rsidR="00237982" w:rsidRPr="003673FA">
        <w:rPr>
          <w:szCs w:val="24"/>
        </w:rPr>
        <w:t xml:space="preserve"> CIs </w:t>
      </w:r>
      <w:r w:rsidR="008D5EF7" w:rsidRPr="003673FA">
        <w:rPr>
          <w:szCs w:val="24"/>
        </w:rPr>
        <w:t xml:space="preserve">who </w:t>
      </w:r>
      <w:r w:rsidR="00237982" w:rsidRPr="003673FA">
        <w:rPr>
          <w:szCs w:val="24"/>
        </w:rPr>
        <w:t>were not involved in Linkage Projec</w:t>
      </w:r>
      <w:r w:rsidR="008D3C6E" w:rsidRPr="003673FA">
        <w:rPr>
          <w:szCs w:val="24"/>
        </w:rPr>
        <w:t xml:space="preserve">ts previously, it is unclear what prior experiences (if any) they </w:t>
      </w:r>
      <w:r w:rsidR="00DB49EB" w:rsidRPr="003673FA">
        <w:rPr>
          <w:szCs w:val="24"/>
        </w:rPr>
        <w:t>were</w:t>
      </w:r>
      <w:r w:rsidR="008D3C6E" w:rsidRPr="003673FA">
        <w:rPr>
          <w:szCs w:val="24"/>
        </w:rPr>
        <w:t xml:space="preserve"> comparing.</w:t>
      </w:r>
    </w:p>
    <w:p w14:paraId="1381DB14" w14:textId="56C83B2A" w:rsidR="00AE4F58" w:rsidRPr="003673FA" w:rsidRDefault="00AE4F58" w:rsidP="0092757A">
      <w:pPr>
        <w:spacing w:line="259" w:lineRule="auto"/>
        <w:rPr>
          <w:szCs w:val="24"/>
        </w:rPr>
      </w:pPr>
    </w:p>
    <w:p w14:paraId="5A928EDA" w14:textId="7C7D103F" w:rsidR="00155252" w:rsidRPr="003673FA" w:rsidRDefault="00EB37C2" w:rsidP="00155252">
      <w:pPr>
        <w:pStyle w:val="Heading4"/>
      </w:pPr>
      <w:bookmarkStart w:id="51" w:name="Figure11b"/>
      <w:bookmarkEnd w:id="51"/>
      <w:r w:rsidRPr="003673FA">
        <w:t>Figure 11</w:t>
      </w:r>
      <w:r w:rsidR="00155252" w:rsidRPr="003673FA">
        <w:t>b: CIs</w:t>
      </w:r>
      <w:r w:rsidR="008D3C6E" w:rsidRPr="003673FA">
        <w:t xml:space="preserve"> (not involved prior)</w:t>
      </w:r>
      <w:r w:rsidR="00155252" w:rsidRPr="003673FA">
        <w:t xml:space="preserve"> – impact of the continuous process on collaboration</w:t>
      </w:r>
    </w:p>
    <w:p w14:paraId="586C690F" w14:textId="427CFE7D" w:rsidR="00CA4932" w:rsidRPr="003673FA" w:rsidRDefault="005037A2" w:rsidP="0092757A">
      <w:pPr>
        <w:spacing w:line="259" w:lineRule="auto"/>
        <w:rPr>
          <w:szCs w:val="24"/>
        </w:rPr>
      </w:pPr>
      <w:r w:rsidRPr="003673FA">
        <w:rPr>
          <w:noProof/>
          <w:szCs w:val="24"/>
          <w:lang w:eastAsia="en-AU"/>
        </w:rPr>
        <w:drawing>
          <wp:inline distT="0" distB="0" distL="0" distR="0" wp14:anchorId="02E040A6" wp14:editId="6385061C">
            <wp:extent cx="4639310" cy="1786255"/>
            <wp:effectExtent l="0" t="0" r="8890" b="4445"/>
            <wp:docPr id="56" name="Picture 56" descr="Figure 11b depicts the responses of CIs (not involved prior) in relation to forming more collaborations, forming collaborations with a broader range of partner organisations, and experiencing more successful collaborations as a result of the implementation of the continuous process." title="Figure 11b: CIs (not involved prior) – impact of the continuous process on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9310" cy="1786255"/>
                    </a:xfrm>
                    <a:prstGeom prst="rect">
                      <a:avLst/>
                    </a:prstGeom>
                    <a:noFill/>
                  </pic:spPr>
                </pic:pic>
              </a:graphicData>
            </a:graphic>
          </wp:inline>
        </w:drawing>
      </w:r>
    </w:p>
    <w:p w14:paraId="3DBB5945" w14:textId="6B2D1A1A" w:rsidR="008522AB" w:rsidRPr="003673FA" w:rsidRDefault="008522AB" w:rsidP="008522AB">
      <w:pPr>
        <w:spacing w:line="259" w:lineRule="auto"/>
        <w:rPr>
          <w:sz w:val="20"/>
          <w:szCs w:val="20"/>
        </w:rPr>
      </w:pPr>
      <w:r w:rsidRPr="003673FA">
        <w:rPr>
          <w:sz w:val="20"/>
          <w:szCs w:val="20"/>
        </w:rPr>
        <w:t xml:space="preserve">Source: ACIL Allen Consulting. </w:t>
      </w:r>
      <w:r w:rsidRPr="003673FA">
        <w:rPr>
          <w:i/>
          <w:sz w:val="20"/>
          <w:szCs w:val="20"/>
        </w:rPr>
        <w:t xml:space="preserve">Note: </w:t>
      </w:r>
      <w:r w:rsidR="000F2030" w:rsidRPr="003673FA">
        <w:rPr>
          <w:i/>
          <w:sz w:val="20"/>
          <w:szCs w:val="20"/>
        </w:rPr>
        <w:t>n=109</w:t>
      </w:r>
      <w:r w:rsidRPr="003673FA">
        <w:rPr>
          <w:i/>
          <w:sz w:val="20"/>
          <w:szCs w:val="20"/>
        </w:rPr>
        <w:t xml:space="preserve"> </w:t>
      </w:r>
      <w:r w:rsidR="00AE4F58" w:rsidRPr="003673FA">
        <w:rPr>
          <w:i/>
          <w:sz w:val="20"/>
          <w:szCs w:val="20"/>
        </w:rPr>
        <w:t>CIs</w:t>
      </w:r>
      <w:r w:rsidRPr="003673FA">
        <w:rPr>
          <w:i/>
          <w:sz w:val="20"/>
          <w:szCs w:val="20"/>
        </w:rPr>
        <w:t xml:space="preserve"> who had not been involved prior to the continuous process.</w:t>
      </w:r>
    </w:p>
    <w:p w14:paraId="4447E85C" w14:textId="77777777" w:rsidR="007412BC" w:rsidRPr="003673FA" w:rsidRDefault="007412BC" w:rsidP="007412BC">
      <w:pPr>
        <w:spacing w:line="259" w:lineRule="auto"/>
        <w:rPr>
          <w:szCs w:val="24"/>
        </w:rPr>
      </w:pPr>
    </w:p>
    <w:p w14:paraId="0CC183E9" w14:textId="729B0EDB" w:rsidR="007412BC" w:rsidRPr="003673FA" w:rsidRDefault="007412BC" w:rsidP="007412BC">
      <w:pPr>
        <w:spacing w:line="259" w:lineRule="auto"/>
        <w:rPr>
          <w:szCs w:val="24"/>
        </w:rPr>
      </w:pPr>
      <w:r w:rsidRPr="003673FA">
        <w:rPr>
          <w:szCs w:val="24"/>
        </w:rPr>
        <w:t>PIs who had been involved prior to the introduction of the continuous process</w:t>
      </w:r>
      <w:r w:rsidR="00DB49EB" w:rsidRPr="003673FA">
        <w:rPr>
          <w:szCs w:val="24"/>
        </w:rPr>
        <w:t xml:space="preserve"> also perceived some benefits for collaboration, with a majority (55 per cent) responding</w:t>
      </w:r>
      <w:r w:rsidRPr="003673FA">
        <w:rPr>
          <w:szCs w:val="24"/>
        </w:rPr>
        <w:t xml:space="preserve"> that it had a positive or slightly positive impact </w:t>
      </w:r>
      <w:r w:rsidR="00DB49EB" w:rsidRPr="003673FA">
        <w:rPr>
          <w:szCs w:val="24"/>
        </w:rPr>
        <w:t xml:space="preserve">in facilitating more successful, diverse research collaboration, as shown in </w:t>
      </w:r>
      <w:hyperlink w:anchor="Figure12" w:history="1">
        <w:r w:rsidR="00DB49EB" w:rsidRPr="00D86564">
          <w:rPr>
            <w:rStyle w:val="Hyperlink"/>
            <w:szCs w:val="24"/>
          </w:rPr>
          <w:t xml:space="preserve">Figure </w:t>
        </w:r>
        <w:r w:rsidR="00EB37C2" w:rsidRPr="00D86564">
          <w:rPr>
            <w:rStyle w:val="Hyperlink"/>
            <w:szCs w:val="24"/>
          </w:rPr>
          <w:t>12</w:t>
        </w:r>
      </w:hyperlink>
      <w:r w:rsidR="00DB49EB" w:rsidRPr="003673FA">
        <w:rPr>
          <w:szCs w:val="24"/>
        </w:rPr>
        <w:t xml:space="preserve">. The results were even more positive for PIs who had not been involved </w:t>
      </w:r>
      <w:r w:rsidR="00DB49EB" w:rsidRPr="003673FA">
        <w:rPr>
          <w:szCs w:val="24"/>
        </w:rPr>
        <w:lastRenderedPageBreak/>
        <w:t>prior to the continuous process, but as with the CI responses, it is unclear what prior experiences (if any) they were comparing.</w:t>
      </w:r>
    </w:p>
    <w:p w14:paraId="0E26D9DD" w14:textId="1E9594EA" w:rsidR="0092757A" w:rsidRPr="003673FA" w:rsidRDefault="0092757A" w:rsidP="0092757A">
      <w:pPr>
        <w:spacing w:line="259" w:lineRule="auto"/>
        <w:rPr>
          <w:szCs w:val="24"/>
        </w:rPr>
      </w:pPr>
    </w:p>
    <w:p w14:paraId="6B7E8BC7" w14:textId="7DD0BE95" w:rsidR="007412BC" w:rsidRPr="003673FA" w:rsidRDefault="007412BC" w:rsidP="007412BC">
      <w:pPr>
        <w:pStyle w:val="Heading4"/>
      </w:pPr>
      <w:bookmarkStart w:id="52" w:name="Figure12"/>
      <w:bookmarkEnd w:id="52"/>
      <w:r w:rsidRPr="003673FA">
        <w:t xml:space="preserve">Figure </w:t>
      </w:r>
      <w:r w:rsidR="00EB37C2" w:rsidRPr="003673FA">
        <w:t>12</w:t>
      </w:r>
      <w:r w:rsidRPr="003673FA">
        <w:t>: PIs (involved prior) – impact of the continuous process in facilitating more successful, diverse research collaboration</w:t>
      </w:r>
    </w:p>
    <w:p w14:paraId="4A988AED" w14:textId="6C58F5A2" w:rsidR="00EF5D32" w:rsidRPr="003673FA" w:rsidRDefault="005037A2" w:rsidP="0092757A">
      <w:pPr>
        <w:spacing w:line="259" w:lineRule="auto"/>
        <w:rPr>
          <w:szCs w:val="24"/>
        </w:rPr>
      </w:pPr>
      <w:r w:rsidRPr="003673FA">
        <w:rPr>
          <w:noProof/>
          <w:szCs w:val="24"/>
          <w:lang w:eastAsia="en-AU"/>
        </w:rPr>
        <w:drawing>
          <wp:inline distT="0" distB="0" distL="0" distR="0" wp14:anchorId="72482BC1" wp14:editId="617B3D85">
            <wp:extent cx="4584700" cy="1152525"/>
            <wp:effectExtent l="0" t="0" r="6350" b="9525"/>
            <wp:docPr id="57" name="Picture 57" descr="Figure 12 depicts the responses of PIs (involved prior) regarding the impact of the continuous process in facilitating collaboration." title="Figure 12: PIs (involved prior) – impact of the continuous process in facilitating more successful, diverse research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84700" cy="1152525"/>
                    </a:xfrm>
                    <a:prstGeom prst="rect">
                      <a:avLst/>
                    </a:prstGeom>
                    <a:noFill/>
                  </pic:spPr>
                </pic:pic>
              </a:graphicData>
            </a:graphic>
          </wp:inline>
        </w:drawing>
      </w:r>
    </w:p>
    <w:p w14:paraId="58555BB2" w14:textId="0BF08E0E" w:rsidR="007412BC" w:rsidRPr="003673FA" w:rsidRDefault="007412BC" w:rsidP="007412BC">
      <w:pPr>
        <w:spacing w:line="259" w:lineRule="auto"/>
        <w:rPr>
          <w:sz w:val="20"/>
          <w:szCs w:val="20"/>
        </w:rPr>
      </w:pPr>
      <w:r w:rsidRPr="003673FA">
        <w:rPr>
          <w:sz w:val="20"/>
          <w:szCs w:val="20"/>
        </w:rPr>
        <w:t xml:space="preserve">Source: ACIL Allen Consulting. </w:t>
      </w:r>
      <w:r w:rsidRPr="003673FA">
        <w:rPr>
          <w:i/>
          <w:sz w:val="20"/>
          <w:szCs w:val="20"/>
        </w:rPr>
        <w:t xml:space="preserve">Note: </w:t>
      </w:r>
      <w:r w:rsidR="000F2030" w:rsidRPr="003673FA">
        <w:rPr>
          <w:i/>
          <w:sz w:val="20"/>
          <w:szCs w:val="20"/>
        </w:rPr>
        <w:t>n=53</w:t>
      </w:r>
      <w:r w:rsidRPr="003673FA">
        <w:rPr>
          <w:i/>
          <w:sz w:val="20"/>
          <w:szCs w:val="20"/>
        </w:rPr>
        <w:t xml:space="preserve"> PIs who had been involved prior to the continuous process.</w:t>
      </w:r>
    </w:p>
    <w:p w14:paraId="6BA8C01F" w14:textId="77777777" w:rsidR="00F65D18" w:rsidRPr="003673FA" w:rsidRDefault="00F65D18" w:rsidP="0092757A">
      <w:pPr>
        <w:spacing w:line="259" w:lineRule="auto"/>
        <w:rPr>
          <w:szCs w:val="24"/>
        </w:rPr>
      </w:pPr>
    </w:p>
    <w:p w14:paraId="09B31508" w14:textId="1084AA7D" w:rsidR="005D392C" w:rsidRPr="003673FA" w:rsidRDefault="00032B53" w:rsidP="00032B53">
      <w:pPr>
        <w:pStyle w:val="Heading3"/>
      </w:pPr>
      <w:r w:rsidRPr="003673FA">
        <w:t>Partner organisation</w:t>
      </w:r>
      <w:r w:rsidR="005D392C" w:rsidRPr="003673FA">
        <w:t xml:space="preserve"> parti</w:t>
      </w:r>
      <w:r w:rsidRPr="003673FA">
        <w:t>cipation</w:t>
      </w:r>
    </w:p>
    <w:p w14:paraId="4C8026FC" w14:textId="6D4B7037" w:rsidR="000F702E" w:rsidRPr="003673FA" w:rsidRDefault="000F702E" w:rsidP="0092757A">
      <w:pPr>
        <w:spacing w:line="259" w:lineRule="auto"/>
        <w:rPr>
          <w:szCs w:val="24"/>
        </w:rPr>
      </w:pPr>
    </w:p>
    <w:p w14:paraId="50C206B7" w14:textId="74AE8E85" w:rsidR="00F854A7" w:rsidRPr="003673FA" w:rsidRDefault="000F702E" w:rsidP="0092757A">
      <w:pPr>
        <w:spacing w:line="259" w:lineRule="auto"/>
        <w:rPr>
          <w:szCs w:val="24"/>
        </w:rPr>
      </w:pPr>
      <w:r w:rsidRPr="003673FA">
        <w:rPr>
          <w:szCs w:val="24"/>
        </w:rPr>
        <w:t xml:space="preserve">As discussed </w:t>
      </w:r>
      <w:r w:rsidR="009F5F29" w:rsidRPr="003673FA">
        <w:rPr>
          <w:szCs w:val="24"/>
        </w:rPr>
        <w:t>earlier</w:t>
      </w:r>
      <w:r w:rsidRPr="003673FA">
        <w:rPr>
          <w:szCs w:val="24"/>
        </w:rPr>
        <w:t xml:space="preserve">, total partner organisation participation in Linkage Projects has decreased under the continuous process. However, stakeholder feedback suggests the continuous process may support improved engagement </w:t>
      </w:r>
      <w:r w:rsidR="008D5EF7" w:rsidRPr="003673FA">
        <w:rPr>
          <w:szCs w:val="24"/>
        </w:rPr>
        <w:t>among a smaller number of participating partner organisations</w:t>
      </w:r>
      <w:r w:rsidR="003A7FC9" w:rsidRPr="003673FA">
        <w:rPr>
          <w:szCs w:val="24"/>
        </w:rPr>
        <w:t xml:space="preserve">. </w:t>
      </w:r>
      <w:r w:rsidR="00F854A7" w:rsidRPr="003673FA">
        <w:rPr>
          <w:szCs w:val="24"/>
        </w:rPr>
        <w:t xml:space="preserve">For </w:t>
      </w:r>
      <w:r w:rsidR="003A7FC9" w:rsidRPr="003673FA">
        <w:rPr>
          <w:szCs w:val="24"/>
        </w:rPr>
        <w:t>example, the majority (63 per cent) of</w:t>
      </w:r>
      <w:r w:rsidR="00F854A7" w:rsidRPr="003673FA">
        <w:rPr>
          <w:szCs w:val="24"/>
        </w:rPr>
        <w:t xml:space="preserve"> PIs who had been involved prior </w:t>
      </w:r>
      <w:r w:rsidR="003A7FC9" w:rsidRPr="003673FA">
        <w:rPr>
          <w:szCs w:val="24"/>
        </w:rPr>
        <w:t xml:space="preserve">to the change indicated that the </w:t>
      </w:r>
      <w:r w:rsidR="00F854A7" w:rsidRPr="003673FA">
        <w:rPr>
          <w:szCs w:val="24"/>
        </w:rPr>
        <w:t xml:space="preserve">continuous </w:t>
      </w:r>
      <w:r w:rsidR="003A7FC9" w:rsidRPr="003673FA">
        <w:rPr>
          <w:szCs w:val="24"/>
        </w:rPr>
        <w:t xml:space="preserve">application </w:t>
      </w:r>
      <w:r w:rsidR="00F854A7" w:rsidRPr="003673FA">
        <w:rPr>
          <w:szCs w:val="24"/>
        </w:rPr>
        <w:t xml:space="preserve">process made it easier for </w:t>
      </w:r>
      <w:r w:rsidR="003A7FC9" w:rsidRPr="003673FA">
        <w:rPr>
          <w:szCs w:val="24"/>
        </w:rPr>
        <w:t>them</w:t>
      </w:r>
      <w:r w:rsidR="00F854A7" w:rsidRPr="003673FA">
        <w:rPr>
          <w:szCs w:val="24"/>
        </w:rPr>
        <w:t xml:space="preserve"> to participate in Linkage Projects grant applications</w:t>
      </w:r>
      <w:r w:rsidR="003A7FC9" w:rsidRPr="003673FA">
        <w:rPr>
          <w:szCs w:val="24"/>
        </w:rPr>
        <w:t>.</w:t>
      </w:r>
      <w:r w:rsidR="003A7FC9" w:rsidRPr="003673FA">
        <w:rPr>
          <w:rStyle w:val="FootnoteReference"/>
          <w:szCs w:val="24"/>
        </w:rPr>
        <w:footnoteReference w:id="24"/>
      </w:r>
      <w:r w:rsidR="003A7FC9" w:rsidRPr="003673FA">
        <w:rPr>
          <w:szCs w:val="24"/>
        </w:rPr>
        <w:t xml:space="preserve"> </w:t>
      </w:r>
    </w:p>
    <w:p w14:paraId="42B8FA2F" w14:textId="77777777" w:rsidR="00F854A7" w:rsidRPr="003673FA" w:rsidRDefault="00F854A7" w:rsidP="0092757A">
      <w:pPr>
        <w:spacing w:line="259" w:lineRule="auto"/>
        <w:rPr>
          <w:szCs w:val="24"/>
        </w:rPr>
      </w:pPr>
    </w:p>
    <w:p w14:paraId="021CDCF4" w14:textId="3220CDBA" w:rsidR="000F702E" w:rsidRPr="003673FA" w:rsidRDefault="00883017" w:rsidP="0092757A">
      <w:pPr>
        <w:spacing w:line="259" w:lineRule="auto"/>
        <w:rPr>
          <w:szCs w:val="24"/>
        </w:rPr>
      </w:pPr>
      <w:hyperlink w:anchor="Figure13" w:history="1">
        <w:r w:rsidR="007D5817" w:rsidRPr="00D86564">
          <w:rPr>
            <w:rStyle w:val="Hyperlink"/>
            <w:szCs w:val="24"/>
          </w:rPr>
          <w:t xml:space="preserve">Figure </w:t>
        </w:r>
        <w:r w:rsidR="00EB37C2" w:rsidRPr="00D86564">
          <w:rPr>
            <w:rStyle w:val="Hyperlink"/>
            <w:szCs w:val="24"/>
          </w:rPr>
          <w:t>13</w:t>
        </w:r>
      </w:hyperlink>
      <w:r w:rsidR="007D5817" w:rsidRPr="003673FA">
        <w:rPr>
          <w:szCs w:val="24"/>
        </w:rPr>
        <w:t xml:space="preserve"> shows that 47 per cent of PIs who had been involved prior to the continuous process considered it to have a positive or slightly positive impact on increasing their engagement in collaborative research under the scheme (45 per cent perceived no impact</w:t>
      </w:r>
      <w:r w:rsidR="00F465DF" w:rsidRPr="003673FA">
        <w:rPr>
          <w:szCs w:val="24"/>
        </w:rPr>
        <w:t xml:space="preserve"> and the remaining 8 per cent perceived a slightly negative impact</w:t>
      </w:r>
      <w:r w:rsidR="007D5817" w:rsidRPr="003673FA">
        <w:rPr>
          <w:szCs w:val="24"/>
        </w:rPr>
        <w:t>).</w:t>
      </w:r>
    </w:p>
    <w:p w14:paraId="037F49FE" w14:textId="644AAEE5" w:rsidR="00416935" w:rsidRPr="003673FA" w:rsidRDefault="00416935" w:rsidP="0092757A">
      <w:pPr>
        <w:spacing w:line="259" w:lineRule="auto"/>
        <w:rPr>
          <w:szCs w:val="24"/>
        </w:rPr>
      </w:pPr>
    </w:p>
    <w:p w14:paraId="270929DF" w14:textId="24FB9CAD" w:rsidR="003C51C2" w:rsidRPr="003673FA" w:rsidRDefault="00CA1681" w:rsidP="00CA1681">
      <w:pPr>
        <w:pStyle w:val="Heading4"/>
      </w:pPr>
      <w:bookmarkStart w:id="53" w:name="Figure13"/>
      <w:bookmarkEnd w:id="53"/>
      <w:r w:rsidRPr="003673FA">
        <w:t xml:space="preserve">Figure </w:t>
      </w:r>
      <w:r w:rsidR="00EB37C2" w:rsidRPr="003673FA">
        <w:t>13</w:t>
      </w:r>
      <w:r w:rsidRPr="003673FA">
        <w:t xml:space="preserve">: PIs (involved prior) – impact of the continuous process </w:t>
      </w:r>
      <w:r w:rsidR="007412BC" w:rsidRPr="003673FA">
        <w:t xml:space="preserve">in increasing </w:t>
      </w:r>
      <w:r w:rsidRPr="003673FA">
        <w:t xml:space="preserve">participation </w:t>
      </w:r>
      <w:r w:rsidR="007412BC" w:rsidRPr="003673FA">
        <w:t>in collaborative research under the Linkage Projects scheme</w:t>
      </w:r>
    </w:p>
    <w:p w14:paraId="36A5FA9E" w14:textId="506C5F04" w:rsidR="003C51C2" w:rsidRPr="003673FA" w:rsidRDefault="005037A2" w:rsidP="0092757A">
      <w:pPr>
        <w:spacing w:line="259" w:lineRule="auto"/>
        <w:rPr>
          <w:szCs w:val="24"/>
        </w:rPr>
      </w:pPr>
      <w:r w:rsidRPr="003673FA">
        <w:rPr>
          <w:noProof/>
          <w:szCs w:val="24"/>
          <w:lang w:eastAsia="en-AU"/>
        </w:rPr>
        <w:drawing>
          <wp:inline distT="0" distB="0" distL="0" distR="0" wp14:anchorId="2F4CB635" wp14:editId="59D2AD66">
            <wp:extent cx="4584700" cy="1030605"/>
            <wp:effectExtent l="0" t="0" r="6350" b="0"/>
            <wp:docPr id="58" name="Picture 58" descr="Figure 13 depicts the responses of PIs (involved prior) regarding the impact of the continuous process in increasing their participation in collaborative research under the Linkage Projects scheme." title="Figure 13: PIs (involved prior) – impact of the continuous process in increasing participation in collaborative research under the Linkage Projects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4700" cy="1030605"/>
                    </a:xfrm>
                    <a:prstGeom prst="rect">
                      <a:avLst/>
                    </a:prstGeom>
                    <a:noFill/>
                  </pic:spPr>
                </pic:pic>
              </a:graphicData>
            </a:graphic>
          </wp:inline>
        </w:drawing>
      </w:r>
    </w:p>
    <w:p w14:paraId="4F897FC5" w14:textId="01F118C5" w:rsidR="003C51C2" w:rsidRPr="003673FA" w:rsidRDefault="003C51C2" w:rsidP="003C51C2">
      <w:pPr>
        <w:spacing w:line="259" w:lineRule="auto"/>
        <w:rPr>
          <w:sz w:val="20"/>
          <w:szCs w:val="20"/>
        </w:rPr>
      </w:pPr>
      <w:r w:rsidRPr="003673FA">
        <w:rPr>
          <w:sz w:val="20"/>
          <w:szCs w:val="20"/>
        </w:rPr>
        <w:t xml:space="preserve">Source: ACIL Allen Consulting. </w:t>
      </w:r>
      <w:r w:rsidRPr="003673FA">
        <w:rPr>
          <w:i/>
          <w:sz w:val="20"/>
          <w:szCs w:val="20"/>
        </w:rPr>
        <w:t xml:space="preserve">Note: </w:t>
      </w:r>
      <w:r w:rsidR="000F2030" w:rsidRPr="003673FA">
        <w:rPr>
          <w:i/>
          <w:sz w:val="20"/>
          <w:szCs w:val="20"/>
        </w:rPr>
        <w:t>n=53</w:t>
      </w:r>
      <w:r w:rsidRPr="003673FA">
        <w:rPr>
          <w:i/>
          <w:sz w:val="20"/>
          <w:szCs w:val="20"/>
        </w:rPr>
        <w:t xml:space="preserve"> </w:t>
      </w:r>
      <w:r w:rsidR="00CA1681" w:rsidRPr="003673FA">
        <w:rPr>
          <w:i/>
          <w:sz w:val="20"/>
          <w:szCs w:val="20"/>
        </w:rPr>
        <w:t>PIs</w:t>
      </w:r>
      <w:r w:rsidRPr="003673FA">
        <w:rPr>
          <w:i/>
          <w:sz w:val="20"/>
          <w:szCs w:val="20"/>
        </w:rPr>
        <w:t xml:space="preserve"> who had been involved prior to the continuous process.</w:t>
      </w:r>
    </w:p>
    <w:p w14:paraId="02666231" w14:textId="73A99A49" w:rsidR="003C51C2" w:rsidRPr="003673FA" w:rsidRDefault="003C51C2" w:rsidP="0092757A">
      <w:pPr>
        <w:spacing w:line="259" w:lineRule="auto"/>
        <w:rPr>
          <w:szCs w:val="24"/>
        </w:rPr>
      </w:pPr>
    </w:p>
    <w:p w14:paraId="4C90D310" w14:textId="6E3C1262" w:rsidR="000F702E" w:rsidRPr="003673FA" w:rsidRDefault="00F854A7" w:rsidP="0092757A">
      <w:pPr>
        <w:spacing w:line="259" w:lineRule="auto"/>
        <w:rPr>
          <w:szCs w:val="24"/>
        </w:rPr>
      </w:pPr>
      <w:r w:rsidRPr="003673FA">
        <w:rPr>
          <w:szCs w:val="24"/>
        </w:rPr>
        <w:t xml:space="preserve">As shown in </w:t>
      </w:r>
      <w:hyperlink w:anchor="Figure14" w:history="1">
        <w:r w:rsidRPr="00D86564">
          <w:rPr>
            <w:rStyle w:val="Hyperlink"/>
            <w:szCs w:val="24"/>
          </w:rPr>
          <w:t xml:space="preserve">Figure </w:t>
        </w:r>
        <w:r w:rsidR="00EB37C2" w:rsidRPr="00D86564">
          <w:rPr>
            <w:rStyle w:val="Hyperlink"/>
            <w:szCs w:val="24"/>
          </w:rPr>
          <w:t>14</w:t>
        </w:r>
      </w:hyperlink>
      <w:r w:rsidRPr="003673FA">
        <w:rPr>
          <w:szCs w:val="24"/>
        </w:rPr>
        <w:t xml:space="preserve">, two thirds </w:t>
      </w:r>
      <w:r w:rsidR="003A7FC9" w:rsidRPr="003673FA">
        <w:rPr>
          <w:szCs w:val="24"/>
        </w:rPr>
        <w:t xml:space="preserve">(67 per cent) </w:t>
      </w:r>
      <w:r w:rsidR="00F465DF" w:rsidRPr="003673FA">
        <w:rPr>
          <w:szCs w:val="24"/>
        </w:rPr>
        <w:t xml:space="preserve">of CIs who had been involved prior to the continuous process </w:t>
      </w:r>
      <w:r w:rsidRPr="003673FA">
        <w:rPr>
          <w:szCs w:val="24"/>
        </w:rPr>
        <w:t xml:space="preserve">perceived a positive or slightly positive impact on PI engagement and retention for the duration </w:t>
      </w:r>
      <w:r w:rsidR="00F465DF" w:rsidRPr="003673FA">
        <w:rPr>
          <w:szCs w:val="24"/>
        </w:rPr>
        <w:t>of the application process</w:t>
      </w:r>
      <w:r w:rsidRPr="003673FA">
        <w:rPr>
          <w:szCs w:val="24"/>
        </w:rPr>
        <w:t xml:space="preserve">. However, </w:t>
      </w:r>
      <w:r w:rsidR="003A7FC9" w:rsidRPr="003673FA">
        <w:rPr>
          <w:szCs w:val="24"/>
        </w:rPr>
        <w:t xml:space="preserve">the perception of this issue </w:t>
      </w:r>
      <w:r w:rsidRPr="003673FA">
        <w:rPr>
          <w:szCs w:val="24"/>
        </w:rPr>
        <w:t>among PIs themselves</w:t>
      </w:r>
      <w:r w:rsidR="003A7FC9" w:rsidRPr="003673FA">
        <w:rPr>
          <w:szCs w:val="24"/>
        </w:rPr>
        <w:t xml:space="preserve"> was somewhat different, with</w:t>
      </w:r>
      <w:r w:rsidRPr="003673FA">
        <w:rPr>
          <w:szCs w:val="24"/>
        </w:rPr>
        <w:t xml:space="preserve"> </w:t>
      </w:r>
      <w:r w:rsidR="00F465DF" w:rsidRPr="003673FA">
        <w:rPr>
          <w:szCs w:val="24"/>
        </w:rPr>
        <w:t xml:space="preserve">40 per cent </w:t>
      </w:r>
      <w:r w:rsidR="003A7FC9" w:rsidRPr="003673FA">
        <w:rPr>
          <w:szCs w:val="24"/>
        </w:rPr>
        <w:t>responding that it had</w:t>
      </w:r>
      <w:r w:rsidR="00F465DF" w:rsidRPr="003673FA">
        <w:rPr>
          <w:szCs w:val="24"/>
        </w:rPr>
        <w:t xml:space="preserve"> a positive or slightly positive impact</w:t>
      </w:r>
      <w:r w:rsidR="00C64E5D" w:rsidRPr="003673FA">
        <w:rPr>
          <w:szCs w:val="24"/>
        </w:rPr>
        <w:t xml:space="preserve">, and </w:t>
      </w:r>
      <w:r w:rsidR="00F465DF" w:rsidRPr="003673FA">
        <w:rPr>
          <w:szCs w:val="24"/>
        </w:rPr>
        <w:t>58</w:t>
      </w:r>
      <w:r w:rsidR="00C64E5D" w:rsidRPr="003673FA">
        <w:rPr>
          <w:szCs w:val="24"/>
        </w:rPr>
        <w:t xml:space="preserve"> per cent perceiving no impact</w:t>
      </w:r>
      <w:r w:rsidRPr="003673FA">
        <w:rPr>
          <w:szCs w:val="24"/>
        </w:rPr>
        <w:t>.</w:t>
      </w:r>
      <w:r w:rsidR="00C64E5D" w:rsidRPr="003673FA">
        <w:rPr>
          <w:szCs w:val="24"/>
        </w:rPr>
        <w:t xml:space="preserve"> </w:t>
      </w:r>
    </w:p>
    <w:p w14:paraId="7B2A5EA4" w14:textId="77777777" w:rsidR="000F702E" w:rsidRPr="003673FA" w:rsidRDefault="000F702E" w:rsidP="0092757A">
      <w:pPr>
        <w:spacing w:line="259" w:lineRule="auto"/>
        <w:rPr>
          <w:szCs w:val="24"/>
        </w:rPr>
      </w:pPr>
    </w:p>
    <w:p w14:paraId="6F0BF280" w14:textId="1B618993" w:rsidR="00CA1681" w:rsidRPr="003673FA" w:rsidRDefault="00CA1681" w:rsidP="00CA1681">
      <w:pPr>
        <w:pStyle w:val="Heading4"/>
      </w:pPr>
      <w:bookmarkStart w:id="54" w:name="Figure14"/>
      <w:bookmarkEnd w:id="54"/>
      <w:r w:rsidRPr="003673FA">
        <w:lastRenderedPageBreak/>
        <w:t xml:space="preserve">Figure </w:t>
      </w:r>
      <w:r w:rsidR="00EB37C2" w:rsidRPr="003673FA">
        <w:t>14</w:t>
      </w:r>
      <w:r w:rsidRPr="003673FA">
        <w:t xml:space="preserve">: Impact of the continuous process on engagement and retention of partner investigators for the duration of </w:t>
      </w:r>
      <w:r w:rsidR="00EF5D32" w:rsidRPr="003673FA">
        <w:t>the application process</w:t>
      </w:r>
    </w:p>
    <w:p w14:paraId="2046F2F9" w14:textId="0A9707A0" w:rsidR="003C51C2" w:rsidRPr="003673FA" w:rsidRDefault="005037A2" w:rsidP="0092757A">
      <w:pPr>
        <w:spacing w:line="259" w:lineRule="auto"/>
        <w:rPr>
          <w:szCs w:val="24"/>
        </w:rPr>
      </w:pPr>
      <w:r w:rsidRPr="003673FA">
        <w:rPr>
          <w:noProof/>
          <w:szCs w:val="24"/>
          <w:lang w:eastAsia="en-AU"/>
        </w:rPr>
        <w:drawing>
          <wp:inline distT="0" distB="0" distL="0" distR="0" wp14:anchorId="1CCEFAB7" wp14:editId="47A70B95">
            <wp:extent cx="4584700" cy="1505585"/>
            <wp:effectExtent l="0" t="0" r="6350" b="0"/>
            <wp:docPr id="59" name="Picture 59" descr="Figure 14 depicts the responses of CIs and PIs (involved prior) regarding the impact of the continuous process on engagement and retention of PIs for duration of the application process." title="Figure 14: Impact of the continuous process on engagement and retention of partner investigators for the duration of the applica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84700" cy="1505585"/>
                    </a:xfrm>
                    <a:prstGeom prst="rect">
                      <a:avLst/>
                    </a:prstGeom>
                    <a:noFill/>
                  </pic:spPr>
                </pic:pic>
              </a:graphicData>
            </a:graphic>
          </wp:inline>
        </w:drawing>
      </w:r>
    </w:p>
    <w:p w14:paraId="66FB5351" w14:textId="45D23FEC" w:rsidR="003C51C2" w:rsidRPr="003673FA" w:rsidRDefault="003C51C2" w:rsidP="003C51C2">
      <w:pPr>
        <w:spacing w:line="259" w:lineRule="auto"/>
        <w:rPr>
          <w:sz w:val="20"/>
          <w:szCs w:val="20"/>
        </w:rPr>
      </w:pPr>
      <w:r w:rsidRPr="003673FA">
        <w:rPr>
          <w:sz w:val="20"/>
          <w:szCs w:val="20"/>
        </w:rPr>
        <w:t xml:space="preserve">Source: ACIL Allen Consulting. </w:t>
      </w:r>
      <w:r w:rsidRPr="003673FA">
        <w:rPr>
          <w:i/>
          <w:sz w:val="20"/>
          <w:szCs w:val="20"/>
        </w:rPr>
        <w:t xml:space="preserve">Note: </w:t>
      </w:r>
      <w:r w:rsidR="000F2030" w:rsidRPr="003673FA">
        <w:rPr>
          <w:i/>
          <w:sz w:val="20"/>
          <w:szCs w:val="20"/>
        </w:rPr>
        <w:t>n=183</w:t>
      </w:r>
      <w:r w:rsidRPr="003673FA">
        <w:rPr>
          <w:i/>
          <w:sz w:val="20"/>
          <w:szCs w:val="20"/>
        </w:rPr>
        <w:t xml:space="preserve"> </w:t>
      </w:r>
      <w:r w:rsidR="00CA1681" w:rsidRPr="003673FA">
        <w:rPr>
          <w:i/>
          <w:sz w:val="20"/>
          <w:szCs w:val="20"/>
        </w:rPr>
        <w:t xml:space="preserve">CIs and </w:t>
      </w:r>
      <w:r w:rsidR="000F2030" w:rsidRPr="003673FA">
        <w:rPr>
          <w:i/>
          <w:sz w:val="20"/>
          <w:szCs w:val="20"/>
        </w:rPr>
        <w:t xml:space="preserve">n=53 </w:t>
      </w:r>
      <w:r w:rsidR="00CA1681" w:rsidRPr="003673FA">
        <w:rPr>
          <w:i/>
          <w:sz w:val="20"/>
          <w:szCs w:val="20"/>
        </w:rPr>
        <w:t xml:space="preserve">PIs </w:t>
      </w:r>
      <w:r w:rsidRPr="003673FA">
        <w:rPr>
          <w:i/>
          <w:sz w:val="20"/>
          <w:szCs w:val="20"/>
        </w:rPr>
        <w:t>who had been involved prior to the continuous process.</w:t>
      </w:r>
    </w:p>
    <w:p w14:paraId="4A1E1717" w14:textId="69FE1193" w:rsidR="0092757A" w:rsidRPr="003673FA" w:rsidRDefault="0092757A" w:rsidP="0092757A">
      <w:pPr>
        <w:spacing w:line="259" w:lineRule="auto"/>
        <w:rPr>
          <w:szCs w:val="24"/>
        </w:rPr>
      </w:pPr>
    </w:p>
    <w:p w14:paraId="52F511FD" w14:textId="473EF1C5" w:rsidR="00EC4745" w:rsidRPr="003673FA" w:rsidRDefault="00EC4745" w:rsidP="0092757A">
      <w:pPr>
        <w:spacing w:line="259" w:lineRule="auto"/>
        <w:rPr>
          <w:szCs w:val="24"/>
        </w:rPr>
      </w:pPr>
      <w:r w:rsidRPr="003673FA">
        <w:rPr>
          <w:szCs w:val="24"/>
        </w:rPr>
        <w:t>An</w:t>
      </w:r>
      <w:r w:rsidR="0011314C" w:rsidRPr="003673FA">
        <w:rPr>
          <w:szCs w:val="24"/>
        </w:rPr>
        <w:t xml:space="preserve"> important</w:t>
      </w:r>
      <w:r w:rsidRPr="003673FA">
        <w:rPr>
          <w:szCs w:val="24"/>
        </w:rPr>
        <w:t xml:space="preserve"> </w:t>
      </w:r>
      <w:r w:rsidR="00CD36B5" w:rsidRPr="003673FA">
        <w:rPr>
          <w:szCs w:val="24"/>
        </w:rPr>
        <w:t>aspect of</w:t>
      </w:r>
      <w:r w:rsidRPr="003673FA">
        <w:rPr>
          <w:szCs w:val="24"/>
        </w:rPr>
        <w:t xml:space="preserve"> encouraging partner organisation</w:t>
      </w:r>
      <w:r w:rsidR="0011314C" w:rsidRPr="003673FA">
        <w:rPr>
          <w:szCs w:val="24"/>
        </w:rPr>
        <w:t>s</w:t>
      </w:r>
      <w:r w:rsidRPr="003673FA">
        <w:rPr>
          <w:szCs w:val="24"/>
        </w:rPr>
        <w:t xml:space="preserve"> </w:t>
      </w:r>
      <w:r w:rsidR="0011314C" w:rsidRPr="003673FA">
        <w:rPr>
          <w:szCs w:val="24"/>
        </w:rPr>
        <w:t>to collaborate</w:t>
      </w:r>
      <w:r w:rsidRPr="003673FA">
        <w:rPr>
          <w:szCs w:val="24"/>
        </w:rPr>
        <w:t xml:space="preserve"> </w:t>
      </w:r>
      <w:r w:rsidR="00581371" w:rsidRPr="003673FA">
        <w:rPr>
          <w:szCs w:val="24"/>
        </w:rPr>
        <w:t xml:space="preserve">is facilitating their access to relevant research. As </w:t>
      </w:r>
      <w:hyperlink w:anchor="Figure15" w:history="1">
        <w:r w:rsidR="00581371" w:rsidRPr="00D86564">
          <w:rPr>
            <w:rStyle w:val="Hyperlink"/>
            <w:szCs w:val="24"/>
          </w:rPr>
          <w:t xml:space="preserve">Figure </w:t>
        </w:r>
        <w:r w:rsidR="00EB37C2" w:rsidRPr="00D86564">
          <w:rPr>
            <w:rStyle w:val="Hyperlink"/>
            <w:szCs w:val="24"/>
          </w:rPr>
          <w:t>15</w:t>
        </w:r>
      </w:hyperlink>
      <w:r w:rsidR="00581371" w:rsidRPr="003673FA">
        <w:rPr>
          <w:szCs w:val="24"/>
        </w:rPr>
        <w:t xml:space="preserve"> shows, 43 per cent of PIs who had been involved </w:t>
      </w:r>
      <w:r w:rsidR="0011314C" w:rsidRPr="003673FA">
        <w:rPr>
          <w:szCs w:val="24"/>
        </w:rPr>
        <w:t xml:space="preserve">in Linkage Projects </w:t>
      </w:r>
      <w:r w:rsidR="00581371" w:rsidRPr="003673FA">
        <w:rPr>
          <w:szCs w:val="24"/>
        </w:rPr>
        <w:t xml:space="preserve">prior to the continuous process considered </w:t>
      </w:r>
      <w:r w:rsidR="00397158" w:rsidRPr="003673FA">
        <w:rPr>
          <w:szCs w:val="24"/>
        </w:rPr>
        <w:t>the change</w:t>
      </w:r>
      <w:r w:rsidR="00581371" w:rsidRPr="003673FA">
        <w:rPr>
          <w:szCs w:val="24"/>
        </w:rPr>
        <w:t xml:space="preserve"> had imp</w:t>
      </w:r>
      <w:r w:rsidR="00397158" w:rsidRPr="003673FA">
        <w:rPr>
          <w:szCs w:val="24"/>
        </w:rPr>
        <w:t xml:space="preserve">roved their access to research, </w:t>
      </w:r>
      <w:r w:rsidR="00DD7C96" w:rsidRPr="003673FA">
        <w:rPr>
          <w:szCs w:val="24"/>
        </w:rPr>
        <w:t>(</w:t>
      </w:r>
      <w:r w:rsidR="00397158" w:rsidRPr="003673FA">
        <w:rPr>
          <w:szCs w:val="24"/>
        </w:rPr>
        <w:t xml:space="preserve">compared to </w:t>
      </w:r>
      <w:r w:rsidR="00581371" w:rsidRPr="003673FA">
        <w:rPr>
          <w:szCs w:val="24"/>
        </w:rPr>
        <w:t xml:space="preserve">31 per cent </w:t>
      </w:r>
      <w:r w:rsidR="00397158" w:rsidRPr="003673FA">
        <w:rPr>
          <w:szCs w:val="24"/>
        </w:rPr>
        <w:t xml:space="preserve">who </w:t>
      </w:r>
      <w:r w:rsidR="00581371" w:rsidRPr="003673FA">
        <w:rPr>
          <w:szCs w:val="24"/>
        </w:rPr>
        <w:t>said it had not</w:t>
      </w:r>
      <w:r w:rsidR="00397158" w:rsidRPr="003673FA">
        <w:rPr>
          <w:szCs w:val="24"/>
        </w:rPr>
        <w:t xml:space="preserve"> and </w:t>
      </w:r>
      <w:r w:rsidR="00581371" w:rsidRPr="003673FA">
        <w:rPr>
          <w:szCs w:val="24"/>
        </w:rPr>
        <w:t xml:space="preserve">26 per cent </w:t>
      </w:r>
      <w:r w:rsidR="00397158" w:rsidRPr="003673FA">
        <w:rPr>
          <w:szCs w:val="24"/>
        </w:rPr>
        <w:t xml:space="preserve">who </w:t>
      </w:r>
      <w:r w:rsidR="00581371" w:rsidRPr="003673FA">
        <w:rPr>
          <w:szCs w:val="24"/>
        </w:rPr>
        <w:t>were unsure</w:t>
      </w:r>
      <w:r w:rsidR="00DD7C96" w:rsidRPr="003673FA">
        <w:rPr>
          <w:szCs w:val="24"/>
        </w:rPr>
        <w:t>)</w:t>
      </w:r>
      <w:r w:rsidR="00581371" w:rsidRPr="003673FA">
        <w:rPr>
          <w:szCs w:val="24"/>
        </w:rPr>
        <w:t xml:space="preserve">. By contrast, </w:t>
      </w:r>
      <w:r w:rsidR="00397158" w:rsidRPr="003673FA">
        <w:rPr>
          <w:szCs w:val="24"/>
        </w:rPr>
        <w:t>responses from</w:t>
      </w:r>
      <w:r w:rsidR="00581371" w:rsidRPr="003673FA">
        <w:rPr>
          <w:szCs w:val="24"/>
        </w:rPr>
        <w:t xml:space="preserve"> PIs who had not been involved previously were </w:t>
      </w:r>
      <w:r w:rsidR="00397158" w:rsidRPr="003673FA">
        <w:rPr>
          <w:szCs w:val="24"/>
        </w:rPr>
        <w:t xml:space="preserve">markedly more </w:t>
      </w:r>
      <w:r w:rsidR="00581371" w:rsidRPr="003673FA">
        <w:rPr>
          <w:szCs w:val="24"/>
        </w:rPr>
        <w:t>positive</w:t>
      </w:r>
      <w:r w:rsidR="00397158" w:rsidRPr="003673FA">
        <w:rPr>
          <w:szCs w:val="24"/>
        </w:rPr>
        <w:t>, with 60 per cent reporti</w:t>
      </w:r>
      <w:r w:rsidR="00DD7C96" w:rsidRPr="003673FA">
        <w:rPr>
          <w:szCs w:val="24"/>
        </w:rPr>
        <w:t xml:space="preserve">ng improved access to research. </w:t>
      </w:r>
      <w:r w:rsidR="0011314C" w:rsidRPr="003673FA">
        <w:rPr>
          <w:szCs w:val="24"/>
        </w:rPr>
        <w:t>A</w:t>
      </w:r>
      <w:r w:rsidR="00DD7C96" w:rsidRPr="003673FA">
        <w:rPr>
          <w:szCs w:val="24"/>
        </w:rPr>
        <w:t xml:space="preserve">gain, this </w:t>
      </w:r>
      <w:r w:rsidR="00397158" w:rsidRPr="003673FA">
        <w:rPr>
          <w:szCs w:val="24"/>
        </w:rPr>
        <w:t xml:space="preserve">result is difficult to interpret </w:t>
      </w:r>
      <w:r w:rsidR="008D5EF7" w:rsidRPr="003673FA">
        <w:rPr>
          <w:szCs w:val="24"/>
        </w:rPr>
        <w:t>because the reference point for this comparison is unclear</w:t>
      </w:r>
      <w:r w:rsidR="00DD7C96" w:rsidRPr="003673FA">
        <w:rPr>
          <w:szCs w:val="24"/>
        </w:rPr>
        <w:t>.</w:t>
      </w:r>
    </w:p>
    <w:p w14:paraId="11DAAE44" w14:textId="6C80FBD1" w:rsidR="00EC4745" w:rsidRPr="003673FA" w:rsidRDefault="00EC4745" w:rsidP="0092757A">
      <w:pPr>
        <w:spacing w:line="259" w:lineRule="auto"/>
        <w:rPr>
          <w:szCs w:val="24"/>
        </w:rPr>
      </w:pPr>
    </w:p>
    <w:p w14:paraId="665BDB7F" w14:textId="13A8B89E" w:rsidR="00581371" w:rsidRPr="003673FA" w:rsidRDefault="00581371" w:rsidP="00581371">
      <w:pPr>
        <w:pStyle w:val="Heading4"/>
      </w:pPr>
      <w:bookmarkStart w:id="55" w:name="Figure15"/>
      <w:bookmarkEnd w:id="55"/>
      <w:r w:rsidRPr="003673FA">
        <w:t xml:space="preserve">Figure </w:t>
      </w:r>
      <w:r w:rsidR="00EB37C2" w:rsidRPr="003673FA">
        <w:t>15</w:t>
      </w:r>
      <w:r w:rsidRPr="003673FA">
        <w:t>: PI views on whether the continuous process has improved their access to research</w:t>
      </w:r>
    </w:p>
    <w:p w14:paraId="6D0090D1" w14:textId="65A68BEC" w:rsidR="00581371" w:rsidRPr="003673FA" w:rsidRDefault="005037A2" w:rsidP="00581371">
      <w:r w:rsidRPr="003673FA">
        <w:rPr>
          <w:noProof/>
          <w:lang w:eastAsia="en-AU"/>
        </w:rPr>
        <w:drawing>
          <wp:inline distT="0" distB="0" distL="0" distR="0" wp14:anchorId="4BB50BEC" wp14:editId="07B8E054">
            <wp:extent cx="4584700" cy="1347470"/>
            <wp:effectExtent l="0" t="0" r="6350" b="5080"/>
            <wp:docPr id="61" name="Picture 61" descr="Figure 15 depicts the responses of PIs involved prior and PIs not involved prior on whether the continuous process has improved their access to research." title="Figure 15: PI views on whether the continuous process has improved their access to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4700" cy="1347470"/>
                    </a:xfrm>
                    <a:prstGeom prst="rect">
                      <a:avLst/>
                    </a:prstGeom>
                    <a:noFill/>
                  </pic:spPr>
                </pic:pic>
              </a:graphicData>
            </a:graphic>
          </wp:inline>
        </w:drawing>
      </w:r>
    </w:p>
    <w:p w14:paraId="05ADBAA5" w14:textId="03DEEBE9" w:rsidR="00581371" w:rsidRPr="003673FA" w:rsidRDefault="00581371" w:rsidP="0092757A">
      <w:pPr>
        <w:spacing w:line="259" w:lineRule="auto"/>
        <w:rPr>
          <w:sz w:val="20"/>
          <w:szCs w:val="20"/>
        </w:rPr>
      </w:pPr>
      <w:r w:rsidRPr="003673FA">
        <w:rPr>
          <w:sz w:val="20"/>
          <w:szCs w:val="20"/>
        </w:rPr>
        <w:t xml:space="preserve">Source: ACIL Allen Consulting. </w:t>
      </w:r>
      <w:r w:rsidRPr="003673FA">
        <w:rPr>
          <w:i/>
          <w:sz w:val="20"/>
          <w:szCs w:val="20"/>
        </w:rPr>
        <w:t>Note: n=54 PIs who had been involved prior to continuous process and n=52 PIs who had not.</w:t>
      </w:r>
    </w:p>
    <w:p w14:paraId="1469A878" w14:textId="77777777" w:rsidR="00581371" w:rsidRPr="003673FA" w:rsidRDefault="00581371" w:rsidP="0092757A">
      <w:pPr>
        <w:spacing w:line="259" w:lineRule="auto"/>
        <w:rPr>
          <w:szCs w:val="24"/>
        </w:rPr>
      </w:pPr>
    </w:p>
    <w:p w14:paraId="363A7D31" w14:textId="14F471B0" w:rsidR="005D392C" w:rsidRPr="003673FA" w:rsidRDefault="00032B53" w:rsidP="00032B53">
      <w:pPr>
        <w:pStyle w:val="Heading3"/>
      </w:pPr>
      <w:r w:rsidRPr="003673FA">
        <w:t>Initiation and management of collaboration</w:t>
      </w:r>
    </w:p>
    <w:p w14:paraId="6C53414D" w14:textId="03FF3B03" w:rsidR="0092757A" w:rsidRPr="003673FA" w:rsidRDefault="0092757A" w:rsidP="0092757A">
      <w:pPr>
        <w:spacing w:line="259" w:lineRule="auto"/>
        <w:rPr>
          <w:szCs w:val="24"/>
        </w:rPr>
      </w:pPr>
    </w:p>
    <w:p w14:paraId="71879A82" w14:textId="2A06A830" w:rsidR="00975A53" w:rsidRPr="003673FA" w:rsidRDefault="00763340" w:rsidP="0092757A">
      <w:pPr>
        <w:spacing w:line="259" w:lineRule="auto"/>
        <w:rPr>
          <w:szCs w:val="24"/>
        </w:rPr>
      </w:pPr>
      <w:r w:rsidRPr="003673FA">
        <w:rPr>
          <w:szCs w:val="24"/>
        </w:rPr>
        <w:t xml:space="preserve">As shown in </w:t>
      </w:r>
      <w:hyperlink w:anchor="Figure16" w:history="1">
        <w:r w:rsidRPr="00D86564">
          <w:rPr>
            <w:rStyle w:val="Hyperlink"/>
            <w:szCs w:val="24"/>
          </w:rPr>
          <w:t xml:space="preserve">Figure </w:t>
        </w:r>
        <w:r w:rsidR="00EB37C2" w:rsidRPr="00D86564">
          <w:rPr>
            <w:rStyle w:val="Hyperlink"/>
            <w:szCs w:val="24"/>
          </w:rPr>
          <w:t>16</w:t>
        </w:r>
      </w:hyperlink>
      <w:r w:rsidRPr="003673FA">
        <w:rPr>
          <w:szCs w:val="24"/>
        </w:rPr>
        <w:t>, a</w:t>
      </w:r>
      <w:r w:rsidR="00E161CA" w:rsidRPr="003673FA">
        <w:rPr>
          <w:szCs w:val="24"/>
        </w:rPr>
        <w:t>round half (49 per cent) of CI respondents who had been involved prior to the continuous process indicated they were initiating and managing collaboration in a different way as a result of its introduction</w:t>
      </w:r>
      <w:r w:rsidRPr="003673FA">
        <w:rPr>
          <w:szCs w:val="24"/>
        </w:rPr>
        <w:t>.</w:t>
      </w:r>
      <w:r w:rsidR="00E161CA" w:rsidRPr="003673FA">
        <w:rPr>
          <w:szCs w:val="24"/>
        </w:rPr>
        <w:t xml:space="preserve"> </w:t>
      </w:r>
      <w:r w:rsidR="00960DF8" w:rsidRPr="003673FA">
        <w:rPr>
          <w:szCs w:val="24"/>
        </w:rPr>
        <w:t xml:space="preserve">Most PIs </w:t>
      </w:r>
      <w:r w:rsidR="00C7415D" w:rsidRPr="003673FA">
        <w:rPr>
          <w:szCs w:val="24"/>
        </w:rPr>
        <w:t xml:space="preserve">who had been involved prior to the continuous process </w:t>
      </w:r>
      <w:r w:rsidR="00960DF8" w:rsidRPr="003673FA">
        <w:rPr>
          <w:szCs w:val="24"/>
        </w:rPr>
        <w:t>(</w:t>
      </w:r>
      <w:r w:rsidR="006473AD" w:rsidRPr="003673FA">
        <w:rPr>
          <w:szCs w:val="24"/>
        </w:rPr>
        <w:t>63 per cent</w:t>
      </w:r>
      <w:r w:rsidRPr="003673FA">
        <w:rPr>
          <w:szCs w:val="24"/>
        </w:rPr>
        <w:t>)</w:t>
      </w:r>
      <w:r w:rsidR="006473AD" w:rsidRPr="003673FA">
        <w:rPr>
          <w:szCs w:val="24"/>
        </w:rPr>
        <w:t xml:space="preserve"> perceived </w:t>
      </w:r>
      <w:r w:rsidR="00C7415D" w:rsidRPr="003673FA">
        <w:rPr>
          <w:szCs w:val="24"/>
        </w:rPr>
        <w:t>it</w:t>
      </w:r>
      <w:r w:rsidR="006473AD" w:rsidRPr="003673FA">
        <w:rPr>
          <w:szCs w:val="24"/>
        </w:rPr>
        <w:t xml:space="preserve"> to have a positive or slightly positive impact on changing the </w:t>
      </w:r>
      <w:r w:rsidR="00960DF8" w:rsidRPr="003673FA">
        <w:rPr>
          <w:szCs w:val="24"/>
        </w:rPr>
        <w:t>initiation and management of collaboration</w:t>
      </w:r>
      <w:r w:rsidR="006473AD" w:rsidRPr="003673FA">
        <w:rPr>
          <w:szCs w:val="24"/>
        </w:rPr>
        <w:t xml:space="preserve">, as shown in </w:t>
      </w:r>
      <w:hyperlink w:anchor="Figure17" w:history="1">
        <w:r w:rsidR="006473AD" w:rsidRPr="00D86564">
          <w:rPr>
            <w:rStyle w:val="Hyperlink"/>
            <w:szCs w:val="24"/>
          </w:rPr>
          <w:t xml:space="preserve">Figure </w:t>
        </w:r>
        <w:r w:rsidR="00EB37C2" w:rsidRPr="00D86564">
          <w:rPr>
            <w:rStyle w:val="Hyperlink"/>
            <w:szCs w:val="24"/>
          </w:rPr>
          <w:t>17</w:t>
        </w:r>
      </w:hyperlink>
      <w:r w:rsidR="006473AD" w:rsidRPr="003673FA">
        <w:rPr>
          <w:szCs w:val="24"/>
        </w:rPr>
        <w:t>.</w:t>
      </w:r>
      <w:r w:rsidR="000D160C" w:rsidRPr="003673FA">
        <w:rPr>
          <w:szCs w:val="24"/>
        </w:rPr>
        <w:t xml:space="preserve"> </w:t>
      </w:r>
    </w:p>
    <w:p w14:paraId="4775B548" w14:textId="77777777" w:rsidR="00975A53" w:rsidRPr="003673FA" w:rsidRDefault="00975A53" w:rsidP="0092757A">
      <w:pPr>
        <w:spacing w:line="259" w:lineRule="auto"/>
        <w:rPr>
          <w:szCs w:val="24"/>
        </w:rPr>
      </w:pPr>
    </w:p>
    <w:p w14:paraId="3CD4E681" w14:textId="4CE6D820" w:rsidR="00A01C13" w:rsidRPr="003673FA" w:rsidRDefault="00975A53" w:rsidP="00975A53">
      <w:pPr>
        <w:pStyle w:val="Heading4"/>
      </w:pPr>
      <w:bookmarkStart w:id="56" w:name="Figure16"/>
      <w:bookmarkEnd w:id="56"/>
      <w:r w:rsidRPr="003673FA">
        <w:t xml:space="preserve">Figure </w:t>
      </w:r>
      <w:r w:rsidR="00EB37C2" w:rsidRPr="003673FA">
        <w:t>16</w:t>
      </w:r>
      <w:r w:rsidRPr="003673FA">
        <w:t>: CIs (involved prior) – initiating and managing collaborations in a different way</w:t>
      </w:r>
    </w:p>
    <w:p w14:paraId="4E9BB655" w14:textId="173C1565" w:rsidR="00A01C13" w:rsidRPr="003673FA" w:rsidRDefault="005037A2" w:rsidP="00A01C13">
      <w:pPr>
        <w:spacing w:line="259" w:lineRule="auto"/>
        <w:rPr>
          <w:szCs w:val="24"/>
        </w:rPr>
      </w:pPr>
      <w:r w:rsidRPr="003673FA">
        <w:rPr>
          <w:noProof/>
          <w:szCs w:val="24"/>
          <w:lang w:eastAsia="en-AU"/>
        </w:rPr>
        <w:drawing>
          <wp:inline distT="0" distB="0" distL="0" distR="0" wp14:anchorId="42E057C6" wp14:editId="68229DB9">
            <wp:extent cx="4584700" cy="956945"/>
            <wp:effectExtent l="0" t="0" r="6350" b="0"/>
            <wp:docPr id="62" name="Picture 62" descr="Figure 16 depicts the responses of CIs (involved prior) on whether they were initiating and managing collaborations in different way as a result of the continuous process." title="Figure 16: CIs (involved prior) – initiating and managing collaborations in a different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84700" cy="956945"/>
                    </a:xfrm>
                    <a:prstGeom prst="rect">
                      <a:avLst/>
                    </a:prstGeom>
                    <a:noFill/>
                  </pic:spPr>
                </pic:pic>
              </a:graphicData>
            </a:graphic>
          </wp:inline>
        </w:drawing>
      </w:r>
    </w:p>
    <w:p w14:paraId="46AEC20E" w14:textId="5599D577" w:rsidR="00A01C13" w:rsidRPr="003673FA" w:rsidRDefault="00A01C13" w:rsidP="00A01C13">
      <w:pPr>
        <w:spacing w:line="259" w:lineRule="auto"/>
        <w:rPr>
          <w:i/>
          <w:sz w:val="20"/>
          <w:szCs w:val="20"/>
        </w:rPr>
      </w:pPr>
      <w:r w:rsidRPr="003673FA">
        <w:rPr>
          <w:sz w:val="20"/>
          <w:szCs w:val="20"/>
        </w:rPr>
        <w:t xml:space="preserve">Source: ACIL Allen Consulting. </w:t>
      </w:r>
      <w:r w:rsidRPr="003673FA">
        <w:rPr>
          <w:i/>
          <w:sz w:val="20"/>
          <w:szCs w:val="20"/>
        </w:rPr>
        <w:t xml:space="preserve">Note: </w:t>
      </w:r>
      <w:r w:rsidR="000F2030" w:rsidRPr="003673FA">
        <w:rPr>
          <w:i/>
          <w:sz w:val="20"/>
          <w:szCs w:val="20"/>
        </w:rPr>
        <w:t>n=183</w:t>
      </w:r>
      <w:r w:rsidRPr="003673FA">
        <w:rPr>
          <w:i/>
          <w:sz w:val="20"/>
          <w:szCs w:val="20"/>
        </w:rPr>
        <w:t xml:space="preserve"> CIs who had been involved prior to the </w:t>
      </w:r>
      <w:r w:rsidR="006473AD" w:rsidRPr="003673FA">
        <w:rPr>
          <w:i/>
          <w:sz w:val="20"/>
          <w:szCs w:val="20"/>
        </w:rPr>
        <w:t>continuous process.</w:t>
      </w:r>
    </w:p>
    <w:p w14:paraId="36A10C4D" w14:textId="77777777" w:rsidR="00EC4745" w:rsidRPr="003673FA" w:rsidRDefault="00EC4745" w:rsidP="00A01C13">
      <w:pPr>
        <w:spacing w:line="259" w:lineRule="auto"/>
        <w:rPr>
          <w:szCs w:val="24"/>
        </w:rPr>
      </w:pPr>
    </w:p>
    <w:p w14:paraId="49748D1A" w14:textId="20956A2D" w:rsidR="006473AD" w:rsidRPr="003673FA" w:rsidRDefault="006473AD" w:rsidP="006473AD">
      <w:pPr>
        <w:pStyle w:val="Heading4"/>
      </w:pPr>
      <w:bookmarkStart w:id="57" w:name="Figure17"/>
      <w:bookmarkEnd w:id="57"/>
      <w:r w:rsidRPr="003673FA">
        <w:lastRenderedPageBreak/>
        <w:t xml:space="preserve">Figure </w:t>
      </w:r>
      <w:r w:rsidR="00EB37C2" w:rsidRPr="003673FA">
        <w:t>17</w:t>
      </w:r>
      <w:r w:rsidRPr="003673FA">
        <w:t>: PIs (involved prior) – impact of the continuous process on changing the way in which collaborations are initiated and managed</w:t>
      </w:r>
    </w:p>
    <w:p w14:paraId="1755F30B" w14:textId="3C9D25BC" w:rsidR="006473AD" w:rsidRPr="003673FA" w:rsidRDefault="005037A2" w:rsidP="006473AD">
      <w:pPr>
        <w:spacing w:line="259" w:lineRule="auto"/>
        <w:rPr>
          <w:szCs w:val="24"/>
        </w:rPr>
      </w:pPr>
      <w:r w:rsidRPr="003673FA">
        <w:rPr>
          <w:noProof/>
          <w:szCs w:val="24"/>
          <w:lang w:eastAsia="en-AU"/>
        </w:rPr>
        <w:drawing>
          <wp:inline distT="0" distB="0" distL="0" distR="0" wp14:anchorId="72895EDD" wp14:editId="787EA5C8">
            <wp:extent cx="4547870" cy="1146175"/>
            <wp:effectExtent l="0" t="0" r="5080" b="0"/>
            <wp:docPr id="63" name="Picture 63" descr="Figure 17 depicts the responses of PIs (involved prior) regarding the impact of the coninuous process on changing the way in which collaborations are initiated and managed." title="Figure 17: PIs (involved prior) – impact of the continuous process on changing the way in which collaborations are initiated and manag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47870" cy="1146175"/>
                    </a:xfrm>
                    <a:prstGeom prst="rect">
                      <a:avLst/>
                    </a:prstGeom>
                    <a:noFill/>
                  </pic:spPr>
                </pic:pic>
              </a:graphicData>
            </a:graphic>
          </wp:inline>
        </w:drawing>
      </w:r>
    </w:p>
    <w:p w14:paraId="5759A33E" w14:textId="545EB422" w:rsidR="006473AD" w:rsidRPr="003673FA" w:rsidRDefault="006473AD" w:rsidP="006473AD">
      <w:pPr>
        <w:spacing w:line="259" w:lineRule="auto"/>
        <w:rPr>
          <w:szCs w:val="24"/>
        </w:rPr>
      </w:pPr>
      <w:r w:rsidRPr="003673FA">
        <w:rPr>
          <w:sz w:val="20"/>
          <w:szCs w:val="20"/>
        </w:rPr>
        <w:t xml:space="preserve">Source: ACIL Allen Consulting. </w:t>
      </w:r>
      <w:r w:rsidRPr="003673FA">
        <w:rPr>
          <w:i/>
          <w:sz w:val="20"/>
          <w:szCs w:val="20"/>
        </w:rPr>
        <w:t xml:space="preserve">Note: </w:t>
      </w:r>
      <w:r w:rsidR="000F2030" w:rsidRPr="003673FA">
        <w:rPr>
          <w:i/>
          <w:sz w:val="20"/>
          <w:szCs w:val="20"/>
        </w:rPr>
        <w:t>n=54</w:t>
      </w:r>
      <w:r w:rsidRPr="003673FA">
        <w:rPr>
          <w:i/>
          <w:sz w:val="20"/>
          <w:szCs w:val="20"/>
        </w:rPr>
        <w:t xml:space="preserve"> </w:t>
      </w:r>
      <w:r w:rsidR="00B6057D" w:rsidRPr="003673FA">
        <w:rPr>
          <w:i/>
          <w:sz w:val="20"/>
          <w:szCs w:val="20"/>
        </w:rPr>
        <w:t>PIs</w:t>
      </w:r>
      <w:r w:rsidRPr="003673FA">
        <w:rPr>
          <w:i/>
          <w:sz w:val="20"/>
          <w:szCs w:val="20"/>
        </w:rPr>
        <w:t xml:space="preserve"> who had been involved prior to </w:t>
      </w:r>
      <w:r w:rsidR="00840D31" w:rsidRPr="003673FA">
        <w:rPr>
          <w:i/>
          <w:sz w:val="20"/>
          <w:szCs w:val="20"/>
        </w:rPr>
        <w:t>the</w:t>
      </w:r>
      <w:r w:rsidRPr="003673FA">
        <w:rPr>
          <w:i/>
          <w:sz w:val="20"/>
          <w:szCs w:val="20"/>
        </w:rPr>
        <w:t xml:space="preserve"> continuous process.</w:t>
      </w:r>
    </w:p>
    <w:p w14:paraId="16420583" w14:textId="4A39CD89" w:rsidR="006473AD" w:rsidRPr="003673FA" w:rsidRDefault="006473AD" w:rsidP="0092757A">
      <w:pPr>
        <w:spacing w:line="259" w:lineRule="auto"/>
        <w:rPr>
          <w:szCs w:val="24"/>
        </w:rPr>
      </w:pPr>
    </w:p>
    <w:p w14:paraId="3925C5AC" w14:textId="1F736FB8" w:rsidR="00B6057D" w:rsidRPr="003673FA" w:rsidRDefault="00F66EB9" w:rsidP="0092757A">
      <w:pPr>
        <w:spacing w:line="259" w:lineRule="auto"/>
        <w:rPr>
          <w:szCs w:val="24"/>
        </w:rPr>
      </w:pPr>
      <w:r w:rsidRPr="003673FA">
        <w:rPr>
          <w:szCs w:val="24"/>
        </w:rPr>
        <w:t xml:space="preserve">The perceptions of CIs and PIs shown in </w:t>
      </w:r>
      <w:r w:rsidR="00B6057D" w:rsidRPr="003673FA">
        <w:rPr>
          <w:szCs w:val="24"/>
        </w:rPr>
        <w:t xml:space="preserve">Figures </w:t>
      </w:r>
      <w:hyperlink w:anchor="Figure18" w:history="1">
        <w:r w:rsidR="00EB37C2" w:rsidRPr="00D86564">
          <w:rPr>
            <w:rStyle w:val="Hyperlink"/>
            <w:szCs w:val="24"/>
          </w:rPr>
          <w:t>18</w:t>
        </w:r>
      </w:hyperlink>
      <w:r w:rsidR="00B6057D" w:rsidRPr="003673FA">
        <w:rPr>
          <w:szCs w:val="24"/>
        </w:rPr>
        <w:t xml:space="preserve"> and </w:t>
      </w:r>
      <w:hyperlink w:anchor="Figure19" w:history="1">
        <w:r w:rsidR="00EB37C2" w:rsidRPr="00D86564">
          <w:rPr>
            <w:rStyle w:val="Hyperlink"/>
            <w:szCs w:val="24"/>
          </w:rPr>
          <w:t>19</w:t>
        </w:r>
      </w:hyperlink>
      <w:r w:rsidR="00B6057D" w:rsidRPr="003673FA">
        <w:rPr>
          <w:szCs w:val="24"/>
        </w:rPr>
        <w:t xml:space="preserve"> give an indication of </w:t>
      </w:r>
      <w:r w:rsidRPr="003673FA">
        <w:rPr>
          <w:szCs w:val="24"/>
        </w:rPr>
        <w:t>how the initiation of Linkage Projects applications may have changed</w:t>
      </w:r>
      <w:r w:rsidR="00B6057D" w:rsidRPr="003673FA">
        <w:rPr>
          <w:szCs w:val="24"/>
        </w:rPr>
        <w:t xml:space="preserve">. </w:t>
      </w:r>
      <w:r w:rsidR="009E5500" w:rsidRPr="003673FA">
        <w:rPr>
          <w:szCs w:val="24"/>
        </w:rPr>
        <w:t xml:space="preserve">Each group was asked, ‘On average, how were your Linkage Projects application/s initiated?’ and given a set of response options. </w:t>
      </w:r>
      <w:r w:rsidR="00B6057D" w:rsidRPr="003673FA">
        <w:rPr>
          <w:szCs w:val="24"/>
        </w:rPr>
        <w:t xml:space="preserve">CIs were most likely to report developing applications </w:t>
      </w:r>
      <w:r w:rsidR="009E5500" w:rsidRPr="003673FA">
        <w:rPr>
          <w:szCs w:val="24"/>
        </w:rPr>
        <w:t xml:space="preserve">from </w:t>
      </w:r>
      <w:r w:rsidR="00B6057D" w:rsidRPr="003673FA">
        <w:rPr>
          <w:szCs w:val="24"/>
        </w:rPr>
        <w:t>existing collaboration</w:t>
      </w:r>
      <w:r w:rsidR="00F97D6C" w:rsidRPr="003673FA">
        <w:rPr>
          <w:szCs w:val="24"/>
        </w:rPr>
        <w:t xml:space="preserve">. </w:t>
      </w:r>
      <w:r w:rsidR="00C06210" w:rsidRPr="003673FA">
        <w:rPr>
          <w:szCs w:val="24"/>
        </w:rPr>
        <w:t>T</w:t>
      </w:r>
      <w:r w:rsidR="00B6057D" w:rsidRPr="003673FA">
        <w:rPr>
          <w:szCs w:val="24"/>
        </w:rPr>
        <w:t xml:space="preserve">hose who </w:t>
      </w:r>
      <w:r w:rsidRPr="003673FA">
        <w:rPr>
          <w:szCs w:val="24"/>
        </w:rPr>
        <w:t xml:space="preserve">had only </w:t>
      </w:r>
      <w:r w:rsidR="00B6057D" w:rsidRPr="003673FA">
        <w:rPr>
          <w:szCs w:val="24"/>
        </w:rPr>
        <w:t xml:space="preserve">been involved </w:t>
      </w:r>
      <w:r w:rsidRPr="003673FA">
        <w:rPr>
          <w:szCs w:val="24"/>
        </w:rPr>
        <w:t>after the introduction of the</w:t>
      </w:r>
      <w:r w:rsidR="00B6057D" w:rsidRPr="003673FA">
        <w:rPr>
          <w:szCs w:val="24"/>
        </w:rPr>
        <w:t xml:space="preserve"> continuous process were </w:t>
      </w:r>
      <w:r w:rsidR="009E5500" w:rsidRPr="003673FA">
        <w:rPr>
          <w:szCs w:val="24"/>
        </w:rPr>
        <w:t>less</w:t>
      </w:r>
      <w:r w:rsidR="00B6057D" w:rsidRPr="003673FA">
        <w:rPr>
          <w:szCs w:val="24"/>
        </w:rPr>
        <w:t xml:space="preserve"> likely to report approaching a business</w:t>
      </w:r>
      <w:r w:rsidRPr="003673FA">
        <w:rPr>
          <w:szCs w:val="24"/>
        </w:rPr>
        <w:t xml:space="preserve"> than those who had also been involved before its introduction</w:t>
      </w:r>
      <w:r w:rsidR="00B6057D" w:rsidRPr="003673FA">
        <w:rPr>
          <w:szCs w:val="24"/>
        </w:rPr>
        <w:t>.</w:t>
      </w:r>
      <w:r w:rsidR="00A42E62" w:rsidRPr="003673FA">
        <w:rPr>
          <w:szCs w:val="24"/>
        </w:rPr>
        <w:t xml:space="preserve"> </w:t>
      </w:r>
      <w:r w:rsidR="00CA3C3F" w:rsidRPr="003673FA">
        <w:rPr>
          <w:szCs w:val="24"/>
        </w:rPr>
        <w:t>Thi</w:t>
      </w:r>
      <w:r w:rsidR="00A42E62" w:rsidRPr="003673FA">
        <w:rPr>
          <w:szCs w:val="24"/>
        </w:rPr>
        <w:t>s</w:t>
      </w:r>
      <w:r w:rsidR="00F97D6C" w:rsidRPr="003673FA">
        <w:rPr>
          <w:szCs w:val="24"/>
        </w:rPr>
        <w:t xml:space="preserve"> </w:t>
      </w:r>
      <w:r w:rsidR="009E5500" w:rsidRPr="003673FA">
        <w:rPr>
          <w:szCs w:val="24"/>
        </w:rPr>
        <w:t xml:space="preserve">may </w:t>
      </w:r>
      <w:r w:rsidR="00C06210" w:rsidRPr="003673FA">
        <w:rPr>
          <w:szCs w:val="24"/>
        </w:rPr>
        <w:t>bolster</w:t>
      </w:r>
      <w:r w:rsidR="009E5500" w:rsidRPr="003673FA">
        <w:rPr>
          <w:szCs w:val="24"/>
        </w:rPr>
        <w:t xml:space="preserve"> the finding that the continuous </w:t>
      </w:r>
      <w:r w:rsidR="00F91A18" w:rsidRPr="003673FA">
        <w:rPr>
          <w:szCs w:val="24"/>
        </w:rPr>
        <w:t xml:space="preserve">process </w:t>
      </w:r>
      <w:r w:rsidR="008D5EF7" w:rsidRPr="003673FA">
        <w:rPr>
          <w:szCs w:val="24"/>
        </w:rPr>
        <w:t>may not be facilitating</w:t>
      </w:r>
      <w:r w:rsidR="00F91A18" w:rsidRPr="003673FA">
        <w:rPr>
          <w:szCs w:val="24"/>
        </w:rPr>
        <w:t xml:space="preserve"> </w:t>
      </w:r>
      <w:r w:rsidR="00CA3C3F" w:rsidRPr="003673FA">
        <w:rPr>
          <w:szCs w:val="24"/>
        </w:rPr>
        <w:t>business and industry organisation</w:t>
      </w:r>
      <w:r w:rsidR="00F91A18" w:rsidRPr="003673FA">
        <w:rPr>
          <w:szCs w:val="24"/>
        </w:rPr>
        <w:t xml:space="preserve"> participation</w:t>
      </w:r>
      <w:r w:rsidR="00F97D6C" w:rsidRPr="003673FA">
        <w:rPr>
          <w:szCs w:val="24"/>
        </w:rPr>
        <w:t xml:space="preserve"> </w:t>
      </w:r>
      <w:r w:rsidR="008D5EF7" w:rsidRPr="003673FA">
        <w:rPr>
          <w:szCs w:val="24"/>
        </w:rPr>
        <w:t>as intended by</w:t>
      </w:r>
      <w:r w:rsidR="00F91A18" w:rsidRPr="003673FA">
        <w:rPr>
          <w:szCs w:val="24"/>
        </w:rPr>
        <w:t xml:space="preserve"> NISA and the Watt Review.</w:t>
      </w:r>
    </w:p>
    <w:p w14:paraId="64035878" w14:textId="77777777" w:rsidR="00A01C13" w:rsidRPr="003673FA" w:rsidRDefault="00A01C13" w:rsidP="0092757A">
      <w:pPr>
        <w:spacing w:line="259" w:lineRule="auto"/>
        <w:rPr>
          <w:szCs w:val="24"/>
        </w:rPr>
      </w:pPr>
    </w:p>
    <w:p w14:paraId="24630F71" w14:textId="00A2D913" w:rsidR="00A01C13" w:rsidRPr="003673FA" w:rsidRDefault="00A01C13" w:rsidP="00A01C13">
      <w:pPr>
        <w:pStyle w:val="Heading4"/>
      </w:pPr>
      <w:bookmarkStart w:id="58" w:name="Figure18"/>
      <w:bookmarkEnd w:id="58"/>
      <w:r w:rsidRPr="003673FA">
        <w:t>Figure</w:t>
      </w:r>
      <w:r w:rsidR="00EB37C2" w:rsidRPr="003673FA">
        <w:t xml:space="preserve"> 18</w:t>
      </w:r>
      <w:r w:rsidRPr="003673FA">
        <w:t>: CI reporting on initiation of Linkage Projects applications</w:t>
      </w:r>
    </w:p>
    <w:p w14:paraId="109DE09B" w14:textId="52B1443A" w:rsidR="00C079FD" w:rsidRPr="003673FA" w:rsidRDefault="005037A2" w:rsidP="0092757A">
      <w:pPr>
        <w:spacing w:line="259" w:lineRule="auto"/>
        <w:rPr>
          <w:szCs w:val="24"/>
        </w:rPr>
      </w:pPr>
      <w:r w:rsidRPr="003673FA">
        <w:rPr>
          <w:noProof/>
          <w:szCs w:val="24"/>
          <w:lang w:eastAsia="en-AU"/>
        </w:rPr>
        <w:drawing>
          <wp:inline distT="0" distB="0" distL="0" distR="0" wp14:anchorId="1627E081" wp14:editId="507AA907">
            <wp:extent cx="5755005" cy="1914525"/>
            <wp:effectExtent l="0" t="0" r="0" b="9525"/>
            <wp:docPr id="192" name="Picture 192" descr="Figure 18 depicts the responses of CIs involved prior and CIs not involved prior regarding the way Linkage Projects applications have been initiatiated." title="Figure 18: CI reporting on initiation of Linkage Projects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5005" cy="1914525"/>
                    </a:xfrm>
                    <a:prstGeom prst="rect">
                      <a:avLst/>
                    </a:prstGeom>
                    <a:noFill/>
                  </pic:spPr>
                </pic:pic>
              </a:graphicData>
            </a:graphic>
          </wp:inline>
        </w:drawing>
      </w:r>
    </w:p>
    <w:p w14:paraId="1992A476" w14:textId="75928360" w:rsidR="00C079FD" w:rsidRPr="003673FA" w:rsidRDefault="00C079FD" w:rsidP="0092757A">
      <w:pPr>
        <w:spacing w:line="259" w:lineRule="auto"/>
        <w:rPr>
          <w:sz w:val="20"/>
          <w:szCs w:val="20"/>
        </w:rPr>
      </w:pPr>
      <w:r w:rsidRPr="003673FA">
        <w:rPr>
          <w:sz w:val="20"/>
          <w:szCs w:val="20"/>
        </w:rPr>
        <w:t>Source: ACIL Allen Consulting</w:t>
      </w:r>
      <w:r w:rsidR="006557F6" w:rsidRPr="003673FA">
        <w:rPr>
          <w:sz w:val="20"/>
          <w:szCs w:val="20"/>
        </w:rPr>
        <w:t>.</w:t>
      </w:r>
      <w:r w:rsidR="000F2030" w:rsidRPr="003673FA">
        <w:rPr>
          <w:sz w:val="20"/>
          <w:szCs w:val="20"/>
        </w:rPr>
        <w:t xml:space="preserve"> </w:t>
      </w:r>
      <w:r w:rsidR="000F2030" w:rsidRPr="003673FA">
        <w:rPr>
          <w:i/>
          <w:sz w:val="20"/>
          <w:szCs w:val="20"/>
        </w:rPr>
        <w:t>Note: n=</w:t>
      </w:r>
      <w:r w:rsidR="00ED6D86" w:rsidRPr="003673FA">
        <w:rPr>
          <w:i/>
          <w:sz w:val="20"/>
          <w:szCs w:val="20"/>
        </w:rPr>
        <w:t>184 CIs who had been involved prior to the continuous process and n=108 CIs who had not.</w:t>
      </w:r>
    </w:p>
    <w:p w14:paraId="382B9971" w14:textId="15E77D67" w:rsidR="00C079FD" w:rsidRPr="003673FA" w:rsidRDefault="00C079FD" w:rsidP="0092757A">
      <w:pPr>
        <w:spacing w:line="259" w:lineRule="auto"/>
        <w:rPr>
          <w:szCs w:val="24"/>
        </w:rPr>
      </w:pPr>
    </w:p>
    <w:p w14:paraId="65E2EE90" w14:textId="3F470577" w:rsidR="00A01C13" w:rsidRPr="003673FA" w:rsidRDefault="00A01C13" w:rsidP="00A01C13">
      <w:pPr>
        <w:pStyle w:val="Heading4"/>
      </w:pPr>
      <w:bookmarkStart w:id="59" w:name="Figure19"/>
      <w:bookmarkEnd w:id="59"/>
      <w:r w:rsidRPr="003673FA">
        <w:t xml:space="preserve">Figure </w:t>
      </w:r>
      <w:r w:rsidR="00EB37C2" w:rsidRPr="003673FA">
        <w:t>19</w:t>
      </w:r>
      <w:r w:rsidRPr="003673FA">
        <w:t>: PI reporting on initiation of Linkage Projects applications</w:t>
      </w:r>
    </w:p>
    <w:p w14:paraId="50A9385F" w14:textId="623150EE" w:rsidR="00C079FD" w:rsidRPr="003673FA" w:rsidRDefault="005037A2" w:rsidP="0092757A">
      <w:pPr>
        <w:spacing w:line="259" w:lineRule="auto"/>
        <w:rPr>
          <w:szCs w:val="24"/>
        </w:rPr>
      </w:pPr>
      <w:r w:rsidRPr="003673FA">
        <w:rPr>
          <w:noProof/>
          <w:szCs w:val="24"/>
          <w:lang w:eastAsia="en-AU"/>
        </w:rPr>
        <w:drawing>
          <wp:inline distT="0" distB="0" distL="0" distR="0" wp14:anchorId="39C0072C" wp14:editId="3250761A">
            <wp:extent cx="5755005" cy="1889760"/>
            <wp:effectExtent l="0" t="0" r="0" b="0"/>
            <wp:docPr id="193" name="Picture 193" descr="Figure 19 depicts the responses of PIs involved prior and PIs not involved prior regarding the way Linkage Projects applications have been initiatiated." title="Figure 19: PI reporting on initiation of Linkage Projects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55005" cy="1889760"/>
                    </a:xfrm>
                    <a:prstGeom prst="rect">
                      <a:avLst/>
                    </a:prstGeom>
                    <a:noFill/>
                  </pic:spPr>
                </pic:pic>
              </a:graphicData>
            </a:graphic>
          </wp:inline>
        </w:drawing>
      </w:r>
    </w:p>
    <w:p w14:paraId="47C9F374" w14:textId="1DFE2D56" w:rsidR="00C079FD" w:rsidRPr="003673FA" w:rsidRDefault="00C079FD" w:rsidP="0092757A">
      <w:pPr>
        <w:spacing w:line="259" w:lineRule="auto"/>
        <w:rPr>
          <w:sz w:val="20"/>
          <w:szCs w:val="20"/>
        </w:rPr>
      </w:pPr>
      <w:r w:rsidRPr="003673FA">
        <w:rPr>
          <w:sz w:val="20"/>
          <w:szCs w:val="20"/>
        </w:rPr>
        <w:t>Source: ACIL Allen Consulting</w:t>
      </w:r>
      <w:r w:rsidR="006557F6" w:rsidRPr="003673FA">
        <w:rPr>
          <w:sz w:val="20"/>
          <w:szCs w:val="20"/>
        </w:rPr>
        <w:t>.</w:t>
      </w:r>
      <w:r w:rsidR="00ED6D86" w:rsidRPr="003673FA">
        <w:rPr>
          <w:sz w:val="20"/>
          <w:szCs w:val="20"/>
        </w:rPr>
        <w:t xml:space="preserve"> </w:t>
      </w:r>
      <w:r w:rsidR="00ED6D86" w:rsidRPr="003673FA">
        <w:rPr>
          <w:i/>
          <w:sz w:val="20"/>
          <w:szCs w:val="20"/>
        </w:rPr>
        <w:t>Note: n=54 PIs who had been involved prior to the continuous process and n=52 PIs who had not.</w:t>
      </w:r>
    </w:p>
    <w:p w14:paraId="235AFD51" w14:textId="2DB86ACB" w:rsidR="00C079FD" w:rsidRPr="003673FA" w:rsidRDefault="00C079FD" w:rsidP="0092757A">
      <w:pPr>
        <w:spacing w:line="259" w:lineRule="auto"/>
        <w:rPr>
          <w:szCs w:val="24"/>
        </w:rPr>
      </w:pPr>
    </w:p>
    <w:p w14:paraId="58E4014A" w14:textId="3D1767CD" w:rsidR="00D87873" w:rsidRPr="003673FA" w:rsidRDefault="00314F6D" w:rsidP="001F2218">
      <w:pPr>
        <w:spacing w:line="259" w:lineRule="auto"/>
        <w:rPr>
          <w:szCs w:val="24"/>
        </w:rPr>
      </w:pPr>
      <w:r w:rsidRPr="003673FA">
        <w:rPr>
          <w:szCs w:val="24"/>
        </w:rPr>
        <w:t xml:space="preserve">Among PIs involved prior to the continuous process, 52 per cent reported </w:t>
      </w:r>
      <w:r w:rsidR="00CD4C21" w:rsidRPr="003673FA">
        <w:rPr>
          <w:szCs w:val="24"/>
        </w:rPr>
        <w:t>applications developing</w:t>
      </w:r>
      <w:r w:rsidRPr="003673FA">
        <w:rPr>
          <w:szCs w:val="24"/>
        </w:rPr>
        <w:t xml:space="preserve"> from existing collaboration and 39 per cent reported </w:t>
      </w:r>
      <w:r w:rsidR="00CD4C21" w:rsidRPr="003673FA">
        <w:rPr>
          <w:szCs w:val="24"/>
        </w:rPr>
        <w:t>that they were</w:t>
      </w:r>
      <w:r w:rsidRPr="003673FA">
        <w:rPr>
          <w:szCs w:val="24"/>
        </w:rPr>
        <w:t xml:space="preserve"> approached by a university or researcher. For </w:t>
      </w:r>
      <w:r w:rsidR="009D2803" w:rsidRPr="003673FA">
        <w:rPr>
          <w:szCs w:val="24"/>
        </w:rPr>
        <w:t>PIs</w:t>
      </w:r>
      <w:r w:rsidRPr="003673FA">
        <w:rPr>
          <w:szCs w:val="24"/>
        </w:rPr>
        <w:t xml:space="preserve"> who were not involved prior to the continuous process, these figures were 29 per cent and 46 per cent, respectively</w:t>
      </w:r>
      <w:r w:rsidR="00CD4C21" w:rsidRPr="003673FA">
        <w:rPr>
          <w:szCs w:val="24"/>
        </w:rPr>
        <w:t xml:space="preserve">, and </w:t>
      </w:r>
      <w:r w:rsidR="008D5EF7" w:rsidRPr="003673FA">
        <w:rPr>
          <w:szCs w:val="24"/>
        </w:rPr>
        <w:t>this group was also</w:t>
      </w:r>
      <w:r w:rsidRPr="003673FA">
        <w:rPr>
          <w:szCs w:val="24"/>
        </w:rPr>
        <w:t xml:space="preserve"> more </w:t>
      </w:r>
      <w:r w:rsidRPr="003673FA">
        <w:rPr>
          <w:szCs w:val="24"/>
        </w:rPr>
        <w:lastRenderedPageBreak/>
        <w:t xml:space="preserve">likely to report that their organisation had approached a university or researcher. </w:t>
      </w:r>
      <w:r w:rsidR="00D87873" w:rsidRPr="003673FA">
        <w:rPr>
          <w:szCs w:val="24"/>
        </w:rPr>
        <w:t xml:space="preserve">These responses </w:t>
      </w:r>
      <w:r w:rsidR="009D2803" w:rsidRPr="003673FA">
        <w:rPr>
          <w:szCs w:val="24"/>
        </w:rPr>
        <w:t>appear to indicate</w:t>
      </w:r>
      <w:r w:rsidR="002F47A6" w:rsidRPr="003673FA">
        <w:rPr>
          <w:szCs w:val="24"/>
        </w:rPr>
        <w:t xml:space="preserve"> that</w:t>
      </w:r>
      <w:r w:rsidR="009D2803" w:rsidRPr="003673FA">
        <w:rPr>
          <w:szCs w:val="24"/>
        </w:rPr>
        <w:t xml:space="preserve"> </w:t>
      </w:r>
      <w:r w:rsidRPr="003673FA">
        <w:rPr>
          <w:szCs w:val="24"/>
        </w:rPr>
        <w:t xml:space="preserve">the continuous process </w:t>
      </w:r>
      <w:r w:rsidR="009D2803" w:rsidRPr="003673FA">
        <w:rPr>
          <w:szCs w:val="24"/>
        </w:rPr>
        <w:t>may provide increased encouragement for</w:t>
      </w:r>
      <w:r w:rsidRPr="003673FA">
        <w:rPr>
          <w:szCs w:val="24"/>
        </w:rPr>
        <w:t xml:space="preserve"> </w:t>
      </w:r>
      <w:r w:rsidR="009D2803" w:rsidRPr="003673FA">
        <w:rPr>
          <w:szCs w:val="24"/>
        </w:rPr>
        <w:t xml:space="preserve">partner organisations to enter </w:t>
      </w:r>
      <w:r w:rsidRPr="003673FA">
        <w:rPr>
          <w:szCs w:val="24"/>
        </w:rPr>
        <w:t>new collaborations and to seek out collaboration</w:t>
      </w:r>
      <w:r w:rsidR="00D87873" w:rsidRPr="003673FA">
        <w:rPr>
          <w:szCs w:val="24"/>
        </w:rPr>
        <w:t>.</w:t>
      </w:r>
    </w:p>
    <w:p w14:paraId="18AF963E" w14:textId="77777777" w:rsidR="00D87873" w:rsidRPr="003673FA" w:rsidRDefault="00D87873" w:rsidP="001F2218">
      <w:pPr>
        <w:spacing w:line="259" w:lineRule="auto"/>
        <w:rPr>
          <w:szCs w:val="24"/>
        </w:rPr>
      </w:pPr>
    </w:p>
    <w:p w14:paraId="181B0F43" w14:textId="36A32396" w:rsidR="001F2218" w:rsidRPr="003673FA" w:rsidRDefault="008D5EF7" w:rsidP="001F2218">
      <w:pPr>
        <w:spacing w:line="259" w:lineRule="auto"/>
        <w:rPr>
          <w:szCs w:val="24"/>
        </w:rPr>
      </w:pPr>
      <w:r w:rsidRPr="003673FA">
        <w:rPr>
          <w:szCs w:val="24"/>
        </w:rPr>
        <w:t xml:space="preserve">It is important to note that </w:t>
      </w:r>
      <w:r w:rsidR="00D87873" w:rsidRPr="003673FA">
        <w:rPr>
          <w:szCs w:val="24"/>
        </w:rPr>
        <w:t xml:space="preserve">the survey participants </w:t>
      </w:r>
      <w:r w:rsidR="00314F6D" w:rsidRPr="003673FA">
        <w:rPr>
          <w:szCs w:val="24"/>
        </w:rPr>
        <w:t xml:space="preserve">only </w:t>
      </w:r>
      <w:r w:rsidR="00D87873" w:rsidRPr="003673FA">
        <w:rPr>
          <w:szCs w:val="24"/>
        </w:rPr>
        <w:t xml:space="preserve">included </w:t>
      </w:r>
      <w:r w:rsidR="00314F6D" w:rsidRPr="003673FA">
        <w:rPr>
          <w:szCs w:val="24"/>
        </w:rPr>
        <w:t>CIs and PIs who have been successf</w:t>
      </w:r>
      <w:r w:rsidR="001B7DE2" w:rsidRPr="003673FA">
        <w:rPr>
          <w:szCs w:val="24"/>
        </w:rPr>
        <w:t>ul under the continuous process</w:t>
      </w:r>
      <w:r w:rsidRPr="003673FA">
        <w:rPr>
          <w:szCs w:val="24"/>
        </w:rPr>
        <w:t xml:space="preserve">. Thus, </w:t>
      </w:r>
      <w:r w:rsidR="00D87873" w:rsidRPr="003673FA">
        <w:rPr>
          <w:szCs w:val="24"/>
        </w:rPr>
        <w:t xml:space="preserve">these findings </w:t>
      </w:r>
      <w:r w:rsidR="00170596" w:rsidRPr="003673FA">
        <w:rPr>
          <w:szCs w:val="24"/>
        </w:rPr>
        <w:t>cannot</w:t>
      </w:r>
      <w:r w:rsidR="00554978" w:rsidRPr="003673FA">
        <w:rPr>
          <w:szCs w:val="24"/>
        </w:rPr>
        <w:t xml:space="preserve"> </w:t>
      </w:r>
      <w:r w:rsidRPr="003673FA">
        <w:rPr>
          <w:szCs w:val="24"/>
        </w:rPr>
        <w:t>support</w:t>
      </w:r>
      <w:r w:rsidR="009D2803" w:rsidRPr="003673FA">
        <w:rPr>
          <w:szCs w:val="24"/>
        </w:rPr>
        <w:t xml:space="preserve"> firm conclusions </w:t>
      </w:r>
      <w:r w:rsidRPr="003673FA">
        <w:rPr>
          <w:szCs w:val="24"/>
        </w:rPr>
        <w:t>about</w:t>
      </w:r>
      <w:r w:rsidR="00554978" w:rsidRPr="003673FA">
        <w:rPr>
          <w:szCs w:val="24"/>
        </w:rPr>
        <w:t xml:space="preserve"> the impact of the continuous process on </w:t>
      </w:r>
      <w:r w:rsidRPr="003673FA">
        <w:rPr>
          <w:szCs w:val="24"/>
        </w:rPr>
        <w:t>the initiation of research c</w:t>
      </w:r>
      <w:r w:rsidR="001B7DE2" w:rsidRPr="003673FA">
        <w:rPr>
          <w:szCs w:val="24"/>
        </w:rPr>
        <w:t xml:space="preserve">ollaboration </w:t>
      </w:r>
      <w:r w:rsidRPr="003673FA">
        <w:rPr>
          <w:szCs w:val="24"/>
        </w:rPr>
        <w:t>and the development of applications</w:t>
      </w:r>
      <w:r w:rsidR="001B7DE2" w:rsidRPr="003673FA">
        <w:rPr>
          <w:szCs w:val="24"/>
        </w:rPr>
        <w:t xml:space="preserve"> </w:t>
      </w:r>
      <w:r w:rsidR="001F2218" w:rsidRPr="003673FA">
        <w:rPr>
          <w:szCs w:val="24"/>
        </w:rPr>
        <w:t xml:space="preserve">across the scheme. </w:t>
      </w:r>
      <w:r w:rsidR="00170596" w:rsidRPr="003673FA">
        <w:rPr>
          <w:szCs w:val="24"/>
        </w:rPr>
        <w:t>Further</w:t>
      </w:r>
      <w:r w:rsidR="001F2218" w:rsidRPr="003673FA">
        <w:rPr>
          <w:szCs w:val="24"/>
        </w:rPr>
        <w:t xml:space="preserve"> </w:t>
      </w:r>
      <w:r w:rsidR="00170596" w:rsidRPr="003673FA">
        <w:rPr>
          <w:szCs w:val="24"/>
        </w:rPr>
        <w:t>survey</w:t>
      </w:r>
      <w:r w:rsidR="001F2218" w:rsidRPr="003673FA">
        <w:rPr>
          <w:szCs w:val="24"/>
        </w:rPr>
        <w:t xml:space="preserve"> research </w:t>
      </w:r>
      <w:r w:rsidR="00170596" w:rsidRPr="003673FA">
        <w:rPr>
          <w:szCs w:val="24"/>
        </w:rPr>
        <w:t xml:space="preserve">in future </w:t>
      </w:r>
      <w:r w:rsidR="001F2218" w:rsidRPr="003673FA">
        <w:rPr>
          <w:szCs w:val="24"/>
        </w:rPr>
        <w:t xml:space="preserve">may </w:t>
      </w:r>
      <w:r w:rsidR="00170596" w:rsidRPr="003673FA">
        <w:rPr>
          <w:szCs w:val="24"/>
        </w:rPr>
        <w:t>help to illuminate broader stakeholder perspectives on these issues</w:t>
      </w:r>
      <w:r w:rsidR="001F2218" w:rsidRPr="003673FA">
        <w:rPr>
          <w:szCs w:val="24"/>
        </w:rPr>
        <w:t>.</w:t>
      </w:r>
    </w:p>
    <w:p w14:paraId="52A985A9" w14:textId="4374A2FE" w:rsidR="00E3467D" w:rsidRPr="003673FA" w:rsidRDefault="00E3467D" w:rsidP="00314F6D">
      <w:pPr>
        <w:spacing w:line="259" w:lineRule="auto"/>
        <w:rPr>
          <w:szCs w:val="24"/>
        </w:rPr>
      </w:pPr>
    </w:p>
    <w:p w14:paraId="60C9C47D" w14:textId="720CCBB6" w:rsidR="00E3467D" w:rsidRPr="003673FA" w:rsidRDefault="00E3467D" w:rsidP="00314F6D">
      <w:pPr>
        <w:spacing w:line="259" w:lineRule="auto"/>
        <w:rPr>
          <w:szCs w:val="24"/>
        </w:rPr>
      </w:pPr>
      <w:r w:rsidRPr="003673FA">
        <w:rPr>
          <w:szCs w:val="24"/>
        </w:rPr>
        <w:t xml:space="preserve">In addition, university research office </w:t>
      </w:r>
      <w:r w:rsidR="00E577C6" w:rsidRPr="003673FA">
        <w:rPr>
          <w:szCs w:val="24"/>
        </w:rPr>
        <w:t>participant</w:t>
      </w:r>
      <w:r w:rsidRPr="003673FA">
        <w:rPr>
          <w:szCs w:val="24"/>
        </w:rPr>
        <w:t xml:space="preserve">s noted that the way collaboration is initiated varies between institutions, with some adopting university-wide policies, some specialising in research areas that are currently popular with industry, and some providing seed funding to develop collaborations as a stepping stone to Linkage Projects applications. They therefore found it difficult to </w:t>
      </w:r>
      <w:r w:rsidR="008D5EF7" w:rsidRPr="003673FA">
        <w:rPr>
          <w:szCs w:val="24"/>
        </w:rPr>
        <w:t>identify</w:t>
      </w:r>
      <w:r w:rsidRPr="003673FA">
        <w:rPr>
          <w:szCs w:val="24"/>
        </w:rPr>
        <w:t xml:space="preserve"> </w:t>
      </w:r>
      <w:r w:rsidR="008D5EF7" w:rsidRPr="003673FA">
        <w:rPr>
          <w:szCs w:val="24"/>
        </w:rPr>
        <w:t>causal links between the continuous process and changes in the initiation of collaboration</w:t>
      </w:r>
      <w:r w:rsidRPr="003673FA">
        <w:rPr>
          <w:szCs w:val="24"/>
        </w:rPr>
        <w:t>.</w:t>
      </w:r>
      <w:r w:rsidRPr="003673FA">
        <w:rPr>
          <w:rStyle w:val="FootnoteReference"/>
          <w:szCs w:val="24"/>
        </w:rPr>
        <w:footnoteReference w:id="25"/>
      </w:r>
    </w:p>
    <w:p w14:paraId="7EB20222" w14:textId="77777777" w:rsidR="00E3467D" w:rsidRPr="003673FA" w:rsidRDefault="00E3467D" w:rsidP="00314F6D">
      <w:pPr>
        <w:spacing w:line="259" w:lineRule="auto"/>
        <w:rPr>
          <w:szCs w:val="24"/>
        </w:rPr>
      </w:pPr>
    </w:p>
    <w:p w14:paraId="7CE19DDC" w14:textId="3E491623" w:rsidR="005D392C" w:rsidRPr="003673FA" w:rsidRDefault="00032B53" w:rsidP="00032B53">
      <w:pPr>
        <w:pStyle w:val="Heading3"/>
      </w:pPr>
      <w:r w:rsidRPr="003673FA">
        <w:t xml:space="preserve">Support for </w:t>
      </w:r>
      <w:r w:rsidR="00F52001" w:rsidRPr="003673FA">
        <w:t xml:space="preserve">research that responds to </w:t>
      </w:r>
      <w:r w:rsidRPr="003673FA">
        <w:t>t</w:t>
      </w:r>
      <w:r w:rsidR="005D392C" w:rsidRPr="003673FA">
        <w:t>ime cr</w:t>
      </w:r>
      <w:r w:rsidR="00A42E7B" w:rsidRPr="003673FA">
        <w:t>itical innovation opportunities</w:t>
      </w:r>
    </w:p>
    <w:p w14:paraId="4CBF6FA4" w14:textId="35FDE317" w:rsidR="00394BCE" w:rsidRPr="003673FA" w:rsidRDefault="00394BCE" w:rsidP="0092757A">
      <w:pPr>
        <w:spacing w:line="259" w:lineRule="auto"/>
        <w:rPr>
          <w:szCs w:val="24"/>
        </w:rPr>
      </w:pPr>
    </w:p>
    <w:p w14:paraId="67FDAA64" w14:textId="3DF1C142" w:rsidR="00763F4E" w:rsidRPr="003673FA" w:rsidRDefault="00763F4E" w:rsidP="0092757A">
      <w:pPr>
        <w:spacing w:line="259" w:lineRule="auto"/>
        <w:rPr>
          <w:szCs w:val="24"/>
        </w:rPr>
      </w:pPr>
      <w:r w:rsidRPr="003673FA">
        <w:rPr>
          <w:szCs w:val="24"/>
        </w:rPr>
        <w:t xml:space="preserve">The majority of all CI (81 per cent) and PI (59 per cent) </w:t>
      </w:r>
      <w:r w:rsidR="001E5687" w:rsidRPr="003673FA">
        <w:rPr>
          <w:szCs w:val="24"/>
        </w:rPr>
        <w:t xml:space="preserve">participants responded that </w:t>
      </w:r>
      <w:r w:rsidRPr="003673FA">
        <w:rPr>
          <w:szCs w:val="24"/>
        </w:rPr>
        <w:t xml:space="preserve">the continuous </w:t>
      </w:r>
      <w:r w:rsidR="00C312CF" w:rsidRPr="003673FA">
        <w:rPr>
          <w:szCs w:val="24"/>
        </w:rPr>
        <w:t xml:space="preserve">application </w:t>
      </w:r>
      <w:r w:rsidRPr="003673FA">
        <w:rPr>
          <w:szCs w:val="24"/>
        </w:rPr>
        <w:t xml:space="preserve">process </w:t>
      </w:r>
      <w:r w:rsidR="001E5687" w:rsidRPr="003673FA">
        <w:rPr>
          <w:szCs w:val="24"/>
        </w:rPr>
        <w:t>provided a</w:t>
      </w:r>
      <w:r w:rsidRPr="003673FA">
        <w:rPr>
          <w:szCs w:val="24"/>
        </w:rPr>
        <w:t xml:space="preserve"> sufficiently timely response to meet their needs, as shown in </w:t>
      </w:r>
      <w:hyperlink w:anchor="Figure20a" w:history="1">
        <w:r w:rsidRPr="00D86564">
          <w:rPr>
            <w:rStyle w:val="Hyperlink"/>
            <w:szCs w:val="24"/>
          </w:rPr>
          <w:t xml:space="preserve">Figure </w:t>
        </w:r>
        <w:r w:rsidR="00EB37C2" w:rsidRPr="00D86564">
          <w:rPr>
            <w:rStyle w:val="Hyperlink"/>
            <w:szCs w:val="24"/>
          </w:rPr>
          <w:t>20</w:t>
        </w:r>
        <w:r w:rsidR="00C355F0" w:rsidRPr="00D86564">
          <w:rPr>
            <w:rStyle w:val="Hyperlink"/>
            <w:szCs w:val="24"/>
          </w:rPr>
          <w:t>a</w:t>
        </w:r>
      </w:hyperlink>
      <w:r w:rsidRPr="003673FA">
        <w:rPr>
          <w:szCs w:val="24"/>
        </w:rPr>
        <w:t>.</w:t>
      </w:r>
      <w:r w:rsidR="00441FFD" w:rsidRPr="003673FA">
        <w:rPr>
          <w:szCs w:val="24"/>
        </w:rPr>
        <w:t xml:space="preserve"> While a larger proportion of CIs than PIs responded positively on this issue, those PIs that did respond positively were slightly more likely to see this as beneficial to their organisation than CIs</w:t>
      </w:r>
      <w:r w:rsidR="00EC4745" w:rsidRPr="003673FA">
        <w:rPr>
          <w:szCs w:val="24"/>
        </w:rPr>
        <w:t xml:space="preserve"> were</w:t>
      </w:r>
      <w:r w:rsidR="00441FFD" w:rsidRPr="003673FA">
        <w:rPr>
          <w:szCs w:val="24"/>
        </w:rPr>
        <w:t xml:space="preserve">, as shown in </w:t>
      </w:r>
      <w:hyperlink w:anchor="Figure20b" w:history="1">
        <w:r w:rsidR="00441FFD" w:rsidRPr="00D86564">
          <w:rPr>
            <w:rStyle w:val="Hyperlink"/>
            <w:szCs w:val="24"/>
          </w:rPr>
          <w:t xml:space="preserve">Figure </w:t>
        </w:r>
        <w:r w:rsidR="00EB37C2" w:rsidRPr="00D86564">
          <w:rPr>
            <w:rStyle w:val="Hyperlink"/>
            <w:szCs w:val="24"/>
          </w:rPr>
          <w:t>20</w:t>
        </w:r>
        <w:r w:rsidR="00441FFD" w:rsidRPr="00D86564">
          <w:rPr>
            <w:rStyle w:val="Hyperlink"/>
            <w:szCs w:val="24"/>
          </w:rPr>
          <w:t>b</w:t>
        </w:r>
      </w:hyperlink>
      <w:r w:rsidR="0024125F" w:rsidRPr="003673FA">
        <w:rPr>
          <w:szCs w:val="24"/>
        </w:rPr>
        <w:t>.</w:t>
      </w:r>
    </w:p>
    <w:p w14:paraId="32CDE89A" w14:textId="4655F126" w:rsidR="00763F4E" w:rsidRPr="003673FA" w:rsidRDefault="00763F4E" w:rsidP="0092757A">
      <w:pPr>
        <w:spacing w:line="259" w:lineRule="auto"/>
        <w:rPr>
          <w:szCs w:val="24"/>
        </w:rPr>
      </w:pPr>
    </w:p>
    <w:p w14:paraId="3301D96A" w14:textId="551F324E" w:rsidR="00394BCE" w:rsidRPr="003673FA" w:rsidRDefault="00EB37C2" w:rsidP="00763F4E">
      <w:pPr>
        <w:pStyle w:val="Heading4"/>
      </w:pPr>
      <w:bookmarkStart w:id="60" w:name="Figure20a"/>
      <w:bookmarkEnd w:id="60"/>
      <w:r w:rsidRPr="003673FA">
        <w:t>Figure 20</w:t>
      </w:r>
      <w:r w:rsidR="00C355F0" w:rsidRPr="003673FA">
        <w:t>a</w:t>
      </w:r>
      <w:r w:rsidR="00763F4E" w:rsidRPr="003673FA">
        <w:t>: CI and PI views on whether the continuous application process provides a sufficiently timely response to meet their needs</w:t>
      </w:r>
    </w:p>
    <w:p w14:paraId="088C9522" w14:textId="4FAEAA92" w:rsidR="00635F21" w:rsidRPr="003673FA" w:rsidRDefault="005037A2" w:rsidP="00635F21">
      <w:pPr>
        <w:spacing w:line="259" w:lineRule="auto"/>
        <w:rPr>
          <w:szCs w:val="24"/>
        </w:rPr>
      </w:pPr>
      <w:r w:rsidRPr="003673FA">
        <w:rPr>
          <w:noProof/>
          <w:szCs w:val="24"/>
          <w:lang w:eastAsia="en-AU"/>
        </w:rPr>
        <w:drawing>
          <wp:inline distT="0" distB="0" distL="0" distR="0" wp14:anchorId="74B505F7" wp14:editId="56147703">
            <wp:extent cx="4584700" cy="1365885"/>
            <wp:effectExtent l="0" t="0" r="6350" b="5715"/>
            <wp:docPr id="194" name="Picture 194" descr="Figure 20a depicts the responses of CIs and PIs on whether the continuous application process provides a sufficiently timely response to meet their needs." title="Figure 20a: CI and PI views on whether the continuous application process provides a sufficiently timely response to meet their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84700" cy="1365885"/>
                    </a:xfrm>
                    <a:prstGeom prst="rect">
                      <a:avLst/>
                    </a:prstGeom>
                    <a:noFill/>
                  </pic:spPr>
                </pic:pic>
              </a:graphicData>
            </a:graphic>
          </wp:inline>
        </w:drawing>
      </w:r>
    </w:p>
    <w:p w14:paraId="1441FA51" w14:textId="6D0F0FE9" w:rsidR="00635F21" w:rsidRPr="003673FA" w:rsidRDefault="00635F21" w:rsidP="00635F21">
      <w:pPr>
        <w:spacing w:line="259" w:lineRule="auto"/>
        <w:rPr>
          <w:sz w:val="20"/>
          <w:szCs w:val="20"/>
        </w:rPr>
      </w:pPr>
      <w:r w:rsidRPr="003673FA">
        <w:rPr>
          <w:sz w:val="20"/>
          <w:szCs w:val="20"/>
        </w:rPr>
        <w:t>Source: ACIL Allen Consulting.</w:t>
      </w:r>
      <w:r w:rsidR="00763F4E" w:rsidRPr="003673FA">
        <w:rPr>
          <w:sz w:val="20"/>
          <w:szCs w:val="20"/>
        </w:rPr>
        <w:t xml:space="preserve"> </w:t>
      </w:r>
      <w:r w:rsidR="00763F4E" w:rsidRPr="003673FA">
        <w:rPr>
          <w:i/>
          <w:sz w:val="20"/>
          <w:szCs w:val="20"/>
        </w:rPr>
        <w:t>Note: n=293 CIs and n=106 PIs.</w:t>
      </w:r>
    </w:p>
    <w:p w14:paraId="422CBB69" w14:textId="2EEDF34D" w:rsidR="00635F21" w:rsidRPr="003673FA" w:rsidRDefault="00635F21" w:rsidP="00635F21">
      <w:pPr>
        <w:spacing w:line="259" w:lineRule="auto"/>
        <w:rPr>
          <w:szCs w:val="24"/>
        </w:rPr>
      </w:pPr>
    </w:p>
    <w:p w14:paraId="748A34EE" w14:textId="484AC833" w:rsidR="00394BCE" w:rsidRPr="003673FA" w:rsidRDefault="00C355F0" w:rsidP="00C355F0">
      <w:pPr>
        <w:pStyle w:val="Heading4"/>
      </w:pPr>
      <w:bookmarkStart w:id="61" w:name="Figure20b"/>
      <w:bookmarkEnd w:id="61"/>
      <w:r w:rsidRPr="003673FA">
        <w:t xml:space="preserve">Figure </w:t>
      </w:r>
      <w:r w:rsidR="00EB37C2" w:rsidRPr="003673FA">
        <w:t>20</w:t>
      </w:r>
      <w:r w:rsidRPr="003673FA">
        <w:t xml:space="preserve">b: </w:t>
      </w:r>
      <w:r w:rsidR="00FF1A4A" w:rsidRPr="003673FA">
        <w:t>CI and PI views on how</w:t>
      </w:r>
      <w:r w:rsidRPr="003673FA">
        <w:t xml:space="preserve"> </w:t>
      </w:r>
      <w:r w:rsidR="00FF1A4A" w:rsidRPr="003673FA">
        <w:t>beneficial</w:t>
      </w:r>
      <w:r w:rsidRPr="003673FA">
        <w:t xml:space="preserve"> </w:t>
      </w:r>
      <w:r w:rsidR="00FF1A4A" w:rsidRPr="003673FA">
        <w:t>this has</w:t>
      </w:r>
      <w:r w:rsidRPr="003673FA">
        <w:t xml:space="preserve"> been to </w:t>
      </w:r>
      <w:r w:rsidR="00FF1A4A" w:rsidRPr="003673FA">
        <w:t>their university/organisation</w:t>
      </w:r>
    </w:p>
    <w:p w14:paraId="491E77A5" w14:textId="6F5B1821" w:rsidR="00635F21" w:rsidRPr="003673FA" w:rsidRDefault="005037A2" w:rsidP="00635F21">
      <w:pPr>
        <w:spacing w:line="259" w:lineRule="auto"/>
        <w:rPr>
          <w:szCs w:val="24"/>
        </w:rPr>
      </w:pPr>
      <w:r w:rsidRPr="003673FA">
        <w:rPr>
          <w:noProof/>
          <w:szCs w:val="24"/>
          <w:lang w:eastAsia="en-AU"/>
        </w:rPr>
        <w:drawing>
          <wp:inline distT="0" distB="0" distL="0" distR="0" wp14:anchorId="410B5865" wp14:editId="0A6D7DA4">
            <wp:extent cx="4584700" cy="1414145"/>
            <wp:effectExtent l="0" t="0" r="6350" b="0"/>
            <wp:docPr id="195" name="Picture 195" descr="For those who reported that the continuous application process provides a sufficiently timely response (as depicted in Figure 20a), Figure 20b depicts the views of CIs and PIs on how beneficial this has been to their university/organisation." title="Figure 20b: CI and PI views on how beneficial this has been to their university/organi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84700" cy="1414145"/>
                    </a:xfrm>
                    <a:prstGeom prst="rect">
                      <a:avLst/>
                    </a:prstGeom>
                    <a:noFill/>
                  </pic:spPr>
                </pic:pic>
              </a:graphicData>
            </a:graphic>
          </wp:inline>
        </w:drawing>
      </w:r>
    </w:p>
    <w:p w14:paraId="30E0E03D" w14:textId="2A4D23C7" w:rsidR="00635F21" w:rsidRPr="003673FA" w:rsidRDefault="00635F21" w:rsidP="00635F21">
      <w:pPr>
        <w:spacing w:line="259" w:lineRule="auto"/>
        <w:rPr>
          <w:sz w:val="20"/>
          <w:szCs w:val="20"/>
        </w:rPr>
      </w:pPr>
      <w:r w:rsidRPr="003673FA">
        <w:rPr>
          <w:sz w:val="20"/>
          <w:szCs w:val="20"/>
        </w:rPr>
        <w:t>Source: ACIL Allen Consulting.</w:t>
      </w:r>
      <w:r w:rsidR="00C355F0" w:rsidRPr="003673FA">
        <w:rPr>
          <w:sz w:val="20"/>
          <w:szCs w:val="20"/>
        </w:rPr>
        <w:t xml:space="preserve"> </w:t>
      </w:r>
      <w:r w:rsidR="00C355F0" w:rsidRPr="003673FA">
        <w:rPr>
          <w:i/>
          <w:sz w:val="20"/>
          <w:szCs w:val="20"/>
        </w:rPr>
        <w:t>Note: n=236 CIs and 63 PIs.</w:t>
      </w:r>
    </w:p>
    <w:p w14:paraId="7F8BA152" w14:textId="2AFF0711" w:rsidR="00893D88" w:rsidRPr="003673FA" w:rsidRDefault="00893D88" w:rsidP="0092757A">
      <w:pPr>
        <w:spacing w:line="259" w:lineRule="auto"/>
        <w:rPr>
          <w:szCs w:val="24"/>
        </w:rPr>
      </w:pPr>
    </w:p>
    <w:p w14:paraId="67B2A1B7" w14:textId="77777777" w:rsidR="00635F21" w:rsidRPr="003673FA" w:rsidRDefault="00635F21" w:rsidP="00635F21">
      <w:pPr>
        <w:pStyle w:val="Heading3"/>
      </w:pPr>
      <w:r w:rsidRPr="003673FA">
        <w:lastRenderedPageBreak/>
        <w:t>Responses to time critical innovation opportunities</w:t>
      </w:r>
    </w:p>
    <w:p w14:paraId="76F46BC7" w14:textId="13A46270" w:rsidR="00635F21" w:rsidRPr="003673FA" w:rsidRDefault="00635F21" w:rsidP="0092757A">
      <w:pPr>
        <w:spacing w:line="259" w:lineRule="auto"/>
        <w:rPr>
          <w:szCs w:val="24"/>
        </w:rPr>
      </w:pPr>
    </w:p>
    <w:p w14:paraId="24612095" w14:textId="293610E3" w:rsidR="00E32165" w:rsidRPr="003673FA" w:rsidRDefault="00E32165" w:rsidP="0092757A">
      <w:pPr>
        <w:spacing w:line="259" w:lineRule="auto"/>
        <w:rPr>
          <w:szCs w:val="24"/>
        </w:rPr>
      </w:pPr>
      <w:r w:rsidRPr="003673FA">
        <w:rPr>
          <w:szCs w:val="24"/>
        </w:rPr>
        <w:t>CI and PI survey results provide some positive indications that the continuous process</w:t>
      </w:r>
      <w:r w:rsidR="00CC10D3" w:rsidRPr="003673FA">
        <w:rPr>
          <w:szCs w:val="24"/>
        </w:rPr>
        <w:t xml:space="preserve"> may </w:t>
      </w:r>
      <w:r w:rsidR="00C312CF" w:rsidRPr="003673FA">
        <w:rPr>
          <w:szCs w:val="24"/>
        </w:rPr>
        <w:t>influence</w:t>
      </w:r>
      <w:r w:rsidR="00CC10D3" w:rsidRPr="003673FA">
        <w:rPr>
          <w:szCs w:val="24"/>
        </w:rPr>
        <w:t xml:space="preserve"> administering and partner organisations’ behaviour in response to innovation opportunities. For instance, </w:t>
      </w:r>
      <w:hyperlink w:anchor="Figure21" w:history="1">
        <w:r w:rsidR="00CC10D3" w:rsidRPr="00D86564">
          <w:rPr>
            <w:rStyle w:val="Hyperlink"/>
            <w:szCs w:val="24"/>
          </w:rPr>
          <w:t xml:space="preserve">Figure </w:t>
        </w:r>
        <w:r w:rsidR="00EB37C2" w:rsidRPr="00D86564">
          <w:rPr>
            <w:rStyle w:val="Hyperlink"/>
            <w:szCs w:val="24"/>
          </w:rPr>
          <w:t>21</w:t>
        </w:r>
      </w:hyperlink>
      <w:r w:rsidR="00CC10D3" w:rsidRPr="003673FA">
        <w:rPr>
          <w:szCs w:val="24"/>
        </w:rPr>
        <w:t xml:space="preserve"> shows that</w:t>
      </w:r>
      <w:r w:rsidR="00ED0253" w:rsidRPr="003673FA">
        <w:rPr>
          <w:szCs w:val="24"/>
        </w:rPr>
        <w:t xml:space="preserve"> the majority (</w:t>
      </w:r>
      <w:r w:rsidR="00F450A5" w:rsidRPr="003673FA">
        <w:rPr>
          <w:szCs w:val="24"/>
        </w:rPr>
        <w:t>56 per cent</w:t>
      </w:r>
      <w:r w:rsidR="00ED0253" w:rsidRPr="003673FA">
        <w:rPr>
          <w:szCs w:val="24"/>
        </w:rPr>
        <w:t>)</w:t>
      </w:r>
      <w:r w:rsidR="00F450A5" w:rsidRPr="003673FA">
        <w:rPr>
          <w:szCs w:val="24"/>
        </w:rPr>
        <w:t xml:space="preserve"> of CIs who had been involved prior to the continuous process reported forming collaborations in a </w:t>
      </w:r>
      <w:proofErr w:type="gramStart"/>
      <w:r w:rsidR="00F450A5" w:rsidRPr="003673FA">
        <w:rPr>
          <w:szCs w:val="24"/>
        </w:rPr>
        <w:t>more timely</w:t>
      </w:r>
      <w:proofErr w:type="gramEnd"/>
      <w:r w:rsidR="00F450A5" w:rsidRPr="003673FA">
        <w:rPr>
          <w:szCs w:val="24"/>
        </w:rPr>
        <w:t xml:space="preserve"> manner as </w:t>
      </w:r>
      <w:r w:rsidR="000D2F66" w:rsidRPr="003673FA">
        <w:rPr>
          <w:szCs w:val="24"/>
        </w:rPr>
        <w:t>a result of its implementation.</w:t>
      </w:r>
      <w:r w:rsidR="00557C5F" w:rsidRPr="003673FA">
        <w:rPr>
          <w:szCs w:val="24"/>
        </w:rPr>
        <w:t xml:space="preserve"> </w:t>
      </w:r>
    </w:p>
    <w:p w14:paraId="03C643A3" w14:textId="77777777" w:rsidR="000D2F66" w:rsidRPr="003673FA" w:rsidRDefault="000D2F66" w:rsidP="0092757A">
      <w:pPr>
        <w:spacing w:line="259" w:lineRule="auto"/>
        <w:rPr>
          <w:szCs w:val="24"/>
        </w:rPr>
      </w:pPr>
    </w:p>
    <w:p w14:paraId="443DF2D2" w14:textId="11F7B67E" w:rsidR="00394BCE" w:rsidRPr="003673FA" w:rsidRDefault="00394BCE" w:rsidP="00394BCE">
      <w:pPr>
        <w:pStyle w:val="Heading4"/>
      </w:pPr>
      <w:bookmarkStart w:id="62" w:name="Figure21"/>
      <w:bookmarkEnd w:id="62"/>
      <w:r w:rsidRPr="003673FA">
        <w:t xml:space="preserve">Figure </w:t>
      </w:r>
      <w:r w:rsidR="00EB37C2" w:rsidRPr="003673FA">
        <w:t>21</w:t>
      </w:r>
      <w:r w:rsidRPr="003673FA">
        <w:t>: CIs (involved prior) – forming collaborations in a more timely manner</w:t>
      </w:r>
      <w:r w:rsidR="00F450A5" w:rsidRPr="003673FA">
        <w:t xml:space="preserve"> as a result of the implementation of the continuous application process</w:t>
      </w:r>
    </w:p>
    <w:p w14:paraId="47205DF7" w14:textId="0391D1A7" w:rsidR="00394BCE" w:rsidRPr="003673FA" w:rsidRDefault="005037A2" w:rsidP="0092757A">
      <w:pPr>
        <w:spacing w:line="259" w:lineRule="auto"/>
        <w:rPr>
          <w:szCs w:val="24"/>
        </w:rPr>
      </w:pPr>
      <w:r w:rsidRPr="003673FA">
        <w:rPr>
          <w:noProof/>
          <w:szCs w:val="24"/>
          <w:lang w:eastAsia="en-AU"/>
        </w:rPr>
        <w:drawing>
          <wp:inline distT="0" distB="0" distL="0" distR="0" wp14:anchorId="7AFDF83B" wp14:editId="658E83B1">
            <wp:extent cx="4572635" cy="926465"/>
            <wp:effectExtent l="0" t="0" r="0" b="6985"/>
            <wp:docPr id="196" name="Picture 196" descr="Figure 21 depicts the responses of CIs (involved prior) whether they were forming collaborations in a more timely manner as a result of the implementation of  the continuous application process." title="Figure 21: CIs (involved prior) – forming collaborations in a more timely manner as a result of the implementation of the continuous applica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635" cy="926465"/>
                    </a:xfrm>
                    <a:prstGeom prst="rect">
                      <a:avLst/>
                    </a:prstGeom>
                    <a:noFill/>
                  </pic:spPr>
                </pic:pic>
              </a:graphicData>
            </a:graphic>
          </wp:inline>
        </w:drawing>
      </w:r>
    </w:p>
    <w:p w14:paraId="117180A2" w14:textId="33B9C0D8" w:rsidR="00394BCE" w:rsidRPr="003673FA" w:rsidRDefault="00CC10D3" w:rsidP="0092757A">
      <w:pPr>
        <w:spacing w:line="259" w:lineRule="auto"/>
        <w:rPr>
          <w:sz w:val="20"/>
          <w:szCs w:val="20"/>
        </w:rPr>
      </w:pPr>
      <w:r w:rsidRPr="003673FA">
        <w:rPr>
          <w:sz w:val="20"/>
          <w:szCs w:val="20"/>
        </w:rPr>
        <w:t xml:space="preserve">Source: ACIL Allen Consulting. </w:t>
      </w:r>
      <w:r w:rsidRPr="003673FA">
        <w:rPr>
          <w:i/>
          <w:sz w:val="20"/>
          <w:szCs w:val="20"/>
        </w:rPr>
        <w:t>Note: n=183 CIs</w:t>
      </w:r>
      <w:r w:rsidR="007337F4" w:rsidRPr="003673FA">
        <w:rPr>
          <w:i/>
          <w:sz w:val="20"/>
          <w:szCs w:val="20"/>
        </w:rPr>
        <w:t xml:space="preserve"> who had been</w:t>
      </w:r>
      <w:r w:rsidRPr="003673FA">
        <w:rPr>
          <w:i/>
          <w:sz w:val="20"/>
          <w:szCs w:val="20"/>
        </w:rPr>
        <w:t xml:space="preserve"> involved prior to the continuous process.</w:t>
      </w:r>
      <w:r w:rsidRPr="003673FA">
        <w:rPr>
          <w:sz w:val="20"/>
          <w:szCs w:val="20"/>
        </w:rPr>
        <w:t xml:space="preserve"> </w:t>
      </w:r>
    </w:p>
    <w:p w14:paraId="4D7DEEE8" w14:textId="449E2741" w:rsidR="00394BCE" w:rsidRPr="003673FA" w:rsidRDefault="00394BCE" w:rsidP="0092757A">
      <w:pPr>
        <w:spacing w:line="259" w:lineRule="auto"/>
        <w:rPr>
          <w:szCs w:val="24"/>
        </w:rPr>
      </w:pPr>
    </w:p>
    <w:p w14:paraId="0254CBE6" w14:textId="36AAD89F" w:rsidR="00F52001" w:rsidRPr="003673FA" w:rsidRDefault="00883017" w:rsidP="0092757A">
      <w:pPr>
        <w:spacing w:line="259" w:lineRule="auto"/>
        <w:rPr>
          <w:szCs w:val="24"/>
        </w:rPr>
      </w:pPr>
      <w:hyperlink w:anchor="Figure22" w:history="1">
        <w:r w:rsidR="00F52001" w:rsidRPr="00D86564">
          <w:rPr>
            <w:rStyle w:val="Hyperlink"/>
            <w:szCs w:val="24"/>
          </w:rPr>
          <w:t xml:space="preserve">Figure </w:t>
        </w:r>
        <w:r w:rsidR="00EB37C2" w:rsidRPr="00D86564">
          <w:rPr>
            <w:rStyle w:val="Hyperlink"/>
            <w:szCs w:val="24"/>
          </w:rPr>
          <w:t>22</w:t>
        </w:r>
      </w:hyperlink>
      <w:r w:rsidR="00F52001" w:rsidRPr="003673FA">
        <w:rPr>
          <w:szCs w:val="24"/>
        </w:rPr>
        <w:t xml:space="preserve"> shows that CIs and PIs who had been involved prior to the continuous process overwhelmingly perceived it to have a positive</w:t>
      </w:r>
      <w:r w:rsidR="006E6870" w:rsidRPr="003673FA">
        <w:rPr>
          <w:szCs w:val="24"/>
        </w:rPr>
        <w:t xml:space="preserve"> or slightly positive</w:t>
      </w:r>
      <w:r w:rsidR="00F52001" w:rsidRPr="003673FA">
        <w:rPr>
          <w:szCs w:val="24"/>
        </w:rPr>
        <w:t xml:space="preserve"> impact in facilitating greater respo</w:t>
      </w:r>
      <w:r w:rsidR="006E6870" w:rsidRPr="003673FA">
        <w:rPr>
          <w:szCs w:val="24"/>
        </w:rPr>
        <w:t xml:space="preserve">nsiveness to </w:t>
      </w:r>
      <w:r w:rsidR="00F52001" w:rsidRPr="003673FA">
        <w:rPr>
          <w:szCs w:val="24"/>
        </w:rPr>
        <w:t xml:space="preserve">innovation opportunities. </w:t>
      </w:r>
      <w:r w:rsidR="006E6870" w:rsidRPr="003673FA">
        <w:rPr>
          <w:szCs w:val="24"/>
        </w:rPr>
        <w:t>The perceptions of PIs in relation to facilitating</w:t>
      </w:r>
      <w:r w:rsidR="001766A3" w:rsidRPr="003673FA">
        <w:rPr>
          <w:szCs w:val="24"/>
        </w:rPr>
        <w:t xml:space="preserve"> greater</w:t>
      </w:r>
      <w:r w:rsidR="006E6870" w:rsidRPr="003673FA">
        <w:rPr>
          <w:szCs w:val="24"/>
        </w:rPr>
        <w:t xml:space="preserve"> responsiveness to time critical market opportunities were less positive, as shown in </w:t>
      </w:r>
      <w:hyperlink w:anchor="Figure23" w:history="1">
        <w:r w:rsidR="006E6870" w:rsidRPr="00D86564">
          <w:rPr>
            <w:rStyle w:val="Hyperlink"/>
            <w:szCs w:val="24"/>
          </w:rPr>
          <w:t xml:space="preserve">Figure </w:t>
        </w:r>
        <w:r w:rsidR="00EB37C2" w:rsidRPr="00D86564">
          <w:rPr>
            <w:rStyle w:val="Hyperlink"/>
            <w:szCs w:val="24"/>
          </w:rPr>
          <w:t>23</w:t>
        </w:r>
      </w:hyperlink>
      <w:r w:rsidR="006E6870" w:rsidRPr="003673FA">
        <w:rPr>
          <w:szCs w:val="24"/>
        </w:rPr>
        <w:t xml:space="preserve">, although </w:t>
      </w:r>
      <w:r w:rsidR="00B70E4C" w:rsidRPr="003673FA">
        <w:rPr>
          <w:szCs w:val="24"/>
        </w:rPr>
        <w:t>more than half (</w:t>
      </w:r>
      <w:r w:rsidR="006E6870" w:rsidRPr="003673FA">
        <w:rPr>
          <w:szCs w:val="24"/>
        </w:rPr>
        <w:t>58 per cent</w:t>
      </w:r>
      <w:r w:rsidR="00B70E4C" w:rsidRPr="003673FA">
        <w:rPr>
          <w:szCs w:val="24"/>
        </w:rPr>
        <w:t>)</w:t>
      </w:r>
      <w:r w:rsidR="006E6870" w:rsidRPr="003673FA">
        <w:rPr>
          <w:szCs w:val="24"/>
        </w:rPr>
        <w:t xml:space="preserve"> still considered the continuous process to have a positive or slightly positive impact.</w:t>
      </w:r>
      <w:r w:rsidR="00557C5F" w:rsidRPr="003673FA">
        <w:rPr>
          <w:szCs w:val="24"/>
        </w:rPr>
        <w:t xml:space="preserve"> </w:t>
      </w:r>
    </w:p>
    <w:p w14:paraId="67ADA226" w14:textId="77777777" w:rsidR="00F52001" w:rsidRPr="003673FA" w:rsidRDefault="00F52001" w:rsidP="0092757A">
      <w:pPr>
        <w:spacing w:line="259" w:lineRule="auto"/>
        <w:rPr>
          <w:szCs w:val="24"/>
        </w:rPr>
      </w:pPr>
    </w:p>
    <w:p w14:paraId="306D2B83" w14:textId="729E998F" w:rsidR="00F52001" w:rsidRPr="003673FA" w:rsidRDefault="00F52001" w:rsidP="00F52001">
      <w:pPr>
        <w:pStyle w:val="Heading4"/>
      </w:pPr>
      <w:bookmarkStart w:id="63" w:name="Figure22"/>
      <w:bookmarkEnd w:id="63"/>
      <w:r w:rsidRPr="003673FA">
        <w:t xml:space="preserve">Figure </w:t>
      </w:r>
      <w:r w:rsidR="00EB37C2" w:rsidRPr="003673FA">
        <w:t>22</w:t>
      </w:r>
      <w:r w:rsidRPr="003673FA">
        <w:t>: Impact of the continuous process in facilitating greater responsiveness to innovation opportunities</w:t>
      </w:r>
    </w:p>
    <w:p w14:paraId="4B42C2D0" w14:textId="5402233B" w:rsidR="00091133" w:rsidRPr="003673FA" w:rsidRDefault="005037A2" w:rsidP="0092757A">
      <w:pPr>
        <w:spacing w:line="259" w:lineRule="auto"/>
        <w:rPr>
          <w:szCs w:val="24"/>
        </w:rPr>
      </w:pPr>
      <w:r w:rsidRPr="003673FA">
        <w:rPr>
          <w:noProof/>
          <w:szCs w:val="24"/>
          <w:lang w:eastAsia="en-AU"/>
        </w:rPr>
        <w:drawing>
          <wp:inline distT="0" distB="0" distL="0" distR="0" wp14:anchorId="6CEC316B" wp14:editId="48D39D65">
            <wp:extent cx="4584700" cy="1505585"/>
            <wp:effectExtent l="0" t="0" r="6350" b="0"/>
            <wp:docPr id="197" name="Picture 197" descr="Figure 22 depicts the responses of CIs involved prior and PIs involved prior regarding the impact of the continuous process in facilitating greater resposniveness to innovation opportunities." title="Figure 22: Impact of the continuous process in facilitating greater responsiveness to innovation opport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584700" cy="1505585"/>
                    </a:xfrm>
                    <a:prstGeom prst="rect">
                      <a:avLst/>
                    </a:prstGeom>
                    <a:noFill/>
                  </pic:spPr>
                </pic:pic>
              </a:graphicData>
            </a:graphic>
          </wp:inline>
        </w:drawing>
      </w:r>
    </w:p>
    <w:p w14:paraId="5CD65EFA" w14:textId="4254258A" w:rsidR="0092757A" w:rsidRPr="003673FA" w:rsidRDefault="00CB24BD" w:rsidP="0092757A">
      <w:pPr>
        <w:spacing w:line="259" w:lineRule="auto"/>
        <w:rPr>
          <w:sz w:val="20"/>
          <w:szCs w:val="20"/>
        </w:rPr>
      </w:pPr>
      <w:r w:rsidRPr="003673FA">
        <w:rPr>
          <w:sz w:val="20"/>
          <w:szCs w:val="20"/>
        </w:rPr>
        <w:t>Source: ACIL Allen Consulting</w:t>
      </w:r>
      <w:r w:rsidR="00161DAA" w:rsidRPr="003673FA">
        <w:rPr>
          <w:sz w:val="20"/>
          <w:szCs w:val="20"/>
        </w:rPr>
        <w:t xml:space="preserve">. </w:t>
      </w:r>
      <w:r w:rsidR="00161DAA" w:rsidRPr="003673FA">
        <w:rPr>
          <w:i/>
          <w:sz w:val="20"/>
          <w:szCs w:val="20"/>
        </w:rPr>
        <w:t>Note</w:t>
      </w:r>
      <w:r w:rsidR="003B75FC" w:rsidRPr="003673FA">
        <w:rPr>
          <w:i/>
          <w:sz w:val="20"/>
          <w:szCs w:val="20"/>
        </w:rPr>
        <w:t xml:space="preserve">: </w:t>
      </w:r>
      <w:r w:rsidR="00F52001" w:rsidRPr="003673FA">
        <w:rPr>
          <w:i/>
          <w:sz w:val="20"/>
          <w:szCs w:val="20"/>
        </w:rPr>
        <w:t>n=182 CIs and n=53 PIs</w:t>
      </w:r>
      <w:r w:rsidR="00161DAA" w:rsidRPr="003673FA">
        <w:rPr>
          <w:i/>
          <w:sz w:val="20"/>
          <w:szCs w:val="20"/>
        </w:rPr>
        <w:t xml:space="preserve"> </w:t>
      </w:r>
      <w:r w:rsidR="003B75FC" w:rsidRPr="003673FA">
        <w:rPr>
          <w:i/>
          <w:sz w:val="20"/>
          <w:szCs w:val="20"/>
        </w:rPr>
        <w:t>who had been involved prior to</w:t>
      </w:r>
      <w:r w:rsidR="00161DAA" w:rsidRPr="003673FA">
        <w:rPr>
          <w:i/>
          <w:sz w:val="20"/>
          <w:szCs w:val="20"/>
        </w:rPr>
        <w:t xml:space="preserve"> the</w:t>
      </w:r>
      <w:r w:rsidR="003B75FC" w:rsidRPr="003673FA">
        <w:rPr>
          <w:i/>
          <w:sz w:val="20"/>
          <w:szCs w:val="20"/>
        </w:rPr>
        <w:t xml:space="preserve"> continuous process.</w:t>
      </w:r>
    </w:p>
    <w:p w14:paraId="7DBF7235" w14:textId="3922CDC7" w:rsidR="003B75FC" w:rsidRPr="003673FA" w:rsidRDefault="003B75FC" w:rsidP="0092757A">
      <w:pPr>
        <w:spacing w:line="259" w:lineRule="auto"/>
        <w:rPr>
          <w:szCs w:val="24"/>
        </w:rPr>
      </w:pPr>
    </w:p>
    <w:p w14:paraId="073D267C" w14:textId="41118854" w:rsidR="003B75FC" w:rsidRPr="003673FA" w:rsidRDefault="006E6870" w:rsidP="006E6870">
      <w:pPr>
        <w:pStyle w:val="Heading4"/>
      </w:pPr>
      <w:bookmarkStart w:id="64" w:name="Figure23"/>
      <w:bookmarkEnd w:id="64"/>
      <w:r w:rsidRPr="003673FA">
        <w:t xml:space="preserve">Figure </w:t>
      </w:r>
      <w:r w:rsidR="00EB37C2" w:rsidRPr="003673FA">
        <w:t>23</w:t>
      </w:r>
      <w:r w:rsidRPr="003673FA">
        <w:t>: PIs (involved prior) – impact of the continuous process in facilitating greater responsiveness to time critical market opportunities</w:t>
      </w:r>
    </w:p>
    <w:p w14:paraId="164F2B9D" w14:textId="5D313D4C" w:rsidR="00CB24BD" w:rsidRPr="003673FA" w:rsidRDefault="005037A2" w:rsidP="0092757A">
      <w:pPr>
        <w:spacing w:line="259" w:lineRule="auto"/>
        <w:rPr>
          <w:szCs w:val="24"/>
        </w:rPr>
      </w:pPr>
      <w:r w:rsidRPr="003673FA">
        <w:rPr>
          <w:noProof/>
          <w:szCs w:val="24"/>
          <w:lang w:eastAsia="en-AU"/>
        </w:rPr>
        <w:drawing>
          <wp:inline distT="0" distB="0" distL="0" distR="0" wp14:anchorId="62AF9CDE" wp14:editId="121ED031">
            <wp:extent cx="4584700" cy="1030605"/>
            <wp:effectExtent l="0" t="0" r="6350" b="0"/>
            <wp:docPr id="198" name="Picture 198" descr="Figure 23 depicts the responses of (PIs involved prior) regarding the impact of the continuous process in facilitating greater responsiveness to time critical market opportunities." title="Figure 23: PIs (involved prior) – impact of the continuous process in facilitating greater responsiveness to time critical market opportun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584700" cy="1030605"/>
                    </a:xfrm>
                    <a:prstGeom prst="rect">
                      <a:avLst/>
                    </a:prstGeom>
                    <a:noFill/>
                  </pic:spPr>
                </pic:pic>
              </a:graphicData>
            </a:graphic>
          </wp:inline>
        </w:drawing>
      </w:r>
    </w:p>
    <w:p w14:paraId="4B36336A" w14:textId="700E8073" w:rsidR="00CB24BD" w:rsidRPr="003673FA" w:rsidRDefault="00CB24BD" w:rsidP="00CB24BD">
      <w:pPr>
        <w:spacing w:line="259" w:lineRule="auto"/>
        <w:rPr>
          <w:sz w:val="20"/>
          <w:szCs w:val="20"/>
        </w:rPr>
      </w:pPr>
      <w:r w:rsidRPr="003673FA">
        <w:rPr>
          <w:sz w:val="20"/>
          <w:szCs w:val="20"/>
        </w:rPr>
        <w:t>Source: ACIL Allen Consulting</w:t>
      </w:r>
      <w:r w:rsidR="00161DAA" w:rsidRPr="003673FA">
        <w:rPr>
          <w:sz w:val="20"/>
          <w:szCs w:val="20"/>
        </w:rPr>
        <w:t xml:space="preserve">. </w:t>
      </w:r>
      <w:r w:rsidR="00161DAA" w:rsidRPr="003673FA">
        <w:rPr>
          <w:i/>
          <w:sz w:val="20"/>
          <w:szCs w:val="20"/>
        </w:rPr>
        <w:t xml:space="preserve">Note: </w:t>
      </w:r>
      <w:r w:rsidR="006E6870" w:rsidRPr="003673FA">
        <w:rPr>
          <w:i/>
          <w:sz w:val="20"/>
          <w:szCs w:val="20"/>
        </w:rPr>
        <w:t xml:space="preserve">n=53 PIs </w:t>
      </w:r>
      <w:r w:rsidR="00161DAA" w:rsidRPr="003673FA">
        <w:rPr>
          <w:i/>
          <w:sz w:val="20"/>
          <w:szCs w:val="20"/>
        </w:rPr>
        <w:t>who had been involved prior to the continuous process.</w:t>
      </w:r>
    </w:p>
    <w:p w14:paraId="76872DA8" w14:textId="20659633" w:rsidR="0092757A" w:rsidRPr="003673FA" w:rsidRDefault="0092757A" w:rsidP="0092757A">
      <w:pPr>
        <w:spacing w:line="259" w:lineRule="auto"/>
        <w:rPr>
          <w:szCs w:val="24"/>
        </w:rPr>
      </w:pPr>
    </w:p>
    <w:p w14:paraId="3C1F0E55" w14:textId="77FFCA55" w:rsidR="00893D88" w:rsidRPr="003673FA" w:rsidRDefault="00C312CF" w:rsidP="00893D88">
      <w:pPr>
        <w:spacing w:line="259" w:lineRule="auto"/>
        <w:rPr>
          <w:szCs w:val="24"/>
        </w:rPr>
      </w:pPr>
      <w:r w:rsidRPr="003673FA">
        <w:rPr>
          <w:szCs w:val="24"/>
        </w:rPr>
        <w:t>Again</w:t>
      </w:r>
      <w:r w:rsidR="00893D88" w:rsidRPr="003673FA">
        <w:rPr>
          <w:szCs w:val="24"/>
        </w:rPr>
        <w:t xml:space="preserve">, it is important to reiterate that all surveyed CIs and PIs had been involved in successful applications under the continuous process. Research office </w:t>
      </w:r>
      <w:r w:rsidR="001E5687" w:rsidRPr="003673FA">
        <w:rPr>
          <w:szCs w:val="24"/>
        </w:rPr>
        <w:t>participants</w:t>
      </w:r>
      <w:r w:rsidR="00893D88" w:rsidRPr="003673FA">
        <w:rPr>
          <w:szCs w:val="24"/>
        </w:rPr>
        <w:t xml:space="preserve"> provided a contrasting view, and were not confident that the continuous process has improved responsiveness to time critical innovation opportunities. Several </w:t>
      </w:r>
      <w:r w:rsidR="001E5687" w:rsidRPr="003673FA">
        <w:rPr>
          <w:szCs w:val="24"/>
        </w:rPr>
        <w:t xml:space="preserve">research office participants </w:t>
      </w:r>
      <w:r w:rsidR="00893D88" w:rsidRPr="003673FA">
        <w:rPr>
          <w:szCs w:val="24"/>
        </w:rPr>
        <w:lastRenderedPageBreak/>
        <w:t>suggested that industry partners are likely to apply to other grant programs or draw on personal networks if they have time critical opportunities they wish to pursue.</w:t>
      </w:r>
      <w:r w:rsidR="00893D88" w:rsidRPr="003673FA">
        <w:rPr>
          <w:rStyle w:val="FootnoteReference"/>
          <w:szCs w:val="24"/>
        </w:rPr>
        <w:footnoteReference w:id="26"/>
      </w:r>
    </w:p>
    <w:p w14:paraId="7847B8CC" w14:textId="2A2D7EF8" w:rsidR="00563E94" w:rsidRPr="003673FA" w:rsidRDefault="00563E94">
      <w:pPr>
        <w:rPr>
          <w:rFonts w:ascii="Arial" w:eastAsia="Times New Roman" w:hAnsi="Arial"/>
          <w:b/>
          <w:bCs/>
        </w:rPr>
      </w:pPr>
    </w:p>
    <w:p w14:paraId="0C51D504" w14:textId="6B2B5423" w:rsidR="005D392C" w:rsidRPr="003673FA" w:rsidRDefault="00A42E7B" w:rsidP="00A42E7B">
      <w:pPr>
        <w:pStyle w:val="Heading3"/>
      </w:pPr>
      <w:r w:rsidRPr="003673FA">
        <w:t>NISA and Watt Review objectives</w:t>
      </w:r>
    </w:p>
    <w:p w14:paraId="27C5CF54" w14:textId="77777777" w:rsidR="00004369" w:rsidRPr="003673FA" w:rsidRDefault="00004369" w:rsidP="005D392C"/>
    <w:p w14:paraId="7F125735" w14:textId="6987ADF6" w:rsidR="00C327D8" w:rsidRPr="003673FA" w:rsidRDefault="00004369" w:rsidP="005D392C">
      <w:r w:rsidRPr="003673FA">
        <w:t>As outlined above, there is</w:t>
      </w:r>
      <w:r w:rsidR="00CE159F" w:rsidRPr="003673FA">
        <w:t xml:space="preserve"> a range of areas relevant to the objectives of NISA and the Watt Review in which</w:t>
      </w:r>
      <w:r w:rsidR="004C6974" w:rsidRPr="003673FA">
        <w:t xml:space="preserve"> </w:t>
      </w:r>
      <w:r w:rsidR="00CE159F" w:rsidRPr="003673FA">
        <w:t xml:space="preserve">successful </w:t>
      </w:r>
      <w:r w:rsidR="00EA0385" w:rsidRPr="003673FA">
        <w:t xml:space="preserve">CIs and PIs </w:t>
      </w:r>
      <w:r w:rsidR="00C327D8" w:rsidRPr="003673FA">
        <w:t xml:space="preserve">most </w:t>
      </w:r>
      <w:r w:rsidR="00CE159F" w:rsidRPr="003673FA">
        <w:t xml:space="preserve">commonly </w:t>
      </w:r>
      <w:r w:rsidR="00C327D8" w:rsidRPr="003673FA">
        <w:t>had</w:t>
      </w:r>
      <w:r w:rsidR="004C6974" w:rsidRPr="003673FA">
        <w:t xml:space="preserve"> positive, or at least neutral perceptions of </w:t>
      </w:r>
      <w:r w:rsidR="001E5687" w:rsidRPr="003673FA">
        <w:t>the change to</w:t>
      </w:r>
      <w:r w:rsidR="00CE159F" w:rsidRPr="003673FA">
        <w:t xml:space="preserve"> the continuous process.</w:t>
      </w:r>
      <w:r w:rsidR="00C327D8" w:rsidRPr="003673FA">
        <w:t xml:space="preserve"> </w:t>
      </w:r>
    </w:p>
    <w:p w14:paraId="3B4A6A7B" w14:textId="77576B02" w:rsidR="00CE159F" w:rsidRPr="003673FA" w:rsidRDefault="00CE159F" w:rsidP="005D392C"/>
    <w:p w14:paraId="3C7B9A91" w14:textId="08804E6D" w:rsidR="00F15310" w:rsidRPr="003673FA" w:rsidRDefault="00FB2955" w:rsidP="005D392C">
      <w:r w:rsidRPr="003673FA">
        <w:t>S</w:t>
      </w:r>
      <w:r w:rsidR="00837F81" w:rsidRPr="003673FA">
        <w:t xml:space="preserve">takeholders were </w:t>
      </w:r>
      <w:r w:rsidR="007D0EB1" w:rsidRPr="003673FA">
        <w:t xml:space="preserve">also asked the question, ‘On balance, does </w:t>
      </w:r>
      <w:r w:rsidR="00837F81" w:rsidRPr="003673FA">
        <w:t>the change to a continuous application process achieve the objectives of facilitating timely collaboration and greater responsiveness to innovation opportunities</w:t>
      </w:r>
      <w:r w:rsidR="007D0EB1" w:rsidRPr="003673FA">
        <w:t>?’</w:t>
      </w:r>
      <w:r w:rsidR="007337F4" w:rsidRPr="003673FA">
        <w:t xml:space="preserve"> As shown in </w:t>
      </w:r>
      <w:hyperlink w:anchor="Figure24" w:history="1">
        <w:r w:rsidR="007D0EB1" w:rsidRPr="00D86564">
          <w:rPr>
            <w:rStyle w:val="Hyperlink"/>
          </w:rPr>
          <w:t xml:space="preserve">Figure </w:t>
        </w:r>
        <w:r w:rsidR="00EB37C2" w:rsidRPr="00D86564">
          <w:rPr>
            <w:rStyle w:val="Hyperlink"/>
          </w:rPr>
          <w:t>24</w:t>
        </w:r>
      </w:hyperlink>
      <w:r w:rsidR="007337F4" w:rsidRPr="003673FA">
        <w:t xml:space="preserve">, the different CI and PI groups all responded overwhelmingly positively, although PIs who had been involved prior to the continuous process were the </w:t>
      </w:r>
      <w:r w:rsidR="00865D82" w:rsidRPr="003673FA">
        <w:t>least positive</w:t>
      </w:r>
      <w:r w:rsidR="007337F4" w:rsidRPr="003673FA">
        <w:t xml:space="preserve">, with 23 per cent responding that it did not </w:t>
      </w:r>
      <w:proofErr w:type="gramStart"/>
      <w:r w:rsidR="007337F4" w:rsidRPr="003673FA">
        <w:t>achieve</w:t>
      </w:r>
      <w:proofErr w:type="gramEnd"/>
      <w:r w:rsidR="007337F4" w:rsidRPr="003673FA">
        <w:t xml:space="preserve"> those objectives.</w:t>
      </w:r>
    </w:p>
    <w:p w14:paraId="7A6E403F" w14:textId="17E2EC6F" w:rsidR="007D0EB1" w:rsidRPr="003673FA" w:rsidRDefault="007D0EB1" w:rsidP="005D392C"/>
    <w:p w14:paraId="77952D38" w14:textId="291F1689" w:rsidR="007D0EB1" w:rsidRPr="003673FA" w:rsidRDefault="007D0EB1" w:rsidP="007D0EB1">
      <w:pPr>
        <w:pStyle w:val="Heading4"/>
      </w:pPr>
      <w:bookmarkStart w:id="65" w:name="Figure24"/>
      <w:bookmarkEnd w:id="65"/>
      <w:r w:rsidRPr="003673FA">
        <w:t xml:space="preserve">Figure </w:t>
      </w:r>
      <w:r w:rsidR="00EB37C2" w:rsidRPr="003673FA">
        <w:t>24</w:t>
      </w:r>
      <w:r w:rsidRPr="003673FA">
        <w:t>: CI and PI views on whether the continuous process achieves its objectives</w:t>
      </w:r>
    </w:p>
    <w:p w14:paraId="6D114270" w14:textId="082121F0" w:rsidR="007D0EB1" w:rsidRPr="003673FA" w:rsidRDefault="005037A2" w:rsidP="005D392C">
      <w:r w:rsidRPr="003673FA">
        <w:rPr>
          <w:noProof/>
          <w:lang w:eastAsia="en-AU"/>
        </w:rPr>
        <w:drawing>
          <wp:inline distT="0" distB="0" distL="0" distR="0" wp14:anchorId="73B1B98F" wp14:editId="3346B2E2">
            <wp:extent cx="4584700" cy="1914525"/>
            <wp:effectExtent l="0" t="0" r="6350" b="9525"/>
            <wp:docPr id="199" name="Picture 199" descr="Figure 24 depicts the responses of CIs involved prior, CIs not involved prior, PIs involved prior and PIs not involved prior on whether the continuous process achieves its objectives." title="Figure 24: CI and PI views on whether the continuous process achieves its objec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584700" cy="1914525"/>
                    </a:xfrm>
                    <a:prstGeom prst="rect">
                      <a:avLst/>
                    </a:prstGeom>
                    <a:noFill/>
                  </pic:spPr>
                </pic:pic>
              </a:graphicData>
            </a:graphic>
          </wp:inline>
        </w:drawing>
      </w:r>
    </w:p>
    <w:p w14:paraId="6498DB6F" w14:textId="1245DDAF" w:rsidR="00CE159F" w:rsidRPr="003673FA" w:rsidRDefault="007D0EB1" w:rsidP="005D392C">
      <w:pPr>
        <w:rPr>
          <w:sz w:val="20"/>
          <w:szCs w:val="20"/>
        </w:rPr>
      </w:pPr>
      <w:r w:rsidRPr="003673FA">
        <w:rPr>
          <w:sz w:val="20"/>
          <w:szCs w:val="20"/>
        </w:rPr>
        <w:t xml:space="preserve">Source: ACIL Allen Consulting. </w:t>
      </w:r>
      <w:r w:rsidRPr="003673FA">
        <w:rPr>
          <w:i/>
          <w:sz w:val="20"/>
          <w:szCs w:val="20"/>
        </w:rPr>
        <w:t>Note: n=</w:t>
      </w:r>
      <w:r w:rsidR="007337F4" w:rsidRPr="003673FA">
        <w:rPr>
          <w:i/>
          <w:sz w:val="20"/>
          <w:szCs w:val="20"/>
        </w:rPr>
        <w:t xml:space="preserve">183 CIs and n=53 PIs who had been involved prior to the continuous process and n=109 CIs and n=49 PIs who had not. </w:t>
      </w:r>
    </w:p>
    <w:p w14:paraId="6D602F40" w14:textId="68676B89" w:rsidR="00CE159F" w:rsidRPr="003673FA" w:rsidRDefault="00CE159F" w:rsidP="005D392C"/>
    <w:p w14:paraId="62955609" w14:textId="3862CB9C" w:rsidR="00004369" w:rsidRPr="003673FA" w:rsidRDefault="006D1282" w:rsidP="005D392C">
      <w:r w:rsidRPr="003673FA">
        <w:t>R</w:t>
      </w:r>
      <w:r w:rsidR="00AE6957" w:rsidRPr="003673FA">
        <w:t xml:space="preserve">esearch office </w:t>
      </w:r>
      <w:r w:rsidR="00E577C6" w:rsidRPr="003673FA">
        <w:t>participant</w:t>
      </w:r>
      <w:r w:rsidR="00AE6957" w:rsidRPr="003673FA">
        <w:t>s</w:t>
      </w:r>
      <w:r w:rsidRPr="003673FA">
        <w:t xml:space="preserve"> considered</w:t>
      </w:r>
      <w:r w:rsidR="00004369" w:rsidRPr="003673FA">
        <w:t xml:space="preserve"> that the continuous pr</w:t>
      </w:r>
      <w:r w:rsidR="008C7E8C" w:rsidRPr="003673FA">
        <w:t>ocess is a deterrent to applicants</w:t>
      </w:r>
      <w:r w:rsidRPr="003673FA">
        <w:t xml:space="preserve"> and has not facilitated timely collaboration or responsiveness to innovation opportunities.</w:t>
      </w:r>
      <w:r w:rsidR="008C7E8C" w:rsidRPr="003673FA">
        <w:rPr>
          <w:rStyle w:val="FootnoteReference"/>
        </w:rPr>
        <w:footnoteReference w:id="27"/>
      </w:r>
      <w:r w:rsidR="008C7E8C" w:rsidRPr="003673FA">
        <w:t xml:space="preserve"> </w:t>
      </w:r>
      <w:r w:rsidRPr="003673FA">
        <w:t>T</w:t>
      </w:r>
      <w:r w:rsidR="008C7E8C" w:rsidRPr="003673FA">
        <w:t>he perspectives of CIs and PIs who have been successful under the continuous process</w:t>
      </w:r>
      <w:r w:rsidR="002B701E" w:rsidRPr="003673FA">
        <w:t xml:space="preserve"> must</w:t>
      </w:r>
      <w:r w:rsidRPr="003673FA">
        <w:t xml:space="preserve"> therefore</w:t>
      </w:r>
      <w:r w:rsidR="002B701E" w:rsidRPr="003673FA">
        <w:t xml:space="preserve"> b</w:t>
      </w:r>
      <w:r w:rsidR="008C7E8C" w:rsidRPr="003673FA">
        <w:t xml:space="preserve">e considered </w:t>
      </w:r>
      <w:r w:rsidR="00AE6957" w:rsidRPr="003673FA">
        <w:t>against the backdrop</w:t>
      </w:r>
      <w:r w:rsidR="008C7E8C" w:rsidRPr="003673FA">
        <w:t xml:space="preserve"> of the lower total numbers of applications and </w:t>
      </w:r>
      <w:r w:rsidR="00AE6957" w:rsidRPr="003673FA">
        <w:t>partner organisations involved.</w:t>
      </w:r>
    </w:p>
    <w:p w14:paraId="559C764A" w14:textId="77777777" w:rsidR="00004369" w:rsidRPr="003673FA" w:rsidRDefault="00004369" w:rsidP="005D392C"/>
    <w:p w14:paraId="0144EDE1" w14:textId="3183F8E8" w:rsidR="00F15310" w:rsidRPr="003673FA" w:rsidRDefault="00CF3BCB" w:rsidP="00F15310">
      <w:pPr>
        <w:pStyle w:val="Heading3"/>
      </w:pPr>
      <w:r w:rsidRPr="003673FA">
        <w:t>Key findings</w:t>
      </w:r>
      <w:r w:rsidR="00F930AF" w:rsidRPr="003673FA">
        <w:t>: Stakeholder views – collaboration and innovation</w:t>
      </w:r>
    </w:p>
    <w:p w14:paraId="6B26AAE0" w14:textId="6B549FA1" w:rsidR="00F15310" w:rsidRPr="003673FA" w:rsidRDefault="00F15310" w:rsidP="005D392C"/>
    <w:p w14:paraId="0D7862AB" w14:textId="70459C94" w:rsidR="00947521" w:rsidRPr="003673FA" w:rsidRDefault="00947521" w:rsidP="00F65D18">
      <w:pPr>
        <w:pStyle w:val="ListParagraph"/>
        <w:numPr>
          <w:ilvl w:val="0"/>
          <w:numId w:val="20"/>
        </w:numPr>
        <w:rPr>
          <w:color w:val="auto"/>
        </w:rPr>
      </w:pPr>
      <w:r w:rsidRPr="003673FA">
        <w:rPr>
          <w:color w:val="auto"/>
        </w:rPr>
        <w:t xml:space="preserve">University research offices </w:t>
      </w:r>
      <w:r w:rsidR="00467F63" w:rsidRPr="003673FA">
        <w:rPr>
          <w:color w:val="auto"/>
        </w:rPr>
        <w:t>see</w:t>
      </w:r>
      <w:r w:rsidR="00D4439B" w:rsidRPr="003673FA">
        <w:rPr>
          <w:color w:val="auto"/>
        </w:rPr>
        <w:t xml:space="preserve"> the decline in applications</w:t>
      </w:r>
      <w:r w:rsidR="00467F63" w:rsidRPr="003673FA">
        <w:rPr>
          <w:color w:val="auto"/>
        </w:rPr>
        <w:t xml:space="preserve"> as</w:t>
      </w:r>
      <w:r w:rsidR="00D4439B" w:rsidRPr="003673FA">
        <w:rPr>
          <w:color w:val="auto"/>
        </w:rPr>
        <w:t xml:space="preserve"> representing a decline in collaboration. The</w:t>
      </w:r>
      <w:r w:rsidR="00467F63" w:rsidRPr="003673FA">
        <w:rPr>
          <w:color w:val="auto"/>
        </w:rPr>
        <w:t>y consider that</w:t>
      </w:r>
      <w:r w:rsidR="00D4439B" w:rsidRPr="003673FA">
        <w:rPr>
          <w:color w:val="auto"/>
        </w:rPr>
        <w:t xml:space="preserve"> </w:t>
      </w:r>
      <w:r w:rsidR="00467F63" w:rsidRPr="003673FA">
        <w:rPr>
          <w:color w:val="auto"/>
        </w:rPr>
        <w:t>without deadlines, there are fewer</w:t>
      </w:r>
      <w:r w:rsidR="00D4439B" w:rsidRPr="003673FA">
        <w:rPr>
          <w:color w:val="auto"/>
        </w:rPr>
        <w:t xml:space="preserve"> incentives for </w:t>
      </w:r>
      <w:r w:rsidR="00467F63" w:rsidRPr="003673FA">
        <w:rPr>
          <w:color w:val="auto"/>
        </w:rPr>
        <w:t xml:space="preserve">researchers and partner organisations to prioritise </w:t>
      </w:r>
      <w:r w:rsidR="001536D8" w:rsidRPr="003673FA">
        <w:rPr>
          <w:color w:val="auto"/>
        </w:rPr>
        <w:t xml:space="preserve">Linkage Projects </w:t>
      </w:r>
      <w:r w:rsidR="00467F63" w:rsidRPr="003673FA">
        <w:rPr>
          <w:color w:val="auto"/>
        </w:rPr>
        <w:t>applications.</w:t>
      </w:r>
    </w:p>
    <w:p w14:paraId="0D7059F5" w14:textId="5A6CA9EA" w:rsidR="00F65D18" w:rsidRPr="003673FA" w:rsidRDefault="00947521" w:rsidP="0088299F">
      <w:pPr>
        <w:pStyle w:val="ListParagraph"/>
        <w:numPr>
          <w:ilvl w:val="0"/>
          <w:numId w:val="20"/>
        </w:numPr>
        <w:rPr>
          <w:color w:val="auto"/>
        </w:rPr>
      </w:pPr>
      <w:r w:rsidRPr="003673FA">
        <w:rPr>
          <w:color w:val="auto"/>
        </w:rPr>
        <w:t>M</w:t>
      </w:r>
      <w:r w:rsidR="00F65D18" w:rsidRPr="003673FA">
        <w:rPr>
          <w:color w:val="auto"/>
        </w:rPr>
        <w:t>any</w:t>
      </w:r>
      <w:r w:rsidR="00CD4C21" w:rsidRPr="003673FA">
        <w:rPr>
          <w:color w:val="auto"/>
        </w:rPr>
        <w:t xml:space="preserve"> </w:t>
      </w:r>
      <w:r w:rsidR="0024125F" w:rsidRPr="003673FA">
        <w:rPr>
          <w:color w:val="auto"/>
        </w:rPr>
        <w:t xml:space="preserve">successful </w:t>
      </w:r>
      <w:r w:rsidR="00F65D18" w:rsidRPr="003673FA">
        <w:rPr>
          <w:color w:val="auto"/>
        </w:rPr>
        <w:t xml:space="preserve">CIs and most </w:t>
      </w:r>
      <w:r w:rsidR="0024125F" w:rsidRPr="003673FA">
        <w:rPr>
          <w:color w:val="auto"/>
        </w:rPr>
        <w:t xml:space="preserve">successful </w:t>
      </w:r>
      <w:r w:rsidR="00F65D18" w:rsidRPr="003673FA">
        <w:rPr>
          <w:color w:val="auto"/>
        </w:rPr>
        <w:t>PIs perc</w:t>
      </w:r>
      <w:r w:rsidRPr="003673FA">
        <w:rPr>
          <w:color w:val="auto"/>
        </w:rPr>
        <w:t>ei</w:t>
      </w:r>
      <w:r w:rsidR="00F65D18" w:rsidRPr="003673FA">
        <w:rPr>
          <w:color w:val="auto"/>
        </w:rPr>
        <w:t xml:space="preserve">ve </w:t>
      </w:r>
      <w:r w:rsidR="0024125F" w:rsidRPr="003673FA">
        <w:rPr>
          <w:color w:val="auto"/>
        </w:rPr>
        <w:t>the continuous process</w:t>
      </w:r>
      <w:r w:rsidR="00CD4C21" w:rsidRPr="003673FA">
        <w:rPr>
          <w:color w:val="auto"/>
        </w:rPr>
        <w:t xml:space="preserve"> to support</w:t>
      </w:r>
      <w:r w:rsidR="00F65D18" w:rsidRPr="003673FA">
        <w:rPr>
          <w:color w:val="auto"/>
        </w:rPr>
        <w:t xml:space="preserve"> increased and improved collaboration within their projects.</w:t>
      </w:r>
    </w:p>
    <w:p w14:paraId="0D3F0B32" w14:textId="62200433" w:rsidR="0088299F" w:rsidRPr="003673FA" w:rsidRDefault="00CD4C21" w:rsidP="00CD4C21">
      <w:pPr>
        <w:pStyle w:val="ListParagraph"/>
        <w:numPr>
          <w:ilvl w:val="0"/>
          <w:numId w:val="20"/>
        </w:numPr>
        <w:rPr>
          <w:color w:val="auto"/>
        </w:rPr>
      </w:pPr>
      <w:r w:rsidRPr="003673FA">
        <w:rPr>
          <w:color w:val="auto"/>
        </w:rPr>
        <w:t xml:space="preserve">There are </w:t>
      </w:r>
      <w:r w:rsidR="0024125F" w:rsidRPr="003673FA">
        <w:rPr>
          <w:color w:val="auto"/>
        </w:rPr>
        <w:t xml:space="preserve">some </w:t>
      </w:r>
      <w:r w:rsidRPr="003673FA">
        <w:rPr>
          <w:color w:val="auto"/>
        </w:rPr>
        <w:t xml:space="preserve">indications that the continuous process may provide increased encouragement for partner organisations to seek out </w:t>
      </w:r>
      <w:r w:rsidR="0024125F" w:rsidRPr="003673FA">
        <w:rPr>
          <w:color w:val="auto"/>
        </w:rPr>
        <w:t xml:space="preserve">and enter </w:t>
      </w:r>
      <w:r w:rsidRPr="003673FA">
        <w:rPr>
          <w:color w:val="auto"/>
        </w:rPr>
        <w:t xml:space="preserve">new </w:t>
      </w:r>
      <w:r w:rsidR="0024125F" w:rsidRPr="003673FA">
        <w:rPr>
          <w:color w:val="auto"/>
        </w:rPr>
        <w:t xml:space="preserve">research </w:t>
      </w:r>
      <w:r w:rsidRPr="003673FA">
        <w:rPr>
          <w:color w:val="auto"/>
        </w:rPr>
        <w:t>collaborations, but further</w:t>
      </w:r>
      <w:r w:rsidR="00956F0F" w:rsidRPr="003673FA">
        <w:rPr>
          <w:color w:val="auto"/>
        </w:rPr>
        <w:t xml:space="preserve"> survey</w:t>
      </w:r>
      <w:r w:rsidRPr="003673FA">
        <w:rPr>
          <w:color w:val="auto"/>
        </w:rPr>
        <w:t xml:space="preserve"> research</w:t>
      </w:r>
      <w:r w:rsidR="0024125F" w:rsidRPr="003673FA">
        <w:rPr>
          <w:color w:val="auto"/>
        </w:rPr>
        <w:t xml:space="preserve"> </w:t>
      </w:r>
      <w:r w:rsidR="0013410C" w:rsidRPr="003673FA">
        <w:rPr>
          <w:color w:val="auto"/>
        </w:rPr>
        <w:t>is needed</w:t>
      </w:r>
      <w:r w:rsidRPr="003673FA">
        <w:rPr>
          <w:color w:val="auto"/>
        </w:rPr>
        <w:t>.</w:t>
      </w:r>
    </w:p>
    <w:p w14:paraId="7C577353" w14:textId="44A2EFDF" w:rsidR="005965F6" w:rsidRPr="003673FA" w:rsidRDefault="00476305" w:rsidP="00A91FEE">
      <w:pPr>
        <w:pStyle w:val="ListParagraph"/>
        <w:numPr>
          <w:ilvl w:val="0"/>
          <w:numId w:val="20"/>
        </w:numPr>
      </w:pPr>
      <w:r w:rsidRPr="003673FA">
        <w:rPr>
          <w:color w:val="auto"/>
        </w:rPr>
        <w:t>Among</w:t>
      </w:r>
      <w:r w:rsidR="0024125F" w:rsidRPr="003673FA">
        <w:rPr>
          <w:color w:val="auto"/>
        </w:rPr>
        <w:t xml:space="preserve"> successful CIs and PIs</w:t>
      </w:r>
      <w:r w:rsidRPr="003673FA">
        <w:rPr>
          <w:color w:val="auto"/>
        </w:rPr>
        <w:t>, the majority</w:t>
      </w:r>
      <w:r w:rsidR="0024125F" w:rsidRPr="003673FA">
        <w:rPr>
          <w:color w:val="auto"/>
        </w:rPr>
        <w:t xml:space="preserve"> c</w:t>
      </w:r>
      <w:r w:rsidR="001B650F" w:rsidRPr="003673FA">
        <w:rPr>
          <w:color w:val="auto"/>
        </w:rPr>
        <w:t xml:space="preserve">onsidered </w:t>
      </w:r>
      <w:r w:rsidR="0024125F" w:rsidRPr="003673FA">
        <w:rPr>
          <w:color w:val="auto"/>
        </w:rPr>
        <w:t xml:space="preserve">the continuous process </w:t>
      </w:r>
      <w:r w:rsidR="001B650F" w:rsidRPr="003673FA">
        <w:rPr>
          <w:color w:val="auto"/>
        </w:rPr>
        <w:t xml:space="preserve">to </w:t>
      </w:r>
      <w:r w:rsidR="002C028B" w:rsidRPr="003673FA">
        <w:rPr>
          <w:color w:val="auto"/>
        </w:rPr>
        <w:t>f</w:t>
      </w:r>
      <w:r w:rsidR="001B650F" w:rsidRPr="003673FA">
        <w:rPr>
          <w:color w:val="auto"/>
        </w:rPr>
        <w:t>acilitate</w:t>
      </w:r>
      <w:r w:rsidR="002C028B" w:rsidRPr="003673FA">
        <w:rPr>
          <w:color w:val="auto"/>
        </w:rPr>
        <w:t xml:space="preserve"> </w:t>
      </w:r>
      <w:r w:rsidR="0024125F" w:rsidRPr="003673FA">
        <w:rPr>
          <w:color w:val="auto"/>
        </w:rPr>
        <w:t>timely collaboration and greater responsiveness to innovation opportunities.</w:t>
      </w:r>
    </w:p>
    <w:p w14:paraId="2B421121" w14:textId="77777777" w:rsidR="0024125F" w:rsidRPr="003673FA" w:rsidRDefault="0024125F" w:rsidP="0024125F"/>
    <w:p w14:paraId="24D14476" w14:textId="4D432850" w:rsidR="00E6337A" w:rsidRPr="003673FA" w:rsidRDefault="005D392C" w:rsidP="00E6337A">
      <w:pPr>
        <w:pStyle w:val="Heading2"/>
      </w:pPr>
      <w:bookmarkStart w:id="66" w:name="_Toc3285759"/>
      <w:bookmarkStart w:id="67" w:name="_Toc6218382"/>
      <w:r w:rsidRPr="003673FA">
        <w:lastRenderedPageBreak/>
        <w:t>Evaluation question 5</w:t>
      </w:r>
      <w:r w:rsidR="00F6414A" w:rsidRPr="003673FA">
        <w:t xml:space="preserve">: </w:t>
      </w:r>
      <w:r w:rsidR="00414108" w:rsidRPr="003673FA">
        <w:t>Stakeholder views – processes</w:t>
      </w:r>
      <w:bookmarkEnd w:id="66"/>
      <w:bookmarkEnd w:id="67"/>
      <w:r w:rsidRPr="003673FA">
        <w:t xml:space="preserve"> </w:t>
      </w:r>
    </w:p>
    <w:p w14:paraId="0D56F06D" w14:textId="0EAE5E92" w:rsidR="00E6337A" w:rsidRPr="003673FA" w:rsidRDefault="00E6337A" w:rsidP="005D392C">
      <w:r w:rsidRPr="003673FA">
        <w:rPr>
          <w:noProof/>
          <w:lang w:eastAsia="en-AU"/>
        </w:rPr>
        <mc:AlternateContent>
          <mc:Choice Requires="wps">
            <w:drawing>
              <wp:inline distT="0" distB="0" distL="0" distR="0" wp14:anchorId="526EC3E1" wp14:editId="4D119E68">
                <wp:extent cx="5724525" cy="1038225"/>
                <wp:effectExtent l="0" t="0" r="28575" b="28575"/>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038225"/>
                        </a:xfrm>
                        <a:prstGeom prst="rect">
                          <a:avLst/>
                        </a:prstGeom>
                        <a:solidFill>
                          <a:srgbClr val="FFFFFF"/>
                        </a:solidFill>
                        <a:ln w="9525">
                          <a:solidFill>
                            <a:srgbClr val="000000"/>
                          </a:solidFill>
                          <a:miter lim="800000"/>
                          <a:headEnd/>
                          <a:tailEnd/>
                        </a:ln>
                      </wps:spPr>
                      <wps:txbx>
                        <w:txbxContent>
                          <w:p w14:paraId="3E0F3773" w14:textId="5BC0C945" w:rsidR="00FC696C" w:rsidRPr="005D392C" w:rsidRDefault="00FC696C" w:rsidP="00E6337A">
                            <w:r w:rsidRPr="005D392C">
                              <w:t>How satisfied are administering and partner organisations with:</w:t>
                            </w:r>
                          </w:p>
                          <w:p w14:paraId="12DE6420" w14:textId="4517B8E4" w:rsidR="00FC696C" w:rsidRPr="00E6337A" w:rsidRDefault="00FC696C" w:rsidP="00765927">
                            <w:pPr>
                              <w:pStyle w:val="ListParagraph"/>
                              <w:numPr>
                                <w:ilvl w:val="0"/>
                                <w:numId w:val="10"/>
                              </w:numPr>
                              <w:spacing w:line="259" w:lineRule="auto"/>
                              <w:rPr>
                                <w:color w:val="auto"/>
                                <w:szCs w:val="24"/>
                              </w:rPr>
                            </w:pPr>
                            <w:r w:rsidRPr="005D392C">
                              <w:rPr>
                                <w:color w:val="auto"/>
                                <w:szCs w:val="24"/>
                              </w:rPr>
                              <w:t>the efficiency and effectiveness of the continuous Linkage Projects application and assessment processes, including fast-tracking</w:t>
                            </w:r>
                          </w:p>
                          <w:p w14:paraId="5E4A1E50" w14:textId="77777777" w:rsidR="00FC696C" w:rsidRDefault="00FC696C" w:rsidP="00765927">
                            <w:pPr>
                              <w:pStyle w:val="ListParagraph"/>
                              <w:numPr>
                                <w:ilvl w:val="0"/>
                                <w:numId w:val="10"/>
                              </w:numPr>
                              <w:spacing w:line="259" w:lineRule="auto"/>
                              <w:rPr>
                                <w:color w:val="auto"/>
                                <w:szCs w:val="24"/>
                              </w:rPr>
                            </w:pPr>
                            <w:r w:rsidRPr="005D392C">
                              <w:rPr>
                                <w:color w:val="auto"/>
                                <w:szCs w:val="24"/>
                              </w:rPr>
                              <w:t>the timeliness of announcements</w:t>
                            </w:r>
                          </w:p>
                          <w:p w14:paraId="3C2001FB" w14:textId="00C34567" w:rsidR="00FC696C" w:rsidRPr="00E6337A" w:rsidRDefault="00FC696C" w:rsidP="00765927">
                            <w:pPr>
                              <w:pStyle w:val="ListParagraph"/>
                              <w:numPr>
                                <w:ilvl w:val="0"/>
                                <w:numId w:val="10"/>
                              </w:numPr>
                              <w:spacing w:line="259" w:lineRule="auto"/>
                              <w:rPr>
                                <w:color w:val="auto"/>
                                <w:szCs w:val="24"/>
                              </w:rPr>
                            </w:pPr>
                            <w:proofErr w:type="gramStart"/>
                            <w:r w:rsidRPr="00E6337A">
                              <w:rPr>
                                <w:color w:val="auto"/>
                                <w:szCs w:val="24"/>
                              </w:rPr>
                              <w:t>the</w:t>
                            </w:r>
                            <w:proofErr w:type="gramEnd"/>
                            <w:r w:rsidRPr="00E6337A">
                              <w:rPr>
                                <w:color w:val="auto"/>
                                <w:szCs w:val="24"/>
                              </w:rPr>
                              <w:t xml:space="preserve"> administration and provision of awarded funding?</w:t>
                            </w:r>
                          </w:p>
                        </w:txbxContent>
                      </wps:txbx>
                      <wps:bodyPr rot="0" vert="horz" wrap="square" lIns="91440" tIns="45720" rIns="91440" bIns="45720" anchor="t" anchorCtr="0">
                        <a:noAutofit/>
                      </wps:bodyPr>
                    </wps:wsp>
                  </a:graphicData>
                </a:graphic>
              </wp:inline>
            </w:drawing>
          </mc:Choice>
          <mc:Fallback>
            <w:pict>
              <v:shape w14:anchorId="526EC3E1" id="Text Box 4" o:spid="_x0000_s1030" type="#_x0000_t202" style="width:450.75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rHIgIAAEwEAAAOAAAAZHJzL2Uyb0RvYy54bWysVNuO0zAQfUfiHyy/06QlhW7UdLV0KUJa&#10;LtIuH+A4TmNhe4ztNilfz9jJdstFPCDyYHk84+MzZ2ayvh60IkfhvART0fksp0QYDo00+4p+edi9&#10;WFHiAzMNU2BERU/C0+vN82fr3pZiAR2oRjiCIMaXva1oF4Its8zzTmjmZ2CFQWcLTrOApttnjWM9&#10;omuVLfL8VdaDa6wDLrzH09vRSTcJv20FD5/a1otAVEWRW0irS2sd12yzZuXeMdtJPtFg/8BCM2nw&#10;0TPULQuMHJz8DUpL7sBDG2YcdAZtK7lIOWA28/yXbO47ZkXKBcXx9iyT/3+w/OPxsyOyqWhBiWEa&#10;S/QghkDewECKqE5vfYlB9xbDwoDHWOWUqbd3wL96YmDbMbMXN85B3wnWILt5vJldXB1xfASp+w/Q&#10;4DPsECABDa3TUToUgyA6Vul0rkykwvFw+XpRLBdLSjj65vnL1QKN+AYrH69b58M7AZrETUUdlj7B&#10;s+OdD2PoY0h8zYOSzU4qlQy3r7fKkSPDNtmlb0L/KUwZ0lf0KhL5O0Sevj9BaBmw35XUFV2dg1gZ&#10;dXtrGqTJysCkGveYnTKTkFG7UcUw1MNUMYyPItfQnFBZB2N74zjipgP3nZIeW7ui/tuBOUGJem+w&#10;OlfzooizkIwCpUXDXXrqSw8zHKEqGigZt9uQ5idSNXCDVWxl0veJyUQZWzZVaBqvOBOXdop6+gls&#10;fgAAAP//AwBQSwMEFAAGAAgAAAAhAGIK9FzcAAAABQEAAA8AAABkcnMvZG93bnJldi54bWxMj8FO&#10;wzAQRO9I/IO1SFwQdUppaEOcCiGB4AZtBVc33iYR9jrYbhr+noULXEZazWjmbbkanRUDhth5UjCd&#10;ZCCQam86ahRsNw+XCxAxaTLaekIFXxhhVZ2elLow/kivOKxTI7iEYqEVtCn1hZSxbtHpOPE9Ent7&#10;H5xOfIZGmqCPXO6svMqyXDrdES+0usf7FuuP9cEpWFw/De/xefbyVud7u0wXN8PjZ1Dq/Gy8uwWR&#10;cEx/YfjBZ3SomGnnD2SisAr4kfSr7C2z6RzEjkP5bA6yKuV/+uobAAD//wMAUEsBAi0AFAAGAAgA&#10;AAAhALaDOJL+AAAA4QEAABMAAAAAAAAAAAAAAAAAAAAAAFtDb250ZW50X1R5cGVzXS54bWxQSwEC&#10;LQAUAAYACAAAACEAOP0h/9YAAACUAQAACwAAAAAAAAAAAAAAAAAvAQAAX3JlbHMvLnJlbHNQSwEC&#10;LQAUAAYACAAAACEAnz/axyICAABMBAAADgAAAAAAAAAAAAAAAAAuAgAAZHJzL2Uyb0RvYy54bWxQ&#10;SwECLQAUAAYACAAAACEAYgr0XNwAAAAFAQAADwAAAAAAAAAAAAAAAAB8BAAAZHJzL2Rvd25yZXYu&#10;eG1sUEsFBgAAAAAEAAQA8wAAAIUFAAAAAA==&#10;">
                <v:textbox>
                  <w:txbxContent>
                    <w:p w14:paraId="3E0F3773" w14:textId="5BC0C945" w:rsidR="00FC696C" w:rsidRPr="005D392C" w:rsidRDefault="00FC696C" w:rsidP="00E6337A">
                      <w:r w:rsidRPr="005D392C">
                        <w:t>How satisfied are administering and partner organisations with:</w:t>
                      </w:r>
                    </w:p>
                    <w:p w14:paraId="12DE6420" w14:textId="4517B8E4" w:rsidR="00FC696C" w:rsidRPr="00E6337A" w:rsidRDefault="00FC696C" w:rsidP="00765927">
                      <w:pPr>
                        <w:pStyle w:val="ListParagraph"/>
                        <w:numPr>
                          <w:ilvl w:val="0"/>
                          <w:numId w:val="10"/>
                        </w:numPr>
                        <w:spacing w:line="259" w:lineRule="auto"/>
                        <w:rPr>
                          <w:color w:val="auto"/>
                          <w:szCs w:val="24"/>
                        </w:rPr>
                      </w:pPr>
                      <w:r w:rsidRPr="005D392C">
                        <w:rPr>
                          <w:color w:val="auto"/>
                          <w:szCs w:val="24"/>
                        </w:rPr>
                        <w:t>the efficiency and effectiveness of the continuous Linkage Projects application and assessment processes, including fast-tracking</w:t>
                      </w:r>
                    </w:p>
                    <w:p w14:paraId="5E4A1E50" w14:textId="77777777" w:rsidR="00FC696C" w:rsidRDefault="00FC696C" w:rsidP="00765927">
                      <w:pPr>
                        <w:pStyle w:val="ListParagraph"/>
                        <w:numPr>
                          <w:ilvl w:val="0"/>
                          <w:numId w:val="10"/>
                        </w:numPr>
                        <w:spacing w:line="259" w:lineRule="auto"/>
                        <w:rPr>
                          <w:color w:val="auto"/>
                          <w:szCs w:val="24"/>
                        </w:rPr>
                      </w:pPr>
                      <w:r w:rsidRPr="005D392C">
                        <w:rPr>
                          <w:color w:val="auto"/>
                          <w:szCs w:val="24"/>
                        </w:rPr>
                        <w:t>the timeliness of announcements</w:t>
                      </w:r>
                    </w:p>
                    <w:p w14:paraId="3C2001FB" w14:textId="00C34567" w:rsidR="00FC696C" w:rsidRPr="00E6337A" w:rsidRDefault="00FC696C" w:rsidP="00765927">
                      <w:pPr>
                        <w:pStyle w:val="ListParagraph"/>
                        <w:numPr>
                          <w:ilvl w:val="0"/>
                          <w:numId w:val="10"/>
                        </w:numPr>
                        <w:spacing w:line="259" w:lineRule="auto"/>
                        <w:rPr>
                          <w:color w:val="auto"/>
                          <w:szCs w:val="24"/>
                        </w:rPr>
                      </w:pPr>
                      <w:proofErr w:type="gramStart"/>
                      <w:r w:rsidRPr="00E6337A">
                        <w:rPr>
                          <w:color w:val="auto"/>
                          <w:szCs w:val="24"/>
                        </w:rPr>
                        <w:t>the</w:t>
                      </w:r>
                      <w:proofErr w:type="gramEnd"/>
                      <w:r w:rsidRPr="00E6337A">
                        <w:rPr>
                          <w:color w:val="auto"/>
                          <w:szCs w:val="24"/>
                        </w:rPr>
                        <w:t xml:space="preserve"> administration and provision of awarded funding?</w:t>
                      </w:r>
                    </w:p>
                  </w:txbxContent>
                </v:textbox>
                <w10:anchorlock/>
              </v:shape>
            </w:pict>
          </mc:Fallback>
        </mc:AlternateContent>
      </w:r>
    </w:p>
    <w:p w14:paraId="134AEE8B" w14:textId="2FB729AB" w:rsidR="0092757A" w:rsidRPr="003673FA" w:rsidRDefault="0092757A" w:rsidP="005D392C"/>
    <w:p w14:paraId="6B890137" w14:textId="6D26D290" w:rsidR="005D392C" w:rsidRPr="003673FA" w:rsidRDefault="00032B53" w:rsidP="00032B53">
      <w:pPr>
        <w:pStyle w:val="Heading3"/>
      </w:pPr>
      <w:r w:rsidRPr="003673FA">
        <w:t>E</w:t>
      </w:r>
      <w:r w:rsidR="005D392C" w:rsidRPr="003673FA">
        <w:t>fficiency and effectiveness of the continuous pr</w:t>
      </w:r>
      <w:r w:rsidRPr="003673FA">
        <w:t>ocess</w:t>
      </w:r>
    </w:p>
    <w:p w14:paraId="538817DD" w14:textId="00DB580E" w:rsidR="000A408C" w:rsidRPr="003673FA" w:rsidRDefault="000A408C" w:rsidP="0092757A">
      <w:pPr>
        <w:spacing w:line="259" w:lineRule="auto"/>
        <w:rPr>
          <w:szCs w:val="24"/>
        </w:rPr>
      </w:pPr>
    </w:p>
    <w:p w14:paraId="30430A15" w14:textId="722479E2" w:rsidR="00E17BC9" w:rsidRPr="003673FA" w:rsidRDefault="00E17BC9" w:rsidP="0092757A">
      <w:pPr>
        <w:spacing w:line="259" w:lineRule="auto"/>
        <w:rPr>
          <w:szCs w:val="24"/>
        </w:rPr>
      </w:pPr>
      <w:r w:rsidRPr="003673FA">
        <w:rPr>
          <w:szCs w:val="24"/>
        </w:rPr>
        <w:t xml:space="preserve">As </w:t>
      </w:r>
      <w:hyperlink w:anchor="Figure25" w:history="1">
        <w:r w:rsidRPr="00D86564">
          <w:rPr>
            <w:rStyle w:val="Hyperlink"/>
            <w:szCs w:val="24"/>
          </w:rPr>
          <w:t xml:space="preserve">Figure </w:t>
        </w:r>
        <w:r w:rsidR="00EB37C2" w:rsidRPr="00D86564">
          <w:rPr>
            <w:rStyle w:val="Hyperlink"/>
            <w:szCs w:val="24"/>
          </w:rPr>
          <w:t>25</w:t>
        </w:r>
      </w:hyperlink>
      <w:r w:rsidRPr="003673FA">
        <w:rPr>
          <w:szCs w:val="24"/>
        </w:rPr>
        <w:t xml:space="preserve"> shows, the majority (77 per cent) of </w:t>
      </w:r>
      <w:r w:rsidR="002E006F" w:rsidRPr="003673FA">
        <w:rPr>
          <w:szCs w:val="24"/>
        </w:rPr>
        <w:t xml:space="preserve">CIs who had been involved prior to the continuous process perceived that </w:t>
      </w:r>
      <w:r w:rsidR="005B01FA" w:rsidRPr="003673FA">
        <w:rPr>
          <w:szCs w:val="24"/>
        </w:rPr>
        <w:t>the change</w:t>
      </w:r>
      <w:r w:rsidR="002E006F" w:rsidRPr="003673FA">
        <w:rPr>
          <w:szCs w:val="24"/>
        </w:rPr>
        <w:t xml:space="preserve"> </w:t>
      </w:r>
      <w:r w:rsidR="005B01FA" w:rsidRPr="003673FA">
        <w:rPr>
          <w:szCs w:val="24"/>
        </w:rPr>
        <w:t xml:space="preserve">has </w:t>
      </w:r>
      <w:r w:rsidR="002E006F" w:rsidRPr="003673FA">
        <w:rPr>
          <w:szCs w:val="24"/>
        </w:rPr>
        <w:t>made it easier to apply for a Linkage Projects grant. Among the same group</w:t>
      </w:r>
      <w:r w:rsidR="000668BF" w:rsidRPr="003673FA">
        <w:rPr>
          <w:szCs w:val="24"/>
        </w:rPr>
        <w:t>,</w:t>
      </w:r>
      <w:r w:rsidR="002E006F" w:rsidRPr="003673FA">
        <w:rPr>
          <w:szCs w:val="24"/>
        </w:rPr>
        <w:t xml:space="preserve"> 63 per cent reported that they were more likely to submit applications as a result of the implementation of the continuous process (this figure was 74 per cent for CIs who had not been involved prior to the continuous process).</w:t>
      </w:r>
      <w:r w:rsidR="002E006F" w:rsidRPr="003673FA">
        <w:rPr>
          <w:rStyle w:val="FootnoteReference"/>
          <w:szCs w:val="24"/>
        </w:rPr>
        <w:footnoteReference w:id="28"/>
      </w:r>
      <w:r w:rsidR="00CD416D" w:rsidRPr="003673FA">
        <w:rPr>
          <w:szCs w:val="24"/>
        </w:rPr>
        <w:t xml:space="preserve"> </w:t>
      </w:r>
      <w:r w:rsidR="005B01FA" w:rsidRPr="003673FA">
        <w:rPr>
          <w:szCs w:val="24"/>
        </w:rPr>
        <w:t>However, g</w:t>
      </w:r>
      <w:r w:rsidR="00CD416D" w:rsidRPr="003673FA">
        <w:rPr>
          <w:szCs w:val="24"/>
        </w:rPr>
        <w:t xml:space="preserve">iven the decline in </w:t>
      </w:r>
      <w:r w:rsidR="005B01FA" w:rsidRPr="003673FA">
        <w:rPr>
          <w:szCs w:val="24"/>
        </w:rPr>
        <w:t xml:space="preserve">total </w:t>
      </w:r>
      <w:r w:rsidR="00CD416D" w:rsidRPr="003673FA">
        <w:rPr>
          <w:szCs w:val="24"/>
        </w:rPr>
        <w:t xml:space="preserve">Linkage Projects applications, </w:t>
      </w:r>
      <w:r w:rsidR="005B01FA" w:rsidRPr="003673FA">
        <w:rPr>
          <w:szCs w:val="24"/>
        </w:rPr>
        <w:t xml:space="preserve">it is likely that other </w:t>
      </w:r>
      <w:r w:rsidR="00CD416D" w:rsidRPr="003673FA">
        <w:rPr>
          <w:szCs w:val="24"/>
        </w:rPr>
        <w:t xml:space="preserve">stakeholders </w:t>
      </w:r>
      <w:r w:rsidR="005B01FA" w:rsidRPr="003673FA">
        <w:rPr>
          <w:szCs w:val="24"/>
        </w:rPr>
        <w:t>who have not been successful under the continuous process and who were not included in the surveys may</w:t>
      </w:r>
      <w:r w:rsidR="00CD416D" w:rsidRPr="003673FA">
        <w:rPr>
          <w:szCs w:val="24"/>
        </w:rPr>
        <w:t xml:space="preserve"> have very different views.</w:t>
      </w:r>
    </w:p>
    <w:p w14:paraId="2636E70A" w14:textId="77777777" w:rsidR="00E17BC9" w:rsidRPr="003673FA" w:rsidRDefault="00E17BC9" w:rsidP="0092757A">
      <w:pPr>
        <w:spacing w:line="259" w:lineRule="auto"/>
        <w:rPr>
          <w:szCs w:val="24"/>
        </w:rPr>
      </w:pPr>
    </w:p>
    <w:p w14:paraId="2FCC35D2" w14:textId="46CD3877" w:rsidR="00E17BC9" w:rsidRPr="003673FA" w:rsidRDefault="00E17BC9" w:rsidP="00E17BC9">
      <w:pPr>
        <w:pStyle w:val="Heading4"/>
      </w:pPr>
      <w:bookmarkStart w:id="68" w:name="Figure25"/>
      <w:bookmarkEnd w:id="68"/>
      <w:r w:rsidRPr="003673FA">
        <w:t xml:space="preserve">Figure </w:t>
      </w:r>
      <w:r w:rsidR="00EB37C2" w:rsidRPr="003673FA">
        <w:t>25</w:t>
      </w:r>
      <w:r w:rsidRPr="003673FA">
        <w:t>: CI (involved prior</w:t>
      </w:r>
      <w:r w:rsidR="008725FB" w:rsidRPr="003673FA">
        <w:t>)</w:t>
      </w:r>
      <w:r w:rsidRPr="003673FA">
        <w:t xml:space="preserve"> views on whether the continuous process has made it easier to apply for a Linkage Projects grant</w:t>
      </w:r>
    </w:p>
    <w:p w14:paraId="1CE91DB6" w14:textId="1158C464" w:rsidR="002C219D" w:rsidRPr="003673FA" w:rsidRDefault="005037A2" w:rsidP="0092757A">
      <w:pPr>
        <w:spacing w:line="259" w:lineRule="auto"/>
        <w:rPr>
          <w:szCs w:val="24"/>
        </w:rPr>
      </w:pPr>
      <w:r w:rsidRPr="003673FA">
        <w:rPr>
          <w:noProof/>
          <w:szCs w:val="24"/>
          <w:lang w:eastAsia="en-AU"/>
        </w:rPr>
        <w:drawing>
          <wp:inline distT="0" distB="0" distL="0" distR="0" wp14:anchorId="307063CF" wp14:editId="3EEAB52B">
            <wp:extent cx="4584700" cy="890270"/>
            <wp:effectExtent l="0" t="0" r="6350" b="5080"/>
            <wp:docPr id="200" name="Picture 200" descr="Figure 25 depicts the responses of CIs (involved prior) on whether the continuous process has made it easier to apply for a Linkage Projects grant." title="Figure 25: CI (involved prior) views on whether the continuous process has made it easier to apply for a Linkage Projects g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584700" cy="890270"/>
                    </a:xfrm>
                    <a:prstGeom prst="rect">
                      <a:avLst/>
                    </a:prstGeom>
                    <a:noFill/>
                  </pic:spPr>
                </pic:pic>
              </a:graphicData>
            </a:graphic>
          </wp:inline>
        </w:drawing>
      </w:r>
    </w:p>
    <w:p w14:paraId="61EA4C9E" w14:textId="1A2493BE" w:rsidR="002C219D" w:rsidRPr="003673FA" w:rsidRDefault="002C219D" w:rsidP="0092757A">
      <w:pPr>
        <w:spacing w:line="259" w:lineRule="auto"/>
        <w:rPr>
          <w:szCs w:val="24"/>
        </w:rPr>
      </w:pPr>
      <w:r w:rsidRPr="003673FA">
        <w:rPr>
          <w:sz w:val="20"/>
          <w:szCs w:val="20"/>
        </w:rPr>
        <w:t xml:space="preserve">Source: ACIL Allen Consulting. </w:t>
      </w:r>
      <w:r w:rsidRPr="003673FA">
        <w:rPr>
          <w:i/>
          <w:sz w:val="20"/>
          <w:szCs w:val="20"/>
        </w:rPr>
        <w:t xml:space="preserve">Note: </w:t>
      </w:r>
      <w:r w:rsidR="00E17BC9" w:rsidRPr="003673FA">
        <w:rPr>
          <w:i/>
          <w:sz w:val="20"/>
          <w:szCs w:val="20"/>
        </w:rPr>
        <w:t xml:space="preserve">n=184 CIs </w:t>
      </w:r>
      <w:r w:rsidRPr="003673FA">
        <w:rPr>
          <w:i/>
          <w:sz w:val="20"/>
          <w:szCs w:val="20"/>
        </w:rPr>
        <w:t>who had been involved prior to the continuous process.</w:t>
      </w:r>
    </w:p>
    <w:p w14:paraId="06715C76" w14:textId="479E56B7" w:rsidR="002C219D" w:rsidRPr="003673FA" w:rsidRDefault="002C219D" w:rsidP="0092757A">
      <w:pPr>
        <w:spacing w:line="259" w:lineRule="auto"/>
        <w:rPr>
          <w:szCs w:val="24"/>
        </w:rPr>
      </w:pPr>
    </w:p>
    <w:p w14:paraId="20717F4D" w14:textId="07E73FC3" w:rsidR="007D56FC" w:rsidRPr="003673FA" w:rsidRDefault="007D56FC" w:rsidP="0092757A">
      <w:pPr>
        <w:spacing w:line="259" w:lineRule="auto"/>
        <w:rPr>
          <w:szCs w:val="24"/>
        </w:rPr>
      </w:pPr>
      <w:r w:rsidRPr="003673FA">
        <w:rPr>
          <w:szCs w:val="24"/>
        </w:rPr>
        <w:t xml:space="preserve">CIs </w:t>
      </w:r>
      <w:r w:rsidR="001E5687" w:rsidRPr="003673FA">
        <w:rPr>
          <w:szCs w:val="24"/>
        </w:rPr>
        <w:t xml:space="preserve">who reported they </w:t>
      </w:r>
      <w:r w:rsidRPr="003673FA">
        <w:rPr>
          <w:szCs w:val="24"/>
        </w:rPr>
        <w:t xml:space="preserve">had </w:t>
      </w:r>
      <w:r w:rsidR="000A75B3" w:rsidRPr="003673FA">
        <w:rPr>
          <w:szCs w:val="24"/>
        </w:rPr>
        <w:t>resubmitted a similar Linkage Project</w:t>
      </w:r>
      <w:r w:rsidR="001E5687" w:rsidRPr="003673FA">
        <w:rPr>
          <w:szCs w:val="24"/>
        </w:rPr>
        <w:t>s application multiple times were asked about</w:t>
      </w:r>
      <w:r w:rsidR="000A75B3" w:rsidRPr="003673FA">
        <w:rPr>
          <w:szCs w:val="24"/>
        </w:rPr>
        <w:t xml:space="preserve"> the timeframe between receiving advice that the original application had been unsuccessful and </w:t>
      </w:r>
      <w:r w:rsidR="000D2D61" w:rsidRPr="003673FA">
        <w:rPr>
          <w:szCs w:val="24"/>
        </w:rPr>
        <w:t>resubmission</w:t>
      </w:r>
      <w:r w:rsidR="000A75B3" w:rsidRPr="003673FA">
        <w:rPr>
          <w:szCs w:val="24"/>
        </w:rPr>
        <w:t>. Around 17 per cent of CIs said they had resubmitted—including 44 CIs who had been involved before the continuous process and five CIs who had not</w:t>
      </w:r>
      <w:r w:rsidR="000D2D61" w:rsidRPr="003673FA">
        <w:rPr>
          <w:szCs w:val="24"/>
        </w:rPr>
        <w:t>.</w:t>
      </w:r>
      <w:r w:rsidR="000D2D61" w:rsidRPr="003673FA">
        <w:rPr>
          <w:rStyle w:val="FootnoteReference"/>
          <w:szCs w:val="24"/>
        </w:rPr>
        <w:footnoteReference w:id="29"/>
      </w:r>
      <w:r w:rsidR="000D2D61" w:rsidRPr="003673FA">
        <w:rPr>
          <w:szCs w:val="24"/>
        </w:rPr>
        <w:t xml:space="preserve"> </w:t>
      </w:r>
      <w:r w:rsidR="005B01FA" w:rsidRPr="003673FA">
        <w:rPr>
          <w:szCs w:val="24"/>
        </w:rPr>
        <w:t>R</w:t>
      </w:r>
      <w:r w:rsidR="000D2D61" w:rsidRPr="003673FA">
        <w:rPr>
          <w:szCs w:val="24"/>
        </w:rPr>
        <w:t>espondents gave a wide range of timeframes</w:t>
      </w:r>
      <w:r w:rsidR="009E1A99" w:rsidRPr="003673FA">
        <w:rPr>
          <w:szCs w:val="24"/>
        </w:rPr>
        <w:t xml:space="preserve"> and </w:t>
      </w:r>
      <w:r w:rsidR="000D2D61" w:rsidRPr="003673FA">
        <w:rPr>
          <w:szCs w:val="24"/>
        </w:rPr>
        <w:t xml:space="preserve">it </w:t>
      </w:r>
      <w:r w:rsidR="000A75B3" w:rsidRPr="003673FA">
        <w:rPr>
          <w:szCs w:val="24"/>
        </w:rPr>
        <w:t xml:space="preserve">is not possible to discern </w:t>
      </w:r>
      <w:r w:rsidR="009E1A99" w:rsidRPr="003673FA">
        <w:rPr>
          <w:szCs w:val="24"/>
        </w:rPr>
        <w:t xml:space="preserve">from the responses </w:t>
      </w:r>
      <w:r w:rsidR="000A75B3" w:rsidRPr="003673FA">
        <w:rPr>
          <w:szCs w:val="24"/>
        </w:rPr>
        <w:t xml:space="preserve">whether </w:t>
      </w:r>
      <w:r w:rsidR="000D2D61" w:rsidRPr="003673FA">
        <w:rPr>
          <w:szCs w:val="24"/>
        </w:rPr>
        <w:t>the former group resubmitted before or after the continuous process was introduced</w:t>
      </w:r>
      <w:r w:rsidR="009E1A99" w:rsidRPr="003673FA">
        <w:rPr>
          <w:szCs w:val="24"/>
        </w:rPr>
        <w:t>, so n</w:t>
      </w:r>
      <w:r w:rsidR="000D2D61" w:rsidRPr="003673FA">
        <w:rPr>
          <w:szCs w:val="24"/>
        </w:rPr>
        <w:t>o cl</w:t>
      </w:r>
      <w:r w:rsidR="003E4C3A" w:rsidRPr="003673FA">
        <w:rPr>
          <w:szCs w:val="24"/>
        </w:rPr>
        <w:t xml:space="preserve">ear conclusions can be drawn on the effect of the </w:t>
      </w:r>
      <w:r w:rsidR="000D2D61" w:rsidRPr="003673FA">
        <w:rPr>
          <w:szCs w:val="24"/>
        </w:rPr>
        <w:t>continuous process</w:t>
      </w:r>
      <w:r w:rsidR="003E4C3A" w:rsidRPr="003673FA">
        <w:rPr>
          <w:szCs w:val="24"/>
        </w:rPr>
        <w:t xml:space="preserve"> in this regard</w:t>
      </w:r>
      <w:r w:rsidR="000D2D61" w:rsidRPr="003673FA">
        <w:rPr>
          <w:szCs w:val="24"/>
        </w:rPr>
        <w:t>.</w:t>
      </w:r>
    </w:p>
    <w:p w14:paraId="1C3232A3" w14:textId="77777777" w:rsidR="007D56FC" w:rsidRPr="003673FA" w:rsidRDefault="007D56FC" w:rsidP="0092757A">
      <w:pPr>
        <w:spacing w:line="259" w:lineRule="auto"/>
        <w:rPr>
          <w:szCs w:val="24"/>
        </w:rPr>
      </w:pPr>
    </w:p>
    <w:p w14:paraId="0163EEFA" w14:textId="652D7D59" w:rsidR="00791E06" w:rsidRPr="003673FA" w:rsidRDefault="005B01FA" w:rsidP="00791E06">
      <w:pPr>
        <w:spacing w:line="259" w:lineRule="auto"/>
        <w:rPr>
          <w:szCs w:val="24"/>
        </w:rPr>
      </w:pPr>
      <w:r w:rsidRPr="003673FA">
        <w:rPr>
          <w:szCs w:val="24"/>
        </w:rPr>
        <w:t xml:space="preserve">Stakeholder views were sought on burdens associated with the changes. </w:t>
      </w:r>
      <w:r w:rsidR="00B84A25" w:rsidRPr="003673FA">
        <w:rPr>
          <w:szCs w:val="24"/>
        </w:rPr>
        <w:t>A</w:t>
      </w:r>
      <w:r w:rsidR="007B24A6" w:rsidRPr="003673FA">
        <w:rPr>
          <w:szCs w:val="24"/>
        </w:rPr>
        <w:t xml:space="preserve"> small minority of CIs (6 per cent) and PIs (9 per cent) </w:t>
      </w:r>
      <w:r w:rsidR="001E5687" w:rsidRPr="003673FA">
        <w:rPr>
          <w:szCs w:val="24"/>
        </w:rPr>
        <w:t>associated</w:t>
      </w:r>
      <w:r w:rsidR="007B24A6" w:rsidRPr="003673FA">
        <w:rPr>
          <w:szCs w:val="24"/>
        </w:rPr>
        <w:t xml:space="preserve"> the continuous process </w:t>
      </w:r>
      <w:r w:rsidR="001E5687" w:rsidRPr="003673FA">
        <w:rPr>
          <w:szCs w:val="24"/>
        </w:rPr>
        <w:t>with</w:t>
      </w:r>
      <w:r w:rsidR="007B24A6" w:rsidRPr="003673FA">
        <w:rPr>
          <w:szCs w:val="24"/>
        </w:rPr>
        <w:t xml:space="preserve"> additional costs</w:t>
      </w:r>
      <w:r w:rsidR="00553441" w:rsidRPr="003673FA">
        <w:rPr>
          <w:szCs w:val="24"/>
        </w:rPr>
        <w:t xml:space="preserve">, as shown in </w:t>
      </w:r>
      <w:hyperlink w:anchor="Figure26" w:history="1">
        <w:r w:rsidR="00553441" w:rsidRPr="00D86564">
          <w:rPr>
            <w:rStyle w:val="Hyperlink"/>
            <w:szCs w:val="24"/>
          </w:rPr>
          <w:t xml:space="preserve">Figure </w:t>
        </w:r>
        <w:r w:rsidR="00EB37C2" w:rsidRPr="00D86564">
          <w:rPr>
            <w:rStyle w:val="Hyperlink"/>
            <w:szCs w:val="24"/>
          </w:rPr>
          <w:t>26</w:t>
        </w:r>
      </w:hyperlink>
      <w:r w:rsidR="008A0718" w:rsidRPr="003673FA">
        <w:rPr>
          <w:szCs w:val="24"/>
        </w:rPr>
        <w:t>, though these were not generally financial costs.</w:t>
      </w:r>
      <w:r w:rsidR="00B84A25" w:rsidRPr="003673FA">
        <w:rPr>
          <w:szCs w:val="24"/>
        </w:rPr>
        <w:t xml:space="preserve"> </w:t>
      </w:r>
      <w:r w:rsidR="004D6925" w:rsidRPr="003673FA">
        <w:rPr>
          <w:szCs w:val="24"/>
        </w:rPr>
        <w:t xml:space="preserve">For CIs, </w:t>
      </w:r>
      <w:r w:rsidR="008A0718" w:rsidRPr="003673FA">
        <w:rPr>
          <w:szCs w:val="24"/>
        </w:rPr>
        <w:t>costs</w:t>
      </w:r>
      <w:r w:rsidR="001E5687" w:rsidRPr="003673FA">
        <w:rPr>
          <w:szCs w:val="24"/>
        </w:rPr>
        <w:t xml:space="preserve"> included</w:t>
      </w:r>
      <w:r w:rsidR="004D6925" w:rsidRPr="003673FA">
        <w:rPr>
          <w:szCs w:val="24"/>
        </w:rPr>
        <w:t xml:space="preserve"> additional time </w:t>
      </w:r>
      <w:r w:rsidR="00264D89" w:rsidRPr="003673FA">
        <w:rPr>
          <w:szCs w:val="24"/>
        </w:rPr>
        <w:t>spent preparing applications where</w:t>
      </w:r>
      <w:r w:rsidR="003E4C3A" w:rsidRPr="003673FA">
        <w:rPr>
          <w:szCs w:val="24"/>
        </w:rPr>
        <w:t xml:space="preserve"> there </w:t>
      </w:r>
      <w:r w:rsidRPr="003673FA">
        <w:rPr>
          <w:szCs w:val="24"/>
        </w:rPr>
        <w:t>were</w:t>
      </w:r>
      <w:r w:rsidR="003E4C3A" w:rsidRPr="003673FA">
        <w:rPr>
          <w:szCs w:val="24"/>
        </w:rPr>
        <w:t xml:space="preserve"> no deadlines</w:t>
      </w:r>
      <w:r w:rsidR="008A0718" w:rsidRPr="003673FA">
        <w:rPr>
          <w:szCs w:val="24"/>
        </w:rPr>
        <w:t>,</w:t>
      </w:r>
      <w:r w:rsidR="004D6925" w:rsidRPr="003673FA">
        <w:rPr>
          <w:szCs w:val="24"/>
        </w:rPr>
        <w:t xml:space="preserve"> and developing and managing relationships with partners. For PIs, </w:t>
      </w:r>
      <w:r w:rsidR="001E5687" w:rsidRPr="003673FA">
        <w:rPr>
          <w:szCs w:val="24"/>
        </w:rPr>
        <w:t>costs</w:t>
      </w:r>
      <w:r w:rsidR="004D6925" w:rsidRPr="003673FA">
        <w:rPr>
          <w:szCs w:val="24"/>
        </w:rPr>
        <w:t xml:space="preserve"> included managing </w:t>
      </w:r>
      <w:r w:rsidR="00264D89" w:rsidRPr="003673FA">
        <w:rPr>
          <w:szCs w:val="24"/>
        </w:rPr>
        <w:t xml:space="preserve">ad hoc </w:t>
      </w:r>
      <w:r w:rsidR="004D6925" w:rsidRPr="003673FA">
        <w:rPr>
          <w:szCs w:val="24"/>
        </w:rPr>
        <w:t>requests to collaborate throughout the year and chasing university partners to</w:t>
      </w:r>
      <w:r w:rsidR="00264D89" w:rsidRPr="003673FA">
        <w:rPr>
          <w:szCs w:val="24"/>
        </w:rPr>
        <w:t xml:space="preserve"> submit applications.</w:t>
      </w:r>
      <w:r w:rsidR="00264D89" w:rsidRPr="003673FA">
        <w:rPr>
          <w:rStyle w:val="FootnoteReference"/>
          <w:szCs w:val="24"/>
        </w:rPr>
        <w:footnoteReference w:id="30"/>
      </w:r>
      <w:r w:rsidR="00791E06" w:rsidRPr="003673FA">
        <w:rPr>
          <w:szCs w:val="24"/>
        </w:rPr>
        <w:t xml:space="preserve"> </w:t>
      </w:r>
    </w:p>
    <w:p w14:paraId="7C30C7A3" w14:textId="77777777" w:rsidR="00791E06" w:rsidRPr="003673FA" w:rsidRDefault="00791E06" w:rsidP="00791E06">
      <w:pPr>
        <w:spacing w:line="259" w:lineRule="auto"/>
        <w:rPr>
          <w:szCs w:val="24"/>
        </w:rPr>
      </w:pPr>
    </w:p>
    <w:p w14:paraId="4D250365" w14:textId="4EB8AF2E" w:rsidR="00791E06" w:rsidRPr="003673FA" w:rsidRDefault="001E5687" w:rsidP="00791E06">
      <w:pPr>
        <w:spacing w:line="259" w:lineRule="auto"/>
        <w:rPr>
          <w:szCs w:val="24"/>
        </w:rPr>
      </w:pPr>
      <w:r w:rsidRPr="003673FA">
        <w:rPr>
          <w:szCs w:val="24"/>
        </w:rPr>
        <w:lastRenderedPageBreak/>
        <w:t>Despite submitting fewer applications, r</w:t>
      </w:r>
      <w:r w:rsidR="00791E06" w:rsidRPr="003673FA">
        <w:rPr>
          <w:szCs w:val="24"/>
        </w:rPr>
        <w:t xml:space="preserve">esearch office </w:t>
      </w:r>
      <w:r w:rsidR="00E577C6" w:rsidRPr="003673FA">
        <w:rPr>
          <w:szCs w:val="24"/>
        </w:rPr>
        <w:t>participant</w:t>
      </w:r>
      <w:r w:rsidR="00791E06" w:rsidRPr="003673FA">
        <w:rPr>
          <w:szCs w:val="24"/>
        </w:rPr>
        <w:t xml:space="preserve">s reported </w:t>
      </w:r>
      <w:r w:rsidRPr="003673FA">
        <w:rPr>
          <w:szCs w:val="24"/>
        </w:rPr>
        <w:t>a need</w:t>
      </w:r>
      <w:r w:rsidR="00791E06" w:rsidRPr="003673FA">
        <w:rPr>
          <w:szCs w:val="24"/>
        </w:rPr>
        <w:t xml:space="preserve"> to assign more resources to administer and follow up Linkage Projects applications throughout the year (rather than at one time)</w:t>
      </w:r>
      <w:r w:rsidR="00480754" w:rsidRPr="003673FA">
        <w:rPr>
          <w:szCs w:val="24"/>
        </w:rPr>
        <w:t>—including to encourage CIs to develop relationships and complete and submit applications</w:t>
      </w:r>
      <w:r w:rsidR="00791E06" w:rsidRPr="003673FA">
        <w:rPr>
          <w:szCs w:val="24"/>
        </w:rPr>
        <w:t xml:space="preserve">. While there is a peak in applications at the end of the year, </w:t>
      </w:r>
      <w:r w:rsidRPr="003673FA">
        <w:rPr>
          <w:szCs w:val="24"/>
        </w:rPr>
        <w:t>research offices reported</w:t>
      </w:r>
      <w:r w:rsidR="006A6697" w:rsidRPr="003673FA">
        <w:rPr>
          <w:szCs w:val="24"/>
        </w:rPr>
        <w:t xml:space="preserve"> find</w:t>
      </w:r>
      <w:r w:rsidRPr="003673FA">
        <w:rPr>
          <w:szCs w:val="24"/>
        </w:rPr>
        <w:t>ing</w:t>
      </w:r>
      <w:r w:rsidR="006A6697" w:rsidRPr="003673FA">
        <w:rPr>
          <w:szCs w:val="24"/>
        </w:rPr>
        <w:t xml:space="preserve"> it difficult</w:t>
      </w:r>
      <w:r w:rsidR="00791E06" w:rsidRPr="003673FA">
        <w:rPr>
          <w:szCs w:val="24"/>
        </w:rPr>
        <w:t xml:space="preserve"> to predict the volume and precise timeframes for which additional resources will be required.</w:t>
      </w:r>
      <w:r w:rsidR="00791E06" w:rsidRPr="003673FA">
        <w:rPr>
          <w:rStyle w:val="FootnoteReference"/>
          <w:szCs w:val="24"/>
        </w:rPr>
        <w:footnoteReference w:id="31"/>
      </w:r>
    </w:p>
    <w:p w14:paraId="11CB7F20" w14:textId="77777777" w:rsidR="008725FB" w:rsidRPr="003673FA" w:rsidRDefault="008725FB" w:rsidP="0092757A">
      <w:pPr>
        <w:spacing w:line="259" w:lineRule="auto"/>
        <w:rPr>
          <w:szCs w:val="24"/>
        </w:rPr>
      </w:pPr>
    </w:p>
    <w:p w14:paraId="075AA2DA" w14:textId="1A4B1987" w:rsidR="00CD416D" w:rsidRPr="003673FA" w:rsidRDefault="008725FB" w:rsidP="008725FB">
      <w:pPr>
        <w:pStyle w:val="Heading4"/>
      </w:pPr>
      <w:bookmarkStart w:id="69" w:name="Figure26"/>
      <w:bookmarkEnd w:id="69"/>
      <w:r w:rsidRPr="003673FA">
        <w:t xml:space="preserve">Figure </w:t>
      </w:r>
      <w:r w:rsidR="00EB37C2" w:rsidRPr="003673FA">
        <w:t>26</w:t>
      </w:r>
      <w:r w:rsidRPr="003673FA">
        <w:t>: CI and PI (involved prior) – additional costs created by continuous process</w:t>
      </w:r>
    </w:p>
    <w:p w14:paraId="0781790F" w14:textId="5CFDDD86" w:rsidR="00CD416D" w:rsidRPr="003673FA" w:rsidRDefault="005037A2" w:rsidP="0092757A">
      <w:pPr>
        <w:spacing w:line="259" w:lineRule="auto"/>
        <w:rPr>
          <w:szCs w:val="24"/>
        </w:rPr>
      </w:pPr>
      <w:r w:rsidRPr="003673FA">
        <w:rPr>
          <w:noProof/>
          <w:szCs w:val="24"/>
          <w:lang w:eastAsia="en-AU"/>
        </w:rPr>
        <w:drawing>
          <wp:inline distT="0" distB="0" distL="0" distR="0" wp14:anchorId="0DA1C256" wp14:editId="51EBCBF9">
            <wp:extent cx="4584700" cy="1329055"/>
            <wp:effectExtent l="0" t="0" r="6350" b="4445"/>
            <wp:docPr id="201" name="Picture 201" descr="Figure 26 depicts the responses of CIs (involved prior) and PIs (involved prior) regarding whether the continuous process had created additional costs." title="Figure 26: CI and PI (involved prior) – additional costs created by continuous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84700" cy="1329055"/>
                    </a:xfrm>
                    <a:prstGeom prst="rect">
                      <a:avLst/>
                    </a:prstGeom>
                    <a:noFill/>
                  </pic:spPr>
                </pic:pic>
              </a:graphicData>
            </a:graphic>
          </wp:inline>
        </w:drawing>
      </w:r>
    </w:p>
    <w:p w14:paraId="3634A862" w14:textId="413CFE1E" w:rsidR="008725FB" w:rsidRPr="003673FA" w:rsidRDefault="008725FB" w:rsidP="008725FB">
      <w:pPr>
        <w:spacing w:line="259" w:lineRule="auto"/>
        <w:rPr>
          <w:szCs w:val="24"/>
        </w:rPr>
      </w:pPr>
      <w:r w:rsidRPr="003673FA">
        <w:rPr>
          <w:sz w:val="20"/>
          <w:szCs w:val="20"/>
        </w:rPr>
        <w:t xml:space="preserve">Source: ACIL Allen Consulting. </w:t>
      </w:r>
      <w:r w:rsidRPr="003673FA">
        <w:rPr>
          <w:i/>
          <w:sz w:val="20"/>
          <w:szCs w:val="20"/>
        </w:rPr>
        <w:t>Note: n=184 CIs and n=53 PIs who had been involved prior to the continuous process.</w:t>
      </w:r>
    </w:p>
    <w:p w14:paraId="0AE3F33F" w14:textId="0885EABC" w:rsidR="00CD416D" w:rsidRPr="003673FA" w:rsidRDefault="00CD416D" w:rsidP="0092757A">
      <w:pPr>
        <w:spacing w:line="259" w:lineRule="auto"/>
        <w:rPr>
          <w:szCs w:val="24"/>
        </w:rPr>
      </w:pPr>
    </w:p>
    <w:p w14:paraId="29D978F4" w14:textId="66BA9A36" w:rsidR="002D62AA" w:rsidRPr="003673FA" w:rsidRDefault="00964093" w:rsidP="0092757A">
      <w:pPr>
        <w:spacing w:line="259" w:lineRule="auto"/>
        <w:rPr>
          <w:szCs w:val="24"/>
        </w:rPr>
      </w:pPr>
      <w:r w:rsidRPr="003673FA">
        <w:rPr>
          <w:szCs w:val="24"/>
        </w:rPr>
        <w:t>Participants were asked if their</w:t>
      </w:r>
      <w:r w:rsidR="00E9542B" w:rsidRPr="003673FA">
        <w:rPr>
          <w:szCs w:val="24"/>
        </w:rPr>
        <w:t xml:space="preserve"> university or organisation</w:t>
      </w:r>
      <w:r w:rsidRPr="003673FA">
        <w:rPr>
          <w:szCs w:val="24"/>
        </w:rPr>
        <w:t>’s internal</w:t>
      </w:r>
      <w:r w:rsidR="00E9542B" w:rsidRPr="003673FA">
        <w:rPr>
          <w:szCs w:val="24"/>
        </w:rPr>
        <w:t xml:space="preserve"> </w:t>
      </w:r>
      <w:r w:rsidRPr="003673FA">
        <w:rPr>
          <w:szCs w:val="24"/>
        </w:rPr>
        <w:t xml:space="preserve">and quality control </w:t>
      </w:r>
      <w:r w:rsidR="00E9542B" w:rsidRPr="003673FA">
        <w:rPr>
          <w:szCs w:val="24"/>
        </w:rPr>
        <w:t xml:space="preserve">processes for </w:t>
      </w:r>
      <w:r w:rsidRPr="003673FA">
        <w:rPr>
          <w:szCs w:val="24"/>
        </w:rPr>
        <w:t>research applications have been affected by the continuous process. Only five PIs responded that they had. By contrast, 36 per cent of CIs perceived a change in university processes, 31 percent perceived no change and the remainder (33 per cent) were unsure.</w:t>
      </w:r>
      <w:r w:rsidRPr="003673FA">
        <w:rPr>
          <w:rStyle w:val="FootnoteReference"/>
          <w:szCs w:val="24"/>
        </w:rPr>
        <w:footnoteReference w:id="32"/>
      </w:r>
      <w:r w:rsidR="002D62AA" w:rsidRPr="003673FA">
        <w:rPr>
          <w:szCs w:val="24"/>
        </w:rPr>
        <w:t xml:space="preserve"> </w:t>
      </w:r>
      <w:r w:rsidR="00A47B45" w:rsidRPr="003673FA">
        <w:rPr>
          <w:szCs w:val="24"/>
        </w:rPr>
        <w:t>Among CIs who provided additional comments</w:t>
      </w:r>
      <w:r w:rsidR="008E5FBF" w:rsidRPr="003673FA">
        <w:rPr>
          <w:szCs w:val="24"/>
        </w:rPr>
        <w:t>, the most common</w:t>
      </w:r>
      <w:r w:rsidR="00A47B45" w:rsidRPr="003673FA">
        <w:rPr>
          <w:szCs w:val="24"/>
        </w:rPr>
        <w:t>ly perceived changes</w:t>
      </w:r>
      <w:r w:rsidR="008E5FBF" w:rsidRPr="003673FA">
        <w:rPr>
          <w:szCs w:val="24"/>
        </w:rPr>
        <w:t xml:space="preserve"> were the introduction of ‘batching’ of applications and altered timeframes for internal processing and review of applications.</w:t>
      </w:r>
      <w:r w:rsidR="00A47B45" w:rsidRPr="003673FA">
        <w:rPr>
          <w:szCs w:val="24"/>
        </w:rPr>
        <w:t xml:space="preserve"> ‘Batching’ </w:t>
      </w:r>
      <w:r w:rsidR="007F728B" w:rsidRPr="003673FA">
        <w:rPr>
          <w:szCs w:val="24"/>
        </w:rPr>
        <w:t xml:space="preserve">here </w:t>
      </w:r>
      <w:r w:rsidR="00A47B45" w:rsidRPr="003673FA">
        <w:rPr>
          <w:szCs w:val="24"/>
        </w:rPr>
        <w:t xml:space="preserve">refers to the creation of a series of internal university deadlines that aim to improve the administration of Linkage Projects applications and apply pressure to researchers (CIs) to complete their applications. </w:t>
      </w:r>
    </w:p>
    <w:p w14:paraId="45B7FC19" w14:textId="77777777" w:rsidR="002D62AA" w:rsidRPr="003673FA" w:rsidRDefault="002D62AA" w:rsidP="0092757A">
      <w:pPr>
        <w:spacing w:line="259" w:lineRule="auto"/>
        <w:rPr>
          <w:szCs w:val="24"/>
        </w:rPr>
      </w:pPr>
    </w:p>
    <w:p w14:paraId="62B031A9" w14:textId="18F96865" w:rsidR="008C25CD" w:rsidRPr="003673FA" w:rsidRDefault="00A47B45" w:rsidP="008C25CD">
      <w:pPr>
        <w:spacing w:line="259" w:lineRule="auto"/>
        <w:rPr>
          <w:szCs w:val="24"/>
        </w:rPr>
      </w:pPr>
      <w:r w:rsidRPr="003673FA">
        <w:rPr>
          <w:szCs w:val="24"/>
        </w:rPr>
        <w:t xml:space="preserve">Some </w:t>
      </w:r>
      <w:r w:rsidR="002D62AA" w:rsidRPr="003673FA">
        <w:rPr>
          <w:szCs w:val="24"/>
        </w:rPr>
        <w:t xml:space="preserve">research office </w:t>
      </w:r>
      <w:r w:rsidR="00E577C6" w:rsidRPr="003673FA">
        <w:rPr>
          <w:szCs w:val="24"/>
        </w:rPr>
        <w:t>participant</w:t>
      </w:r>
      <w:r w:rsidR="002D62AA" w:rsidRPr="003673FA">
        <w:rPr>
          <w:szCs w:val="24"/>
        </w:rPr>
        <w:t>s reported that their universities</w:t>
      </w:r>
      <w:r w:rsidRPr="003673FA">
        <w:rPr>
          <w:szCs w:val="24"/>
        </w:rPr>
        <w:t xml:space="preserve"> have trialled batching to manage the continuous process, but </w:t>
      </w:r>
      <w:r w:rsidR="002D62AA" w:rsidRPr="003673FA">
        <w:rPr>
          <w:szCs w:val="24"/>
        </w:rPr>
        <w:t xml:space="preserve">that </w:t>
      </w:r>
      <w:r w:rsidRPr="003673FA">
        <w:rPr>
          <w:szCs w:val="24"/>
        </w:rPr>
        <w:t>researchers tend to overlook these internally generated deadlines</w:t>
      </w:r>
      <w:r w:rsidR="0054544D" w:rsidRPr="003673FA">
        <w:rPr>
          <w:szCs w:val="24"/>
        </w:rPr>
        <w:t>, as opposed to deadlines imposed externally by the ARC</w:t>
      </w:r>
      <w:r w:rsidRPr="003673FA">
        <w:rPr>
          <w:szCs w:val="24"/>
        </w:rPr>
        <w:t>.</w:t>
      </w:r>
      <w:r w:rsidR="002D62AA" w:rsidRPr="003673FA">
        <w:rPr>
          <w:szCs w:val="24"/>
        </w:rPr>
        <w:t xml:space="preserve"> Other comments from r</w:t>
      </w:r>
      <w:r w:rsidR="008C25CD" w:rsidRPr="003673FA">
        <w:rPr>
          <w:szCs w:val="24"/>
        </w:rPr>
        <w:t xml:space="preserve">esearch office </w:t>
      </w:r>
      <w:r w:rsidR="00E577C6" w:rsidRPr="003673FA">
        <w:rPr>
          <w:szCs w:val="24"/>
        </w:rPr>
        <w:t>participant</w:t>
      </w:r>
      <w:r w:rsidR="008C25CD" w:rsidRPr="003673FA">
        <w:rPr>
          <w:szCs w:val="24"/>
        </w:rPr>
        <w:t xml:space="preserve">s </w:t>
      </w:r>
      <w:r w:rsidR="00E058B3" w:rsidRPr="003673FA">
        <w:rPr>
          <w:szCs w:val="24"/>
        </w:rPr>
        <w:t>regarding</w:t>
      </w:r>
      <w:r w:rsidR="008C25CD" w:rsidRPr="003673FA">
        <w:rPr>
          <w:szCs w:val="24"/>
        </w:rPr>
        <w:t xml:space="preserve"> changes in their processes</w:t>
      </w:r>
      <w:r w:rsidR="00E058B3" w:rsidRPr="003673FA">
        <w:rPr>
          <w:szCs w:val="24"/>
        </w:rPr>
        <w:t xml:space="preserve"> varied</w:t>
      </w:r>
      <w:r w:rsidR="008C25CD" w:rsidRPr="003673FA">
        <w:rPr>
          <w:szCs w:val="24"/>
        </w:rPr>
        <w:t xml:space="preserve">, but </w:t>
      </w:r>
      <w:r w:rsidR="002D62AA" w:rsidRPr="003673FA">
        <w:rPr>
          <w:szCs w:val="24"/>
        </w:rPr>
        <w:t>in</w:t>
      </w:r>
      <w:r w:rsidR="008C25CD" w:rsidRPr="003673FA">
        <w:rPr>
          <w:szCs w:val="24"/>
        </w:rPr>
        <w:t>cluded</w:t>
      </w:r>
      <w:r w:rsidR="002D62AA" w:rsidRPr="003673FA">
        <w:rPr>
          <w:szCs w:val="24"/>
        </w:rPr>
        <w:t xml:space="preserve"> the following </w:t>
      </w:r>
      <w:r w:rsidR="00FD5678" w:rsidRPr="003673FA">
        <w:rPr>
          <w:szCs w:val="24"/>
        </w:rPr>
        <w:t>perspectives</w:t>
      </w:r>
      <w:r w:rsidR="008C25CD" w:rsidRPr="003673FA">
        <w:rPr>
          <w:szCs w:val="24"/>
        </w:rPr>
        <w:t>:</w:t>
      </w:r>
    </w:p>
    <w:p w14:paraId="7FF25C56" w14:textId="77777777" w:rsidR="0089424A" w:rsidRPr="003673FA" w:rsidRDefault="0089424A" w:rsidP="008C25CD">
      <w:pPr>
        <w:pStyle w:val="ListParagraph"/>
        <w:numPr>
          <w:ilvl w:val="0"/>
          <w:numId w:val="22"/>
        </w:numPr>
        <w:spacing w:line="259" w:lineRule="auto"/>
        <w:rPr>
          <w:color w:val="auto"/>
          <w:szCs w:val="24"/>
        </w:rPr>
      </w:pPr>
      <w:r w:rsidRPr="003673FA">
        <w:rPr>
          <w:color w:val="auto"/>
          <w:szCs w:val="24"/>
        </w:rPr>
        <w:t>the processes of working with researchers to ensure high quality applications has not changed, but researchers need to be educated about the requirements of the Linkage Projects process more frequently</w:t>
      </w:r>
    </w:p>
    <w:p w14:paraId="4FE6F099" w14:textId="09D8AFDA" w:rsidR="008C25CD" w:rsidRPr="003673FA" w:rsidRDefault="008C25CD" w:rsidP="0089424A">
      <w:pPr>
        <w:pStyle w:val="ListParagraph"/>
        <w:numPr>
          <w:ilvl w:val="0"/>
          <w:numId w:val="22"/>
        </w:numPr>
        <w:spacing w:line="259" w:lineRule="auto"/>
        <w:rPr>
          <w:color w:val="auto"/>
          <w:szCs w:val="24"/>
        </w:rPr>
      </w:pPr>
      <w:r w:rsidRPr="003673FA">
        <w:rPr>
          <w:color w:val="auto"/>
          <w:szCs w:val="24"/>
        </w:rPr>
        <w:t>Linkage Projects applications are disadvantaged because, without hard deadlines, they are not prioritised</w:t>
      </w:r>
      <w:r w:rsidR="00406EAA" w:rsidRPr="003673FA">
        <w:rPr>
          <w:color w:val="auto"/>
          <w:szCs w:val="24"/>
        </w:rPr>
        <w:t xml:space="preserve"> when there are many other deadlines to contend with</w:t>
      </w:r>
      <w:r w:rsidR="0089424A" w:rsidRPr="003673FA">
        <w:rPr>
          <w:color w:val="auto"/>
          <w:szCs w:val="24"/>
        </w:rPr>
        <w:t>.</w:t>
      </w:r>
      <w:r w:rsidRPr="003673FA">
        <w:rPr>
          <w:rStyle w:val="FootnoteReference"/>
          <w:color w:val="auto"/>
          <w:szCs w:val="24"/>
        </w:rPr>
        <w:footnoteReference w:id="33"/>
      </w:r>
    </w:p>
    <w:p w14:paraId="3C00C0EF" w14:textId="77777777" w:rsidR="00AE2630" w:rsidRPr="003673FA" w:rsidRDefault="00AE2630" w:rsidP="0092757A">
      <w:pPr>
        <w:spacing w:line="259" w:lineRule="auto"/>
        <w:rPr>
          <w:szCs w:val="24"/>
        </w:rPr>
      </w:pPr>
    </w:p>
    <w:p w14:paraId="60F592FC" w14:textId="77777777" w:rsidR="006C5FCC" w:rsidRPr="003673FA" w:rsidRDefault="00DC4DE4" w:rsidP="0092757A">
      <w:pPr>
        <w:spacing w:line="259" w:lineRule="auto"/>
        <w:rPr>
          <w:szCs w:val="24"/>
        </w:rPr>
      </w:pPr>
      <w:r w:rsidRPr="003673FA">
        <w:rPr>
          <w:szCs w:val="24"/>
        </w:rPr>
        <w:t>At a more general level, w</w:t>
      </w:r>
      <w:r w:rsidR="00AE2630" w:rsidRPr="003673FA">
        <w:rPr>
          <w:szCs w:val="24"/>
        </w:rPr>
        <w:t>hen</w:t>
      </w:r>
      <w:r w:rsidR="00862AED" w:rsidRPr="003673FA">
        <w:rPr>
          <w:szCs w:val="24"/>
        </w:rPr>
        <w:t xml:space="preserve"> </w:t>
      </w:r>
      <w:r w:rsidR="00AE2630" w:rsidRPr="003673FA">
        <w:rPr>
          <w:szCs w:val="24"/>
        </w:rPr>
        <w:t xml:space="preserve">asked about the consequences of moving to the continuous process, </w:t>
      </w:r>
      <w:r w:rsidR="003B2670" w:rsidRPr="003673FA">
        <w:rPr>
          <w:szCs w:val="24"/>
        </w:rPr>
        <w:t xml:space="preserve">67 per cent of CIs and 61 per cent of PIs reported </w:t>
      </w:r>
      <w:r w:rsidR="003B6516" w:rsidRPr="003673FA">
        <w:rPr>
          <w:szCs w:val="24"/>
        </w:rPr>
        <w:t xml:space="preserve">encountering </w:t>
      </w:r>
      <w:r w:rsidR="003B2670" w:rsidRPr="003673FA">
        <w:rPr>
          <w:szCs w:val="24"/>
        </w:rPr>
        <w:t xml:space="preserve">positive consequences, while only 13 per cent of CIs and 15 per cent of PIs reported </w:t>
      </w:r>
      <w:r w:rsidR="003B6516" w:rsidRPr="003673FA">
        <w:rPr>
          <w:szCs w:val="24"/>
        </w:rPr>
        <w:t xml:space="preserve">encountering </w:t>
      </w:r>
      <w:r w:rsidR="003B2670" w:rsidRPr="003673FA">
        <w:rPr>
          <w:szCs w:val="24"/>
        </w:rPr>
        <w:t>challenges or negative consequences.</w:t>
      </w:r>
      <w:r w:rsidR="003B2670" w:rsidRPr="003673FA">
        <w:rPr>
          <w:rStyle w:val="FootnoteReference"/>
          <w:szCs w:val="24"/>
        </w:rPr>
        <w:footnoteReference w:id="34"/>
      </w:r>
      <w:r w:rsidRPr="003673FA">
        <w:rPr>
          <w:szCs w:val="24"/>
        </w:rPr>
        <w:t xml:space="preserve"> </w:t>
      </w:r>
    </w:p>
    <w:p w14:paraId="6CB5135F" w14:textId="77777777" w:rsidR="006C5FCC" w:rsidRPr="003673FA" w:rsidRDefault="006C5FCC" w:rsidP="0092757A">
      <w:pPr>
        <w:spacing w:line="259" w:lineRule="auto"/>
        <w:rPr>
          <w:szCs w:val="24"/>
        </w:rPr>
      </w:pPr>
    </w:p>
    <w:p w14:paraId="6E06168D" w14:textId="1F13FBF2" w:rsidR="00F10418" w:rsidRPr="003673FA" w:rsidRDefault="0054544D" w:rsidP="0092757A">
      <w:pPr>
        <w:spacing w:line="259" w:lineRule="auto"/>
        <w:rPr>
          <w:szCs w:val="24"/>
        </w:rPr>
      </w:pPr>
      <w:r w:rsidRPr="003673FA">
        <w:rPr>
          <w:szCs w:val="24"/>
        </w:rPr>
        <w:lastRenderedPageBreak/>
        <w:t>T</w:t>
      </w:r>
      <w:r w:rsidR="00DC4DE4" w:rsidRPr="003673FA">
        <w:rPr>
          <w:szCs w:val="24"/>
        </w:rPr>
        <w:t xml:space="preserve">he </w:t>
      </w:r>
      <w:r w:rsidR="008509CA" w:rsidRPr="003673FA">
        <w:rPr>
          <w:szCs w:val="24"/>
        </w:rPr>
        <w:t>positive consequences</w:t>
      </w:r>
      <w:r w:rsidR="00DC4DE4" w:rsidRPr="003673FA">
        <w:rPr>
          <w:szCs w:val="24"/>
        </w:rPr>
        <w:t xml:space="preserve"> </w:t>
      </w:r>
      <w:r w:rsidRPr="003673FA">
        <w:rPr>
          <w:szCs w:val="24"/>
        </w:rPr>
        <w:t xml:space="preserve">identified by CIs </w:t>
      </w:r>
      <w:r w:rsidR="00DC4DE4" w:rsidRPr="003673FA">
        <w:rPr>
          <w:szCs w:val="24"/>
        </w:rPr>
        <w:t>included</w:t>
      </w:r>
      <w:r w:rsidR="00862AED" w:rsidRPr="003673FA">
        <w:rPr>
          <w:szCs w:val="24"/>
        </w:rPr>
        <w:t xml:space="preserve"> </w:t>
      </w:r>
      <w:r w:rsidRPr="003673FA">
        <w:rPr>
          <w:szCs w:val="24"/>
        </w:rPr>
        <w:t xml:space="preserve">the </w:t>
      </w:r>
      <w:r w:rsidR="00862AED" w:rsidRPr="003673FA">
        <w:rPr>
          <w:szCs w:val="24"/>
        </w:rPr>
        <w:t>additional</w:t>
      </w:r>
      <w:r w:rsidR="00DC4DE4" w:rsidRPr="003673FA">
        <w:rPr>
          <w:szCs w:val="24"/>
        </w:rPr>
        <w:t xml:space="preserve"> flexibility to spend more time on applications, manage workloads </w:t>
      </w:r>
      <w:r w:rsidRPr="003673FA">
        <w:rPr>
          <w:szCs w:val="24"/>
        </w:rPr>
        <w:t xml:space="preserve">associated with </w:t>
      </w:r>
      <w:r w:rsidR="00862AED" w:rsidRPr="003673FA">
        <w:rPr>
          <w:szCs w:val="24"/>
        </w:rPr>
        <w:t>writing</w:t>
      </w:r>
      <w:r w:rsidR="00DC4DE4" w:rsidRPr="003673FA">
        <w:rPr>
          <w:szCs w:val="24"/>
        </w:rPr>
        <w:t xml:space="preserve"> </w:t>
      </w:r>
      <w:r w:rsidRPr="003673FA">
        <w:rPr>
          <w:szCs w:val="24"/>
        </w:rPr>
        <w:t xml:space="preserve">different </w:t>
      </w:r>
      <w:r w:rsidR="00DC4DE4" w:rsidRPr="003673FA">
        <w:rPr>
          <w:szCs w:val="24"/>
        </w:rPr>
        <w:t>grant applications, develop relationships with partners and respond to partners’ timelines.</w:t>
      </w:r>
      <w:r w:rsidR="00862AED" w:rsidRPr="003673FA">
        <w:rPr>
          <w:szCs w:val="24"/>
        </w:rPr>
        <w:t xml:space="preserve"> </w:t>
      </w:r>
      <w:r w:rsidR="00A6567B" w:rsidRPr="003673FA">
        <w:rPr>
          <w:szCs w:val="24"/>
        </w:rPr>
        <w:t>C</w:t>
      </w:r>
      <w:r w:rsidR="00862AED" w:rsidRPr="003673FA">
        <w:rPr>
          <w:szCs w:val="24"/>
        </w:rPr>
        <w:t>hallenges identified by CIs related to the lack of deadlines</w:t>
      </w:r>
      <w:r w:rsidR="00217AEF" w:rsidRPr="003673FA">
        <w:rPr>
          <w:szCs w:val="24"/>
        </w:rPr>
        <w:t>—</w:t>
      </w:r>
      <w:r w:rsidR="00862AED" w:rsidRPr="003673FA">
        <w:rPr>
          <w:szCs w:val="24"/>
        </w:rPr>
        <w:t xml:space="preserve">including applications taking longer to complete, fewer applications being completed, </w:t>
      </w:r>
      <w:r w:rsidR="00217AEF" w:rsidRPr="003673FA">
        <w:rPr>
          <w:szCs w:val="24"/>
        </w:rPr>
        <w:t xml:space="preserve">and </w:t>
      </w:r>
      <w:r w:rsidR="00862AED" w:rsidRPr="003673FA">
        <w:rPr>
          <w:szCs w:val="24"/>
        </w:rPr>
        <w:t>diffi</w:t>
      </w:r>
      <w:r w:rsidR="00217AEF" w:rsidRPr="003673FA">
        <w:rPr>
          <w:szCs w:val="24"/>
        </w:rPr>
        <w:t>culties in keeping other investigators, partners and research offices focused on timeframes—</w:t>
      </w:r>
      <w:r w:rsidR="00A6567B" w:rsidRPr="003673FA">
        <w:rPr>
          <w:szCs w:val="24"/>
        </w:rPr>
        <w:t xml:space="preserve">as well as concerns about the quality and consistency of </w:t>
      </w:r>
      <w:r w:rsidR="006C5FCC" w:rsidRPr="003673FA">
        <w:rPr>
          <w:szCs w:val="24"/>
        </w:rPr>
        <w:t xml:space="preserve">assessment processes and the lack </w:t>
      </w:r>
      <w:r w:rsidR="006E17E4" w:rsidRPr="003673FA">
        <w:rPr>
          <w:szCs w:val="24"/>
        </w:rPr>
        <w:t xml:space="preserve">(or delay) </w:t>
      </w:r>
      <w:r w:rsidR="006C5FCC" w:rsidRPr="003673FA">
        <w:rPr>
          <w:szCs w:val="24"/>
        </w:rPr>
        <w:t xml:space="preserve">of feedback provided on </w:t>
      </w:r>
      <w:r w:rsidR="006E17E4" w:rsidRPr="003673FA">
        <w:rPr>
          <w:szCs w:val="24"/>
        </w:rPr>
        <w:t xml:space="preserve">the rating of </w:t>
      </w:r>
      <w:r w:rsidR="006C5FCC" w:rsidRPr="003673FA">
        <w:rPr>
          <w:szCs w:val="24"/>
        </w:rPr>
        <w:t>unsuccessful applications.</w:t>
      </w:r>
    </w:p>
    <w:p w14:paraId="72139AF9" w14:textId="59E0195B" w:rsidR="00F10418" w:rsidRPr="003673FA" w:rsidRDefault="00F10418" w:rsidP="0092757A">
      <w:pPr>
        <w:spacing w:line="259" w:lineRule="auto"/>
        <w:rPr>
          <w:szCs w:val="24"/>
        </w:rPr>
      </w:pPr>
    </w:p>
    <w:p w14:paraId="0539A588" w14:textId="0D565302" w:rsidR="006C5FCC" w:rsidRPr="003673FA" w:rsidRDefault="006C5FCC" w:rsidP="0092757A">
      <w:pPr>
        <w:spacing w:line="259" w:lineRule="auto"/>
        <w:rPr>
          <w:szCs w:val="24"/>
        </w:rPr>
      </w:pPr>
      <w:r w:rsidRPr="003673FA">
        <w:rPr>
          <w:szCs w:val="24"/>
        </w:rPr>
        <w:t xml:space="preserve">Comments from PIs also emphasised </w:t>
      </w:r>
      <w:r w:rsidR="005E215B" w:rsidRPr="003673FA">
        <w:rPr>
          <w:szCs w:val="24"/>
        </w:rPr>
        <w:t xml:space="preserve">the benefits of </w:t>
      </w:r>
      <w:r w:rsidRPr="003673FA">
        <w:rPr>
          <w:szCs w:val="24"/>
        </w:rPr>
        <w:t xml:space="preserve">additional flexibility, </w:t>
      </w:r>
      <w:r w:rsidR="00BF3726" w:rsidRPr="003673FA">
        <w:rPr>
          <w:szCs w:val="24"/>
        </w:rPr>
        <w:t>ability to align applications wit</w:t>
      </w:r>
      <w:r w:rsidR="005E215B" w:rsidRPr="003673FA">
        <w:rPr>
          <w:szCs w:val="24"/>
        </w:rPr>
        <w:t xml:space="preserve">h industry timeframes (including </w:t>
      </w:r>
      <w:r w:rsidR="00AC3BDD" w:rsidRPr="003673FA">
        <w:rPr>
          <w:szCs w:val="24"/>
        </w:rPr>
        <w:t xml:space="preserve">planning and </w:t>
      </w:r>
      <w:r w:rsidR="005E215B" w:rsidRPr="003673FA">
        <w:rPr>
          <w:szCs w:val="24"/>
        </w:rPr>
        <w:t>budget)</w:t>
      </w:r>
      <w:r w:rsidR="00923871" w:rsidRPr="003673FA">
        <w:rPr>
          <w:szCs w:val="24"/>
        </w:rPr>
        <w:t>,</w:t>
      </w:r>
      <w:r w:rsidR="005E215B" w:rsidRPr="003673FA">
        <w:rPr>
          <w:szCs w:val="24"/>
        </w:rPr>
        <w:t xml:space="preserve"> </w:t>
      </w:r>
      <w:proofErr w:type="gramStart"/>
      <w:r w:rsidRPr="003673FA">
        <w:rPr>
          <w:szCs w:val="24"/>
        </w:rPr>
        <w:t>time</w:t>
      </w:r>
      <w:proofErr w:type="gramEnd"/>
      <w:r w:rsidRPr="003673FA">
        <w:rPr>
          <w:szCs w:val="24"/>
        </w:rPr>
        <w:t xml:space="preserve"> to </w:t>
      </w:r>
      <w:r w:rsidR="005E215B" w:rsidRPr="003673FA">
        <w:rPr>
          <w:szCs w:val="24"/>
        </w:rPr>
        <w:t>develop better partnerships and applications, and the ability to develop more applicatio</w:t>
      </w:r>
      <w:r w:rsidR="006239EE" w:rsidRPr="003673FA">
        <w:rPr>
          <w:szCs w:val="24"/>
        </w:rPr>
        <w:t>ns. C</w:t>
      </w:r>
      <w:r w:rsidR="005E215B" w:rsidRPr="003673FA">
        <w:rPr>
          <w:szCs w:val="24"/>
        </w:rPr>
        <w:t xml:space="preserve">hallenges </w:t>
      </w:r>
      <w:r w:rsidR="00D042EE" w:rsidRPr="003673FA">
        <w:rPr>
          <w:szCs w:val="24"/>
        </w:rPr>
        <w:t xml:space="preserve">identified by </w:t>
      </w:r>
      <w:r w:rsidR="006239EE" w:rsidRPr="003673FA">
        <w:rPr>
          <w:szCs w:val="24"/>
        </w:rPr>
        <w:t>PIs related to</w:t>
      </w:r>
      <w:r w:rsidR="005E215B" w:rsidRPr="003673FA">
        <w:rPr>
          <w:szCs w:val="24"/>
        </w:rPr>
        <w:t xml:space="preserve"> assessing and </w:t>
      </w:r>
      <w:r w:rsidR="00AC3BDD" w:rsidRPr="003673FA">
        <w:rPr>
          <w:szCs w:val="24"/>
        </w:rPr>
        <w:t>prioritising opportunities (with</w:t>
      </w:r>
      <w:r w:rsidR="00BF3726" w:rsidRPr="003673FA">
        <w:rPr>
          <w:szCs w:val="24"/>
        </w:rPr>
        <w:t xml:space="preserve"> continual approaches from academics), lack of alignment with their </w:t>
      </w:r>
      <w:r w:rsidR="00AA34C8" w:rsidRPr="003673FA">
        <w:rPr>
          <w:szCs w:val="24"/>
        </w:rPr>
        <w:t xml:space="preserve">internal </w:t>
      </w:r>
      <w:r w:rsidR="00BF3726" w:rsidRPr="003673FA">
        <w:rPr>
          <w:szCs w:val="24"/>
        </w:rPr>
        <w:t>process</w:t>
      </w:r>
      <w:r w:rsidR="00AA34C8" w:rsidRPr="003673FA">
        <w:rPr>
          <w:szCs w:val="24"/>
        </w:rPr>
        <w:t>es and</w:t>
      </w:r>
      <w:r w:rsidR="00BF3726" w:rsidRPr="003673FA">
        <w:rPr>
          <w:szCs w:val="24"/>
        </w:rPr>
        <w:t xml:space="preserve"> timelines, difficulty maintaining interest and engagement without deadlines, and the length of the ARC process.</w:t>
      </w:r>
    </w:p>
    <w:p w14:paraId="3C9923BE" w14:textId="7922A3EC" w:rsidR="00347361" w:rsidRPr="003673FA" w:rsidRDefault="00347361" w:rsidP="0092757A">
      <w:pPr>
        <w:spacing w:line="259" w:lineRule="auto"/>
        <w:rPr>
          <w:szCs w:val="24"/>
        </w:rPr>
      </w:pPr>
    </w:p>
    <w:p w14:paraId="73AEAF15" w14:textId="42777B13" w:rsidR="00D06182" w:rsidRPr="003673FA" w:rsidRDefault="009A208F" w:rsidP="0092757A">
      <w:pPr>
        <w:spacing w:line="259" w:lineRule="auto"/>
        <w:rPr>
          <w:szCs w:val="24"/>
        </w:rPr>
      </w:pPr>
      <w:r w:rsidRPr="003673FA">
        <w:rPr>
          <w:szCs w:val="24"/>
        </w:rPr>
        <w:t xml:space="preserve">While </w:t>
      </w:r>
      <w:r w:rsidR="00D06182" w:rsidRPr="003673FA">
        <w:rPr>
          <w:szCs w:val="24"/>
        </w:rPr>
        <w:t xml:space="preserve">Research office </w:t>
      </w:r>
      <w:r w:rsidR="00E577C6" w:rsidRPr="003673FA">
        <w:rPr>
          <w:szCs w:val="24"/>
        </w:rPr>
        <w:t>participant</w:t>
      </w:r>
      <w:r w:rsidR="00D06182" w:rsidRPr="003673FA">
        <w:rPr>
          <w:szCs w:val="24"/>
        </w:rPr>
        <w:t xml:space="preserve">s, CIs and PIs </w:t>
      </w:r>
      <w:r w:rsidRPr="003673FA">
        <w:rPr>
          <w:szCs w:val="24"/>
        </w:rPr>
        <w:t>provided views on the timeliness of the continuous process</w:t>
      </w:r>
      <w:r w:rsidR="00377DA5" w:rsidRPr="003673FA">
        <w:rPr>
          <w:szCs w:val="24"/>
        </w:rPr>
        <w:t xml:space="preserve"> (</w:t>
      </w:r>
      <w:r w:rsidRPr="003673FA">
        <w:rPr>
          <w:szCs w:val="24"/>
        </w:rPr>
        <w:t>as outlined below</w:t>
      </w:r>
      <w:r w:rsidR="00377DA5" w:rsidRPr="003673FA">
        <w:rPr>
          <w:szCs w:val="24"/>
        </w:rPr>
        <w:t>)</w:t>
      </w:r>
      <w:r w:rsidRPr="003673FA">
        <w:rPr>
          <w:szCs w:val="24"/>
        </w:rPr>
        <w:t xml:space="preserve">, they </w:t>
      </w:r>
      <w:r w:rsidR="00D06182" w:rsidRPr="003673FA">
        <w:rPr>
          <w:szCs w:val="24"/>
        </w:rPr>
        <w:t xml:space="preserve">were not specifically asked about the effectiveness </w:t>
      </w:r>
      <w:r w:rsidR="00377DA5" w:rsidRPr="003673FA">
        <w:rPr>
          <w:szCs w:val="24"/>
        </w:rPr>
        <w:t xml:space="preserve">and </w:t>
      </w:r>
      <w:r w:rsidRPr="003673FA">
        <w:rPr>
          <w:szCs w:val="24"/>
        </w:rPr>
        <w:t xml:space="preserve">efficiency </w:t>
      </w:r>
      <w:r w:rsidR="00D06182" w:rsidRPr="003673FA">
        <w:rPr>
          <w:szCs w:val="24"/>
        </w:rPr>
        <w:t xml:space="preserve">of </w:t>
      </w:r>
      <w:r w:rsidR="00377DA5" w:rsidRPr="003673FA">
        <w:rPr>
          <w:szCs w:val="24"/>
        </w:rPr>
        <w:t xml:space="preserve">the process for </w:t>
      </w:r>
      <w:r w:rsidR="00D06182" w:rsidRPr="003673FA">
        <w:rPr>
          <w:szCs w:val="24"/>
        </w:rPr>
        <w:t xml:space="preserve">fast tracking applications. </w:t>
      </w:r>
      <w:r w:rsidR="00377DA5" w:rsidRPr="003673FA">
        <w:rPr>
          <w:szCs w:val="24"/>
        </w:rPr>
        <w:t>This</w:t>
      </w:r>
      <w:r w:rsidR="00D06182" w:rsidRPr="003673FA">
        <w:rPr>
          <w:szCs w:val="24"/>
        </w:rPr>
        <w:t xml:space="preserve"> was a focus in </w:t>
      </w:r>
      <w:r w:rsidRPr="003673FA">
        <w:rPr>
          <w:szCs w:val="24"/>
        </w:rPr>
        <w:t xml:space="preserve">the </w:t>
      </w:r>
      <w:r w:rsidR="00D06182" w:rsidRPr="003673FA">
        <w:rPr>
          <w:szCs w:val="24"/>
        </w:rPr>
        <w:t xml:space="preserve">detailed assessor </w:t>
      </w:r>
      <w:r w:rsidRPr="003673FA">
        <w:rPr>
          <w:szCs w:val="24"/>
        </w:rPr>
        <w:t>and SAC member surveys discussed under evaluation question 6</w:t>
      </w:r>
      <w:r w:rsidR="00D06182" w:rsidRPr="003673FA">
        <w:rPr>
          <w:szCs w:val="24"/>
        </w:rPr>
        <w:t>.</w:t>
      </w:r>
    </w:p>
    <w:p w14:paraId="60C28F99" w14:textId="77777777" w:rsidR="0086423E" w:rsidRPr="003673FA" w:rsidRDefault="0086423E" w:rsidP="0092757A">
      <w:pPr>
        <w:spacing w:line="259" w:lineRule="auto"/>
        <w:rPr>
          <w:szCs w:val="24"/>
        </w:rPr>
      </w:pPr>
    </w:p>
    <w:p w14:paraId="020085E8" w14:textId="5D575A18" w:rsidR="005D392C" w:rsidRPr="003673FA" w:rsidRDefault="00032B53" w:rsidP="00032B53">
      <w:pPr>
        <w:pStyle w:val="Heading3"/>
      </w:pPr>
      <w:r w:rsidRPr="003673FA">
        <w:t>T</w:t>
      </w:r>
      <w:r w:rsidR="005D392C" w:rsidRPr="003673FA">
        <w:t>imeliness of announcements</w:t>
      </w:r>
      <w:r w:rsidR="00480754" w:rsidRPr="003673FA">
        <w:t xml:space="preserve"> and administration of funding</w:t>
      </w:r>
    </w:p>
    <w:p w14:paraId="2A52CAC2" w14:textId="133BD3C6" w:rsidR="000A408C" w:rsidRPr="003673FA" w:rsidRDefault="000A408C" w:rsidP="000A408C">
      <w:pPr>
        <w:spacing w:line="259" w:lineRule="auto"/>
        <w:rPr>
          <w:szCs w:val="24"/>
        </w:rPr>
      </w:pPr>
    </w:p>
    <w:p w14:paraId="79381324" w14:textId="07CC2ACB" w:rsidR="00B9330E" w:rsidRPr="003673FA" w:rsidRDefault="00B9330E" w:rsidP="000A408C">
      <w:pPr>
        <w:spacing w:line="259" w:lineRule="auto"/>
        <w:rPr>
          <w:szCs w:val="24"/>
        </w:rPr>
      </w:pPr>
      <w:r w:rsidRPr="003673FA">
        <w:rPr>
          <w:szCs w:val="24"/>
        </w:rPr>
        <w:t xml:space="preserve">In general, the majority of stakeholders expressed satisfaction with the ARC’s administration of the continuous process. For example, </w:t>
      </w:r>
      <w:r w:rsidR="00E75A42" w:rsidRPr="003673FA">
        <w:rPr>
          <w:szCs w:val="24"/>
        </w:rPr>
        <w:t xml:space="preserve">when CIs were asked about their satisfaction with the ARC’s communication during the application process, 78 per cent </w:t>
      </w:r>
      <w:r w:rsidRPr="003673FA">
        <w:rPr>
          <w:szCs w:val="24"/>
        </w:rPr>
        <w:t>reported that they were ‘satisfied’, ‘very satisfied’ or ‘extremely satisfied’</w:t>
      </w:r>
      <w:r w:rsidR="00532727" w:rsidRPr="003673FA">
        <w:rPr>
          <w:szCs w:val="24"/>
        </w:rPr>
        <w:t>,</w:t>
      </w:r>
      <w:r w:rsidR="00532727" w:rsidRPr="003673FA">
        <w:rPr>
          <w:rStyle w:val="FootnoteReference"/>
          <w:szCs w:val="24"/>
        </w:rPr>
        <w:footnoteReference w:id="35"/>
      </w:r>
      <w:r w:rsidR="00532727" w:rsidRPr="003673FA">
        <w:rPr>
          <w:szCs w:val="24"/>
        </w:rPr>
        <w:t xml:space="preserve"> although as </w:t>
      </w:r>
      <w:hyperlink w:anchor="Figure27" w:history="1">
        <w:r w:rsidRPr="00D86564">
          <w:rPr>
            <w:rStyle w:val="Hyperlink"/>
            <w:szCs w:val="24"/>
          </w:rPr>
          <w:t xml:space="preserve">Figure </w:t>
        </w:r>
        <w:r w:rsidR="00EB37C2" w:rsidRPr="00D86564">
          <w:rPr>
            <w:rStyle w:val="Hyperlink"/>
            <w:szCs w:val="24"/>
          </w:rPr>
          <w:t>27</w:t>
        </w:r>
      </w:hyperlink>
      <w:r w:rsidR="00532727" w:rsidRPr="003673FA">
        <w:rPr>
          <w:szCs w:val="24"/>
        </w:rPr>
        <w:t xml:space="preserve"> shows,</w:t>
      </w:r>
      <w:r w:rsidRPr="003673FA">
        <w:rPr>
          <w:szCs w:val="24"/>
        </w:rPr>
        <w:t xml:space="preserve"> </w:t>
      </w:r>
      <w:r w:rsidR="00532727" w:rsidRPr="003673FA">
        <w:rPr>
          <w:szCs w:val="24"/>
        </w:rPr>
        <w:t>there was greater satisfaction among CIs who had not been involved prior to the continuous process.</w:t>
      </w:r>
    </w:p>
    <w:p w14:paraId="19480C4D" w14:textId="77777777" w:rsidR="00532727" w:rsidRPr="003673FA" w:rsidRDefault="00532727" w:rsidP="000A408C">
      <w:pPr>
        <w:spacing w:line="259" w:lineRule="auto"/>
        <w:rPr>
          <w:szCs w:val="24"/>
        </w:rPr>
      </w:pPr>
    </w:p>
    <w:p w14:paraId="3B523DAB" w14:textId="7E40E47C" w:rsidR="00B9330E" w:rsidRPr="003673FA" w:rsidRDefault="00B9330E" w:rsidP="00B9330E">
      <w:pPr>
        <w:pStyle w:val="Heading4"/>
      </w:pPr>
      <w:bookmarkStart w:id="70" w:name="Figure27"/>
      <w:bookmarkEnd w:id="70"/>
      <w:r w:rsidRPr="003673FA">
        <w:t xml:space="preserve">Figure </w:t>
      </w:r>
      <w:r w:rsidR="00EB37C2" w:rsidRPr="003673FA">
        <w:t>27</w:t>
      </w:r>
      <w:r w:rsidRPr="003673FA">
        <w:t>: CI satisfaction with ARC communication during the application process</w:t>
      </w:r>
    </w:p>
    <w:p w14:paraId="5D14A92D" w14:textId="42845775" w:rsidR="00B9330E" w:rsidRPr="003673FA" w:rsidRDefault="005037A2" w:rsidP="00B9330E">
      <w:pPr>
        <w:spacing w:line="259" w:lineRule="auto"/>
        <w:rPr>
          <w:szCs w:val="24"/>
        </w:rPr>
      </w:pPr>
      <w:r w:rsidRPr="003673FA">
        <w:rPr>
          <w:noProof/>
          <w:szCs w:val="24"/>
          <w:lang w:eastAsia="en-AU"/>
        </w:rPr>
        <w:drawing>
          <wp:inline distT="0" distB="0" distL="0" distR="0" wp14:anchorId="6B91E442" wp14:editId="2E743A1B">
            <wp:extent cx="4584700" cy="1505585"/>
            <wp:effectExtent l="0" t="0" r="6350" b="0"/>
            <wp:docPr id="202" name="Picture 202" descr="Figure 27 depicts the responses of CIs inovlved prior and CIs not involved prior regarding their levels of satisfaction with ARC communication during the application process." title="Figure 27: CI satisfaction with ARC communication during the application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84700" cy="1505585"/>
                    </a:xfrm>
                    <a:prstGeom prst="rect">
                      <a:avLst/>
                    </a:prstGeom>
                    <a:noFill/>
                  </pic:spPr>
                </pic:pic>
              </a:graphicData>
            </a:graphic>
          </wp:inline>
        </w:drawing>
      </w:r>
    </w:p>
    <w:p w14:paraId="7CAB1E4D" w14:textId="0E647066" w:rsidR="00B9330E" w:rsidRPr="003673FA" w:rsidRDefault="00B9330E" w:rsidP="00B9330E">
      <w:pPr>
        <w:spacing w:line="259" w:lineRule="auto"/>
        <w:rPr>
          <w:szCs w:val="24"/>
        </w:rPr>
      </w:pPr>
      <w:r w:rsidRPr="003673FA">
        <w:rPr>
          <w:sz w:val="20"/>
          <w:szCs w:val="20"/>
        </w:rPr>
        <w:t xml:space="preserve">Source: ACIL Allen Consulting. </w:t>
      </w:r>
      <w:r w:rsidRPr="003673FA">
        <w:rPr>
          <w:i/>
          <w:sz w:val="20"/>
          <w:szCs w:val="20"/>
        </w:rPr>
        <w:t>Note: n=184 CIs who had been involved prior to the continuous process and n=108 CIs who had not.</w:t>
      </w:r>
    </w:p>
    <w:p w14:paraId="5679A6B4" w14:textId="23263547" w:rsidR="002D26CE" w:rsidRPr="003673FA" w:rsidRDefault="002D26CE" w:rsidP="000A408C">
      <w:pPr>
        <w:spacing w:line="259" w:lineRule="auto"/>
        <w:rPr>
          <w:szCs w:val="24"/>
        </w:rPr>
      </w:pPr>
    </w:p>
    <w:p w14:paraId="313192D4" w14:textId="05C2C9BD" w:rsidR="00D042EE" w:rsidRPr="003673FA" w:rsidRDefault="00E75A42" w:rsidP="000A408C">
      <w:pPr>
        <w:spacing w:line="259" w:lineRule="auto"/>
        <w:rPr>
          <w:szCs w:val="24"/>
        </w:rPr>
      </w:pPr>
      <w:r w:rsidRPr="003673FA">
        <w:rPr>
          <w:szCs w:val="24"/>
        </w:rPr>
        <w:t>Both CIs and PIs were asked about their satisfacti</w:t>
      </w:r>
      <w:r w:rsidR="00AC3BDD" w:rsidRPr="003673FA">
        <w:rPr>
          <w:szCs w:val="24"/>
        </w:rPr>
        <w:t xml:space="preserve">on with the timeliness of grant </w:t>
      </w:r>
      <w:r w:rsidRPr="003673FA">
        <w:rPr>
          <w:szCs w:val="24"/>
        </w:rPr>
        <w:t>announcements under the continuous process. PIs expressed slightly greater satisfaction than CIs, with 80 percent responding that they were ‘satisfied’, ‘very satisfied’ or ‘extremely satisfied’, as compared to 74 per cent of CIs.</w:t>
      </w:r>
      <w:r w:rsidRPr="003673FA">
        <w:rPr>
          <w:rStyle w:val="FootnoteReference"/>
          <w:szCs w:val="24"/>
        </w:rPr>
        <w:footnoteReference w:id="36"/>
      </w:r>
      <w:r w:rsidR="00D709FC" w:rsidRPr="003673FA">
        <w:rPr>
          <w:szCs w:val="24"/>
        </w:rPr>
        <w:t xml:space="preserve"> Among CIs, those who had not been involved prior to the continuous process again reported greater satisfaction than those who had, as shown in </w:t>
      </w:r>
      <w:hyperlink w:anchor="Figure28" w:history="1">
        <w:r w:rsidR="00D709FC" w:rsidRPr="00D86564">
          <w:rPr>
            <w:rStyle w:val="Hyperlink"/>
            <w:szCs w:val="24"/>
          </w:rPr>
          <w:t xml:space="preserve">Figure </w:t>
        </w:r>
        <w:r w:rsidR="00EB37C2" w:rsidRPr="00D86564">
          <w:rPr>
            <w:rStyle w:val="Hyperlink"/>
            <w:szCs w:val="24"/>
          </w:rPr>
          <w:t>28</w:t>
        </w:r>
      </w:hyperlink>
      <w:r w:rsidR="00B8704A" w:rsidRPr="003673FA">
        <w:rPr>
          <w:szCs w:val="24"/>
        </w:rPr>
        <w:t xml:space="preserve">. </w:t>
      </w:r>
      <w:r w:rsidR="006A6037" w:rsidRPr="003673FA">
        <w:rPr>
          <w:szCs w:val="24"/>
        </w:rPr>
        <w:t>I</w:t>
      </w:r>
      <w:r w:rsidR="00B8704A" w:rsidRPr="003673FA">
        <w:rPr>
          <w:szCs w:val="24"/>
        </w:rPr>
        <w:t xml:space="preserve">n this area the </w:t>
      </w:r>
      <w:r w:rsidR="00D042EE" w:rsidRPr="003673FA">
        <w:rPr>
          <w:szCs w:val="24"/>
        </w:rPr>
        <w:t>views</w:t>
      </w:r>
      <w:r w:rsidR="00B8704A" w:rsidRPr="003673FA">
        <w:rPr>
          <w:szCs w:val="24"/>
        </w:rPr>
        <w:t xml:space="preserve"> of PIs who had been involved prior to the continuous process appear to be rather polarised, </w:t>
      </w:r>
      <w:r w:rsidR="00AC3BDD" w:rsidRPr="003673FA">
        <w:rPr>
          <w:szCs w:val="24"/>
        </w:rPr>
        <w:t>providing responses</w:t>
      </w:r>
      <w:r w:rsidR="00B8704A" w:rsidRPr="003673FA">
        <w:rPr>
          <w:szCs w:val="24"/>
        </w:rPr>
        <w:t xml:space="preserve"> of both ‘extremely </w:t>
      </w:r>
      <w:r w:rsidR="00B8704A" w:rsidRPr="003673FA">
        <w:rPr>
          <w:szCs w:val="24"/>
        </w:rPr>
        <w:lastRenderedPageBreak/>
        <w:t xml:space="preserve">satisfied’ and ‘not satisfied’ </w:t>
      </w:r>
      <w:r w:rsidR="00AC3BDD" w:rsidRPr="003673FA">
        <w:rPr>
          <w:szCs w:val="24"/>
        </w:rPr>
        <w:t>more frequently than</w:t>
      </w:r>
      <w:r w:rsidR="00B8704A" w:rsidRPr="003673FA">
        <w:rPr>
          <w:szCs w:val="24"/>
        </w:rPr>
        <w:t xml:space="preserve"> PIs who had not been involved p</w:t>
      </w:r>
      <w:r w:rsidR="00D042EE" w:rsidRPr="003673FA">
        <w:rPr>
          <w:szCs w:val="24"/>
        </w:rPr>
        <w:t>rior to the continuous process</w:t>
      </w:r>
      <w:r w:rsidR="00242FA1" w:rsidRPr="003673FA">
        <w:rPr>
          <w:szCs w:val="24"/>
        </w:rPr>
        <w:t>.</w:t>
      </w:r>
    </w:p>
    <w:p w14:paraId="09C2C0C5" w14:textId="77777777" w:rsidR="00532727" w:rsidRPr="003673FA" w:rsidRDefault="00532727" w:rsidP="000A408C">
      <w:pPr>
        <w:spacing w:line="259" w:lineRule="auto"/>
        <w:rPr>
          <w:szCs w:val="24"/>
        </w:rPr>
      </w:pPr>
    </w:p>
    <w:p w14:paraId="104A4866" w14:textId="5D4B21E8" w:rsidR="004B04B3" w:rsidRPr="003673FA" w:rsidRDefault="004B04B3" w:rsidP="004B04B3">
      <w:pPr>
        <w:pStyle w:val="Heading4"/>
      </w:pPr>
      <w:bookmarkStart w:id="71" w:name="Figure28"/>
      <w:bookmarkEnd w:id="71"/>
      <w:r w:rsidRPr="003673FA">
        <w:t xml:space="preserve">Figure </w:t>
      </w:r>
      <w:r w:rsidR="00EB37C2" w:rsidRPr="003673FA">
        <w:t>28</w:t>
      </w:r>
      <w:r w:rsidRPr="003673FA">
        <w:t>: CI and PI satisfaction with the ARC’s administration of the continuous process, including timeliness of announcements</w:t>
      </w:r>
    </w:p>
    <w:p w14:paraId="0CC82AD4" w14:textId="511A32D9" w:rsidR="004B04B3" w:rsidRPr="003673FA" w:rsidRDefault="005037A2" w:rsidP="004B04B3">
      <w:pPr>
        <w:spacing w:line="259" w:lineRule="auto"/>
        <w:rPr>
          <w:szCs w:val="24"/>
        </w:rPr>
      </w:pPr>
      <w:r w:rsidRPr="003673FA">
        <w:rPr>
          <w:noProof/>
          <w:szCs w:val="24"/>
          <w:lang w:eastAsia="en-AU"/>
        </w:rPr>
        <w:drawing>
          <wp:inline distT="0" distB="0" distL="0" distR="0" wp14:anchorId="73633ABE" wp14:editId="75D703F8">
            <wp:extent cx="4584700" cy="1981200"/>
            <wp:effectExtent l="0" t="0" r="6350" b="0"/>
            <wp:docPr id="203" name="Picture 203" descr="Figure 28 depicts the responses of CIs inovlved prior, CIs not involved prior, PIs involved prior and PIs not involved prior regarding their levels of satisfaction with the ARC's administration of continuous process." title="Figure 28: CI and PI satisfaction with the ARC’s administration of the continuous process, including timeliness of announc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584700" cy="1981200"/>
                    </a:xfrm>
                    <a:prstGeom prst="rect">
                      <a:avLst/>
                    </a:prstGeom>
                    <a:noFill/>
                  </pic:spPr>
                </pic:pic>
              </a:graphicData>
            </a:graphic>
          </wp:inline>
        </w:drawing>
      </w:r>
    </w:p>
    <w:p w14:paraId="761FBC36" w14:textId="4639E0FB" w:rsidR="004B04B3" w:rsidRPr="003673FA" w:rsidRDefault="004B04B3" w:rsidP="004B04B3">
      <w:pPr>
        <w:spacing w:line="259" w:lineRule="auto"/>
        <w:rPr>
          <w:sz w:val="20"/>
          <w:szCs w:val="20"/>
        </w:rPr>
      </w:pPr>
      <w:r w:rsidRPr="003673FA">
        <w:rPr>
          <w:sz w:val="20"/>
          <w:szCs w:val="20"/>
        </w:rPr>
        <w:t xml:space="preserve">Source: ACIL Allen Consulting. </w:t>
      </w:r>
      <w:r w:rsidRPr="003673FA">
        <w:rPr>
          <w:i/>
          <w:sz w:val="20"/>
          <w:szCs w:val="20"/>
        </w:rPr>
        <w:t>Note: n=183 CIs and n=53 PIs who had been involved prior to the continuous process and n=109 CIs and n=50 PIs who had not.</w:t>
      </w:r>
    </w:p>
    <w:p w14:paraId="5BBDD36A" w14:textId="27CC7CEC" w:rsidR="002815A0" w:rsidRPr="003673FA" w:rsidRDefault="002815A0" w:rsidP="00347361">
      <w:pPr>
        <w:spacing w:line="259" w:lineRule="auto"/>
        <w:rPr>
          <w:szCs w:val="24"/>
        </w:rPr>
      </w:pPr>
    </w:p>
    <w:p w14:paraId="33AB6EDB" w14:textId="77777777" w:rsidR="005A3501" w:rsidRPr="003673FA" w:rsidRDefault="00471046" w:rsidP="005A3501">
      <w:pPr>
        <w:spacing w:line="259" w:lineRule="auto"/>
        <w:rPr>
          <w:szCs w:val="24"/>
        </w:rPr>
      </w:pPr>
      <w:r w:rsidRPr="003673FA">
        <w:rPr>
          <w:szCs w:val="24"/>
        </w:rPr>
        <w:t xml:space="preserve">Despite these predominantly positive </w:t>
      </w:r>
      <w:r w:rsidR="00B63589" w:rsidRPr="003673FA">
        <w:rPr>
          <w:szCs w:val="24"/>
        </w:rPr>
        <w:t>responses</w:t>
      </w:r>
      <w:r w:rsidRPr="003673FA">
        <w:rPr>
          <w:szCs w:val="24"/>
        </w:rPr>
        <w:t xml:space="preserve">, </w:t>
      </w:r>
      <w:r w:rsidR="00A0425E" w:rsidRPr="003673FA">
        <w:rPr>
          <w:szCs w:val="24"/>
        </w:rPr>
        <w:t xml:space="preserve">other </w:t>
      </w:r>
      <w:r w:rsidRPr="003673FA">
        <w:rPr>
          <w:szCs w:val="24"/>
        </w:rPr>
        <w:t>comments provided by stakeholders highlighted a number of particular concerns regarding the</w:t>
      </w:r>
      <w:r w:rsidR="005A3501" w:rsidRPr="003673FA">
        <w:rPr>
          <w:szCs w:val="24"/>
        </w:rPr>
        <w:t xml:space="preserve"> ARC’s</w:t>
      </w:r>
      <w:r w:rsidRPr="003673FA">
        <w:rPr>
          <w:szCs w:val="24"/>
        </w:rPr>
        <w:t xml:space="preserve"> administration of the continuous process</w:t>
      </w:r>
      <w:r w:rsidR="00B63589" w:rsidRPr="003673FA">
        <w:rPr>
          <w:szCs w:val="24"/>
        </w:rPr>
        <w:t xml:space="preserve">. </w:t>
      </w:r>
      <w:r w:rsidR="00B069EE" w:rsidRPr="003673FA">
        <w:rPr>
          <w:szCs w:val="24"/>
        </w:rPr>
        <w:t xml:space="preserve">For instance, CI comments included that it is difficult to track applications through the process, and </w:t>
      </w:r>
      <w:r w:rsidR="005A3501" w:rsidRPr="003673FA">
        <w:rPr>
          <w:szCs w:val="24"/>
        </w:rPr>
        <w:t xml:space="preserve">that </w:t>
      </w:r>
      <w:r w:rsidR="00B069EE" w:rsidRPr="003673FA">
        <w:rPr>
          <w:szCs w:val="24"/>
        </w:rPr>
        <w:t>there appeared to be little change in the timeline for announcements under the continuous process.</w:t>
      </w:r>
      <w:r w:rsidR="00B069EE" w:rsidRPr="003673FA">
        <w:rPr>
          <w:rStyle w:val="FootnoteReference"/>
          <w:szCs w:val="24"/>
        </w:rPr>
        <w:footnoteReference w:id="37"/>
      </w:r>
      <w:r w:rsidR="00B069EE" w:rsidRPr="003673FA">
        <w:rPr>
          <w:szCs w:val="24"/>
        </w:rPr>
        <w:t xml:space="preserve"> </w:t>
      </w:r>
    </w:p>
    <w:p w14:paraId="5DD4F2D8" w14:textId="77777777" w:rsidR="005A3501" w:rsidRPr="003673FA" w:rsidRDefault="005A3501" w:rsidP="005A3501">
      <w:pPr>
        <w:spacing w:line="259" w:lineRule="auto"/>
        <w:rPr>
          <w:szCs w:val="24"/>
        </w:rPr>
      </w:pPr>
    </w:p>
    <w:p w14:paraId="50CF6142" w14:textId="33E3C983" w:rsidR="005A3501" w:rsidRPr="003673FA" w:rsidRDefault="005A3501" w:rsidP="005A3501">
      <w:pPr>
        <w:spacing w:line="259" w:lineRule="auto"/>
        <w:rPr>
          <w:szCs w:val="24"/>
        </w:rPr>
      </w:pPr>
      <w:r w:rsidRPr="003673FA">
        <w:rPr>
          <w:szCs w:val="24"/>
        </w:rPr>
        <w:t>The provision of feedback on applications was another common theme in comments from research office participants</w:t>
      </w:r>
      <w:r w:rsidR="00AE6AA5" w:rsidRPr="003673FA">
        <w:rPr>
          <w:szCs w:val="24"/>
        </w:rPr>
        <w:t xml:space="preserve"> and</w:t>
      </w:r>
      <w:r w:rsidRPr="003673FA">
        <w:rPr>
          <w:szCs w:val="24"/>
        </w:rPr>
        <w:t xml:space="preserve"> CIs. Their concerns included that feedback on the ranking of unsuccessful applications </w:t>
      </w:r>
      <w:r w:rsidR="00E60F09" w:rsidRPr="003673FA">
        <w:rPr>
          <w:szCs w:val="24"/>
        </w:rPr>
        <w:t>has not</w:t>
      </w:r>
      <w:r w:rsidRPr="003673FA">
        <w:rPr>
          <w:szCs w:val="24"/>
        </w:rPr>
        <w:t xml:space="preserve"> been provided</w:t>
      </w:r>
      <w:r w:rsidR="00E60F09" w:rsidRPr="003673FA">
        <w:rPr>
          <w:szCs w:val="24"/>
        </w:rPr>
        <w:t xml:space="preserve"> under the continuous process, which makes</w:t>
      </w:r>
      <w:r w:rsidR="00AE6AA5" w:rsidRPr="003673FA">
        <w:rPr>
          <w:szCs w:val="24"/>
        </w:rPr>
        <w:t xml:space="preserve"> it difficult to consider improvements in applications</w:t>
      </w:r>
      <w:r w:rsidRPr="003673FA">
        <w:rPr>
          <w:szCs w:val="24"/>
        </w:rPr>
        <w:t xml:space="preserve">, and that the announcement of </w:t>
      </w:r>
      <w:r w:rsidR="00AE6AA5" w:rsidRPr="003673FA">
        <w:rPr>
          <w:szCs w:val="24"/>
        </w:rPr>
        <w:t xml:space="preserve">unsuccessful </w:t>
      </w:r>
      <w:r w:rsidR="008A5604" w:rsidRPr="003673FA">
        <w:rPr>
          <w:szCs w:val="24"/>
        </w:rPr>
        <w:t>applications</w:t>
      </w:r>
      <w:r w:rsidRPr="003673FA">
        <w:rPr>
          <w:szCs w:val="24"/>
        </w:rPr>
        <w:t xml:space="preserve"> </w:t>
      </w:r>
      <w:r w:rsidR="00AE6AA5" w:rsidRPr="003673FA">
        <w:rPr>
          <w:szCs w:val="24"/>
        </w:rPr>
        <w:t xml:space="preserve">through RMS was unclear. </w:t>
      </w:r>
      <w:r w:rsidR="008A5604" w:rsidRPr="003673FA">
        <w:rPr>
          <w:szCs w:val="24"/>
        </w:rPr>
        <w:t xml:space="preserve">Research offices commented that the approach to announcements and selection reports made it </w:t>
      </w:r>
      <w:r w:rsidR="00E60F09" w:rsidRPr="003673FA">
        <w:rPr>
          <w:szCs w:val="24"/>
        </w:rPr>
        <w:t>difficult</w:t>
      </w:r>
      <w:r w:rsidR="008A5604" w:rsidRPr="003673FA">
        <w:rPr>
          <w:szCs w:val="24"/>
        </w:rPr>
        <w:t xml:space="preserve"> for universities to benchmark their </w:t>
      </w:r>
      <w:r w:rsidR="00E60F09" w:rsidRPr="003673FA">
        <w:rPr>
          <w:szCs w:val="24"/>
        </w:rPr>
        <w:t xml:space="preserve">relative </w:t>
      </w:r>
      <w:r w:rsidR="008A5604" w:rsidRPr="003673FA">
        <w:rPr>
          <w:szCs w:val="24"/>
        </w:rPr>
        <w:t xml:space="preserve">performance. </w:t>
      </w:r>
      <w:r w:rsidR="00AE6AA5" w:rsidRPr="003673FA">
        <w:rPr>
          <w:szCs w:val="24"/>
        </w:rPr>
        <w:t>CIs expressed a view that more timely feedback should be provided on unsuccessful applications</w:t>
      </w:r>
      <w:r w:rsidR="008A5604" w:rsidRPr="003673FA">
        <w:rPr>
          <w:szCs w:val="24"/>
        </w:rPr>
        <w:t xml:space="preserve"> that have</w:t>
      </w:r>
      <w:r w:rsidR="00AE6AA5" w:rsidRPr="003673FA">
        <w:rPr>
          <w:szCs w:val="24"/>
        </w:rPr>
        <w:t xml:space="preserve"> been </w:t>
      </w:r>
      <w:r w:rsidR="00A7726F" w:rsidRPr="003673FA">
        <w:rPr>
          <w:szCs w:val="24"/>
        </w:rPr>
        <w:t>fast tra</w:t>
      </w:r>
      <w:r w:rsidR="008A5604" w:rsidRPr="003673FA">
        <w:rPr>
          <w:szCs w:val="24"/>
        </w:rPr>
        <w:t>cked (with low assessment scores)</w:t>
      </w:r>
      <w:r w:rsidR="00A7726F" w:rsidRPr="003673FA">
        <w:rPr>
          <w:szCs w:val="24"/>
        </w:rPr>
        <w:t xml:space="preserve"> </w:t>
      </w:r>
      <w:r w:rsidR="008A5604" w:rsidRPr="003673FA">
        <w:rPr>
          <w:szCs w:val="24"/>
        </w:rPr>
        <w:t>t</w:t>
      </w:r>
      <w:r w:rsidR="00A7726F" w:rsidRPr="003673FA">
        <w:rPr>
          <w:szCs w:val="24"/>
        </w:rPr>
        <w:t>o allow for quicker resubmission</w:t>
      </w:r>
      <w:r w:rsidR="008A5604" w:rsidRPr="003673FA">
        <w:rPr>
          <w:szCs w:val="24"/>
        </w:rPr>
        <w:t>.</w:t>
      </w:r>
      <w:r w:rsidR="00A7726F" w:rsidRPr="003673FA">
        <w:rPr>
          <w:rStyle w:val="FootnoteReference"/>
          <w:szCs w:val="24"/>
        </w:rPr>
        <w:footnoteReference w:id="38"/>
      </w:r>
    </w:p>
    <w:p w14:paraId="3EC421C1" w14:textId="56F899B6" w:rsidR="00E577C6" w:rsidRPr="003673FA" w:rsidRDefault="00E577C6" w:rsidP="00347361">
      <w:pPr>
        <w:spacing w:line="259" w:lineRule="auto"/>
        <w:rPr>
          <w:szCs w:val="24"/>
        </w:rPr>
      </w:pPr>
    </w:p>
    <w:p w14:paraId="1A2DADC4" w14:textId="5D0E6914" w:rsidR="000F7ACD" w:rsidRPr="003673FA" w:rsidRDefault="000F7ACD" w:rsidP="000F7ACD">
      <w:pPr>
        <w:pStyle w:val="Heading3"/>
      </w:pPr>
      <w:r w:rsidRPr="003673FA">
        <w:t>Suggestions for improvement</w:t>
      </w:r>
    </w:p>
    <w:p w14:paraId="37742095" w14:textId="77777777" w:rsidR="000F7ACD" w:rsidRPr="003673FA" w:rsidRDefault="000F7ACD" w:rsidP="00347361">
      <w:pPr>
        <w:spacing w:line="259" w:lineRule="auto"/>
        <w:rPr>
          <w:szCs w:val="24"/>
        </w:rPr>
      </w:pPr>
    </w:p>
    <w:p w14:paraId="674D2105" w14:textId="7020F793" w:rsidR="00B63589" w:rsidRPr="003673FA" w:rsidRDefault="00ED1BC7" w:rsidP="00347361">
      <w:pPr>
        <w:spacing w:line="259" w:lineRule="auto"/>
        <w:rPr>
          <w:szCs w:val="24"/>
        </w:rPr>
      </w:pPr>
      <w:r w:rsidRPr="003673FA">
        <w:rPr>
          <w:szCs w:val="24"/>
        </w:rPr>
        <w:t>In respon</w:t>
      </w:r>
      <w:r w:rsidR="007D0DDE" w:rsidRPr="003673FA">
        <w:rPr>
          <w:szCs w:val="24"/>
        </w:rPr>
        <w:t>ses</w:t>
      </w:r>
      <w:r w:rsidR="00A0425E" w:rsidRPr="003673FA">
        <w:rPr>
          <w:szCs w:val="24"/>
        </w:rPr>
        <w:t xml:space="preserve"> to the open question,</w:t>
      </w:r>
      <w:r w:rsidR="00B63589" w:rsidRPr="003673FA">
        <w:rPr>
          <w:szCs w:val="24"/>
        </w:rPr>
        <w:t xml:space="preserve"> </w:t>
      </w:r>
      <w:r w:rsidR="00A0425E" w:rsidRPr="003673FA">
        <w:rPr>
          <w:szCs w:val="24"/>
        </w:rPr>
        <w:t>‘W</w:t>
      </w:r>
      <w:r w:rsidR="00B63589" w:rsidRPr="003673FA">
        <w:rPr>
          <w:szCs w:val="24"/>
        </w:rPr>
        <w:t>hat could be done to improve the implementation of the continuous process</w:t>
      </w:r>
      <w:r w:rsidR="00A0425E" w:rsidRPr="003673FA">
        <w:rPr>
          <w:szCs w:val="24"/>
        </w:rPr>
        <w:t xml:space="preserve">?’ </w:t>
      </w:r>
      <w:r w:rsidRPr="003673FA">
        <w:rPr>
          <w:szCs w:val="24"/>
        </w:rPr>
        <w:t xml:space="preserve">themes that emerged </w:t>
      </w:r>
      <w:r w:rsidR="003365DA" w:rsidRPr="003673FA">
        <w:rPr>
          <w:szCs w:val="24"/>
        </w:rPr>
        <w:t>most commonly</w:t>
      </w:r>
      <w:r w:rsidRPr="003673FA">
        <w:rPr>
          <w:szCs w:val="24"/>
        </w:rPr>
        <w:t xml:space="preserve"> among both CIs and PIs included</w:t>
      </w:r>
      <w:r w:rsidR="00A0425E" w:rsidRPr="003673FA">
        <w:rPr>
          <w:szCs w:val="24"/>
        </w:rPr>
        <w:t>:</w:t>
      </w:r>
    </w:p>
    <w:p w14:paraId="6604E659" w14:textId="75FC5DFB" w:rsidR="00A0425E" w:rsidRPr="003673FA" w:rsidRDefault="00ED1BC7" w:rsidP="00BC1D66">
      <w:pPr>
        <w:pStyle w:val="ListParagraph"/>
        <w:numPr>
          <w:ilvl w:val="0"/>
          <w:numId w:val="23"/>
        </w:numPr>
        <w:spacing w:line="259" w:lineRule="auto"/>
        <w:rPr>
          <w:color w:val="auto"/>
          <w:szCs w:val="24"/>
        </w:rPr>
      </w:pPr>
      <w:r w:rsidRPr="003673FA">
        <w:rPr>
          <w:color w:val="auto"/>
          <w:szCs w:val="24"/>
        </w:rPr>
        <w:t>i</w:t>
      </w:r>
      <w:r w:rsidR="00A0425E" w:rsidRPr="003673FA">
        <w:rPr>
          <w:color w:val="auto"/>
          <w:szCs w:val="24"/>
        </w:rPr>
        <w:t>ncreasing the speed of the ARC assessment process</w:t>
      </w:r>
      <w:r w:rsidR="00BC1D66" w:rsidRPr="003673FA">
        <w:rPr>
          <w:color w:val="auto"/>
          <w:szCs w:val="24"/>
        </w:rPr>
        <w:t xml:space="preserve"> and </w:t>
      </w:r>
      <w:r w:rsidRPr="003673FA">
        <w:rPr>
          <w:color w:val="auto"/>
          <w:szCs w:val="24"/>
        </w:rPr>
        <w:t>a</w:t>
      </w:r>
      <w:r w:rsidR="00A0425E" w:rsidRPr="003673FA">
        <w:rPr>
          <w:color w:val="auto"/>
          <w:szCs w:val="24"/>
        </w:rPr>
        <w:t>nnouncing grant outcomes more quickly</w:t>
      </w:r>
      <w:r w:rsidR="00BC1D66" w:rsidRPr="003673FA">
        <w:rPr>
          <w:color w:val="auto"/>
          <w:szCs w:val="24"/>
        </w:rPr>
        <w:t xml:space="preserve"> (including to better meet partner organisations’ needs)</w:t>
      </w:r>
    </w:p>
    <w:p w14:paraId="66EC29D6" w14:textId="0EE4E07C" w:rsidR="00A0425E" w:rsidRPr="003673FA" w:rsidRDefault="00ED1BC7" w:rsidP="00A0425E">
      <w:pPr>
        <w:pStyle w:val="ListParagraph"/>
        <w:numPr>
          <w:ilvl w:val="0"/>
          <w:numId w:val="23"/>
        </w:numPr>
        <w:spacing w:line="259" w:lineRule="auto"/>
        <w:rPr>
          <w:color w:val="auto"/>
          <w:szCs w:val="24"/>
        </w:rPr>
      </w:pPr>
      <w:r w:rsidRPr="003673FA">
        <w:rPr>
          <w:color w:val="auto"/>
          <w:szCs w:val="24"/>
        </w:rPr>
        <w:t>p</w:t>
      </w:r>
      <w:r w:rsidR="00A0425E" w:rsidRPr="003673FA">
        <w:rPr>
          <w:color w:val="auto"/>
          <w:szCs w:val="24"/>
        </w:rPr>
        <w:t>roviding more information on the progress of applications</w:t>
      </w:r>
      <w:r w:rsidRPr="003673FA">
        <w:rPr>
          <w:color w:val="auto"/>
          <w:szCs w:val="24"/>
        </w:rPr>
        <w:t xml:space="preserve"> (including whether they have been fast tracked or not) and expected timeframes for the announcement of outcomes</w:t>
      </w:r>
    </w:p>
    <w:p w14:paraId="623759C7" w14:textId="6DF4E23C" w:rsidR="00A0425E" w:rsidRPr="003673FA" w:rsidRDefault="00ED1BC7" w:rsidP="00A0425E">
      <w:pPr>
        <w:pStyle w:val="ListParagraph"/>
        <w:numPr>
          <w:ilvl w:val="0"/>
          <w:numId w:val="23"/>
        </w:numPr>
        <w:spacing w:line="259" w:lineRule="auto"/>
        <w:rPr>
          <w:color w:val="auto"/>
          <w:szCs w:val="24"/>
        </w:rPr>
      </w:pPr>
      <w:proofErr w:type="gramStart"/>
      <w:r w:rsidRPr="003673FA">
        <w:rPr>
          <w:color w:val="auto"/>
          <w:szCs w:val="24"/>
        </w:rPr>
        <w:t>introducing</w:t>
      </w:r>
      <w:proofErr w:type="gramEnd"/>
      <w:r w:rsidRPr="003673FA">
        <w:rPr>
          <w:color w:val="auto"/>
          <w:szCs w:val="24"/>
        </w:rPr>
        <w:t xml:space="preserve"> </w:t>
      </w:r>
      <w:r w:rsidR="00BC1D66" w:rsidRPr="003673FA">
        <w:rPr>
          <w:color w:val="auto"/>
          <w:szCs w:val="24"/>
        </w:rPr>
        <w:t xml:space="preserve">multiple </w:t>
      </w:r>
      <w:r w:rsidRPr="003673FA">
        <w:rPr>
          <w:color w:val="auto"/>
          <w:szCs w:val="24"/>
        </w:rPr>
        <w:t>a</w:t>
      </w:r>
      <w:r w:rsidR="00BC1D66" w:rsidRPr="003673FA">
        <w:rPr>
          <w:color w:val="auto"/>
          <w:szCs w:val="24"/>
        </w:rPr>
        <w:t>pplication submission deadlines—</w:t>
      </w:r>
      <w:r w:rsidRPr="003673FA">
        <w:rPr>
          <w:color w:val="auto"/>
          <w:szCs w:val="24"/>
        </w:rPr>
        <w:t>between two and four per year.</w:t>
      </w:r>
      <w:r w:rsidR="00435218" w:rsidRPr="003673FA">
        <w:rPr>
          <w:rStyle w:val="FootnoteReference"/>
          <w:color w:val="auto"/>
          <w:szCs w:val="24"/>
        </w:rPr>
        <w:footnoteReference w:id="39"/>
      </w:r>
    </w:p>
    <w:p w14:paraId="05EFEA50" w14:textId="17EF0A51" w:rsidR="00ED1BC7" w:rsidRPr="003673FA" w:rsidRDefault="00ED1BC7" w:rsidP="00347361">
      <w:pPr>
        <w:spacing w:line="259" w:lineRule="auto"/>
        <w:rPr>
          <w:szCs w:val="24"/>
        </w:rPr>
      </w:pPr>
    </w:p>
    <w:p w14:paraId="486B82B8" w14:textId="6802C172" w:rsidR="00F530B2" w:rsidRPr="003673FA" w:rsidRDefault="00F530B2" w:rsidP="00347361">
      <w:pPr>
        <w:spacing w:line="259" w:lineRule="auto"/>
        <w:rPr>
          <w:szCs w:val="24"/>
        </w:rPr>
      </w:pPr>
      <w:r w:rsidRPr="003673FA">
        <w:rPr>
          <w:szCs w:val="24"/>
        </w:rPr>
        <w:lastRenderedPageBreak/>
        <w:t xml:space="preserve">Research office </w:t>
      </w:r>
      <w:r w:rsidR="00E577C6" w:rsidRPr="003673FA">
        <w:rPr>
          <w:szCs w:val="24"/>
        </w:rPr>
        <w:t>participants</w:t>
      </w:r>
      <w:r w:rsidRPr="003673FA">
        <w:rPr>
          <w:szCs w:val="24"/>
        </w:rPr>
        <w:t xml:space="preserve"> were also asked for their views on how the implementation of the continuous process could be improved. Consistent with their comments elsewhere, their responses focused on reintroducing multiple application submission deadlines, most commonly suggesting two or three deadlines per year.</w:t>
      </w:r>
      <w:r w:rsidR="00E577C6" w:rsidRPr="003673FA">
        <w:rPr>
          <w:szCs w:val="24"/>
        </w:rPr>
        <w:t xml:space="preserve"> They also </w:t>
      </w:r>
      <w:r w:rsidR="00927CE2" w:rsidRPr="003673FA">
        <w:rPr>
          <w:szCs w:val="24"/>
        </w:rPr>
        <w:t>suggested</w:t>
      </w:r>
      <w:r w:rsidR="00E577C6" w:rsidRPr="003673FA">
        <w:rPr>
          <w:szCs w:val="24"/>
        </w:rPr>
        <w:t xml:space="preserve"> that the assessment process </w:t>
      </w:r>
      <w:r w:rsidR="00927CE2" w:rsidRPr="003673FA">
        <w:rPr>
          <w:szCs w:val="24"/>
        </w:rPr>
        <w:t>should</w:t>
      </w:r>
      <w:r w:rsidR="00E577C6" w:rsidRPr="003673FA">
        <w:rPr>
          <w:szCs w:val="24"/>
        </w:rPr>
        <w:t xml:space="preserve"> be faster to support time critical opportunities.</w:t>
      </w:r>
      <w:r w:rsidRPr="003673FA">
        <w:rPr>
          <w:rStyle w:val="FootnoteReference"/>
          <w:szCs w:val="24"/>
        </w:rPr>
        <w:footnoteReference w:id="40"/>
      </w:r>
    </w:p>
    <w:p w14:paraId="684AFE3E" w14:textId="77777777" w:rsidR="00E577C6" w:rsidRPr="003673FA" w:rsidRDefault="00E577C6" w:rsidP="00347361">
      <w:pPr>
        <w:spacing w:line="259" w:lineRule="auto"/>
        <w:rPr>
          <w:szCs w:val="24"/>
        </w:rPr>
      </w:pPr>
    </w:p>
    <w:p w14:paraId="767684FA" w14:textId="15CBAD4C" w:rsidR="00F15310" w:rsidRPr="003673FA" w:rsidRDefault="00CF3BCB" w:rsidP="00F15310">
      <w:pPr>
        <w:pStyle w:val="Heading3"/>
      </w:pPr>
      <w:r w:rsidRPr="003673FA">
        <w:t>Key findings</w:t>
      </w:r>
      <w:r w:rsidR="00F930AF" w:rsidRPr="003673FA">
        <w:t xml:space="preserve">: Stakeholder views – processes </w:t>
      </w:r>
    </w:p>
    <w:p w14:paraId="15117A2D" w14:textId="25C20409" w:rsidR="00F15310" w:rsidRPr="003673FA" w:rsidRDefault="00F15310" w:rsidP="005D392C">
      <w:pPr>
        <w:spacing w:line="259" w:lineRule="auto"/>
      </w:pPr>
    </w:p>
    <w:p w14:paraId="1F218E76" w14:textId="59677ED5" w:rsidR="005965F6" w:rsidRPr="003673FA" w:rsidRDefault="006A6037" w:rsidP="005965F6">
      <w:pPr>
        <w:pStyle w:val="ListParagraph"/>
        <w:numPr>
          <w:ilvl w:val="0"/>
          <w:numId w:val="20"/>
        </w:numPr>
        <w:rPr>
          <w:color w:val="auto"/>
        </w:rPr>
      </w:pPr>
      <w:r w:rsidRPr="003673FA">
        <w:rPr>
          <w:color w:val="auto"/>
        </w:rPr>
        <w:t>T</w:t>
      </w:r>
      <w:r w:rsidR="0060788C" w:rsidRPr="003673FA">
        <w:rPr>
          <w:color w:val="auto"/>
        </w:rPr>
        <w:t xml:space="preserve">he continuous process has not created </w:t>
      </w:r>
      <w:r w:rsidRPr="003673FA">
        <w:rPr>
          <w:color w:val="auto"/>
        </w:rPr>
        <w:t xml:space="preserve">significant additional </w:t>
      </w:r>
      <w:r w:rsidR="0060788C" w:rsidRPr="003673FA">
        <w:rPr>
          <w:color w:val="auto"/>
        </w:rPr>
        <w:t>financial costs</w:t>
      </w:r>
      <w:r w:rsidRPr="003673FA">
        <w:rPr>
          <w:color w:val="auto"/>
        </w:rPr>
        <w:t xml:space="preserve"> for </w:t>
      </w:r>
      <w:r w:rsidR="0054698B" w:rsidRPr="003673FA">
        <w:rPr>
          <w:color w:val="auto"/>
        </w:rPr>
        <w:t>research offices, CIs and PIs</w:t>
      </w:r>
      <w:r w:rsidR="0060788C" w:rsidRPr="003673FA">
        <w:rPr>
          <w:color w:val="auto"/>
        </w:rPr>
        <w:t xml:space="preserve">, but </w:t>
      </w:r>
      <w:r w:rsidRPr="003673FA">
        <w:rPr>
          <w:color w:val="auto"/>
        </w:rPr>
        <w:t xml:space="preserve">it </w:t>
      </w:r>
      <w:r w:rsidR="0060788C" w:rsidRPr="003673FA">
        <w:rPr>
          <w:color w:val="auto"/>
        </w:rPr>
        <w:t xml:space="preserve">has </w:t>
      </w:r>
      <w:r w:rsidRPr="003673FA">
        <w:rPr>
          <w:color w:val="auto"/>
        </w:rPr>
        <w:t xml:space="preserve">required additional time and work </w:t>
      </w:r>
      <w:r w:rsidR="0060788C" w:rsidRPr="003673FA">
        <w:rPr>
          <w:color w:val="auto"/>
        </w:rPr>
        <w:t xml:space="preserve">to manage collaboration and applications </w:t>
      </w:r>
      <w:r w:rsidRPr="003673FA">
        <w:rPr>
          <w:color w:val="auto"/>
        </w:rPr>
        <w:t>th</w:t>
      </w:r>
      <w:r w:rsidR="0060788C" w:rsidRPr="003673FA">
        <w:rPr>
          <w:color w:val="auto"/>
        </w:rPr>
        <w:t>roughout the year.</w:t>
      </w:r>
    </w:p>
    <w:p w14:paraId="5E6E73C7" w14:textId="190730DE" w:rsidR="006A6037" w:rsidRPr="003673FA" w:rsidRDefault="006A6037" w:rsidP="006A6037">
      <w:pPr>
        <w:pStyle w:val="ListParagraph"/>
        <w:numPr>
          <w:ilvl w:val="0"/>
          <w:numId w:val="20"/>
        </w:numPr>
        <w:rPr>
          <w:color w:val="auto"/>
        </w:rPr>
      </w:pPr>
      <w:r w:rsidRPr="003673FA">
        <w:rPr>
          <w:color w:val="auto"/>
        </w:rPr>
        <w:t>Stakeholders have mixed views regarding the flexibility of the continuous process—for some it supports better collaboration and applications, for others the lack of deadlines makes it difficult to maintain engagement and prioritise applications.</w:t>
      </w:r>
    </w:p>
    <w:p w14:paraId="4E1DB855" w14:textId="3AF8FAC4" w:rsidR="006A6037" w:rsidRPr="003673FA" w:rsidRDefault="006A6037" w:rsidP="00C306A0">
      <w:pPr>
        <w:pStyle w:val="ListParagraph"/>
        <w:numPr>
          <w:ilvl w:val="0"/>
          <w:numId w:val="20"/>
        </w:numPr>
        <w:rPr>
          <w:color w:val="auto"/>
        </w:rPr>
      </w:pPr>
      <w:r w:rsidRPr="003673FA">
        <w:rPr>
          <w:color w:val="auto"/>
        </w:rPr>
        <w:t>Successful CIs and PIs perceive the positive consequences of the continuous process to out</w:t>
      </w:r>
      <w:r w:rsidR="00C306A0" w:rsidRPr="003673FA">
        <w:rPr>
          <w:color w:val="auto"/>
        </w:rPr>
        <w:t xml:space="preserve">weigh the negative consequences, and the </w:t>
      </w:r>
      <w:r w:rsidRPr="003673FA">
        <w:rPr>
          <w:color w:val="auto"/>
        </w:rPr>
        <w:t xml:space="preserve">majority are satisfied with the ARC’s implementation </w:t>
      </w:r>
      <w:r w:rsidR="00684FF4" w:rsidRPr="003673FA">
        <w:rPr>
          <w:color w:val="auto"/>
        </w:rPr>
        <w:t>of the continuous process</w:t>
      </w:r>
      <w:r w:rsidR="0028656E" w:rsidRPr="003673FA">
        <w:rPr>
          <w:color w:val="auto"/>
        </w:rPr>
        <w:t>.</w:t>
      </w:r>
    </w:p>
    <w:p w14:paraId="662F0004" w14:textId="7CC0CA8F" w:rsidR="0028656E" w:rsidRPr="003673FA" w:rsidRDefault="00A60E97" w:rsidP="00EE3CF9">
      <w:pPr>
        <w:pStyle w:val="ListParagraph"/>
        <w:numPr>
          <w:ilvl w:val="0"/>
          <w:numId w:val="20"/>
        </w:numPr>
        <w:rPr>
          <w:color w:val="auto"/>
        </w:rPr>
      </w:pPr>
      <w:r w:rsidRPr="003673FA">
        <w:rPr>
          <w:color w:val="auto"/>
        </w:rPr>
        <w:t>To improve the continuous process, r</w:t>
      </w:r>
      <w:r w:rsidR="00C306A0" w:rsidRPr="003673FA">
        <w:rPr>
          <w:color w:val="auto"/>
        </w:rPr>
        <w:t>esearch offices, CIs and PIs commonly suggested the introduction of multiple application deadlines</w:t>
      </w:r>
      <w:r w:rsidRPr="003673FA">
        <w:rPr>
          <w:color w:val="auto"/>
        </w:rPr>
        <w:t>, faster assessment processes</w:t>
      </w:r>
      <w:r w:rsidR="008A0718" w:rsidRPr="003673FA">
        <w:rPr>
          <w:color w:val="auto"/>
        </w:rPr>
        <w:t xml:space="preserve">, </w:t>
      </w:r>
      <w:r w:rsidRPr="003673FA">
        <w:rPr>
          <w:color w:val="auto"/>
        </w:rPr>
        <w:t>more</w:t>
      </w:r>
      <w:r w:rsidR="00D46C93" w:rsidRPr="003673FA">
        <w:rPr>
          <w:color w:val="auto"/>
        </w:rPr>
        <w:t xml:space="preserve"> information on the progress of applications and </w:t>
      </w:r>
      <w:r w:rsidR="00436989" w:rsidRPr="003673FA">
        <w:rPr>
          <w:color w:val="auto"/>
        </w:rPr>
        <w:t>improved</w:t>
      </w:r>
      <w:r w:rsidRPr="003673FA">
        <w:rPr>
          <w:color w:val="auto"/>
        </w:rPr>
        <w:t xml:space="preserve"> feedback on unsuccessful applications.</w:t>
      </w:r>
    </w:p>
    <w:p w14:paraId="04D7CE4C" w14:textId="22A9AC2C" w:rsidR="005965F6" w:rsidRPr="003673FA" w:rsidRDefault="005965F6" w:rsidP="005965F6"/>
    <w:p w14:paraId="46378F54" w14:textId="336E65E5" w:rsidR="00E6337A" w:rsidRPr="003673FA" w:rsidRDefault="005D392C" w:rsidP="00E6337A">
      <w:pPr>
        <w:pStyle w:val="Heading2"/>
      </w:pPr>
      <w:bookmarkStart w:id="72" w:name="_Toc3285760"/>
      <w:bookmarkStart w:id="73" w:name="_Toc6218383"/>
      <w:r w:rsidRPr="003673FA">
        <w:t>Evaluation question 6</w:t>
      </w:r>
      <w:r w:rsidR="00F6414A" w:rsidRPr="003673FA">
        <w:t xml:space="preserve">: </w:t>
      </w:r>
      <w:r w:rsidR="00414108" w:rsidRPr="003673FA">
        <w:t>Stakeholder views – a</w:t>
      </w:r>
      <w:r w:rsidR="00F6414A" w:rsidRPr="003673FA">
        <w:t>ssessor</w:t>
      </w:r>
      <w:r w:rsidR="00414108" w:rsidRPr="003673FA">
        <w:t>s</w:t>
      </w:r>
      <w:r w:rsidR="00F6414A" w:rsidRPr="003673FA">
        <w:t xml:space="preserve"> and SAC member</w:t>
      </w:r>
      <w:r w:rsidR="00414108" w:rsidRPr="003673FA">
        <w:t>s</w:t>
      </w:r>
      <w:bookmarkEnd w:id="72"/>
      <w:bookmarkEnd w:id="73"/>
    </w:p>
    <w:p w14:paraId="5410FFFD" w14:textId="3BC1166B" w:rsidR="00E6337A" w:rsidRPr="003673FA" w:rsidRDefault="00E6337A" w:rsidP="005D392C">
      <w:pPr>
        <w:spacing w:line="259" w:lineRule="auto"/>
      </w:pPr>
      <w:r w:rsidRPr="003673FA">
        <w:rPr>
          <w:noProof/>
          <w:lang w:eastAsia="en-AU"/>
        </w:rPr>
        <mc:AlternateContent>
          <mc:Choice Requires="wps">
            <w:drawing>
              <wp:inline distT="0" distB="0" distL="0" distR="0" wp14:anchorId="7985E534" wp14:editId="6A0F1C8B">
                <wp:extent cx="5724525" cy="495300"/>
                <wp:effectExtent l="0" t="0" r="28575" b="1905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95300"/>
                        </a:xfrm>
                        <a:prstGeom prst="rect">
                          <a:avLst/>
                        </a:prstGeom>
                        <a:solidFill>
                          <a:srgbClr val="FFFFFF"/>
                        </a:solidFill>
                        <a:ln w="9525">
                          <a:solidFill>
                            <a:srgbClr val="000000"/>
                          </a:solidFill>
                          <a:miter lim="800000"/>
                          <a:headEnd/>
                          <a:tailEnd/>
                        </a:ln>
                      </wps:spPr>
                      <wps:txbx>
                        <w:txbxContent>
                          <w:p w14:paraId="3C52F500" w14:textId="3C214B8E" w:rsidR="00FC696C" w:rsidRPr="00E6337A" w:rsidRDefault="00FC696C" w:rsidP="00E6337A">
                            <w:pPr>
                              <w:spacing w:line="259" w:lineRule="auto"/>
                              <w:rPr>
                                <w:szCs w:val="24"/>
                              </w:rPr>
                            </w:pPr>
                            <w:r w:rsidRPr="005D392C">
                              <w:t>What are assessors and Selection Advisory Committee members’ views on the efficiency and effectiveness of the continuous process?</w:t>
                            </w:r>
                          </w:p>
                        </w:txbxContent>
                      </wps:txbx>
                      <wps:bodyPr rot="0" vert="horz" wrap="square" lIns="91440" tIns="45720" rIns="91440" bIns="45720" anchor="t" anchorCtr="0">
                        <a:noAutofit/>
                      </wps:bodyPr>
                    </wps:wsp>
                  </a:graphicData>
                </a:graphic>
              </wp:inline>
            </w:drawing>
          </mc:Choice>
          <mc:Fallback>
            <w:pict>
              <v:shape w14:anchorId="7985E534" id="Text Box 5" o:spid="_x0000_s1031" type="#_x0000_t202" style="width:450.7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LzIgIAAEsEAAAOAAAAZHJzL2Uyb0RvYy54bWysVNuO0zAQfUfiHyy/06SlhW3UdLV0KUJa&#10;LtIuHzB1nMbC9gTbbVK+fsdOtlQL4gGRB8uX8fGZc2ayuu6NZkfpvEJb8ukk50xagZWy+5J/e9i+&#10;uuLMB7AVaLSy5Cfp+fX65YtV1xZyhg3qSjpGINYXXVvyJoS2yDIvGmnAT7CVlg5rdAYCLd0+qxx0&#10;hG50NsvzN1mHrmodCuk97d4Oh3yd8OtaivClrr0MTJecuIU0ujTu4pitV1DsHbSNEiMN+AcWBpSl&#10;R89QtxCAHZz6Dcoo4dBjHSYCTYZ1rYRMOVA20/xZNvcNtDLlQuL49iyT/3+w4vPxq2OqKvmCMwuG&#10;LHqQfWDvsGeLqE7X+oKC7lsKCz1tk8spU9/eofjumcVNA3Yvb5zDrpFQEbtpvJldXB1wfATZdZ+w&#10;omfgEDAB9bUzUToSgxE6uXQ6OxOpCNpcvJ3NFzOiKOhsvly8zpN1GRRPt1vnwweJhsVJyR05n9Dh&#10;eOdDZAPFU0h8zKNW1VZpnRZuv9tox45AVbJNX0rgWZi2rCv5MvL4O0Sevj9BGBWo3LUyJb86B0ER&#10;ZXtvq1SMAZQe5kRZ21HHKN0gYuh3/WjYaM8OqxMJ63CobupGmjTofnLWUWWX3P84gJOc6Y+WzFlO&#10;5/PYCmkxJ2Vp4S5PdpcnYAVBlTxwNkw3IbVPVMDiDZlYq6RvdHtgMlKmik2yj90VW+JynaJ+/QPW&#10;jwAAAP//AwBQSwMEFAAGAAgAAAAhAIM6vAfcAAAABAEAAA8AAABkcnMvZG93bnJldi54bWxMj8FO&#10;wzAQRO9I/IO1SFxQaxdom4Y4FUIC0VtpEVzdeJtEtdep7abh7zFc4LLSaEYzb4vlYA3r0YfWkYTJ&#10;WABDqpxuqZbwvn0eZcBCVKSVcYQSvjDAsry8KFSu3ZnesN/EmqUSCrmS0MTY5ZyHqkGrwth1SMnb&#10;O29VTNLXXHt1TuXW8FshZtyqltJCozp8arA6bE5WQnb/2n+G1d36o5rtzSLezPuXo5fy+mp4fAAW&#10;cYh/YfjBT+hQJqadO5EOzEhIj8Tfm7yFmEyB7STMMwG8LPh/+PIbAAD//wMAUEsBAi0AFAAGAAgA&#10;AAAhALaDOJL+AAAA4QEAABMAAAAAAAAAAAAAAAAAAAAAAFtDb250ZW50X1R5cGVzXS54bWxQSwEC&#10;LQAUAAYACAAAACEAOP0h/9YAAACUAQAACwAAAAAAAAAAAAAAAAAvAQAAX3JlbHMvLnJlbHNQSwEC&#10;LQAUAAYACAAAACEAXZai8yICAABLBAAADgAAAAAAAAAAAAAAAAAuAgAAZHJzL2Uyb0RvYy54bWxQ&#10;SwECLQAUAAYACAAAACEAgzq8B9wAAAAEAQAADwAAAAAAAAAAAAAAAAB8BAAAZHJzL2Rvd25yZXYu&#10;eG1sUEsFBgAAAAAEAAQA8wAAAIUFAAAAAA==&#10;">
                <v:textbox>
                  <w:txbxContent>
                    <w:p w14:paraId="3C52F500" w14:textId="3C214B8E" w:rsidR="00FC696C" w:rsidRPr="00E6337A" w:rsidRDefault="00FC696C" w:rsidP="00E6337A">
                      <w:pPr>
                        <w:spacing w:line="259" w:lineRule="auto"/>
                        <w:rPr>
                          <w:szCs w:val="24"/>
                        </w:rPr>
                      </w:pPr>
                      <w:r w:rsidRPr="005D392C">
                        <w:t>What are assessors and Selection Advisory Committee members’ views on the efficiency and effectiveness of the continuous process?</w:t>
                      </w:r>
                    </w:p>
                  </w:txbxContent>
                </v:textbox>
                <w10:anchorlock/>
              </v:shape>
            </w:pict>
          </mc:Fallback>
        </mc:AlternateContent>
      </w:r>
    </w:p>
    <w:p w14:paraId="46C2B687" w14:textId="77777777" w:rsidR="00E6337A" w:rsidRPr="003673FA" w:rsidRDefault="00E6337A" w:rsidP="005D392C">
      <w:pPr>
        <w:spacing w:line="259" w:lineRule="auto"/>
      </w:pPr>
    </w:p>
    <w:p w14:paraId="1DD4E65D" w14:textId="294AEE77" w:rsidR="00066F58" w:rsidRPr="003673FA" w:rsidRDefault="005B4C40" w:rsidP="005B4C40">
      <w:pPr>
        <w:pStyle w:val="Heading3"/>
      </w:pPr>
      <w:r w:rsidRPr="003673FA">
        <w:t>Collaboration and innovation</w:t>
      </w:r>
    </w:p>
    <w:p w14:paraId="3AAB0FD4" w14:textId="45FE11C5" w:rsidR="005B4C40" w:rsidRPr="003673FA" w:rsidRDefault="005B4C40" w:rsidP="005D392C">
      <w:pPr>
        <w:spacing w:line="259" w:lineRule="auto"/>
        <w:rPr>
          <w:szCs w:val="24"/>
        </w:rPr>
      </w:pPr>
    </w:p>
    <w:p w14:paraId="3EFC8FB4" w14:textId="73F8D5DE" w:rsidR="00563FB4" w:rsidRPr="003673FA" w:rsidRDefault="00563FB4" w:rsidP="005D392C">
      <w:pPr>
        <w:spacing w:line="259" w:lineRule="auto"/>
        <w:rPr>
          <w:szCs w:val="24"/>
        </w:rPr>
      </w:pPr>
      <w:r w:rsidRPr="003673FA">
        <w:rPr>
          <w:szCs w:val="24"/>
        </w:rPr>
        <w:t>Detailed assessors and SAC members were as</w:t>
      </w:r>
      <w:r w:rsidR="00E66AC0" w:rsidRPr="003673FA">
        <w:rPr>
          <w:szCs w:val="24"/>
        </w:rPr>
        <w:t xml:space="preserve">ked </w:t>
      </w:r>
      <w:r w:rsidR="00A73B4F" w:rsidRPr="003673FA">
        <w:rPr>
          <w:szCs w:val="24"/>
        </w:rPr>
        <w:t>about their perceptions in relation to the effectiveness of t</w:t>
      </w:r>
      <w:r w:rsidR="00E66AC0" w:rsidRPr="003673FA">
        <w:rPr>
          <w:szCs w:val="24"/>
        </w:rPr>
        <w:t>he</w:t>
      </w:r>
      <w:r w:rsidRPr="003673FA">
        <w:rPr>
          <w:szCs w:val="24"/>
        </w:rPr>
        <w:t xml:space="preserve"> continuous process </w:t>
      </w:r>
      <w:r w:rsidR="00A73B4F" w:rsidRPr="003673FA">
        <w:rPr>
          <w:szCs w:val="24"/>
        </w:rPr>
        <w:t>in supporting</w:t>
      </w:r>
      <w:r w:rsidRPr="003673FA">
        <w:rPr>
          <w:szCs w:val="24"/>
        </w:rPr>
        <w:t xml:space="preserve"> collaboration and innovation</w:t>
      </w:r>
      <w:r w:rsidR="00312931" w:rsidRPr="003673FA">
        <w:rPr>
          <w:szCs w:val="24"/>
        </w:rPr>
        <w:t>. T</w:t>
      </w:r>
      <w:r w:rsidRPr="003673FA">
        <w:rPr>
          <w:szCs w:val="24"/>
        </w:rPr>
        <w:t xml:space="preserve">hose who had been involved in assessing Linkage Projects applications </w:t>
      </w:r>
      <w:r w:rsidR="00312931" w:rsidRPr="003673FA">
        <w:rPr>
          <w:szCs w:val="24"/>
        </w:rPr>
        <w:t xml:space="preserve">prior to the introduction of the continuous process provided </w:t>
      </w:r>
      <w:r w:rsidR="00E66AC0" w:rsidRPr="003673FA">
        <w:rPr>
          <w:szCs w:val="24"/>
        </w:rPr>
        <w:t>useful perspectives on</w:t>
      </w:r>
      <w:r w:rsidR="00312931" w:rsidRPr="003673FA">
        <w:rPr>
          <w:szCs w:val="24"/>
        </w:rPr>
        <w:t xml:space="preserve"> particular changes</w:t>
      </w:r>
      <w:r w:rsidRPr="003673FA">
        <w:rPr>
          <w:szCs w:val="24"/>
        </w:rPr>
        <w:t xml:space="preserve">. For example, as </w:t>
      </w:r>
      <w:hyperlink w:anchor="Figure29" w:history="1">
        <w:r w:rsidRPr="00D86564">
          <w:rPr>
            <w:rStyle w:val="Hyperlink"/>
            <w:szCs w:val="24"/>
          </w:rPr>
          <w:t xml:space="preserve">Figure </w:t>
        </w:r>
        <w:r w:rsidR="00EB37C2" w:rsidRPr="00D86564">
          <w:rPr>
            <w:rStyle w:val="Hyperlink"/>
            <w:szCs w:val="24"/>
          </w:rPr>
          <w:t>29</w:t>
        </w:r>
      </w:hyperlink>
      <w:r w:rsidR="00E66AC0" w:rsidRPr="003673FA">
        <w:rPr>
          <w:szCs w:val="24"/>
        </w:rPr>
        <w:t xml:space="preserve"> shows, the majority of those </w:t>
      </w:r>
      <w:r w:rsidR="00312931" w:rsidRPr="003673FA">
        <w:rPr>
          <w:szCs w:val="24"/>
        </w:rPr>
        <w:t xml:space="preserve">detailed assessors (67 per cent) and SAC members (58 per cent) </w:t>
      </w:r>
      <w:r w:rsidR="00A73B4F" w:rsidRPr="003673FA">
        <w:rPr>
          <w:szCs w:val="24"/>
        </w:rPr>
        <w:t>considered</w:t>
      </w:r>
      <w:r w:rsidRPr="003673FA">
        <w:rPr>
          <w:szCs w:val="24"/>
        </w:rPr>
        <w:t xml:space="preserve"> the continuous process to have a positive or slightly positive impact on the q</w:t>
      </w:r>
      <w:r w:rsidR="00312931" w:rsidRPr="003673FA">
        <w:rPr>
          <w:szCs w:val="24"/>
        </w:rPr>
        <w:t>uality of research collaboration in Linkage Projects applications.</w:t>
      </w:r>
    </w:p>
    <w:p w14:paraId="273BA72E" w14:textId="68393417" w:rsidR="005B4C40" w:rsidRPr="003673FA" w:rsidRDefault="005B4C40" w:rsidP="005D392C">
      <w:pPr>
        <w:spacing w:line="259" w:lineRule="auto"/>
        <w:rPr>
          <w:szCs w:val="24"/>
        </w:rPr>
      </w:pPr>
    </w:p>
    <w:p w14:paraId="7590464C" w14:textId="35815EC6" w:rsidR="005B4C40" w:rsidRPr="003673FA" w:rsidRDefault="00CC4201" w:rsidP="00CC4201">
      <w:pPr>
        <w:pStyle w:val="Heading4"/>
      </w:pPr>
      <w:bookmarkStart w:id="74" w:name="Figure29"/>
      <w:bookmarkEnd w:id="74"/>
      <w:r w:rsidRPr="003673FA">
        <w:t xml:space="preserve">Figure </w:t>
      </w:r>
      <w:r w:rsidR="00EB37C2" w:rsidRPr="003673FA">
        <w:t>29</w:t>
      </w:r>
      <w:r w:rsidRPr="003673FA">
        <w:t>: Detailed assessors and SAC members (involved prior) – impact of the continuous process on the quality of research collaboration</w:t>
      </w:r>
    </w:p>
    <w:p w14:paraId="78B1A705" w14:textId="4EE15D38" w:rsidR="00CC4201" w:rsidRPr="003673FA" w:rsidRDefault="005037A2" w:rsidP="005D392C">
      <w:pPr>
        <w:spacing w:line="259" w:lineRule="auto"/>
        <w:rPr>
          <w:szCs w:val="24"/>
        </w:rPr>
      </w:pPr>
      <w:r w:rsidRPr="003673FA">
        <w:rPr>
          <w:noProof/>
          <w:szCs w:val="24"/>
          <w:lang w:eastAsia="en-AU"/>
        </w:rPr>
        <w:drawing>
          <wp:inline distT="0" distB="0" distL="0" distR="0" wp14:anchorId="16085497" wp14:editId="6386D179">
            <wp:extent cx="4584700" cy="1335405"/>
            <wp:effectExtent l="0" t="0" r="6350" b="0"/>
            <wp:docPr id="204" name="Picture 204" descr="Figure 29 depicts the respones of detailed assessors and SAC members (involved prior) regarding the impact of the continuous process on the quality of research collaboration." title="Figure 29: Detailed assessors and SAC members (involved prior) – impact of the continuous process on the quality of research collab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584700" cy="1335405"/>
                    </a:xfrm>
                    <a:prstGeom prst="rect">
                      <a:avLst/>
                    </a:prstGeom>
                    <a:noFill/>
                  </pic:spPr>
                </pic:pic>
              </a:graphicData>
            </a:graphic>
          </wp:inline>
        </w:drawing>
      </w:r>
    </w:p>
    <w:p w14:paraId="13905249" w14:textId="6296CE71" w:rsidR="00CC4201" w:rsidRPr="003673FA" w:rsidRDefault="0055655A" w:rsidP="005D392C">
      <w:pPr>
        <w:spacing w:line="259" w:lineRule="auto"/>
        <w:rPr>
          <w:szCs w:val="24"/>
        </w:rPr>
      </w:pPr>
      <w:r w:rsidRPr="003673FA">
        <w:rPr>
          <w:sz w:val="20"/>
          <w:szCs w:val="20"/>
        </w:rPr>
        <w:t xml:space="preserve">Source: ACIL Allen Consulting. </w:t>
      </w:r>
      <w:r w:rsidRPr="003673FA">
        <w:rPr>
          <w:i/>
          <w:sz w:val="20"/>
          <w:szCs w:val="20"/>
        </w:rPr>
        <w:t>Note: n=424 detailed assessors and n=24 SAC members who had been involved prior to the continuous process.</w:t>
      </w:r>
    </w:p>
    <w:p w14:paraId="4E39229E" w14:textId="7A241FA3" w:rsidR="00EC0C07" w:rsidRPr="003673FA" w:rsidRDefault="00EC0C07" w:rsidP="005D392C">
      <w:pPr>
        <w:spacing w:line="259" w:lineRule="auto"/>
        <w:rPr>
          <w:szCs w:val="24"/>
        </w:rPr>
      </w:pPr>
    </w:p>
    <w:p w14:paraId="56DEA6FA" w14:textId="5891CE27" w:rsidR="00444D29" w:rsidRPr="003673FA" w:rsidRDefault="00B31C02" w:rsidP="005D392C">
      <w:pPr>
        <w:spacing w:line="259" w:lineRule="auto"/>
        <w:rPr>
          <w:szCs w:val="24"/>
        </w:rPr>
      </w:pPr>
      <w:r w:rsidRPr="003673FA">
        <w:rPr>
          <w:szCs w:val="24"/>
        </w:rPr>
        <w:t xml:space="preserve">In contrast, these </w:t>
      </w:r>
      <w:r w:rsidR="0054544D" w:rsidRPr="003673FA">
        <w:rPr>
          <w:szCs w:val="24"/>
        </w:rPr>
        <w:t>detailed assessors and SAC members</w:t>
      </w:r>
      <w:r w:rsidRPr="003673FA">
        <w:rPr>
          <w:szCs w:val="24"/>
        </w:rPr>
        <w:t xml:space="preserve"> were much less positive about whether the continuous process supported </w:t>
      </w:r>
      <w:r w:rsidR="0054544D" w:rsidRPr="003673FA">
        <w:rPr>
          <w:szCs w:val="24"/>
        </w:rPr>
        <w:t>a greater focus</w:t>
      </w:r>
      <w:r w:rsidRPr="003673FA">
        <w:rPr>
          <w:szCs w:val="24"/>
        </w:rPr>
        <w:t xml:space="preserve"> on innovation. As shown in </w:t>
      </w:r>
      <w:hyperlink w:anchor="Figure30" w:history="1">
        <w:r w:rsidRPr="00D86564">
          <w:rPr>
            <w:rStyle w:val="Hyperlink"/>
            <w:szCs w:val="24"/>
          </w:rPr>
          <w:t xml:space="preserve">Figure </w:t>
        </w:r>
        <w:r w:rsidR="00EB37C2" w:rsidRPr="00D86564">
          <w:rPr>
            <w:rStyle w:val="Hyperlink"/>
            <w:szCs w:val="24"/>
          </w:rPr>
          <w:t>30</w:t>
        </w:r>
      </w:hyperlink>
      <w:r w:rsidRPr="003673FA">
        <w:rPr>
          <w:szCs w:val="24"/>
        </w:rPr>
        <w:t>, the most common perception among detailed assessors (44 per cent) and SAC members (54 per cent) was that responsiveness to innovation or market opportunities</w:t>
      </w:r>
      <w:r w:rsidR="00A44008" w:rsidRPr="003673FA">
        <w:rPr>
          <w:szCs w:val="24"/>
        </w:rPr>
        <w:t xml:space="preserve"> </w:t>
      </w:r>
      <w:r w:rsidR="0054544D" w:rsidRPr="003673FA">
        <w:rPr>
          <w:szCs w:val="24"/>
        </w:rPr>
        <w:t>had not increased</w:t>
      </w:r>
      <w:r w:rsidR="0004797F" w:rsidRPr="003673FA">
        <w:rPr>
          <w:szCs w:val="24"/>
        </w:rPr>
        <w:t xml:space="preserve"> since the introduction of the continuous process</w:t>
      </w:r>
      <w:r w:rsidRPr="003673FA">
        <w:rPr>
          <w:szCs w:val="24"/>
        </w:rPr>
        <w:t>.</w:t>
      </w:r>
      <w:r w:rsidR="0004797F" w:rsidRPr="003673FA">
        <w:rPr>
          <w:szCs w:val="24"/>
        </w:rPr>
        <w:t xml:space="preserve"> Moreover, 50 per cent of detailed assessors and 58 per cent of SAC members perceived no increase </w:t>
      </w:r>
      <w:r w:rsidR="00AA5C95" w:rsidRPr="003673FA">
        <w:rPr>
          <w:szCs w:val="24"/>
        </w:rPr>
        <w:t xml:space="preserve">in the inclusion of innovation </w:t>
      </w:r>
      <w:r w:rsidR="0004797F" w:rsidRPr="003673FA">
        <w:rPr>
          <w:szCs w:val="24"/>
        </w:rPr>
        <w:t xml:space="preserve">in </w:t>
      </w:r>
      <w:r w:rsidR="00A44008" w:rsidRPr="003673FA">
        <w:rPr>
          <w:szCs w:val="24"/>
        </w:rPr>
        <w:t xml:space="preserve">the content of </w:t>
      </w:r>
      <w:r w:rsidR="0004797F" w:rsidRPr="003673FA">
        <w:rPr>
          <w:szCs w:val="24"/>
        </w:rPr>
        <w:t xml:space="preserve">Linkage Projects </w:t>
      </w:r>
      <w:r w:rsidR="00AA5C95" w:rsidRPr="003673FA">
        <w:rPr>
          <w:szCs w:val="24"/>
        </w:rPr>
        <w:t>applications</w:t>
      </w:r>
      <w:r w:rsidR="0004797F" w:rsidRPr="003673FA">
        <w:rPr>
          <w:szCs w:val="24"/>
        </w:rPr>
        <w:t>.</w:t>
      </w:r>
    </w:p>
    <w:p w14:paraId="46CE0127" w14:textId="77777777" w:rsidR="00EB2112" w:rsidRPr="003673FA" w:rsidRDefault="00EB2112" w:rsidP="005D392C">
      <w:pPr>
        <w:spacing w:line="259" w:lineRule="auto"/>
        <w:rPr>
          <w:szCs w:val="24"/>
        </w:rPr>
      </w:pPr>
    </w:p>
    <w:p w14:paraId="1D9FC0C5" w14:textId="6006FCF1" w:rsidR="00AB11A5" w:rsidRPr="003673FA" w:rsidRDefault="003C214B" w:rsidP="00AB11A5">
      <w:pPr>
        <w:pStyle w:val="Heading4"/>
      </w:pPr>
      <w:bookmarkStart w:id="75" w:name="Figure30"/>
      <w:bookmarkEnd w:id="75"/>
      <w:r w:rsidRPr="003673FA">
        <w:t xml:space="preserve">Figure </w:t>
      </w:r>
      <w:r w:rsidR="00EB37C2" w:rsidRPr="003673FA">
        <w:t>30</w:t>
      </w:r>
      <w:r w:rsidRPr="003673FA">
        <w:t>: Detailed assessors and SAC members (involved prior) – perceived changes in Linkage Projects applications</w:t>
      </w:r>
    </w:p>
    <w:p w14:paraId="436C9EE6" w14:textId="005BB7F0" w:rsidR="00AB11A5" w:rsidRPr="003673FA" w:rsidRDefault="005543CC" w:rsidP="005D392C">
      <w:pPr>
        <w:spacing w:line="259" w:lineRule="auto"/>
        <w:rPr>
          <w:sz w:val="20"/>
          <w:szCs w:val="20"/>
        </w:rPr>
      </w:pPr>
      <w:r w:rsidRPr="003673FA">
        <w:rPr>
          <w:noProof/>
          <w:sz w:val="20"/>
          <w:szCs w:val="20"/>
          <w:lang w:eastAsia="en-AU"/>
        </w:rPr>
        <w:drawing>
          <wp:inline distT="0" distB="0" distL="0" distR="0" wp14:anchorId="76730BED" wp14:editId="768F4466">
            <wp:extent cx="5675630" cy="1487805"/>
            <wp:effectExtent l="0" t="0" r="1270" b="0"/>
            <wp:docPr id="208" name="Picture 208" descr="Figure 30 depicts the responses of detailed assessors and SAC members (involved prior) regarding whether they perceived an increases in responsiveness to innovation or market opportunities, or an increase in the inclusion of innovation in Linkage Projects applications since the introduction of the continuous process." title="Figure 30: Detailed assessors and SAC members (involved prior) – perceived changes in Linkage Projects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75630" cy="1487805"/>
                    </a:xfrm>
                    <a:prstGeom prst="rect">
                      <a:avLst/>
                    </a:prstGeom>
                    <a:noFill/>
                  </pic:spPr>
                </pic:pic>
              </a:graphicData>
            </a:graphic>
          </wp:inline>
        </w:drawing>
      </w:r>
      <w:r w:rsidR="00AB11A5" w:rsidRPr="003673FA">
        <w:rPr>
          <w:sz w:val="20"/>
          <w:szCs w:val="20"/>
        </w:rPr>
        <w:t xml:space="preserve">Source: ACIL Allen Consulting. </w:t>
      </w:r>
      <w:r w:rsidR="00AB11A5" w:rsidRPr="003673FA">
        <w:rPr>
          <w:i/>
          <w:sz w:val="20"/>
          <w:szCs w:val="20"/>
        </w:rPr>
        <w:t>Note: n=426 detailed assessors and n=24 SAC members who had been involved prior to the continuous process.</w:t>
      </w:r>
    </w:p>
    <w:p w14:paraId="32DD33F6" w14:textId="2793EB38" w:rsidR="003C214B" w:rsidRPr="003673FA" w:rsidRDefault="003C214B" w:rsidP="005D392C">
      <w:pPr>
        <w:spacing w:line="259" w:lineRule="auto"/>
        <w:rPr>
          <w:szCs w:val="24"/>
        </w:rPr>
      </w:pPr>
    </w:p>
    <w:p w14:paraId="43DBD9AE" w14:textId="276954B5" w:rsidR="008C1F65" w:rsidRPr="003673FA" w:rsidRDefault="00CC2B9E" w:rsidP="005D392C">
      <w:pPr>
        <w:spacing w:line="259" w:lineRule="auto"/>
        <w:rPr>
          <w:szCs w:val="24"/>
        </w:rPr>
      </w:pPr>
      <w:r w:rsidRPr="003673FA">
        <w:rPr>
          <w:szCs w:val="24"/>
        </w:rPr>
        <w:t>W</w:t>
      </w:r>
      <w:r w:rsidR="006F7E52" w:rsidRPr="003673FA">
        <w:rPr>
          <w:szCs w:val="24"/>
        </w:rPr>
        <w:t>hen asked</w:t>
      </w:r>
      <w:r w:rsidRPr="003673FA">
        <w:rPr>
          <w:szCs w:val="24"/>
        </w:rPr>
        <w:t xml:space="preserve"> </w:t>
      </w:r>
      <w:r w:rsidR="00A21CE0" w:rsidRPr="003673FA">
        <w:rPr>
          <w:szCs w:val="24"/>
        </w:rPr>
        <w:t xml:space="preserve">the </w:t>
      </w:r>
      <w:r w:rsidR="00A73B4F" w:rsidRPr="003673FA">
        <w:rPr>
          <w:szCs w:val="24"/>
        </w:rPr>
        <w:t>more general</w:t>
      </w:r>
      <w:r w:rsidR="00A21CE0" w:rsidRPr="003673FA">
        <w:rPr>
          <w:szCs w:val="24"/>
        </w:rPr>
        <w:t xml:space="preserve"> question</w:t>
      </w:r>
      <w:r w:rsidR="006F7E52" w:rsidRPr="003673FA">
        <w:rPr>
          <w:szCs w:val="24"/>
        </w:rPr>
        <w:t xml:space="preserve">, ‘On balance, does the change to a continuous application process achieve the objectives of facilitating timely collaboration and greater responsiveness to innovation opportunities?’ </w:t>
      </w:r>
      <w:r w:rsidR="006732C9" w:rsidRPr="003673FA">
        <w:rPr>
          <w:szCs w:val="24"/>
        </w:rPr>
        <w:t xml:space="preserve">the majority of detailed assessors and SAC members </w:t>
      </w:r>
      <w:r w:rsidR="00A21CE0" w:rsidRPr="003673FA">
        <w:rPr>
          <w:szCs w:val="24"/>
        </w:rPr>
        <w:t>answered ‘yes’. A</w:t>
      </w:r>
      <w:r w:rsidR="006F7E52" w:rsidRPr="003673FA">
        <w:rPr>
          <w:szCs w:val="24"/>
        </w:rPr>
        <w:t xml:space="preserve">s shown in </w:t>
      </w:r>
      <w:hyperlink w:anchor="Figure31" w:history="1">
        <w:r w:rsidR="006F7E52" w:rsidRPr="00D86564">
          <w:rPr>
            <w:rStyle w:val="Hyperlink"/>
            <w:szCs w:val="24"/>
          </w:rPr>
          <w:t xml:space="preserve">Figure </w:t>
        </w:r>
        <w:r w:rsidR="00C0094A" w:rsidRPr="00D86564">
          <w:rPr>
            <w:rStyle w:val="Hyperlink"/>
            <w:szCs w:val="24"/>
          </w:rPr>
          <w:t>31</w:t>
        </w:r>
      </w:hyperlink>
      <w:r w:rsidR="00A21CE0" w:rsidRPr="003673FA">
        <w:rPr>
          <w:szCs w:val="24"/>
        </w:rPr>
        <w:t>, this also included</w:t>
      </w:r>
      <w:r w:rsidR="006F7E52" w:rsidRPr="003673FA">
        <w:rPr>
          <w:szCs w:val="24"/>
        </w:rPr>
        <w:t xml:space="preserve"> </w:t>
      </w:r>
      <w:r w:rsidR="00A21CE0" w:rsidRPr="003673FA">
        <w:rPr>
          <w:szCs w:val="24"/>
        </w:rPr>
        <w:t>those</w:t>
      </w:r>
      <w:r w:rsidR="006F7E52" w:rsidRPr="003673FA">
        <w:rPr>
          <w:szCs w:val="24"/>
        </w:rPr>
        <w:t xml:space="preserve"> w</w:t>
      </w:r>
      <w:r w:rsidR="006732C9" w:rsidRPr="003673FA">
        <w:rPr>
          <w:szCs w:val="24"/>
        </w:rPr>
        <w:t xml:space="preserve">ho had </w:t>
      </w:r>
      <w:r w:rsidR="00C16A61" w:rsidRPr="003673FA">
        <w:rPr>
          <w:szCs w:val="24"/>
        </w:rPr>
        <w:t>not been involved</w:t>
      </w:r>
      <w:r w:rsidR="006732C9" w:rsidRPr="003673FA">
        <w:rPr>
          <w:szCs w:val="24"/>
        </w:rPr>
        <w:t xml:space="preserve"> in the scheme prior to the introduc</w:t>
      </w:r>
      <w:r w:rsidR="006F7E52" w:rsidRPr="003673FA">
        <w:rPr>
          <w:szCs w:val="24"/>
        </w:rPr>
        <w:t>tion of the continuous process</w:t>
      </w:r>
      <w:r w:rsidR="00A21CE0" w:rsidRPr="003673FA">
        <w:rPr>
          <w:szCs w:val="24"/>
        </w:rPr>
        <w:t>. W</w:t>
      </w:r>
      <w:r w:rsidRPr="003673FA">
        <w:rPr>
          <w:szCs w:val="24"/>
        </w:rPr>
        <w:t xml:space="preserve">hile the results were reasonably similar for all groups, </w:t>
      </w:r>
      <w:r w:rsidR="00C16A61" w:rsidRPr="003673FA">
        <w:rPr>
          <w:szCs w:val="24"/>
        </w:rPr>
        <w:t xml:space="preserve">SAC members who had not been involved prior to the continuous process were the least </w:t>
      </w:r>
      <w:r w:rsidR="00AA5C95" w:rsidRPr="003673FA">
        <w:rPr>
          <w:szCs w:val="24"/>
        </w:rPr>
        <w:t>likely to respond positively</w:t>
      </w:r>
      <w:r w:rsidR="00C16A61" w:rsidRPr="003673FA">
        <w:rPr>
          <w:szCs w:val="24"/>
        </w:rPr>
        <w:t>.</w:t>
      </w:r>
    </w:p>
    <w:p w14:paraId="117EFF99" w14:textId="77777777" w:rsidR="008C1F65" w:rsidRPr="003673FA" w:rsidRDefault="008C1F65" w:rsidP="005D392C">
      <w:pPr>
        <w:spacing w:line="259" w:lineRule="auto"/>
        <w:rPr>
          <w:szCs w:val="24"/>
        </w:rPr>
      </w:pPr>
    </w:p>
    <w:p w14:paraId="02FC0C9F" w14:textId="165BFBBB" w:rsidR="005B4C40" w:rsidRPr="003673FA" w:rsidRDefault="00BF41F7" w:rsidP="00BF41F7">
      <w:pPr>
        <w:pStyle w:val="Heading4"/>
        <w:rPr>
          <w:szCs w:val="24"/>
        </w:rPr>
      </w:pPr>
      <w:bookmarkStart w:id="76" w:name="Figure31"/>
      <w:bookmarkEnd w:id="76"/>
      <w:r w:rsidRPr="003673FA">
        <w:t xml:space="preserve">Figure </w:t>
      </w:r>
      <w:r w:rsidR="00C0094A" w:rsidRPr="003673FA">
        <w:t>31</w:t>
      </w:r>
      <w:r w:rsidRPr="003673FA">
        <w:t>: Detailed assessor and SAC member views on whether the continuous process achieves its objectives</w:t>
      </w:r>
    </w:p>
    <w:p w14:paraId="111C3B04" w14:textId="730C4F55" w:rsidR="005B4C40" w:rsidRPr="003673FA" w:rsidRDefault="005543CC" w:rsidP="005D392C">
      <w:pPr>
        <w:spacing w:line="259" w:lineRule="auto"/>
        <w:rPr>
          <w:szCs w:val="24"/>
        </w:rPr>
      </w:pPr>
      <w:r w:rsidRPr="003673FA">
        <w:rPr>
          <w:noProof/>
          <w:szCs w:val="24"/>
          <w:lang w:eastAsia="en-AU"/>
        </w:rPr>
        <w:drawing>
          <wp:inline distT="0" distB="0" distL="0" distR="0" wp14:anchorId="6B942BF5" wp14:editId="317C89BB">
            <wp:extent cx="4596765" cy="1823085"/>
            <wp:effectExtent l="0" t="0" r="0" b="5715"/>
            <wp:docPr id="210" name="Picture 210" descr="Figure 31 depicts the responses of detailed assessors involved prior, detailed assessors not involved prior, SAC members involved prior and SAC members not involved prior regarding whether the continuous process achieves its objectives." title="Figure 31: Detailed assessor and SAC member views on whether the continuous process achieves its objec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596765" cy="1823085"/>
                    </a:xfrm>
                    <a:prstGeom prst="rect">
                      <a:avLst/>
                    </a:prstGeom>
                    <a:noFill/>
                  </pic:spPr>
                </pic:pic>
              </a:graphicData>
            </a:graphic>
          </wp:inline>
        </w:drawing>
      </w:r>
    </w:p>
    <w:p w14:paraId="1C4B5B2B" w14:textId="44CAFAAA" w:rsidR="005B4C40" w:rsidRPr="003673FA" w:rsidRDefault="002C15FA" w:rsidP="005D392C">
      <w:pPr>
        <w:spacing w:line="259" w:lineRule="auto"/>
        <w:rPr>
          <w:sz w:val="20"/>
          <w:szCs w:val="20"/>
        </w:rPr>
      </w:pPr>
      <w:r w:rsidRPr="003673FA">
        <w:rPr>
          <w:sz w:val="20"/>
          <w:szCs w:val="20"/>
        </w:rPr>
        <w:t xml:space="preserve">Source: ACIL Allen Consulting. </w:t>
      </w:r>
      <w:r w:rsidRPr="003673FA">
        <w:rPr>
          <w:i/>
          <w:sz w:val="20"/>
          <w:szCs w:val="20"/>
        </w:rPr>
        <w:t>Note: n=418 detailed assessors and n=24 SAC members who had been involved prior to the continuous process and n=149 detailed assessors and n=33 SAC members who had not.</w:t>
      </w:r>
    </w:p>
    <w:p w14:paraId="678E292C" w14:textId="1463373E" w:rsidR="005B4C40" w:rsidRPr="003673FA" w:rsidRDefault="005B4C40">
      <w:pPr>
        <w:rPr>
          <w:szCs w:val="24"/>
        </w:rPr>
      </w:pPr>
    </w:p>
    <w:p w14:paraId="3D4AFD6C" w14:textId="1BFADAB0" w:rsidR="005B4C40" w:rsidRPr="003673FA" w:rsidRDefault="005B4C40" w:rsidP="005B4C40">
      <w:pPr>
        <w:pStyle w:val="Heading3"/>
      </w:pPr>
      <w:r w:rsidRPr="003673FA">
        <w:t>Processes</w:t>
      </w:r>
    </w:p>
    <w:p w14:paraId="59F69445" w14:textId="77777777" w:rsidR="001A7ECB" w:rsidRPr="003673FA" w:rsidRDefault="001A7ECB">
      <w:pPr>
        <w:rPr>
          <w:szCs w:val="24"/>
        </w:rPr>
      </w:pPr>
    </w:p>
    <w:p w14:paraId="2BC45E43" w14:textId="21F3254F" w:rsidR="001A7ECB" w:rsidRPr="003673FA" w:rsidRDefault="00883017" w:rsidP="00A77E4C">
      <w:pPr>
        <w:spacing w:line="259" w:lineRule="auto"/>
        <w:rPr>
          <w:szCs w:val="24"/>
        </w:rPr>
      </w:pPr>
      <w:hyperlink w:anchor="Figure32" w:history="1">
        <w:r w:rsidR="00F918D5" w:rsidRPr="00D86564">
          <w:rPr>
            <w:rStyle w:val="Hyperlink"/>
            <w:szCs w:val="24"/>
          </w:rPr>
          <w:t xml:space="preserve">Figure </w:t>
        </w:r>
        <w:r w:rsidR="00C0094A" w:rsidRPr="00D86564">
          <w:rPr>
            <w:rStyle w:val="Hyperlink"/>
            <w:szCs w:val="24"/>
          </w:rPr>
          <w:t>32</w:t>
        </w:r>
      </w:hyperlink>
      <w:r w:rsidR="00F918D5" w:rsidRPr="003673FA">
        <w:rPr>
          <w:szCs w:val="24"/>
        </w:rPr>
        <w:t xml:space="preserve"> shows that a clear majority (71 per cent) of SAC members who had been involved prior to the continuous process perceived an increase in the speed of approving applications, compared to only 26 per cent of detailed assessors</w:t>
      </w:r>
      <w:r w:rsidR="00396373" w:rsidRPr="003673FA">
        <w:rPr>
          <w:szCs w:val="24"/>
        </w:rPr>
        <w:t xml:space="preserve"> (</w:t>
      </w:r>
      <w:r w:rsidR="000B7ECD" w:rsidRPr="003673FA">
        <w:rPr>
          <w:szCs w:val="24"/>
        </w:rPr>
        <w:t>36 percent of detailed assessors perceived no increase and 37 per cent were unsure)</w:t>
      </w:r>
      <w:r w:rsidR="00F918D5" w:rsidRPr="003673FA">
        <w:rPr>
          <w:szCs w:val="24"/>
        </w:rPr>
        <w:t>.</w:t>
      </w:r>
      <w:r w:rsidR="000B7ECD" w:rsidRPr="003673FA">
        <w:rPr>
          <w:szCs w:val="24"/>
        </w:rPr>
        <w:t xml:space="preserve"> </w:t>
      </w:r>
      <w:r w:rsidR="009A23BE" w:rsidRPr="003673FA">
        <w:rPr>
          <w:szCs w:val="24"/>
        </w:rPr>
        <w:t xml:space="preserve">These differing perceptions may be a reflection of the different roles these stakeholders play. For instance, detailed assessors </w:t>
      </w:r>
      <w:r w:rsidR="00A44008" w:rsidRPr="003673FA">
        <w:rPr>
          <w:szCs w:val="24"/>
        </w:rPr>
        <w:t xml:space="preserve">are involved in just </w:t>
      </w:r>
      <w:r w:rsidR="00A44008" w:rsidRPr="003673FA">
        <w:rPr>
          <w:szCs w:val="24"/>
        </w:rPr>
        <w:lastRenderedPageBreak/>
        <w:t xml:space="preserve">one part of the assessment process, often for a relatively small number of applications. </w:t>
      </w:r>
      <w:r w:rsidR="009A23BE" w:rsidRPr="003673FA">
        <w:rPr>
          <w:szCs w:val="24"/>
        </w:rPr>
        <w:t xml:space="preserve">By contrast, SAC members are involved in multiple stages of the </w:t>
      </w:r>
      <w:r w:rsidR="006E25A1" w:rsidRPr="003673FA">
        <w:rPr>
          <w:szCs w:val="24"/>
        </w:rPr>
        <w:t>assessment process</w:t>
      </w:r>
      <w:r w:rsidR="009A23BE" w:rsidRPr="003673FA">
        <w:rPr>
          <w:szCs w:val="24"/>
        </w:rPr>
        <w:t xml:space="preserve"> and </w:t>
      </w:r>
      <w:r w:rsidR="00A44008" w:rsidRPr="003673FA">
        <w:rPr>
          <w:szCs w:val="24"/>
        </w:rPr>
        <w:t xml:space="preserve">a larger number of applications. SAC members therefore </w:t>
      </w:r>
      <w:r w:rsidR="009A23BE" w:rsidRPr="003673FA">
        <w:rPr>
          <w:szCs w:val="24"/>
        </w:rPr>
        <w:t xml:space="preserve">have a broader view of the changes implemented </w:t>
      </w:r>
      <w:r w:rsidR="006E25A1" w:rsidRPr="003673FA">
        <w:rPr>
          <w:szCs w:val="24"/>
        </w:rPr>
        <w:t xml:space="preserve">to facilitate the provision of recommendations to the Minister within six months. </w:t>
      </w:r>
    </w:p>
    <w:p w14:paraId="720D0E50" w14:textId="77777777" w:rsidR="001A7ECB" w:rsidRPr="003673FA" w:rsidRDefault="001A7ECB" w:rsidP="00A77E4C">
      <w:pPr>
        <w:spacing w:line="259" w:lineRule="auto"/>
        <w:rPr>
          <w:szCs w:val="24"/>
        </w:rPr>
      </w:pPr>
    </w:p>
    <w:p w14:paraId="4489CD3B" w14:textId="7D0733F0" w:rsidR="001027E7" w:rsidRPr="003673FA" w:rsidRDefault="00DD3D9B" w:rsidP="00DD3D9B">
      <w:pPr>
        <w:pStyle w:val="Heading4"/>
      </w:pPr>
      <w:bookmarkStart w:id="77" w:name="Figure32"/>
      <w:bookmarkEnd w:id="77"/>
      <w:r w:rsidRPr="003673FA">
        <w:t xml:space="preserve">Figure </w:t>
      </w:r>
      <w:r w:rsidR="00C0094A" w:rsidRPr="003673FA">
        <w:t>32</w:t>
      </w:r>
      <w:r w:rsidRPr="003673FA">
        <w:t xml:space="preserve">: Detailed assessors and SAC members (involved prior) – </w:t>
      </w:r>
      <w:r w:rsidR="00EC0C07" w:rsidRPr="003673FA">
        <w:t xml:space="preserve">perceived </w:t>
      </w:r>
      <w:r w:rsidRPr="003673FA">
        <w:t>increase in the speed of approving applications</w:t>
      </w:r>
    </w:p>
    <w:p w14:paraId="0D139618" w14:textId="59C53932" w:rsidR="001027E7" w:rsidRPr="003673FA" w:rsidRDefault="005543CC">
      <w:pPr>
        <w:rPr>
          <w:szCs w:val="24"/>
        </w:rPr>
      </w:pPr>
      <w:r w:rsidRPr="003673FA">
        <w:rPr>
          <w:noProof/>
          <w:szCs w:val="24"/>
          <w:lang w:eastAsia="en-AU"/>
        </w:rPr>
        <w:drawing>
          <wp:inline distT="0" distB="0" distL="0" distR="0" wp14:anchorId="2C4D6EC4" wp14:editId="10A92BD2">
            <wp:extent cx="4584700" cy="1200785"/>
            <wp:effectExtent l="0" t="0" r="6350" b="0"/>
            <wp:docPr id="211" name="Picture 211" descr="Figure 32 depicts the responses of detailed assessor and SAC members (involved prior) regarding whether they perceived an increase in the speed of approving applications." title="Figure 32: Detailed assessors and SAC members (involved prior) – perceived increase in the speed of approving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584700" cy="1200785"/>
                    </a:xfrm>
                    <a:prstGeom prst="rect">
                      <a:avLst/>
                    </a:prstGeom>
                    <a:noFill/>
                  </pic:spPr>
                </pic:pic>
              </a:graphicData>
            </a:graphic>
          </wp:inline>
        </w:drawing>
      </w:r>
    </w:p>
    <w:p w14:paraId="095B52CC" w14:textId="30D805E5" w:rsidR="00DD3D9B" w:rsidRPr="003673FA" w:rsidRDefault="00DD3D9B" w:rsidP="00DD3D9B">
      <w:pPr>
        <w:spacing w:line="259" w:lineRule="auto"/>
        <w:rPr>
          <w:szCs w:val="24"/>
        </w:rPr>
      </w:pPr>
      <w:r w:rsidRPr="003673FA">
        <w:rPr>
          <w:sz w:val="20"/>
          <w:szCs w:val="20"/>
        </w:rPr>
        <w:t xml:space="preserve">Source: ACIL Allen Consulting. </w:t>
      </w:r>
      <w:r w:rsidRPr="003673FA">
        <w:rPr>
          <w:i/>
          <w:sz w:val="20"/>
          <w:szCs w:val="20"/>
        </w:rPr>
        <w:t>Note: n=425 detailed assessors and n=24 SAC members who had been involved prior to the continuous process.</w:t>
      </w:r>
    </w:p>
    <w:p w14:paraId="0700AD29" w14:textId="09161A74" w:rsidR="001027E7" w:rsidRPr="003673FA" w:rsidRDefault="001027E7">
      <w:pPr>
        <w:rPr>
          <w:szCs w:val="24"/>
        </w:rPr>
      </w:pPr>
    </w:p>
    <w:p w14:paraId="30017A5B" w14:textId="5E5CD348" w:rsidR="0070635B" w:rsidRPr="003673FA" w:rsidRDefault="006E25A1" w:rsidP="00A77E4C">
      <w:pPr>
        <w:spacing w:line="259" w:lineRule="auto"/>
        <w:rPr>
          <w:szCs w:val="24"/>
        </w:rPr>
      </w:pPr>
      <w:r w:rsidRPr="003673FA">
        <w:rPr>
          <w:szCs w:val="24"/>
        </w:rPr>
        <w:t>Further ev</w:t>
      </w:r>
      <w:r w:rsidR="008C2491" w:rsidRPr="003673FA">
        <w:rPr>
          <w:szCs w:val="24"/>
        </w:rPr>
        <w:t xml:space="preserve">idence that the </w:t>
      </w:r>
      <w:r w:rsidR="00BB77AA" w:rsidRPr="003673FA">
        <w:rPr>
          <w:szCs w:val="24"/>
        </w:rPr>
        <w:t xml:space="preserve">introduction of the </w:t>
      </w:r>
      <w:r w:rsidR="008C2491" w:rsidRPr="003673FA">
        <w:rPr>
          <w:szCs w:val="24"/>
        </w:rPr>
        <w:t xml:space="preserve">continuous process has had a relatively small impact on detailed assessors </w:t>
      </w:r>
      <w:r w:rsidRPr="003673FA">
        <w:rPr>
          <w:szCs w:val="24"/>
        </w:rPr>
        <w:t xml:space="preserve">is depicted in </w:t>
      </w:r>
      <w:hyperlink w:anchor="Figure33" w:history="1">
        <w:r w:rsidRPr="00D86564">
          <w:rPr>
            <w:rStyle w:val="Hyperlink"/>
            <w:szCs w:val="24"/>
          </w:rPr>
          <w:t xml:space="preserve">Figure </w:t>
        </w:r>
        <w:r w:rsidR="00C0094A" w:rsidRPr="00D86564">
          <w:rPr>
            <w:rStyle w:val="Hyperlink"/>
            <w:szCs w:val="24"/>
          </w:rPr>
          <w:t>33</w:t>
        </w:r>
      </w:hyperlink>
      <w:r w:rsidR="008C2491" w:rsidRPr="003673FA">
        <w:rPr>
          <w:szCs w:val="24"/>
        </w:rPr>
        <w:t>. When</w:t>
      </w:r>
      <w:r w:rsidR="00BB77AA" w:rsidRPr="003673FA">
        <w:rPr>
          <w:szCs w:val="24"/>
        </w:rPr>
        <w:t xml:space="preserve"> </w:t>
      </w:r>
      <w:r w:rsidR="006B583F" w:rsidRPr="003673FA">
        <w:rPr>
          <w:szCs w:val="24"/>
        </w:rPr>
        <w:t xml:space="preserve">those who had been involved prior to the continuous process were </w:t>
      </w:r>
      <w:r w:rsidR="008C2491" w:rsidRPr="003673FA">
        <w:rPr>
          <w:szCs w:val="24"/>
        </w:rPr>
        <w:t>a</w:t>
      </w:r>
      <w:r w:rsidR="006B583F" w:rsidRPr="003673FA">
        <w:rPr>
          <w:szCs w:val="24"/>
        </w:rPr>
        <w:t xml:space="preserve">sked how its introduction </w:t>
      </w:r>
      <w:r w:rsidR="008C2491" w:rsidRPr="003673FA">
        <w:rPr>
          <w:szCs w:val="24"/>
        </w:rPr>
        <w:t>ha</w:t>
      </w:r>
      <w:r w:rsidR="006B583F" w:rsidRPr="003673FA">
        <w:rPr>
          <w:szCs w:val="24"/>
        </w:rPr>
        <w:t>d</w:t>
      </w:r>
      <w:r w:rsidR="008C2491" w:rsidRPr="003673FA">
        <w:rPr>
          <w:szCs w:val="24"/>
        </w:rPr>
        <w:t xml:space="preserve"> changed </w:t>
      </w:r>
      <w:r w:rsidR="006B583F" w:rsidRPr="003673FA">
        <w:rPr>
          <w:szCs w:val="24"/>
        </w:rPr>
        <w:t>different aspects of assessing</w:t>
      </w:r>
      <w:r w:rsidR="008C2491" w:rsidRPr="003673FA">
        <w:rPr>
          <w:szCs w:val="24"/>
        </w:rPr>
        <w:t xml:space="preserve"> Linkage Projects applications, the</w:t>
      </w:r>
      <w:r w:rsidR="00BB77AA" w:rsidRPr="003673FA">
        <w:rPr>
          <w:szCs w:val="24"/>
        </w:rPr>
        <w:t xml:space="preserve"> </w:t>
      </w:r>
      <w:r w:rsidR="00806636" w:rsidRPr="003673FA">
        <w:rPr>
          <w:szCs w:val="24"/>
        </w:rPr>
        <w:t>majority responded that there had been no change</w:t>
      </w:r>
      <w:r w:rsidR="00BB77AA" w:rsidRPr="003673FA">
        <w:rPr>
          <w:szCs w:val="24"/>
        </w:rPr>
        <w:t>.</w:t>
      </w:r>
      <w:r w:rsidR="00EB2891" w:rsidRPr="003673FA">
        <w:rPr>
          <w:szCs w:val="24"/>
        </w:rPr>
        <w:t xml:space="preserve"> </w:t>
      </w:r>
      <w:r w:rsidR="006B583F" w:rsidRPr="003673FA">
        <w:rPr>
          <w:szCs w:val="24"/>
        </w:rPr>
        <w:t>T</w:t>
      </w:r>
      <w:r w:rsidR="00C643DA" w:rsidRPr="003673FA">
        <w:rPr>
          <w:szCs w:val="24"/>
        </w:rPr>
        <w:t>he ability to manage workloads</w:t>
      </w:r>
      <w:r w:rsidR="006B583F" w:rsidRPr="003673FA">
        <w:rPr>
          <w:szCs w:val="24"/>
        </w:rPr>
        <w:t xml:space="preserve"> was the change most commonly identified as positive</w:t>
      </w:r>
      <w:r w:rsidR="00C643DA" w:rsidRPr="003673FA">
        <w:rPr>
          <w:szCs w:val="24"/>
        </w:rPr>
        <w:t xml:space="preserve"> (considered ‘positive’ or ‘slightly positive’ by 35 per cent of respondents). However, </w:t>
      </w:r>
      <w:r w:rsidR="006B583F" w:rsidRPr="003673FA">
        <w:rPr>
          <w:szCs w:val="24"/>
        </w:rPr>
        <w:t>it</w:t>
      </w:r>
      <w:r w:rsidR="00C643DA" w:rsidRPr="003673FA">
        <w:rPr>
          <w:szCs w:val="24"/>
        </w:rPr>
        <w:t xml:space="preserve"> was also the change most commonly identified as negative, </w:t>
      </w:r>
      <w:r w:rsidR="006B583F" w:rsidRPr="003673FA">
        <w:rPr>
          <w:szCs w:val="24"/>
        </w:rPr>
        <w:t>along</w:t>
      </w:r>
      <w:r w:rsidR="00C643DA" w:rsidRPr="003673FA">
        <w:rPr>
          <w:szCs w:val="24"/>
        </w:rPr>
        <w:t xml:space="preserve"> with the timeframes to complete assessments (both were considered ‘negative’ or ‘slig</w:t>
      </w:r>
      <w:r w:rsidR="00DB0B9D" w:rsidRPr="003673FA">
        <w:rPr>
          <w:szCs w:val="24"/>
        </w:rPr>
        <w:t>htly negative’ by 10 per cent of</w:t>
      </w:r>
      <w:r w:rsidR="00C643DA" w:rsidRPr="003673FA">
        <w:rPr>
          <w:szCs w:val="24"/>
        </w:rPr>
        <w:t xml:space="preserve"> respondents).</w:t>
      </w:r>
    </w:p>
    <w:p w14:paraId="477E8B9B" w14:textId="32B1263C" w:rsidR="001027E7" w:rsidRPr="003673FA" w:rsidRDefault="001027E7">
      <w:pPr>
        <w:rPr>
          <w:szCs w:val="24"/>
        </w:rPr>
      </w:pPr>
    </w:p>
    <w:p w14:paraId="614A16D1" w14:textId="3CD91ABA" w:rsidR="001027E7" w:rsidRPr="003673FA" w:rsidRDefault="001027E7" w:rsidP="001027E7">
      <w:pPr>
        <w:pStyle w:val="Heading4"/>
      </w:pPr>
      <w:bookmarkStart w:id="78" w:name="Figure33"/>
      <w:bookmarkEnd w:id="78"/>
      <w:r w:rsidRPr="003673FA">
        <w:t xml:space="preserve">Figure </w:t>
      </w:r>
      <w:r w:rsidR="00C0094A" w:rsidRPr="003673FA">
        <w:t>33</w:t>
      </w:r>
      <w:r w:rsidRPr="003673FA">
        <w:t>: Detailed assessor</w:t>
      </w:r>
      <w:r w:rsidR="002F61F2" w:rsidRPr="003673FA">
        <w:t xml:space="preserve"> </w:t>
      </w:r>
      <w:r w:rsidRPr="003673FA">
        <w:t>views o</w:t>
      </w:r>
      <w:r w:rsidR="00A9373A" w:rsidRPr="003673FA">
        <w:t>n</w:t>
      </w:r>
      <w:r w:rsidRPr="003673FA">
        <w:t xml:space="preserve"> changes </w:t>
      </w:r>
      <w:r w:rsidR="00A9373A" w:rsidRPr="003673FA">
        <w:t>in assessing</w:t>
      </w:r>
      <w:r w:rsidR="00C00A4F" w:rsidRPr="003673FA">
        <w:t xml:space="preserve"> Linkage Projects</w:t>
      </w:r>
      <w:r w:rsidR="00A9373A" w:rsidRPr="003673FA">
        <w:t xml:space="preserve"> applications</w:t>
      </w:r>
      <w:r w:rsidRPr="003673FA">
        <w:t xml:space="preserve"> </w:t>
      </w:r>
    </w:p>
    <w:p w14:paraId="055C7B87" w14:textId="229BDDF7" w:rsidR="00A21EAC" w:rsidRPr="003673FA" w:rsidRDefault="005543CC" w:rsidP="005D392C">
      <w:pPr>
        <w:spacing w:line="259" w:lineRule="auto"/>
        <w:rPr>
          <w:sz w:val="20"/>
          <w:szCs w:val="20"/>
        </w:rPr>
      </w:pPr>
      <w:r w:rsidRPr="003673FA">
        <w:rPr>
          <w:noProof/>
          <w:sz w:val="20"/>
          <w:szCs w:val="20"/>
          <w:lang w:eastAsia="en-AU"/>
        </w:rPr>
        <w:drawing>
          <wp:inline distT="0" distB="0" distL="0" distR="0" wp14:anchorId="1632518B" wp14:editId="629BBF8B">
            <wp:extent cx="5749290" cy="2651760"/>
            <wp:effectExtent l="0" t="0" r="3810" b="0"/>
            <wp:docPr id="212" name="Picture 212" descr="Figure 33 depicts the responses of detailed assessors (involved prior) regarding whether the introduction of the continuous process has resulted in positive, negative or no change in relation to various aspects of assessing Linkage Projects applications." title="Figure 33: Detailed assessor views on changes in assessing Linkage Projects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749290" cy="2651760"/>
                    </a:xfrm>
                    <a:prstGeom prst="rect">
                      <a:avLst/>
                    </a:prstGeom>
                    <a:noFill/>
                  </pic:spPr>
                </pic:pic>
              </a:graphicData>
            </a:graphic>
          </wp:inline>
        </w:drawing>
      </w:r>
      <w:r w:rsidR="005A4EC3" w:rsidRPr="003673FA">
        <w:rPr>
          <w:sz w:val="20"/>
          <w:szCs w:val="20"/>
        </w:rPr>
        <w:t xml:space="preserve">Source: ACIL Allen Consulting. </w:t>
      </w:r>
      <w:r w:rsidR="005A4EC3" w:rsidRPr="003673FA">
        <w:rPr>
          <w:i/>
          <w:sz w:val="20"/>
          <w:szCs w:val="20"/>
        </w:rPr>
        <w:t>Note: n=426 detailed assessors who had been involved prior to the continuous process.</w:t>
      </w:r>
    </w:p>
    <w:p w14:paraId="489E8782" w14:textId="7D9CA99B" w:rsidR="001A7ECB" w:rsidRPr="003673FA" w:rsidRDefault="001A7ECB" w:rsidP="005D392C">
      <w:pPr>
        <w:spacing w:line="259" w:lineRule="auto"/>
        <w:rPr>
          <w:szCs w:val="24"/>
        </w:rPr>
      </w:pPr>
    </w:p>
    <w:p w14:paraId="7E23A6B3" w14:textId="3F7DCE5E" w:rsidR="007D1E85" w:rsidRPr="003673FA" w:rsidRDefault="00905578" w:rsidP="005D392C">
      <w:pPr>
        <w:spacing w:line="259" w:lineRule="auto"/>
        <w:rPr>
          <w:szCs w:val="24"/>
        </w:rPr>
      </w:pPr>
      <w:r w:rsidRPr="003673FA">
        <w:rPr>
          <w:szCs w:val="24"/>
        </w:rPr>
        <w:t>D</w:t>
      </w:r>
      <w:r w:rsidR="007D1E85" w:rsidRPr="003673FA">
        <w:rPr>
          <w:szCs w:val="24"/>
        </w:rPr>
        <w:t xml:space="preserve">etailed assessors and SAC members </w:t>
      </w:r>
      <w:r w:rsidRPr="003673FA">
        <w:rPr>
          <w:szCs w:val="24"/>
        </w:rPr>
        <w:t xml:space="preserve">who had been involved prior to the continuous process </w:t>
      </w:r>
      <w:r w:rsidR="007D1E85" w:rsidRPr="003673FA">
        <w:rPr>
          <w:szCs w:val="24"/>
        </w:rPr>
        <w:t xml:space="preserve">were asked about the consequences of </w:t>
      </w:r>
      <w:r w:rsidRPr="003673FA">
        <w:rPr>
          <w:szCs w:val="24"/>
        </w:rPr>
        <w:t xml:space="preserve">its introduction. </w:t>
      </w:r>
      <w:r w:rsidR="00A44008" w:rsidRPr="003673FA">
        <w:rPr>
          <w:szCs w:val="24"/>
        </w:rPr>
        <w:t>Like</w:t>
      </w:r>
      <w:r w:rsidRPr="003673FA">
        <w:rPr>
          <w:szCs w:val="24"/>
        </w:rPr>
        <w:t xml:space="preserve"> CIs and PIs, more reported that they had encountered positive consequences (3</w:t>
      </w:r>
      <w:r w:rsidR="007D1E85" w:rsidRPr="003673FA">
        <w:rPr>
          <w:szCs w:val="24"/>
        </w:rPr>
        <w:t xml:space="preserve">8 per cent of detailed assessors and 67 per cent </w:t>
      </w:r>
      <w:r w:rsidR="007D1E85" w:rsidRPr="003673FA">
        <w:rPr>
          <w:szCs w:val="24"/>
        </w:rPr>
        <w:lastRenderedPageBreak/>
        <w:t xml:space="preserve">of SAC </w:t>
      </w:r>
      <w:r w:rsidRPr="003673FA">
        <w:rPr>
          <w:szCs w:val="24"/>
        </w:rPr>
        <w:t>members) than challenges or negative consequences (</w:t>
      </w:r>
      <w:r w:rsidR="007D1E85" w:rsidRPr="003673FA">
        <w:rPr>
          <w:szCs w:val="24"/>
        </w:rPr>
        <w:t>12 per cent of detailed assessors and 54 per cent of SAC</w:t>
      </w:r>
      <w:r w:rsidRPr="003673FA">
        <w:rPr>
          <w:szCs w:val="24"/>
        </w:rPr>
        <w:t xml:space="preserve"> members)</w:t>
      </w:r>
      <w:r w:rsidR="007D1E85" w:rsidRPr="003673FA">
        <w:rPr>
          <w:szCs w:val="24"/>
        </w:rPr>
        <w:t>.</w:t>
      </w:r>
      <w:r w:rsidR="007D1E85" w:rsidRPr="003673FA">
        <w:rPr>
          <w:rStyle w:val="FootnoteReference"/>
          <w:szCs w:val="24"/>
        </w:rPr>
        <w:footnoteReference w:id="41"/>
      </w:r>
      <w:r w:rsidR="007D1E85" w:rsidRPr="003673FA">
        <w:rPr>
          <w:szCs w:val="24"/>
        </w:rPr>
        <w:t xml:space="preserve"> </w:t>
      </w:r>
    </w:p>
    <w:p w14:paraId="0CAD7291" w14:textId="77777777" w:rsidR="00874EB9" w:rsidRPr="003673FA" w:rsidRDefault="00874EB9" w:rsidP="005D392C">
      <w:pPr>
        <w:spacing w:line="259" w:lineRule="auto"/>
        <w:rPr>
          <w:szCs w:val="24"/>
        </w:rPr>
      </w:pPr>
    </w:p>
    <w:p w14:paraId="70C67BE6" w14:textId="2862A166" w:rsidR="001A7ECB" w:rsidRPr="003673FA" w:rsidRDefault="005F0126" w:rsidP="005D392C">
      <w:pPr>
        <w:spacing w:line="259" w:lineRule="auto"/>
        <w:rPr>
          <w:szCs w:val="24"/>
        </w:rPr>
      </w:pPr>
      <w:r w:rsidRPr="003673FA">
        <w:rPr>
          <w:szCs w:val="24"/>
        </w:rPr>
        <w:t>D</w:t>
      </w:r>
      <w:r w:rsidR="0083381D" w:rsidRPr="003673FA">
        <w:rPr>
          <w:szCs w:val="24"/>
        </w:rPr>
        <w:t>etailed assessors</w:t>
      </w:r>
      <w:r w:rsidRPr="003673FA">
        <w:rPr>
          <w:szCs w:val="24"/>
        </w:rPr>
        <w:t xml:space="preserve">’ </w:t>
      </w:r>
      <w:r w:rsidR="00E75B33" w:rsidRPr="003673FA">
        <w:rPr>
          <w:szCs w:val="24"/>
        </w:rPr>
        <w:t xml:space="preserve">open text </w:t>
      </w:r>
      <w:r w:rsidRPr="003673FA">
        <w:rPr>
          <w:szCs w:val="24"/>
        </w:rPr>
        <w:t>comments</w:t>
      </w:r>
      <w:r w:rsidR="0083381D" w:rsidRPr="003673FA">
        <w:rPr>
          <w:szCs w:val="24"/>
        </w:rPr>
        <w:t xml:space="preserve"> </w:t>
      </w:r>
      <w:r w:rsidRPr="003673FA">
        <w:rPr>
          <w:szCs w:val="24"/>
        </w:rPr>
        <w:t>on</w:t>
      </w:r>
      <w:r w:rsidR="0083381D" w:rsidRPr="003673FA">
        <w:rPr>
          <w:szCs w:val="24"/>
        </w:rPr>
        <w:t xml:space="preserve"> positive consequences</w:t>
      </w:r>
      <w:r w:rsidR="00DC0521" w:rsidRPr="003673FA">
        <w:rPr>
          <w:szCs w:val="24"/>
        </w:rPr>
        <w:t xml:space="preserve"> frequently </w:t>
      </w:r>
      <w:r w:rsidRPr="003673FA">
        <w:rPr>
          <w:szCs w:val="24"/>
        </w:rPr>
        <w:t>referred to</w:t>
      </w:r>
      <w:r w:rsidR="00DC0521" w:rsidRPr="003673FA">
        <w:rPr>
          <w:szCs w:val="24"/>
        </w:rPr>
        <w:t xml:space="preserve"> </w:t>
      </w:r>
      <w:r w:rsidRPr="003673FA">
        <w:rPr>
          <w:szCs w:val="24"/>
        </w:rPr>
        <w:t xml:space="preserve">having </w:t>
      </w:r>
      <w:r w:rsidR="00DC0521" w:rsidRPr="003673FA">
        <w:rPr>
          <w:szCs w:val="24"/>
        </w:rPr>
        <w:t>a</w:t>
      </w:r>
      <w:r w:rsidR="00874EB9" w:rsidRPr="003673FA">
        <w:rPr>
          <w:szCs w:val="24"/>
        </w:rPr>
        <w:t xml:space="preserve"> </w:t>
      </w:r>
      <w:r w:rsidR="0057140F" w:rsidRPr="003673FA">
        <w:rPr>
          <w:szCs w:val="24"/>
        </w:rPr>
        <w:t xml:space="preserve">more flexible, </w:t>
      </w:r>
      <w:r w:rsidR="00874EB9" w:rsidRPr="003673FA">
        <w:rPr>
          <w:szCs w:val="24"/>
        </w:rPr>
        <w:t xml:space="preserve">balanced </w:t>
      </w:r>
      <w:r w:rsidRPr="003673FA">
        <w:rPr>
          <w:szCs w:val="24"/>
        </w:rPr>
        <w:t xml:space="preserve">assessment </w:t>
      </w:r>
      <w:r w:rsidR="00874EB9" w:rsidRPr="003673FA">
        <w:rPr>
          <w:szCs w:val="24"/>
        </w:rPr>
        <w:t xml:space="preserve">workload with </w:t>
      </w:r>
      <w:r w:rsidR="0083381D" w:rsidRPr="003673FA">
        <w:rPr>
          <w:szCs w:val="24"/>
        </w:rPr>
        <w:t>applications</w:t>
      </w:r>
      <w:r w:rsidR="00874EB9" w:rsidRPr="003673FA">
        <w:rPr>
          <w:szCs w:val="24"/>
        </w:rPr>
        <w:t xml:space="preserve"> spread over the year rather than </w:t>
      </w:r>
      <w:r w:rsidR="0057140F" w:rsidRPr="003673FA">
        <w:rPr>
          <w:szCs w:val="24"/>
        </w:rPr>
        <w:t>being received all at once</w:t>
      </w:r>
      <w:r w:rsidR="00DC0521" w:rsidRPr="003673FA">
        <w:rPr>
          <w:szCs w:val="24"/>
        </w:rPr>
        <w:t xml:space="preserve">. However, some </w:t>
      </w:r>
      <w:r w:rsidRPr="003673FA">
        <w:rPr>
          <w:szCs w:val="24"/>
        </w:rPr>
        <w:t>expressed the contrary view</w:t>
      </w:r>
      <w:r w:rsidR="00DC0521" w:rsidRPr="003673FA">
        <w:rPr>
          <w:szCs w:val="24"/>
        </w:rPr>
        <w:t xml:space="preserve"> </w:t>
      </w:r>
      <w:r w:rsidR="0057140F" w:rsidRPr="003673FA">
        <w:rPr>
          <w:szCs w:val="24"/>
        </w:rPr>
        <w:t xml:space="preserve">that the spread of applications over the year </w:t>
      </w:r>
      <w:r w:rsidR="00A44008" w:rsidRPr="003673FA">
        <w:rPr>
          <w:szCs w:val="24"/>
        </w:rPr>
        <w:t>was a</w:t>
      </w:r>
      <w:r w:rsidR="0057140F" w:rsidRPr="003673FA">
        <w:rPr>
          <w:szCs w:val="24"/>
        </w:rPr>
        <w:t xml:space="preserve"> negative consequence that made it mo</w:t>
      </w:r>
      <w:r w:rsidR="00D547F7" w:rsidRPr="003673FA">
        <w:rPr>
          <w:szCs w:val="24"/>
        </w:rPr>
        <w:t xml:space="preserve">re difficult to plan </w:t>
      </w:r>
      <w:r w:rsidR="006F455B" w:rsidRPr="003673FA">
        <w:rPr>
          <w:szCs w:val="24"/>
        </w:rPr>
        <w:t xml:space="preserve">and prioritise </w:t>
      </w:r>
      <w:r w:rsidR="00D547F7" w:rsidRPr="003673FA">
        <w:rPr>
          <w:szCs w:val="24"/>
        </w:rPr>
        <w:t xml:space="preserve">their workloads. </w:t>
      </w:r>
      <w:r w:rsidR="00A47589" w:rsidRPr="003673FA">
        <w:rPr>
          <w:szCs w:val="24"/>
        </w:rPr>
        <w:t xml:space="preserve">Some </w:t>
      </w:r>
      <w:r w:rsidR="00A44008" w:rsidRPr="003673FA">
        <w:rPr>
          <w:szCs w:val="24"/>
        </w:rPr>
        <w:t>detailed assessors perceived an increase in the quality of</w:t>
      </w:r>
      <w:r w:rsidRPr="003673FA">
        <w:rPr>
          <w:szCs w:val="24"/>
        </w:rPr>
        <w:t xml:space="preserve"> ap</w:t>
      </w:r>
      <w:r w:rsidR="00842825" w:rsidRPr="003673FA">
        <w:rPr>
          <w:szCs w:val="24"/>
        </w:rPr>
        <w:t>plications being submitted</w:t>
      </w:r>
      <w:r w:rsidR="00A47589" w:rsidRPr="003673FA">
        <w:rPr>
          <w:szCs w:val="24"/>
        </w:rPr>
        <w:t xml:space="preserve">, while others </w:t>
      </w:r>
      <w:r w:rsidR="00A44008" w:rsidRPr="003673FA">
        <w:rPr>
          <w:szCs w:val="24"/>
        </w:rPr>
        <w:t>noted</w:t>
      </w:r>
      <w:r w:rsidRPr="003673FA">
        <w:rPr>
          <w:szCs w:val="24"/>
        </w:rPr>
        <w:t xml:space="preserve"> that</w:t>
      </w:r>
      <w:r w:rsidR="00A44008" w:rsidRPr="003673FA">
        <w:rPr>
          <w:szCs w:val="24"/>
        </w:rPr>
        <w:t xml:space="preserve"> fewer applications </w:t>
      </w:r>
      <w:r w:rsidR="00A47589" w:rsidRPr="003673FA">
        <w:rPr>
          <w:szCs w:val="24"/>
        </w:rPr>
        <w:t xml:space="preserve">being submitted </w:t>
      </w:r>
      <w:r w:rsidRPr="003673FA">
        <w:rPr>
          <w:szCs w:val="24"/>
        </w:rPr>
        <w:t xml:space="preserve">made </w:t>
      </w:r>
      <w:r w:rsidR="00D547F7" w:rsidRPr="003673FA">
        <w:rPr>
          <w:szCs w:val="24"/>
        </w:rPr>
        <w:t>it dif</w:t>
      </w:r>
      <w:r w:rsidR="00A47589" w:rsidRPr="003673FA">
        <w:rPr>
          <w:szCs w:val="24"/>
        </w:rPr>
        <w:t>ficult to compare and rank them, which impacted</w:t>
      </w:r>
      <w:r w:rsidRPr="003673FA">
        <w:rPr>
          <w:szCs w:val="24"/>
        </w:rPr>
        <w:t xml:space="preserve"> on </w:t>
      </w:r>
      <w:r w:rsidR="006F455B" w:rsidRPr="003673FA">
        <w:rPr>
          <w:szCs w:val="24"/>
        </w:rPr>
        <w:t>the</w:t>
      </w:r>
      <w:r w:rsidR="00D547F7" w:rsidRPr="003673FA">
        <w:rPr>
          <w:szCs w:val="24"/>
        </w:rPr>
        <w:t xml:space="preserve"> fairness of the process.</w:t>
      </w:r>
      <w:r w:rsidR="00DC0521" w:rsidRPr="003673FA">
        <w:rPr>
          <w:szCs w:val="24"/>
        </w:rPr>
        <w:t xml:space="preserve"> </w:t>
      </w:r>
    </w:p>
    <w:p w14:paraId="33CA5BDC" w14:textId="568A8240" w:rsidR="00D547F7" w:rsidRPr="003673FA" w:rsidRDefault="00D547F7" w:rsidP="005D392C">
      <w:pPr>
        <w:spacing w:line="259" w:lineRule="auto"/>
        <w:rPr>
          <w:szCs w:val="24"/>
        </w:rPr>
      </w:pPr>
    </w:p>
    <w:p w14:paraId="59292FAB" w14:textId="11F981F8" w:rsidR="003E04C5" w:rsidRPr="003673FA" w:rsidRDefault="005E0238" w:rsidP="005D392C">
      <w:pPr>
        <w:spacing w:line="259" w:lineRule="auto"/>
        <w:rPr>
          <w:szCs w:val="24"/>
        </w:rPr>
      </w:pPr>
      <w:r w:rsidRPr="003673FA">
        <w:rPr>
          <w:szCs w:val="24"/>
        </w:rPr>
        <w:t xml:space="preserve">The difficulty in benchmarking, comparing and ranking applications was also </w:t>
      </w:r>
      <w:r w:rsidR="00725385" w:rsidRPr="003673FA">
        <w:rPr>
          <w:szCs w:val="24"/>
        </w:rPr>
        <w:t>repeatedly</w:t>
      </w:r>
      <w:r w:rsidRPr="003673FA">
        <w:rPr>
          <w:szCs w:val="24"/>
        </w:rPr>
        <w:t xml:space="preserve"> identified as a challenge in SAC members’</w:t>
      </w:r>
      <w:r w:rsidR="007E7459" w:rsidRPr="003673FA">
        <w:rPr>
          <w:szCs w:val="24"/>
        </w:rPr>
        <w:t xml:space="preserve"> </w:t>
      </w:r>
      <w:r w:rsidR="00E75B33" w:rsidRPr="003673FA">
        <w:rPr>
          <w:szCs w:val="24"/>
        </w:rPr>
        <w:t xml:space="preserve">open text </w:t>
      </w:r>
      <w:r w:rsidR="007E7459" w:rsidRPr="003673FA">
        <w:rPr>
          <w:szCs w:val="24"/>
        </w:rPr>
        <w:t xml:space="preserve">comments on consequences. </w:t>
      </w:r>
      <w:r w:rsidR="00C807EC" w:rsidRPr="003673FA">
        <w:rPr>
          <w:szCs w:val="24"/>
        </w:rPr>
        <w:t xml:space="preserve">Other negative consequences identified by </w:t>
      </w:r>
      <w:r w:rsidR="003E04C5" w:rsidRPr="003673FA">
        <w:rPr>
          <w:szCs w:val="24"/>
        </w:rPr>
        <w:t xml:space="preserve">SAC members </w:t>
      </w:r>
      <w:r w:rsidR="00C807EC" w:rsidRPr="003673FA">
        <w:rPr>
          <w:szCs w:val="24"/>
        </w:rPr>
        <w:t>included</w:t>
      </w:r>
      <w:r w:rsidR="003E04C5" w:rsidRPr="003673FA">
        <w:rPr>
          <w:szCs w:val="24"/>
        </w:rPr>
        <w:t xml:space="preserve"> a decline in </w:t>
      </w:r>
      <w:r w:rsidR="00A47589" w:rsidRPr="003673FA">
        <w:rPr>
          <w:szCs w:val="24"/>
        </w:rPr>
        <w:t xml:space="preserve">the number of </w:t>
      </w:r>
      <w:r w:rsidR="003E04C5" w:rsidRPr="003673FA">
        <w:rPr>
          <w:szCs w:val="24"/>
        </w:rPr>
        <w:t xml:space="preserve">applications and less engagement in the scheme (including by industry partners). </w:t>
      </w:r>
      <w:r w:rsidR="00EC7891" w:rsidRPr="003673FA">
        <w:rPr>
          <w:szCs w:val="24"/>
        </w:rPr>
        <w:t xml:space="preserve">In line with their perception that the speed of approving applications had increased, positive consequences cited by SAC members included faster turnaround times, </w:t>
      </w:r>
      <w:r w:rsidR="00BA676E" w:rsidRPr="003673FA">
        <w:rPr>
          <w:szCs w:val="24"/>
        </w:rPr>
        <w:t xml:space="preserve">better time management and </w:t>
      </w:r>
      <w:r w:rsidR="00F132DD" w:rsidRPr="003673FA">
        <w:rPr>
          <w:szCs w:val="24"/>
        </w:rPr>
        <w:t>smaller SAC workloads (enabling more in depth assessment)</w:t>
      </w:r>
      <w:r w:rsidR="00A47589" w:rsidRPr="003673FA">
        <w:rPr>
          <w:szCs w:val="24"/>
        </w:rPr>
        <w:t>. Some SAC members also suggested that the continuous process may give applicants more time</w:t>
      </w:r>
      <w:r w:rsidR="00BA676E" w:rsidRPr="003673FA">
        <w:rPr>
          <w:szCs w:val="24"/>
        </w:rPr>
        <w:t xml:space="preserve"> to</w:t>
      </w:r>
      <w:r w:rsidR="00F132DD" w:rsidRPr="003673FA">
        <w:rPr>
          <w:szCs w:val="24"/>
        </w:rPr>
        <w:t xml:space="preserve"> engag</w:t>
      </w:r>
      <w:r w:rsidR="00BA676E" w:rsidRPr="003673FA">
        <w:rPr>
          <w:szCs w:val="24"/>
        </w:rPr>
        <w:t>e</w:t>
      </w:r>
      <w:r w:rsidR="00F132DD" w:rsidRPr="003673FA">
        <w:rPr>
          <w:szCs w:val="24"/>
        </w:rPr>
        <w:t xml:space="preserve"> partners.</w:t>
      </w:r>
    </w:p>
    <w:p w14:paraId="1C1669BF" w14:textId="77777777" w:rsidR="00C06210" w:rsidRPr="003673FA" w:rsidRDefault="00C06210" w:rsidP="00C06210">
      <w:pPr>
        <w:spacing w:line="259" w:lineRule="auto"/>
        <w:rPr>
          <w:szCs w:val="24"/>
        </w:rPr>
      </w:pPr>
    </w:p>
    <w:p w14:paraId="4CCF26CC" w14:textId="1B09CAE6" w:rsidR="00C06210" w:rsidRPr="003673FA" w:rsidRDefault="00C06210" w:rsidP="00C06210">
      <w:pPr>
        <w:spacing w:line="259" w:lineRule="auto"/>
        <w:rPr>
          <w:szCs w:val="24"/>
        </w:rPr>
      </w:pPr>
      <w:r w:rsidRPr="003673FA">
        <w:rPr>
          <w:szCs w:val="24"/>
        </w:rPr>
        <w:t xml:space="preserve">As with detailed assessors, SAC members were asked for their views on changes in different aspects of their role in reviewing and assessing Linkage Projects applications under the continuous process. As shown in </w:t>
      </w:r>
      <w:hyperlink w:anchor="Figure34" w:history="1">
        <w:r w:rsidRPr="003C1261">
          <w:rPr>
            <w:rStyle w:val="Hyperlink"/>
            <w:szCs w:val="24"/>
          </w:rPr>
          <w:t>Figure 34</w:t>
        </w:r>
      </w:hyperlink>
      <w:r w:rsidRPr="003673FA">
        <w:rPr>
          <w:szCs w:val="24"/>
        </w:rPr>
        <w:t>, there were a number of changes that most respondents saw as ‘positive’ or ‘slightly positive’, including the capacity to make fast tracking and budget recommendations by email (75 per cent) and assess application quality and detailed assessor reports within timeframes (58 per cent). Conducting SAC meetings via Zoom (54 per cent) and the efficiency of the process for determining funding recommendations (54 per cent) were also viewed favourably.</w:t>
      </w:r>
    </w:p>
    <w:p w14:paraId="52D86E7C" w14:textId="77777777" w:rsidR="00C06210" w:rsidRPr="003673FA" w:rsidRDefault="00C06210" w:rsidP="00C06210">
      <w:pPr>
        <w:spacing w:line="259" w:lineRule="auto"/>
        <w:rPr>
          <w:szCs w:val="24"/>
        </w:rPr>
      </w:pPr>
    </w:p>
    <w:p w14:paraId="3D973AFA" w14:textId="77777777" w:rsidR="00C06210" w:rsidRPr="003673FA" w:rsidRDefault="00C06210" w:rsidP="00C06210">
      <w:pPr>
        <w:spacing w:line="259" w:lineRule="auto"/>
        <w:rPr>
          <w:szCs w:val="24"/>
        </w:rPr>
      </w:pPr>
      <w:r w:rsidRPr="003673FA">
        <w:rPr>
          <w:szCs w:val="24"/>
        </w:rPr>
        <w:t xml:space="preserve">The strongest response from SAC members was unfavourable and related to their capacity to asses and rank relative application quality, which 79 per cent considered to be a ‘negative or ‘slightly negative’ change. While only a minority (33 per cent) considered the related issue of the fairness of the process to represent a ‘negative’ or ‘slightly negative’ change, this represented the second most negative response. These two results appear to reinforce the concerns raised in open text comments, above. The same proportion of SAC members (33 per cent) perceived a ‘negative’ or ‘slightly negative’ change in their capacity to plan and schedule their workload, although views on this aspect appear to be somewhat polarised, with 46 per cent considering it to be a ‘positive’ or ‘slightly positive’ change. </w:t>
      </w:r>
    </w:p>
    <w:p w14:paraId="5E3FA556" w14:textId="4630E493" w:rsidR="001A7ECB" w:rsidRPr="003673FA" w:rsidRDefault="001A7ECB">
      <w:pPr>
        <w:rPr>
          <w:szCs w:val="24"/>
        </w:rPr>
      </w:pPr>
    </w:p>
    <w:p w14:paraId="6FA29AE5" w14:textId="3262E65F" w:rsidR="001A7ECB" w:rsidRPr="003673FA" w:rsidRDefault="00C00A4F" w:rsidP="00C00A4F">
      <w:pPr>
        <w:pStyle w:val="Heading4"/>
      </w:pPr>
      <w:bookmarkStart w:id="79" w:name="Figure34"/>
      <w:bookmarkEnd w:id="79"/>
      <w:r w:rsidRPr="003673FA">
        <w:lastRenderedPageBreak/>
        <w:t xml:space="preserve">Figure </w:t>
      </w:r>
      <w:r w:rsidR="00C0094A" w:rsidRPr="003673FA">
        <w:t>34</w:t>
      </w:r>
      <w:r w:rsidRPr="003673FA">
        <w:t>: SAC member</w:t>
      </w:r>
      <w:r w:rsidR="002F61F2" w:rsidRPr="003673FA">
        <w:t xml:space="preserve"> </w:t>
      </w:r>
      <w:r w:rsidRPr="003673FA">
        <w:t>views on changes in reviewing and assessing Linkage Projects applications</w:t>
      </w:r>
    </w:p>
    <w:p w14:paraId="449009B6" w14:textId="40005486" w:rsidR="005A4EC3" w:rsidRPr="003673FA" w:rsidRDefault="005543CC" w:rsidP="005A4EC3">
      <w:pPr>
        <w:spacing w:line="259" w:lineRule="auto"/>
        <w:rPr>
          <w:sz w:val="20"/>
          <w:szCs w:val="20"/>
        </w:rPr>
      </w:pPr>
      <w:r w:rsidRPr="003673FA">
        <w:rPr>
          <w:noProof/>
          <w:sz w:val="20"/>
          <w:szCs w:val="20"/>
          <w:lang w:eastAsia="en-AU"/>
        </w:rPr>
        <w:drawing>
          <wp:inline distT="0" distB="0" distL="0" distR="0" wp14:anchorId="0D65414E" wp14:editId="64A8A853">
            <wp:extent cx="5755005" cy="5072380"/>
            <wp:effectExtent l="0" t="0" r="0" b="0"/>
            <wp:docPr id="213" name="Picture 213" descr="Figure 34 depicts the responses of SAC members (involved prior) regarding whether the introduction of the continuous process has resulted in positive, negative or no change in relation to various aspects of reviewing and assessing Linkage Projects applications." title="Figure 34: SAC member views on changes in reviewing and assessing Linkage Projects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55005" cy="5072380"/>
                    </a:xfrm>
                    <a:prstGeom prst="rect">
                      <a:avLst/>
                    </a:prstGeom>
                    <a:noFill/>
                  </pic:spPr>
                </pic:pic>
              </a:graphicData>
            </a:graphic>
          </wp:inline>
        </w:drawing>
      </w:r>
      <w:r w:rsidR="005A4EC3" w:rsidRPr="003673FA">
        <w:rPr>
          <w:sz w:val="20"/>
          <w:szCs w:val="20"/>
        </w:rPr>
        <w:t xml:space="preserve">Source: ACIL Allen Consulting. </w:t>
      </w:r>
      <w:r w:rsidR="005A4EC3" w:rsidRPr="003673FA">
        <w:rPr>
          <w:i/>
          <w:sz w:val="20"/>
          <w:szCs w:val="20"/>
        </w:rPr>
        <w:t>Note: n=24 SAC members who had been involved prior to the continuous process.</w:t>
      </w:r>
    </w:p>
    <w:p w14:paraId="3FF16EBE" w14:textId="77777777" w:rsidR="00E74106" w:rsidRPr="003673FA" w:rsidRDefault="00E74106" w:rsidP="003E04C5">
      <w:pPr>
        <w:spacing w:line="259" w:lineRule="auto"/>
        <w:rPr>
          <w:szCs w:val="24"/>
        </w:rPr>
      </w:pPr>
    </w:p>
    <w:p w14:paraId="106810B5" w14:textId="322A1F21" w:rsidR="00D247C3" w:rsidRPr="003673FA" w:rsidRDefault="00D247C3" w:rsidP="0055258F">
      <w:pPr>
        <w:spacing w:line="259" w:lineRule="auto"/>
        <w:rPr>
          <w:szCs w:val="24"/>
        </w:rPr>
      </w:pPr>
      <w:r w:rsidRPr="003673FA">
        <w:rPr>
          <w:szCs w:val="24"/>
        </w:rPr>
        <w:t xml:space="preserve">SAC members </w:t>
      </w:r>
      <w:r w:rsidR="0055258F" w:rsidRPr="003673FA">
        <w:rPr>
          <w:szCs w:val="24"/>
        </w:rPr>
        <w:t xml:space="preserve">(including those who had not been involved before the continuous process) </w:t>
      </w:r>
      <w:r w:rsidRPr="003673FA">
        <w:rPr>
          <w:szCs w:val="24"/>
        </w:rPr>
        <w:t>wer</w:t>
      </w:r>
      <w:r w:rsidR="00583813" w:rsidRPr="003673FA">
        <w:rPr>
          <w:szCs w:val="24"/>
        </w:rPr>
        <w:t>e asked for their views on the fast tracking process</w:t>
      </w:r>
      <w:r w:rsidR="0055258F" w:rsidRPr="003673FA">
        <w:rPr>
          <w:szCs w:val="24"/>
        </w:rPr>
        <w:t xml:space="preserve">. As shown in </w:t>
      </w:r>
      <w:hyperlink w:anchor="Figure35" w:history="1">
        <w:r w:rsidR="0055258F" w:rsidRPr="003C1261">
          <w:rPr>
            <w:rStyle w:val="Hyperlink"/>
            <w:szCs w:val="24"/>
          </w:rPr>
          <w:t xml:space="preserve">Figure </w:t>
        </w:r>
        <w:r w:rsidR="00C0094A" w:rsidRPr="003C1261">
          <w:rPr>
            <w:rStyle w:val="Hyperlink"/>
            <w:szCs w:val="24"/>
          </w:rPr>
          <w:t>35</w:t>
        </w:r>
      </w:hyperlink>
      <w:r w:rsidR="0055258F" w:rsidRPr="003673FA">
        <w:rPr>
          <w:szCs w:val="24"/>
        </w:rPr>
        <w:t xml:space="preserve">, </w:t>
      </w:r>
      <w:r w:rsidR="00F11852" w:rsidRPr="003673FA">
        <w:rPr>
          <w:szCs w:val="24"/>
        </w:rPr>
        <w:t>a</w:t>
      </w:r>
      <w:r w:rsidR="0055258F" w:rsidRPr="003673FA">
        <w:rPr>
          <w:szCs w:val="24"/>
        </w:rPr>
        <w:t xml:space="preserve"> clear majority perceived it to foster time saving efficiencies (88 per cent), a fair and equitable process (70 per cent) and funding of the highest quality research (72 per cent). </w:t>
      </w:r>
      <w:r w:rsidR="006078CF" w:rsidRPr="003673FA">
        <w:rPr>
          <w:szCs w:val="24"/>
        </w:rPr>
        <w:t>Overall</w:t>
      </w:r>
      <w:r w:rsidR="0055258F" w:rsidRPr="003673FA">
        <w:rPr>
          <w:szCs w:val="24"/>
        </w:rPr>
        <w:t>, tho</w:t>
      </w:r>
      <w:r w:rsidR="006078CF" w:rsidRPr="003673FA">
        <w:rPr>
          <w:szCs w:val="24"/>
        </w:rPr>
        <w:t>se who had been involved prior to the continuous process gave slightly more positive responses than those who had not.</w:t>
      </w:r>
    </w:p>
    <w:p w14:paraId="5542C951" w14:textId="77777777" w:rsidR="00D247C3" w:rsidRPr="003673FA" w:rsidRDefault="00D247C3" w:rsidP="005D392C">
      <w:pPr>
        <w:spacing w:line="259" w:lineRule="auto"/>
        <w:rPr>
          <w:szCs w:val="24"/>
        </w:rPr>
      </w:pPr>
    </w:p>
    <w:p w14:paraId="2EA64BBD" w14:textId="27B5C8EA" w:rsidR="00C00A4F" w:rsidRPr="003673FA" w:rsidRDefault="00D43257" w:rsidP="00D43257">
      <w:pPr>
        <w:pStyle w:val="Heading4"/>
      </w:pPr>
      <w:bookmarkStart w:id="80" w:name="Figure35"/>
      <w:bookmarkEnd w:id="80"/>
      <w:r w:rsidRPr="003673FA">
        <w:t xml:space="preserve">Figure </w:t>
      </w:r>
      <w:r w:rsidR="00C0094A" w:rsidRPr="003673FA">
        <w:t>35</w:t>
      </w:r>
      <w:r w:rsidRPr="003673FA">
        <w:t>: SAC member views – fast tracking</w:t>
      </w:r>
      <w:r w:rsidR="0055258F" w:rsidRPr="003673FA">
        <w:t xml:space="preserve"> process</w:t>
      </w:r>
    </w:p>
    <w:p w14:paraId="5C429545" w14:textId="2E83C6B3" w:rsidR="00443EFF" w:rsidRPr="003673FA" w:rsidRDefault="005543CC" w:rsidP="005D392C">
      <w:pPr>
        <w:spacing w:line="259" w:lineRule="auto"/>
        <w:rPr>
          <w:szCs w:val="24"/>
        </w:rPr>
      </w:pPr>
      <w:r w:rsidRPr="003673FA">
        <w:rPr>
          <w:noProof/>
          <w:szCs w:val="24"/>
          <w:lang w:eastAsia="en-AU"/>
        </w:rPr>
        <w:drawing>
          <wp:inline distT="0" distB="0" distL="0" distR="0" wp14:anchorId="6E6AED2D" wp14:editId="10C7C8D8">
            <wp:extent cx="4584700" cy="1840865"/>
            <wp:effectExtent l="0" t="0" r="6350" b="6985"/>
            <wp:docPr id="214" name="Picture 214" descr="Figure 35 depicts the responses of SAC members regarding whether they percieve that the fast tracking process fosters time saving efficiencies during the assessment process, a fair and equitable process, and funding of the highest quality research." title="Figure 35: SAC member views – fast track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584700" cy="1840865"/>
                    </a:xfrm>
                    <a:prstGeom prst="rect">
                      <a:avLst/>
                    </a:prstGeom>
                    <a:noFill/>
                  </pic:spPr>
                </pic:pic>
              </a:graphicData>
            </a:graphic>
          </wp:inline>
        </w:drawing>
      </w:r>
    </w:p>
    <w:p w14:paraId="594184B1" w14:textId="57CB6C74" w:rsidR="00C00A4F" w:rsidRPr="003673FA" w:rsidRDefault="00DC3BEE" w:rsidP="00443EFF">
      <w:pPr>
        <w:rPr>
          <w:szCs w:val="24"/>
        </w:rPr>
      </w:pPr>
      <w:r w:rsidRPr="003673FA">
        <w:rPr>
          <w:sz w:val="20"/>
          <w:szCs w:val="20"/>
        </w:rPr>
        <w:t xml:space="preserve">Source: ACIL Allen Consulting. </w:t>
      </w:r>
      <w:r w:rsidRPr="003673FA">
        <w:rPr>
          <w:i/>
          <w:sz w:val="20"/>
          <w:szCs w:val="20"/>
        </w:rPr>
        <w:t>Note: n=57 (*n=56) SAC members.</w:t>
      </w:r>
    </w:p>
    <w:p w14:paraId="2E6C46EC" w14:textId="6515999A" w:rsidR="001A7ECB" w:rsidRPr="003673FA" w:rsidRDefault="001A7ECB" w:rsidP="005D392C">
      <w:pPr>
        <w:spacing w:line="259" w:lineRule="auto"/>
        <w:rPr>
          <w:szCs w:val="24"/>
        </w:rPr>
      </w:pPr>
    </w:p>
    <w:p w14:paraId="399E0C21" w14:textId="6D4BDFBC" w:rsidR="00A21EAC" w:rsidRPr="003673FA" w:rsidRDefault="00F11852" w:rsidP="006078CF">
      <w:pPr>
        <w:spacing w:line="259" w:lineRule="auto"/>
        <w:rPr>
          <w:szCs w:val="24"/>
        </w:rPr>
      </w:pPr>
      <w:r w:rsidRPr="003673FA">
        <w:rPr>
          <w:szCs w:val="24"/>
        </w:rPr>
        <w:t xml:space="preserve">As shown in </w:t>
      </w:r>
      <w:hyperlink w:anchor="Figure36" w:history="1">
        <w:r w:rsidRPr="003C1261">
          <w:rPr>
            <w:rStyle w:val="Hyperlink"/>
            <w:szCs w:val="24"/>
          </w:rPr>
          <w:t xml:space="preserve">Figure </w:t>
        </w:r>
        <w:r w:rsidR="00C0094A" w:rsidRPr="003C1261">
          <w:rPr>
            <w:rStyle w:val="Hyperlink"/>
            <w:szCs w:val="24"/>
          </w:rPr>
          <w:t>36</w:t>
        </w:r>
      </w:hyperlink>
      <w:r w:rsidRPr="003673FA">
        <w:rPr>
          <w:szCs w:val="24"/>
        </w:rPr>
        <w:t xml:space="preserve">, </w:t>
      </w:r>
      <w:r w:rsidR="006078CF" w:rsidRPr="003673FA">
        <w:rPr>
          <w:szCs w:val="24"/>
        </w:rPr>
        <w:t xml:space="preserve">the majority (58 per cent) of SAC members who had been involved prior to the continuous process </w:t>
      </w:r>
      <w:r w:rsidRPr="003673FA">
        <w:rPr>
          <w:szCs w:val="24"/>
        </w:rPr>
        <w:t>had a</w:t>
      </w:r>
      <w:r w:rsidR="006078CF" w:rsidRPr="003673FA">
        <w:rPr>
          <w:szCs w:val="24"/>
        </w:rPr>
        <w:t xml:space="preserve"> neutral </w:t>
      </w:r>
      <w:r w:rsidRPr="003673FA">
        <w:rPr>
          <w:szCs w:val="24"/>
        </w:rPr>
        <w:t xml:space="preserve">view of the effectiveness of ARC systems for </w:t>
      </w:r>
      <w:r w:rsidR="006078CF" w:rsidRPr="003673FA">
        <w:rPr>
          <w:szCs w:val="24"/>
        </w:rPr>
        <w:t>managing workloads and tracking proposals</w:t>
      </w:r>
      <w:r w:rsidRPr="003673FA">
        <w:rPr>
          <w:szCs w:val="24"/>
        </w:rPr>
        <w:t xml:space="preserve"> under the continuous process. In relation to supporting assessment and ranking tasks, half considered ARC systems to have adapted well.</w:t>
      </w:r>
    </w:p>
    <w:p w14:paraId="749C09B1" w14:textId="5B167ACC" w:rsidR="006F4492" w:rsidRPr="003673FA" w:rsidRDefault="006F4492" w:rsidP="005D392C">
      <w:pPr>
        <w:spacing w:line="259" w:lineRule="auto"/>
        <w:rPr>
          <w:szCs w:val="24"/>
        </w:rPr>
      </w:pPr>
    </w:p>
    <w:p w14:paraId="0871D1A9" w14:textId="5C0A83BD" w:rsidR="006F4492" w:rsidRPr="003673FA" w:rsidRDefault="006F4492" w:rsidP="006F4492">
      <w:pPr>
        <w:pStyle w:val="Heading4"/>
      </w:pPr>
      <w:bookmarkStart w:id="81" w:name="Figure36"/>
      <w:bookmarkEnd w:id="81"/>
      <w:r w:rsidRPr="003673FA">
        <w:t xml:space="preserve">Figure </w:t>
      </w:r>
      <w:r w:rsidR="00C0094A" w:rsidRPr="003673FA">
        <w:t>36</w:t>
      </w:r>
      <w:r w:rsidRPr="003673FA">
        <w:t>: SAC member (involved prior) views on how well ARC systems have adapted to the continuous process</w:t>
      </w:r>
    </w:p>
    <w:p w14:paraId="65C419EB" w14:textId="59A2E1A9" w:rsidR="00A21EAC" w:rsidRPr="003673FA" w:rsidRDefault="005543CC" w:rsidP="005D392C">
      <w:pPr>
        <w:spacing w:line="259" w:lineRule="auto"/>
        <w:rPr>
          <w:szCs w:val="24"/>
        </w:rPr>
      </w:pPr>
      <w:r w:rsidRPr="003673FA">
        <w:rPr>
          <w:noProof/>
          <w:szCs w:val="24"/>
          <w:lang w:eastAsia="en-AU"/>
        </w:rPr>
        <w:drawing>
          <wp:inline distT="0" distB="0" distL="0" distR="0" wp14:anchorId="09086FBA" wp14:editId="61C46936">
            <wp:extent cx="5749290" cy="1219200"/>
            <wp:effectExtent l="0" t="0" r="3810" b="0"/>
            <wp:docPr id="215" name="Picture 215" descr="Figure 36 depicts the responses of SAC members (involved prior) regarding how well ARC systems have adapted to the continuous process. Responses address the effectivenss of ARC systems for managing workloads and the effectiveness of current technologies to adequately support assessment and ranking tasks." title="Figure 36: SAC member (involved prior) views on how well ARC systems have adapted to the continuous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49290" cy="1219200"/>
                    </a:xfrm>
                    <a:prstGeom prst="rect">
                      <a:avLst/>
                    </a:prstGeom>
                    <a:noFill/>
                  </pic:spPr>
                </pic:pic>
              </a:graphicData>
            </a:graphic>
          </wp:inline>
        </w:drawing>
      </w:r>
    </w:p>
    <w:p w14:paraId="419ADCE2" w14:textId="063016C3" w:rsidR="00A21EAC" w:rsidRPr="003673FA" w:rsidRDefault="003852CE" w:rsidP="005D392C">
      <w:pPr>
        <w:spacing w:line="259" w:lineRule="auto"/>
        <w:rPr>
          <w:szCs w:val="24"/>
        </w:rPr>
      </w:pPr>
      <w:r w:rsidRPr="003673FA">
        <w:rPr>
          <w:sz w:val="20"/>
          <w:szCs w:val="20"/>
        </w:rPr>
        <w:t xml:space="preserve">Source: ACIL Allen Consulting. </w:t>
      </w:r>
      <w:r w:rsidRPr="003673FA">
        <w:rPr>
          <w:i/>
          <w:sz w:val="20"/>
          <w:szCs w:val="20"/>
        </w:rPr>
        <w:t>Note:  n=24 SAC members who had been involved prior to the continuous process.</w:t>
      </w:r>
    </w:p>
    <w:p w14:paraId="21FA50AC" w14:textId="758CD920" w:rsidR="00F15310" w:rsidRPr="003673FA" w:rsidRDefault="00F15310" w:rsidP="005D392C">
      <w:pPr>
        <w:spacing w:line="259" w:lineRule="auto"/>
        <w:rPr>
          <w:szCs w:val="24"/>
        </w:rPr>
      </w:pPr>
    </w:p>
    <w:p w14:paraId="37728D6C" w14:textId="1EE242C7" w:rsidR="000F7ACD" w:rsidRPr="003673FA" w:rsidRDefault="000F7ACD" w:rsidP="000F7ACD">
      <w:pPr>
        <w:pStyle w:val="Heading3"/>
      </w:pPr>
      <w:r w:rsidRPr="003673FA">
        <w:t>Suggestions for improvement</w:t>
      </w:r>
    </w:p>
    <w:p w14:paraId="7C55E083" w14:textId="4DF44824" w:rsidR="000F7ACD" w:rsidRPr="003673FA" w:rsidRDefault="000F7ACD" w:rsidP="005D392C">
      <w:pPr>
        <w:spacing w:line="259" w:lineRule="auto"/>
        <w:rPr>
          <w:szCs w:val="24"/>
        </w:rPr>
      </w:pPr>
    </w:p>
    <w:p w14:paraId="2F8058D5" w14:textId="0E1637BB" w:rsidR="000F7ACD" w:rsidRPr="003673FA" w:rsidRDefault="005C1773" w:rsidP="005C1773">
      <w:pPr>
        <w:spacing w:line="259" w:lineRule="auto"/>
        <w:rPr>
          <w:szCs w:val="24"/>
        </w:rPr>
      </w:pPr>
      <w:r w:rsidRPr="003673FA">
        <w:rPr>
          <w:szCs w:val="24"/>
        </w:rPr>
        <w:t xml:space="preserve">Detailed assessors and SAC members were also asked, ‘What could be done to improve the implementation of the continuous process?’ </w:t>
      </w:r>
      <w:r w:rsidR="002C3FA5" w:rsidRPr="003673FA">
        <w:rPr>
          <w:szCs w:val="24"/>
        </w:rPr>
        <w:t>Consistent with</w:t>
      </w:r>
      <w:r w:rsidRPr="003673FA">
        <w:rPr>
          <w:szCs w:val="24"/>
        </w:rPr>
        <w:t xml:space="preserve"> other stakeholder groups, their responses included:</w:t>
      </w:r>
    </w:p>
    <w:p w14:paraId="0528D617" w14:textId="183EC3C7" w:rsidR="005C1773" w:rsidRPr="003673FA" w:rsidRDefault="005C1773" w:rsidP="005C1773">
      <w:pPr>
        <w:pStyle w:val="ListParagraph"/>
        <w:numPr>
          <w:ilvl w:val="0"/>
          <w:numId w:val="25"/>
        </w:numPr>
        <w:spacing w:line="259" w:lineRule="auto"/>
        <w:rPr>
          <w:color w:val="auto"/>
          <w:szCs w:val="24"/>
        </w:rPr>
      </w:pPr>
      <w:r w:rsidRPr="003673FA">
        <w:rPr>
          <w:color w:val="auto"/>
          <w:szCs w:val="24"/>
        </w:rPr>
        <w:t>implementing multiple application deadlines per year, with clearer deadlines for assessment and SAC meetings held on a regular basis</w:t>
      </w:r>
    </w:p>
    <w:p w14:paraId="38541B41" w14:textId="2BFBE50E" w:rsidR="0095062F" w:rsidRPr="003673FA" w:rsidRDefault="0095062F" w:rsidP="005C1773">
      <w:pPr>
        <w:pStyle w:val="ListParagraph"/>
        <w:numPr>
          <w:ilvl w:val="0"/>
          <w:numId w:val="25"/>
        </w:numPr>
        <w:spacing w:line="259" w:lineRule="auto"/>
        <w:rPr>
          <w:color w:val="auto"/>
          <w:szCs w:val="24"/>
        </w:rPr>
      </w:pPr>
      <w:r w:rsidRPr="003673FA">
        <w:rPr>
          <w:color w:val="auto"/>
          <w:szCs w:val="24"/>
        </w:rPr>
        <w:t>allowing for assessment of a greater number of applications at on</w:t>
      </w:r>
      <w:r w:rsidR="00573834" w:rsidRPr="003673FA">
        <w:rPr>
          <w:color w:val="auto"/>
          <w:szCs w:val="24"/>
        </w:rPr>
        <w:t>c</w:t>
      </w:r>
      <w:r w:rsidRPr="003673FA">
        <w:rPr>
          <w:color w:val="auto"/>
          <w:szCs w:val="24"/>
        </w:rPr>
        <w:t>e to better compare quality</w:t>
      </w:r>
    </w:p>
    <w:p w14:paraId="2290A3EE" w14:textId="101B1549" w:rsidR="005C1773" w:rsidRPr="003673FA" w:rsidRDefault="0095062F" w:rsidP="005C1773">
      <w:pPr>
        <w:pStyle w:val="ListParagraph"/>
        <w:numPr>
          <w:ilvl w:val="0"/>
          <w:numId w:val="25"/>
        </w:numPr>
        <w:spacing w:line="259" w:lineRule="auto"/>
        <w:rPr>
          <w:color w:val="auto"/>
          <w:szCs w:val="24"/>
        </w:rPr>
      </w:pPr>
      <w:r w:rsidRPr="003673FA">
        <w:rPr>
          <w:color w:val="auto"/>
          <w:szCs w:val="24"/>
        </w:rPr>
        <w:t xml:space="preserve">quicker assessment </w:t>
      </w:r>
      <w:r w:rsidR="005C1773" w:rsidRPr="003673FA">
        <w:rPr>
          <w:color w:val="auto"/>
          <w:szCs w:val="24"/>
        </w:rPr>
        <w:t>and announcement of outcomes to better meet industry needs</w:t>
      </w:r>
    </w:p>
    <w:p w14:paraId="3C36EF8D" w14:textId="0797C62D" w:rsidR="005C1773" w:rsidRPr="003673FA" w:rsidRDefault="0095062F" w:rsidP="005C1773">
      <w:pPr>
        <w:pStyle w:val="ListParagraph"/>
        <w:numPr>
          <w:ilvl w:val="0"/>
          <w:numId w:val="25"/>
        </w:numPr>
        <w:spacing w:line="259" w:lineRule="auto"/>
        <w:rPr>
          <w:color w:val="auto"/>
          <w:szCs w:val="24"/>
        </w:rPr>
      </w:pPr>
      <w:proofErr w:type="gramStart"/>
      <w:r w:rsidRPr="003673FA">
        <w:rPr>
          <w:color w:val="auto"/>
          <w:szCs w:val="24"/>
        </w:rPr>
        <w:t>more</w:t>
      </w:r>
      <w:proofErr w:type="gramEnd"/>
      <w:r w:rsidRPr="003673FA">
        <w:rPr>
          <w:color w:val="auto"/>
          <w:szCs w:val="24"/>
        </w:rPr>
        <w:t xml:space="preserve"> transparency and information about the assessment process.</w:t>
      </w:r>
      <w:r w:rsidRPr="003673FA">
        <w:rPr>
          <w:rStyle w:val="FootnoteReference"/>
          <w:color w:val="auto"/>
          <w:szCs w:val="24"/>
        </w:rPr>
        <w:footnoteReference w:id="42"/>
      </w:r>
    </w:p>
    <w:p w14:paraId="721CB0F8" w14:textId="77777777" w:rsidR="000F7ACD" w:rsidRPr="003673FA" w:rsidRDefault="000F7ACD" w:rsidP="005D392C">
      <w:pPr>
        <w:spacing w:line="259" w:lineRule="auto"/>
        <w:rPr>
          <w:szCs w:val="24"/>
        </w:rPr>
      </w:pPr>
    </w:p>
    <w:p w14:paraId="68D1442B" w14:textId="7A48A6EC" w:rsidR="00F15310" w:rsidRPr="003673FA" w:rsidRDefault="00CF3BCB" w:rsidP="00F15310">
      <w:pPr>
        <w:pStyle w:val="Heading3"/>
      </w:pPr>
      <w:r w:rsidRPr="003673FA">
        <w:t>Key findings</w:t>
      </w:r>
      <w:r w:rsidR="00F930AF" w:rsidRPr="003673FA">
        <w:t>: Stakeholder views – assessors and SAC members</w:t>
      </w:r>
    </w:p>
    <w:p w14:paraId="30ECCD3C" w14:textId="77777777" w:rsidR="00F15310" w:rsidRPr="003673FA" w:rsidRDefault="00F15310" w:rsidP="005D392C">
      <w:pPr>
        <w:spacing w:line="259" w:lineRule="auto"/>
        <w:rPr>
          <w:szCs w:val="24"/>
        </w:rPr>
      </w:pPr>
    </w:p>
    <w:p w14:paraId="64D88BBC" w14:textId="6E088979" w:rsidR="005D392C" w:rsidRPr="003673FA" w:rsidRDefault="00863A96" w:rsidP="00863A96">
      <w:pPr>
        <w:pStyle w:val="ListParagraph"/>
        <w:numPr>
          <w:ilvl w:val="0"/>
          <w:numId w:val="20"/>
        </w:numPr>
        <w:rPr>
          <w:color w:val="auto"/>
          <w:szCs w:val="24"/>
        </w:rPr>
      </w:pPr>
      <w:r w:rsidRPr="003673FA">
        <w:rPr>
          <w:color w:val="auto"/>
          <w:szCs w:val="24"/>
        </w:rPr>
        <w:t>Detailed assessors and SAC</w:t>
      </w:r>
      <w:r w:rsidR="0027400B" w:rsidRPr="003673FA">
        <w:rPr>
          <w:color w:val="auto"/>
          <w:szCs w:val="24"/>
        </w:rPr>
        <w:t xml:space="preserve"> members predominantly consider</w:t>
      </w:r>
      <w:r w:rsidRPr="003673FA">
        <w:rPr>
          <w:color w:val="auto"/>
          <w:szCs w:val="24"/>
        </w:rPr>
        <w:t xml:space="preserve"> </w:t>
      </w:r>
      <w:r w:rsidR="0027400B" w:rsidRPr="003673FA">
        <w:rPr>
          <w:color w:val="auto"/>
          <w:szCs w:val="24"/>
        </w:rPr>
        <w:t xml:space="preserve">that </w:t>
      </w:r>
      <w:r w:rsidRPr="003673FA">
        <w:rPr>
          <w:color w:val="auto"/>
          <w:szCs w:val="24"/>
        </w:rPr>
        <w:t xml:space="preserve">the continuous process </w:t>
      </w:r>
      <w:r w:rsidR="0027400B" w:rsidRPr="003673FA">
        <w:rPr>
          <w:color w:val="auto"/>
          <w:szCs w:val="24"/>
        </w:rPr>
        <w:t xml:space="preserve">has had </w:t>
      </w:r>
      <w:r w:rsidRPr="003673FA">
        <w:rPr>
          <w:color w:val="auto"/>
          <w:szCs w:val="24"/>
        </w:rPr>
        <w:t>a positive impact on the quality of research collaboration</w:t>
      </w:r>
      <w:r w:rsidR="0027400B" w:rsidRPr="003673FA">
        <w:rPr>
          <w:color w:val="auto"/>
          <w:szCs w:val="24"/>
        </w:rPr>
        <w:t xml:space="preserve"> in applications</w:t>
      </w:r>
      <w:r w:rsidRPr="003673FA">
        <w:rPr>
          <w:color w:val="auto"/>
          <w:szCs w:val="24"/>
        </w:rPr>
        <w:t xml:space="preserve">, but </w:t>
      </w:r>
      <w:r w:rsidR="0027400B" w:rsidRPr="003673FA">
        <w:rPr>
          <w:color w:val="auto"/>
          <w:szCs w:val="24"/>
        </w:rPr>
        <w:t>has not increased</w:t>
      </w:r>
      <w:r w:rsidRPr="003673FA">
        <w:rPr>
          <w:color w:val="auto"/>
          <w:szCs w:val="24"/>
        </w:rPr>
        <w:t xml:space="preserve"> the </w:t>
      </w:r>
      <w:r w:rsidR="0027400B" w:rsidRPr="003673FA">
        <w:rPr>
          <w:color w:val="auto"/>
          <w:szCs w:val="24"/>
        </w:rPr>
        <w:t>focus on</w:t>
      </w:r>
      <w:r w:rsidRPr="003673FA">
        <w:rPr>
          <w:color w:val="auto"/>
          <w:szCs w:val="24"/>
        </w:rPr>
        <w:t xml:space="preserve"> innovation</w:t>
      </w:r>
      <w:r w:rsidR="0027400B" w:rsidRPr="003673FA">
        <w:rPr>
          <w:color w:val="auto"/>
          <w:szCs w:val="24"/>
        </w:rPr>
        <w:t xml:space="preserve"> in applications</w:t>
      </w:r>
      <w:r w:rsidRPr="003673FA">
        <w:rPr>
          <w:color w:val="auto"/>
          <w:szCs w:val="24"/>
        </w:rPr>
        <w:t>.</w:t>
      </w:r>
    </w:p>
    <w:p w14:paraId="5D603B56" w14:textId="4675CDAD" w:rsidR="00984689" w:rsidRPr="003673FA" w:rsidRDefault="001D4C04" w:rsidP="001B650F">
      <w:pPr>
        <w:pStyle w:val="ListParagraph"/>
        <w:numPr>
          <w:ilvl w:val="0"/>
          <w:numId w:val="20"/>
        </w:numPr>
        <w:rPr>
          <w:color w:val="auto"/>
          <w:szCs w:val="24"/>
        </w:rPr>
      </w:pPr>
      <w:r w:rsidRPr="003673FA">
        <w:rPr>
          <w:color w:val="auto"/>
          <w:szCs w:val="24"/>
        </w:rPr>
        <w:t xml:space="preserve">Most detailed assessors and SAC members </w:t>
      </w:r>
      <w:r w:rsidR="001B650F" w:rsidRPr="003673FA">
        <w:rPr>
          <w:color w:val="auto"/>
          <w:szCs w:val="24"/>
        </w:rPr>
        <w:t>consider the continuous process to facilitate timely collaboration and greater responsiveness to innovation opportunities.</w:t>
      </w:r>
    </w:p>
    <w:p w14:paraId="1E21484F" w14:textId="04E9849D" w:rsidR="001B650F" w:rsidRPr="003673FA" w:rsidRDefault="001B650F" w:rsidP="001B650F">
      <w:pPr>
        <w:pStyle w:val="ListParagraph"/>
        <w:numPr>
          <w:ilvl w:val="0"/>
          <w:numId w:val="20"/>
        </w:numPr>
        <w:rPr>
          <w:color w:val="auto"/>
          <w:szCs w:val="24"/>
        </w:rPr>
      </w:pPr>
      <w:r w:rsidRPr="003673FA">
        <w:rPr>
          <w:color w:val="auto"/>
          <w:szCs w:val="24"/>
        </w:rPr>
        <w:t xml:space="preserve">Most SAC members perceived an increase in the speed of approving applications, but detailed assessors did not. This </w:t>
      </w:r>
      <w:r w:rsidR="00335A50" w:rsidRPr="003673FA">
        <w:rPr>
          <w:color w:val="auto"/>
          <w:szCs w:val="24"/>
        </w:rPr>
        <w:t>may be</w:t>
      </w:r>
      <w:r w:rsidRPr="003673FA">
        <w:rPr>
          <w:color w:val="auto"/>
          <w:szCs w:val="24"/>
        </w:rPr>
        <w:t xml:space="preserve"> due to their different roles in the process.</w:t>
      </w:r>
    </w:p>
    <w:p w14:paraId="12B0D229" w14:textId="65B13ABB" w:rsidR="001B650F" w:rsidRPr="003673FA" w:rsidRDefault="001D4C04" w:rsidP="001B650F">
      <w:pPr>
        <w:pStyle w:val="ListParagraph"/>
        <w:numPr>
          <w:ilvl w:val="0"/>
          <w:numId w:val="20"/>
        </w:numPr>
        <w:rPr>
          <w:color w:val="auto"/>
          <w:szCs w:val="24"/>
        </w:rPr>
      </w:pPr>
      <w:r w:rsidRPr="003673FA">
        <w:rPr>
          <w:color w:val="auto"/>
          <w:szCs w:val="24"/>
        </w:rPr>
        <w:t>Both detailed assessors and SAC members expressed concern with the difficulty of assessing the relative quality of applications under the continuous process.</w:t>
      </w:r>
    </w:p>
    <w:p w14:paraId="5B271091" w14:textId="19622FCD" w:rsidR="001D4C04" w:rsidRPr="003673FA" w:rsidRDefault="001D4C04" w:rsidP="001B650F">
      <w:pPr>
        <w:pStyle w:val="ListParagraph"/>
        <w:numPr>
          <w:ilvl w:val="0"/>
          <w:numId w:val="20"/>
        </w:numPr>
        <w:rPr>
          <w:color w:val="auto"/>
          <w:szCs w:val="24"/>
        </w:rPr>
      </w:pPr>
      <w:r w:rsidRPr="003673FA">
        <w:rPr>
          <w:color w:val="auto"/>
          <w:szCs w:val="24"/>
        </w:rPr>
        <w:t>The majority of SAC members had positive perceptions of the fast tracking process, and neutral or positive views on how ARC systems have adapted to the continuous process.</w:t>
      </w:r>
    </w:p>
    <w:p w14:paraId="66D09BF2" w14:textId="40703012" w:rsidR="00410722" w:rsidRPr="003673FA" w:rsidRDefault="00410722" w:rsidP="001B650F">
      <w:pPr>
        <w:pStyle w:val="ListParagraph"/>
        <w:numPr>
          <w:ilvl w:val="0"/>
          <w:numId w:val="20"/>
        </w:numPr>
        <w:rPr>
          <w:color w:val="auto"/>
          <w:szCs w:val="24"/>
        </w:rPr>
      </w:pPr>
      <w:r w:rsidRPr="003673FA">
        <w:rPr>
          <w:color w:val="auto"/>
          <w:szCs w:val="24"/>
        </w:rPr>
        <w:t>To improve the continuous process, detailed assessors and SAC members suggest</w:t>
      </w:r>
      <w:r w:rsidR="002C3FA5" w:rsidRPr="003673FA">
        <w:rPr>
          <w:color w:val="auto"/>
          <w:szCs w:val="24"/>
        </w:rPr>
        <w:t xml:space="preserve">ed the introduction of multiple application deadlines, better processes for comparing assessment quality, faster </w:t>
      </w:r>
      <w:r w:rsidR="00B20412" w:rsidRPr="003673FA">
        <w:rPr>
          <w:color w:val="auto"/>
          <w:szCs w:val="24"/>
        </w:rPr>
        <w:t xml:space="preserve">and more transparent </w:t>
      </w:r>
      <w:r w:rsidR="002C3FA5" w:rsidRPr="003673FA">
        <w:rPr>
          <w:color w:val="auto"/>
          <w:szCs w:val="24"/>
        </w:rPr>
        <w:t>assessment processes.</w:t>
      </w:r>
    </w:p>
    <w:p w14:paraId="3333730E" w14:textId="368ACFFD" w:rsidR="001075A6" w:rsidRPr="003673FA" w:rsidRDefault="001075A6">
      <w:pPr>
        <w:rPr>
          <w:szCs w:val="24"/>
        </w:rPr>
      </w:pPr>
      <w:r w:rsidRPr="003673FA">
        <w:rPr>
          <w:szCs w:val="24"/>
        </w:rPr>
        <w:br w:type="page"/>
      </w:r>
    </w:p>
    <w:p w14:paraId="5C49B955" w14:textId="4C77EEBA" w:rsidR="00AA6C5F" w:rsidRPr="003673FA" w:rsidRDefault="00AA6C5F" w:rsidP="00E56A37">
      <w:pPr>
        <w:pStyle w:val="Heading1"/>
      </w:pPr>
      <w:bookmarkStart w:id="82" w:name="_Toc3285761"/>
      <w:bookmarkStart w:id="83" w:name="_Toc6218384"/>
      <w:r w:rsidRPr="003673FA">
        <w:lastRenderedPageBreak/>
        <w:t>Recommendations</w:t>
      </w:r>
      <w:bookmarkEnd w:id="82"/>
      <w:bookmarkEnd w:id="83"/>
    </w:p>
    <w:p w14:paraId="210AEE9A" w14:textId="54724A21" w:rsidR="00E56A37" w:rsidRPr="003673FA" w:rsidRDefault="00E56A37" w:rsidP="00E56A37">
      <w:r w:rsidRPr="003673FA">
        <w:br/>
        <w:t>This section provides recommendations, based on the analysis and findings outlined above, for the ARC to consider to improve the effectiveness and efficiency of its implementation of the continuous Linkage Projects process.</w:t>
      </w:r>
    </w:p>
    <w:p w14:paraId="33ED6AF9" w14:textId="77777777" w:rsidR="00E56A37" w:rsidRPr="003673FA" w:rsidRDefault="00E56A37" w:rsidP="00E56A37"/>
    <w:p w14:paraId="3165D858" w14:textId="20CAADA5" w:rsidR="000D623C" w:rsidRPr="003673FA" w:rsidRDefault="000D623C" w:rsidP="000D623C">
      <w:pPr>
        <w:pStyle w:val="Heading2"/>
      </w:pPr>
      <w:bookmarkStart w:id="84" w:name="_Toc6218385"/>
      <w:r w:rsidRPr="003673FA">
        <w:t>Recommendation 1: Application deadlines</w:t>
      </w:r>
      <w:bookmarkEnd w:id="84"/>
    </w:p>
    <w:p w14:paraId="2A827FC4" w14:textId="4600A3C5" w:rsidR="00AA6C5F" w:rsidRPr="003673FA" w:rsidRDefault="00AA6C5F" w:rsidP="00E56A37">
      <w:pPr>
        <w:spacing w:line="259" w:lineRule="auto"/>
        <w:rPr>
          <w:szCs w:val="24"/>
        </w:rPr>
      </w:pPr>
    </w:p>
    <w:p w14:paraId="44294862" w14:textId="3C25E9D7" w:rsidR="00066F58" w:rsidRPr="003673FA" w:rsidRDefault="0005793B" w:rsidP="00E56A37">
      <w:pPr>
        <w:spacing w:line="259" w:lineRule="auto"/>
        <w:rPr>
          <w:szCs w:val="24"/>
        </w:rPr>
      </w:pPr>
      <w:r w:rsidRPr="003673FA">
        <w:rPr>
          <w:szCs w:val="24"/>
        </w:rPr>
        <w:t>To address the decline in total partner organisation participation</w:t>
      </w:r>
      <w:r w:rsidR="00C92D96" w:rsidRPr="003673FA">
        <w:rPr>
          <w:szCs w:val="24"/>
        </w:rPr>
        <w:t xml:space="preserve">, the value of partner organisation contributions, total applications, funded projects, </w:t>
      </w:r>
      <w:r w:rsidRPr="003673FA">
        <w:rPr>
          <w:szCs w:val="24"/>
        </w:rPr>
        <w:t xml:space="preserve">and overall collaboration in the Linkage Projects scheme since the introduction of the continuous process (findings 1, </w:t>
      </w:r>
      <w:r w:rsidR="00C92D96" w:rsidRPr="003673FA">
        <w:rPr>
          <w:szCs w:val="24"/>
        </w:rPr>
        <w:t xml:space="preserve">5, </w:t>
      </w:r>
      <w:r w:rsidRPr="003673FA">
        <w:rPr>
          <w:szCs w:val="24"/>
        </w:rPr>
        <w:t>8, 9 and 1</w:t>
      </w:r>
      <w:r w:rsidR="00516B70" w:rsidRPr="003673FA">
        <w:rPr>
          <w:szCs w:val="24"/>
        </w:rPr>
        <w:t>8</w:t>
      </w:r>
      <w:r w:rsidRPr="003673FA">
        <w:rPr>
          <w:szCs w:val="24"/>
        </w:rPr>
        <w:t xml:space="preserve">), the ARC should </w:t>
      </w:r>
      <w:r w:rsidRPr="003673FA">
        <w:rPr>
          <w:b/>
          <w:szCs w:val="24"/>
        </w:rPr>
        <w:t xml:space="preserve">introduce three </w:t>
      </w:r>
      <w:r w:rsidR="00C84053" w:rsidRPr="003673FA">
        <w:rPr>
          <w:b/>
          <w:szCs w:val="24"/>
        </w:rPr>
        <w:t>or</w:t>
      </w:r>
      <w:r w:rsidRPr="003673FA">
        <w:rPr>
          <w:b/>
          <w:szCs w:val="24"/>
        </w:rPr>
        <w:t xml:space="preserve"> four application deadlines and assessment rounds each year</w:t>
      </w:r>
      <w:r w:rsidRPr="003673FA">
        <w:rPr>
          <w:szCs w:val="24"/>
        </w:rPr>
        <w:t>.</w:t>
      </w:r>
      <w:r w:rsidR="002A04FB" w:rsidRPr="003673FA">
        <w:rPr>
          <w:szCs w:val="24"/>
        </w:rPr>
        <w:t xml:space="preserve"> The introduction of deadlines would respond directly to feedback from k</w:t>
      </w:r>
      <w:r w:rsidRPr="003673FA">
        <w:rPr>
          <w:szCs w:val="24"/>
        </w:rPr>
        <w:t>ey Linkage Projects stakeholders (findings 1</w:t>
      </w:r>
      <w:r w:rsidR="00516B70" w:rsidRPr="003673FA">
        <w:rPr>
          <w:szCs w:val="24"/>
        </w:rPr>
        <w:t>7</w:t>
      </w:r>
      <w:r w:rsidRPr="003673FA">
        <w:rPr>
          <w:szCs w:val="24"/>
        </w:rPr>
        <w:t xml:space="preserve">, </w:t>
      </w:r>
      <w:r w:rsidR="002A04FB" w:rsidRPr="003673FA">
        <w:rPr>
          <w:szCs w:val="24"/>
        </w:rPr>
        <w:t>2</w:t>
      </w:r>
      <w:r w:rsidR="00516B70" w:rsidRPr="003673FA">
        <w:rPr>
          <w:szCs w:val="24"/>
        </w:rPr>
        <w:t>5</w:t>
      </w:r>
      <w:r w:rsidR="002A04FB" w:rsidRPr="003673FA">
        <w:rPr>
          <w:szCs w:val="24"/>
        </w:rPr>
        <w:t xml:space="preserve"> and 3</w:t>
      </w:r>
      <w:r w:rsidR="00516B70" w:rsidRPr="003673FA">
        <w:rPr>
          <w:szCs w:val="24"/>
        </w:rPr>
        <w:t>1</w:t>
      </w:r>
      <w:r w:rsidR="002A04FB" w:rsidRPr="003673FA">
        <w:rPr>
          <w:szCs w:val="24"/>
        </w:rPr>
        <w:t>).</w:t>
      </w:r>
    </w:p>
    <w:p w14:paraId="639FDB86" w14:textId="1A6C8C65" w:rsidR="002A04FB" w:rsidRPr="003673FA" w:rsidRDefault="002A04FB" w:rsidP="00E56A37">
      <w:pPr>
        <w:spacing w:line="259" w:lineRule="auto"/>
        <w:rPr>
          <w:szCs w:val="24"/>
        </w:rPr>
      </w:pPr>
    </w:p>
    <w:p w14:paraId="5152AD4C" w14:textId="5E81FBA4" w:rsidR="002A04FB" w:rsidRPr="003673FA" w:rsidRDefault="000A18A5" w:rsidP="00E56A37">
      <w:pPr>
        <w:spacing w:line="259" w:lineRule="auto"/>
        <w:rPr>
          <w:szCs w:val="24"/>
        </w:rPr>
      </w:pPr>
      <w:r w:rsidRPr="003673FA">
        <w:rPr>
          <w:szCs w:val="24"/>
        </w:rPr>
        <w:t>A series of regular</w:t>
      </w:r>
      <w:r w:rsidR="002A04FB" w:rsidRPr="003673FA">
        <w:rPr>
          <w:szCs w:val="24"/>
        </w:rPr>
        <w:t xml:space="preserve"> application deadlines </w:t>
      </w:r>
      <w:r w:rsidR="007D6BFB" w:rsidRPr="003673FA">
        <w:rPr>
          <w:szCs w:val="24"/>
        </w:rPr>
        <w:t xml:space="preserve">would </w:t>
      </w:r>
      <w:r w:rsidRPr="003673FA">
        <w:rPr>
          <w:szCs w:val="24"/>
        </w:rPr>
        <w:t>help the ARC to</w:t>
      </w:r>
      <w:r w:rsidR="00CD5FD1" w:rsidRPr="003673FA">
        <w:rPr>
          <w:szCs w:val="24"/>
        </w:rPr>
        <w:t xml:space="preserve"> </w:t>
      </w:r>
      <w:r w:rsidR="002A04FB" w:rsidRPr="003673FA">
        <w:rPr>
          <w:szCs w:val="24"/>
        </w:rPr>
        <w:t xml:space="preserve">address a range of issues associated with the </w:t>
      </w:r>
      <w:r w:rsidRPr="003673FA">
        <w:rPr>
          <w:szCs w:val="24"/>
        </w:rPr>
        <w:t>implementation</w:t>
      </w:r>
      <w:r w:rsidR="002A04FB" w:rsidRPr="003673FA">
        <w:rPr>
          <w:szCs w:val="24"/>
        </w:rPr>
        <w:t xml:space="preserve"> of t</w:t>
      </w:r>
      <w:r w:rsidRPr="003673FA">
        <w:rPr>
          <w:szCs w:val="24"/>
        </w:rPr>
        <w:t>he continuous process by</w:t>
      </w:r>
      <w:r w:rsidR="002A04FB" w:rsidRPr="003673FA">
        <w:rPr>
          <w:szCs w:val="24"/>
        </w:rPr>
        <w:t>:</w:t>
      </w:r>
    </w:p>
    <w:p w14:paraId="1D8FD07F" w14:textId="268AC2CA" w:rsidR="007D6BFB" w:rsidRPr="003673FA" w:rsidRDefault="007D6BFB" w:rsidP="007D6BFB">
      <w:pPr>
        <w:pStyle w:val="ListParagraph"/>
        <w:numPr>
          <w:ilvl w:val="0"/>
          <w:numId w:val="26"/>
        </w:numPr>
        <w:spacing w:line="259" w:lineRule="auto"/>
        <w:rPr>
          <w:color w:val="auto"/>
          <w:szCs w:val="24"/>
        </w:rPr>
      </w:pPr>
      <w:r w:rsidRPr="003673FA">
        <w:rPr>
          <w:color w:val="auto"/>
          <w:szCs w:val="24"/>
        </w:rPr>
        <w:t>providing greater incentives for researchers and partner organisations to prioritise and complete Linkage Projects applications (finding 2</w:t>
      </w:r>
      <w:r w:rsidR="00516B70" w:rsidRPr="003673FA">
        <w:rPr>
          <w:color w:val="auto"/>
          <w:szCs w:val="24"/>
        </w:rPr>
        <w:t>3</w:t>
      </w:r>
      <w:r w:rsidRPr="003673FA">
        <w:rPr>
          <w:color w:val="auto"/>
          <w:szCs w:val="24"/>
        </w:rPr>
        <w:t>)</w:t>
      </w:r>
    </w:p>
    <w:p w14:paraId="313E5847" w14:textId="0CCBFA9D" w:rsidR="007D6BFB" w:rsidRPr="003673FA" w:rsidRDefault="007D6BFB" w:rsidP="007D6BFB">
      <w:pPr>
        <w:pStyle w:val="ListParagraph"/>
        <w:numPr>
          <w:ilvl w:val="0"/>
          <w:numId w:val="26"/>
        </w:numPr>
        <w:spacing w:line="259" w:lineRule="auto"/>
        <w:rPr>
          <w:color w:val="auto"/>
          <w:szCs w:val="24"/>
        </w:rPr>
      </w:pPr>
      <w:r w:rsidRPr="003673FA">
        <w:rPr>
          <w:color w:val="auto"/>
          <w:szCs w:val="24"/>
        </w:rPr>
        <w:t>supporting improved planning and workload management for universities, researchers and p</w:t>
      </w:r>
      <w:r w:rsidR="00516B70" w:rsidRPr="003673FA">
        <w:rPr>
          <w:color w:val="auto"/>
          <w:szCs w:val="24"/>
        </w:rPr>
        <w:t>artner organisations (finding 22</w:t>
      </w:r>
      <w:r w:rsidRPr="003673FA">
        <w:rPr>
          <w:color w:val="auto"/>
          <w:szCs w:val="24"/>
        </w:rPr>
        <w:t>)</w:t>
      </w:r>
    </w:p>
    <w:p w14:paraId="6159A154" w14:textId="7BC6A706" w:rsidR="007D6BFB" w:rsidRPr="003673FA" w:rsidRDefault="007D6BFB" w:rsidP="007D6BFB">
      <w:pPr>
        <w:pStyle w:val="ListParagraph"/>
        <w:numPr>
          <w:ilvl w:val="0"/>
          <w:numId w:val="26"/>
        </w:numPr>
        <w:spacing w:line="259" w:lineRule="auto"/>
        <w:rPr>
          <w:color w:val="auto"/>
          <w:szCs w:val="24"/>
        </w:rPr>
      </w:pPr>
      <w:r w:rsidRPr="003673FA">
        <w:rPr>
          <w:color w:val="auto"/>
          <w:szCs w:val="24"/>
        </w:rPr>
        <w:t>providing incentives for more even submission of applications throughout the year (finding 11)</w:t>
      </w:r>
    </w:p>
    <w:p w14:paraId="0F029D60" w14:textId="23CBF667" w:rsidR="007D6BFB" w:rsidRPr="003673FA" w:rsidRDefault="007D6BFB" w:rsidP="007D6BFB">
      <w:pPr>
        <w:pStyle w:val="ListParagraph"/>
        <w:numPr>
          <w:ilvl w:val="0"/>
          <w:numId w:val="26"/>
        </w:numPr>
        <w:spacing w:line="259" w:lineRule="auto"/>
        <w:rPr>
          <w:color w:val="auto"/>
          <w:szCs w:val="24"/>
        </w:rPr>
      </w:pPr>
      <w:r w:rsidRPr="003673FA">
        <w:rPr>
          <w:color w:val="auto"/>
          <w:szCs w:val="24"/>
        </w:rPr>
        <w:t>reducing the administr</w:t>
      </w:r>
      <w:r w:rsidR="007D1D11" w:rsidRPr="003673FA">
        <w:rPr>
          <w:color w:val="auto"/>
          <w:szCs w:val="24"/>
        </w:rPr>
        <w:t xml:space="preserve">ative burden on SAC members </w:t>
      </w:r>
      <w:r w:rsidR="00402A31" w:rsidRPr="003673FA">
        <w:rPr>
          <w:color w:val="auto"/>
          <w:szCs w:val="24"/>
        </w:rPr>
        <w:t xml:space="preserve">and the ARC </w:t>
      </w:r>
      <w:r w:rsidRPr="003673FA">
        <w:rPr>
          <w:color w:val="auto"/>
          <w:szCs w:val="24"/>
        </w:rPr>
        <w:t>associated with the management of assessment processes</w:t>
      </w:r>
      <w:r w:rsidR="007D1D11" w:rsidRPr="003673FA">
        <w:rPr>
          <w:color w:val="auto"/>
          <w:szCs w:val="24"/>
        </w:rPr>
        <w:t xml:space="preserve"> and SAC meetings</w:t>
      </w:r>
      <w:r w:rsidRPr="003673FA">
        <w:rPr>
          <w:color w:val="auto"/>
          <w:szCs w:val="24"/>
        </w:rPr>
        <w:t xml:space="preserve"> throughout the year (findings 1</w:t>
      </w:r>
      <w:r w:rsidR="00DE2443" w:rsidRPr="003673FA">
        <w:rPr>
          <w:color w:val="auto"/>
          <w:szCs w:val="24"/>
        </w:rPr>
        <w:t>4</w:t>
      </w:r>
      <w:r w:rsidRPr="003673FA">
        <w:rPr>
          <w:color w:val="auto"/>
          <w:szCs w:val="24"/>
        </w:rPr>
        <w:t xml:space="preserve"> and 15)</w:t>
      </w:r>
    </w:p>
    <w:p w14:paraId="09EC2C38" w14:textId="540296B3" w:rsidR="007D6BFB" w:rsidRPr="003673FA" w:rsidRDefault="007D1D11" w:rsidP="007D6BFB">
      <w:pPr>
        <w:pStyle w:val="ListParagraph"/>
        <w:numPr>
          <w:ilvl w:val="0"/>
          <w:numId w:val="26"/>
        </w:numPr>
        <w:spacing w:line="259" w:lineRule="auto"/>
        <w:rPr>
          <w:color w:val="auto"/>
          <w:szCs w:val="24"/>
        </w:rPr>
      </w:pPr>
      <w:proofErr w:type="gramStart"/>
      <w:r w:rsidRPr="003673FA">
        <w:rPr>
          <w:color w:val="auto"/>
          <w:szCs w:val="24"/>
        </w:rPr>
        <w:t>reinforcing</w:t>
      </w:r>
      <w:proofErr w:type="gramEnd"/>
      <w:r w:rsidRPr="003673FA">
        <w:rPr>
          <w:color w:val="auto"/>
          <w:szCs w:val="24"/>
        </w:rPr>
        <w:t xml:space="preserve"> the capacity of SACs to benchmark and assess </w:t>
      </w:r>
      <w:r w:rsidR="007D6BFB" w:rsidRPr="003673FA">
        <w:rPr>
          <w:color w:val="auto"/>
          <w:szCs w:val="24"/>
        </w:rPr>
        <w:t>relative</w:t>
      </w:r>
      <w:r w:rsidRPr="003673FA">
        <w:rPr>
          <w:color w:val="auto"/>
          <w:szCs w:val="24"/>
        </w:rPr>
        <w:t xml:space="preserve"> application quality through fewer, larger batches of applications</w:t>
      </w:r>
      <w:r w:rsidR="007D6BFB" w:rsidRPr="003673FA">
        <w:rPr>
          <w:color w:val="auto"/>
          <w:szCs w:val="24"/>
        </w:rPr>
        <w:t xml:space="preserve"> (finding</w:t>
      </w:r>
      <w:r w:rsidR="00516B70" w:rsidRPr="003673FA">
        <w:rPr>
          <w:color w:val="auto"/>
          <w:szCs w:val="24"/>
        </w:rPr>
        <w:t xml:space="preserve"> 29</w:t>
      </w:r>
      <w:r w:rsidRPr="003673FA">
        <w:rPr>
          <w:color w:val="auto"/>
          <w:szCs w:val="24"/>
        </w:rPr>
        <w:t>).</w:t>
      </w:r>
    </w:p>
    <w:p w14:paraId="3F8C7914" w14:textId="249AFCBE" w:rsidR="007D1D11" w:rsidRPr="003673FA" w:rsidRDefault="007D1D11" w:rsidP="007D1D11">
      <w:pPr>
        <w:spacing w:line="259" w:lineRule="auto"/>
        <w:rPr>
          <w:szCs w:val="24"/>
        </w:rPr>
      </w:pPr>
    </w:p>
    <w:p w14:paraId="48B1071F" w14:textId="3C77C762" w:rsidR="00FC41D1" w:rsidRPr="003673FA" w:rsidRDefault="00FC41D1" w:rsidP="007D1D11">
      <w:pPr>
        <w:spacing w:line="259" w:lineRule="auto"/>
        <w:rPr>
          <w:szCs w:val="24"/>
        </w:rPr>
      </w:pPr>
      <w:r w:rsidRPr="003673FA">
        <w:rPr>
          <w:szCs w:val="24"/>
        </w:rPr>
        <w:t xml:space="preserve">There are positive changes and benefits arising from the introduction of the continuous process that the </w:t>
      </w:r>
      <w:r w:rsidR="007D1D11" w:rsidRPr="003673FA">
        <w:rPr>
          <w:szCs w:val="24"/>
        </w:rPr>
        <w:t xml:space="preserve">ARC </w:t>
      </w:r>
      <w:r w:rsidR="00161810" w:rsidRPr="003673FA">
        <w:rPr>
          <w:szCs w:val="24"/>
        </w:rPr>
        <w:t>should seek to protect</w:t>
      </w:r>
      <w:r w:rsidR="007D1D11" w:rsidRPr="003673FA">
        <w:rPr>
          <w:szCs w:val="24"/>
        </w:rPr>
        <w:t xml:space="preserve"> </w:t>
      </w:r>
      <w:r w:rsidR="00161810" w:rsidRPr="003673FA">
        <w:rPr>
          <w:szCs w:val="24"/>
        </w:rPr>
        <w:t xml:space="preserve">as part of the implementation of any </w:t>
      </w:r>
      <w:r w:rsidRPr="003673FA">
        <w:rPr>
          <w:szCs w:val="24"/>
        </w:rPr>
        <w:t>application deadlines and assessment rounds. These include:</w:t>
      </w:r>
    </w:p>
    <w:p w14:paraId="09F9CA2E" w14:textId="020A978A" w:rsidR="00FC41D1" w:rsidRPr="003673FA" w:rsidRDefault="00FC41D1" w:rsidP="005667D8">
      <w:pPr>
        <w:pStyle w:val="ListParagraph"/>
        <w:numPr>
          <w:ilvl w:val="0"/>
          <w:numId w:val="27"/>
        </w:numPr>
        <w:spacing w:line="259" w:lineRule="auto"/>
        <w:rPr>
          <w:color w:val="auto"/>
          <w:szCs w:val="24"/>
        </w:rPr>
      </w:pPr>
      <w:r w:rsidRPr="003673FA">
        <w:rPr>
          <w:color w:val="auto"/>
          <w:szCs w:val="24"/>
        </w:rPr>
        <w:t xml:space="preserve">an </w:t>
      </w:r>
      <w:r w:rsidR="005667D8" w:rsidRPr="003673FA">
        <w:rPr>
          <w:color w:val="auto"/>
          <w:szCs w:val="24"/>
        </w:rPr>
        <w:t>increased average number of partner organisations participating per application and funded project (finding 2), indications of more frequent involvement by partner organisations who are repeat participants (finding 4), and indications of increasing value of partner organisation contributions per project (finding 5)</w:t>
      </w:r>
    </w:p>
    <w:p w14:paraId="1C3A4FD0" w14:textId="6174D1BE" w:rsidR="007D1D11" w:rsidRPr="003673FA" w:rsidRDefault="00161810" w:rsidP="007D1D11">
      <w:pPr>
        <w:pStyle w:val="ListParagraph"/>
        <w:numPr>
          <w:ilvl w:val="0"/>
          <w:numId w:val="27"/>
        </w:numPr>
        <w:spacing w:line="259" w:lineRule="auto"/>
        <w:rPr>
          <w:color w:val="auto"/>
          <w:szCs w:val="24"/>
        </w:rPr>
      </w:pPr>
      <w:r w:rsidRPr="003673FA">
        <w:rPr>
          <w:color w:val="auto"/>
          <w:szCs w:val="24"/>
        </w:rPr>
        <w:t>stakeholder</w:t>
      </w:r>
      <w:r w:rsidR="00C84053" w:rsidRPr="003673FA">
        <w:rPr>
          <w:color w:val="auto"/>
          <w:szCs w:val="24"/>
        </w:rPr>
        <w:t xml:space="preserve">s reporting </w:t>
      </w:r>
      <w:r w:rsidR="00FC41D1" w:rsidRPr="003673FA">
        <w:rPr>
          <w:color w:val="auto"/>
          <w:szCs w:val="24"/>
        </w:rPr>
        <w:t xml:space="preserve">increased and improved collaboration within applications and funded projects (findings </w:t>
      </w:r>
      <w:r w:rsidR="00516B70" w:rsidRPr="003673FA">
        <w:rPr>
          <w:color w:val="auto"/>
          <w:szCs w:val="24"/>
        </w:rPr>
        <w:t>19</w:t>
      </w:r>
      <w:r w:rsidR="00FC41D1" w:rsidRPr="003673FA">
        <w:rPr>
          <w:color w:val="auto"/>
          <w:szCs w:val="24"/>
        </w:rPr>
        <w:t xml:space="preserve"> and 2</w:t>
      </w:r>
      <w:r w:rsidR="00516B70" w:rsidRPr="003673FA">
        <w:rPr>
          <w:color w:val="auto"/>
          <w:szCs w:val="24"/>
        </w:rPr>
        <w:t>6</w:t>
      </w:r>
      <w:r w:rsidR="00FC41D1" w:rsidRPr="003673FA">
        <w:rPr>
          <w:color w:val="auto"/>
          <w:szCs w:val="24"/>
        </w:rPr>
        <w:t xml:space="preserve">), </w:t>
      </w:r>
      <w:r w:rsidRPr="003673FA">
        <w:rPr>
          <w:color w:val="auto"/>
          <w:szCs w:val="24"/>
        </w:rPr>
        <w:t xml:space="preserve">and </w:t>
      </w:r>
      <w:r w:rsidR="00C84053" w:rsidRPr="003673FA">
        <w:rPr>
          <w:color w:val="auto"/>
          <w:szCs w:val="24"/>
        </w:rPr>
        <w:t xml:space="preserve">facilitation of </w:t>
      </w:r>
      <w:r w:rsidRPr="003673FA">
        <w:rPr>
          <w:color w:val="auto"/>
          <w:szCs w:val="24"/>
        </w:rPr>
        <w:t>more</w:t>
      </w:r>
      <w:r w:rsidR="00FC41D1" w:rsidRPr="003673FA">
        <w:rPr>
          <w:color w:val="auto"/>
          <w:szCs w:val="24"/>
        </w:rPr>
        <w:t xml:space="preserve"> timely collaboration and greater responsiveness to innov</w:t>
      </w:r>
      <w:r w:rsidR="00516B70" w:rsidRPr="003673FA">
        <w:rPr>
          <w:color w:val="auto"/>
          <w:szCs w:val="24"/>
        </w:rPr>
        <w:t>ation opportunities (findings 21</w:t>
      </w:r>
      <w:r w:rsidR="00FC41D1" w:rsidRPr="003673FA">
        <w:rPr>
          <w:color w:val="auto"/>
          <w:szCs w:val="24"/>
        </w:rPr>
        <w:t xml:space="preserve"> and 2</w:t>
      </w:r>
      <w:r w:rsidR="00516B70" w:rsidRPr="003673FA">
        <w:rPr>
          <w:color w:val="auto"/>
          <w:szCs w:val="24"/>
        </w:rPr>
        <w:t>7</w:t>
      </w:r>
      <w:r w:rsidR="00FC41D1" w:rsidRPr="003673FA">
        <w:rPr>
          <w:color w:val="auto"/>
          <w:szCs w:val="24"/>
        </w:rPr>
        <w:t>)</w:t>
      </w:r>
    </w:p>
    <w:p w14:paraId="49696B42" w14:textId="6582884B" w:rsidR="00FC41D1" w:rsidRPr="003673FA" w:rsidRDefault="00161810" w:rsidP="007D1D11">
      <w:pPr>
        <w:pStyle w:val="ListParagraph"/>
        <w:numPr>
          <w:ilvl w:val="0"/>
          <w:numId w:val="27"/>
        </w:numPr>
        <w:spacing w:line="259" w:lineRule="auto"/>
        <w:rPr>
          <w:color w:val="auto"/>
          <w:szCs w:val="24"/>
        </w:rPr>
      </w:pPr>
      <w:proofErr w:type="gramStart"/>
      <w:r w:rsidRPr="003673FA">
        <w:rPr>
          <w:color w:val="auto"/>
          <w:szCs w:val="24"/>
        </w:rPr>
        <w:t>efficiencies</w:t>
      </w:r>
      <w:proofErr w:type="gramEnd"/>
      <w:r w:rsidRPr="003673FA">
        <w:rPr>
          <w:color w:val="auto"/>
          <w:szCs w:val="24"/>
        </w:rPr>
        <w:t xml:space="preserve"> in assessment and SAC processes (findings 1</w:t>
      </w:r>
      <w:r w:rsidR="00DE2443" w:rsidRPr="003673FA">
        <w:rPr>
          <w:color w:val="auto"/>
          <w:szCs w:val="24"/>
        </w:rPr>
        <w:t>3</w:t>
      </w:r>
      <w:r w:rsidRPr="003673FA">
        <w:rPr>
          <w:color w:val="auto"/>
          <w:szCs w:val="24"/>
        </w:rPr>
        <w:t xml:space="preserve"> and 2</w:t>
      </w:r>
      <w:r w:rsidR="00516B70" w:rsidRPr="003673FA">
        <w:rPr>
          <w:color w:val="auto"/>
          <w:szCs w:val="24"/>
        </w:rPr>
        <w:t>8</w:t>
      </w:r>
      <w:r w:rsidRPr="003673FA">
        <w:rPr>
          <w:color w:val="auto"/>
          <w:szCs w:val="24"/>
        </w:rPr>
        <w:t>), and satisfaction among successful stakeholders with ARC</w:t>
      </w:r>
      <w:r w:rsidR="00C84053" w:rsidRPr="003673FA">
        <w:rPr>
          <w:color w:val="auto"/>
          <w:szCs w:val="24"/>
        </w:rPr>
        <w:t xml:space="preserve"> </w:t>
      </w:r>
      <w:r w:rsidRPr="003673FA">
        <w:rPr>
          <w:color w:val="auto"/>
          <w:szCs w:val="24"/>
        </w:rPr>
        <w:t xml:space="preserve">implementation </w:t>
      </w:r>
      <w:r w:rsidR="00C84053" w:rsidRPr="003673FA">
        <w:rPr>
          <w:color w:val="auto"/>
          <w:szCs w:val="24"/>
        </w:rPr>
        <w:t xml:space="preserve">of the </w:t>
      </w:r>
      <w:r w:rsidRPr="003673FA">
        <w:rPr>
          <w:color w:val="auto"/>
          <w:szCs w:val="24"/>
        </w:rPr>
        <w:t>process (findings 2</w:t>
      </w:r>
      <w:r w:rsidR="00516B70" w:rsidRPr="003673FA">
        <w:rPr>
          <w:color w:val="auto"/>
          <w:szCs w:val="24"/>
        </w:rPr>
        <w:t>4</w:t>
      </w:r>
      <w:r w:rsidRPr="003673FA">
        <w:rPr>
          <w:color w:val="auto"/>
          <w:szCs w:val="24"/>
        </w:rPr>
        <w:t xml:space="preserve"> and 3</w:t>
      </w:r>
      <w:r w:rsidR="00516B70" w:rsidRPr="003673FA">
        <w:rPr>
          <w:color w:val="auto"/>
          <w:szCs w:val="24"/>
        </w:rPr>
        <w:t>0</w:t>
      </w:r>
      <w:r w:rsidRPr="003673FA">
        <w:rPr>
          <w:color w:val="auto"/>
          <w:szCs w:val="24"/>
        </w:rPr>
        <w:t>).</w:t>
      </w:r>
    </w:p>
    <w:p w14:paraId="7D65516D" w14:textId="44F61B8E" w:rsidR="00161810" w:rsidRPr="003673FA" w:rsidRDefault="00161810" w:rsidP="00161810">
      <w:pPr>
        <w:spacing w:line="259" w:lineRule="auto"/>
        <w:rPr>
          <w:szCs w:val="24"/>
        </w:rPr>
      </w:pPr>
    </w:p>
    <w:p w14:paraId="0534AAEB" w14:textId="533E7EAE" w:rsidR="00C84053" w:rsidRPr="003673FA" w:rsidRDefault="00B303AB" w:rsidP="00161810">
      <w:pPr>
        <w:spacing w:line="259" w:lineRule="auto"/>
        <w:rPr>
          <w:szCs w:val="24"/>
        </w:rPr>
      </w:pPr>
      <w:r w:rsidRPr="003673FA">
        <w:rPr>
          <w:szCs w:val="24"/>
        </w:rPr>
        <w:t>T</w:t>
      </w:r>
      <w:r w:rsidR="00C84053" w:rsidRPr="003673FA">
        <w:rPr>
          <w:szCs w:val="24"/>
        </w:rPr>
        <w:t xml:space="preserve">he introduction of three or four assessment rounds </w:t>
      </w:r>
      <w:r w:rsidR="00DA3F5E" w:rsidRPr="003673FA">
        <w:rPr>
          <w:szCs w:val="24"/>
        </w:rPr>
        <w:t>per year</w:t>
      </w:r>
      <w:r w:rsidRPr="003673FA">
        <w:rPr>
          <w:szCs w:val="24"/>
        </w:rPr>
        <w:t xml:space="preserve"> should be accompanied by an undertaking to provide applicants with an outcome within six months from each application deadline. This will represent a </w:t>
      </w:r>
      <w:r w:rsidR="00DA3F5E" w:rsidRPr="003673FA">
        <w:rPr>
          <w:szCs w:val="24"/>
        </w:rPr>
        <w:t xml:space="preserve">shift from </w:t>
      </w:r>
      <w:r w:rsidRPr="003673FA">
        <w:rPr>
          <w:szCs w:val="24"/>
        </w:rPr>
        <w:t>the</w:t>
      </w:r>
      <w:r w:rsidR="001648A8" w:rsidRPr="003673FA">
        <w:rPr>
          <w:szCs w:val="24"/>
        </w:rPr>
        <w:t xml:space="preserve"> current</w:t>
      </w:r>
      <w:r w:rsidRPr="003673FA">
        <w:rPr>
          <w:szCs w:val="24"/>
        </w:rPr>
        <w:t xml:space="preserve"> undertaking to </w:t>
      </w:r>
      <w:r w:rsidR="001648A8" w:rsidRPr="003673FA">
        <w:rPr>
          <w:szCs w:val="24"/>
        </w:rPr>
        <w:t xml:space="preserve">provide outcomes </w:t>
      </w:r>
      <w:r w:rsidR="00DA3F5E" w:rsidRPr="003673FA">
        <w:rPr>
          <w:szCs w:val="24"/>
        </w:rPr>
        <w:t>within six months from the submission of applications (as intended by NISA and the Watt Review)</w:t>
      </w:r>
      <w:r w:rsidR="00402A31" w:rsidRPr="003673FA">
        <w:rPr>
          <w:szCs w:val="24"/>
        </w:rPr>
        <w:t xml:space="preserve"> (finding 12)</w:t>
      </w:r>
      <w:r w:rsidR="00CE0BFC" w:rsidRPr="003673FA">
        <w:rPr>
          <w:szCs w:val="24"/>
        </w:rPr>
        <w:t xml:space="preserve">. </w:t>
      </w:r>
      <w:r w:rsidR="001648A8" w:rsidRPr="003673FA">
        <w:rPr>
          <w:szCs w:val="24"/>
        </w:rPr>
        <w:t xml:space="preserve">Given that stakeholders </w:t>
      </w:r>
      <w:r w:rsidR="00CE0BFC" w:rsidRPr="003673FA">
        <w:rPr>
          <w:szCs w:val="24"/>
        </w:rPr>
        <w:t>expressed a desire for faster</w:t>
      </w:r>
      <w:r w:rsidR="001648A8" w:rsidRPr="003673FA">
        <w:rPr>
          <w:szCs w:val="24"/>
        </w:rPr>
        <w:t xml:space="preserve"> assessment processes (findings 2</w:t>
      </w:r>
      <w:r w:rsidR="00516B70" w:rsidRPr="003673FA">
        <w:rPr>
          <w:szCs w:val="24"/>
        </w:rPr>
        <w:t>5 and 31</w:t>
      </w:r>
      <w:r w:rsidR="001648A8" w:rsidRPr="003673FA">
        <w:rPr>
          <w:szCs w:val="24"/>
        </w:rPr>
        <w:t>), t</w:t>
      </w:r>
      <w:r w:rsidR="00DA3F5E" w:rsidRPr="003673FA">
        <w:rPr>
          <w:szCs w:val="24"/>
        </w:rPr>
        <w:t xml:space="preserve">he ARC should consider the number and dates of deadlines carefully to </w:t>
      </w:r>
      <w:r w:rsidR="00DA3F5E" w:rsidRPr="003673FA">
        <w:rPr>
          <w:szCs w:val="24"/>
        </w:rPr>
        <w:lastRenderedPageBreak/>
        <w:t xml:space="preserve">minimise the </w:t>
      </w:r>
      <w:r w:rsidR="00CE0BFC" w:rsidRPr="003673FA">
        <w:rPr>
          <w:szCs w:val="24"/>
        </w:rPr>
        <w:t xml:space="preserve">potential </w:t>
      </w:r>
      <w:r w:rsidR="00DA3F5E" w:rsidRPr="003673FA">
        <w:rPr>
          <w:szCs w:val="24"/>
        </w:rPr>
        <w:t xml:space="preserve">time taken for applicants and their partners to receive </w:t>
      </w:r>
      <w:r w:rsidR="00136DA0" w:rsidRPr="003673FA">
        <w:rPr>
          <w:szCs w:val="24"/>
        </w:rPr>
        <w:t xml:space="preserve">advice of their </w:t>
      </w:r>
      <w:r w:rsidR="00DA3F5E" w:rsidRPr="003673FA">
        <w:rPr>
          <w:szCs w:val="24"/>
        </w:rPr>
        <w:t>outcomes.</w:t>
      </w:r>
    </w:p>
    <w:p w14:paraId="0BABB014" w14:textId="77777777" w:rsidR="00DA3F5E" w:rsidRPr="003673FA" w:rsidRDefault="00DA3F5E" w:rsidP="00161810">
      <w:pPr>
        <w:spacing w:line="259" w:lineRule="auto"/>
        <w:rPr>
          <w:szCs w:val="24"/>
        </w:rPr>
      </w:pPr>
    </w:p>
    <w:p w14:paraId="417ACD6F" w14:textId="0BC5FA39" w:rsidR="000D623C" w:rsidRPr="003673FA" w:rsidRDefault="000D623C" w:rsidP="000D623C">
      <w:pPr>
        <w:pStyle w:val="Heading2"/>
      </w:pPr>
      <w:bookmarkStart w:id="85" w:name="_Toc6218386"/>
      <w:r w:rsidRPr="003673FA">
        <w:t>Recommendation 2: Information on assessment process</w:t>
      </w:r>
      <w:bookmarkEnd w:id="85"/>
    </w:p>
    <w:p w14:paraId="5AD024EB" w14:textId="48A15C72" w:rsidR="000D623C" w:rsidRPr="003673FA" w:rsidRDefault="000D623C" w:rsidP="00E56A37">
      <w:pPr>
        <w:spacing w:line="259" w:lineRule="auto"/>
        <w:rPr>
          <w:szCs w:val="24"/>
        </w:rPr>
      </w:pPr>
    </w:p>
    <w:p w14:paraId="69C87D9B" w14:textId="273751AA" w:rsidR="001062D5" w:rsidRPr="003673FA" w:rsidRDefault="00136DA0" w:rsidP="00E56A37">
      <w:pPr>
        <w:spacing w:line="259" w:lineRule="auto"/>
        <w:rPr>
          <w:szCs w:val="24"/>
        </w:rPr>
      </w:pPr>
      <w:r w:rsidRPr="003673FA">
        <w:rPr>
          <w:szCs w:val="24"/>
        </w:rPr>
        <w:t>To address stakeholders’ concerns about a lack of transparency</w:t>
      </w:r>
      <w:r w:rsidR="001062D5" w:rsidRPr="003673FA">
        <w:rPr>
          <w:szCs w:val="24"/>
        </w:rPr>
        <w:t xml:space="preserve">, </w:t>
      </w:r>
      <w:r w:rsidRPr="003673FA">
        <w:rPr>
          <w:szCs w:val="24"/>
        </w:rPr>
        <w:t xml:space="preserve">difficulty </w:t>
      </w:r>
      <w:r w:rsidR="001062D5" w:rsidRPr="003673FA">
        <w:rPr>
          <w:szCs w:val="24"/>
        </w:rPr>
        <w:t>in</w:t>
      </w:r>
      <w:r w:rsidRPr="003673FA">
        <w:rPr>
          <w:szCs w:val="24"/>
        </w:rPr>
        <w:t xml:space="preserve"> tracking applications through the continuous process</w:t>
      </w:r>
      <w:r w:rsidR="001062D5" w:rsidRPr="003673FA">
        <w:rPr>
          <w:szCs w:val="24"/>
        </w:rPr>
        <w:t xml:space="preserve">, and the quality of feedback on unsuccessful applications </w:t>
      </w:r>
      <w:r w:rsidRPr="003673FA">
        <w:rPr>
          <w:szCs w:val="24"/>
        </w:rPr>
        <w:t>(findings 2</w:t>
      </w:r>
      <w:r w:rsidR="00516B70" w:rsidRPr="003673FA">
        <w:rPr>
          <w:szCs w:val="24"/>
        </w:rPr>
        <w:t>5</w:t>
      </w:r>
      <w:r w:rsidRPr="003673FA">
        <w:rPr>
          <w:szCs w:val="24"/>
        </w:rPr>
        <w:t xml:space="preserve"> and 3</w:t>
      </w:r>
      <w:r w:rsidR="00516B70" w:rsidRPr="003673FA">
        <w:rPr>
          <w:szCs w:val="24"/>
        </w:rPr>
        <w:t>1</w:t>
      </w:r>
      <w:r w:rsidRPr="003673FA">
        <w:rPr>
          <w:szCs w:val="24"/>
        </w:rPr>
        <w:t>), t</w:t>
      </w:r>
      <w:r w:rsidR="001D1695" w:rsidRPr="003673FA">
        <w:rPr>
          <w:szCs w:val="24"/>
        </w:rPr>
        <w:t xml:space="preserve">he ARC should </w:t>
      </w:r>
      <w:r w:rsidR="001062D5" w:rsidRPr="003673FA">
        <w:rPr>
          <w:b/>
          <w:szCs w:val="24"/>
        </w:rPr>
        <w:t>provide</w:t>
      </w:r>
      <w:r w:rsidR="001D1695" w:rsidRPr="003673FA">
        <w:rPr>
          <w:b/>
          <w:szCs w:val="24"/>
        </w:rPr>
        <w:t xml:space="preserve"> </w:t>
      </w:r>
      <w:r w:rsidR="001062D5" w:rsidRPr="003673FA">
        <w:rPr>
          <w:b/>
          <w:szCs w:val="24"/>
        </w:rPr>
        <w:t xml:space="preserve">additional information </w:t>
      </w:r>
      <w:r w:rsidR="007D228C" w:rsidRPr="003673FA">
        <w:rPr>
          <w:b/>
          <w:szCs w:val="24"/>
        </w:rPr>
        <w:t xml:space="preserve">on </w:t>
      </w:r>
      <w:r w:rsidR="00183D6B" w:rsidRPr="003673FA">
        <w:rPr>
          <w:b/>
          <w:szCs w:val="24"/>
        </w:rPr>
        <w:t>the ARC</w:t>
      </w:r>
      <w:r w:rsidR="007D228C" w:rsidRPr="003673FA">
        <w:rPr>
          <w:b/>
          <w:szCs w:val="24"/>
        </w:rPr>
        <w:t xml:space="preserve"> website and in RMS regarding</w:t>
      </w:r>
      <w:r w:rsidR="001062D5" w:rsidRPr="003673FA">
        <w:rPr>
          <w:b/>
          <w:szCs w:val="24"/>
        </w:rPr>
        <w:t xml:space="preserve"> </w:t>
      </w:r>
      <w:r w:rsidR="001D1695" w:rsidRPr="003673FA">
        <w:rPr>
          <w:b/>
          <w:szCs w:val="24"/>
        </w:rPr>
        <w:t xml:space="preserve">assessment </w:t>
      </w:r>
      <w:r w:rsidR="007D228C" w:rsidRPr="003673FA">
        <w:rPr>
          <w:b/>
          <w:szCs w:val="24"/>
        </w:rPr>
        <w:t>processes and announcements</w:t>
      </w:r>
      <w:r w:rsidR="001062D5" w:rsidRPr="003673FA">
        <w:rPr>
          <w:szCs w:val="24"/>
        </w:rPr>
        <w:t>.</w:t>
      </w:r>
    </w:p>
    <w:p w14:paraId="17B84A47" w14:textId="6476A572" w:rsidR="001062D5" w:rsidRPr="003673FA" w:rsidRDefault="001062D5" w:rsidP="00E56A37">
      <w:pPr>
        <w:spacing w:line="259" w:lineRule="auto"/>
        <w:rPr>
          <w:szCs w:val="24"/>
        </w:rPr>
      </w:pPr>
    </w:p>
    <w:p w14:paraId="36B6033F" w14:textId="5D7CA5C2" w:rsidR="001062D5" w:rsidRPr="003673FA" w:rsidRDefault="000A18A5" w:rsidP="00E56A37">
      <w:pPr>
        <w:spacing w:line="259" w:lineRule="auto"/>
        <w:rPr>
          <w:szCs w:val="24"/>
        </w:rPr>
      </w:pPr>
      <w:r w:rsidRPr="003673FA">
        <w:rPr>
          <w:szCs w:val="24"/>
        </w:rPr>
        <w:t>T</w:t>
      </w:r>
      <w:r w:rsidR="001062D5" w:rsidRPr="003673FA">
        <w:rPr>
          <w:szCs w:val="24"/>
        </w:rPr>
        <w:t xml:space="preserve">he introduction of three or four assessment rounds per year would </w:t>
      </w:r>
      <w:r w:rsidRPr="003673FA">
        <w:rPr>
          <w:szCs w:val="24"/>
        </w:rPr>
        <w:t xml:space="preserve">support this recommendation by enabling </w:t>
      </w:r>
      <w:r w:rsidR="001062D5" w:rsidRPr="003673FA">
        <w:rPr>
          <w:szCs w:val="24"/>
        </w:rPr>
        <w:t xml:space="preserve">the ARC to </w:t>
      </w:r>
      <w:r w:rsidR="007D228C" w:rsidRPr="003673FA">
        <w:rPr>
          <w:szCs w:val="24"/>
        </w:rPr>
        <w:t xml:space="preserve">manage </w:t>
      </w:r>
      <w:r w:rsidR="001062D5" w:rsidRPr="003673FA">
        <w:rPr>
          <w:szCs w:val="24"/>
        </w:rPr>
        <w:t>and communicate the following information:</w:t>
      </w:r>
    </w:p>
    <w:p w14:paraId="6BF5C2D4" w14:textId="0A1623CC" w:rsidR="001062D5" w:rsidRPr="003673FA" w:rsidRDefault="001062D5" w:rsidP="001062D5">
      <w:pPr>
        <w:pStyle w:val="ListParagraph"/>
        <w:numPr>
          <w:ilvl w:val="0"/>
          <w:numId w:val="28"/>
        </w:numPr>
        <w:spacing w:line="259" w:lineRule="auto"/>
        <w:rPr>
          <w:color w:val="auto"/>
          <w:szCs w:val="24"/>
        </w:rPr>
      </w:pPr>
      <w:r w:rsidRPr="003673FA">
        <w:rPr>
          <w:color w:val="auto"/>
          <w:szCs w:val="24"/>
        </w:rPr>
        <w:t>expected timeframes for the different stages of the assessment process for each assessment round—published on the ARC website</w:t>
      </w:r>
    </w:p>
    <w:p w14:paraId="3503CC2D" w14:textId="017789B3" w:rsidR="001062D5" w:rsidRPr="003673FA" w:rsidRDefault="001062D5" w:rsidP="001062D5">
      <w:pPr>
        <w:pStyle w:val="ListParagraph"/>
        <w:numPr>
          <w:ilvl w:val="0"/>
          <w:numId w:val="28"/>
        </w:numPr>
        <w:spacing w:line="259" w:lineRule="auto"/>
        <w:rPr>
          <w:color w:val="auto"/>
          <w:szCs w:val="24"/>
        </w:rPr>
      </w:pPr>
      <w:r w:rsidRPr="003673FA">
        <w:rPr>
          <w:color w:val="auto"/>
          <w:szCs w:val="24"/>
        </w:rPr>
        <w:t>a selection report for each completed assessment round—published on the ARC website</w:t>
      </w:r>
    </w:p>
    <w:p w14:paraId="61EA4C8D" w14:textId="79CC242C" w:rsidR="001062D5" w:rsidRPr="003673FA" w:rsidRDefault="001062D5" w:rsidP="001062D5">
      <w:pPr>
        <w:pStyle w:val="ListParagraph"/>
        <w:numPr>
          <w:ilvl w:val="0"/>
          <w:numId w:val="28"/>
        </w:numPr>
        <w:spacing w:line="259" w:lineRule="auto"/>
        <w:rPr>
          <w:color w:val="auto"/>
          <w:szCs w:val="24"/>
        </w:rPr>
      </w:pPr>
      <w:proofErr w:type="gramStart"/>
      <w:r w:rsidRPr="003673FA">
        <w:rPr>
          <w:color w:val="auto"/>
          <w:szCs w:val="24"/>
        </w:rPr>
        <w:t>provision</w:t>
      </w:r>
      <w:proofErr w:type="gramEnd"/>
      <w:r w:rsidRPr="003673FA">
        <w:rPr>
          <w:color w:val="auto"/>
          <w:szCs w:val="24"/>
        </w:rPr>
        <w:t xml:space="preserve"> of feedback on the scoring bands in which unsuccessful applications fell (</w:t>
      </w:r>
      <w:r w:rsidR="007D228C" w:rsidRPr="003673FA">
        <w:rPr>
          <w:color w:val="auto"/>
          <w:szCs w:val="24"/>
        </w:rPr>
        <w:t>within the relevant</w:t>
      </w:r>
      <w:r w:rsidRPr="003673FA">
        <w:rPr>
          <w:color w:val="auto"/>
          <w:szCs w:val="24"/>
        </w:rPr>
        <w:t xml:space="preserve"> assessment round)</w:t>
      </w:r>
      <w:r w:rsidRPr="003673FA">
        <w:rPr>
          <w:color w:val="auto"/>
        </w:rPr>
        <w:t>—available to applicants through RMS.</w:t>
      </w:r>
    </w:p>
    <w:p w14:paraId="59BCC2F8" w14:textId="77777777" w:rsidR="001D1695" w:rsidRPr="003673FA" w:rsidRDefault="001D1695" w:rsidP="00E56A37">
      <w:pPr>
        <w:spacing w:line="259" w:lineRule="auto"/>
        <w:rPr>
          <w:szCs w:val="24"/>
        </w:rPr>
      </w:pPr>
    </w:p>
    <w:p w14:paraId="5152E4A7" w14:textId="70811667" w:rsidR="006E729F" w:rsidRPr="003673FA" w:rsidRDefault="001062D5" w:rsidP="00E56A37">
      <w:pPr>
        <w:spacing w:line="259" w:lineRule="auto"/>
        <w:rPr>
          <w:szCs w:val="24"/>
        </w:rPr>
      </w:pPr>
      <w:r w:rsidRPr="003673FA">
        <w:rPr>
          <w:szCs w:val="24"/>
        </w:rPr>
        <w:t xml:space="preserve">The provision of this additional information </w:t>
      </w:r>
      <w:r w:rsidR="000A18A5" w:rsidRPr="003673FA">
        <w:rPr>
          <w:szCs w:val="24"/>
        </w:rPr>
        <w:t>will</w:t>
      </w:r>
      <w:r w:rsidRPr="003673FA">
        <w:rPr>
          <w:szCs w:val="24"/>
        </w:rPr>
        <w:t xml:space="preserve"> </w:t>
      </w:r>
      <w:r w:rsidR="001D1695" w:rsidRPr="003673FA">
        <w:rPr>
          <w:szCs w:val="24"/>
        </w:rPr>
        <w:t>support improved planning</w:t>
      </w:r>
      <w:r w:rsidR="007D228C" w:rsidRPr="003673FA">
        <w:rPr>
          <w:szCs w:val="24"/>
        </w:rPr>
        <w:t xml:space="preserve">, </w:t>
      </w:r>
      <w:r w:rsidR="001D1695" w:rsidRPr="003673FA">
        <w:rPr>
          <w:szCs w:val="24"/>
        </w:rPr>
        <w:t xml:space="preserve">workload management </w:t>
      </w:r>
      <w:r w:rsidR="007D228C" w:rsidRPr="003673FA">
        <w:rPr>
          <w:szCs w:val="24"/>
        </w:rPr>
        <w:t xml:space="preserve">and prioritisation </w:t>
      </w:r>
      <w:r w:rsidR="001D1695" w:rsidRPr="003673FA">
        <w:rPr>
          <w:szCs w:val="24"/>
        </w:rPr>
        <w:t>for universities, researchers and partner organisations</w:t>
      </w:r>
      <w:r w:rsidR="00516B70" w:rsidRPr="003673FA">
        <w:rPr>
          <w:szCs w:val="24"/>
        </w:rPr>
        <w:t xml:space="preserve"> (finding 22</w:t>
      </w:r>
      <w:r w:rsidR="001D1695" w:rsidRPr="003673FA">
        <w:rPr>
          <w:szCs w:val="24"/>
        </w:rPr>
        <w:t>)</w:t>
      </w:r>
      <w:r w:rsidRPr="003673FA">
        <w:rPr>
          <w:szCs w:val="24"/>
        </w:rPr>
        <w:t>.</w:t>
      </w:r>
    </w:p>
    <w:p w14:paraId="52E2CC31" w14:textId="77777777" w:rsidR="001D1695" w:rsidRPr="003673FA" w:rsidRDefault="001D1695" w:rsidP="00E56A37">
      <w:pPr>
        <w:spacing w:line="259" w:lineRule="auto"/>
        <w:rPr>
          <w:szCs w:val="24"/>
        </w:rPr>
      </w:pPr>
    </w:p>
    <w:p w14:paraId="47F33455" w14:textId="0128FF99" w:rsidR="000D623C" w:rsidRPr="003673FA" w:rsidRDefault="000D623C" w:rsidP="000D623C">
      <w:pPr>
        <w:pStyle w:val="Heading2"/>
      </w:pPr>
      <w:bookmarkStart w:id="86" w:name="_Toc6218387"/>
      <w:r w:rsidRPr="003673FA">
        <w:t>Recommendation 3: Funding commencement</w:t>
      </w:r>
      <w:bookmarkEnd w:id="86"/>
    </w:p>
    <w:p w14:paraId="19680769" w14:textId="1992C414" w:rsidR="000D623C" w:rsidRPr="003673FA" w:rsidRDefault="000D623C" w:rsidP="00E56A37">
      <w:pPr>
        <w:spacing w:line="259" w:lineRule="auto"/>
        <w:rPr>
          <w:szCs w:val="24"/>
        </w:rPr>
      </w:pPr>
    </w:p>
    <w:p w14:paraId="2E78FEB8" w14:textId="50708AA3" w:rsidR="000D623C" w:rsidRPr="003673FA" w:rsidRDefault="001D1695" w:rsidP="00E56A37">
      <w:pPr>
        <w:spacing w:line="259" w:lineRule="auto"/>
        <w:rPr>
          <w:szCs w:val="24"/>
        </w:rPr>
      </w:pPr>
      <w:r w:rsidRPr="003673FA">
        <w:rPr>
          <w:szCs w:val="24"/>
        </w:rPr>
        <w:t xml:space="preserve">To better align </w:t>
      </w:r>
      <w:r w:rsidR="00D42574" w:rsidRPr="003673FA">
        <w:rPr>
          <w:szCs w:val="24"/>
        </w:rPr>
        <w:t xml:space="preserve">grant </w:t>
      </w:r>
      <w:r w:rsidRPr="003673FA">
        <w:rPr>
          <w:szCs w:val="24"/>
        </w:rPr>
        <w:t xml:space="preserve">announcements and the commencement of ARC funding for successful projects, the ARC should </w:t>
      </w:r>
      <w:r w:rsidR="00C92D96" w:rsidRPr="003673FA">
        <w:rPr>
          <w:b/>
          <w:szCs w:val="24"/>
        </w:rPr>
        <w:t>modify</w:t>
      </w:r>
      <w:r w:rsidRPr="003673FA">
        <w:rPr>
          <w:b/>
          <w:szCs w:val="24"/>
        </w:rPr>
        <w:t xml:space="preserve"> ARC financial systems to allow for </w:t>
      </w:r>
      <w:r w:rsidR="00395B08" w:rsidRPr="003673FA">
        <w:rPr>
          <w:b/>
          <w:szCs w:val="24"/>
        </w:rPr>
        <w:t>more frequent</w:t>
      </w:r>
      <w:r w:rsidRPr="003673FA">
        <w:rPr>
          <w:b/>
          <w:szCs w:val="24"/>
        </w:rPr>
        <w:t xml:space="preserve"> release</w:t>
      </w:r>
      <w:r w:rsidR="00395B08" w:rsidRPr="003673FA">
        <w:rPr>
          <w:b/>
          <w:szCs w:val="24"/>
        </w:rPr>
        <w:t>s</w:t>
      </w:r>
      <w:r w:rsidRPr="003673FA">
        <w:rPr>
          <w:b/>
          <w:szCs w:val="24"/>
        </w:rPr>
        <w:t xml:space="preserve"> of initial funding </w:t>
      </w:r>
      <w:r w:rsidR="00D42574" w:rsidRPr="003673FA">
        <w:rPr>
          <w:szCs w:val="24"/>
        </w:rPr>
        <w:t>(finding 1</w:t>
      </w:r>
      <w:r w:rsidR="00516B70" w:rsidRPr="003673FA">
        <w:rPr>
          <w:szCs w:val="24"/>
        </w:rPr>
        <w:t>6</w:t>
      </w:r>
      <w:r w:rsidR="00D42574" w:rsidRPr="003673FA">
        <w:rPr>
          <w:szCs w:val="24"/>
        </w:rPr>
        <w:t xml:space="preserve">). </w:t>
      </w:r>
    </w:p>
    <w:p w14:paraId="48DC7E5E" w14:textId="77777777" w:rsidR="0002574F" w:rsidRPr="003673FA" w:rsidRDefault="0002574F" w:rsidP="00E56A37">
      <w:pPr>
        <w:spacing w:line="259" w:lineRule="auto"/>
        <w:rPr>
          <w:szCs w:val="24"/>
        </w:rPr>
      </w:pPr>
    </w:p>
    <w:p w14:paraId="66C2AE29" w14:textId="1D4DF064" w:rsidR="00D42574" w:rsidRPr="003673FA" w:rsidRDefault="0002574F" w:rsidP="00E56A37">
      <w:pPr>
        <w:spacing w:line="259" w:lineRule="auto"/>
        <w:rPr>
          <w:szCs w:val="24"/>
        </w:rPr>
      </w:pPr>
      <w:r w:rsidRPr="003673FA">
        <w:rPr>
          <w:szCs w:val="24"/>
        </w:rPr>
        <w:t>It may be possible to coordinate</w:t>
      </w:r>
      <w:r w:rsidR="00D42574" w:rsidRPr="003673FA">
        <w:rPr>
          <w:szCs w:val="24"/>
        </w:rPr>
        <w:t xml:space="preserve"> these </w:t>
      </w:r>
      <w:r w:rsidR="007A27BF">
        <w:rPr>
          <w:szCs w:val="24"/>
        </w:rPr>
        <w:t>release</w:t>
      </w:r>
      <w:r w:rsidR="00D42574" w:rsidRPr="003673FA">
        <w:rPr>
          <w:szCs w:val="24"/>
        </w:rPr>
        <w:t>s with the expected timeframes for assessment and announcement of grants</w:t>
      </w:r>
      <w:r w:rsidRPr="003673FA">
        <w:rPr>
          <w:szCs w:val="24"/>
        </w:rPr>
        <w:t xml:space="preserve">. </w:t>
      </w:r>
      <w:r w:rsidR="000A18A5" w:rsidRPr="003673FA">
        <w:rPr>
          <w:szCs w:val="24"/>
        </w:rPr>
        <w:t>T</w:t>
      </w:r>
      <w:r w:rsidRPr="003673FA">
        <w:rPr>
          <w:szCs w:val="24"/>
        </w:rPr>
        <w:t>his would help to</w:t>
      </w:r>
      <w:r w:rsidR="00D42574" w:rsidRPr="003673FA">
        <w:rPr>
          <w:szCs w:val="24"/>
        </w:rPr>
        <w:t xml:space="preserve"> address stakeholder concerns about potential delays in commencing projects.</w:t>
      </w:r>
    </w:p>
    <w:p w14:paraId="4AB01731" w14:textId="77777777" w:rsidR="00D42574" w:rsidRPr="003673FA" w:rsidRDefault="00D42574" w:rsidP="00E56A37">
      <w:pPr>
        <w:spacing w:line="259" w:lineRule="auto"/>
        <w:rPr>
          <w:szCs w:val="24"/>
        </w:rPr>
      </w:pPr>
    </w:p>
    <w:p w14:paraId="248FDA56" w14:textId="62BD6D88" w:rsidR="000D623C" w:rsidRPr="003673FA" w:rsidRDefault="000D623C" w:rsidP="000D623C">
      <w:pPr>
        <w:pStyle w:val="Heading2"/>
      </w:pPr>
      <w:bookmarkStart w:id="87" w:name="_Toc6218388"/>
      <w:r w:rsidRPr="003673FA">
        <w:t>Recommendation 4: Guidance to SAC members</w:t>
      </w:r>
      <w:bookmarkEnd w:id="87"/>
    </w:p>
    <w:p w14:paraId="50FA09FF" w14:textId="5571B87F" w:rsidR="00E56A37" w:rsidRPr="003673FA" w:rsidRDefault="00E56A37" w:rsidP="00E56A37">
      <w:pPr>
        <w:spacing w:line="259" w:lineRule="auto"/>
        <w:rPr>
          <w:szCs w:val="24"/>
        </w:rPr>
      </w:pPr>
    </w:p>
    <w:p w14:paraId="06BFBB54" w14:textId="49444661" w:rsidR="0002574F" w:rsidRPr="003673FA" w:rsidRDefault="00C92D96" w:rsidP="00F33B6A">
      <w:pPr>
        <w:spacing w:line="259" w:lineRule="auto"/>
        <w:rPr>
          <w:szCs w:val="24"/>
        </w:rPr>
      </w:pPr>
      <w:r w:rsidRPr="003673FA">
        <w:rPr>
          <w:szCs w:val="24"/>
        </w:rPr>
        <w:t>To address the decline in business and industry org</w:t>
      </w:r>
      <w:r w:rsidR="00F33B6A" w:rsidRPr="003673FA">
        <w:rPr>
          <w:szCs w:val="24"/>
        </w:rPr>
        <w:t>anisation participation</w:t>
      </w:r>
      <w:r w:rsidRPr="003673FA">
        <w:rPr>
          <w:szCs w:val="24"/>
        </w:rPr>
        <w:t xml:space="preserve"> as a proportion of all partner organisations </w:t>
      </w:r>
      <w:r w:rsidR="00F33B6A" w:rsidRPr="003673FA">
        <w:rPr>
          <w:szCs w:val="24"/>
        </w:rPr>
        <w:t xml:space="preserve">under the continuous process (finding 3), the ARC should revisit the Watt Review recommendation </w:t>
      </w:r>
      <w:r w:rsidR="008E405E" w:rsidRPr="003673FA">
        <w:rPr>
          <w:szCs w:val="24"/>
        </w:rPr>
        <w:t xml:space="preserve">to </w:t>
      </w:r>
      <w:r w:rsidR="008E405E" w:rsidRPr="003673FA">
        <w:rPr>
          <w:b/>
          <w:szCs w:val="24"/>
        </w:rPr>
        <w:t>provide</w:t>
      </w:r>
      <w:r w:rsidR="00F33B6A" w:rsidRPr="003673FA">
        <w:rPr>
          <w:b/>
          <w:szCs w:val="24"/>
        </w:rPr>
        <w:t xml:space="preserve"> guidance to Linkage Projects SACs to ensure high quality </w:t>
      </w:r>
      <w:r w:rsidR="0054698B" w:rsidRPr="003673FA">
        <w:rPr>
          <w:b/>
          <w:szCs w:val="24"/>
        </w:rPr>
        <w:t>applications</w:t>
      </w:r>
      <w:r w:rsidR="00F33B6A" w:rsidRPr="003673FA">
        <w:rPr>
          <w:b/>
          <w:szCs w:val="24"/>
        </w:rPr>
        <w:t xml:space="preserve"> that involve business partner organisations are given greater priority</w:t>
      </w:r>
      <w:r w:rsidR="00F33B6A" w:rsidRPr="003673FA">
        <w:rPr>
          <w:szCs w:val="24"/>
        </w:rPr>
        <w:t>.</w:t>
      </w:r>
    </w:p>
    <w:p w14:paraId="385B2D0E" w14:textId="477CAC43" w:rsidR="00E56A37" w:rsidRPr="003673FA" w:rsidRDefault="00E56A37" w:rsidP="00E56A37">
      <w:pPr>
        <w:spacing w:line="259" w:lineRule="auto"/>
        <w:rPr>
          <w:szCs w:val="24"/>
        </w:rPr>
      </w:pPr>
    </w:p>
    <w:p w14:paraId="14E96E91" w14:textId="161C1906" w:rsidR="00F33B6A" w:rsidRPr="003673FA" w:rsidRDefault="004A6741" w:rsidP="00F33B6A">
      <w:pPr>
        <w:spacing w:line="259" w:lineRule="auto"/>
        <w:rPr>
          <w:szCs w:val="24"/>
        </w:rPr>
      </w:pPr>
      <w:r w:rsidRPr="003673FA">
        <w:rPr>
          <w:szCs w:val="24"/>
        </w:rPr>
        <w:t xml:space="preserve">Increasing business and industry organisations’ collaboration (and investment) in research was a specific focus of government under NISA, and an intended outcome of the continuous process. </w:t>
      </w:r>
      <w:r w:rsidR="00F03F96" w:rsidRPr="003673FA">
        <w:rPr>
          <w:szCs w:val="24"/>
        </w:rPr>
        <w:t xml:space="preserve">The evaluation notes that </w:t>
      </w:r>
      <w:r w:rsidR="006E729F" w:rsidRPr="003673FA">
        <w:rPr>
          <w:szCs w:val="24"/>
        </w:rPr>
        <w:t xml:space="preserve">business and industry organisations have provided the </w:t>
      </w:r>
      <w:r w:rsidR="00F03F96" w:rsidRPr="003673FA">
        <w:rPr>
          <w:szCs w:val="24"/>
        </w:rPr>
        <w:t>largest</w:t>
      </w:r>
      <w:r w:rsidR="006E729F" w:rsidRPr="003673FA">
        <w:rPr>
          <w:szCs w:val="24"/>
        </w:rPr>
        <w:t xml:space="preserve"> proportion of partner contributions under the </w:t>
      </w:r>
      <w:r w:rsidR="00F03F96" w:rsidRPr="003673FA">
        <w:rPr>
          <w:szCs w:val="24"/>
        </w:rPr>
        <w:t>continuous process (finding 6).</w:t>
      </w:r>
    </w:p>
    <w:p w14:paraId="246EA3B9" w14:textId="77777777" w:rsidR="00F33B6A" w:rsidRPr="003673FA" w:rsidRDefault="00F33B6A" w:rsidP="00F33B6A">
      <w:pPr>
        <w:spacing w:line="259" w:lineRule="auto"/>
        <w:rPr>
          <w:szCs w:val="24"/>
        </w:rPr>
      </w:pPr>
    </w:p>
    <w:p w14:paraId="67221B46" w14:textId="2A1A9C50" w:rsidR="000D623C" w:rsidRPr="003673FA" w:rsidRDefault="000D623C" w:rsidP="000D623C">
      <w:pPr>
        <w:pStyle w:val="Heading2"/>
      </w:pPr>
      <w:bookmarkStart w:id="88" w:name="_Toc6218389"/>
      <w:r w:rsidRPr="003673FA">
        <w:lastRenderedPageBreak/>
        <w:t xml:space="preserve">Recommendation </w:t>
      </w:r>
      <w:r w:rsidR="004A5401" w:rsidRPr="003673FA">
        <w:t>5</w:t>
      </w:r>
      <w:r w:rsidRPr="003673FA">
        <w:t xml:space="preserve">: </w:t>
      </w:r>
      <w:r w:rsidR="00D27A76" w:rsidRPr="003673FA">
        <w:t>Data and monitoring</w:t>
      </w:r>
      <w:bookmarkEnd w:id="88"/>
    </w:p>
    <w:p w14:paraId="1FB6AE12" w14:textId="6A040471" w:rsidR="00E56A37" w:rsidRPr="003673FA" w:rsidRDefault="00E56A37" w:rsidP="00E56A37">
      <w:pPr>
        <w:spacing w:line="259" w:lineRule="auto"/>
        <w:rPr>
          <w:szCs w:val="24"/>
        </w:rPr>
      </w:pPr>
    </w:p>
    <w:p w14:paraId="1F896336" w14:textId="0211FDAE" w:rsidR="007D11A9" w:rsidRPr="003673FA" w:rsidRDefault="00950103" w:rsidP="00E56A37">
      <w:pPr>
        <w:spacing w:line="259" w:lineRule="auto"/>
        <w:rPr>
          <w:szCs w:val="24"/>
        </w:rPr>
      </w:pPr>
      <w:r w:rsidRPr="003673FA">
        <w:rPr>
          <w:szCs w:val="24"/>
        </w:rPr>
        <w:t xml:space="preserve">The ARC should </w:t>
      </w:r>
      <w:r w:rsidRPr="003673FA">
        <w:rPr>
          <w:b/>
          <w:szCs w:val="24"/>
        </w:rPr>
        <w:t>consider using metrics provided in this report as benchmarks</w:t>
      </w:r>
      <w:r w:rsidR="007D11A9" w:rsidRPr="003673FA">
        <w:rPr>
          <w:b/>
          <w:szCs w:val="24"/>
        </w:rPr>
        <w:t xml:space="preserve"> to monitor future performance of the continuous process</w:t>
      </w:r>
      <w:r w:rsidR="003D61CA" w:rsidRPr="003673FA">
        <w:rPr>
          <w:b/>
          <w:szCs w:val="24"/>
        </w:rPr>
        <w:t xml:space="preserve"> and inform improvements</w:t>
      </w:r>
      <w:r w:rsidR="003D61CA" w:rsidRPr="003673FA">
        <w:rPr>
          <w:szCs w:val="24"/>
        </w:rPr>
        <w:t xml:space="preserve">. </w:t>
      </w:r>
    </w:p>
    <w:p w14:paraId="31C2D00E" w14:textId="77777777" w:rsidR="007D11A9" w:rsidRPr="003673FA" w:rsidRDefault="007D11A9" w:rsidP="00E56A37">
      <w:pPr>
        <w:spacing w:line="259" w:lineRule="auto"/>
        <w:rPr>
          <w:szCs w:val="24"/>
        </w:rPr>
      </w:pPr>
    </w:p>
    <w:p w14:paraId="372B4E59" w14:textId="4E2B021C" w:rsidR="00E56A37" w:rsidRPr="003673FA" w:rsidRDefault="007D11A9" w:rsidP="00E56A37">
      <w:pPr>
        <w:spacing w:line="259" w:lineRule="auto"/>
        <w:rPr>
          <w:szCs w:val="24"/>
        </w:rPr>
      </w:pPr>
      <w:r w:rsidRPr="003673FA">
        <w:rPr>
          <w:szCs w:val="24"/>
        </w:rPr>
        <w:t>Additional insights may also be gained from revisiting areas where sufficient data and information were not available to identify clear trends or draw firm conclusions</w:t>
      </w:r>
      <w:r w:rsidR="00BF0600" w:rsidRPr="003673FA">
        <w:rPr>
          <w:szCs w:val="24"/>
        </w:rPr>
        <w:t xml:space="preserve"> at the time of this report’s preparation</w:t>
      </w:r>
      <w:r w:rsidRPr="003673FA">
        <w:rPr>
          <w:szCs w:val="24"/>
        </w:rPr>
        <w:t xml:space="preserve">. </w:t>
      </w:r>
      <w:r w:rsidR="00074B2C" w:rsidRPr="003673FA">
        <w:rPr>
          <w:szCs w:val="24"/>
        </w:rPr>
        <w:t xml:space="preserve">The completion of the 2018 continuous round will offer numerous opportunities to build upon this report’s analysis. </w:t>
      </w:r>
      <w:r w:rsidR="00956F0F" w:rsidRPr="003673FA">
        <w:rPr>
          <w:szCs w:val="24"/>
        </w:rPr>
        <w:t>Among others, areas where further research and analysis may be useful include</w:t>
      </w:r>
      <w:r w:rsidRPr="003673FA">
        <w:rPr>
          <w:szCs w:val="24"/>
        </w:rPr>
        <w:t>:</w:t>
      </w:r>
    </w:p>
    <w:p w14:paraId="5ED860E7" w14:textId="53B293A4" w:rsidR="007D11A9" w:rsidRPr="003673FA" w:rsidRDefault="007D11A9" w:rsidP="007D11A9">
      <w:pPr>
        <w:pStyle w:val="ListParagraph"/>
        <w:numPr>
          <w:ilvl w:val="0"/>
          <w:numId w:val="29"/>
        </w:numPr>
        <w:spacing w:line="259" w:lineRule="auto"/>
        <w:rPr>
          <w:color w:val="auto"/>
          <w:szCs w:val="24"/>
        </w:rPr>
      </w:pPr>
      <w:r w:rsidRPr="003673FA">
        <w:rPr>
          <w:color w:val="auto"/>
          <w:szCs w:val="24"/>
        </w:rPr>
        <w:t>the average value of partner organisation contributions per project (finding 5)</w:t>
      </w:r>
    </w:p>
    <w:p w14:paraId="5B688A6D" w14:textId="6311B974" w:rsidR="007D11A9" w:rsidRPr="003673FA" w:rsidRDefault="007D11A9" w:rsidP="007D11A9">
      <w:pPr>
        <w:pStyle w:val="ListParagraph"/>
        <w:numPr>
          <w:ilvl w:val="0"/>
          <w:numId w:val="29"/>
        </w:numPr>
        <w:spacing w:line="259" w:lineRule="auto"/>
        <w:rPr>
          <w:color w:val="auto"/>
          <w:szCs w:val="24"/>
        </w:rPr>
      </w:pPr>
      <w:r w:rsidRPr="003673FA">
        <w:rPr>
          <w:color w:val="auto"/>
          <w:szCs w:val="24"/>
        </w:rPr>
        <w:t>partner organisation involvement by discipline (finding 7)</w:t>
      </w:r>
    </w:p>
    <w:p w14:paraId="3A04703B" w14:textId="660DAD63" w:rsidR="007D11A9" w:rsidRPr="003673FA" w:rsidRDefault="00BF0600" w:rsidP="007D11A9">
      <w:pPr>
        <w:pStyle w:val="ListParagraph"/>
        <w:numPr>
          <w:ilvl w:val="0"/>
          <w:numId w:val="29"/>
        </w:numPr>
        <w:spacing w:line="259" w:lineRule="auto"/>
        <w:rPr>
          <w:color w:val="auto"/>
          <w:szCs w:val="24"/>
        </w:rPr>
      </w:pPr>
      <w:r w:rsidRPr="003673FA">
        <w:rPr>
          <w:color w:val="auto"/>
          <w:szCs w:val="24"/>
        </w:rPr>
        <w:t xml:space="preserve">total funded projects, </w:t>
      </w:r>
      <w:r w:rsidR="007D11A9" w:rsidRPr="003673FA">
        <w:rPr>
          <w:color w:val="auto"/>
          <w:szCs w:val="24"/>
        </w:rPr>
        <w:t>success rates and return rates (finding 11)</w:t>
      </w:r>
    </w:p>
    <w:p w14:paraId="069F90CE" w14:textId="1ADF9028" w:rsidR="00074B2C" w:rsidRPr="003673FA" w:rsidRDefault="00074B2C" w:rsidP="00074B2C">
      <w:pPr>
        <w:pStyle w:val="ListParagraph"/>
        <w:numPr>
          <w:ilvl w:val="0"/>
          <w:numId w:val="29"/>
        </w:numPr>
        <w:spacing w:line="259" w:lineRule="auto"/>
        <w:rPr>
          <w:color w:val="auto"/>
          <w:szCs w:val="24"/>
        </w:rPr>
      </w:pPr>
      <w:r w:rsidRPr="003673FA">
        <w:rPr>
          <w:color w:val="auto"/>
          <w:szCs w:val="24"/>
        </w:rPr>
        <w:t>analysis of SAC member participation in meetings (finding 1</w:t>
      </w:r>
      <w:r w:rsidR="00DE2443" w:rsidRPr="003673FA">
        <w:rPr>
          <w:color w:val="auto"/>
          <w:szCs w:val="24"/>
        </w:rPr>
        <w:t>4</w:t>
      </w:r>
      <w:r w:rsidRPr="003673FA">
        <w:rPr>
          <w:color w:val="auto"/>
          <w:szCs w:val="24"/>
        </w:rPr>
        <w:t>)</w:t>
      </w:r>
    </w:p>
    <w:p w14:paraId="35C19578" w14:textId="40042CE0" w:rsidR="00074B2C" w:rsidRPr="003673FA" w:rsidRDefault="00074B2C" w:rsidP="007D11A9">
      <w:pPr>
        <w:pStyle w:val="ListParagraph"/>
        <w:numPr>
          <w:ilvl w:val="0"/>
          <w:numId w:val="29"/>
        </w:numPr>
        <w:spacing w:line="259" w:lineRule="auto"/>
        <w:rPr>
          <w:color w:val="auto"/>
          <w:szCs w:val="24"/>
        </w:rPr>
      </w:pPr>
      <w:proofErr w:type="gramStart"/>
      <w:r w:rsidRPr="003673FA">
        <w:rPr>
          <w:color w:val="auto"/>
          <w:szCs w:val="24"/>
        </w:rPr>
        <w:t>partner</w:t>
      </w:r>
      <w:proofErr w:type="gramEnd"/>
      <w:r w:rsidRPr="003673FA">
        <w:rPr>
          <w:color w:val="auto"/>
          <w:szCs w:val="24"/>
        </w:rPr>
        <w:t xml:space="preserve"> organisations entering new collaborations (finding 2</w:t>
      </w:r>
      <w:r w:rsidR="00516B70" w:rsidRPr="003673FA">
        <w:rPr>
          <w:color w:val="auto"/>
          <w:szCs w:val="24"/>
        </w:rPr>
        <w:t>0</w:t>
      </w:r>
      <w:r w:rsidRPr="003673FA">
        <w:rPr>
          <w:color w:val="auto"/>
          <w:szCs w:val="24"/>
        </w:rPr>
        <w:t>).</w:t>
      </w:r>
    </w:p>
    <w:p w14:paraId="44F242A0" w14:textId="60090561" w:rsidR="00074B2C" w:rsidRPr="003673FA" w:rsidRDefault="00074B2C" w:rsidP="00074B2C">
      <w:pPr>
        <w:spacing w:line="259" w:lineRule="auto"/>
        <w:rPr>
          <w:szCs w:val="24"/>
        </w:rPr>
      </w:pPr>
    </w:p>
    <w:p w14:paraId="5520405D" w14:textId="0578C78A" w:rsidR="00074B2C" w:rsidRPr="003673FA" w:rsidRDefault="00074B2C" w:rsidP="00074B2C">
      <w:pPr>
        <w:spacing w:line="259" w:lineRule="auto"/>
        <w:rPr>
          <w:szCs w:val="24"/>
        </w:rPr>
      </w:pPr>
    </w:p>
    <w:p w14:paraId="058BBAA0" w14:textId="4489B763" w:rsidR="00660D07" w:rsidRPr="003673FA" w:rsidRDefault="00660D07">
      <w:pPr>
        <w:rPr>
          <w:szCs w:val="24"/>
        </w:rPr>
      </w:pPr>
      <w:r w:rsidRPr="003673FA">
        <w:rPr>
          <w:szCs w:val="24"/>
        </w:rPr>
        <w:br w:type="page"/>
      </w:r>
    </w:p>
    <w:p w14:paraId="0255CB58" w14:textId="0881CC1A" w:rsidR="00660D07" w:rsidRPr="003673FA" w:rsidRDefault="00660D07" w:rsidP="00660D07">
      <w:pPr>
        <w:pStyle w:val="Heading1"/>
      </w:pPr>
      <w:bookmarkStart w:id="89" w:name="_Toc6218390"/>
      <w:r w:rsidRPr="003673FA">
        <w:lastRenderedPageBreak/>
        <w:t>Appendix 1</w:t>
      </w:r>
      <w:bookmarkEnd w:id="89"/>
    </w:p>
    <w:p w14:paraId="55037166" w14:textId="77777777" w:rsidR="00660D07" w:rsidRPr="003673FA" w:rsidRDefault="00660D07" w:rsidP="00660D07">
      <w:pPr>
        <w:rPr>
          <w:szCs w:val="24"/>
          <w:lang w:bidi="hi-IN"/>
        </w:rPr>
      </w:pPr>
    </w:p>
    <w:p w14:paraId="5D9976E0" w14:textId="075B4F72" w:rsidR="00660D07" w:rsidRPr="003673FA" w:rsidRDefault="00660D07" w:rsidP="00660D07">
      <w:pPr>
        <w:rPr>
          <w:i/>
          <w:szCs w:val="24"/>
          <w:lang w:bidi="hi-IN"/>
        </w:rPr>
      </w:pPr>
      <w:r w:rsidRPr="003673FA">
        <w:rPr>
          <w:i/>
          <w:szCs w:val="24"/>
          <w:lang w:bidi="hi-IN"/>
        </w:rPr>
        <w:t>From the final report by ACIL Allen Consulting Pty Ltd to the ARC on stakeholder engagement services conducted as an input to the evaluation.</w:t>
      </w:r>
    </w:p>
    <w:p w14:paraId="6372549A" w14:textId="77777777" w:rsidR="00660D07" w:rsidRPr="003673FA" w:rsidRDefault="00660D07" w:rsidP="00660D07">
      <w:pPr>
        <w:rPr>
          <w:szCs w:val="24"/>
          <w:lang w:bidi="hi-IN"/>
        </w:rPr>
      </w:pPr>
    </w:p>
    <w:p w14:paraId="342480FF" w14:textId="77777777" w:rsidR="00660D07" w:rsidRPr="003673FA" w:rsidRDefault="00660D07" w:rsidP="00660D07">
      <w:pPr>
        <w:pStyle w:val="Heading2"/>
        <w:rPr>
          <w:lang w:bidi="hi-IN"/>
        </w:rPr>
      </w:pPr>
      <w:bookmarkStart w:id="90" w:name="_Toc6218391"/>
      <w:r w:rsidRPr="003673FA">
        <w:rPr>
          <w:lang w:bidi="hi-IN"/>
        </w:rPr>
        <w:t>Conclusion and opportunities</w:t>
      </w:r>
      <w:bookmarkEnd w:id="90"/>
    </w:p>
    <w:p w14:paraId="7775836F" w14:textId="77777777" w:rsidR="00660D07" w:rsidRPr="003673FA" w:rsidRDefault="00660D07" w:rsidP="00660D07">
      <w:pPr>
        <w:rPr>
          <w:szCs w:val="24"/>
          <w:lang w:bidi="hi-IN"/>
        </w:rPr>
      </w:pPr>
    </w:p>
    <w:p w14:paraId="7240407E" w14:textId="77777777" w:rsidR="00660D07" w:rsidRPr="003673FA" w:rsidRDefault="00660D07" w:rsidP="00660D07">
      <w:pPr>
        <w:rPr>
          <w:szCs w:val="24"/>
          <w:lang w:bidi="hi-IN"/>
        </w:rPr>
      </w:pPr>
      <w:r w:rsidRPr="003673FA">
        <w:rPr>
          <w:szCs w:val="24"/>
          <w:lang w:bidi="hi-IN"/>
        </w:rPr>
        <w:t xml:space="preserve">There is a diversity of perspectives about the continuous process and its consequences. Stakeholders generally support its intent but have mixed views on whether it has had a positive impact on collaboration and responsiveness to time-critical innovation opportunities, as the Watt Review had intended. </w:t>
      </w:r>
    </w:p>
    <w:p w14:paraId="25F715B0" w14:textId="77777777" w:rsidR="00660D07" w:rsidRPr="003673FA" w:rsidRDefault="00660D07" w:rsidP="00660D07">
      <w:pPr>
        <w:rPr>
          <w:szCs w:val="24"/>
          <w:lang w:bidi="hi-IN"/>
        </w:rPr>
      </w:pPr>
    </w:p>
    <w:p w14:paraId="1307DAC8" w14:textId="77777777" w:rsidR="00660D07" w:rsidRPr="003673FA" w:rsidRDefault="00660D07" w:rsidP="00660D07">
      <w:pPr>
        <w:rPr>
          <w:szCs w:val="24"/>
          <w:lang w:bidi="hi-IN"/>
        </w:rPr>
      </w:pPr>
      <w:r w:rsidRPr="003673FA">
        <w:rPr>
          <w:szCs w:val="24"/>
          <w:lang w:bidi="hi-IN"/>
        </w:rPr>
        <w:t>The perceptions of the stakeholder groups should be considered in the context of two variables: involvement with the process before (and after) the continuous arrangements were introduced, and roles and responsibilities in relation to Linkage Projects applications. Differences and inconsistencies between stakeholders’ responses may be explained by varied exposure to different stages of the application process. For example, a university researcher may perceive the application assessment process as unreasonably long, yet a Detailed Assessor may believe it has improved under the continuous processing arrangements.</w:t>
      </w:r>
    </w:p>
    <w:p w14:paraId="2F60D5F7" w14:textId="77777777" w:rsidR="00660D07" w:rsidRPr="003673FA" w:rsidRDefault="00660D07" w:rsidP="00660D07">
      <w:pPr>
        <w:rPr>
          <w:szCs w:val="24"/>
          <w:lang w:bidi="hi-IN"/>
        </w:rPr>
      </w:pPr>
    </w:p>
    <w:p w14:paraId="30FD3E1F" w14:textId="77777777" w:rsidR="00660D07" w:rsidRPr="003673FA" w:rsidRDefault="00660D07" w:rsidP="00660D07">
      <w:pPr>
        <w:rPr>
          <w:szCs w:val="24"/>
          <w:lang w:bidi="hi-IN"/>
        </w:rPr>
      </w:pPr>
      <w:r w:rsidRPr="003673FA">
        <w:rPr>
          <w:szCs w:val="24"/>
          <w:lang w:bidi="hi-IN"/>
        </w:rPr>
        <w:t xml:space="preserve">While acknowledging these dimensions, the following section highlights the common themes in stakeholders’ responses to the evaluation topics, before concluding with highlights for improvement. </w:t>
      </w:r>
    </w:p>
    <w:p w14:paraId="7E44F97C" w14:textId="77777777" w:rsidR="00660D07" w:rsidRPr="003673FA" w:rsidRDefault="00660D07" w:rsidP="00660D07">
      <w:pPr>
        <w:rPr>
          <w:szCs w:val="24"/>
          <w:lang w:bidi="hi-IN"/>
        </w:rPr>
      </w:pPr>
    </w:p>
    <w:p w14:paraId="3723FC2A" w14:textId="77777777" w:rsidR="00660D07" w:rsidRPr="003673FA" w:rsidRDefault="00660D07" w:rsidP="00660D07">
      <w:pPr>
        <w:pStyle w:val="Heading3"/>
        <w:rPr>
          <w:lang w:bidi="hi-IN"/>
        </w:rPr>
      </w:pPr>
      <w:r w:rsidRPr="003673FA">
        <w:rPr>
          <w:lang w:bidi="hi-IN"/>
        </w:rPr>
        <w:t>Findings on effectiveness</w:t>
      </w:r>
    </w:p>
    <w:p w14:paraId="7A8DA34F" w14:textId="77777777" w:rsidR="00660D07" w:rsidRPr="003673FA" w:rsidRDefault="00660D07" w:rsidP="00660D07">
      <w:pPr>
        <w:rPr>
          <w:szCs w:val="24"/>
          <w:lang w:bidi="hi-IN"/>
        </w:rPr>
      </w:pPr>
    </w:p>
    <w:p w14:paraId="26BEF58D" w14:textId="77777777" w:rsidR="00660D07" w:rsidRPr="003673FA" w:rsidRDefault="00660D07" w:rsidP="00660D07">
      <w:pPr>
        <w:rPr>
          <w:szCs w:val="24"/>
          <w:lang w:bidi="hi-IN"/>
        </w:rPr>
      </w:pPr>
      <w:r w:rsidRPr="003673FA">
        <w:rPr>
          <w:szCs w:val="24"/>
          <w:lang w:bidi="hi-IN"/>
        </w:rPr>
        <w:t>The effectiveness of the continuous process was examined through stakeholders’ perceptions of the impact of the continuous process on the level, responsiveness and diversity of collaboration between universities and partners, including how these opportunities are initiated and managed.</w:t>
      </w:r>
    </w:p>
    <w:p w14:paraId="06DEF2C6" w14:textId="77777777" w:rsidR="00660D07" w:rsidRPr="003673FA" w:rsidRDefault="00660D07" w:rsidP="00660D07">
      <w:pPr>
        <w:rPr>
          <w:szCs w:val="24"/>
          <w:lang w:bidi="hi-IN"/>
        </w:rPr>
      </w:pPr>
    </w:p>
    <w:p w14:paraId="32145386" w14:textId="77777777" w:rsidR="00660D07" w:rsidRPr="003673FA" w:rsidRDefault="00660D07" w:rsidP="00660D07">
      <w:pPr>
        <w:rPr>
          <w:szCs w:val="24"/>
          <w:lang w:bidi="hi-IN"/>
        </w:rPr>
      </w:pPr>
      <w:r w:rsidRPr="003673FA">
        <w:rPr>
          <w:szCs w:val="24"/>
          <w:lang w:bidi="hi-IN"/>
        </w:rPr>
        <w:t xml:space="preserve">On whether the new process increases collaboration, the views are mixed. Detailed Assessors and SAC members do not associate the continuous process with an increase in collaboration and note that the overall number of CIs per application has increased slightly and the number of PIs per application has decreased slightly. PIs, however, believe the continuous process has had a positive impact on the success and diversity of research collaborations. Research Offices note a decline in applications submitted by their institutions since the introduction of the continuous process (mainly due to the lack of a deadline) and believe this has led to a decline in collaboration. </w:t>
      </w:r>
    </w:p>
    <w:p w14:paraId="50D4FAFE" w14:textId="77777777" w:rsidR="00660D07" w:rsidRPr="003673FA" w:rsidRDefault="00660D07" w:rsidP="00660D07">
      <w:pPr>
        <w:rPr>
          <w:szCs w:val="24"/>
          <w:lang w:bidi="hi-IN"/>
        </w:rPr>
      </w:pPr>
    </w:p>
    <w:p w14:paraId="15ADCEC6" w14:textId="77777777" w:rsidR="00660D07" w:rsidRPr="003673FA" w:rsidRDefault="00660D07" w:rsidP="00660D07">
      <w:pPr>
        <w:rPr>
          <w:szCs w:val="24"/>
          <w:lang w:bidi="hi-IN"/>
        </w:rPr>
      </w:pPr>
      <w:r w:rsidRPr="003673FA">
        <w:rPr>
          <w:szCs w:val="24"/>
          <w:lang w:bidi="hi-IN"/>
        </w:rPr>
        <w:t xml:space="preserve">Most CIs reported that they initiate applications by leveraging existing collaborations, whereas PIs reported that they are most commonly approached by a university or researcher (if they were not involved prior to the new process) or leverage an existing collaboration (if they were involved since the new process). PIs and CIs believe that the continuous process has improved the participation and retention of partners and supported them to form collaborations in a timelier manner, while Research Offices argue that collaboration is closely related to the institutional history, specialities and strategic aims and any changes are therefore difficult to attribute to the new ARC processes. </w:t>
      </w:r>
    </w:p>
    <w:p w14:paraId="47E23601" w14:textId="77777777" w:rsidR="00660D07" w:rsidRPr="003673FA" w:rsidRDefault="00660D07" w:rsidP="00660D07">
      <w:pPr>
        <w:rPr>
          <w:szCs w:val="24"/>
          <w:lang w:bidi="hi-IN"/>
        </w:rPr>
      </w:pPr>
    </w:p>
    <w:p w14:paraId="4C3EA76B" w14:textId="77777777" w:rsidR="00660D07" w:rsidRPr="003673FA" w:rsidRDefault="00660D07" w:rsidP="00660D07">
      <w:pPr>
        <w:rPr>
          <w:szCs w:val="24"/>
          <w:lang w:bidi="hi-IN"/>
        </w:rPr>
      </w:pPr>
      <w:r w:rsidRPr="003673FA">
        <w:rPr>
          <w:szCs w:val="24"/>
          <w:lang w:bidi="hi-IN"/>
        </w:rPr>
        <w:t xml:space="preserve">All four surveys show that on average, those not involved with the processes before the introduction of the continuous process perceive the continuous process to be more positive at </w:t>
      </w:r>
      <w:r w:rsidRPr="003673FA">
        <w:rPr>
          <w:szCs w:val="24"/>
          <w:lang w:bidi="hi-IN"/>
        </w:rPr>
        <w:lastRenderedPageBreak/>
        <w:t>achieving most metrics/objectives, than those involved prior to the implementation of the continuous process.</w:t>
      </w:r>
    </w:p>
    <w:p w14:paraId="1AA992A8" w14:textId="77777777" w:rsidR="00660D07" w:rsidRPr="003673FA" w:rsidRDefault="00660D07" w:rsidP="00660D07">
      <w:pPr>
        <w:rPr>
          <w:szCs w:val="24"/>
          <w:lang w:bidi="hi-IN"/>
        </w:rPr>
      </w:pPr>
    </w:p>
    <w:p w14:paraId="766C0840" w14:textId="77777777" w:rsidR="00660D07" w:rsidRPr="003673FA" w:rsidRDefault="00660D07" w:rsidP="00660D07">
      <w:pPr>
        <w:rPr>
          <w:szCs w:val="24"/>
          <w:lang w:bidi="hi-IN"/>
        </w:rPr>
      </w:pPr>
      <w:r w:rsidRPr="003673FA">
        <w:rPr>
          <w:szCs w:val="24"/>
          <w:lang w:bidi="hi-IN"/>
        </w:rPr>
        <w:t>There are mixed views on whether the application processing is timelier. On average, partners believe the continuous process has had a positive or neutral impact on facilitating responsiveness to innovation opportunities and contributing to competitiveness. However, Research Offices do not believe there has been an improvement in the turn-around time, and only a quarter of Detailed Assessors (that have experience with prior arrangements) perceive an increase in the speed of approving applications. In contrast, SAC members largely perceive an increase in the speed of application approvals. Further examination of decision making at different stages of the overall process may help to explain these differences.</w:t>
      </w:r>
    </w:p>
    <w:p w14:paraId="29857B8F" w14:textId="77777777" w:rsidR="00660D07" w:rsidRPr="003673FA" w:rsidRDefault="00660D07" w:rsidP="00660D07">
      <w:pPr>
        <w:rPr>
          <w:szCs w:val="24"/>
          <w:lang w:bidi="hi-IN"/>
        </w:rPr>
      </w:pPr>
    </w:p>
    <w:p w14:paraId="00E1DD9E" w14:textId="77777777" w:rsidR="00660D07" w:rsidRPr="003673FA" w:rsidRDefault="00660D07" w:rsidP="00660D07">
      <w:pPr>
        <w:rPr>
          <w:szCs w:val="24"/>
          <w:lang w:bidi="hi-IN"/>
        </w:rPr>
      </w:pPr>
      <w:r w:rsidRPr="003673FA">
        <w:rPr>
          <w:szCs w:val="24"/>
          <w:lang w:bidi="hi-IN"/>
        </w:rPr>
        <w:t xml:space="preserve">On whether the continuous process has fostered time-critical innovation and collaboration, consistent with expectations arising from the Watt Review, there are mixed views. CIs and PIs believe the continuous process has had a positive impact, although PIs who were involved with the prior arrangements do not. Research Offices on the other hand strongly believe that the decline in application numbers, and decline in turn in collaborations, are inconsistent with the overall aims of the continuous process. </w:t>
      </w:r>
    </w:p>
    <w:p w14:paraId="73FFA081" w14:textId="77777777" w:rsidR="00660D07" w:rsidRPr="003673FA" w:rsidRDefault="00660D07" w:rsidP="00660D07">
      <w:pPr>
        <w:rPr>
          <w:szCs w:val="24"/>
          <w:lang w:bidi="hi-IN"/>
        </w:rPr>
      </w:pPr>
    </w:p>
    <w:p w14:paraId="30BD7837" w14:textId="77777777" w:rsidR="00660D07" w:rsidRPr="003673FA" w:rsidRDefault="00660D07" w:rsidP="00660D07">
      <w:pPr>
        <w:pStyle w:val="Heading3"/>
        <w:rPr>
          <w:lang w:bidi="hi-IN"/>
        </w:rPr>
      </w:pPr>
      <w:r w:rsidRPr="003673FA">
        <w:rPr>
          <w:lang w:bidi="hi-IN"/>
        </w:rPr>
        <w:t>Findings on efficiency</w:t>
      </w:r>
    </w:p>
    <w:p w14:paraId="6FB9A507" w14:textId="77777777" w:rsidR="00660D07" w:rsidRPr="003673FA" w:rsidRDefault="00660D07" w:rsidP="00660D07">
      <w:pPr>
        <w:rPr>
          <w:szCs w:val="24"/>
          <w:lang w:bidi="hi-IN"/>
        </w:rPr>
      </w:pPr>
    </w:p>
    <w:p w14:paraId="3FFCEF96" w14:textId="77777777" w:rsidR="00660D07" w:rsidRPr="003673FA" w:rsidRDefault="00660D07" w:rsidP="00660D07">
      <w:pPr>
        <w:rPr>
          <w:szCs w:val="24"/>
          <w:lang w:bidi="hi-IN"/>
        </w:rPr>
      </w:pPr>
      <w:r w:rsidRPr="003673FA">
        <w:rPr>
          <w:szCs w:val="24"/>
          <w:lang w:bidi="hi-IN"/>
        </w:rPr>
        <w:t xml:space="preserve">The efficiency of the continuous process was assessed in terms of its administration, the resource implications for participants and the positive and negative consequences for stakeholders. </w:t>
      </w:r>
    </w:p>
    <w:p w14:paraId="658012A6" w14:textId="77777777" w:rsidR="00660D07" w:rsidRPr="003673FA" w:rsidRDefault="00660D07" w:rsidP="00660D07">
      <w:pPr>
        <w:rPr>
          <w:szCs w:val="24"/>
          <w:lang w:bidi="hi-IN"/>
        </w:rPr>
      </w:pPr>
    </w:p>
    <w:p w14:paraId="7D585D3E" w14:textId="77777777" w:rsidR="00660D07" w:rsidRPr="003673FA" w:rsidRDefault="00660D07" w:rsidP="00660D07">
      <w:pPr>
        <w:rPr>
          <w:szCs w:val="24"/>
          <w:lang w:bidi="hi-IN"/>
        </w:rPr>
      </w:pPr>
      <w:r w:rsidRPr="003673FA">
        <w:rPr>
          <w:szCs w:val="24"/>
          <w:lang w:bidi="hi-IN"/>
        </w:rPr>
        <w:t xml:space="preserve">Reactions from stakeholders involved in the administration of the process, namely Research Offices and ARC officers, support the continuous process in principle but note that it has generated administrative challenges, including administration throughout the year rather than at established and predictable times. Perceptions of the implementation of the continuous process are positive, however it is noted that the quality of feedback has declined, thereby making it more difficult for stakeholders to decide whether to invest in reapplying. </w:t>
      </w:r>
    </w:p>
    <w:p w14:paraId="41FE05CA" w14:textId="77777777" w:rsidR="00660D07" w:rsidRPr="003673FA" w:rsidRDefault="00660D07" w:rsidP="00660D07">
      <w:pPr>
        <w:rPr>
          <w:szCs w:val="24"/>
          <w:lang w:bidi="hi-IN"/>
        </w:rPr>
      </w:pPr>
    </w:p>
    <w:p w14:paraId="4930F05F" w14:textId="77777777" w:rsidR="00660D07" w:rsidRPr="003673FA" w:rsidRDefault="00660D07" w:rsidP="00660D07">
      <w:pPr>
        <w:rPr>
          <w:szCs w:val="24"/>
          <w:lang w:bidi="hi-IN"/>
        </w:rPr>
      </w:pPr>
      <w:r w:rsidRPr="003673FA">
        <w:rPr>
          <w:szCs w:val="24"/>
          <w:lang w:bidi="hi-IN"/>
        </w:rPr>
        <w:t xml:space="preserve">The continuous process has not generated additional financial costs. However, stakeholders noted that it has redirected work and is associated therefore with the cost of additional time, described by some as time spent developing CI-PI relationships and encouraging and ‘chasing’ CIs to submit applications. For most, this is an additional burden, although some note that it has led to better relationships with partners and more considered and possibly higher quality applications. The burden on the ARC in managing the assessment processes throughout the year, despite the decline in overall application numbers, is also considerable. </w:t>
      </w:r>
    </w:p>
    <w:p w14:paraId="75824C1E" w14:textId="77777777" w:rsidR="00660D07" w:rsidRPr="003673FA" w:rsidRDefault="00660D07" w:rsidP="00660D07">
      <w:pPr>
        <w:rPr>
          <w:szCs w:val="24"/>
          <w:lang w:bidi="hi-IN"/>
        </w:rPr>
      </w:pPr>
    </w:p>
    <w:p w14:paraId="22AF1269" w14:textId="77777777" w:rsidR="00660D07" w:rsidRPr="003673FA" w:rsidRDefault="00660D07" w:rsidP="00660D07">
      <w:pPr>
        <w:rPr>
          <w:szCs w:val="24"/>
          <w:lang w:bidi="hi-IN"/>
        </w:rPr>
      </w:pPr>
      <w:r w:rsidRPr="003673FA">
        <w:rPr>
          <w:szCs w:val="24"/>
          <w:lang w:bidi="hi-IN"/>
        </w:rPr>
        <w:t xml:space="preserve">The positive consequences of the continuous process are perceived to be greater flexibility for CIs and PIs to manage their workload, and more responsive and timely engagement with industry because there are no time pressures, as reported by Research Offices and CIs. Conversely, while stakeholders noted fewer negative consequences, those cited are significant to the reputation of Linkage Program. They include a decline in the number of applications (all stakeholders), processing of applications taking too long (Research Offices, CIs and PIs), difficulty benchmarking relative quality during assessment (Detailed Assessors and SAC members), a lack of quality feedback (Research Offices, CIs and PIs) and the need to adjust internal processes to accommodate the more fluid (less structured) processing arrangements (all stakeholders). While CIs perceive that PIs were more likely to be retained, engaged and participate in Linkage Projects applications as a result of the continuous process, it was also noted that applicants increasingly look to other sources of funding if they have a time-critical opportunity to pursue. </w:t>
      </w:r>
    </w:p>
    <w:p w14:paraId="31621532" w14:textId="77777777" w:rsidR="00660D07" w:rsidRPr="003673FA" w:rsidRDefault="00660D07" w:rsidP="00660D07">
      <w:pPr>
        <w:rPr>
          <w:szCs w:val="24"/>
          <w:lang w:bidi="hi-IN"/>
        </w:rPr>
      </w:pPr>
    </w:p>
    <w:p w14:paraId="1AD3EAD8" w14:textId="77777777" w:rsidR="00660D07" w:rsidRPr="003673FA" w:rsidRDefault="00660D07" w:rsidP="00660D07">
      <w:pPr>
        <w:rPr>
          <w:szCs w:val="24"/>
          <w:lang w:bidi="hi-IN"/>
        </w:rPr>
      </w:pPr>
      <w:r w:rsidRPr="003673FA">
        <w:rPr>
          <w:szCs w:val="24"/>
          <w:lang w:bidi="hi-IN"/>
        </w:rPr>
        <w:lastRenderedPageBreak/>
        <w:t xml:space="preserve">Consistent with the perception that the continuous process has been positive, SAC members believe that fast-tracking has produced time-saving efficiencies and support the funding of the highest-quality research. Research Offices, however, believe Linkage Projects are less effective because grants that have firm deadlines and faster processing times are better at motivating researchers, and in turn encourage more collaborative initiatives. </w:t>
      </w:r>
    </w:p>
    <w:p w14:paraId="4EE5257A" w14:textId="77777777" w:rsidR="00660D07" w:rsidRPr="003673FA" w:rsidRDefault="00660D07" w:rsidP="00660D07">
      <w:pPr>
        <w:rPr>
          <w:szCs w:val="24"/>
          <w:lang w:bidi="hi-IN"/>
        </w:rPr>
      </w:pPr>
    </w:p>
    <w:p w14:paraId="47DB9E53" w14:textId="77777777" w:rsidR="00660D07" w:rsidRPr="003673FA" w:rsidRDefault="00660D07" w:rsidP="00660D07">
      <w:pPr>
        <w:rPr>
          <w:szCs w:val="24"/>
          <w:lang w:bidi="hi-IN"/>
        </w:rPr>
      </w:pPr>
      <w:r w:rsidRPr="003673FA">
        <w:rPr>
          <w:szCs w:val="24"/>
          <w:lang w:bidi="hi-IN"/>
        </w:rPr>
        <w:t xml:space="preserve">Support for the intent of the continuous process and satisfaction with the ARC’s administration with the new process is generally high, especially among stakeholders that were not involved with previous arrangements. The improvements that have been proposed centre on reintroducing fixed deadlines for multiple assessment rounds per year, faster processing of applications, simplifying the application paperwork, improved communication about the process and outcomes of the assessment decisions. </w:t>
      </w:r>
    </w:p>
    <w:p w14:paraId="4F55AA4C" w14:textId="77777777" w:rsidR="00660D07" w:rsidRPr="003673FA" w:rsidRDefault="00660D07" w:rsidP="00660D07">
      <w:pPr>
        <w:rPr>
          <w:szCs w:val="24"/>
          <w:lang w:bidi="hi-IN"/>
        </w:rPr>
      </w:pPr>
    </w:p>
    <w:p w14:paraId="2472FEC7" w14:textId="77777777" w:rsidR="00660D07" w:rsidRPr="003673FA" w:rsidRDefault="00660D07" w:rsidP="00660D07">
      <w:pPr>
        <w:pStyle w:val="Heading3"/>
        <w:rPr>
          <w:lang w:bidi="hi-IN"/>
        </w:rPr>
      </w:pPr>
      <w:r w:rsidRPr="003673FA">
        <w:rPr>
          <w:lang w:bidi="hi-IN"/>
        </w:rPr>
        <w:t>Opportunities</w:t>
      </w:r>
    </w:p>
    <w:p w14:paraId="6AA4D19C" w14:textId="77777777" w:rsidR="00660D07" w:rsidRPr="003673FA" w:rsidRDefault="00660D07" w:rsidP="00660D07">
      <w:pPr>
        <w:rPr>
          <w:szCs w:val="24"/>
          <w:lang w:bidi="hi-IN"/>
        </w:rPr>
      </w:pPr>
    </w:p>
    <w:p w14:paraId="500A4C26" w14:textId="77777777" w:rsidR="00660D07" w:rsidRPr="003673FA" w:rsidRDefault="00660D07" w:rsidP="00660D07">
      <w:pPr>
        <w:rPr>
          <w:szCs w:val="24"/>
          <w:lang w:bidi="hi-IN"/>
        </w:rPr>
      </w:pPr>
      <w:r w:rsidRPr="003673FA">
        <w:rPr>
          <w:szCs w:val="24"/>
          <w:lang w:bidi="hi-IN"/>
        </w:rPr>
        <w:t xml:space="preserve">Satisfaction with the ARC’s administration with the new process is generally high, especially among stakeholders that were not involved with prior arrangements and unable therefore to compare them. </w:t>
      </w:r>
    </w:p>
    <w:p w14:paraId="36183F06" w14:textId="77777777" w:rsidR="00660D07" w:rsidRPr="003673FA" w:rsidRDefault="00660D07" w:rsidP="00660D07">
      <w:pPr>
        <w:rPr>
          <w:szCs w:val="24"/>
          <w:lang w:bidi="hi-IN"/>
        </w:rPr>
      </w:pPr>
    </w:p>
    <w:p w14:paraId="724D1F56" w14:textId="7809F22D" w:rsidR="00660D07" w:rsidRDefault="00660D07" w:rsidP="00660D07">
      <w:pPr>
        <w:spacing w:line="259" w:lineRule="auto"/>
        <w:rPr>
          <w:szCs w:val="24"/>
          <w:lang w:bidi="hi-IN"/>
        </w:rPr>
      </w:pPr>
      <w:r w:rsidRPr="003673FA">
        <w:rPr>
          <w:szCs w:val="24"/>
          <w:lang w:bidi="hi-IN"/>
        </w:rPr>
        <w:t>The clear preference of stakeholders is the retention of a continuous application process, while reintroducing a series of fixed assessment deadlines, for preferably three assessment rounds per year. This would assist university administrators to manage workloads and give CIs and partner organisations the impetus to submit applications, and to plan and manage resources around this accordingly. It would also reduce the burden of managing continuous processing on the ARC. Assuming that application numbers and timeliness would increase overall as a result, this approach would be consistent with the underlying objectives of the Watt Review.</w:t>
      </w:r>
    </w:p>
    <w:p w14:paraId="309CA3D5" w14:textId="7BBC6215" w:rsidR="00660D07" w:rsidRDefault="00660D07" w:rsidP="00660D07">
      <w:pPr>
        <w:spacing w:line="259" w:lineRule="auto"/>
        <w:rPr>
          <w:szCs w:val="24"/>
          <w:lang w:bidi="hi-IN"/>
        </w:rPr>
      </w:pPr>
    </w:p>
    <w:p w14:paraId="050BAEFA" w14:textId="77777777" w:rsidR="00660D07" w:rsidRPr="00E56A37" w:rsidRDefault="00660D07" w:rsidP="00660D07">
      <w:pPr>
        <w:spacing w:line="259" w:lineRule="auto"/>
        <w:rPr>
          <w:szCs w:val="24"/>
        </w:rPr>
      </w:pPr>
    </w:p>
    <w:sectPr w:rsidR="00660D07" w:rsidRPr="00E56A37" w:rsidSect="00DD046E">
      <w:footerReference w:type="default" r:id="rId47"/>
      <w:headerReference w:type="first" r:id="rId48"/>
      <w:footerReference w:type="first" r:id="rId49"/>
      <w:pgSz w:w="11906" w:h="16838"/>
      <w:pgMar w:top="851" w:right="1440" w:bottom="709" w:left="1418" w:header="708" w:footer="31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8CBF55" w14:textId="77777777" w:rsidR="00FC696C" w:rsidRDefault="00FC696C" w:rsidP="00050E60">
      <w:r>
        <w:separator/>
      </w:r>
    </w:p>
  </w:endnote>
  <w:endnote w:type="continuationSeparator" w:id="0">
    <w:p w14:paraId="7CBAA5C8" w14:textId="77777777" w:rsidR="00FC696C" w:rsidRDefault="00FC696C" w:rsidP="0005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085762"/>
      <w:docPartObj>
        <w:docPartGallery w:val="Page Numbers (Bottom of Page)"/>
        <w:docPartUnique/>
      </w:docPartObj>
    </w:sdtPr>
    <w:sdtEndPr>
      <w:rPr>
        <w:noProof/>
      </w:rPr>
    </w:sdtEndPr>
    <w:sdtContent>
      <w:p w14:paraId="66200AF9" w14:textId="0E0E0FA0" w:rsidR="00FC696C" w:rsidRDefault="00FC696C">
        <w:pPr>
          <w:pStyle w:val="Footer"/>
          <w:jc w:val="right"/>
        </w:pPr>
        <w:r>
          <w:fldChar w:fldCharType="begin"/>
        </w:r>
        <w:r>
          <w:instrText xml:space="preserve"> PAGE   \* MERGEFORMAT </w:instrText>
        </w:r>
        <w:r>
          <w:fldChar w:fldCharType="separate"/>
        </w:r>
        <w:r w:rsidR="00883017">
          <w:rPr>
            <w:noProof/>
          </w:rPr>
          <w:t>30</w:t>
        </w:r>
        <w:r>
          <w:rPr>
            <w:noProof/>
          </w:rPr>
          <w:fldChar w:fldCharType="end"/>
        </w:r>
      </w:p>
    </w:sdtContent>
  </w:sdt>
  <w:p w14:paraId="183FE425" w14:textId="77777777" w:rsidR="00FC696C" w:rsidRDefault="00FC6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34A15" w14:textId="77777777" w:rsidR="00FC696C" w:rsidRDefault="00FC696C" w:rsidP="00F221F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F1B47" w14:textId="77777777" w:rsidR="00FC696C" w:rsidRDefault="00FC696C" w:rsidP="00050E60">
      <w:r>
        <w:separator/>
      </w:r>
    </w:p>
  </w:footnote>
  <w:footnote w:type="continuationSeparator" w:id="0">
    <w:p w14:paraId="524964A2" w14:textId="77777777" w:rsidR="00FC696C" w:rsidRDefault="00FC696C" w:rsidP="00050E60">
      <w:r>
        <w:continuationSeparator/>
      </w:r>
    </w:p>
  </w:footnote>
  <w:footnote w:id="1">
    <w:p w14:paraId="34C9358E" w14:textId="09C1722D" w:rsidR="00FC696C" w:rsidRPr="00AF29B8" w:rsidRDefault="00FC696C" w:rsidP="004F3F5A">
      <w:pPr>
        <w:pStyle w:val="FootnoteText"/>
      </w:pPr>
      <w:r>
        <w:rPr>
          <w:rStyle w:val="FootnoteReference"/>
        </w:rPr>
        <w:footnoteRef/>
      </w:r>
      <w:r>
        <w:t xml:space="preserve"> </w:t>
      </w:r>
      <w:r w:rsidRPr="00E93A1D">
        <w:t xml:space="preserve">www.arc.gov.au &gt; Grants &gt; Linkage Program &gt; </w:t>
      </w:r>
      <w:hyperlink r:id="rId1" w:history="1">
        <w:r w:rsidRPr="00E93A1D">
          <w:rPr>
            <w:rStyle w:val="Hyperlink"/>
          </w:rPr>
          <w:t>Linkage Projects</w:t>
        </w:r>
      </w:hyperlink>
      <w:r w:rsidRPr="00226328">
        <w:rPr>
          <w:rStyle w:val="Hyperlink"/>
          <w:color w:val="auto"/>
        </w:rPr>
        <w:t>.</w:t>
      </w:r>
    </w:p>
  </w:footnote>
  <w:footnote w:id="2">
    <w:p w14:paraId="0096B232" w14:textId="603B0192" w:rsidR="00FC696C" w:rsidRPr="008E67D9" w:rsidRDefault="00FC696C" w:rsidP="009C175D">
      <w:pPr>
        <w:pStyle w:val="FootnoteText"/>
        <w:rPr>
          <w:lang w:val="en-US"/>
        </w:rPr>
      </w:pPr>
      <w:r>
        <w:rPr>
          <w:rStyle w:val="FootnoteReference"/>
        </w:rPr>
        <w:footnoteRef/>
      </w:r>
      <w:r>
        <w:t xml:space="preserve"> </w:t>
      </w:r>
      <w:r w:rsidRPr="007815D2">
        <w:t>www.industry.gov.au</w:t>
      </w:r>
      <w:r>
        <w:t xml:space="preserve"> &gt; Data and Publications &gt; </w:t>
      </w:r>
      <w:hyperlink r:id="rId2" w:history="1">
        <w:r>
          <w:rPr>
            <w:rStyle w:val="Hyperlink"/>
          </w:rPr>
          <w:t>National innovation and S</w:t>
        </w:r>
        <w:r w:rsidRPr="007815D2">
          <w:rPr>
            <w:rStyle w:val="Hyperlink"/>
          </w:rPr>
          <w:t xml:space="preserve">cience </w:t>
        </w:r>
        <w:r>
          <w:rPr>
            <w:rStyle w:val="Hyperlink"/>
          </w:rPr>
          <w:t>A</w:t>
        </w:r>
        <w:r w:rsidRPr="007815D2">
          <w:rPr>
            <w:rStyle w:val="Hyperlink"/>
          </w:rPr>
          <w:t xml:space="preserve">genda </w:t>
        </w:r>
        <w:r>
          <w:rPr>
            <w:rStyle w:val="Hyperlink"/>
          </w:rPr>
          <w:t>R</w:t>
        </w:r>
        <w:r w:rsidRPr="007815D2">
          <w:rPr>
            <w:rStyle w:val="Hyperlink"/>
          </w:rPr>
          <w:t>eport</w:t>
        </w:r>
      </w:hyperlink>
      <w:r>
        <w:t>.</w:t>
      </w:r>
    </w:p>
  </w:footnote>
  <w:footnote w:id="3">
    <w:p w14:paraId="756620CB" w14:textId="373AAA77" w:rsidR="00FC696C" w:rsidRPr="00A73FB1" w:rsidRDefault="00FC696C" w:rsidP="009C175D">
      <w:pPr>
        <w:pStyle w:val="FootnoteText"/>
        <w:rPr>
          <w:lang w:val="en-US"/>
        </w:rPr>
      </w:pPr>
      <w:r>
        <w:rPr>
          <w:rStyle w:val="FootnoteReference"/>
        </w:rPr>
        <w:footnoteRef/>
      </w:r>
      <w:r>
        <w:t xml:space="preserve"> </w:t>
      </w:r>
      <w:r w:rsidRPr="00EE27AF">
        <w:rPr>
          <w:lang w:val="en-US"/>
        </w:rPr>
        <w:t>www.education.gov.au</w:t>
      </w:r>
      <w:r>
        <w:rPr>
          <w:lang w:val="en-US"/>
        </w:rPr>
        <w:t xml:space="preserve"> &gt; Higher </w:t>
      </w:r>
      <w:r w:rsidRPr="00A73FB1">
        <w:rPr>
          <w:lang w:val="en-US"/>
        </w:rPr>
        <w:t xml:space="preserve">Education Research &gt; </w:t>
      </w:r>
      <w:hyperlink r:id="rId3" w:history="1">
        <w:r w:rsidRPr="00A73FB1">
          <w:rPr>
            <w:rStyle w:val="Hyperlink"/>
            <w:lang w:val="en-US"/>
          </w:rPr>
          <w:t>Review of Research Policy and Funding Arrangements</w:t>
        </w:r>
      </w:hyperlink>
      <w:r w:rsidRPr="00A73FB1">
        <w:rPr>
          <w:lang w:val="en-US"/>
        </w:rPr>
        <w:t>.</w:t>
      </w:r>
    </w:p>
  </w:footnote>
  <w:footnote w:id="4">
    <w:p w14:paraId="7BCFD3A0" w14:textId="59A40EDE" w:rsidR="00FC696C" w:rsidRPr="008561A6" w:rsidRDefault="00FC696C">
      <w:pPr>
        <w:pStyle w:val="FootnoteText"/>
        <w:rPr>
          <w:lang w:val="en-US"/>
        </w:rPr>
      </w:pPr>
      <w:r w:rsidRPr="00226328">
        <w:rPr>
          <w:rStyle w:val="FootnoteReference"/>
        </w:rPr>
        <w:footnoteRef/>
      </w:r>
      <w:r w:rsidRPr="00226328">
        <w:t xml:space="preserve"> </w:t>
      </w:r>
      <w:r>
        <w:t xml:space="preserve">For example, </w:t>
      </w:r>
      <w:r w:rsidRPr="00226328">
        <w:t xml:space="preserve">www.arc.gov.au &gt; Grants &gt; Grant Outcomes &gt; Selection Outcome Reports &gt; </w:t>
      </w:r>
      <w:hyperlink r:id="rId4" w:history="1">
        <w:r>
          <w:rPr>
            <w:rStyle w:val="Hyperlink"/>
          </w:rPr>
          <w:t>Selection Report: Linkage Projects 2017 for proposals submitted 23 December 2016 to 19 December 2017</w:t>
        </w:r>
      </w:hyperlink>
      <w:r w:rsidRPr="00226328">
        <w:rPr>
          <w:rStyle w:val="Hyperlink"/>
          <w:color w:val="auto"/>
        </w:rPr>
        <w:t>.</w:t>
      </w:r>
    </w:p>
  </w:footnote>
  <w:footnote w:id="5">
    <w:p w14:paraId="787D3131" w14:textId="0F257753" w:rsidR="00FC696C" w:rsidRPr="00700D47" w:rsidRDefault="00FC696C" w:rsidP="00CB373D">
      <w:pPr>
        <w:pStyle w:val="FootnoteText"/>
        <w:rPr>
          <w:lang w:val="en-US"/>
        </w:rPr>
      </w:pPr>
      <w:r>
        <w:rPr>
          <w:rStyle w:val="FootnoteReference"/>
        </w:rPr>
        <w:footnoteRef/>
      </w:r>
      <w:r>
        <w:t xml:space="preserve"> </w:t>
      </w:r>
      <w:r w:rsidRPr="00F77DCC">
        <w:t xml:space="preserve">www.arc.gov.au </w:t>
      </w:r>
      <w:r>
        <w:t>&gt; Policies &amp; Strategies &gt; Strategy &gt; E</w:t>
      </w:r>
      <w:r w:rsidRPr="00F77DCC">
        <w:t>valuation</w:t>
      </w:r>
      <w:r>
        <w:t xml:space="preserve"> &gt; </w:t>
      </w:r>
      <w:hyperlink r:id="rId5" w:history="1">
        <w:r w:rsidRPr="00F77DCC">
          <w:rPr>
            <w:rStyle w:val="Hyperlink"/>
          </w:rPr>
          <w:t>ARC Evaluation Strategy</w:t>
        </w:r>
      </w:hyperlink>
      <w:r>
        <w:rPr>
          <w:rStyle w:val="Hyperlink"/>
          <w:color w:val="auto"/>
        </w:rPr>
        <w:t xml:space="preserve">. </w:t>
      </w:r>
    </w:p>
  </w:footnote>
  <w:footnote w:id="6">
    <w:p w14:paraId="167AC24F" w14:textId="4E123AB3" w:rsidR="00FC696C" w:rsidRPr="00FB1BA7" w:rsidRDefault="00FC696C">
      <w:pPr>
        <w:pStyle w:val="FootnoteText"/>
        <w:rPr>
          <w:lang w:val="en-US"/>
        </w:rPr>
      </w:pPr>
      <w:r>
        <w:rPr>
          <w:rStyle w:val="FootnoteReference"/>
        </w:rPr>
        <w:footnoteRef/>
      </w:r>
      <w:r>
        <w:t xml:space="preserve"> </w:t>
      </w:r>
      <w:r w:rsidRPr="00E93A1D">
        <w:t xml:space="preserve">www.arc.gov.au &gt; Grants &gt; Linkage Program &gt; </w:t>
      </w:r>
      <w:hyperlink r:id="rId6" w:history="1">
        <w:r w:rsidRPr="00E93A1D">
          <w:rPr>
            <w:rStyle w:val="Hyperlink"/>
          </w:rPr>
          <w:t>Linkage Projects</w:t>
        </w:r>
      </w:hyperlink>
      <w:r w:rsidRPr="00226328">
        <w:rPr>
          <w:rStyle w:val="Hyperlink"/>
          <w:color w:val="auto"/>
        </w:rPr>
        <w:t>.</w:t>
      </w:r>
    </w:p>
  </w:footnote>
  <w:footnote w:id="7">
    <w:p w14:paraId="28BD2375" w14:textId="40810716" w:rsidR="00FC696C" w:rsidRPr="00FB1BA7" w:rsidRDefault="00FC696C">
      <w:pPr>
        <w:pStyle w:val="FootnoteText"/>
        <w:rPr>
          <w:lang w:val="en-US"/>
        </w:rPr>
      </w:pPr>
      <w:r>
        <w:rPr>
          <w:rStyle w:val="FootnoteReference"/>
        </w:rPr>
        <w:footnoteRef/>
      </w:r>
      <w:r>
        <w:t xml:space="preserve"> </w:t>
      </w:r>
      <w:r w:rsidRPr="001B0EE3">
        <w:t>www.arc.gov.au &gt;</w:t>
      </w:r>
      <w:r>
        <w:t xml:space="preserve"> G</w:t>
      </w:r>
      <w:r w:rsidRPr="001B0EE3">
        <w:t>rants &gt;</w:t>
      </w:r>
      <w:r>
        <w:t xml:space="preserve"> Grant a</w:t>
      </w:r>
      <w:r w:rsidRPr="001B0EE3">
        <w:t xml:space="preserve">pplication &gt; </w:t>
      </w:r>
      <w:r>
        <w:t>F</w:t>
      </w:r>
      <w:r w:rsidRPr="001B0EE3">
        <w:t xml:space="preserve">unding </w:t>
      </w:r>
      <w:r>
        <w:t>R</w:t>
      </w:r>
      <w:r w:rsidRPr="001B0EE3">
        <w:t>ules</w:t>
      </w:r>
      <w:r>
        <w:t>/Grant G</w:t>
      </w:r>
      <w:r w:rsidRPr="001B0EE3">
        <w:t xml:space="preserve">uidelines &gt; </w:t>
      </w:r>
      <w:hyperlink r:id="rId7" w:history="1">
        <w:r>
          <w:rPr>
            <w:rStyle w:val="Hyperlink"/>
          </w:rPr>
          <w:t>Linkage Program Funding R</w:t>
        </w:r>
        <w:r w:rsidRPr="001B0EE3">
          <w:rPr>
            <w:rStyle w:val="Hyperlink"/>
          </w:rPr>
          <w:t>ules</w:t>
        </w:r>
        <w:r>
          <w:rPr>
            <w:rStyle w:val="Hyperlink"/>
          </w:rPr>
          <w:t>/G</w:t>
        </w:r>
        <w:r w:rsidRPr="001B0EE3">
          <w:rPr>
            <w:rStyle w:val="Hyperlink"/>
          </w:rPr>
          <w:t xml:space="preserve">rant </w:t>
        </w:r>
        <w:r>
          <w:rPr>
            <w:rStyle w:val="Hyperlink"/>
          </w:rPr>
          <w:t>G</w:t>
        </w:r>
        <w:r w:rsidRPr="001B0EE3">
          <w:rPr>
            <w:rStyle w:val="Hyperlink"/>
          </w:rPr>
          <w:t>uidelines</w:t>
        </w:r>
      </w:hyperlink>
      <w:r>
        <w:t>.</w:t>
      </w:r>
    </w:p>
  </w:footnote>
  <w:footnote w:id="8">
    <w:p w14:paraId="06AEF0F9" w14:textId="21172FD4" w:rsidR="00FC696C" w:rsidRPr="00A73FB1" w:rsidRDefault="00FC696C">
      <w:pPr>
        <w:pStyle w:val="FootnoteText"/>
        <w:rPr>
          <w:lang w:val="en-US"/>
        </w:rPr>
      </w:pPr>
      <w:r>
        <w:rPr>
          <w:rStyle w:val="FootnoteReference"/>
        </w:rPr>
        <w:footnoteRef/>
      </w:r>
      <w:r>
        <w:t xml:space="preserve"> </w:t>
      </w:r>
      <w:r w:rsidRPr="00B94159">
        <w:rPr>
          <w:lang w:val="en-US"/>
        </w:rPr>
        <w:t>www.education.gov.au</w:t>
      </w:r>
      <w:r>
        <w:rPr>
          <w:lang w:val="en-US"/>
        </w:rPr>
        <w:t xml:space="preserve"> &gt; Higher Education </w:t>
      </w:r>
      <w:r w:rsidRPr="00A73FB1">
        <w:rPr>
          <w:lang w:val="en-US"/>
        </w:rPr>
        <w:t>Research &gt;</w:t>
      </w:r>
      <w:r w:rsidRPr="00A73FB1">
        <w:t xml:space="preserve"> </w:t>
      </w:r>
      <w:hyperlink r:id="rId8" w:history="1">
        <w:r w:rsidRPr="00A73FB1">
          <w:rPr>
            <w:rStyle w:val="Hyperlink"/>
            <w:lang w:val="en-US"/>
          </w:rPr>
          <w:t>Review of Research Policy and Funding Arrangements</w:t>
        </w:r>
      </w:hyperlink>
      <w:r w:rsidRPr="00A73FB1">
        <w:rPr>
          <w:lang w:val="en-US"/>
        </w:rPr>
        <w:t>.</w:t>
      </w:r>
    </w:p>
  </w:footnote>
  <w:footnote w:id="9">
    <w:p w14:paraId="674C397A" w14:textId="77777777" w:rsidR="00FC696C" w:rsidRPr="00927AF2" w:rsidRDefault="00FC696C" w:rsidP="0075422A">
      <w:pPr>
        <w:pStyle w:val="FootnoteText"/>
        <w:rPr>
          <w:lang w:val="en-US"/>
        </w:rPr>
      </w:pPr>
      <w:r>
        <w:rPr>
          <w:rStyle w:val="FootnoteReference"/>
        </w:rPr>
        <w:footnoteRef/>
      </w:r>
      <w:r>
        <w:t xml:space="preserve"> ARC data.</w:t>
      </w:r>
    </w:p>
  </w:footnote>
  <w:footnote w:id="10">
    <w:p w14:paraId="6B27235A" w14:textId="70C54611" w:rsidR="00FC696C" w:rsidRPr="002578E4" w:rsidRDefault="00FC696C" w:rsidP="005D303B">
      <w:pPr>
        <w:pStyle w:val="FootnoteText"/>
        <w:rPr>
          <w:lang w:val="en-US"/>
        </w:rPr>
      </w:pPr>
      <w:r>
        <w:rPr>
          <w:rStyle w:val="FootnoteReference"/>
        </w:rPr>
        <w:footnoteRef/>
      </w:r>
      <w:r>
        <w:t xml:space="preserve"> ‘Field of research’ refers to the primary </w:t>
      </w:r>
      <w:r>
        <w:rPr>
          <w:lang w:val="en-US"/>
        </w:rPr>
        <w:t>Australian and New Zealand Standard Research Classification (ANZSRC) two digit Field of Research (</w:t>
      </w:r>
      <w:proofErr w:type="spellStart"/>
      <w:r>
        <w:rPr>
          <w:lang w:val="en-US"/>
        </w:rPr>
        <w:t>FoR</w:t>
      </w:r>
      <w:proofErr w:type="spellEnd"/>
      <w:r>
        <w:rPr>
          <w:lang w:val="en-US"/>
        </w:rPr>
        <w:t xml:space="preserve">) code recorded in RMS for each Linkage Projects application. There are 22 ANZSRC two digit </w:t>
      </w:r>
      <w:proofErr w:type="spellStart"/>
      <w:r>
        <w:rPr>
          <w:lang w:val="en-US"/>
        </w:rPr>
        <w:t>FoRs</w:t>
      </w:r>
      <w:proofErr w:type="spellEnd"/>
      <w:r>
        <w:rPr>
          <w:lang w:val="en-US"/>
        </w:rPr>
        <w:t>.</w:t>
      </w:r>
    </w:p>
  </w:footnote>
  <w:footnote w:id="11">
    <w:p w14:paraId="5CBC36D1" w14:textId="77777777" w:rsidR="00FC696C" w:rsidRPr="00251FF4" w:rsidRDefault="00FC696C" w:rsidP="00251FF4">
      <w:pPr>
        <w:pStyle w:val="FootnoteText"/>
        <w:rPr>
          <w:lang w:val="en-US"/>
        </w:rPr>
      </w:pPr>
      <w:r>
        <w:rPr>
          <w:rStyle w:val="FootnoteReference"/>
        </w:rPr>
        <w:footnoteRef/>
      </w:r>
      <w:r>
        <w:t xml:space="preserve"> </w:t>
      </w:r>
      <w:r>
        <w:rPr>
          <w:lang w:val="en-US"/>
        </w:rPr>
        <w:t>ARC data.</w:t>
      </w:r>
    </w:p>
  </w:footnote>
  <w:footnote w:id="12">
    <w:p w14:paraId="4E097A64" w14:textId="31883A06" w:rsidR="00FC696C" w:rsidRPr="007E7E8A" w:rsidRDefault="00FC696C">
      <w:pPr>
        <w:pStyle w:val="FootnoteText"/>
        <w:rPr>
          <w:lang w:val="en-US"/>
        </w:rPr>
      </w:pPr>
      <w:r>
        <w:rPr>
          <w:rStyle w:val="FootnoteReference"/>
        </w:rPr>
        <w:footnoteRef/>
      </w:r>
      <w:r>
        <w:t xml:space="preserve"> </w:t>
      </w:r>
      <w:r>
        <w:rPr>
          <w:lang w:val="en-US"/>
        </w:rPr>
        <w:t>ACIL Allen Consulting.</w:t>
      </w:r>
    </w:p>
  </w:footnote>
  <w:footnote w:id="13">
    <w:p w14:paraId="0A42CDEC" w14:textId="23357081" w:rsidR="00FC696C" w:rsidRPr="00A73FB1" w:rsidRDefault="00FC696C" w:rsidP="00B94159">
      <w:pPr>
        <w:pStyle w:val="FootnoteText"/>
        <w:rPr>
          <w:lang w:val="en-US"/>
        </w:rPr>
      </w:pPr>
      <w:r>
        <w:rPr>
          <w:rStyle w:val="FootnoteReference"/>
        </w:rPr>
        <w:footnoteRef/>
      </w:r>
      <w:r>
        <w:t xml:space="preserve"> </w:t>
      </w:r>
      <w:r w:rsidRPr="00B94159">
        <w:rPr>
          <w:lang w:val="en-US"/>
        </w:rPr>
        <w:t>www.education.gov.au</w:t>
      </w:r>
      <w:r>
        <w:rPr>
          <w:lang w:val="en-US"/>
        </w:rPr>
        <w:t xml:space="preserve"> &gt; Higher Education </w:t>
      </w:r>
      <w:r w:rsidRPr="00A73FB1">
        <w:rPr>
          <w:lang w:val="en-US"/>
        </w:rPr>
        <w:t>Research &gt;</w:t>
      </w:r>
      <w:r w:rsidRPr="00A73FB1">
        <w:t xml:space="preserve"> </w:t>
      </w:r>
      <w:hyperlink r:id="rId9" w:history="1">
        <w:r w:rsidRPr="00A73FB1">
          <w:rPr>
            <w:rStyle w:val="Hyperlink"/>
            <w:lang w:val="en-US"/>
          </w:rPr>
          <w:t>Review of Research Policy and Funding Arrangements</w:t>
        </w:r>
      </w:hyperlink>
      <w:r w:rsidRPr="00A73FB1">
        <w:rPr>
          <w:lang w:val="en-US"/>
        </w:rPr>
        <w:t>.</w:t>
      </w:r>
    </w:p>
  </w:footnote>
  <w:footnote w:id="14">
    <w:p w14:paraId="6A86123C" w14:textId="73605AFC" w:rsidR="00FC696C" w:rsidRPr="001D1B7D" w:rsidRDefault="00FC696C" w:rsidP="00ED450D">
      <w:pPr>
        <w:pStyle w:val="FootnoteText"/>
        <w:rPr>
          <w:lang w:val="en-US"/>
        </w:rPr>
      </w:pPr>
      <w:r>
        <w:rPr>
          <w:rStyle w:val="FootnoteReference"/>
        </w:rPr>
        <w:footnoteRef/>
      </w:r>
      <w:r>
        <w:t xml:space="preserve"> See </w:t>
      </w:r>
      <w:r w:rsidRPr="00B94159">
        <w:t>www.legislation.gov.au</w:t>
      </w:r>
      <w:r>
        <w:t xml:space="preserve"> &gt; Acts &gt; In Force &gt; </w:t>
      </w:r>
      <w:hyperlink r:id="rId10" w:history="1">
        <w:r w:rsidRPr="00B94159">
          <w:rPr>
            <w:rStyle w:val="Hyperlink"/>
          </w:rPr>
          <w:t>Series/C2004A00773</w:t>
        </w:r>
      </w:hyperlink>
      <w:r w:rsidRPr="00226328">
        <w:rPr>
          <w:rStyle w:val="Hyperlink"/>
          <w:color w:val="auto"/>
        </w:rPr>
        <w:t>.</w:t>
      </w:r>
      <w:r>
        <w:t xml:space="preserve"> </w:t>
      </w:r>
    </w:p>
  </w:footnote>
  <w:footnote w:id="15">
    <w:p w14:paraId="0230D2ED" w14:textId="01D1F480" w:rsidR="00FC696C" w:rsidRPr="00F912D8" w:rsidRDefault="00FC696C">
      <w:pPr>
        <w:pStyle w:val="FootnoteText"/>
        <w:rPr>
          <w:lang w:val="en-US"/>
        </w:rPr>
      </w:pPr>
      <w:r>
        <w:rPr>
          <w:rStyle w:val="FootnoteReference"/>
        </w:rPr>
        <w:footnoteRef/>
      </w:r>
      <w:r>
        <w:t xml:space="preserve"> </w:t>
      </w:r>
      <w:r>
        <w:rPr>
          <w:lang w:val="en-US"/>
        </w:rPr>
        <w:t xml:space="preserve">ARC data. </w:t>
      </w:r>
      <w:r w:rsidRPr="00783EC3">
        <w:rPr>
          <w:i/>
          <w:lang w:val="en-US"/>
        </w:rPr>
        <w:t>Note: complete data for 2018 C were not available at the time of this report’s preparation.</w:t>
      </w:r>
    </w:p>
  </w:footnote>
  <w:footnote w:id="16">
    <w:p w14:paraId="13A46067" w14:textId="1CCC609A" w:rsidR="00FC696C" w:rsidRPr="009A2BF4" w:rsidRDefault="00FC696C">
      <w:pPr>
        <w:pStyle w:val="FootnoteText"/>
        <w:rPr>
          <w:lang w:val="en-US"/>
        </w:rPr>
      </w:pPr>
      <w:r>
        <w:rPr>
          <w:rStyle w:val="FootnoteReference"/>
        </w:rPr>
        <w:footnoteRef/>
      </w:r>
      <w:r>
        <w:t xml:space="preserve"> </w:t>
      </w:r>
      <w:r>
        <w:rPr>
          <w:lang w:val="en-US"/>
        </w:rPr>
        <w:t>ACIL Allen Consulting.</w:t>
      </w:r>
    </w:p>
  </w:footnote>
  <w:footnote w:id="17">
    <w:p w14:paraId="1D19C0CF" w14:textId="77631DF6" w:rsidR="00FC696C" w:rsidRPr="000504D6" w:rsidRDefault="00FC696C">
      <w:pPr>
        <w:pStyle w:val="FootnoteText"/>
        <w:rPr>
          <w:lang w:val="en-US"/>
        </w:rPr>
      </w:pPr>
      <w:r>
        <w:rPr>
          <w:rStyle w:val="FootnoteReference"/>
        </w:rPr>
        <w:footnoteRef/>
      </w:r>
      <w:r>
        <w:t xml:space="preserve"> </w:t>
      </w:r>
      <w:r>
        <w:rPr>
          <w:lang w:val="en-US"/>
        </w:rPr>
        <w:t>ACIL Allen Consulting.</w:t>
      </w:r>
    </w:p>
  </w:footnote>
  <w:footnote w:id="18">
    <w:p w14:paraId="11068BFD" w14:textId="68120B91" w:rsidR="00FC696C" w:rsidRPr="009A2BF4" w:rsidRDefault="00FC696C">
      <w:pPr>
        <w:pStyle w:val="FootnoteText"/>
        <w:rPr>
          <w:lang w:val="en-US"/>
        </w:rPr>
      </w:pPr>
      <w:r>
        <w:rPr>
          <w:rStyle w:val="FootnoteReference"/>
        </w:rPr>
        <w:footnoteRef/>
      </w:r>
      <w:r>
        <w:t xml:space="preserve"> </w:t>
      </w:r>
      <w:r>
        <w:rPr>
          <w:lang w:val="en-US"/>
        </w:rPr>
        <w:t>ACIL Allen Consulting.</w:t>
      </w:r>
    </w:p>
  </w:footnote>
  <w:footnote w:id="19">
    <w:p w14:paraId="151B99CB" w14:textId="1EC2A6B2" w:rsidR="00FC696C" w:rsidRPr="00393114" w:rsidRDefault="00FC696C">
      <w:pPr>
        <w:pStyle w:val="FootnoteText"/>
        <w:rPr>
          <w:lang w:val="en-US"/>
        </w:rPr>
      </w:pPr>
      <w:r>
        <w:rPr>
          <w:rStyle w:val="FootnoteReference"/>
        </w:rPr>
        <w:footnoteRef/>
      </w:r>
      <w:r>
        <w:t xml:space="preserve"> </w:t>
      </w:r>
      <w:r>
        <w:rPr>
          <w:lang w:val="en-US"/>
        </w:rPr>
        <w:t>ARC data.</w:t>
      </w:r>
    </w:p>
  </w:footnote>
  <w:footnote w:id="20">
    <w:p w14:paraId="0CAC1C8C" w14:textId="160D5C99" w:rsidR="00FC696C" w:rsidRPr="005C3A96" w:rsidRDefault="00FC696C" w:rsidP="005C3A96">
      <w:pPr>
        <w:pStyle w:val="FootnoteText"/>
        <w:rPr>
          <w:lang w:val="en-US"/>
        </w:rPr>
      </w:pPr>
      <w:r>
        <w:rPr>
          <w:rStyle w:val="FootnoteReference"/>
        </w:rPr>
        <w:footnoteRef/>
      </w:r>
      <w:r>
        <w:t xml:space="preserve"> See </w:t>
      </w:r>
      <w:r w:rsidRPr="005C3A96">
        <w:rPr>
          <w:i/>
        </w:rPr>
        <w:t>Draft Grant Agreement regarding funding for</w:t>
      </w:r>
      <w:r w:rsidRPr="005C3A96">
        <w:t xml:space="preserve"> </w:t>
      </w:r>
      <w:r w:rsidRPr="005C3A96">
        <w:rPr>
          <w:i/>
        </w:rPr>
        <w:t>schemes under th</w:t>
      </w:r>
      <w:r>
        <w:rPr>
          <w:i/>
        </w:rPr>
        <w:t xml:space="preserve">e </w:t>
      </w:r>
      <w:r w:rsidRPr="005C3A96">
        <w:rPr>
          <w:i/>
        </w:rPr>
        <w:t>Linkage Program (2018)</w:t>
      </w:r>
      <w:r>
        <w:rPr>
          <w:i/>
        </w:rPr>
        <w:t xml:space="preserve"> – </w:t>
      </w:r>
      <w:r w:rsidRPr="005C3A96">
        <w:t>Linkage Projects</w:t>
      </w:r>
      <w:r w:rsidRPr="005C3A96">
        <w:rPr>
          <w:i/>
        </w:rPr>
        <w:t xml:space="preserve"> funding applied for in 2019</w:t>
      </w:r>
      <w:r>
        <w:t xml:space="preserve">, available at </w:t>
      </w:r>
      <w:hyperlink r:id="rId11" w:history="1">
        <w:r w:rsidRPr="00B45366">
          <w:t>www.grants.gov.au</w:t>
        </w:r>
      </w:hyperlink>
      <w:r>
        <w:t xml:space="preserve"> &gt;</w:t>
      </w:r>
      <w:r w:rsidRPr="00B45366">
        <w:t xml:space="preserve"> </w:t>
      </w:r>
      <w:hyperlink r:id="rId12" w:history="1">
        <w:r w:rsidRPr="00B45366">
          <w:rPr>
            <w:rStyle w:val="Hyperlink"/>
          </w:rPr>
          <w:t>Forecast Opportunity View - LP2019</w:t>
        </w:r>
      </w:hyperlink>
      <w:r>
        <w:t>.</w:t>
      </w:r>
    </w:p>
  </w:footnote>
  <w:footnote w:id="21">
    <w:p w14:paraId="41D4BCA2" w14:textId="65513902" w:rsidR="00FC696C" w:rsidRPr="00DA1A22" w:rsidRDefault="00FC696C">
      <w:pPr>
        <w:pStyle w:val="FootnoteText"/>
        <w:rPr>
          <w:lang w:val="en-US"/>
        </w:rPr>
      </w:pPr>
      <w:r>
        <w:rPr>
          <w:rStyle w:val="FootnoteReference"/>
        </w:rPr>
        <w:footnoteRef/>
      </w:r>
      <w:r>
        <w:t xml:space="preserve"> </w:t>
      </w:r>
      <w:r>
        <w:rPr>
          <w:lang w:val="en-US"/>
        </w:rPr>
        <w:t>ACIL Allen Consulting.</w:t>
      </w:r>
    </w:p>
  </w:footnote>
  <w:footnote w:id="22">
    <w:p w14:paraId="414049B7" w14:textId="128537AE" w:rsidR="00FC696C" w:rsidRPr="00B46C2B" w:rsidRDefault="00FC696C">
      <w:pPr>
        <w:pStyle w:val="FootnoteText"/>
        <w:rPr>
          <w:lang w:val="en-US"/>
        </w:rPr>
      </w:pPr>
      <w:r>
        <w:rPr>
          <w:rStyle w:val="FootnoteReference"/>
        </w:rPr>
        <w:footnoteRef/>
      </w:r>
      <w:r>
        <w:t xml:space="preserve"> </w:t>
      </w:r>
      <w:r>
        <w:rPr>
          <w:lang w:val="en-US"/>
        </w:rPr>
        <w:t>ACIL Allen Consulting.</w:t>
      </w:r>
    </w:p>
  </w:footnote>
  <w:footnote w:id="23">
    <w:p w14:paraId="62B30AF0" w14:textId="79A1D1B2" w:rsidR="00FC696C" w:rsidRPr="00E3467D" w:rsidRDefault="00FC696C">
      <w:pPr>
        <w:pStyle w:val="FootnoteText"/>
        <w:rPr>
          <w:lang w:val="en-US"/>
        </w:rPr>
      </w:pPr>
      <w:r>
        <w:rPr>
          <w:rStyle w:val="FootnoteReference"/>
        </w:rPr>
        <w:footnoteRef/>
      </w:r>
      <w:r>
        <w:t xml:space="preserve"> </w:t>
      </w:r>
      <w:r>
        <w:rPr>
          <w:lang w:val="en-US"/>
        </w:rPr>
        <w:t>ACIL Allen Consulting.</w:t>
      </w:r>
    </w:p>
  </w:footnote>
  <w:footnote w:id="24">
    <w:p w14:paraId="51C74E71" w14:textId="52C9F4D8" w:rsidR="00FC696C" w:rsidRPr="003A7FC9" w:rsidRDefault="00FC696C">
      <w:pPr>
        <w:pStyle w:val="FootnoteText"/>
        <w:rPr>
          <w:lang w:val="en-US"/>
        </w:rPr>
      </w:pPr>
      <w:r>
        <w:rPr>
          <w:rStyle w:val="FootnoteReference"/>
        </w:rPr>
        <w:footnoteRef/>
      </w:r>
      <w:r>
        <w:t xml:space="preserve"> </w:t>
      </w:r>
      <w:r>
        <w:rPr>
          <w:lang w:val="en-US"/>
        </w:rPr>
        <w:t xml:space="preserve">ACIL Allen Consulting. </w:t>
      </w:r>
      <w:r w:rsidRPr="00FE05B8">
        <w:rPr>
          <w:i/>
          <w:lang w:val="en-US"/>
        </w:rPr>
        <w:t>Note: n=</w:t>
      </w:r>
      <w:r>
        <w:rPr>
          <w:i/>
          <w:lang w:val="en-US"/>
        </w:rPr>
        <w:t xml:space="preserve">34 out of </w:t>
      </w:r>
      <w:r w:rsidRPr="00FE05B8">
        <w:rPr>
          <w:i/>
          <w:lang w:val="en-US"/>
        </w:rPr>
        <w:t>54 PIs who had been involved prior to the continuous process.</w:t>
      </w:r>
    </w:p>
  </w:footnote>
  <w:footnote w:id="25">
    <w:p w14:paraId="5A87692B" w14:textId="620F7344" w:rsidR="00FC696C" w:rsidRPr="00E3467D" w:rsidRDefault="00FC696C">
      <w:pPr>
        <w:pStyle w:val="FootnoteText"/>
        <w:rPr>
          <w:lang w:val="en-US"/>
        </w:rPr>
      </w:pPr>
      <w:r>
        <w:rPr>
          <w:rStyle w:val="FootnoteReference"/>
        </w:rPr>
        <w:footnoteRef/>
      </w:r>
      <w:r>
        <w:rPr>
          <w:lang w:val="en-US"/>
        </w:rPr>
        <w:t xml:space="preserve"> ACIL Allen Consulting.</w:t>
      </w:r>
    </w:p>
  </w:footnote>
  <w:footnote w:id="26">
    <w:p w14:paraId="0668ACE9" w14:textId="5EDE61C0" w:rsidR="00FC696C" w:rsidRPr="00893D88" w:rsidRDefault="00FC696C">
      <w:pPr>
        <w:pStyle w:val="FootnoteText"/>
        <w:rPr>
          <w:lang w:val="en-US"/>
        </w:rPr>
      </w:pPr>
      <w:r>
        <w:rPr>
          <w:rStyle w:val="FootnoteReference"/>
        </w:rPr>
        <w:footnoteRef/>
      </w:r>
      <w:r>
        <w:t xml:space="preserve"> </w:t>
      </w:r>
      <w:r>
        <w:rPr>
          <w:lang w:val="en-US"/>
        </w:rPr>
        <w:t>ACIL Allen Consulting.</w:t>
      </w:r>
    </w:p>
  </w:footnote>
  <w:footnote w:id="27">
    <w:p w14:paraId="6BD59B0F" w14:textId="0CBF0D4A" w:rsidR="00FC696C" w:rsidRPr="008C7E8C" w:rsidRDefault="00FC696C">
      <w:pPr>
        <w:pStyle w:val="FootnoteText"/>
        <w:rPr>
          <w:lang w:val="en-US"/>
        </w:rPr>
      </w:pPr>
      <w:r>
        <w:rPr>
          <w:rStyle w:val="FootnoteReference"/>
        </w:rPr>
        <w:footnoteRef/>
      </w:r>
      <w:r>
        <w:t xml:space="preserve"> </w:t>
      </w:r>
      <w:r>
        <w:rPr>
          <w:lang w:val="en-US"/>
        </w:rPr>
        <w:t>ACIL Allen Consulting.</w:t>
      </w:r>
    </w:p>
  </w:footnote>
  <w:footnote w:id="28">
    <w:p w14:paraId="6D672664" w14:textId="20702CC8" w:rsidR="00FC696C" w:rsidRPr="002E006F" w:rsidRDefault="00FC696C">
      <w:pPr>
        <w:pStyle w:val="FootnoteText"/>
        <w:rPr>
          <w:lang w:val="en-US"/>
        </w:rPr>
      </w:pPr>
      <w:r>
        <w:rPr>
          <w:rStyle w:val="FootnoteReference"/>
        </w:rPr>
        <w:footnoteRef/>
      </w:r>
      <w:r>
        <w:t xml:space="preserve"> </w:t>
      </w:r>
      <w:r>
        <w:rPr>
          <w:lang w:val="en-US"/>
        </w:rPr>
        <w:t xml:space="preserve">ACIL Allen Consulting. </w:t>
      </w:r>
      <w:r w:rsidRPr="002E006F">
        <w:rPr>
          <w:i/>
          <w:lang w:val="en-US"/>
        </w:rPr>
        <w:t>Note: n=116 out of 184 CIs who had been involved prior to the continuous process and n=81 out of 109 who had not.</w:t>
      </w:r>
    </w:p>
  </w:footnote>
  <w:footnote w:id="29">
    <w:p w14:paraId="0E236192" w14:textId="5F13CB57" w:rsidR="00FC696C" w:rsidRPr="000D2D61" w:rsidRDefault="00FC696C" w:rsidP="000D2D61">
      <w:pPr>
        <w:pStyle w:val="FootnoteText"/>
        <w:rPr>
          <w:lang w:val="en-US"/>
        </w:rPr>
      </w:pPr>
      <w:r>
        <w:rPr>
          <w:rStyle w:val="FootnoteReference"/>
        </w:rPr>
        <w:footnoteRef/>
      </w:r>
      <w:r>
        <w:t xml:space="preserve"> </w:t>
      </w:r>
      <w:r>
        <w:rPr>
          <w:lang w:val="en-US"/>
        </w:rPr>
        <w:t xml:space="preserve">ACIL Allen Consulting. </w:t>
      </w:r>
      <w:r w:rsidRPr="002C219D">
        <w:rPr>
          <w:i/>
        </w:rPr>
        <w:t xml:space="preserve">Note: </w:t>
      </w:r>
      <w:r>
        <w:rPr>
          <w:i/>
        </w:rPr>
        <w:t xml:space="preserve">n=184 CIs </w:t>
      </w:r>
      <w:r w:rsidRPr="002C219D">
        <w:rPr>
          <w:i/>
        </w:rPr>
        <w:t>who had been involved prior to the continuous process</w:t>
      </w:r>
      <w:r>
        <w:rPr>
          <w:i/>
        </w:rPr>
        <w:t xml:space="preserve"> and n=109 CIs who had not</w:t>
      </w:r>
      <w:r w:rsidRPr="002C219D">
        <w:rPr>
          <w:i/>
        </w:rPr>
        <w:t>.</w:t>
      </w:r>
    </w:p>
  </w:footnote>
  <w:footnote w:id="30">
    <w:p w14:paraId="4EC77946" w14:textId="02F6CDF5" w:rsidR="00FC696C" w:rsidRPr="00264D89" w:rsidRDefault="00FC696C">
      <w:pPr>
        <w:pStyle w:val="FootnoteText"/>
        <w:rPr>
          <w:lang w:val="en-US"/>
        </w:rPr>
      </w:pPr>
      <w:r>
        <w:rPr>
          <w:rStyle w:val="FootnoteReference"/>
        </w:rPr>
        <w:footnoteRef/>
      </w:r>
      <w:r>
        <w:t xml:space="preserve"> </w:t>
      </w:r>
      <w:r>
        <w:rPr>
          <w:lang w:val="en-US"/>
        </w:rPr>
        <w:t xml:space="preserve">ACIL Allen Consulting. </w:t>
      </w:r>
      <w:r w:rsidRPr="00264D89">
        <w:rPr>
          <w:i/>
          <w:lang w:val="en-US"/>
        </w:rPr>
        <w:t xml:space="preserve">Note: </w:t>
      </w:r>
      <w:r>
        <w:rPr>
          <w:i/>
          <w:lang w:val="en-US"/>
        </w:rPr>
        <w:t xml:space="preserve">only </w:t>
      </w:r>
      <w:r w:rsidRPr="00264D89">
        <w:rPr>
          <w:i/>
          <w:lang w:val="en-US"/>
        </w:rPr>
        <w:t>n=10 CIs and n=4 PIs</w:t>
      </w:r>
      <w:r>
        <w:rPr>
          <w:i/>
          <w:lang w:val="en-US"/>
        </w:rPr>
        <w:t xml:space="preserve"> provided examples of costs.</w:t>
      </w:r>
    </w:p>
  </w:footnote>
  <w:footnote w:id="31">
    <w:p w14:paraId="200026A4" w14:textId="77777777" w:rsidR="00FC696C" w:rsidRPr="00A11578" w:rsidRDefault="00FC696C" w:rsidP="00791E06">
      <w:pPr>
        <w:pStyle w:val="FootnoteText"/>
        <w:rPr>
          <w:lang w:val="en-US"/>
        </w:rPr>
      </w:pPr>
      <w:r>
        <w:rPr>
          <w:rStyle w:val="FootnoteReference"/>
        </w:rPr>
        <w:footnoteRef/>
      </w:r>
      <w:r>
        <w:t xml:space="preserve"> </w:t>
      </w:r>
      <w:r>
        <w:rPr>
          <w:lang w:val="en-US"/>
        </w:rPr>
        <w:t>ACIL Allen Consulting.</w:t>
      </w:r>
    </w:p>
  </w:footnote>
  <w:footnote w:id="32">
    <w:p w14:paraId="65372614" w14:textId="0474BE90" w:rsidR="00FC696C" w:rsidRPr="00964093" w:rsidRDefault="00FC696C" w:rsidP="00964093">
      <w:pPr>
        <w:spacing w:line="259" w:lineRule="auto"/>
        <w:rPr>
          <w:szCs w:val="24"/>
        </w:rPr>
      </w:pPr>
      <w:r>
        <w:rPr>
          <w:rStyle w:val="FootnoteReference"/>
        </w:rPr>
        <w:footnoteRef/>
      </w:r>
      <w:r>
        <w:rPr>
          <w:sz w:val="20"/>
          <w:szCs w:val="20"/>
        </w:rPr>
        <w:t xml:space="preserve"> </w:t>
      </w:r>
      <w:r w:rsidRPr="002C219D">
        <w:rPr>
          <w:sz w:val="20"/>
          <w:szCs w:val="20"/>
        </w:rPr>
        <w:t xml:space="preserve">ACIL Allen Consulting. </w:t>
      </w:r>
      <w:r w:rsidRPr="002C219D">
        <w:rPr>
          <w:i/>
          <w:sz w:val="20"/>
          <w:szCs w:val="20"/>
        </w:rPr>
        <w:t xml:space="preserve">Note: </w:t>
      </w:r>
      <w:r>
        <w:rPr>
          <w:i/>
          <w:sz w:val="20"/>
          <w:szCs w:val="20"/>
        </w:rPr>
        <w:t xml:space="preserve">n=183 CIs and n=54 PIs </w:t>
      </w:r>
      <w:r w:rsidRPr="002C219D">
        <w:rPr>
          <w:i/>
          <w:sz w:val="20"/>
          <w:szCs w:val="20"/>
        </w:rPr>
        <w:t>who had been involved prior to the continuous process.</w:t>
      </w:r>
    </w:p>
  </w:footnote>
  <w:footnote w:id="33">
    <w:p w14:paraId="69A8FF96" w14:textId="77777777" w:rsidR="00FC696C" w:rsidRPr="00E818FB" w:rsidRDefault="00FC696C" w:rsidP="008C25CD">
      <w:pPr>
        <w:pStyle w:val="FootnoteText"/>
        <w:rPr>
          <w:lang w:val="en-US"/>
        </w:rPr>
      </w:pPr>
      <w:r>
        <w:rPr>
          <w:rStyle w:val="FootnoteReference"/>
        </w:rPr>
        <w:footnoteRef/>
      </w:r>
      <w:r>
        <w:t xml:space="preserve"> </w:t>
      </w:r>
      <w:r>
        <w:rPr>
          <w:lang w:val="en-US"/>
        </w:rPr>
        <w:t>ACIL Allen Consulting.</w:t>
      </w:r>
    </w:p>
  </w:footnote>
  <w:footnote w:id="34">
    <w:p w14:paraId="116A03AE" w14:textId="7B2099F0" w:rsidR="00FC696C" w:rsidRPr="003B2670" w:rsidRDefault="00FC696C">
      <w:pPr>
        <w:pStyle w:val="FootnoteText"/>
        <w:rPr>
          <w:lang w:val="en-US"/>
        </w:rPr>
      </w:pPr>
      <w:r>
        <w:rPr>
          <w:rStyle w:val="FootnoteReference"/>
        </w:rPr>
        <w:footnoteRef/>
      </w:r>
      <w:r>
        <w:t xml:space="preserve"> </w:t>
      </w:r>
      <w:r>
        <w:rPr>
          <w:lang w:val="en-US"/>
        </w:rPr>
        <w:t xml:space="preserve">ACIL Allen Consulting. </w:t>
      </w:r>
      <w:r w:rsidRPr="003B2670">
        <w:rPr>
          <w:i/>
          <w:lang w:val="en-US"/>
        </w:rPr>
        <w:t>Note: n=184 CIs and n=</w:t>
      </w:r>
      <w:r>
        <w:rPr>
          <w:i/>
          <w:lang w:val="en-US"/>
        </w:rPr>
        <w:t>54 PIs who had been involved prior to the continuous process.</w:t>
      </w:r>
    </w:p>
  </w:footnote>
  <w:footnote w:id="35">
    <w:p w14:paraId="561CB488" w14:textId="3AD53170" w:rsidR="00FC696C" w:rsidRPr="00532727" w:rsidRDefault="00FC696C">
      <w:pPr>
        <w:pStyle w:val="FootnoteText"/>
        <w:rPr>
          <w:lang w:val="en-US"/>
        </w:rPr>
      </w:pPr>
      <w:r>
        <w:rPr>
          <w:rStyle w:val="FootnoteReference"/>
        </w:rPr>
        <w:footnoteRef/>
      </w:r>
      <w:r>
        <w:t xml:space="preserve"> </w:t>
      </w:r>
      <w:r>
        <w:rPr>
          <w:lang w:val="en-US"/>
        </w:rPr>
        <w:t xml:space="preserve">ACIL Allen Consulting. </w:t>
      </w:r>
      <w:r w:rsidRPr="00532727">
        <w:rPr>
          <w:i/>
          <w:lang w:val="en-US"/>
        </w:rPr>
        <w:t>Note: n=292 CIs.</w:t>
      </w:r>
    </w:p>
  </w:footnote>
  <w:footnote w:id="36">
    <w:p w14:paraId="427CE8BE" w14:textId="58A7AC93" w:rsidR="00FC696C" w:rsidRPr="00E75A42" w:rsidRDefault="00FC696C">
      <w:pPr>
        <w:pStyle w:val="FootnoteText"/>
        <w:rPr>
          <w:lang w:val="en-US"/>
        </w:rPr>
      </w:pPr>
      <w:r>
        <w:rPr>
          <w:rStyle w:val="FootnoteReference"/>
        </w:rPr>
        <w:footnoteRef/>
      </w:r>
      <w:r>
        <w:t xml:space="preserve"> </w:t>
      </w:r>
      <w:r>
        <w:rPr>
          <w:lang w:val="en-US"/>
        </w:rPr>
        <w:t xml:space="preserve">ACIL Allen Consulting. </w:t>
      </w:r>
      <w:r w:rsidRPr="00E75A42">
        <w:rPr>
          <w:i/>
          <w:lang w:val="en-US"/>
        </w:rPr>
        <w:t>Note: n=292 CIs and n=103 PIs.</w:t>
      </w:r>
    </w:p>
  </w:footnote>
  <w:footnote w:id="37">
    <w:p w14:paraId="6EBF57A4" w14:textId="0AD71099" w:rsidR="00FC696C" w:rsidRPr="00B069EE" w:rsidRDefault="00FC696C">
      <w:pPr>
        <w:pStyle w:val="FootnoteText"/>
        <w:rPr>
          <w:lang w:val="en-US"/>
        </w:rPr>
      </w:pPr>
      <w:r>
        <w:rPr>
          <w:rStyle w:val="FootnoteReference"/>
        </w:rPr>
        <w:footnoteRef/>
      </w:r>
      <w:r>
        <w:t xml:space="preserve"> </w:t>
      </w:r>
      <w:r>
        <w:rPr>
          <w:lang w:val="en-US"/>
        </w:rPr>
        <w:t>ACIL Allen Consulting.</w:t>
      </w:r>
    </w:p>
  </w:footnote>
  <w:footnote w:id="38">
    <w:p w14:paraId="2CB89218" w14:textId="3220783A" w:rsidR="00FC696C" w:rsidRPr="00A7726F" w:rsidRDefault="00FC696C">
      <w:pPr>
        <w:pStyle w:val="FootnoteText"/>
        <w:rPr>
          <w:lang w:val="en-US"/>
        </w:rPr>
      </w:pPr>
      <w:r>
        <w:rPr>
          <w:rStyle w:val="FootnoteReference"/>
        </w:rPr>
        <w:footnoteRef/>
      </w:r>
      <w:r>
        <w:t xml:space="preserve"> </w:t>
      </w:r>
      <w:r>
        <w:rPr>
          <w:lang w:val="en-US"/>
        </w:rPr>
        <w:t>ACIL Allen Consulting.</w:t>
      </w:r>
    </w:p>
  </w:footnote>
  <w:footnote w:id="39">
    <w:p w14:paraId="02DFAA49" w14:textId="397C074D" w:rsidR="00FC696C" w:rsidRPr="00435218" w:rsidRDefault="00FC696C">
      <w:pPr>
        <w:pStyle w:val="FootnoteText"/>
        <w:rPr>
          <w:lang w:val="en-US"/>
        </w:rPr>
      </w:pPr>
      <w:r>
        <w:rPr>
          <w:rStyle w:val="FootnoteReference"/>
        </w:rPr>
        <w:footnoteRef/>
      </w:r>
      <w:r>
        <w:t xml:space="preserve"> </w:t>
      </w:r>
      <w:r>
        <w:rPr>
          <w:lang w:val="en-US"/>
        </w:rPr>
        <w:t>ACIL Allen Consulting.</w:t>
      </w:r>
    </w:p>
  </w:footnote>
  <w:footnote w:id="40">
    <w:p w14:paraId="0E055F22" w14:textId="4DA077C5" w:rsidR="00FC696C" w:rsidRPr="00F530B2" w:rsidRDefault="00FC696C">
      <w:pPr>
        <w:pStyle w:val="FootnoteText"/>
        <w:rPr>
          <w:lang w:val="en-US"/>
        </w:rPr>
      </w:pPr>
      <w:r>
        <w:rPr>
          <w:rStyle w:val="FootnoteReference"/>
        </w:rPr>
        <w:footnoteRef/>
      </w:r>
      <w:r>
        <w:t xml:space="preserve"> </w:t>
      </w:r>
      <w:r>
        <w:rPr>
          <w:lang w:val="en-US"/>
        </w:rPr>
        <w:t>ACIL Allen Consulting.</w:t>
      </w:r>
    </w:p>
  </w:footnote>
  <w:footnote w:id="41">
    <w:p w14:paraId="4FB9B4E5" w14:textId="6ED5955F" w:rsidR="00FC696C" w:rsidRPr="007D1E85" w:rsidRDefault="00FC696C">
      <w:pPr>
        <w:pStyle w:val="FootnoteText"/>
        <w:rPr>
          <w:lang w:val="en-US"/>
        </w:rPr>
      </w:pPr>
      <w:r>
        <w:rPr>
          <w:rStyle w:val="FootnoteReference"/>
        </w:rPr>
        <w:footnoteRef/>
      </w:r>
      <w:r>
        <w:t xml:space="preserve"> </w:t>
      </w:r>
      <w:r>
        <w:rPr>
          <w:lang w:val="en-US"/>
        </w:rPr>
        <w:t xml:space="preserve">ACIL Allen Consulting. </w:t>
      </w:r>
      <w:r w:rsidRPr="007D1E85">
        <w:rPr>
          <w:i/>
          <w:lang w:val="en-US"/>
        </w:rPr>
        <w:t>Note: n=424 detailed assessors and n=24 SAC members who had been involved prior to the continuous process.</w:t>
      </w:r>
    </w:p>
  </w:footnote>
  <w:footnote w:id="42">
    <w:p w14:paraId="649A5542" w14:textId="596846B9" w:rsidR="00FC696C" w:rsidRPr="0095062F" w:rsidRDefault="00FC696C">
      <w:pPr>
        <w:pStyle w:val="FootnoteText"/>
        <w:rPr>
          <w:lang w:val="en-US"/>
        </w:rPr>
      </w:pPr>
      <w:r>
        <w:rPr>
          <w:rStyle w:val="FootnoteReference"/>
        </w:rPr>
        <w:footnoteRef/>
      </w:r>
      <w:r>
        <w:t xml:space="preserve"> </w:t>
      </w:r>
      <w:r>
        <w:rPr>
          <w:lang w:val="en-US"/>
        </w:rPr>
        <w:t>ACIL Allen Consulting.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25C130" w14:textId="77777777" w:rsidR="00FC696C" w:rsidRPr="0056076E" w:rsidRDefault="00FC696C" w:rsidP="0056076E">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7138"/>
    <w:multiLevelType w:val="hybridMultilevel"/>
    <w:tmpl w:val="84B0D38C"/>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0A07B1"/>
    <w:multiLevelType w:val="hybridMultilevel"/>
    <w:tmpl w:val="84B0D38C"/>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35772E"/>
    <w:multiLevelType w:val="hybridMultilevel"/>
    <w:tmpl w:val="84B0D38C"/>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6517AE"/>
    <w:multiLevelType w:val="hybridMultilevel"/>
    <w:tmpl w:val="2EBE9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1767AA"/>
    <w:multiLevelType w:val="hybridMultilevel"/>
    <w:tmpl w:val="B33E04BC"/>
    <w:lvl w:ilvl="0" w:tplc="95C884DE">
      <w:numFmt w:val="bullet"/>
      <w:lvlText w:val="-"/>
      <w:lvlJc w:val="left"/>
      <w:pPr>
        <w:ind w:left="720" w:hanging="360"/>
      </w:pPr>
      <w:rPr>
        <w:rFonts w:ascii="Times New Roman" w:eastAsia="Calibr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3634FF"/>
    <w:multiLevelType w:val="hybridMultilevel"/>
    <w:tmpl w:val="18F48E3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C860C6"/>
    <w:multiLevelType w:val="hybridMultilevel"/>
    <w:tmpl w:val="8BB65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63C3988"/>
    <w:multiLevelType w:val="hybridMultilevel"/>
    <w:tmpl w:val="A69AF8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9C331B"/>
    <w:multiLevelType w:val="hybridMultilevel"/>
    <w:tmpl w:val="7F7E7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C62942"/>
    <w:multiLevelType w:val="hybridMultilevel"/>
    <w:tmpl w:val="E1120E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887308"/>
    <w:multiLevelType w:val="hybridMultilevel"/>
    <w:tmpl w:val="84B0D38C"/>
    <w:lvl w:ilvl="0" w:tplc="04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8974B0"/>
    <w:multiLevelType w:val="multilevel"/>
    <w:tmpl w:val="8E083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8F41FF"/>
    <w:multiLevelType w:val="hybridMultilevel"/>
    <w:tmpl w:val="3796EB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C3156E"/>
    <w:multiLevelType w:val="hybridMultilevel"/>
    <w:tmpl w:val="A582E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BB37316"/>
    <w:multiLevelType w:val="hybridMultilevel"/>
    <w:tmpl w:val="715070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6161AE"/>
    <w:multiLevelType w:val="hybridMultilevel"/>
    <w:tmpl w:val="22B01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9DB0921"/>
    <w:multiLevelType w:val="hybridMultilevel"/>
    <w:tmpl w:val="BCC66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F750ADD"/>
    <w:multiLevelType w:val="hybridMultilevel"/>
    <w:tmpl w:val="E6DC3D84"/>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09A62E8"/>
    <w:multiLevelType w:val="hybridMultilevel"/>
    <w:tmpl w:val="32682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396EB3"/>
    <w:multiLevelType w:val="hybridMultilevel"/>
    <w:tmpl w:val="23BA22B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576E4F56"/>
    <w:multiLevelType w:val="hybridMultilevel"/>
    <w:tmpl w:val="A58A4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A5B1B51"/>
    <w:multiLevelType w:val="hybridMultilevel"/>
    <w:tmpl w:val="6862F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4A13E29"/>
    <w:multiLevelType w:val="hybridMultilevel"/>
    <w:tmpl w:val="22AA2A0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905F6F"/>
    <w:multiLevelType w:val="hybridMultilevel"/>
    <w:tmpl w:val="D25A6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003815"/>
    <w:multiLevelType w:val="hybridMultilevel"/>
    <w:tmpl w:val="8AFA4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7C4C0E"/>
    <w:multiLevelType w:val="hybridMultilevel"/>
    <w:tmpl w:val="122EA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4A233D"/>
    <w:multiLevelType w:val="hybridMultilevel"/>
    <w:tmpl w:val="23DC0B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D371F85"/>
    <w:multiLevelType w:val="hybridMultilevel"/>
    <w:tmpl w:val="B54CC0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30F6805"/>
    <w:multiLevelType w:val="hybridMultilevel"/>
    <w:tmpl w:val="AEBA9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8C14BD"/>
    <w:multiLevelType w:val="hybridMultilevel"/>
    <w:tmpl w:val="9C6AF90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abstractNumId w:val="12"/>
  </w:num>
  <w:num w:numId="2">
    <w:abstractNumId w:val="5"/>
  </w:num>
  <w:num w:numId="3">
    <w:abstractNumId w:val="16"/>
  </w:num>
  <w:num w:numId="4">
    <w:abstractNumId w:val="17"/>
  </w:num>
  <w:num w:numId="5">
    <w:abstractNumId w:val="29"/>
  </w:num>
  <w:num w:numId="6">
    <w:abstractNumId w:val="21"/>
  </w:num>
  <w:num w:numId="7">
    <w:abstractNumId w:val="9"/>
  </w:num>
  <w:num w:numId="8">
    <w:abstractNumId w:val="1"/>
  </w:num>
  <w:num w:numId="9">
    <w:abstractNumId w:val="0"/>
  </w:num>
  <w:num w:numId="10">
    <w:abstractNumId w:val="10"/>
  </w:num>
  <w:num w:numId="11">
    <w:abstractNumId w:val="22"/>
  </w:num>
  <w:num w:numId="12">
    <w:abstractNumId w:val="2"/>
  </w:num>
  <w:num w:numId="13">
    <w:abstractNumId w:val="19"/>
  </w:num>
  <w:num w:numId="14">
    <w:abstractNumId w:val="23"/>
  </w:num>
  <w:num w:numId="15">
    <w:abstractNumId w:val="20"/>
  </w:num>
  <w:num w:numId="16">
    <w:abstractNumId w:val="3"/>
  </w:num>
  <w:num w:numId="17">
    <w:abstractNumId w:val="25"/>
  </w:num>
  <w:num w:numId="18">
    <w:abstractNumId w:val="14"/>
  </w:num>
  <w:num w:numId="19">
    <w:abstractNumId w:val="11"/>
  </w:num>
  <w:num w:numId="20">
    <w:abstractNumId w:val="26"/>
  </w:num>
  <w:num w:numId="21">
    <w:abstractNumId w:val="7"/>
  </w:num>
  <w:num w:numId="22">
    <w:abstractNumId w:val="24"/>
  </w:num>
  <w:num w:numId="23">
    <w:abstractNumId w:val="6"/>
  </w:num>
  <w:num w:numId="24">
    <w:abstractNumId w:val="4"/>
  </w:num>
  <w:num w:numId="25">
    <w:abstractNumId w:val="13"/>
  </w:num>
  <w:num w:numId="26">
    <w:abstractNumId w:val="15"/>
  </w:num>
  <w:num w:numId="27">
    <w:abstractNumId w:val="18"/>
  </w:num>
  <w:num w:numId="28">
    <w:abstractNumId w:val="8"/>
  </w:num>
  <w:num w:numId="29">
    <w:abstractNumId w:val="28"/>
  </w:num>
  <w:num w:numId="3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D23"/>
    <w:rsid w:val="00001C37"/>
    <w:rsid w:val="00001F27"/>
    <w:rsid w:val="00002A6E"/>
    <w:rsid w:val="00003222"/>
    <w:rsid w:val="000032B8"/>
    <w:rsid w:val="00003D1F"/>
    <w:rsid w:val="00004369"/>
    <w:rsid w:val="000045ED"/>
    <w:rsid w:val="00005387"/>
    <w:rsid w:val="00006014"/>
    <w:rsid w:val="00006A4E"/>
    <w:rsid w:val="00006E8F"/>
    <w:rsid w:val="00007094"/>
    <w:rsid w:val="00010DD6"/>
    <w:rsid w:val="000126A6"/>
    <w:rsid w:val="00013C29"/>
    <w:rsid w:val="00015E17"/>
    <w:rsid w:val="00016052"/>
    <w:rsid w:val="00016C14"/>
    <w:rsid w:val="00017169"/>
    <w:rsid w:val="000175AE"/>
    <w:rsid w:val="00020461"/>
    <w:rsid w:val="0002210B"/>
    <w:rsid w:val="000225BF"/>
    <w:rsid w:val="00023010"/>
    <w:rsid w:val="0002361F"/>
    <w:rsid w:val="0002464A"/>
    <w:rsid w:val="0002559F"/>
    <w:rsid w:val="0002574F"/>
    <w:rsid w:val="00025BE0"/>
    <w:rsid w:val="0002655A"/>
    <w:rsid w:val="00027F3E"/>
    <w:rsid w:val="000305AF"/>
    <w:rsid w:val="00032B53"/>
    <w:rsid w:val="00035EBF"/>
    <w:rsid w:val="00037233"/>
    <w:rsid w:val="000374E9"/>
    <w:rsid w:val="000411E8"/>
    <w:rsid w:val="00041DE7"/>
    <w:rsid w:val="00043755"/>
    <w:rsid w:val="00044079"/>
    <w:rsid w:val="00044240"/>
    <w:rsid w:val="000446B9"/>
    <w:rsid w:val="000447C6"/>
    <w:rsid w:val="0004797F"/>
    <w:rsid w:val="000502D0"/>
    <w:rsid w:val="000504D6"/>
    <w:rsid w:val="00050E60"/>
    <w:rsid w:val="00052D1A"/>
    <w:rsid w:val="000533D6"/>
    <w:rsid w:val="0005353D"/>
    <w:rsid w:val="000539B3"/>
    <w:rsid w:val="00053E5D"/>
    <w:rsid w:val="000541A1"/>
    <w:rsid w:val="00055CD2"/>
    <w:rsid w:val="000573E2"/>
    <w:rsid w:val="0005793B"/>
    <w:rsid w:val="00057E34"/>
    <w:rsid w:val="0006012E"/>
    <w:rsid w:val="0006169A"/>
    <w:rsid w:val="0006173D"/>
    <w:rsid w:val="00061C70"/>
    <w:rsid w:val="000662C4"/>
    <w:rsid w:val="000668BF"/>
    <w:rsid w:val="00066F58"/>
    <w:rsid w:val="0007170D"/>
    <w:rsid w:val="00071C14"/>
    <w:rsid w:val="000722BA"/>
    <w:rsid w:val="00073BA1"/>
    <w:rsid w:val="00074492"/>
    <w:rsid w:val="00074B2C"/>
    <w:rsid w:val="00075706"/>
    <w:rsid w:val="00080D69"/>
    <w:rsid w:val="00081BF0"/>
    <w:rsid w:val="00082364"/>
    <w:rsid w:val="00083858"/>
    <w:rsid w:val="000838E6"/>
    <w:rsid w:val="000843D8"/>
    <w:rsid w:val="00085DD4"/>
    <w:rsid w:val="000874AC"/>
    <w:rsid w:val="00091133"/>
    <w:rsid w:val="00092F6E"/>
    <w:rsid w:val="0009436C"/>
    <w:rsid w:val="00096B3C"/>
    <w:rsid w:val="00096FE2"/>
    <w:rsid w:val="0009763D"/>
    <w:rsid w:val="000A0B07"/>
    <w:rsid w:val="000A18A5"/>
    <w:rsid w:val="000A194F"/>
    <w:rsid w:val="000A319E"/>
    <w:rsid w:val="000A3417"/>
    <w:rsid w:val="000A3842"/>
    <w:rsid w:val="000A3DAB"/>
    <w:rsid w:val="000A4064"/>
    <w:rsid w:val="000A408C"/>
    <w:rsid w:val="000A4F4C"/>
    <w:rsid w:val="000A63A9"/>
    <w:rsid w:val="000A75B3"/>
    <w:rsid w:val="000B0A61"/>
    <w:rsid w:val="000B0B4F"/>
    <w:rsid w:val="000B4E10"/>
    <w:rsid w:val="000B58A9"/>
    <w:rsid w:val="000B7ECD"/>
    <w:rsid w:val="000C1466"/>
    <w:rsid w:val="000C1AF4"/>
    <w:rsid w:val="000C1D2C"/>
    <w:rsid w:val="000C1DEC"/>
    <w:rsid w:val="000C3B10"/>
    <w:rsid w:val="000C5FF8"/>
    <w:rsid w:val="000D160C"/>
    <w:rsid w:val="000D2D61"/>
    <w:rsid w:val="000D2F66"/>
    <w:rsid w:val="000D34E3"/>
    <w:rsid w:val="000D3561"/>
    <w:rsid w:val="000D3D40"/>
    <w:rsid w:val="000D3DF7"/>
    <w:rsid w:val="000D425C"/>
    <w:rsid w:val="000D623C"/>
    <w:rsid w:val="000D78DE"/>
    <w:rsid w:val="000D7B41"/>
    <w:rsid w:val="000E004D"/>
    <w:rsid w:val="000E0F69"/>
    <w:rsid w:val="000E1FD1"/>
    <w:rsid w:val="000E238E"/>
    <w:rsid w:val="000E25D2"/>
    <w:rsid w:val="000E681A"/>
    <w:rsid w:val="000F05AE"/>
    <w:rsid w:val="000F2030"/>
    <w:rsid w:val="000F2240"/>
    <w:rsid w:val="000F4EBE"/>
    <w:rsid w:val="000F51CB"/>
    <w:rsid w:val="000F5F01"/>
    <w:rsid w:val="000F661E"/>
    <w:rsid w:val="000F702E"/>
    <w:rsid w:val="000F7ACD"/>
    <w:rsid w:val="001002B4"/>
    <w:rsid w:val="0010099F"/>
    <w:rsid w:val="00101CAF"/>
    <w:rsid w:val="001027E7"/>
    <w:rsid w:val="001045BD"/>
    <w:rsid w:val="00105CFF"/>
    <w:rsid w:val="001062D5"/>
    <w:rsid w:val="001075A6"/>
    <w:rsid w:val="001110D5"/>
    <w:rsid w:val="0011273F"/>
    <w:rsid w:val="0011301E"/>
    <w:rsid w:val="0011314C"/>
    <w:rsid w:val="00113346"/>
    <w:rsid w:val="00113A26"/>
    <w:rsid w:val="001212FA"/>
    <w:rsid w:val="00121503"/>
    <w:rsid w:val="001237A5"/>
    <w:rsid w:val="00125667"/>
    <w:rsid w:val="00132079"/>
    <w:rsid w:val="0013410C"/>
    <w:rsid w:val="00135079"/>
    <w:rsid w:val="00135231"/>
    <w:rsid w:val="001355CF"/>
    <w:rsid w:val="001357A7"/>
    <w:rsid w:val="00136DA0"/>
    <w:rsid w:val="001402EE"/>
    <w:rsid w:val="001429DB"/>
    <w:rsid w:val="00146395"/>
    <w:rsid w:val="001471D1"/>
    <w:rsid w:val="001479D7"/>
    <w:rsid w:val="00151732"/>
    <w:rsid w:val="00151D08"/>
    <w:rsid w:val="001527FD"/>
    <w:rsid w:val="001536D8"/>
    <w:rsid w:val="00154387"/>
    <w:rsid w:val="00155252"/>
    <w:rsid w:val="00156767"/>
    <w:rsid w:val="00157741"/>
    <w:rsid w:val="001610F1"/>
    <w:rsid w:val="00161810"/>
    <w:rsid w:val="00161B16"/>
    <w:rsid w:val="00161DAA"/>
    <w:rsid w:val="001648A8"/>
    <w:rsid w:val="00166818"/>
    <w:rsid w:val="001703E1"/>
    <w:rsid w:val="00170596"/>
    <w:rsid w:val="00173705"/>
    <w:rsid w:val="00174080"/>
    <w:rsid w:val="001756CC"/>
    <w:rsid w:val="001759D8"/>
    <w:rsid w:val="001766A3"/>
    <w:rsid w:val="00180291"/>
    <w:rsid w:val="00180651"/>
    <w:rsid w:val="001821CC"/>
    <w:rsid w:val="00183002"/>
    <w:rsid w:val="00183D6B"/>
    <w:rsid w:val="00183D9B"/>
    <w:rsid w:val="00184734"/>
    <w:rsid w:val="00186D82"/>
    <w:rsid w:val="00187EF0"/>
    <w:rsid w:val="0019003A"/>
    <w:rsid w:val="00190336"/>
    <w:rsid w:val="001903F3"/>
    <w:rsid w:val="001914DB"/>
    <w:rsid w:val="001949F9"/>
    <w:rsid w:val="0019573E"/>
    <w:rsid w:val="00196C4B"/>
    <w:rsid w:val="001A0D5E"/>
    <w:rsid w:val="001A12B7"/>
    <w:rsid w:val="001A2B50"/>
    <w:rsid w:val="001A2E70"/>
    <w:rsid w:val="001A4E77"/>
    <w:rsid w:val="001A6150"/>
    <w:rsid w:val="001A6AD1"/>
    <w:rsid w:val="001A7AC2"/>
    <w:rsid w:val="001A7ECB"/>
    <w:rsid w:val="001B010E"/>
    <w:rsid w:val="001B0EE3"/>
    <w:rsid w:val="001B158E"/>
    <w:rsid w:val="001B1BB4"/>
    <w:rsid w:val="001B24A7"/>
    <w:rsid w:val="001B36A0"/>
    <w:rsid w:val="001B381B"/>
    <w:rsid w:val="001B39D3"/>
    <w:rsid w:val="001B4485"/>
    <w:rsid w:val="001B505D"/>
    <w:rsid w:val="001B5127"/>
    <w:rsid w:val="001B5861"/>
    <w:rsid w:val="001B650F"/>
    <w:rsid w:val="001B7DE2"/>
    <w:rsid w:val="001C07F7"/>
    <w:rsid w:val="001C159F"/>
    <w:rsid w:val="001C3388"/>
    <w:rsid w:val="001C64C3"/>
    <w:rsid w:val="001C6B2F"/>
    <w:rsid w:val="001C752F"/>
    <w:rsid w:val="001D1695"/>
    <w:rsid w:val="001D1B7D"/>
    <w:rsid w:val="001D2CBC"/>
    <w:rsid w:val="001D2E80"/>
    <w:rsid w:val="001D2F92"/>
    <w:rsid w:val="001D34D2"/>
    <w:rsid w:val="001D3C59"/>
    <w:rsid w:val="001D4BFE"/>
    <w:rsid w:val="001D4C04"/>
    <w:rsid w:val="001D4CB0"/>
    <w:rsid w:val="001D5241"/>
    <w:rsid w:val="001D7260"/>
    <w:rsid w:val="001E0878"/>
    <w:rsid w:val="001E2150"/>
    <w:rsid w:val="001E374D"/>
    <w:rsid w:val="001E3ADB"/>
    <w:rsid w:val="001E4AD6"/>
    <w:rsid w:val="001E4BE2"/>
    <w:rsid w:val="001E509F"/>
    <w:rsid w:val="001E5687"/>
    <w:rsid w:val="001E5FE3"/>
    <w:rsid w:val="001E6F9D"/>
    <w:rsid w:val="001E724C"/>
    <w:rsid w:val="001F0271"/>
    <w:rsid w:val="001F02B1"/>
    <w:rsid w:val="001F1A09"/>
    <w:rsid w:val="001F1CA3"/>
    <w:rsid w:val="001F1D4B"/>
    <w:rsid w:val="001F2218"/>
    <w:rsid w:val="001F5060"/>
    <w:rsid w:val="001F6592"/>
    <w:rsid w:val="001F6EF5"/>
    <w:rsid w:val="001F718F"/>
    <w:rsid w:val="001F75FC"/>
    <w:rsid w:val="00201A13"/>
    <w:rsid w:val="0020508B"/>
    <w:rsid w:val="002050AF"/>
    <w:rsid w:val="00207124"/>
    <w:rsid w:val="00207BE7"/>
    <w:rsid w:val="00214D07"/>
    <w:rsid w:val="00217AEF"/>
    <w:rsid w:val="0022341C"/>
    <w:rsid w:val="00223845"/>
    <w:rsid w:val="002238E6"/>
    <w:rsid w:val="00223DE0"/>
    <w:rsid w:val="00224249"/>
    <w:rsid w:val="00226328"/>
    <w:rsid w:val="002274F9"/>
    <w:rsid w:val="002303DA"/>
    <w:rsid w:val="002307E9"/>
    <w:rsid w:val="00233D33"/>
    <w:rsid w:val="00234396"/>
    <w:rsid w:val="00235540"/>
    <w:rsid w:val="00237982"/>
    <w:rsid w:val="00237FB3"/>
    <w:rsid w:val="0024125F"/>
    <w:rsid w:val="002423E3"/>
    <w:rsid w:val="00242FA1"/>
    <w:rsid w:val="00243B0C"/>
    <w:rsid w:val="002445CB"/>
    <w:rsid w:val="00251FF4"/>
    <w:rsid w:val="00252DDA"/>
    <w:rsid w:val="002538B7"/>
    <w:rsid w:val="00254495"/>
    <w:rsid w:val="00255201"/>
    <w:rsid w:val="002578E4"/>
    <w:rsid w:val="00260257"/>
    <w:rsid w:val="00261800"/>
    <w:rsid w:val="00262534"/>
    <w:rsid w:val="00264D89"/>
    <w:rsid w:val="00265B60"/>
    <w:rsid w:val="00265DBF"/>
    <w:rsid w:val="0026620E"/>
    <w:rsid w:val="00267268"/>
    <w:rsid w:val="002701D0"/>
    <w:rsid w:val="0027074D"/>
    <w:rsid w:val="00270A54"/>
    <w:rsid w:val="00273040"/>
    <w:rsid w:val="002735EA"/>
    <w:rsid w:val="0027383D"/>
    <w:rsid w:val="0027400B"/>
    <w:rsid w:val="0027459D"/>
    <w:rsid w:val="0027617B"/>
    <w:rsid w:val="0027668C"/>
    <w:rsid w:val="00277748"/>
    <w:rsid w:val="00280016"/>
    <w:rsid w:val="002803CB"/>
    <w:rsid w:val="00280880"/>
    <w:rsid w:val="002815A0"/>
    <w:rsid w:val="00282885"/>
    <w:rsid w:val="00282E66"/>
    <w:rsid w:val="00284F45"/>
    <w:rsid w:val="0028656E"/>
    <w:rsid w:val="00290211"/>
    <w:rsid w:val="00290734"/>
    <w:rsid w:val="00291893"/>
    <w:rsid w:val="00291BE7"/>
    <w:rsid w:val="0029232E"/>
    <w:rsid w:val="00294664"/>
    <w:rsid w:val="00294939"/>
    <w:rsid w:val="002958F9"/>
    <w:rsid w:val="00296384"/>
    <w:rsid w:val="00297007"/>
    <w:rsid w:val="00297BB8"/>
    <w:rsid w:val="002A04FB"/>
    <w:rsid w:val="002A0530"/>
    <w:rsid w:val="002A1F17"/>
    <w:rsid w:val="002A2029"/>
    <w:rsid w:val="002A2A67"/>
    <w:rsid w:val="002A4122"/>
    <w:rsid w:val="002B11AD"/>
    <w:rsid w:val="002B12A6"/>
    <w:rsid w:val="002B16D1"/>
    <w:rsid w:val="002B297E"/>
    <w:rsid w:val="002B335E"/>
    <w:rsid w:val="002B3EAC"/>
    <w:rsid w:val="002B4948"/>
    <w:rsid w:val="002B4D1F"/>
    <w:rsid w:val="002B6E93"/>
    <w:rsid w:val="002B701E"/>
    <w:rsid w:val="002B7126"/>
    <w:rsid w:val="002B7964"/>
    <w:rsid w:val="002C028B"/>
    <w:rsid w:val="002C0C87"/>
    <w:rsid w:val="002C15FA"/>
    <w:rsid w:val="002C20BE"/>
    <w:rsid w:val="002C219D"/>
    <w:rsid w:val="002C273F"/>
    <w:rsid w:val="002C30C1"/>
    <w:rsid w:val="002C3EFC"/>
    <w:rsid w:val="002C3FA5"/>
    <w:rsid w:val="002C4475"/>
    <w:rsid w:val="002C5A17"/>
    <w:rsid w:val="002C5FFD"/>
    <w:rsid w:val="002C6B2A"/>
    <w:rsid w:val="002C7052"/>
    <w:rsid w:val="002D1C5E"/>
    <w:rsid w:val="002D26CE"/>
    <w:rsid w:val="002D29D5"/>
    <w:rsid w:val="002D62AA"/>
    <w:rsid w:val="002D6D35"/>
    <w:rsid w:val="002E006F"/>
    <w:rsid w:val="002E0A58"/>
    <w:rsid w:val="002E1204"/>
    <w:rsid w:val="002E176F"/>
    <w:rsid w:val="002E363C"/>
    <w:rsid w:val="002E39B8"/>
    <w:rsid w:val="002E4863"/>
    <w:rsid w:val="002E50FD"/>
    <w:rsid w:val="002E598A"/>
    <w:rsid w:val="002E5F52"/>
    <w:rsid w:val="002E660A"/>
    <w:rsid w:val="002E6BE4"/>
    <w:rsid w:val="002F0850"/>
    <w:rsid w:val="002F1CAE"/>
    <w:rsid w:val="002F21A5"/>
    <w:rsid w:val="002F47A6"/>
    <w:rsid w:val="002F61F2"/>
    <w:rsid w:val="002F79F2"/>
    <w:rsid w:val="0030259E"/>
    <w:rsid w:val="00302B22"/>
    <w:rsid w:val="00303DE6"/>
    <w:rsid w:val="003045D4"/>
    <w:rsid w:val="00305B67"/>
    <w:rsid w:val="00306176"/>
    <w:rsid w:val="003061D1"/>
    <w:rsid w:val="003063F6"/>
    <w:rsid w:val="00307355"/>
    <w:rsid w:val="0031006B"/>
    <w:rsid w:val="003110F0"/>
    <w:rsid w:val="0031130D"/>
    <w:rsid w:val="00311823"/>
    <w:rsid w:val="003119EA"/>
    <w:rsid w:val="00312931"/>
    <w:rsid w:val="00312955"/>
    <w:rsid w:val="00314F6D"/>
    <w:rsid w:val="003153F6"/>
    <w:rsid w:val="00315566"/>
    <w:rsid w:val="003155B2"/>
    <w:rsid w:val="00321246"/>
    <w:rsid w:val="00321B93"/>
    <w:rsid w:val="003221AD"/>
    <w:rsid w:val="00322324"/>
    <w:rsid w:val="003244A1"/>
    <w:rsid w:val="0032513B"/>
    <w:rsid w:val="00325B53"/>
    <w:rsid w:val="00325DFA"/>
    <w:rsid w:val="003261C6"/>
    <w:rsid w:val="00327410"/>
    <w:rsid w:val="00330A9E"/>
    <w:rsid w:val="0033158E"/>
    <w:rsid w:val="003317C2"/>
    <w:rsid w:val="00333B6C"/>
    <w:rsid w:val="00333EE8"/>
    <w:rsid w:val="00334194"/>
    <w:rsid w:val="00334F2E"/>
    <w:rsid w:val="003350E7"/>
    <w:rsid w:val="00335462"/>
    <w:rsid w:val="00335A50"/>
    <w:rsid w:val="003364D7"/>
    <w:rsid w:val="003365DA"/>
    <w:rsid w:val="00341234"/>
    <w:rsid w:val="0034487F"/>
    <w:rsid w:val="00346690"/>
    <w:rsid w:val="00347361"/>
    <w:rsid w:val="00350E70"/>
    <w:rsid w:val="0035283A"/>
    <w:rsid w:val="00352996"/>
    <w:rsid w:val="003540F5"/>
    <w:rsid w:val="00354DC2"/>
    <w:rsid w:val="00354EAB"/>
    <w:rsid w:val="00356853"/>
    <w:rsid w:val="00361E0A"/>
    <w:rsid w:val="0036275D"/>
    <w:rsid w:val="003627D6"/>
    <w:rsid w:val="0036396B"/>
    <w:rsid w:val="003645AC"/>
    <w:rsid w:val="00364C1F"/>
    <w:rsid w:val="00365DC5"/>
    <w:rsid w:val="00365E86"/>
    <w:rsid w:val="0036648E"/>
    <w:rsid w:val="00366FD5"/>
    <w:rsid w:val="003673FA"/>
    <w:rsid w:val="00367AFA"/>
    <w:rsid w:val="00367FD6"/>
    <w:rsid w:val="003708C6"/>
    <w:rsid w:val="003714B3"/>
    <w:rsid w:val="00372369"/>
    <w:rsid w:val="003743E8"/>
    <w:rsid w:val="00375080"/>
    <w:rsid w:val="00375126"/>
    <w:rsid w:val="0037569D"/>
    <w:rsid w:val="00376B9B"/>
    <w:rsid w:val="00376E8E"/>
    <w:rsid w:val="00377DA5"/>
    <w:rsid w:val="00382197"/>
    <w:rsid w:val="00382CAD"/>
    <w:rsid w:val="00383F5B"/>
    <w:rsid w:val="003844E3"/>
    <w:rsid w:val="00384A19"/>
    <w:rsid w:val="003852CE"/>
    <w:rsid w:val="0038601D"/>
    <w:rsid w:val="003874A0"/>
    <w:rsid w:val="00390281"/>
    <w:rsid w:val="00390327"/>
    <w:rsid w:val="0039217E"/>
    <w:rsid w:val="00393114"/>
    <w:rsid w:val="0039374C"/>
    <w:rsid w:val="00393DFD"/>
    <w:rsid w:val="00394428"/>
    <w:rsid w:val="0039477D"/>
    <w:rsid w:val="00394BCE"/>
    <w:rsid w:val="00394DBF"/>
    <w:rsid w:val="00395B08"/>
    <w:rsid w:val="00396373"/>
    <w:rsid w:val="00396749"/>
    <w:rsid w:val="00397158"/>
    <w:rsid w:val="00397C68"/>
    <w:rsid w:val="00397F27"/>
    <w:rsid w:val="003A0229"/>
    <w:rsid w:val="003A0AB8"/>
    <w:rsid w:val="003A1375"/>
    <w:rsid w:val="003A19BC"/>
    <w:rsid w:val="003A25C4"/>
    <w:rsid w:val="003A28DF"/>
    <w:rsid w:val="003A2981"/>
    <w:rsid w:val="003A2C6E"/>
    <w:rsid w:val="003A2D93"/>
    <w:rsid w:val="003A3E08"/>
    <w:rsid w:val="003A4783"/>
    <w:rsid w:val="003A479A"/>
    <w:rsid w:val="003A4AB8"/>
    <w:rsid w:val="003A7FC9"/>
    <w:rsid w:val="003B0391"/>
    <w:rsid w:val="003B2593"/>
    <w:rsid w:val="003B2670"/>
    <w:rsid w:val="003B6516"/>
    <w:rsid w:val="003B6D20"/>
    <w:rsid w:val="003B6F5F"/>
    <w:rsid w:val="003B7406"/>
    <w:rsid w:val="003B75FC"/>
    <w:rsid w:val="003C1261"/>
    <w:rsid w:val="003C214B"/>
    <w:rsid w:val="003C2E22"/>
    <w:rsid w:val="003C3087"/>
    <w:rsid w:val="003C3154"/>
    <w:rsid w:val="003C31BC"/>
    <w:rsid w:val="003C3F6A"/>
    <w:rsid w:val="003C4518"/>
    <w:rsid w:val="003C51C2"/>
    <w:rsid w:val="003D0CC6"/>
    <w:rsid w:val="003D136C"/>
    <w:rsid w:val="003D16CE"/>
    <w:rsid w:val="003D1C3A"/>
    <w:rsid w:val="003D2351"/>
    <w:rsid w:val="003D2847"/>
    <w:rsid w:val="003D4ABB"/>
    <w:rsid w:val="003D5D8A"/>
    <w:rsid w:val="003D61CA"/>
    <w:rsid w:val="003D6A40"/>
    <w:rsid w:val="003D75C1"/>
    <w:rsid w:val="003E04C5"/>
    <w:rsid w:val="003E1557"/>
    <w:rsid w:val="003E2594"/>
    <w:rsid w:val="003E3113"/>
    <w:rsid w:val="003E347F"/>
    <w:rsid w:val="003E4C3A"/>
    <w:rsid w:val="003E4D54"/>
    <w:rsid w:val="003E4F24"/>
    <w:rsid w:val="003E637C"/>
    <w:rsid w:val="003E6A1F"/>
    <w:rsid w:val="003E79AD"/>
    <w:rsid w:val="003F03D6"/>
    <w:rsid w:val="003F15C1"/>
    <w:rsid w:val="003F169C"/>
    <w:rsid w:val="003F281B"/>
    <w:rsid w:val="003F29E3"/>
    <w:rsid w:val="003F2C55"/>
    <w:rsid w:val="003F37F7"/>
    <w:rsid w:val="003F4781"/>
    <w:rsid w:val="003F4993"/>
    <w:rsid w:val="003F6112"/>
    <w:rsid w:val="003F62D3"/>
    <w:rsid w:val="003F63ED"/>
    <w:rsid w:val="003F67D8"/>
    <w:rsid w:val="003F70F7"/>
    <w:rsid w:val="003F7751"/>
    <w:rsid w:val="004004D8"/>
    <w:rsid w:val="004008AE"/>
    <w:rsid w:val="0040185D"/>
    <w:rsid w:val="00401A2A"/>
    <w:rsid w:val="00401E61"/>
    <w:rsid w:val="00402A31"/>
    <w:rsid w:val="004044A8"/>
    <w:rsid w:val="00404A83"/>
    <w:rsid w:val="00404F87"/>
    <w:rsid w:val="00406EAA"/>
    <w:rsid w:val="00406FBE"/>
    <w:rsid w:val="00407062"/>
    <w:rsid w:val="00407E51"/>
    <w:rsid w:val="00410543"/>
    <w:rsid w:val="00410722"/>
    <w:rsid w:val="00410B6D"/>
    <w:rsid w:val="00410C72"/>
    <w:rsid w:val="004117DF"/>
    <w:rsid w:val="00412832"/>
    <w:rsid w:val="00412DEE"/>
    <w:rsid w:val="0041334E"/>
    <w:rsid w:val="00413C7F"/>
    <w:rsid w:val="00414108"/>
    <w:rsid w:val="00414536"/>
    <w:rsid w:val="00414D51"/>
    <w:rsid w:val="00415BF4"/>
    <w:rsid w:val="004167AE"/>
    <w:rsid w:val="00416935"/>
    <w:rsid w:val="00417750"/>
    <w:rsid w:val="00420E04"/>
    <w:rsid w:val="0042112F"/>
    <w:rsid w:val="00421859"/>
    <w:rsid w:val="0042266D"/>
    <w:rsid w:val="004238C2"/>
    <w:rsid w:val="00423CA8"/>
    <w:rsid w:val="00424CA3"/>
    <w:rsid w:val="0043090B"/>
    <w:rsid w:val="00432665"/>
    <w:rsid w:val="004326DC"/>
    <w:rsid w:val="00432800"/>
    <w:rsid w:val="004344D7"/>
    <w:rsid w:val="0043484E"/>
    <w:rsid w:val="00434C81"/>
    <w:rsid w:val="00435218"/>
    <w:rsid w:val="00436989"/>
    <w:rsid w:val="00436EB3"/>
    <w:rsid w:val="00437120"/>
    <w:rsid w:val="004404FC"/>
    <w:rsid w:val="0044088E"/>
    <w:rsid w:val="004410A1"/>
    <w:rsid w:val="00441FFD"/>
    <w:rsid w:val="00442A83"/>
    <w:rsid w:val="00443E1D"/>
    <w:rsid w:val="00443EFF"/>
    <w:rsid w:val="00444D29"/>
    <w:rsid w:val="00447178"/>
    <w:rsid w:val="0045011D"/>
    <w:rsid w:val="00453826"/>
    <w:rsid w:val="00454045"/>
    <w:rsid w:val="004551A8"/>
    <w:rsid w:val="00455890"/>
    <w:rsid w:val="00455B9A"/>
    <w:rsid w:val="00455F0F"/>
    <w:rsid w:val="004575FD"/>
    <w:rsid w:val="00462207"/>
    <w:rsid w:val="00464144"/>
    <w:rsid w:val="00464E47"/>
    <w:rsid w:val="004665D0"/>
    <w:rsid w:val="004666D5"/>
    <w:rsid w:val="00467F63"/>
    <w:rsid w:val="00471046"/>
    <w:rsid w:val="00471C3D"/>
    <w:rsid w:val="00471D23"/>
    <w:rsid w:val="004722F4"/>
    <w:rsid w:val="0047251D"/>
    <w:rsid w:val="0047397A"/>
    <w:rsid w:val="00475FE2"/>
    <w:rsid w:val="004761F8"/>
    <w:rsid w:val="00476305"/>
    <w:rsid w:val="0047666F"/>
    <w:rsid w:val="00477E26"/>
    <w:rsid w:val="00480588"/>
    <w:rsid w:val="00480754"/>
    <w:rsid w:val="00480D35"/>
    <w:rsid w:val="004817C8"/>
    <w:rsid w:val="00482433"/>
    <w:rsid w:val="004829A7"/>
    <w:rsid w:val="00486482"/>
    <w:rsid w:val="004877AB"/>
    <w:rsid w:val="00487A5A"/>
    <w:rsid w:val="00487BD5"/>
    <w:rsid w:val="00493EE7"/>
    <w:rsid w:val="00496395"/>
    <w:rsid w:val="00497338"/>
    <w:rsid w:val="004A07DB"/>
    <w:rsid w:val="004A0B6E"/>
    <w:rsid w:val="004A1ED3"/>
    <w:rsid w:val="004A2F4C"/>
    <w:rsid w:val="004A5401"/>
    <w:rsid w:val="004A552D"/>
    <w:rsid w:val="004A64FF"/>
    <w:rsid w:val="004A6626"/>
    <w:rsid w:val="004A6741"/>
    <w:rsid w:val="004A7731"/>
    <w:rsid w:val="004B0375"/>
    <w:rsid w:val="004B04B3"/>
    <w:rsid w:val="004B148C"/>
    <w:rsid w:val="004B3109"/>
    <w:rsid w:val="004B32AA"/>
    <w:rsid w:val="004B4FCD"/>
    <w:rsid w:val="004B77DE"/>
    <w:rsid w:val="004C0241"/>
    <w:rsid w:val="004C2345"/>
    <w:rsid w:val="004C2D2D"/>
    <w:rsid w:val="004C2F7F"/>
    <w:rsid w:val="004C5115"/>
    <w:rsid w:val="004C6137"/>
    <w:rsid w:val="004C6361"/>
    <w:rsid w:val="004C6974"/>
    <w:rsid w:val="004D07FD"/>
    <w:rsid w:val="004D0B45"/>
    <w:rsid w:val="004D17A4"/>
    <w:rsid w:val="004D2586"/>
    <w:rsid w:val="004D2E91"/>
    <w:rsid w:val="004D3498"/>
    <w:rsid w:val="004D3ECE"/>
    <w:rsid w:val="004D4EE2"/>
    <w:rsid w:val="004D6925"/>
    <w:rsid w:val="004E05A5"/>
    <w:rsid w:val="004E1370"/>
    <w:rsid w:val="004E233C"/>
    <w:rsid w:val="004E2F33"/>
    <w:rsid w:val="004E340A"/>
    <w:rsid w:val="004E375B"/>
    <w:rsid w:val="004E3809"/>
    <w:rsid w:val="004E3E2E"/>
    <w:rsid w:val="004E3EEF"/>
    <w:rsid w:val="004E4F1A"/>
    <w:rsid w:val="004E599D"/>
    <w:rsid w:val="004E6182"/>
    <w:rsid w:val="004E6351"/>
    <w:rsid w:val="004F027A"/>
    <w:rsid w:val="004F146B"/>
    <w:rsid w:val="004F14A1"/>
    <w:rsid w:val="004F3D00"/>
    <w:rsid w:val="004F3F5A"/>
    <w:rsid w:val="004F474B"/>
    <w:rsid w:val="004F4797"/>
    <w:rsid w:val="004F508F"/>
    <w:rsid w:val="004F50A6"/>
    <w:rsid w:val="004F6B24"/>
    <w:rsid w:val="00500C73"/>
    <w:rsid w:val="005018B6"/>
    <w:rsid w:val="00502159"/>
    <w:rsid w:val="00502B06"/>
    <w:rsid w:val="005037A2"/>
    <w:rsid w:val="00503DFE"/>
    <w:rsid w:val="005044E1"/>
    <w:rsid w:val="00504E09"/>
    <w:rsid w:val="00506C84"/>
    <w:rsid w:val="00510854"/>
    <w:rsid w:val="00511CE4"/>
    <w:rsid w:val="00512EF9"/>
    <w:rsid w:val="0051348D"/>
    <w:rsid w:val="00513527"/>
    <w:rsid w:val="005136DA"/>
    <w:rsid w:val="005138B3"/>
    <w:rsid w:val="00514269"/>
    <w:rsid w:val="00514825"/>
    <w:rsid w:val="00514942"/>
    <w:rsid w:val="0051597D"/>
    <w:rsid w:val="00516364"/>
    <w:rsid w:val="00516B70"/>
    <w:rsid w:val="00520099"/>
    <w:rsid w:val="00520BCA"/>
    <w:rsid w:val="00522535"/>
    <w:rsid w:val="00524204"/>
    <w:rsid w:val="00524EC5"/>
    <w:rsid w:val="00525ACF"/>
    <w:rsid w:val="00526CD1"/>
    <w:rsid w:val="00527CB6"/>
    <w:rsid w:val="0053021F"/>
    <w:rsid w:val="0053081A"/>
    <w:rsid w:val="00531374"/>
    <w:rsid w:val="00532727"/>
    <w:rsid w:val="0053476A"/>
    <w:rsid w:val="0053568E"/>
    <w:rsid w:val="005370AB"/>
    <w:rsid w:val="005377B6"/>
    <w:rsid w:val="00541049"/>
    <w:rsid w:val="0054183F"/>
    <w:rsid w:val="00542385"/>
    <w:rsid w:val="00542D63"/>
    <w:rsid w:val="00543188"/>
    <w:rsid w:val="0054544D"/>
    <w:rsid w:val="00545A53"/>
    <w:rsid w:val="00545DF1"/>
    <w:rsid w:val="005463BB"/>
    <w:rsid w:val="0054698B"/>
    <w:rsid w:val="00547C6D"/>
    <w:rsid w:val="00547E7B"/>
    <w:rsid w:val="0055258F"/>
    <w:rsid w:val="00553441"/>
    <w:rsid w:val="005543CC"/>
    <w:rsid w:val="00554978"/>
    <w:rsid w:val="005550A7"/>
    <w:rsid w:val="0055655A"/>
    <w:rsid w:val="00557C5F"/>
    <w:rsid w:val="00557DC4"/>
    <w:rsid w:val="00560273"/>
    <w:rsid w:val="0056076E"/>
    <w:rsid w:val="005611C5"/>
    <w:rsid w:val="005614A5"/>
    <w:rsid w:val="005618ED"/>
    <w:rsid w:val="005626CA"/>
    <w:rsid w:val="00562871"/>
    <w:rsid w:val="00562B0C"/>
    <w:rsid w:val="00563E94"/>
    <w:rsid w:val="00563FB4"/>
    <w:rsid w:val="00564875"/>
    <w:rsid w:val="005667D8"/>
    <w:rsid w:val="00566C8B"/>
    <w:rsid w:val="00566D10"/>
    <w:rsid w:val="00570064"/>
    <w:rsid w:val="0057087D"/>
    <w:rsid w:val="005708F6"/>
    <w:rsid w:val="0057140F"/>
    <w:rsid w:val="00571B93"/>
    <w:rsid w:val="00572109"/>
    <w:rsid w:val="00573170"/>
    <w:rsid w:val="00573834"/>
    <w:rsid w:val="00575DDE"/>
    <w:rsid w:val="00576E91"/>
    <w:rsid w:val="00577720"/>
    <w:rsid w:val="00580CC6"/>
    <w:rsid w:val="00581371"/>
    <w:rsid w:val="005821D1"/>
    <w:rsid w:val="005825B5"/>
    <w:rsid w:val="0058299F"/>
    <w:rsid w:val="00583813"/>
    <w:rsid w:val="00583B69"/>
    <w:rsid w:val="0058409D"/>
    <w:rsid w:val="005846AB"/>
    <w:rsid w:val="00584AF0"/>
    <w:rsid w:val="00585A66"/>
    <w:rsid w:val="0058651A"/>
    <w:rsid w:val="00586EC3"/>
    <w:rsid w:val="0058708B"/>
    <w:rsid w:val="005870FC"/>
    <w:rsid w:val="00587195"/>
    <w:rsid w:val="00587D2D"/>
    <w:rsid w:val="00590058"/>
    <w:rsid w:val="00591478"/>
    <w:rsid w:val="00593C08"/>
    <w:rsid w:val="00595B9A"/>
    <w:rsid w:val="00595C0D"/>
    <w:rsid w:val="005965F6"/>
    <w:rsid w:val="005973C3"/>
    <w:rsid w:val="00597AF2"/>
    <w:rsid w:val="005A01C2"/>
    <w:rsid w:val="005A1F38"/>
    <w:rsid w:val="005A2BFA"/>
    <w:rsid w:val="005A3501"/>
    <w:rsid w:val="005A4466"/>
    <w:rsid w:val="005A4EC3"/>
    <w:rsid w:val="005A5825"/>
    <w:rsid w:val="005B01FA"/>
    <w:rsid w:val="005B031B"/>
    <w:rsid w:val="005B2271"/>
    <w:rsid w:val="005B29C9"/>
    <w:rsid w:val="005B308A"/>
    <w:rsid w:val="005B3C2A"/>
    <w:rsid w:val="005B4C40"/>
    <w:rsid w:val="005B4EEC"/>
    <w:rsid w:val="005B6BD0"/>
    <w:rsid w:val="005B79E2"/>
    <w:rsid w:val="005B7A62"/>
    <w:rsid w:val="005C089C"/>
    <w:rsid w:val="005C1773"/>
    <w:rsid w:val="005C2A9B"/>
    <w:rsid w:val="005C3A96"/>
    <w:rsid w:val="005C4BB2"/>
    <w:rsid w:val="005C5C13"/>
    <w:rsid w:val="005C6F41"/>
    <w:rsid w:val="005C7EF7"/>
    <w:rsid w:val="005D08A5"/>
    <w:rsid w:val="005D12DB"/>
    <w:rsid w:val="005D160D"/>
    <w:rsid w:val="005D303B"/>
    <w:rsid w:val="005D334E"/>
    <w:rsid w:val="005D392C"/>
    <w:rsid w:val="005D5AEE"/>
    <w:rsid w:val="005D69F5"/>
    <w:rsid w:val="005D6C51"/>
    <w:rsid w:val="005D7EF3"/>
    <w:rsid w:val="005E0238"/>
    <w:rsid w:val="005E02D9"/>
    <w:rsid w:val="005E1140"/>
    <w:rsid w:val="005E1EEE"/>
    <w:rsid w:val="005E2128"/>
    <w:rsid w:val="005E215B"/>
    <w:rsid w:val="005E21F0"/>
    <w:rsid w:val="005E32A6"/>
    <w:rsid w:val="005E3576"/>
    <w:rsid w:val="005E4882"/>
    <w:rsid w:val="005E529C"/>
    <w:rsid w:val="005E57FA"/>
    <w:rsid w:val="005E598F"/>
    <w:rsid w:val="005F0126"/>
    <w:rsid w:val="005F0365"/>
    <w:rsid w:val="005F0FE9"/>
    <w:rsid w:val="005F21E0"/>
    <w:rsid w:val="005F279D"/>
    <w:rsid w:val="005F4A8D"/>
    <w:rsid w:val="005F5615"/>
    <w:rsid w:val="005F58C4"/>
    <w:rsid w:val="005F5D56"/>
    <w:rsid w:val="005F6AA6"/>
    <w:rsid w:val="005F6B0C"/>
    <w:rsid w:val="005F6EB0"/>
    <w:rsid w:val="005F7D3C"/>
    <w:rsid w:val="0060210F"/>
    <w:rsid w:val="00602913"/>
    <w:rsid w:val="00602A91"/>
    <w:rsid w:val="00604882"/>
    <w:rsid w:val="00604A11"/>
    <w:rsid w:val="00604AC5"/>
    <w:rsid w:val="0060788C"/>
    <w:rsid w:val="006078CF"/>
    <w:rsid w:val="00607B6F"/>
    <w:rsid w:val="006102D6"/>
    <w:rsid w:val="00610AF0"/>
    <w:rsid w:val="00611677"/>
    <w:rsid w:val="0061182D"/>
    <w:rsid w:val="00613A62"/>
    <w:rsid w:val="0061459B"/>
    <w:rsid w:val="0062028C"/>
    <w:rsid w:val="00620D9E"/>
    <w:rsid w:val="00622A43"/>
    <w:rsid w:val="006239EE"/>
    <w:rsid w:val="0062403D"/>
    <w:rsid w:val="006242D1"/>
    <w:rsid w:val="00630D5D"/>
    <w:rsid w:val="006311E8"/>
    <w:rsid w:val="00632682"/>
    <w:rsid w:val="00635F21"/>
    <w:rsid w:val="00636621"/>
    <w:rsid w:val="0063778A"/>
    <w:rsid w:val="00640E0A"/>
    <w:rsid w:val="0064118D"/>
    <w:rsid w:val="0064213E"/>
    <w:rsid w:val="00642B41"/>
    <w:rsid w:val="006452A5"/>
    <w:rsid w:val="006472FF"/>
    <w:rsid w:val="006473AD"/>
    <w:rsid w:val="0064785E"/>
    <w:rsid w:val="00652A8D"/>
    <w:rsid w:val="006557F6"/>
    <w:rsid w:val="00656AEA"/>
    <w:rsid w:val="00656D9C"/>
    <w:rsid w:val="00657871"/>
    <w:rsid w:val="006578AC"/>
    <w:rsid w:val="00660D07"/>
    <w:rsid w:val="00661810"/>
    <w:rsid w:val="00662D6C"/>
    <w:rsid w:val="0066455E"/>
    <w:rsid w:val="00664653"/>
    <w:rsid w:val="00666270"/>
    <w:rsid w:val="00666E31"/>
    <w:rsid w:val="0067028F"/>
    <w:rsid w:val="0067167D"/>
    <w:rsid w:val="006730D3"/>
    <w:rsid w:val="006732C9"/>
    <w:rsid w:val="00673E21"/>
    <w:rsid w:val="00674DF6"/>
    <w:rsid w:val="00675546"/>
    <w:rsid w:val="00676E7C"/>
    <w:rsid w:val="006775C1"/>
    <w:rsid w:val="00677EE1"/>
    <w:rsid w:val="006813D4"/>
    <w:rsid w:val="0068168C"/>
    <w:rsid w:val="00681983"/>
    <w:rsid w:val="0068285B"/>
    <w:rsid w:val="006829FC"/>
    <w:rsid w:val="00684FF4"/>
    <w:rsid w:val="0068574E"/>
    <w:rsid w:val="006859B8"/>
    <w:rsid w:val="006864D6"/>
    <w:rsid w:val="00687B24"/>
    <w:rsid w:val="00690B11"/>
    <w:rsid w:val="00691F65"/>
    <w:rsid w:val="00694B3A"/>
    <w:rsid w:val="006955F7"/>
    <w:rsid w:val="00696765"/>
    <w:rsid w:val="006970B3"/>
    <w:rsid w:val="0069784B"/>
    <w:rsid w:val="006A2703"/>
    <w:rsid w:val="006A6037"/>
    <w:rsid w:val="006A6697"/>
    <w:rsid w:val="006A676C"/>
    <w:rsid w:val="006B100A"/>
    <w:rsid w:val="006B40F7"/>
    <w:rsid w:val="006B583F"/>
    <w:rsid w:val="006B5C6C"/>
    <w:rsid w:val="006B7DD1"/>
    <w:rsid w:val="006C3A7B"/>
    <w:rsid w:val="006C4B93"/>
    <w:rsid w:val="006C5FCC"/>
    <w:rsid w:val="006C62BE"/>
    <w:rsid w:val="006D093F"/>
    <w:rsid w:val="006D1282"/>
    <w:rsid w:val="006D67E8"/>
    <w:rsid w:val="006E0316"/>
    <w:rsid w:val="006E17E4"/>
    <w:rsid w:val="006E25A1"/>
    <w:rsid w:val="006E3255"/>
    <w:rsid w:val="006E372E"/>
    <w:rsid w:val="006E4134"/>
    <w:rsid w:val="006E4824"/>
    <w:rsid w:val="006E5108"/>
    <w:rsid w:val="006E586B"/>
    <w:rsid w:val="006E67D3"/>
    <w:rsid w:val="006E6870"/>
    <w:rsid w:val="006E6EF8"/>
    <w:rsid w:val="006E729F"/>
    <w:rsid w:val="006F1661"/>
    <w:rsid w:val="006F1B54"/>
    <w:rsid w:val="006F27C8"/>
    <w:rsid w:val="006F31D7"/>
    <w:rsid w:val="006F4492"/>
    <w:rsid w:val="006F455B"/>
    <w:rsid w:val="006F4769"/>
    <w:rsid w:val="006F4CA7"/>
    <w:rsid w:val="006F531D"/>
    <w:rsid w:val="006F59AC"/>
    <w:rsid w:val="006F5C7E"/>
    <w:rsid w:val="006F7E52"/>
    <w:rsid w:val="00700D47"/>
    <w:rsid w:val="00703B7B"/>
    <w:rsid w:val="00704018"/>
    <w:rsid w:val="007062DC"/>
    <w:rsid w:val="0070635B"/>
    <w:rsid w:val="00707129"/>
    <w:rsid w:val="007074AC"/>
    <w:rsid w:val="00707EE0"/>
    <w:rsid w:val="00711413"/>
    <w:rsid w:val="007116A2"/>
    <w:rsid w:val="00711E51"/>
    <w:rsid w:val="00712B5F"/>
    <w:rsid w:val="00714674"/>
    <w:rsid w:val="00714B21"/>
    <w:rsid w:val="00715165"/>
    <w:rsid w:val="00715FCC"/>
    <w:rsid w:val="007171FB"/>
    <w:rsid w:val="00717A1F"/>
    <w:rsid w:val="0072050F"/>
    <w:rsid w:val="0072090A"/>
    <w:rsid w:val="007217E5"/>
    <w:rsid w:val="00721B7F"/>
    <w:rsid w:val="00722F25"/>
    <w:rsid w:val="0072378D"/>
    <w:rsid w:val="0072419C"/>
    <w:rsid w:val="0072429F"/>
    <w:rsid w:val="00725385"/>
    <w:rsid w:val="00725D85"/>
    <w:rsid w:val="007307D9"/>
    <w:rsid w:val="00730D56"/>
    <w:rsid w:val="00730EBF"/>
    <w:rsid w:val="0073103A"/>
    <w:rsid w:val="0073199A"/>
    <w:rsid w:val="00732355"/>
    <w:rsid w:val="007337F4"/>
    <w:rsid w:val="0073401A"/>
    <w:rsid w:val="0073495D"/>
    <w:rsid w:val="00735A67"/>
    <w:rsid w:val="00736D83"/>
    <w:rsid w:val="007408C0"/>
    <w:rsid w:val="007412BC"/>
    <w:rsid w:val="00742003"/>
    <w:rsid w:val="00743FAA"/>
    <w:rsid w:val="007449A1"/>
    <w:rsid w:val="00744B85"/>
    <w:rsid w:val="00744FE5"/>
    <w:rsid w:val="00745C67"/>
    <w:rsid w:val="0074769F"/>
    <w:rsid w:val="00750128"/>
    <w:rsid w:val="007507B9"/>
    <w:rsid w:val="00751692"/>
    <w:rsid w:val="007523AD"/>
    <w:rsid w:val="00752A0B"/>
    <w:rsid w:val="00752D0F"/>
    <w:rsid w:val="0075422A"/>
    <w:rsid w:val="00754789"/>
    <w:rsid w:val="00754875"/>
    <w:rsid w:val="0075573A"/>
    <w:rsid w:val="00757614"/>
    <w:rsid w:val="00757CEB"/>
    <w:rsid w:val="00760FBD"/>
    <w:rsid w:val="00762A9E"/>
    <w:rsid w:val="00762F28"/>
    <w:rsid w:val="00763340"/>
    <w:rsid w:val="00763F4E"/>
    <w:rsid w:val="0076418D"/>
    <w:rsid w:val="0076557A"/>
    <w:rsid w:val="00765927"/>
    <w:rsid w:val="00766DAE"/>
    <w:rsid w:val="00767C7C"/>
    <w:rsid w:val="00770CF3"/>
    <w:rsid w:val="00771116"/>
    <w:rsid w:val="0077173B"/>
    <w:rsid w:val="007751C1"/>
    <w:rsid w:val="00776B45"/>
    <w:rsid w:val="00780D96"/>
    <w:rsid w:val="007811DD"/>
    <w:rsid w:val="007815D2"/>
    <w:rsid w:val="00781F15"/>
    <w:rsid w:val="007822D0"/>
    <w:rsid w:val="0078242C"/>
    <w:rsid w:val="00783EC3"/>
    <w:rsid w:val="0078473A"/>
    <w:rsid w:val="00784A63"/>
    <w:rsid w:val="0078634A"/>
    <w:rsid w:val="0078652C"/>
    <w:rsid w:val="00790B7F"/>
    <w:rsid w:val="0079103A"/>
    <w:rsid w:val="0079167E"/>
    <w:rsid w:val="00791E06"/>
    <w:rsid w:val="00792C06"/>
    <w:rsid w:val="00793416"/>
    <w:rsid w:val="00794264"/>
    <w:rsid w:val="0079519C"/>
    <w:rsid w:val="00796725"/>
    <w:rsid w:val="00796972"/>
    <w:rsid w:val="007A17BC"/>
    <w:rsid w:val="007A1CB1"/>
    <w:rsid w:val="007A27BF"/>
    <w:rsid w:val="007A316A"/>
    <w:rsid w:val="007A444C"/>
    <w:rsid w:val="007A57B0"/>
    <w:rsid w:val="007A5E80"/>
    <w:rsid w:val="007A70A8"/>
    <w:rsid w:val="007B010D"/>
    <w:rsid w:val="007B0E07"/>
    <w:rsid w:val="007B103F"/>
    <w:rsid w:val="007B1B37"/>
    <w:rsid w:val="007B24A6"/>
    <w:rsid w:val="007B2FE1"/>
    <w:rsid w:val="007B348E"/>
    <w:rsid w:val="007B379C"/>
    <w:rsid w:val="007B4409"/>
    <w:rsid w:val="007B4BCE"/>
    <w:rsid w:val="007B51A4"/>
    <w:rsid w:val="007B57D9"/>
    <w:rsid w:val="007B7359"/>
    <w:rsid w:val="007C0556"/>
    <w:rsid w:val="007C14B0"/>
    <w:rsid w:val="007C19E9"/>
    <w:rsid w:val="007C1F9C"/>
    <w:rsid w:val="007C3038"/>
    <w:rsid w:val="007C30FF"/>
    <w:rsid w:val="007C383F"/>
    <w:rsid w:val="007C42D8"/>
    <w:rsid w:val="007C43C4"/>
    <w:rsid w:val="007C626D"/>
    <w:rsid w:val="007C62C0"/>
    <w:rsid w:val="007D00D3"/>
    <w:rsid w:val="007D0DDE"/>
    <w:rsid w:val="007D0EB1"/>
    <w:rsid w:val="007D11A9"/>
    <w:rsid w:val="007D1BF9"/>
    <w:rsid w:val="007D1D11"/>
    <w:rsid w:val="007D1E85"/>
    <w:rsid w:val="007D1E8B"/>
    <w:rsid w:val="007D21CF"/>
    <w:rsid w:val="007D228C"/>
    <w:rsid w:val="007D2E22"/>
    <w:rsid w:val="007D56FC"/>
    <w:rsid w:val="007D5817"/>
    <w:rsid w:val="007D64FC"/>
    <w:rsid w:val="007D6BFB"/>
    <w:rsid w:val="007D6EF4"/>
    <w:rsid w:val="007D78AE"/>
    <w:rsid w:val="007D7BAF"/>
    <w:rsid w:val="007E08C0"/>
    <w:rsid w:val="007E1292"/>
    <w:rsid w:val="007E168C"/>
    <w:rsid w:val="007E18AF"/>
    <w:rsid w:val="007E2C58"/>
    <w:rsid w:val="007E3D2B"/>
    <w:rsid w:val="007E64AD"/>
    <w:rsid w:val="007E7459"/>
    <w:rsid w:val="007E7E8A"/>
    <w:rsid w:val="007F0C09"/>
    <w:rsid w:val="007F17A7"/>
    <w:rsid w:val="007F17FA"/>
    <w:rsid w:val="007F37C2"/>
    <w:rsid w:val="007F4701"/>
    <w:rsid w:val="007F4D5D"/>
    <w:rsid w:val="007F589C"/>
    <w:rsid w:val="007F61B3"/>
    <w:rsid w:val="007F728B"/>
    <w:rsid w:val="007F7CB5"/>
    <w:rsid w:val="007F7F5E"/>
    <w:rsid w:val="00800F42"/>
    <w:rsid w:val="008020CF"/>
    <w:rsid w:val="008022DC"/>
    <w:rsid w:val="008036BA"/>
    <w:rsid w:val="00803901"/>
    <w:rsid w:val="00803956"/>
    <w:rsid w:val="00803F3F"/>
    <w:rsid w:val="00805F3C"/>
    <w:rsid w:val="0080655C"/>
    <w:rsid w:val="00806636"/>
    <w:rsid w:val="0080663E"/>
    <w:rsid w:val="008070B0"/>
    <w:rsid w:val="00810781"/>
    <w:rsid w:val="00810C57"/>
    <w:rsid w:val="00811047"/>
    <w:rsid w:val="00811616"/>
    <w:rsid w:val="00813F60"/>
    <w:rsid w:val="008140A7"/>
    <w:rsid w:val="00814EFE"/>
    <w:rsid w:val="00816B28"/>
    <w:rsid w:val="00816C9B"/>
    <w:rsid w:val="008178EA"/>
    <w:rsid w:val="00821660"/>
    <w:rsid w:val="00822987"/>
    <w:rsid w:val="00822E34"/>
    <w:rsid w:val="0082316E"/>
    <w:rsid w:val="00823FDB"/>
    <w:rsid w:val="008279EA"/>
    <w:rsid w:val="008304A7"/>
    <w:rsid w:val="00830FEF"/>
    <w:rsid w:val="00831069"/>
    <w:rsid w:val="0083381D"/>
    <w:rsid w:val="0083383A"/>
    <w:rsid w:val="00837B63"/>
    <w:rsid w:val="00837F81"/>
    <w:rsid w:val="00840D23"/>
    <w:rsid w:val="00840D31"/>
    <w:rsid w:val="008418B7"/>
    <w:rsid w:val="00842825"/>
    <w:rsid w:val="00843AF4"/>
    <w:rsid w:val="00844A7F"/>
    <w:rsid w:val="008455F0"/>
    <w:rsid w:val="0084618C"/>
    <w:rsid w:val="008464C2"/>
    <w:rsid w:val="00847A96"/>
    <w:rsid w:val="008509CA"/>
    <w:rsid w:val="00850E15"/>
    <w:rsid w:val="008522AB"/>
    <w:rsid w:val="008533F1"/>
    <w:rsid w:val="008541E0"/>
    <w:rsid w:val="0085530B"/>
    <w:rsid w:val="00855C2F"/>
    <w:rsid w:val="008561A6"/>
    <w:rsid w:val="0085727A"/>
    <w:rsid w:val="00857B52"/>
    <w:rsid w:val="00857B5F"/>
    <w:rsid w:val="0086039A"/>
    <w:rsid w:val="00862622"/>
    <w:rsid w:val="00862AED"/>
    <w:rsid w:val="00863A96"/>
    <w:rsid w:val="0086423E"/>
    <w:rsid w:val="008647C2"/>
    <w:rsid w:val="00864BDC"/>
    <w:rsid w:val="008656F8"/>
    <w:rsid w:val="00865784"/>
    <w:rsid w:val="00865D82"/>
    <w:rsid w:val="008674D7"/>
    <w:rsid w:val="008710A8"/>
    <w:rsid w:val="00871E22"/>
    <w:rsid w:val="008725FB"/>
    <w:rsid w:val="0087310C"/>
    <w:rsid w:val="00873A20"/>
    <w:rsid w:val="00874CD7"/>
    <w:rsid w:val="00874EB9"/>
    <w:rsid w:val="008751A3"/>
    <w:rsid w:val="00875D37"/>
    <w:rsid w:val="00876F7B"/>
    <w:rsid w:val="008773D5"/>
    <w:rsid w:val="00881381"/>
    <w:rsid w:val="0088299F"/>
    <w:rsid w:val="00883017"/>
    <w:rsid w:val="0088383A"/>
    <w:rsid w:val="00887A6E"/>
    <w:rsid w:val="00891201"/>
    <w:rsid w:val="0089226B"/>
    <w:rsid w:val="00893D88"/>
    <w:rsid w:val="0089424A"/>
    <w:rsid w:val="008953A5"/>
    <w:rsid w:val="00896494"/>
    <w:rsid w:val="00897CFA"/>
    <w:rsid w:val="008A0718"/>
    <w:rsid w:val="008A07DA"/>
    <w:rsid w:val="008A125C"/>
    <w:rsid w:val="008A3F16"/>
    <w:rsid w:val="008A550C"/>
    <w:rsid w:val="008A5581"/>
    <w:rsid w:val="008A5604"/>
    <w:rsid w:val="008A5B95"/>
    <w:rsid w:val="008A5EC7"/>
    <w:rsid w:val="008A7C0C"/>
    <w:rsid w:val="008B1A63"/>
    <w:rsid w:val="008B1DDF"/>
    <w:rsid w:val="008B234B"/>
    <w:rsid w:val="008B33AB"/>
    <w:rsid w:val="008B4E66"/>
    <w:rsid w:val="008B4FDD"/>
    <w:rsid w:val="008B5F9B"/>
    <w:rsid w:val="008B77E9"/>
    <w:rsid w:val="008C17DF"/>
    <w:rsid w:val="008C1F65"/>
    <w:rsid w:val="008C2491"/>
    <w:rsid w:val="008C25CD"/>
    <w:rsid w:val="008C2B97"/>
    <w:rsid w:val="008C3284"/>
    <w:rsid w:val="008C4033"/>
    <w:rsid w:val="008C553B"/>
    <w:rsid w:val="008C55E3"/>
    <w:rsid w:val="008C7E8C"/>
    <w:rsid w:val="008D168E"/>
    <w:rsid w:val="008D287B"/>
    <w:rsid w:val="008D2903"/>
    <w:rsid w:val="008D3C6E"/>
    <w:rsid w:val="008D5EF7"/>
    <w:rsid w:val="008D5F5C"/>
    <w:rsid w:val="008D6730"/>
    <w:rsid w:val="008D6C5D"/>
    <w:rsid w:val="008E1235"/>
    <w:rsid w:val="008E1D6C"/>
    <w:rsid w:val="008E405E"/>
    <w:rsid w:val="008E4A5F"/>
    <w:rsid w:val="008E5FBF"/>
    <w:rsid w:val="008E77B4"/>
    <w:rsid w:val="008E7851"/>
    <w:rsid w:val="008F0286"/>
    <w:rsid w:val="008F09C0"/>
    <w:rsid w:val="008F0D62"/>
    <w:rsid w:val="008F0EA7"/>
    <w:rsid w:val="008F120D"/>
    <w:rsid w:val="008F13D8"/>
    <w:rsid w:val="008F397C"/>
    <w:rsid w:val="008F3CB9"/>
    <w:rsid w:val="008F3DF7"/>
    <w:rsid w:val="008F74C8"/>
    <w:rsid w:val="008F75D2"/>
    <w:rsid w:val="008F7769"/>
    <w:rsid w:val="009029A7"/>
    <w:rsid w:val="009050AB"/>
    <w:rsid w:val="00905123"/>
    <w:rsid w:val="00905578"/>
    <w:rsid w:val="00906AD9"/>
    <w:rsid w:val="00910815"/>
    <w:rsid w:val="00911FB4"/>
    <w:rsid w:val="00913A0E"/>
    <w:rsid w:val="00916C13"/>
    <w:rsid w:val="00916C70"/>
    <w:rsid w:val="00916F57"/>
    <w:rsid w:val="009202D6"/>
    <w:rsid w:val="0092111D"/>
    <w:rsid w:val="00921A06"/>
    <w:rsid w:val="00923871"/>
    <w:rsid w:val="00923C22"/>
    <w:rsid w:val="00925F93"/>
    <w:rsid w:val="0092757A"/>
    <w:rsid w:val="00927890"/>
    <w:rsid w:val="00927AF2"/>
    <w:rsid w:val="00927CE2"/>
    <w:rsid w:val="009301A3"/>
    <w:rsid w:val="00930238"/>
    <w:rsid w:val="00930F72"/>
    <w:rsid w:val="009315FA"/>
    <w:rsid w:val="00931D81"/>
    <w:rsid w:val="00936731"/>
    <w:rsid w:val="00936EA0"/>
    <w:rsid w:val="0093704C"/>
    <w:rsid w:val="009373CC"/>
    <w:rsid w:val="00940559"/>
    <w:rsid w:val="00940679"/>
    <w:rsid w:val="0094073D"/>
    <w:rsid w:val="0094109E"/>
    <w:rsid w:val="00941302"/>
    <w:rsid w:val="00941BA5"/>
    <w:rsid w:val="009437F5"/>
    <w:rsid w:val="00945741"/>
    <w:rsid w:val="00946BCE"/>
    <w:rsid w:val="00947521"/>
    <w:rsid w:val="00950103"/>
    <w:rsid w:val="0095062F"/>
    <w:rsid w:val="00951578"/>
    <w:rsid w:val="0095385C"/>
    <w:rsid w:val="00954033"/>
    <w:rsid w:val="0095415D"/>
    <w:rsid w:val="00954AF7"/>
    <w:rsid w:val="00954BF5"/>
    <w:rsid w:val="00955D69"/>
    <w:rsid w:val="0095686A"/>
    <w:rsid w:val="00956F0F"/>
    <w:rsid w:val="00960D1E"/>
    <w:rsid w:val="00960DF8"/>
    <w:rsid w:val="00961036"/>
    <w:rsid w:val="009611BC"/>
    <w:rsid w:val="0096155A"/>
    <w:rsid w:val="00961C9A"/>
    <w:rsid w:val="00961D93"/>
    <w:rsid w:val="00963A31"/>
    <w:rsid w:val="00964093"/>
    <w:rsid w:val="009645F8"/>
    <w:rsid w:val="00964D69"/>
    <w:rsid w:val="00966FED"/>
    <w:rsid w:val="009706EA"/>
    <w:rsid w:val="00972166"/>
    <w:rsid w:val="00973649"/>
    <w:rsid w:val="00974C4C"/>
    <w:rsid w:val="00975A53"/>
    <w:rsid w:val="00976AA0"/>
    <w:rsid w:val="00976BC9"/>
    <w:rsid w:val="009804D4"/>
    <w:rsid w:val="00981F02"/>
    <w:rsid w:val="00982124"/>
    <w:rsid w:val="009832FD"/>
    <w:rsid w:val="009841A0"/>
    <w:rsid w:val="0098445C"/>
    <w:rsid w:val="00984689"/>
    <w:rsid w:val="00984F49"/>
    <w:rsid w:val="00985957"/>
    <w:rsid w:val="00986DFB"/>
    <w:rsid w:val="0098705F"/>
    <w:rsid w:val="00990139"/>
    <w:rsid w:val="00990704"/>
    <w:rsid w:val="00990B5F"/>
    <w:rsid w:val="009922D5"/>
    <w:rsid w:val="009930B0"/>
    <w:rsid w:val="00993F30"/>
    <w:rsid w:val="009A039A"/>
    <w:rsid w:val="009A0AAE"/>
    <w:rsid w:val="009A208F"/>
    <w:rsid w:val="009A23BE"/>
    <w:rsid w:val="009A2608"/>
    <w:rsid w:val="009A278E"/>
    <w:rsid w:val="009A2BF4"/>
    <w:rsid w:val="009A456A"/>
    <w:rsid w:val="009A6AF8"/>
    <w:rsid w:val="009B09D3"/>
    <w:rsid w:val="009B13EC"/>
    <w:rsid w:val="009B1B98"/>
    <w:rsid w:val="009B1EAB"/>
    <w:rsid w:val="009B3842"/>
    <w:rsid w:val="009B3CD8"/>
    <w:rsid w:val="009B511E"/>
    <w:rsid w:val="009B602B"/>
    <w:rsid w:val="009B71C0"/>
    <w:rsid w:val="009C0324"/>
    <w:rsid w:val="009C13B0"/>
    <w:rsid w:val="009C175D"/>
    <w:rsid w:val="009C1821"/>
    <w:rsid w:val="009C2AE6"/>
    <w:rsid w:val="009C3D01"/>
    <w:rsid w:val="009C401A"/>
    <w:rsid w:val="009C415A"/>
    <w:rsid w:val="009C51B1"/>
    <w:rsid w:val="009C5BB7"/>
    <w:rsid w:val="009C786B"/>
    <w:rsid w:val="009C792B"/>
    <w:rsid w:val="009D0985"/>
    <w:rsid w:val="009D09A3"/>
    <w:rsid w:val="009D2803"/>
    <w:rsid w:val="009D2B16"/>
    <w:rsid w:val="009D333E"/>
    <w:rsid w:val="009D39D3"/>
    <w:rsid w:val="009D4BBA"/>
    <w:rsid w:val="009D5F05"/>
    <w:rsid w:val="009D6A36"/>
    <w:rsid w:val="009E0481"/>
    <w:rsid w:val="009E1A99"/>
    <w:rsid w:val="009E20B9"/>
    <w:rsid w:val="009E24A4"/>
    <w:rsid w:val="009E3552"/>
    <w:rsid w:val="009E3F7E"/>
    <w:rsid w:val="009E408C"/>
    <w:rsid w:val="009E5500"/>
    <w:rsid w:val="009E58C9"/>
    <w:rsid w:val="009E5A86"/>
    <w:rsid w:val="009F5259"/>
    <w:rsid w:val="009F5F29"/>
    <w:rsid w:val="009F6E2B"/>
    <w:rsid w:val="00A0099D"/>
    <w:rsid w:val="00A015CE"/>
    <w:rsid w:val="00A01C13"/>
    <w:rsid w:val="00A02678"/>
    <w:rsid w:val="00A03353"/>
    <w:rsid w:val="00A034CB"/>
    <w:rsid w:val="00A03AC2"/>
    <w:rsid w:val="00A040C1"/>
    <w:rsid w:val="00A0425E"/>
    <w:rsid w:val="00A05C69"/>
    <w:rsid w:val="00A06E5B"/>
    <w:rsid w:val="00A0723C"/>
    <w:rsid w:val="00A07BAF"/>
    <w:rsid w:val="00A11578"/>
    <w:rsid w:val="00A1186F"/>
    <w:rsid w:val="00A11C26"/>
    <w:rsid w:val="00A11F61"/>
    <w:rsid w:val="00A13185"/>
    <w:rsid w:val="00A13731"/>
    <w:rsid w:val="00A13AA3"/>
    <w:rsid w:val="00A13BE1"/>
    <w:rsid w:val="00A13EFD"/>
    <w:rsid w:val="00A144FB"/>
    <w:rsid w:val="00A1627E"/>
    <w:rsid w:val="00A174E4"/>
    <w:rsid w:val="00A17A7C"/>
    <w:rsid w:val="00A17C62"/>
    <w:rsid w:val="00A20952"/>
    <w:rsid w:val="00A21012"/>
    <w:rsid w:val="00A2102A"/>
    <w:rsid w:val="00A214BF"/>
    <w:rsid w:val="00A21CE0"/>
    <w:rsid w:val="00A21EAC"/>
    <w:rsid w:val="00A2221A"/>
    <w:rsid w:val="00A22DBF"/>
    <w:rsid w:val="00A264F9"/>
    <w:rsid w:val="00A26A33"/>
    <w:rsid w:val="00A27B35"/>
    <w:rsid w:val="00A27EE9"/>
    <w:rsid w:val="00A305D7"/>
    <w:rsid w:val="00A32746"/>
    <w:rsid w:val="00A32A48"/>
    <w:rsid w:val="00A32CE1"/>
    <w:rsid w:val="00A33394"/>
    <w:rsid w:val="00A34BC8"/>
    <w:rsid w:val="00A35839"/>
    <w:rsid w:val="00A36429"/>
    <w:rsid w:val="00A36FEB"/>
    <w:rsid w:val="00A374CB"/>
    <w:rsid w:val="00A379F5"/>
    <w:rsid w:val="00A40123"/>
    <w:rsid w:val="00A404C0"/>
    <w:rsid w:val="00A427CC"/>
    <w:rsid w:val="00A42E62"/>
    <w:rsid w:val="00A42E7B"/>
    <w:rsid w:val="00A43569"/>
    <w:rsid w:val="00A43E36"/>
    <w:rsid w:val="00A44008"/>
    <w:rsid w:val="00A44D1E"/>
    <w:rsid w:val="00A44FFB"/>
    <w:rsid w:val="00A45643"/>
    <w:rsid w:val="00A46278"/>
    <w:rsid w:val="00A46335"/>
    <w:rsid w:val="00A47589"/>
    <w:rsid w:val="00A47AB7"/>
    <w:rsid w:val="00A47B45"/>
    <w:rsid w:val="00A50B13"/>
    <w:rsid w:val="00A525E9"/>
    <w:rsid w:val="00A531CC"/>
    <w:rsid w:val="00A5442E"/>
    <w:rsid w:val="00A5452B"/>
    <w:rsid w:val="00A54BED"/>
    <w:rsid w:val="00A55D60"/>
    <w:rsid w:val="00A5673C"/>
    <w:rsid w:val="00A568E0"/>
    <w:rsid w:val="00A57973"/>
    <w:rsid w:val="00A60A5A"/>
    <w:rsid w:val="00A60E97"/>
    <w:rsid w:val="00A62EEB"/>
    <w:rsid w:val="00A650A5"/>
    <w:rsid w:val="00A6567B"/>
    <w:rsid w:val="00A65E55"/>
    <w:rsid w:val="00A66205"/>
    <w:rsid w:val="00A7070F"/>
    <w:rsid w:val="00A71C2B"/>
    <w:rsid w:val="00A71C3A"/>
    <w:rsid w:val="00A71E8B"/>
    <w:rsid w:val="00A72779"/>
    <w:rsid w:val="00A72A54"/>
    <w:rsid w:val="00A73B4F"/>
    <w:rsid w:val="00A73FB1"/>
    <w:rsid w:val="00A7481C"/>
    <w:rsid w:val="00A74C98"/>
    <w:rsid w:val="00A74D9D"/>
    <w:rsid w:val="00A757DC"/>
    <w:rsid w:val="00A7726F"/>
    <w:rsid w:val="00A77E4C"/>
    <w:rsid w:val="00A817AB"/>
    <w:rsid w:val="00A81F31"/>
    <w:rsid w:val="00A8571B"/>
    <w:rsid w:val="00A85D36"/>
    <w:rsid w:val="00A912E8"/>
    <w:rsid w:val="00A91FEE"/>
    <w:rsid w:val="00A925CB"/>
    <w:rsid w:val="00A9373A"/>
    <w:rsid w:val="00A93D12"/>
    <w:rsid w:val="00A95055"/>
    <w:rsid w:val="00A950CE"/>
    <w:rsid w:val="00A95DFB"/>
    <w:rsid w:val="00A96143"/>
    <w:rsid w:val="00A96CD6"/>
    <w:rsid w:val="00A97DF2"/>
    <w:rsid w:val="00AA123F"/>
    <w:rsid w:val="00AA2E17"/>
    <w:rsid w:val="00AA331D"/>
    <w:rsid w:val="00AA333F"/>
    <w:rsid w:val="00AA34C8"/>
    <w:rsid w:val="00AA5C95"/>
    <w:rsid w:val="00AA6C5F"/>
    <w:rsid w:val="00AA72B9"/>
    <w:rsid w:val="00AA7B7A"/>
    <w:rsid w:val="00AA7C0B"/>
    <w:rsid w:val="00AB0308"/>
    <w:rsid w:val="00AB0F1F"/>
    <w:rsid w:val="00AB11A5"/>
    <w:rsid w:val="00AB2426"/>
    <w:rsid w:val="00AB24C4"/>
    <w:rsid w:val="00AB2BEF"/>
    <w:rsid w:val="00AB39AE"/>
    <w:rsid w:val="00AB3C88"/>
    <w:rsid w:val="00AB3DE9"/>
    <w:rsid w:val="00AB3E46"/>
    <w:rsid w:val="00AB4DD7"/>
    <w:rsid w:val="00AB6942"/>
    <w:rsid w:val="00AC04C5"/>
    <w:rsid w:val="00AC0E0D"/>
    <w:rsid w:val="00AC39D9"/>
    <w:rsid w:val="00AC3BDD"/>
    <w:rsid w:val="00AD0CFF"/>
    <w:rsid w:val="00AD2408"/>
    <w:rsid w:val="00AD2600"/>
    <w:rsid w:val="00AD2FC8"/>
    <w:rsid w:val="00AD5DEC"/>
    <w:rsid w:val="00AD7846"/>
    <w:rsid w:val="00AE13A8"/>
    <w:rsid w:val="00AE1753"/>
    <w:rsid w:val="00AE1956"/>
    <w:rsid w:val="00AE1DB2"/>
    <w:rsid w:val="00AE2630"/>
    <w:rsid w:val="00AE33AB"/>
    <w:rsid w:val="00AE3889"/>
    <w:rsid w:val="00AE4452"/>
    <w:rsid w:val="00AE4A2A"/>
    <w:rsid w:val="00AE4F58"/>
    <w:rsid w:val="00AE6106"/>
    <w:rsid w:val="00AE6957"/>
    <w:rsid w:val="00AE6AA5"/>
    <w:rsid w:val="00AE6BD3"/>
    <w:rsid w:val="00AF0648"/>
    <w:rsid w:val="00AF1353"/>
    <w:rsid w:val="00AF1869"/>
    <w:rsid w:val="00AF22EA"/>
    <w:rsid w:val="00AF3458"/>
    <w:rsid w:val="00AF6CF1"/>
    <w:rsid w:val="00AF7256"/>
    <w:rsid w:val="00B00B8E"/>
    <w:rsid w:val="00B023F8"/>
    <w:rsid w:val="00B05294"/>
    <w:rsid w:val="00B0598A"/>
    <w:rsid w:val="00B069EE"/>
    <w:rsid w:val="00B07538"/>
    <w:rsid w:val="00B07FFA"/>
    <w:rsid w:val="00B10A5B"/>
    <w:rsid w:val="00B12A4B"/>
    <w:rsid w:val="00B148FF"/>
    <w:rsid w:val="00B1584A"/>
    <w:rsid w:val="00B20412"/>
    <w:rsid w:val="00B20670"/>
    <w:rsid w:val="00B20E20"/>
    <w:rsid w:val="00B2258D"/>
    <w:rsid w:val="00B2422D"/>
    <w:rsid w:val="00B24ABB"/>
    <w:rsid w:val="00B253CD"/>
    <w:rsid w:val="00B25F39"/>
    <w:rsid w:val="00B2712E"/>
    <w:rsid w:val="00B303AB"/>
    <w:rsid w:val="00B30656"/>
    <w:rsid w:val="00B31C02"/>
    <w:rsid w:val="00B323F2"/>
    <w:rsid w:val="00B32591"/>
    <w:rsid w:val="00B329EF"/>
    <w:rsid w:val="00B333FC"/>
    <w:rsid w:val="00B33BF9"/>
    <w:rsid w:val="00B33DDB"/>
    <w:rsid w:val="00B34398"/>
    <w:rsid w:val="00B355E6"/>
    <w:rsid w:val="00B35715"/>
    <w:rsid w:val="00B35FD7"/>
    <w:rsid w:val="00B3671D"/>
    <w:rsid w:val="00B36916"/>
    <w:rsid w:val="00B36C73"/>
    <w:rsid w:val="00B37429"/>
    <w:rsid w:val="00B40682"/>
    <w:rsid w:val="00B40D92"/>
    <w:rsid w:val="00B43E80"/>
    <w:rsid w:val="00B45136"/>
    <w:rsid w:val="00B45366"/>
    <w:rsid w:val="00B45BDA"/>
    <w:rsid w:val="00B463DB"/>
    <w:rsid w:val="00B46C2B"/>
    <w:rsid w:val="00B47357"/>
    <w:rsid w:val="00B47967"/>
    <w:rsid w:val="00B50512"/>
    <w:rsid w:val="00B51205"/>
    <w:rsid w:val="00B51563"/>
    <w:rsid w:val="00B52877"/>
    <w:rsid w:val="00B54482"/>
    <w:rsid w:val="00B54B09"/>
    <w:rsid w:val="00B552DF"/>
    <w:rsid w:val="00B55366"/>
    <w:rsid w:val="00B56038"/>
    <w:rsid w:val="00B56632"/>
    <w:rsid w:val="00B5684F"/>
    <w:rsid w:val="00B6057D"/>
    <w:rsid w:val="00B6198B"/>
    <w:rsid w:val="00B62121"/>
    <w:rsid w:val="00B627CE"/>
    <w:rsid w:val="00B63589"/>
    <w:rsid w:val="00B664CF"/>
    <w:rsid w:val="00B66B8D"/>
    <w:rsid w:val="00B66EFC"/>
    <w:rsid w:val="00B676FC"/>
    <w:rsid w:val="00B70A8B"/>
    <w:rsid w:val="00B70E4C"/>
    <w:rsid w:val="00B71188"/>
    <w:rsid w:val="00B7125B"/>
    <w:rsid w:val="00B72B12"/>
    <w:rsid w:val="00B74A09"/>
    <w:rsid w:val="00B75A0F"/>
    <w:rsid w:val="00B81AB8"/>
    <w:rsid w:val="00B837EC"/>
    <w:rsid w:val="00B847C6"/>
    <w:rsid w:val="00B84A25"/>
    <w:rsid w:val="00B86856"/>
    <w:rsid w:val="00B8704A"/>
    <w:rsid w:val="00B900DD"/>
    <w:rsid w:val="00B90F2B"/>
    <w:rsid w:val="00B9330E"/>
    <w:rsid w:val="00B94159"/>
    <w:rsid w:val="00B95DF1"/>
    <w:rsid w:val="00B96A9B"/>
    <w:rsid w:val="00B96B8C"/>
    <w:rsid w:val="00BA0001"/>
    <w:rsid w:val="00BA03F8"/>
    <w:rsid w:val="00BA1BE8"/>
    <w:rsid w:val="00BA2B10"/>
    <w:rsid w:val="00BA676E"/>
    <w:rsid w:val="00BA6D8D"/>
    <w:rsid w:val="00BB1458"/>
    <w:rsid w:val="00BB1B3E"/>
    <w:rsid w:val="00BB4830"/>
    <w:rsid w:val="00BB4EE2"/>
    <w:rsid w:val="00BB527E"/>
    <w:rsid w:val="00BB6960"/>
    <w:rsid w:val="00BB73C7"/>
    <w:rsid w:val="00BB77AA"/>
    <w:rsid w:val="00BC0915"/>
    <w:rsid w:val="00BC1477"/>
    <w:rsid w:val="00BC1D66"/>
    <w:rsid w:val="00BC1EB6"/>
    <w:rsid w:val="00BC3735"/>
    <w:rsid w:val="00BC3D32"/>
    <w:rsid w:val="00BC3DCF"/>
    <w:rsid w:val="00BC5884"/>
    <w:rsid w:val="00BC5B46"/>
    <w:rsid w:val="00BC658A"/>
    <w:rsid w:val="00BC6F7D"/>
    <w:rsid w:val="00BD18E2"/>
    <w:rsid w:val="00BD35F4"/>
    <w:rsid w:val="00BD3621"/>
    <w:rsid w:val="00BD6623"/>
    <w:rsid w:val="00BD7EDA"/>
    <w:rsid w:val="00BE147D"/>
    <w:rsid w:val="00BE1661"/>
    <w:rsid w:val="00BE2A9A"/>
    <w:rsid w:val="00BE3BED"/>
    <w:rsid w:val="00BE442F"/>
    <w:rsid w:val="00BE4BA9"/>
    <w:rsid w:val="00BE69C3"/>
    <w:rsid w:val="00BE747D"/>
    <w:rsid w:val="00BE7A0C"/>
    <w:rsid w:val="00BF00A7"/>
    <w:rsid w:val="00BF0600"/>
    <w:rsid w:val="00BF07C8"/>
    <w:rsid w:val="00BF260D"/>
    <w:rsid w:val="00BF3726"/>
    <w:rsid w:val="00BF41F7"/>
    <w:rsid w:val="00BF6041"/>
    <w:rsid w:val="00BF6157"/>
    <w:rsid w:val="00BF6E12"/>
    <w:rsid w:val="00BF6F63"/>
    <w:rsid w:val="00BF7C33"/>
    <w:rsid w:val="00C00311"/>
    <w:rsid w:val="00C00429"/>
    <w:rsid w:val="00C0094A"/>
    <w:rsid w:val="00C00A4F"/>
    <w:rsid w:val="00C028C8"/>
    <w:rsid w:val="00C02C33"/>
    <w:rsid w:val="00C036D3"/>
    <w:rsid w:val="00C041CE"/>
    <w:rsid w:val="00C04DEC"/>
    <w:rsid w:val="00C05EAC"/>
    <w:rsid w:val="00C06210"/>
    <w:rsid w:val="00C076DB"/>
    <w:rsid w:val="00C079FD"/>
    <w:rsid w:val="00C10A57"/>
    <w:rsid w:val="00C10C70"/>
    <w:rsid w:val="00C10C80"/>
    <w:rsid w:val="00C111D1"/>
    <w:rsid w:val="00C11639"/>
    <w:rsid w:val="00C11EFA"/>
    <w:rsid w:val="00C13B1C"/>
    <w:rsid w:val="00C16A61"/>
    <w:rsid w:val="00C2409F"/>
    <w:rsid w:val="00C2742B"/>
    <w:rsid w:val="00C306A0"/>
    <w:rsid w:val="00C306E6"/>
    <w:rsid w:val="00C312CF"/>
    <w:rsid w:val="00C31516"/>
    <w:rsid w:val="00C327D8"/>
    <w:rsid w:val="00C33DB9"/>
    <w:rsid w:val="00C33E27"/>
    <w:rsid w:val="00C34DEC"/>
    <w:rsid w:val="00C355F0"/>
    <w:rsid w:val="00C359B6"/>
    <w:rsid w:val="00C35D79"/>
    <w:rsid w:val="00C3706D"/>
    <w:rsid w:val="00C372C7"/>
    <w:rsid w:val="00C408E9"/>
    <w:rsid w:val="00C43865"/>
    <w:rsid w:val="00C43B16"/>
    <w:rsid w:val="00C43C25"/>
    <w:rsid w:val="00C45083"/>
    <w:rsid w:val="00C451E7"/>
    <w:rsid w:val="00C46EB9"/>
    <w:rsid w:val="00C47BE3"/>
    <w:rsid w:val="00C47D3D"/>
    <w:rsid w:val="00C5052D"/>
    <w:rsid w:val="00C51284"/>
    <w:rsid w:val="00C51D56"/>
    <w:rsid w:val="00C52E62"/>
    <w:rsid w:val="00C56646"/>
    <w:rsid w:val="00C621DB"/>
    <w:rsid w:val="00C625D3"/>
    <w:rsid w:val="00C632CD"/>
    <w:rsid w:val="00C634AB"/>
    <w:rsid w:val="00C6398D"/>
    <w:rsid w:val="00C643DA"/>
    <w:rsid w:val="00C647ED"/>
    <w:rsid w:val="00C64ACB"/>
    <w:rsid w:val="00C64E5D"/>
    <w:rsid w:val="00C66255"/>
    <w:rsid w:val="00C66AA8"/>
    <w:rsid w:val="00C66FEB"/>
    <w:rsid w:val="00C67B33"/>
    <w:rsid w:val="00C7023A"/>
    <w:rsid w:val="00C716A2"/>
    <w:rsid w:val="00C732E0"/>
    <w:rsid w:val="00C7415D"/>
    <w:rsid w:val="00C74377"/>
    <w:rsid w:val="00C768B0"/>
    <w:rsid w:val="00C807EC"/>
    <w:rsid w:val="00C81578"/>
    <w:rsid w:val="00C81FDA"/>
    <w:rsid w:val="00C82DFF"/>
    <w:rsid w:val="00C83307"/>
    <w:rsid w:val="00C84053"/>
    <w:rsid w:val="00C863A5"/>
    <w:rsid w:val="00C878F7"/>
    <w:rsid w:val="00C87BF4"/>
    <w:rsid w:val="00C90110"/>
    <w:rsid w:val="00C91085"/>
    <w:rsid w:val="00C91D96"/>
    <w:rsid w:val="00C92BCF"/>
    <w:rsid w:val="00C92D96"/>
    <w:rsid w:val="00C93CA7"/>
    <w:rsid w:val="00C972B0"/>
    <w:rsid w:val="00CA053A"/>
    <w:rsid w:val="00CA0FD3"/>
    <w:rsid w:val="00CA1681"/>
    <w:rsid w:val="00CA19FD"/>
    <w:rsid w:val="00CA2FC5"/>
    <w:rsid w:val="00CA34EA"/>
    <w:rsid w:val="00CA3906"/>
    <w:rsid w:val="00CA3C3F"/>
    <w:rsid w:val="00CA48A7"/>
    <w:rsid w:val="00CA4932"/>
    <w:rsid w:val="00CA4C4B"/>
    <w:rsid w:val="00CA4DAE"/>
    <w:rsid w:val="00CA579E"/>
    <w:rsid w:val="00CA6178"/>
    <w:rsid w:val="00CA6216"/>
    <w:rsid w:val="00CA69DB"/>
    <w:rsid w:val="00CA6ACA"/>
    <w:rsid w:val="00CA7D22"/>
    <w:rsid w:val="00CB0279"/>
    <w:rsid w:val="00CB23C7"/>
    <w:rsid w:val="00CB24BD"/>
    <w:rsid w:val="00CB373D"/>
    <w:rsid w:val="00CB412F"/>
    <w:rsid w:val="00CB476B"/>
    <w:rsid w:val="00CB5B83"/>
    <w:rsid w:val="00CB6386"/>
    <w:rsid w:val="00CC0FD8"/>
    <w:rsid w:val="00CC10D3"/>
    <w:rsid w:val="00CC1E0B"/>
    <w:rsid w:val="00CC27D3"/>
    <w:rsid w:val="00CC2B9E"/>
    <w:rsid w:val="00CC36DD"/>
    <w:rsid w:val="00CC378C"/>
    <w:rsid w:val="00CC4201"/>
    <w:rsid w:val="00CC44F6"/>
    <w:rsid w:val="00CC47F6"/>
    <w:rsid w:val="00CC4E01"/>
    <w:rsid w:val="00CC5BA0"/>
    <w:rsid w:val="00CC7854"/>
    <w:rsid w:val="00CD16C4"/>
    <w:rsid w:val="00CD36B5"/>
    <w:rsid w:val="00CD3EC2"/>
    <w:rsid w:val="00CD416D"/>
    <w:rsid w:val="00CD46F6"/>
    <w:rsid w:val="00CD4C21"/>
    <w:rsid w:val="00CD5C86"/>
    <w:rsid w:val="00CD5FD1"/>
    <w:rsid w:val="00CD61CC"/>
    <w:rsid w:val="00CD75C9"/>
    <w:rsid w:val="00CE0BFC"/>
    <w:rsid w:val="00CE159F"/>
    <w:rsid w:val="00CE2F63"/>
    <w:rsid w:val="00CE31C3"/>
    <w:rsid w:val="00CE32D5"/>
    <w:rsid w:val="00CE7629"/>
    <w:rsid w:val="00CF22C6"/>
    <w:rsid w:val="00CF2ABC"/>
    <w:rsid w:val="00CF32FA"/>
    <w:rsid w:val="00CF34F1"/>
    <w:rsid w:val="00CF3BCB"/>
    <w:rsid w:val="00CF40E2"/>
    <w:rsid w:val="00CF52EF"/>
    <w:rsid w:val="00CF6202"/>
    <w:rsid w:val="00CF64F7"/>
    <w:rsid w:val="00CF7821"/>
    <w:rsid w:val="00CF7A80"/>
    <w:rsid w:val="00D01AF5"/>
    <w:rsid w:val="00D01DB1"/>
    <w:rsid w:val="00D0218E"/>
    <w:rsid w:val="00D041D7"/>
    <w:rsid w:val="00D042EE"/>
    <w:rsid w:val="00D04747"/>
    <w:rsid w:val="00D0493A"/>
    <w:rsid w:val="00D05095"/>
    <w:rsid w:val="00D05349"/>
    <w:rsid w:val="00D05728"/>
    <w:rsid w:val="00D06182"/>
    <w:rsid w:val="00D0741B"/>
    <w:rsid w:val="00D0742E"/>
    <w:rsid w:val="00D07F67"/>
    <w:rsid w:val="00D103AD"/>
    <w:rsid w:val="00D104E4"/>
    <w:rsid w:val="00D10B5D"/>
    <w:rsid w:val="00D1127F"/>
    <w:rsid w:val="00D12B01"/>
    <w:rsid w:val="00D1497D"/>
    <w:rsid w:val="00D14BB7"/>
    <w:rsid w:val="00D152C0"/>
    <w:rsid w:val="00D156FD"/>
    <w:rsid w:val="00D16AF0"/>
    <w:rsid w:val="00D16C6D"/>
    <w:rsid w:val="00D17960"/>
    <w:rsid w:val="00D17AD8"/>
    <w:rsid w:val="00D2125F"/>
    <w:rsid w:val="00D224DB"/>
    <w:rsid w:val="00D22F16"/>
    <w:rsid w:val="00D247C3"/>
    <w:rsid w:val="00D24FF4"/>
    <w:rsid w:val="00D25AB9"/>
    <w:rsid w:val="00D26B36"/>
    <w:rsid w:val="00D27454"/>
    <w:rsid w:val="00D27A76"/>
    <w:rsid w:val="00D27E2D"/>
    <w:rsid w:val="00D323BD"/>
    <w:rsid w:val="00D3516E"/>
    <w:rsid w:val="00D3543E"/>
    <w:rsid w:val="00D35A21"/>
    <w:rsid w:val="00D367EA"/>
    <w:rsid w:val="00D40424"/>
    <w:rsid w:val="00D407E7"/>
    <w:rsid w:val="00D4166A"/>
    <w:rsid w:val="00D42574"/>
    <w:rsid w:val="00D43257"/>
    <w:rsid w:val="00D4439B"/>
    <w:rsid w:val="00D45B1D"/>
    <w:rsid w:val="00D461A8"/>
    <w:rsid w:val="00D46C93"/>
    <w:rsid w:val="00D5080E"/>
    <w:rsid w:val="00D516E6"/>
    <w:rsid w:val="00D51807"/>
    <w:rsid w:val="00D5187B"/>
    <w:rsid w:val="00D52C11"/>
    <w:rsid w:val="00D53798"/>
    <w:rsid w:val="00D547F7"/>
    <w:rsid w:val="00D55537"/>
    <w:rsid w:val="00D55F2F"/>
    <w:rsid w:val="00D56086"/>
    <w:rsid w:val="00D612E7"/>
    <w:rsid w:val="00D6250E"/>
    <w:rsid w:val="00D633E5"/>
    <w:rsid w:val="00D64655"/>
    <w:rsid w:val="00D64C8A"/>
    <w:rsid w:val="00D65126"/>
    <w:rsid w:val="00D65503"/>
    <w:rsid w:val="00D65686"/>
    <w:rsid w:val="00D709B8"/>
    <w:rsid w:val="00D709FC"/>
    <w:rsid w:val="00D71B63"/>
    <w:rsid w:val="00D72219"/>
    <w:rsid w:val="00D73DAD"/>
    <w:rsid w:val="00D7643C"/>
    <w:rsid w:val="00D77747"/>
    <w:rsid w:val="00D82A57"/>
    <w:rsid w:val="00D83670"/>
    <w:rsid w:val="00D83759"/>
    <w:rsid w:val="00D850D6"/>
    <w:rsid w:val="00D856B7"/>
    <w:rsid w:val="00D85713"/>
    <w:rsid w:val="00D86564"/>
    <w:rsid w:val="00D86F69"/>
    <w:rsid w:val="00D8708C"/>
    <w:rsid w:val="00D87402"/>
    <w:rsid w:val="00D87711"/>
    <w:rsid w:val="00D87873"/>
    <w:rsid w:val="00D87D46"/>
    <w:rsid w:val="00D949D9"/>
    <w:rsid w:val="00D94C2B"/>
    <w:rsid w:val="00D95DF4"/>
    <w:rsid w:val="00D96439"/>
    <w:rsid w:val="00D96C29"/>
    <w:rsid w:val="00D97367"/>
    <w:rsid w:val="00DA0A6C"/>
    <w:rsid w:val="00DA152E"/>
    <w:rsid w:val="00DA1A22"/>
    <w:rsid w:val="00DA1B93"/>
    <w:rsid w:val="00DA20EE"/>
    <w:rsid w:val="00DA2460"/>
    <w:rsid w:val="00DA2BED"/>
    <w:rsid w:val="00DA35A1"/>
    <w:rsid w:val="00DA3F5E"/>
    <w:rsid w:val="00DA48FE"/>
    <w:rsid w:val="00DA5982"/>
    <w:rsid w:val="00DA6688"/>
    <w:rsid w:val="00DA6F2E"/>
    <w:rsid w:val="00DA6F63"/>
    <w:rsid w:val="00DA74F9"/>
    <w:rsid w:val="00DA7EA6"/>
    <w:rsid w:val="00DB03F3"/>
    <w:rsid w:val="00DB0B9D"/>
    <w:rsid w:val="00DB36EC"/>
    <w:rsid w:val="00DB3A32"/>
    <w:rsid w:val="00DB3E07"/>
    <w:rsid w:val="00DB47DE"/>
    <w:rsid w:val="00DB4907"/>
    <w:rsid w:val="00DB49EB"/>
    <w:rsid w:val="00DB4D9E"/>
    <w:rsid w:val="00DB4F22"/>
    <w:rsid w:val="00DB5FC0"/>
    <w:rsid w:val="00DC0521"/>
    <w:rsid w:val="00DC05E3"/>
    <w:rsid w:val="00DC2E23"/>
    <w:rsid w:val="00DC3143"/>
    <w:rsid w:val="00DC3BEE"/>
    <w:rsid w:val="00DC4DE4"/>
    <w:rsid w:val="00DC5896"/>
    <w:rsid w:val="00DC5BDC"/>
    <w:rsid w:val="00DD046E"/>
    <w:rsid w:val="00DD0992"/>
    <w:rsid w:val="00DD19A6"/>
    <w:rsid w:val="00DD22AF"/>
    <w:rsid w:val="00DD38DA"/>
    <w:rsid w:val="00DD3AAF"/>
    <w:rsid w:val="00DD3D9B"/>
    <w:rsid w:val="00DD50F6"/>
    <w:rsid w:val="00DD55FC"/>
    <w:rsid w:val="00DD5B2C"/>
    <w:rsid w:val="00DD7687"/>
    <w:rsid w:val="00DD7AB7"/>
    <w:rsid w:val="00DD7C96"/>
    <w:rsid w:val="00DE2443"/>
    <w:rsid w:val="00DE2F09"/>
    <w:rsid w:val="00DE5687"/>
    <w:rsid w:val="00DE7835"/>
    <w:rsid w:val="00DF02AB"/>
    <w:rsid w:val="00DF0BB7"/>
    <w:rsid w:val="00DF2126"/>
    <w:rsid w:val="00DF2B19"/>
    <w:rsid w:val="00DF33DA"/>
    <w:rsid w:val="00DF4540"/>
    <w:rsid w:val="00DF4887"/>
    <w:rsid w:val="00DF593D"/>
    <w:rsid w:val="00DF5B9B"/>
    <w:rsid w:val="00DF6643"/>
    <w:rsid w:val="00E0046A"/>
    <w:rsid w:val="00E00547"/>
    <w:rsid w:val="00E00D9D"/>
    <w:rsid w:val="00E01101"/>
    <w:rsid w:val="00E0112D"/>
    <w:rsid w:val="00E01636"/>
    <w:rsid w:val="00E02239"/>
    <w:rsid w:val="00E035B8"/>
    <w:rsid w:val="00E044C8"/>
    <w:rsid w:val="00E0483D"/>
    <w:rsid w:val="00E058B3"/>
    <w:rsid w:val="00E05E72"/>
    <w:rsid w:val="00E07117"/>
    <w:rsid w:val="00E07152"/>
    <w:rsid w:val="00E077A6"/>
    <w:rsid w:val="00E07AAE"/>
    <w:rsid w:val="00E11513"/>
    <w:rsid w:val="00E128F8"/>
    <w:rsid w:val="00E1290F"/>
    <w:rsid w:val="00E13F9F"/>
    <w:rsid w:val="00E153CB"/>
    <w:rsid w:val="00E161CA"/>
    <w:rsid w:val="00E16542"/>
    <w:rsid w:val="00E1777B"/>
    <w:rsid w:val="00E17BC9"/>
    <w:rsid w:val="00E2012A"/>
    <w:rsid w:val="00E213DD"/>
    <w:rsid w:val="00E213F6"/>
    <w:rsid w:val="00E22485"/>
    <w:rsid w:val="00E234D1"/>
    <w:rsid w:val="00E235F7"/>
    <w:rsid w:val="00E2389B"/>
    <w:rsid w:val="00E24569"/>
    <w:rsid w:val="00E24AE1"/>
    <w:rsid w:val="00E26355"/>
    <w:rsid w:val="00E26989"/>
    <w:rsid w:val="00E26E9E"/>
    <w:rsid w:val="00E2738B"/>
    <w:rsid w:val="00E2739A"/>
    <w:rsid w:val="00E3017D"/>
    <w:rsid w:val="00E302FB"/>
    <w:rsid w:val="00E32165"/>
    <w:rsid w:val="00E32464"/>
    <w:rsid w:val="00E34179"/>
    <w:rsid w:val="00E3467D"/>
    <w:rsid w:val="00E349D9"/>
    <w:rsid w:val="00E35896"/>
    <w:rsid w:val="00E36CD5"/>
    <w:rsid w:val="00E377F9"/>
    <w:rsid w:val="00E451E7"/>
    <w:rsid w:val="00E45C6A"/>
    <w:rsid w:val="00E469F7"/>
    <w:rsid w:val="00E47D85"/>
    <w:rsid w:val="00E47FB5"/>
    <w:rsid w:val="00E51928"/>
    <w:rsid w:val="00E51D03"/>
    <w:rsid w:val="00E51E76"/>
    <w:rsid w:val="00E5412A"/>
    <w:rsid w:val="00E56A37"/>
    <w:rsid w:val="00E577C6"/>
    <w:rsid w:val="00E6079B"/>
    <w:rsid w:val="00E60855"/>
    <w:rsid w:val="00E60BD5"/>
    <w:rsid w:val="00E60F09"/>
    <w:rsid w:val="00E623F3"/>
    <w:rsid w:val="00E6337A"/>
    <w:rsid w:val="00E6566F"/>
    <w:rsid w:val="00E66AC0"/>
    <w:rsid w:val="00E66E04"/>
    <w:rsid w:val="00E67710"/>
    <w:rsid w:val="00E71384"/>
    <w:rsid w:val="00E74106"/>
    <w:rsid w:val="00E75A42"/>
    <w:rsid w:val="00E75AEC"/>
    <w:rsid w:val="00E75B33"/>
    <w:rsid w:val="00E818FB"/>
    <w:rsid w:val="00E823EE"/>
    <w:rsid w:val="00E853B6"/>
    <w:rsid w:val="00E87FFB"/>
    <w:rsid w:val="00E908E8"/>
    <w:rsid w:val="00E9216C"/>
    <w:rsid w:val="00E93A1D"/>
    <w:rsid w:val="00E9542B"/>
    <w:rsid w:val="00E96A34"/>
    <w:rsid w:val="00E974EC"/>
    <w:rsid w:val="00E97E23"/>
    <w:rsid w:val="00EA0385"/>
    <w:rsid w:val="00EA15D8"/>
    <w:rsid w:val="00EA1DE0"/>
    <w:rsid w:val="00EA2EBE"/>
    <w:rsid w:val="00EA414C"/>
    <w:rsid w:val="00EA5653"/>
    <w:rsid w:val="00EA77D5"/>
    <w:rsid w:val="00EB0106"/>
    <w:rsid w:val="00EB2112"/>
    <w:rsid w:val="00EB2891"/>
    <w:rsid w:val="00EB37C2"/>
    <w:rsid w:val="00EB4FA3"/>
    <w:rsid w:val="00EB5A3F"/>
    <w:rsid w:val="00EB67FB"/>
    <w:rsid w:val="00EC03BA"/>
    <w:rsid w:val="00EC0C07"/>
    <w:rsid w:val="00EC13DF"/>
    <w:rsid w:val="00EC14F7"/>
    <w:rsid w:val="00EC195C"/>
    <w:rsid w:val="00EC1CAF"/>
    <w:rsid w:val="00EC42B7"/>
    <w:rsid w:val="00EC44C9"/>
    <w:rsid w:val="00EC4631"/>
    <w:rsid w:val="00EC4745"/>
    <w:rsid w:val="00EC5A51"/>
    <w:rsid w:val="00EC6E79"/>
    <w:rsid w:val="00EC7891"/>
    <w:rsid w:val="00EC7A14"/>
    <w:rsid w:val="00ED0253"/>
    <w:rsid w:val="00ED0FFB"/>
    <w:rsid w:val="00ED1BC7"/>
    <w:rsid w:val="00ED220B"/>
    <w:rsid w:val="00ED3637"/>
    <w:rsid w:val="00ED450D"/>
    <w:rsid w:val="00ED4748"/>
    <w:rsid w:val="00ED4886"/>
    <w:rsid w:val="00ED5EC2"/>
    <w:rsid w:val="00ED6D86"/>
    <w:rsid w:val="00ED7E3C"/>
    <w:rsid w:val="00EE037E"/>
    <w:rsid w:val="00EE0C2D"/>
    <w:rsid w:val="00EE1230"/>
    <w:rsid w:val="00EE193A"/>
    <w:rsid w:val="00EE27AF"/>
    <w:rsid w:val="00EE3CF9"/>
    <w:rsid w:val="00EE55E1"/>
    <w:rsid w:val="00EE59CA"/>
    <w:rsid w:val="00EE5AEF"/>
    <w:rsid w:val="00EE5D6B"/>
    <w:rsid w:val="00EE7293"/>
    <w:rsid w:val="00EE72F2"/>
    <w:rsid w:val="00EF2B0C"/>
    <w:rsid w:val="00EF2E5E"/>
    <w:rsid w:val="00EF3D2D"/>
    <w:rsid w:val="00EF4570"/>
    <w:rsid w:val="00EF5D32"/>
    <w:rsid w:val="00EF62BA"/>
    <w:rsid w:val="00EF6548"/>
    <w:rsid w:val="00EF66EA"/>
    <w:rsid w:val="00EF6737"/>
    <w:rsid w:val="00F00AD5"/>
    <w:rsid w:val="00F03986"/>
    <w:rsid w:val="00F03F96"/>
    <w:rsid w:val="00F04552"/>
    <w:rsid w:val="00F051B7"/>
    <w:rsid w:val="00F05D55"/>
    <w:rsid w:val="00F06660"/>
    <w:rsid w:val="00F07470"/>
    <w:rsid w:val="00F10418"/>
    <w:rsid w:val="00F10EA5"/>
    <w:rsid w:val="00F11852"/>
    <w:rsid w:val="00F12DD0"/>
    <w:rsid w:val="00F132DD"/>
    <w:rsid w:val="00F141D1"/>
    <w:rsid w:val="00F1424D"/>
    <w:rsid w:val="00F1463D"/>
    <w:rsid w:val="00F15310"/>
    <w:rsid w:val="00F20274"/>
    <w:rsid w:val="00F20E5B"/>
    <w:rsid w:val="00F21439"/>
    <w:rsid w:val="00F22134"/>
    <w:rsid w:val="00F221F7"/>
    <w:rsid w:val="00F23A0B"/>
    <w:rsid w:val="00F23CD0"/>
    <w:rsid w:val="00F27FCD"/>
    <w:rsid w:val="00F30315"/>
    <w:rsid w:val="00F3293A"/>
    <w:rsid w:val="00F32B6C"/>
    <w:rsid w:val="00F32BCF"/>
    <w:rsid w:val="00F33513"/>
    <w:rsid w:val="00F33B6A"/>
    <w:rsid w:val="00F3436B"/>
    <w:rsid w:val="00F35BFD"/>
    <w:rsid w:val="00F37680"/>
    <w:rsid w:val="00F422A1"/>
    <w:rsid w:val="00F42C19"/>
    <w:rsid w:val="00F44B6D"/>
    <w:rsid w:val="00F450A5"/>
    <w:rsid w:val="00F4603F"/>
    <w:rsid w:val="00F465DF"/>
    <w:rsid w:val="00F472B2"/>
    <w:rsid w:val="00F4789F"/>
    <w:rsid w:val="00F47C44"/>
    <w:rsid w:val="00F47FC8"/>
    <w:rsid w:val="00F5117C"/>
    <w:rsid w:val="00F51D3B"/>
    <w:rsid w:val="00F52001"/>
    <w:rsid w:val="00F520A8"/>
    <w:rsid w:val="00F530B2"/>
    <w:rsid w:val="00F53D64"/>
    <w:rsid w:val="00F54797"/>
    <w:rsid w:val="00F5486B"/>
    <w:rsid w:val="00F54F35"/>
    <w:rsid w:val="00F5720C"/>
    <w:rsid w:val="00F6029D"/>
    <w:rsid w:val="00F622A3"/>
    <w:rsid w:val="00F63356"/>
    <w:rsid w:val="00F63955"/>
    <w:rsid w:val="00F63CF1"/>
    <w:rsid w:val="00F6414A"/>
    <w:rsid w:val="00F6461E"/>
    <w:rsid w:val="00F6490E"/>
    <w:rsid w:val="00F64D20"/>
    <w:rsid w:val="00F657BF"/>
    <w:rsid w:val="00F65D18"/>
    <w:rsid w:val="00F65F3E"/>
    <w:rsid w:val="00F66541"/>
    <w:rsid w:val="00F66EB9"/>
    <w:rsid w:val="00F73512"/>
    <w:rsid w:val="00F75514"/>
    <w:rsid w:val="00F77DCC"/>
    <w:rsid w:val="00F80363"/>
    <w:rsid w:val="00F81136"/>
    <w:rsid w:val="00F82B85"/>
    <w:rsid w:val="00F8369E"/>
    <w:rsid w:val="00F83EE4"/>
    <w:rsid w:val="00F850A3"/>
    <w:rsid w:val="00F854A7"/>
    <w:rsid w:val="00F8683F"/>
    <w:rsid w:val="00F8728A"/>
    <w:rsid w:val="00F912D8"/>
    <w:rsid w:val="00F915B0"/>
    <w:rsid w:val="00F918D5"/>
    <w:rsid w:val="00F91A18"/>
    <w:rsid w:val="00F930AF"/>
    <w:rsid w:val="00F93307"/>
    <w:rsid w:val="00F945E3"/>
    <w:rsid w:val="00F94A63"/>
    <w:rsid w:val="00F96F5C"/>
    <w:rsid w:val="00F97199"/>
    <w:rsid w:val="00F97D6C"/>
    <w:rsid w:val="00FA02B7"/>
    <w:rsid w:val="00FA099D"/>
    <w:rsid w:val="00FA3F60"/>
    <w:rsid w:val="00FA401A"/>
    <w:rsid w:val="00FA489A"/>
    <w:rsid w:val="00FA4CB8"/>
    <w:rsid w:val="00FA5F6F"/>
    <w:rsid w:val="00FA74C1"/>
    <w:rsid w:val="00FB0D05"/>
    <w:rsid w:val="00FB0D9C"/>
    <w:rsid w:val="00FB1B42"/>
    <w:rsid w:val="00FB1BA7"/>
    <w:rsid w:val="00FB27D2"/>
    <w:rsid w:val="00FB2955"/>
    <w:rsid w:val="00FB2D42"/>
    <w:rsid w:val="00FB5200"/>
    <w:rsid w:val="00FB6F13"/>
    <w:rsid w:val="00FB7F0B"/>
    <w:rsid w:val="00FC1011"/>
    <w:rsid w:val="00FC2116"/>
    <w:rsid w:val="00FC2CF8"/>
    <w:rsid w:val="00FC31CC"/>
    <w:rsid w:val="00FC41D1"/>
    <w:rsid w:val="00FC4319"/>
    <w:rsid w:val="00FC4B32"/>
    <w:rsid w:val="00FC5BF5"/>
    <w:rsid w:val="00FC696C"/>
    <w:rsid w:val="00FC7593"/>
    <w:rsid w:val="00FD013F"/>
    <w:rsid w:val="00FD06A6"/>
    <w:rsid w:val="00FD25BD"/>
    <w:rsid w:val="00FD55EA"/>
    <w:rsid w:val="00FD5678"/>
    <w:rsid w:val="00FD590B"/>
    <w:rsid w:val="00FD612F"/>
    <w:rsid w:val="00FD6CEE"/>
    <w:rsid w:val="00FE05B8"/>
    <w:rsid w:val="00FE266F"/>
    <w:rsid w:val="00FE2A94"/>
    <w:rsid w:val="00FE2F21"/>
    <w:rsid w:val="00FE339E"/>
    <w:rsid w:val="00FE4009"/>
    <w:rsid w:val="00FE46A8"/>
    <w:rsid w:val="00FE4DC9"/>
    <w:rsid w:val="00FE5DD7"/>
    <w:rsid w:val="00FE61C4"/>
    <w:rsid w:val="00FE6585"/>
    <w:rsid w:val="00FE6E12"/>
    <w:rsid w:val="00FF0415"/>
    <w:rsid w:val="00FF1889"/>
    <w:rsid w:val="00FF1A4A"/>
    <w:rsid w:val="00FF21B1"/>
    <w:rsid w:val="00FF395B"/>
    <w:rsid w:val="00FF3F3F"/>
    <w:rsid w:val="00FF46C0"/>
    <w:rsid w:val="00FF4CFA"/>
    <w:rsid w:val="00FF56DE"/>
    <w:rsid w:val="00FF5988"/>
    <w:rsid w:val="00FF59C7"/>
    <w:rsid w:val="00FF5F41"/>
    <w:rsid w:val="00FF7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5345"/>
    <o:shapelayout v:ext="edit">
      <o:idmap v:ext="edit" data="1"/>
    </o:shapelayout>
  </w:shapeDefaults>
  <w:decimalSymbol w:val="."/>
  <w:listSeparator w:val=","/>
  <w14:docId w14:val="5B67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569"/>
    <w:rPr>
      <w:rFonts w:ascii="Times New Roman" w:hAnsi="Times New Roman"/>
      <w:sz w:val="24"/>
      <w:szCs w:val="22"/>
      <w:lang w:eastAsia="en-US"/>
    </w:rPr>
  </w:style>
  <w:style w:type="paragraph" w:styleId="Heading1">
    <w:name w:val="heading 1"/>
    <w:basedOn w:val="Normal"/>
    <w:next w:val="Normal"/>
    <w:link w:val="Heading1Char"/>
    <w:uiPriority w:val="9"/>
    <w:qFormat/>
    <w:rsid w:val="0060210F"/>
    <w:pPr>
      <w:keepNext/>
      <w:keepLines/>
      <w:shd w:val="clear" w:color="auto" w:fill="1F497D"/>
      <w:spacing w:before="240" w:after="60"/>
      <w:outlineLvl w:val="0"/>
    </w:pPr>
    <w:rPr>
      <w:rFonts w:ascii="Arial" w:eastAsia="Times New Roman" w:hAnsi="Arial"/>
      <w:b/>
      <w:bCs/>
      <w:color w:val="FFFFFF"/>
      <w:sz w:val="32"/>
      <w:szCs w:val="28"/>
    </w:rPr>
  </w:style>
  <w:style w:type="paragraph" w:styleId="Heading2">
    <w:name w:val="heading 2"/>
    <w:basedOn w:val="Normal"/>
    <w:next w:val="Normal"/>
    <w:link w:val="Heading2Char"/>
    <w:uiPriority w:val="9"/>
    <w:unhideWhenUsed/>
    <w:qFormat/>
    <w:rsid w:val="00486482"/>
    <w:pPr>
      <w:keepNext/>
      <w:keepLines/>
      <w:spacing w:before="240" w:after="60"/>
      <w:outlineLvl w:val="1"/>
    </w:pPr>
    <w:rPr>
      <w:rFonts w:ascii="Arial" w:eastAsia="Times New Roman" w:hAnsi="Arial"/>
      <w:b/>
      <w:bCs/>
      <w:i/>
      <w:sz w:val="28"/>
      <w:szCs w:val="26"/>
    </w:rPr>
  </w:style>
  <w:style w:type="paragraph" w:styleId="Heading3">
    <w:name w:val="heading 3"/>
    <w:basedOn w:val="Normal"/>
    <w:next w:val="Normal"/>
    <w:link w:val="Heading3Char"/>
    <w:uiPriority w:val="9"/>
    <w:unhideWhenUsed/>
    <w:qFormat/>
    <w:rsid w:val="00486482"/>
    <w:pPr>
      <w:keepNext/>
      <w:keepLines/>
      <w:spacing w:after="60"/>
      <w:outlineLvl w:val="2"/>
    </w:pPr>
    <w:rPr>
      <w:rFonts w:ascii="Arial" w:eastAsia="Times New Roman" w:hAnsi="Arial"/>
      <w:b/>
      <w:bCs/>
    </w:rPr>
  </w:style>
  <w:style w:type="paragraph" w:styleId="Heading4">
    <w:name w:val="heading 4"/>
    <w:basedOn w:val="Normal"/>
    <w:next w:val="Normal"/>
    <w:link w:val="Heading4Char"/>
    <w:uiPriority w:val="9"/>
    <w:unhideWhenUsed/>
    <w:qFormat/>
    <w:rsid w:val="00486482"/>
    <w:pPr>
      <w:keepNext/>
      <w:keepLines/>
      <w:outlineLvl w:val="3"/>
    </w:pPr>
    <w:rPr>
      <w:rFonts w:eastAsia="Times New Roman"/>
      <w:b/>
      <w:bCs/>
      <w:i/>
      <w:iCs/>
      <w:color w:val="000000"/>
    </w:rPr>
  </w:style>
  <w:style w:type="paragraph" w:styleId="Heading5">
    <w:name w:val="heading 5"/>
    <w:basedOn w:val="Normal"/>
    <w:next w:val="Normal"/>
    <w:link w:val="Heading5Char"/>
    <w:uiPriority w:val="9"/>
    <w:semiHidden/>
    <w:unhideWhenUsed/>
    <w:rsid w:val="00B56632"/>
    <w:pPr>
      <w:keepNext/>
      <w:keepLines/>
      <w:spacing w:before="200"/>
      <w:outlineLvl w:val="4"/>
    </w:pPr>
    <w:rPr>
      <w:rFonts w:ascii="Cambria" w:eastAsia="Times New Roman" w:hAnsi="Cambria"/>
      <w:color w:val="000000"/>
      <w:sz w:val="22"/>
    </w:rPr>
  </w:style>
  <w:style w:type="paragraph" w:styleId="Heading6">
    <w:name w:val="heading 6"/>
    <w:basedOn w:val="Normal"/>
    <w:next w:val="Normal"/>
    <w:link w:val="Heading6Char"/>
    <w:uiPriority w:val="9"/>
    <w:semiHidden/>
    <w:unhideWhenUsed/>
    <w:qFormat/>
    <w:rsid w:val="00B56632"/>
    <w:pPr>
      <w:keepNext/>
      <w:keepLines/>
      <w:spacing w:before="200"/>
      <w:outlineLvl w:val="5"/>
    </w:pPr>
    <w:rPr>
      <w:rFonts w:ascii="Cambria" w:eastAsia="Times New Roman" w:hAnsi="Cambria"/>
      <w:iCs/>
      <w:color w:val="4F81BD"/>
      <w:sz w:val="22"/>
    </w:rPr>
  </w:style>
  <w:style w:type="paragraph" w:styleId="Heading7">
    <w:name w:val="heading 7"/>
    <w:basedOn w:val="Normal"/>
    <w:next w:val="Normal"/>
    <w:link w:val="Heading7Char"/>
    <w:uiPriority w:val="9"/>
    <w:semiHidden/>
    <w:unhideWhenUsed/>
    <w:qFormat/>
    <w:rsid w:val="00B56632"/>
    <w:pPr>
      <w:keepNext/>
      <w:keepLines/>
      <w:spacing w:before="200"/>
      <w:outlineLvl w:val="6"/>
    </w:pPr>
    <w:rPr>
      <w:rFonts w:ascii="Cambria" w:eastAsia="Times New Roman" w:hAnsi="Cambria"/>
      <w:i/>
      <w:iCs/>
      <w:color w:val="000000"/>
      <w:sz w:val="22"/>
    </w:rPr>
  </w:style>
  <w:style w:type="paragraph" w:styleId="Heading8">
    <w:name w:val="heading 8"/>
    <w:basedOn w:val="Normal"/>
    <w:next w:val="Normal"/>
    <w:link w:val="Heading8Char"/>
    <w:uiPriority w:val="9"/>
    <w:semiHidden/>
    <w:unhideWhenUsed/>
    <w:qFormat/>
    <w:rsid w:val="00B56632"/>
    <w:pPr>
      <w:keepNext/>
      <w:keepLines/>
      <w:spacing w:before="200"/>
      <w:outlineLvl w:val="7"/>
    </w:pPr>
    <w:rPr>
      <w:rFonts w:ascii="Cambria" w:eastAsia="Times New Roman" w:hAnsi="Cambria"/>
      <w:color w:val="000000"/>
      <w:sz w:val="20"/>
      <w:szCs w:val="20"/>
    </w:rPr>
  </w:style>
  <w:style w:type="paragraph" w:styleId="Heading9">
    <w:name w:val="heading 9"/>
    <w:basedOn w:val="Normal"/>
    <w:next w:val="Normal"/>
    <w:link w:val="Heading9Char"/>
    <w:uiPriority w:val="9"/>
    <w:semiHidden/>
    <w:unhideWhenUsed/>
    <w:qFormat/>
    <w:rsid w:val="00B56632"/>
    <w:pPr>
      <w:keepNext/>
      <w:keepLines/>
      <w:spacing w:before="200"/>
      <w:outlineLvl w:val="8"/>
    </w:pPr>
    <w:rPr>
      <w:rFonts w:ascii="Cambria" w:eastAsia="Times New Roman" w:hAnsi="Cambria"/>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210F"/>
    <w:rPr>
      <w:rFonts w:ascii="Arial" w:eastAsia="Times New Roman" w:hAnsi="Arial" w:cs="Times New Roman"/>
      <w:b/>
      <w:bCs/>
      <w:color w:val="FFFFFF"/>
      <w:sz w:val="32"/>
      <w:szCs w:val="28"/>
      <w:shd w:val="clear" w:color="auto" w:fill="1F497D"/>
    </w:rPr>
  </w:style>
  <w:style w:type="character" w:customStyle="1" w:styleId="Heading2Char">
    <w:name w:val="Heading 2 Char"/>
    <w:link w:val="Heading2"/>
    <w:uiPriority w:val="9"/>
    <w:rsid w:val="00486482"/>
    <w:rPr>
      <w:rFonts w:ascii="Arial" w:eastAsia="Times New Roman" w:hAnsi="Arial" w:cs="Times New Roman"/>
      <w:b/>
      <w:bCs/>
      <w:i/>
      <w:sz w:val="28"/>
      <w:szCs w:val="26"/>
    </w:rPr>
  </w:style>
  <w:style w:type="character" w:customStyle="1" w:styleId="Heading3Char">
    <w:name w:val="Heading 3 Char"/>
    <w:link w:val="Heading3"/>
    <w:uiPriority w:val="9"/>
    <w:rsid w:val="00486482"/>
    <w:rPr>
      <w:rFonts w:ascii="Arial" w:eastAsia="Times New Roman" w:hAnsi="Arial" w:cs="Times New Roman"/>
      <w:b/>
      <w:bCs/>
      <w:sz w:val="24"/>
    </w:rPr>
  </w:style>
  <w:style w:type="character" w:customStyle="1" w:styleId="Heading4Char">
    <w:name w:val="Heading 4 Char"/>
    <w:link w:val="Heading4"/>
    <w:uiPriority w:val="9"/>
    <w:rsid w:val="00486482"/>
    <w:rPr>
      <w:rFonts w:ascii="Times New Roman" w:eastAsia="Times New Roman" w:hAnsi="Times New Roman" w:cs="Times New Roman"/>
      <w:b/>
      <w:bCs/>
      <w:i/>
      <w:iCs/>
      <w:color w:val="000000"/>
      <w:sz w:val="24"/>
    </w:rPr>
  </w:style>
  <w:style w:type="character" w:customStyle="1" w:styleId="Heading5Char">
    <w:name w:val="Heading 5 Char"/>
    <w:link w:val="Heading5"/>
    <w:uiPriority w:val="9"/>
    <w:semiHidden/>
    <w:rsid w:val="00B56632"/>
    <w:rPr>
      <w:rFonts w:ascii="Cambria" w:eastAsia="Times New Roman" w:hAnsi="Cambria" w:cs="Times New Roman"/>
      <w:color w:val="000000"/>
    </w:rPr>
  </w:style>
  <w:style w:type="character" w:customStyle="1" w:styleId="Heading6Char">
    <w:name w:val="Heading 6 Char"/>
    <w:link w:val="Heading6"/>
    <w:uiPriority w:val="9"/>
    <w:semiHidden/>
    <w:rsid w:val="00B56632"/>
    <w:rPr>
      <w:rFonts w:ascii="Cambria" w:eastAsia="Times New Roman" w:hAnsi="Cambria" w:cs="Times New Roman"/>
      <w:iCs/>
      <w:color w:val="4F81BD"/>
    </w:rPr>
  </w:style>
  <w:style w:type="character" w:customStyle="1" w:styleId="Heading7Char">
    <w:name w:val="Heading 7 Char"/>
    <w:link w:val="Heading7"/>
    <w:uiPriority w:val="9"/>
    <w:semiHidden/>
    <w:rsid w:val="00B56632"/>
    <w:rPr>
      <w:rFonts w:ascii="Cambria" w:eastAsia="Times New Roman" w:hAnsi="Cambria" w:cs="Times New Roman"/>
      <w:i/>
      <w:iCs/>
      <w:color w:val="000000"/>
    </w:rPr>
  </w:style>
  <w:style w:type="character" w:customStyle="1" w:styleId="Heading8Char">
    <w:name w:val="Heading 8 Char"/>
    <w:link w:val="Heading8"/>
    <w:uiPriority w:val="9"/>
    <w:semiHidden/>
    <w:rsid w:val="00B56632"/>
    <w:rPr>
      <w:rFonts w:ascii="Cambria" w:eastAsia="Times New Roman" w:hAnsi="Cambria" w:cs="Times New Roman"/>
      <w:color w:val="000000"/>
      <w:sz w:val="20"/>
      <w:szCs w:val="20"/>
    </w:rPr>
  </w:style>
  <w:style w:type="character" w:customStyle="1" w:styleId="Heading9Char">
    <w:name w:val="Heading 9 Char"/>
    <w:link w:val="Heading9"/>
    <w:uiPriority w:val="9"/>
    <w:semiHidden/>
    <w:rsid w:val="00B56632"/>
    <w:rPr>
      <w:rFonts w:ascii="Cambria" w:eastAsia="Times New Roman" w:hAnsi="Cambria" w:cs="Times New Roman"/>
      <w:i/>
      <w:iCs/>
      <w:color w:val="000000"/>
      <w:sz w:val="20"/>
      <w:szCs w:val="20"/>
    </w:rPr>
  </w:style>
  <w:style w:type="paragraph" w:styleId="Caption">
    <w:name w:val="caption"/>
    <w:basedOn w:val="Normal"/>
    <w:next w:val="Normal"/>
    <w:uiPriority w:val="35"/>
    <w:semiHidden/>
    <w:unhideWhenUsed/>
    <w:qFormat/>
    <w:rsid w:val="00B56632"/>
    <w:rPr>
      <w:rFonts w:ascii="Cambria" w:eastAsia="Times New Roman" w:hAnsi="Cambria"/>
      <w:bCs/>
      <w:smallCaps/>
      <w:color w:val="1F497D"/>
      <w:spacing w:val="6"/>
      <w:sz w:val="22"/>
      <w:szCs w:val="18"/>
      <w:lang w:bidi="hi-IN"/>
    </w:rPr>
  </w:style>
  <w:style w:type="paragraph" w:styleId="Title">
    <w:name w:val="Title"/>
    <w:basedOn w:val="Normal"/>
    <w:next w:val="Normal"/>
    <w:link w:val="TitleChar"/>
    <w:uiPriority w:val="10"/>
    <w:qFormat/>
    <w:rsid w:val="00B56632"/>
    <w:pPr>
      <w:spacing w:after="120"/>
      <w:contextualSpacing/>
    </w:pPr>
    <w:rPr>
      <w:rFonts w:ascii="Cambria" w:eastAsia="Times New Roman" w:hAnsi="Cambria"/>
      <w:color w:val="1F497D"/>
      <w:spacing w:val="30"/>
      <w:kern w:val="28"/>
      <w:sz w:val="96"/>
      <w:szCs w:val="52"/>
    </w:rPr>
  </w:style>
  <w:style w:type="character" w:customStyle="1" w:styleId="TitleChar">
    <w:name w:val="Title Char"/>
    <w:link w:val="Title"/>
    <w:uiPriority w:val="10"/>
    <w:rsid w:val="00B56632"/>
    <w:rPr>
      <w:rFonts w:ascii="Cambria" w:eastAsia="Times New Roman" w:hAnsi="Cambria" w:cs="Times New Roman"/>
      <w:color w:val="1F497D"/>
      <w:spacing w:val="30"/>
      <w:kern w:val="28"/>
      <w:sz w:val="96"/>
      <w:szCs w:val="52"/>
    </w:rPr>
  </w:style>
  <w:style w:type="paragraph" w:styleId="Subtitle">
    <w:name w:val="Subtitle"/>
    <w:basedOn w:val="Normal"/>
    <w:next w:val="Normal"/>
    <w:link w:val="SubtitleChar"/>
    <w:uiPriority w:val="11"/>
    <w:rsid w:val="00B56632"/>
    <w:pPr>
      <w:numPr>
        <w:ilvl w:val="1"/>
      </w:numPr>
    </w:pPr>
    <w:rPr>
      <w:rFonts w:eastAsia="Times New Roman"/>
      <w:iCs/>
      <w:color w:val="1F497D"/>
      <w:sz w:val="40"/>
      <w:szCs w:val="24"/>
      <w:lang w:bidi="hi-IN"/>
    </w:rPr>
  </w:style>
  <w:style w:type="character" w:customStyle="1" w:styleId="SubtitleChar">
    <w:name w:val="Subtitle Char"/>
    <w:link w:val="Subtitle"/>
    <w:uiPriority w:val="11"/>
    <w:rsid w:val="00B56632"/>
    <w:rPr>
      <w:rFonts w:eastAsia="Times New Roman" w:cs="Times New Roman"/>
      <w:iCs/>
      <w:color w:val="1F497D"/>
      <w:sz w:val="40"/>
      <w:szCs w:val="24"/>
      <w:lang w:bidi="hi-IN"/>
    </w:rPr>
  </w:style>
  <w:style w:type="character" w:styleId="Strong">
    <w:name w:val="Strong"/>
    <w:uiPriority w:val="22"/>
    <w:qFormat/>
    <w:rsid w:val="00486482"/>
    <w:rPr>
      <w:rFonts w:ascii="Times New Roman" w:hAnsi="Times New Roman"/>
      <w:b/>
      <w:bCs/>
      <w:i w:val="0"/>
      <w:color w:val="auto"/>
      <w:sz w:val="24"/>
    </w:rPr>
  </w:style>
  <w:style w:type="character" w:styleId="Emphasis">
    <w:name w:val="Emphasis"/>
    <w:uiPriority w:val="20"/>
    <w:qFormat/>
    <w:rsid w:val="00486482"/>
    <w:rPr>
      <w:rFonts w:ascii="Times New Roman" w:hAnsi="Times New Roman"/>
      <w:b w:val="0"/>
      <w:i/>
      <w:iCs/>
      <w:color w:val="auto"/>
      <w:sz w:val="24"/>
    </w:rPr>
  </w:style>
  <w:style w:type="paragraph" w:styleId="NoSpacing">
    <w:name w:val="No Spacing"/>
    <w:link w:val="NoSpacingChar"/>
    <w:uiPriority w:val="1"/>
    <w:rsid w:val="00B56632"/>
    <w:rPr>
      <w:sz w:val="22"/>
      <w:szCs w:val="22"/>
      <w:lang w:eastAsia="en-US"/>
    </w:rPr>
  </w:style>
  <w:style w:type="character" w:customStyle="1" w:styleId="NoSpacingChar">
    <w:name w:val="No Spacing Char"/>
    <w:basedOn w:val="DefaultParagraphFont"/>
    <w:link w:val="NoSpacing"/>
    <w:uiPriority w:val="1"/>
    <w:rsid w:val="00B56632"/>
  </w:style>
  <w:style w:type="paragraph" w:styleId="ListParagraph">
    <w:name w:val="List Paragraph"/>
    <w:basedOn w:val="Normal"/>
    <w:uiPriority w:val="34"/>
    <w:qFormat/>
    <w:rsid w:val="00B56632"/>
    <w:pPr>
      <w:ind w:left="720" w:hanging="288"/>
      <w:contextualSpacing/>
    </w:pPr>
    <w:rPr>
      <w:color w:val="1F497D"/>
    </w:rPr>
  </w:style>
  <w:style w:type="paragraph" w:styleId="Quote">
    <w:name w:val="Quote"/>
    <w:basedOn w:val="Normal"/>
    <w:next w:val="Normal"/>
    <w:link w:val="QuoteChar"/>
    <w:uiPriority w:val="29"/>
    <w:qFormat/>
    <w:rsid w:val="00B56632"/>
    <w:pPr>
      <w:spacing w:line="360" w:lineRule="auto"/>
      <w:jc w:val="center"/>
    </w:pPr>
    <w:rPr>
      <w:rFonts w:eastAsia="Times New Roman"/>
      <w:b/>
      <w:i/>
      <w:iCs/>
      <w:color w:val="4F81BD"/>
      <w:sz w:val="26"/>
      <w:lang w:bidi="hi-IN"/>
    </w:rPr>
  </w:style>
  <w:style w:type="character" w:customStyle="1" w:styleId="QuoteChar">
    <w:name w:val="Quote Char"/>
    <w:link w:val="Quote"/>
    <w:uiPriority w:val="29"/>
    <w:rsid w:val="00B56632"/>
    <w:rPr>
      <w:rFonts w:eastAsia="Times New Roman"/>
      <w:b/>
      <w:i/>
      <w:iCs/>
      <w:color w:val="4F81BD"/>
      <w:sz w:val="26"/>
      <w:lang w:bidi="hi-IN"/>
    </w:rPr>
  </w:style>
  <w:style w:type="paragraph" w:styleId="IntenseQuote">
    <w:name w:val="Intense Quote"/>
    <w:aliases w:val="block - Heading 1"/>
    <w:basedOn w:val="Normal"/>
    <w:next w:val="Normal"/>
    <w:link w:val="IntenseQuoteChar"/>
    <w:uiPriority w:val="30"/>
    <w:rsid w:val="00486482"/>
    <w:pPr>
      <w:pBdr>
        <w:top w:val="single" w:sz="36" w:space="8" w:color="FFFFFF"/>
        <w:left w:val="single" w:sz="36" w:space="8" w:color="FFFFFF"/>
        <w:bottom w:val="single" w:sz="36" w:space="8" w:color="FFFFFF"/>
        <w:right w:val="single" w:sz="36" w:space="8" w:color="FFFFFF"/>
      </w:pBdr>
      <w:shd w:val="clear" w:color="auto" w:fill="1F497D"/>
      <w:spacing w:before="20" w:after="20"/>
      <w:ind w:left="261" w:right="261"/>
    </w:pPr>
    <w:rPr>
      <w:rFonts w:ascii="Arial" w:eastAsia="Times New Roman" w:hAnsi="Arial"/>
      <w:b/>
      <w:bCs/>
      <w:iCs/>
      <w:color w:val="FFFFFF"/>
      <w:sz w:val="32"/>
      <w:lang w:bidi="hi-IN"/>
    </w:rPr>
  </w:style>
  <w:style w:type="character" w:customStyle="1" w:styleId="IntenseQuoteChar">
    <w:name w:val="Intense Quote Char"/>
    <w:aliases w:val="block - Heading 1 Char"/>
    <w:link w:val="IntenseQuote"/>
    <w:uiPriority w:val="30"/>
    <w:rsid w:val="00486482"/>
    <w:rPr>
      <w:rFonts w:ascii="Arial" w:eastAsia="Times New Roman" w:hAnsi="Arial"/>
      <w:b/>
      <w:bCs/>
      <w:iCs/>
      <w:color w:val="FFFFFF"/>
      <w:sz w:val="32"/>
      <w:shd w:val="clear" w:color="auto" w:fill="1F497D"/>
      <w:lang w:bidi="hi-IN"/>
    </w:rPr>
  </w:style>
  <w:style w:type="character" w:styleId="SubtleEmphasis">
    <w:name w:val="Subtle Emphasis"/>
    <w:uiPriority w:val="19"/>
    <w:qFormat/>
    <w:rsid w:val="00B56632"/>
    <w:rPr>
      <w:i/>
      <w:iCs/>
      <w:color w:val="000000"/>
    </w:rPr>
  </w:style>
  <w:style w:type="character" w:styleId="IntenseEmphasis">
    <w:name w:val="Intense Emphasis"/>
    <w:uiPriority w:val="21"/>
    <w:rsid w:val="00B56632"/>
    <w:rPr>
      <w:b/>
      <w:bCs/>
      <w:i/>
      <w:iCs/>
      <w:color w:val="4F81BD"/>
    </w:rPr>
  </w:style>
  <w:style w:type="character" w:styleId="SubtleReference">
    <w:name w:val="Subtle Reference"/>
    <w:uiPriority w:val="31"/>
    <w:qFormat/>
    <w:rsid w:val="00B56632"/>
    <w:rPr>
      <w:smallCaps/>
      <w:color w:val="000000"/>
      <w:u w:val="single"/>
    </w:rPr>
  </w:style>
  <w:style w:type="character" w:styleId="IntenseReference">
    <w:name w:val="Intense Reference"/>
    <w:uiPriority w:val="32"/>
    <w:qFormat/>
    <w:rsid w:val="00B56632"/>
    <w:rPr>
      <w:b w:val="0"/>
      <w:bCs/>
      <w:smallCaps/>
      <w:color w:val="4F81BD"/>
      <w:spacing w:val="5"/>
      <w:u w:val="single"/>
    </w:rPr>
  </w:style>
  <w:style w:type="character" w:styleId="BookTitle">
    <w:name w:val="Book Title"/>
    <w:uiPriority w:val="33"/>
    <w:rsid w:val="00B56632"/>
    <w:rPr>
      <w:b/>
      <w:bCs/>
      <w:caps/>
      <w:smallCaps w:val="0"/>
      <w:color w:val="1F497D"/>
      <w:spacing w:val="10"/>
    </w:rPr>
  </w:style>
  <w:style w:type="paragraph" w:styleId="TOCHeading">
    <w:name w:val="TOC Heading"/>
    <w:basedOn w:val="Heading1"/>
    <w:next w:val="Normal"/>
    <w:uiPriority w:val="39"/>
    <w:unhideWhenUsed/>
    <w:qFormat/>
    <w:rsid w:val="00B56632"/>
    <w:pPr>
      <w:spacing w:before="480" w:line="264" w:lineRule="auto"/>
      <w:outlineLvl w:val="9"/>
    </w:pPr>
    <w:rPr>
      <w:b w:val="0"/>
    </w:rPr>
  </w:style>
  <w:style w:type="paragraph" w:customStyle="1" w:styleId="Default">
    <w:name w:val="Default"/>
    <w:rsid w:val="00FF3F3F"/>
    <w:pPr>
      <w:autoSpaceDE w:val="0"/>
      <w:autoSpaceDN w:val="0"/>
      <w:adjustRightInd w:val="0"/>
    </w:pPr>
    <w:rPr>
      <w:rFonts w:ascii="Cambria" w:hAnsi="Cambria" w:cs="Cambria"/>
      <w:color w:val="000000"/>
      <w:sz w:val="24"/>
      <w:szCs w:val="24"/>
      <w:lang w:eastAsia="en-US"/>
    </w:rPr>
  </w:style>
  <w:style w:type="character" w:styleId="Hyperlink">
    <w:name w:val="Hyperlink"/>
    <w:uiPriority w:val="99"/>
    <w:unhideWhenUsed/>
    <w:rsid w:val="0002559F"/>
    <w:rPr>
      <w:strike w:val="0"/>
      <w:dstrike w:val="0"/>
      <w:color w:val="0033CC"/>
      <w:u w:val="none"/>
      <w:effect w:val="none"/>
    </w:rPr>
  </w:style>
  <w:style w:type="paragraph" w:styleId="NormalWeb">
    <w:name w:val="Normal (Web)"/>
    <w:basedOn w:val="Normal"/>
    <w:uiPriority w:val="99"/>
    <w:semiHidden/>
    <w:unhideWhenUsed/>
    <w:rsid w:val="0002559F"/>
    <w:pPr>
      <w:spacing w:before="100" w:beforeAutospacing="1" w:after="240"/>
    </w:pPr>
    <w:rPr>
      <w:rFonts w:eastAsia="Times New Roman"/>
      <w:szCs w:val="24"/>
      <w:lang w:eastAsia="en-AU"/>
    </w:rPr>
  </w:style>
  <w:style w:type="paragraph" w:styleId="BalloonText">
    <w:name w:val="Balloon Text"/>
    <w:basedOn w:val="Normal"/>
    <w:link w:val="BalloonTextChar"/>
    <w:uiPriority w:val="99"/>
    <w:semiHidden/>
    <w:unhideWhenUsed/>
    <w:rsid w:val="00B81AB8"/>
    <w:rPr>
      <w:rFonts w:ascii="Tahoma" w:hAnsi="Tahoma" w:cs="Tahoma"/>
      <w:sz w:val="16"/>
      <w:szCs w:val="16"/>
    </w:rPr>
  </w:style>
  <w:style w:type="character" w:customStyle="1" w:styleId="BalloonTextChar">
    <w:name w:val="Balloon Text Char"/>
    <w:link w:val="BalloonText"/>
    <w:uiPriority w:val="99"/>
    <w:semiHidden/>
    <w:rsid w:val="00B81AB8"/>
    <w:rPr>
      <w:rFonts w:ascii="Tahoma" w:hAnsi="Tahoma" w:cs="Tahoma"/>
      <w:sz w:val="16"/>
      <w:szCs w:val="16"/>
    </w:rPr>
  </w:style>
  <w:style w:type="paragraph" w:styleId="TOC2">
    <w:name w:val="toc 2"/>
    <w:basedOn w:val="Normal"/>
    <w:next w:val="Normal"/>
    <w:autoRedefine/>
    <w:uiPriority w:val="39"/>
    <w:unhideWhenUsed/>
    <w:qFormat/>
    <w:rsid w:val="00FA5F6F"/>
    <w:pPr>
      <w:spacing w:before="120"/>
      <w:ind w:left="210"/>
    </w:pPr>
    <w:rPr>
      <w:b/>
      <w:bCs/>
      <w:sz w:val="22"/>
    </w:rPr>
  </w:style>
  <w:style w:type="paragraph" w:styleId="TOC1">
    <w:name w:val="toc 1"/>
    <w:basedOn w:val="Normal"/>
    <w:next w:val="Normal"/>
    <w:autoRedefine/>
    <w:uiPriority w:val="39"/>
    <w:unhideWhenUsed/>
    <w:qFormat/>
    <w:rsid w:val="00960D1E"/>
    <w:pPr>
      <w:tabs>
        <w:tab w:val="right" w:leader="underscore" w:pos="9038"/>
      </w:tabs>
      <w:spacing w:before="120"/>
    </w:pPr>
    <w:rPr>
      <w:b/>
      <w:bCs/>
      <w:iCs/>
      <w:color w:val="215868"/>
      <w:szCs w:val="24"/>
    </w:rPr>
  </w:style>
  <w:style w:type="paragraph" w:styleId="TOC3">
    <w:name w:val="toc 3"/>
    <w:basedOn w:val="Normal"/>
    <w:next w:val="Normal"/>
    <w:autoRedefine/>
    <w:uiPriority w:val="39"/>
    <w:unhideWhenUsed/>
    <w:qFormat/>
    <w:rsid w:val="00FA5F6F"/>
    <w:pPr>
      <w:ind w:left="420"/>
    </w:pPr>
    <w:rPr>
      <w:sz w:val="20"/>
      <w:szCs w:val="20"/>
    </w:rPr>
  </w:style>
  <w:style w:type="paragraph" w:styleId="Header">
    <w:name w:val="header"/>
    <w:basedOn w:val="Normal"/>
    <w:link w:val="HeaderChar"/>
    <w:uiPriority w:val="99"/>
    <w:unhideWhenUsed/>
    <w:rsid w:val="00050E60"/>
    <w:pPr>
      <w:tabs>
        <w:tab w:val="center" w:pos="4513"/>
        <w:tab w:val="right" w:pos="9026"/>
      </w:tabs>
    </w:pPr>
  </w:style>
  <w:style w:type="character" w:customStyle="1" w:styleId="HeaderChar">
    <w:name w:val="Header Char"/>
    <w:link w:val="Header"/>
    <w:uiPriority w:val="99"/>
    <w:rsid w:val="00050E60"/>
    <w:rPr>
      <w:sz w:val="21"/>
    </w:rPr>
  </w:style>
  <w:style w:type="paragraph" w:styleId="Footer">
    <w:name w:val="footer"/>
    <w:basedOn w:val="Normal"/>
    <w:link w:val="FooterChar"/>
    <w:uiPriority w:val="99"/>
    <w:unhideWhenUsed/>
    <w:rsid w:val="00050E60"/>
    <w:pPr>
      <w:tabs>
        <w:tab w:val="center" w:pos="4513"/>
        <w:tab w:val="right" w:pos="9026"/>
      </w:tabs>
    </w:pPr>
  </w:style>
  <w:style w:type="character" w:customStyle="1" w:styleId="FooterChar">
    <w:name w:val="Footer Char"/>
    <w:link w:val="Footer"/>
    <w:uiPriority w:val="99"/>
    <w:rsid w:val="00050E60"/>
    <w:rPr>
      <w:sz w:val="21"/>
    </w:rPr>
  </w:style>
  <w:style w:type="paragraph" w:styleId="TOC4">
    <w:name w:val="toc 4"/>
    <w:basedOn w:val="Normal"/>
    <w:next w:val="Normal"/>
    <w:autoRedefine/>
    <w:uiPriority w:val="39"/>
    <w:unhideWhenUsed/>
    <w:rsid w:val="00960D1E"/>
    <w:pPr>
      <w:ind w:left="630"/>
    </w:pPr>
    <w:rPr>
      <w:sz w:val="20"/>
      <w:szCs w:val="20"/>
    </w:rPr>
  </w:style>
  <w:style w:type="paragraph" w:styleId="TOC5">
    <w:name w:val="toc 5"/>
    <w:basedOn w:val="Normal"/>
    <w:next w:val="Normal"/>
    <w:autoRedefine/>
    <w:uiPriority w:val="39"/>
    <w:unhideWhenUsed/>
    <w:rsid w:val="00960D1E"/>
    <w:pPr>
      <w:ind w:left="840"/>
    </w:pPr>
    <w:rPr>
      <w:sz w:val="20"/>
      <w:szCs w:val="20"/>
    </w:rPr>
  </w:style>
  <w:style w:type="paragraph" w:styleId="TOC6">
    <w:name w:val="toc 6"/>
    <w:basedOn w:val="Normal"/>
    <w:next w:val="Normal"/>
    <w:autoRedefine/>
    <w:uiPriority w:val="39"/>
    <w:unhideWhenUsed/>
    <w:rsid w:val="00960D1E"/>
    <w:pPr>
      <w:ind w:left="1050"/>
    </w:pPr>
    <w:rPr>
      <w:sz w:val="20"/>
      <w:szCs w:val="20"/>
    </w:rPr>
  </w:style>
  <w:style w:type="paragraph" w:styleId="TOC7">
    <w:name w:val="toc 7"/>
    <w:basedOn w:val="Normal"/>
    <w:next w:val="Normal"/>
    <w:autoRedefine/>
    <w:uiPriority w:val="39"/>
    <w:unhideWhenUsed/>
    <w:rsid w:val="00960D1E"/>
    <w:pPr>
      <w:ind w:left="1260"/>
    </w:pPr>
    <w:rPr>
      <w:sz w:val="20"/>
      <w:szCs w:val="20"/>
    </w:rPr>
  </w:style>
  <w:style w:type="paragraph" w:styleId="TOC8">
    <w:name w:val="toc 8"/>
    <w:basedOn w:val="Normal"/>
    <w:next w:val="Normal"/>
    <w:autoRedefine/>
    <w:uiPriority w:val="39"/>
    <w:unhideWhenUsed/>
    <w:rsid w:val="00960D1E"/>
    <w:pPr>
      <w:ind w:left="1470"/>
    </w:pPr>
    <w:rPr>
      <w:sz w:val="20"/>
      <w:szCs w:val="20"/>
    </w:rPr>
  </w:style>
  <w:style w:type="paragraph" w:styleId="TOC9">
    <w:name w:val="toc 9"/>
    <w:basedOn w:val="Normal"/>
    <w:next w:val="Normal"/>
    <w:autoRedefine/>
    <w:uiPriority w:val="39"/>
    <w:unhideWhenUsed/>
    <w:rsid w:val="00960D1E"/>
    <w:pPr>
      <w:ind w:left="1680"/>
    </w:pPr>
    <w:rPr>
      <w:sz w:val="20"/>
      <w:szCs w:val="20"/>
    </w:rPr>
  </w:style>
  <w:style w:type="table" w:styleId="TableGrid">
    <w:name w:val="Table Grid"/>
    <w:basedOn w:val="TableNormal"/>
    <w:uiPriority w:val="59"/>
    <w:rsid w:val="009A27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6398D"/>
    <w:rPr>
      <w:color w:val="800080" w:themeColor="followedHyperlink"/>
      <w:u w:val="single"/>
    </w:rPr>
  </w:style>
  <w:style w:type="table" w:customStyle="1" w:styleId="TableGrid1">
    <w:name w:val="Table Grid1"/>
    <w:basedOn w:val="TableNormal"/>
    <w:next w:val="TableGrid"/>
    <w:rsid w:val="00D224DB"/>
    <w:pPr>
      <w:spacing w:line="168" w:lineRule="auto"/>
    </w:pPr>
    <w:rPr>
      <w:rFonts w:ascii="Malgun Gothic" w:eastAsia="Times New Roman" w:hAnsi="Malgun Gothic"/>
      <w:sz w:val="18"/>
      <w:szCs w:val="18"/>
      <w:lang w:eastAsia="en-US"/>
    </w:rPr>
    <w:tblPr>
      <w:tblInd w:w="14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72" w:type="dxa"/>
        <w:left w:w="115" w:type="dxa"/>
        <w:bottom w:w="72" w:type="dxa"/>
        <w:right w:w="115" w:type="dxa"/>
      </w:tblCellMar>
    </w:tblPr>
    <w:trPr>
      <w:cantSplit/>
    </w:trPr>
    <w:tblStylePr w:type="firstRow">
      <w:pPr>
        <w:wordWrap/>
        <w:mirrorIndents w:val="0"/>
        <w:jc w:val="center"/>
      </w:pPr>
      <w:rPr>
        <w:rFonts w:eastAsia="Arial Bold" w:hAnsi="Arial Bold"/>
        <w:b/>
        <w:i w:val="0"/>
        <w:sz w:val="18"/>
      </w:rPr>
      <w:tblPr/>
      <w:trPr>
        <w:cantSplit w:val="0"/>
        <w:tblHeader/>
      </w:trPr>
      <w:tcPr>
        <w:vAlign w:val="center"/>
      </w:tcPr>
    </w:tblStylePr>
    <w:tblStylePr w:type="nwCell">
      <w:pPr>
        <w:wordWrap/>
        <w:jc w:val="left"/>
      </w:pPr>
    </w:tblStylePr>
  </w:style>
  <w:style w:type="character" w:styleId="CommentReference">
    <w:name w:val="annotation reference"/>
    <w:basedOn w:val="DefaultParagraphFont"/>
    <w:uiPriority w:val="99"/>
    <w:semiHidden/>
    <w:unhideWhenUsed/>
    <w:rsid w:val="00013C29"/>
    <w:rPr>
      <w:sz w:val="16"/>
      <w:szCs w:val="16"/>
    </w:rPr>
  </w:style>
  <w:style w:type="paragraph" w:styleId="CommentText">
    <w:name w:val="annotation text"/>
    <w:basedOn w:val="Normal"/>
    <w:link w:val="CommentTextChar"/>
    <w:uiPriority w:val="99"/>
    <w:semiHidden/>
    <w:unhideWhenUsed/>
    <w:rsid w:val="00013C29"/>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013C29"/>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321246"/>
    <w:pPr>
      <w:spacing w:after="0"/>
    </w:pPr>
    <w:rPr>
      <w:rFonts w:ascii="Times New Roman" w:eastAsia="Calibri" w:hAnsi="Times New Roman" w:cs="Times New Roman"/>
      <w:b/>
      <w:bCs/>
    </w:rPr>
  </w:style>
  <w:style w:type="character" w:customStyle="1" w:styleId="CommentSubjectChar">
    <w:name w:val="Comment Subject Char"/>
    <w:basedOn w:val="CommentTextChar"/>
    <w:link w:val="CommentSubject"/>
    <w:uiPriority w:val="99"/>
    <w:semiHidden/>
    <w:rsid w:val="00321246"/>
    <w:rPr>
      <w:rFonts w:ascii="Times New Roman" w:eastAsiaTheme="minorHAnsi" w:hAnsi="Times New Roman" w:cstheme="minorBidi"/>
      <w:b/>
      <w:bCs/>
      <w:lang w:eastAsia="en-US"/>
    </w:rPr>
  </w:style>
  <w:style w:type="paragraph" w:styleId="FootnoteText">
    <w:name w:val="footnote text"/>
    <w:basedOn w:val="Normal"/>
    <w:link w:val="FootnoteTextChar"/>
    <w:uiPriority w:val="99"/>
    <w:semiHidden/>
    <w:unhideWhenUsed/>
    <w:rsid w:val="009C175D"/>
    <w:rPr>
      <w:sz w:val="20"/>
      <w:szCs w:val="20"/>
    </w:rPr>
  </w:style>
  <w:style w:type="character" w:customStyle="1" w:styleId="FootnoteTextChar">
    <w:name w:val="Footnote Text Char"/>
    <w:basedOn w:val="DefaultParagraphFont"/>
    <w:link w:val="FootnoteText"/>
    <w:uiPriority w:val="99"/>
    <w:semiHidden/>
    <w:rsid w:val="009C175D"/>
    <w:rPr>
      <w:rFonts w:ascii="Times New Roman" w:hAnsi="Times New Roman"/>
      <w:lang w:eastAsia="en-US"/>
    </w:rPr>
  </w:style>
  <w:style w:type="character" w:styleId="FootnoteReference">
    <w:name w:val="footnote reference"/>
    <w:basedOn w:val="DefaultParagraphFont"/>
    <w:uiPriority w:val="99"/>
    <w:semiHidden/>
    <w:unhideWhenUsed/>
    <w:rsid w:val="009C175D"/>
    <w:rPr>
      <w:vertAlign w:val="superscript"/>
    </w:rPr>
  </w:style>
  <w:style w:type="table" w:styleId="GridTable1Light">
    <w:name w:val="Grid Table 1 Light"/>
    <w:basedOn w:val="TableNormal"/>
    <w:uiPriority w:val="46"/>
    <w:rsid w:val="0082316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82316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82316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1Light-Accent1">
    <w:name w:val="Grid Table 1 Light Accent 1"/>
    <w:basedOn w:val="TableNormal"/>
    <w:uiPriority w:val="46"/>
    <w:rsid w:val="0082316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5Dark">
    <w:name w:val="Grid Table 5 Dark"/>
    <w:basedOn w:val="TableNormal"/>
    <w:uiPriority w:val="50"/>
    <w:rsid w:val="00CA2FC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CA2FC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1F1A09"/>
    <w:rPr>
      <w:color w:val="808080"/>
    </w:rPr>
  </w:style>
  <w:style w:type="table" w:styleId="ListTable4-Accent1">
    <w:name w:val="List Table 4 Accent 1"/>
    <w:basedOn w:val="TableNormal"/>
    <w:uiPriority w:val="49"/>
    <w:rsid w:val="00F7351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36259">
      <w:bodyDiv w:val="1"/>
      <w:marLeft w:val="0"/>
      <w:marRight w:val="0"/>
      <w:marTop w:val="0"/>
      <w:marBottom w:val="0"/>
      <w:divBdr>
        <w:top w:val="none" w:sz="0" w:space="0" w:color="auto"/>
        <w:left w:val="none" w:sz="0" w:space="0" w:color="auto"/>
        <w:bottom w:val="none" w:sz="0" w:space="0" w:color="auto"/>
        <w:right w:val="none" w:sz="0" w:space="0" w:color="auto"/>
      </w:divBdr>
    </w:div>
    <w:div w:id="482048131">
      <w:bodyDiv w:val="1"/>
      <w:marLeft w:val="0"/>
      <w:marRight w:val="0"/>
      <w:marTop w:val="0"/>
      <w:marBottom w:val="0"/>
      <w:divBdr>
        <w:top w:val="none" w:sz="0" w:space="0" w:color="auto"/>
        <w:left w:val="none" w:sz="0" w:space="0" w:color="auto"/>
        <w:bottom w:val="none" w:sz="0" w:space="0" w:color="auto"/>
        <w:right w:val="none" w:sz="0" w:space="0" w:color="auto"/>
      </w:divBdr>
    </w:div>
    <w:div w:id="692925669">
      <w:bodyDiv w:val="1"/>
      <w:marLeft w:val="0"/>
      <w:marRight w:val="0"/>
      <w:marTop w:val="0"/>
      <w:marBottom w:val="0"/>
      <w:divBdr>
        <w:top w:val="none" w:sz="0" w:space="0" w:color="auto"/>
        <w:left w:val="none" w:sz="0" w:space="0" w:color="auto"/>
        <w:bottom w:val="none" w:sz="0" w:space="0" w:color="auto"/>
        <w:right w:val="none" w:sz="0" w:space="0" w:color="auto"/>
      </w:divBdr>
    </w:div>
    <w:div w:id="719943703">
      <w:bodyDiv w:val="1"/>
      <w:marLeft w:val="0"/>
      <w:marRight w:val="0"/>
      <w:marTop w:val="0"/>
      <w:marBottom w:val="0"/>
      <w:divBdr>
        <w:top w:val="none" w:sz="0" w:space="0" w:color="auto"/>
        <w:left w:val="none" w:sz="0" w:space="0" w:color="auto"/>
        <w:bottom w:val="none" w:sz="0" w:space="0" w:color="auto"/>
        <w:right w:val="none" w:sz="0" w:space="0" w:color="auto"/>
      </w:divBdr>
    </w:div>
    <w:div w:id="812212946">
      <w:bodyDiv w:val="1"/>
      <w:marLeft w:val="0"/>
      <w:marRight w:val="0"/>
      <w:marTop w:val="0"/>
      <w:marBottom w:val="0"/>
      <w:divBdr>
        <w:top w:val="none" w:sz="0" w:space="0" w:color="auto"/>
        <w:left w:val="none" w:sz="0" w:space="0" w:color="auto"/>
        <w:bottom w:val="none" w:sz="0" w:space="0" w:color="auto"/>
        <w:right w:val="none" w:sz="0" w:space="0" w:color="auto"/>
      </w:divBdr>
    </w:div>
    <w:div w:id="1105538857">
      <w:bodyDiv w:val="1"/>
      <w:marLeft w:val="0"/>
      <w:marRight w:val="0"/>
      <w:marTop w:val="0"/>
      <w:marBottom w:val="0"/>
      <w:divBdr>
        <w:top w:val="none" w:sz="0" w:space="0" w:color="auto"/>
        <w:left w:val="none" w:sz="0" w:space="0" w:color="auto"/>
        <w:bottom w:val="none" w:sz="0" w:space="0" w:color="auto"/>
        <w:right w:val="none" w:sz="0" w:space="0" w:color="auto"/>
      </w:divBdr>
      <w:divsChild>
        <w:div w:id="967928164">
          <w:marLeft w:val="7"/>
          <w:marRight w:val="0"/>
          <w:marTop w:val="0"/>
          <w:marBottom w:val="0"/>
          <w:divBdr>
            <w:top w:val="none" w:sz="0" w:space="0" w:color="auto"/>
            <w:left w:val="none" w:sz="0" w:space="0" w:color="auto"/>
            <w:bottom w:val="none" w:sz="0" w:space="0" w:color="auto"/>
            <w:right w:val="none" w:sz="0" w:space="0" w:color="auto"/>
          </w:divBdr>
          <w:divsChild>
            <w:div w:id="1996836607">
              <w:marLeft w:val="0"/>
              <w:marRight w:val="0"/>
              <w:marTop w:val="0"/>
              <w:marBottom w:val="0"/>
              <w:divBdr>
                <w:top w:val="none" w:sz="0" w:space="0" w:color="auto"/>
                <w:left w:val="none" w:sz="0" w:space="0" w:color="auto"/>
                <w:bottom w:val="none" w:sz="0" w:space="0" w:color="auto"/>
                <w:right w:val="none" w:sz="0" w:space="0" w:color="auto"/>
              </w:divBdr>
              <w:divsChild>
                <w:div w:id="66462719">
                  <w:marLeft w:val="15"/>
                  <w:marRight w:val="-100"/>
                  <w:marTop w:val="0"/>
                  <w:marBottom w:val="0"/>
                  <w:divBdr>
                    <w:top w:val="none" w:sz="0" w:space="0" w:color="auto"/>
                    <w:left w:val="none" w:sz="0" w:space="0" w:color="auto"/>
                    <w:bottom w:val="none" w:sz="0" w:space="0" w:color="auto"/>
                    <w:right w:val="none" w:sz="0" w:space="0" w:color="auto"/>
                  </w:divBdr>
                  <w:divsChild>
                    <w:div w:id="105120641">
                      <w:marLeft w:val="298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101296">
      <w:bodyDiv w:val="1"/>
      <w:marLeft w:val="0"/>
      <w:marRight w:val="0"/>
      <w:marTop w:val="0"/>
      <w:marBottom w:val="0"/>
      <w:divBdr>
        <w:top w:val="none" w:sz="0" w:space="0" w:color="auto"/>
        <w:left w:val="none" w:sz="0" w:space="0" w:color="auto"/>
        <w:bottom w:val="none" w:sz="0" w:space="0" w:color="auto"/>
        <w:right w:val="none" w:sz="0" w:space="0" w:color="auto"/>
      </w:divBdr>
      <w:divsChild>
        <w:div w:id="1484469501">
          <w:marLeft w:val="7"/>
          <w:marRight w:val="0"/>
          <w:marTop w:val="0"/>
          <w:marBottom w:val="0"/>
          <w:divBdr>
            <w:top w:val="none" w:sz="0" w:space="0" w:color="auto"/>
            <w:left w:val="none" w:sz="0" w:space="0" w:color="auto"/>
            <w:bottom w:val="none" w:sz="0" w:space="0" w:color="auto"/>
            <w:right w:val="none" w:sz="0" w:space="0" w:color="auto"/>
          </w:divBdr>
          <w:divsChild>
            <w:div w:id="1083141987">
              <w:marLeft w:val="0"/>
              <w:marRight w:val="0"/>
              <w:marTop w:val="0"/>
              <w:marBottom w:val="0"/>
              <w:divBdr>
                <w:top w:val="none" w:sz="0" w:space="0" w:color="auto"/>
                <w:left w:val="none" w:sz="0" w:space="0" w:color="auto"/>
                <w:bottom w:val="none" w:sz="0" w:space="0" w:color="auto"/>
                <w:right w:val="none" w:sz="0" w:space="0" w:color="auto"/>
              </w:divBdr>
              <w:divsChild>
                <w:div w:id="1159272698">
                  <w:marLeft w:val="0"/>
                  <w:marRight w:val="-100"/>
                  <w:marTop w:val="0"/>
                  <w:marBottom w:val="0"/>
                  <w:divBdr>
                    <w:top w:val="none" w:sz="0" w:space="0" w:color="auto"/>
                    <w:left w:val="none" w:sz="0" w:space="0" w:color="auto"/>
                    <w:bottom w:val="none" w:sz="0" w:space="0" w:color="auto"/>
                    <w:right w:val="none" w:sz="0" w:space="0" w:color="auto"/>
                  </w:divBdr>
                  <w:divsChild>
                    <w:div w:id="1568028240">
                      <w:marLeft w:val="2985"/>
                      <w:marRight w:val="27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76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s://www.education.gov.au/review-research-policy-and-funding-arrangements-0" TargetMode="External"/><Relationship Id="rId3" Type="http://schemas.openxmlformats.org/officeDocument/2006/relationships/hyperlink" Target="https://www.education.gov.au/review-research-policy-and-funding-arrangements-0" TargetMode="External"/><Relationship Id="rId7" Type="http://schemas.openxmlformats.org/officeDocument/2006/relationships/hyperlink" Target="https://www.arc.gov.au/grants/grant-application/funding-rulesgrant-guidelines/linkage-program-funding-rulesgrant-guidelines" TargetMode="External"/><Relationship Id="rId12" Type="http://schemas.openxmlformats.org/officeDocument/2006/relationships/hyperlink" Target="https://www.grants.gov.au/?event=public.FO.show&amp;FOUUID=6D4D8C00-B6BF-D2BA-B01F274BF297245D" TargetMode="External"/><Relationship Id="rId2" Type="http://schemas.openxmlformats.org/officeDocument/2006/relationships/hyperlink" Target="https://www.industry.gov.au/data-and-publications/national-innovation-and-science-agenda-report" TargetMode="External"/><Relationship Id="rId1" Type="http://schemas.openxmlformats.org/officeDocument/2006/relationships/hyperlink" Target="https://www.arc.gov.au/grants/linkage-program/linkage-projects" TargetMode="External"/><Relationship Id="rId6" Type="http://schemas.openxmlformats.org/officeDocument/2006/relationships/hyperlink" Target="https://www.arc.gov.au/grants/linkage-program/linkage-projects" TargetMode="External"/><Relationship Id="rId11" Type="http://schemas.openxmlformats.org/officeDocument/2006/relationships/hyperlink" Target="http://www.grants.gov.au" TargetMode="External"/><Relationship Id="rId5" Type="http://schemas.openxmlformats.org/officeDocument/2006/relationships/hyperlink" Target="https://www.arc.gov.au/policies-strategies/strategy/evaluation/arc-evaluation-strategy" TargetMode="External"/><Relationship Id="rId10" Type="http://schemas.openxmlformats.org/officeDocument/2006/relationships/hyperlink" Target="https://www.legislation.gov.au/Series/C2004A00773" TargetMode="External"/><Relationship Id="rId4" Type="http://schemas.openxmlformats.org/officeDocument/2006/relationships/hyperlink" Target="https://www.arc.gov.au/grants-and-funding/funding-outcomes/selection-outcome-reports/selection-report-linkage-projects-2017-proposals-submitted-23-december-2016-19-december-2017" TargetMode="External"/><Relationship Id="rId9" Type="http://schemas.openxmlformats.org/officeDocument/2006/relationships/hyperlink" Target="https://www.education.gov.au/review-research-policy-and-funding-arrangemen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4A602-C499-4237-A1BD-93460D88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16395</Words>
  <Characters>93453</Characters>
  <Application>Microsoft Office Word</Application>
  <DocSecurity>0</DocSecurity>
  <Lines>778</Lines>
  <Paragraphs>219</Paragraphs>
  <ScaleCrop>false</ScaleCrop>
  <HeadingPairs>
    <vt:vector size="2" baseType="variant">
      <vt:variant>
        <vt:lpstr>Title</vt:lpstr>
      </vt:variant>
      <vt:variant>
        <vt:i4>1</vt:i4>
      </vt:variant>
    </vt:vector>
  </HeadingPairs>
  <TitlesOfParts>
    <vt:vector size="1" baseType="lpstr">
      <vt:lpstr>ARC Policy</vt:lpstr>
    </vt:vector>
  </TitlesOfParts>
  <Manager/>
  <Company/>
  <LinksUpToDate>false</LinksUpToDate>
  <CharactersWithSpaces>109629</CharactersWithSpaces>
  <SharedDoc>false</SharedDoc>
  <HLinks>
    <vt:vector size="78" baseType="variant">
      <vt:variant>
        <vt:i4>7733304</vt:i4>
      </vt:variant>
      <vt:variant>
        <vt:i4>72</vt:i4>
      </vt:variant>
      <vt:variant>
        <vt:i4>0</vt:i4>
      </vt:variant>
      <vt:variant>
        <vt:i4>5</vt:i4>
      </vt:variant>
      <vt:variant>
        <vt:lpwstr>http://www.arc.gov.au/</vt:lpwstr>
      </vt:variant>
      <vt:variant>
        <vt:lpwstr/>
      </vt:variant>
      <vt:variant>
        <vt:i4>4063327</vt:i4>
      </vt:variant>
      <vt:variant>
        <vt:i4>69</vt:i4>
      </vt:variant>
      <vt:variant>
        <vt:i4>0</vt:i4>
      </vt:variant>
      <vt:variant>
        <vt:i4>5</vt:i4>
      </vt:variant>
      <vt:variant>
        <vt:lpwstr>mailto:communications@arc.gov.au</vt:lpwstr>
      </vt:variant>
      <vt:variant>
        <vt:lpwstr/>
      </vt:variant>
      <vt:variant>
        <vt:i4>1048624</vt:i4>
      </vt:variant>
      <vt:variant>
        <vt:i4>62</vt:i4>
      </vt:variant>
      <vt:variant>
        <vt:i4>0</vt:i4>
      </vt:variant>
      <vt:variant>
        <vt:i4>5</vt:i4>
      </vt:variant>
      <vt:variant>
        <vt:lpwstr/>
      </vt:variant>
      <vt:variant>
        <vt:lpwstr>_Toc398199265</vt:lpwstr>
      </vt:variant>
      <vt:variant>
        <vt:i4>1048624</vt:i4>
      </vt:variant>
      <vt:variant>
        <vt:i4>56</vt:i4>
      </vt:variant>
      <vt:variant>
        <vt:i4>0</vt:i4>
      </vt:variant>
      <vt:variant>
        <vt:i4>5</vt:i4>
      </vt:variant>
      <vt:variant>
        <vt:lpwstr/>
      </vt:variant>
      <vt:variant>
        <vt:lpwstr>_Toc398199264</vt:lpwstr>
      </vt:variant>
      <vt:variant>
        <vt:i4>1048624</vt:i4>
      </vt:variant>
      <vt:variant>
        <vt:i4>50</vt:i4>
      </vt:variant>
      <vt:variant>
        <vt:i4>0</vt:i4>
      </vt:variant>
      <vt:variant>
        <vt:i4>5</vt:i4>
      </vt:variant>
      <vt:variant>
        <vt:lpwstr/>
      </vt:variant>
      <vt:variant>
        <vt:lpwstr>_Toc398199263</vt:lpwstr>
      </vt:variant>
      <vt:variant>
        <vt:i4>1048624</vt:i4>
      </vt:variant>
      <vt:variant>
        <vt:i4>44</vt:i4>
      </vt:variant>
      <vt:variant>
        <vt:i4>0</vt:i4>
      </vt:variant>
      <vt:variant>
        <vt:i4>5</vt:i4>
      </vt:variant>
      <vt:variant>
        <vt:lpwstr/>
      </vt:variant>
      <vt:variant>
        <vt:lpwstr>_Toc398199262</vt:lpwstr>
      </vt:variant>
      <vt:variant>
        <vt:i4>1048624</vt:i4>
      </vt:variant>
      <vt:variant>
        <vt:i4>38</vt:i4>
      </vt:variant>
      <vt:variant>
        <vt:i4>0</vt:i4>
      </vt:variant>
      <vt:variant>
        <vt:i4>5</vt:i4>
      </vt:variant>
      <vt:variant>
        <vt:lpwstr/>
      </vt:variant>
      <vt:variant>
        <vt:lpwstr>_Toc398199261</vt:lpwstr>
      </vt:variant>
      <vt:variant>
        <vt:i4>1048624</vt:i4>
      </vt:variant>
      <vt:variant>
        <vt:i4>32</vt:i4>
      </vt:variant>
      <vt:variant>
        <vt:i4>0</vt:i4>
      </vt:variant>
      <vt:variant>
        <vt:i4>5</vt:i4>
      </vt:variant>
      <vt:variant>
        <vt:lpwstr/>
      </vt:variant>
      <vt:variant>
        <vt:lpwstr>_Toc398199260</vt:lpwstr>
      </vt:variant>
      <vt:variant>
        <vt:i4>1245232</vt:i4>
      </vt:variant>
      <vt:variant>
        <vt:i4>26</vt:i4>
      </vt:variant>
      <vt:variant>
        <vt:i4>0</vt:i4>
      </vt:variant>
      <vt:variant>
        <vt:i4>5</vt:i4>
      </vt:variant>
      <vt:variant>
        <vt:lpwstr/>
      </vt:variant>
      <vt:variant>
        <vt:lpwstr>_Toc398199259</vt:lpwstr>
      </vt:variant>
      <vt:variant>
        <vt:i4>1245232</vt:i4>
      </vt:variant>
      <vt:variant>
        <vt:i4>20</vt:i4>
      </vt:variant>
      <vt:variant>
        <vt:i4>0</vt:i4>
      </vt:variant>
      <vt:variant>
        <vt:i4>5</vt:i4>
      </vt:variant>
      <vt:variant>
        <vt:lpwstr/>
      </vt:variant>
      <vt:variant>
        <vt:lpwstr>_Toc398199258</vt:lpwstr>
      </vt:variant>
      <vt:variant>
        <vt:i4>1245232</vt:i4>
      </vt:variant>
      <vt:variant>
        <vt:i4>14</vt:i4>
      </vt:variant>
      <vt:variant>
        <vt:i4>0</vt:i4>
      </vt:variant>
      <vt:variant>
        <vt:i4>5</vt:i4>
      </vt:variant>
      <vt:variant>
        <vt:lpwstr/>
      </vt:variant>
      <vt:variant>
        <vt:lpwstr>_Toc398199257</vt:lpwstr>
      </vt:variant>
      <vt:variant>
        <vt:i4>1245232</vt:i4>
      </vt:variant>
      <vt:variant>
        <vt:i4>8</vt:i4>
      </vt:variant>
      <vt:variant>
        <vt:i4>0</vt:i4>
      </vt:variant>
      <vt:variant>
        <vt:i4>5</vt:i4>
      </vt:variant>
      <vt:variant>
        <vt:lpwstr/>
      </vt:variant>
      <vt:variant>
        <vt:lpwstr>_Toc398199256</vt:lpwstr>
      </vt:variant>
      <vt:variant>
        <vt:i4>1245232</vt:i4>
      </vt:variant>
      <vt:variant>
        <vt:i4>2</vt:i4>
      </vt:variant>
      <vt:variant>
        <vt:i4>0</vt:i4>
      </vt:variant>
      <vt:variant>
        <vt:i4>5</vt:i4>
      </vt:variant>
      <vt:variant>
        <vt:lpwstr/>
      </vt:variant>
      <vt:variant>
        <vt:lpwstr>_Toc398199255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 Policy</dc:title>
  <dc:subject>ARC Policy</dc:subject>
  <dc:creator/>
  <cp:keywords/>
  <dc:description/>
  <cp:lastModifiedBy/>
  <cp:revision>1</cp:revision>
  <dcterms:created xsi:type="dcterms:W3CDTF">2019-01-18T00:58:00Z</dcterms:created>
  <dcterms:modified xsi:type="dcterms:W3CDTF">2019-09-30T01:37:00Z</dcterms:modified>
</cp:coreProperties>
</file>