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8" Type="http://schemas.openxmlformats.org/package/2006/relationships/metadata/thumbnail" Target="docProps/thumbnail.emf"/><Relationship Id="rId7" Type="http://schemas.microsoft.com/office/2006/relationships/ui/extensibility" Target="customUI/customUI.xml"/><Relationship Id="rId1" Type="http://schemas.openxmlformats.org/officeDocument/2006/relationships/officeDocument" Target="word/document.xml"/><Relationship Id="rId10" Type="http://schemas.openxmlformats.org/officeDocument/2006/relationships/extended-properties" Target="docProps/app.xml"/><Relationship Id="rId9"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ront page table for formatting"/>
        <w:tblDescription w:val="Front page table for formatting"/>
      </w:tblPr>
      <w:tblGrid>
        <w:gridCol w:w="9286"/>
      </w:tblGrid>
      <w:tr w:rsidR="00B46345" w:rsidRPr="00D826A1" w14:paraId="0A101646" w14:textId="77777777" w:rsidTr="001C703D">
        <w:trPr>
          <w:trHeight w:hRule="exact" w:val="5812"/>
        </w:trPr>
        <w:tc>
          <w:tcPr>
            <w:tcW w:w="9286" w:type="dxa"/>
            <w:vAlign w:val="bottom"/>
          </w:tcPr>
          <w:p w14:paraId="121D5344" w14:textId="7688BA1D" w:rsidR="00B46345" w:rsidRPr="00D826A1" w:rsidRDefault="00665006" w:rsidP="00B46345">
            <w:pPr>
              <w:pStyle w:val="Reporttitle"/>
            </w:pPr>
            <w:r w:rsidRPr="00D826A1">
              <w:rPr>
                <w:sz w:val="72"/>
                <w:szCs w:val="72"/>
              </w:rPr>
              <w:t xml:space="preserve">Survey </w:t>
            </w:r>
            <w:bookmarkStart w:id="0" w:name="_GoBack"/>
            <w:r w:rsidRPr="00D826A1">
              <w:rPr>
                <w:sz w:val="72"/>
                <w:szCs w:val="72"/>
              </w:rPr>
              <w:t xml:space="preserve">and Interviews </w:t>
            </w:r>
            <w:bookmarkEnd w:id="0"/>
            <w:r w:rsidRPr="00D826A1">
              <w:rPr>
                <w:sz w:val="72"/>
                <w:szCs w:val="72"/>
              </w:rPr>
              <w:t>for the Evaluation of the Industrial Transformation Research Program</w:t>
            </w:r>
          </w:p>
        </w:tc>
      </w:tr>
      <w:tr w:rsidR="00B46345" w:rsidRPr="00D826A1" w14:paraId="12B581D0" w14:textId="77777777" w:rsidTr="001C703D">
        <w:trPr>
          <w:trHeight w:val="3241"/>
        </w:trPr>
        <w:tc>
          <w:tcPr>
            <w:tcW w:w="9286" w:type="dxa"/>
          </w:tcPr>
          <w:p w14:paraId="2633223F" w14:textId="77777777" w:rsidR="00B46345" w:rsidRPr="00D826A1" w:rsidRDefault="00B46345" w:rsidP="00B46345"/>
        </w:tc>
      </w:tr>
      <w:tr w:rsidR="00B46345" w:rsidRPr="00D826A1" w14:paraId="6DA973DD" w14:textId="77777777" w:rsidTr="001C703D">
        <w:tc>
          <w:tcPr>
            <w:tcW w:w="9286" w:type="dxa"/>
          </w:tcPr>
          <w:p w14:paraId="5841C182" w14:textId="3ADB21EF" w:rsidR="00B46345" w:rsidRPr="00D826A1" w:rsidRDefault="00665006" w:rsidP="00751CE7">
            <w:pPr>
              <w:pStyle w:val="Subtitle"/>
            </w:pPr>
            <w:r w:rsidRPr="00D826A1">
              <w:t>Australian Research Council</w:t>
            </w:r>
          </w:p>
        </w:tc>
      </w:tr>
      <w:tr w:rsidR="001C703D" w:rsidRPr="00D826A1" w14:paraId="4F5E96BF" w14:textId="77777777" w:rsidTr="001C703D">
        <w:tc>
          <w:tcPr>
            <w:tcW w:w="9286" w:type="dxa"/>
          </w:tcPr>
          <w:p w14:paraId="18CEC4BF" w14:textId="2DB53F7C" w:rsidR="001C703D" w:rsidRPr="00D826A1" w:rsidRDefault="00665006" w:rsidP="001C703D">
            <w:pPr>
              <w:pStyle w:val="Reporttype"/>
            </w:pPr>
            <w:r w:rsidRPr="00D826A1">
              <w:t>Findings Report</w:t>
            </w:r>
          </w:p>
        </w:tc>
      </w:tr>
      <w:tr w:rsidR="001C703D" w:rsidRPr="00D826A1" w14:paraId="32D04A37" w14:textId="77777777" w:rsidTr="001C703D">
        <w:tc>
          <w:tcPr>
            <w:tcW w:w="9286" w:type="dxa"/>
          </w:tcPr>
          <w:p w14:paraId="7ACA0289" w14:textId="1D021264" w:rsidR="001C703D" w:rsidRPr="00D826A1" w:rsidRDefault="002422D6" w:rsidP="009A5F89">
            <w:pPr>
              <w:pStyle w:val="Reportperiod"/>
            </w:pPr>
            <w:r w:rsidRPr="00D826A1">
              <w:t>2</w:t>
            </w:r>
            <w:r w:rsidR="001A6ADE" w:rsidRPr="00D826A1">
              <w:t xml:space="preserve"> </w:t>
            </w:r>
            <w:r w:rsidR="00115274" w:rsidRPr="00D826A1">
              <w:t xml:space="preserve">April </w:t>
            </w:r>
            <w:r w:rsidR="006C3B2C" w:rsidRPr="00D826A1">
              <w:t>201</w:t>
            </w:r>
            <w:r w:rsidR="00665006" w:rsidRPr="00D826A1">
              <w:t>9</w:t>
            </w:r>
          </w:p>
        </w:tc>
      </w:tr>
    </w:tbl>
    <w:p w14:paraId="7BBBF0FA" w14:textId="77777777" w:rsidR="001334F9" w:rsidRPr="00D826A1" w:rsidRDefault="001334F9" w:rsidP="001334F9">
      <w:pPr>
        <w:pStyle w:val="FrontPage"/>
        <w:rPr>
          <w:rFonts w:cs="Segoe UI"/>
        </w:rPr>
      </w:pPr>
    </w:p>
    <w:p w14:paraId="512EB7EB" w14:textId="77777777" w:rsidR="00E77384" w:rsidRPr="00D826A1" w:rsidRDefault="00E77384" w:rsidP="00E77384">
      <w:pPr>
        <w:pStyle w:val="TOCHeading"/>
        <w:rPr>
          <w:rFonts w:cs="Segoe UI"/>
        </w:rPr>
      </w:pPr>
      <w:bookmarkStart w:id="1" w:name="_Ref3274979"/>
      <w:bookmarkStart w:id="2" w:name="_Toc3968716"/>
      <w:r w:rsidRPr="00D826A1">
        <w:rPr>
          <w:rFonts w:cs="Segoe UI"/>
        </w:rPr>
        <w:lastRenderedPageBreak/>
        <w:t>Acknowledgments</w:t>
      </w:r>
    </w:p>
    <w:p w14:paraId="0852A28B" w14:textId="736A9542" w:rsidR="00E77384" w:rsidRPr="00D826A1" w:rsidRDefault="00E77384" w:rsidP="00E77384">
      <w:pPr>
        <w:rPr>
          <w:rFonts w:cs="Segoe UI"/>
        </w:rPr>
      </w:pPr>
      <w:r w:rsidRPr="00D826A1">
        <w:rPr>
          <w:rFonts w:cs="Segoe UI"/>
        </w:rPr>
        <w:t>This work was completed with the assistance of the Australian Research Council</w:t>
      </w:r>
      <w:r w:rsidR="00646A42" w:rsidRPr="00D826A1">
        <w:rPr>
          <w:rFonts w:cs="Segoe UI"/>
        </w:rPr>
        <w:t>’s Program Evaluation section</w:t>
      </w:r>
      <w:r w:rsidRPr="00D826A1">
        <w:rPr>
          <w:rFonts w:cs="Segoe UI"/>
        </w:rPr>
        <w:t>.</w:t>
      </w:r>
    </w:p>
    <w:p w14:paraId="65325EBF" w14:textId="77777777" w:rsidR="00E77384" w:rsidRPr="00D826A1" w:rsidRDefault="00E77384" w:rsidP="00E77384">
      <w:pPr>
        <w:rPr>
          <w:rFonts w:cs="Segoe UI"/>
        </w:rPr>
      </w:pPr>
      <w:r w:rsidRPr="00D826A1">
        <w:rPr>
          <w:rFonts w:cs="Segoe UI"/>
        </w:rPr>
        <w:t>We would also like to thank the many key informants from the Australian Research Council, Department of Industry, Innovation and Science, Industry Growth Centres, and all the members of universities and partner organisations who were interviewed and surveyed as part of this research, and those members of the Australian Research Council who participated in the design and findings workshops. We thank them for their time and insights and trust that their views are adequately represented in this report.</w:t>
      </w:r>
    </w:p>
    <w:p w14:paraId="5869C4B0" w14:textId="77777777" w:rsidR="00E77384" w:rsidRPr="00D826A1" w:rsidRDefault="00E77384" w:rsidP="00E77384">
      <w:r w:rsidRPr="00D826A1">
        <w:rPr>
          <w:rFonts w:cs="Segoe UI"/>
          <w:b/>
        </w:rPr>
        <w:t xml:space="preserve">ARTD consultancy team </w:t>
      </w:r>
    </w:p>
    <w:p w14:paraId="6CAB8514" w14:textId="77777777" w:rsidR="00E77384" w:rsidRPr="00D826A1" w:rsidRDefault="00E77384" w:rsidP="00E77384">
      <w:pPr>
        <w:pStyle w:val="ListBullet"/>
        <w:numPr>
          <w:ilvl w:val="0"/>
          <w:numId w:val="0"/>
        </w:numPr>
        <w:ind w:left="454" w:hanging="454"/>
        <w:rPr>
          <w:rFonts w:cs="Segoe UI"/>
          <w:sz w:val="2"/>
          <w:szCs w:val="2"/>
        </w:rPr>
      </w:pPr>
    </w:p>
    <w:p w14:paraId="0B1D34BF" w14:textId="77777777" w:rsidR="00E77384" w:rsidRPr="00D826A1" w:rsidRDefault="00E77384" w:rsidP="00E77384">
      <w:pPr>
        <w:pStyle w:val="ListBullet"/>
        <w:numPr>
          <w:ilvl w:val="0"/>
          <w:numId w:val="0"/>
        </w:numPr>
        <w:ind w:left="454" w:hanging="454"/>
        <w:rPr>
          <w:rFonts w:cs="Segoe UI"/>
        </w:rPr>
      </w:pPr>
      <w:r w:rsidRPr="00D826A1">
        <w:rPr>
          <w:rFonts w:cs="Segoe UI"/>
        </w:rPr>
        <w:t>Gerard Atkinson</w:t>
      </w:r>
    </w:p>
    <w:p w14:paraId="7A7D4D30" w14:textId="77777777" w:rsidR="00E77384" w:rsidRPr="00D826A1" w:rsidRDefault="00E77384" w:rsidP="00E77384">
      <w:pPr>
        <w:pStyle w:val="ListBullet"/>
        <w:numPr>
          <w:ilvl w:val="0"/>
          <w:numId w:val="0"/>
        </w:numPr>
        <w:ind w:left="454" w:hanging="454"/>
        <w:rPr>
          <w:rFonts w:cs="Segoe UI"/>
        </w:rPr>
      </w:pPr>
      <w:r w:rsidRPr="00D826A1">
        <w:rPr>
          <w:rFonts w:cs="Segoe UI"/>
        </w:rPr>
        <w:t>Wendy Hodge</w:t>
      </w:r>
    </w:p>
    <w:p w14:paraId="3407276B" w14:textId="77777777" w:rsidR="00E77384" w:rsidRPr="00D826A1" w:rsidRDefault="00E77384" w:rsidP="00E77384">
      <w:pPr>
        <w:pStyle w:val="ListBullet"/>
        <w:numPr>
          <w:ilvl w:val="0"/>
          <w:numId w:val="0"/>
        </w:numPr>
        <w:ind w:left="454" w:hanging="454"/>
        <w:rPr>
          <w:rFonts w:cs="Segoe UI"/>
        </w:rPr>
      </w:pPr>
      <w:r w:rsidRPr="00D826A1">
        <w:rPr>
          <w:rFonts w:cs="Segoe UI"/>
        </w:rPr>
        <w:t>Brad Astbury</w:t>
      </w:r>
    </w:p>
    <w:p w14:paraId="11800CD0" w14:textId="77777777" w:rsidR="00E77384" w:rsidRPr="00D826A1" w:rsidRDefault="00E77384" w:rsidP="00E77384">
      <w:pPr>
        <w:pStyle w:val="ListBullet"/>
        <w:numPr>
          <w:ilvl w:val="0"/>
          <w:numId w:val="0"/>
        </w:numPr>
        <w:ind w:left="454" w:hanging="454"/>
        <w:rPr>
          <w:rFonts w:cs="Segoe UI"/>
        </w:rPr>
      </w:pPr>
      <w:proofErr w:type="spellStart"/>
      <w:r w:rsidRPr="00D826A1">
        <w:rPr>
          <w:rFonts w:cs="Segoe UI"/>
        </w:rPr>
        <w:t>Klas</w:t>
      </w:r>
      <w:proofErr w:type="spellEnd"/>
      <w:r w:rsidRPr="00D826A1">
        <w:rPr>
          <w:rFonts w:cs="Segoe UI"/>
        </w:rPr>
        <w:t xml:space="preserve"> Johansson</w:t>
      </w:r>
    </w:p>
    <w:p w14:paraId="78785256" w14:textId="77777777" w:rsidR="00E77384" w:rsidRPr="00D826A1" w:rsidRDefault="00E77384" w:rsidP="00E77384">
      <w:pPr>
        <w:pStyle w:val="ListBullet"/>
        <w:numPr>
          <w:ilvl w:val="0"/>
          <w:numId w:val="0"/>
        </w:numPr>
        <w:ind w:left="454" w:hanging="454"/>
        <w:rPr>
          <w:rFonts w:cs="Segoe UI"/>
        </w:rPr>
      </w:pPr>
      <w:r w:rsidRPr="00D826A1">
        <w:rPr>
          <w:rFonts w:cs="Segoe UI"/>
        </w:rPr>
        <w:t>Kerry Hart</w:t>
      </w:r>
    </w:p>
    <w:p w14:paraId="3AFBB816" w14:textId="77777777" w:rsidR="00E77384" w:rsidRPr="00D826A1" w:rsidRDefault="00E77384" w:rsidP="00E77384">
      <w:pPr>
        <w:pStyle w:val="ListBullet"/>
        <w:numPr>
          <w:ilvl w:val="0"/>
          <w:numId w:val="0"/>
        </w:numPr>
        <w:ind w:left="454" w:hanging="454"/>
        <w:rPr>
          <w:rFonts w:cs="Segoe UI"/>
        </w:rPr>
      </w:pPr>
      <w:r w:rsidRPr="00D826A1">
        <w:rPr>
          <w:rFonts w:cs="Segoe UI"/>
        </w:rPr>
        <w:t>David Wakelin</w:t>
      </w:r>
    </w:p>
    <w:p w14:paraId="65D1EDCB" w14:textId="77777777" w:rsidR="00E77384" w:rsidRPr="00D826A1" w:rsidRDefault="00E77384" w:rsidP="00E77384">
      <w:pPr>
        <w:pStyle w:val="ListBullet"/>
        <w:numPr>
          <w:ilvl w:val="0"/>
          <w:numId w:val="0"/>
        </w:numPr>
        <w:ind w:left="454" w:hanging="454"/>
        <w:rPr>
          <w:rFonts w:cs="Segoe UI"/>
        </w:rPr>
      </w:pPr>
      <w:r w:rsidRPr="00D826A1">
        <w:rPr>
          <w:rFonts w:cs="Segoe UI"/>
        </w:rPr>
        <w:t>Jack Cassidy</w:t>
      </w:r>
    </w:p>
    <w:p w14:paraId="419C81BA" w14:textId="77777777" w:rsidR="00E77384" w:rsidRPr="00D826A1" w:rsidRDefault="00E77384" w:rsidP="00E77384">
      <w:pPr>
        <w:pStyle w:val="ListBullet"/>
        <w:numPr>
          <w:ilvl w:val="0"/>
          <w:numId w:val="0"/>
        </w:numPr>
        <w:ind w:left="454" w:hanging="454"/>
        <w:rPr>
          <w:rFonts w:cs="Segoe UI"/>
        </w:rPr>
      </w:pPr>
      <w:r w:rsidRPr="00D826A1">
        <w:rPr>
          <w:rFonts w:cs="Segoe UI"/>
        </w:rPr>
        <w:t>Lia Oliver</w:t>
      </w:r>
    </w:p>
    <w:p w14:paraId="2C299583" w14:textId="77777777" w:rsidR="00E77384" w:rsidRPr="00D826A1" w:rsidRDefault="00E77384" w:rsidP="00E77384">
      <w:pPr>
        <w:pStyle w:val="ListBullet"/>
        <w:numPr>
          <w:ilvl w:val="0"/>
          <w:numId w:val="0"/>
        </w:numPr>
        <w:ind w:left="454" w:hanging="454"/>
        <w:rPr>
          <w:rFonts w:cs="Segoe UI"/>
        </w:rPr>
      </w:pPr>
      <w:r w:rsidRPr="00D826A1">
        <w:rPr>
          <w:rFonts w:cs="Segoe UI"/>
        </w:rPr>
        <w:t>Jack Rutherford</w:t>
      </w:r>
    </w:p>
    <w:p w14:paraId="52598D5E" w14:textId="77777777" w:rsidR="00E77384" w:rsidRPr="00D826A1" w:rsidRDefault="00E77384" w:rsidP="00E77384">
      <w:pPr>
        <w:pStyle w:val="ListBullet"/>
        <w:numPr>
          <w:ilvl w:val="0"/>
          <w:numId w:val="0"/>
        </w:numPr>
        <w:ind w:left="454" w:hanging="454"/>
        <w:rPr>
          <w:rFonts w:cs="Segoe UI"/>
        </w:rPr>
      </w:pPr>
      <w:r w:rsidRPr="00D826A1">
        <w:rPr>
          <w:rFonts w:cs="Segoe UI"/>
        </w:rPr>
        <w:t>Pravin Siriwardena</w:t>
      </w:r>
    </w:p>
    <w:p w14:paraId="1ADE1063" w14:textId="32F1D404" w:rsidR="006D0D89" w:rsidRDefault="006D0D89" w:rsidP="006D0D89">
      <w:pPr>
        <w:tabs>
          <w:tab w:val="left" w:pos="1785"/>
        </w:tabs>
      </w:pPr>
    </w:p>
    <w:p w14:paraId="7668FDB5" w14:textId="34DA08E2" w:rsidR="00E77384" w:rsidRPr="006D0D89" w:rsidRDefault="006D0D89" w:rsidP="006D0D89">
      <w:pPr>
        <w:tabs>
          <w:tab w:val="left" w:pos="1785"/>
        </w:tabs>
        <w:sectPr w:rsidR="00E77384" w:rsidRPr="006D0D89" w:rsidSect="001334F9">
          <w:headerReference w:type="default" r:id="rId8"/>
          <w:footerReference w:type="default" r:id="rId9"/>
          <w:headerReference w:type="first" r:id="rId10"/>
          <w:type w:val="continuous"/>
          <w:pgSz w:w="11906" w:h="16838" w:code="9"/>
          <w:pgMar w:top="1418" w:right="1418" w:bottom="1418" w:left="1418" w:header="567" w:footer="567" w:gutter="0"/>
          <w:pgNumType w:fmt="lowerRoman" w:start="1"/>
          <w:cols w:space="708"/>
          <w:titlePg/>
          <w:docGrid w:linePitch="360"/>
        </w:sectPr>
      </w:pPr>
      <w:r>
        <w:tab/>
      </w:r>
    </w:p>
    <w:p w14:paraId="73E240FD" w14:textId="77777777" w:rsidR="00E77384" w:rsidRPr="00D826A1" w:rsidRDefault="00E77384" w:rsidP="00E77384">
      <w:pPr>
        <w:pStyle w:val="TOCHeading"/>
        <w:rPr>
          <w:rFonts w:cs="Segoe UI"/>
        </w:rPr>
      </w:pPr>
      <w:r w:rsidRPr="00D826A1">
        <w:rPr>
          <w:rFonts w:cs="Segoe UI"/>
        </w:rPr>
        <w:t>Contents</w:t>
      </w:r>
    </w:p>
    <w:p w14:paraId="14771B11" w14:textId="5DAE70A4" w:rsidR="008938B6" w:rsidRDefault="00E77384">
      <w:pPr>
        <w:pStyle w:val="TOC1"/>
        <w:rPr>
          <w:rFonts w:asciiTheme="minorHAnsi" w:eastAsiaTheme="minorEastAsia" w:hAnsiTheme="minorHAnsi" w:cstheme="minorBidi"/>
          <w:b w:val="0"/>
          <w:szCs w:val="22"/>
        </w:rPr>
      </w:pPr>
      <w:r w:rsidRPr="00D826A1">
        <w:rPr>
          <w:rFonts w:cs="Segoe UI"/>
          <w:sz w:val="21"/>
        </w:rPr>
        <w:fldChar w:fldCharType="begin"/>
      </w:r>
      <w:r w:rsidRPr="00D826A1">
        <w:rPr>
          <w:rFonts w:cs="Segoe UI"/>
          <w:sz w:val="21"/>
        </w:rPr>
        <w:instrText xml:space="preserve"> TOC \o "1-1" \h \z \t "Heading 2,2,Exec Summary H2,2,General Heading 2,2" </w:instrText>
      </w:r>
      <w:r w:rsidRPr="00D826A1">
        <w:rPr>
          <w:rFonts w:cs="Segoe UI"/>
          <w:sz w:val="21"/>
        </w:rPr>
        <w:fldChar w:fldCharType="separate"/>
      </w:r>
      <w:hyperlink w:anchor="_Toc10105518" w:history="1">
        <w:r w:rsidR="008938B6" w:rsidRPr="00081453">
          <w:rPr>
            <w:rStyle w:val="Hyperlink"/>
            <w:rFonts w:cs="Segoe UI"/>
          </w:rPr>
          <w:t>Executive summary</w:t>
        </w:r>
        <w:r w:rsidR="008938B6">
          <w:rPr>
            <w:webHidden/>
          </w:rPr>
          <w:tab/>
        </w:r>
        <w:r w:rsidR="008938B6">
          <w:rPr>
            <w:webHidden/>
          </w:rPr>
          <w:fldChar w:fldCharType="begin"/>
        </w:r>
        <w:r w:rsidR="008938B6">
          <w:rPr>
            <w:webHidden/>
          </w:rPr>
          <w:instrText xml:space="preserve"> PAGEREF _Toc10105518 \h </w:instrText>
        </w:r>
        <w:r w:rsidR="008938B6">
          <w:rPr>
            <w:webHidden/>
          </w:rPr>
        </w:r>
        <w:r w:rsidR="008938B6">
          <w:rPr>
            <w:webHidden/>
          </w:rPr>
          <w:fldChar w:fldCharType="separate"/>
        </w:r>
        <w:r w:rsidR="00CD7DEE">
          <w:rPr>
            <w:webHidden/>
          </w:rPr>
          <w:t>v</w:t>
        </w:r>
        <w:r w:rsidR="008938B6">
          <w:rPr>
            <w:webHidden/>
          </w:rPr>
          <w:fldChar w:fldCharType="end"/>
        </w:r>
      </w:hyperlink>
    </w:p>
    <w:p w14:paraId="38560A9B" w14:textId="32DE2C33" w:rsidR="008938B6" w:rsidRDefault="00CD7DEE">
      <w:pPr>
        <w:pStyle w:val="TOC2"/>
        <w:rPr>
          <w:rFonts w:asciiTheme="minorHAnsi" w:eastAsiaTheme="minorEastAsia" w:hAnsiTheme="minorHAnsi" w:cstheme="minorBidi"/>
          <w:szCs w:val="22"/>
          <w:lang w:eastAsia="en-AU"/>
        </w:rPr>
      </w:pPr>
      <w:hyperlink w:anchor="_Toc10105519" w:history="1">
        <w:r w:rsidR="008938B6" w:rsidRPr="00081453">
          <w:rPr>
            <w:rStyle w:val="Hyperlink"/>
          </w:rPr>
          <w:t>Project</w:t>
        </w:r>
        <w:r w:rsidR="008938B6">
          <w:rPr>
            <w:webHidden/>
          </w:rPr>
          <w:tab/>
        </w:r>
        <w:r w:rsidR="008938B6">
          <w:rPr>
            <w:webHidden/>
          </w:rPr>
          <w:fldChar w:fldCharType="begin"/>
        </w:r>
        <w:r w:rsidR="008938B6">
          <w:rPr>
            <w:webHidden/>
          </w:rPr>
          <w:instrText xml:space="preserve"> PAGEREF _Toc10105519 \h </w:instrText>
        </w:r>
        <w:r w:rsidR="008938B6">
          <w:rPr>
            <w:webHidden/>
          </w:rPr>
        </w:r>
        <w:r w:rsidR="008938B6">
          <w:rPr>
            <w:webHidden/>
          </w:rPr>
          <w:fldChar w:fldCharType="separate"/>
        </w:r>
        <w:r>
          <w:rPr>
            <w:webHidden/>
          </w:rPr>
          <w:t>v</w:t>
        </w:r>
        <w:r w:rsidR="008938B6">
          <w:rPr>
            <w:webHidden/>
          </w:rPr>
          <w:fldChar w:fldCharType="end"/>
        </w:r>
      </w:hyperlink>
    </w:p>
    <w:p w14:paraId="57E1B553" w14:textId="4610A6A0" w:rsidR="008938B6" w:rsidRDefault="00CD7DEE">
      <w:pPr>
        <w:pStyle w:val="TOC2"/>
        <w:rPr>
          <w:rFonts w:asciiTheme="minorHAnsi" w:eastAsiaTheme="minorEastAsia" w:hAnsiTheme="minorHAnsi" w:cstheme="minorBidi"/>
          <w:szCs w:val="22"/>
          <w:lang w:eastAsia="en-AU"/>
        </w:rPr>
      </w:pPr>
      <w:hyperlink w:anchor="_Toc10105520" w:history="1">
        <w:r w:rsidR="008938B6" w:rsidRPr="00081453">
          <w:rPr>
            <w:rStyle w:val="Hyperlink"/>
          </w:rPr>
          <w:t>Key findings</w:t>
        </w:r>
        <w:r w:rsidR="008938B6">
          <w:rPr>
            <w:webHidden/>
          </w:rPr>
          <w:tab/>
        </w:r>
        <w:r w:rsidR="008938B6">
          <w:rPr>
            <w:webHidden/>
          </w:rPr>
          <w:fldChar w:fldCharType="begin"/>
        </w:r>
        <w:r w:rsidR="008938B6">
          <w:rPr>
            <w:webHidden/>
          </w:rPr>
          <w:instrText xml:space="preserve"> PAGEREF _Toc10105520 \h </w:instrText>
        </w:r>
        <w:r w:rsidR="008938B6">
          <w:rPr>
            <w:webHidden/>
          </w:rPr>
        </w:r>
        <w:r w:rsidR="008938B6">
          <w:rPr>
            <w:webHidden/>
          </w:rPr>
          <w:fldChar w:fldCharType="separate"/>
        </w:r>
        <w:r>
          <w:rPr>
            <w:webHidden/>
          </w:rPr>
          <w:t>v</w:t>
        </w:r>
        <w:r w:rsidR="008938B6">
          <w:rPr>
            <w:webHidden/>
          </w:rPr>
          <w:fldChar w:fldCharType="end"/>
        </w:r>
      </w:hyperlink>
    </w:p>
    <w:p w14:paraId="08F602E7" w14:textId="145A0B5D" w:rsidR="008938B6" w:rsidRDefault="00CD7DEE">
      <w:pPr>
        <w:pStyle w:val="TOC1"/>
        <w:rPr>
          <w:rFonts w:asciiTheme="minorHAnsi" w:eastAsiaTheme="minorEastAsia" w:hAnsiTheme="minorHAnsi" w:cstheme="minorBidi"/>
          <w:b w:val="0"/>
          <w:szCs w:val="22"/>
        </w:rPr>
      </w:pPr>
      <w:hyperlink w:anchor="_Toc10105521" w:history="1">
        <w:r w:rsidR="008938B6" w:rsidRPr="00081453">
          <w:rPr>
            <w:rStyle w:val="Hyperlink"/>
            <w:rFonts w:cs="Segoe UI"/>
          </w:rPr>
          <w:t>1.</w:t>
        </w:r>
        <w:r w:rsidR="008938B6">
          <w:rPr>
            <w:rFonts w:asciiTheme="minorHAnsi" w:eastAsiaTheme="minorEastAsia" w:hAnsiTheme="minorHAnsi" w:cstheme="minorBidi"/>
            <w:b w:val="0"/>
            <w:szCs w:val="22"/>
          </w:rPr>
          <w:tab/>
        </w:r>
        <w:r w:rsidR="008938B6" w:rsidRPr="00081453">
          <w:rPr>
            <w:rStyle w:val="Hyperlink"/>
            <w:rFonts w:cs="Segoe UI"/>
          </w:rPr>
          <w:t>Introduction</w:t>
        </w:r>
        <w:r w:rsidR="008938B6">
          <w:rPr>
            <w:webHidden/>
          </w:rPr>
          <w:tab/>
        </w:r>
        <w:r w:rsidR="008938B6">
          <w:rPr>
            <w:webHidden/>
          </w:rPr>
          <w:fldChar w:fldCharType="begin"/>
        </w:r>
        <w:r w:rsidR="008938B6">
          <w:rPr>
            <w:webHidden/>
          </w:rPr>
          <w:instrText xml:space="preserve"> PAGEREF _Toc10105521 \h </w:instrText>
        </w:r>
        <w:r w:rsidR="008938B6">
          <w:rPr>
            <w:webHidden/>
          </w:rPr>
        </w:r>
        <w:r w:rsidR="008938B6">
          <w:rPr>
            <w:webHidden/>
          </w:rPr>
          <w:fldChar w:fldCharType="separate"/>
        </w:r>
        <w:r>
          <w:rPr>
            <w:webHidden/>
          </w:rPr>
          <w:t>6</w:t>
        </w:r>
        <w:r w:rsidR="008938B6">
          <w:rPr>
            <w:webHidden/>
          </w:rPr>
          <w:fldChar w:fldCharType="end"/>
        </w:r>
      </w:hyperlink>
    </w:p>
    <w:p w14:paraId="60DA11E9" w14:textId="15EC664B" w:rsidR="008938B6" w:rsidRDefault="00CD7DEE">
      <w:pPr>
        <w:pStyle w:val="TOC2"/>
        <w:rPr>
          <w:rFonts w:asciiTheme="minorHAnsi" w:eastAsiaTheme="minorEastAsia" w:hAnsiTheme="minorHAnsi" w:cstheme="minorBidi"/>
          <w:szCs w:val="22"/>
          <w:lang w:eastAsia="en-AU"/>
        </w:rPr>
      </w:pPr>
      <w:hyperlink w:anchor="_Toc10105549" w:history="1">
        <w:r w:rsidR="008938B6" w:rsidRPr="00081453">
          <w:rPr>
            <w:rStyle w:val="Hyperlink"/>
          </w:rPr>
          <w:t>1.1</w:t>
        </w:r>
        <w:r w:rsidR="008938B6">
          <w:rPr>
            <w:rFonts w:asciiTheme="minorHAnsi" w:eastAsiaTheme="minorEastAsia" w:hAnsiTheme="minorHAnsi" w:cstheme="minorBidi"/>
            <w:szCs w:val="22"/>
            <w:lang w:eastAsia="en-AU"/>
          </w:rPr>
          <w:tab/>
        </w:r>
        <w:r w:rsidR="008938B6" w:rsidRPr="00081453">
          <w:rPr>
            <w:rStyle w:val="Hyperlink"/>
          </w:rPr>
          <w:t>The project</w:t>
        </w:r>
        <w:r w:rsidR="008938B6">
          <w:rPr>
            <w:webHidden/>
          </w:rPr>
          <w:tab/>
        </w:r>
        <w:r w:rsidR="008938B6">
          <w:rPr>
            <w:webHidden/>
          </w:rPr>
          <w:fldChar w:fldCharType="begin"/>
        </w:r>
        <w:r w:rsidR="008938B6">
          <w:rPr>
            <w:webHidden/>
          </w:rPr>
          <w:instrText xml:space="preserve"> PAGEREF _Toc10105549 \h </w:instrText>
        </w:r>
        <w:r w:rsidR="008938B6">
          <w:rPr>
            <w:webHidden/>
          </w:rPr>
        </w:r>
        <w:r w:rsidR="008938B6">
          <w:rPr>
            <w:webHidden/>
          </w:rPr>
          <w:fldChar w:fldCharType="separate"/>
        </w:r>
        <w:r>
          <w:rPr>
            <w:webHidden/>
          </w:rPr>
          <w:t>6</w:t>
        </w:r>
        <w:r w:rsidR="008938B6">
          <w:rPr>
            <w:webHidden/>
          </w:rPr>
          <w:fldChar w:fldCharType="end"/>
        </w:r>
      </w:hyperlink>
    </w:p>
    <w:p w14:paraId="28EE081D" w14:textId="5A6759BA" w:rsidR="008938B6" w:rsidRDefault="00CD7DEE">
      <w:pPr>
        <w:pStyle w:val="TOC2"/>
        <w:rPr>
          <w:rFonts w:asciiTheme="minorHAnsi" w:eastAsiaTheme="minorEastAsia" w:hAnsiTheme="minorHAnsi" w:cstheme="minorBidi"/>
          <w:szCs w:val="22"/>
          <w:lang w:eastAsia="en-AU"/>
        </w:rPr>
      </w:pPr>
      <w:hyperlink w:anchor="_Toc10105550" w:history="1">
        <w:r w:rsidR="008938B6" w:rsidRPr="00081453">
          <w:rPr>
            <w:rStyle w:val="Hyperlink"/>
          </w:rPr>
          <w:t>1.2</w:t>
        </w:r>
        <w:r w:rsidR="008938B6">
          <w:rPr>
            <w:rFonts w:asciiTheme="minorHAnsi" w:eastAsiaTheme="minorEastAsia" w:hAnsiTheme="minorHAnsi" w:cstheme="minorBidi"/>
            <w:szCs w:val="22"/>
            <w:lang w:eastAsia="en-AU"/>
          </w:rPr>
          <w:tab/>
        </w:r>
        <w:r w:rsidR="008938B6" w:rsidRPr="00081453">
          <w:rPr>
            <w:rStyle w:val="Hyperlink"/>
          </w:rPr>
          <w:t>Scope and focus of project</w:t>
        </w:r>
        <w:r w:rsidR="008938B6">
          <w:rPr>
            <w:webHidden/>
          </w:rPr>
          <w:tab/>
        </w:r>
        <w:r w:rsidR="008938B6">
          <w:rPr>
            <w:webHidden/>
          </w:rPr>
          <w:fldChar w:fldCharType="begin"/>
        </w:r>
        <w:r w:rsidR="008938B6">
          <w:rPr>
            <w:webHidden/>
          </w:rPr>
          <w:instrText xml:space="preserve"> PAGEREF _Toc10105550 \h </w:instrText>
        </w:r>
        <w:r w:rsidR="008938B6">
          <w:rPr>
            <w:webHidden/>
          </w:rPr>
        </w:r>
        <w:r w:rsidR="008938B6">
          <w:rPr>
            <w:webHidden/>
          </w:rPr>
          <w:fldChar w:fldCharType="separate"/>
        </w:r>
        <w:r>
          <w:rPr>
            <w:webHidden/>
          </w:rPr>
          <w:t>6</w:t>
        </w:r>
        <w:r w:rsidR="008938B6">
          <w:rPr>
            <w:webHidden/>
          </w:rPr>
          <w:fldChar w:fldCharType="end"/>
        </w:r>
      </w:hyperlink>
    </w:p>
    <w:p w14:paraId="4EBA0CA9" w14:textId="3795D182" w:rsidR="008938B6" w:rsidRDefault="00CD7DEE">
      <w:pPr>
        <w:pStyle w:val="TOC1"/>
        <w:rPr>
          <w:rFonts w:asciiTheme="minorHAnsi" w:eastAsiaTheme="minorEastAsia" w:hAnsiTheme="minorHAnsi" w:cstheme="minorBidi"/>
          <w:b w:val="0"/>
          <w:szCs w:val="22"/>
        </w:rPr>
      </w:pPr>
      <w:hyperlink w:anchor="_Toc10105581" w:history="1">
        <w:r w:rsidR="008938B6" w:rsidRPr="00081453">
          <w:rPr>
            <w:rStyle w:val="Hyperlink"/>
          </w:rPr>
          <w:t>2.</w:t>
        </w:r>
        <w:r w:rsidR="008938B6">
          <w:rPr>
            <w:rFonts w:asciiTheme="minorHAnsi" w:eastAsiaTheme="minorEastAsia" w:hAnsiTheme="minorHAnsi" w:cstheme="minorBidi"/>
            <w:b w:val="0"/>
            <w:szCs w:val="22"/>
          </w:rPr>
          <w:tab/>
        </w:r>
        <w:r w:rsidR="008938B6" w:rsidRPr="00081453">
          <w:rPr>
            <w:rStyle w:val="Hyperlink"/>
          </w:rPr>
          <w:t>Methodology</w:t>
        </w:r>
        <w:r w:rsidR="008938B6">
          <w:rPr>
            <w:webHidden/>
          </w:rPr>
          <w:tab/>
        </w:r>
        <w:r w:rsidR="008938B6">
          <w:rPr>
            <w:webHidden/>
          </w:rPr>
          <w:fldChar w:fldCharType="begin"/>
        </w:r>
        <w:r w:rsidR="008938B6">
          <w:rPr>
            <w:webHidden/>
          </w:rPr>
          <w:instrText xml:space="preserve"> PAGEREF _Toc10105581 \h </w:instrText>
        </w:r>
        <w:r w:rsidR="008938B6">
          <w:rPr>
            <w:webHidden/>
          </w:rPr>
        </w:r>
        <w:r w:rsidR="008938B6">
          <w:rPr>
            <w:webHidden/>
          </w:rPr>
          <w:fldChar w:fldCharType="separate"/>
        </w:r>
        <w:r>
          <w:rPr>
            <w:webHidden/>
          </w:rPr>
          <w:t>7</w:t>
        </w:r>
        <w:r w:rsidR="008938B6">
          <w:rPr>
            <w:webHidden/>
          </w:rPr>
          <w:fldChar w:fldCharType="end"/>
        </w:r>
      </w:hyperlink>
    </w:p>
    <w:p w14:paraId="52849E36" w14:textId="72826A86" w:rsidR="008938B6" w:rsidRDefault="00CD7DEE">
      <w:pPr>
        <w:pStyle w:val="TOC2"/>
        <w:rPr>
          <w:rFonts w:asciiTheme="minorHAnsi" w:eastAsiaTheme="minorEastAsia" w:hAnsiTheme="minorHAnsi" w:cstheme="minorBidi"/>
          <w:szCs w:val="22"/>
          <w:lang w:eastAsia="en-AU"/>
        </w:rPr>
      </w:pPr>
      <w:hyperlink w:anchor="_Toc10105595" w:history="1">
        <w:r w:rsidR="008938B6" w:rsidRPr="00081453">
          <w:rPr>
            <w:rStyle w:val="Hyperlink"/>
          </w:rPr>
          <w:t>2.1</w:t>
        </w:r>
        <w:r w:rsidR="008938B6">
          <w:rPr>
            <w:rFonts w:asciiTheme="minorHAnsi" w:eastAsiaTheme="minorEastAsia" w:hAnsiTheme="minorHAnsi" w:cstheme="minorBidi"/>
            <w:szCs w:val="22"/>
            <w:lang w:eastAsia="en-AU"/>
          </w:rPr>
          <w:tab/>
        </w:r>
        <w:r w:rsidR="008938B6" w:rsidRPr="00081453">
          <w:rPr>
            <w:rStyle w:val="Hyperlink"/>
          </w:rPr>
          <w:t>Surveys and interviews</w:t>
        </w:r>
        <w:r w:rsidR="008938B6">
          <w:rPr>
            <w:webHidden/>
          </w:rPr>
          <w:tab/>
        </w:r>
        <w:r w:rsidR="008938B6">
          <w:rPr>
            <w:webHidden/>
          </w:rPr>
          <w:fldChar w:fldCharType="begin"/>
        </w:r>
        <w:r w:rsidR="008938B6">
          <w:rPr>
            <w:webHidden/>
          </w:rPr>
          <w:instrText xml:space="preserve"> PAGEREF _Toc10105595 \h </w:instrText>
        </w:r>
        <w:r w:rsidR="008938B6">
          <w:rPr>
            <w:webHidden/>
          </w:rPr>
        </w:r>
        <w:r w:rsidR="008938B6">
          <w:rPr>
            <w:webHidden/>
          </w:rPr>
          <w:fldChar w:fldCharType="separate"/>
        </w:r>
        <w:r>
          <w:rPr>
            <w:webHidden/>
          </w:rPr>
          <w:t>7</w:t>
        </w:r>
        <w:r w:rsidR="008938B6">
          <w:rPr>
            <w:webHidden/>
          </w:rPr>
          <w:fldChar w:fldCharType="end"/>
        </w:r>
      </w:hyperlink>
    </w:p>
    <w:p w14:paraId="44B67042" w14:textId="256212D2" w:rsidR="008938B6" w:rsidRDefault="00CD7DEE">
      <w:pPr>
        <w:pStyle w:val="TOC1"/>
        <w:rPr>
          <w:rFonts w:asciiTheme="minorHAnsi" w:eastAsiaTheme="minorEastAsia" w:hAnsiTheme="minorHAnsi" w:cstheme="minorBidi"/>
          <w:b w:val="0"/>
          <w:szCs w:val="22"/>
        </w:rPr>
      </w:pPr>
      <w:hyperlink w:anchor="_Toc10105596" w:history="1">
        <w:r w:rsidR="008938B6" w:rsidRPr="00081453">
          <w:rPr>
            <w:rStyle w:val="Hyperlink"/>
          </w:rPr>
          <w:t>3.</w:t>
        </w:r>
        <w:r w:rsidR="008938B6">
          <w:rPr>
            <w:rFonts w:asciiTheme="minorHAnsi" w:eastAsiaTheme="minorEastAsia" w:hAnsiTheme="minorHAnsi" w:cstheme="minorBidi"/>
            <w:b w:val="0"/>
            <w:szCs w:val="22"/>
          </w:rPr>
          <w:tab/>
        </w:r>
        <w:r w:rsidR="008938B6" w:rsidRPr="00081453">
          <w:rPr>
            <w:rStyle w:val="Hyperlink"/>
          </w:rPr>
          <w:t>Summary of responses</w:t>
        </w:r>
        <w:r w:rsidR="008938B6">
          <w:rPr>
            <w:webHidden/>
          </w:rPr>
          <w:tab/>
        </w:r>
        <w:r w:rsidR="008938B6">
          <w:rPr>
            <w:webHidden/>
          </w:rPr>
          <w:fldChar w:fldCharType="begin"/>
        </w:r>
        <w:r w:rsidR="008938B6">
          <w:rPr>
            <w:webHidden/>
          </w:rPr>
          <w:instrText xml:space="preserve"> PAGEREF _Toc10105596 \h </w:instrText>
        </w:r>
        <w:r w:rsidR="008938B6">
          <w:rPr>
            <w:webHidden/>
          </w:rPr>
        </w:r>
        <w:r w:rsidR="008938B6">
          <w:rPr>
            <w:webHidden/>
          </w:rPr>
          <w:fldChar w:fldCharType="separate"/>
        </w:r>
        <w:r>
          <w:rPr>
            <w:webHidden/>
          </w:rPr>
          <w:t>9</w:t>
        </w:r>
        <w:r w:rsidR="008938B6">
          <w:rPr>
            <w:webHidden/>
          </w:rPr>
          <w:fldChar w:fldCharType="end"/>
        </w:r>
      </w:hyperlink>
    </w:p>
    <w:p w14:paraId="25FD6A5F" w14:textId="38E7861B" w:rsidR="008938B6" w:rsidRDefault="00CD7DEE">
      <w:pPr>
        <w:pStyle w:val="TOC2"/>
        <w:rPr>
          <w:rFonts w:asciiTheme="minorHAnsi" w:eastAsiaTheme="minorEastAsia" w:hAnsiTheme="minorHAnsi" w:cstheme="minorBidi"/>
          <w:szCs w:val="22"/>
          <w:lang w:eastAsia="en-AU"/>
        </w:rPr>
      </w:pPr>
      <w:hyperlink w:anchor="_Toc10105597" w:history="1">
        <w:r w:rsidR="008938B6" w:rsidRPr="00081453">
          <w:rPr>
            <w:rStyle w:val="Hyperlink"/>
          </w:rPr>
          <w:t>3.1</w:t>
        </w:r>
        <w:r w:rsidR="008938B6">
          <w:rPr>
            <w:rFonts w:asciiTheme="minorHAnsi" w:eastAsiaTheme="minorEastAsia" w:hAnsiTheme="minorHAnsi" w:cstheme="minorBidi"/>
            <w:szCs w:val="22"/>
            <w:lang w:eastAsia="en-AU"/>
          </w:rPr>
          <w:tab/>
        </w:r>
        <w:r w:rsidR="008938B6" w:rsidRPr="00081453">
          <w:rPr>
            <w:rStyle w:val="Hyperlink"/>
          </w:rPr>
          <w:t>Support for industry focused research collaboration</w:t>
        </w:r>
        <w:r w:rsidR="008938B6">
          <w:rPr>
            <w:webHidden/>
          </w:rPr>
          <w:tab/>
        </w:r>
        <w:r w:rsidR="008938B6">
          <w:rPr>
            <w:webHidden/>
          </w:rPr>
          <w:fldChar w:fldCharType="begin"/>
        </w:r>
        <w:r w:rsidR="008938B6">
          <w:rPr>
            <w:webHidden/>
          </w:rPr>
          <w:instrText xml:space="preserve"> PAGEREF _Toc10105597 \h </w:instrText>
        </w:r>
        <w:r w:rsidR="008938B6">
          <w:rPr>
            <w:webHidden/>
          </w:rPr>
        </w:r>
        <w:r w:rsidR="008938B6">
          <w:rPr>
            <w:webHidden/>
          </w:rPr>
          <w:fldChar w:fldCharType="separate"/>
        </w:r>
        <w:r>
          <w:rPr>
            <w:webHidden/>
          </w:rPr>
          <w:t>9</w:t>
        </w:r>
        <w:r w:rsidR="008938B6">
          <w:rPr>
            <w:webHidden/>
          </w:rPr>
          <w:fldChar w:fldCharType="end"/>
        </w:r>
      </w:hyperlink>
    </w:p>
    <w:p w14:paraId="05E6828D" w14:textId="09366AE2" w:rsidR="008938B6" w:rsidRDefault="00CD7DEE">
      <w:pPr>
        <w:pStyle w:val="TOC2"/>
        <w:rPr>
          <w:rFonts w:asciiTheme="minorHAnsi" w:eastAsiaTheme="minorEastAsia" w:hAnsiTheme="minorHAnsi" w:cstheme="minorBidi"/>
          <w:szCs w:val="22"/>
          <w:lang w:eastAsia="en-AU"/>
        </w:rPr>
      </w:pPr>
      <w:hyperlink w:anchor="_Toc10105598" w:history="1">
        <w:r w:rsidR="008938B6" w:rsidRPr="00081453">
          <w:rPr>
            <w:rStyle w:val="Hyperlink"/>
          </w:rPr>
          <w:t>3.2</w:t>
        </w:r>
        <w:r w:rsidR="008938B6">
          <w:rPr>
            <w:rFonts w:asciiTheme="minorHAnsi" w:eastAsiaTheme="minorEastAsia" w:hAnsiTheme="minorHAnsi" w:cstheme="minorBidi"/>
            <w:szCs w:val="22"/>
            <w:lang w:eastAsia="en-AU"/>
          </w:rPr>
          <w:tab/>
        </w:r>
        <w:r w:rsidR="008938B6" w:rsidRPr="00081453">
          <w:rPr>
            <w:rStyle w:val="Hyperlink"/>
          </w:rPr>
          <w:t>Support for industry focused research training</w:t>
        </w:r>
        <w:r w:rsidR="008938B6">
          <w:rPr>
            <w:webHidden/>
          </w:rPr>
          <w:tab/>
        </w:r>
        <w:r w:rsidR="008938B6">
          <w:rPr>
            <w:webHidden/>
          </w:rPr>
          <w:fldChar w:fldCharType="begin"/>
        </w:r>
        <w:r w:rsidR="008938B6">
          <w:rPr>
            <w:webHidden/>
          </w:rPr>
          <w:instrText xml:space="preserve"> PAGEREF _Toc10105598 \h </w:instrText>
        </w:r>
        <w:r w:rsidR="008938B6">
          <w:rPr>
            <w:webHidden/>
          </w:rPr>
        </w:r>
        <w:r w:rsidR="008938B6">
          <w:rPr>
            <w:webHidden/>
          </w:rPr>
          <w:fldChar w:fldCharType="separate"/>
        </w:r>
        <w:r>
          <w:rPr>
            <w:webHidden/>
          </w:rPr>
          <w:t>13</w:t>
        </w:r>
        <w:r w:rsidR="008938B6">
          <w:rPr>
            <w:webHidden/>
          </w:rPr>
          <w:fldChar w:fldCharType="end"/>
        </w:r>
      </w:hyperlink>
    </w:p>
    <w:p w14:paraId="772B0BFF" w14:textId="6429F3F1" w:rsidR="008938B6" w:rsidRDefault="00CD7DEE">
      <w:pPr>
        <w:pStyle w:val="TOC2"/>
        <w:rPr>
          <w:rFonts w:asciiTheme="minorHAnsi" w:eastAsiaTheme="minorEastAsia" w:hAnsiTheme="minorHAnsi" w:cstheme="minorBidi"/>
          <w:szCs w:val="22"/>
          <w:lang w:eastAsia="en-AU"/>
        </w:rPr>
      </w:pPr>
      <w:hyperlink w:anchor="_Toc10105599" w:history="1">
        <w:r w:rsidR="008938B6" w:rsidRPr="00081453">
          <w:rPr>
            <w:rStyle w:val="Hyperlink"/>
          </w:rPr>
          <w:t>3.3</w:t>
        </w:r>
        <w:r w:rsidR="008938B6">
          <w:rPr>
            <w:rFonts w:asciiTheme="minorHAnsi" w:eastAsiaTheme="minorEastAsia" w:hAnsiTheme="minorHAnsi" w:cstheme="minorBidi"/>
            <w:szCs w:val="22"/>
            <w:lang w:eastAsia="en-AU"/>
          </w:rPr>
          <w:tab/>
        </w:r>
        <w:r w:rsidR="008938B6" w:rsidRPr="00081453">
          <w:rPr>
            <w:rStyle w:val="Hyperlink"/>
          </w:rPr>
          <w:t>Engagement with Industry Growth Centres (IGCs)</w:t>
        </w:r>
        <w:r w:rsidR="008938B6">
          <w:rPr>
            <w:webHidden/>
          </w:rPr>
          <w:tab/>
        </w:r>
        <w:r w:rsidR="008938B6">
          <w:rPr>
            <w:webHidden/>
          </w:rPr>
          <w:fldChar w:fldCharType="begin"/>
        </w:r>
        <w:r w:rsidR="008938B6">
          <w:rPr>
            <w:webHidden/>
          </w:rPr>
          <w:instrText xml:space="preserve"> PAGEREF _Toc10105599 \h </w:instrText>
        </w:r>
        <w:r w:rsidR="008938B6">
          <w:rPr>
            <w:webHidden/>
          </w:rPr>
        </w:r>
        <w:r w:rsidR="008938B6">
          <w:rPr>
            <w:webHidden/>
          </w:rPr>
          <w:fldChar w:fldCharType="separate"/>
        </w:r>
        <w:r>
          <w:rPr>
            <w:webHidden/>
          </w:rPr>
          <w:t>18</w:t>
        </w:r>
        <w:r w:rsidR="008938B6">
          <w:rPr>
            <w:webHidden/>
          </w:rPr>
          <w:fldChar w:fldCharType="end"/>
        </w:r>
      </w:hyperlink>
    </w:p>
    <w:p w14:paraId="49783F5B" w14:textId="2E810A7D" w:rsidR="008938B6" w:rsidRDefault="00CD7DEE">
      <w:pPr>
        <w:pStyle w:val="TOC2"/>
        <w:rPr>
          <w:rFonts w:asciiTheme="minorHAnsi" w:eastAsiaTheme="minorEastAsia" w:hAnsiTheme="minorHAnsi" w:cstheme="minorBidi"/>
          <w:szCs w:val="22"/>
          <w:lang w:eastAsia="en-AU"/>
        </w:rPr>
      </w:pPr>
      <w:hyperlink w:anchor="_Toc10105600" w:history="1">
        <w:r w:rsidR="008938B6" w:rsidRPr="00081453">
          <w:rPr>
            <w:rStyle w:val="Hyperlink"/>
          </w:rPr>
          <w:t>3.4</w:t>
        </w:r>
        <w:r w:rsidR="008938B6">
          <w:rPr>
            <w:rFonts w:asciiTheme="minorHAnsi" w:eastAsiaTheme="minorEastAsia" w:hAnsiTheme="minorHAnsi" w:cstheme="minorBidi"/>
            <w:szCs w:val="22"/>
            <w:lang w:eastAsia="en-AU"/>
          </w:rPr>
          <w:tab/>
        </w:r>
        <w:r w:rsidR="008938B6" w:rsidRPr="00081453">
          <w:rPr>
            <w:rStyle w:val="Hyperlink"/>
          </w:rPr>
          <w:t>ITRP fit with other Australian Government programs that support industry focused research and innovation</w:t>
        </w:r>
        <w:r w:rsidR="008938B6">
          <w:rPr>
            <w:webHidden/>
          </w:rPr>
          <w:tab/>
        </w:r>
        <w:r w:rsidR="008938B6">
          <w:rPr>
            <w:webHidden/>
          </w:rPr>
          <w:fldChar w:fldCharType="begin"/>
        </w:r>
        <w:r w:rsidR="008938B6">
          <w:rPr>
            <w:webHidden/>
          </w:rPr>
          <w:instrText xml:space="preserve"> PAGEREF _Toc10105600 \h </w:instrText>
        </w:r>
        <w:r w:rsidR="008938B6">
          <w:rPr>
            <w:webHidden/>
          </w:rPr>
        </w:r>
        <w:r w:rsidR="008938B6">
          <w:rPr>
            <w:webHidden/>
          </w:rPr>
          <w:fldChar w:fldCharType="separate"/>
        </w:r>
        <w:r>
          <w:rPr>
            <w:webHidden/>
          </w:rPr>
          <w:t>24</w:t>
        </w:r>
        <w:r w:rsidR="008938B6">
          <w:rPr>
            <w:webHidden/>
          </w:rPr>
          <w:fldChar w:fldCharType="end"/>
        </w:r>
      </w:hyperlink>
    </w:p>
    <w:p w14:paraId="25235A81" w14:textId="608924A4" w:rsidR="008938B6" w:rsidRDefault="00CD7DEE">
      <w:pPr>
        <w:pStyle w:val="TOC2"/>
        <w:rPr>
          <w:rFonts w:asciiTheme="minorHAnsi" w:eastAsiaTheme="minorEastAsia" w:hAnsiTheme="minorHAnsi" w:cstheme="minorBidi"/>
          <w:szCs w:val="22"/>
          <w:lang w:eastAsia="en-AU"/>
        </w:rPr>
      </w:pPr>
      <w:hyperlink w:anchor="_Toc10105601" w:history="1">
        <w:r w:rsidR="008938B6" w:rsidRPr="00081453">
          <w:rPr>
            <w:rStyle w:val="Hyperlink"/>
          </w:rPr>
          <w:t>3.5</w:t>
        </w:r>
        <w:r w:rsidR="008938B6">
          <w:rPr>
            <w:rFonts w:asciiTheme="minorHAnsi" w:eastAsiaTheme="minorEastAsia" w:hAnsiTheme="minorHAnsi" w:cstheme="minorBidi"/>
            <w:szCs w:val="22"/>
            <w:lang w:eastAsia="en-AU"/>
          </w:rPr>
          <w:tab/>
        </w:r>
        <w:r w:rsidR="008938B6" w:rsidRPr="00081453">
          <w:rPr>
            <w:rStyle w:val="Hyperlink"/>
          </w:rPr>
          <w:t>Process implementation and advice to stakeholders</w:t>
        </w:r>
        <w:r w:rsidR="008938B6">
          <w:rPr>
            <w:webHidden/>
          </w:rPr>
          <w:tab/>
        </w:r>
        <w:r w:rsidR="008938B6">
          <w:rPr>
            <w:webHidden/>
          </w:rPr>
          <w:fldChar w:fldCharType="begin"/>
        </w:r>
        <w:r w:rsidR="008938B6">
          <w:rPr>
            <w:webHidden/>
          </w:rPr>
          <w:instrText xml:space="preserve"> PAGEREF _Toc10105601 \h </w:instrText>
        </w:r>
        <w:r w:rsidR="008938B6">
          <w:rPr>
            <w:webHidden/>
          </w:rPr>
        </w:r>
        <w:r w:rsidR="008938B6">
          <w:rPr>
            <w:webHidden/>
          </w:rPr>
          <w:fldChar w:fldCharType="separate"/>
        </w:r>
        <w:r>
          <w:rPr>
            <w:webHidden/>
          </w:rPr>
          <w:t>28</w:t>
        </w:r>
        <w:r w:rsidR="008938B6">
          <w:rPr>
            <w:webHidden/>
          </w:rPr>
          <w:fldChar w:fldCharType="end"/>
        </w:r>
      </w:hyperlink>
    </w:p>
    <w:p w14:paraId="5853D589" w14:textId="6E190C8C" w:rsidR="008938B6" w:rsidRDefault="00CD7DEE">
      <w:pPr>
        <w:pStyle w:val="TOC2"/>
        <w:rPr>
          <w:rFonts w:asciiTheme="minorHAnsi" w:eastAsiaTheme="minorEastAsia" w:hAnsiTheme="minorHAnsi" w:cstheme="minorBidi"/>
          <w:szCs w:val="22"/>
          <w:lang w:eastAsia="en-AU"/>
        </w:rPr>
      </w:pPr>
      <w:hyperlink w:anchor="_Toc10105602" w:history="1">
        <w:r w:rsidR="008938B6" w:rsidRPr="00081453">
          <w:rPr>
            <w:rStyle w:val="Hyperlink"/>
          </w:rPr>
          <w:t>3.6</w:t>
        </w:r>
        <w:r w:rsidR="008938B6">
          <w:rPr>
            <w:rFonts w:asciiTheme="minorHAnsi" w:eastAsiaTheme="minorEastAsia" w:hAnsiTheme="minorHAnsi" w:cstheme="minorBidi"/>
            <w:szCs w:val="22"/>
            <w:lang w:eastAsia="en-AU"/>
          </w:rPr>
          <w:tab/>
        </w:r>
        <w:r w:rsidR="008938B6" w:rsidRPr="00081453">
          <w:rPr>
            <w:rStyle w:val="Hyperlink"/>
          </w:rPr>
          <w:t>Overall objectives</w:t>
        </w:r>
        <w:r w:rsidR="008938B6">
          <w:rPr>
            <w:webHidden/>
          </w:rPr>
          <w:tab/>
        </w:r>
        <w:r w:rsidR="008938B6">
          <w:rPr>
            <w:webHidden/>
          </w:rPr>
          <w:fldChar w:fldCharType="begin"/>
        </w:r>
        <w:r w:rsidR="008938B6">
          <w:rPr>
            <w:webHidden/>
          </w:rPr>
          <w:instrText xml:space="preserve"> PAGEREF _Toc10105602 \h </w:instrText>
        </w:r>
        <w:r w:rsidR="008938B6">
          <w:rPr>
            <w:webHidden/>
          </w:rPr>
        </w:r>
        <w:r w:rsidR="008938B6">
          <w:rPr>
            <w:webHidden/>
          </w:rPr>
          <w:fldChar w:fldCharType="separate"/>
        </w:r>
        <w:r>
          <w:rPr>
            <w:webHidden/>
          </w:rPr>
          <w:t>35</w:t>
        </w:r>
        <w:r w:rsidR="008938B6">
          <w:rPr>
            <w:webHidden/>
          </w:rPr>
          <w:fldChar w:fldCharType="end"/>
        </w:r>
      </w:hyperlink>
    </w:p>
    <w:p w14:paraId="2333DE56" w14:textId="645DFC13" w:rsidR="008938B6" w:rsidRDefault="00CD7DEE">
      <w:pPr>
        <w:pStyle w:val="TOC2"/>
        <w:rPr>
          <w:rFonts w:asciiTheme="minorHAnsi" w:eastAsiaTheme="minorEastAsia" w:hAnsiTheme="minorHAnsi" w:cstheme="minorBidi"/>
          <w:szCs w:val="22"/>
          <w:lang w:eastAsia="en-AU"/>
        </w:rPr>
      </w:pPr>
      <w:hyperlink w:anchor="_Toc10105603" w:history="1">
        <w:r w:rsidR="008938B6" w:rsidRPr="00081453">
          <w:rPr>
            <w:rStyle w:val="Hyperlink"/>
          </w:rPr>
          <w:t>3.7</w:t>
        </w:r>
        <w:r w:rsidR="008938B6">
          <w:rPr>
            <w:rFonts w:asciiTheme="minorHAnsi" w:eastAsiaTheme="minorEastAsia" w:hAnsiTheme="minorHAnsi" w:cstheme="minorBidi"/>
            <w:szCs w:val="22"/>
            <w:lang w:eastAsia="en-AU"/>
          </w:rPr>
          <w:tab/>
        </w:r>
        <w:r w:rsidR="008938B6" w:rsidRPr="00081453">
          <w:rPr>
            <w:rStyle w:val="Hyperlink"/>
          </w:rPr>
          <w:t>General feedback</w:t>
        </w:r>
        <w:r w:rsidR="008938B6">
          <w:rPr>
            <w:webHidden/>
          </w:rPr>
          <w:tab/>
        </w:r>
        <w:r w:rsidR="008938B6">
          <w:rPr>
            <w:webHidden/>
          </w:rPr>
          <w:fldChar w:fldCharType="begin"/>
        </w:r>
        <w:r w:rsidR="008938B6">
          <w:rPr>
            <w:webHidden/>
          </w:rPr>
          <w:instrText xml:space="preserve"> PAGEREF _Toc10105603 \h </w:instrText>
        </w:r>
        <w:r w:rsidR="008938B6">
          <w:rPr>
            <w:webHidden/>
          </w:rPr>
        </w:r>
        <w:r w:rsidR="008938B6">
          <w:rPr>
            <w:webHidden/>
          </w:rPr>
          <w:fldChar w:fldCharType="separate"/>
        </w:r>
        <w:r>
          <w:rPr>
            <w:webHidden/>
          </w:rPr>
          <w:t>36</w:t>
        </w:r>
        <w:r w:rsidR="008938B6">
          <w:rPr>
            <w:webHidden/>
          </w:rPr>
          <w:fldChar w:fldCharType="end"/>
        </w:r>
      </w:hyperlink>
    </w:p>
    <w:p w14:paraId="17E53C7F" w14:textId="7A3C63E4" w:rsidR="008938B6" w:rsidRDefault="00CD7DEE">
      <w:pPr>
        <w:pStyle w:val="TOC1"/>
        <w:tabs>
          <w:tab w:val="left" w:pos="1701"/>
        </w:tabs>
        <w:rPr>
          <w:rFonts w:asciiTheme="minorHAnsi" w:eastAsiaTheme="minorEastAsia" w:hAnsiTheme="minorHAnsi" w:cstheme="minorBidi"/>
          <w:b w:val="0"/>
          <w:szCs w:val="22"/>
        </w:rPr>
      </w:pPr>
      <w:hyperlink w:anchor="_Toc10105604" w:history="1">
        <w:r w:rsidR="008938B6" w:rsidRPr="00081453">
          <w:rPr>
            <w:rStyle w:val="Hyperlink"/>
            <w14:scene3d>
              <w14:camera w14:prst="orthographicFront"/>
              <w14:lightRig w14:rig="threePt" w14:dir="t">
                <w14:rot w14:lat="0" w14:lon="0" w14:rev="0"/>
              </w14:lightRig>
            </w14:scene3d>
          </w:rPr>
          <w:t>Appendix 1.</w:t>
        </w:r>
        <w:r w:rsidR="008938B6">
          <w:rPr>
            <w:rFonts w:asciiTheme="minorHAnsi" w:eastAsiaTheme="minorEastAsia" w:hAnsiTheme="minorHAnsi" w:cstheme="minorBidi"/>
            <w:b w:val="0"/>
            <w:szCs w:val="22"/>
          </w:rPr>
          <w:tab/>
        </w:r>
        <w:r w:rsidR="008938B6" w:rsidRPr="00081453">
          <w:rPr>
            <w:rStyle w:val="Hyperlink"/>
          </w:rPr>
          <w:t>Technical summary</w:t>
        </w:r>
        <w:r w:rsidR="008938B6">
          <w:rPr>
            <w:webHidden/>
          </w:rPr>
          <w:tab/>
        </w:r>
        <w:r w:rsidR="008938B6">
          <w:rPr>
            <w:webHidden/>
          </w:rPr>
          <w:fldChar w:fldCharType="begin"/>
        </w:r>
        <w:r w:rsidR="008938B6">
          <w:rPr>
            <w:webHidden/>
          </w:rPr>
          <w:instrText xml:space="preserve"> PAGEREF _Toc10105604 \h </w:instrText>
        </w:r>
        <w:r w:rsidR="008938B6">
          <w:rPr>
            <w:webHidden/>
          </w:rPr>
        </w:r>
        <w:r w:rsidR="008938B6">
          <w:rPr>
            <w:webHidden/>
          </w:rPr>
          <w:fldChar w:fldCharType="separate"/>
        </w:r>
        <w:r>
          <w:rPr>
            <w:webHidden/>
          </w:rPr>
          <w:t>38</w:t>
        </w:r>
        <w:r w:rsidR="008938B6">
          <w:rPr>
            <w:webHidden/>
          </w:rPr>
          <w:fldChar w:fldCharType="end"/>
        </w:r>
      </w:hyperlink>
    </w:p>
    <w:p w14:paraId="504E90E7" w14:textId="635BE962" w:rsidR="008938B6" w:rsidRDefault="00CD7DEE">
      <w:pPr>
        <w:pStyle w:val="TOC2"/>
        <w:rPr>
          <w:rFonts w:asciiTheme="minorHAnsi" w:eastAsiaTheme="minorEastAsia" w:hAnsiTheme="minorHAnsi" w:cstheme="minorBidi"/>
          <w:szCs w:val="22"/>
          <w:lang w:eastAsia="en-AU"/>
        </w:rPr>
      </w:pPr>
      <w:hyperlink w:anchor="_Toc10105605" w:history="1">
        <w:r w:rsidR="008938B6" w:rsidRPr="00081453">
          <w:rPr>
            <w:rStyle w:val="Hyperlink"/>
          </w:rPr>
          <w:t>Survey</w:t>
        </w:r>
        <w:r w:rsidR="008938B6">
          <w:rPr>
            <w:webHidden/>
          </w:rPr>
          <w:tab/>
        </w:r>
        <w:r w:rsidR="008938B6">
          <w:rPr>
            <w:webHidden/>
          </w:rPr>
          <w:fldChar w:fldCharType="begin"/>
        </w:r>
        <w:r w:rsidR="008938B6">
          <w:rPr>
            <w:webHidden/>
          </w:rPr>
          <w:instrText xml:space="preserve"> PAGEREF _Toc10105605 \h </w:instrText>
        </w:r>
        <w:r w:rsidR="008938B6">
          <w:rPr>
            <w:webHidden/>
          </w:rPr>
        </w:r>
        <w:r w:rsidR="008938B6">
          <w:rPr>
            <w:webHidden/>
          </w:rPr>
          <w:fldChar w:fldCharType="separate"/>
        </w:r>
        <w:r>
          <w:rPr>
            <w:webHidden/>
          </w:rPr>
          <w:t>38</w:t>
        </w:r>
        <w:r w:rsidR="008938B6">
          <w:rPr>
            <w:webHidden/>
          </w:rPr>
          <w:fldChar w:fldCharType="end"/>
        </w:r>
      </w:hyperlink>
    </w:p>
    <w:p w14:paraId="7119D3AB" w14:textId="42C85283" w:rsidR="008938B6" w:rsidRDefault="00CD7DEE">
      <w:pPr>
        <w:pStyle w:val="TOC2"/>
        <w:rPr>
          <w:rFonts w:asciiTheme="minorHAnsi" w:eastAsiaTheme="minorEastAsia" w:hAnsiTheme="minorHAnsi" w:cstheme="minorBidi"/>
          <w:szCs w:val="22"/>
          <w:lang w:eastAsia="en-AU"/>
        </w:rPr>
      </w:pPr>
      <w:hyperlink w:anchor="_Toc10105606" w:history="1">
        <w:r w:rsidR="008938B6" w:rsidRPr="00081453">
          <w:rPr>
            <w:rStyle w:val="Hyperlink"/>
          </w:rPr>
          <w:t>IGC Survey</w:t>
        </w:r>
        <w:r w:rsidR="008938B6">
          <w:rPr>
            <w:webHidden/>
          </w:rPr>
          <w:tab/>
        </w:r>
        <w:r w:rsidR="008938B6">
          <w:rPr>
            <w:webHidden/>
          </w:rPr>
          <w:fldChar w:fldCharType="begin"/>
        </w:r>
        <w:r w:rsidR="008938B6">
          <w:rPr>
            <w:webHidden/>
          </w:rPr>
          <w:instrText xml:space="preserve"> PAGEREF _Toc10105606 \h </w:instrText>
        </w:r>
        <w:r w:rsidR="008938B6">
          <w:rPr>
            <w:webHidden/>
          </w:rPr>
        </w:r>
        <w:r w:rsidR="008938B6">
          <w:rPr>
            <w:webHidden/>
          </w:rPr>
          <w:fldChar w:fldCharType="separate"/>
        </w:r>
        <w:r>
          <w:rPr>
            <w:webHidden/>
          </w:rPr>
          <w:t>40</w:t>
        </w:r>
        <w:r w:rsidR="008938B6">
          <w:rPr>
            <w:webHidden/>
          </w:rPr>
          <w:fldChar w:fldCharType="end"/>
        </w:r>
      </w:hyperlink>
    </w:p>
    <w:p w14:paraId="06DA3A97" w14:textId="497A2495" w:rsidR="008938B6" w:rsidRDefault="00CD7DEE">
      <w:pPr>
        <w:pStyle w:val="TOC1"/>
        <w:tabs>
          <w:tab w:val="left" w:pos="1701"/>
        </w:tabs>
        <w:rPr>
          <w:rFonts w:asciiTheme="minorHAnsi" w:eastAsiaTheme="minorEastAsia" w:hAnsiTheme="minorHAnsi" w:cstheme="minorBidi"/>
          <w:b w:val="0"/>
          <w:szCs w:val="22"/>
        </w:rPr>
      </w:pPr>
      <w:hyperlink w:anchor="_Toc10105607" w:history="1">
        <w:r w:rsidR="008938B6" w:rsidRPr="00081453">
          <w:rPr>
            <w:rStyle w:val="Hyperlink"/>
            <w14:scene3d>
              <w14:camera w14:prst="orthographicFront"/>
              <w14:lightRig w14:rig="threePt" w14:dir="t">
                <w14:rot w14:lat="0" w14:lon="0" w14:rev="0"/>
              </w14:lightRig>
            </w14:scene3d>
          </w:rPr>
          <w:t>Appendix 2.</w:t>
        </w:r>
        <w:r w:rsidR="008938B6">
          <w:rPr>
            <w:rFonts w:asciiTheme="minorHAnsi" w:eastAsiaTheme="minorEastAsia" w:hAnsiTheme="minorHAnsi" w:cstheme="minorBidi"/>
            <w:b w:val="0"/>
            <w:szCs w:val="22"/>
          </w:rPr>
          <w:tab/>
        </w:r>
        <w:r w:rsidR="008938B6" w:rsidRPr="00081453">
          <w:rPr>
            <w:rStyle w:val="Hyperlink"/>
          </w:rPr>
          <w:t>Participant summary</w:t>
        </w:r>
        <w:r w:rsidR="008938B6">
          <w:rPr>
            <w:webHidden/>
          </w:rPr>
          <w:tab/>
        </w:r>
        <w:r w:rsidR="008938B6">
          <w:rPr>
            <w:webHidden/>
          </w:rPr>
          <w:fldChar w:fldCharType="begin"/>
        </w:r>
        <w:r w:rsidR="008938B6">
          <w:rPr>
            <w:webHidden/>
          </w:rPr>
          <w:instrText xml:space="preserve"> PAGEREF _Toc10105607 \h </w:instrText>
        </w:r>
        <w:r w:rsidR="008938B6">
          <w:rPr>
            <w:webHidden/>
          </w:rPr>
        </w:r>
        <w:r w:rsidR="008938B6">
          <w:rPr>
            <w:webHidden/>
          </w:rPr>
          <w:fldChar w:fldCharType="separate"/>
        </w:r>
        <w:r>
          <w:rPr>
            <w:webHidden/>
          </w:rPr>
          <w:t>41</w:t>
        </w:r>
        <w:r w:rsidR="008938B6">
          <w:rPr>
            <w:webHidden/>
          </w:rPr>
          <w:fldChar w:fldCharType="end"/>
        </w:r>
      </w:hyperlink>
    </w:p>
    <w:p w14:paraId="7D0662E2" w14:textId="68BA1D6B" w:rsidR="008938B6" w:rsidRDefault="00CD7DEE">
      <w:pPr>
        <w:pStyle w:val="TOC2"/>
        <w:rPr>
          <w:rFonts w:asciiTheme="minorHAnsi" w:eastAsiaTheme="minorEastAsia" w:hAnsiTheme="minorHAnsi" w:cstheme="minorBidi"/>
          <w:szCs w:val="22"/>
          <w:lang w:eastAsia="en-AU"/>
        </w:rPr>
      </w:pPr>
      <w:hyperlink w:anchor="_Toc10105608" w:history="1">
        <w:r w:rsidR="008938B6" w:rsidRPr="00081453">
          <w:rPr>
            <w:rStyle w:val="Hyperlink"/>
          </w:rPr>
          <w:t>Survey</w:t>
        </w:r>
        <w:r w:rsidR="008938B6">
          <w:rPr>
            <w:webHidden/>
          </w:rPr>
          <w:tab/>
        </w:r>
        <w:r w:rsidR="008938B6">
          <w:rPr>
            <w:webHidden/>
          </w:rPr>
          <w:fldChar w:fldCharType="begin"/>
        </w:r>
        <w:r w:rsidR="008938B6">
          <w:rPr>
            <w:webHidden/>
          </w:rPr>
          <w:instrText xml:space="preserve"> PAGEREF _Toc10105608 \h </w:instrText>
        </w:r>
        <w:r w:rsidR="008938B6">
          <w:rPr>
            <w:webHidden/>
          </w:rPr>
        </w:r>
        <w:r w:rsidR="008938B6">
          <w:rPr>
            <w:webHidden/>
          </w:rPr>
          <w:fldChar w:fldCharType="separate"/>
        </w:r>
        <w:r>
          <w:rPr>
            <w:webHidden/>
          </w:rPr>
          <w:t>41</w:t>
        </w:r>
        <w:r w:rsidR="008938B6">
          <w:rPr>
            <w:webHidden/>
          </w:rPr>
          <w:fldChar w:fldCharType="end"/>
        </w:r>
      </w:hyperlink>
    </w:p>
    <w:p w14:paraId="790C627F" w14:textId="07ACBDE4" w:rsidR="008938B6" w:rsidRDefault="00CD7DEE">
      <w:pPr>
        <w:pStyle w:val="TOC2"/>
        <w:rPr>
          <w:rFonts w:asciiTheme="minorHAnsi" w:eastAsiaTheme="minorEastAsia" w:hAnsiTheme="minorHAnsi" w:cstheme="minorBidi"/>
          <w:szCs w:val="22"/>
          <w:lang w:eastAsia="en-AU"/>
        </w:rPr>
      </w:pPr>
      <w:hyperlink w:anchor="_Toc10105609" w:history="1">
        <w:r w:rsidR="008938B6" w:rsidRPr="00081453">
          <w:rPr>
            <w:rStyle w:val="Hyperlink"/>
          </w:rPr>
          <w:t>Interviews</w:t>
        </w:r>
        <w:r w:rsidR="008938B6">
          <w:rPr>
            <w:webHidden/>
          </w:rPr>
          <w:tab/>
        </w:r>
        <w:r w:rsidR="008938B6">
          <w:rPr>
            <w:webHidden/>
          </w:rPr>
          <w:fldChar w:fldCharType="begin"/>
        </w:r>
        <w:r w:rsidR="008938B6">
          <w:rPr>
            <w:webHidden/>
          </w:rPr>
          <w:instrText xml:space="preserve"> PAGEREF _Toc10105609 \h </w:instrText>
        </w:r>
        <w:r w:rsidR="008938B6">
          <w:rPr>
            <w:webHidden/>
          </w:rPr>
        </w:r>
        <w:r w:rsidR="008938B6">
          <w:rPr>
            <w:webHidden/>
          </w:rPr>
          <w:fldChar w:fldCharType="separate"/>
        </w:r>
        <w:r>
          <w:rPr>
            <w:webHidden/>
          </w:rPr>
          <w:t>42</w:t>
        </w:r>
        <w:r w:rsidR="008938B6">
          <w:rPr>
            <w:webHidden/>
          </w:rPr>
          <w:fldChar w:fldCharType="end"/>
        </w:r>
      </w:hyperlink>
    </w:p>
    <w:p w14:paraId="584A5CEA" w14:textId="491A63E5" w:rsidR="00572D96" w:rsidRDefault="00E77384" w:rsidP="00E77384">
      <w:pPr>
        <w:rPr>
          <w:rFonts w:cs="Segoe UI"/>
          <w:noProof/>
          <w:sz w:val="21"/>
          <w:szCs w:val="24"/>
          <w:lang w:eastAsia="en-AU"/>
        </w:rPr>
      </w:pPr>
      <w:r w:rsidRPr="00D826A1">
        <w:rPr>
          <w:rFonts w:cs="Segoe UI"/>
          <w:noProof/>
          <w:sz w:val="21"/>
          <w:szCs w:val="24"/>
          <w:lang w:eastAsia="en-AU"/>
        </w:rPr>
        <w:fldChar w:fldCharType="end"/>
      </w:r>
    </w:p>
    <w:p w14:paraId="75398F4F" w14:textId="77777777" w:rsidR="00572D96" w:rsidRDefault="00572D96">
      <w:pPr>
        <w:spacing w:after="0" w:line="240" w:lineRule="auto"/>
        <w:rPr>
          <w:rFonts w:cs="Segoe UI"/>
          <w:noProof/>
          <w:sz w:val="21"/>
          <w:szCs w:val="24"/>
          <w:lang w:eastAsia="en-AU"/>
        </w:rPr>
      </w:pPr>
      <w:r>
        <w:rPr>
          <w:rFonts w:cs="Segoe UI"/>
          <w:noProof/>
          <w:sz w:val="21"/>
          <w:szCs w:val="24"/>
          <w:lang w:eastAsia="en-AU"/>
        </w:rPr>
        <w:br w:type="page"/>
      </w:r>
    </w:p>
    <w:p w14:paraId="37DB6F6D" w14:textId="1EC29AE1" w:rsidR="00E77384" w:rsidRPr="00D826A1" w:rsidRDefault="00E77384" w:rsidP="00E77384">
      <w:pPr>
        <w:pStyle w:val="TOCHeading"/>
      </w:pPr>
      <w:r w:rsidRPr="00D826A1">
        <w:t>Abbreviations and acronyms</w:t>
      </w:r>
    </w:p>
    <w:tbl>
      <w:tblPr>
        <w:tblW w:w="0" w:type="auto"/>
        <w:tblLook w:val="04A0" w:firstRow="1" w:lastRow="0" w:firstColumn="1" w:lastColumn="0" w:noHBand="0" w:noVBand="1"/>
      </w:tblPr>
      <w:tblGrid>
        <w:gridCol w:w="1367"/>
        <w:gridCol w:w="7703"/>
      </w:tblGrid>
      <w:tr w:rsidR="00E77384" w:rsidRPr="00D826A1" w14:paraId="43F1386C" w14:textId="77777777" w:rsidTr="00674124">
        <w:tc>
          <w:tcPr>
            <w:tcW w:w="1367" w:type="dxa"/>
          </w:tcPr>
          <w:p w14:paraId="784E6A15" w14:textId="77777777" w:rsidR="00E77384" w:rsidRPr="00D826A1" w:rsidRDefault="00E77384" w:rsidP="00674124">
            <w:pPr>
              <w:spacing w:line="240" w:lineRule="auto"/>
              <w:rPr>
                <w:rFonts w:cs="Segoe UI"/>
              </w:rPr>
            </w:pPr>
            <w:r w:rsidRPr="00D826A1">
              <w:rPr>
                <w:rFonts w:cs="Segoe UI"/>
              </w:rPr>
              <w:t>ARC</w:t>
            </w:r>
          </w:p>
        </w:tc>
        <w:tc>
          <w:tcPr>
            <w:tcW w:w="7703" w:type="dxa"/>
          </w:tcPr>
          <w:p w14:paraId="73489E63" w14:textId="77777777" w:rsidR="00E77384" w:rsidRPr="00D826A1" w:rsidRDefault="00E77384" w:rsidP="00674124">
            <w:pPr>
              <w:spacing w:line="240" w:lineRule="auto"/>
              <w:rPr>
                <w:rFonts w:cs="Segoe UI"/>
              </w:rPr>
            </w:pPr>
            <w:r w:rsidRPr="00D826A1">
              <w:rPr>
                <w:rFonts w:cs="Segoe UI"/>
              </w:rPr>
              <w:t>Australian Research Council</w:t>
            </w:r>
          </w:p>
        </w:tc>
      </w:tr>
      <w:tr w:rsidR="00E77384" w:rsidRPr="00D826A1" w14:paraId="05B4C032" w14:textId="77777777" w:rsidTr="00674124">
        <w:tc>
          <w:tcPr>
            <w:tcW w:w="1367" w:type="dxa"/>
          </w:tcPr>
          <w:p w14:paraId="180E55D6" w14:textId="77777777" w:rsidR="00E77384" w:rsidRPr="00D826A1" w:rsidRDefault="00E77384" w:rsidP="00674124">
            <w:pPr>
              <w:spacing w:line="240" w:lineRule="auto"/>
              <w:rPr>
                <w:rFonts w:cs="Segoe UI"/>
              </w:rPr>
            </w:pPr>
            <w:r w:rsidRPr="00D826A1">
              <w:rPr>
                <w:rFonts w:cs="Segoe UI"/>
              </w:rPr>
              <w:t>CI</w:t>
            </w:r>
          </w:p>
        </w:tc>
        <w:tc>
          <w:tcPr>
            <w:tcW w:w="7703" w:type="dxa"/>
          </w:tcPr>
          <w:p w14:paraId="78FFBAF8" w14:textId="77777777" w:rsidR="00E77384" w:rsidRPr="00D826A1" w:rsidRDefault="00E77384" w:rsidP="00674124">
            <w:pPr>
              <w:spacing w:line="240" w:lineRule="auto"/>
              <w:rPr>
                <w:rFonts w:cs="Segoe UI"/>
              </w:rPr>
            </w:pPr>
            <w:r w:rsidRPr="00D826A1">
              <w:rPr>
                <w:rFonts w:cs="Segoe UI"/>
              </w:rPr>
              <w:t>Chief investigator</w:t>
            </w:r>
          </w:p>
        </w:tc>
      </w:tr>
      <w:tr w:rsidR="00E77384" w:rsidRPr="00D826A1" w14:paraId="023AFD87" w14:textId="77777777" w:rsidTr="00674124">
        <w:tc>
          <w:tcPr>
            <w:tcW w:w="1367" w:type="dxa"/>
          </w:tcPr>
          <w:p w14:paraId="023DFAA3" w14:textId="77777777" w:rsidR="00E77384" w:rsidRPr="00D826A1" w:rsidRDefault="00E77384" w:rsidP="00674124">
            <w:pPr>
              <w:spacing w:line="240" w:lineRule="auto"/>
              <w:rPr>
                <w:rFonts w:cs="Segoe UI"/>
              </w:rPr>
            </w:pPr>
            <w:r w:rsidRPr="00D826A1">
              <w:rPr>
                <w:rFonts w:cs="Segoe UI"/>
              </w:rPr>
              <w:t>CRC</w:t>
            </w:r>
          </w:p>
        </w:tc>
        <w:tc>
          <w:tcPr>
            <w:tcW w:w="7703" w:type="dxa"/>
          </w:tcPr>
          <w:p w14:paraId="1EC4E2BC" w14:textId="77777777" w:rsidR="00E77384" w:rsidRPr="00D826A1" w:rsidRDefault="00E77384" w:rsidP="00674124">
            <w:pPr>
              <w:spacing w:line="240" w:lineRule="auto"/>
              <w:rPr>
                <w:rFonts w:cs="Segoe UI"/>
              </w:rPr>
            </w:pPr>
            <w:r w:rsidRPr="00D826A1">
              <w:rPr>
                <w:rFonts w:cs="Segoe UI"/>
              </w:rPr>
              <w:t>Cooperative Research Centres</w:t>
            </w:r>
          </w:p>
        </w:tc>
      </w:tr>
      <w:tr w:rsidR="00E77384" w:rsidRPr="00D826A1" w14:paraId="7E018A0A" w14:textId="77777777" w:rsidTr="00674124">
        <w:tc>
          <w:tcPr>
            <w:tcW w:w="1367" w:type="dxa"/>
          </w:tcPr>
          <w:p w14:paraId="2C1CC324" w14:textId="77777777" w:rsidR="00E77384" w:rsidRPr="00D826A1" w:rsidRDefault="00E77384" w:rsidP="00674124">
            <w:pPr>
              <w:spacing w:line="240" w:lineRule="auto"/>
              <w:rPr>
                <w:rFonts w:cs="Segoe UI"/>
              </w:rPr>
            </w:pPr>
            <w:r w:rsidRPr="00D826A1">
              <w:rPr>
                <w:rFonts w:cs="Segoe UI"/>
              </w:rPr>
              <w:t>CRC-P</w:t>
            </w:r>
          </w:p>
        </w:tc>
        <w:tc>
          <w:tcPr>
            <w:tcW w:w="7703" w:type="dxa"/>
          </w:tcPr>
          <w:p w14:paraId="6676FE2A" w14:textId="77777777" w:rsidR="00E77384" w:rsidRPr="00D826A1" w:rsidRDefault="00E77384" w:rsidP="00674124">
            <w:pPr>
              <w:spacing w:line="240" w:lineRule="auto"/>
              <w:rPr>
                <w:rFonts w:cs="Segoe UI"/>
              </w:rPr>
            </w:pPr>
            <w:r w:rsidRPr="00D826A1">
              <w:rPr>
                <w:rFonts w:cs="Segoe UI"/>
              </w:rPr>
              <w:t>Cooperative Research Centres Projects</w:t>
            </w:r>
          </w:p>
        </w:tc>
      </w:tr>
      <w:tr w:rsidR="00E77384" w:rsidRPr="00D826A1" w14:paraId="2B9B1EB4" w14:textId="77777777" w:rsidTr="00674124">
        <w:tc>
          <w:tcPr>
            <w:tcW w:w="1367" w:type="dxa"/>
          </w:tcPr>
          <w:p w14:paraId="1C199A58" w14:textId="77777777" w:rsidR="00E77384" w:rsidRPr="00D826A1" w:rsidRDefault="00E77384" w:rsidP="00674124">
            <w:pPr>
              <w:spacing w:line="240" w:lineRule="auto"/>
              <w:rPr>
                <w:rFonts w:cs="Segoe UI"/>
              </w:rPr>
            </w:pPr>
            <w:r w:rsidRPr="00D826A1">
              <w:rPr>
                <w:rFonts w:cs="Segoe UI"/>
              </w:rPr>
              <w:t>DIIS</w:t>
            </w:r>
          </w:p>
        </w:tc>
        <w:tc>
          <w:tcPr>
            <w:tcW w:w="7703" w:type="dxa"/>
          </w:tcPr>
          <w:p w14:paraId="1D42ED6D" w14:textId="77777777" w:rsidR="00E77384" w:rsidRPr="00D826A1" w:rsidRDefault="00E77384" w:rsidP="00674124">
            <w:pPr>
              <w:spacing w:line="240" w:lineRule="auto"/>
              <w:rPr>
                <w:rFonts w:cs="Segoe UI"/>
              </w:rPr>
            </w:pPr>
            <w:r w:rsidRPr="00D826A1">
              <w:rPr>
                <w:rFonts w:cs="Segoe UI"/>
              </w:rPr>
              <w:t>Department of Industry, Innovation and Science</w:t>
            </w:r>
          </w:p>
        </w:tc>
      </w:tr>
      <w:tr w:rsidR="00E77384" w:rsidRPr="00D826A1" w14:paraId="4812A4D9" w14:textId="77777777" w:rsidTr="00674124">
        <w:tc>
          <w:tcPr>
            <w:tcW w:w="1367" w:type="dxa"/>
          </w:tcPr>
          <w:p w14:paraId="78F5AA64" w14:textId="77777777" w:rsidR="00E77384" w:rsidRPr="00D826A1" w:rsidRDefault="00E77384" w:rsidP="00674124">
            <w:pPr>
              <w:spacing w:line="240" w:lineRule="auto"/>
              <w:rPr>
                <w:rFonts w:cs="Segoe UI"/>
              </w:rPr>
            </w:pPr>
            <w:r w:rsidRPr="00D826A1">
              <w:rPr>
                <w:rFonts w:cs="Segoe UI"/>
              </w:rPr>
              <w:t>Dir</w:t>
            </w:r>
          </w:p>
        </w:tc>
        <w:tc>
          <w:tcPr>
            <w:tcW w:w="7703" w:type="dxa"/>
          </w:tcPr>
          <w:p w14:paraId="0396B7B7" w14:textId="77777777" w:rsidR="00E77384" w:rsidRPr="00D826A1" w:rsidRDefault="00E77384" w:rsidP="00674124">
            <w:pPr>
              <w:spacing w:line="240" w:lineRule="auto"/>
              <w:rPr>
                <w:rFonts w:cs="Segoe UI"/>
              </w:rPr>
            </w:pPr>
            <w:r w:rsidRPr="00D826A1">
              <w:rPr>
                <w:rFonts w:cs="Segoe UI"/>
              </w:rPr>
              <w:t>Director</w:t>
            </w:r>
          </w:p>
        </w:tc>
      </w:tr>
      <w:tr w:rsidR="00E77384" w:rsidRPr="00D826A1" w14:paraId="2EE20527" w14:textId="77777777" w:rsidTr="00674124">
        <w:tc>
          <w:tcPr>
            <w:tcW w:w="1367" w:type="dxa"/>
          </w:tcPr>
          <w:p w14:paraId="0E4AE99C" w14:textId="77777777" w:rsidR="00E77384" w:rsidRPr="00D826A1" w:rsidRDefault="00E77384" w:rsidP="00674124">
            <w:pPr>
              <w:spacing w:line="240" w:lineRule="auto"/>
              <w:rPr>
                <w:rFonts w:cs="Segoe UI"/>
              </w:rPr>
            </w:pPr>
            <w:r w:rsidRPr="00D826A1">
              <w:rPr>
                <w:rFonts w:cs="Segoe UI"/>
              </w:rPr>
              <w:t>ERA</w:t>
            </w:r>
          </w:p>
        </w:tc>
        <w:tc>
          <w:tcPr>
            <w:tcW w:w="7703" w:type="dxa"/>
          </w:tcPr>
          <w:p w14:paraId="6AF0B1CD" w14:textId="77777777" w:rsidR="00E77384" w:rsidRPr="00D826A1" w:rsidRDefault="00E77384" w:rsidP="00674124">
            <w:pPr>
              <w:spacing w:line="240" w:lineRule="auto"/>
              <w:rPr>
                <w:rFonts w:cs="Segoe UI"/>
              </w:rPr>
            </w:pPr>
            <w:r w:rsidRPr="00D826A1">
              <w:rPr>
                <w:rFonts w:cs="Segoe UI"/>
              </w:rPr>
              <w:t>Excellence in Research Australia</w:t>
            </w:r>
          </w:p>
        </w:tc>
      </w:tr>
      <w:tr w:rsidR="00E77384" w:rsidRPr="00D826A1" w14:paraId="07874E90" w14:textId="77777777" w:rsidTr="00674124">
        <w:tc>
          <w:tcPr>
            <w:tcW w:w="1367" w:type="dxa"/>
          </w:tcPr>
          <w:p w14:paraId="2FEC706D" w14:textId="77777777" w:rsidR="00E77384" w:rsidRPr="00D826A1" w:rsidRDefault="00E77384" w:rsidP="00674124">
            <w:pPr>
              <w:spacing w:line="240" w:lineRule="auto"/>
              <w:rPr>
                <w:rFonts w:cs="Segoe UI"/>
              </w:rPr>
            </w:pPr>
            <w:r w:rsidRPr="00D826A1">
              <w:rPr>
                <w:rFonts w:cs="Segoe UI"/>
              </w:rPr>
              <w:t>HDR</w:t>
            </w:r>
          </w:p>
        </w:tc>
        <w:tc>
          <w:tcPr>
            <w:tcW w:w="7703" w:type="dxa"/>
          </w:tcPr>
          <w:p w14:paraId="1CA1D579" w14:textId="77777777" w:rsidR="00E77384" w:rsidRPr="00D826A1" w:rsidRDefault="00E77384" w:rsidP="00674124">
            <w:pPr>
              <w:spacing w:line="240" w:lineRule="auto"/>
              <w:rPr>
                <w:rFonts w:cs="Segoe UI"/>
              </w:rPr>
            </w:pPr>
            <w:r w:rsidRPr="00D826A1">
              <w:rPr>
                <w:rFonts w:cs="Segoe UI"/>
              </w:rPr>
              <w:t>Higher degree by research (e.g. Honours, Masters or PhD) student</w:t>
            </w:r>
          </w:p>
        </w:tc>
      </w:tr>
      <w:tr w:rsidR="00E77384" w:rsidRPr="00D826A1" w14:paraId="55D1E522" w14:textId="77777777" w:rsidTr="00674124">
        <w:tc>
          <w:tcPr>
            <w:tcW w:w="1367" w:type="dxa"/>
          </w:tcPr>
          <w:p w14:paraId="6CDDA85A" w14:textId="77777777" w:rsidR="00E77384" w:rsidRPr="00D826A1" w:rsidRDefault="00E77384" w:rsidP="00674124">
            <w:pPr>
              <w:spacing w:line="240" w:lineRule="auto"/>
              <w:rPr>
                <w:rFonts w:cs="Segoe UI"/>
              </w:rPr>
            </w:pPr>
            <w:r w:rsidRPr="00D826A1">
              <w:rPr>
                <w:rFonts w:cs="Segoe UI"/>
              </w:rPr>
              <w:t>IGC</w:t>
            </w:r>
          </w:p>
        </w:tc>
        <w:tc>
          <w:tcPr>
            <w:tcW w:w="7703" w:type="dxa"/>
          </w:tcPr>
          <w:p w14:paraId="0E906DD3" w14:textId="77777777" w:rsidR="00E77384" w:rsidRPr="00D826A1" w:rsidRDefault="00E77384" w:rsidP="00674124">
            <w:pPr>
              <w:spacing w:line="240" w:lineRule="auto"/>
              <w:rPr>
                <w:rFonts w:cs="Segoe UI"/>
              </w:rPr>
            </w:pPr>
            <w:r w:rsidRPr="00D826A1">
              <w:rPr>
                <w:rFonts w:cs="Segoe UI"/>
              </w:rPr>
              <w:t>Industry Growth Centre</w:t>
            </w:r>
          </w:p>
        </w:tc>
      </w:tr>
      <w:tr w:rsidR="00E77384" w:rsidRPr="00D826A1" w14:paraId="53528B19" w14:textId="77777777" w:rsidTr="00674124">
        <w:tc>
          <w:tcPr>
            <w:tcW w:w="1367" w:type="dxa"/>
          </w:tcPr>
          <w:p w14:paraId="70502D01" w14:textId="77777777" w:rsidR="00E77384" w:rsidRPr="00D826A1" w:rsidRDefault="00E77384" w:rsidP="00674124">
            <w:pPr>
              <w:spacing w:line="240" w:lineRule="auto"/>
              <w:rPr>
                <w:rFonts w:cs="Segoe UI"/>
              </w:rPr>
            </w:pPr>
            <w:r w:rsidRPr="00D826A1">
              <w:rPr>
                <w:rFonts w:cs="Segoe UI"/>
              </w:rPr>
              <w:t>IP</w:t>
            </w:r>
          </w:p>
        </w:tc>
        <w:tc>
          <w:tcPr>
            <w:tcW w:w="7703" w:type="dxa"/>
          </w:tcPr>
          <w:p w14:paraId="4EDB6F88" w14:textId="77777777" w:rsidR="00E77384" w:rsidRPr="00D826A1" w:rsidRDefault="00E77384" w:rsidP="00674124">
            <w:pPr>
              <w:spacing w:line="240" w:lineRule="auto"/>
              <w:rPr>
                <w:rFonts w:cs="Segoe UI"/>
              </w:rPr>
            </w:pPr>
            <w:r w:rsidRPr="00D826A1">
              <w:rPr>
                <w:rFonts w:cs="Segoe UI"/>
              </w:rPr>
              <w:t>Intellectual Property (e.g. patents, trademarks, copyright)</w:t>
            </w:r>
          </w:p>
        </w:tc>
      </w:tr>
      <w:tr w:rsidR="00E77384" w:rsidRPr="00D826A1" w14:paraId="1D531251" w14:textId="77777777" w:rsidTr="00674124">
        <w:tc>
          <w:tcPr>
            <w:tcW w:w="1367" w:type="dxa"/>
          </w:tcPr>
          <w:p w14:paraId="20AF1DFE" w14:textId="77777777" w:rsidR="00E77384" w:rsidRPr="00D826A1" w:rsidRDefault="00E77384" w:rsidP="00674124">
            <w:pPr>
              <w:spacing w:line="240" w:lineRule="auto"/>
              <w:rPr>
                <w:rFonts w:cs="Segoe UI"/>
              </w:rPr>
            </w:pPr>
            <w:r w:rsidRPr="00D826A1">
              <w:rPr>
                <w:rFonts w:cs="Segoe UI"/>
              </w:rPr>
              <w:t>ITTC</w:t>
            </w:r>
          </w:p>
        </w:tc>
        <w:tc>
          <w:tcPr>
            <w:tcW w:w="7703" w:type="dxa"/>
          </w:tcPr>
          <w:p w14:paraId="791E5FED" w14:textId="77777777" w:rsidR="00E77384" w:rsidRPr="00D826A1" w:rsidRDefault="00E77384" w:rsidP="00674124">
            <w:pPr>
              <w:spacing w:line="240" w:lineRule="auto"/>
              <w:rPr>
                <w:rFonts w:cs="Segoe UI"/>
              </w:rPr>
            </w:pPr>
            <w:r w:rsidRPr="00D826A1">
              <w:rPr>
                <w:rFonts w:cs="Segoe UI"/>
              </w:rPr>
              <w:t>Industrial Transformation Training Centre</w:t>
            </w:r>
          </w:p>
        </w:tc>
      </w:tr>
      <w:tr w:rsidR="00E77384" w:rsidRPr="00D826A1" w14:paraId="285669B2" w14:textId="77777777" w:rsidTr="00674124">
        <w:tc>
          <w:tcPr>
            <w:tcW w:w="1367" w:type="dxa"/>
          </w:tcPr>
          <w:p w14:paraId="16F273C9" w14:textId="77777777" w:rsidR="00E77384" w:rsidRPr="00D826A1" w:rsidRDefault="00E77384" w:rsidP="00674124">
            <w:pPr>
              <w:spacing w:line="240" w:lineRule="auto"/>
              <w:rPr>
                <w:rFonts w:cs="Segoe UI"/>
              </w:rPr>
            </w:pPr>
            <w:r w:rsidRPr="00D826A1">
              <w:rPr>
                <w:rFonts w:cs="Segoe UI"/>
              </w:rPr>
              <w:t>ITRH</w:t>
            </w:r>
          </w:p>
        </w:tc>
        <w:tc>
          <w:tcPr>
            <w:tcW w:w="7703" w:type="dxa"/>
          </w:tcPr>
          <w:p w14:paraId="6E50AEFF" w14:textId="77777777" w:rsidR="00E77384" w:rsidRPr="00D826A1" w:rsidRDefault="00E77384" w:rsidP="00674124">
            <w:pPr>
              <w:spacing w:line="240" w:lineRule="auto"/>
              <w:rPr>
                <w:rFonts w:cs="Segoe UI"/>
              </w:rPr>
            </w:pPr>
            <w:r w:rsidRPr="00D826A1">
              <w:rPr>
                <w:rFonts w:cs="Segoe UI"/>
              </w:rPr>
              <w:t>Industrial Transformation Research Hub</w:t>
            </w:r>
          </w:p>
        </w:tc>
      </w:tr>
      <w:tr w:rsidR="00E77384" w:rsidRPr="00D826A1" w14:paraId="51DB952C" w14:textId="77777777" w:rsidTr="00674124">
        <w:tc>
          <w:tcPr>
            <w:tcW w:w="1367" w:type="dxa"/>
          </w:tcPr>
          <w:p w14:paraId="16218B49" w14:textId="77777777" w:rsidR="00E77384" w:rsidRPr="00D826A1" w:rsidRDefault="00E77384" w:rsidP="00674124">
            <w:pPr>
              <w:spacing w:line="240" w:lineRule="auto"/>
              <w:rPr>
                <w:rFonts w:cs="Segoe UI"/>
              </w:rPr>
            </w:pPr>
            <w:r w:rsidRPr="00D826A1">
              <w:rPr>
                <w:rFonts w:cs="Segoe UI"/>
              </w:rPr>
              <w:t>ITRP</w:t>
            </w:r>
          </w:p>
        </w:tc>
        <w:tc>
          <w:tcPr>
            <w:tcW w:w="7703" w:type="dxa"/>
          </w:tcPr>
          <w:p w14:paraId="1FE93D26" w14:textId="77777777" w:rsidR="00E77384" w:rsidRPr="00D826A1" w:rsidRDefault="00E77384" w:rsidP="00674124">
            <w:pPr>
              <w:spacing w:line="240" w:lineRule="auto"/>
              <w:rPr>
                <w:rFonts w:cs="Segoe UI"/>
              </w:rPr>
            </w:pPr>
            <w:r w:rsidRPr="00D826A1">
              <w:rPr>
                <w:rFonts w:cs="Segoe UI"/>
              </w:rPr>
              <w:t>Industrial Transformation Research Program</w:t>
            </w:r>
          </w:p>
        </w:tc>
      </w:tr>
      <w:tr w:rsidR="00E77384" w:rsidRPr="00D826A1" w14:paraId="4B6415BC" w14:textId="77777777" w:rsidTr="00674124">
        <w:tc>
          <w:tcPr>
            <w:tcW w:w="1367" w:type="dxa"/>
          </w:tcPr>
          <w:p w14:paraId="6FF6A5ED" w14:textId="77777777" w:rsidR="00E77384" w:rsidRPr="00D826A1" w:rsidRDefault="00E77384" w:rsidP="00674124">
            <w:pPr>
              <w:spacing w:line="240" w:lineRule="auto"/>
              <w:rPr>
                <w:rFonts w:cs="Segoe UI"/>
              </w:rPr>
            </w:pPr>
            <w:proofErr w:type="spellStart"/>
            <w:r w:rsidRPr="00D826A1">
              <w:rPr>
                <w:rFonts w:cs="Segoe UI"/>
              </w:rPr>
              <w:t>Mgr</w:t>
            </w:r>
            <w:proofErr w:type="spellEnd"/>
          </w:p>
        </w:tc>
        <w:tc>
          <w:tcPr>
            <w:tcW w:w="7703" w:type="dxa"/>
          </w:tcPr>
          <w:p w14:paraId="64487958" w14:textId="77777777" w:rsidR="00E77384" w:rsidRPr="00D826A1" w:rsidRDefault="00E77384" w:rsidP="00674124">
            <w:pPr>
              <w:spacing w:line="240" w:lineRule="auto"/>
              <w:rPr>
                <w:rFonts w:cs="Segoe UI"/>
              </w:rPr>
            </w:pPr>
            <w:r w:rsidRPr="00D826A1">
              <w:rPr>
                <w:rFonts w:cs="Segoe UI"/>
              </w:rPr>
              <w:t>Manager</w:t>
            </w:r>
          </w:p>
        </w:tc>
      </w:tr>
      <w:tr w:rsidR="00E77384" w:rsidRPr="00D826A1" w14:paraId="1807CBB1" w14:textId="77777777" w:rsidTr="00674124">
        <w:tc>
          <w:tcPr>
            <w:tcW w:w="1367" w:type="dxa"/>
          </w:tcPr>
          <w:p w14:paraId="59A2B54C" w14:textId="77777777" w:rsidR="00E77384" w:rsidRPr="00D826A1" w:rsidRDefault="00E77384" w:rsidP="00674124">
            <w:pPr>
              <w:spacing w:line="240" w:lineRule="auto"/>
              <w:rPr>
                <w:rFonts w:cs="Segoe UI"/>
              </w:rPr>
            </w:pPr>
            <w:r w:rsidRPr="00D826A1">
              <w:rPr>
                <w:rFonts w:cs="Segoe UI"/>
              </w:rPr>
              <w:t>PI</w:t>
            </w:r>
          </w:p>
        </w:tc>
        <w:tc>
          <w:tcPr>
            <w:tcW w:w="7703" w:type="dxa"/>
          </w:tcPr>
          <w:p w14:paraId="521202F1" w14:textId="77777777" w:rsidR="00E77384" w:rsidRPr="00D826A1" w:rsidRDefault="00E77384" w:rsidP="00674124">
            <w:pPr>
              <w:spacing w:line="240" w:lineRule="auto"/>
              <w:rPr>
                <w:rFonts w:cs="Segoe UI"/>
              </w:rPr>
            </w:pPr>
            <w:r w:rsidRPr="00D826A1">
              <w:rPr>
                <w:rFonts w:cs="Segoe UI"/>
              </w:rPr>
              <w:t>Partner investigator</w:t>
            </w:r>
          </w:p>
        </w:tc>
      </w:tr>
      <w:tr w:rsidR="00E77384" w:rsidRPr="00D826A1" w14:paraId="3BF7C9BA" w14:textId="77777777" w:rsidTr="00674124">
        <w:tc>
          <w:tcPr>
            <w:tcW w:w="1367" w:type="dxa"/>
          </w:tcPr>
          <w:p w14:paraId="7E1E0D9A" w14:textId="77777777" w:rsidR="00E77384" w:rsidRPr="00D826A1" w:rsidRDefault="00E77384" w:rsidP="00674124">
            <w:pPr>
              <w:spacing w:line="240" w:lineRule="auto"/>
              <w:rPr>
                <w:rFonts w:cs="Segoe UI"/>
              </w:rPr>
            </w:pPr>
            <w:r w:rsidRPr="00D826A1">
              <w:rPr>
                <w:rFonts w:cs="Segoe UI"/>
              </w:rPr>
              <w:t>PDR</w:t>
            </w:r>
          </w:p>
        </w:tc>
        <w:tc>
          <w:tcPr>
            <w:tcW w:w="7703" w:type="dxa"/>
          </w:tcPr>
          <w:p w14:paraId="61FCD803" w14:textId="77777777" w:rsidR="00E77384" w:rsidRPr="00D826A1" w:rsidRDefault="00E77384" w:rsidP="00674124">
            <w:pPr>
              <w:spacing w:line="240" w:lineRule="auto"/>
              <w:rPr>
                <w:rFonts w:cs="Segoe UI"/>
              </w:rPr>
            </w:pPr>
            <w:r w:rsidRPr="00D826A1">
              <w:rPr>
                <w:rFonts w:cs="Segoe UI"/>
              </w:rPr>
              <w:t>Post-doctoral researcher</w:t>
            </w:r>
          </w:p>
        </w:tc>
      </w:tr>
      <w:tr w:rsidR="00E77384" w:rsidRPr="00D826A1" w14:paraId="5F1C1139" w14:textId="77777777" w:rsidTr="00674124">
        <w:tc>
          <w:tcPr>
            <w:tcW w:w="1367" w:type="dxa"/>
          </w:tcPr>
          <w:p w14:paraId="2C02A7DC" w14:textId="77777777" w:rsidR="00E77384" w:rsidRPr="00D826A1" w:rsidRDefault="00E77384" w:rsidP="00674124">
            <w:pPr>
              <w:spacing w:line="240" w:lineRule="auto"/>
              <w:rPr>
                <w:rFonts w:cs="Segoe UI"/>
              </w:rPr>
            </w:pPr>
            <w:r w:rsidRPr="00D826A1">
              <w:rPr>
                <w:rFonts w:cs="Segoe UI"/>
              </w:rPr>
              <w:t>R&amp;D</w:t>
            </w:r>
          </w:p>
        </w:tc>
        <w:tc>
          <w:tcPr>
            <w:tcW w:w="7703" w:type="dxa"/>
          </w:tcPr>
          <w:p w14:paraId="7CEE5ABD" w14:textId="77777777" w:rsidR="00E77384" w:rsidRPr="00D826A1" w:rsidRDefault="00E77384" w:rsidP="00674124">
            <w:pPr>
              <w:spacing w:line="240" w:lineRule="auto"/>
              <w:rPr>
                <w:rFonts w:cs="Segoe UI"/>
              </w:rPr>
            </w:pPr>
            <w:r w:rsidRPr="00D826A1">
              <w:rPr>
                <w:rFonts w:cs="Segoe UI"/>
              </w:rPr>
              <w:t>Research and development</w:t>
            </w:r>
          </w:p>
        </w:tc>
      </w:tr>
      <w:tr w:rsidR="00E77384" w:rsidRPr="00D826A1" w14:paraId="13DCAD60" w14:textId="77777777" w:rsidTr="00674124">
        <w:tc>
          <w:tcPr>
            <w:tcW w:w="1367" w:type="dxa"/>
          </w:tcPr>
          <w:p w14:paraId="52CDAE9E" w14:textId="77777777" w:rsidR="00E77384" w:rsidRPr="00D826A1" w:rsidRDefault="00E77384" w:rsidP="00674124">
            <w:pPr>
              <w:spacing w:line="240" w:lineRule="auto"/>
              <w:rPr>
                <w:rFonts w:cs="Segoe UI"/>
              </w:rPr>
            </w:pPr>
            <w:r w:rsidRPr="00D826A1">
              <w:rPr>
                <w:rFonts w:cs="Segoe UI"/>
              </w:rPr>
              <w:t>RO</w:t>
            </w:r>
          </w:p>
        </w:tc>
        <w:tc>
          <w:tcPr>
            <w:tcW w:w="7703" w:type="dxa"/>
          </w:tcPr>
          <w:p w14:paraId="37B0C75B" w14:textId="77777777" w:rsidR="00E77384" w:rsidRPr="00D826A1" w:rsidRDefault="00E77384" w:rsidP="00674124">
            <w:pPr>
              <w:spacing w:line="240" w:lineRule="auto"/>
              <w:rPr>
                <w:rFonts w:cs="Segoe UI"/>
              </w:rPr>
            </w:pPr>
            <w:r w:rsidRPr="00D826A1">
              <w:rPr>
                <w:rFonts w:cs="Segoe UI"/>
              </w:rPr>
              <w:t>Research Office</w:t>
            </w:r>
          </w:p>
        </w:tc>
      </w:tr>
      <w:tr w:rsidR="00E77384" w:rsidRPr="00D826A1" w14:paraId="30B3EB50" w14:textId="77777777" w:rsidTr="00674124">
        <w:tc>
          <w:tcPr>
            <w:tcW w:w="1367" w:type="dxa"/>
          </w:tcPr>
          <w:p w14:paraId="13F40203" w14:textId="62FF0A67" w:rsidR="00E77384" w:rsidRPr="00D826A1" w:rsidRDefault="00CE26A0" w:rsidP="00674124">
            <w:pPr>
              <w:spacing w:line="240" w:lineRule="auto"/>
              <w:rPr>
                <w:rFonts w:cs="Segoe UI"/>
              </w:rPr>
            </w:pPr>
            <w:r>
              <w:rPr>
                <w:rFonts w:cs="Segoe UI"/>
              </w:rPr>
              <w:t>SME</w:t>
            </w:r>
          </w:p>
        </w:tc>
        <w:tc>
          <w:tcPr>
            <w:tcW w:w="7703" w:type="dxa"/>
          </w:tcPr>
          <w:p w14:paraId="12FDE12B" w14:textId="6F068744" w:rsidR="00E77384" w:rsidRPr="00D826A1" w:rsidRDefault="00CE26A0" w:rsidP="00674124">
            <w:pPr>
              <w:spacing w:line="240" w:lineRule="auto"/>
              <w:rPr>
                <w:rFonts w:cs="Segoe UI"/>
              </w:rPr>
            </w:pPr>
            <w:r>
              <w:rPr>
                <w:rFonts w:cs="Segoe UI"/>
              </w:rPr>
              <w:t>Small to medium enterprise</w:t>
            </w:r>
          </w:p>
        </w:tc>
      </w:tr>
      <w:tr w:rsidR="00E77384" w:rsidRPr="00D826A1" w14:paraId="6E99B707" w14:textId="77777777" w:rsidTr="00674124">
        <w:tc>
          <w:tcPr>
            <w:tcW w:w="1367" w:type="dxa"/>
          </w:tcPr>
          <w:p w14:paraId="01573ADA" w14:textId="77777777" w:rsidR="00E77384" w:rsidRPr="00D826A1" w:rsidRDefault="00E77384" w:rsidP="00674124">
            <w:pPr>
              <w:spacing w:line="240" w:lineRule="auto"/>
              <w:rPr>
                <w:rFonts w:cs="Segoe UI"/>
              </w:rPr>
            </w:pPr>
          </w:p>
        </w:tc>
        <w:tc>
          <w:tcPr>
            <w:tcW w:w="7703" w:type="dxa"/>
          </w:tcPr>
          <w:p w14:paraId="0A79680F" w14:textId="77777777" w:rsidR="00E77384" w:rsidRPr="00D826A1" w:rsidRDefault="00E77384" w:rsidP="00674124">
            <w:pPr>
              <w:spacing w:line="240" w:lineRule="auto"/>
              <w:rPr>
                <w:rFonts w:cs="Segoe UI"/>
              </w:rPr>
            </w:pPr>
          </w:p>
        </w:tc>
      </w:tr>
      <w:tr w:rsidR="00E77384" w:rsidRPr="00D826A1" w14:paraId="3A47ADD7" w14:textId="77777777" w:rsidTr="00674124">
        <w:tc>
          <w:tcPr>
            <w:tcW w:w="1367" w:type="dxa"/>
          </w:tcPr>
          <w:p w14:paraId="1A0F7A00" w14:textId="77777777" w:rsidR="00E77384" w:rsidRPr="00D826A1" w:rsidRDefault="00E77384" w:rsidP="00674124">
            <w:pPr>
              <w:spacing w:line="240" w:lineRule="auto"/>
              <w:rPr>
                <w:rFonts w:cs="Segoe UI"/>
              </w:rPr>
            </w:pPr>
          </w:p>
        </w:tc>
        <w:tc>
          <w:tcPr>
            <w:tcW w:w="7703" w:type="dxa"/>
          </w:tcPr>
          <w:p w14:paraId="5EC803D3" w14:textId="77777777" w:rsidR="00E77384" w:rsidRPr="00D826A1" w:rsidRDefault="00E77384" w:rsidP="00674124">
            <w:pPr>
              <w:spacing w:line="240" w:lineRule="auto"/>
              <w:rPr>
                <w:rFonts w:cs="Segoe UI"/>
              </w:rPr>
            </w:pPr>
          </w:p>
        </w:tc>
      </w:tr>
    </w:tbl>
    <w:p w14:paraId="6AE4D211" w14:textId="77777777" w:rsidR="00E77384" w:rsidRPr="00D826A1" w:rsidRDefault="00E77384" w:rsidP="00E77384">
      <w:pPr>
        <w:rPr>
          <w:rFonts w:cs="Segoe UI"/>
        </w:rPr>
      </w:pPr>
    </w:p>
    <w:p w14:paraId="675BC285" w14:textId="77777777" w:rsidR="00E77384" w:rsidRPr="00D826A1" w:rsidRDefault="00E77384" w:rsidP="00E77384">
      <w:pPr>
        <w:rPr>
          <w:rFonts w:cs="Segoe UI"/>
        </w:rPr>
      </w:pPr>
    </w:p>
    <w:p w14:paraId="46425B55" w14:textId="77777777" w:rsidR="00E77384" w:rsidRPr="00D826A1" w:rsidRDefault="00E77384" w:rsidP="00E77384">
      <w:pPr>
        <w:pStyle w:val="GeneralHeading"/>
        <w:rPr>
          <w:rFonts w:cs="Segoe UI"/>
        </w:rPr>
      </w:pPr>
      <w:bookmarkStart w:id="3" w:name="_Toc10104781"/>
      <w:bookmarkStart w:id="4" w:name="_Toc10104983"/>
      <w:bookmarkStart w:id="5" w:name="_Toc10105518"/>
      <w:r w:rsidRPr="00D826A1">
        <w:rPr>
          <w:rFonts w:cs="Segoe UI"/>
        </w:rPr>
        <w:t>Executive summary</w:t>
      </w:r>
      <w:bookmarkEnd w:id="3"/>
      <w:bookmarkEnd w:id="4"/>
      <w:bookmarkEnd w:id="5"/>
    </w:p>
    <w:p w14:paraId="7AB69EBF" w14:textId="77777777" w:rsidR="00E77384" w:rsidRPr="00D826A1" w:rsidRDefault="00E77384" w:rsidP="00E77384">
      <w:pPr>
        <w:pStyle w:val="ExecSummaryH2"/>
      </w:pPr>
      <w:bookmarkStart w:id="6" w:name="_Toc10104782"/>
      <w:bookmarkStart w:id="7" w:name="_Toc10104984"/>
      <w:bookmarkStart w:id="8" w:name="_Toc10105519"/>
      <w:r w:rsidRPr="00D826A1">
        <w:t>Project</w:t>
      </w:r>
      <w:bookmarkEnd w:id="6"/>
      <w:bookmarkEnd w:id="7"/>
      <w:bookmarkEnd w:id="8"/>
    </w:p>
    <w:p w14:paraId="4AF5018B" w14:textId="5D6D5F46" w:rsidR="00E77384" w:rsidRPr="00D826A1" w:rsidRDefault="00E77384" w:rsidP="00E77384">
      <w:pPr>
        <w:rPr>
          <w:rFonts w:cs="Segoe UI"/>
        </w:rPr>
      </w:pPr>
      <w:r w:rsidRPr="00D826A1">
        <w:rPr>
          <w:rFonts w:cs="Segoe UI"/>
        </w:rPr>
        <w:t>This report presents the findings of a survey and interview process with stakeholders of the Industrial Transformation Research Program (ITRP). These findings are being used to support the ARC’s broader project to evaluate the alignment of the ITRP with government priorities, and the efficiency and effectiveness of ITRP in supporting collaborations to deliver research and research training. ARTD delivered two surveys and a series of 33 interviews with key stakeholders of the ITRP. The survey and interviews targeted a subset of the evaluation questions for the broader ITRP evaluation. The surveys received a total of 707 complete responses.</w:t>
      </w:r>
    </w:p>
    <w:p w14:paraId="34490A96" w14:textId="77777777" w:rsidR="00E77384" w:rsidRPr="00D826A1" w:rsidRDefault="00E77384" w:rsidP="00E77384">
      <w:pPr>
        <w:pStyle w:val="ExecSummaryH2"/>
      </w:pPr>
      <w:bookmarkStart w:id="9" w:name="_Toc10104783"/>
      <w:bookmarkStart w:id="10" w:name="_Toc10104985"/>
      <w:bookmarkStart w:id="11" w:name="_Toc10105520"/>
      <w:r w:rsidRPr="00D826A1">
        <w:t>Key findings</w:t>
      </w:r>
      <w:bookmarkEnd w:id="9"/>
      <w:bookmarkEnd w:id="10"/>
      <w:bookmarkEnd w:id="11"/>
    </w:p>
    <w:p w14:paraId="7127F534" w14:textId="77777777" w:rsidR="00E77384" w:rsidRPr="00D826A1" w:rsidRDefault="00E77384" w:rsidP="00E77384">
      <w:pPr>
        <w:pStyle w:val="ListBullet"/>
      </w:pPr>
      <w:r w:rsidRPr="00D826A1">
        <w:t>Overall, respondents feel that the ITRP effectively supports industry focused research collaboration. Collaborations for ITRP projects have mostly been initiated through existing relationships. In terms of the role of partner organisations in the ITRP application and design process, there appears to be differences in views from stakeholders on the level of consultation activities.</w:t>
      </w:r>
    </w:p>
    <w:p w14:paraId="24F6CE7E" w14:textId="77777777" w:rsidR="00E77384" w:rsidRPr="00D826A1" w:rsidRDefault="00E77384" w:rsidP="00E77384">
      <w:pPr>
        <w:pStyle w:val="ListBullet"/>
        <w:numPr>
          <w:ilvl w:val="0"/>
          <w:numId w:val="0"/>
        </w:numPr>
        <w:ind w:left="454" w:hanging="454"/>
      </w:pPr>
    </w:p>
    <w:p w14:paraId="2B5C8254" w14:textId="6E1E912B" w:rsidR="00E77384" w:rsidRPr="00D826A1" w:rsidRDefault="00E77384" w:rsidP="00E77384">
      <w:pPr>
        <w:pStyle w:val="ListBullet"/>
      </w:pPr>
      <w:r w:rsidRPr="00D826A1">
        <w:t>Stakeholders feel that the ITRP does well in supporting research training, and they feel it is of high academic quality and relevance. That being said, students and post-doctoral researchers expressed a desire to see more training opportunities.</w:t>
      </w:r>
    </w:p>
    <w:p w14:paraId="1700A018" w14:textId="77777777" w:rsidR="00E77384" w:rsidRPr="00D826A1" w:rsidRDefault="00E77384" w:rsidP="00E77384">
      <w:pPr>
        <w:pStyle w:val="ListBullet"/>
        <w:numPr>
          <w:ilvl w:val="0"/>
          <w:numId w:val="0"/>
        </w:numPr>
        <w:ind w:left="454"/>
      </w:pPr>
    </w:p>
    <w:p w14:paraId="0E0A6874" w14:textId="5386FCBF" w:rsidR="00E77384" w:rsidRPr="00D826A1" w:rsidRDefault="00E77384" w:rsidP="00E77384">
      <w:pPr>
        <w:pStyle w:val="ListBullet"/>
      </w:pPr>
      <w:r w:rsidRPr="00D826A1">
        <w:t xml:space="preserve">Industry Growth Centres </w:t>
      </w:r>
      <w:r w:rsidR="0068339C">
        <w:t xml:space="preserve">(IGCs) </w:t>
      </w:r>
      <w:r w:rsidRPr="00D826A1">
        <w:t xml:space="preserve">are generally seen as beneficial in identifying and enabling partnerships; however, many stakeholders were unclear as to the role that they play in the application and assessment process. Some stakeholders also found </w:t>
      </w:r>
      <w:r w:rsidR="0068339C">
        <w:t>IGCs</w:t>
      </w:r>
      <w:r w:rsidRPr="00D826A1">
        <w:t xml:space="preserve"> difficult to engage with in a timely manner.</w:t>
      </w:r>
    </w:p>
    <w:p w14:paraId="4055D24D" w14:textId="77777777" w:rsidR="00E77384" w:rsidRPr="00D826A1" w:rsidRDefault="00E77384" w:rsidP="00E77384">
      <w:pPr>
        <w:pStyle w:val="ListBullet"/>
        <w:numPr>
          <w:ilvl w:val="0"/>
          <w:numId w:val="0"/>
        </w:numPr>
        <w:ind w:left="454"/>
      </w:pPr>
    </w:p>
    <w:p w14:paraId="3771BB99" w14:textId="77777777" w:rsidR="00E77384" w:rsidRPr="00D826A1" w:rsidRDefault="00E77384" w:rsidP="00E77384">
      <w:pPr>
        <w:pStyle w:val="ListBullet"/>
      </w:pPr>
      <w:r w:rsidRPr="00D826A1">
        <w:t>The ITRP is perceived by stakeholders to be unique in its scope and focus on research training, and a good complement to other Australian Government programs. However, there is some perceived overlap with the CRC and CRC-P programs.</w:t>
      </w:r>
    </w:p>
    <w:p w14:paraId="2136BE71" w14:textId="77777777" w:rsidR="00E77384" w:rsidRPr="00D826A1" w:rsidRDefault="00E77384" w:rsidP="00E77384">
      <w:pPr>
        <w:pStyle w:val="ListBullet"/>
        <w:numPr>
          <w:ilvl w:val="0"/>
          <w:numId w:val="0"/>
        </w:numPr>
        <w:ind w:left="454"/>
      </w:pPr>
    </w:p>
    <w:p w14:paraId="4C34B111" w14:textId="77777777" w:rsidR="00E77384" w:rsidRPr="00D826A1" w:rsidRDefault="00E77384" w:rsidP="00E77384">
      <w:pPr>
        <w:pStyle w:val="ListBullet"/>
      </w:pPr>
      <w:r w:rsidRPr="00D826A1">
        <w:t>For most stakeholders the ITRP process is considered both effective and efficient. The major issues raised were around the timeframes for preparation of applications, the amount of information required for applications, and negotiating and establishing collaborations with partners.</w:t>
      </w:r>
    </w:p>
    <w:p w14:paraId="1C79C5F9" w14:textId="77777777" w:rsidR="00E77384" w:rsidRPr="00D826A1" w:rsidRDefault="00E77384" w:rsidP="00E77384">
      <w:pPr>
        <w:pStyle w:val="ListBullet"/>
        <w:numPr>
          <w:ilvl w:val="0"/>
          <w:numId w:val="0"/>
        </w:numPr>
        <w:ind w:left="454"/>
      </w:pPr>
    </w:p>
    <w:p w14:paraId="06ACB169" w14:textId="77777777" w:rsidR="00E77384" w:rsidRPr="00D826A1" w:rsidRDefault="00E77384" w:rsidP="00E77384">
      <w:pPr>
        <w:pStyle w:val="ListBullet"/>
        <w:rPr>
          <w:rFonts w:cs="Segoe UI"/>
        </w:rPr>
      </w:pPr>
      <w:r w:rsidRPr="00D826A1">
        <w:t>In general, respondents agreed that the ITRP both fosters important research partnerships and supports research trainees to gain skills in industry priority areas.</w:t>
      </w:r>
    </w:p>
    <w:p w14:paraId="2A1EB55B" w14:textId="77777777" w:rsidR="00E77384" w:rsidRPr="00D826A1" w:rsidRDefault="00E77384" w:rsidP="00E77384">
      <w:pPr>
        <w:rPr>
          <w:rFonts w:cs="Segoe UI"/>
        </w:rPr>
      </w:pPr>
    </w:p>
    <w:p w14:paraId="77201DFA" w14:textId="77777777" w:rsidR="00E77384" w:rsidRPr="00D826A1" w:rsidRDefault="00E77384" w:rsidP="00E77384">
      <w:pPr>
        <w:rPr>
          <w:rFonts w:cs="Segoe UI"/>
        </w:rPr>
        <w:sectPr w:rsidR="00E77384" w:rsidRPr="00D826A1" w:rsidSect="00E562BA">
          <w:footerReference w:type="default" r:id="rId11"/>
          <w:pgSz w:w="11906" w:h="16838" w:code="9"/>
          <w:pgMar w:top="1418" w:right="1418" w:bottom="1418" w:left="1418" w:header="567" w:footer="567" w:gutter="0"/>
          <w:pgNumType w:fmt="lowerRoman"/>
          <w:cols w:space="708"/>
          <w:docGrid w:linePitch="360"/>
        </w:sectPr>
      </w:pPr>
    </w:p>
    <w:p w14:paraId="262AE952" w14:textId="77777777" w:rsidR="00E77384" w:rsidRPr="00D826A1" w:rsidRDefault="00E77384" w:rsidP="00E77384">
      <w:pPr>
        <w:pStyle w:val="Heading1"/>
        <w:numPr>
          <w:ilvl w:val="0"/>
          <w:numId w:val="6"/>
        </w:numPr>
        <w:rPr>
          <w:rFonts w:cs="Segoe UI"/>
        </w:rPr>
      </w:pPr>
      <w:bookmarkStart w:id="12" w:name="_Toc10104784"/>
      <w:bookmarkStart w:id="13" w:name="_Toc10104986"/>
      <w:bookmarkStart w:id="14" w:name="_Toc10105521"/>
      <w:bookmarkStart w:id="15" w:name="_Toc303346376"/>
      <w:r w:rsidRPr="00D826A1">
        <w:rPr>
          <w:rFonts w:cs="Segoe UI"/>
        </w:rPr>
        <w:t>Introduction</w:t>
      </w:r>
      <w:bookmarkEnd w:id="12"/>
      <w:bookmarkEnd w:id="13"/>
      <w:bookmarkEnd w:id="14"/>
    </w:p>
    <w:p w14:paraId="4FD5ACDB" w14:textId="77777777" w:rsidR="00E77384" w:rsidRPr="00D826A1" w:rsidRDefault="00E77384" w:rsidP="00E77384">
      <w:pPr>
        <w:pStyle w:val="Heading2"/>
      </w:pPr>
      <w:bookmarkStart w:id="16" w:name="_Toc434927212"/>
      <w:bookmarkStart w:id="17" w:name="_Toc10105522"/>
      <w:bookmarkStart w:id="18" w:name="_Toc10105523"/>
      <w:bookmarkStart w:id="19" w:name="_Toc10105524"/>
      <w:bookmarkStart w:id="20" w:name="_Toc10105525"/>
      <w:bookmarkStart w:id="21" w:name="_Toc10105526"/>
      <w:bookmarkStart w:id="22" w:name="_Toc10105527"/>
      <w:bookmarkStart w:id="23" w:name="_Toc10105528"/>
      <w:bookmarkStart w:id="24" w:name="_Toc10105529"/>
      <w:bookmarkStart w:id="25" w:name="_Toc10105530"/>
      <w:bookmarkStart w:id="26" w:name="_Toc10105531"/>
      <w:bookmarkStart w:id="27" w:name="_Toc10105532"/>
      <w:bookmarkStart w:id="28" w:name="_Toc10105533"/>
      <w:bookmarkStart w:id="29" w:name="_Toc10105534"/>
      <w:bookmarkStart w:id="30" w:name="_Toc10105535"/>
      <w:bookmarkStart w:id="31" w:name="_Toc10105536"/>
      <w:bookmarkStart w:id="32" w:name="_Toc10105537"/>
      <w:bookmarkStart w:id="33" w:name="_Toc10105538"/>
      <w:bookmarkStart w:id="34" w:name="_Toc10105539"/>
      <w:bookmarkStart w:id="35" w:name="_Toc10105540"/>
      <w:bookmarkStart w:id="36" w:name="_Toc10105541"/>
      <w:bookmarkStart w:id="37" w:name="_Toc10105542"/>
      <w:bookmarkStart w:id="38" w:name="_Toc10105543"/>
      <w:bookmarkStart w:id="39" w:name="_Toc10105544"/>
      <w:bookmarkStart w:id="40" w:name="_Toc10105545"/>
      <w:bookmarkStart w:id="41" w:name="_Toc10105546"/>
      <w:bookmarkStart w:id="42" w:name="_Toc10105547"/>
      <w:bookmarkStart w:id="43" w:name="_Toc10105548"/>
      <w:bookmarkStart w:id="44" w:name="_Toc532190237"/>
      <w:bookmarkStart w:id="45" w:name="_Toc10104787"/>
      <w:bookmarkStart w:id="46" w:name="_Toc10104989"/>
      <w:bookmarkStart w:id="47" w:name="_Toc10105549"/>
      <w:bookmarkStart w:id="48" w:name="_Toc5305613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826A1">
        <w:t>The project</w:t>
      </w:r>
      <w:bookmarkEnd w:id="44"/>
      <w:bookmarkEnd w:id="45"/>
      <w:bookmarkEnd w:id="46"/>
      <w:bookmarkEnd w:id="47"/>
      <w:r w:rsidRPr="00D826A1">
        <w:t xml:space="preserve"> </w:t>
      </w:r>
      <w:bookmarkEnd w:id="48"/>
    </w:p>
    <w:p w14:paraId="53551D35" w14:textId="77777777" w:rsidR="00E77384" w:rsidRPr="00D826A1" w:rsidRDefault="00E77384" w:rsidP="00E77384">
      <w:pPr>
        <w:pStyle w:val="Heading3"/>
        <w:numPr>
          <w:ilvl w:val="2"/>
          <w:numId w:val="7"/>
        </w:numPr>
        <w:rPr>
          <w:rFonts w:cs="Segoe UI"/>
        </w:rPr>
      </w:pPr>
      <w:r w:rsidRPr="00D826A1">
        <w:rPr>
          <w:rFonts w:cs="Segoe UI"/>
        </w:rPr>
        <w:t>Purpose</w:t>
      </w:r>
    </w:p>
    <w:p w14:paraId="4F0A8C0C" w14:textId="3D8E5989" w:rsidR="00E6655A" w:rsidRDefault="00E77384" w:rsidP="00E77384">
      <w:r w:rsidRPr="00D826A1">
        <w:rPr>
          <w:rFonts w:cs="Segoe UI"/>
        </w:rPr>
        <w:t xml:space="preserve">The purpose of this work is to support the ARC’s broader project to evaluate the alignment of the ITRP with government priorities, and the efficiency and effectiveness of ITRP in supporting collaborations to deliver research and research training. </w:t>
      </w:r>
      <w:r w:rsidRPr="00D826A1">
        <w:t>The evaluation as a whole will focus primarily on the design, implementation and administration of the ITRP. The findings will be used to inform changes and improvements in the administration of future ITRP rounds.</w:t>
      </w:r>
    </w:p>
    <w:p w14:paraId="74AE5940" w14:textId="77777777" w:rsidR="00E6655A" w:rsidRPr="00D826A1" w:rsidRDefault="00E6655A" w:rsidP="00E6655A">
      <w:pPr>
        <w:pStyle w:val="Heading2"/>
      </w:pPr>
      <w:bookmarkStart w:id="49" w:name="_Toc10104990"/>
      <w:bookmarkStart w:id="50" w:name="_Toc10105550"/>
      <w:r w:rsidRPr="00D826A1">
        <w:t>Scope and focus of project</w:t>
      </w:r>
      <w:bookmarkEnd w:id="49"/>
      <w:bookmarkEnd w:id="50"/>
    </w:p>
    <w:p w14:paraId="5FA2D5D3" w14:textId="77777777" w:rsidR="00E6655A" w:rsidRPr="00D826A1" w:rsidRDefault="00E6655A" w:rsidP="00E6655A">
      <w:pPr>
        <w:rPr>
          <w:rFonts w:cs="Segoe UI"/>
        </w:rPr>
      </w:pPr>
      <w:r w:rsidRPr="00D826A1">
        <w:rPr>
          <w:rFonts w:cs="Segoe UI"/>
        </w:rPr>
        <w:t>To support the broader evaluation, ARTD delivered a survey instrument and a series of interviews with key stakeholders of the ITRP. The survey and interviews targeted a subset of the evaluation questions.</w:t>
      </w:r>
    </w:p>
    <w:p w14:paraId="04F1D6F3" w14:textId="77777777" w:rsidR="00E6655A" w:rsidRPr="00D826A1" w:rsidRDefault="00E6655A" w:rsidP="00E6655A">
      <w:pPr>
        <w:rPr>
          <w:rFonts w:cs="Segoe UI"/>
        </w:rPr>
      </w:pPr>
      <w:r w:rsidRPr="00D826A1">
        <w:rPr>
          <w:rFonts w:cs="Segoe UI"/>
        </w:rPr>
        <w:t>The stakeholder groups targeted as part of these activities were:</w:t>
      </w:r>
    </w:p>
    <w:p w14:paraId="4CCFCCD8" w14:textId="77777777" w:rsidR="00E6655A" w:rsidRPr="00D826A1" w:rsidRDefault="00E6655A" w:rsidP="00E6655A">
      <w:pPr>
        <w:pStyle w:val="ListBullet"/>
      </w:pPr>
      <w:r w:rsidRPr="00D826A1">
        <w:t>Research offices at universities involved with successful applications for ITRP funding</w:t>
      </w:r>
    </w:p>
    <w:p w14:paraId="5AF24685" w14:textId="77777777" w:rsidR="00E6655A" w:rsidRPr="00D826A1" w:rsidRDefault="00E6655A" w:rsidP="00E6655A">
      <w:pPr>
        <w:pStyle w:val="ListBullet"/>
      </w:pPr>
      <w:r w:rsidRPr="00D826A1">
        <w:t>ITRH and ITTC directors and managers involved with successful applications for ITRP funding</w:t>
      </w:r>
    </w:p>
    <w:p w14:paraId="1B88442B" w14:textId="77777777" w:rsidR="00E6655A" w:rsidRPr="00D826A1" w:rsidRDefault="00E6655A" w:rsidP="00E6655A">
      <w:pPr>
        <w:pStyle w:val="ListBullet"/>
      </w:pPr>
      <w:r w:rsidRPr="00D826A1">
        <w:t>Chief investigators involved with successful applications for ITRP funding</w:t>
      </w:r>
    </w:p>
    <w:p w14:paraId="55ABF605" w14:textId="77777777" w:rsidR="00E6655A" w:rsidRPr="00D826A1" w:rsidRDefault="00E6655A" w:rsidP="00E6655A">
      <w:pPr>
        <w:pStyle w:val="ListBullet"/>
      </w:pPr>
      <w:r w:rsidRPr="00D826A1">
        <w:t>Partner investigators involved with successful applications for ITRP funding</w:t>
      </w:r>
    </w:p>
    <w:p w14:paraId="4109F3D6" w14:textId="77777777" w:rsidR="00E6655A" w:rsidRPr="00D826A1" w:rsidRDefault="00E6655A" w:rsidP="00E6655A">
      <w:pPr>
        <w:pStyle w:val="ListBullet"/>
      </w:pPr>
      <w:r w:rsidRPr="00D826A1">
        <w:t>Higher degree by research students (HDRs) and post-doctoral researchers (PDRs) who had undertaken research training within a Research Hub or Training Centre</w:t>
      </w:r>
    </w:p>
    <w:p w14:paraId="35DC204D" w14:textId="77777777" w:rsidR="00E6655A" w:rsidRPr="00D826A1" w:rsidRDefault="00E6655A" w:rsidP="00E6655A">
      <w:pPr>
        <w:pStyle w:val="ListBullet"/>
      </w:pPr>
      <w:r w:rsidRPr="00D826A1">
        <w:t>Industry Growth Centre (IGCs) representatives</w:t>
      </w:r>
    </w:p>
    <w:p w14:paraId="58CFEF5B" w14:textId="77777777" w:rsidR="00E6655A" w:rsidRPr="00D826A1" w:rsidRDefault="00E6655A" w:rsidP="00E6655A">
      <w:pPr>
        <w:pStyle w:val="ListBullet"/>
      </w:pPr>
      <w:r w:rsidRPr="00D826A1">
        <w:rPr>
          <w:rFonts w:cs="Segoe UI"/>
        </w:rPr>
        <w:t>Department of Industry, Innovation and Science</w:t>
      </w:r>
      <w:r w:rsidRPr="00D826A1">
        <w:t xml:space="preserve"> (DIIS) representatives</w:t>
      </w:r>
    </w:p>
    <w:p w14:paraId="3C1E578A" w14:textId="77777777" w:rsidR="00E6655A" w:rsidRPr="00D826A1" w:rsidRDefault="00E6655A" w:rsidP="00E6655A">
      <w:pPr>
        <w:pStyle w:val="ListBullet"/>
      </w:pPr>
      <w:r w:rsidRPr="00D826A1">
        <w:t>ARC policy and program owners.</w:t>
      </w:r>
    </w:p>
    <w:p w14:paraId="73112F08" w14:textId="77777777" w:rsidR="00E6655A" w:rsidRPr="00D826A1" w:rsidRDefault="00E6655A" w:rsidP="00E6655A">
      <w:pPr>
        <w:pStyle w:val="ListBullet"/>
        <w:numPr>
          <w:ilvl w:val="0"/>
          <w:numId w:val="0"/>
        </w:numPr>
        <w:ind w:left="454" w:hanging="454"/>
      </w:pPr>
    </w:p>
    <w:p w14:paraId="7546474E" w14:textId="77777777" w:rsidR="00E6655A" w:rsidRPr="00D826A1" w:rsidRDefault="00E6655A" w:rsidP="00E6655A">
      <w:pPr>
        <w:pStyle w:val="ListBullet"/>
        <w:numPr>
          <w:ilvl w:val="0"/>
          <w:numId w:val="0"/>
        </w:numPr>
      </w:pPr>
      <w:r w:rsidRPr="00D826A1">
        <w:t>The scope of this work did not extend to a broader evaluation of the scheme, or the outcomes and impacts of research projects supported under the scheme.</w:t>
      </w:r>
    </w:p>
    <w:p w14:paraId="520E973A" w14:textId="77777777" w:rsidR="00E6655A" w:rsidRPr="00D826A1" w:rsidRDefault="00E6655A" w:rsidP="00E77384"/>
    <w:p w14:paraId="26AE0608" w14:textId="77777777" w:rsidR="00E77384" w:rsidRPr="00D826A1" w:rsidRDefault="00E77384" w:rsidP="00E77384">
      <w:pPr>
        <w:pStyle w:val="Heading1"/>
        <w:numPr>
          <w:ilvl w:val="0"/>
          <w:numId w:val="7"/>
        </w:numPr>
      </w:pPr>
      <w:bookmarkStart w:id="51" w:name="_Toc10105551"/>
      <w:bookmarkStart w:id="52" w:name="_Toc10105552"/>
      <w:bookmarkStart w:id="53" w:name="_Toc10105553"/>
      <w:bookmarkStart w:id="54" w:name="_Toc10105554"/>
      <w:bookmarkStart w:id="55" w:name="_Toc10105555"/>
      <w:bookmarkStart w:id="56" w:name="_Toc10105556"/>
      <w:bookmarkStart w:id="57" w:name="_Toc10105557"/>
      <w:bookmarkStart w:id="58" w:name="_Toc10105558"/>
      <w:bookmarkStart w:id="59" w:name="_Toc10105559"/>
      <w:bookmarkStart w:id="60" w:name="_Toc10105560"/>
      <w:bookmarkStart w:id="61" w:name="_Toc10105561"/>
      <w:bookmarkStart w:id="62" w:name="_Toc10105562"/>
      <w:bookmarkStart w:id="63" w:name="_Toc10105563"/>
      <w:bookmarkStart w:id="64" w:name="_Toc10105564"/>
      <w:bookmarkStart w:id="65" w:name="_Toc10105565"/>
      <w:bookmarkStart w:id="66" w:name="_Toc10105566"/>
      <w:bookmarkStart w:id="67" w:name="_Toc10105567"/>
      <w:bookmarkStart w:id="68" w:name="_Toc10105568"/>
      <w:bookmarkStart w:id="69" w:name="_Toc10105569"/>
      <w:bookmarkStart w:id="70" w:name="_Toc10105570"/>
      <w:bookmarkStart w:id="71" w:name="_Toc10105571"/>
      <w:bookmarkStart w:id="72" w:name="_Toc10105572"/>
      <w:bookmarkStart w:id="73" w:name="_Toc10105573"/>
      <w:bookmarkStart w:id="74" w:name="_Toc10105574"/>
      <w:bookmarkStart w:id="75" w:name="_Toc10105575"/>
      <w:bookmarkStart w:id="76" w:name="_Toc10105576"/>
      <w:bookmarkStart w:id="77" w:name="_Toc10105577"/>
      <w:bookmarkStart w:id="78" w:name="_Toc10105578"/>
      <w:bookmarkStart w:id="79" w:name="_Toc10105579"/>
      <w:bookmarkStart w:id="80" w:name="_Toc10105580"/>
      <w:bookmarkStart w:id="81" w:name="_Toc10104788"/>
      <w:bookmarkStart w:id="82" w:name="_Toc10104991"/>
      <w:bookmarkStart w:id="83" w:name="_Toc10105581"/>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D826A1">
        <w:t>Methodology</w:t>
      </w:r>
      <w:bookmarkEnd w:id="81"/>
      <w:bookmarkEnd w:id="82"/>
      <w:bookmarkEnd w:id="83"/>
    </w:p>
    <w:p w14:paraId="2EEDB4B0" w14:textId="2BEBFE62" w:rsidR="00E77384" w:rsidRPr="00D826A1" w:rsidRDefault="00E77384" w:rsidP="00E77384">
      <w:pPr>
        <w:pStyle w:val="Heading2"/>
      </w:pPr>
      <w:bookmarkStart w:id="84" w:name="_Toc530561366"/>
      <w:bookmarkStart w:id="85" w:name="_Toc532190239"/>
      <w:bookmarkStart w:id="86" w:name="_Toc10104790"/>
      <w:bookmarkStart w:id="87" w:name="_Toc10104993"/>
      <w:bookmarkStart w:id="88" w:name="_Toc10105595"/>
      <w:r w:rsidRPr="00D826A1">
        <w:t>Surveys and interview</w:t>
      </w:r>
      <w:bookmarkEnd w:id="84"/>
      <w:bookmarkEnd w:id="85"/>
      <w:r w:rsidRPr="00D826A1">
        <w:t>s</w:t>
      </w:r>
      <w:bookmarkEnd w:id="86"/>
      <w:bookmarkEnd w:id="87"/>
      <w:bookmarkEnd w:id="88"/>
    </w:p>
    <w:p w14:paraId="70398473" w14:textId="77777777" w:rsidR="00E77384" w:rsidRPr="00D826A1" w:rsidRDefault="00E77384" w:rsidP="00E77384">
      <w:pPr>
        <w:pStyle w:val="Heading3"/>
        <w:numPr>
          <w:ilvl w:val="2"/>
          <w:numId w:val="7"/>
        </w:numPr>
      </w:pPr>
      <w:r w:rsidRPr="00D826A1">
        <w:t>Survey and interview development</w:t>
      </w:r>
    </w:p>
    <w:p w14:paraId="699B18AD" w14:textId="77777777" w:rsidR="00E77384" w:rsidRPr="00D826A1" w:rsidRDefault="00E77384" w:rsidP="00E77384">
      <w:pPr>
        <w:rPr>
          <w:rFonts w:cs="Segoe UI"/>
        </w:rPr>
      </w:pPr>
      <w:r w:rsidRPr="00D826A1">
        <w:rPr>
          <w:rFonts w:cs="Segoe UI"/>
        </w:rPr>
        <w:t>To develop the surveys and interviews, ARTD facilitated a half-day workshop with key ARC stakeholders in Canberra to:</w:t>
      </w:r>
    </w:p>
    <w:p w14:paraId="7E0E8A13" w14:textId="77777777" w:rsidR="00E77384" w:rsidRPr="00D826A1" w:rsidRDefault="00E77384" w:rsidP="00E77384">
      <w:pPr>
        <w:pStyle w:val="ListBullet"/>
        <w:rPr>
          <w:rFonts w:cs="Segoe UI"/>
        </w:rPr>
      </w:pPr>
      <w:r w:rsidRPr="00D826A1">
        <w:rPr>
          <w:rFonts w:cs="Segoe UI"/>
        </w:rPr>
        <w:t xml:space="preserve">prepare and confirm a survey framework covering the key areas of investigation </w:t>
      </w:r>
    </w:p>
    <w:p w14:paraId="0ED3E3F5" w14:textId="77777777" w:rsidR="00E77384" w:rsidRPr="00D826A1" w:rsidRDefault="00E77384" w:rsidP="00E77384">
      <w:pPr>
        <w:pStyle w:val="ListBullet"/>
        <w:rPr>
          <w:rFonts w:cs="Segoe UI"/>
        </w:rPr>
      </w:pPr>
      <w:r w:rsidRPr="00D826A1">
        <w:rPr>
          <w:rFonts w:cs="Segoe UI"/>
        </w:rPr>
        <w:t>further develop question themes and language for the survey and interviews</w:t>
      </w:r>
    </w:p>
    <w:p w14:paraId="71DCD497" w14:textId="77777777" w:rsidR="00E77384" w:rsidRPr="00D826A1" w:rsidRDefault="00E77384" w:rsidP="00E77384">
      <w:pPr>
        <w:pStyle w:val="ListBullet"/>
        <w:rPr>
          <w:rFonts w:cs="Segoe UI"/>
        </w:rPr>
      </w:pPr>
      <w:r w:rsidRPr="00D826A1">
        <w:rPr>
          <w:rFonts w:cs="Segoe UI"/>
        </w:rPr>
        <w:t>align questions and survey logics with stakeholder groups</w:t>
      </w:r>
      <w:r w:rsidRPr="00D826A1">
        <w:rPr>
          <w:rStyle w:val="FootnoteReference"/>
          <w:rFonts w:cs="Segoe UI"/>
        </w:rPr>
        <w:footnoteReference w:id="1"/>
      </w:r>
    </w:p>
    <w:p w14:paraId="3FD4939A" w14:textId="77777777" w:rsidR="00E77384" w:rsidRPr="00D826A1" w:rsidRDefault="00E77384" w:rsidP="00E77384">
      <w:pPr>
        <w:pStyle w:val="ListBullet"/>
        <w:rPr>
          <w:rFonts w:cs="Segoe UI"/>
        </w:rPr>
      </w:pPr>
      <w:r w:rsidRPr="00D826A1">
        <w:rPr>
          <w:rFonts w:cs="Segoe UI"/>
        </w:rPr>
        <w:t>ensure that language reflected ARC communication styles, tone and program policy</w:t>
      </w:r>
    </w:p>
    <w:p w14:paraId="592F4067" w14:textId="77777777" w:rsidR="00E77384" w:rsidRPr="00D826A1" w:rsidRDefault="00E77384" w:rsidP="00E77384">
      <w:pPr>
        <w:pStyle w:val="ListBullet"/>
        <w:rPr>
          <w:rFonts w:cs="Segoe UI"/>
        </w:rPr>
      </w:pPr>
      <w:r w:rsidRPr="00D826A1">
        <w:rPr>
          <w:rFonts w:cs="Segoe UI"/>
        </w:rPr>
        <w:t>obtain relevant stakeholder information and contact details, and discuss engagement strategies for stakeholders as part of the survey and interview process</w:t>
      </w:r>
    </w:p>
    <w:p w14:paraId="04C697DF" w14:textId="77777777" w:rsidR="00E77384" w:rsidRPr="00D826A1" w:rsidRDefault="00E77384" w:rsidP="00E77384">
      <w:pPr>
        <w:pStyle w:val="ListBullet"/>
        <w:rPr>
          <w:rFonts w:cs="Segoe UI"/>
        </w:rPr>
      </w:pPr>
      <w:r w:rsidRPr="00D826A1">
        <w:rPr>
          <w:rFonts w:cs="Segoe UI"/>
        </w:rPr>
        <w:t>finalise questions proposed for inclusion in the survey instrument and interview guides</w:t>
      </w:r>
    </w:p>
    <w:p w14:paraId="51BD016E" w14:textId="77777777" w:rsidR="00E77384" w:rsidRPr="00D826A1" w:rsidRDefault="00E77384" w:rsidP="00E77384">
      <w:pPr>
        <w:pStyle w:val="ListBullet"/>
        <w:rPr>
          <w:rFonts w:cs="Segoe UI"/>
        </w:rPr>
      </w:pPr>
      <w:r w:rsidRPr="00D826A1">
        <w:rPr>
          <w:rFonts w:cs="Segoe UI"/>
        </w:rPr>
        <w:t>confirm the sampling frame and approach to be taken in communicating with stakeholders.</w:t>
      </w:r>
    </w:p>
    <w:p w14:paraId="5AECB45F" w14:textId="77777777" w:rsidR="00E77384" w:rsidRPr="00D826A1" w:rsidRDefault="00E77384" w:rsidP="00E77384">
      <w:pPr>
        <w:pStyle w:val="ListBullet"/>
        <w:numPr>
          <w:ilvl w:val="0"/>
          <w:numId w:val="0"/>
        </w:numPr>
        <w:ind w:left="454" w:hanging="454"/>
        <w:rPr>
          <w:rFonts w:cs="Segoe UI"/>
        </w:rPr>
      </w:pPr>
    </w:p>
    <w:p w14:paraId="45D0916E" w14:textId="72CC6006" w:rsidR="00E77384" w:rsidRPr="00D826A1" w:rsidRDefault="00E77384" w:rsidP="00E77384">
      <w:pPr>
        <w:pStyle w:val="ListBullet"/>
        <w:numPr>
          <w:ilvl w:val="0"/>
          <w:numId w:val="0"/>
        </w:numPr>
        <w:rPr>
          <w:rFonts w:cs="Segoe UI"/>
        </w:rPr>
      </w:pPr>
      <w:r w:rsidRPr="00D826A1">
        <w:rPr>
          <w:rFonts w:cs="Segoe UI"/>
        </w:rPr>
        <w:t>This workshop enabled the development</w:t>
      </w:r>
      <w:r w:rsidR="00217ADA" w:rsidRPr="00D826A1">
        <w:rPr>
          <w:rFonts w:cs="Segoe UI"/>
        </w:rPr>
        <w:t xml:space="preserve"> </w:t>
      </w:r>
      <w:r w:rsidRPr="00D826A1">
        <w:rPr>
          <w:rFonts w:cs="Segoe UI"/>
        </w:rPr>
        <w:t xml:space="preserve">of survey instruments and interview guides </w:t>
      </w:r>
      <w:r w:rsidR="00217ADA" w:rsidRPr="00D826A1">
        <w:rPr>
          <w:rFonts w:cs="Segoe UI"/>
        </w:rPr>
        <w:t>in collaboration with the ARC Program Evaluation section</w:t>
      </w:r>
      <w:r w:rsidRPr="00D826A1">
        <w:rPr>
          <w:rFonts w:cs="Segoe UI"/>
        </w:rPr>
        <w:t>.</w:t>
      </w:r>
    </w:p>
    <w:p w14:paraId="6D67F888" w14:textId="77777777" w:rsidR="00E77384" w:rsidRPr="00D826A1" w:rsidRDefault="00E77384" w:rsidP="00E77384">
      <w:pPr>
        <w:pStyle w:val="Heading3"/>
        <w:numPr>
          <w:ilvl w:val="2"/>
          <w:numId w:val="7"/>
        </w:numPr>
      </w:pPr>
      <w:bookmarkStart w:id="89" w:name="_Ref532189983"/>
      <w:r w:rsidRPr="00D826A1">
        <w:t>Survey</w:t>
      </w:r>
      <w:bookmarkEnd w:id="89"/>
      <w:r w:rsidRPr="00D826A1">
        <w:t xml:space="preserve">s </w:t>
      </w:r>
    </w:p>
    <w:p w14:paraId="48B675DD" w14:textId="48F75B88" w:rsidR="00E77384" w:rsidRPr="00D826A1" w:rsidRDefault="00E77384" w:rsidP="00E77384">
      <w:r w:rsidRPr="00D826A1">
        <w:t>A survey was delivered across members of the following stakeholder groups</w:t>
      </w:r>
      <w:r w:rsidR="001B01B0" w:rsidRPr="00D826A1">
        <w:t xml:space="preserve"> (where contact details were available)</w:t>
      </w:r>
      <w:r w:rsidRPr="00D826A1">
        <w:t>:</w:t>
      </w:r>
    </w:p>
    <w:p w14:paraId="1AD46DE3" w14:textId="30C09689" w:rsidR="00E77384" w:rsidRPr="00D826A1" w:rsidRDefault="00063373" w:rsidP="00E77384">
      <w:pPr>
        <w:pStyle w:val="ListBullet"/>
      </w:pPr>
      <w:r w:rsidRPr="00D826A1">
        <w:t>R</w:t>
      </w:r>
      <w:r w:rsidR="00E77384" w:rsidRPr="00D826A1">
        <w:t>esearch offices</w:t>
      </w:r>
      <w:r w:rsidRPr="00D826A1">
        <w:t xml:space="preserve"> at universities</w:t>
      </w:r>
      <w:r w:rsidR="003F2D52" w:rsidRPr="00D826A1">
        <w:t xml:space="preserve"> involved with successful applications for ITRP funding</w:t>
      </w:r>
    </w:p>
    <w:p w14:paraId="628865B2" w14:textId="58FCECB7" w:rsidR="00E77384" w:rsidRPr="00D826A1" w:rsidRDefault="00E77384" w:rsidP="00E77384">
      <w:pPr>
        <w:pStyle w:val="ListBullet"/>
      </w:pPr>
      <w:r w:rsidRPr="00D826A1">
        <w:t>ITRH and ITRC directors and managers</w:t>
      </w:r>
      <w:r w:rsidR="003F2D52" w:rsidRPr="00D826A1">
        <w:t xml:space="preserve"> involved with successful applications for ITRP funding</w:t>
      </w:r>
    </w:p>
    <w:p w14:paraId="25B23B67" w14:textId="7A120683" w:rsidR="00E77384" w:rsidRPr="00D826A1" w:rsidRDefault="00E77384" w:rsidP="00E77384">
      <w:pPr>
        <w:pStyle w:val="ListBullet"/>
      </w:pPr>
      <w:r w:rsidRPr="00D826A1">
        <w:t xml:space="preserve">Chief investigators </w:t>
      </w:r>
      <w:r w:rsidR="003F2D52" w:rsidRPr="00D826A1">
        <w:t>involved with successful applications for ITRP funding</w:t>
      </w:r>
    </w:p>
    <w:p w14:paraId="419D9ACF" w14:textId="2090CE39" w:rsidR="00E77384" w:rsidRPr="00D826A1" w:rsidRDefault="00E77384" w:rsidP="00E77384">
      <w:pPr>
        <w:pStyle w:val="ListBullet"/>
      </w:pPr>
      <w:r w:rsidRPr="00D826A1">
        <w:t>Partner investigators</w:t>
      </w:r>
      <w:r w:rsidR="003F2D52" w:rsidRPr="00D826A1">
        <w:t xml:space="preserve"> involved with successful applications for ITRP funding</w:t>
      </w:r>
    </w:p>
    <w:p w14:paraId="5648E079" w14:textId="18E96168" w:rsidR="00E77384" w:rsidRPr="00D826A1" w:rsidRDefault="00E77384" w:rsidP="00E77384">
      <w:pPr>
        <w:pStyle w:val="ListBullet"/>
      </w:pPr>
      <w:r w:rsidRPr="00D826A1">
        <w:t>HDR students and PDRs</w:t>
      </w:r>
      <w:r w:rsidR="00F25C74" w:rsidRPr="00D826A1">
        <w:t xml:space="preserve"> who had undertaken research training within a Research Hub or Training Centre</w:t>
      </w:r>
    </w:p>
    <w:p w14:paraId="44D863AA" w14:textId="77777777" w:rsidR="00E77384" w:rsidRPr="00D826A1" w:rsidRDefault="00E77384" w:rsidP="00E77384">
      <w:pPr>
        <w:pStyle w:val="ListBullet"/>
        <w:numPr>
          <w:ilvl w:val="0"/>
          <w:numId w:val="0"/>
        </w:numPr>
        <w:ind w:left="454" w:hanging="454"/>
      </w:pPr>
    </w:p>
    <w:p w14:paraId="3C744534" w14:textId="77777777" w:rsidR="00E77384" w:rsidRPr="00D826A1" w:rsidRDefault="00E77384" w:rsidP="00E77384">
      <w:r w:rsidRPr="00D826A1">
        <w:t>Survey questions were tailored to ensure that respondents were presented with questions relevant to their role and experience with the ITRP. A separate survey (IGC Survey) was also developed and delivered to IGC representatives, which focused on their interactions with Research Hub and Training Centre applicants.</w:t>
      </w:r>
    </w:p>
    <w:p w14:paraId="538FAA91" w14:textId="77777777" w:rsidR="00E77384" w:rsidRPr="00D826A1" w:rsidRDefault="00E77384" w:rsidP="00E77384">
      <w:pPr>
        <w:pStyle w:val="Heading4"/>
      </w:pPr>
      <w:r w:rsidRPr="00D826A1">
        <w:t>Survey response</w:t>
      </w:r>
    </w:p>
    <w:p w14:paraId="498F4BE0" w14:textId="77777777" w:rsidR="00E77384" w:rsidRPr="00D826A1" w:rsidRDefault="00E77384" w:rsidP="00E77384">
      <w:bookmarkStart w:id="90" w:name="_Hlk3971641"/>
      <w:r w:rsidRPr="00D826A1">
        <w:t xml:space="preserve">The survey was delivered between 6 February 2019 and 28 February 2019 to a distribution list of 2,177 stakeholders. Reminder emails were sent on a weekly basis and 24 hours prior to closure of the survey. </w:t>
      </w:r>
    </w:p>
    <w:p w14:paraId="195EA9FE" w14:textId="0CC9E562" w:rsidR="00E77384" w:rsidRPr="00D826A1" w:rsidRDefault="00E77384" w:rsidP="00E77384">
      <w:r w:rsidRPr="00D826A1">
        <w:t xml:space="preserve">A total of 702 complete responses to the survey were received, representing a response rate of 32.3 per cent. A further 302 partial responses were received which have not been included in the analysis or final data set. More detail on the survey delivery and response rates are provided at </w:t>
      </w:r>
      <w:r w:rsidRPr="00D826A1">
        <w:fldChar w:fldCharType="begin"/>
      </w:r>
      <w:r w:rsidRPr="00D826A1">
        <w:instrText xml:space="preserve"> REF _Ref3275195 \r \h </w:instrText>
      </w:r>
      <w:r w:rsidR="00D826A1">
        <w:instrText xml:space="preserve"> \* MERGEFORMAT </w:instrText>
      </w:r>
      <w:r w:rsidRPr="00D826A1">
        <w:fldChar w:fldCharType="separate"/>
      </w:r>
      <w:r w:rsidR="00CD7DEE">
        <w:t>Appendix 1</w:t>
      </w:r>
      <w:r w:rsidRPr="00D826A1">
        <w:fldChar w:fldCharType="end"/>
      </w:r>
      <w:r w:rsidRPr="00D826A1">
        <w:t xml:space="preserve">. Breakdowns of survey respondents by demographic are provided at </w:t>
      </w:r>
      <w:r w:rsidRPr="00D826A1">
        <w:fldChar w:fldCharType="begin"/>
      </w:r>
      <w:r w:rsidRPr="00D826A1">
        <w:instrText xml:space="preserve"> REF _Ref3274873 \r \h </w:instrText>
      </w:r>
      <w:r w:rsidR="00D826A1">
        <w:instrText xml:space="preserve"> \* MERGEFORMAT </w:instrText>
      </w:r>
      <w:r w:rsidRPr="00D826A1">
        <w:fldChar w:fldCharType="separate"/>
      </w:r>
      <w:r w:rsidR="00CD7DEE">
        <w:t>Appendix 2</w:t>
      </w:r>
      <w:r w:rsidRPr="00D826A1">
        <w:fldChar w:fldCharType="end"/>
      </w:r>
      <w:bookmarkEnd w:id="90"/>
      <w:r w:rsidRPr="00D826A1">
        <w:t>.</w:t>
      </w:r>
    </w:p>
    <w:p w14:paraId="5FAC320A" w14:textId="77777777" w:rsidR="00E77384" w:rsidRPr="00D826A1" w:rsidRDefault="00E77384" w:rsidP="00E77384">
      <w:r w:rsidRPr="00D826A1">
        <w:t>The IGC survey was delivered between 11 February 2019 and 28 February 2019 to six representatives from IGCs. Reminder emails were sent one week after launch, followed by phone calls to remaining representatives. Five of the six representatives provided a response to the survey.</w:t>
      </w:r>
    </w:p>
    <w:p w14:paraId="6C088F62" w14:textId="77777777" w:rsidR="00E77384" w:rsidRPr="00D826A1" w:rsidRDefault="00E77384" w:rsidP="00E77384">
      <w:pPr>
        <w:pStyle w:val="Heading3"/>
        <w:numPr>
          <w:ilvl w:val="2"/>
          <w:numId w:val="7"/>
        </w:numPr>
      </w:pPr>
      <w:r w:rsidRPr="00D826A1">
        <w:t>Interviews</w:t>
      </w:r>
    </w:p>
    <w:p w14:paraId="1F719612" w14:textId="064E4A4C" w:rsidR="00E77384" w:rsidRPr="00D826A1" w:rsidRDefault="00E77384" w:rsidP="00E77384">
      <w:r w:rsidRPr="00D826A1">
        <w:t>A total of 3</w:t>
      </w:r>
      <w:r w:rsidR="001D0469" w:rsidRPr="00D826A1">
        <w:t>3</w:t>
      </w:r>
      <w:r w:rsidRPr="00D826A1">
        <w:t xml:space="preserve"> interviews were delivered alongside the survey to members of the following stakeholder groups (numbers of interviews in brackets): </w:t>
      </w:r>
    </w:p>
    <w:p w14:paraId="6396E091" w14:textId="77777777" w:rsidR="00E77384" w:rsidRPr="00D826A1" w:rsidRDefault="00E77384" w:rsidP="00E77384">
      <w:pPr>
        <w:pStyle w:val="ListBullet"/>
      </w:pPr>
      <w:r w:rsidRPr="00D826A1">
        <w:t>University Research Office representatives (seven)</w:t>
      </w:r>
    </w:p>
    <w:p w14:paraId="2E320513" w14:textId="77777777" w:rsidR="00E77384" w:rsidRPr="00D826A1" w:rsidRDefault="00E77384" w:rsidP="00E77384">
      <w:pPr>
        <w:pStyle w:val="ListBullet"/>
      </w:pPr>
      <w:r w:rsidRPr="00D826A1">
        <w:t>Hub and Centre directors and managers (20 interviews, representing ten Research Hubs and ten Training Centres)</w:t>
      </w:r>
    </w:p>
    <w:p w14:paraId="4FF9810B" w14:textId="77777777" w:rsidR="00E77384" w:rsidRPr="00D826A1" w:rsidRDefault="00E77384" w:rsidP="00E77384">
      <w:pPr>
        <w:pStyle w:val="ListBullet"/>
      </w:pPr>
      <w:r w:rsidRPr="00D826A1">
        <w:t>ARC representatives (two)</w:t>
      </w:r>
    </w:p>
    <w:p w14:paraId="31D8665A" w14:textId="77777777" w:rsidR="00E77384" w:rsidRPr="00D826A1" w:rsidRDefault="00E77384" w:rsidP="00E77384">
      <w:pPr>
        <w:pStyle w:val="ListBullet"/>
      </w:pPr>
      <w:r w:rsidRPr="00D826A1">
        <w:t>DIIS representatives (two, from the policy and IGC management areas).</w:t>
      </w:r>
    </w:p>
    <w:p w14:paraId="55DB5EFD" w14:textId="77777777" w:rsidR="00E77384" w:rsidRPr="00D826A1" w:rsidRDefault="00E77384" w:rsidP="00E77384">
      <w:pPr>
        <w:pStyle w:val="ListBullet"/>
        <w:numPr>
          <w:ilvl w:val="0"/>
          <w:numId w:val="0"/>
        </w:numPr>
        <w:ind w:left="454" w:hanging="454"/>
      </w:pPr>
    </w:p>
    <w:p w14:paraId="5BD7F703" w14:textId="37215F37" w:rsidR="00E77384" w:rsidRPr="00D826A1" w:rsidRDefault="00E77384" w:rsidP="00E77384">
      <w:pPr>
        <w:pStyle w:val="ListBullet"/>
        <w:numPr>
          <w:ilvl w:val="0"/>
          <w:numId w:val="0"/>
        </w:numPr>
      </w:pPr>
      <w:r w:rsidRPr="00D826A1">
        <w:t xml:space="preserve">The interviews were designed to probe topics from the survey in greater depth. For Research Office, </w:t>
      </w:r>
      <w:r w:rsidR="00E10077">
        <w:t xml:space="preserve">Research </w:t>
      </w:r>
      <w:r w:rsidRPr="00D826A1">
        <w:t xml:space="preserve">Hub and </w:t>
      </w:r>
      <w:r w:rsidR="00E10077">
        <w:t xml:space="preserve">Training </w:t>
      </w:r>
      <w:r w:rsidRPr="00D826A1">
        <w:t xml:space="preserve">Centre interviews a purposive sampling approach was used to provide a balance across factors such as geography, university type, number of </w:t>
      </w:r>
      <w:r w:rsidR="00E10077">
        <w:t>Research Hubs</w:t>
      </w:r>
      <w:r w:rsidRPr="00D826A1">
        <w:t xml:space="preserve"> and </w:t>
      </w:r>
      <w:r w:rsidR="00E10077">
        <w:t>Training Centres</w:t>
      </w:r>
      <w:r w:rsidRPr="00D826A1">
        <w:t xml:space="preserve"> at a university, and rounds of the program.</w:t>
      </w:r>
    </w:p>
    <w:p w14:paraId="072C0589" w14:textId="77777777" w:rsidR="00E77384" w:rsidRPr="00D826A1" w:rsidRDefault="00E77384" w:rsidP="00E77384">
      <w:pPr>
        <w:pStyle w:val="ListBullet"/>
        <w:numPr>
          <w:ilvl w:val="0"/>
          <w:numId w:val="0"/>
        </w:numPr>
        <w:ind w:left="454" w:hanging="454"/>
      </w:pPr>
    </w:p>
    <w:p w14:paraId="3EDD0B46" w14:textId="77777777" w:rsidR="00E77384" w:rsidRPr="00D826A1" w:rsidRDefault="00E77384" w:rsidP="00E77384"/>
    <w:p w14:paraId="4106403D" w14:textId="77777777" w:rsidR="00E77384" w:rsidRPr="00D826A1" w:rsidRDefault="00E77384" w:rsidP="00E77384">
      <w:pPr>
        <w:pStyle w:val="Heading1"/>
        <w:numPr>
          <w:ilvl w:val="0"/>
          <w:numId w:val="7"/>
        </w:numPr>
      </w:pPr>
      <w:bookmarkStart w:id="91" w:name="_Toc10104791"/>
      <w:bookmarkStart w:id="92" w:name="_Toc10104994"/>
      <w:bookmarkStart w:id="93" w:name="_Toc10105596"/>
      <w:r w:rsidRPr="00D826A1">
        <w:t>Summary of responses</w:t>
      </w:r>
      <w:bookmarkEnd w:id="91"/>
      <w:bookmarkEnd w:id="92"/>
      <w:bookmarkEnd w:id="93"/>
    </w:p>
    <w:p w14:paraId="27DB4CC3" w14:textId="77777777" w:rsidR="00E77384" w:rsidRPr="00D826A1" w:rsidRDefault="00E77384" w:rsidP="00E77384">
      <w:pPr>
        <w:pStyle w:val="Heading2"/>
      </w:pPr>
      <w:bookmarkStart w:id="94" w:name="_Toc10104792"/>
      <w:bookmarkStart w:id="95" w:name="_Toc10104995"/>
      <w:bookmarkStart w:id="96" w:name="_Toc10105597"/>
      <w:r w:rsidRPr="00D826A1">
        <w:t>Support for industry focused research collaboration</w:t>
      </w:r>
      <w:bookmarkEnd w:id="94"/>
      <w:bookmarkEnd w:id="95"/>
      <w:bookmarkEnd w:id="96"/>
    </w:p>
    <w:p w14:paraId="231C9E32" w14:textId="77777777" w:rsidR="00E77384" w:rsidRPr="00D826A1" w:rsidRDefault="00E77384" w:rsidP="00E77384">
      <w:pPr>
        <w:pStyle w:val="Heading4"/>
      </w:pPr>
      <w:r w:rsidRPr="00D826A1">
        <w:t>Effectiveness of ITRP support for industry focused research collaboration</w:t>
      </w:r>
    </w:p>
    <w:p w14:paraId="1BEDB756" w14:textId="5A5644C9" w:rsidR="00E77384" w:rsidRPr="00D826A1" w:rsidRDefault="00E77384" w:rsidP="00E77384">
      <w:r w:rsidRPr="00D826A1">
        <w:fldChar w:fldCharType="begin"/>
      </w:r>
      <w:r w:rsidRPr="00D826A1">
        <w:instrText xml:space="preserve"> REF _Ref3881361 \r \h </w:instrText>
      </w:r>
      <w:r w:rsidR="00D826A1">
        <w:instrText xml:space="preserve"> \* MERGEFORMAT </w:instrText>
      </w:r>
      <w:r w:rsidRPr="00D826A1">
        <w:fldChar w:fldCharType="separate"/>
      </w:r>
      <w:r w:rsidR="00CD7DEE">
        <w:t>Figure 1</w:t>
      </w:r>
      <w:r w:rsidRPr="00D826A1">
        <w:fldChar w:fldCharType="end"/>
      </w:r>
      <w:r w:rsidRPr="00D826A1">
        <w:t xml:space="preserve"> shows responses for </w:t>
      </w:r>
      <w:r w:rsidR="00F36228">
        <w:t>Directors (</w:t>
      </w:r>
      <w:proofErr w:type="spellStart"/>
      <w:r w:rsidR="00343846" w:rsidRPr="00D826A1">
        <w:t>Dir</w:t>
      </w:r>
      <w:r w:rsidRPr="00D826A1">
        <w:t>s</w:t>
      </w:r>
      <w:proofErr w:type="spellEnd"/>
      <w:r w:rsidR="00F36228">
        <w:t>)</w:t>
      </w:r>
      <w:r w:rsidRPr="00D826A1">
        <w:t xml:space="preserve"> and </w:t>
      </w:r>
      <w:r w:rsidR="00F36228">
        <w:t>Partner Investigators (</w:t>
      </w:r>
      <w:r w:rsidR="00343846" w:rsidRPr="00D826A1">
        <w:t>PIs</w:t>
      </w:r>
      <w:r w:rsidR="00F36228">
        <w:t>)</w:t>
      </w:r>
      <w:r w:rsidR="00D9005C" w:rsidRPr="00D826A1">
        <w:t xml:space="preserve"> on the effectiveness of the research program</w:t>
      </w:r>
      <w:r w:rsidR="00063373" w:rsidRPr="00D826A1">
        <w:t xml:space="preserve">s in their </w:t>
      </w:r>
      <w:r w:rsidR="00E10077">
        <w:t>Research Hubs</w:t>
      </w:r>
      <w:r w:rsidR="00063373" w:rsidRPr="00D826A1">
        <w:t xml:space="preserve"> and </w:t>
      </w:r>
      <w:r w:rsidR="00E10077">
        <w:t>Training Centres</w:t>
      </w:r>
      <w:r w:rsidR="00D9005C" w:rsidRPr="00D826A1">
        <w:t xml:space="preserve"> in </w:t>
      </w:r>
      <w:r w:rsidR="002E1FF1">
        <w:t xml:space="preserve">supporting collaboration to </w:t>
      </w:r>
      <w:r w:rsidR="00D9005C" w:rsidRPr="00D826A1">
        <w:t>meet industry needs</w:t>
      </w:r>
      <w:r w:rsidR="00063373" w:rsidRPr="00D826A1">
        <w:t xml:space="preserve"> in a range of areas</w:t>
      </w:r>
      <w:r w:rsidRPr="00D826A1">
        <w:t>. Respondents felt that industry access to research expertise was the most effective area, with intelligence on research and industry trends being less effective. Broken down by group, however, there are differences with higher ratings from respondents from Research Hubs across all factors except providing research candidates with skills and knowledge needed for industry employment</w:t>
      </w:r>
      <w:r w:rsidR="00D9005C" w:rsidRPr="00D826A1">
        <w:t xml:space="preserve"> (which may reflect the differing objectives of Research Hubs and Training Centres</w:t>
      </w:r>
      <w:r w:rsidR="00F36228">
        <w:t>)</w:t>
      </w:r>
      <w:r w:rsidRPr="00D826A1">
        <w:t xml:space="preserve">. </w:t>
      </w:r>
      <w:proofErr w:type="spellStart"/>
      <w:r w:rsidR="00FC2B29" w:rsidRPr="00D826A1">
        <w:t>Dir</w:t>
      </w:r>
      <w:r w:rsidRPr="00D826A1">
        <w:t>s</w:t>
      </w:r>
      <w:proofErr w:type="spellEnd"/>
      <w:r w:rsidRPr="00D826A1">
        <w:t xml:space="preserve"> also provided higher ratings than </w:t>
      </w:r>
      <w:r w:rsidR="00FC2B29" w:rsidRPr="00D826A1">
        <w:t>PIs</w:t>
      </w:r>
      <w:r w:rsidRPr="00D826A1">
        <w:t xml:space="preserve"> across all factors.</w:t>
      </w:r>
    </w:p>
    <w:p w14:paraId="099F298C" w14:textId="5D0FF4A5" w:rsidR="00E77384" w:rsidRPr="00D826A1" w:rsidRDefault="00E77384" w:rsidP="00E77384">
      <w:pPr>
        <w:pStyle w:val="FigureHeading"/>
      </w:pPr>
      <w:bookmarkStart w:id="97" w:name="_Ref3881361"/>
      <w:r w:rsidRPr="00D826A1">
        <w:t>Effectiveness of research program and projects</w:t>
      </w:r>
      <w:bookmarkEnd w:id="97"/>
      <w:r w:rsidR="002E1FF1">
        <w:t xml:space="preserve"> in supporting collaboration</w:t>
      </w:r>
    </w:p>
    <w:p w14:paraId="70D6C872" w14:textId="77777777" w:rsidR="00F5408A" w:rsidRDefault="00F5408A" w:rsidP="00460626">
      <w:r>
        <w:rPr>
          <w:noProof/>
          <w:lang w:eastAsia="en-AU"/>
        </w:rPr>
        <w:drawing>
          <wp:inline distT="0" distB="0" distL="0" distR="0" wp14:anchorId="1BCD9AB7" wp14:editId="08482CFF">
            <wp:extent cx="5499100" cy="3213100"/>
            <wp:effectExtent l="0" t="0" r="6350" b="6350"/>
            <wp:docPr id="1" name="Picture 1" descr="Figure 1 depicts the responses of Dirs and PIs on the effectiveness of their research programs and projects in supporting collaboration." title="Figure 1. Effectiveness of research program and projects in supporting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22AD70D" w14:textId="08599C88" w:rsidR="00460626" w:rsidRPr="00D826A1" w:rsidRDefault="00063373" w:rsidP="00460626">
      <w:r w:rsidRPr="00D826A1">
        <w:t>Figure 2</w:t>
      </w:r>
      <w:r w:rsidR="00460626" w:rsidRPr="00D826A1">
        <w:t xml:space="preserve"> shows the effectiveness of partner organisation contributions in helping to achieve different aspects of university researchers’ needs and goals in undertaking collaborative research, as reported by </w:t>
      </w:r>
      <w:proofErr w:type="spellStart"/>
      <w:r w:rsidR="00FC2B29" w:rsidRPr="00D826A1">
        <w:t>Dir</w:t>
      </w:r>
      <w:r w:rsidR="00460626" w:rsidRPr="00D826A1">
        <w:t>s</w:t>
      </w:r>
      <w:proofErr w:type="spellEnd"/>
      <w:r w:rsidR="00460626" w:rsidRPr="00D826A1">
        <w:t xml:space="preserve"> and </w:t>
      </w:r>
      <w:r w:rsidR="00F36228">
        <w:t>Chief Investigators (</w:t>
      </w:r>
      <w:r w:rsidR="00D8441F" w:rsidRPr="00D826A1">
        <w:t>C</w:t>
      </w:r>
      <w:r w:rsidR="001E18E6">
        <w:t>I</w:t>
      </w:r>
      <w:r w:rsidR="00460626" w:rsidRPr="00D826A1">
        <w:t>s</w:t>
      </w:r>
      <w:r w:rsidR="00F36228">
        <w:t>)</w:t>
      </w:r>
      <w:r w:rsidR="00460626" w:rsidRPr="00D826A1">
        <w:t xml:space="preserve">. Advice on industry needs was seen as most effective, while supervision and mentoring were seen as least effective. Research hub respondents found contributions to be more effective than for Training Centres in all but the areas of expert input, supervision and mentoring, and building networks. Notably, </w:t>
      </w:r>
      <w:proofErr w:type="spellStart"/>
      <w:r w:rsidR="00FC2B29" w:rsidRPr="00D826A1">
        <w:t>Dir</w:t>
      </w:r>
      <w:r w:rsidR="00460626" w:rsidRPr="00D826A1">
        <w:t>s</w:t>
      </w:r>
      <w:proofErr w:type="spellEnd"/>
      <w:r w:rsidR="00460626" w:rsidRPr="00D826A1">
        <w:t xml:space="preserve"> saw partner organisation contributions as more effective on each dimension as compared to </w:t>
      </w:r>
      <w:r w:rsidR="00D8441F" w:rsidRPr="00D826A1">
        <w:t>CI</w:t>
      </w:r>
      <w:r w:rsidR="00460626" w:rsidRPr="00D826A1">
        <w:t>s.</w:t>
      </w:r>
    </w:p>
    <w:p w14:paraId="5088F9C5" w14:textId="56ABC1C0" w:rsidR="00460626" w:rsidRPr="00D826A1" w:rsidRDefault="00460626" w:rsidP="00460626">
      <w:pPr>
        <w:pStyle w:val="FigureHeading"/>
      </w:pPr>
      <w:r w:rsidRPr="00D826A1">
        <w:t>Effectiveness of partner contributions</w:t>
      </w:r>
      <w:r w:rsidR="002E1FF1">
        <w:t xml:space="preserve"> in supporting collaboration</w:t>
      </w:r>
    </w:p>
    <w:p w14:paraId="31E2D18F" w14:textId="48771043" w:rsidR="00460626" w:rsidRPr="00D826A1" w:rsidRDefault="00F5408A" w:rsidP="00460626">
      <w:r>
        <w:rPr>
          <w:noProof/>
          <w:lang w:eastAsia="en-AU"/>
        </w:rPr>
        <w:drawing>
          <wp:inline distT="0" distB="0" distL="0" distR="0" wp14:anchorId="365933E9" wp14:editId="28C97D1B">
            <wp:extent cx="5499100" cy="3213100"/>
            <wp:effectExtent l="0" t="0" r="6350" b="6350"/>
            <wp:docPr id="29" name="Picture 29" descr="Figure 2 depicts the responses of Dirs and CIs on the effectiveness of partner organisation contributions in supporting collaboration." title="Figure 2. Effectiveness of partner contributions in supporting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F8DD793" w14:textId="38F8B283" w:rsidR="00E77384" w:rsidRPr="00D826A1" w:rsidRDefault="00F36228" w:rsidP="00E77384">
      <w:r>
        <w:t>Research Offices (</w:t>
      </w:r>
      <w:r w:rsidR="00FC2B29" w:rsidRPr="00D826A1">
        <w:t>R</w:t>
      </w:r>
      <w:r w:rsidR="001E18E6">
        <w:t>O</w:t>
      </w:r>
      <w:r w:rsidR="00D9005C" w:rsidRPr="00D826A1">
        <w:t>s</w:t>
      </w:r>
      <w:r>
        <w:t>)</w:t>
      </w:r>
      <w:r w:rsidR="00D9005C" w:rsidRPr="00D826A1">
        <w:t xml:space="preserve">, </w:t>
      </w:r>
      <w:proofErr w:type="spellStart"/>
      <w:r w:rsidR="00D9005C" w:rsidRPr="00D826A1">
        <w:t>Dirs</w:t>
      </w:r>
      <w:proofErr w:type="spellEnd"/>
      <w:r w:rsidR="00D9005C" w:rsidRPr="00D826A1">
        <w:t xml:space="preserve">, </w:t>
      </w:r>
      <w:r>
        <w:t>Managers (</w:t>
      </w:r>
      <w:proofErr w:type="spellStart"/>
      <w:r w:rsidR="00D9005C" w:rsidRPr="00D826A1">
        <w:t>Mgrs</w:t>
      </w:r>
      <w:proofErr w:type="spellEnd"/>
      <w:r>
        <w:t>)</w:t>
      </w:r>
      <w:r w:rsidR="00D9005C" w:rsidRPr="00D826A1">
        <w:t xml:space="preserve">, CIs and PIs were asked for their views on the </w:t>
      </w:r>
      <w:r w:rsidR="00E77384" w:rsidRPr="00D826A1">
        <w:t>quality and reliability of partnerships</w:t>
      </w:r>
      <w:r w:rsidR="00D9005C" w:rsidRPr="00D826A1">
        <w:t>;</w:t>
      </w:r>
      <w:r w:rsidR="00E77384" w:rsidRPr="00D826A1">
        <w:t xml:space="preserve"> </w:t>
      </w:r>
      <w:r w:rsidR="00D9005C" w:rsidRPr="00D826A1">
        <w:t xml:space="preserve">these were </w:t>
      </w:r>
      <w:r w:rsidR="00E77384" w:rsidRPr="00D826A1">
        <w:t>generally rated as good or excellent (</w:t>
      </w:r>
      <w:r w:rsidR="00E77384" w:rsidRPr="00D826A1">
        <w:fldChar w:fldCharType="begin"/>
      </w:r>
      <w:r w:rsidR="00E77384" w:rsidRPr="00D826A1">
        <w:instrText xml:space="preserve"> REF _Ref3880116 \r \h </w:instrText>
      </w:r>
      <w:r w:rsidR="00D826A1">
        <w:instrText xml:space="preserve"> \* MERGEFORMAT </w:instrText>
      </w:r>
      <w:r w:rsidR="00E77384" w:rsidRPr="00D826A1">
        <w:fldChar w:fldCharType="separate"/>
      </w:r>
      <w:r w:rsidR="00CD7DEE">
        <w:t>Figure 3</w:t>
      </w:r>
      <w:r w:rsidR="00E77384" w:rsidRPr="00D826A1">
        <w:fldChar w:fldCharType="end"/>
      </w:r>
      <w:r w:rsidR="00E77384" w:rsidRPr="00D826A1">
        <w:t xml:space="preserve">). However, broken down by group there were large differences in whether these partnerships were rated “good” or “excellent”, with </w:t>
      </w:r>
      <w:r w:rsidR="00FC2B29" w:rsidRPr="00D826A1">
        <w:t>RO</w:t>
      </w:r>
      <w:r w:rsidR="005C2355" w:rsidRPr="00D826A1">
        <w:t>s</w:t>
      </w:r>
      <w:r w:rsidR="00E77384" w:rsidRPr="00D826A1">
        <w:t xml:space="preserve"> more likely to rate the quality and reliability as “good” and </w:t>
      </w:r>
      <w:proofErr w:type="spellStart"/>
      <w:r w:rsidR="00FC2B29" w:rsidRPr="00D826A1">
        <w:t>Dir</w:t>
      </w:r>
      <w:r w:rsidR="00E77384" w:rsidRPr="00D826A1">
        <w:t>s</w:t>
      </w:r>
      <w:proofErr w:type="spellEnd"/>
      <w:r w:rsidR="00E77384" w:rsidRPr="00D826A1">
        <w:t xml:space="preserve"> more likely to rate quality and reliability as “excellent”.</w:t>
      </w:r>
    </w:p>
    <w:p w14:paraId="1F93F4AD" w14:textId="77777777" w:rsidR="00E77384" w:rsidRPr="00D826A1" w:rsidRDefault="00E77384" w:rsidP="00E77384">
      <w:pPr>
        <w:pStyle w:val="FigureHeading"/>
      </w:pPr>
      <w:bookmarkStart w:id="98" w:name="_Ref3880116"/>
      <w:r w:rsidRPr="00D826A1">
        <w:t>Quality and reliability of partnerships</w:t>
      </w:r>
      <w:bookmarkEnd w:id="98"/>
    </w:p>
    <w:p w14:paraId="0A1E5543" w14:textId="7CF2B68A" w:rsidR="00E77384" w:rsidRPr="00D826A1" w:rsidRDefault="00F5408A" w:rsidP="00E77384">
      <w:r>
        <w:rPr>
          <w:noProof/>
          <w:lang w:eastAsia="en-AU"/>
        </w:rPr>
        <w:drawing>
          <wp:inline distT="0" distB="0" distL="0" distR="0" wp14:anchorId="30C1A739" wp14:editId="7D5B27C8">
            <wp:extent cx="5499100" cy="2633980"/>
            <wp:effectExtent l="0" t="0" r="6350" b="0"/>
            <wp:docPr id="30" name="Picture 30" descr="Figure 3 depicts the responses of stakeholders on the quality and reliability of the partnerships established under the ITRP." title="Figure 3. Quality and reliability of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2633980"/>
                    </a:xfrm>
                    <a:prstGeom prst="rect">
                      <a:avLst/>
                    </a:prstGeom>
                    <a:noFill/>
                  </pic:spPr>
                </pic:pic>
              </a:graphicData>
            </a:graphic>
          </wp:inline>
        </w:drawing>
      </w:r>
    </w:p>
    <w:p w14:paraId="48B99899" w14:textId="7C96261C" w:rsidR="00E77384" w:rsidRPr="00D826A1" w:rsidRDefault="00327125" w:rsidP="00E77384">
      <w:r w:rsidRPr="00D826A1">
        <w:t>O</w:t>
      </w:r>
      <w:r w:rsidR="00E77384" w:rsidRPr="00D826A1">
        <w:t xml:space="preserve">f 73 verbatim comments </w:t>
      </w:r>
      <w:r w:rsidR="004D08B7" w:rsidRPr="00D826A1">
        <w:t xml:space="preserve">from </w:t>
      </w:r>
      <w:r w:rsidR="00FC2B29" w:rsidRPr="00D826A1">
        <w:t>RO</w:t>
      </w:r>
      <w:r w:rsidR="004D08B7" w:rsidRPr="00D826A1">
        <w:t xml:space="preserve">s, </w:t>
      </w:r>
      <w:proofErr w:type="spellStart"/>
      <w:r w:rsidR="004D08B7" w:rsidRPr="00D826A1">
        <w:t>Dirs</w:t>
      </w:r>
      <w:proofErr w:type="spellEnd"/>
      <w:r w:rsidR="004D08B7" w:rsidRPr="00D826A1">
        <w:t xml:space="preserve">, </w:t>
      </w:r>
      <w:proofErr w:type="spellStart"/>
      <w:r w:rsidR="004D08B7" w:rsidRPr="00D826A1">
        <w:t>Mgrs</w:t>
      </w:r>
      <w:proofErr w:type="spellEnd"/>
      <w:r w:rsidR="004D08B7" w:rsidRPr="00D826A1">
        <w:t xml:space="preserve">, CIs and PIs </w:t>
      </w:r>
      <w:r w:rsidR="00E77384" w:rsidRPr="00D826A1">
        <w:t>on research collaboration</w:t>
      </w:r>
      <w:r w:rsidRPr="00D826A1">
        <w:t>,</w:t>
      </w:r>
      <w:r w:rsidR="00E77384" w:rsidRPr="00D826A1">
        <w:t xml:space="preserve"> 39 per cent related to the quality and nature of partnerships (with mixed views within these comments). Other topics raised were processes for managing collaboration (nine per cent), knowledge sharing arrangements (five per cent) and alignment of academic and industry priorities and needs (five per cent). Twenty-three per cent of comments were generally positive about research collaboration, compared to 18 per cent which were generally negative in nature about their experiences.</w:t>
      </w:r>
    </w:p>
    <w:p w14:paraId="0311D9A6" w14:textId="77742E1F" w:rsidR="000575B1" w:rsidRPr="00D826A1" w:rsidRDefault="00E77384" w:rsidP="00E77384">
      <w:r w:rsidRPr="00D826A1">
        <w:t>Interviews with</w:t>
      </w:r>
      <w:r w:rsidR="00690810" w:rsidRPr="00D826A1">
        <w:t xml:space="preserve"> </w:t>
      </w:r>
      <w:proofErr w:type="spellStart"/>
      <w:r w:rsidR="00FC2B29" w:rsidRPr="00D826A1">
        <w:t>Dir</w:t>
      </w:r>
      <w:r w:rsidR="00690810" w:rsidRPr="00D826A1">
        <w:t>s</w:t>
      </w:r>
      <w:proofErr w:type="spellEnd"/>
      <w:r w:rsidR="00690810" w:rsidRPr="00D826A1">
        <w:t xml:space="preserve"> and with ARC and DIIS</w:t>
      </w:r>
      <w:r w:rsidRPr="00D826A1">
        <w:t xml:space="preserve"> stakeholders found generally positive views on collaboration, and </w:t>
      </w:r>
      <w:r w:rsidR="00027A7B" w:rsidRPr="00D826A1">
        <w:t xml:space="preserve">a view </w:t>
      </w:r>
      <w:r w:rsidRPr="00D826A1">
        <w:t xml:space="preserve">that the ITRP acted as a vehicle for bringing partners together that would not have otherwise collaborated. </w:t>
      </w:r>
    </w:p>
    <w:p w14:paraId="0A0964C1" w14:textId="3E2F8595" w:rsidR="000575B1" w:rsidRPr="00D826A1" w:rsidRDefault="000575B1" w:rsidP="000D037C">
      <w:pPr>
        <w:pStyle w:val="Quote"/>
      </w:pPr>
      <w:r w:rsidRPr="00D826A1">
        <w:t>[The ITRP] enables researchers to build long term relationships with multiple industrial partners at once on more than one project and often manages to bring together different partners that would never have seen each other. That I see as its key strength.</w:t>
      </w:r>
    </w:p>
    <w:p w14:paraId="06DD5484" w14:textId="2BFD2100" w:rsidR="000575B1" w:rsidRPr="00D826A1" w:rsidRDefault="000575B1" w:rsidP="000D037C">
      <w:pPr>
        <w:pStyle w:val="Quote"/>
        <w:jc w:val="right"/>
      </w:pPr>
      <w:r w:rsidRPr="00D826A1">
        <w:t>- ARC</w:t>
      </w:r>
      <w:r w:rsidR="00063373" w:rsidRPr="00D826A1">
        <w:t xml:space="preserve"> representative</w:t>
      </w:r>
    </w:p>
    <w:p w14:paraId="66659CDA" w14:textId="6BFBA035" w:rsidR="00E77384" w:rsidRPr="00D826A1" w:rsidRDefault="00E77384" w:rsidP="003F6BFC">
      <w:r w:rsidRPr="00D826A1">
        <w:t xml:space="preserve">Interviewees also felt that the ITRP </w:t>
      </w:r>
      <w:r w:rsidRPr="00D826A1">
        <w:rPr>
          <w:rFonts w:cs="Segoe UI"/>
        </w:rPr>
        <w:t xml:space="preserve">allows long term collaborative relationships to develop between academia and industry. It also enables research collaboration between academia and industrial organisations that are of different sizes. One </w:t>
      </w:r>
      <w:r w:rsidR="0037617D" w:rsidRPr="00D826A1">
        <w:rPr>
          <w:rFonts w:cs="Segoe UI"/>
        </w:rPr>
        <w:t xml:space="preserve">Training Centre </w:t>
      </w:r>
      <w:r w:rsidR="00FC2B29" w:rsidRPr="00D826A1">
        <w:rPr>
          <w:rFonts w:cs="Segoe UI"/>
        </w:rPr>
        <w:t>Dir</w:t>
      </w:r>
      <w:r w:rsidRPr="00D826A1">
        <w:rPr>
          <w:rFonts w:cs="Segoe UI"/>
        </w:rPr>
        <w:t xml:space="preserve"> mentioned</w:t>
      </w:r>
      <w:r w:rsidR="0037617D" w:rsidRPr="00D826A1">
        <w:rPr>
          <w:rFonts w:cs="Segoe UI"/>
        </w:rPr>
        <w:t xml:space="preserve"> that </w:t>
      </w:r>
      <w:r w:rsidRPr="00D826A1">
        <w:t>industry sometimes does not have the internal means to conduct research, so universities can provide their capital to develop an R&amp;D group, a situation ideally suited for small to medium enterprises.</w:t>
      </w:r>
    </w:p>
    <w:p w14:paraId="633F3AB3" w14:textId="77777777" w:rsidR="00E77384" w:rsidRPr="00D826A1" w:rsidRDefault="00E77384" w:rsidP="00E77384">
      <w:pPr>
        <w:pStyle w:val="Heading4"/>
      </w:pPr>
      <w:r w:rsidRPr="00D826A1">
        <w:t>Number of new versus existing collaborations facilitated through ITRP</w:t>
      </w:r>
    </w:p>
    <w:p w14:paraId="0BBBC743" w14:textId="727EB7B5" w:rsidR="00E77384" w:rsidRPr="00D826A1" w:rsidRDefault="00E77384" w:rsidP="00E77384">
      <w:r w:rsidRPr="00D826A1">
        <w:t xml:space="preserve">Existing research collaborations with partner organisations were the most common way that collaborations have been initiated for </w:t>
      </w:r>
      <w:r w:rsidR="00E10077">
        <w:t>Research Hubs</w:t>
      </w:r>
      <w:r w:rsidRPr="00D826A1">
        <w:t xml:space="preserve"> and </w:t>
      </w:r>
      <w:r w:rsidR="00E10077">
        <w:t>Training Centres</w:t>
      </w:r>
      <w:r w:rsidRPr="00D826A1">
        <w:t xml:space="preserve">, with 63 per cent of </w:t>
      </w:r>
      <w:r w:rsidR="00FC2B29" w:rsidRPr="00D826A1">
        <w:t>Dir</w:t>
      </w:r>
      <w:r w:rsidRPr="00D826A1">
        <w:t xml:space="preserve"> and </w:t>
      </w:r>
      <w:r w:rsidR="00D8441F" w:rsidRPr="00D826A1">
        <w:t>CI</w:t>
      </w:r>
      <w:r w:rsidRPr="00D826A1">
        <w:t>s listing this as the most common method. The next most common way was through approaches by respondents to potential partners (26 per cent) and then approaches by potential partners to respondents (7 per cent).</w:t>
      </w:r>
    </w:p>
    <w:p w14:paraId="3DD80DD6" w14:textId="148A0CDC" w:rsidR="00E77384" w:rsidRPr="00D826A1" w:rsidRDefault="00E77384" w:rsidP="00E77384">
      <w:r w:rsidRPr="00D826A1">
        <w:t xml:space="preserve">The perspective of </w:t>
      </w:r>
      <w:r w:rsidR="00D8441F" w:rsidRPr="00D826A1">
        <w:t>PI</w:t>
      </w:r>
      <w:r w:rsidRPr="00D826A1">
        <w:t xml:space="preserve">s was similar for this question, with 57 per cent of respondents listing existing collaborations as the most common channel for initiation. </w:t>
      </w:r>
      <w:proofErr w:type="spellStart"/>
      <w:r w:rsidR="00460626" w:rsidRPr="00D826A1">
        <w:t>Dirs</w:t>
      </w:r>
      <w:proofErr w:type="spellEnd"/>
      <w:r w:rsidR="00460626" w:rsidRPr="00D826A1">
        <w:t xml:space="preserve"> and CIs </w:t>
      </w:r>
      <w:r w:rsidRPr="00D826A1">
        <w:t xml:space="preserve">reported on average that ten partner organisations came from existing research collaborations, though with a median of four organisations, suggesting large variations in numbers of partners. </w:t>
      </w:r>
      <w:proofErr w:type="spellStart"/>
      <w:r w:rsidR="00460626" w:rsidRPr="00D826A1">
        <w:t>Dirs</w:t>
      </w:r>
      <w:proofErr w:type="spellEnd"/>
      <w:r w:rsidR="00460626" w:rsidRPr="00D826A1">
        <w:t xml:space="preserve"> and CIs </w:t>
      </w:r>
      <w:r w:rsidRPr="00D826A1">
        <w:t>reported on average that six partner organisations came from new research collaborations, with a median of two organisations. However, new collaborators were more common for Training Centres, which had an average of eight new collaborations as compared to four for Research Hubs.</w:t>
      </w:r>
    </w:p>
    <w:p w14:paraId="2497A2EF" w14:textId="6850C240" w:rsidR="00E77384" w:rsidRPr="00D826A1" w:rsidRDefault="00E77384" w:rsidP="00E77384">
      <w:r w:rsidRPr="00D826A1">
        <w:t>In terms of new partners joining after establishment, 57 per cent of respondents (</w:t>
      </w:r>
      <w:proofErr w:type="spellStart"/>
      <w:r w:rsidR="00FC2B29" w:rsidRPr="00D826A1">
        <w:t>Dir</w:t>
      </w:r>
      <w:r w:rsidRPr="00D826A1">
        <w:t>s</w:t>
      </w:r>
      <w:proofErr w:type="spellEnd"/>
      <w:r w:rsidRPr="00D826A1">
        <w:t xml:space="preserve">, </w:t>
      </w:r>
      <w:proofErr w:type="spellStart"/>
      <w:r w:rsidR="00FC2B29" w:rsidRPr="00D826A1">
        <w:t>Mgr</w:t>
      </w:r>
      <w:r w:rsidRPr="00D826A1">
        <w:t>s</w:t>
      </w:r>
      <w:proofErr w:type="spellEnd"/>
      <w:r w:rsidRPr="00D826A1">
        <w:t xml:space="preserve"> and </w:t>
      </w:r>
      <w:r w:rsidR="00D8441F" w:rsidRPr="00D826A1">
        <w:t>CI</w:t>
      </w:r>
      <w:r w:rsidRPr="00D826A1">
        <w:t xml:space="preserve">s) stated that this had occurred. This response was similar across both </w:t>
      </w:r>
      <w:r w:rsidR="00E10077">
        <w:t>Research Hubs</w:t>
      </w:r>
      <w:r w:rsidRPr="00D826A1">
        <w:t xml:space="preserve"> and </w:t>
      </w:r>
      <w:r w:rsidR="00E10077">
        <w:t>Training Centres</w:t>
      </w:r>
      <w:r w:rsidRPr="00D826A1">
        <w:t>. On average, three new partner organisations have joined Research Hubs and Training Centres since establishment (with a median of two organisations).</w:t>
      </w:r>
    </w:p>
    <w:p w14:paraId="68527CA5" w14:textId="1108D8FE" w:rsidR="00E77384" w:rsidRPr="00D826A1" w:rsidRDefault="00E77384" w:rsidP="00E77384">
      <w:r w:rsidRPr="00D826A1">
        <w:t>In terms of partners dropping out after establishment, 50 per cent of respondents (</w:t>
      </w:r>
      <w:proofErr w:type="spellStart"/>
      <w:r w:rsidR="00FC2B29" w:rsidRPr="00D826A1">
        <w:t>Dir</w:t>
      </w:r>
      <w:r w:rsidRPr="00D826A1">
        <w:t>s</w:t>
      </w:r>
      <w:proofErr w:type="spellEnd"/>
      <w:r w:rsidRPr="00D826A1">
        <w:t xml:space="preserve">, </w:t>
      </w:r>
      <w:proofErr w:type="spellStart"/>
      <w:r w:rsidR="00FC2B29" w:rsidRPr="00D826A1">
        <w:t>Mgr</w:t>
      </w:r>
      <w:r w:rsidRPr="00D826A1">
        <w:t>s</w:t>
      </w:r>
      <w:proofErr w:type="spellEnd"/>
      <w:r w:rsidRPr="00D826A1">
        <w:t xml:space="preserve"> and </w:t>
      </w:r>
      <w:r w:rsidR="00D8441F" w:rsidRPr="00D826A1">
        <w:t>CI</w:t>
      </w:r>
      <w:r w:rsidRPr="00D826A1">
        <w:t>s) stated that this had occurred. The predominant reason for organisations dropping out was due to changes in business conditions or strategy (49 per cent), followed by financial constraints on partners (37 per cent).</w:t>
      </w:r>
    </w:p>
    <w:p w14:paraId="1DFBA767" w14:textId="77777777" w:rsidR="00E77384" w:rsidRPr="00D826A1" w:rsidRDefault="00E77384" w:rsidP="00E77384">
      <w:pPr>
        <w:pStyle w:val="Heading4"/>
      </w:pPr>
      <w:r w:rsidRPr="00D826A1">
        <w:t>Ways industry partners are involved in the development of ITRP applications and the design of programs and projects</w:t>
      </w:r>
    </w:p>
    <w:p w14:paraId="5A51CC52" w14:textId="4963AD5D" w:rsidR="00E77384" w:rsidRPr="00D826A1" w:rsidRDefault="00F54E2C" w:rsidP="00E77384">
      <w:pPr>
        <w:spacing w:after="0" w:line="240" w:lineRule="auto"/>
      </w:pPr>
      <w:r w:rsidRPr="00D826A1">
        <w:t xml:space="preserve">ROs, </w:t>
      </w:r>
      <w:proofErr w:type="spellStart"/>
      <w:r w:rsidRPr="00D826A1">
        <w:t>Dirs</w:t>
      </w:r>
      <w:proofErr w:type="spellEnd"/>
      <w:r w:rsidRPr="00D826A1">
        <w:t>, CIs and PIs were asked questions on the ways in which industry partners were consulted in the application and design process. Eighty-five</w:t>
      </w:r>
      <w:r w:rsidR="00E77384" w:rsidRPr="00D826A1">
        <w:t xml:space="preserve"> per cent of university respondents reported that partner organisations were consulted</w:t>
      </w:r>
      <w:r w:rsidR="00700CF6" w:rsidRPr="00D826A1">
        <w:t xml:space="preserve"> in the development of their Research Hubs and Training Centres’ entire research programs</w:t>
      </w:r>
      <w:r w:rsidR="00E77384" w:rsidRPr="00D826A1">
        <w:t>. However, only 60 per cent of</w:t>
      </w:r>
      <w:r w:rsidR="00700CF6" w:rsidRPr="00D826A1">
        <w:t xml:space="preserve"> PIs</w:t>
      </w:r>
      <w:r w:rsidR="00E77384" w:rsidRPr="00D826A1">
        <w:t xml:space="preserve"> reported that they</w:t>
      </w:r>
      <w:r w:rsidR="00D85E90" w:rsidRPr="00D826A1">
        <w:t xml:space="preserve"> or their organisations</w:t>
      </w:r>
      <w:r w:rsidR="00E77384" w:rsidRPr="00D826A1">
        <w:t xml:space="preserve"> were consulted, which is a statistically significant difference. This may represent different perceptions on what constitutes consultation activities by both groups</w:t>
      </w:r>
      <w:r w:rsidRPr="00D826A1">
        <w:t>, and/ or that different partners play different roles in different projects</w:t>
      </w:r>
      <w:r w:rsidR="00E77384" w:rsidRPr="00D826A1">
        <w:t>.</w:t>
      </w:r>
    </w:p>
    <w:p w14:paraId="0F183E95" w14:textId="77777777" w:rsidR="00E77384" w:rsidRPr="00D826A1" w:rsidRDefault="00E77384" w:rsidP="00E77384">
      <w:pPr>
        <w:spacing w:after="0" w:line="240" w:lineRule="auto"/>
      </w:pPr>
    </w:p>
    <w:p w14:paraId="302596F9" w14:textId="0FFEB56F" w:rsidR="00E77384" w:rsidRPr="00D826A1" w:rsidRDefault="00A743D8" w:rsidP="00E77384">
      <w:pPr>
        <w:spacing w:after="0" w:line="240" w:lineRule="auto"/>
      </w:pPr>
      <w:r w:rsidRPr="00D826A1">
        <w:t xml:space="preserve">Ninety-five </w:t>
      </w:r>
      <w:r w:rsidR="00E77384" w:rsidRPr="00D826A1">
        <w:t>per cent of university respondents reported that partner organisations were consulted</w:t>
      </w:r>
      <w:r w:rsidR="00D85E90" w:rsidRPr="00D826A1">
        <w:t xml:space="preserve"> on the development of sub</w:t>
      </w:r>
      <w:r w:rsidR="00E22AC8">
        <w:t>-</w:t>
      </w:r>
      <w:r w:rsidR="00D85E90" w:rsidRPr="00D826A1">
        <w:t>projects</w:t>
      </w:r>
      <w:r w:rsidR="00E77384" w:rsidRPr="00D826A1">
        <w:t xml:space="preserve">. Ninety per cent of </w:t>
      </w:r>
      <w:r w:rsidR="00D85E90" w:rsidRPr="00D826A1">
        <w:t>PIs</w:t>
      </w:r>
      <w:r w:rsidR="00E77384" w:rsidRPr="00D826A1">
        <w:t xml:space="preserve"> reported that they were consulted. This difference was not statistically significant. </w:t>
      </w:r>
    </w:p>
    <w:p w14:paraId="2D1D94D1" w14:textId="77777777" w:rsidR="00E77384" w:rsidRPr="00D826A1" w:rsidRDefault="00E77384" w:rsidP="00E77384">
      <w:pPr>
        <w:spacing w:after="0" w:line="240" w:lineRule="auto"/>
      </w:pPr>
    </w:p>
    <w:p w14:paraId="62E2DEE7" w14:textId="3574D421" w:rsidR="00E77384" w:rsidRPr="00D826A1" w:rsidRDefault="00E77384" w:rsidP="00E77384">
      <w:pPr>
        <w:spacing w:after="0" w:line="240" w:lineRule="auto"/>
      </w:pPr>
      <w:r w:rsidRPr="00D826A1">
        <w:t xml:space="preserve">Regarding whether partner organisations consulted with IGCs, 71 per cent of university respondents reported that this occurred. However, only 38 per cent of </w:t>
      </w:r>
      <w:r w:rsidR="00D85E90" w:rsidRPr="00D826A1">
        <w:t>PIs</w:t>
      </w:r>
      <w:r w:rsidRPr="00D826A1">
        <w:t xml:space="preserve"> responded that this had occurred. Again, this difference is statistically significant. </w:t>
      </w:r>
    </w:p>
    <w:p w14:paraId="348E40F9" w14:textId="77777777" w:rsidR="00E77384" w:rsidRPr="00D826A1" w:rsidRDefault="00E77384" w:rsidP="00E77384">
      <w:pPr>
        <w:spacing w:after="0" w:line="240" w:lineRule="auto"/>
      </w:pPr>
    </w:p>
    <w:p w14:paraId="505F705D" w14:textId="1374D7C1" w:rsidR="00E77384" w:rsidRPr="00D826A1" w:rsidRDefault="00FC2B29" w:rsidP="00E77384">
      <w:pPr>
        <w:spacing w:after="0" w:line="240" w:lineRule="auto"/>
      </w:pPr>
      <w:proofErr w:type="spellStart"/>
      <w:r w:rsidRPr="00D826A1">
        <w:t>Dir</w:t>
      </w:r>
      <w:r w:rsidR="00E77384" w:rsidRPr="00D826A1">
        <w:t>s</w:t>
      </w:r>
      <w:proofErr w:type="spellEnd"/>
      <w:r w:rsidR="00E77384" w:rsidRPr="00D826A1">
        <w:t xml:space="preserve"> and </w:t>
      </w:r>
      <w:r w:rsidR="00D8441F" w:rsidRPr="00D826A1">
        <w:t>CI</w:t>
      </w:r>
      <w:r w:rsidR="00E77384" w:rsidRPr="00D826A1">
        <w:t>s also listed in more detail the ways that partners were involved in the development and design process, with 32 per cent stating that partners had provided design advice, 25 per cent had engaged in or facilitated meetings with key stakeholders, ten per cent had provided market advice, and a further ten per cent had enabled linkages with other potential partners.</w:t>
      </w:r>
    </w:p>
    <w:p w14:paraId="78668CCD" w14:textId="77777777" w:rsidR="00E77384" w:rsidRPr="00D826A1" w:rsidRDefault="00E77384" w:rsidP="00E77384">
      <w:pPr>
        <w:spacing w:after="0" w:line="240" w:lineRule="auto"/>
      </w:pPr>
    </w:p>
    <w:p w14:paraId="11349FB1" w14:textId="41AAE1D9" w:rsidR="00E77384" w:rsidRPr="00D826A1" w:rsidRDefault="00A137AA" w:rsidP="00E77384">
      <w:pPr>
        <w:spacing w:after="0" w:line="240" w:lineRule="auto"/>
      </w:pPr>
      <w:r w:rsidRPr="00D826A1">
        <w:t>O</w:t>
      </w:r>
      <w:r w:rsidR="00E77384" w:rsidRPr="00D826A1">
        <w:t xml:space="preserve">f 50 verbatim comments from </w:t>
      </w:r>
      <w:r w:rsidR="00D8441F" w:rsidRPr="00D826A1">
        <w:t>PI</w:t>
      </w:r>
      <w:r w:rsidR="00E77384" w:rsidRPr="00D826A1">
        <w:t xml:space="preserve">s </w:t>
      </w:r>
      <w:r w:rsidRPr="00D826A1">
        <w:t xml:space="preserve">on </w:t>
      </w:r>
      <w:r w:rsidR="00E77384" w:rsidRPr="00D826A1">
        <w:t>ways in which they were involved in the application process, 40 per cent related to the provision of expertise on industry. A further 40 per cent related to partnership activities and advice.</w:t>
      </w:r>
    </w:p>
    <w:p w14:paraId="4A688F60" w14:textId="3768F439" w:rsidR="00E77384" w:rsidRPr="00D826A1" w:rsidRDefault="00E77384" w:rsidP="00E77384"/>
    <w:p w14:paraId="28512C92" w14:textId="4E1FF679" w:rsidR="00E77384" w:rsidRPr="00D826A1" w:rsidRDefault="005C565C" w:rsidP="00E77384">
      <w:pPr>
        <w:pStyle w:val="Heading2"/>
      </w:pPr>
      <w:r>
        <w:br w:type="column"/>
      </w:r>
      <w:bookmarkStart w:id="99" w:name="_Toc10104793"/>
      <w:bookmarkStart w:id="100" w:name="_Toc10104996"/>
      <w:bookmarkStart w:id="101" w:name="_Toc10105598"/>
      <w:r w:rsidR="00E77384" w:rsidRPr="00D826A1">
        <w:t>Support for industry focused research training</w:t>
      </w:r>
      <w:bookmarkEnd w:id="99"/>
      <w:bookmarkEnd w:id="100"/>
      <w:bookmarkEnd w:id="101"/>
    </w:p>
    <w:p w14:paraId="4D279695" w14:textId="77777777" w:rsidR="00E77384" w:rsidRPr="00D826A1" w:rsidRDefault="00E77384" w:rsidP="00E77384">
      <w:pPr>
        <w:pStyle w:val="Heading4"/>
      </w:pPr>
      <w:r w:rsidRPr="00D826A1">
        <w:t>Effectiveness of ITRP support for industry focused research training</w:t>
      </w:r>
    </w:p>
    <w:p w14:paraId="02C8BF27" w14:textId="6A4D3BFD" w:rsidR="00E77384" w:rsidRPr="00D826A1" w:rsidRDefault="00D8441F" w:rsidP="00E77384">
      <w:r w:rsidRPr="00D826A1">
        <w:t>CIs</w:t>
      </w:r>
      <w:r w:rsidR="00E77384" w:rsidRPr="00D826A1">
        <w:t xml:space="preserve"> and </w:t>
      </w:r>
      <w:r w:rsidR="003F6BFC">
        <w:t>PI</w:t>
      </w:r>
      <w:r w:rsidRPr="00D826A1">
        <w:t xml:space="preserve">s </w:t>
      </w:r>
      <w:r w:rsidR="00E77384" w:rsidRPr="00D826A1">
        <w:t xml:space="preserve">both </w:t>
      </w:r>
      <w:r w:rsidR="00A137AA" w:rsidRPr="00D826A1">
        <w:t xml:space="preserve">reported delivering </w:t>
      </w:r>
      <w:r w:rsidR="00E77384" w:rsidRPr="00D826A1">
        <w:t>a range of research training activities to HDRs and PDRs (</w:t>
      </w:r>
      <w:r w:rsidR="00E77384" w:rsidRPr="00D826A1">
        <w:fldChar w:fldCharType="begin"/>
      </w:r>
      <w:r w:rsidR="00E77384" w:rsidRPr="00D826A1">
        <w:instrText xml:space="preserve"> REF _Ref3897923 \r \h </w:instrText>
      </w:r>
      <w:r w:rsidR="00D826A1">
        <w:instrText xml:space="preserve"> \* MERGEFORMAT </w:instrText>
      </w:r>
      <w:r w:rsidR="00E77384" w:rsidRPr="00D826A1">
        <w:fldChar w:fldCharType="separate"/>
      </w:r>
      <w:r w:rsidR="00CD7DEE">
        <w:t>Figure 4</w:t>
      </w:r>
      <w:r w:rsidR="00E77384" w:rsidRPr="00D826A1">
        <w:fldChar w:fldCharType="end"/>
      </w:r>
      <w:r w:rsidR="00E77384" w:rsidRPr="00D826A1">
        <w:t xml:space="preserve">). </w:t>
      </w:r>
      <w:r w:rsidRPr="00D826A1">
        <w:t>CI</w:t>
      </w:r>
      <w:r w:rsidR="00E77384" w:rsidRPr="00D826A1">
        <w:t xml:space="preserve">s were most likely to </w:t>
      </w:r>
      <w:r w:rsidR="00A137AA" w:rsidRPr="00D826A1">
        <w:t xml:space="preserve">report delivering </w:t>
      </w:r>
      <w:r w:rsidR="00E77384" w:rsidRPr="00D826A1">
        <w:t>mentoring and supervision activities.</w:t>
      </w:r>
    </w:p>
    <w:p w14:paraId="6A59F9A8" w14:textId="77777777" w:rsidR="00E77384" w:rsidRPr="00D826A1" w:rsidRDefault="00E77384" w:rsidP="00E77384">
      <w:pPr>
        <w:pStyle w:val="FigureHeading"/>
      </w:pPr>
      <w:bookmarkStart w:id="102" w:name="_Ref3897923"/>
      <w:r w:rsidRPr="00D826A1">
        <w:t>Involvement in research training</w:t>
      </w:r>
      <w:bookmarkEnd w:id="102"/>
    </w:p>
    <w:p w14:paraId="18CB8E9B" w14:textId="0FB1F323" w:rsidR="00E77384" w:rsidRPr="00D826A1" w:rsidRDefault="00F5408A" w:rsidP="00E77384">
      <w:r>
        <w:rPr>
          <w:noProof/>
          <w:lang w:eastAsia="en-AU"/>
        </w:rPr>
        <w:drawing>
          <wp:inline distT="0" distB="0" distL="0" distR="0" wp14:anchorId="1AD90DD4" wp14:editId="4078F17C">
            <wp:extent cx="5499100" cy="3213100"/>
            <wp:effectExtent l="0" t="0" r="6350" b="6350"/>
            <wp:docPr id="32" name="Picture 32" descr="Figure 4 depicts the responses of CIs and PIs on the types of research training activities in which they have participated." title="Figure 4. Involvment in research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42AA25B" w14:textId="07E3C8B9" w:rsidR="00E77384" w:rsidRPr="00D826A1" w:rsidRDefault="00117D99" w:rsidP="00E77384">
      <w:r w:rsidRPr="00D826A1">
        <w:t xml:space="preserve">ROs, </w:t>
      </w:r>
      <w:proofErr w:type="spellStart"/>
      <w:r w:rsidRPr="00D826A1">
        <w:t>Dirs</w:t>
      </w:r>
      <w:proofErr w:type="spellEnd"/>
      <w:r w:rsidRPr="00D826A1">
        <w:t>, CIs and PIs were asked how well the ITRP supports the delivery of research training across a range of dimensions</w:t>
      </w:r>
      <w:r w:rsidR="00E77384" w:rsidRPr="00D826A1">
        <w:t xml:space="preserve"> (</w:t>
      </w:r>
      <w:r w:rsidR="00E77384" w:rsidRPr="00D826A1">
        <w:fldChar w:fldCharType="begin"/>
      </w:r>
      <w:r w:rsidR="00E77384" w:rsidRPr="00D826A1">
        <w:instrText xml:space="preserve"> REF _Ref3897624 \r \h </w:instrText>
      </w:r>
      <w:r w:rsidR="00D826A1">
        <w:instrText xml:space="preserve"> \* MERGEFORMAT </w:instrText>
      </w:r>
      <w:r w:rsidR="00E77384" w:rsidRPr="00D826A1">
        <w:fldChar w:fldCharType="separate"/>
      </w:r>
      <w:r w:rsidR="00CD7DEE">
        <w:t>Figure 5</w:t>
      </w:r>
      <w:r w:rsidR="00E77384" w:rsidRPr="00D826A1">
        <w:fldChar w:fldCharType="end"/>
      </w:r>
      <w:r w:rsidR="00E77384" w:rsidRPr="00D826A1">
        <w:t>)</w:t>
      </w:r>
      <w:r w:rsidRPr="00D826A1">
        <w:t>.</w:t>
      </w:r>
      <w:r w:rsidR="00E77384" w:rsidRPr="00D826A1">
        <w:t xml:space="preserve"> </w:t>
      </w:r>
      <w:r w:rsidRPr="00D826A1">
        <w:t>O</w:t>
      </w:r>
      <w:r w:rsidR="00E77384" w:rsidRPr="00D826A1">
        <w:t xml:space="preserve">ver 80 per cent </w:t>
      </w:r>
      <w:r w:rsidRPr="00D826A1">
        <w:t>responded “well” or “very well” in respect of each dimension.</w:t>
      </w:r>
      <w:r w:rsidR="00E77384" w:rsidRPr="00D826A1">
        <w:t xml:space="preserve"> By group, </w:t>
      </w:r>
      <w:r w:rsidR="00FC2B29" w:rsidRPr="00D826A1">
        <w:t>ROs</w:t>
      </w:r>
      <w:r w:rsidR="00E77384" w:rsidRPr="00D826A1">
        <w:t xml:space="preserve"> tended to provide more “very well” responses, with </w:t>
      </w:r>
      <w:r w:rsidR="003F6BFC">
        <w:t>PI</w:t>
      </w:r>
      <w:r w:rsidR="00E77384" w:rsidRPr="00D826A1">
        <w:t>s providing more “well” responses.</w:t>
      </w:r>
    </w:p>
    <w:p w14:paraId="02A352EE" w14:textId="64748BEB" w:rsidR="00E77384" w:rsidRPr="00D826A1" w:rsidRDefault="00E77384" w:rsidP="00E77384">
      <w:r w:rsidRPr="00D826A1">
        <w:t xml:space="preserve">Analysis of 64 verbatim comments from </w:t>
      </w:r>
      <w:r w:rsidR="00D8441F" w:rsidRPr="00D826A1">
        <w:t>CI</w:t>
      </w:r>
      <w:r w:rsidRPr="00D826A1">
        <w:t xml:space="preserve">s and </w:t>
      </w:r>
      <w:r w:rsidR="003F6BFC">
        <w:t>PI</w:t>
      </w:r>
      <w:r w:rsidRPr="00D826A1">
        <w:t>s on other activities provided as part of HDR and PDR research training apart from the above found the most common activity to be providing direct support on research activities (e.g. through access to facilities and systems) which made up 29 per cent of comments. The next most common activity was administration of students (recruitment, probation, submission of theses) which made up 24 per cent of responses. Other activities mentioned were providing professional development opportunities (19 per cent) and managing relationships between HDRs/ PDRs and other stakeholders (14 per cent).</w:t>
      </w:r>
    </w:p>
    <w:p w14:paraId="4EB12E15" w14:textId="77777777" w:rsidR="00E77384" w:rsidRPr="00D826A1" w:rsidRDefault="00E77384" w:rsidP="00E77384">
      <w:pPr>
        <w:pStyle w:val="FigureHeading"/>
      </w:pPr>
      <w:bookmarkStart w:id="103" w:name="_Ref3897624"/>
      <w:r w:rsidRPr="00D826A1">
        <w:t>ITRP support of research training delivery</w:t>
      </w:r>
      <w:bookmarkEnd w:id="103"/>
    </w:p>
    <w:p w14:paraId="7E41A941" w14:textId="543261F8" w:rsidR="00E77384" w:rsidRPr="00D826A1" w:rsidRDefault="00F5408A" w:rsidP="00E77384">
      <w:r>
        <w:rPr>
          <w:noProof/>
          <w:lang w:eastAsia="en-AU"/>
        </w:rPr>
        <w:drawing>
          <wp:inline distT="0" distB="0" distL="0" distR="0" wp14:anchorId="38DD2B82" wp14:editId="06B1D8A2">
            <wp:extent cx="5499100" cy="3213100"/>
            <wp:effectExtent l="0" t="0" r="6350" b="6350"/>
            <wp:docPr id="33" name="Picture 33" descr="Figure 5 depicts the responses of stakeholders on how well the ITRP supports the delivery of research training that is cohesive or integrated, high academic quality, and applciable to industry skills." title="Figure 5. ITRP support of research training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38071A59" w14:textId="6B9446FF" w:rsidR="00E77384" w:rsidRPr="00D826A1" w:rsidRDefault="00E77384" w:rsidP="00E77384">
      <w:r w:rsidRPr="00D826A1">
        <w:t xml:space="preserve">In terms of specific benefits of </w:t>
      </w:r>
      <w:r w:rsidR="000F0D4C" w:rsidRPr="00D826A1">
        <w:t>the ITRP for supporting collaboration in research training</w:t>
      </w:r>
      <w:r w:rsidRPr="00D826A1">
        <w:t xml:space="preserve">, half of </w:t>
      </w:r>
      <w:r w:rsidR="00E22AC8">
        <w:t xml:space="preserve">the </w:t>
      </w:r>
      <w:r w:rsidRPr="00D826A1">
        <w:t xml:space="preserve">respondents </w:t>
      </w:r>
      <w:r w:rsidR="0095158C" w:rsidRPr="00D826A1">
        <w:t>(</w:t>
      </w:r>
      <w:r w:rsidR="00356B74" w:rsidRPr="00D826A1">
        <w:t xml:space="preserve">comprising </w:t>
      </w:r>
      <w:r w:rsidR="008D65CC" w:rsidRPr="00D826A1">
        <w:t xml:space="preserve">ROs, </w:t>
      </w:r>
      <w:proofErr w:type="spellStart"/>
      <w:r w:rsidR="00860FFF" w:rsidRPr="00D826A1">
        <w:t>Dirs</w:t>
      </w:r>
      <w:proofErr w:type="spellEnd"/>
      <w:r w:rsidR="00860FFF" w:rsidRPr="00D826A1">
        <w:t xml:space="preserve">, </w:t>
      </w:r>
      <w:proofErr w:type="spellStart"/>
      <w:r w:rsidR="00860FFF" w:rsidRPr="00D826A1">
        <w:t>Mgrs</w:t>
      </w:r>
      <w:proofErr w:type="spellEnd"/>
      <w:r w:rsidR="00860FFF" w:rsidRPr="00D826A1">
        <w:t>,</w:t>
      </w:r>
      <w:r w:rsidR="008D65CC" w:rsidRPr="00D826A1">
        <w:t xml:space="preserve"> CIs and PIs</w:t>
      </w:r>
      <w:r w:rsidR="0095158C" w:rsidRPr="00D826A1">
        <w:t>)</w:t>
      </w:r>
      <w:r w:rsidR="00860FFF" w:rsidRPr="00D826A1">
        <w:t xml:space="preserve"> </w:t>
      </w:r>
      <w:r w:rsidRPr="00D826A1">
        <w:t>felt that work experience for HDRs and PDRs was the greatest benefit, followed by networking opportunities (18 per cent) and aligning HDR and PDR training with industry outcomes (12 per cent).</w:t>
      </w:r>
    </w:p>
    <w:p w14:paraId="038AAC5E" w14:textId="77777777" w:rsidR="00E77384" w:rsidRPr="00D826A1" w:rsidRDefault="00E77384" w:rsidP="00E77384">
      <w:r w:rsidRPr="00D826A1">
        <w:t>In terms of issues encountered in the delivery of placements, the two most common issues reported were timing of placements, and recruitment of HDR students and PDRs (18 per cent each). Other common issues noted were the placement design (14 per cent), IP arrangements (8 per cent), distance of placements from home universities (7 per cent) and logistics of arranging placements (7 per cent).</w:t>
      </w:r>
    </w:p>
    <w:p w14:paraId="7A033211" w14:textId="0DECFF86" w:rsidR="00E77384" w:rsidRPr="00D826A1" w:rsidRDefault="00E77384" w:rsidP="00E77384">
      <w:r w:rsidRPr="00D826A1">
        <w:t xml:space="preserve">Analysis of 108 comments from HDRs and PDRs on how the ARC can improve research training found that most common topic respondents discussed </w:t>
      </w:r>
      <w:r w:rsidR="00F37F0A" w:rsidRPr="00D826A1">
        <w:t xml:space="preserve">was </w:t>
      </w:r>
      <w:r w:rsidRPr="00D826A1">
        <w:t xml:space="preserve">the need for more and higher quality training opportunities through industry placements and skills development courses (43 per cent of comments) – this was particularly strong for HDRs, with 54 per cent of their comments addressing this topic. Other topics discussed included greater funding support (18 per cent) and improved communications between stakeholders (and between HDRs and PDRs from different </w:t>
      </w:r>
      <w:r w:rsidR="00E10077">
        <w:t>Research Hubs</w:t>
      </w:r>
      <w:r w:rsidRPr="00D826A1">
        <w:t xml:space="preserve"> and </w:t>
      </w:r>
      <w:r w:rsidR="00E10077">
        <w:t>Training Centres</w:t>
      </w:r>
      <w:r w:rsidRPr="00D826A1">
        <w:t>), which made up 13 per cent of comments.</w:t>
      </w:r>
    </w:p>
    <w:p w14:paraId="67A49E8C" w14:textId="24183B11" w:rsidR="00E77384" w:rsidRPr="00D826A1" w:rsidRDefault="000F0D4C" w:rsidP="00E77384">
      <w:r w:rsidRPr="00D826A1">
        <w:t>The most common topics in the</w:t>
      </w:r>
      <w:r w:rsidR="004527EB">
        <w:t xml:space="preserve"> </w:t>
      </w:r>
      <w:r w:rsidR="00E77384" w:rsidRPr="00D826A1">
        <w:t xml:space="preserve">43 </w:t>
      </w:r>
      <w:r w:rsidRPr="00D826A1">
        <w:t xml:space="preserve">general feedback </w:t>
      </w:r>
      <w:r w:rsidR="00E77384" w:rsidRPr="00D826A1">
        <w:t xml:space="preserve">comments </w:t>
      </w:r>
      <w:r w:rsidRPr="00D826A1">
        <w:t xml:space="preserve">provided by </w:t>
      </w:r>
      <w:proofErr w:type="spellStart"/>
      <w:r w:rsidR="00FC2B29" w:rsidRPr="00D826A1">
        <w:t>Dir</w:t>
      </w:r>
      <w:r w:rsidR="00E77384" w:rsidRPr="00D826A1">
        <w:t>s</w:t>
      </w:r>
      <w:proofErr w:type="spellEnd"/>
      <w:r w:rsidR="00E77384" w:rsidRPr="00D826A1">
        <w:t xml:space="preserve">, </w:t>
      </w:r>
      <w:proofErr w:type="spellStart"/>
      <w:r w:rsidR="00FC2B29" w:rsidRPr="00D826A1">
        <w:t>Mgr</w:t>
      </w:r>
      <w:r w:rsidR="00E77384" w:rsidRPr="00D826A1">
        <w:t>s</w:t>
      </w:r>
      <w:proofErr w:type="spellEnd"/>
      <w:r w:rsidR="008D65CC" w:rsidRPr="00D826A1">
        <w:t>,</w:t>
      </w:r>
      <w:r w:rsidR="00E77384" w:rsidRPr="00D826A1">
        <w:t xml:space="preserve"> C</w:t>
      </w:r>
      <w:r w:rsidR="008D65CC" w:rsidRPr="00D826A1">
        <w:t>Is</w:t>
      </w:r>
      <w:r w:rsidR="00E77384" w:rsidRPr="00D826A1">
        <w:t xml:space="preserve"> and </w:t>
      </w:r>
      <w:r w:rsidR="0095158C" w:rsidRPr="00D826A1">
        <w:t>PI</w:t>
      </w:r>
      <w:r w:rsidR="00E77384" w:rsidRPr="00D826A1">
        <w:t xml:space="preserve">s on research training </w:t>
      </w:r>
      <w:r w:rsidRPr="00D826A1">
        <w:t>were</w:t>
      </w:r>
      <w:r w:rsidR="00E77384" w:rsidRPr="00D826A1">
        <w:t xml:space="preserve"> access to training opportunities (18 per cent), alignment of training activities with industry needs (15 per cent), recruitment, logistics and timelines for placements (ten per cent each). Thirteen per cent of comments were generally positive remarks as compared to three percent generally negative remarks.</w:t>
      </w:r>
    </w:p>
    <w:p w14:paraId="3163621D" w14:textId="3D93F718" w:rsidR="00E77384" w:rsidRPr="00D826A1" w:rsidRDefault="00E77384" w:rsidP="00E77384">
      <w:r w:rsidRPr="00D826A1">
        <w:t xml:space="preserve">HDR and PDR respondents were also asked to provide general feedback on their experiences of research training through the ITRP. </w:t>
      </w:r>
      <w:r w:rsidR="000F0D4C" w:rsidRPr="00D826A1">
        <w:t>Among</w:t>
      </w:r>
      <w:r w:rsidRPr="00D826A1">
        <w:t xml:space="preserve"> 73 comments</w:t>
      </w:r>
      <w:r w:rsidR="000F0D4C" w:rsidRPr="00D826A1">
        <w:t xml:space="preserve">, </w:t>
      </w:r>
      <w:r w:rsidRPr="00D826A1">
        <w:t>the most common type was general positive remarks, which made up 35 per cent of all comments (</w:t>
      </w:r>
      <w:r w:rsidR="00D9687C" w:rsidRPr="00D826A1">
        <w:t xml:space="preserve">28 per cent of comments from PDRs </w:t>
      </w:r>
      <w:r w:rsidRPr="00D826A1">
        <w:t>and 41 per cent of comments from HDRs). This compared to 12 per cent of comments being generally negative in nature (</w:t>
      </w:r>
      <w:r w:rsidR="00D9687C" w:rsidRPr="00D826A1">
        <w:t xml:space="preserve">14 per cent of comments from PDRs and </w:t>
      </w:r>
      <w:r w:rsidRPr="00D826A1">
        <w:t>11 per cent of comments from HDRs). The remaining comments covered topics such as the process for completing placements as part of their engagement (14 per cent), research collaboration (nine per cent), and networking opportunities (nine per cent).</w:t>
      </w:r>
    </w:p>
    <w:p w14:paraId="4CB7B2AC" w14:textId="3470C0CD" w:rsidR="00E77384" w:rsidRPr="00D826A1" w:rsidRDefault="00E77384" w:rsidP="00E77384">
      <w:r w:rsidRPr="00D826A1">
        <w:t xml:space="preserve">Interviews </w:t>
      </w:r>
      <w:r w:rsidR="00C36738" w:rsidRPr="00D826A1">
        <w:t xml:space="preserve">with </w:t>
      </w:r>
      <w:proofErr w:type="spellStart"/>
      <w:r w:rsidR="00FC2B29" w:rsidRPr="00D826A1">
        <w:t>Dir</w:t>
      </w:r>
      <w:r w:rsidR="00C36738" w:rsidRPr="00D826A1">
        <w:t>s</w:t>
      </w:r>
      <w:proofErr w:type="spellEnd"/>
      <w:r w:rsidR="00C36738" w:rsidRPr="00D826A1">
        <w:t xml:space="preserve"> were consistent with </w:t>
      </w:r>
      <w:r w:rsidRPr="00D826A1">
        <w:t xml:space="preserve">the above findings, with interviewees giving generally positive responses in terms of the delivery of training, with the alignment of student training with industry needs seen as a strong feature, and the development of capabilities in research methods, particularly for HDR students. </w:t>
      </w:r>
    </w:p>
    <w:p w14:paraId="3E4E5CE8" w14:textId="515BD675" w:rsidR="00E77384" w:rsidRPr="00D826A1" w:rsidRDefault="00E77384" w:rsidP="00E77384">
      <w:pPr>
        <w:pStyle w:val="Quote"/>
      </w:pPr>
      <w:r w:rsidRPr="00D826A1">
        <w:t>As a PhD training opportunity, I think it’s fantastic – I think I’m confident that the people who graduate at the Centre will be able to find jobs in the industry or be in a position to think about doing something on their own. I think they’ll be well qualified in that respect.</w:t>
      </w:r>
    </w:p>
    <w:p w14:paraId="5F4F03C0" w14:textId="1944B6BE" w:rsidR="00E77384" w:rsidRPr="00D826A1" w:rsidRDefault="00E77384" w:rsidP="00E77384">
      <w:pPr>
        <w:pStyle w:val="Quote"/>
        <w:jc w:val="right"/>
      </w:pPr>
      <w:r w:rsidRPr="00D826A1">
        <w:t xml:space="preserve">- Training Centre </w:t>
      </w:r>
      <w:r w:rsidR="00FC2B29" w:rsidRPr="00D826A1">
        <w:t>Dir</w:t>
      </w:r>
    </w:p>
    <w:p w14:paraId="754FC3EC" w14:textId="77777777" w:rsidR="00E77384" w:rsidRPr="00D826A1" w:rsidRDefault="00E77384" w:rsidP="00E77384">
      <w:r w:rsidRPr="00D826A1">
        <w:t xml:space="preserve">However, interviewees noted challenges in arranging and securing industry placements, as well as recruiting high quality local students in a competitive market. </w:t>
      </w:r>
    </w:p>
    <w:p w14:paraId="101C3983" w14:textId="184F3823" w:rsidR="00E77384" w:rsidRPr="00D826A1" w:rsidRDefault="00E77384" w:rsidP="00E77384">
      <w:pPr>
        <w:pStyle w:val="Heading4"/>
      </w:pPr>
      <w:r w:rsidRPr="00D826A1">
        <w:t xml:space="preserve">Number of </w:t>
      </w:r>
      <w:r w:rsidR="00D07738">
        <w:t>H</w:t>
      </w:r>
      <w:r w:rsidRPr="00D826A1">
        <w:t xml:space="preserve">igher </w:t>
      </w:r>
      <w:r w:rsidR="00D07738">
        <w:t>D</w:t>
      </w:r>
      <w:r w:rsidRPr="00D826A1">
        <w:t xml:space="preserve">egree by </w:t>
      </w:r>
      <w:r w:rsidR="00D07738">
        <w:t>R</w:t>
      </w:r>
      <w:r w:rsidRPr="00D826A1">
        <w:t>esearch (HDR) students and post-doctoral researchers (PDR) involved</w:t>
      </w:r>
    </w:p>
    <w:p w14:paraId="26AC87AC" w14:textId="35E8D02A" w:rsidR="000A0FAE" w:rsidRPr="00D826A1" w:rsidRDefault="00FC2B29" w:rsidP="00E77384">
      <w:proofErr w:type="spellStart"/>
      <w:r w:rsidRPr="00D826A1">
        <w:t>Dir</w:t>
      </w:r>
      <w:r w:rsidR="00656B21" w:rsidRPr="00D826A1">
        <w:t>s</w:t>
      </w:r>
      <w:proofErr w:type="spellEnd"/>
      <w:r w:rsidR="00656B21" w:rsidRPr="00D826A1">
        <w:t xml:space="preserve"> and </w:t>
      </w:r>
      <w:proofErr w:type="spellStart"/>
      <w:r w:rsidRPr="00D826A1">
        <w:t>Mgr</w:t>
      </w:r>
      <w:r w:rsidR="00656B21" w:rsidRPr="00D826A1">
        <w:t>s</w:t>
      </w:r>
      <w:proofErr w:type="spellEnd"/>
      <w:r w:rsidR="00656B21" w:rsidRPr="00D826A1">
        <w:t xml:space="preserve"> of Research Hubs reported </w:t>
      </w:r>
      <w:r w:rsidR="00F21BDF">
        <w:t xml:space="preserve">that </w:t>
      </w:r>
      <w:r w:rsidR="00656B21" w:rsidRPr="00D826A1">
        <w:t xml:space="preserve">an average of </w:t>
      </w:r>
      <w:r w:rsidR="000A0FAE" w:rsidRPr="00D826A1">
        <w:t>five</w:t>
      </w:r>
      <w:r w:rsidR="00656B21" w:rsidRPr="00D826A1">
        <w:t xml:space="preserve"> </w:t>
      </w:r>
      <w:r w:rsidR="00664D18">
        <w:t xml:space="preserve">HDR </w:t>
      </w:r>
      <w:r w:rsidR="00656B21" w:rsidRPr="00D826A1">
        <w:t xml:space="preserve">placements (median of </w:t>
      </w:r>
      <w:r w:rsidR="000A0FAE" w:rsidRPr="00D826A1">
        <w:t>two</w:t>
      </w:r>
      <w:r w:rsidR="00664D18">
        <w:t xml:space="preserve">) </w:t>
      </w:r>
      <w:r w:rsidR="00656B21" w:rsidRPr="00D826A1">
        <w:t xml:space="preserve">and </w:t>
      </w:r>
      <w:r w:rsidR="000A0FAE" w:rsidRPr="00D826A1">
        <w:t>four</w:t>
      </w:r>
      <w:r w:rsidR="00656B21" w:rsidRPr="00D826A1">
        <w:t xml:space="preserve"> </w:t>
      </w:r>
      <w:r w:rsidR="00664D18">
        <w:t xml:space="preserve">PDR </w:t>
      </w:r>
      <w:r w:rsidR="00656B21" w:rsidRPr="00D826A1">
        <w:t>placements (median of two)</w:t>
      </w:r>
      <w:r w:rsidR="00664D18">
        <w:t xml:space="preserve"> </w:t>
      </w:r>
      <w:r w:rsidR="00F21BDF">
        <w:t>have been</w:t>
      </w:r>
      <w:r w:rsidR="00664D18">
        <w:t xml:space="preserve"> undertaken in their Research Hubs</w:t>
      </w:r>
      <w:r w:rsidR="00656B21" w:rsidRPr="00D826A1">
        <w:t xml:space="preserve">. </w:t>
      </w:r>
    </w:p>
    <w:p w14:paraId="25D704F9" w14:textId="37401DB4" w:rsidR="00E77384" w:rsidRPr="00D826A1" w:rsidRDefault="000A0FAE" w:rsidP="00E77384">
      <w:r w:rsidRPr="00D826A1">
        <w:t>For</w:t>
      </w:r>
      <w:r w:rsidR="00656B21" w:rsidRPr="00D826A1">
        <w:t xml:space="preserve"> Training </w:t>
      </w:r>
      <w:r w:rsidR="00E10077" w:rsidRPr="00D826A1">
        <w:t>Centres,</w:t>
      </w:r>
      <w:r w:rsidR="00656B21" w:rsidRPr="00D826A1">
        <w:t xml:space="preserve"> the </w:t>
      </w:r>
      <w:r w:rsidRPr="00D826A1">
        <w:t>average</w:t>
      </w:r>
      <w:r w:rsidR="00656B21" w:rsidRPr="00D826A1">
        <w:t xml:space="preserve"> number of HDR placements</w:t>
      </w:r>
      <w:r w:rsidRPr="00D826A1">
        <w:t xml:space="preserve"> reported</w:t>
      </w:r>
      <w:r w:rsidR="00656B21" w:rsidRPr="00D826A1">
        <w:t xml:space="preserve"> was </w:t>
      </w:r>
      <w:r w:rsidRPr="00D826A1">
        <w:t>six</w:t>
      </w:r>
      <w:r w:rsidR="00656B21" w:rsidRPr="00D826A1">
        <w:t xml:space="preserve"> (</w:t>
      </w:r>
      <w:r w:rsidRPr="00D826A1">
        <w:t>median of five</w:t>
      </w:r>
      <w:r w:rsidR="00656B21" w:rsidRPr="00D826A1">
        <w:t>)</w:t>
      </w:r>
      <w:r w:rsidR="00664D18">
        <w:t xml:space="preserve"> and </w:t>
      </w:r>
      <w:r w:rsidR="00656B21" w:rsidRPr="00D826A1">
        <w:t xml:space="preserve">the </w:t>
      </w:r>
      <w:r w:rsidRPr="00D826A1">
        <w:t>average</w:t>
      </w:r>
      <w:r w:rsidR="00656B21" w:rsidRPr="00D826A1">
        <w:t xml:space="preserve"> </w:t>
      </w:r>
      <w:r w:rsidR="00664D18">
        <w:t xml:space="preserve">number of PDR placements </w:t>
      </w:r>
      <w:r w:rsidR="00656B21" w:rsidRPr="00D826A1">
        <w:t xml:space="preserve">was two </w:t>
      </w:r>
      <w:r w:rsidRPr="00D826A1">
        <w:t>(median of two).</w:t>
      </w:r>
    </w:p>
    <w:p w14:paraId="44E688A4" w14:textId="3B45BFA1" w:rsidR="00E77384" w:rsidRPr="00D826A1" w:rsidRDefault="00E77384" w:rsidP="00E77384">
      <w:r w:rsidRPr="00D826A1">
        <w:t xml:space="preserve">In terms of the 176 HDRs and 97 PDRs who reported that they have completed or are completing placements, they reported an average placement length of ten months (median three months – this suggests a minority of placements are quite long in duration). By comparison, </w:t>
      </w:r>
      <w:proofErr w:type="spellStart"/>
      <w:r w:rsidR="00FC2B29" w:rsidRPr="00D826A1">
        <w:t>Dir</w:t>
      </w:r>
      <w:r w:rsidRPr="00D826A1">
        <w:t>s</w:t>
      </w:r>
      <w:proofErr w:type="spellEnd"/>
      <w:r w:rsidRPr="00D826A1">
        <w:t xml:space="preserve"> and </w:t>
      </w:r>
      <w:proofErr w:type="spellStart"/>
      <w:r w:rsidR="00FC2B29" w:rsidRPr="00D826A1">
        <w:t>Mgr</w:t>
      </w:r>
      <w:r w:rsidRPr="00D826A1">
        <w:t>s</w:t>
      </w:r>
      <w:proofErr w:type="spellEnd"/>
      <w:r w:rsidRPr="00D826A1">
        <w:t xml:space="preserve"> of Research Hubs and Training Centres reported an average placement length of three months (median of two months) for HDRs, and four months for PDRs (median of two months). </w:t>
      </w:r>
    </w:p>
    <w:p w14:paraId="5B14E0A8" w14:textId="2CE2DA0B" w:rsidR="00E77384" w:rsidRPr="00D826A1" w:rsidRDefault="00CF0CA1" w:rsidP="00E77384">
      <w:proofErr w:type="spellStart"/>
      <w:r>
        <w:t>Dirs</w:t>
      </w:r>
      <w:proofErr w:type="spellEnd"/>
      <w:r>
        <w:t xml:space="preserve"> and </w:t>
      </w:r>
      <w:proofErr w:type="spellStart"/>
      <w:r>
        <w:t>Mgrs</w:t>
      </w:r>
      <w:proofErr w:type="spellEnd"/>
      <w:r>
        <w:t xml:space="preserve"> reported that o</w:t>
      </w:r>
      <w:r w:rsidR="00E77384" w:rsidRPr="00D826A1">
        <w:t>n average two non-university organisations are involved in placements (median of one organisation).</w:t>
      </w:r>
    </w:p>
    <w:p w14:paraId="4AFB6825" w14:textId="77777777" w:rsidR="00E77384" w:rsidRPr="00D826A1" w:rsidRDefault="00E77384" w:rsidP="00E77384">
      <w:r w:rsidRPr="00D826A1">
        <w:t>In terms of outcomes for HDRs and PDRs who had completed their training as part of the ITRP, 41 per cent were in some form of study (63 per cent of HDR students and ten per cent of PDRs), and 68 per cent were working full time (57 per cent of HDR students and 84 per cent of PDRs). A further nine per cent were working part time, and 16 per cent were not employed (six per cent were not employed and not looking for work).</w:t>
      </w:r>
    </w:p>
    <w:p w14:paraId="29D7287D" w14:textId="77777777" w:rsidR="00E77384" w:rsidRPr="00D826A1" w:rsidRDefault="00E77384" w:rsidP="00E77384">
      <w:r w:rsidRPr="00D826A1">
        <w:t>For those respondents who are in work, 79 per cent are employed by universities, 15 per cent by industry, and six per cent by government.</w:t>
      </w:r>
    </w:p>
    <w:p w14:paraId="3E38FD1B" w14:textId="77777777" w:rsidR="00E77384" w:rsidRPr="00D826A1" w:rsidRDefault="00E77384" w:rsidP="00E77384">
      <w:pPr>
        <w:pStyle w:val="Heading4"/>
      </w:pPr>
      <w:r w:rsidRPr="00D826A1">
        <w:t xml:space="preserve">HDR students and PDRs roles in ITRP projects including types of industry placements </w:t>
      </w:r>
    </w:p>
    <w:p w14:paraId="2B52C967" w14:textId="10131015" w:rsidR="00E77384" w:rsidRPr="00D826A1" w:rsidRDefault="00E77384" w:rsidP="00E77384">
      <w:r w:rsidRPr="00D826A1">
        <w:t xml:space="preserve">HDRs and PDRs </w:t>
      </w:r>
      <w:r w:rsidR="00910DDE" w:rsidRPr="00D826A1">
        <w:t>reported playing</w:t>
      </w:r>
      <w:r w:rsidRPr="00D826A1">
        <w:t xml:space="preserve"> a variety of roles in ITRP projects (</w:t>
      </w:r>
      <w:r w:rsidRPr="00D826A1">
        <w:fldChar w:fldCharType="begin"/>
      </w:r>
      <w:r w:rsidRPr="00D826A1">
        <w:instrText xml:space="preserve"> REF _Ref3893720 \r \h </w:instrText>
      </w:r>
      <w:r w:rsidR="00D826A1">
        <w:instrText xml:space="preserve"> \* MERGEFORMAT </w:instrText>
      </w:r>
      <w:r w:rsidRPr="00D826A1">
        <w:fldChar w:fldCharType="separate"/>
      </w:r>
      <w:r w:rsidR="00CD7DEE">
        <w:t>Figure 6</w:t>
      </w:r>
      <w:r w:rsidRPr="00D826A1">
        <w:fldChar w:fldCharType="end"/>
      </w:r>
      <w:r w:rsidRPr="00D826A1">
        <w:t xml:space="preserve">), including leading projects and subprojects as part of their engagement. Respondents from Training Centres were more likely to </w:t>
      </w:r>
      <w:r w:rsidR="0074620C" w:rsidRPr="00D826A1">
        <w:t xml:space="preserve">report having </w:t>
      </w:r>
      <w:r w:rsidRPr="00D826A1">
        <w:t>led research projects or supervised training as compared to respondents from Research Hubs.</w:t>
      </w:r>
    </w:p>
    <w:p w14:paraId="22055108" w14:textId="77777777" w:rsidR="00E77384" w:rsidRPr="00D826A1" w:rsidRDefault="00E77384" w:rsidP="00E77384">
      <w:pPr>
        <w:pStyle w:val="FigureHeading"/>
      </w:pPr>
      <w:bookmarkStart w:id="104" w:name="_Ref3893720"/>
      <w:r w:rsidRPr="00D826A1">
        <w:t>HDR and PDR roles</w:t>
      </w:r>
      <w:bookmarkEnd w:id="104"/>
    </w:p>
    <w:p w14:paraId="410266DD" w14:textId="3C2397A7" w:rsidR="00E77384" w:rsidRPr="00D826A1" w:rsidRDefault="00F5408A" w:rsidP="00E77384">
      <w:r>
        <w:rPr>
          <w:noProof/>
          <w:lang w:eastAsia="en-AU"/>
        </w:rPr>
        <w:drawing>
          <wp:inline distT="0" distB="0" distL="0" distR="0" wp14:anchorId="1B9A171E" wp14:editId="09BA2209">
            <wp:extent cx="5499100" cy="3213100"/>
            <wp:effectExtent l="0" t="0" r="6350" b="6350"/>
            <wp:docPr id="35" name="Picture 35" descr="Figure 6 depicts the responses of HDR students and PDRs on the types of research training activities in which they have participated." title="Figure 6. HDR and PD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43106A7" w14:textId="33CBD441" w:rsidR="00E77384" w:rsidRPr="00D826A1" w:rsidRDefault="0074620C" w:rsidP="00E77384">
      <w:r w:rsidRPr="00D826A1">
        <w:t xml:space="preserve">Forty five per cent of HDRs and PDRs who provided open text </w:t>
      </w:r>
      <w:r w:rsidR="00E77384" w:rsidRPr="00D826A1">
        <w:t xml:space="preserve">responses on </w:t>
      </w:r>
      <w:r w:rsidRPr="00D826A1">
        <w:t xml:space="preserve">other </w:t>
      </w:r>
      <w:r w:rsidR="00E77384" w:rsidRPr="00D826A1">
        <w:t>activities as part of</w:t>
      </w:r>
      <w:r w:rsidRPr="00D826A1">
        <w:t xml:space="preserve"> their</w:t>
      </w:r>
      <w:r w:rsidR="00E77384" w:rsidRPr="00D826A1">
        <w:t xml:space="preserve"> industry placements</w:t>
      </w:r>
      <w:r w:rsidRPr="00D826A1">
        <w:t xml:space="preserve"> reported </w:t>
      </w:r>
      <w:r w:rsidR="00E77384" w:rsidRPr="00D826A1">
        <w:t xml:space="preserve">undertaking some form of research or experimental activities, </w:t>
      </w:r>
      <w:r w:rsidRPr="00D826A1">
        <w:t xml:space="preserve">with </w:t>
      </w:r>
      <w:r w:rsidR="00E77384" w:rsidRPr="00D826A1">
        <w:t xml:space="preserve">22 per cent involved in conferences and workshops, nine per cent completing site visits with industry, and eight per cent involved in business management activities relating to </w:t>
      </w:r>
      <w:r w:rsidR="00910837">
        <w:t>Research Hubs</w:t>
      </w:r>
      <w:r w:rsidR="00E77384" w:rsidRPr="00D826A1">
        <w:t xml:space="preserve"> and </w:t>
      </w:r>
      <w:r w:rsidR="00910837">
        <w:t>Training C</w:t>
      </w:r>
      <w:r w:rsidR="00E77384" w:rsidRPr="00D826A1">
        <w:t>entres.</w:t>
      </w:r>
    </w:p>
    <w:p w14:paraId="37D8EA64" w14:textId="77777777" w:rsidR="00E77384" w:rsidRPr="00D826A1" w:rsidRDefault="00E77384" w:rsidP="00E77384">
      <w:pPr>
        <w:pStyle w:val="Heading4"/>
      </w:pPr>
      <w:r w:rsidRPr="00D826A1">
        <w:t>Reasons HDR students and PDRs choose to be involved in the ITRP (as opposed to other opportunities for industry experience)</w:t>
      </w:r>
    </w:p>
    <w:p w14:paraId="17A4E13C" w14:textId="6C62DBE2" w:rsidR="00E77384" w:rsidRPr="00D826A1" w:rsidRDefault="00E009F2" w:rsidP="00E77384">
      <w:r w:rsidRPr="00D826A1">
        <w:t xml:space="preserve">This evaluation question was not directly addressed through the survey; however, HDRs and PDRs were asked about their views on their involvement in Training Centres and Research Hubs. </w:t>
      </w:r>
      <w:r w:rsidR="00E77384" w:rsidRPr="00D826A1">
        <w:t xml:space="preserve">Both </w:t>
      </w:r>
      <w:r w:rsidRPr="00D826A1">
        <w:t>groups</w:t>
      </w:r>
      <w:r w:rsidR="00E77384" w:rsidRPr="00D826A1">
        <w:t xml:space="preserve"> </w:t>
      </w:r>
      <w:r w:rsidRPr="00D826A1">
        <w:t>had similar view</w:t>
      </w:r>
      <w:r w:rsidR="00CB0DC0" w:rsidRPr="00D826A1">
        <w:t xml:space="preserve">s </w:t>
      </w:r>
      <w:r w:rsidR="00E77384" w:rsidRPr="00D826A1">
        <w:t>with</w:t>
      </w:r>
      <w:r w:rsidR="00CB0DC0" w:rsidRPr="00D826A1">
        <w:t xml:space="preserve"> respect to</w:t>
      </w:r>
      <w:r w:rsidR="00E77384" w:rsidRPr="00D826A1">
        <w:t xml:space="preserve"> career development, professional development and personal interest all rating strongly (</w:t>
      </w:r>
      <w:r w:rsidR="00E77384" w:rsidRPr="00D826A1">
        <w:fldChar w:fldCharType="begin"/>
      </w:r>
      <w:r w:rsidR="00E77384" w:rsidRPr="00D826A1">
        <w:instrText xml:space="preserve"> REF _Ref3888723 \r \h </w:instrText>
      </w:r>
      <w:r w:rsidR="00D826A1">
        <w:instrText xml:space="preserve"> \* MERGEFORMAT </w:instrText>
      </w:r>
      <w:r w:rsidR="00E77384" w:rsidRPr="00D826A1">
        <w:fldChar w:fldCharType="separate"/>
      </w:r>
      <w:r w:rsidR="00CD7DEE">
        <w:t>Figure 7</w:t>
      </w:r>
      <w:r w:rsidR="00E77384" w:rsidRPr="00D826A1">
        <w:fldChar w:fldCharType="end"/>
      </w:r>
      <w:r w:rsidR="00E77384" w:rsidRPr="00D826A1">
        <w:t>). PDRs tended to agree more strongly than HDRs in relation to all areas.</w:t>
      </w:r>
    </w:p>
    <w:p w14:paraId="2B618BA5" w14:textId="77777777" w:rsidR="00E77384" w:rsidRPr="00D826A1" w:rsidRDefault="00E77384" w:rsidP="00E77384">
      <w:pPr>
        <w:pStyle w:val="FigureHeading"/>
      </w:pPr>
      <w:bookmarkStart w:id="105" w:name="_Ref3888723"/>
      <w:r w:rsidRPr="00D826A1">
        <w:t>HDR and PDR views on involvement</w:t>
      </w:r>
      <w:bookmarkEnd w:id="105"/>
    </w:p>
    <w:p w14:paraId="58371268" w14:textId="68B0E070" w:rsidR="00E77384" w:rsidRPr="00D826A1" w:rsidRDefault="00F5408A" w:rsidP="00E77384">
      <w:r>
        <w:rPr>
          <w:noProof/>
          <w:lang w:eastAsia="en-AU"/>
        </w:rPr>
        <w:drawing>
          <wp:inline distT="0" distB="0" distL="0" distR="0" wp14:anchorId="10E93DE6" wp14:editId="27018A37">
            <wp:extent cx="5499100" cy="3213100"/>
            <wp:effectExtent l="0" t="0" r="6350" b="6350"/>
            <wp:docPr id="40" name="Picture 40" descr="Figure 7 depicts the responses of HDR students and PDRs on the extent to which they agreed that their research as part of a Training Centre or Research Hub was appealing from a career development standpoint, integrated with other elements of their professional development, and appealing from a personal interest standpoint." title="Figure 7. HDR and PDR views on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53C9F4F9" w14:textId="77777777" w:rsidR="00E77384" w:rsidRPr="00D826A1" w:rsidRDefault="00E77384" w:rsidP="00E77384">
      <w:pPr>
        <w:pStyle w:val="Heading4"/>
      </w:pPr>
      <w:r w:rsidRPr="00D826A1">
        <w:t>Nature of partner organisations involvement in the development of and design of ITRP placements</w:t>
      </w:r>
    </w:p>
    <w:p w14:paraId="42F69D01" w14:textId="156DE02B" w:rsidR="00E77384" w:rsidRPr="00D826A1" w:rsidRDefault="00DE5167" w:rsidP="00E77384">
      <w:pPr>
        <w:spacing w:after="0" w:line="240" w:lineRule="auto"/>
      </w:pPr>
      <w:r w:rsidRPr="00D826A1">
        <w:t>Eighty-five</w:t>
      </w:r>
      <w:r w:rsidR="00E77384" w:rsidRPr="00D826A1">
        <w:t xml:space="preserve"> per cent of university </w:t>
      </w:r>
      <w:r w:rsidR="00A8396C" w:rsidRPr="00D826A1">
        <w:t xml:space="preserve">survey </w:t>
      </w:r>
      <w:r w:rsidR="00E77384" w:rsidRPr="00D826A1">
        <w:t>respondents (</w:t>
      </w:r>
      <w:r w:rsidR="00FC2B29" w:rsidRPr="00D826A1">
        <w:t>RO</w:t>
      </w:r>
      <w:r w:rsidR="00E77384" w:rsidRPr="00D826A1">
        <w:t xml:space="preserve">s, </w:t>
      </w:r>
      <w:proofErr w:type="spellStart"/>
      <w:r w:rsidR="00FC2B29" w:rsidRPr="00D826A1">
        <w:t>Dir</w:t>
      </w:r>
      <w:r w:rsidR="00E77384" w:rsidRPr="00D826A1">
        <w:t>s</w:t>
      </w:r>
      <w:proofErr w:type="spellEnd"/>
      <w:r w:rsidR="00E77384" w:rsidRPr="00D826A1">
        <w:t xml:space="preserve"> and </w:t>
      </w:r>
      <w:r w:rsidR="00D8441F" w:rsidRPr="00D826A1">
        <w:t>CI</w:t>
      </w:r>
      <w:r w:rsidR="00E77384" w:rsidRPr="00D826A1">
        <w:t xml:space="preserve">s) reported that partner organisations were involved in </w:t>
      </w:r>
      <w:r w:rsidR="00A8396C" w:rsidRPr="00D826A1">
        <w:t>the development and design o</w:t>
      </w:r>
      <w:r w:rsidRPr="00D826A1">
        <w:t>f</w:t>
      </w:r>
      <w:r w:rsidR="00A8396C" w:rsidRPr="00D826A1">
        <w:t xml:space="preserve"> research training placements</w:t>
      </w:r>
      <w:r w:rsidR="00E77384" w:rsidRPr="00D826A1">
        <w:t xml:space="preserve"> (for Training Centres</w:t>
      </w:r>
      <w:r w:rsidRPr="00D826A1">
        <w:t xml:space="preserve"> this was</w:t>
      </w:r>
      <w:r w:rsidR="00E77384" w:rsidRPr="00D826A1">
        <w:t xml:space="preserve"> 92 per cent</w:t>
      </w:r>
      <w:r w:rsidRPr="00D826A1">
        <w:t xml:space="preserve"> as compared to 79 per cent for Research Hubs</w:t>
      </w:r>
      <w:r w:rsidR="00E77384" w:rsidRPr="00D826A1">
        <w:t xml:space="preserve">). However, only 64 per cent of </w:t>
      </w:r>
      <w:r w:rsidR="00A8396C" w:rsidRPr="00D826A1">
        <w:t>PIs</w:t>
      </w:r>
      <w:r w:rsidR="00E77384" w:rsidRPr="00D826A1">
        <w:t xml:space="preserve"> reported that they </w:t>
      </w:r>
      <w:r w:rsidR="00A8396C" w:rsidRPr="00D826A1">
        <w:t xml:space="preserve">or their organisations </w:t>
      </w:r>
      <w:r w:rsidR="00E77384" w:rsidRPr="00D826A1">
        <w:t xml:space="preserve">were involved, which is a statistically significant difference. This may represent different perceptions on </w:t>
      </w:r>
      <w:r w:rsidRPr="00D826A1">
        <w:t xml:space="preserve">what </w:t>
      </w:r>
      <w:r w:rsidR="00E77384" w:rsidRPr="00D826A1">
        <w:t xml:space="preserve">involvement </w:t>
      </w:r>
      <w:r w:rsidRPr="00D826A1">
        <w:t>meant for each group, or the different roles that PIs have had in Research Hubs and Training Centres</w:t>
      </w:r>
      <w:r w:rsidR="00E77384" w:rsidRPr="00D826A1">
        <w:t>.</w:t>
      </w:r>
    </w:p>
    <w:p w14:paraId="1E87287D" w14:textId="77777777" w:rsidR="009573DA" w:rsidRDefault="009573DA">
      <w:pPr>
        <w:spacing w:after="0" w:line="240" w:lineRule="auto"/>
        <w:rPr>
          <w:rFonts w:eastAsia="Times New Roman"/>
          <w:b/>
          <w:bCs/>
          <w:color w:val="08193E"/>
          <w:sz w:val="30"/>
          <w:szCs w:val="26"/>
        </w:rPr>
      </w:pPr>
      <w:bookmarkStart w:id="106" w:name="_Toc10104794"/>
      <w:bookmarkStart w:id="107" w:name="_Toc10104997"/>
      <w:bookmarkStart w:id="108" w:name="_Toc10105599"/>
      <w:r>
        <w:br w:type="page"/>
      </w:r>
    </w:p>
    <w:p w14:paraId="09F20F33" w14:textId="47262C88" w:rsidR="00E77384" w:rsidRPr="00D826A1" w:rsidRDefault="00E77384" w:rsidP="00E77384">
      <w:pPr>
        <w:pStyle w:val="Heading2"/>
      </w:pPr>
      <w:r w:rsidRPr="00D826A1">
        <w:t>Engagement with Industry Growth Centres (IGCs)</w:t>
      </w:r>
      <w:bookmarkEnd w:id="106"/>
      <w:bookmarkEnd w:id="107"/>
      <w:bookmarkEnd w:id="108"/>
    </w:p>
    <w:p w14:paraId="263DD738" w14:textId="77777777" w:rsidR="00E77384" w:rsidRPr="00D826A1" w:rsidRDefault="00E77384" w:rsidP="00E77384">
      <w:pPr>
        <w:pStyle w:val="Heading4"/>
      </w:pPr>
      <w:r w:rsidRPr="00D826A1">
        <w:t>Effectiveness of engagement with Industry Growth Centres as part of ITRP processes</w:t>
      </w:r>
    </w:p>
    <w:p w14:paraId="2D7641F5" w14:textId="50390D4F" w:rsidR="00E77384" w:rsidRPr="00D826A1" w:rsidRDefault="00E77384" w:rsidP="00E77384">
      <w:r w:rsidRPr="00D826A1">
        <w:t xml:space="preserve">Analysis of 104 comments from </w:t>
      </w:r>
      <w:r w:rsidR="003973DE" w:rsidRPr="00D826A1">
        <w:t xml:space="preserve">ROs, </w:t>
      </w:r>
      <w:proofErr w:type="spellStart"/>
      <w:r w:rsidR="003973DE" w:rsidRPr="00D826A1">
        <w:t>Dirs</w:t>
      </w:r>
      <w:proofErr w:type="spellEnd"/>
      <w:r w:rsidR="003973DE" w:rsidRPr="00D826A1">
        <w:t xml:space="preserve">, </w:t>
      </w:r>
      <w:proofErr w:type="spellStart"/>
      <w:r w:rsidR="003973DE" w:rsidRPr="00D826A1">
        <w:t>Mgrs</w:t>
      </w:r>
      <w:proofErr w:type="spellEnd"/>
      <w:r w:rsidR="003973DE" w:rsidRPr="00D826A1">
        <w:t>, CIs and PIs</w:t>
      </w:r>
      <w:r w:rsidRPr="00D826A1">
        <w:t xml:space="preserve"> found that the most benefit seen from engagement with the IGCs was in the area of identifying and enabling partnerships (28 per cent), followed by support in the design and application process (22 per cent), and the provision of market advice (21 per cent). Notably, 12 per cent of comments were negative about their experiences with IGCs</w:t>
      </w:r>
      <w:r w:rsidR="00D66B63" w:rsidRPr="00D826A1">
        <w:t>,</w:t>
      </w:r>
      <w:r w:rsidRPr="00D826A1">
        <w:t xml:space="preserve"> saying that they were not at all beneficial. </w:t>
      </w:r>
    </w:p>
    <w:p w14:paraId="2CCD19D7" w14:textId="678E9B77" w:rsidR="00E77384" w:rsidRPr="00D826A1" w:rsidRDefault="00D66B63" w:rsidP="00E77384">
      <w:r w:rsidRPr="00D826A1">
        <w:t>M</w:t>
      </w:r>
      <w:r w:rsidR="00E77384" w:rsidRPr="00D826A1">
        <w:t xml:space="preserve">ost </w:t>
      </w:r>
      <w:r w:rsidR="004E3BBB" w:rsidRPr="00D826A1">
        <w:t xml:space="preserve">ROs, </w:t>
      </w:r>
      <w:proofErr w:type="spellStart"/>
      <w:r w:rsidR="004E3BBB" w:rsidRPr="00D826A1">
        <w:t>Dirs</w:t>
      </w:r>
      <w:proofErr w:type="spellEnd"/>
      <w:r w:rsidR="004E3BBB" w:rsidRPr="00D826A1">
        <w:t xml:space="preserve">, </w:t>
      </w:r>
      <w:proofErr w:type="spellStart"/>
      <w:r w:rsidR="004E3BBB" w:rsidRPr="00D826A1">
        <w:t>Mgrs</w:t>
      </w:r>
      <w:proofErr w:type="spellEnd"/>
      <w:r w:rsidR="004E3BBB" w:rsidRPr="00D826A1">
        <w:t>, CIs and PIs</w:t>
      </w:r>
      <w:r w:rsidR="009B2468">
        <w:t xml:space="preserve"> </w:t>
      </w:r>
      <w:r w:rsidR="00E77384" w:rsidRPr="00D826A1">
        <w:t>found the IGCs both easy to reach and responsive to enquiries (</w:t>
      </w:r>
      <w:r w:rsidR="00E77384" w:rsidRPr="00D826A1">
        <w:fldChar w:fldCharType="begin"/>
      </w:r>
      <w:r w:rsidR="00E77384" w:rsidRPr="00D826A1">
        <w:instrText xml:space="preserve"> REF _Ref3899922 \r \h </w:instrText>
      </w:r>
      <w:r w:rsidR="00D826A1">
        <w:instrText xml:space="preserve"> \* MERGEFORMAT </w:instrText>
      </w:r>
      <w:r w:rsidR="00E77384" w:rsidRPr="00D826A1">
        <w:fldChar w:fldCharType="separate"/>
      </w:r>
      <w:r w:rsidR="00CD7DEE">
        <w:t>Figure 8</w:t>
      </w:r>
      <w:r w:rsidR="00E77384" w:rsidRPr="00D826A1">
        <w:fldChar w:fldCharType="end"/>
      </w:r>
      <w:r w:rsidR="00E77384" w:rsidRPr="00D826A1">
        <w:t xml:space="preserve">). By group, </w:t>
      </w:r>
      <w:proofErr w:type="spellStart"/>
      <w:r w:rsidR="00FC2B29" w:rsidRPr="00D826A1">
        <w:t>Mgr</w:t>
      </w:r>
      <w:r w:rsidR="00E77384" w:rsidRPr="00D826A1">
        <w:t>s</w:t>
      </w:r>
      <w:proofErr w:type="spellEnd"/>
      <w:r w:rsidR="00E77384" w:rsidRPr="00D826A1">
        <w:t xml:space="preserve"> reported the most positive results on these dimensions, while </w:t>
      </w:r>
      <w:r w:rsidR="00FC2B29" w:rsidRPr="00D826A1">
        <w:t>ROs</w:t>
      </w:r>
      <w:r w:rsidR="00E77384" w:rsidRPr="00D826A1">
        <w:t xml:space="preserve"> were more negative. There did not appear to be a pattern of variation in responses based on program round.</w:t>
      </w:r>
      <w:r w:rsidR="00F30581" w:rsidRPr="00D826A1">
        <w:t xml:space="preserve"> Note that although </w:t>
      </w:r>
      <w:r w:rsidR="00EA0187">
        <w:t>IGC</w:t>
      </w:r>
      <w:r w:rsidR="00F30581" w:rsidRPr="00D826A1">
        <w:t>s were only introduced in 2015, responses were received from participants from all ITRP rounds.</w:t>
      </w:r>
    </w:p>
    <w:p w14:paraId="53650BAB" w14:textId="7676406F" w:rsidR="00E77384" w:rsidRPr="00D826A1" w:rsidRDefault="00E77384" w:rsidP="00E77384">
      <w:pPr>
        <w:pStyle w:val="FigureHeading"/>
      </w:pPr>
      <w:bookmarkStart w:id="109" w:name="_Ref3899922"/>
      <w:r w:rsidRPr="00D826A1">
        <w:t xml:space="preserve">IGC ease of </w:t>
      </w:r>
      <w:r w:rsidR="00D66B63" w:rsidRPr="00D826A1">
        <w:t xml:space="preserve">contact </w:t>
      </w:r>
      <w:r w:rsidRPr="00D826A1">
        <w:t>and responsiveness</w:t>
      </w:r>
      <w:bookmarkEnd w:id="109"/>
    </w:p>
    <w:p w14:paraId="667D92A9" w14:textId="7CF45AD9" w:rsidR="00E77384" w:rsidRPr="00D826A1" w:rsidRDefault="00F5408A" w:rsidP="00E77384">
      <w:r>
        <w:rPr>
          <w:noProof/>
          <w:lang w:eastAsia="en-AU"/>
        </w:rPr>
        <w:drawing>
          <wp:inline distT="0" distB="0" distL="0" distR="0" wp14:anchorId="46238EAE" wp14:editId="40AF1440">
            <wp:extent cx="5499100" cy="2097405"/>
            <wp:effectExtent l="0" t="0" r="6350" b="0"/>
            <wp:docPr id="41" name="Picture 41" descr="Figure 8 depicts the responses of stakeholders on whether Growth Centre contacts were responsive and easy to reach." title="Figure 8. IGC ease of contact and respons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2097405"/>
                    </a:xfrm>
                    <a:prstGeom prst="rect">
                      <a:avLst/>
                    </a:prstGeom>
                    <a:noFill/>
                  </pic:spPr>
                </pic:pic>
              </a:graphicData>
            </a:graphic>
          </wp:inline>
        </w:drawing>
      </w:r>
    </w:p>
    <w:p w14:paraId="7A703AAD" w14:textId="0A7D1264" w:rsidR="00E77384" w:rsidRPr="00D826A1" w:rsidRDefault="00E77384" w:rsidP="00E77384">
      <w:r w:rsidRPr="00D826A1">
        <w:t xml:space="preserve">Analysis of 38 verbatim comments from </w:t>
      </w:r>
      <w:r w:rsidR="00FC381D" w:rsidRPr="00D826A1">
        <w:t xml:space="preserve">ROs, </w:t>
      </w:r>
      <w:proofErr w:type="spellStart"/>
      <w:r w:rsidR="00FC381D" w:rsidRPr="00D826A1">
        <w:t>Dirs</w:t>
      </w:r>
      <w:proofErr w:type="spellEnd"/>
      <w:r w:rsidR="00FC381D" w:rsidRPr="00D826A1">
        <w:t xml:space="preserve">, </w:t>
      </w:r>
      <w:proofErr w:type="spellStart"/>
      <w:r w:rsidR="00FC381D" w:rsidRPr="00D826A1">
        <w:t>Mgrs</w:t>
      </w:r>
      <w:proofErr w:type="spellEnd"/>
      <w:r w:rsidR="00FC381D" w:rsidRPr="00D826A1">
        <w:t>, CIs and PIs</w:t>
      </w:r>
      <w:r w:rsidRPr="00D826A1">
        <w:t xml:space="preserve"> presented more mixed views on engagement, with 31 per cent of comments being generally negative around engagement with IGCs as compared to generally positive comments which made up 26 per cent. </w:t>
      </w:r>
      <w:r w:rsidR="00FC381D" w:rsidRPr="00D826A1">
        <w:t>Some</w:t>
      </w:r>
      <w:r w:rsidRPr="00D826A1">
        <w:t xml:space="preserve"> respondents indicated that they were unclear about the role of IGCs within the ITRP:</w:t>
      </w:r>
    </w:p>
    <w:p w14:paraId="3E880485" w14:textId="271DA43E" w:rsidR="00E77384" w:rsidRPr="00D826A1" w:rsidRDefault="00E77384" w:rsidP="00E77384">
      <w:pPr>
        <w:pStyle w:val="Quote"/>
      </w:pPr>
      <w:r w:rsidRPr="00D826A1">
        <w:t xml:space="preserve">How this is meant to work could be better articulated. It feels like a gatekeeper role, but it could be a much better engagement. I’m a big supporter of the </w:t>
      </w:r>
      <w:r w:rsidR="00E10077">
        <w:t>G</w:t>
      </w:r>
      <w:r w:rsidRPr="00D826A1">
        <w:t xml:space="preserve">rowth </w:t>
      </w:r>
      <w:r w:rsidR="00E10077">
        <w:t>C</w:t>
      </w:r>
      <w:r w:rsidRPr="00D826A1">
        <w:t>entres but my engagement outside of ITRP has been the good engagement with them.</w:t>
      </w:r>
    </w:p>
    <w:p w14:paraId="03223DF5" w14:textId="266D0408" w:rsidR="00E77384" w:rsidRPr="00D826A1" w:rsidRDefault="00FC381D" w:rsidP="00E77384">
      <w:pPr>
        <w:pStyle w:val="ListParagraph"/>
        <w:numPr>
          <w:ilvl w:val="0"/>
          <w:numId w:val="20"/>
        </w:numPr>
        <w:jc w:val="right"/>
        <w:rPr>
          <w:i/>
        </w:rPr>
      </w:pPr>
      <w:r w:rsidRPr="00D826A1">
        <w:rPr>
          <w:i/>
        </w:rPr>
        <w:t xml:space="preserve">Research Hub </w:t>
      </w:r>
      <w:r w:rsidR="00D8441F" w:rsidRPr="00D826A1">
        <w:rPr>
          <w:i/>
        </w:rPr>
        <w:t>CI</w:t>
      </w:r>
      <w:r w:rsidR="00E77384" w:rsidRPr="00D826A1">
        <w:rPr>
          <w:i/>
        </w:rPr>
        <w:t xml:space="preserve"> </w:t>
      </w:r>
    </w:p>
    <w:p w14:paraId="2347B2EF" w14:textId="77777777" w:rsidR="005518CC" w:rsidRPr="00D826A1" w:rsidRDefault="005518CC" w:rsidP="00E77384"/>
    <w:p w14:paraId="0B70ECF8" w14:textId="77777777" w:rsidR="005518CC" w:rsidRPr="00D826A1" w:rsidRDefault="005518CC" w:rsidP="005518CC">
      <w:r w:rsidRPr="00D826A1">
        <w:t>In terms of issues relating to engagement with IGCs, the primary issue noted in survey comments was difficulty in contacting and engaging with IGCs (36 per cent):</w:t>
      </w:r>
    </w:p>
    <w:p w14:paraId="063F8DCF" w14:textId="77777777" w:rsidR="005518CC" w:rsidRPr="00D826A1" w:rsidRDefault="005518CC" w:rsidP="005518CC">
      <w:pPr>
        <w:pStyle w:val="Quote"/>
      </w:pPr>
      <w:r w:rsidRPr="00D826A1">
        <w:t>Not responsive to telephone calls – no answer. Not responsive to emails – no reply.</w:t>
      </w:r>
    </w:p>
    <w:p w14:paraId="23DED9C7" w14:textId="215D9F49" w:rsidR="005518CC" w:rsidRPr="00D826A1" w:rsidRDefault="005518CC" w:rsidP="000D037C">
      <w:pPr>
        <w:pStyle w:val="Quote"/>
        <w:jc w:val="right"/>
      </w:pPr>
      <w:r w:rsidRPr="00D826A1">
        <w:t xml:space="preserve">- </w:t>
      </w:r>
      <w:r w:rsidR="00FC2B29" w:rsidRPr="00D826A1">
        <w:t>RO</w:t>
      </w:r>
      <w:r w:rsidRPr="00D826A1">
        <w:t xml:space="preserve"> respondent</w:t>
      </w:r>
    </w:p>
    <w:p w14:paraId="53AF9919" w14:textId="03E995D7" w:rsidR="00E77384" w:rsidRPr="00D826A1" w:rsidRDefault="009F60EA" w:rsidP="00E77384">
      <w:r w:rsidRPr="00D826A1">
        <w:t xml:space="preserve">Eighty-four </w:t>
      </w:r>
      <w:r w:rsidR="00E77384" w:rsidRPr="00D826A1">
        <w:t xml:space="preserve">verbatim responses </w:t>
      </w:r>
      <w:r w:rsidRPr="00D826A1">
        <w:t xml:space="preserve">were </w:t>
      </w:r>
      <w:r w:rsidR="008D4A02" w:rsidRPr="00D826A1">
        <w:t xml:space="preserve">provided </w:t>
      </w:r>
      <w:r w:rsidR="00E77384" w:rsidRPr="00D826A1">
        <w:t xml:space="preserve">on the </w:t>
      </w:r>
      <w:r w:rsidR="008D4A02" w:rsidRPr="00D826A1">
        <w:t xml:space="preserve">main </w:t>
      </w:r>
      <w:r w:rsidR="00E77384" w:rsidRPr="00D826A1">
        <w:t xml:space="preserve">issues </w:t>
      </w:r>
      <w:r w:rsidR="008D4A02" w:rsidRPr="00D826A1">
        <w:t>faced when engaging</w:t>
      </w:r>
      <w:r w:rsidR="00E77384" w:rsidRPr="00D826A1">
        <w:t xml:space="preserve"> with IGCs, with 36 per cent of responses discussing issues with contacting IGCs (timeliness, ease of </w:t>
      </w:r>
      <w:r w:rsidR="008D4A02" w:rsidRPr="00D826A1">
        <w:t>contact</w:t>
      </w:r>
      <w:r w:rsidR="00E77384" w:rsidRPr="00D826A1">
        <w:t>). A further 16 per cent discussed issues around the alignment of IGCs with the ITRP, and the quality of their links with industry (12 per cent).</w:t>
      </w:r>
    </w:p>
    <w:p w14:paraId="12913DA9" w14:textId="23AF2421" w:rsidR="00E77384" w:rsidRPr="00D826A1" w:rsidRDefault="00E77384" w:rsidP="00E77384">
      <w:pPr>
        <w:rPr>
          <w:rFonts w:cs="Segoe UI"/>
        </w:rPr>
      </w:pPr>
      <w:r w:rsidRPr="00D826A1">
        <w:t>Interviews with Research Hubs and Training Centre</w:t>
      </w:r>
      <w:r w:rsidR="009F60EA" w:rsidRPr="00D826A1">
        <w:t xml:space="preserve"> </w:t>
      </w:r>
      <w:proofErr w:type="spellStart"/>
      <w:r w:rsidR="00FC2B29" w:rsidRPr="00D826A1">
        <w:t>Dir</w:t>
      </w:r>
      <w:r w:rsidR="009F60EA" w:rsidRPr="00D826A1">
        <w:t>s</w:t>
      </w:r>
      <w:proofErr w:type="spellEnd"/>
      <w:r w:rsidR="009F60EA" w:rsidRPr="00D826A1">
        <w:t xml:space="preserve"> and </w:t>
      </w:r>
      <w:proofErr w:type="spellStart"/>
      <w:r w:rsidR="00FC2B29" w:rsidRPr="00D826A1">
        <w:t>Mgr</w:t>
      </w:r>
      <w:r w:rsidR="009F60EA" w:rsidRPr="00D826A1">
        <w:t>s</w:t>
      </w:r>
      <w:proofErr w:type="spellEnd"/>
      <w:r w:rsidRPr="00D826A1">
        <w:t xml:space="preserve"> also corroborated these viewpoints, expressing uncertainty around </w:t>
      </w:r>
      <w:r w:rsidRPr="00D826A1">
        <w:rPr>
          <w:rFonts w:cs="Segoe UI"/>
        </w:rPr>
        <w:t xml:space="preserve">aspects of the role of </w:t>
      </w:r>
      <w:r w:rsidR="00EA0187">
        <w:rPr>
          <w:rFonts w:cs="Segoe UI"/>
        </w:rPr>
        <w:t>IGC</w:t>
      </w:r>
      <w:r w:rsidRPr="00D826A1">
        <w:rPr>
          <w:rFonts w:cs="Segoe UI"/>
        </w:rPr>
        <w:t xml:space="preserve">s and the need for clarity, particularly in relation to their role at the application stage. </w:t>
      </w:r>
      <w:proofErr w:type="spellStart"/>
      <w:r w:rsidR="009B14D3" w:rsidRPr="00D826A1">
        <w:rPr>
          <w:rFonts w:cs="Segoe UI"/>
        </w:rPr>
        <w:t>Dirs</w:t>
      </w:r>
      <w:proofErr w:type="spellEnd"/>
      <w:r w:rsidR="009B14D3" w:rsidRPr="00D826A1">
        <w:rPr>
          <w:rFonts w:cs="Segoe UI"/>
        </w:rPr>
        <w:t xml:space="preserve"> and </w:t>
      </w:r>
      <w:proofErr w:type="spellStart"/>
      <w:r w:rsidR="009B14D3" w:rsidRPr="00D826A1">
        <w:rPr>
          <w:rFonts w:cs="Segoe UI"/>
        </w:rPr>
        <w:t>Mgrs</w:t>
      </w:r>
      <w:proofErr w:type="spellEnd"/>
      <w:r w:rsidRPr="00D826A1">
        <w:rPr>
          <w:rFonts w:cs="Segoe UI"/>
        </w:rPr>
        <w:t xml:space="preserve"> felt unclear as to whether </w:t>
      </w:r>
      <w:r w:rsidR="00EA0187">
        <w:rPr>
          <w:rFonts w:cs="Segoe UI"/>
        </w:rPr>
        <w:t>IGC</w:t>
      </w:r>
      <w:r w:rsidRPr="00D826A1">
        <w:rPr>
          <w:rFonts w:cs="Segoe UI"/>
        </w:rPr>
        <w:t>s are advocates (i.e. their support can influence the success of applications) or involved in assessing applications (making decisions).</w:t>
      </w:r>
    </w:p>
    <w:p w14:paraId="38689E87" w14:textId="289BC7B5" w:rsidR="00815E23" w:rsidRPr="00D826A1" w:rsidRDefault="00815E23" w:rsidP="00E77384">
      <w:pPr>
        <w:rPr>
          <w:rFonts w:cs="Segoe UI"/>
        </w:rPr>
      </w:pPr>
      <w:r w:rsidRPr="00D826A1">
        <w:rPr>
          <w:rFonts w:cs="Segoe UI"/>
        </w:rPr>
        <w:t>Interviews with DIIS found that</w:t>
      </w:r>
      <w:r w:rsidR="00AF69B8" w:rsidRPr="00D826A1">
        <w:rPr>
          <w:rFonts w:cs="Segoe UI"/>
        </w:rPr>
        <w:t xml:space="preserve"> engagement</w:t>
      </w:r>
      <w:r w:rsidR="00AD6032">
        <w:rPr>
          <w:rFonts w:cs="Segoe UI"/>
        </w:rPr>
        <w:t>s</w:t>
      </w:r>
      <w:r w:rsidR="00AF69B8" w:rsidRPr="00D826A1">
        <w:rPr>
          <w:rFonts w:cs="Segoe UI"/>
        </w:rPr>
        <w:t xml:space="preserve"> with</w:t>
      </w:r>
      <w:r w:rsidRPr="00D826A1">
        <w:rPr>
          <w:rFonts w:cs="Segoe UI"/>
        </w:rPr>
        <w:t xml:space="preserve"> the </w:t>
      </w:r>
      <w:r w:rsidR="00EA0187">
        <w:rPr>
          <w:rFonts w:cs="Segoe UI"/>
        </w:rPr>
        <w:t>IGC</w:t>
      </w:r>
      <w:r w:rsidRPr="00D826A1">
        <w:rPr>
          <w:rFonts w:cs="Segoe UI"/>
        </w:rPr>
        <w:t>s are see</w:t>
      </w:r>
      <w:r w:rsidR="00AF69B8" w:rsidRPr="00D826A1">
        <w:rPr>
          <w:rFonts w:cs="Segoe UI"/>
        </w:rPr>
        <w:t>n</w:t>
      </w:r>
      <w:r w:rsidRPr="00D826A1">
        <w:rPr>
          <w:rFonts w:cs="Segoe UI"/>
        </w:rPr>
        <w:t xml:space="preserve"> as a way of reinforcing the industry focus of the program:</w:t>
      </w:r>
    </w:p>
    <w:p w14:paraId="520A8C0E" w14:textId="588FCE75" w:rsidR="00815E23" w:rsidRPr="00D826A1" w:rsidRDefault="00AF69B8" w:rsidP="000D037C">
      <w:pPr>
        <w:pStyle w:val="Quote"/>
      </w:pPr>
      <w:r w:rsidRPr="00D826A1">
        <w:t xml:space="preserve">…it’s actually solving an industry problem, it’s not maybe a solution in search of a problem. [For the ITRP] </w:t>
      </w:r>
      <w:proofErr w:type="gramStart"/>
      <w:r w:rsidRPr="00D826A1">
        <w:t>it’s</w:t>
      </w:r>
      <w:proofErr w:type="gramEnd"/>
      <w:r w:rsidRPr="00D826A1">
        <w:t xml:space="preserve"> research led so we are trying to bring that industry focus.</w:t>
      </w:r>
    </w:p>
    <w:p w14:paraId="6C284BC1" w14:textId="4B2F35EA" w:rsidR="00AF69B8" w:rsidRPr="00D826A1" w:rsidRDefault="00AF69B8" w:rsidP="000D037C">
      <w:pPr>
        <w:pStyle w:val="Quote"/>
        <w:jc w:val="right"/>
      </w:pPr>
      <w:r w:rsidRPr="00D826A1">
        <w:t>- DIIS</w:t>
      </w:r>
      <w:r w:rsidR="001554E4" w:rsidRPr="00D826A1">
        <w:t xml:space="preserve"> representative</w:t>
      </w:r>
    </w:p>
    <w:p w14:paraId="68F74440" w14:textId="244DE277" w:rsidR="00E77384" w:rsidRPr="00D826A1" w:rsidRDefault="00E77384" w:rsidP="00E77384">
      <w:r w:rsidRPr="00D826A1">
        <w:t xml:space="preserve">The IGC survey found that for the most part, engagement was driven by universities reaching out to IGCs either through </w:t>
      </w:r>
      <w:r w:rsidR="00FC2B29" w:rsidRPr="00D826A1">
        <w:t>RO</w:t>
      </w:r>
      <w:r w:rsidRPr="00D826A1">
        <w:t xml:space="preserve">s or from </w:t>
      </w:r>
      <w:r w:rsidR="00D8441F" w:rsidRPr="00D826A1">
        <w:t>CI</w:t>
      </w:r>
      <w:r w:rsidRPr="00D826A1">
        <w:t>s; only one IGC reported being proactive in promoting the ITRP to universities and industry.</w:t>
      </w:r>
    </w:p>
    <w:p w14:paraId="71022C81" w14:textId="215A8DB6" w:rsidR="00E77384" w:rsidRPr="00D826A1" w:rsidRDefault="00E77384" w:rsidP="00E77384">
      <w:r w:rsidRPr="00D826A1">
        <w:t xml:space="preserve">IGCs also felt that this engagement was meaningful, with three of the five IGCs feeling that engagement was </w:t>
      </w:r>
      <w:r w:rsidR="00AD6032">
        <w:t>“</w:t>
      </w:r>
      <w:r w:rsidRPr="00D826A1">
        <w:t>very meaningful</w:t>
      </w:r>
      <w:r w:rsidR="00AD6032">
        <w:t>”</w:t>
      </w:r>
      <w:r w:rsidRPr="00D826A1">
        <w:t xml:space="preserve">, one respondent stating that engagement was </w:t>
      </w:r>
      <w:r w:rsidR="00AD6032">
        <w:t>“</w:t>
      </w:r>
      <w:r w:rsidRPr="00D826A1">
        <w:t>meaningful</w:t>
      </w:r>
      <w:r w:rsidR="00AD6032">
        <w:t>”</w:t>
      </w:r>
      <w:r w:rsidRPr="00D826A1">
        <w:t xml:space="preserve">, and the remaining respondent stating that engagement was </w:t>
      </w:r>
      <w:r w:rsidR="00AD6032">
        <w:t>“</w:t>
      </w:r>
      <w:r w:rsidRPr="00D826A1">
        <w:t>somewhat meaningful</w:t>
      </w:r>
      <w:r w:rsidR="00AD6032">
        <w:t>”</w:t>
      </w:r>
      <w:r w:rsidRPr="00D826A1">
        <w:t xml:space="preserve">. Respondents stated that the ability to provide feedback and have discussions with applicants not only benefited the quality of applications but improved knowledge sharing, collaboration and understanding of industry needs and directions. </w:t>
      </w:r>
    </w:p>
    <w:p w14:paraId="7B724839" w14:textId="6D343A15" w:rsidR="00E77384" w:rsidRPr="00D826A1" w:rsidRDefault="00E77384" w:rsidP="00E77384">
      <w:r w:rsidRPr="00D826A1">
        <w:t xml:space="preserve">IGCs were unanimous in their view that interaction between the ITRP and IGCs supports both programs in achieving their objectives, predominantly </w:t>
      </w:r>
      <w:r w:rsidR="00AA05AE" w:rsidRPr="00D826A1">
        <w:t>by enabling</w:t>
      </w:r>
      <w:r w:rsidRPr="00D826A1">
        <w:t xml:space="preserve"> collaboration between industry and academia and through knowledge transfer.</w:t>
      </w:r>
    </w:p>
    <w:p w14:paraId="6A499A2E" w14:textId="77777777" w:rsidR="00E77384" w:rsidRPr="00D826A1" w:rsidRDefault="00E77384" w:rsidP="00E77384">
      <w:pPr>
        <w:pStyle w:val="Heading4"/>
      </w:pPr>
      <w:r w:rsidRPr="00D826A1">
        <w:t>Perceived usefulness and value of the advice provided by Growth Centres to universities, researchers and partner organisations</w:t>
      </w:r>
    </w:p>
    <w:p w14:paraId="24ACD112" w14:textId="450DAB3B" w:rsidR="00E77384" w:rsidRPr="00D826A1" w:rsidRDefault="009F5E4D" w:rsidP="00E77384">
      <w:r w:rsidRPr="00D826A1">
        <w:t xml:space="preserve">ROs, </w:t>
      </w:r>
      <w:proofErr w:type="spellStart"/>
      <w:r w:rsidRPr="00D826A1">
        <w:t>Dirs</w:t>
      </w:r>
      <w:proofErr w:type="spellEnd"/>
      <w:r w:rsidRPr="00D826A1">
        <w:t xml:space="preserve">, CIs and PIs </w:t>
      </w:r>
      <w:r w:rsidR="00E77384" w:rsidRPr="00D826A1">
        <w:t xml:space="preserve">had mixed views on the usefulness of advice provided by </w:t>
      </w:r>
      <w:r w:rsidR="00EA0187">
        <w:t>IGC</w:t>
      </w:r>
      <w:r w:rsidR="00E77384" w:rsidRPr="00D826A1">
        <w:t>s (</w:t>
      </w:r>
      <w:r w:rsidR="00E77384" w:rsidRPr="00D826A1">
        <w:fldChar w:fldCharType="begin"/>
      </w:r>
      <w:r w:rsidR="00E77384" w:rsidRPr="00D826A1">
        <w:instrText xml:space="preserve"> REF _Ref3900673 \r \h </w:instrText>
      </w:r>
      <w:r w:rsidR="00D826A1">
        <w:instrText xml:space="preserve"> \* MERGEFORMAT </w:instrText>
      </w:r>
      <w:r w:rsidR="00E77384" w:rsidRPr="00D826A1">
        <w:fldChar w:fldCharType="separate"/>
      </w:r>
      <w:r w:rsidR="00CD7DEE">
        <w:t>Figure 9</w:t>
      </w:r>
      <w:r w:rsidR="00E77384" w:rsidRPr="00D826A1">
        <w:fldChar w:fldCharType="end"/>
      </w:r>
      <w:r w:rsidR="00E77384" w:rsidRPr="00D826A1">
        <w:t xml:space="preserve">). </w:t>
      </w:r>
      <w:r w:rsidR="00B44E2E" w:rsidRPr="00D826A1">
        <w:t xml:space="preserve">The most positive area </w:t>
      </w:r>
      <w:r w:rsidR="003528E8" w:rsidRPr="00D826A1">
        <w:t xml:space="preserve">was identifying university research partners, (about which only PI respondents were asked) </w:t>
      </w:r>
      <w:r w:rsidR="00B44E2E" w:rsidRPr="00D826A1">
        <w:t xml:space="preserve">and the most negative area </w:t>
      </w:r>
      <w:r w:rsidR="003528E8" w:rsidRPr="00D826A1">
        <w:t xml:space="preserve">was the ability of IGCs to identify industry partners and enable collaboration (about </w:t>
      </w:r>
      <w:r w:rsidR="00FA691B">
        <w:t xml:space="preserve">which </w:t>
      </w:r>
      <w:r w:rsidR="003528E8" w:rsidRPr="00D826A1">
        <w:t xml:space="preserve">only ROs, </w:t>
      </w:r>
      <w:proofErr w:type="spellStart"/>
      <w:r w:rsidR="003528E8" w:rsidRPr="00D826A1">
        <w:t>Dirs</w:t>
      </w:r>
      <w:proofErr w:type="spellEnd"/>
      <w:r w:rsidR="003528E8" w:rsidRPr="00D826A1">
        <w:t xml:space="preserve"> and CIs were asked)</w:t>
      </w:r>
      <w:r w:rsidR="002B3DEB" w:rsidRPr="00D826A1">
        <w:t xml:space="preserve">. </w:t>
      </w:r>
      <w:r w:rsidR="0044709C" w:rsidRPr="00D826A1">
        <w:t xml:space="preserve">For questions answered by ROs, </w:t>
      </w:r>
      <w:proofErr w:type="spellStart"/>
      <w:r w:rsidR="0044709C" w:rsidRPr="00D826A1">
        <w:t>Dirs</w:t>
      </w:r>
      <w:proofErr w:type="spellEnd"/>
      <w:r w:rsidR="0044709C" w:rsidRPr="00D826A1">
        <w:t xml:space="preserve">, CIs and PIs </w:t>
      </w:r>
      <w:r w:rsidR="00B44E2E" w:rsidRPr="00D826A1">
        <w:t>ongoing engagement after establishment</w:t>
      </w:r>
      <w:r w:rsidR="0044709C" w:rsidRPr="00D826A1">
        <w:t xml:space="preserve"> received the most positive responses, while </w:t>
      </w:r>
      <w:r w:rsidR="00E77384" w:rsidRPr="00D826A1">
        <w:t>identifying gaps in existing research</w:t>
      </w:r>
      <w:r w:rsidR="0044709C" w:rsidRPr="00D826A1">
        <w:t xml:space="preserve"> produced the least positive responses</w:t>
      </w:r>
      <w:r w:rsidR="00E77384" w:rsidRPr="00D826A1">
        <w:t xml:space="preserve">. By respondent group, </w:t>
      </w:r>
      <w:r w:rsidR="003F6BFC">
        <w:t>PI</w:t>
      </w:r>
      <w:r w:rsidR="00E77384" w:rsidRPr="00D826A1">
        <w:t xml:space="preserve">s tended to be more positive in their views of IGCs, while </w:t>
      </w:r>
      <w:r w:rsidR="00FC2B29" w:rsidRPr="00D826A1">
        <w:t>ROs</w:t>
      </w:r>
      <w:r w:rsidR="00E77384" w:rsidRPr="00D826A1">
        <w:t xml:space="preserve"> were </w:t>
      </w:r>
      <w:r w:rsidR="002B3DEB" w:rsidRPr="00D826A1">
        <w:t>less positive</w:t>
      </w:r>
      <w:r w:rsidR="00E77384" w:rsidRPr="00D826A1">
        <w:t>.</w:t>
      </w:r>
    </w:p>
    <w:p w14:paraId="14DD6AC5" w14:textId="77777777" w:rsidR="00E77384" w:rsidRPr="00D826A1" w:rsidRDefault="00E77384" w:rsidP="00E77384">
      <w:pPr>
        <w:pStyle w:val="FigureHeading"/>
      </w:pPr>
      <w:bookmarkStart w:id="110" w:name="_Ref3900673"/>
      <w:r w:rsidRPr="00D826A1">
        <w:t>Usefulness of IGC engagement</w:t>
      </w:r>
      <w:bookmarkEnd w:id="110"/>
    </w:p>
    <w:p w14:paraId="0D55C922" w14:textId="58D3AA6A" w:rsidR="00E77384" w:rsidRPr="00D826A1" w:rsidRDefault="00F5408A" w:rsidP="00E77384">
      <w:r>
        <w:rPr>
          <w:noProof/>
          <w:lang w:eastAsia="en-AU"/>
        </w:rPr>
        <w:drawing>
          <wp:inline distT="0" distB="0" distL="0" distR="0" wp14:anchorId="0437A9C1" wp14:editId="3B65A127">
            <wp:extent cx="5499100" cy="3755390"/>
            <wp:effectExtent l="0" t="0" r="6350" b="0"/>
            <wp:docPr id="42" name="Picture 42" descr="Figure 9 depicts the responses of stakeholder on the usefulness of their engagement with Growth Centres in a number of areas." title="Figure 9. Usefulness of IG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3755390"/>
                    </a:xfrm>
                    <a:prstGeom prst="rect">
                      <a:avLst/>
                    </a:prstGeom>
                    <a:noFill/>
                  </pic:spPr>
                </pic:pic>
              </a:graphicData>
            </a:graphic>
          </wp:inline>
        </w:drawing>
      </w:r>
    </w:p>
    <w:p w14:paraId="2F11CE5B" w14:textId="0CFAD9DC" w:rsidR="00E77384" w:rsidRPr="00D826A1" w:rsidRDefault="00E77384" w:rsidP="00E77384">
      <w:r w:rsidRPr="00D826A1">
        <w:t>Interviewees</w:t>
      </w:r>
      <w:r w:rsidR="00816FF9" w:rsidRPr="00D826A1">
        <w:t xml:space="preserve"> from the ARC and DIIS</w:t>
      </w:r>
      <w:r w:rsidRPr="00D826A1">
        <w:t xml:space="preserve"> felt that engagement with </w:t>
      </w:r>
      <w:r w:rsidR="00EA0187">
        <w:t>IGC</w:t>
      </w:r>
      <w:r w:rsidRPr="00D826A1">
        <w:t xml:space="preserve">s </w:t>
      </w:r>
      <w:r w:rsidR="0059359B">
        <w:t>are</w:t>
      </w:r>
      <w:r w:rsidR="0059359B" w:rsidRPr="00D826A1">
        <w:t xml:space="preserve"> </w:t>
      </w:r>
      <w:r w:rsidRPr="00D826A1">
        <w:t xml:space="preserve">a way of gaining valuable advice about industry—particularly insights on market trends, emerging technologies and on ARC and government priorities. </w:t>
      </w:r>
      <w:proofErr w:type="spellStart"/>
      <w:r w:rsidR="00FC2B29" w:rsidRPr="00D826A1">
        <w:t>Dir</w:t>
      </w:r>
      <w:r w:rsidR="00816FF9" w:rsidRPr="00D826A1">
        <w:t>s</w:t>
      </w:r>
      <w:proofErr w:type="spellEnd"/>
      <w:r w:rsidR="00816FF9" w:rsidRPr="00D826A1">
        <w:t xml:space="preserve"> from Research Hubs and Training Centres valued the ad</w:t>
      </w:r>
      <w:r w:rsidRPr="00D826A1">
        <w:t>vice on research projects</w:t>
      </w:r>
      <w:r w:rsidR="00CE26A0">
        <w:t xml:space="preserve"> while</w:t>
      </w:r>
      <w:r w:rsidRPr="00D826A1">
        <w:t xml:space="preserve"> a few talked about adapting/ restructuring projects as a result of advice given.</w:t>
      </w:r>
    </w:p>
    <w:p w14:paraId="59264AF4" w14:textId="0E847AEE" w:rsidR="00E77384" w:rsidRPr="00D826A1" w:rsidRDefault="00E14AE5" w:rsidP="00E77384">
      <w:r w:rsidRPr="00D826A1">
        <w:t xml:space="preserve">All five </w:t>
      </w:r>
      <w:r w:rsidR="00E77384" w:rsidRPr="00D826A1">
        <w:t xml:space="preserve">IGC survey </w:t>
      </w:r>
      <w:r w:rsidRPr="00D826A1">
        <w:t>participants reported providing</w:t>
      </w:r>
      <w:r w:rsidR="00E77384" w:rsidRPr="00D826A1">
        <w:t xml:space="preserve"> advice on industry priorities and on identifying industry partners. Four IGCs also </w:t>
      </w:r>
      <w:r w:rsidRPr="00D826A1">
        <w:t xml:space="preserve">reported </w:t>
      </w:r>
      <w:r w:rsidR="00E77384" w:rsidRPr="00D826A1">
        <w:t>provid</w:t>
      </w:r>
      <w:r w:rsidRPr="00D826A1">
        <w:t>ing</w:t>
      </w:r>
      <w:r w:rsidR="00E77384" w:rsidRPr="00D826A1">
        <w:t xml:space="preserve"> advice on identifying research gaps and on developing research programs to applicants. </w:t>
      </w:r>
      <w:r w:rsidR="008370F7" w:rsidRPr="00D826A1">
        <w:t xml:space="preserve">Other </w:t>
      </w:r>
      <w:r w:rsidR="00E77384" w:rsidRPr="00D826A1">
        <w:t xml:space="preserve">advice was also provided by IGCs </w:t>
      </w:r>
      <w:r w:rsidRPr="00D826A1">
        <w:t xml:space="preserve">on </w:t>
      </w:r>
      <w:r w:rsidR="00E77384" w:rsidRPr="00D826A1">
        <w:t xml:space="preserve">commercialisation, mentoring, and communications plans for </w:t>
      </w:r>
      <w:r w:rsidR="00E10077">
        <w:t>Research Hubs</w:t>
      </w:r>
      <w:r w:rsidR="00E77384" w:rsidRPr="00D826A1">
        <w:t xml:space="preserve"> and </w:t>
      </w:r>
      <w:r w:rsidR="00E10077">
        <w:t>Training Centres</w:t>
      </w:r>
      <w:r w:rsidR="00E77384" w:rsidRPr="00D826A1">
        <w:t>.</w:t>
      </w:r>
    </w:p>
    <w:p w14:paraId="2D1660F0" w14:textId="0F44B46D" w:rsidR="00E77384" w:rsidRPr="00D826A1" w:rsidRDefault="00E14AE5" w:rsidP="00E77384">
      <w:r w:rsidRPr="00D826A1">
        <w:t>T</w:t>
      </w:r>
      <w:r w:rsidR="00E77384" w:rsidRPr="00D826A1">
        <w:t xml:space="preserve">hree of the five IGCs felt that applicants were very receptive to </w:t>
      </w:r>
      <w:r w:rsidRPr="00D826A1">
        <w:t xml:space="preserve">the </w:t>
      </w:r>
      <w:r w:rsidR="00E77384" w:rsidRPr="00D826A1">
        <w:t>advice</w:t>
      </w:r>
      <w:r w:rsidRPr="00D826A1">
        <w:t xml:space="preserve"> they provided</w:t>
      </w:r>
      <w:r w:rsidR="00E77384" w:rsidRPr="00D826A1">
        <w:t xml:space="preserve">, with one respondent </w:t>
      </w:r>
      <w:r w:rsidR="008370F7" w:rsidRPr="00D826A1">
        <w:t xml:space="preserve">feeling </w:t>
      </w:r>
      <w:r w:rsidR="00E77384" w:rsidRPr="00D826A1">
        <w:t xml:space="preserve">that applicants were </w:t>
      </w:r>
      <w:r w:rsidR="00CE26A0">
        <w:t>“</w:t>
      </w:r>
      <w:r w:rsidR="00E77384" w:rsidRPr="00D826A1">
        <w:t>receptive</w:t>
      </w:r>
      <w:r w:rsidR="00CE26A0">
        <w:t>”</w:t>
      </w:r>
      <w:r w:rsidR="00E77384" w:rsidRPr="00D826A1">
        <w:t xml:space="preserve">, and the remaining respondent </w:t>
      </w:r>
      <w:r w:rsidR="008370F7" w:rsidRPr="00D826A1">
        <w:t>feeling</w:t>
      </w:r>
      <w:r w:rsidR="00E77384" w:rsidRPr="00D826A1">
        <w:t xml:space="preserve"> that applicants were </w:t>
      </w:r>
      <w:r w:rsidR="00CE26A0">
        <w:t>“</w:t>
      </w:r>
      <w:r w:rsidR="00E77384" w:rsidRPr="00D826A1">
        <w:t>somewhat receptive</w:t>
      </w:r>
      <w:r w:rsidR="00CE26A0">
        <w:t>”</w:t>
      </w:r>
      <w:r w:rsidR="00E77384" w:rsidRPr="00D826A1">
        <w:t xml:space="preserve">. Respondents noted that this receptiveness was evidenced through a willingness by applicants to incorporate advice into applications, and in some cases, meet further with the IGC to gain a better understanding. The respondent who stated that in their experience applicants were only </w:t>
      </w:r>
      <w:r w:rsidR="00CE26A0">
        <w:t>“</w:t>
      </w:r>
      <w:r w:rsidR="00E77384" w:rsidRPr="00D826A1">
        <w:t>somewhat receptive</w:t>
      </w:r>
      <w:r w:rsidR="00CE26A0">
        <w:t>”</w:t>
      </w:r>
      <w:r w:rsidR="00E77384" w:rsidRPr="00D826A1">
        <w:t xml:space="preserve"> noted a mixed reception by applicants:</w:t>
      </w:r>
    </w:p>
    <w:p w14:paraId="4E91990D" w14:textId="4DB2555D" w:rsidR="00E77384" w:rsidRPr="00D826A1" w:rsidRDefault="00E77384" w:rsidP="00E77384">
      <w:pPr>
        <w:pStyle w:val="Quote"/>
      </w:pPr>
      <w:r w:rsidRPr="00D826A1">
        <w:t xml:space="preserve">Some </w:t>
      </w:r>
      <w:r w:rsidR="00E10077">
        <w:t>Training Centres</w:t>
      </w:r>
      <w:r w:rsidRPr="00D826A1">
        <w:t xml:space="preserve"> see input as a dilution of the idea and without ongoing value, others do not.</w:t>
      </w:r>
    </w:p>
    <w:p w14:paraId="42A95499" w14:textId="77777777" w:rsidR="00E77384" w:rsidRPr="00D826A1" w:rsidRDefault="00E77384" w:rsidP="00E77384">
      <w:pPr>
        <w:pStyle w:val="Quote"/>
        <w:jc w:val="right"/>
      </w:pPr>
      <w:r w:rsidRPr="00D826A1">
        <w:t>- IGC representative</w:t>
      </w:r>
    </w:p>
    <w:p w14:paraId="751F595B" w14:textId="618CF8DF" w:rsidR="00E77384" w:rsidRPr="00D826A1" w:rsidRDefault="00E77384" w:rsidP="00E77384">
      <w:r w:rsidRPr="00D826A1">
        <w:t xml:space="preserve">This </w:t>
      </w:r>
      <w:r w:rsidR="00CB02A0" w:rsidRPr="00D826A1">
        <w:t xml:space="preserve">questioning of the value of IGCs </w:t>
      </w:r>
      <w:r w:rsidRPr="00D826A1">
        <w:t xml:space="preserve">was also articulated by a small number of </w:t>
      </w:r>
      <w:r w:rsidR="00CB02A0" w:rsidRPr="00D826A1">
        <w:t xml:space="preserve">Research Hub </w:t>
      </w:r>
      <w:proofErr w:type="spellStart"/>
      <w:r w:rsidR="00FC2B29" w:rsidRPr="00D826A1">
        <w:t>Dir</w:t>
      </w:r>
      <w:r w:rsidR="00786202" w:rsidRPr="00D826A1">
        <w:t>s</w:t>
      </w:r>
      <w:proofErr w:type="spellEnd"/>
      <w:r w:rsidR="00CB02A0" w:rsidRPr="00D826A1">
        <w:t xml:space="preserve"> (though these interviewees were involved with </w:t>
      </w:r>
      <w:r w:rsidR="00E10077">
        <w:t>Research Hubs</w:t>
      </w:r>
      <w:r w:rsidR="00CB02A0" w:rsidRPr="00D826A1">
        <w:t xml:space="preserve"> that existed prior to the formation of IGCs, so they had not had direct interaction with the IGCs)</w:t>
      </w:r>
      <w:r w:rsidRPr="00D826A1">
        <w:t>.</w:t>
      </w:r>
    </w:p>
    <w:p w14:paraId="4EB3E7DA" w14:textId="77777777" w:rsidR="00E77384" w:rsidRPr="00D826A1" w:rsidRDefault="00E77384" w:rsidP="00E77384">
      <w:pPr>
        <w:pStyle w:val="Heading4"/>
      </w:pPr>
      <w:r w:rsidRPr="00D826A1">
        <w:t>Extent Industry Growth Centres support opportunities for collaboration that may not otherwise occur, or that add to existing collaborations and nature of value-add</w:t>
      </w:r>
    </w:p>
    <w:p w14:paraId="66D27055" w14:textId="0C58D4B4" w:rsidR="00E77384" w:rsidRPr="00D826A1" w:rsidRDefault="00E77384" w:rsidP="00E77384">
      <w:r w:rsidRPr="00D826A1">
        <w:t xml:space="preserve">The majority of </w:t>
      </w:r>
      <w:r w:rsidR="00356B74" w:rsidRPr="00D826A1">
        <w:t xml:space="preserve">respondents (comprising </w:t>
      </w:r>
      <w:r w:rsidR="00B73B49" w:rsidRPr="00D826A1">
        <w:t xml:space="preserve">ROs, </w:t>
      </w:r>
      <w:proofErr w:type="spellStart"/>
      <w:r w:rsidR="00B73B49" w:rsidRPr="00D826A1">
        <w:t>Dirs</w:t>
      </w:r>
      <w:proofErr w:type="spellEnd"/>
      <w:r w:rsidR="00B73B49" w:rsidRPr="00D826A1">
        <w:t xml:space="preserve">, </w:t>
      </w:r>
      <w:proofErr w:type="spellStart"/>
      <w:r w:rsidR="00B73B49" w:rsidRPr="00D826A1">
        <w:t>Mgrs</w:t>
      </w:r>
      <w:proofErr w:type="spellEnd"/>
      <w:r w:rsidR="00B73B49" w:rsidRPr="00D826A1">
        <w:t>, CIs and PIs</w:t>
      </w:r>
      <w:r w:rsidR="00356B74" w:rsidRPr="00D826A1">
        <w:t>)</w:t>
      </w:r>
      <w:r w:rsidRPr="00D826A1">
        <w:t xml:space="preserve"> </w:t>
      </w:r>
      <w:r w:rsidR="008F6B6D" w:rsidRPr="00D826A1">
        <w:t xml:space="preserve">together </w:t>
      </w:r>
      <w:r w:rsidRPr="00D826A1">
        <w:t xml:space="preserve">felt that engagement with IGCs had supported collaborations </w:t>
      </w:r>
      <w:r w:rsidR="003B501A" w:rsidRPr="00D826A1">
        <w:t xml:space="preserve">in a number of ways </w:t>
      </w:r>
      <w:r w:rsidRPr="00D826A1">
        <w:t>(</w:t>
      </w:r>
      <w:r w:rsidRPr="00D826A1">
        <w:fldChar w:fldCharType="begin"/>
      </w:r>
      <w:r w:rsidRPr="00D826A1">
        <w:instrText xml:space="preserve"> REF _Ref3901448 \r \h </w:instrText>
      </w:r>
      <w:r w:rsidR="00D826A1">
        <w:instrText xml:space="preserve"> \* MERGEFORMAT </w:instrText>
      </w:r>
      <w:r w:rsidRPr="00D826A1">
        <w:fldChar w:fldCharType="separate"/>
      </w:r>
      <w:r w:rsidR="00CD7DEE">
        <w:t>Figure 10</w:t>
      </w:r>
      <w:r w:rsidRPr="00D826A1">
        <w:fldChar w:fldCharType="end"/>
      </w:r>
      <w:r w:rsidRPr="00D826A1">
        <w:t xml:space="preserve">). </w:t>
      </w:r>
      <w:r w:rsidR="00FC2B29" w:rsidRPr="00D826A1">
        <w:t>ROs</w:t>
      </w:r>
      <w:r w:rsidRPr="00D826A1">
        <w:t xml:space="preserve"> tended to be most positive, while </w:t>
      </w:r>
      <w:proofErr w:type="spellStart"/>
      <w:r w:rsidR="00FC2B29" w:rsidRPr="00D826A1">
        <w:t>Dir</w:t>
      </w:r>
      <w:r w:rsidRPr="00D826A1">
        <w:t>s</w:t>
      </w:r>
      <w:proofErr w:type="spellEnd"/>
      <w:r w:rsidRPr="00D826A1">
        <w:t xml:space="preserve"> and </w:t>
      </w:r>
      <w:r w:rsidR="00D8441F" w:rsidRPr="00D826A1">
        <w:t>CI</w:t>
      </w:r>
      <w:r w:rsidRPr="00D826A1">
        <w:t>s were less positive.</w:t>
      </w:r>
    </w:p>
    <w:p w14:paraId="322C5A6D" w14:textId="77777777" w:rsidR="00E77384" w:rsidRPr="00D826A1" w:rsidRDefault="00E77384" w:rsidP="00E77384">
      <w:pPr>
        <w:pStyle w:val="FigureHeading"/>
      </w:pPr>
      <w:bookmarkStart w:id="111" w:name="_Ref3901448"/>
      <w:r w:rsidRPr="00D826A1">
        <w:t>IGC support for collaborations</w:t>
      </w:r>
      <w:bookmarkEnd w:id="111"/>
    </w:p>
    <w:p w14:paraId="6A95D080" w14:textId="282C752F" w:rsidR="00E77384" w:rsidRPr="00D826A1" w:rsidRDefault="00F5408A" w:rsidP="00E77384">
      <w:r>
        <w:rPr>
          <w:noProof/>
          <w:lang w:eastAsia="en-AU"/>
        </w:rPr>
        <w:drawing>
          <wp:inline distT="0" distB="0" distL="0" distR="0" wp14:anchorId="12155049" wp14:editId="5A28EC70">
            <wp:extent cx="5499100" cy="3213100"/>
            <wp:effectExtent l="0" t="0" r="6350" b="6350"/>
            <wp:docPr id="43" name="Picture 43" descr="Figure 10 depicts the responses of stakeholders on whether engagement with Growth Centres supported opportunites for collaboration to undertake research and research training, the creation of new collaborations, and added value to existing collaborations." title="Figure 10. IGC support for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106CB497" w14:textId="75FECF45" w:rsidR="00E77384" w:rsidRPr="00D826A1" w:rsidRDefault="003B501A" w:rsidP="00E77384">
      <w:r w:rsidRPr="00D826A1">
        <w:t>C</w:t>
      </w:r>
      <w:r w:rsidR="00E77384" w:rsidRPr="00D826A1">
        <w:t>omments on the benefits of IGCs supported this result</w:t>
      </w:r>
      <w:r w:rsidRPr="00D826A1">
        <w:t xml:space="preserve">. Among 118 comments provided, </w:t>
      </w:r>
      <w:r w:rsidR="00E77384" w:rsidRPr="00D826A1">
        <w:t xml:space="preserve">27 per cent </w:t>
      </w:r>
      <w:r w:rsidRPr="00D826A1">
        <w:t>addressed</w:t>
      </w:r>
      <w:r w:rsidR="00E77384" w:rsidRPr="00D826A1">
        <w:t xml:space="preserve"> the role of the IGC in promoting partnerships. A further 21 per cent discussed the role of the IGCs in providing market advice, and 15 per cent </w:t>
      </w:r>
      <w:r w:rsidRPr="00D826A1">
        <w:t xml:space="preserve">described </w:t>
      </w:r>
      <w:r w:rsidR="00E77384" w:rsidRPr="00D826A1">
        <w:t>their involvement in the design process as beneficial.</w:t>
      </w:r>
    </w:p>
    <w:p w14:paraId="3558C286" w14:textId="227CA744" w:rsidR="00E77384" w:rsidRPr="00D826A1" w:rsidRDefault="00115274" w:rsidP="00E77384">
      <w:r w:rsidRPr="00D826A1">
        <w:t xml:space="preserve">Dir and </w:t>
      </w:r>
      <w:proofErr w:type="spellStart"/>
      <w:r w:rsidRPr="00D826A1">
        <w:t>Mgr</w:t>
      </w:r>
      <w:proofErr w:type="spellEnd"/>
      <w:r w:rsidRPr="00D826A1">
        <w:t xml:space="preserve"> i</w:t>
      </w:r>
      <w:r w:rsidR="00E77384" w:rsidRPr="00D826A1">
        <w:t>nterviewees</w:t>
      </w:r>
      <w:r w:rsidR="00B73B49" w:rsidRPr="00D826A1">
        <w:t xml:space="preserve"> from Research Hubs and Training Centres</w:t>
      </w:r>
      <w:r w:rsidR="00E77384" w:rsidRPr="00D826A1">
        <w:t xml:space="preserve"> were also positive in this regard. As examples, one Training Centre </w:t>
      </w:r>
      <w:r w:rsidR="00FC2B29" w:rsidRPr="00D826A1">
        <w:t>Dir</w:t>
      </w:r>
      <w:r w:rsidR="00B73B49" w:rsidRPr="00D826A1">
        <w:t xml:space="preserve"> </w:t>
      </w:r>
      <w:r w:rsidR="00E77384" w:rsidRPr="00D826A1">
        <w:t>reported that a</w:t>
      </w:r>
      <w:r w:rsidR="00EA0187">
        <w:t>n</w:t>
      </w:r>
      <w:r w:rsidR="00E77384" w:rsidRPr="00D826A1">
        <w:t xml:space="preserve"> </w:t>
      </w:r>
      <w:r w:rsidR="00EA0187">
        <w:t>IGC</w:t>
      </w:r>
      <w:r w:rsidR="00E77384" w:rsidRPr="00D826A1">
        <w:t xml:space="preserve"> identified potential small to medium enterprise (SME) partners for a research project, which they would not have otherwise known about or collaborated with. Two Research Hub </w:t>
      </w:r>
      <w:proofErr w:type="spellStart"/>
      <w:r w:rsidR="00FC2B29" w:rsidRPr="00D826A1">
        <w:t>Dir</w:t>
      </w:r>
      <w:r w:rsidR="00B73B49" w:rsidRPr="00D826A1">
        <w:t>s</w:t>
      </w:r>
      <w:proofErr w:type="spellEnd"/>
      <w:r w:rsidR="00B73B49" w:rsidRPr="00D826A1">
        <w:t xml:space="preserve"> </w:t>
      </w:r>
      <w:r w:rsidR="00E77384" w:rsidRPr="00D826A1">
        <w:t xml:space="preserve">said that </w:t>
      </w:r>
      <w:r w:rsidR="00EA0187">
        <w:t>IGC</w:t>
      </w:r>
      <w:r w:rsidR="00E77384" w:rsidRPr="00D826A1">
        <w:t xml:space="preserve"> presentations about successful collaborative partnerships between the research and industry sector highlighted opportunities for other partnerships.</w:t>
      </w:r>
    </w:p>
    <w:p w14:paraId="292B54F7" w14:textId="77777777" w:rsidR="00E77384" w:rsidRPr="00D826A1" w:rsidRDefault="00E77384" w:rsidP="00E77384">
      <w:r w:rsidRPr="00D826A1">
        <w:t>Three of the five IGCs surveyed agreed that their involvement in the ITRP supports opportunities for collaboration that may not otherwise occur. One IGC noted that this collaboration also improves efficiency through the reduction of duplicated activities:</w:t>
      </w:r>
    </w:p>
    <w:p w14:paraId="7E6749BD" w14:textId="77777777" w:rsidR="00E77384" w:rsidRPr="00D826A1" w:rsidRDefault="00E77384" w:rsidP="00E77384">
      <w:pPr>
        <w:pStyle w:val="Quote"/>
      </w:pPr>
      <w:r w:rsidRPr="00D826A1">
        <w:t>We have been able to point researchers towards new industry partners as well as towards research collaborators. We are not keen to see research duplicated across Australia.</w:t>
      </w:r>
    </w:p>
    <w:p w14:paraId="5B84D8D6" w14:textId="77777777" w:rsidR="00E77384" w:rsidRPr="00D826A1" w:rsidRDefault="00E77384" w:rsidP="00E77384">
      <w:pPr>
        <w:pStyle w:val="Quote"/>
        <w:jc w:val="right"/>
      </w:pPr>
      <w:r w:rsidRPr="00D826A1">
        <w:t>- IGC representative</w:t>
      </w:r>
    </w:p>
    <w:p w14:paraId="42ED64EC" w14:textId="05B73734" w:rsidR="00E77384" w:rsidRPr="00D826A1" w:rsidRDefault="00E77384" w:rsidP="00E77384">
      <w:pPr>
        <w:pStyle w:val="Heading4"/>
      </w:pPr>
      <w:r w:rsidRPr="00D826A1">
        <w:t xml:space="preserve">Views on the extent Industry Growth Centres support innovative research and the development of well targeted, industry focused </w:t>
      </w:r>
      <w:r w:rsidR="003B501A" w:rsidRPr="00D826A1">
        <w:t>research and research training</w:t>
      </w:r>
    </w:p>
    <w:p w14:paraId="28457E63" w14:textId="60CD8C3F" w:rsidR="00E77384" w:rsidRPr="00D826A1" w:rsidRDefault="00E77384" w:rsidP="00E77384">
      <w:r w:rsidRPr="00D826A1">
        <w:t xml:space="preserve">There was limited information from interviews with </w:t>
      </w:r>
      <w:proofErr w:type="spellStart"/>
      <w:r w:rsidR="003B501A" w:rsidRPr="00D826A1">
        <w:t>Dirs</w:t>
      </w:r>
      <w:proofErr w:type="spellEnd"/>
      <w:r w:rsidR="003B501A" w:rsidRPr="00D826A1">
        <w:t xml:space="preserve"> and </w:t>
      </w:r>
      <w:proofErr w:type="spellStart"/>
      <w:r w:rsidR="003B501A" w:rsidRPr="00D826A1">
        <w:t>Mgrs</w:t>
      </w:r>
      <w:proofErr w:type="spellEnd"/>
      <w:r w:rsidRPr="00D826A1">
        <w:t xml:space="preserve"> in relation to this area, though most interviewees assumed this was the case. Only two of the five IGCs surveyed though felt that their engagement supports innovative research collaboration and the development of well-targeted projects. In relation to this, one IGC noted mixed results depending on the mindset of the applicant:</w:t>
      </w:r>
    </w:p>
    <w:p w14:paraId="0D0E6ED7" w14:textId="77777777" w:rsidR="00E77384" w:rsidRPr="00D826A1" w:rsidRDefault="00E77384" w:rsidP="00E77384">
      <w:pPr>
        <w:pStyle w:val="Quote"/>
      </w:pPr>
      <w:r w:rsidRPr="00D826A1">
        <w:t>Some bids come with partners and defined goals that are relatively set. Other bids are looking for support in defining the goals.</w:t>
      </w:r>
    </w:p>
    <w:p w14:paraId="7DBEDD88" w14:textId="77777777" w:rsidR="00E77384" w:rsidRPr="00D826A1" w:rsidRDefault="00E77384" w:rsidP="00E77384">
      <w:pPr>
        <w:pStyle w:val="Quote"/>
        <w:jc w:val="right"/>
      </w:pPr>
      <w:r w:rsidRPr="00D826A1">
        <w:t>- IGC representative</w:t>
      </w:r>
    </w:p>
    <w:p w14:paraId="7FCE4E78" w14:textId="77777777" w:rsidR="00F21E24" w:rsidRPr="00D826A1" w:rsidRDefault="00F21E24" w:rsidP="00E77384">
      <w:r w:rsidRPr="00D826A1">
        <w:t>From the perspective of the ARC, there was a concern that the limited priorities of the IGCs limited the scope of the ITRP:</w:t>
      </w:r>
    </w:p>
    <w:p w14:paraId="6928D1E3" w14:textId="42C65352" w:rsidR="00F21E24" w:rsidRPr="00D826A1" w:rsidRDefault="00F21E24" w:rsidP="000D037C">
      <w:pPr>
        <w:pStyle w:val="Quote"/>
      </w:pPr>
      <w:r w:rsidRPr="00D826A1">
        <w:t xml:space="preserve">[The ARC should] consider whether the ITRP should be based on just the </w:t>
      </w:r>
      <w:r w:rsidR="00E10077">
        <w:t>G</w:t>
      </w:r>
      <w:r w:rsidRPr="00D826A1">
        <w:t xml:space="preserve">rowth </w:t>
      </w:r>
      <w:r w:rsidR="00E10077">
        <w:t>C</w:t>
      </w:r>
      <w:r w:rsidRPr="00D826A1">
        <w:t>entres or whether it should be based upon whatever priority list the ARC itself actually builds up because by default that leaves us somewhat beholden to another organisation for what the priorities are… is the intent just to support the other agency in which case the other agency may as well run the program or is it there to support academics and could it be engaging with industry in which case their priority should inform our priorities but perhaps not be our priorities to give us a little bit of flexibility.</w:t>
      </w:r>
    </w:p>
    <w:p w14:paraId="68552FE8" w14:textId="488A3C3B" w:rsidR="00F21E24" w:rsidRPr="00D826A1" w:rsidRDefault="00F21E24" w:rsidP="000D037C">
      <w:pPr>
        <w:pStyle w:val="Quote"/>
        <w:jc w:val="right"/>
      </w:pPr>
      <w:r w:rsidRPr="00D826A1">
        <w:rPr>
          <w:i w:val="0"/>
          <w:iCs w:val="0"/>
        </w:rPr>
        <w:t>-</w:t>
      </w:r>
      <w:r w:rsidRPr="00D826A1">
        <w:t xml:space="preserve"> ARC</w:t>
      </w:r>
      <w:r w:rsidR="00544560" w:rsidRPr="00D826A1">
        <w:t xml:space="preserve"> representative</w:t>
      </w:r>
    </w:p>
    <w:p w14:paraId="251FFE92" w14:textId="78A3EB48" w:rsidR="00E77384" w:rsidRPr="00D826A1" w:rsidRDefault="00E77384" w:rsidP="00E77384">
      <w:pPr>
        <w:pStyle w:val="Heading4"/>
      </w:pPr>
      <w:r w:rsidRPr="00D826A1">
        <w:t>Engagement with Industry Growth Centres beyond the proposal stage</w:t>
      </w:r>
    </w:p>
    <w:p w14:paraId="5775DABD" w14:textId="4DF7AB1B" w:rsidR="00E77384" w:rsidRPr="00D826A1" w:rsidRDefault="00E77384" w:rsidP="00E77384">
      <w:r w:rsidRPr="00D826A1">
        <w:t xml:space="preserve">The majority of </w:t>
      </w:r>
      <w:r w:rsidR="00952827" w:rsidRPr="00D826A1">
        <w:t xml:space="preserve">RO, Dir, </w:t>
      </w:r>
      <w:proofErr w:type="spellStart"/>
      <w:r w:rsidR="00952827" w:rsidRPr="00D826A1">
        <w:t>Mgr</w:t>
      </w:r>
      <w:proofErr w:type="spellEnd"/>
      <w:r w:rsidR="00952827" w:rsidRPr="00D826A1">
        <w:t>, CI and PI</w:t>
      </w:r>
      <w:r w:rsidRPr="00D826A1">
        <w:t xml:space="preserve"> respondents to the survey reported engagement with IGCs at all stages of the Training Centre and Research Hub life-cycle (</w:t>
      </w:r>
      <w:r w:rsidRPr="00D826A1">
        <w:fldChar w:fldCharType="begin"/>
      </w:r>
      <w:r w:rsidRPr="00D826A1">
        <w:instrText xml:space="preserve"> REF _Ref3901808 \r \h </w:instrText>
      </w:r>
      <w:r w:rsidR="00D826A1">
        <w:instrText xml:space="preserve"> \* MERGEFORMAT </w:instrText>
      </w:r>
      <w:r w:rsidRPr="00D826A1">
        <w:fldChar w:fldCharType="separate"/>
      </w:r>
      <w:r w:rsidR="00CD7DEE">
        <w:t>Figure 11</w:t>
      </w:r>
      <w:r w:rsidRPr="00D826A1">
        <w:fldChar w:fldCharType="end"/>
      </w:r>
      <w:r w:rsidRPr="00D826A1">
        <w:t xml:space="preserve">). The strongest levels of engagement were reported by </w:t>
      </w:r>
      <w:r w:rsidR="00FC2B29" w:rsidRPr="00D826A1">
        <w:t>ROs</w:t>
      </w:r>
      <w:r w:rsidR="009030C5" w:rsidRPr="00D826A1">
        <w:t>. R</w:t>
      </w:r>
      <w:r w:rsidRPr="00D826A1">
        <w:t>espondents from Training Centres</w:t>
      </w:r>
      <w:r w:rsidR="009030C5" w:rsidRPr="00D826A1">
        <w:t xml:space="preserve"> reported more engagement occurring than those from Research Hubs</w:t>
      </w:r>
      <w:r w:rsidRPr="00D826A1">
        <w:t>.</w:t>
      </w:r>
    </w:p>
    <w:p w14:paraId="5F556B3C" w14:textId="77777777" w:rsidR="00E77384" w:rsidRPr="00D826A1" w:rsidRDefault="00E77384" w:rsidP="00E77384">
      <w:pPr>
        <w:pStyle w:val="FigureHeading"/>
      </w:pPr>
      <w:bookmarkStart w:id="112" w:name="_Ref3901808"/>
      <w:r w:rsidRPr="00D826A1">
        <w:t>IGC engagement</w:t>
      </w:r>
      <w:bookmarkEnd w:id="112"/>
    </w:p>
    <w:p w14:paraId="6AFFD02F" w14:textId="5264E9B9" w:rsidR="00E77384" w:rsidRPr="00D826A1" w:rsidRDefault="00F5408A" w:rsidP="00E77384">
      <w:r>
        <w:rPr>
          <w:noProof/>
          <w:lang w:eastAsia="en-AU"/>
        </w:rPr>
        <w:drawing>
          <wp:inline distT="0" distB="0" distL="0" distR="0" wp14:anchorId="6D184FBB" wp14:editId="4F6C0277">
            <wp:extent cx="5499100" cy="3213100"/>
            <wp:effectExtent l="0" t="0" r="6350" b="6350"/>
            <wp:docPr id="44" name="Picture 44" descr="Figure 11 depicts the responses of stakeholders on the stages at which their engagment with Growth Centres occurred." title="Figure 11. IG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72E290C9" w14:textId="66DC0395" w:rsidR="00E77384" w:rsidRPr="00D826A1" w:rsidRDefault="00E77384" w:rsidP="00E77384">
      <w:r w:rsidRPr="00D826A1">
        <w:t xml:space="preserve">On average, </w:t>
      </w:r>
      <w:proofErr w:type="spellStart"/>
      <w:r w:rsidR="009030C5" w:rsidRPr="00D826A1">
        <w:t>Dirs</w:t>
      </w:r>
      <w:proofErr w:type="spellEnd"/>
      <w:r w:rsidR="009030C5" w:rsidRPr="00D826A1">
        <w:t xml:space="preserve">, </w:t>
      </w:r>
      <w:proofErr w:type="spellStart"/>
      <w:r w:rsidR="009030C5" w:rsidRPr="00D826A1">
        <w:t>Mgrs</w:t>
      </w:r>
      <w:proofErr w:type="spellEnd"/>
      <w:r w:rsidR="009030C5" w:rsidRPr="00D826A1">
        <w:t>, CIs and PIs</w:t>
      </w:r>
      <w:r w:rsidRPr="00D826A1">
        <w:t xml:space="preserve"> engaged with a single IGC, while </w:t>
      </w:r>
      <w:r w:rsidR="00FC2B29" w:rsidRPr="00D826A1">
        <w:t>ROs</w:t>
      </w:r>
      <w:r w:rsidRPr="00D826A1">
        <w:t xml:space="preserve"> reported engagement with an average of three IGCs, reflecting their broader role in overseeing research at universities, which may have multiple Research Hubs and Training Centres.</w:t>
      </w:r>
    </w:p>
    <w:p w14:paraId="78D956A4" w14:textId="48A6133A" w:rsidR="00E77384" w:rsidRPr="00D826A1" w:rsidRDefault="009030C5" w:rsidP="00E77384">
      <w:r w:rsidRPr="00D826A1">
        <w:t>A</w:t>
      </w:r>
      <w:r w:rsidR="00E77384" w:rsidRPr="00D826A1">
        <w:t xml:space="preserve">ll five </w:t>
      </w:r>
      <w:r w:rsidRPr="00D826A1">
        <w:t xml:space="preserve">IGCs that participated reported that they </w:t>
      </w:r>
      <w:r w:rsidR="00E77384" w:rsidRPr="00D826A1">
        <w:t xml:space="preserve">had been engaged during the proposal phase. </w:t>
      </w:r>
      <w:r w:rsidRPr="00D826A1">
        <w:t>O</w:t>
      </w:r>
      <w:r w:rsidR="00E77384" w:rsidRPr="00D826A1">
        <w:t>nly two reported involvement during the establishment phase, and four reported involvement after establishment.</w:t>
      </w:r>
    </w:p>
    <w:p w14:paraId="44DDD9DF" w14:textId="77777777" w:rsidR="00E77384" w:rsidRPr="00D826A1" w:rsidRDefault="00E77384" w:rsidP="00E77384">
      <w:pPr>
        <w:pStyle w:val="Heading2"/>
      </w:pPr>
      <w:bookmarkStart w:id="113" w:name="_Toc10104795"/>
      <w:bookmarkStart w:id="114" w:name="_Toc10104998"/>
      <w:bookmarkStart w:id="115" w:name="_Toc10105600"/>
      <w:r w:rsidRPr="00D826A1">
        <w:t>ITRP fit with other Australian Government programs that support industry focused research and innovation</w:t>
      </w:r>
      <w:bookmarkEnd w:id="113"/>
      <w:bookmarkEnd w:id="114"/>
      <w:bookmarkEnd w:id="115"/>
    </w:p>
    <w:p w14:paraId="0DFC2970" w14:textId="77777777" w:rsidR="00E77384" w:rsidRPr="00D826A1" w:rsidRDefault="00E77384" w:rsidP="00E77384">
      <w:pPr>
        <w:pStyle w:val="Heading4"/>
      </w:pPr>
      <w:r w:rsidRPr="00D826A1">
        <w:t>Effectiveness of fit with Growth Centres, CRC, CRC-P and the Global Innovation Linkages Program</w:t>
      </w:r>
    </w:p>
    <w:p w14:paraId="1DCE76F8" w14:textId="17C48870" w:rsidR="00E77384" w:rsidRPr="00D826A1" w:rsidRDefault="00FC2B29" w:rsidP="00E77384">
      <w:r w:rsidRPr="00D826A1">
        <w:t>RO</w:t>
      </w:r>
      <w:r w:rsidR="00E77384" w:rsidRPr="00D826A1">
        <w:t xml:space="preserve">s, </w:t>
      </w:r>
      <w:proofErr w:type="spellStart"/>
      <w:r w:rsidRPr="00D826A1">
        <w:t>Dir</w:t>
      </w:r>
      <w:r w:rsidR="00E77384" w:rsidRPr="00D826A1">
        <w:t>s</w:t>
      </w:r>
      <w:proofErr w:type="spellEnd"/>
      <w:r w:rsidR="00E77384" w:rsidRPr="00D826A1">
        <w:t xml:space="preserve">, </w:t>
      </w:r>
      <w:r w:rsidR="00D8441F" w:rsidRPr="00D826A1">
        <w:t>CI</w:t>
      </w:r>
      <w:r w:rsidR="00E77384" w:rsidRPr="00D826A1">
        <w:t xml:space="preserve">s and </w:t>
      </w:r>
      <w:r w:rsidR="003F6BFC">
        <w:t>PI</w:t>
      </w:r>
      <w:r w:rsidR="00E77384" w:rsidRPr="00D826A1">
        <w:t>s were asked to rate the uniqueness of the ITRP on five dimensions as part of the survey (</w:t>
      </w:r>
      <w:r w:rsidR="00E77384" w:rsidRPr="00D826A1">
        <w:fldChar w:fldCharType="begin"/>
      </w:r>
      <w:r w:rsidR="00E77384" w:rsidRPr="00D826A1">
        <w:instrText xml:space="preserve"> REF _Ref3905413 \r \h </w:instrText>
      </w:r>
      <w:r w:rsidR="00D826A1">
        <w:instrText xml:space="preserve"> \* MERGEFORMAT </w:instrText>
      </w:r>
      <w:r w:rsidR="00E77384" w:rsidRPr="00D826A1">
        <w:fldChar w:fldCharType="separate"/>
      </w:r>
      <w:r w:rsidR="00CD7DEE">
        <w:t>Figure 12</w:t>
      </w:r>
      <w:r w:rsidR="00E77384" w:rsidRPr="00D826A1">
        <w:fldChar w:fldCharType="end"/>
      </w:r>
      <w:r w:rsidR="00E77384" w:rsidRPr="00D826A1">
        <w:t xml:space="preserve">). Across all dimensions, respondents generally agreed </w:t>
      </w:r>
      <w:r w:rsidR="00027A7B" w:rsidRPr="00D826A1">
        <w:t xml:space="preserve">in their perception </w:t>
      </w:r>
      <w:r w:rsidR="00E77384" w:rsidRPr="00D826A1">
        <w:t xml:space="preserve">that the ITRP is unique, with the strongest response seen </w:t>
      </w:r>
      <w:r w:rsidR="00CB5EFA" w:rsidRPr="00D826A1">
        <w:t xml:space="preserve">in </w:t>
      </w:r>
      <w:r w:rsidR="00E77384" w:rsidRPr="00D826A1">
        <w:t xml:space="preserve">support for collaborative research training, and the least strong response being in the area of flexibility for establishing and managing research collaboration. </w:t>
      </w:r>
      <w:r w:rsidR="00CB5EFA" w:rsidRPr="00D826A1">
        <w:t xml:space="preserve">Among </w:t>
      </w:r>
      <w:r w:rsidR="00E77384" w:rsidRPr="00D826A1">
        <w:t xml:space="preserve">respondent groups, </w:t>
      </w:r>
      <w:proofErr w:type="spellStart"/>
      <w:r w:rsidRPr="00D826A1">
        <w:t>Dir</w:t>
      </w:r>
      <w:r w:rsidR="00E77384" w:rsidRPr="00D826A1">
        <w:t>s</w:t>
      </w:r>
      <w:proofErr w:type="spellEnd"/>
      <w:r w:rsidR="00E77384" w:rsidRPr="00D826A1">
        <w:t xml:space="preserve"> had the strongest agreement on all dimensions.</w:t>
      </w:r>
    </w:p>
    <w:p w14:paraId="14B6D44C" w14:textId="77777777" w:rsidR="00E77384" w:rsidRPr="00D826A1" w:rsidRDefault="00E77384" w:rsidP="00E77384">
      <w:pPr>
        <w:pStyle w:val="FigureHeading"/>
      </w:pPr>
      <w:bookmarkStart w:id="116" w:name="_Ref3905413"/>
      <w:r w:rsidRPr="00D826A1">
        <w:t>ITRP uniqueness</w:t>
      </w:r>
      <w:bookmarkEnd w:id="116"/>
    </w:p>
    <w:p w14:paraId="44FB3709" w14:textId="220663EF" w:rsidR="00E77384" w:rsidRPr="00D826A1" w:rsidRDefault="00F5408A" w:rsidP="00E77384">
      <w:r>
        <w:rPr>
          <w:noProof/>
          <w:lang w:eastAsia="en-AU"/>
        </w:rPr>
        <w:drawing>
          <wp:inline distT="0" distB="0" distL="0" distR="0" wp14:anchorId="56293D97" wp14:editId="7C68C9E0">
            <wp:extent cx="5499100" cy="2097405"/>
            <wp:effectExtent l="0" t="0" r="6350" b="0"/>
            <wp:docPr id="45" name="Picture 45" descr="Figure 12 depicts the responses of ROs, Dirs, CIs and PIs on the uniqueness of the ITRP among Australian Government programs in a number of areas." title="Figure 12. ITRP uniqu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100" cy="2097405"/>
                    </a:xfrm>
                    <a:prstGeom prst="rect">
                      <a:avLst/>
                    </a:prstGeom>
                    <a:noFill/>
                  </pic:spPr>
                </pic:pic>
              </a:graphicData>
            </a:graphic>
          </wp:inline>
        </w:drawing>
      </w:r>
    </w:p>
    <w:p w14:paraId="747B1C6C" w14:textId="0F130EFE" w:rsidR="00E77384" w:rsidRPr="00D826A1" w:rsidRDefault="00CB5EFA" w:rsidP="00E77384">
      <w:r w:rsidRPr="00D826A1">
        <w:t>Sixty</w:t>
      </w:r>
      <w:r w:rsidR="008739C0" w:rsidRPr="00D826A1">
        <w:t>-</w:t>
      </w:r>
      <w:r w:rsidRPr="00D826A1">
        <w:t>three</w:t>
      </w:r>
      <w:r w:rsidR="00E77384" w:rsidRPr="00D826A1">
        <w:t xml:space="preserve"> per cent of survey respondents agreed </w:t>
      </w:r>
      <w:r w:rsidR="00404802" w:rsidRPr="00D826A1">
        <w:t xml:space="preserve">in their perception </w:t>
      </w:r>
      <w:r w:rsidR="00E77384" w:rsidRPr="00D826A1">
        <w:t>that the ITRP effectively complements other Australian Government programs, and a further 28 per cent mildly agree</w:t>
      </w:r>
      <w:r w:rsidRPr="00D826A1">
        <w:t>d</w:t>
      </w:r>
      <w:r w:rsidR="00E77384" w:rsidRPr="00D826A1">
        <w:t xml:space="preserve"> with this statement (</w:t>
      </w:r>
      <w:r w:rsidR="00E77384" w:rsidRPr="00D826A1">
        <w:fldChar w:fldCharType="begin"/>
      </w:r>
      <w:r w:rsidR="00E77384" w:rsidRPr="00D826A1">
        <w:instrText xml:space="preserve"> REF _Ref3905481 \r \h </w:instrText>
      </w:r>
      <w:r w:rsidR="00D826A1">
        <w:instrText xml:space="preserve"> \* MERGEFORMAT </w:instrText>
      </w:r>
      <w:r w:rsidR="00E77384" w:rsidRPr="00D826A1">
        <w:fldChar w:fldCharType="separate"/>
      </w:r>
      <w:r w:rsidR="00CD7DEE">
        <w:t>Figure 13</w:t>
      </w:r>
      <w:r w:rsidR="00E77384" w:rsidRPr="00D826A1">
        <w:fldChar w:fldCharType="end"/>
      </w:r>
      <w:r w:rsidR="00E77384" w:rsidRPr="00D826A1">
        <w:t xml:space="preserve">). Again, </w:t>
      </w:r>
      <w:proofErr w:type="spellStart"/>
      <w:r w:rsidR="00FC2B29" w:rsidRPr="00D826A1">
        <w:t>Dir</w:t>
      </w:r>
      <w:r w:rsidR="00E77384" w:rsidRPr="00D826A1">
        <w:t>s</w:t>
      </w:r>
      <w:proofErr w:type="spellEnd"/>
      <w:r w:rsidR="00E77384" w:rsidRPr="00D826A1">
        <w:t xml:space="preserve"> agreed most strongly with this statement relative to other groups.</w:t>
      </w:r>
    </w:p>
    <w:p w14:paraId="31FE585E" w14:textId="410F8694" w:rsidR="00E77384" w:rsidRPr="00D826A1" w:rsidRDefault="00E77384" w:rsidP="00E77384">
      <w:pPr>
        <w:pStyle w:val="FigureHeading"/>
      </w:pPr>
      <w:bookmarkStart w:id="117" w:name="_Ref3905481"/>
      <w:r w:rsidRPr="00D826A1">
        <w:t>ITRP complementarity</w:t>
      </w:r>
      <w:bookmarkEnd w:id="117"/>
      <w:r w:rsidR="00CB5EFA" w:rsidRPr="00D826A1">
        <w:t xml:space="preserve"> with other Australian Government programs</w:t>
      </w:r>
    </w:p>
    <w:p w14:paraId="0590CED1" w14:textId="180BCCC3" w:rsidR="00E77384" w:rsidRPr="00D826A1" w:rsidRDefault="00F5408A" w:rsidP="00E77384">
      <w:r>
        <w:rPr>
          <w:noProof/>
          <w:lang w:eastAsia="en-AU"/>
        </w:rPr>
        <w:drawing>
          <wp:inline distT="0" distB="0" distL="0" distR="0" wp14:anchorId="5079B079" wp14:editId="354B41EE">
            <wp:extent cx="5499100" cy="2097405"/>
            <wp:effectExtent l="0" t="0" r="6350" b="0"/>
            <wp:docPr id="46" name="Picture 46" descr="Figure 13 depicts the responses of stakeholders on the extent of their agreement that the ITRP effectively complements other Australian Government programs that support industry focused research and innovation." title="Figure 13. ITRP complementarity with other Australian Govern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9100" cy="2097405"/>
                    </a:xfrm>
                    <a:prstGeom prst="rect">
                      <a:avLst/>
                    </a:prstGeom>
                    <a:noFill/>
                  </pic:spPr>
                </pic:pic>
              </a:graphicData>
            </a:graphic>
          </wp:inline>
        </w:drawing>
      </w:r>
    </w:p>
    <w:p w14:paraId="1F5AD20A" w14:textId="0283050B" w:rsidR="00E77384" w:rsidRPr="00D826A1" w:rsidRDefault="00E77384" w:rsidP="00E77384">
      <w:r w:rsidRPr="00D826A1">
        <w:t xml:space="preserve">IGC survey respondents generally agreed </w:t>
      </w:r>
      <w:r w:rsidR="00485417" w:rsidRPr="00D826A1">
        <w:t xml:space="preserve">in their perception </w:t>
      </w:r>
      <w:r w:rsidRPr="00D826A1">
        <w:t xml:space="preserve">that the ITRP effectively complements other Australian Government programs, though one respondent felt there was a lack of alignment with CRCs. </w:t>
      </w:r>
      <w:r w:rsidR="0002230A" w:rsidRPr="00D826A1">
        <w:t>Among the five IGC respondents, f</w:t>
      </w:r>
      <w:r w:rsidR="00822F76" w:rsidRPr="00D826A1">
        <w:t>our agreed</w:t>
      </w:r>
      <w:r w:rsidRPr="00D826A1">
        <w:t xml:space="preserve"> the </w:t>
      </w:r>
      <w:r w:rsidR="00CB5EFA" w:rsidRPr="00D826A1">
        <w:t xml:space="preserve">ITRP </w:t>
      </w:r>
      <w:r w:rsidRPr="00D826A1">
        <w:t>was unique amongst government programs in providing support for integrated collaborative research training</w:t>
      </w:r>
      <w:r w:rsidR="0002230A" w:rsidRPr="00D826A1">
        <w:t>. Fewer agreed on its uniqueness in other areas</w:t>
      </w:r>
      <w:r w:rsidRPr="00D826A1">
        <w:t>.</w:t>
      </w:r>
      <w:r w:rsidR="00CB5EFA" w:rsidRPr="00D826A1">
        <w:t xml:space="preserve"> </w:t>
      </w:r>
    </w:p>
    <w:p w14:paraId="5D3E67D1" w14:textId="77653269" w:rsidR="007C323B" w:rsidRPr="00D826A1" w:rsidRDefault="00EB5103" w:rsidP="00E77384">
      <w:r w:rsidRPr="00D826A1">
        <w:t>Interviews with both ARC and DIIS</w:t>
      </w:r>
      <w:r w:rsidR="00544560" w:rsidRPr="00D826A1">
        <w:t xml:space="preserve"> representatives</w:t>
      </w:r>
      <w:r w:rsidRPr="00D826A1">
        <w:t xml:space="preserve"> indicated that the ITRP is seen as a complement to other industry focused schemes:</w:t>
      </w:r>
    </w:p>
    <w:p w14:paraId="3DA27C31" w14:textId="012BC54B" w:rsidR="00EB5103" w:rsidRPr="00D826A1" w:rsidRDefault="00EB5103" w:rsidP="000D037C">
      <w:pPr>
        <w:pStyle w:val="Quote"/>
      </w:pPr>
      <w:r w:rsidRPr="00D826A1">
        <w:t xml:space="preserve">We have the </w:t>
      </w:r>
      <w:r w:rsidR="009B2468">
        <w:t>L</w:t>
      </w:r>
      <w:r w:rsidRPr="00D826A1">
        <w:t>inkage projects, which are smaller, then we go into our industrial transformation research programs, and then we’ve got our own ARC centres. They’re sort of equivalent with the CRC. Because ours are initiated by academics they, in my mind, sit quite neatly against the CRCs and the industry-focused ones, which can often have industry as the administering body for the money.</w:t>
      </w:r>
    </w:p>
    <w:p w14:paraId="5243401D" w14:textId="7B0D2A5D" w:rsidR="00EB5103" w:rsidRPr="00D826A1" w:rsidRDefault="00EB5103" w:rsidP="000D037C">
      <w:pPr>
        <w:pStyle w:val="Quote"/>
        <w:jc w:val="right"/>
      </w:pPr>
      <w:r w:rsidRPr="00D826A1">
        <w:t>- ARC</w:t>
      </w:r>
      <w:r w:rsidR="00544560" w:rsidRPr="00D826A1">
        <w:t xml:space="preserve"> representative</w:t>
      </w:r>
    </w:p>
    <w:p w14:paraId="7A388041" w14:textId="77777777" w:rsidR="00E77384" w:rsidRPr="00D826A1" w:rsidRDefault="00E77384" w:rsidP="00E77384">
      <w:pPr>
        <w:pStyle w:val="Heading4"/>
      </w:pPr>
      <w:r w:rsidRPr="00D826A1">
        <w:t>Reasons administering organisations and their partners seek support under the ITRP rather than other industry focused research schemes</w:t>
      </w:r>
    </w:p>
    <w:p w14:paraId="649D2769" w14:textId="57446986" w:rsidR="00E77384" w:rsidRPr="00D826A1" w:rsidRDefault="00E77384" w:rsidP="00E77384">
      <w:pPr>
        <w:rPr>
          <w:rFonts w:asciiTheme="minorHAnsi" w:hAnsiTheme="minorHAnsi" w:cstheme="minorHAnsi"/>
        </w:rPr>
      </w:pPr>
      <w:r w:rsidRPr="00D826A1">
        <w:t xml:space="preserve">Interviews with </w:t>
      </w:r>
      <w:r w:rsidR="00FC2B29" w:rsidRPr="00D826A1">
        <w:t>RO</w:t>
      </w:r>
      <w:r w:rsidR="008739C0" w:rsidRPr="00D826A1">
        <w:t xml:space="preserve">s and </w:t>
      </w:r>
      <w:proofErr w:type="spellStart"/>
      <w:r w:rsidR="00FC2B29" w:rsidRPr="00D826A1">
        <w:t>Dir</w:t>
      </w:r>
      <w:r w:rsidR="008739C0" w:rsidRPr="00D826A1">
        <w:t>s</w:t>
      </w:r>
      <w:proofErr w:type="spellEnd"/>
      <w:r w:rsidRPr="00D826A1">
        <w:t xml:space="preserve"> found that the primary reason for seeking support under the ITRP was that l</w:t>
      </w:r>
      <w:r w:rsidRPr="00D826A1">
        <w:rPr>
          <w:rFonts w:asciiTheme="minorHAnsi" w:hAnsiTheme="minorHAnsi" w:cstheme="minorHAnsi"/>
        </w:rPr>
        <w:t>arger scale projects can be funded, compared with other industry funded research schemes:</w:t>
      </w:r>
    </w:p>
    <w:p w14:paraId="7BFDD343" w14:textId="77777777" w:rsidR="00E77384" w:rsidRPr="00D826A1" w:rsidRDefault="00E77384" w:rsidP="00E77384">
      <w:pPr>
        <w:pStyle w:val="Quote"/>
      </w:pPr>
      <w:r w:rsidRPr="00D826A1">
        <w:t>What the Hub represented was … a conglomeration of a number of these ARC Linkages - in other words, a much more efficient way of trying to apply and then ultimately a more efficient way of trying to deliver a number of these ARC Linkages that have all been sort of brought together.</w:t>
      </w:r>
    </w:p>
    <w:p w14:paraId="539EB5AA" w14:textId="6DFF1C73" w:rsidR="00E77384" w:rsidRPr="00D826A1" w:rsidRDefault="00E77384" w:rsidP="00E77384">
      <w:pPr>
        <w:pStyle w:val="ListParagraph"/>
        <w:numPr>
          <w:ilvl w:val="0"/>
          <w:numId w:val="20"/>
        </w:numPr>
        <w:jc w:val="right"/>
      </w:pPr>
      <w:r w:rsidRPr="00D826A1">
        <w:rPr>
          <w:rFonts w:asciiTheme="minorHAnsi" w:hAnsiTheme="minorHAnsi" w:cstheme="minorHAnsi"/>
          <w:i/>
        </w:rPr>
        <w:t xml:space="preserve">Research Hub </w:t>
      </w:r>
      <w:r w:rsidR="00FC2B29" w:rsidRPr="00D826A1">
        <w:rPr>
          <w:rFonts w:asciiTheme="minorHAnsi" w:hAnsiTheme="minorHAnsi" w:cstheme="minorHAnsi"/>
          <w:i/>
        </w:rPr>
        <w:t>Dir</w:t>
      </w:r>
    </w:p>
    <w:p w14:paraId="0AAC0C35" w14:textId="77777777" w:rsidR="00E77384" w:rsidRPr="00D826A1" w:rsidRDefault="00E77384" w:rsidP="00E77384">
      <w:pPr>
        <w:rPr>
          <w:rFonts w:asciiTheme="minorHAnsi" w:hAnsiTheme="minorHAnsi" w:cstheme="minorHAnsi"/>
        </w:rPr>
      </w:pPr>
      <w:r w:rsidRPr="00D826A1">
        <w:rPr>
          <w:rFonts w:asciiTheme="minorHAnsi" w:hAnsiTheme="minorHAnsi" w:cstheme="minorHAnsi"/>
        </w:rPr>
        <w:t xml:space="preserve">The larger scale also enables less pressure to seek large contributions from industry towards research projects: </w:t>
      </w:r>
    </w:p>
    <w:p w14:paraId="055D11BE" w14:textId="77777777" w:rsidR="00E77384" w:rsidRPr="00D826A1" w:rsidRDefault="00E77384" w:rsidP="00E77384">
      <w:pPr>
        <w:pStyle w:val="Quote"/>
      </w:pPr>
      <w:r w:rsidRPr="00D826A1">
        <w:t xml:space="preserve">There is not a big onus for us to get huge amounts of cash from industry because you cannot always find it, and if they have a huge amount of cash they [industry] tend to run their own project, which is a bit more confidential. </w:t>
      </w:r>
    </w:p>
    <w:p w14:paraId="5E7E5A3F" w14:textId="0939AD55" w:rsidR="00E77384" w:rsidRPr="00D826A1" w:rsidRDefault="00E77384" w:rsidP="00E77384">
      <w:pPr>
        <w:pStyle w:val="Quote"/>
        <w:numPr>
          <w:ilvl w:val="0"/>
          <w:numId w:val="20"/>
        </w:numPr>
        <w:jc w:val="right"/>
      </w:pPr>
      <w:r w:rsidRPr="00D826A1">
        <w:t xml:space="preserve">Training Centre </w:t>
      </w:r>
      <w:r w:rsidR="00FC2B29" w:rsidRPr="00D826A1">
        <w:t>Dir</w:t>
      </w:r>
    </w:p>
    <w:p w14:paraId="305913E1" w14:textId="3ABCF7EA" w:rsidR="00E77384" w:rsidRPr="00D826A1" w:rsidRDefault="00E77384" w:rsidP="00E77384">
      <w:r w:rsidRPr="00D826A1">
        <w:t xml:space="preserve">Other reasons for seeking support highlighted by </w:t>
      </w:r>
      <w:r w:rsidR="00FC2B29" w:rsidRPr="00D826A1">
        <w:t>RO</w:t>
      </w:r>
      <w:r w:rsidR="008739C0" w:rsidRPr="00D826A1">
        <w:t xml:space="preserve">s and </w:t>
      </w:r>
      <w:proofErr w:type="spellStart"/>
      <w:r w:rsidR="00FC2B29" w:rsidRPr="00D826A1">
        <w:t>Dir</w:t>
      </w:r>
      <w:r w:rsidR="008739C0" w:rsidRPr="00D826A1">
        <w:t>s</w:t>
      </w:r>
      <w:proofErr w:type="spellEnd"/>
      <w:r w:rsidR="008739C0" w:rsidRPr="00D826A1">
        <w:t xml:space="preserve"> </w:t>
      </w:r>
      <w:r w:rsidRPr="00D826A1">
        <w:t xml:space="preserve">include: </w:t>
      </w:r>
    </w:p>
    <w:p w14:paraId="645C7547" w14:textId="77777777" w:rsidR="00E77384" w:rsidRPr="00D826A1" w:rsidRDefault="00E77384" w:rsidP="00E77384">
      <w:pPr>
        <w:pStyle w:val="ListBullet"/>
      </w:pPr>
      <w:r w:rsidRPr="00D826A1">
        <w:t xml:space="preserve">a focus on student training </w:t>
      </w:r>
    </w:p>
    <w:p w14:paraId="4A0C1D21" w14:textId="77777777" w:rsidR="00E77384" w:rsidRPr="00D826A1" w:rsidRDefault="00E77384" w:rsidP="00E77384">
      <w:pPr>
        <w:pStyle w:val="ListBullet"/>
      </w:pPr>
      <w:r w:rsidRPr="00D826A1">
        <w:t xml:space="preserve">extended placements in industry </w:t>
      </w:r>
    </w:p>
    <w:p w14:paraId="4DC649E3" w14:textId="77777777" w:rsidR="00E77384" w:rsidRPr="00D826A1" w:rsidRDefault="00E77384" w:rsidP="00E77384">
      <w:pPr>
        <w:pStyle w:val="ListBullet"/>
      </w:pPr>
      <w:r w:rsidRPr="00D826A1">
        <w:t>broad scope</w:t>
      </w:r>
    </w:p>
    <w:p w14:paraId="4B0D6D92" w14:textId="77777777" w:rsidR="00E77384" w:rsidRPr="00D826A1" w:rsidRDefault="00E77384" w:rsidP="00E77384">
      <w:pPr>
        <w:pStyle w:val="ListBullet"/>
      </w:pPr>
      <w:r w:rsidRPr="00D826A1">
        <w:t>early stage research focus</w:t>
      </w:r>
    </w:p>
    <w:p w14:paraId="5D31474A" w14:textId="77777777" w:rsidR="00E77384" w:rsidRPr="00D826A1" w:rsidRDefault="00E77384" w:rsidP="00E77384">
      <w:pPr>
        <w:pStyle w:val="ListBullet"/>
      </w:pPr>
      <w:r w:rsidRPr="00D826A1">
        <w:t>alignment with university goals for developing industry ready degrees</w:t>
      </w:r>
    </w:p>
    <w:p w14:paraId="4688C623" w14:textId="77777777" w:rsidR="00E77384" w:rsidRPr="00D826A1" w:rsidRDefault="00E77384" w:rsidP="00E77384">
      <w:pPr>
        <w:pStyle w:val="ListBullet"/>
        <w:numPr>
          <w:ilvl w:val="0"/>
          <w:numId w:val="0"/>
        </w:numPr>
        <w:ind w:left="454" w:hanging="454"/>
      </w:pPr>
    </w:p>
    <w:p w14:paraId="082607E8" w14:textId="01694EC0" w:rsidR="00E77384" w:rsidRPr="00D826A1" w:rsidRDefault="00E77384" w:rsidP="00E77384">
      <w:pPr>
        <w:pStyle w:val="ListBullet"/>
        <w:numPr>
          <w:ilvl w:val="0"/>
          <w:numId w:val="0"/>
        </w:numPr>
      </w:pPr>
      <w:r w:rsidRPr="00D826A1">
        <w:t xml:space="preserve">CRC-Ps and </w:t>
      </w:r>
      <w:r w:rsidR="00272F11" w:rsidRPr="00D826A1">
        <w:t xml:space="preserve">ARC Linkage Projects </w:t>
      </w:r>
      <w:r w:rsidRPr="00D826A1">
        <w:t xml:space="preserve">were most commonly mentioned by </w:t>
      </w:r>
      <w:r w:rsidR="00FC2B29" w:rsidRPr="00D826A1">
        <w:t>RO</w:t>
      </w:r>
      <w:r w:rsidR="006233AB" w:rsidRPr="00D826A1">
        <w:t xml:space="preserve">s and </w:t>
      </w:r>
      <w:proofErr w:type="spellStart"/>
      <w:r w:rsidR="00FC2B29" w:rsidRPr="00D826A1">
        <w:t>Dir</w:t>
      </w:r>
      <w:r w:rsidR="006233AB" w:rsidRPr="00D826A1">
        <w:t>s</w:t>
      </w:r>
      <w:proofErr w:type="spellEnd"/>
      <w:r w:rsidR="006233AB" w:rsidRPr="00D826A1">
        <w:t xml:space="preserve"> </w:t>
      </w:r>
      <w:r w:rsidRPr="00D826A1">
        <w:t xml:space="preserve">as </w:t>
      </w:r>
      <w:r w:rsidR="00272F11" w:rsidRPr="00D826A1">
        <w:t xml:space="preserve">other </w:t>
      </w:r>
      <w:r w:rsidRPr="00D826A1">
        <w:t xml:space="preserve">schemes </w:t>
      </w:r>
      <w:r w:rsidR="00272F11" w:rsidRPr="00D826A1">
        <w:t>they had</w:t>
      </w:r>
      <w:r w:rsidRPr="00D826A1">
        <w:t xml:space="preserve"> applied for. Interviewees felt that by comparison, ITRP is more early stage research focussed than CRC-Ps. Linkage</w:t>
      </w:r>
      <w:r w:rsidR="00272F11" w:rsidRPr="00D826A1">
        <w:t xml:space="preserve"> Projects grant</w:t>
      </w:r>
      <w:r w:rsidRPr="00D826A1">
        <w:t>s were seen as smaller and less connected with industry. The broader CRC program was also mentioned as a comparison, with the primary differentiator being that ITRPs were university-led and less complex to establish and run.</w:t>
      </w:r>
    </w:p>
    <w:p w14:paraId="12792F3C" w14:textId="4E15C446" w:rsidR="00EB5103" w:rsidRPr="00D826A1" w:rsidRDefault="00EB5103" w:rsidP="00E77384">
      <w:pPr>
        <w:pStyle w:val="ListBullet"/>
        <w:numPr>
          <w:ilvl w:val="0"/>
          <w:numId w:val="0"/>
        </w:numPr>
      </w:pPr>
    </w:p>
    <w:p w14:paraId="3225469E" w14:textId="46A77796" w:rsidR="00EB5103" w:rsidRPr="00D826A1" w:rsidRDefault="00EB5103" w:rsidP="00E77384">
      <w:pPr>
        <w:pStyle w:val="ListBullet"/>
        <w:numPr>
          <w:ilvl w:val="0"/>
          <w:numId w:val="0"/>
        </w:numPr>
      </w:pPr>
      <w:r w:rsidRPr="00D826A1">
        <w:t>Interviews with the ARC also found that the early stage research focus was an attractor for applicants</w:t>
      </w:r>
      <w:r w:rsidR="00B53644" w:rsidRPr="00D826A1">
        <w:t>, as well as the ability to work with SMEs</w:t>
      </w:r>
      <w:r w:rsidRPr="00D826A1">
        <w:t>:</w:t>
      </w:r>
    </w:p>
    <w:p w14:paraId="7FC768CE" w14:textId="77777777" w:rsidR="00EB5103" w:rsidRPr="00D826A1" w:rsidRDefault="00EB5103" w:rsidP="00E77384">
      <w:pPr>
        <w:pStyle w:val="ListBullet"/>
        <w:numPr>
          <w:ilvl w:val="0"/>
          <w:numId w:val="0"/>
        </w:numPr>
      </w:pPr>
    </w:p>
    <w:p w14:paraId="3417831A" w14:textId="5EA49731" w:rsidR="00EB5103" w:rsidRPr="00D826A1" w:rsidRDefault="00EB5103" w:rsidP="000D037C">
      <w:pPr>
        <w:pStyle w:val="Quote"/>
      </w:pPr>
      <w:r w:rsidRPr="00D826A1">
        <w:t>[The ITRP] allows them to do a lot more lower development level work</w:t>
      </w:r>
      <w:r w:rsidR="00B53644" w:rsidRPr="00D826A1">
        <w:t>,</w:t>
      </w:r>
      <w:r w:rsidRPr="00D826A1">
        <w:t xml:space="preserve"> taking the idea to see if we can actually make something work out of it and the fact that it doesn’t have as much industry fund matching requirements enables them to work with a lot smaller companies</w:t>
      </w:r>
      <w:r w:rsidR="00B53644" w:rsidRPr="00D826A1">
        <w:t>.</w:t>
      </w:r>
    </w:p>
    <w:p w14:paraId="6B490CF0" w14:textId="2AE0AF9D" w:rsidR="00B53644" w:rsidRPr="00D826A1" w:rsidRDefault="00B53644" w:rsidP="000D037C">
      <w:pPr>
        <w:pStyle w:val="Quote"/>
        <w:jc w:val="right"/>
      </w:pPr>
      <w:r w:rsidRPr="00D826A1">
        <w:t>- ARC</w:t>
      </w:r>
      <w:r w:rsidR="00544560" w:rsidRPr="00D826A1">
        <w:t xml:space="preserve"> representative</w:t>
      </w:r>
    </w:p>
    <w:p w14:paraId="5BFA355A" w14:textId="77777777" w:rsidR="00B53644" w:rsidRPr="00D826A1" w:rsidRDefault="00B53644" w:rsidP="00E77384">
      <w:pPr>
        <w:pStyle w:val="ListBullet"/>
        <w:numPr>
          <w:ilvl w:val="0"/>
          <w:numId w:val="0"/>
        </w:numPr>
      </w:pPr>
    </w:p>
    <w:p w14:paraId="360A04EE" w14:textId="77777777" w:rsidR="00E77384" w:rsidRPr="00D826A1" w:rsidRDefault="00E77384" w:rsidP="00E77384">
      <w:pPr>
        <w:pStyle w:val="Heading4"/>
      </w:pPr>
      <w:r w:rsidRPr="00D826A1">
        <w:t>The role of the Industrial Transformation Priorities (which match the areas of focus for the Industry Growth Centres) in focusing applications on key industry priority areas</w:t>
      </w:r>
    </w:p>
    <w:p w14:paraId="396BFA66" w14:textId="66AE0D54" w:rsidR="00E77384" w:rsidRPr="00D826A1" w:rsidRDefault="00FC2B29" w:rsidP="00E77384">
      <w:r w:rsidRPr="00D826A1">
        <w:t>RO</w:t>
      </w:r>
      <w:r w:rsidR="0019706C" w:rsidRPr="00D826A1">
        <w:t xml:space="preserve">s and </w:t>
      </w:r>
      <w:proofErr w:type="spellStart"/>
      <w:r w:rsidRPr="00D826A1">
        <w:t>Dir</w:t>
      </w:r>
      <w:r w:rsidR="0019706C" w:rsidRPr="00D826A1">
        <w:t>s</w:t>
      </w:r>
      <w:proofErr w:type="spellEnd"/>
      <w:r w:rsidR="0019706C" w:rsidRPr="00D826A1">
        <w:t xml:space="preserve"> </w:t>
      </w:r>
      <w:r w:rsidR="00E77384" w:rsidRPr="00D826A1">
        <w:t xml:space="preserve">felt that </w:t>
      </w:r>
      <w:r w:rsidR="00E77384" w:rsidRPr="00D826A1">
        <w:rPr>
          <w:rFonts w:asciiTheme="minorHAnsi" w:hAnsiTheme="minorHAnsi" w:cstheme="minorHAnsi"/>
        </w:rPr>
        <w:t>the Industrial Transformation Priorities effectively focus applications on key industry priority areas. There was consensus that the priorities reflect many of Australia’s transformational areas of need</w:t>
      </w:r>
      <w:r w:rsidR="00EA1ACF" w:rsidRPr="00D826A1">
        <w:rPr>
          <w:rFonts w:asciiTheme="minorHAnsi" w:hAnsiTheme="minorHAnsi" w:cstheme="minorHAnsi"/>
        </w:rPr>
        <w:t>. S</w:t>
      </w:r>
      <w:r w:rsidR="00E77384" w:rsidRPr="00D826A1">
        <w:rPr>
          <w:rFonts w:asciiTheme="minorHAnsi" w:hAnsiTheme="minorHAnsi" w:cstheme="minorHAnsi"/>
        </w:rPr>
        <w:t xml:space="preserve">ome identified perceived gaps </w:t>
      </w:r>
      <w:r w:rsidR="00EA1ACF" w:rsidRPr="00D826A1">
        <w:rPr>
          <w:rFonts w:asciiTheme="minorHAnsi" w:hAnsiTheme="minorHAnsi" w:cstheme="minorHAnsi"/>
        </w:rPr>
        <w:t xml:space="preserve">but </w:t>
      </w:r>
      <w:r w:rsidR="00E77384" w:rsidRPr="00D826A1">
        <w:rPr>
          <w:rFonts w:asciiTheme="minorHAnsi" w:hAnsiTheme="minorHAnsi" w:cstheme="minorHAnsi"/>
        </w:rPr>
        <w:t xml:space="preserve">there was no common view of what those gaps were. Two interviewees made the point that while aligning </w:t>
      </w:r>
      <w:r w:rsidR="00EA0187">
        <w:rPr>
          <w:rFonts w:asciiTheme="minorHAnsi" w:hAnsiTheme="minorHAnsi" w:cstheme="minorHAnsi"/>
        </w:rPr>
        <w:t>IGC</w:t>
      </w:r>
      <w:r w:rsidR="00E77384" w:rsidRPr="00D826A1">
        <w:rPr>
          <w:rFonts w:asciiTheme="minorHAnsi" w:hAnsiTheme="minorHAnsi" w:cstheme="minorHAnsi"/>
        </w:rPr>
        <w:t xml:space="preserve"> priorities with ITRP is useful, </w:t>
      </w:r>
      <w:r w:rsidR="00EA0187">
        <w:rPr>
          <w:rFonts w:asciiTheme="minorHAnsi" w:hAnsiTheme="minorHAnsi" w:cstheme="minorHAnsi"/>
        </w:rPr>
        <w:t>IGC</w:t>
      </w:r>
      <w:r w:rsidR="00E77384" w:rsidRPr="00D826A1">
        <w:rPr>
          <w:rFonts w:asciiTheme="minorHAnsi" w:hAnsiTheme="minorHAnsi" w:cstheme="minorHAnsi"/>
        </w:rPr>
        <w:t xml:space="preserve"> priority areas are relatively narrow and do not cover the whole economy.</w:t>
      </w:r>
    </w:p>
    <w:p w14:paraId="7E71F005" w14:textId="77777777" w:rsidR="00E77384" w:rsidRPr="00D826A1" w:rsidRDefault="00E77384" w:rsidP="00E77384">
      <w:r w:rsidRPr="00D826A1">
        <w:t>From the perspective of the IGCs, there was general agreement that the Industrial Transformation Priorities focus applications on priority areas, though one IGC felt that their area had not received as much focus from the program:</w:t>
      </w:r>
    </w:p>
    <w:p w14:paraId="7411EF44" w14:textId="3D332B96" w:rsidR="00E77384" w:rsidRPr="00D826A1" w:rsidRDefault="00E77384" w:rsidP="00E77384">
      <w:pPr>
        <w:pStyle w:val="Quote"/>
      </w:pPr>
      <w:r w:rsidRPr="00D826A1">
        <w:t xml:space="preserve">I don't think there has been a fair spread of ITRP funding across the six priority sectors. Is this because of a clear interest in particular sectors for the ITRP assessors and decision-makers or a variable quality of applications across sectors? It would be good </w:t>
      </w:r>
      <w:r w:rsidR="00235B63">
        <w:t xml:space="preserve">to </w:t>
      </w:r>
      <w:r w:rsidRPr="00D826A1">
        <w:t>know either way so that we can address for our sector.</w:t>
      </w:r>
    </w:p>
    <w:p w14:paraId="6F1502DB" w14:textId="77777777" w:rsidR="00E77384" w:rsidRPr="00D826A1" w:rsidRDefault="00E77384" w:rsidP="00E77384">
      <w:pPr>
        <w:pStyle w:val="Quote"/>
        <w:jc w:val="right"/>
      </w:pPr>
      <w:r w:rsidRPr="00D826A1">
        <w:t>- IGC representative</w:t>
      </w:r>
    </w:p>
    <w:p w14:paraId="141B6ED7" w14:textId="77777777" w:rsidR="00E77384" w:rsidRPr="00D826A1" w:rsidRDefault="00E77384" w:rsidP="00E77384">
      <w:pPr>
        <w:pStyle w:val="Heading4"/>
      </w:pPr>
      <w:r w:rsidRPr="00D826A1">
        <w:t>Potential overlaps or inconsistencies between the ITRP and other industry focused research schemes</w:t>
      </w:r>
    </w:p>
    <w:p w14:paraId="7B77FB81" w14:textId="61033376" w:rsidR="00E77384" w:rsidRPr="00D826A1" w:rsidRDefault="00E77384" w:rsidP="00E77384">
      <w:r w:rsidRPr="00D826A1">
        <w:t xml:space="preserve">Survey respondents from </w:t>
      </w:r>
      <w:r w:rsidR="00FC2B29" w:rsidRPr="00D826A1">
        <w:t>RO</w:t>
      </w:r>
      <w:r w:rsidRPr="00D826A1">
        <w:t xml:space="preserve">s, </w:t>
      </w:r>
      <w:proofErr w:type="spellStart"/>
      <w:r w:rsidR="00FC2B29" w:rsidRPr="00D826A1">
        <w:t>Dir</w:t>
      </w:r>
      <w:r w:rsidRPr="00D826A1">
        <w:t>s</w:t>
      </w:r>
      <w:proofErr w:type="spellEnd"/>
      <w:r w:rsidRPr="00D826A1">
        <w:t xml:space="preserve">, </w:t>
      </w:r>
      <w:r w:rsidR="00D8441F" w:rsidRPr="00D826A1">
        <w:t>CI</w:t>
      </w:r>
      <w:r w:rsidRPr="00D826A1">
        <w:t xml:space="preserve">s and </w:t>
      </w:r>
      <w:r w:rsidR="003F6BFC">
        <w:t>PI</w:t>
      </w:r>
      <w:r w:rsidRPr="00D826A1">
        <w:t>s were asked if they felt that the ITRP overlaps with other programs that support industry focused research and innovation (</w:t>
      </w:r>
      <w:r w:rsidRPr="00D826A1">
        <w:fldChar w:fldCharType="begin"/>
      </w:r>
      <w:r w:rsidRPr="00D826A1">
        <w:instrText xml:space="preserve"> REF _Ref3905609 \r \h </w:instrText>
      </w:r>
      <w:r w:rsidR="00D826A1">
        <w:instrText xml:space="preserve"> \* MERGEFORMAT </w:instrText>
      </w:r>
      <w:r w:rsidRPr="00D826A1">
        <w:fldChar w:fldCharType="separate"/>
      </w:r>
      <w:r w:rsidR="00CD7DEE">
        <w:t>Figure 14</w:t>
      </w:r>
      <w:r w:rsidRPr="00D826A1">
        <w:fldChar w:fldCharType="end"/>
      </w:r>
      <w:r w:rsidRPr="00D826A1">
        <w:t>). Fifty-four per cent of respondents agreed to some extent with this statement, suggesting that there is a perception of overlap with other programs.</w:t>
      </w:r>
    </w:p>
    <w:p w14:paraId="44F8760E" w14:textId="77777777" w:rsidR="00E77384" w:rsidRPr="00D826A1" w:rsidRDefault="00E77384" w:rsidP="00E77384">
      <w:pPr>
        <w:pStyle w:val="FigureHeading"/>
      </w:pPr>
      <w:bookmarkStart w:id="118" w:name="_Ref3905609"/>
      <w:r w:rsidRPr="00D826A1">
        <w:t>ITRP overlap</w:t>
      </w:r>
      <w:bookmarkEnd w:id="118"/>
    </w:p>
    <w:p w14:paraId="0AD5CA09" w14:textId="4DE2707D" w:rsidR="00E77384" w:rsidRPr="00D826A1" w:rsidRDefault="00F5408A" w:rsidP="00E77384">
      <w:r>
        <w:rPr>
          <w:noProof/>
          <w:lang w:eastAsia="en-AU"/>
        </w:rPr>
        <w:drawing>
          <wp:inline distT="0" distB="0" distL="0" distR="0" wp14:anchorId="0AAB6D26" wp14:editId="0124B436">
            <wp:extent cx="5499100" cy="2097405"/>
            <wp:effectExtent l="0" t="0" r="6350" b="0"/>
            <wp:docPr id="47" name="Picture 47" descr="Figure 14 depicts the responses of stakeholders on the extent of their agreement that the ITRP overlaps with other Australian Government programs that support industry focused research and innovation." title="Figure 14. ITRP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100" cy="2097405"/>
                    </a:xfrm>
                    <a:prstGeom prst="rect">
                      <a:avLst/>
                    </a:prstGeom>
                    <a:noFill/>
                  </pic:spPr>
                </pic:pic>
              </a:graphicData>
            </a:graphic>
          </wp:inline>
        </w:drawing>
      </w:r>
    </w:p>
    <w:p w14:paraId="46B471AB" w14:textId="6A116059" w:rsidR="00E77384" w:rsidRPr="00D826A1" w:rsidRDefault="00FC2B29" w:rsidP="00E77384">
      <w:r w:rsidRPr="00D826A1">
        <w:t>RO</w:t>
      </w:r>
      <w:r w:rsidR="00A979FB" w:rsidRPr="00D826A1">
        <w:t>s</w:t>
      </w:r>
      <w:r w:rsidR="003522BC" w:rsidRPr="00D826A1">
        <w:t>,</w:t>
      </w:r>
      <w:r w:rsidR="00A979FB" w:rsidRPr="00D826A1">
        <w:t xml:space="preserve"> </w:t>
      </w:r>
      <w:proofErr w:type="spellStart"/>
      <w:r w:rsidRPr="00D826A1">
        <w:t>Dir</w:t>
      </w:r>
      <w:r w:rsidR="00A979FB" w:rsidRPr="00D826A1">
        <w:t>s</w:t>
      </w:r>
      <w:proofErr w:type="spellEnd"/>
      <w:r w:rsidR="003522BC" w:rsidRPr="00D826A1">
        <w:t xml:space="preserve"> and </w:t>
      </w:r>
      <w:proofErr w:type="spellStart"/>
      <w:r w:rsidRPr="00D826A1">
        <w:t>Mgr</w:t>
      </w:r>
      <w:r w:rsidR="003522BC" w:rsidRPr="00D826A1">
        <w:t>s</w:t>
      </w:r>
      <w:proofErr w:type="spellEnd"/>
      <w:r w:rsidR="00A979FB" w:rsidRPr="00D826A1">
        <w:t xml:space="preserve"> </w:t>
      </w:r>
      <w:r w:rsidR="00E77384" w:rsidRPr="00D826A1">
        <w:t>were more inclined to view the ITRP as having a niche and complementary place in relation to other programs in terms of scale and focus. The unique elements of the ITRP were listed by interviewees as:</w:t>
      </w:r>
    </w:p>
    <w:p w14:paraId="13798205" w14:textId="77777777" w:rsidR="00E77384" w:rsidRPr="00D826A1" w:rsidRDefault="00E77384" w:rsidP="00E77384">
      <w:pPr>
        <w:pStyle w:val="ListBullet"/>
      </w:pPr>
      <w:r w:rsidRPr="00D826A1">
        <w:t>offering student training placements in industry settings</w:t>
      </w:r>
    </w:p>
    <w:p w14:paraId="377DA593" w14:textId="6F1BEC83" w:rsidR="00E77384" w:rsidRPr="00D826A1" w:rsidRDefault="00E77384" w:rsidP="00E77384">
      <w:pPr>
        <w:pStyle w:val="ListBullet"/>
      </w:pPr>
      <w:r w:rsidRPr="00D826A1">
        <w:t>a focus on more fundamental/ basic research. One Research Hub respondent commented that ITRP has the reputation of attracting the best scientists and doing the best research</w:t>
      </w:r>
      <w:r w:rsidR="00235B63">
        <w:t>.</w:t>
      </w:r>
    </w:p>
    <w:p w14:paraId="6A45D53C" w14:textId="0F98F18D" w:rsidR="00E77384" w:rsidRPr="00D826A1" w:rsidRDefault="00E77384" w:rsidP="00E77384">
      <w:pPr>
        <w:pStyle w:val="ListBullet"/>
      </w:pPr>
      <w:r w:rsidRPr="00D826A1">
        <w:t>broader research and industry collaborations compared to Linkage</w:t>
      </w:r>
      <w:r w:rsidR="00EA1ACF" w:rsidRPr="00D826A1">
        <w:t xml:space="preserve"> Project</w:t>
      </w:r>
      <w:r w:rsidRPr="00D826A1">
        <w:t>s and better supports commercialisation of the research results, and</w:t>
      </w:r>
    </w:p>
    <w:p w14:paraId="14126106" w14:textId="77777777" w:rsidR="00E77384" w:rsidRPr="00D826A1" w:rsidRDefault="00E77384" w:rsidP="00E77384">
      <w:pPr>
        <w:pStyle w:val="ListBullet"/>
      </w:pPr>
      <w:r w:rsidRPr="00D826A1">
        <w:t>intensive partnerships and greater opportunities for multi-disciplinary research.</w:t>
      </w:r>
    </w:p>
    <w:p w14:paraId="2020F12F" w14:textId="77777777" w:rsidR="00E77384" w:rsidRPr="00D826A1" w:rsidRDefault="00E77384" w:rsidP="00E77384">
      <w:pPr>
        <w:pStyle w:val="ListBullet"/>
        <w:numPr>
          <w:ilvl w:val="0"/>
          <w:numId w:val="0"/>
        </w:numPr>
        <w:ind w:left="454" w:hanging="454"/>
      </w:pPr>
    </w:p>
    <w:p w14:paraId="2AD14EEC" w14:textId="508BD9A6" w:rsidR="00E77384" w:rsidRPr="00D826A1" w:rsidRDefault="00E77384" w:rsidP="00E77384">
      <w:pPr>
        <w:spacing w:after="0" w:line="240" w:lineRule="auto"/>
      </w:pPr>
      <w:r w:rsidRPr="00D826A1">
        <w:t xml:space="preserve">Three of the five IGC survey respondents felt that the ITRP overlaps with other programs, particularly the CRCs and CRC-Ps where these have an industry focus. </w:t>
      </w:r>
    </w:p>
    <w:p w14:paraId="202998BD" w14:textId="76D53F8E" w:rsidR="00925522" w:rsidRPr="00D826A1" w:rsidRDefault="00925522" w:rsidP="00E77384">
      <w:pPr>
        <w:spacing w:after="0" w:line="240" w:lineRule="auto"/>
      </w:pPr>
    </w:p>
    <w:p w14:paraId="6DF433ED" w14:textId="67C091A1" w:rsidR="00925522" w:rsidRPr="00D826A1" w:rsidRDefault="00925522" w:rsidP="00E77384">
      <w:pPr>
        <w:spacing w:after="0" w:line="240" w:lineRule="auto"/>
      </w:pPr>
      <w:r w:rsidRPr="00D826A1">
        <w:t xml:space="preserve">Interviews with DIIS indicated that there was </w:t>
      </w:r>
      <w:r w:rsidR="0094726E" w:rsidRPr="00D826A1">
        <w:t>little perception of</w:t>
      </w:r>
      <w:r w:rsidRPr="00D826A1">
        <w:t xml:space="preserve"> overlap with </w:t>
      </w:r>
      <w:r w:rsidR="0094726E" w:rsidRPr="00D826A1">
        <w:t>other programs; one ARC interviewee indicated that</w:t>
      </w:r>
      <w:r w:rsidR="00B91414" w:rsidRPr="00D826A1">
        <w:t xml:space="preserve"> in their view</w:t>
      </w:r>
      <w:r w:rsidR="0094726E" w:rsidRPr="00D826A1">
        <w:t xml:space="preserve"> the Global Innovation Linkages appeared to be very similar in scope (with the exception of the requirements around international partners).</w:t>
      </w:r>
    </w:p>
    <w:p w14:paraId="3ACD8C13" w14:textId="77777777" w:rsidR="00E77384" w:rsidRPr="00D826A1" w:rsidRDefault="00E77384" w:rsidP="00E77384">
      <w:pPr>
        <w:pStyle w:val="Heading2"/>
      </w:pPr>
      <w:bookmarkStart w:id="119" w:name="_Toc10104796"/>
      <w:bookmarkStart w:id="120" w:name="_Toc10104999"/>
      <w:bookmarkStart w:id="121" w:name="_Toc10105601"/>
      <w:r w:rsidRPr="00D826A1">
        <w:t>Process implementation and advice to stakeholders</w:t>
      </w:r>
      <w:bookmarkEnd w:id="119"/>
      <w:bookmarkEnd w:id="120"/>
      <w:bookmarkEnd w:id="121"/>
    </w:p>
    <w:p w14:paraId="7A8394A8" w14:textId="77777777" w:rsidR="00E77384" w:rsidRPr="00D826A1" w:rsidRDefault="00E77384" w:rsidP="00E77384">
      <w:pPr>
        <w:pStyle w:val="Heading4"/>
      </w:pPr>
      <w:r w:rsidRPr="00D826A1">
        <w:t>The effectiveness and efficiency of ITRP implementation processes and satisfaction with the associated advice provided by the ARC to ITRP applicants and other stakeholders</w:t>
      </w:r>
    </w:p>
    <w:p w14:paraId="24EAF67B" w14:textId="77777777" w:rsidR="00E77384" w:rsidRPr="00D826A1" w:rsidRDefault="00E77384" w:rsidP="00E77384">
      <w:r w:rsidRPr="00D826A1">
        <w:t>Overall, responses to interviews and the survey indicated that for most stakeholders the ITRP process is considered both effective and efficient. The major issues raised were around the timeframes for preparation of applications, the amount of information required for applications (especially from industry partners), and issues relating to negotiating and establishing collaborations with partners. Advice provided by the ARC has been received largely positively by stakeholders. These topics are covered in further detail in the below sections.</w:t>
      </w:r>
    </w:p>
    <w:p w14:paraId="64FE937D" w14:textId="5F8056EE" w:rsidR="00E77384" w:rsidRPr="00D826A1" w:rsidRDefault="00E77384" w:rsidP="00E77384">
      <w:r w:rsidRPr="00D826A1">
        <w:t xml:space="preserve">Regarding the establishment of collaborations, </w:t>
      </w:r>
      <w:r w:rsidR="00B908FB" w:rsidRPr="00D826A1">
        <w:t xml:space="preserve">ROs, </w:t>
      </w:r>
      <w:proofErr w:type="spellStart"/>
      <w:r w:rsidR="00B908FB" w:rsidRPr="00D826A1">
        <w:t>Dirs</w:t>
      </w:r>
      <w:proofErr w:type="spellEnd"/>
      <w:r w:rsidR="00B908FB" w:rsidRPr="00D826A1">
        <w:t xml:space="preserve"> and </w:t>
      </w:r>
      <w:proofErr w:type="spellStart"/>
      <w:r w:rsidR="00B908FB" w:rsidRPr="00D826A1">
        <w:t>Mgrs</w:t>
      </w:r>
      <w:proofErr w:type="spellEnd"/>
      <w:r w:rsidRPr="00D826A1">
        <w:t xml:space="preserve"> reported a few issues from their experiences. The predominant issue related to getting partnership agreements in place once the application was approved. Respondents found it a slow process to get letters of intent from industry signed, with one respondent saying that it can take 12 months (the expectation is six months). Some of the specific challenges encountered were around negotiating financ</w:t>
      </w:r>
      <w:r w:rsidR="00EA1ACF" w:rsidRPr="00D826A1">
        <w:t>es</w:t>
      </w:r>
      <w:r w:rsidRPr="00D826A1">
        <w:t>, IP arrangements, commercialisation arrangements, and the need to sign certification, which was considered to be duplicative.</w:t>
      </w:r>
    </w:p>
    <w:p w14:paraId="156D1534" w14:textId="17777448" w:rsidR="00E77384" w:rsidRPr="00D826A1" w:rsidRDefault="00E77384" w:rsidP="00E77384">
      <w:r w:rsidRPr="00D826A1">
        <w:t xml:space="preserve">The grant funding structure was also seen as an impediment to establishing collaborations, particularly the five-year timeframe for funding commitment, and the Research Hub requirement </w:t>
      </w:r>
      <w:r w:rsidR="00EA1ACF" w:rsidRPr="00D826A1">
        <w:t xml:space="preserve">for </w:t>
      </w:r>
      <w:r w:rsidRPr="00D826A1">
        <w:t>75 per cent of funding to be supplied by partners once an employee threshold was reached.</w:t>
      </w:r>
    </w:p>
    <w:p w14:paraId="384F60BE" w14:textId="5CB4AC1F" w:rsidR="00F64084" w:rsidRPr="00D826A1" w:rsidRDefault="00E77384" w:rsidP="00E77384">
      <w:r w:rsidRPr="00D826A1">
        <w:t xml:space="preserve">A perceived lack of awareness of the program by industry was also noted in the interviews, which respondents felt was impacting the understanding of partners around </w:t>
      </w:r>
      <w:r w:rsidR="00F64084" w:rsidRPr="00D826A1">
        <w:t>the program and how they can be involved</w:t>
      </w:r>
      <w:r w:rsidRPr="00D826A1">
        <w:t xml:space="preserve">. </w:t>
      </w:r>
    </w:p>
    <w:p w14:paraId="7E8E8AA2" w14:textId="5CE324D5" w:rsidR="00B64F14" w:rsidRPr="00D826A1" w:rsidRDefault="00B64F14" w:rsidP="000D037C">
      <w:pPr>
        <w:pStyle w:val="Quote"/>
      </w:pPr>
      <w:r w:rsidRPr="00D826A1">
        <w:t>…because the ITRH wants to engage with the small-medium enterprises, they are where you probably don’t have that awareness very high and the opportunities that might come with that to lead to those industry academia collaborations.</w:t>
      </w:r>
    </w:p>
    <w:p w14:paraId="68625CBF" w14:textId="0243C4B7" w:rsidR="00B64F14" w:rsidRPr="00D826A1" w:rsidRDefault="00B64F14" w:rsidP="000D037C">
      <w:pPr>
        <w:pStyle w:val="ListBullet"/>
        <w:widowControl w:val="0"/>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rPr>
          <w:i/>
          <w:iCs/>
        </w:rPr>
      </w:pPr>
      <w:r w:rsidRPr="00D826A1">
        <w:rPr>
          <w:i/>
          <w:iCs/>
        </w:rPr>
        <w:t xml:space="preserve">- Research Hub </w:t>
      </w:r>
      <w:r w:rsidR="00FC2B29" w:rsidRPr="00D826A1">
        <w:rPr>
          <w:i/>
          <w:iCs/>
        </w:rPr>
        <w:t>Dir</w:t>
      </w:r>
    </w:p>
    <w:p w14:paraId="0C4151F1" w14:textId="77777777" w:rsidR="00F64084" w:rsidRPr="00D826A1" w:rsidRDefault="00F64084" w:rsidP="00E77384"/>
    <w:p w14:paraId="14D329DC" w14:textId="1A3C036C" w:rsidR="00E77384" w:rsidRPr="00D826A1" w:rsidRDefault="00E77384" w:rsidP="00E77384">
      <w:r w:rsidRPr="00D826A1">
        <w:t xml:space="preserve">This </w:t>
      </w:r>
      <w:r w:rsidR="00690595" w:rsidRPr="00D826A1">
        <w:t>indicates that a potential</w:t>
      </w:r>
      <w:r w:rsidRPr="00D826A1">
        <w:t xml:space="preserve"> opportunity </w:t>
      </w:r>
      <w:r w:rsidR="00690595" w:rsidRPr="00D826A1">
        <w:t xml:space="preserve">exists </w:t>
      </w:r>
      <w:r w:rsidRPr="00D826A1">
        <w:t>for the program to be promoted to industry.</w:t>
      </w:r>
    </w:p>
    <w:p w14:paraId="03F998B8" w14:textId="77777777" w:rsidR="00E77384" w:rsidRPr="00D826A1" w:rsidRDefault="00E77384" w:rsidP="00E77384">
      <w:pPr>
        <w:pStyle w:val="Heading4"/>
      </w:pPr>
      <w:r w:rsidRPr="00D826A1">
        <w:t>Effectiveness and efficiency of application and assessment processes</w:t>
      </w:r>
    </w:p>
    <w:p w14:paraId="19647C60" w14:textId="1411F37D" w:rsidR="00E77384" w:rsidRPr="00D826A1" w:rsidRDefault="00E77384" w:rsidP="00E77384">
      <w:r w:rsidRPr="00D826A1">
        <w:t>In terms of ARC advice in the application process, respondents to the survey (</w:t>
      </w:r>
      <w:r w:rsidR="00FC2B29" w:rsidRPr="00D826A1">
        <w:t>ROs</w:t>
      </w:r>
      <w:r w:rsidRPr="00D826A1">
        <w:t xml:space="preserve">, </w:t>
      </w:r>
      <w:proofErr w:type="spellStart"/>
      <w:r w:rsidR="00B00365">
        <w:t>Dirs</w:t>
      </w:r>
      <w:proofErr w:type="spellEnd"/>
      <w:r w:rsidRPr="00D826A1">
        <w:t xml:space="preserve"> and </w:t>
      </w:r>
      <w:r w:rsidR="00B00365">
        <w:t>C</w:t>
      </w:r>
      <w:r w:rsidR="003F6BFC">
        <w:t>I</w:t>
      </w:r>
      <w:r w:rsidRPr="00D826A1">
        <w:t>s) were generally positive about the usefulness of ARC information (</w:t>
      </w:r>
      <w:r w:rsidRPr="00D826A1">
        <w:fldChar w:fldCharType="begin"/>
      </w:r>
      <w:r w:rsidRPr="00D826A1">
        <w:instrText xml:space="preserve"> REF _Ref3907707 \r \h </w:instrText>
      </w:r>
      <w:r w:rsidR="00D826A1">
        <w:instrText xml:space="preserve"> \* MERGEFORMAT </w:instrText>
      </w:r>
      <w:r w:rsidRPr="00D826A1">
        <w:fldChar w:fldCharType="separate"/>
      </w:r>
      <w:r w:rsidR="00CD7DEE">
        <w:t>Figure 15</w:t>
      </w:r>
      <w:r w:rsidRPr="00D826A1">
        <w:fldChar w:fldCharType="end"/>
      </w:r>
      <w:r w:rsidRPr="00D826A1">
        <w:t xml:space="preserve">). Respondents felt that guidelines and application form requirements were most useful, while there are opportunities for improvement in outreach activities. Between respondent groups, </w:t>
      </w:r>
      <w:r w:rsidR="00D8441F" w:rsidRPr="00D826A1">
        <w:t>CI</w:t>
      </w:r>
      <w:r w:rsidRPr="00D826A1">
        <w:t xml:space="preserve">s found forums and outreach activities to be less useful, while </w:t>
      </w:r>
      <w:r w:rsidR="00FC2B29" w:rsidRPr="00D826A1">
        <w:t>ROs</w:t>
      </w:r>
      <w:r w:rsidRPr="00D826A1">
        <w:t xml:space="preserve"> found application forms and guidelines to be less useful as compared to other groups.</w:t>
      </w:r>
    </w:p>
    <w:p w14:paraId="3F0424D3" w14:textId="77777777" w:rsidR="00E77384" w:rsidRPr="00D826A1" w:rsidRDefault="00E77384" w:rsidP="00E77384">
      <w:pPr>
        <w:pStyle w:val="FigureHeading"/>
      </w:pPr>
      <w:bookmarkStart w:id="122" w:name="_Ref3907707"/>
      <w:r w:rsidRPr="00D826A1">
        <w:t>Usefulness of ARC information</w:t>
      </w:r>
      <w:bookmarkEnd w:id="122"/>
      <w:r w:rsidRPr="00D826A1">
        <w:t xml:space="preserve"> (application)</w:t>
      </w:r>
    </w:p>
    <w:p w14:paraId="1D05841A" w14:textId="5A189F17" w:rsidR="00E77384" w:rsidRPr="00D826A1" w:rsidRDefault="00F5408A" w:rsidP="00E77384">
      <w:r>
        <w:rPr>
          <w:noProof/>
          <w:lang w:eastAsia="en-AU"/>
        </w:rPr>
        <w:drawing>
          <wp:inline distT="0" distB="0" distL="0" distR="0" wp14:anchorId="0A5227BB" wp14:editId="045C2AD3">
            <wp:extent cx="5499100" cy="3755390"/>
            <wp:effectExtent l="0" t="0" r="6350" b="0"/>
            <wp:docPr id="48" name="Picture 48" descr="Figure 15 depicts the responses of ROs, Dirs and CIs on the usefulness of a number of sources of information for their ITRP applications." title="Figure 15. Usefulness of ARC inform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100" cy="3755390"/>
                    </a:xfrm>
                    <a:prstGeom prst="rect">
                      <a:avLst/>
                    </a:prstGeom>
                    <a:noFill/>
                  </pic:spPr>
                </pic:pic>
              </a:graphicData>
            </a:graphic>
          </wp:inline>
        </w:drawing>
      </w:r>
    </w:p>
    <w:p w14:paraId="77A99DED" w14:textId="6EF0FCB2" w:rsidR="00E77384" w:rsidRPr="00D826A1" w:rsidRDefault="00E77384" w:rsidP="00E77384">
      <w:r w:rsidRPr="00D826A1">
        <w:t>Respondents to the survey (</w:t>
      </w:r>
      <w:r w:rsidR="00FC2B29" w:rsidRPr="00D826A1">
        <w:t>ROs</w:t>
      </w:r>
      <w:r w:rsidRPr="00D826A1">
        <w:t xml:space="preserve">, </w:t>
      </w:r>
      <w:proofErr w:type="spellStart"/>
      <w:r w:rsidR="00FC2B29" w:rsidRPr="00D826A1">
        <w:t>Dir</w:t>
      </w:r>
      <w:r w:rsidRPr="00D826A1">
        <w:t>s</w:t>
      </w:r>
      <w:proofErr w:type="spellEnd"/>
      <w:r w:rsidRPr="00D826A1">
        <w:t xml:space="preserve">, </w:t>
      </w:r>
      <w:r w:rsidR="00D8441F" w:rsidRPr="00D826A1">
        <w:t>CI</w:t>
      </w:r>
      <w:r w:rsidRPr="00D826A1">
        <w:t xml:space="preserve">s and </w:t>
      </w:r>
      <w:r w:rsidR="003F6BFC">
        <w:t>PI</w:t>
      </w:r>
      <w:r w:rsidRPr="00D826A1">
        <w:t>s) were asked about their views in relation to the application and assessment process (</w:t>
      </w:r>
      <w:r w:rsidRPr="00D826A1">
        <w:fldChar w:fldCharType="begin"/>
      </w:r>
      <w:r w:rsidRPr="00D826A1">
        <w:instrText xml:space="preserve"> REF _Ref3908427 \r \h </w:instrText>
      </w:r>
      <w:r w:rsidR="00D826A1">
        <w:instrText xml:space="preserve"> \* MERGEFORMAT </w:instrText>
      </w:r>
      <w:r w:rsidRPr="00D826A1">
        <w:fldChar w:fldCharType="separate"/>
      </w:r>
      <w:r w:rsidR="00CD7DEE">
        <w:t>Figure 16</w:t>
      </w:r>
      <w:r w:rsidRPr="00D826A1">
        <w:fldChar w:fldCharType="end"/>
      </w:r>
      <w:r w:rsidRPr="00D826A1">
        <w:t xml:space="preserve">). Respondents felt that their participation was appropriate and that the process was clear. However, there were less positive results in relation to timelines for the application process, as well as </w:t>
      </w:r>
      <w:r w:rsidR="00CA4391" w:rsidRPr="00D826A1">
        <w:t>the</w:t>
      </w:r>
      <w:r w:rsidRPr="00D826A1">
        <w:t xml:space="preserve"> transparency</w:t>
      </w:r>
      <w:r w:rsidR="00CA4391" w:rsidRPr="00D826A1">
        <w:t xml:space="preserve"> of the process</w:t>
      </w:r>
      <w:r w:rsidRPr="00D826A1">
        <w:t xml:space="preserve">. Broken down by group </w:t>
      </w:r>
      <w:proofErr w:type="spellStart"/>
      <w:r w:rsidR="00FC2B29" w:rsidRPr="00D826A1">
        <w:t>Dir</w:t>
      </w:r>
      <w:r w:rsidRPr="00D826A1">
        <w:t>s</w:t>
      </w:r>
      <w:proofErr w:type="spellEnd"/>
      <w:r w:rsidRPr="00D826A1">
        <w:t xml:space="preserve"> were the most positive across all areas</w:t>
      </w:r>
      <w:r w:rsidR="00CA4391" w:rsidRPr="00D826A1">
        <w:t>.</w:t>
      </w:r>
      <w:r w:rsidRPr="00D826A1">
        <w:t xml:space="preserve"> </w:t>
      </w:r>
      <w:r w:rsidR="00FC2B29" w:rsidRPr="00D826A1">
        <w:t>ROs</w:t>
      </w:r>
      <w:r w:rsidRPr="00D826A1">
        <w:t xml:space="preserve"> were least in agreement </w:t>
      </w:r>
      <w:r w:rsidR="00CA4391" w:rsidRPr="00D826A1">
        <w:t xml:space="preserve">with other groups </w:t>
      </w:r>
      <w:r w:rsidRPr="00D826A1">
        <w:t>around the appropriateness of timelines</w:t>
      </w:r>
      <w:r w:rsidR="00CA4391" w:rsidRPr="00D826A1">
        <w:t>, being less positive</w:t>
      </w:r>
      <w:r w:rsidRPr="00D826A1">
        <w:t xml:space="preserve">. </w:t>
      </w:r>
    </w:p>
    <w:p w14:paraId="411C8E0D" w14:textId="073C89AB" w:rsidR="00E77384" w:rsidRPr="00D826A1" w:rsidRDefault="00FC2B29" w:rsidP="00E77384">
      <w:r w:rsidRPr="00D826A1">
        <w:t>Dir</w:t>
      </w:r>
      <w:r w:rsidR="008F4D5E" w:rsidRPr="00D826A1">
        <w:t xml:space="preserve"> and </w:t>
      </w:r>
      <w:r w:rsidRPr="00D826A1">
        <w:t>RO</w:t>
      </w:r>
      <w:r w:rsidR="008F4D5E" w:rsidRPr="00D826A1">
        <w:t xml:space="preserve"> </w:t>
      </w:r>
      <w:r w:rsidR="00E77384" w:rsidRPr="00D826A1">
        <w:t>respondents add</w:t>
      </w:r>
      <w:r w:rsidR="008F4D5E" w:rsidRPr="00D826A1">
        <w:t>ed</w:t>
      </w:r>
      <w:r w:rsidR="00E77384" w:rsidRPr="00D826A1">
        <w:t xml:space="preserve"> that the size of the applications was a challenge (both to prepare, and for </w:t>
      </w:r>
      <w:proofErr w:type="spellStart"/>
      <w:r w:rsidRPr="00D826A1">
        <w:t>Dir</w:t>
      </w:r>
      <w:r w:rsidR="008F4D5E" w:rsidRPr="00D826A1">
        <w:t>s</w:t>
      </w:r>
      <w:proofErr w:type="spellEnd"/>
      <w:r w:rsidR="008F4D5E" w:rsidRPr="00D826A1">
        <w:t xml:space="preserve"> </w:t>
      </w:r>
      <w:r w:rsidR="00E77384" w:rsidRPr="00D826A1">
        <w:t xml:space="preserve">that had been involved in the assessment process, the size made it difficult to efficiently review applications). Timeframes were also raised as an issue, with respondents noting that they had a short lead time, and that the closure date for applications comes at a busy period for research institutions. One respondent suggested that an Expression of Interest process followed by a more detailed assessment process may reduce the administrative burden and </w:t>
      </w:r>
      <w:r w:rsidR="003441DA" w:rsidRPr="00D826A1">
        <w:t xml:space="preserve">allow them to </w:t>
      </w:r>
      <w:r w:rsidR="00E77384" w:rsidRPr="00D826A1">
        <w:t>better manage timeframes.</w:t>
      </w:r>
    </w:p>
    <w:p w14:paraId="45C75A1C" w14:textId="77777777" w:rsidR="00E77384" w:rsidRPr="00D826A1" w:rsidRDefault="00E77384" w:rsidP="00E77384">
      <w:pPr>
        <w:pStyle w:val="FigureHeading"/>
      </w:pPr>
      <w:bookmarkStart w:id="123" w:name="_Ref3908427"/>
      <w:r w:rsidRPr="00D826A1">
        <w:t>ITRP application and assessment processes</w:t>
      </w:r>
      <w:bookmarkEnd w:id="123"/>
    </w:p>
    <w:p w14:paraId="0BD8B207" w14:textId="79690BDD" w:rsidR="00E77384" w:rsidRPr="00D826A1" w:rsidRDefault="00F5408A" w:rsidP="00E77384">
      <w:r>
        <w:rPr>
          <w:noProof/>
          <w:lang w:eastAsia="en-AU"/>
        </w:rPr>
        <w:drawing>
          <wp:inline distT="0" distB="0" distL="0" distR="0" wp14:anchorId="39261FE8" wp14:editId="31CAEF14">
            <wp:extent cx="5499100" cy="3834765"/>
            <wp:effectExtent l="0" t="0" r="6350" b="0"/>
            <wp:docPr id="49" name="Picture 49" descr="Figure 16 depicts the responses of ROs, Dirs, CIs and PIs on a number of aspects of the ITRP application and assessment processes, including their clarity, appropriateness, transparency and timeframes." title="Figure 16. ITRP application and assessment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9100" cy="3834765"/>
                    </a:xfrm>
                    <a:prstGeom prst="rect">
                      <a:avLst/>
                    </a:prstGeom>
                    <a:noFill/>
                  </pic:spPr>
                </pic:pic>
              </a:graphicData>
            </a:graphic>
          </wp:inline>
        </w:drawing>
      </w:r>
    </w:p>
    <w:p w14:paraId="3BACD48D" w14:textId="631FA876" w:rsidR="002F59A7" w:rsidRPr="00D826A1" w:rsidRDefault="002F59A7" w:rsidP="002F59A7">
      <w:r w:rsidRPr="00D826A1">
        <w:t xml:space="preserve">ROs, </w:t>
      </w:r>
      <w:proofErr w:type="spellStart"/>
      <w:r w:rsidRPr="00D826A1">
        <w:t>Dirs</w:t>
      </w:r>
      <w:proofErr w:type="spellEnd"/>
      <w:r w:rsidRPr="00D826A1">
        <w:t>, CIs and PIs were also asked about challenges in the application process (</w:t>
      </w:r>
      <w:r w:rsidRPr="00D826A1">
        <w:fldChar w:fldCharType="begin"/>
      </w:r>
      <w:r w:rsidRPr="00D826A1">
        <w:instrText xml:space="preserve"> REF _Ref3909192 \r \h </w:instrText>
      </w:r>
      <w:r>
        <w:instrText xml:space="preserve"> \* MERGEFORMAT </w:instrText>
      </w:r>
      <w:r w:rsidRPr="00D826A1">
        <w:fldChar w:fldCharType="separate"/>
      </w:r>
      <w:r w:rsidR="00CD7DEE">
        <w:t>Figure 17</w:t>
      </w:r>
      <w:r w:rsidRPr="00D826A1">
        <w:fldChar w:fldCharType="end"/>
      </w:r>
      <w:r w:rsidRPr="00D826A1">
        <w:t xml:space="preserve">). Negotiating IP and commercialisation arrangements was reported as the largest challenge, followed by managing partner </w:t>
      </w:r>
      <w:r>
        <w:t xml:space="preserve">organisations’ </w:t>
      </w:r>
      <w:r w:rsidRPr="00D826A1">
        <w:t>expectations</w:t>
      </w:r>
      <w:r>
        <w:t xml:space="preserve"> </w:t>
      </w:r>
      <w:r w:rsidRPr="00D826A1">
        <w:t xml:space="preserve">(PIs were not asked this question). In terms of least challenging factors, these were establishing collaboration with other universities (PIs were not asked this question) and </w:t>
      </w:r>
      <w:r>
        <w:t>negotiating</w:t>
      </w:r>
      <w:r w:rsidRPr="00D826A1">
        <w:t xml:space="preserve"> the research program. By group, PIs generally found the process less challenging as compared to other groups, particularly for negotiations.</w:t>
      </w:r>
    </w:p>
    <w:p w14:paraId="13325F75" w14:textId="35EC0C9E" w:rsidR="00E77384" w:rsidRPr="00D826A1" w:rsidRDefault="00E77384" w:rsidP="00E77384"/>
    <w:p w14:paraId="0E84C5BA" w14:textId="77777777" w:rsidR="00E77384" w:rsidRPr="00D826A1" w:rsidRDefault="00E77384" w:rsidP="00E77384">
      <w:pPr>
        <w:pStyle w:val="FigureHeading"/>
      </w:pPr>
      <w:bookmarkStart w:id="124" w:name="_Ref3909192"/>
      <w:r w:rsidRPr="00D826A1">
        <w:t>Challenges in the application process</w:t>
      </w:r>
      <w:bookmarkEnd w:id="124"/>
    </w:p>
    <w:p w14:paraId="16A22938" w14:textId="6A94EC2A" w:rsidR="00E77384" w:rsidRPr="00D826A1" w:rsidRDefault="00F5408A" w:rsidP="00E77384">
      <w:r>
        <w:rPr>
          <w:noProof/>
          <w:lang w:eastAsia="en-AU"/>
        </w:rPr>
        <w:drawing>
          <wp:inline distT="0" distB="0" distL="0" distR="0" wp14:anchorId="77326B8D" wp14:editId="3C823A9D">
            <wp:extent cx="5499100" cy="4163695"/>
            <wp:effectExtent l="0" t="0" r="6350" b="8255"/>
            <wp:docPr id="50" name="Picture 50" descr="Figure 17 depicts the responses of ROs, Dirs, CIs and PIs on how challenging they found a number of aspects of the ITRP application process to be." title="Figure 17. Challenges in the appl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4163695"/>
                    </a:xfrm>
                    <a:prstGeom prst="rect">
                      <a:avLst/>
                    </a:prstGeom>
                    <a:noFill/>
                  </pic:spPr>
                </pic:pic>
              </a:graphicData>
            </a:graphic>
          </wp:inline>
        </w:drawing>
      </w:r>
    </w:p>
    <w:p w14:paraId="6614091B" w14:textId="529207DB" w:rsidR="00E77384" w:rsidRPr="00D826A1" w:rsidRDefault="00DA5B50" w:rsidP="00E77384">
      <w:r w:rsidRPr="00D826A1">
        <w:t>O</w:t>
      </w:r>
      <w:r w:rsidR="00E77384" w:rsidRPr="00D826A1">
        <w:t>f 81 comments</w:t>
      </w:r>
      <w:r w:rsidRPr="00D826A1">
        <w:t xml:space="preserve"> provided by ROs, </w:t>
      </w:r>
      <w:proofErr w:type="spellStart"/>
      <w:r w:rsidRPr="00D826A1">
        <w:t>Dirs</w:t>
      </w:r>
      <w:proofErr w:type="spellEnd"/>
      <w:r w:rsidRPr="00D826A1">
        <w:t xml:space="preserve">, </w:t>
      </w:r>
      <w:r w:rsidR="00C5760B" w:rsidRPr="00D826A1">
        <w:t xml:space="preserve">and </w:t>
      </w:r>
      <w:r w:rsidRPr="00D826A1">
        <w:t>CIs</w:t>
      </w:r>
      <w:r w:rsidR="00E77384" w:rsidRPr="00D826A1">
        <w:t xml:space="preserve"> on other significant issues in the application process</w:t>
      </w:r>
      <w:r w:rsidRPr="00D826A1">
        <w:t xml:space="preserve">, </w:t>
      </w:r>
      <w:r w:rsidR="00E77384" w:rsidRPr="00D826A1">
        <w:t xml:space="preserve">25 per cent related to difficulties with the timelines for applications and the time required to prepare the application, a further 15 per cent related to achieving </w:t>
      </w:r>
      <w:r w:rsidR="00D916AB" w:rsidRPr="00D826A1">
        <w:t xml:space="preserve">financial </w:t>
      </w:r>
      <w:r w:rsidR="00E77384" w:rsidRPr="00D826A1">
        <w:t xml:space="preserve">commitment from partners to being involved in the program, and a further 14 per cent related to managing relationships </w:t>
      </w:r>
      <w:r w:rsidR="00C5760B" w:rsidRPr="00D826A1">
        <w:t>with</w:t>
      </w:r>
      <w:r w:rsidR="00E77384" w:rsidRPr="00D826A1">
        <w:t xml:space="preserve"> partner organisations and getting them to work together</w:t>
      </w:r>
      <w:r w:rsidR="006A7A31" w:rsidRPr="00D826A1">
        <w:t xml:space="preserve"> (comments on this topic came primarily from CIs)</w:t>
      </w:r>
      <w:r w:rsidR="00E77384" w:rsidRPr="00D826A1">
        <w:t>.</w:t>
      </w:r>
    </w:p>
    <w:p w14:paraId="29AE40C1" w14:textId="55587097" w:rsidR="00E77384" w:rsidRPr="00D826A1" w:rsidRDefault="00E77384" w:rsidP="00E77384">
      <w:r w:rsidRPr="00D826A1">
        <w:t xml:space="preserve">In terms of key learnings from the application process, analysis of 169 comments from </w:t>
      </w:r>
      <w:r w:rsidR="00FC2B29" w:rsidRPr="00D826A1">
        <w:t>RO</w:t>
      </w:r>
      <w:r w:rsidRPr="00D826A1">
        <w:t xml:space="preserve">s, </w:t>
      </w:r>
      <w:proofErr w:type="spellStart"/>
      <w:r w:rsidR="00FC2B29" w:rsidRPr="00D826A1">
        <w:t>Dir</w:t>
      </w:r>
      <w:r w:rsidRPr="00D826A1">
        <w:t>s</w:t>
      </w:r>
      <w:proofErr w:type="spellEnd"/>
      <w:r w:rsidRPr="00D826A1">
        <w:t xml:space="preserve"> and </w:t>
      </w:r>
      <w:r w:rsidR="00D8441F" w:rsidRPr="00D826A1">
        <w:t>CI</w:t>
      </w:r>
      <w:r w:rsidRPr="00D826A1">
        <w:t>s found that the biggest learning was to begin as early as possible in developing the program and establishing partnerships (34 per cent of comments). A further 28 per cent stressed the importance of establishing and managing partnerships, and 14 per cent of comments discussed the value of building engagement across the collaboration.</w:t>
      </w:r>
    </w:p>
    <w:p w14:paraId="1CF6EDD4" w14:textId="0FC8653A" w:rsidR="00E77384" w:rsidRPr="00D826A1" w:rsidRDefault="006A7A31" w:rsidP="00E77384">
      <w:r w:rsidRPr="00D826A1">
        <w:t xml:space="preserve">Ninety-one </w:t>
      </w:r>
      <w:r w:rsidR="00DA5B50" w:rsidRPr="00D826A1">
        <w:t xml:space="preserve">general feedback </w:t>
      </w:r>
      <w:r w:rsidR="00E77384" w:rsidRPr="00D826A1">
        <w:t xml:space="preserve">comments relating to the application and assessment process </w:t>
      </w:r>
      <w:r w:rsidR="00CB29C7" w:rsidRPr="00D826A1">
        <w:t xml:space="preserve">included </w:t>
      </w:r>
      <w:r w:rsidR="00E77384" w:rsidRPr="00D826A1">
        <w:t xml:space="preserve">an emphasis on timelines (21 per cent), </w:t>
      </w:r>
      <w:r w:rsidR="00CB29C7" w:rsidRPr="00D826A1">
        <w:t xml:space="preserve">and </w:t>
      </w:r>
      <w:r w:rsidR="00E77384" w:rsidRPr="00D826A1">
        <w:t xml:space="preserve">suggestions for improvement around the assessment process (20 per cent) and the application process (15 per cent). </w:t>
      </w:r>
      <w:r w:rsidR="00CB29C7" w:rsidRPr="00D826A1">
        <w:t>General</w:t>
      </w:r>
      <w:r w:rsidR="00E77384" w:rsidRPr="00D826A1">
        <w:t xml:space="preserve"> positive </w:t>
      </w:r>
      <w:r w:rsidR="00CB29C7" w:rsidRPr="00D826A1">
        <w:t xml:space="preserve">comments </w:t>
      </w:r>
      <w:r w:rsidR="00E77384" w:rsidRPr="00D826A1">
        <w:t xml:space="preserve">about the process </w:t>
      </w:r>
      <w:r w:rsidR="00CB29C7" w:rsidRPr="00D826A1">
        <w:t>accounted for a further 10 per cent, and general negative comments accounted for</w:t>
      </w:r>
      <w:r w:rsidR="00E77384" w:rsidRPr="00D826A1">
        <w:t xml:space="preserve"> 4 per cent.</w:t>
      </w:r>
    </w:p>
    <w:p w14:paraId="480E9CF5" w14:textId="77777777" w:rsidR="00E77384" w:rsidRPr="00D826A1" w:rsidRDefault="00E77384" w:rsidP="00E77384"/>
    <w:p w14:paraId="73A82CA8" w14:textId="77777777" w:rsidR="00E77384" w:rsidRPr="00D826A1" w:rsidRDefault="00E77384" w:rsidP="00E77384">
      <w:pPr>
        <w:pStyle w:val="Heading4"/>
      </w:pPr>
      <w:r w:rsidRPr="00D826A1">
        <w:t>Effectiveness and efficiency of processes and associated advice on project implementation issues such as establishment, contracts, recruitment, intellectual property and commercialisation arrangements</w:t>
      </w:r>
    </w:p>
    <w:p w14:paraId="15C61814" w14:textId="0DBEA2F7" w:rsidR="00E77384" w:rsidRPr="00D826A1" w:rsidRDefault="00435312" w:rsidP="00E77384">
      <w:r w:rsidRPr="00D826A1">
        <w:t>R</w:t>
      </w:r>
      <w:r w:rsidR="00E77384" w:rsidRPr="00D826A1">
        <w:t>espondents to the survey (</w:t>
      </w:r>
      <w:r w:rsidR="00FC2B29" w:rsidRPr="00D826A1">
        <w:t>ROs</w:t>
      </w:r>
      <w:r w:rsidR="00E77384" w:rsidRPr="00D826A1">
        <w:t xml:space="preserve">, </w:t>
      </w:r>
      <w:proofErr w:type="spellStart"/>
      <w:r w:rsidR="00FC2B29" w:rsidRPr="00D826A1">
        <w:t>Dir</w:t>
      </w:r>
      <w:r w:rsidR="00E77384" w:rsidRPr="00D826A1">
        <w:t>s</w:t>
      </w:r>
      <w:proofErr w:type="spellEnd"/>
      <w:r w:rsidR="00E77384" w:rsidRPr="00D826A1">
        <w:t xml:space="preserve">, </w:t>
      </w:r>
      <w:proofErr w:type="spellStart"/>
      <w:r w:rsidR="00FC2B29" w:rsidRPr="00D826A1">
        <w:t>Mgr</w:t>
      </w:r>
      <w:r w:rsidR="00E77384" w:rsidRPr="00D826A1">
        <w:t>s</w:t>
      </w:r>
      <w:proofErr w:type="spellEnd"/>
      <w:r w:rsidR="00E77384" w:rsidRPr="00D826A1">
        <w:t xml:space="preserve"> and </w:t>
      </w:r>
      <w:r w:rsidR="00D8441F" w:rsidRPr="00D826A1">
        <w:t>CI</w:t>
      </w:r>
      <w:r w:rsidR="00E77384" w:rsidRPr="00D826A1">
        <w:t xml:space="preserve">s) were generally positive about the usefulness of ARC information </w:t>
      </w:r>
      <w:r w:rsidRPr="00D826A1">
        <w:t xml:space="preserve">and advice </w:t>
      </w:r>
      <w:r w:rsidR="00E77384" w:rsidRPr="00D826A1">
        <w:t>(</w:t>
      </w:r>
      <w:r w:rsidR="00E77384" w:rsidRPr="00D826A1">
        <w:fldChar w:fldCharType="begin"/>
      </w:r>
      <w:r w:rsidR="00E77384" w:rsidRPr="00D826A1">
        <w:instrText xml:space="preserve"> REF _Ref3910048 \r \h </w:instrText>
      </w:r>
      <w:r w:rsidR="00D826A1">
        <w:instrText xml:space="preserve"> \* MERGEFORMAT </w:instrText>
      </w:r>
      <w:r w:rsidR="00E77384" w:rsidRPr="00D826A1">
        <w:fldChar w:fldCharType="separate"/>
      </w:r>
      <w:r w:rsidR="00CD7DEE">
        <w:t>Figure 18</w:t>
      </w:r>
      <w:r w:rsidR="00E77384" w:rsidRPr="00D826A1">
        <w:fldChar w:fldCharType="end"/>
      </w:r>
      <w:r w:rsidR="00E77384" w:rsidRPr="00D826A1">
        <w:t>)</w:t>
      </w:r>
      <w:r w:rsidR="00E20A14" w:rsidRPr="00D826A1">
        <w:rPr>
          <w:rStyle w:val="FootnoteReference"/>
        </w:rPr>
        <w:footnoteReference w:id="2"/>
      </w:r>
      <w:r w:rsidR="00E77384" w:rsidRPr="00D826A1">
        <w:t xml:space="preserve">. Respondents felt that induction days and the Major Investments Forum were most useful, while there </w:t>
      </w:r>
      <w:r w:rsidR="00D24F79" w:rsidRPr="00D826A1">
        <w:t xml:space="preserve">may be </w:t>
      </w:r>
      <w:r w:rsidR="00E77384" w:rsidRPr="00D826A1">
        <w:t xml:space="preserve">opportunities for improvement in progress reporting and ad-hoc reviews. Between respondent groups, </w:t>
      </w:r>
      <w:proofErr w:type="spellStart"/>
      <w:r w:rsidR="00FC2B29" w:rsidRPr="00D826A1">
        <w:t>Dir</w:t>
      </w:r>
      <w:r w:rsidR="00E77384" w:rsidRPr="00D826A1">
        <w:t>s</w:t>
      </w:r>
      <w:proofErr w:type="spellEnd"/>
      <w:r w:rsidR="00E77384" w:rsidRPr="00D826A1">
        <w:t xml:space="preserve"> tended to find activities more useful as compared to other groups</w:t>
      </w:r>
      <w:r w:rsidR="00E20A14" w:rsidRPr="00D826A1">
        <w:t xml:space="preserve">; </w:t>
      </w:r>
      <w:r w:rsidR="00D24F79" w:rsidRPr="00D826A1">
        <w:t xml:space="preserve">however, </w:t>
      </w:r>
      <w:r w:rsidR="00E20A14" w:rsidRPr="00D826A1">
        <w:t>many CIs chose not to respond to these questions, suggesting that they had not interacted with these sources of information throughout their engagement</w:t>
      </w:r>
      <w:r w:rsidR="00E77384" w:rsidRPr="00D826A1">
        <w:t>.</w:t>
      </w:r>
    </w:p>
    <w:p w14:paraId="6B96723B" w14:textId="3681BDE5" w:rsidR="00E77384" w:rsidRPr="00D826A1" w:rsidRDefault="00FC2B29" w:rsidP="00E77384">
      <w:proofErr w:type="spellStart"/>
      <w:r w:rsidRPr="00D826A1">
        <w:t>Dir</w:t>
      </w:r>
      <w:r w:rsidR="00BF7F4A" w:rsidRPr="00D826A1">
        <w:t>s</w:t>
      </w:r>
      <w:proofErr w:type="spellEnd"/>
      <w:r w:rsidR="00E77384" w:rsidRPr="00D826A1">
        <w:t xml:space="preserve"> </w:t>
      </w:r>
      <w:r w:rsidR="001560AE" w:rsidRPr="00D826A1">
        <w:t xml:space="preserve">reported finding </w:t>
      </w:r>
      <w:r w:rsidR="00E77384" w:rsidRPr="00D826A1">
        <w:t xml:space="preserve">the yearly meeting with other </w:t>
      </w:r>
      <w:proofErr w:type="spellStart"/>
      <w:r w:rsidRPr="00D826A1">
        <w:t>Dir</w:t>
      </w:r>
      <w:r w:rsidR="00E77384" w:rsidRPr="00D826A1">
        <w:t>s</w:t>
      </w:r>
      <w:proofErr w:type="spellEnd"/>
      <w:r w:rsidR="00E77384" w:rsidRPr="00D826A1">
        <w:t xml:space="preserve"> useful for sharing experiences. </w:t>
      </w:r>
      <w:r w:rsidR="009B2468" w:rsidRPr="00D826A1">
        <w:t>However,</w:t>
      </w:r>
      <w:r w:rsidR="00E77384" w:rsidRPr="00D826A1">
        <w:t xml:space="preserve"> they also felt that KPIs were less useful as they were not descriptive enough.</w:t>
      </w:r>
    </w:p>
    <w:p w14:paraId="05A93FC4" w14:textId="279391C8" w:rsidR="00E77384" w:rsidRPr="00D826A1" w:rsidRDefault="00E77384" w:rsidP="00E77384">
      <w:pPr>
        <w:pStyle w:val="FigureHeading"/>
      </w:pPr>
      <w:bookmarkStart w:id="125" w:name="_Ref3910048"/>
      <w:r w:rsidRPr="00D826A1">
        <w:t>Usefulness of ARC information (establishment</w:t>
      </w:r>
      <w:r w:rsidR="00435312" w:rsidRPr="00D826A1">
        <w:t xml:space="preserve"> and post establishment</w:t>
      </w:r>
      <w:r w:rsidRPr="00D826A1">
        <w:t>)</w:t>
      </w:r>
      <w:bookmarkEnd w:id="125"/>
    </w:p>
    <w:p w14:paraId="48FFFF45" w14:textId="0460240A" w:rsidR="00E77384" w:rsidRPr="00D826A1" w:rsidRDefault="00F5408A" w:rsidP="00E77384">
      <w:r>
        <w:rPr>
          <w:noProof/>
          <w:lang w:eastAsia="en-AU"/>
        </w:rPr>
        <w:drawing>
          <wp:inline distT="0" distB="0" distL="0" distR="0" wp14:anchorId="199D7D65" wp14:editId="2E7DB799">
            <wp:extent cx="5499100" cy="3755390"/>
            <wp:effectExtent l="0" t="0" r="6350" b="0"/>
            <wp:docPr id="51" name="Picture 51" descr="Figure 18 depicts the responses of ROs, Dirs, Mgrs and CIs on the usefulness of a number of sources of information in the establishment and post establishment phases of their Research Hubs and Training Centres." title="Figure 18. Usefulness of ARC information (establishment and post establ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3755390"/>
                    </a:xfrm>
                    <a:prstGeom prst="rect">
                      <a:avLst/>
                    </a:prstGeom>
                    <a:noFill/>
                  </pic:spPr>
                </pic:pic>
              </a:graphicData>
            </a:graphic>
          </wp:inline>
        </w:drawing>
      </w:r>
    </w:p>
    <w:p w14:paraId="1FF0D555" w14:textId="442DC912" w:rsidR="00E77384" w:rsidRPr="00D826A1" w:rsidRDefault="00E77384" w:rsidP="00E77384">
      <w:r w:rsidRPr="00D826A1">
        <w:t>R</w:t>
      </w:r>
      <w:r w:rsidR="00BF7F4A" w:rsidRPr="00D826A1">
        <w:t xml:space="preserve">Os, </w:t>
      </w:r>
      <w:proofErr w:type="spellStart"/>
      <w:r w:rsidR="00BF7F4A" w:rsidRPr="00D826A1">
        <w:t>Dirs</w:t>
      </w:r>
      <w:proofErr w:type="spellEnd"/>
      <w:r w:rsidR="00BF7F4A" w:rsidRPr="00D826A1">
        <w:t xml:space="preserve">, </w:t>
      </w:r>
      <w:proofErr w:type="spellStart"/>
      <w:r w:rsidR="00BF7F4A" w:rsidRPr="00D826A1">
        <w:t>Mgrs</w:t>
      </w:r>
      <w:proofErr w:type="spellEnd"/>
      <w:r w:rsidR="00BF7F4A" w:rsidRPr="00D826A1">
        <w:t xml:space="preserve">, </w:t>
      </w:r>
      <w:r w:rsidR="001E18E6">
        <w:t>CIs</w:t>
      </w:r>
      <w:r w:rsidR="00BF7F4A" w:rsidRPr="00D826A1">
        <w:t xml:space="preserve"> and PIs </w:t>
      </w:r>
      <w:r w:rsidRPr="00D826A1">
        <w:t>were also asked about challenges in the establishment process (</w:t>
      </w:r>
      <w:r w:rsidRPr="00D826A1">
        <w:fldChar w:fldCharType="begin"/>
      </w:r>
      <w:r w:rsidRPr="00D826A1">
        <w:instrText xml:space="preserve"> REF _Ref3910867 \r \h </w:instrText>
      </w:r>
      <w:r w:rsidR="00D826A1">
        <w:instrText xml:space="preserve"> \* MERGEFORMAT </w:instrText>
      </w:r>
      <w:r w:rsidRPr="00D826A1">
        <w:fldChar w:fldCharType="separate"/>
      </w:r>
      <w:r w:rsidR="00CD7DEE">
        <w:t>Figure 19</w:t>
      </w:r>
      <w:r w:rsidRPr="00D826A1">
        <w:fldChar w:fldCharType="end"/>
      </w:r>
      <w:r w:rsidRPr="00D826A1">
        <w:t xml:space="preserve">). Domestic student recruitment was reported as the largest challenge, followed by negotiating partnership arrangements and IP arrangements. In terms of least challenging factors, these were managing collaboration with other universities, budget management and negotiating the research program. By group, </w:t>
      </w:r>
      <w:proofErr w:type="spellStart"/>
      <w:r w:rsidR="00FC2B29" w:rsidRPr="00D826A1">
        <w:t>Mgr</w:t>
      </w:r>
      <w:r w:rsidRPr="00D826A1">
        <w:t>s</w:t>
      </w:r>
      <w:proofErr w:type="spellEnd"/>
      <w:r w:rsidRPr="00D826A1">
        <w:t xml:space="preserve"> and </w:t>
      </w:r>
      <w:r w:rsidR="003F6BFC">
        <w:t>PI</w:t>
      </w:r>
      <w:r w:rsidRPr="00D826A1">
        <w:t xml:space="preserve">s generally reported </w:t>
      </w:r>
      <w:r w:rsidR="001560AE" w:rsidRPr="00D826A1">
        <w:t xml:space="preserve">the process to be </w:t>
      </w:r>
      <w:r w:rsidRPr="00D826A1">
        <w:t>less challeng</w:t>
      </w:r>
      <w:r w:rsidR="001560AE" w:rsidRPr="00D826A1">
        <w:t xml:space="preserve">ing than </w:t>
      </w:r>
      <w:r w:rsidRPr="00D826A1">
        <w:t>other groups.</w:t>
      </w:r>
    </w:p>
    <w:p w14:paraId="7534DA7E" w14:textId="77777777" w:rsidR="00E77384" w:rsidRPr="00D826A1" w:rsidRDefault="00E77384" w:rsidP="00E77384">
      <w:pPr>
        <w:pStyle w:val="FigureHeading"/>
      </w:pPr>
      <w:bookmarkStart w:id="126" w:name="_Ref3910867"/>
      <w:r w:rsidRPr="00D826A1">
        <w:t>Challenges in the establishment process</w:t>
      </w:r>
      <w:bookmarkEnd w:id="126"/>
    </w:p>
    <w:p w14:paraId="07AF11F5" w14:textId="048CF2E0" w:rsidR="00E77384" w:rsidRPr="00D826A1" w:rsidRDefault="00F5408A" w:rsidP="00E77384">
      <w:r>
        <w:rPr>
          <w:noProof/>
          <w:lang w:eastAsia="en-AU"/>
        </w:rPr>
        <w:drawing>
          <wp:inline distT="0" distB="0" distL="0" distR="0" wp14:anchorId="6C36C5DE" wp14:editId="2CE1D3E3">
            <wp:extent cx="5499100" cy="5419725"/>
            <wp:effectExtent l="0" t="0" r="6350" b="9525"/>
            <wp:docPr id="52" name="Picture 52" descr="Figure 19 depicts the responses of ROs, Dirs, Mgrs, CIs and PIs on how challenging they found a number of aspects of the ITRP establishment process to be." title="Figure 19. Challenges in the establish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5419725"/>
                    </a:xfrm>
                    <a:prstGeom prst="rect">
                      <a:avLst/>
                    </a:prstGeom>
                    <a:noFill/>
                  </pic:spPr>
                </pic:pic>
              </a:graphicData>
            </a:graphic>
          </wp:inline>
        </w:drawing>
      </w:r>
    </w:p>
    <w:p w14:paraId="625092FB" w14:textId="005B3FC7" w:rsidR="00E77384" w:rsidRPr="00D826A1" w:rsidRDefault="001560AE" w:rsidP="00E77384">
      <w:r w:rsidRPr="00D826A1">
        <w:t>O</w:t>
      </w:r>
      <w:r w:rsidR="00E77384" w:rsidRPr="00D826A1">
        <w:t xml:space="preserve">f 99 comments </w:t>
      </w:r>
      <w:r w:rsidRPr="00D826A1">
        <w:t xml:space="preserve">provided </w:t>
      </w:r>
      <w:r w:rsidR="00E77384" w:rsidRPr="00D826A1">
        <w:t>on other significant issues in the establishment process</w:t>
      </w:r>
      <w:r w:rsidRPr="00D826A1">
        <w:t xml:space="preserve">, </w:t>
      </w:r>
      <w:r w:rsidR="00E77384" w:rsidRPr="00D826A1">
        <w:t>18 per cent related to difficulties with managing agreements</w:t>
      </w:r>
      <w:r w:rsidRPr="00D826A1">
        <w:t xml:space="preserve">, </w:t>
      </w:r>
      <w:r w:rsidR="00E77384" w:rsidRPr="00D826A1">
        <w:t>13 per cent related to HDR and PDR recruitment and management, and a further ten per cent related to dealing with changes in industry trends and the business environment.</w:t>
      </w:r>
    </w:p>
    <w:p w14:paraId="4823A31D" w14:textId="455EB265" w:rsidR="00E77384" w:rsidRPr="00D826A1" w:rsidRDefault="00E77384" w:rsidP="00E77384">
      <w:r w:rsidRPr="00D826A1">
        <w:t xml:space="preserve">In terms of key learnings from the establishment process, analysis of 190 comments from </w:t>
      </w:r>
      <w:r w:rsidR="00FC2B29" w:rsidRPr="00D826A1">
        <w:t>RO</w:t>
      </w:r>
      <w:r w:rsidRPr="00D826A1">
        <w:t xml:space="preserve">s, </w:t>
      </w:r>
      <w:proofErr w:type="spellStart"/>
      <w:r w:rsidR="00FC2B29" w:rsidRPr="00D826A1">
        <w:t>Dir</w:t>
      </w:r>
      <w:r w:rsidRPr="00D826A1">
        <w:t>s</w:t>
      </w:r>
      <w:proofErr w:type="spellEnd"/>
      <w:r w:rsidRPr="00D826A1">
        <w:t xml:space="preserve">, </w:t>
      </w:r>
      <w:proofErr w:type="spellStart"/>
      <w:r w:rsidR="00FC2B29" w:rsidRPr="00D826A1">
        <w:t>Mgr</w:t>
      </w:r>
      <w:r w:rsidRPr="00D826A1">
        <w:t>s</w:t>
      </w:r>
      <w:proofErr w:type="spellEnd"/>
      <w:r w:rsidRPr="00D826A1">
        <w:t xml:space="preserve"> and Chief and </w:t>
      </w:r>
      <w:r w:rsidR="003F6BFC">
        <w:t>PI</w:t>
      </w:r>
      <w:r w:rsidRPr="00D826A1">
        <w:t>s found that the biggest learning was to maintain good communications across stakeholders (26 per cent of comments). A further 22 per cent stressed the importance of cultivating partnerships (and within this, having a diversity of partnerships). Ten per cent of comments discussed the importance of a good governance model and a strong management team.</w:t>
      </w:r>
    </w:p>
    <w:p w14:paraId="1A357A03" w14:textId="0C931463" w:rsidR="00E77384" w:rsidRPr="00D826A1" w:rsidRDefault="00FC2B29" w:rsidP="00E77384">
      <w:proofErr w:type="spellStart"/>
      <w:r w:rsidRPr="00D826A1">
        <w:t>Dir</w:t>
      </w:r>
      <w:r w:rsidR="00E77384" w:rsidRPr="00D826A1">
        <w:t>s</w:t>
      </w:r>
      <w:proofErr w:type="spellEnd"/>
      <w:r w:rsidR="00E77384" w:rsidRPr="00D826A1">
        <w:t xml:space="preserve"> and </w:t>
      </w:r>
      <w:proofErr w:type="spellStart"/>
      <w:r w:rsidRPr="00D826A1">
        <w:t>Mgr</w:t>
      </w:r>
      <w:r w:rsidR="00E77384" w:rsidRPr="00D826A1">
        <w:t>s</w:t>
      </w:r>
      <w:proofErr w:type="spellEnd"/>
      <w:r w:rsidR="00E77384" w:rsidRPr="00D826A1">
        <w:t xml:space="preserve"> were asked about the importance of particular governance structures </w:t>
      </w:r>
      <w:r w:rsidR="001560AE" w:rsidRPr="00D826A1">
        <w:t>for</w:t>
      </w:r>
      <w:r w:rsidR="00E77384" w:rsidRPr="00D826A1">
        <w:t xml:space="preserve"> enabling and managing research collaboration (</w:t>
      </w:r>
      <w:r w:rsidR="00E77384" w:rsidRPr="00D826A1">
        <w:fldChar w:fldCharType="begin"/>
      </w:r>
      <w:r w:rsidR="00E77384" w:rsidRPr="00D826A1">
        <w:instrText xml:space="preserve"> REF _Ref3911783 \r \h </w:instrText>
      </w:r>
      <w:r w:rsidR="00D826A1">
        <w:instrText xml:space="preserve"> \* MERGEFORMAT </w:instrText>
      </w:r>
      <w:r w:rsidR="00E77384" w:rsidRPr="00D826A1">
        <w:fldChar w:fldCharType="separate"/>
      </w:r>
      <w:r w:rsidR="00CD7DEE">
        <w:t>Figure 20</w:t>
      </w:r>
      <w:r w:rsidR="00E77384" w:rsidRPr="00D826A1">
        <w:fldChar w:fldCharType="end"/>
      </w:r>
      <w:r w:rsidR="00E77384" w:rsidRPr="00D826A1">
        <w:t xml:space="preserve">). </w:t>
      </w:r>
      <w:r w:rsidR="00222D90" w:rsidRPr="00D826A1">
        <w:t xml:space="preserve">Note that </w:t>
      </w:r>
      <w:r w:rsidR="002F4361" w:rsidRPr="00D826A1">
        <w:t xml:space="preserve">Research Hubs and Training Centres may not have all these structures in place. </w:t>
      </w:r>
      <w:r w:rsidR="00222D90" w:rsidRPr="00D826A1">
        <w:t>For those that responde</w:t>
      </w:r>
      <w:r w:rsidR="002F4361" w:rsidRPr="00D826A1">
        <w:t>d for each type of structure, b</w:t>
      </w:r>
      <w:r w:rsidR="00E77384" w:rsidRPr="00D826A1">
        <w:t xml:space="preserve">usiness manager was seen as the most important role, followed by management committees and independent advisory committees. </w:t>
      </w:r>
      <w:proofErr w:type="spellStart"/>
      <w:r w:rsidRPr="00D826A1">
        <w:t>Mgr</w:t>
      </w:r>
      <w:r w:rsidR="00E77384" w:rsidRPr="00D826A1">
        <w:t>s</w:t>
      </w:r>
      <w:proofErr w:type="spellEnd"/>
      <w:r w:rsidR="00E77384" w:rsidRPr="00D826A1">
        <w:t xml:space="preserve"> </w:t>
      </w:r>
      <w:r w:rsidR="00681750" w:rsidRPr="00D826A1">
        <w:t>considered</w:t>
      </w:r>
      <w:r w:rsidR="00E77384" w:rsidRPr="00D826A1">
        <w:t xml:space="preserve"> </w:t>
      </w:r>
      <w:r w:rsidR="00B9312D">
        <w:t xml:space="preserve">that </w:t>
      </w:r>
      <w:r w:rsidR="00E77384" w:rsidRPr="00D826A1">
        <w:t xml:space="preserve">all of the governance structures were more important as compared to </w:t>
      </w:r>
      <w:r w:rsidRPr="00D826A1">
        <w:t>Dir</w:t>
      </w:r>
      <w:r w:rsidR="00E77384" w:rsidRPr="00D826A1">
        <w:t>s.</w:t>
      </w:r>
    </w:p>
    <w:p w14:paraId="10967CD7" w14:textId="57191243" w:rsidR="00E77384" w:rsidRPr="00D826A1" w:rsidRDefault="00E77384" w:rsidP="00E77384">
      <w:pPr>
        <w:pStyle w:val="FigureHeading"/>
      </w:pPr>
      <w:bookmarkStart w:id="127" w:name="_Ref3911783"/>
      <w:r w:rsidRPr="00D826A1">
        <w:t>Importance of governance structures (</w:t>
      </w:r>
      <w:proofErr w:type="spellStart"/>
      <w:r w:rsidR="00FC2B29" w:rsidRPr="00D826A1">
        <w:t>Dir</w:t>
      </w:r>
      <w:r w:rsidRPr="00D826A1">
        <w:t>s</w:t>
      </w:r>
      <w:proofErr w:type="spellEnd"/>
      <w:r w:rsidRPr="00D826A1">
        <w:t xml:space="preserve"> and </w:t>
      </w:r>
      <w:proofErr w:type="spellStart"/>
      <w:r w:rsidR="00FC2B29" w:rsidRPr="00D826A1">
        <w:t>Mgr</w:t>
      </w:r>
      <w:r w:rsidRPr="00D826A1">
        <w:t>s</w:t>
      </w:r>
      <w:proofErr w:type="spellEnd"/>
      <w:r w:rsidRPr="00D826A1">
        <w:t>)</w:t>
      </w:r>
      <w:bookmarkEnd w:id="127"/>
    </w:p>
    <w:p w14:paraId="783FFCF9" w14:textId="2AA22617" w:rsidR="00E77384" w:rsidRPr="00D826A1" w:rsidRDefault="00F5408A" w:rsidP="00E77384">
      <w:r>
        <w:rPr>
          <w:noProof/>
          <w:lang w:eastAsia="en-AU"/>
        </w:rPr>
        <w:drawing>
          <wp:inline distT="0" distB="0" distL="0" distR="0" wp14:anchorId="1B523AFB" wp14:editId="20E2CF3E">
            <wp:extent cx="5499100" cy="3755390"/>
            <wp:effectExtent l="0" t="0" r="6350" b="0"/>
            <wp:docPr id="53" name="Picture 53" descr="Figure 20 depicts the responses of Dirs and Mgrs on how important they found having Business Managers, management committees and independent advisory committees for enabling and managing research collaboration." title="Figure 20. Importance of governance structures (Dirs and Mg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3755390"/>
                    </a:xfrm>
                    <a:prstGeom prst="rect">
                      <a:avLst/>
                    </a:prstGeom>
                    <a:noFill/>
                  </pic:spPr>
                </pic:pic>
              </a:graphicData>
            </a:graphic>
          </wp:inline>
        </w:drawing>
      </w:r>
    </w:p>
    <w:p w14:paraId="49D8D77D" w14:textId="2F8E1A56" w:rsidR="00E77384" w:rsidRPr="00D826A1" w:rsidRDefault="00E77384" w:rsidP="00E77384">
      <w:r w:rsidRPr="00D826A1">
        <w:t xml:space="preserve">Other important governance arrangements identified in 25 comments from </w:t>
      </w:r>
      <w:proofErr w:type="spellStart"/>
      <w:r w:rsidR="00FC2B29" w:rsidRPr="00D826A1">
        <w:t>Dir</w:t>
      </w:r>
      <w:r w:rsidRPr="00D826A1">
        <w:t>s</w:t>
      </w:r>
      <w:proofErr w:type="spellEnd"/>
      <w:r w:rsidRPr="00D826A1">
        <w:t xml:space="preserve"> and </w:t>
      </w:r>
      <w:proofErr w:type="spellStart"/>
      <w:r w:rsidR="00FC2B29" w:rsidRPr="00D826A1">
        <w:t>Mgr</w:t>
      </w:r>
      <w:r w:rsidRPr="00D826A1">
        <w:t>s</w:t>
      </w:r>
      <w:proofErr w:type="spellEnd"/>
      <w:r w:rsidRPr="00D826A1">
        <w:t xml:space="preserve"> were executive meetings (17 per cent), research committees and general committees (13 per cent each), student committees (nine per cent), and industry agreements (nine per cent).</w:t>
      </w:r>
    </w:p>
    <w:p w14:paraId="1ECFBA24" w14:textId="76F13ECD" w:rsidR="00E77384" w:rsidRPr="00D826A1" w:rsidRDefault="00CF0CC4" w:rsidP="00E77384">
      <w:r w:rsidRPr="00D826A1">
        <w:t xml:space="preserve">Forty-eight </w:t>
      </w:r>
      <w:r w:rsidR="00055772" w:rsidRPr="00D826A1">
        <w:t xml:space="preserve">general feedback </w:t>
      </w:r>
      <w:r w:rsidR="00E77384" w:rsidRPr="00D826A1">
        <w:t xml:space="preserve">comments relating to the </w:t>
      </w:r>
      <w:r w:rsidRPr="00D826A1">
        <w:t>establishment</w:t>
      </w:r>
      <w:r w:rsidR="00E77384" w:rsidRPr="00D826A1">
        <w:t xml:space="preserve"> process </w:t>
      </w:r>
      <w:r w:rsidRPr="00D826A1">
        <w:t>discussed difficulties in applying</w:t>
      </w:r>
      <w:r w:rsidR="00E77384" w:rsidRPr="00D826A1">
        <w:t xml:space="preserve"> guidelines (13 per cent), </w:t>
      </w:r>
      <w:r w:rsidRPr="00D826A1">
        <w:t xml:space="preserve">the value of </w:t>
      </w:r>
      <w:r w:rsidR="00E77384" w:rsidRPr="00D826A1">
        <w:t>collaborations (11 per cent), and the role of individual people in the process (nine per cent). Fifteen per cent were general positive</w:t>
      </w:r>
      <w:r w:rsidR="00055772" w:rsidRPr="00D826A1">
        <w:t xml:space="preserve"> comments</w:t>
      </w:r>
      <w:r w:rsidR="00E77384" w:rsidRPr="00D826A1">
        <w:t xml:space="preserve"> </w:t>
      </w:r>
      <w:r w:rsidR="00055772" w:rsidRPr="00D826A1">
        <w:t>and</w:t>
      </w:r>
      <w:r w:rsidR="00E77384" w:rsidRPr="00D826A1">
        <w:t xml:space="preserve"> nine per cent were general negative</w:t>
      </w:r>
      <w:r w:rsidR="00055772" w:rsidRPr="00D826A1">
        <w:t xml:space="preserve"> comments</w:t>
      </w:r>
      <w:r w:rsidR="00E77384" w:rsidRPr="00D826A1">
        <w:t>.</w:t>
      </w:r>
    </w:p>
    <w:p w14:paraId="2224C7DA" w14:textId="77777777" w:rsidR="00E77384" w:rsidRPr="00D826A1" w:rsidRDefault="00E77384" w:rsidP="00E77384">
      <w:pPr>
        <w:pStyle w:val="Heading2"/>
      </w:pPr>
      <w:bookmarkStart w:id="128" w:name="_Toc10104797"/>
      <w:bookmarkStart w:id="129" w:name="_Toc10105000"/>
      <w:bookmarkStart w:id="130" w:name="_Toc10105602"/>
      <w:r w:rsidRPr="00D826A1">
        <w:t>Overall objectives</w:t>
      </w:r>
      <w:bookmarkEnd w:id="128"/>
      <w:bookmarkEnd w:id="129"/>
      <w:bookmarkEnd w:id="130"/>
    </w:p>
    <w:p w14:paraId="7813C8B0" w14:textId="29C05206" w:rsidR="00E77384" w:rsidRPr="00D826A1" w:rsidRDefault="00055772" w:rsidP="00E77384">
      <w:r w:rsidRPr="00D826A1">
        <w:t>All r</w:t>
      </w:r>
      <w:r w:rsidR="00E77384" w:rsidRPr="00D826A1">
        <w:t xml:space="preserve">espondents to the survey were asked about their views </w:t>
      </w:r>
      <w:r w:rsidRPr="00D826A1">
        <w:t>on the effectiveness of the ITRP in meeting its</w:t>
      </w:r>
      <w:r w:rsidR="00E77384" w:rsidRPr="00D826A1">
        <w:t xml:space="preserve"> objectives (</w:t>
      </w:r>
      <w:r w:rsidR="00E77384" w:rsidRPr="00D826A1">
        <w:fldChar w:fldCharType="begin"/>
      </w:r>
      <w:r w:rsidR="00E77384" w:rsidRPr="00D826A1">
        <w:instrText xml:space="preserve"> REF _Ref3912883 \r \h </w:instrText>
      </w:r>
      <w:r w:rsidR="00D826A1">
        <w:instrText xml:space="preserve"> \* MERGEFORMAT </w:instrText>
      </w:r>
      <w:r w:rsidR="00E77384" w:rsidRPr="00D826A1">
        <w:fldChar w:fldCharType="separate"/>
      </w:r>
      <w:r w:rsidR="00CD7DEE">
        <w:t>Figure 21</w:t>
      </w:r>
      <w:r w:rsidR="00E77384" w:rsidRPr="00D826A1">
        <w:fldChar w:fldCharType="end"/>
      </w:r>
      <w:r w:rsidR="00E77384" w:rsidRPr="00D826A1">
        <w:t>) and</w:t>
      </w:r>
      <w:r w:rsidRPr="00D826A1">
        <w:t xml:space="preserve">, depending on their experience, the effectiveness of </w:t>
      </w:r>
      <w:r w:rsidR="00E77384" w:rsidRPr="00D826A1">
        <w:t>Research Hubs (</w:t>
      </w:r>
      <w:r w:rsidR="00E77384" w:rsidRPr="00D826A1">
        <w:fldChar w:fldCharType="begin"/>
      </w:r>
      <w:r w:rsidR="00E77384" w:rsidRPr="00D826A1">
        <w:instrText xml:space="preserve"> REF _Ref3912907 \r \h </w:instrText>
      </w:r>
      <w:r w:rsidR="00D826A1">
        <w:instrText xml:space="preserve"> \* MERGEFORMAT </w:instrText>
      </w:r>
      <w:r w:rsidR="00E77384" w:rsidRPr="00D826A1">
        <w:fldChar w:fldCharType="separate"/>
      </w:r>
      <w:r w:rsidR="00CD7DEE">
        <w:t>Figure 22</w:t>
      </w:r>
      <w:r w:rsidR="00E77384" w:rsidRPr="00D826A1">
        <w:fldChar w:fldCharType="end"/>
      </w:r>
      <w:r w:rsidR="00E77384" w:rsidRPr="00D826A1">
        <w:t>) and Training Centres (</w:t>
      </w:r>
      <w:r w:rsidR="00E77384" w:rsidRPr="00D826A1">
        <w:fldChar w:fldCharType="begin"/>
      </w:r>
      <w:r w:rsidR="00E77384" w:rsidRPr="00D826A1">
        <w:instrText xml:space="preserve"> REF _Ref3912913 \r \h </w:instrText>
      </w:r>
      <w:r w:rsidR="00D826A1">
        <w:instrText xml:space="preserve"> \* MERGEFORMAT </w:instrText>
      </w:r>
      <w:r w:rsidR="00E77384" w:rsidRPr="00D826A1">
        <w:fldChar w:fldCharType="separate"/>
      </w:r>
      <w:r w:rsidR="00CD7DEE">
        <w:t>Figure 23</w:t>
      </w:r>
      <w:r w:rsidR="00E77384" w:rsidRPr="00D826A1">
        <w:fldChar w:fldCharType="end"/>
      </w:r>
      <w:r w:rsidR="00E77384" w:rsidRPr="00D826A1">
        <w:t>)</w:t>
      </w:r>
      <w:r w:rsidRPr="00D826A1">
        <w:t xml:space="preserve"> in meeting their objectives</w:t>
      </w:r>
      <w:r w:rsidR="00E77384" w:rsidRPr="00D826A1">
        <w:t>. In general, respondents agreed that the ITRP both fosters important research partnerships and supports research trainees to gain skills in industry priority areas.</w:t>
      </w:r>
    </w:p>
    <w:p w14:paraId="2A07079E" w14:textId="77777777" w:rsidR="00E77384" w:rsidRPr="00D826A1" w:rsidRDefault="00E77384" w:rsidP="00E77384">
      <w:pPr>
        <w:pStyle w:val="FigureHeading"/>
      </w:pPr>
      <w:bookmarkStart w:id="131" w:name="_Ref3912883"/>
      <w:r w:rsidRPr="00D826A1">
        <w:t>ITRP objectives (General)</w:t>
      </w:r>
      <w:bookmarkEnd w:id="131"/>
    </w:p>
    <w:p w14:paraId="6ABBFFA7" w14:textId="56514FEA" w:rsidR="00E77384" w:rsidRPr="00D826A1" w:rsidRDefault="00F5408A" w:rsidP="00E77384">
      <w:r>
        <w:rPr>
          <w:noProof/>
          <w:lang w:eastAsia="en-AU"/>
        </w:rPr>
        <w:drawing>
          <wp:inline distT="0" distB="0" distL="0" distR="0" wp14:anchorId="5B9FD2E5" wp14:editId="37601076">
            <wp:extent cx="5499100" cy="2097405"/>
            <wp:effectExtent l="0" t="0" r="6350" b="0"/>
            <wp:docPr id="54" name="Picture 54" descr="Figure 21 depicts the responses of stakeholders on the extent of their agreement that the ITRP fosters important research partnerships betweeen industry and universities, and supports research trainees to gain practical skills and experience in industry priority areas." title="Figure 21. ITRP objectives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2097405"/>
                    </a:xfrm>
                    <a:prstGeom prst="rect">
                      <a:avLst/>
                    </a:prstGeom>
                    <a:noFill/>
                  </pic:spPr>
                </pic:pic>
              </a:graphicData>
            </a:graphic>
          </wp:inline>
        </w:drawing>
      </w:r>
    </w:p>
    <w:p w14:paraId="494B9FE8" w14:textId="3A442767" w:rsidR="00E77384" w:rsidRPr="00D826A1" w:rsidRDefault="00A85327" w:rsidP="00E77384">
      <w:r w:rsidRPr="00D826A1">
        <w:t>R</w:t>
      </w:r>
      <w:r w:rsidR="00E77384" w:rsidRPr="00D826A1">
        <w:t xml:space="preserve">espondents generally agreed that </w:t>
      </w:r>
      <w:r w:rsidRPr="00D826A1">
        <w:t xml:space="preserve">Research Hubs’ </w:t>
      </w:r>
      <w:r w:rsidR="00E77384" w:rsidRPr="00D826A1">
        <w:t xml:space="preserve">objectives are being achieved, though there was less agreement in relation to </w:t>
      </w:r>
      <w:r w:rsidRPr="00D826A1">
        <w:t>their</w:t>
      </w:r>
      <w:r w:rsidR="00E77384" w:rsidRPr="00D826A1">
        <w:t xml:space="preserve"> ability to attract investment in targeted industry sectors.</w:t>
      </w:r>
    </w:p>
    <w:p w14:paraId="754252E2" w14:textId="77777777" w:rsidR="00E77384" w:rsidRPr="00D826A1" w:rsidRDefault="00E77384" w:rsidP="00E77384">
      <w:pPr>
        <w:pStyle w:val="FigureHeading"/>
      </w:pPr>
      <w:bookmarkStart w:id="132" w:name="_Ref3912907"/>
      <w:r w:rsidRPr="00D826A1">
        <w:t>ITRP objectives (Research Hubs)</w:t>
      </w:r>
      <w:bookmarkEnd w:id="132"/>
    </w:p>
    <w:p w14:paraId="0C728C82" w14:textId="7A44B1ED" w:rsidR="00E77384" w:rsidRPr="00D826A1" w:rsidRDefault="00F5408A" w:rsidP="00E77384">
      <w:r>
        <w:rPr>
          <w:noProof/>
          <w:lang w:eastAsia="en-AU"/>
        </w:rPr>
        <w:drawing>
          <wp:inline distT="0" distB="0" distL="0" distR="0" wp14:anchorId="78289FAF" wp14:editId="1CE0FEFC">
            <wp:extent cx="5499100" cy="2548255"/>
            <wp:effectExtent l="0" t="0" r="6350" b="4445"/>
            <wp:docPr id="55" name="Picture 55" descr="Figure 22 depicts the responses of stakeholders on the extent of their agreement that the Research Hubs meet particular aspects of their objectives." title="Figure 22. ITRP objectives (Research H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2548255"/>
                    </a:xfrm>
                    <a:prstGeom prst="rect">
                      <a:avLst/>
                    </a:prstGeom>
                    <a:noFill/>
                  </pic:spPr>
                </pic:pic>
              </a:graphicData>
            </a:graphic>
          </wp:inline>
        </w:drawing>
      </w:r>
    </w:p>
    <w:p w14:paraId="218519FD" w14:textId="4D1FA093" w:rsidR="00E77384" w:rsidRPr="00D826A1" w:rsidRDefault="00A85327" w:rsidP="00E77384">
      <w:r w:rsidRPr="00D826A1">
        <w:t>R</w:t>
      </w:r>
      <w:r w:rsidR="00E77384" w:rsidRPr="00D826A1">
        <w:t xml:space="preserve">espondents also generally agreed that </w:t>
      </w:r>
      <w:r w:rsidRPr="00D826A1">
        <w:t>Training Centres’ objectives</w:t>
      </w:r>
      <w:r w:rsidR="00E77384" w:rsidRPr="00D826A1">
        <w:t xml:space="preserve"> being achieved, with the strongest agreement seen in enhancing research training collaboration.</w:t>
      </w:r>
    </w:p>
    <w:p w14:paraId="0A42D2AF" w14:textId="77777777" w:rsidR="00E77384" w:rsidRPr="00D826A1" w:rsidRDefault="00E77384" w:rsidP="00E77384">
      <w:pPr>
        <w:pStyle w:val="FigureHeading"/>
      </w:pPr>
      <w:bookmarkStart w:id="133" w:name="_Ref3912913"/>
      <w:r w:rsidRPr="00D826A1">
        <w:t>ITRP objectives (Training Centres)</w:t>
      </w:r>
      <w:bookmarkEnd w:id="133"/>
    </w:p>
    <w:p w14:paraId="409939E6" w14:textId="58F21BD2" w:rsidR="00E77384" w:rsidRPr="00D826A1" w:rsidRDefault="00E77384" w:rsidP="00E77384">
      <w:r w:rsidRPr="00D826A1">
        <w:rPr>
          <w:noProof/>
          <w:lang w:eastAsia="en-AU"/>
        </w:rPr>
        <w:drawing>
          <wp:inline distT="0" distB="0" distL="0" distR="0" wp14:anchorId="6A99879C" wp14:editId="45477C47">
            <wp:extent cx="5486400" cy="3209925"/>
            <wp:effectExtent l="0" t="0" r="0" b="9525"/>
            <wp:docPr id="26" name="Chart 26" descr="Figure 23 depicts the responses of stakeholders on the extent of their agreement that the Training Centres meet particular aspects of their objectives." title="Figure 23. ITRP objectives (Training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9F2FA5" w14:textId="1BB2E080" w:rsidR="00011507" w:rsidRPr="00D826A1" w:rsidRDefault="00011507" w:rsidP="00011507">
      <w:r w:rsidRPr="00D826A1">
        <w:t>In terms of encouraging and supporting industry focused collaborative research and research training, IGCs were unanimously positive in terms of their support for the ITRP:</w:t>
      </w:r>
    </w:p>
    <w:p w14:paraId="34F3B159" w14:textId="77777777" w:rsidR="00011507" w:rsidRPr="00D826A1" w:rsidRDefault="00011507" w:rsidP="00011507">
      <w:pPr>
        <w:pStyle w:val="Quote"/>
      </w:pPr>
      <w:r w:rsidRPr="00D826A1">
        <w:t>The program provides an avenue for collaboration between research organisations (as the engines of innovation) and industry (the commercialisation vehicle). This interaction and collaboration is critical for better understanding of expectations and relevant knowledge exchange between industry and academia, providing an effective path for the commercialisation of new products or services to transform industry.</w:t>
      </w:r>
    </w:p>
    <w:p w14:paraId="5B223D86" w14:textId="2A5EC100" w:rsidR="00011507" w:rsidRPr="00D826A1" w:rsidRDefault="00011507" w:rsidP="009B2468">
      <w:pPr>
        <w:pStyle w:val="Quote"/>
        <w:jc w:val="right"/>
      </w:pPr>
      <w:r w:rsidRPr="00D826A1">
        <w:t>- IGC representative</w:t>
      </w:r>
    </w:p>
    <w:p w14:paraId="514EFA7B" w14:textId="77777777" w:rsidR="00E77384" w:rsidRPr="00D826A1" w:rsidRDefault="00E77384" w:rsidP="00E77384">
      <w:pPr>
        <w:pStyle w:val="Heading2"/>
      </w:pPr>
      <w:bookmarkStart w:id="134" w:name="_Toc10104798"/>
      <w:bookmarkStart w:id="135" w:name="_Toc10105001"/>
      <w:bookmarkStart w:id="136" w:name="_Toc10105603"/>
      <w:r w:rsidRPr="00D826A1">
        <w:t>General feedback</w:t>
      </w:r>
      <w:bookmarkEnd w:id="134"/>
      <w:bookmarkEnd w:id="135"/>
      <w:bookmarkEnd w:id="136"/>
    </w:p>
    <w:p w14:paraId="2FA4B0FC" w14:textId="214F93F1" w:rsidR="00E756CA" w:rsidRPr="00D826A1" w:rsidRDefault="00FC2B29" w:rsidP="00E77384">
      <w:proofErr w:type="spellStart"/>
      <w:r w:rsidRPr="00D826A1">
        <w:t>Dir</w:t>
      </w:r>
      <w:r w:rsidR="00E77384" w:rsidRPr="00D826A1">
        <w:t>s</w:t>
      </w:r>
      <w:proofErr w:type="spellEnd"/>
      <w:r w:rsidR="00E77384" w:rsidRPr="00D826A1">
        <w:t xml:space="preserve">, </w:t>
      </w:r>
      <w:proofErr w:type="spellStart"/>
      <w:r w:rsidRPr="00D826A1">
        <w:t>Mgr</w:t>
      </w:r>
      <w:r w:rsidR="00E77384" w:rsidRPr="00D826A1">
        <w:t>s</w:t>
      </w:r>
      <w:proofErr w:type="spellEnd"/>
      <w:r w:rsidR="00E77384" w:rsidRPr="00D826A1">
        <w:t xml:space="preserve"> and </w:t>
      </w:r>
      <w:r w:rsidRPr="00D826A1">
        <w:t>RO</w:t>
      </w:r>
      <w:r w:rsidR="00E77384" w:rsidRPr="00D826A1">
        <w:t>s were asked to provide suggestions on</w:t>
      </w:r>
      <w:r w:rsidR="004701B4" w:rsidRPr="00D826A1">
        <w:t xml:space="preserve"> ways the ARC can assist Research Hubs and Training Centres in the future</w:t>
      </w:r>
      <w:r w:rsidR="00E77384" w:rsidRPr="00D826A1">
        <w:t>. Across the 59 comments</w:t>
      </w:r>
      <w:r w:rsidR="00A85327" w:rsidRPr="00D826A1">
        <w:t xml:space="preserve"> provided</w:t>
      </w:r>
      <w:r w:rsidR="00E77384" w:rsidRPr="00D826A1">
        <w:t>, funding changes</w:t>
      </w:r>
      <w:r w:rsidR="004701B4" w:rsidRPr="00D826A1">
        <w:t xml:space="preserve"> (primarily increasing the size and length of funding)</w:t>
      </w:r>
      <w:r w:rsidR="00E77384" w:rsidRPr="00D826A1">
        <w:t xml:space="preserve"> was the most common topic (24 per cent), followed by suggestions for improved communications and reporting processes (20 per cent). Feedback from IGCs on areas of improvement </w:t>
      </w:r>
      <w:r w:rsidR="00E756CA" w:rsidRPr="00D826A1">
        <w:t>included</w:t>
      </w:r>
      <w:r w:rsidR="00AA4E72" w:rsidRPr="00D826A1">
        <w:t>:</w:t>
      </w:r>
    </w:p>
    <w:p w14:paraId="6F5CDDF7" w14:textId="24344BE8" w:rsidR="00E756CA" w:rsidRPr="00D826A1" w:rsidRDefault="004046A0" w:rsidP="004046A0">
      <w:pPr>
        <w:pStyle w:val="ListBullet"/>
      </w:pPr>
      <w:r>
        <w:t>s</w:t>
      </w:r>
      <w:r w:rsidR="00E756CA" w:rsidRPr="00D826A1">
        <w:t>tronger communications and knowledge sharing plans</w:t>
      </w:r>
    </w:p>
    <w:p w14:paraId="42BDF4A4" w14:textId="1F001059" w:rsidR="00E756CA" w:rsidRPr="00D826A1" w:rsidRDefault="004046A0" w:rsidP="004046A0">
      <w:pPr>
        <w:pStyle w:val="ListBullet"/>
      </w:pPr>
      <w:r>
        <w:t>h</w:t>
      </w:r>
      <w:r w:rsidR="00E756CA" w:rsidRPr="00D826A1">
        <w:t xml:space="preserve">aving ITRPs based in industry with </w:t>
      </w:r>
      <w:r w:rsidR="00AA4E72" w:rsidRPr="00D826A1">
        <w:t xml:space="preserve">a </w:t>
      </w:r>
      <w:r w:rsidR="00E756CA" w:rsidRPr="00D826A1">
        <w:t>free flow of academics/researchers</w:t>
      </w:r>
    </w:p>
    <w:p w14:paraId="234F04CB" w14:textId="52478EB7" w:rsidR="00E756CA" w:rsidRPr="00D826A1" w:rsidRDefault="004046A0" w:rsidP="004046A0">
      <w:pPr>
        <w:pStyle w:val="ListBullet"/>
      </w:pPr>
      <w:r>
        <w:t>s</w:t>
      </w:r>
      <w:r w:rsidR="00E756CA" w:rsidRPr="00D826A1">
        <w:t>pecific funding/rounds for each priority sector</w:t>
      </w:r>
    </w:p>
    <w:p w14:paraId="6439073A" w14:textId="49FA2493" w:rsidR="002E71C7" w:rsidRPr="00D826A1" w:rsidRDefault="004046A0" w:rsidP="004046A0">
      <w:pPr>
        <w:pStyle w:val="ListBullet"/>
      </w:pPr>
      <w:r>
        <w:t>s</w:t>
      </w:r>
      <w:r w:rsidR="002E71C7" w:rsidRPr="00D826A1">
        <w:t>upport awareness that IGC engagement can occur after the grant has been awarded</w:t>
      </w:r>
    </w:p>
    <w:p w14:paraId="5DEC16ED" w14:textId="4DE70002" w:rsidR="00E77384" w:rsidRPr="00D826A1" w:rsidRDefault="004046A0" w:rsidP="004046A0">
      <w:pPr>
        <w:pStyle w:val="ListBullet"/>
      </w:pPr>
      <w:r>
        <w:t>r</w:t>
      </w:r>
      <w:r w:rsidR="00E756CA" w:rsidRPr="00D826A1">
        <w:t>equiring local business school input on applications, in relation to likely demand for the ITRP outcomes and commercial pathway options.</w:t>
      </w:r>
      <w:r w:rsidR="00E77384" w:rsidRPr="00D826A1">
        <w:t xml:space="preserve"> </w:t>
      </w:r>
    </w:p>
    <w:p w14:paraId="40F0CC36" w14:textId="77777777" w:rsidR="00245CCC" w:rsidRDefault="00E77384" w:rsidP="00E77384">
      <w:r w:rsidRPr="00D826A1">
        <w:t>Survey respondents were also asked to provide general feedback on the program. A broad sentiment analysis of 199 comments received found that around 60 per cent were positive in tone, with 31 per cent neutral in tone and nine per cent being negative. Further topical analysis of these comments found that the three most common topics of discussion (aside from simple positive or negative statements about the program) were</w:t>
      </w:r>
      <w:r w:rsidR="00245CCC">
        <w:t>:</w:t>
      </w:r>
      <w:r w:rsidRPr="00D826A1">
        <w:t xml:space="preserve"> </w:t>
      </w:r>
    </w:p>
    <w:p w14:paraId="712B3A6D" w14:textId="3512C0D8" w:rsidR="00245CCC" w:rsidRDefault="00E77384" w:rsidP="00245CCC">
      <w:pPr>
        <w:pStyle w:val="ListBullet"/>
      </w:pPr>
      <w:r w:rsidRPr="00D826A1">
        <w:t xml:space="preserve">a desire to see greater monitoring and evaluation of </w:t>
      </w:r>
      <w:r w:rsidR="00E10077">
        <w:t>Research Hubs</w:t>
      </w:r>
      <w:r w:rsidRPr="00D826A1">
        <w:t xml:space="preserve"> and </w:t>
      </w:r>
      <w:r w:rsidR="00E10077">
        <w:t>Training Centres</w:t>
      </w:r>
      <w:r w:rsidRPr="00D826A1">
        <w:t xml:space="preserve"> (9 per cent) </w:t>
      </w:r>
    </w:p>
    <w:p w14:paraId="649CC84D" w14:textId="2B7CE5A7" w:rsidR="00245CCC" w:rsidRDefault="00E77384" w:rsidP="00245CCC">
      <w:pPr>
        <w:pStyle w:val="ListBullet"/>
      </w:pPr>
      <w:r w:rsidRPr="00D826A1">
        <w:t>changes to the funding structure for the program</w:t>
      </w:r>
      <w:r w:rsidR="0096366C" w:rsidRPr="00D826A1">
        <w:t xml:space="preserve"> – this included the size of funding as well as ensuring an appropriate balance in the distribution of funding between activities and partners</w:t>
      </w:r>
      <w:r w:rsidRPr="00D826A1">
        <w:t xml:space="preserve"> (8 per cent)</w:t>
      </w:r>
    </w:p>
    <w:p w14:paraId="43F5A8B3" w14:textId="1E23F5E3" w:rsidR="00245CCC" w:rsidRDefault="00E77384" w:rsidP="008249B9">
      <w:pPr>
        <w:pStyle w:val="ListBullet"/>
      </w:pPr>
      <w:r w:rsidRPr="00D826A1">
        <w:t xml:space="preserve">and changes to the timeframes for application and assessment (8 per cent). </w:t>
      </w:r>
    </w:p>
    <w:p w14:paraId="4FC4C7CE" w14:textId="77777777" w:rsidR="00245CCC" w:rsidRDefault="00245CCC" w:rsidP="00E77384"/>
    <w:p w14:paraId="011AB843" w14:textId="5C6CAA0E" w:rsidR="007C6753" w:rsidRPr="00D826A1" w:rsidRDefault="00E756CA" w:rsidP="00E77384">
      <w:r w:rsidRPr="00D826A1">
        <w:t>Other notable</w:t>
      </w:r>
      <w:r w:rsidR="00E77384" w:rsidRPr="00D826A1">
        <w:t xml:space="preserve"> topics </w:t>
      </w:r>
      <w:r w:rsidR="00646A42" w:rsidRPr="00D826A1">
        <w:t xml:space="preserve">raised by </w:t>
      </w:r>
      <w:r w:rsidRPr="00D826A1">
        <w:t>particular</w:t>
      </w:r>
      <w:r w:rsidR="00646A42" w:rsidRPr="00D826A1">
        <w:t xml:space="preserve"> stakeholder groups included </w:t>
      </w:r>
      <w:r w:rsidR="009C5AED" w:rsidRPr="00D826A1">
        <w:t xml:space="preserve">improving access to and timing of </w:t>
      </w:r>
      <w:r w:rsidR="00E77384" w:rsidRPr="00D826A1">
        <w:t xml:space="preserve">placements </w:t>
      </w:r>
      <w:r w:rsidRPr="00D826A1">
        <w:t>(</w:t>
      </w:r>
      <w:r w:rsidR="00E77384" w:rsidRPr="00D826A1">
        <w:t>HDRs</w:t>
      </w:r>
      <w:r w:rsidR="00E10077" w:rsidRPr="00D826A1">
        <w:t>) and</w:t>
      </w:r>
      <w:r w:rsidR="00E77384" w:rsidRPr="00D826A1">
        <w:t xml:space="preserve"> </w:t>
      </w:r>
      <w:r w:rsidR="009C5AED" w:rsidRPr="00D826A1">
        <w:t xml:space="preserve">increasing the </w:t>
      </w:r>
      <w:r w:rsidR="00E77384" w:rsidRPr="00D826A1">
        <w:t>timeframes</w:t>
      </w:r>
      <w:r w:rsidR="009C5AED" w:rsidRPr="00D826A1">
        <w:t xml:space="preserve"> for</w:t>
      </w:r>
      <w:r w:rsidR="005D5097" w:rsidRPr="00D826A1">
        <w:t xml:space="preserve"> application</w:t>
      </w:r>
      <w:r w:rsidR="009C5AED" w:rsidRPr="00D826A1">
        <w:t xml:space="preserve"> preparation</w:t>
      </w:r>
      <w:r w:rsidR="00E77384" w:rsidRPr="00D826A1">
        <w:t xml:space="preserve"> </w:t>
      </w:r>
      <w:r w:rsidRPr="00D826A1">
        <w:t>(</w:t>
      </w:r>
      <w:r w:rsidR="00FC2B29" w:rsidRPr="00D826A1">
        <w:t>RO</w:t>
      </w:r>
      <w:r w:rsidR="005D5097" w:rsidRPr="00D826A1">
        <w:t>s</w:t>
      </w:r>
      <w:r w:rsidRPr="00D826A1">
        <w:t>)</w:t>
      </w:r>
      <w:r w:rsidR="00E77384" w:rsidRPr="00D826A1">
        <w:t>.</w:t>
      </w:r>
    </w:p>
    <w:p w14:paraId="45385E8F" w14:textId="797ECAA7" w:rsidR="00E77384" w:rsidRPr="00D826A1" w:rsidRDefault="003439AB" w:rsidP="00E77384">
      <w:r w:rsidRPr="00D826A1">
        <w:t xml:space="preserve">Interviews with ARC representatives indicated that there was a need to ensure that in the application process there is an understanding by reviewers of the capability and experience of proposed </w:t>
      </w:r>
      <w:proofErr w:type="spellStart"/>
      <w:r w:rsidR="00FC2B29" w:rsidRPr="00D826A1">
        <w:t>Dir</w:t>
      </w:r>
      <w:r w:rsidRPr="00D826A1">
        <w:t>s</w:t>
      </w:r>
      <w:proofErr w:type="spellEnd"/>
      <w:r w:rsidRPr="00D826A1">
        <w:t xml:space="preserve"> in running similar types of programs (as opposed to research projects):</w:t>
      </w:r>
    </w:p>
    <w:p w14:paraId="7BDBA684" w14:textId="5B30D027" w:rsidR="003439AB" w:rsidRPr="00D826A1" w:rsidRDefault="003439AB" w:rsidP="000D037C">
      <w:pPr>
        <w:pStyle w:val="Quote"/>
      </w:pPr>
      <w:r w:rsidRPr="00D826A1">
        <w:t>… in many ways [the ITRP is] almost a training for you to run a bigger centre like the Centres of Excellence or the CRC’s but at a slightly smaller scale ipso facto should we actually be doing more assessment than just your research ability, because we’re actually looking at your ability to run an organisation. I’m not sure you can read that off [the application] or perhaps the selection criteria aren’t quite right … because you’re not really asking them to write about that capability.</w:t>
      </w:r>
    </w:p>
    <w:p w14:paraId="7AAE600D" w14:textId="55A72BF6" w:rsidR="003439AB" w:rsidRPr="00D826A1" w:rsidRDefault="003439AB" w:rsidP="000D037C">
      <w:pPr>
        <w:pStyle w:val="Quote"/>
        <w:jc w:val="right"/>
      </w:pPr>
      <w:r w:rsidRPr="00D826A1">
        <w:t>- ARC</w:t>
      </w:r>
      <w:r w:rsidR="00E756CA" w:rsidRPr="00D826A1">
        <w:t xml:space="preserve"> representative</w:t>
      </w:r>
    </w:p>
    <w:p w14:paraId="1E907356" w14:textId="2A34058A" w:rsidR="00E77384" w:rsidRPr="00D826A1" w:rsidRDefault="003439AB" w:rsidP="00E77384">
      <w:r w:rsidRPr="00D826A1">
        <w:t>Feedback from interviews with DIIS</w:t>
      </w:r>
      <w:r w:rsidR="00E756CA" w:rsidRPr="00D826A1">
        <w:t xml:space="preserve"> representatives</w:t>
      </w:r>
      <w:r w:rsidRPr="00D826A1">
        <w:t xml:space="preserve"> focused on ensuring that researchers are aligning their work with industry and business needs, and on evaluating the outcomes of collaborations, particularly from a commercial standpoint.</w:t>
      </w:r>
    </w:p>
    <w:p w14:paraId="26A5667D" w14:textId="77777777" w:rsidR="00E77384" w:rsidRPr="00D826A1" w:rsidRDefault="00E77384" w:rsidP="00E77384">
      <w:pPr>
        <w:pStyle w:val="Appendix"/>
      </w:pPr>
      <w:bookmarkStart w:id="137" w:name="_Ref3275195"/>
      <w:bookmarkStart w:id="138" w:name="_Toc10104799"/>
      <w:bookmarkStart w:id="139" w:name="_Toc10105002"/>
      <w:bookmarkStart w:id="140" w:name="_Toc10105604"/>
      <w:r w:rsidRPr="00D826A1">
        <w:t>Technical summary</w:t>
      </w:r>
      <w:bookmarkEnd w:id="137"/>
      <w:bookmarkEnd w:id="138"/>
      <w:bookmarkEnd w:id="139"/>
      <w:bookmarkEnd w:id="140"/>
    </w:p>
    <w:p w14:paraId="32597E63" w14:textId="77777777" w:rsidR="00E77384" w:rsidRPr="00D826A1" w:rsidRDefault="00E77384" w:rsidP="00E77384">
      <w:pPr>
        <w:pStyle w:val="ExecSummaryH2"/>
      </w:pPr>
      <w:bookmarkStart w:id="141" w:name="_Toc10104800"/>
      <w:bookmarkStart w:id="142" w:name="_Toc10105003"/>
      <w:bookmarkStart w:id="143" w:name="_Toc10105605"/>
      <w:r w:rsidRPr="00D826A1">
        <w:t>Survey</w:t>
      </w:r>
      <w:bookmarkEnd w:id="141"/>
      <w:bookmarkEnd w:id="142"/>
      <w:bookmarkEnd w:id="143"/>
    </w:p>
    <w:p w14:paraId="2E525F8D" w14:textId="77777777" w:rsidR="00E77384" w:rsidRPr="00D826A1" w:rsidRDefault="00E77384" w:rsidP="00E77384">
      <w:r w:rsidRPr="00D826A1">
        <w:t xml:space="preserve">The survey was delivered between 6 February 2019 and 28 February 2019 to a distribution list of 2,177 stakeholders. Reminder emails were sent on a weekly basis and 24 hours prior to closure of the survey. </w:t>
      </w:r>
    </w:p>
    <w:p w14:paraId="292877EB" w14:textId="77777777" w:rsidR="00E77384" w:rsidRPr="00D826A1" w:rsidRDefault="00E77384" w:rsidP="00E77384">
      <w:r w:rsidRPr="00D826A1">
        <w:t>A total of 702 complete responses to the survey were received, representing a response rate of 32.3 per cent. This is higher than expected for surveys of this type (typically a response rate of 20 per cent would be normal) and exceeded initial predictions for expected total responses.</w:t>
      </w:r>
    </w:p>
    <w:p w14:paraId="108D4818" w14:textId="77777777" w:rsidR="00E77384" w:rsidRPr="00D826A1" w:rsidRDefault="00E77384" w:rsidP="00E77384">
      <w:r w:rsidRPr="00D826A1">
        <w:t>A further 302 partial responses were received which have not been included in the analysis or final data set. This represents a completion rate of 69.9 per cent for those who started the survey, indicating a high degree of uptake for a survey of this length.</w:t>
      </w:r>
    </w:p>
    <w:p w14:paraId="17136C68" w14:textId="4B5A96DC" w:rsidR="00E77384" w:rsidRPr="00D826A1" w:rsidRDefault="00E77384" w:rsidP="00E77384">
      <w:r w:rsidRPr="00D826A1">
        <w:t xml:space="preserve">Twenty-four members of the contact list opted out from receiving further communications about the survey, representing 1.1 per cent of the contact list. Analysis of this showed that these were predominantly </w:t>
      </w:r>
      <w:r w:rsidR="003F6BFC">
        <w:t>PI</w:t>
      </w:r>
      <w:r w:rsidRPr="00D826A1">
        <w:t xml:space="preserve">s. </w:t>
      </w:r>
    </w:p>
    <w:p w14:paraId="5F328149" w14:textId="6B5347C8" w:rsidR="00E77384" w:rsidRPr="00D826A1" w:rsidRDefault="00E77384" w:rsidP="00E77384">
      <w:r w:rsidRPr="00D826A1">
        <w:fldChar w:fldCharType="begin"/>
      </w:r>
      <w:r w:rsidRPr="00D826A1">
        <w:instrText xml:space="preserve"> REF _Ref3972472 \r \h </w:instrText>
      </w:r>
      <w:r w:rsidR="00D826A1">
        <w:instrText xml:space="preserve"> \* MERGEFORMAT </w:instrText>
      </w:r>
      <w:r w:rsidRPr="00D826A1">
        <w:fldChar w:fldCharType="separate"/>
      </w:r>
      <w:r w:rsidR="00CD7DEE">
        <w:t>Figure 24</w:t>
      </w:r>
      <w:r w:rsidRPr="00D826A1">
        <w:fldChar w:fldCharType="end"/>
      </w:r>
      <w:r w:rsidRPr="00D826A1">
        <w:t xml:space="preserve"> shows a breakdown of completed survey responses over time between launch and closure of the survey. Spikes in the number of responses correspond to the transmission of reminder emails. The lower spike relating to the final reminder indicates that the length of the survey in the field was optimal, and that few further responses would have been received had the survey remained in field longer.</w:t>
      </w:r>
    </w:p>
    <w:p w14:paraId="2F96AD81" w14:textId="77777777" w:rsidR="00E77384" w:rsidRPr="00D826A1" w:rsidRDefault="00E77384" w:rsidP="00E77384">
      <w:pPr>
        <w:pStyle w:val="FigureHeading"/>
      </w:pPr>
      <w:bookmarkStart w:id="144" w:name="_Ref3972472"/>
      <w:r w:rsidRPr="00D826A1">
        <w:t>Survey responses by day</w:t>
      </w:r>
      <w:bookmarkEnd w:id="144"/>
    </w:p>
    <w:p w14:paraId="428AFB7D" w14:textId="77777777" w:rsidR="00E77384" w:rsidRPr="00D826A1" w:rsidRDefault="00E77384" w:rsidP="00E77384">
      <w:r w:rsidRPr="00D826A1">
        <w:rPr>
          <w:noProof/>
          <w:lang w:eastAsia="en-AU"/>
        </w:rPr>
        <w:drawing>
          <wp:inline distT="0" distB="0" distL="0" distR="0" wp14:anchorId="1D0CF967" wp14:editId="500681B0">
            <wp:extent cx="5320727" cy="2400300"/>
            <wp:effectExtent l="0" t="0" r="0" b="0"/>
            <wp:docPr id="27" name="Picture 27" descr="Figure 24 shows the number survey responses completed in each day of the survey period." title="Figure 24. Survey responses b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0848" cy="2404866"/>
                    </a:xfrm>
                    <a:prstGeom prst="rect">
                      <a:avLst/>
                    </a:prstGeom>
                    <a:noFill/>
                  </pic:spPr>
                </pic:pic>
              </a:graphicData>
            </a:graphic>
          </wp:inline>
        </w:drawing>
      </w:r>
    </w:p>
    <w:p w14:paraId="68DECB24" w14:textId="77777777" w:rsidR="00E77384" w:rsidRPr="00D826A1" w:rsidRDefault="00E77384" w:rsidP="00E77384"/>
    <w:p w14:paraId="46241106" w14:textId="378C7CE8" w:rsidR="00E77384" w:rsidRPr="00D826A1" w:rsidRDefault="00E77384" w:rsidP="00E77384">
      <w:r w:rsidRPr="00D826A1">
        <w:fldChar w:fldCharType="begin"/>
      </w:r>
      <w:r w:rsidRPr="00D826A1">
        <w:instrText xml:space="preserve"> REF _Ref3972676 \r \h </w:instrText>
      </w:r>
      <w:r w:rsidR="00D826A1">
        <w:instrText xml:space="preserve"> \* MERGEFORMAT </w:instrText>
      </w:r>
      <w:r w:rsidRPr="00D826A1">
        <w:fldChar w:fldCharType="separate"/>
      </w:r>
      <w:r w:rsidR="00CD7DEE">
        <w:t>Figure 25</w:t>
      </w:r>
      <w:r w:rsidRPr="00D826A1">
        <w:fldChar w:fldCharType="end"/>
      </w:r>
      <w:r w:rsidRPr="00D826A1">
        <w:t xml:space="preserve"> present</w:t>
      </w:r>
      <w:r w:rsidR="009B2468">
        <w:t>s</w:t>
      </w:r>
      <w:r w:rsidRPr="00D826A1">
        <w:t xml:space="preserve"> the response totals by group, and </w:t>
      </w:r>
      <w:r w:rsidRPr="00D826A1">
        <w:fldChar w:fldCharType="begin"/>
      </w:r>
      <w:r w:rsidRPr="00D826A1">
        <w:instrText xml:space="preserve"> REF _Ref3972680 \r \h </w:instrText>
      </w:r>
      <w:r w:rsidR="00D826A1">
        <w:instrText xml:space="preserve"> \* MERGEFORMAT </w:instrText>
      </w:r>
      <w:r w:rsidRPr="00D826A1">
        <w:fldChar w:fldCharType="separate"/>
      </w:r>
      <w:r w:rsidR="00CD7DEE">
        <w:t>Figure 26</w:t>
      </w:r>
      <w:r w:rsidRPr="00D826A1">
        <w:fldChar w:fldCharType="end"/>
      </w:r>
      <w:r w:rsidRPr="00D826A1">
        <w:t xml:space="preserve"> presents the response rate by respondent group. Response rates were calculated in comparison to the total contact list. </w:t>
      </w:r>
    </w:p>
    <w:p w14:paraId="70ADF110" w14:textId="77777777" w:rsidR="00E77384" w:rsidRPr="00D826A1" w:rsidRDefault="00E77384" w:rsidP="00E77384">
      <w:pPr>
        <w:pStyle w:val="FigureHeading"/>
      </w:pPr>
      <w:bookmarkStart w:id="145" w:name="_Ref3972676"/>
      <w:r w:rsidRPr="00D826A1">
        <w:t>Responses by group</w:t>
      </w:r>
    </w:p>
    <w:bookmarkEnd w:id="145"/>
    <w:p w14:paraId="5C05E381" w14:textId="77777777" w:rsidR="00E77384" w:rsidRPr="00D826A1" w:rsidRDefault="00E77384" w:rsidP="00E77384">
      <w:r w:rsidRPr="00D826A1">
        <w:rPr>
          <w:noProof/>
          <w:lang w:eastAsia="en-AU"/>
        </w:rPr>
        <w:drawing>
          <wp:inline distT="0" distB="0" distL="0" distR="0" wp14:anchorId="4B444031" wp14:editId="53959DDB">
            <wp:extent cx="5510753" cy="2486025"/>
            <wp:effectExtent l="0" t="0" r="0" b="0"/>
            <wp:docPr id="28" name="Picture 28" descr="Figure 25 shows the total number of completed survey responses and the number completed by each stakeholder group." title="Figure 25. Responses 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9871" cy="2490139"/>
                    </a:xfrm>
                    <a:prstGeom prst="rect">
                      <a:avLst/>
                    </a:prstGeom>
                    <a:noFill/>
                  </pic:spPr>
                </pic:pic>
              </a:graphicData>
            </a:graphic>
          </wp:inline>
        </w:drawing>
      </w:r>
    </w:p>
    <w:p w14:paraId="68F5ACE5" w14:textId="77777777" w:rsidR="00E77384" w:rsidRPr="00D826A1" w:rsidRDefault="00E77384" w:rsidP="00E77384">
      <w:pPr>
        <w:pStyle w:val="FigureHeading"/>
      </w:pPr>
      <w:bookmarkStart w:id="146" w:name="_Ref3972680"/>
      <w:r w:rsidRPr="00D826A1">
        <w:t>Response rate by group</w:t>
      </w:r>
    </w:p>
    <w:bookmarkEnd w:id="146"/>
    <w:p w14:paraId="33F6AFA6" w14:textId="77777777" w:rsidR="00E77384" w:rsidRPr="00D826A1" w:rsidRDefault="00E77384" w:rsidP="00E77384">
      <w:r w:rsidRPr="00D826A1">
        <w:rPr>
          <w:noProof/>
          <w:lang w:eastAsia="en-AU"/>
        </w:rPr>
        <w:drawing>
          <wp:inline distT="0" distB="0" distL="0" distR="0" wp14:anchorId="2C24776D" wp14:editId="21350DB6">
            <wp:extent cx="5426297" cy="2447925"/>
            <wp:effectExtent l="0" t="0" r="3175" b="0"/>
            <wp:docPr id="31" name="Picture 31" descr="Figure 26 shows the survey response rate for each stakeholder group, and the total survey response rate." title="Figure 26. Response rate 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3222" cy="2451049"/>
                    </a:xfrm>
                    <a:prstGeom prst="rect">
                      <a:avLst/>
                    </a:prstGeom>
                    <a:noFill/>
                  </pic:spPr>
                </pic:pic>
              </a:graphicData>
            </a:graphic>
          </wp:inline>
        </w:drawing>
      </w:r>
    </w:p>
    <w:p w14:paraId="19BD40B5" w14:textId="77777777" w:rsidR="00E77384" w:rsidRPr="00D826A1" w:rsidRDefault="00E77384" w:rsidP="00E77384"/>
    <w:p w14:paraId="0C682B96" w14:textId="44B69733" w:rsidR="00E77384" w:rsidRPr="00D826A1" w:rsidRDefault="00E77384" w:rsidP="00E77384">
      <w:r w:rsidRPr="00D826A1">
        <w:fldChar w:fldCharType="begin"/>
      </w:r>
      <w:r w:rsidRPr="00D826A1">
        <w:instrText xml:space="preserve"> REF _Ref3972795 \r \h </w:instrText>
      </w:r>
      <w:r w:rsidR="00D826A1">
        <w:instrText xml:space="preserve"> \* MERGEFORMAT </w:instrText>
      </w:r>
      <w:r w:rsidRPr="00D826A1">
        <w:fldChar w:fldCharType="separate"/>
      </w:r>
      <w:r w:rsidR="00CD7DEE">
        <w:t>Table 1</w:t>
      </w:r>
      <w:r w:rsidRPr="00D826A1">
        <w:fldChar w:fldCharType="end"/>
      </w:r>
      <w:r w:rsidRPr="00D826A1">
        <w:t xml:space="preserve"> and </w:t>
      </w:r>
      <w:r w:rsidRPr="00D826A1">
        <w:fldChar w:fldCharType="begin"/>
      </w:r>
      <w:r w:rsidRPr="00D826A1">
        <w:instrText xml:space="preserve"> REF _Ref3972801 \r \h </w:instrText>
      </w:r>
      <w:r w:rsidR="00D826A1">
        <w:instrText xml:space="preserve"> \* MERGEFORMAT </w:instrText>
      </w:r>
      <w:r w:rsidRPr="00D826A1">
        <w:fldChar w:fldCharType="separate"/>
      </w:r>
      <w:r w:rsidR="00CD7DEE">
        <w:t>Table 2</w:t>
      </w:r>
      <w:r w:rsidRPr="00D826A1">
        <w:fldChar w:fldCharType="end"/>
      </w:r>
      <w:r w:rsidRPr="00D826A1">
        <w:t xml:space="preserve"> present the breakdown of survey responses by response group (number and percentage respectively). Each of the groups provided a reasonable sample of the population, though </w:t>
      </w:r>
      <w:r w:rsidR="00FC2B29" w:rsidRPr="00D826A1">
        <w:t>ROs</w:t>
      </w:r>
      <w:r w:rsidRPr="00D826A1">
        <w:t xml:space="preserve"> were slightly low. </w:t>
      </w:r>
      <w:r w:rsidR="003F6BFC">
        <w:t>PI</w:t>
      </w:r>
      <w:r w:rsidRPr="00D826A1">
        <w:t>s had a low relative response rate</w:t>
      </w:r>
      <w:r w:rsidR="007637D8">
        <w:t>,</w:t>
      </w:r>
      <w:r w:rsidRPr="00D826A1">
        <w:t xml:space="preserve"> but this was offset by the large number of responses.</w:t>
      </w:r>
    </w:p>
    <w:p w14:paraId="135CC614" w14:textId="77777777" w:rsidR="00E77384" w:rsidRPr="00D826A1" w:rsidRDefault="00E77384" w:rsidP="00E77384"/>
    <w:p w14:paraId="6927A3A9" w14:textId="77777777" w:rsidR="00E77384" w:rsidRPr="00D826A1" w:rsidRDefault="00E77384" w:rsidP="00E77384"/>
    <w:p w14:paraId="30BE85A7" w14:textId="77777777" w:rsidR="00E77384" w:rsidRPr="00D826A1" w:rsidRDefault="00E77384" w:rsidP="00E77384">
      <w:pPr>
        <w:pStyle w:val="TableHeading"/>
      </w:pPr>
      <w:bookmarkStart w:id="147" w:name="_Ref3972795"/>
      <w:r w:rsidRPr="00D826A1">
        <w:t>Survey responses by response group (number)</w:t>
      </w:r>
    </w:p>
    <w:tbl>
      <w:tblPr>
        <w:tblStyle w:val="ARTDTable2"/>
        <w:tblW w:w="0" w:type="auto"/>
        <w:tblLook w:val="04A0" w:firstRow="1" w:lastRow="0" w:firstColumn="1" w:lastColumn="0" w:noHBand="0" w:noVBand="1"/>
        <w:tblCaption w:val="Table 1. Survey responses by response group (number)"/>
        <w:tblDescription w:val="Table 1. Survey responses by response group (number)"/>
      </w:tblPr>
      <w:tblGrid>
        <w:gridCol w:w="2252"/>
        <w:gridCol w:w="2253"/>
        <w:gridCol w:w="2254"/>
        <w:gridCol w:w="2254"/>
      </w:tblGrid>
      <w:tr w:rsidR="00E77384" w:rsidRPr="00D826A1" w14:paraId="4E2B60D3" w14:textId="77777777" w:rsidTr="00674124">
        <w:trPr>
          <w:cnfStyle w:val="100000000000" w:firstRow="1" w:lastRow="0" w:firstColumn="0" w:lastColumn="0" w:oddVBand="0" w:evenVBand="0" w:oddHBand="0" w:evenHBand="0" w:firstRowFirstColumn="0" w:firstRowLastColumn="0" w:lastRowFirstColumn="0" w:lastRowLastColumn="0"/>
        </w:trPr>
        <w:tc>
          <w:tcPr>
            <w:tcW w:w="2252" w:type="dxa"/>
            <w:vAlign w:val="bottom"/>
          </w:tcPr>
          <w:p w14:paraId="181A29CB"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Role</w:t>
            </w:r>
          </w:p>
        </w:tc>
        <w:tc>
          <w:tcPr>
            <w:tcW w:w="2253" w:type="dxa"/>
            <w:vAlign w:val="bottom"/>
          </w:tcPr>
          <w:p w14:paraId="3EC20738"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Complete</w:t>
            </w:r>
          </w:p>
        </w:tc>
        <w:tc>
          <w:tcPr>
            <w:tcW w:w="2254" w:type="dxa"/>
            <w:vAlign w:val="bottom"/>
          </w:tcPr>
          <w:p w14:paraId="349BCB35"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Partial</w:t>
            </w:r>
          </w:p>
        </w:tc>
        <w:tc>
          <w:tcPr>
            <w:tcW w:w="2254" w:type="dxa"/>
            <w:vAlign w:val="bottom"/>
          </w:tcPr>
          <w:p w14:paraId="57CF7E41"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Not started</w:t>
            </w:r>
          </w:p>
        </w:tc>
      </w:tr>
      <w:tr w:rsidR="00E77384" w:rsidRPr="00D826A1" w14:paraId="23813FF8" w14:textId="77777777" w:rsidTr="00674124">
        <w:tc>
          <w:tcPr>
            <w:tcW w:w="2252" w:type="dxa"/>
            <w:vAlign w:val="bottom"/>
          </w:tcPr>
          <w:p w14:paraId="712E56FD" w14:textId="77777777" w:rsidR="00E77384" w:rsidRPr="00D826A1" w:rsidRDefault="00E77384" w:rsidP="00674124">
            <w:pPr>
              <w:pStyle w:val="Tablebodytext"/>
            </w:pPr>
            <w:r w:rsidRPr="00D826A1">
              <w:rPr>
                <w:color w:val="000000"/>
              </w:rPr>
              <w:t>RO</w:t>
            </w:r>
          </w:p>
        </w:tc>
        <w:tc>
          <w:tcPr>
            <w:tcW w:w="2253" w:type="dxa"/>
            <w:vAlign w:val="bottom"/>
          </w:tcPr>
          <w:p w14:paraId="19CC2E09" w14:textId="77777777" w:rsidR="00E77384" w:rsidRPr="00D826A1" w:rsidRDefault="00E77384" w:rsidP="00674124">
            <w:pPr>
              <w:pStyle w:val="Tablebodytext"/>
              <w:jc w:val="right"/>
            </w:pPr>
            <w:r w:rsidRPr="00D826A1">
              <w:rPr>
                <w:color w:val="000000"/>
              </w:rPr>
              <w:t>15</w:t>
            </w:r>
          </w:p>
        </w:tc>
        <w:tc>
          <w:tcPr>
            <w:tcW w:w="2254" w:type="dxa"/>
            <w:vAlign w:val="bottom"/>
          </w:tcPr>
          <w:p w14:paraId="490EC824" w14:textId="77777777" w:rsidR="00E77384" w:rsidRPr="00D826A1" w:rsidRDefault="00E77384" w:rsidP="00674124">
            <w:pPr>
              <w:pStyle w:val="Tablebodytext"/>
              <w:jc w:val="right"/>
            </w:pPr>
            <w:r w:rsidRPr="00D826A1">
              <w:rPr>
                <w:color w:val="000000"/>
              </w:rPr>
              <w:t>8</w:t>
            </w:r>
          </w:p>
        </w:tc>
        <w:tc>
          <w:tcPr>
            <w:tcW w:w="2254" w:type="dxa"/>
            <w:vAlign w:val="bottom"/>
          </w:tcPr>
          <w:p w14:paraId="5720E1BF" w14:textId="77777777" w:rsidR="00E77384" w:rsidRPr="00D826A1" w:rsidRDefault="00E77384" w:rsidP="00674124">
            <w:pPr>
              <w:pStyle w:val="Tablebodytext"/>
              <w:jc w:val="right"/>
            </w:pPr>
            <w:r w:rsidRPr="00D826A1">
              <w:rPr>
                <w:color w:val="000000"/>
              </w:rPr>
              <w:t>24</w:t>
            </w:r>
          </w:p>
        </w:tc>
      </w:tr>
      <w:tr w:rsidR="00E77384" w:rsidRPr="00D826A1" w14:paraId="7927BA89"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307FCFEE" w14:textId="6FEC4331" w:rsidR="00E77384" w:rsidRPr="00D826A1" w:rsidRDefault="00FC2B29" w:rsidP="00674124">
            <w:pPr>
              <w:pStyle w:val="Tablebodytext"/>
            </w:pPr>
            <w:proofErr w:type="spellStart"/>
            <w:r w:rsidRPr="00D826A1">
              <w:rPr>
                <w:color w:val="000000"/>
              </w:rPr>
              <w:t>Dirs</w:t>
            </w:r>
            <w:proofErr w:type="spellEnd"/>
          </w:p>
        </w:tc>
        <w:tc>
          <w:tcPr>
            <w:tcW w:w="2253" w:type="dxa"/>
            <w:vAlign w:val="bottom"/>
          </w:tcPr>
          <w:p w14:paraId="3258B833" w14:textId="77777777" w:rsidR="00E77384" w:rsidRPr="00D826A1" w:rsidRDefault="00E77384" w:rsidP="00674124">
            <w:pPr>
              <w:pStyle w:val="Tablebodytext"/>
              <w:jc w:val="right"/>
            </w:pPr>
            <w:r w:rsidRPr="00D826A1">
              <w:rPr>
                <w:color w:val="000000"/>
              </w:rPr>
              <w:t>49</w:t>
            </w:r>
          </w:p>
        </w:tc>
        <w:tc>
          <w:tcPr>
            <w:tcW w:w="2254" w:type="dxa"/>
            <w:vAlign w:val="bottom"/>
          </w:tcPr>
          <w:p w14:paraId="109F5519" w14:textId="77777777" w:rsidR="00E77384" w:rsidRPr="00D826A1" w:rsidRDefault="00E77384" w:rsidP="00674124">
            <w:pPr>
              <w:pStyle w:val="Tablebodytext"/>
              <w:jc w:val="right"/>
            </w:pPr>
            <w:r w:rsidRPr="00D826A1">
              <w:rPr>
                <w:color w:val="000000"/>
              </w:rPr>
              <w:t>3</w:t>
            </w:r>
          </w:p>
        </w:tc>
        <w:tc>
          <w:tcPr>
            <w:tcW w:w="2254" w:type="dxa"/>
            <w:vAlign w:val="bottom"/>
          </w:tcPr>
          <w:p w14:paraId="4B904805" w14:textId="77777777" w:rsidR="00E77384" w:rsidRPr="00D826A1" w:rsidRDefault="00E77384" w:rsidP="00674124">
            <w:pPr>
              <w:pStyle w:val="Tablebodytext"/>
              <w:jc w:val="right"/>
            </w:pPr>
            <w:r w:rsidRPr="00D826A1">
              <w:rPr>
                <w:color w:val="000000"/>
              </w:rPr>
              <w:t>14</w:t>
            </w:r>
          </w:p>
        </w:tc>
      </w:tr>
      <w:tr w:rsidR="00E77384" w:rsidRPr="00D826A1" w14:paraId="26EB19A1" w14:textId="77777777" w:rsidTr="00674124">
        <w:tc>
          <w:tcPr>
            <w:tcW w:w="2252" w:type="dxa"/>
            <w:vAlign w:val="bottom"/>
          </w:tcPr>
          <w:p w14:paraId="042C07FE" w14:textId="36593296" w:rsidR="00E77384" w:rsidRPr="00D826A1" w:rsidRDefault="00FC2B29" w:rsidP="00674124">
            <w:pPr>
              <w:pStyle w:val="Tablebodytext"/>
            </w:pPr>
            <w:proofErr w:type="spellStart"/>
            <w:r w:rsidRPr="00D826A1">
              <w:rPr>
                <w:color w:val="000000"/>
              </w:rPr>
              <w:t>Mgr</w:t>
            </w:r>
            <w:proofErr w:type="spellEnd"/>
          </w:p>
        </w:tc>
        <w:tc>
          <w:tcPr>
            <w:tcW w:w="2253" w:type="dxa"/>
            <w:vAlign w:val="bottom"/>
          </w:tcPr>
          <w:p w14:paraId="283B563E" w14:textId="77777777" w:rsidR="00E77384" w:rsidRPr="00D826A1" w:rsidRDefault="00E77384" w:rsidP="00674124">
            <w:pPr>
              <w:pStyle w:val="Tablebodytext"/>
              <w:jc w:val="right"/>
            </w:pPr>
            <w:r w:rsidRPr="00D826A1">
              <w:rPr>
                <w:color w:val="000000"/>
              </w:rPr>
              <w:t>19</w:t>
            </w:r>
          </w:p>
        </w:tc>
        <w:tc>
          <w:tcPr>
            <w:tcW w:w="2254" w:type="dxa"/>
            <w:vAlign w:val="bottom"/>
          </w:tcPr>
          <w:p w14:paraId="0768607E" w14:textId="77777777" w:rsidR="00E77384" w:rsidRPr="00D826A1" w:rsidRDefault="00E77384" w:rsidP="00674124">
            <w:pPr>
              <w:pStyle w:val="Tablebodytext"/>
              <w:jc w:val="right"/>
            </w:pPr>
            <w:r w:rsidRPr="00D826A1">
              <w:rPr>
                <w:color w:val="000000"/>
              </w:rPr>
              <w:t>9</w:t>
            </w:r>
          </w:p>
        </w:tc>
        <w:tc>
          <w:tcPr>
            <w:tcW w:w="2254" w:type="dxa"/>
            <w:vAlign w:val="bottom"/>
          </w:tcPr>
          <w:p w14:paraId="4A4A7EB1" w14:textId="77777777" w:rsidR="00E77384" w:rsidRPr="00D826A1" w:rsidRDefault="00E77384" w:rsidP="00674124">
            <w:pPr>
              <w:pStyle w:val="Tablebodytext"/>
              <w:jc w:val="right"/>
            </w:pPr>
            <w:r w:rsidRPr="00D826A1">
              <w:rPr>
                <w:color w:val="000000"/>
              </w:rPr>
              <w:t>10</w:t>
            </w:r>
          </w:p>
        </w:tc>
      </w:tr>
      <w:tr w:rsidR="00E77384" w:rsidRPr="00D826A1" w14:paraId="6AD30EF4"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2442FA59" w14:textId="77777777" w:rsidR="00E77384" w:rsidRPr="00D826A1" w:rsidRDefault="00E77384" w:rsidP="00674124">
            <w:pPr>
              <w:pStyle w:val="Tablebodytext"/>
            </w:pPr>
            <w:r w:rsidRPr="00D826A1">
              <w:rPr>
                <w:color w:val="000000"/>
              </w:rPr>
              <w:t>CI</w:t>
            </w:r>
          </w:p>
        </w:tc>
        <w:tc>
          <w:tcPr>
            <w:tcW w:w="2253" w:type="dxa"/>
            <w:vAlign w:val="bottom"/>
          </w:tcPr>
          <w:p w14:paraId="388AFF66" w14:textId="77777777" w:rsidR="00E77384" w:rsidRPr="00D826A1" w:rsidRDefault="00E77384" w:rsidP="00674124">
            <w:pPr>
              <w:pStyle w:val="Tablebodytext"/>
              <w:jc w:val="right"/>
            </w:pPr>
            <w:r w:rsidRPr="00D826A1">
              <w:rPr>
                <w:color w:val="000000"/>
              </w:rPr>
              <w:t>194</w:t>
            </w:r>
          </w:p>
        </w:tc>
        <w:tc>
          <w:tcPr>
            <w:tcW w:w="2254" w:type="dxa"/>
            <w:vAlign w:val="bottom"/>
          </w:tcPr>
          <w:p w14:paraId="4774C871" w14:textId="77777777" w:rsidR="00E77384" w:rsidRPr="00D826A1" w:rsidRDefault="00E77384" w:rsidP="00674124">
            <w:pPr>
              <w:pStyle w:val="Tablebodytext"/>
              <w:jc w:val="right"/>
            </w:pPr>
            <w:r w:rsidRPr="00D826A1">
              <w:rPr>
                <w:color w:val="000000"/>
              </w:rPr>
              <w:t>96</w:t>
            </w:r>
          </w:p>
        </w:tc>
        <w:tc>
          <w:tcPr>
            <w:tcW w:w="2254" w:type="dxa"/>
            <w:vAlign w:val="bottom"/>
          </w:tcPr>
          <w:p w14:paraId="663A6F77" w14:textId="77777777" w:rsidR="00E77384" w:rsidRPr="00D826A1" w:rsidRDefault="00E77384" w:rsidP="00674124">
            <w:pPr>
              <w:pStyle w:val="Tablebodytext"/>
              <w:jc w:val="right"/>
            </w:pPr>
            <w:r w:rsidRPr="00D826A1">
              <w:rPr>
                <w:color w:val="000000"/>
              </w:rPr>
              <w:t>363</w:t>
            </w:r>
          </w:p>
        </w:tc>
      </w:tr>
      <w:tr w:rsidR="00E77384" w:rsidRPr="00D826A1" w14:paraId="5DC96BB9" w14:textId="77777777" w:rsidTr="00674124">
        <w:tc>
          <w:tcPr>
            <w:tcW w:w="2252" w:type="dxa"/>
            <w:vAlign w:val="bottom"/>
          </w:tcPr>
          <w:p w14:paraId="3DF1A7F8" w14:textId="77777777" w:rsidR="00E77384" w:rsidRPr="00D826A1" w:rsidRDefault="00E77384" w:rsidP="00674124">
            <w:pPr>
              <w:pStyle w:val="Tablebodytext"/>
            </w:pPr>
            <w:r w:rsidRPr="00D826A1">
              <w:rPr>
                <w:color w:val="000000"/>
              </w:rPr>
              <w:t>PI</w:t>
            </w:r>
          </w:p>
        </w:tc>
        <w:tc>
          <w:tcPr>
            <w:tcW w:w="2253" w:type="dxa"/>
            <w:vAlign w:val="bottom"/>
          </w:tcPr>
          <w:p w14:paraId="7AC59C59" w14:textId="77777777" w:rsidR="00E77384" w:rsidRPr="00D826A1" w:rsidRDefault="00E77384" w:rsidP="00674124">
            <w:pPr>
              <w:pStyle w:val="Tablebodytext"/>
              <w:jc w:val="right"/>
            </w:pPr>
            <w:r w:rsidRPr="00D826A1">
              <w:rPr>
                <w:color w:val="000000"/>
              </w:rPr>
              <w:t>127</w:t>
            </w:r>
          </w:p>
        </w:tc>
        <w:tc>
          <w:tcPr>
            <w:tcW w:w="2254" w:type="dxa"/>
            <w:vAlign w:val="bottom"/>
          </w:tcPr>
          <w:p w14:paraId="0A0BF893" w14:textId="77777777" w:rsidR="00E77384" w:rsidRPr="00D826A1" w:rsidRDefault="00E77384" w:rsidP="00674124">
            <w:pPr>
              <w:pStyle w:val="Tablebodytext"/>
              <w:jc w:val="right"/>
            </w:pPr>
            <w:r w:rsidRPr="00D826A1">
              <w:rPr>
                <w:color w:val="000000"/>
              </w:rPr>
              <w:t>80</w:t>
            </w:r>
          </w:p>
        </w:tc>
        <w:tc>
          <w:tcPr>
            <w:tcW w:w="2254" w:type="dxa"/>
            <w:vAlign w:val="bottom"/>
          </w:tcPr>
          <w:p w14:paraId="084BC4CC" w14:textId="77777777" w:rsidR="00E77384" w:rsidRPr="00D826A1" w:rsidRDefault="00E77384" w:rsidP="00674124">
            <w:pPr>
              <w:pStyle w:val="Tablebodytext"/>
              <w:jc w:val="right"/>
            </w:pPr>
            <w:r w:rsidRPr="00D826A1">
              <w:rPr>
                <w:color w:val="000000"/>
              </w:rPr>
              <w:t>459</w:t>
            </w:r>
          </w:p>
        </w:tc>
      </w:tr>
      <w:tr w:rsidR="00E77384" w:rsidRPr="00D826A1" w14:paraId="0E395355"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13367918" w14:textId="77777777" w:rsidR="00E77384" w:rsidRPr="00D826A1" w:rsidRDefault="00E77384" w:rsidP="00674124">
            <w:pPr>
              <w:pStyle w:val="Tablebodytext"/>
            </w:pPr>
            <w:r w:rsidRPr="00D826A1">
              <w:rPr>
                <w:color w:val="000000"/>
              </w:rPr>
              <w:t>PDR</w:t>
            </w:r>
          </w:p>
        </w:tc>
        <w:tc>
          <w:tcPr>
            <w:tcW w:w="2253" w:type="dxa"/>
            <w:vAlign w:val="bottom"/>
          </w:tcPr>
          <w:p w14:paraId="2BD03BE0" w14:textId="77777777" w:rsidR="00E77384" w:rsidRPr="00D826A1" w:rsidRDefault="00E77384" w:rsidP="00674124">
            <w:pPr>
              <w:pStyle w:val="Tablebodytext"/>
              <w:jc w:val="right"/>
            </w:pPr>
            <w:r w:rsidRPr="00D826A1">
              <w:rPr>
                <w:color w:val="000000"/>
              </w:rPr>
              <w:t>104</w:t>
            </w:r>
          </w:p>
        </w:tc>
        <w:tc>
          <w:tcPr>
            <w:tcW w:w="2254" w:type="dxa"/>
            <w:vAlign w:val="bottom"/>
          </w:tcPr>
          <w:p w14:paraId="6E95D604" w14:textId="77777777" w:rsidR="00E77384" w:rsidRPr="00D826A1" w:rsidRDefault="00E77384" w:rsidP="00674124">
            <w:pPr>
              <w:pStyle w:val="Tablebodytext"/>
              <w:jc w:val="right"/>
            </w:pPr>
            <w:r w:rsidRPr="00D826A1">
              <w:rPr>
                <w:color w:val="000000"/>
              </w:rPr>
              <w:t>37</w:t>
            </w:r>
          </w:p>
        </w:tc>
        <w:tc>
          <w:tcPr>
            <w:tcW w:w="2254" w:type="dxa"/>
            <w:vAlign w:val="bottom"/>
          </w:tcPr>
          <w:p w14:paraId="054048E6" w14:textId="77777777" w:rsidR="00E77384" w:rsidRPr="00D826A1" w:rsidRDefault="00E77384" w:rsidP="00674124">
            <w:pPr>
              <w:pStyle w:val="Tablebodytext"/>
              <w:jc w:val="right"/>
            </w:pPr>
            <w:r w:rsidRPr="00D826A1">
              <w:rPr>
                <w:color w:val="000000"/>
              </w:rPr>
              <w:t>121</w:t>
            </w:r>
          </w:p>
        </w:tc>
      </w:tr>
      <w:tr w:rsidR="00E77384" w:rsidRPr="00D826A1" w14:paraId="3A70BF0A" w14:textId="77777777" w:rsidTr="00674124">
        <w:tc>
          <w:tcPr>
            <w:tcW w:w="2252" w:type="dxa"/>
            <w:tcBorders>
              <w:bottom w:val="single" w:sz="8" w:space="0" w:color="000000"/>
            </w:tcBorders>
            <w:vAlign w:val="bottom"/>
          </w:tcPr>
          <w:p w14:paraId="483EAB10" w14:textId="77777777" w:rsidR="00E77384" w:rsidRPr="00D826A1" w:rsidRDefault="00E77384" w:rsidP="00674124">
            <w:pPr>
              <w:pStyle w:val="Tablebodytext"/>
            </w:pPr>
            <w:r w:rsidRPr="00D826A1">
              <w:rPr>
                <w:color w:val="000000"/>
              </w:rPr>
              <w:t>HDR</w:t>
            </w:r>
          </w:p>
        </w:tc>
        <w:tc>
          <w:tcPr>
            <w:tcW w:w="2253" w:type="dxa"/>
            <w:tcBorders>
              <w:bottom w:val="single" w:sz="8" w:space="0" w:color="000000"/>
            </w:tcBorders>
            <w:vAlign w:val="bottom"/>
          </w:tcPr>
          <w:p w14:paraId="27354DB8" w14:textId="77777777" w:rsidR="00E77384" w:rsidRPr="00D826A1" w:rsidRDefault="00E77384" w:rsidP="00674124">
            <w:pPr>
              <w:pStyle w:val="Tablebodytext"/>
              <w:jc w:val="right"/>
            </w:pPr>
            <w:r w:rsidRPr="00D826A1">
              <w:rPr>
                <w:color w:val="000000"/>
              </w:rPr>
              <w:t>194</w:t>
            </w:r>
          </w:p>
        </w:tc>
        <w:tc>
          <w:tcPr>
            <w:tcW w:w="2254" w:type="dxa"/>
            <w:tcBorders>
              <w:bottom w:val="single" w:sz="8" w:space="0" w:color="000000"/>
            </w:tcBorders>
            <w:vAlign w:val="bottom"/>
          </w:tcPr>
          <w:p w14:paraId="42F35B91" w14:textId="77777777" w:rsidR="00E77384" w:rsidRPr="00D826A1" w:rsidRDefault="00E77384" w:rsidP="00674124">
            <w:pPr>
              <w:pStyle w:val="Tablebodytext"/>
              <w:jc w:val="right"/>
            </w:pPr>
            <w:r w:rsidRPr="00D826A1">
              <w:rPr>
                <w:color w:val="000000"/>
              </w:rPr>
              <w:t>68</w:t>
            </w:r>
          </w:p>
        </w:tc>
        <w:tc>
          <w:tcPr>
            <w:tcW w:w="2254" w:type="dxa"/>
            <w:tcBorders>
              <w:bottom w:val="single" w:sz="8" w:space="0" w:color="000000"/>
            </w:tcBorders>
            <w:vAlign w:val="bottom"/>
          </w:tcPr>
          <w:p w14:paraId="0D0CADB5" w14:textId="77777777" w:rsidR="00E77384" w:rsidRPr="00D826A1" w:rsidRDefault="00E77384" w:rsidP="00674124">
            <w:pPr>
              <w:pStyle w:val="Tablebodytext"/>
              <w:jc w:val="right"/>
            </w:pPr>
            <w:r w:rsidRPr="00D826A1">
              <w:rPr>
                <w:color w:val="000000"/>
              </w:rPr>
              <w:t>183</w:t>
            </w:r>
          </w:p>
        </w:tc>
      </w:tr>
      <w:tr w:rsidR="00E77384" w:rsidRPr="00D826A1" w14:paraId="3D84554B"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tcBorders>
              <w:top w:val="single" w:sz="8" w:space="0" w:color="000000"/>
              <w:bottom w:val="single" w:sz="8" w:space="0" w:color="000000"/>
            </w:tcBorders>
            <w:vAlign w:val="bottom"/>
          </w:tcPr>
          <w:p w14:paraId="125DA4A6" w14:textId="77777777" w:rsidR="00E77384" w:rsidRPr="00D826A1" w:rsidRDefault="00E77384" w:rsidP="00674124">
            <w:pPr>
              <w:pStyle w:val="Tablebodytext"/>
            </w:pPr>
            <w:r w:rsidRPr="00D826A1">
              <w:rPr>
                <w:b/>
                <w:bCs/>
                <w:color w:val="000000"/>
                <w:lang w:eastAsia="en-AU"/>
              </w:rPr>
              <w:t>Grand Total</w:t>
            </w:r>
          </w:p>
        </w:tc>
        <w:tc>
          <w:tcPr>
            <w:tcW w:w="2253" w:type="dxa"/>
            <w:tcBorders>
              <w:top w:val="single" w:sz="8" w:space="0" w:color="000000"/>
              <w:bottom w:val="single" w:sz="8" w:space="0" w:color="000000"/>
            </w:tcBorders>
            <w:vAlign w:val="bottom"/>
          </w:tcPr>
          <w:p w14:paraId="2D8228C2" w14:textId="77777777" w:rsidR="00E77384" w:rsidRPr="00D826A1" w:rsidRDefault="00E77384" w:rsidP="00674124">
            <w:pPr>
              <w:pStyle w:val="Tablebodytext"/>
              <w:jc w:val="right"/>
            </w:pPr>
            <w:r w:rsidRPr="00D826A1">
              <w:rPr>
                <w:b/>
                <w:bCs/>
                <w:color w:val="000000"/>
              </w:rPr>
              <w:t>702</w:t>
            </w:r>
          </w:p>
        </w:tc>
        <w:tc>
          <w:tcPr>
            <w:tcW w:w="2254" w:type="dxa"/>
            <w:tcBorders>
              <w:top w:val="single" w:sz="8" w:space="0" w:color="000000"/>
              <w:bottom w:val="single" w:sz="8" w:space="0" w:color="000000"/>
            </w:tcBorders>
            <w:vAlign w:val="bottom"/>
          </w:tcPr>
          <w:p w14:paraId="756253A5" w14:textId="77777777" w:rsidR="00E77384" w:rsidRPr="00D826A1" w:rsidRDefault="00E77384" w:rsidP="00674124">
            <w:pPr>
              <w:pStyle w:val="Tablebodytext"/>
              <w:jc w:val="right"/>
            </w:pPr>
            <w:r w:rsidRPr="00D826A1">
              <w:rPr>
                <w:b/>
                <w:bCs/>
                <w:color w:val="000000"/>
              </w:rPr>
              <w:t>301</w:t>
            </w:r>
          </w:p>
        </w:tc>
        <w:tc>
          <w:tcPr>
            <w:tcW w:w="2254" w:type="dxa"/>
            <w:tcBorders>
              <w:top w:val="single" w:sz="8" w:space="0" w:color="000000"/>
              <w:bottom w:val="single" w:sz="8" w:space="0" w:color="000000"/>
            </w:tcBorders>
            <w:vAlign w:val="bottom"/>
          </w:tcPr>
          <w:p w14:paraId="582FD17C" w14:textId="77777777" w:rsidR="00E77384" w:rsidRPr="00D826A1" w:rsidRDefault="00E77384" w:rsidP="00674124">
            <w:pPr>
              <w:pStyle w:val="Tablebodytext"/>
              <w:jc w:val="right"/>
            </w:pPr>
            <w:r w:rsidRPr="00D826A1">
              <w:rPr>
                <w:b/>
                <w:bCs/>
                <w:color w:val="000000"/>
              </w:rPr>
              <w:t>1174</w:t>
            </w:r>
          </w:p>
        </w:tc>
      </w:tr>
    </w:tbl>
    <w:p w14:paraId="18C8F085" w14:textId="77777777" w:rsidR="00E77384" w:rsidRPr="00D826A1" w:rsidRDefault="00E77384" w:rsidP="00E77384">
      <w:pPr>
        <w:pStyle w:val="TableHeading"/>
      </w:pPr>
      <w:bookmarkStart w:id="148" w:name="_Ref3972801"/>
      <w:bookmarkEnd w:id="147"/>
      <w:r w:rsidRPr="00D826A1">
        <w:t>Survey responses by response group (percentage)</w:t>
      </w:r>
    </w:p>
    <w:tbl>
      <w:tblPr>
        <w:tblStyle w:val="ARTDTable2"/>
        <w:tblW w:w="0" w:type="auto"/>
        <w:tblLook w:val="04A0" w:firstRow="1" w:lastRow="0" w:firstColumn="1" w:lastColumn="0" w:noHBand="0" w:noVBand="1"/>
        <w:tblCaption w:val="Table 2. Survey responses by response group (percentage)"/>
        <w:tblDescription w:val="Table 2. Survey responses by response group (percentage)"/>
      </w:tblPr>
      <w:tblGrid>
        <w:gridCol w:w="2252"/>
        <w:gridCol w:w="2253"/>
        <w:gridCol w:w="2254"/>
        <w:gridCol w:w="2254"/>
      </w:tblGrid>
      <w:tr w:rsidR="00E77384" w:rsidRPr="00D826A1" w14:paraId="0A3563D3" w14:textId="77777777" w:rsidTr="00674124">
        <w:trPr>
          <w:cnfStyle w:val="100000000000" w:firstRow="1" w:lastRow="0" w:firstColumn="0" w:lastColumn="0" w:oddVBand="0" w:evenVBand="0" w:oddHBand="0" w:evenHBand="0" w:firstRowFirstColumn="0" w:firstRowLastColumn="0" w:lastRowFirstColumn="0" w:lastRowLastColumn="0"/>
        </w:trPr>
        <w:tc>
          <w:tcPr>
            <w:tcW w:w="2252" w:type="dxa"/>
            <w:vAlign w:val="bottom"/>
          </w:tcPr>
          <w:p w14:paraId="6FBFE2B9"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Role</w:t>
            </w:r>
          </w:p>
        </w:tc>
        <w:tc>
          <w:tcPr>
            <w:tcW w:w="2253" w:type="dxa"/>
            <w:vAlign w:val="bottom"/>
          </w:tcPr>
          <w:p w14:paraId="2F69CD31"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Complete</w:t>
            </w:r>
          </w:p>
        </w:tc>
        <w:tc>
          <w:tcPr>
            <w:tcW w:w="2254" w:type="dxa"/>
            <w:vAlign w:val="bottom"/>
          </w:tcPr>
          <w:p w14:paraId="08F19F8E"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Partial</w:t>
            </w:r>
          </w:p>
        </w:tc>
        <w:tc>
          <w:tcPr>
            <w:tcW w:w="2254" w:type="dxa"/>
            <w:vAlign w:val="bottom"/>
          </w:tcPr>
          <w:p w14:paraId="3882BA64" w14:textId="77777777" w:rsidR="00E77384" w:rsidRPr="00D826A1" w:rsidRDefault="00E77384" w:rsidP="00674124">
            <w:pPr>
              <w:pStyle w:val="Tablecolumnheading"/>
              <w:rPr>
                <w:color w:val="FFFFFF" w:themeColor="background1"/>
              </w:rPr>
            </w:pPr>
            <w:r w:rsidRPr="00D826A1">
              <w:rPr>
                <w:bCs w:val="0"/>
                <w:color w:val="FFFFFF" w:themeColor="background1"/>
                <w:lang w:eastAsia="en-AU"/>
              </w:rPr>
              <w:t>Not started</w:t>
            </w:r>
          </w:p>
        </w:tc>
      </w:tr>
      <w:tr w:rsidR="00E77384" w:rsidRPr="00D826A1" w14:paraId="5A5BD03D" w14:textId="77777777" w:rsidTr="00674124">
        <w:tc>
          <w:tcPr>
            <w:tcW w:w="2252" w:type="dxa"/>
            <w:vAlign w:val="bottom"/>
          </w:tcPr>
          <w:p w14:paraId="3D4352CB" w14:textId="77777777" w:rsidR="00E77384" w:rsidRPr="00D826A1" w:rsidRDefault="00E77384" w:rsidP="00674124">
            <w:pPr>
              <w:pStyle w:val="Tablebodytext"/>
            </w:pPr>
            <w:r w:rsidRPr="00D826A1">
              <w:rPr>
                <w:color w:val="000000"/>
                <w:lang w:eastAsia="en-AU"/>
              </w:rPr>
              <w:t>RO</w:t>
            </w:r>
          </w:p>
        </w:tc>
        <w:tc>
          <w:tcPr>
            <w:tcW w:w="2253" w:type="dxa"/>
            <w:vAlign w:val="bottom"/>
          </w:tcPr>
          <w:p w14:paraId="5ACC17FA" w14:textId="77777777" w:rsidR="00E77384" w:rsidRPr="00D826A1" w:rsidRDefault="00E77384" w:rsidP="00674124">
            <w:pPr>
              <w:pStyle w:val="Tablebodytext"/>
              <w:jc w:val="right"/>
            </w:pPr>
            <w:r w:rsidRPr="00D826A1">
              <w:rPr>
                <w:color w:val="000000"/>
              </w:rPr>
              <w:t>31.91%</w:t>
            </w:r>
          </w:p>
        </w:tc>
        <w:tc>
          <w:tcPr>
            <w:tcW w:w="2254" w:type="dxa"/>
            <w:vAlign w:val="bottom"/>
          </w:tcPr>
          <w:p w14:paraId="62C0B0AD" w14:textId="77777777" w:rsidR="00E77384" w:rsidRPr="00D826A1" w:rsidRDefault="00E77384" w:rsidP="00674124">
            <w:pPr>
              <w:pStyle w:val="Tablebodytext"/>
              <w:jc w:val="right"/>
            </w:pPr>
            <w:r w:rsidRPr="00D826A1">
              <w:rPr>
                <w:color w:val="000000"/>
              </w:rPr>
              <w:t>17.02%</w:t>
            </w:r>
          </w:p>
        </w:tc>
        <w:tc>
          <w:tcPr>
            <w:tcW w:w="2254" w:type="dxa"/>
            <w:vAlign w:val="bottom"/>
          </w:tcPr>
          <w:p w14:paraId="1546DB68" w14:textId="77777777" w:rsidR="00E77384" w:rsidRPr="00D826A1" w:rsidRDefault="00E77384" w:rsidP="00674124">
            <w:pPr>
              <w:pStyle w:val="Tablebodytext"/>
              <w:jc w:val="right"/>
            </w:pPr>
            <w:r w:rsidRPr="00D826A1">
              <w:rPr>
                <w:color w:val="000000"/>
              </w:rPr>
              <w:t>51.06%</w:t>
            </w:r>
          </w:p>
        </w:tc>
      </w:tr>
      <w:tr w:rsidR="00E77384" w:rsidRPr="00D826A1" w14:paraId="7351AB1D"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0F509B7D" w14:textId="55DA98C0" w:rsidR="00E77384" w:rsidRPr="00D826A1" w:rsidRDefault="00FC2B29" w:rsidP="00674124">
            <w:pPr>
              <w:pStyle w:val="Tablebodytext"/>
            </w:pPr>
            <w:proofErr w:type="spellStart"/>
            <w:r w:rsidRPr="00D826A1">
              <w:rPr>
                <w:color w:val="000000"/>
                <w:lang w:eastAsia="en-AU"/>
              </w:rPr>
              <w:t>Dirs</w:t>
            </w:r>
            <w:proofErr w:type="spellEnd"/>
          </w:p>
        </w:tc>
        <w:tc>
          <w:tcPr>
            <w:tcW w:w="2253" w:type="dxa"/>
            <w:vAlign w:val="bottom"/>
          </w:tcPr>
          <w:p w14:paraId="2269D065" w14:textId="77777777" w:rsidR="00E77384" w:rsidRPr="00D826A1" w:rsidRDefault="00E77384" w:rsidP="00674124">
            <w:pPr>
              <w:pStyle w:val="Tablebodytext"/>
              <w:jc w:val="right"/>
            </w:pPr>
            <w:r w:rsidRPr="00D826A1">
              <w:rPr>
                <w:color w:val="000000"/>
              </w:rPr>
              <w:t>74.24%</w:t>
            </w:r>
          </w:p>
        </w:tc>
        <w:tc>
          <w:tcPr>
            <w:tcW w:w="2254" w:type="dxa"/>
            <w:vAlign w:val="bottom"/>
          </w:tcPr>
          <w:p w14:paraId="506C7F31" w14:textId="77777777" w:rsidR="00E77384" w:rsidRPr="00D826A1" w:rsidRDefault="00E77384" w:rsidP="00674124">
            <w:pPr>
              <w:pStyle w:val="Tablebodytext"/>
              <w:jc w:val="right"/>
            </w:pPr>
            <w:r w:rsidRPr="00D826A1">
              <w:rPr>
                <w:color w:val="000000"/>
              </w:rPr>
              <w:t>4.55%</w:t>
            </w:r>
          </w:p>
        </w:tc>
        <w:tc>
          <w:tcPr>
            <w:tcW w:w="2254" w:type="dxa"/>
            <w:vAlign w:val="bottom"/>
          </w:tcPr>
          <w:p w14:paraId="6D586618" w14:textId="77777777" w:rsidR="00E77384" w:rsidRPr="00D826A1" w:rsidRDefault="00E77384" w:rsidP="00674124">
            <w:pPr>
              <w:pStyle w:val="Tablebodytext"/>
              <w:jc w:val="right"/>
            </w:pPr>
            <w:r w:rsidRPr="00D826A1">
              <w:rPr>
                <w:color w:val="000000"/>
              </w:rPr>
              <w:t>21.21%</w:t>
            </w:r>
          </w:p>
        </w:tc>
      </w:tr>
      <w:tr w:rsidR="00E77384" w:rsidRPr="00D826A1" w14:paraId="57425790" w14:textId="77777777" w:rsidTr="00674124">
        <w:tc>
          <w:tcPr>
            <w:tcW w:w="2252" w:type="dxa"/>
            <w:vAlign w:val="bottom"/>
          </w:tcPr>
          <w:p w14:paraId="1F1E763E" w14:textId="09481555" w:rsidR="00E77384" w:rsidRPr="00D826A1" w:rsidRDefault="00FC2B29" w:rsidP="00674124">
            <w:pPr>
              <w:pStyle w:val="Tablebodytext"/>
            </w:pPr>
            <w:proofErr w:type="spellStart"/>
            <w:r w:rsidRPr="00D826A1">
              <w:rPr>
                <w:color w:val="000000"/>
                <w:lang w:eastAsia="en-AU"/>
              </w:rPr>
              <w:t>Mgr</w:t>
            </w:r>
            <w:proofErr w:type="spellEnd"/>
          </w:p>
        </w:tc>
        <w:tc>
          <w:tcPr>
            <w:tcW w:w="2253" w:type="dxa"/>
            <w:vAlign w:val="bottom"/>
          </w:tcPr>
          <w:p w14:paraId="6EAAE1FE" w14:textId="77777777" w:rsidR="00E77384" w:rsidRPr="00D826A1" w:rsidRDefault="00E77384" w:rsidP="00674124">
            <w:pPr>
              <w:pStyle w:val="Tablebodytext"/>
              <w:jc w:val="right"/>
            </w:pPr>
            <w:r w:rsidRPr="00D826A1">
              <w:rPr>
                <w:color w:val="000000"/>
              </w:rPr>
              <w:t>50.00%</w:t>
            </w:r>
          </w:p>
        </w:tc>
        <w:tc>
          <w:tcPr>
            <w:tcW w:w="2254" w:type="dxa"/>
            <w:vAlign w:val="bottom"/>
          </w:tcPr>
          <w:p w14:paraId="2CACB354" w14:textId="77777777" w:rsidR="00E77384" w:rsidRPr="00D826A1" w:rsidRDefault="00E77384" w:rsidP="00674124">
            <w:pPr>
              <w:pStyle w:val="Tablebodytext"/>
              <w:jc w:val="right"/>
            </w:pPr>
            <w:r w:rsidRPr="00D826A1">
              <w:rPr>
                <w:color w:val="000000"/>
              </w:rPr>
              <w:t>23.68%</w:t>
            </w:r>
          </w:p>
        </w:tc>
        <w:tc>
          <w:tcPr>
            <w:tcW w:w="2254" w:type="dxa"/>
            <w:vAlign w:val="bottom"/>
          </w:tcPr>
          <w:p w14:paraId="78686046" w14:textId="77777777" w:rsidR="00E77384" w:rsidRPr="00D826A1" w:rsidRDefault="00E77384" w:rsidP="00674124">
            <w:pPr>
              <w:pStyle w:val="Tablebodytext"/>
              <w:jc w:val="right"/>
            </w:pPr>
            <w:r w:rsidRPr="00D826A1">
              <w:rPr>
                <w:color w:val="000000"/>
              </w:rPr>
              <w:t>26.32%</w:t>
            </w:r>
          </w:p>
        </w:tc>
      </w:tr>
      <w:tr w:rsidR="00E77384" w:rsidRPr="00D826A1" w14:paraId="4D94FF3E"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27260C27" w14:textId="77777777" w:rsidR="00E77384" w:rsidRPr="00D826A1" w:rsidRDefault="00E77384" w:rsidP="00674124">
            <w:pPr>
              <w:pStyle w:val="Tablebodytext"/>
            </w:pPr>
            <w:r w:rsidRPr="00D826A1">
              <w:rPr>
                <w:color w:val="000000"/>
                <w:lang w:eastAsia="en-AU"/>
              </w:rPr>
              <w:t>CI</w:t>
            </w:r>
          </w:p>
        </w:tc>
        <w:tc>
          <w:tcPr>
            <w:tcW w:w="2253" w:type="dxa"/>
            <w:vAlign w:val="bottom"/>
          </w:tcPr>
          <w:p w14:paraId="79ACE9AA" w14:textId="77777777" w:rsidR="00E77384" w:rsidRPr="00D826A1" w:rsidRDefault="00E77384" w:rsidP="00674124">
            <w:pPr>
              <w:pStyle w:val="Tablebodytext"/>
              <w:jc w:val="right"/>
            </w:pPr>
            <w:r w:rsidRPr="00D826A1">
              <w:rPr>
                <w:color w:val="000000"/>
              </w:rPr>
              <w:t>29.71%</w:t>
            </w:r>
          </w:p>
        </w:tc>
        <w:tc>
          <w:tcPr>
            <w:tcW w:w="2254" w:type="dxa"/>
            <w:vAlign w:val="bottom"/>
          </w:tcPr>
          <w:p w14:paraId="798D131E" w14:textId="77777777" w:rsidR="00E77384" w:rsidRPr="00D826A1" w:rsidRDefault="00E77384" w:rsidP="00674124">
            <w:pPr>
              <w:pStyle w:val="Tablebodytext"/>
              <w:jc w:val="right"/>
            </w:pPr>
            <w:r w:rsidRPr="00D826A1">
              <w:rPr>
                <w:color w:val="000000"/>
              </w:rPr>
              <w:t>14.70%</w:t>
            </w:r>
          </w:p>
        </w:tc>
        <w:tc>
          <w:tcPr>
            <w:tcW w:w="2254" w:type="dxa"/>
            <w:vAlign w:val="bottom"/>
          </w:tcPr>
          <w:p w14:paraId="3423698C" w14:textId="77777777" w:rsidR="00E77384" w:rsidRPr="00D826A1" w:rsidRDefault="00E77384" w:rsidP="00674124">
            <w:pPr>
              <w:pStyle w:val="Tablebodytext"/>
              <w:jc w:val="right"/>
            </w:pPr>
            <w:r w:rsidRPr="00D826A1">
              <w:rPr>
                <w:color w:val="000000"/>
              </w:rPr>
              <w:t>55.59%</w:t>
            </w:r>
          </w:p>
        </w:tc>
      </w:tr>
      <w:tr w:rsidR="00E77384" w:rsidRPr="00D826A1" w14:paraId="2FDFEACC" w14:textId="77777777" w:rsidTr="00674124">
        <w:tc>
          <w:tcPr>
            <w:tcW w:w="2252" w:type="dxa"/>
            <w:vAlign w:val="bottom"/>
          </w:tcPr>
          <w:p w14:paraId="6810D020" w14:textId="77777777" w:rsidR="00E77384" w:rsidRPr="00D826A1" w:rsidRDefault="00E77384" w:rsidP="00674124">
            <w:pPr>
              <w:pStyle w:val="Tablebodytext"/>
            </w:pPr>
            <w:r w:rsidRPr="00D826A1">
              <w:rPr>
                <w:color w:val="000000"/>
                <w:lang w:eastAsia="en-AU"/>
              </w:rPr>
              <w:t>PI</w:t>
            </w:r>
          </w:p>
        </w:tc>
        <w:tc>
          <w:tcPr>
            <w:tcW w:w="2253" w:type="dxa"/>
            <w:vAlign w:val="bottom"/>
          </w:tcPr>
          <w:p w14:paraId="680D5D53" w14:textId="77777777" w:rsidR="00E77384" w:rsidRPr="00D826A1" w:rsidRDefault="00E77384" w:rsidP="00674124">
            <w:pPr>
              <w:pStyle w:val="Tablebodytext"/>
              <w:jc w:val="right"/>
            </w:pPr>
            <w:r w:rsidRPr="00D826A1">
              <w:rPr>
                <w:color w:val="000000"/>
              </w:rPr>
              <w:t>19.07%</w:t>
            </w:r>
          </w:p>
        </w:tc>
        <w:tc>
          <w:tcPr>
            <w:tcW w:w="2254" w:type="dxa"/>
            <w:vAlign w:val="bottom"/>
          </w:tcPr>
          <w:p w14:paraId="63C22319" w14:textId="77777777" w:rsidR="00E77384" w:rsidRPr="00D826A1" w:rsidRDefault="00E77384" w:rsidP="00674124">
            <w:pPr>
              <w:pStyle w:val="Tablebodytext"/>
              <w:jc w:val="right"/>
            </w:pPr>
            <w:r w:rsidRPr="00D826A1">
              <w:rPr>
                <w:color w:val="000000"/>
              </w:rPr>
              <w:t>12.01%</w:t>
            </w:r>
          </w:p>
        </w:tc>
        <w:tc>
          <w:tcPr>
            <w:tcW w:w="2254" w:type="dxa"/>
            <w:vAlign w:val="bottom"/>
          </w:tcPr>
          <w:p w14:paraId="29C97024" w14:textId="77777777" w:rsidR="00E77384" w:rsidRPr="00D826A1" w:rsidRDefault="00E77384" w:rsidP="00674124">
            <w:pPr>
              <w:pStyle w:val="Tablebodytext"/>
              <w:jc w:val="right"/>
            </w:pPr>
            <w:r w:rsidRPr="00D826A1">
              <w:rPr>
                <w:color w:val="000000"/>
              </w:rPr>
              <w:t>68.92%</w:t>
            </w:r>
          </w:p>
        </w:tc>
      </w:tr>
      <w:tr w:rsidR="00E77384" w:rsidRPr="00D826A1" w14:paraId="23E258B6"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vAlign w:val="bottom"/>
          </w:tcPr>
          <w:p w14:paraId="3C3F6628" w14:textId="77777777" w:rsidR="00E77384" w:rsidRPr="00D826A1" w:rsidRDefault="00E77384" w:rsidP="00674124">
            <w:pPr>
              <w:pStyle w:val="Tablebodytext"/>
            </w:pPr>
            <w:r w:rsidRPr="00D826A1">
              <w:rPr>
                <w:color w:val="000000"/>
                <w:lang w:eastAsia="en-AU"/>
              </w:rPr>
              <w:t>PDR</w:t>
            </w:r>
          </w:p>
        </w:tc>
        <w:tc>
          <w:tcPr>
            <w:tcW w:w="2253" w:type="dxa"/>
            <w:vAlign w:val="bottom"/>
          </w:tcPr>
          <w:p w14:paraId="673EE266" w14:textId="77777777" w:rsidR="00E77384" w:rsidRPr="00D826A1" w:rsidRDefault="00E77384" w:rsidP="00674124">
            <w:pPr>
              <w:pStyle w:val="Tablebodytext"/>
              <w:jc w:val="right"/>
            </w:pPr>
            <w:r w:rsidRPr="00D826A1">
              <w:rPr>
                <w:color w:val="000000"/>
              </w:rPr>
              <w:t>39.69%</w:t>
            </w:r>
          </w:p>
        </w:tc>
        <w:tc>
          <w:tcPr>
            <w:tcW w:w="2254" w:type="dxa"/>
            <w:vAlign w:val="bottom"/>
          </w:tcPr>
          <w:p w14:paraId="72804309" w14:textId="77777777" w:rsidR="00E77384" w:rsidRPr="00D826A1" w:rsidRDefault="00E77384" w:rsidP="00674124">
            <w:pPr>
              <w:pStyle w:val="Tablebodytext"/>
              <w:jc w:val="right"/>
            </w:pPr>
            <w:r w:rsidRPr="00D826A1">
              <w:rPr>
                <w:color w:val="000000"/>
              </w:rPr>
              <w:t>14.12%</w:t>
            </w:r>
          </w:p>
        </w:tc>
        <w:tc>
          <w:tcPr>
            <w:tcW w:w="2254" w:type="dxa"/>
            <w:vAlign w:val="bottom"/>
          </w:tcPr>
          <w:p w14:paraId="3D98A442" w14:textId="77777777" w:rsidR="00E77384" w:rsidRPr="00D826A1" w:rsidRDefault="00E77384" w:rsidP="00674124">
            <w:pPr>
              <w:pStyle w:val="Tablebodytext"/>
              <w:jc w:val="right"/>
            </w:pPr>
            <w:r w:rsidRPr="00D826A1">
              <w:rPr>
                <w:color w:val="000000"/>
              </w:rPr>
              <w:t>46.18%</w:t>
            </w:r>
          </w:p>
        </w:tc>
      </w:tr>
      <w:tr w:rsidR="00E77384" w:rsidRPr="00D826A1" w14:paraId="7BC53AE2" w14:textId="77777777" w:rsidTr="00674124">
        <w:tc>
          <w:tcPr>
            <w:tcW w:w="2252" w:type="dxa"/>
            <w:tcBorders>
              <w:bottom w:val="single" w:sz="8" w:space="0" w:color="000000"/>
            </w:tcBorders>
            <w:vAlign w:val="bottom"/>
          </w:tcPr>
          <w:p w14:paraId="3D7204B3" w14:textId="77777777" w:rsidR="00E77384" w:rsidRPr="00D826A1" w:rsidRDefault="00E77384" w:rsidP="00674124">
            <w:pPr>
              <w:pStyle w:val="Tablebodytext"/>
            </w:pPr>
            <w:r w:rsidRPr="00D826A1">
              <w:rPr>
                <w:color w:val="000000"/>
                <w:lang w:eastAsia="en-AU"/>
              </w:rPr>
              <w:t>HDR</w:t>
            </w:r>
          </w:p>
        </w:tc>
        <w:tc>
          <w:tcPr>
            <w:tcW w:w="2253" w:type="dxa"/>
            <w:tcBorders>
              <w:bottom w:val="single" w:sz="8" w:space="0" w:color="000000"/>
            </w:tcBorders>
            <w:vAlign w:val="bottom"/>
          </w:tcPr>
          <w:p w14:paraId="5A2B24E9" w14:textId="77777777" w:rsidR="00E77384" w:rsidRPr="00D826A1" w:rsidRDefault="00E77384" w:rsidP="00674124">
            <w:pPr>
              <w:pStyle w:val="Tablebodytext"/>
              <w:jc w:val="right"/>
            </w:pPr>
            <w:r w:rsidRPr="00D826A1">
              <w:rPr>
                <w:color w:val="000000"/>
              </w:rPr>
              <w:t>43.60%</w:t>
            </w:r>
          </w:p>
        </w:tc>
        <w:tc>
          <w:tcPr>
            <w:tcW w:w="2254" w:type="dxa"/>
            <w:tcBorders>
              <w:bottom w:val="single" w:sz="8" w:space="0" w:color="000000"/>
            </w:tcBorders>
            <w:vAlign w:val="bottom"/>
          </w:tcPr>
          <w:p w14:paraId="4433EF56" w14:textId="77777777" w:rsidR="00E77384" w:rsidRPr="00D826A1" w:rsidRDefault="00E77384" w:rsidP="00674124">
            <w:pPr>
              <w:pStyle w:val="Tablebodytext"/>
              <w:jc w:val="right"/>
            </w:pPr>
            <w:r w:rsidRPr="00D826A1">
              <w:rPr>
                <w:color w:val="000000"/>
              </w:rPr>
              <w:t>15.28%</w:t>
            </w:r>
          </w:p>
        </w:tc>
        <w:tc>
          <w:tcPr>
            <w:tcW w:w="2254" w:type="dxa"/>
            <w:tcBorders>
              <w:bottom w:val="single" w:sz="8" w:space="0" w:color="000000"/>
            </w:tcBorders>
            <w:vAlign w:val="bottom"/>
          </w:tcPr>
          <w:p w14:paraId="17719747" w14:textId="77777777" w:rsidR="00E77384" w:rsidRPr="00D826A1" w:rsidRDefault="00E77384" w:rsidP="00674124">
            <w:pPr>
              <w:pStyle w:val="Tablebodytext"/>
              <w:jc w:val="right"/>
            </w:pPr>
            <w:r w:rsidRPr="00D826A1">
              <w:rPr>
                <w:color w:val="000000"/>
              </w:rPr>
              <w:t>41.12%</w:t>
            </w:r>
          </w:p>
        </w:tc>
      </w:tr>
      <w:tr w:rsidR="00E77384" w:rsidRPr="00D826A1" w14:paraId="7CF88966" w14:textId="77777777" w:rsidTr="00674124">
        <w:trPr>
          <w:cnfStyle w:val="000000010000" w:firstRow="0" w:lastRow="0" w:firstColumn="0" w:lastColumn="0" w:oddVBand="0" w:evenVBand="0" w:oddHBand="0" w:evenHBand="1" w:firstRowFirstColumn="0" w:firstRowLastColumn="0" w:lastRowFirstColumn="0" w:lastRowLastColumn="0"/>
        </w:trPr>
        <w:tc>
          <w:tcPr>
            <w:tcW w:w="2252" w:type="dxa"/>
            <w:tcBorders>
              <w:top w:val="single" w:sz="8" w:space="0" w:color="000000"/>
              <w:bottom w:val="single" w:sz="8" w:space="0" w:color="000000"/>
            </w:tcBorders>
            <w:vAlign w:val="bottom"/>
          </w:tcPr>
          <w:p w14:paraId="5870E3DD" w14:textId="77777777" w:rsidR="00E77384" w:rsidRPr="00D826A1" w:rsidRDefault="00E77384" w:rsidP="00674124">
            <w:pPr>
              <w:pStyle w:val="Tablebodytext"/>
            </w:pPr>
            <w:r w:rsidRPr="00D826A1">
              <w:rPr>
                <w:b/>
                <w:bCs/>
                <w:color w:val="000000"/>
                <w:lang w:eastAsia="en-AU"/>
              </w:rPr>
              <w:t>Grand Total</w:t>
            </w:r>
          </w:p>
        </w:tc>
        <w:tc>
          <w:tcPr>
            <w:tcW w:w="2253" w:type="dxa"/>
            <w:tcBorders>
              <w:top w:val="single" w:sz="8" w:space="0" w:color="000000"/>
              <w:bottom w:val="single" w:sz="8" w:space="0" w:color="000000"/>
            </w:tcBorders>
            <w:vAlign w:val="bottom"/>
          </w:tcPr>
          <w:p w14:paraId="7DE2878C" w14:textId="77777777" w:rsidR="00E77384" w:rsidRPr="00D826A1" w:rsidRDefault="00E77384" w:rsidP="00674124">
            <w:pPr>
              <w:pStyle w:val="Tablebodytext"/>
              <w:jc w:val="right"/>
            </w:pPr>
            <w:r w:rsidRPr="00D826A1">
              <w:rPr>
                <w:b/>
                <w:bCs/>
                <w:color w:val="000000"/>
              </w:rPr>
              <w:t>32.25%</w:t>
            </w:r>
          </w:p>
        </w:tc>
        <w:tc>
          <w:tcPr>
            <w:tcW w:w="2254" w:type="dxa"/>
            <w:tcBorders>
              <w:top w:val="single" w:sz="8" w:space="0" w:color="000000"/>
              <w:bottom w:val="single" w:sz="8" w:space="0" w:color="000000"/>
            </w:tcBorders>
            <w:vAlign w:val="bottom"/>
          </w:tcPr>
          <w:p w14:paraId="76770622" w14:textId="77777777" w:rsidR="00E77384" w:rsidRPr="00D826A1" w:rsidRDefault="00E77384" w:rsidP="00674124">
            <w:pPr>
              <w:pStyle w:val="Tablebodytext"/>
              <w:jc w:val="right"/>
            </w:pPr>
            <w:r w:rsidRPr="00D826A1">
              <w:rPr>
                <w:b/>
                <w:bCs/>
                <w:color w:val="000000"/>
              </w:rPr>
              <w:t>13.83%</w:t>
            </w:r>
          </w:p>
        </w:tc>
        <w:tc>
          <w:tcPr>
            <w:tcW w:w="2254" w:type="dxa"/>
            <w:tcBorders>
              <w:top w:val="single" w:sz="8" w:space="0" w:color="000000"/>
              <w:bottom w:val="single" w:sz="8" w:space="0" w:color="000000"/>
            </w:tcBorders>
            <w:vAlign w:val="bottom"/>
          </w:tcPr>
          <w:p w14:paraId="4F33455B" w14:textId="77777777" w:rsidR="00E77384" w:rsidRPr="00D826A1" w:rsidRDefault="00E77384" w:rsidP="00674124">
            <w:pPr>
              <w:pStyle w:val="Tablebodytext"/>
              <w:jc w:val="right"/>
            </w:pPr>
            <w:r w:rsidRPr="00D826A1">
              <w:rPr>
                <w:b/>
                <w:bCs/>
                <w:color w:val="000000"/>
              </w:rPr>
              <w:t>53.93%</w:t>
            </w:r>
          </w:p>
        </w:tc>
      </w:tr>
    </w:tbl>
    <w:p w14:paraId="65BC09FC" w14:textId="77777777" w:rsidR="00E77384" w:rsidRPr="00D826A1" w:rsidRDefault="00E77384" w:rsidP="00E77384">
      <w:pPr>
        <w:pStyle w:val="ExecSummaryH2"/>
      </w:pPr>
      <w:bookmarkStart w:id="149" w:name="_Toc10104801"/>
      <w:bookmarkStart w:id="150" w:name="_Toc10105004"/>
      <w:bookmarkStart w:id="151" w:name="_Toc10105606"/>
      <w:bookmarkEnd w:id="148"/>
      <w:r w:rsidRPr="00D826A1">
        <w:t>IGC Survey</w:t>
      </w:r>
      <w:bookmarkEnd w:id="149"/>
      <w:bookmarkEnd w:id="150"/>
      <w:bookmarkEnd w:id="151"/>
    </w:p>
    <w:p w14:paraId="7EA6ECC4" w14:textId="23149128" w:rsidR="00E77384" w:rsidRPr="00D826A1" w:rsidRDefault="00E77384" w:rsidP="00E77384">
      <w:r w:rsidRPr="00D826A1">
        <w:t>The IGC survey was delivered between 11 February 2019 and 28 February 2019 to six representatives from Industry Growth Centres. Reminder emails were sent one week after launch, followed by phone calls to remaining representatives. Five of the six representatives provided a response to the survey.</w:t>
      </w:r>
    </w:p>
    <w:p w14:paraId="64D61CD4" w14:textId="77777777" w:rsidR="00E77384" w:rsidRPr="00D826A1" w:rsidRDefault="00E77384" w:rsidP="00E77384">
      <w:pPr>
        <w:pStyle w:val="Appendix"/>
      </w:pPr>
      <w:bookmarkStart w:id="152" w:name="_Ref3274873"/>
      <w:bookmarkStart w:id="153" w:name="_Toc10104802"/>
      <w:bookmarkStart w:id="154" w:name="_Toc10105005"/>
      <w:bookmarkStart w:id="155" w:name="_Toc10105607"/>
      <w:r w:rsidRPr="00D826A1">
        <w:t>Participant summary</w:t>
      </w:r>
      <w:bookmarkEnd w:id="152"/>
      <w:bookmarkEnd w:id="153"/>
      <w:bookmarkEnd w:id="154"/>
      <w:bookmarkEnd w:id="155"/>
    </w:p>
    <w:p w14:paraId="051CD426" w14:textId="77777777" w:rsidR="00E77384" w:rsidRPr="00D826A1" w:rsidRDefault="00E77384" w:rsidP="00E77384">
      <w:pPr>
        <w:pStyle w:val="ExecSummaryH2"/>
      </w:pPr>
      <w:bookmarkStart w:id="156" w:name="_Toc10104803"/>
      <w:bookmarkStart w:id="157" w:name="_Toc10105006"/>
      <w:bookmarkStart w:id="158" w:name="_Toc10105608"/>
      <w:r w:rsidRPr="00D826A1">
        <w:t>Survey</w:t>
      </w:r>
      <w:bookmarkEnd w:id="156"/>
      <w:bookmarkEnd w:id="157"/>
      <w:bookmarkEnd w:id="158"/>
    </w:p>
    <w:p w14:paraId="3E037532" w14:textId="77777777" w:rsidR="00E77384" w:rsidRPr="00D826A1" w:rsidRDefault="00E77384" w:rsidP="00E77384">
      <w:pPr>
        <w:pStyle w:val="TableHeading"/>
      </w:pPr>
      <w:r w:rsidRPr="00D826A1">
        <w:t>Survey responses by role and type</w:t>
      </w:r>
    </w:p>
    <w:tbl>
      <w:tblPr>
        <w:tblStyle w:val="ARTDTable2"/>
        <w:tblW w:w="0" w:type="auto"/>
        <w:tblLook w:val="04A0" w:firstRow="1" w:lastRow="0" w:firstColumn="1" w:lastColumn="0" w:noHBand="0" w:noVBand="1"/>
        <w:tblCaption w:val="Table 3. Survey responses by role and type"/>
        <w:tblDescription w:val="Table 3. Survey responses by role and type"/>
      </w:tblPr>
      <w:tblGrid>
        <w:gridCol w:w="1854"/>
        <w:gridCol w:w="1888"/>
        <w:gridCol w:w="1824"/>
        <w:gridCol w:w="1824"/>
        <w:gridCol w:w="1623"/>
      </w:tblGrid>
      <w:tr w:rsidR="00E77384" w:rsidRPr="00D826A1" w14:paraId="724492B9" w14:textId="77777777" w:rsidTr="00674124">
        <w:trPr>
          <w:cnfStyle w:val="100000000000" w:firstRow="1" w:lastRow="0" w:firstColumn="0" w:lastColumn="0" w:oddVBand="0" w:evenVBand="0" w:oddHBand="0" w:evenHBand="0" w:firstRowFirstColumn="0" w:firstRowLastColumn="0" w:lastRowFirstColumn="0" w:lastRowLastColumn="0"/>
        </w:trPr>
        <w:tc>
          <w:tcPr>
            <w:tcW w:w="1854" w:type="dxa"/>
            <w:vAlign w:val="bottom"/>
          </w:tcPr>
          <w:p w14:paraId="25B3CC44" w14:textId="77777777" w:rsidR="00E77384" w:rsidRPr="00D826A1" w:rsidRDefault="00E77384" w:rsidP="00674124">
            <w:pPr>
              <w:pStyle w:val="Tablecolumnheading"/>
              <w:rPr>
                <w:color w:val="FFFFFF" w:themeColor="background1"/>
              </w:rPr>
            </w:pPr>
          </w:p>
        </w:tc>
        <w:tc>
          <w:tcPr>
            <w:tcW w:w="1888" w:type="dxa"/>
            <w:vAlign w:val="bottom"/>
          </w:tcPr>
          <w:p w14:paraId="7DB02304"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w:t>
            </w:r>
          </w:p>
        </w:tc>
        <w:tc>
          <w:tcPr>
            <w:tcW w:w="1824" w:type="dxa"/>
            <w:vAlign w:val="bottom"/>
          </w:tcPr>
          <w:p w14:paraId="693C5A3E"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Research Hub</w:t>
            </w:r>
          </w:p>
        </w:tc>
        <w:tc>
          <w:tcPr>
            <w:tcW w:w="1824" w:type="dxa"/>
            <w:tcBorders>
              <w:right w:val="single" w:sz="4" w:space="0" w:color="auto"/>
            </w:tcBorders>
            <w:vAlign w:val="bottom"/>
          </w:tcPr>
          <w:p w14:paraId="4B5EFE39"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Training Centre</w:t>
            </w:r>
          </w:p>
        </w:tc>
        <w:tc>
          <w:tcPr>
            <w:tcW w:w="1623" w:type="dxa"/>
            <w:tcBorders>
              <w:left w:val="single" w:sz="4" w:space="0" w:color="auto"/>
            </w:tcBorders>
            <w:vAlign w:val="bottom"/>
          </w:tcPr>
          <w:p w14:paraId="164BBAA9"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Total</w:t>
            </w:r>
          </w:p>
        </w:tc>
      </w:tr>
      <w:tr w:rsidR="00E77384" w:rsidRPr="00D826A1" w14:paraId="43F0995C" w14:textId="77777777" w:rsidTr="00674124">
        <w:tc>
          <w:tcPr>
            <w:tcW w:w="1854" w:type="dxa"/>
            <w:vAlign w:val="bottom"/>
          </w:tcPr>
          <w:p w14:paraId="4BBDBF4A" w14:textId="77777777" w:rsidR="00E77384" w:rsidRPr="00D826A1" w:rsidRDefault="00E77384" w:rsidP="00674124">
            <w:pPr>
              <w:pStyle w:val="Tablebodytext"/>
            </w:pPr>
            <w:r w:rsidRPr="00D826A1">
              <w:rPr>
                <w:rFonts w:ascii="Calibri" w:hAnsi="Calibri" w:cs="Calibri"/>
                <w:color w:val="000000"/>
                <w:sz w:val="22"/>
              </w:rPr>
              <w:t>RO</w:t>
            </w:r>
          </w:p>
        </w:tc>
        <w:tc>
          <w:tcPr>
            <w:tcW w:w="1888" w:type="dxa"/>
            <w:vAlign w:val="bottom"/>
          </w:tcPr>
          <w:p w14:paraId="49604BEE" w14:textId="77777777" w:rsidR="00E77384" w:rsidRPr="00D826A1" w:rsidRDefault="00E77384" w:rsidP="00674124">
            <w:pPr>
              <w:pStyle w:val="Tablebodytext"/>
              <w:jc w:val="right"/>
            </w:pPr>
            <w:r w:rsidRPr="00D826A1">
              <w:rPr>
                <w:rFonts w:ascii="Calibri" w:hAnsi="Calibri" w:cs="Calibri"/>
                <w:color w:val="000000"/>
                <w:sz w:val="22"/>
              </w:rPr>
              <w:t>15</w:t>
            </w:r>
          </w:p>
        </w:tc>
        <w:tc>
          <w:tcPr>
            <w:tcW w:w="1824" w:type="dxa"/>
            <w:vAlign w:val="bottom"/>
          </w:tcPr>
          <w:p w14:paraId="0E4DBF55" w14:textId="77777777" w:rsidR="00E77384" w:rsidRPr="00D826A1" w:rsidRDefault="00E77384" w:rsidP="00674124">
            <w:pPr>
              <w:pStyle w:val="Tablebodytext"/>
              <w:jc w:val="right"/>
            </w:pPr>
          </w:p>
        </w:tc>
        <w:tc>
          <w:tcPr>
            <w:tcW w:w="1824" w:type="dxa"/>
            <w:tcBorders>
              <w:right w:val="single" w:sz="4" w:space="0" w:color="auto"/>
            </w:tcBorders>
            <w:vAlign w:val="bottom"/>
          </w:tcPr>
          <w:p w14:paraId="57B1D97F" w14:textId="77777777" w:rsidR="00E77384" w:rsidRPr="00D826A1" w:rsidRDefault="00E77384" w:rsidP="00674124">
            <w:pPr>
              <w:pStyle w:val="Tablebodytext"/>
              <w:jc w:val="right"/>
            </w:pPr>
          </w:p>
        </w:tc>
        <w:tc>
          <w:tcPr>
            <w:tcW w:w="1623" w:type="dxa"/>
            <w:tcBorders>
              <w:left w:val="single" w:sz="4" w:space="0" w:color="auto"/>
            </w:tcBorders>
            <w:vAlign w:val="bottom"/>
          </w:tcPr>
          <w:p w14:paraId="5CF1D120" w14:textId="77777777" w:rsidR="00E77384" w:rsidRPr="00D826A1" w:rsidRDefault="00E77384" w:rsidP="00674124">
            <w:pPr>
              <w:pStyle w:val="Tablebodytext"/>
              <w:jc w:val="right"/>
              <w:rPr>
                <w:color w:val="000000"/>
              </w:rPr>
            </w:pPr>
            <w:r w:rsidRPr="00D826A1">
              <w:rPr>
                <w:rFonts w:ascii="Calibri" w:hAnsi="Calibri" w:cs="Calibri"/>
                <w:color w:val="000000"/>
                <w:sz w:val="22"/>
              </w:rPr>
              <w:t>15</w:t>
            </w:r>
          </w:p>
        </w:tc>
      </w:tr>
      <w:tr w:rsidR="00E77384" w:rsidRPr="00D826A1" w14:paraId="0CBC1D5A"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vAlign w:val="bottom"/>
          </w:tcPr>
          <w:p w14:paraId="00382502" w14:textId="58CF97DF" w:rsidR="00E77384" w:rsidRPr="00D826A1" w:rsidRDefault="00E77384" w:rsidP="00674124">
            <w:pPr>
              <w:pStyle w:val="Tablebodytext"/>
            </w:pPr>
            <w:proofErr w:type="spellStart"/>
            <w:r w:rsidRPr="00D826A1">
              <w:rPr>
                <w:rFonts w:ascii="Calibri" w:hAnsi="Calibri" w:cs="Calibri"/>
                <w:color w:val="000000"/>
                <w:sz w:val="22"/>
              </w:rPr>
              <w:t>Dir</w:t>
            </w:r>
            <w:r w:rsidR="00FC2B29" w:rsidRPr="00D826A1">
              <w:rPr>
                <w:rFonts w:ascii="Calibri" w:hAnsi="Calibri" w:cs="Calibri"/>
                <w:color w:val="000000"/>
                <w:sz w:val="22"/>
              </w:rPr>
              <w:t>s</w:t>
            </w:r>
            <w:proofErr w:type="spellEnd"/>
          </w:p>
        </w:tc>
        <w:tc>
          <w:tcPr>
            <w:tcW w:w="1888" w:type="dxa"/>
            <w:vAlign w:val="bottom"/>
          </w:tcPr>
          <w:p w14:paraId="04F07541" w14:textId="77777777" w:rsidR="00E77384" w:rsidRPr="00D826A1" w:rsidRDefault="00E77384" w:rsidP="00674124">
            <w:pPr>
              <w:pStyle w:val="Tablebodytext"/>
              <w:jc w:val="right"/>
            </w:pPr>
          </w:p>
        </w:tc>
        <w:tc>
          <w:tcPr>
            <w:tcW w:w="1824" w:type="dxa"/>
            <w:vAlign w:val="bottom"/>
          </w:tcPr>
          <w:p w14:paraId="17CEE295" w14:textId="77777777" w:rsidR="00E77384" w:rsidRPr="00D826A1" w:rsidRDefault="00E77384" w:rsidP="00674124">
            <w:pPr>
              <w:pStyle w:val="Tablebodytext"/>
              <w:jc w:val="right"/>
            </w:pPr>
            <w:r w:rsidRPr="00D826A1">
              <w:rPr>
                <w:rFonts w:ascii="Calibri" w:hAnsi="Calibri" w:cs="Calibri"/>
                <w:color w:val="000000"/>
                <w:sz w:val="22"/>
              </w:rPr>
              <w:t>22</w:t>
            </w:r>
          </w:p>
        </w:tc>
        <w:tc>
          <w:tcPr>
            <w:tcW w:w="1824" w:type="dxa"/>
            <w:tcBorders>
              <w:right w:val="single" w:sz="4" w:space="0" w:color="auto"/>
            </w:tcBorders>
            <w:vAlign w:val="bottom"/>
          </w:tcPr>
          <w:p w14:paraId="76D7372B" w14:textId="77777777" w:rsidR="00E77384" w:rsidRPr="00D826A1" w:rsidRDefault="00E77384" w:rsidP="00674124">
            <w:pPr>
              <w:pStyle w:val="Tablebodytext"/>
              <w:jc w:val="right"/>
            </w:pPr>
            <w:r w:rsidRPr="00D826A1">
              <w:rPr>
                <w:rFonts w:ascii="Calibri" w:hAnsi="Calibri" w:cs="Calibri"/>
                <w:color w:val="000000"/>
                <w:sz w:val="22"/>
              </w:rPr>
              <w:t>27</w:t>
            </w:r>
          </w:p>
        </w:tc>
        <w:tc>
          <w:tcPr>
            <w:tcW w:w="1623" w:type="dxa"/>
            <w:tcBorders>
              <w:left w:val="single" w:sz="4" w:space="0" w:color="auto"/>
            </w:tcBorders>
            <w:vAlign w:val="bottom"/>
          </w:tcPr>
          <w:p w14:paraId="396C59C1" w14:textId="77777777" w:rsidR="00E77384" w:rsidRPr="00D826A1" w:rsidRDefault="00E77384" w:rsidP="00674124">
            <w:pPr>
              <w:pStyle w:val="Tablebodytext"/>
              <w:jc w:val="right"/>
              <w:rPr>
                <w:color w:val="000000"/>
              </w:rPr>
            </w:pPr>
            <w:r w:rsidRPr="00D826A1">
              <w:rPr>
                <w:rFonts w:ascii="Calibri" w:hAnsi="Calibri" w:cs="Calibri"/>
                <w:color w:val="000000"/>
                <w:sz w:val="22"/>
              </w:rPr>
              <w:t>49</w:t>
            </w:r>
          </w:p>
        </w:tc>
      </w:tr>
      <w:tr w:rsidR="00E77384" w:rsidRPr="00D826A1" w14:paraId="1373EF05" w14:textId="77777777" w:rsidTr="00674124">
        <w:tc>
          <w:tcPr>
            <w:tcW w:w="1854" w:type="dxa"/>
            <w:vAlign w:val="bottom"/>
          </w:tcPr>
          <w:p w14:paraId="27BED02D" w14:textId="63F53A0B" w:rsidR="00E77384" w:rsidRPr="00D826A1" w:rsidRDefault="00FC2B29" w:rsidP="00674124">
            <w:pPr>
              <w:pStyle w:val="Tablebodytext"/>
            </w:pPr>
            <w:proofErr w:type="spellStart"/>
            <w:r w:rsidRPr="00D826A1">
              <w:rPr>
                <w:rFonts w:ascii="Calibri" w:hAnsi="Calibri" w:cs="Calibri"/>
                <w:color w:val="000000"/>
                <w:sz w:val="22"/>
              </w:rPr>
              <w:t>Mgr</w:t>
            </w:r>
            <w:proofErr w:type="spellEnd"/>
          </w:p>
        </w:tc>
        <w:tc>
          <w:tcPr>
            <w:tcW w:w="1888" w:type="dxa"/>
            <w:vAlign w:val="bottom"/>
          </w:tcPr>
          <w:p w14:paraId="5E4516F4" w14:textId="77777777" w:rsidR="00E77384" w:rsidRPr="00D826A1" w:rsidRDefault="00E77384" w:rsidP="00674124">
            <w:pPr>
              <w:pStyle w:val="Tablebodytext"/>
              <w:jc w:val="right"/>
            </w:pPr>
          </w:p>
        </w:tc>
        <w:tc>
          <w:tcPr>
            <w:tcW w:w="1824" w:type="dxa"/>
            <w:vAlign w:val="bottom"/>
          </w:tcPr>
          <w:p w14:paraId="1B8E68DB" w14:textId="77777777" w:rsidR="00E77384" w:rsidRPr="00D826A1" w:rsidRDefault="00E77384" w:rsidP="00674124">
            <w:pPr>
              <w:pStyle w:val="Tablebodytext"/>
              <w:jc w:val="right"/>
            </w:pPr>
            <w:r w:rsidRPr="00D826A1">
              <w:rPr>
                <w:rFonts w:ascii="Calibri" w:hAnsi="Calibri" w:cs="Calibri"/>
                <w:color w:val="000000"/>
                <w:sz w:val="22"/>
              </w:rPr>
              <w:t>7</w:t>
            </w:r>
          </w:p>
        </w:tc>
        <w:tc>
          <w:tcPr>
            <w:tcW w:w="1824" w:type="dxa"/>
            <w:tcBorders>
              <w:right w:val="single" w:sz="4" w:space="0" w:color="auto"/>
            </w:tcBorders>
            <w:vAlign w:val="bottom"/>
          </w:tcPr>
          <w:p w14:paraId="415967B6" w14:textId="77777777" w:rsidR="00E77384" w:rsidRPr="00D826A1" w:rsidRDefault="00E77384" w:rsidP="00674124">
            <w:pPr>
              <w:pStyle w:val="Tablebodytext"/>
              <w:jc w:val="right"/>
            </w:pPr>
            <w:r w:rsidRPr="00D826A1">
              <w:rPr>
                <w:rFonts w:ascii="Calibri" w:hAnsi="Calibri" w:cs="Calibri"/>
                <w:color w:val="000000"/>
                <w:sz w:val="22"/>
              </w:rPr>
              <w:t>12</w:t>
            </w:r>
          </w:p>
        </w:tc>
        <w:tc>
          <w:tcPr>
            <w:tcW w:w="1623" w:type="dxa"/>
            <w:tcBorders>
              <w:left w:val="single" w:sz="4" w:space="0" w:color="auto"/>
            </w:tcBorders>
            <w:vAlign w:val="bottom"/>
          </w:tcPr>
          <w:p w14:paraId="1DEC75E7" w14:textId="77777777" w:rsidR="00E77384" w:rsidRPr="00D826A1" w:rsidRDefault="00E77384" w:rsidP="00674124">
            <w:pPr>
              <w:pStyle w:val="Tablebodytext"/>
              <w:jc w:val="right"/>
              <w:rPr>
                <w:color w:val="000000"/>
              </w:rPr>
            </w:pPr>
            <w:r w:rsidRPr="00D826A1">
              <w:rPr>
                <w:rFonts w:ascii="Calibri" w:hAnsi="Calibri" w:cs="Calibri"/>
                <w:color w:val="000000"/>
                <w:sz w:val="22"/>
              </w:rPr>
              <w:t>19</w:t>
            </w:r>
          </w:p>
        </w:tc>
      </w:tr>
      <w:tr w:rsidR="00E77384" w:rsidRPr="00D826A1" w14:paraId="20845F1D"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vAlign w:val="bottom"/>
          </w:tcPr>
          <w:p w14:paraId="61A54CF6" w14:textId="77777777" w:rsidR="00E77384" w:rsidRPr="00D826A1" w:rsidRDefault="00E77384" w:rsidP="00674124">
            <w:pPr>
              <w:pStyle w:val="Tablebodytext"/>
            </w:pPr>
            <w:r w:rsidRPr="00D826A1">
              <w:rPr>
                <w:rFonts w:ascii="Calibri" w:hAnsi="Calibri" w:cs="Calibri"/>
                <w:color w:val="000000"/>
                <w:sz w:val="22"/>
              </w:rPr>
              <w:t>CI</w:t>
            </w:r>
          </w:p>
        </w:tc>
        <w:tc>
          <w:tcPr>
            <w:tcW w:w="1888" w:type="dxa"/>
            <w:vAlign w:val="bottom"/>
          </w:tcPr>
          <w:p w14:paraId="1D865169" w14:textId="77777777" w:rsidR="00E77384" w:rsidRPr="00D826A1" w:rsidRDefault="00E77384" w:rsidP="00674124">
            <w:pPr>
              <w:pStyle w:val="Tablebodytext"/>
              <w:jc w:val="right"/>
            </w:pPr>
          </w:p>
        </w:tc>
        <w:tc>
          <w:tcPr>
            <w:tcW w:w="1824" w:type="dxa"/>
            <w:vAlign w:val="bottom"/>
          </w:tcPr>
          <w:p w14:paraId="44EDED08" w14:textId="77777777" w:rsidR="00E77384" w:rsidRPr="00D826A1" w:rsidRDefault="00E77384" w:rsidP="00674124">
            <w:pPr>
              <w:pStyle w:val="Tablebodytext"/>
              <w:jc w:val="right"/>
            </w:pPr>
            <w:r w:rsidRPr="00D826A1">
              <w:rPr>
                <w:rFonts w:ascii="Calibri" w:hAnsi="Calibri" w:cs="Calibri"/>
                <w:color w:val="000000"/>
                <w:sz w:val="22"/>
              </w:rPr>
              <w:t>101</w:t>
            </w:r>
          </w:p>
        </w:tc>
        <w:tc>
          <w:tcPr>
            <w:tcW w:w="1824" w:type="dxa"/>
            <w:tcBorders>
              <w:right w:val="single" w:sz="4" w:space="0" w:color="auto"/>
            </w:tcBorders>
            <w:vAlign w:val="bottom"/>
          </w:tcPr>
          <w:p w14:paraId="76AB151C" w14:textId="77777777" w:rsidR="00E77384" w:rsidRPr="00D826A1" w:rsidRDefault="00E77384" w:rsidP="00674124">
            <w:pPr>
              <w:pStyle w:val="Tablebodytext"/>
              <w:jc w:val="right"/>
            </w:pPr>
            <w:r w:rsidRPr="00D826A1">
              <w:rPr>
                <w:rFonts w:ascii="Calibri" w:hAnsi="Calibri" w:cs="Calibri"/>
                <w:color w:val="000000"/>
                <w:sz w:val="22"/>
              </w:rPr>
              <w:t>93</w:t>
            </w:r>
          </w:p>
        </w:tc>
        <w:tc>
          <w:tcPr>
            <w:tcW w:w="1623" w:type="dxa"/>
            <w:tcBorders>
              <w:left w:val="single" w:sz="4" w:space="0" w:color="auto"/>
            </w:tcBorders>
            <w:vAlign w:val="bottom"/>
          </w:tcPr>
          <w:p w14:paraId="1C55BEC5" w14:textId="77777777" w:rsidR="00E77384" w:rsidRPr="00D826A1" w:rsidRDefault="00E77384" w:rsidP="00674124">
            <w:pPr>
              <w:pStyle w:val="Tablebodytext"/>
              <w:jc w:val="right"/>
              <w:rPr>
                <w:color w:val="000000"/>
              </w:rPr>
            </w:pPr>
            <w:r w:rsidRPr="00D826A1">
              <w:rPr>
                <w:rFonts w:ascii="Calibri" w:hAnsi="Calibri" w:cs="Calibri"/>
                <w:color w:val="000000"/>
                <w:sz w:val="22"/>
              </w:rPr>
              <w:t>194</w:t>
            </w:r>
          </w:p>
        </w:tc>
      </w:tr>
      <w:tr w:rsidR="00E77384" w:rsidRPr="00D826A1" w14:paraId="175E626E" w14:textId="77777777" w:rsidTr="00674124">
        <w:tc>
          <w:tcPr>
            <w:tcW w:w="1854" w:type="dxa"/>
            <w:vAlign w:val="bottom"/>
          </w:tcPr>
          <w:p w14:paraId="1141A352" w14:textId="77777777" w:rsidR="00E77384" w:rsidRPr="00D826A1" w:rsidRDefault="00E77384" w:rsidP="00674124">
            <w:pPr>
              <w:pStyle w:val="Tablebodytext"/>
            </w:pPr>
            <w:r w:rsidRPr="00D826A1">
              <w:rPr>
                <w:rFonts w:ascii="Calibri" w:hAnsi="Calibri" w:cs="Calibri"/>
                <w:color w:val="000000"/>
                <w:sz w:val="22"/>
              </w:rPr>
              <w:t>PI</w:t>
            </w:r>
          </w:p>
        </w:tc>
        <w:tc>
          <w:tcPr>
            <w:tcW w:w="1888" w:type="dxa"/>
            <w:vAlign w:val="bottom"/>
          </w:tcPr>
          <w:p w14:paraId="1E2334B7" w14:textId="77777777" w:rsidR="00E77384" w:rsidRPr="00D826A1" w:rsidRDefault="00E77384" w:rsidP="00674124">
            <w:pPr>
              <w:pStyle w:val="Tablebodytext"/>
              <w:jc w:val="right"/>
            </w:pPr>
          </w:p>
        </w:tc>
        <w:tc>
          <w:tcPr>
            <w:tcW w:w="1824" w:type="dxa"/>
            <w:vAlign w:val="bottom"/>
          </w:tcPr>
          <w:p w14:paraId="47AA2599" w14:textId="77777777" w:rsidR="00E77384" w:rsidRPr="00D826A1" w:rsidRDefault="00E77384" w:rsidP="00674124">
            <w:pPr>
              <w:pStyle w:val="Tablebodytext"/>
              <w:jc w:val="right"/>
            </w:pPr>
            <w:r w:rsidRPr="00D826A1">
              <w:rPr>
                <w:rFonts w:ascii="Calibri" w:hAnsi="Calibri" w:cs="Calibri"/>
                <w:color w:val="000000"/>
                <w:sz w:val="22"/>
              </w:rPr>
              <w:t>51</w:t>
            </w:r>
          </w:p>
        </w:tc>
        <w:tc>
          <w:tcPr>
            <w:tcW w:w="1824" w:type="dxa"/>
            <w:tcBorders>
              <w:right w:val="single" w:sz="4" w:space="0" w:color="auto"/>
            </w:tcBorders>
            <w:vAlign w:val="bottom"/>
          </w:tcPr>
          <w:p w14:paraId="6571459B" w14:textId="77777777" w:rsidR="00E77384" w:rsidRPr="00D826A1" w:rsidRDefault="00E77384" w:rsidP="00674124">
            <w:pPr>
              <w:pStyle w:val="Tablebodytext"/>
              <w:jc w:val="right"/>
            </w:pPr>
            <w:r w:rsidRPr="00D826A1">
              <w:rPr>
                <w:rFonts w:ascii="Calibri" w:hAnsi="Calibri" w:cs="Calibri"/>
                <w:color w:val="000000"/>
                <w:sz w:val="22"/>
              </w:rPr>
              <w:t>76</w:t>
            </w:r>
          </w:p>
        </w:tc>
        <w:tc>
          <w:tcPr>
            <w:tcW w:w="1623" w:type="dxa"/>
            <w:tcBorders>
              <w:left w:val="single" w:sz="4" w:space="0" w:color="auto"/>
            </w:tcBorders>
            <w:vAlign w:val="bottom"/>
          </w:tcPr>
          <w:p w14:paraId="45884225" w14:textId="77777777" w:rsidR="00E77384" w:rsidRPr="00D826A1" w:rsidRDefault="00E77384" w:rsidP="00674124">
            <w:pPr>
              <w:pStyle w:val="Tablebodytext"/>
              <w:jc w:val="right"/>
              <w:rPr>
                <w:color w:val="000000"/>
              </w:rPr>
            </w:pPr>
            <w:r w:rsidRPr="00D826A1">
              <w:rPr>
                <w:rFonts w:ascii="Calibri" w:hAnsi="Calibri" w:cs="Calibri"/>
                <w:color w:val="000000"/>
                <w:sz w:val="22"/>
              </w:rPr>
              <w:t>127</w:t>
            </w:r>
          </w:p>
        </w:tc>
      </w:tr>
      <w:tr w:rsidR="00E77384" w:rsidRPr="00D826A1" w14:paraId="0FD4106B"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vAlign w:val="bottom"/>
          </w:tcPr>
          <w:p w14:paraId="1AF2D966" w14:textId="77777777" w:rsidR="00E77384" w:rsidRPr="00D826A1" w:rsidRDefault="00E77384" w:rsidP="00674124">
            <w:pPr>
              <w:pStyle w:val="Tablebodytext"/>
            </w:pPr>
            <w:r w:rsidRPr="00D826A1">
              <w:rPr>
                <w:rFonts w:ascii="Calibri" w:hAnsi="Calibri" w:cs="Calibri"/>
                <w:color w:val="000000"/>
                <w:sz w:val="22"/>
              </w:rPr>
              <w:t>PDR</w:t>
            </w:r>
          </w:p>
        </w:tc>
        <w:tc>
          <w:tcPr>
            <w:tcW w:w="1888" w:type="dxa"/>
            <w:vAlign w:val="bottom"/>
          </w:tcPr>
          <w:p w14:paraId="718AE3CF" w14:textId="77777777" w:rsidR="00E77384" w:rsidRPr="00D826A1" w:rsidRDefault="00E77384" w:rsidP="00674124">
            <w:pPr>
              <w:pStyle w:val="Tablebodytext"/>
              <w:jc w:val="right"/>
            </w:pPr>
          </w:p>
        </w:tc>
        <w:tc>
          <w:tcPr>
            <w:tcW w:w="1824" w:type="dxa"/>
            <w:vAlign w:val="bottom"/>
          </w:tcPr>
          <w:p w14:paraId="78528085" w14:textId="77777777" w:rsidR="00E77384" w:rsidRPr="00D826A1" w:rsidRDefault="00E77384" w:rsidP="00674124">
            <w:pPr>
              <w:pStyle w:val="Tablebodytext"/>
              <w:jc w:val="right"/>
            </w:pPr>
            <w:r w:rsidRPr="00D826A1">
              <w:rPr>
                <w:rFonts w:ascii="Calibri" w:hAnsi="Calibri" w:cs="Calibri"/>
                <w:color w:val="000000"/>
                <w:sz w:val="22"/>
              </w:rPr>
              <w:t>72</w:t>
            </w:r>
          </w:p>
        </w:tc>
        <w:tc>
          <w:tcPr>
            <w:tcW w:w="1824" w:type="dxa"/>
            <w:tcBorders>
              <w:right w:val="single" w:sz="4" w:space="0" w:color="auto"/>
            </w:tcBorders>
            <w:vAlign w:val="bottom"/>
          </w:tcPr>
          <w:p w14:paraId="10196621" w14:textId="77777777" w:rsidR="00E77384" w:rsidRPr="00D826A1" w:rsidRDefault="00E77384" w:rsidP="00674124">
            <w:pPr>
              <w:pStyle w:val="Tablebodytext"/>
              <w:jc w:val="right"/>
            </w:pPr>
            <w:r w:rsidRPr="00D826A1">
              <w:rPr>
                <w:rFonts w:ascii="Calibri" w:hAnsi="Calibri" w:cs="Calibri"/>
                <w:color w:val="000000"/>
                <w:sz w:val="22"/>
              </w:rPr>
              <w:t>32</w:t>
            </w:r>
          </w:p>
        </w:tc>
        <w:tc>
          <w:tcPr>
            <w:tcW w:w="1623" w:type="dxa"/>
            <w:tcBorders>
              <w:left w:val="single" w:sz="4" w:space="0" w:color="auto"/>
            </w:tcBorders>
            <w:vAlign w:val="bottom"/>
          </w:tcPr>
          <w:p w14:paraId="396FC48C" w14:textId="77777777" w:rsidR="00E77384" w:rsidRPr="00D826A1" w:rsidRDefault="00E77384" w:rsidP="00674124">
            <w:pPr>
              <w:pStyle w:val="Tablebodytext"/>
              <w:jc w:val="right"/>
              <w:rPr>
                <w:color w:val="000000"/>
              </w:rPr>
            </w:pPr>
            <w:r w:rsidRPr="00D826A1">
              <w:rPr>
                <w:rFonts w:ascii="Calibri" w:hAnsi="Calibri" w:cs="Calibri"/>
                <w:color w:val="000000"/>
                <w:sz w:val="22"/>
              </w:rPr>
              <w:t>104</w:t>
            </w:r>
          </w:p>
        </w:tc>
      </w:tr>
      <w:tr w:rsidR="00E77384" w:rsidRPr="00D826A1" w14:paraId="2CF1A1A3" w14:textId="77777777" w:rsidTr="00674124">
        <w:tc>
          <w:tcPr>
            <w:tcW w:w="1854" w:type="dxa"/>
            <w:tcBorders>
              <w:bottom w:val="single" w:sz="8" w:space="0" w:color="000000"/>
            </w:tcBorders>
            <w:vAlign w:val="bottom"/>
          </w:tcPr>
          <w:p w14:paraId="55869F61" w14:textId="77777777" w:rsidR="00E77384" w:rsidRPr="00D826A1" w:rsidRDefault="00E77384" w:rsidP="00674124">
            <w:pPr>
              <w:pStyle w:val="Tablebodytext"/>
            </w:pPr>
            <w:r w:rsidRPr="00D826A1">
              <w:rPr>
                <w:rFonts w:ascii="Calibri" w:hAnsi="Calibri" w:cs="Calibri"/>
                <w:color w:val="000000"/>
                <w:sz w:val="22"/>
              </w:rPr>
              <w:t>HDR</w:t>
            </w:r>
          </w:p>
        </w:tc>
        <w:tc>
          <w:tcPr>
            <w:tcW w:w="1888" w:type="dxa"/>
            <w:tcBorders>
              <w:bottom w:val="single" w:sz="8" w:space="0" w:color="000000"/>
            </w:tcBorders>
            <w:vAlign w:val="bottom"/>
          </w:tcPr>
          <w:p w14:paraId="289D2328" w14:textId="77777777" w:rsidR="00E77384" w:rsidRPr="00D826A1" w:rsidRDefault="00E77384" w:rsidP="00674124">
            <w:pPr>
              <w:pStyle w:val="Tablebodytext"/>
              <w:jc w:val="right"/>
            </w:pPr>
          </w:p>
        </w:tc>
        <w:tc>
          <w:tcPr>
            <w:tcW w:w="1824" w:type="dxa"/>
            <w:tcBorders>
              <w:bottom w:val="single" w:sz="8" w:space="0" w:color="000000"/>
            </w:tcBorders>
            <w:vAlign w:val="bottom"/>
          </w:tcPr>
          <w:p w14:paraId="2F5A83FC" w14:textId="77777777" w:rsidR="00E77384" w:rsidRPr="00D826A1" w:rsidRDefault="00E77384" w:rsidP="00674124">
            <w:pPr>
              <w:pStyle w:val="Tablebodytext"/>
              <w:jc w:val="right"/>
            </w:pPr>
            <w:r w:rsidRPr="00D826A1">
              <w:rPr>
                <w:rFonts w:ascii="Calibri" w:hAnsi="Calibri" w:cs="Calibri"/>
                <w:color w:val="000000"/>
                <w:sz w:val="22"/>
              </w:rPr>
              <w:t>129</w:t>
            </w:r>
          </w:p>
        </w:tc>
        <w:tc>
          <w:tcPr>
            <w:tcW w:w="1824" w:type="dxa"/>
            <w:tcBorders>
              <w:bottom w:val="single" w:sz="8" w:space="0" w:color="000000"/>
              <w:right w:val="single" w:sz="4" w:space="0" w:color="auto"/>
            </w:tcBorders>
            <w:vAlign w:val="bottom"/>
          </w:tcPr>
          <w:p w14:paraId="3E8614D7" w14:textId="77777777" w:rsidR="00E77384" w:rsidRPr="00D826A1" w:rsidRDefault="00E77384" w:rsidP="00674124">
            <w:pPr>
              <w:pStyle w:val="Tablebodytext"/>
              <w:jc w:val="right"/>
            </w:pPr>
            <w:r w:rsidRPr="00D826A1">
              <w:rPr>
                <w:rFonts w:ascii="Calibri" w:hAnsi="Calibri" w:cs="Calibri"/>
                <w:color w:val="000000"/>
                <w:sz w:val="22"/>
              </w:rPr>
              <w:t>65</w:t>
            </w:r>
          </w:p>
        </w:tc>
        <w:tc>
          <w:tcPr>
            <w:tcW w:w="1623" w:type="dxa"/>
            <w:tcBorders>
              <w:left w:val="single" w:sz="4" w:space="0" w:color="auto"/>
              <w:bottom w:val="single" w:sz="8" w:space="0" w:color="000000"/>
            </w:tcBorders>
            <w:vAlign w:val="bottom"/>
          </w:tcPr>
          <w:p w14:paraId="38DA6215" w14:textId="77777777" w:rsidR="00E77384" w:rsidRPr="00D826A1" w:rsidRDefault="00E77384" w:rsidP="00674124">
            <w:pPr>
              <w:pStyle w:val="Tablebodytext"/>
              <w:jc w:val="right"/>
              <w:rPr>
                <w:color w:val="000000"/>
              </w:rPr>
            </w:pPr>
            <w:r w:rsidRPr="00D826A1">
              <w:rPr>
                <w:rFonts w:ascii="Calibri" w:hAnsi="Calibri" w:cs="Calibri"/>
                <w:color w:val="000000"/>
                <w:sz w:val="22"/>
              </w:rPr>
              <w:t>194</w:t>
            </w:r>
          </w:p>
        </w:tc>
      </w:tr>
      <w:tr w:rsidR="00E77384" w:rsidRPr="00D826A1" w14:paraId="1F4A55CD"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tcBorders>
              <w:top w:val="single" w:sz="8" w:space="0" w:color="000000"/>
              <w:bottom w:val="single" w:sz="8" w:space="0" w:color="000000"/>
            </w:tcBorders>
            <w:vAlign w:val="bottom"/>
          </w:tcPr>
          <w:p w14:paraId="4CD2B42B"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1888" w:type="dxa"/>
            <w:tcBorders>
              <w:top w:val="single" w:sz="8" w:space="0" w:color="000000"/>
              <w:bottom w:val="single" w:sz="8" w:space="0" w:color="000000"/>
            </w:tcBorders>
            <w:vAlign w:val="bottom"/>
          </w:tcPr>
          <w:p w14:paraId="4A56BA2D" w14:textId="77777777" w:rsidR="00E77384" w:rsidRPr="00D826A1" w:rsidRDefault="00E77384" w:rsidP="00674124">
            <w:pPr>
              <w:pStyle w:val="Tablebodytext"/>
              <w:jc w:val="right"/>
            </w:pPr>
            <w:r w:rsidRPr="00D826A1">
              <w:rPr>
                <w:rFonts w:ascii="Calibri" w:hAnsi="Calibri" w:cs="Calibri"/>
                <w:b/>
                <w:bCs/>
                <w:color w:val="000000"/>
                <w:sz w:val="22"/>
              </w:rPr>
              <w:t>15</w:t>
            </w:r>
          </w:p>
        </w:tc>
        <w:tc>
          <w:tcPr>
            <w:tcW w:w="1824" w:type="dxa"/>
            <w:tcBorders>
              <w:top w:val="single" w:sz="8" w:space="0" w:color="000000"/>
              <w:bottom w:val="single" w:sz="8" w:space="0" w:color="000000"/>
            </w:tcBorders>
            <w:vAlign w:val="bottom"/>
          </w:tcPr>
          <w:p w14:paraId="7C31210B" w14:textId="77777777" w:rsidR="00E77384" w:rsidRPr="00D826A1" w:rsidRDefault="00E77384" w:rsidP="00674124">
            <w:pPr>
              <w:pStyle w:val="Tablebodytext"/>
              <w:jc w:val="right"/>
            </w:pPr>
            <w:r w:rsidRPr="00D826A1">
              <w:rPr>
                <w:rFonts w:ascii="Calibri" w:hAnsi="Calibri" w:cs="Calibri"/>
                <w:b/>
                <w:bCs/>
                <w:color w:val="000000"/>
                <w:sz w:val="22"/>
              </w:rPr>
              <w:t>382</w:t>
            </w:r>
          </w:p>
        </w:tc>
        <w:tc>
          <w:tcPr>
            <w:tcW w:w="1824" w:type="dxa"/>
            <w:tcBorders>
              <w:top w:val="single" w:sz="8" w:space="0" w:color="000000"/>
              <w:bottom w:val="single" w:sz="8" w:space="0" w:color="000000"/>
              <w:right w:val="single" w:sz="4" w:space="0" w:color="auto"/>
            </w:tcBorders>
            <w:vAlign w:val="bottom"/>
          </w:tcPr>
          <w:p w14:paraId="03CD94E4" w14:textId="77777777" w:rsidR="00E77384" w:rsidRPr="00D826A1" w:rsidRDefault="00E77384" w:rsidP="00674124">
            <w:pPr>
              <w:pStyle w:val="Tablebodytext"/>
              <w:jc w:val="right"/>
            </w:pPr>
            <w:r w:rsidRPr="00D826A1">
              <w:rPr>
                <w:rFonts w:ascii="Calibri" w:hAnsi="Calibri" w:cs="Calibri"/>
                <w:b/>
                <w:bCs/>
                <w:color w:val="000000"/>
                <w:sz w:val="22"/>
              </w:rPr>
              <w:t>305</w:t>
            </w:r>
          </w:p>
        </w:tc>
        <w:tc>
          <w:tcPr>
            <w:tcW w:w="1623" w:type="dxa"/>
            <w:tcBorders>
              <w:top w:val="single" w:sz="8" w:space="0" w:color="000000"/>
              <w:left w:val="single" w:sz="4" w:space="0" w:color="auto"/>
              <w:bottom w:val="single" w:sz="8" w:space="0" w:color="000000"/>
            </w:tcBorders>
            <w:vAlign w:val="bottom"/>
          </w:tcPr>
          <w:p w14:paraId="00D5A5E8" w14:textId="77777777" w:rsidR="00E77384" w:rsidRPr="00D826A1" w:rsidRDefault="00E77384" w:rsidP="00674124">
            <w:pPr>
              <w:pStyle w:val="Tablebodytext"/>
              <w:jc w:val="right"/>
              <w:rPr>
                <w:b/>
                <w:bCs/>
                <w:color w:val="000000"/>
              </w:rPr>
            </w:pPr>
            <w:r w:rsidRPr="00D826A1">
              <w:rPr>
                <w:rFonts w:ascii="Calibri" w:hAnsi="Calibri" w:cs="Calibri"/>
                <w:b/>
                <w:bCs/>
                <w:color w:val="000000"/>
                <w:sz w:val="22"/>
              </w:rPr>
              <w:t>702</w:t>
            </w:r>
          </w:p>
        </w:tc>
      </w:tr>
    </w:tbl>
    <w:p w14:paraId="01CA6CE0" w14:textId="77777777" w:rsidR="00E77384" w:rsidRPr="00D826A1" w:rsidRDefault="00E77384" w:rsidP="00E77384"/>
    <w:p w14:paraId="4DBF6C5B" w14:textId="77777777" w:rsidR="00E77384" w:rsidRPr="00D826A1" w:rsidRDefault="00E77384" w:rsidP="00E77384">
      <w:pPr>
        <w:pStyle w:val="TableHeading"/>
      </w:pPr>
      <w:r w:rsidRPr="00D826A1">
        <w:t>Survey responses by role and round</w:t>
      </w:r>
    </w:p>
    <w:tbl>
      <w:tblPr>
        <w:tblStyle w:val="ARTDTable2"/>
        <w:tblW w:w="0" w:type="auto"/>
        <w:tblLook w:val="04A0" w:firstRow="1" w:lastRow="0" w:firstColumn="1" w:lastColumn="0" w:noHBand="0" w:noVBand="1"/>
        <w:tblCaption w:val="Table 4. Survey responses by role and round"/>
        <w:tblDescription w:val="Table 4. Survey responses by role and round"/>
      </w:tblPr>
      <w:tblGrid>
        <w:gridCol w:w="919"/>
        <w:gridCol w:w="387"/>
        <w:gridCol w:w="867"/>
        <w:gridCol w:w="868"/>
        <w:gridCol w:w="868"/>
        <w:gridCol w:w="868"/>
        <w:gridCol w:w="867"/>
        <w:gridCol w:w="868"/>
        <w:gridCol w:w="868"/>
        <w:gridCol w:w="868"/>
        <w:gridCol w:w="765"/>
      </w:tblGrid>
      <w:tr w:rsidR="00E77384" w:rsidRPr="00D826A1" w14:paraId="36BD78AD" w14:textId="77777777" w:rsidTr="00674124">
        <w:trPr>
          <w:cnfStyle w:val="100000000000" w:firstRow="1" w:lastRow="0" w:firstColumn="0" w:lastColumn="0" w:oddVBand="0" w:evenVBand="0" w:oddHBand="0" w:evenHBand="0" w:firstRowFirstColumn="0" w:firstRowLastColumn="0" w:lastRowFirstColumn="0" w:lastRowLastColumn="0"/>
        </w:trPr>
        <w:tc>
          <w:tcPr>
            <w:tcW w:w="919" w:type="dxa"/>
            <w:vAlign w:val="bottom"/>
          </w:tcPr>
          <w:p w14:paraId="43ACD03D" w14:textId="77777777" w:rsidR="00E77384" w:rsidRPr="00D826A1" w:rsidRDefault="00E77384" w:rsidP="00674124">
            <w:pPr>
              <w:pStyle w:val="Tablecolumnheading"/>
              <w:rPr>
                <w:color w:val="FFFFFF" w:themeColor="background1"/>
              </w:rPr>
            </w:pPr>
          </w:p>
        </w:tc>
        <w:tc>
          <w:tcPr>
            <w:tcW w:w="387" w:type="dxa"/>
            <w:vAlign w:val="bottom"/>
          </w:tcPr>
          <w:p w14:paraId="57BD9FE8"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w:t>
            </w:r>
          </w:p>
        </w:tc>
        <w:tc>
          <w:tcPr>
            <w:tcW w:w="867" w:type="dxa"/>
            <w:vAlign w:val="bottom"/>
          </w:tcPr>
          <w:p w14:paraId="20AC68C4"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2012 Round 1</w:t>
            </w:r>
          </w:p>
        </w:tc>
        <w:tc>
          <w:tcPr>
            <w:tcW w:w="868" w:type="dxa"/>
            <w:vAlign w:val="bottom"/>
          </w:tcPr>
          <w:p w14:paraId="113BE6BF"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1</w:t>
            </w:r>
          </w:p>
        </w:tc>
        <w:tc>
          <w:tcPr>
            <w:tcW w:w="868" w:type="dxa"/>
            <w:vAlign w:val="bottom"/>
          </w:tcPr>
          <w:p w14:paraId="420FE210"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2</w:t>
            </w:r>
          </w:p>
        </w:tc>
        <w:tc>
          <w:tcPr>
            <w:tcW w:w="868" w:type="dxa"/>
            <w:vAlign w:val="bottom"/>
          </w:tcPr>
          <w:p w14:paraId="76604DE3"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2014 Round 1</w:t>
            </w:r>
          </w:p>
        </w:tc>
        <w:tc>
          <w:tcPr>
            <w:tcW w:w="867" w:type="dxa"/>
            <w:vAlign w:val="bottom"/>
          </w:tcPr>
          <w:p w14:paraId="6798E1A4"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2015 Round 1</w:t>
            </w:r>
          </w:p>
        </w:tc>
        <w:tc>
          <w:tcPr>
            <w:tcW w:w="868" w:type="dxa"/>
            <w:vAlign w:val="bottom"/>
          </w:tcPr>
          <w:p w14:paraId="6F154B3C"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2016 Round 1</w:t>
            </w:r>
          </w:p>
        </w:tc>
        <w:tc>
          <w:tcPr>
            <w:tcW w:w="868" w:type="dxa"/>
            <w:vAlign w:val="bottom"/>
          </w:tcPr>
          <w:p w14:paraId="1EF423E7"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2017 Round 1</w:t>
            </w:r>
          </w:p>
        </w:tc>
        <w:tc>
          <w:tcPr>
            <w:tcW w:w="868" w:type="dxa"/>
            <w:tcBorders>
              <w:right w:val="single" w:sz="4" w:space="0" w:color="auto"/>
            </w:tcBorders>
            <w:vAlign w:val="bottom"/>
          </w:tcPr>
          <w:p w14:paraId="17120600"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2018 Round 1</w:t>
            </w:r>
          </w:p>
        </w:tc>
        <w:tc>
          <w:tcPr>
            <w:tcW w:w="765" w:type="dxa"/>
            <w:tcBorders>
              <w:left w:val="single" w:sz="4" w:space="0" w:color="auto"/>
            </w:tcBorders>
            <w:vAlign w:val="bottom"/>
          </w:tcPr>
          <w:p w14:paraId="297CE081"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Grand Total</w:t>
            </w:r>
          </w:p>
        </w:tc>
      </w:tr>
      <w:tr w:rsidR="00E77384" w:rsidRPr="00D826A1" w14:paraId="61B9C3D9" w14:textId="77777777" w:rsidTr="00674124">
        <w:tc>
          <w:tcPr>
            <w:tcW w:w="919" w:type="dxa"/>
            <w:vAlign w:val="bottom"/>
          </w:tcPr>
          <w:p w14:paraId="1DCB4716" w14:textId="77777777" w:rsidR="00E77384" w:rsidRPr="00D826A1" w:rsidRDefault="00E77384" w:rsidP="00674124">
            <w:pPr>
              <w:pStyle w:val="Tablebodytext"/>
            </w:pPr>
            <w:r w:rsidRPr="00D826A1">
              <w:rPr>
                <w:rFonts w:ascii="Calibri" w:hAnsi="Calibri" w:cs="Calibri"/>
                <w:color w:val="000000"/>
                <w:sz w:val="22"/>
              </w:rPr>
              <w:t>RO</w:t>
            </w:r>
          </w:p>
        </w:tc>
        <w:tc>
          <w:tcPr>
            <w:tcW w:w="387" w:type="dxa"/>
            <w:vAlign w:val="bottom"/>
          </w:tcPr>
          <w:p w14:paraId="1A72E059" w14:textId="77777777" w:rsidR="00E77384" w:rsidRPr="00D826A1" w:rsidRDefault="00E77384" w:rsidP="00674124">
            <w:pPr>
              <w:pStyle w:val="Tablebodytext"/>
              <w:jc w:val="right"/>
            </w:pPr>
            <w:r w:rsidRPr="00D826A1">
              <w:rPr>
                <w:rFonts w:ascii="Calibri" w:hAnsi="Calibri" w:cs="Calibri"/>
                <w:color w:val="000000"/>
                <w:sz w:val="22"/>
              </w:rPr>
              <w:t>15</w:t>
            </w:r>
          </w:p>
        </w:tc>
        <w:tc>
          <w:tcPr>
            <w:tcW w:w="867" w:type="dxa"/>
            <w:vAlign w:val="bottom"/>
          </w:tcPr>
          <w:p w14:paraId="44158981" w14:textId="77777777" w:rsidR="00E77384" w:rsidRPr="00D826A1" w:rsidRDefault="00E77384" w:rsidP="00674124">
            <w:pPr>
              <w:pStyle w:val="Tablebodytext"/>
              <w:jc w:val="right"/>
            </w:pPr>
          </w:p>
        </w:tc>
        <w:tc>
          <w:tcPr>
            <w:tcW w:w="868" w:type="dxa"/>
            <w:vAlign w:val="bottom"/>
          </w:tcPr>
          <w:p w14:paraId="0948E52B" w14:textId="77777777" w:rsidR="00E77384" w:rsidRPr="00D826A1" w:rsidRDefault="00E77384" w:rsidP="00674124">
            <w:pPr>
              <w:pStyle w:val="Tablebodytext"/>
              <w:jc w:val="right"/>
            </w:pPr>
          </w:p>
        </w:tc>
        <w:tc>
          <w:tcPr>
            <w:tcW w:w="868" w:type="dxa"/>
            <w:vAlign w:val="bottom"/>
          </w:tcPr>
          <w:p w14:paraId="4C8C6B27" w14:textId="77777777" w:rsidR="00E77384" w:rsidRPr="00D826A1" w:rsidRDefault="00E77384" w:rsidP="00674124">
            <w:pPr>
              <w:pStyle w:val="Tablebodytext"/>
              <w:jc w:val="right"/>
            </w:pPr>
          </w:p>
        </w:tc>
        <w:tc>
          <w:tcPr>
            <w:tcW w:w="868" w:type="dxa"/>
            <w:vAlign w:val="bottom"/>
          </w:tcPr>
          <w:p w14:paraId="41F78A6A" w14:textId="77777777" w:rsidR="00E77384" w:rsidRPr="00D826A1" w:rsidRDefault="00E77384" w:rsidP="00674124">
            <w:pPr>
              <w:pStyle w:val="Tablebodytext"/>
              <w:jc w:val="right"/>
            </w:pPr>
          </w:p>
        </w:tc>
        <w:tc>
          <w:tcPr>
            <w:tcW w:w="867" w:type="dxa"/>
            <w:vAlign w:val="bottom"/>
          </w:tcPr>
          <w:p w14:paraId="5085D6C7" w14:textId="77777777" w:rsidR="00E77384" w:rsidRPr="00D826A1" w:rsidRDefault="00E77384" w:rsidP="00674124">
            <w:pPr>
              <w:pStyle w:val="Tablebodytext"/>
              <w:jc w:val="right"/>
            </w:pPr>
          </w:p>
        </w:tc>
        <w:tc>
          <w:tcPr>
            <w:tcW w:w="868" w:type="dxa"/>
            <w:vAlign w:val="bottom"/>
          </w:tcPr>
          <w:p w14:paraId="398D7B11" w14:textId="77777777" w:rsidR="00E77384" w:rsidRPr="00D826A1" w:rsidRDefault="00E77384" w:rsidP="00674124">
            <w:pPr>
              <w:pStyle w:val="Tablebodytext"/>
              <w:jc w:val="right"/>
            </w:pPr>
          </w:p>
        </w:tc>
        <w:tc>
          <w:tcPr>
            <w:tcW w:w="868" w:type="dxa"/>
            <w:vAlign w:val="bottom"/>
          </w:tcPr>
          <w:p w14:paraId="03B70ECD" w14:textId="77777777" w:rsidR="00E77384" w:rsidRPr="00D826A1" w:rsidRDefault="00E77384" w:rsidP="00674124">
            <w:pPr>
              <w:pStyle w:val="Tablebodytext"/>
              <w:jc w:val="right"/>
            </w:pPr>
          </w:p>
        </w:tc>
        <w:tc>
          <w:tcPr>
            <w:tcW w:w="868" w:type="dxa"/>
            <w:tcBorders>
              <w:right w:val="single" w:sz="4" w:space="0" w:color="auto"/>
            </w:tcBorders>
            <w:vAlign w:val="bottom"/>
          </w:tcPr>
          <w:p w14:paraId="20BF76DC" w14:textId="77777777" w:rsidR="00E77384" w:rsidRPr="00D826A1" w:rsidRDefault="00E77384" w:rsidP="00674124">
            <w:pPr>
              <w:pStyle w:val="Tablebodytext"/>
              <w:jc w:val="right"/>
            </w:pPr>
          </w:p>
        </w:tc>
        <w:tc>
          <w:tcPr>
            <w:tcW w:w="765" w:type="dxa"/>
            <w:tcBorders>
              <w:left w:val="single" w:sz="4" w:space="0" w:color="auto"/>
            </w:tcBorders>
            <w:vAlign w:val="bottom"/>
          </w:tcPr>
          <w:p w14:paraId="6C3FAC16" w14:textId="77777777" w:rsidR="00E77384" w:rsidRPr="00D826A1" w:rsidRDefault="00E77384" w:rsidP="00674124">
            <w:pPr>
              <w:pStyle w:val="Tablebodytext"/>
              <w:jc w:val="right"/>
              <w:rPr>
                <w:color w:val="000000"/>
              </w:rPr>
            </w:pPr>
            <w:r w:rsidRPr="00D826A1">
              <w:rPr>
                <w:rFonts w:ascii="Calibri" w:hAnsi="Calibri" w:cs="Calibri"/>
                <w:color w:val="000000"/>
                <w:sz w:val="22"/>
              </w:rPr>
              <w:t>15</w:t>
            </w:r>
          </w:p>
        </w:tc>
      </w:tr>
      <w:tr w:rsidR="00E77384" w:rsidRPr="00D826A1" w14:paraId="20DA7E75"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vAlign w:val="bottom"/>
          </w:tcPr>
          <w:p w14:paraId="2E9B3F6A" w14:textId="02E55955" w:rsidR="00E77384" w:rsidRPr="00D826A1" w:rsidRDefault="00E77384" w:rsidP="00674124">
            <w:pPr>
              <w:pStyle w:val="Tablebodytext"/>
            </w:pPr>
            <w:proofErr w:type="spellStart"/>
            <w:r w:rsidRPr="00D826A1">
              <w:rPr>
                <w:rFonts w:ascii="Calibri" w:hAnsi="Calibri" w:cs="Calibri"/>
                <w:color w:val="000000"/>
                <w:sz w:val="22"/>
              </w:rPr>
              <w:t>Dir</w:t>
            </w:r>
            <w:r w:rsidR="00FC2B29" w:rsidRPr="00D826A1">
              <w:rPr>
                <w:rFonts w:ascii="Calibri" w:hAnsi="Calibri" w:cs="Calibri"/>
                <w:color w:val="000000"/>
                <w:sz w:val="22"/>
              </w:rPr>
              <w:t>s</w:t>
            </w:r>
            <w:proofErr w:type="spellEnd"/>
          </w:p>
        </w:tc>
        <w:tc>
          <w:tcPr>
            <w:tcW w:w="387" w:type="dxa"/>
            <w:vAlign w:val="bottom"/>
          </w:tcPr>
          <w:p w14:paraId="14DC8859" w14:textId="77777777" w:rsidR="00E77384" w:rsidRPr="00D826A1" w:rsidRDefault="00E77384" w:rsidP="00674124">
            <w:pPr>
              <w:pStyle w:val="Tablebodytext"/>
              <w:jc w:val="right"/>
            </w:pPr>
          </w:p>
        </w:tc>
        <w:tc>
          <w:tcPr>
            <w:tcW w:w="867" w:type="dxa"/>
            <w:vAlign w:val="bottom"/>
          </w:tcPr>
          <w:p w14:paraId="6B6772B4" w14:textId="77777777" w:rsidR="00E77384" w:rsidRPr="00D826A1" w:rsidRDefault="00E77384" w:rsidP="00674124">
            <w:pPr>
              <w:pStyle w:val="Tablebodytext"/>
              <w:jc w:val="right"/>
            </w:pPr>
            <w:r w:rsidRPr="00D826A1">
              <w:rPr>
                <w:rFonts w:ascii="Calibri" w:hAnsi="Calibri" w:cs="Calibri"/>
                <w:color w:val="000000"/>
                <w:sz w:val="22"/>
              </w:rPr>
              <w:t>1</w:t>
            </w:r>
          </w:p>
        </w:tc>
        <w:tc>
          <w:tcPr>
            <w:tcW w:w="868" w:type="dxa"/>
            <w:vAlign w:val="bottom"/>
          </w:tcPr>
          <w:p w14:paraId="7AA86251"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w:t>
            </w:r>
          </w:p>
        </w:tc>
        <w:tc>
          <w:tcPr>
            <w:tcW w:w="868" w:type="dxa"/>
            <w:vAlign w:val="bottom"/>
          </w:tcPr>
          <w:p w14:paraId="28D0B23E"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6</w:t>
            </w:r>
          </w:p>
        </w:tc>
        <w:tc>
          <w:tcPr>
            <w:tcW w:w="868" w:type="dxa"/>
            <w:vAlign w:val="bottom"/>
          </w:tcPr>
          <w:p w14:paraId="6952AEE4"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7</w:t>
            </w:r>
          </w:p>
        </w:tc>
        <w:tc>
          <w:tcPr>
            <w:tcW w:w="867" w:type="dxa"/>
            <w:vAlign w:val="bottom"/>
          </w:tcPr>
          <w:p w14:paraId="240C4DC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7</w:t>
            </w:r>
          </w:p>
        </w:tc>
        <w:tc>
          <w:tcPr>
            <w:tcW w:w="868" w:type="dxa"/>
            <w:vAlign w:val="bottom"/>
          </w:tcPr>
          <w:p w14:paraId="071082D2"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5</w:t>
            </w:r>
          </w:p>
        </w:tc>
        <w:tc>
          <w:tcPr>
            <w:tcW w:w="868" w:type="dxa"/>
            <w:vAlign w:val="bottom"/>
          </w:tcPr>
          <w:p w14:paraId="1F775642"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8</w:t>
            </w:r>
          </w:p>
        </w:tc>
        <w:tc>
          <w:tcPr>
            <w:tcW w:w="868" w:type="dxa"/>
            <w:tcBorders>
              <w:right w:val="single" w:sz="4" w:space="0" w:color="auto"/>
            </w:tcBorders>
            <w:vAlign w:val="bottom"/>
          </w:tcPr>
          <w:p w14:paraId="4034DCA5" w14:textId="77777777" w:rsidR="00E77384" w:rsidRPr="00D826A1" w:rsidRDefault="00E77384" w:rsidP="00674124">
            <w:pPr>
              <w:pStyle w:val="Tablebodytext"/>
              <w:jc w:val="right"/>
            </w:pPr>
            <w:r w:rsidRPr="00D826A1">
              <w:rPr>
                <w:rFonts w:ascii="Calibri" w:hAnsi="Calibri" w:cs="Calibri"/>
                <w:color w:val="000000"/>
                <w:sz w:val="22"/>
              </w:rPr>
              <w:t>11</w:t>
            </w:r>
          </w:p>
        </w:tc>
        <w:tc>
          <w:tcPr>
            <w:tcW w:w="765" w:type="dxa"/>
            <w:tcBorders>
              <w:left w:val="single" w:sz="4" w:space="0" w:color="auto"/>
            </w:tcBorders>
            <w:vAlign w:val="bottom"/>
          </w:tcPr>
          <w:p w14:paraId="47018866" w14:textId="77777777" w:rsidR="00E77384" w:rsidRPr="00D826A1" w:rsidRDefault="00E77384" w:rsidP="00674124">
            <w:pPr>
              <w:pStyle w:val="Tablebodytext"/>
              <w:jc w:val="right"/>
              <w:rPr>
                <w:color w:val="000000"/>
              </w:rPr>
            </w:pPr>
            <w:r w:rsidRPr="00D826A1">
              <w:rPr>
                <w:rFonts w:ascii="Calibri" w:hAnsi="Calibri" w:cs="Calibri"/>
                <w:color w:val="000000"/>
                <w:sz w:val="22"/>
              </w:rPr>
              <w:t>49</w:t>
            </w:r>
          </w:p>
        </w:tc>
      </w:tr>
      <w:tr w:rsidR="00E77384" w:rsidRPr="00D826A1" w14:paraId="7A456082" w14:textId="77777777" w:rsidTr="00674124">
        <w:tc>
          <w:tcPr>
            <w:tcW w:w="919" w:type="dxa"/>
            <w:vAlign w:val="bottom"/>
          </w:tcPr>
          <w:p w14:paraId="79321A54" w14:textId="64B5C441" w:rsidR="00E77384" w:rsidRPr="00D826A1" w:rsidRDefault="00FC2B29" w:rsidP="00674124">
            <w:pPr>
              <w:pStyle w:val="Tablebodytext"/>
            </w:pPr>
            <w:proofErr w:type="spellStart"/>
            <w:r w:rsidRPr="00D826A1">
              <w:rPr>
                <w:rFonts w:ascii="Calibri" w:hAnsi="Calibri" w:cs="Calibri"/>
                <w:color w:val="000000"/>
                <w:sz w:val="22"/>
              </w:rPr>
              <w:t>Mgr</w:t>
            </w:r>
            <w:proofErr w:type="spellEnd"/>
          </w:p>
        </w:tc>
        <w:tc>
          <w:tcPr>
            <w:tcW w:w="387" w:type="dxa"/>
            <w:vAlign w:val="bottom"/>
          </w:tcPr>
          <w:p w14:paraId="122901D4" w14:textId="77777777" w:rsidR="00E77384" w:rsidRPr="00D826A1" w:rsidRDefault="00E77384" w:rsidP="00674124">
            <w:pPr>
              <w:pStyle w:val="Tablebodytext"/>
              <w:jc w:val="right"/>
            </w:pPr>
          </w:p>
        </w:tc>
        <w:tc>
          <w:tcPr>
            <w:tcW w:w="867" w:type="dxa"/>
            <w:vAlign w:val="bottom"/>
          </w:tcPr>
          <w:p w14:paraId="4A37D87D" w14:textId="77777777" w:rsidR="00E77384" w:rsidRPr="00D826A1" w:rsidRDefault="00E77384" w:rsidP="00674124">
            <w:pPr>
              <w:pStyle w:val="Tablebodytext"/>
              <w:jc w:val="right"/>
            </w:pPr>
          </w:p>
        </w:tc>
        <w:tc>
          <w:tcPr>
            <w:tcW w:w="868" w:type="dxa"/>
            <w:vAlign w:val="bottom"/>
          </w:tcPr>
          <w:p w14:paraId="5B790F45" w14:textId="77777777" w:rsidR="00E77384" w:rsidRPr="00D826A1" w:rsidRDefault="00E77384" w:rsidP="00674124">
            <w:pPr>
              <w:pStyle w:val="Tablebodytext"/>
              <w:jc w:val="right"/>
              <w:rPr>
                <w:rFonts w:ascii="Calibri" w:hAnsi="Calibri" w:cs="Calibri"/>
                <w:color w:val="000000"/>
                <w:sz w:val="22"/>
              </w:rPr>
            </w:pPr>
          </w:p>
        </w:tc>
        <w:tc>
          <w:tcPr>
            <w:tcW w:w="868" w:type="dxa"/>
            <w:vAlign w:val="bottom"/>
          </w:tcPr>
          <w:p w14:paraId="4E4BBE6E"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868" w:type="dxa"/>
            <w:vAlign w:val="bottom"/>
          </w:tcPr>
          <w:p w14:paraId="4AD55F2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w:t>
            </w:r>
          </w:p>
        </w:tc>
        <w:tc>
          <w:tcPr>
            <w:tcW w:w="867" w:type="dxa"/>
            <w:vAlign w:val="bottom"/>
          </w:tcPr>
          <w:p w14:paraId="76B0F352"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w:t>
            </w:r>
          </w:p>
        </w:tc>
        <w:tc>
          <w:tcPr>
            <w:tcW w:w="868" w:type="dxa"/>
            <w:vAlign w:val="bottom"/>
          </w:tcPr>
          <w:p w14:paraId="7D7396E8"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868" w:type="dxa"/>
            <w:vAlign w:val="bottom"/>
          </w:tcPr>
          <w:p w14:paraId="567147E1"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6</w:t>
            </w:r>
          </w:p>
        </w:tc>
        <w:tc>
          <w:tcPr>
            <w:tcW w:w="868" w:type="dxa"/>
            <w:tcBorders>
              <w:right w:val="single" w:sz="4" w:space="0" w:color="auto"/>
            </w:tcBorders>
            <w:vAlign w:val="bottom"/>
          </w:tcPr>
          <w:p w14:paraId="52DF577B" w14:textId="77777777" w:rsidR="00E77384" w:rsidRPr="00D826A1" w:rsidRDefault="00E77384" w:rsidP="00674124">
            <w:pPr>
              <w:pStyle w:val="Tablebodytext"/>
              <w:jc w:val="right"/>
            </w:pPr>
          </w:p>
        </w:tc>
        <w:tc>
          <w:tcPr>
            <w:tcW w:w="765" w:type="dxa"/>
            <w:tcBorders>
              <w:left w:val="single" w:sz="4" w:space="0" w:color="auto"/>
            </w:tcBorders>
            <w:vAlign w:val="bottom"/>
          </w:tcPr>
          <w:p w14:paraId="5D2BF43B" w14:textId="77777777" w:rsidR="00E77384" w:rsidRPr="00D826A1" w:rsidRDefault="00E77384" w:rsidP="00674124">
            <w:pPr>
              <w:pStyle w:val="Tablebodytext"/>
              <w:jc w:val="right"/>
              <w:rPr>
                <w:color w:val="000000"/>
              </w:rPr>
            </w:pPr>
            <w:r w:rsidRPr="00D826A1">
              <w:rPr>
                <w:rFonts w:ascii="Calibri" w:hAnsi="Calibri" w:cs="Calibri"/>
                <w:color w:val="000000"/>
                <w:sz w:val="22"/>
              </w:rPr>
              <w:t>19</w:t>
            </w:r>
          </w:p>
        </w:tc>
      </w:tr>
      <w:tr w:rsidR="00E77384" w:rsidRPr="00D826A1" w14:paraId="3D30FACB"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vAlign w:val="bottom"/>
          </w:tcPr>
          <w:p w14:paraId="52945CB4" w14:textId="77777777" w:rsidR="00E77384" w:rsidRPr="00D826A1" w:rsidRDefault="00E77384" w:rsidP="00674124">
            <w:pPr>
              <w:pStyle w:val="Tablebodytext"/>
            </w:pPr>
            <w:r w:rsidRPr="00D826A1">
              <w:rPr>
                <w:rFonts w:ascii="Calibri" w:hAnsi="Calibri" w:cs="Calibri"/>
                <w:color w:val="000000"/>
                <w:sz w:val="22"/>
              </w:rPr>
              <w:t>CI</w:t>
            </w:r>
          </w:p>
        </w:tc>
        <w:tc>
          <w:tcPr>
            <w:tcW w:w="387" w:type="dxa"/>
            <w:vAlign w:val="bottom"/>
          </w:tcPr>
          <w:p w14:paraId="20B53A70" w14:textId="77777777" w:rsidR="00E77384" w:rsidRPr="00D826A1" w:rsidRDefault="00E77384" w:rsidP="00674124">
            <w:pPr>
              <w:pStyle w:val="Tablebodytext"/>
              <w:jc w:val="right"/>
            </w:pPr>
          </w:p>
        </w:tc>
        <w:tc>
          <w:tcPr>
            <w:tcW w:w="867" w:type="dxa"/>
            <w:vAlign w:val="bottom"/>
          </w:tcPr>
          <w:p w14:paraId="638F9461" w14:textId="77777777" w:rsidR="00E77384" w:rsidRPr="00D826A1" w:rsidRDefault="00E77384" w:rsidP="00674124">
            <w:pPr>
              <w:pStyle w:val="Tablebodytext"/>
              <w:jc w:val="right"/>
            </w:pPr>
            <w:r w:rsidRPr="00D826A1">
              <w:rPr>
                <w:rFonts w:ascii="Calibri" w:hAnsi="Calibri" w:cs="Calibri"/>
                <w:color w:val="000000"/>
                <w:sz w:val="22"/>
              </w:rPr>
              <w:t>7</w:t>
            </w:r>
          </w:p>
        </w:tc>
        <w:tc>
          <w:tcPr>
            <w:tcW w:w="868" w:type="dxa"/>
            <w:vAlign w:val="bottom"/>
          </w:tcPr>
          <w:p w14:paraId="163C4833"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17</w:t>
            </w:r>
          </w:p>
        </w:tc>
        <w:tc>
          <w:tcPr>
            <w:tcW w:w="868" w:type="dxa"/>
            <w:vAlign w:val="bottom"/>
          </w:tcPr>
          <w:p w14:paraId="21AA82C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14</w:t>
            </w:r>
          </w:p>
        </w:tc>
        <w:tc>
          <w:tcPr>
            <w:tcW w:w="868" w:type="dxa"/>
            <w:vAlign w:val="bottom"/>
          </w:tcPr>
          <w:p w14:paraId="2567D341"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42</w:t>
            </w:r>
          </w:p>
        </w:tc>
        <w:tc>
          <w:tcPr>
            <w:tcW w:w="867" w:type="dxa"/>
            <w:vAlign w:val="bottom"/>
          </w:tcPr>
          <w:p w14:paraId="1B20189E"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20</w:t>
            </w:r>
          </w:p>
        </w:tc>
        <w:tc>
          <w:tcPr>
            <w:tcW w:w="868" w:type="dxa"/>
            <w:vAlign w:val="bottom"/>
          </w:tcPr>
          <w:p w14:paraId="395D1B1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13</w:t>
            </w:r>
          </w:p>
        </w:tc>
        <w:tc>
          <w:tcPr>
            <w:tcW w:w="868" w:type="dxa"/>
            <w:vAlign w:val="bottom"/>
          </w:tcPr>
          <w:p w14:paraId="43E6572B"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45</w:t>
            </w:r>
          </w:p>
        </w:tc>
        <w:tc>
          <w:tcPr>
            <w:tcW w:w="868" w:type="dxa"/>
            <w:tcBorders>
              <w:right w:val="single" w:sz="4" w:space="0" w:color="auto"/>
            </w:tcBorders>
            <w:vAlign w:val="bottom"/>
          </w:tcPr>
          <w:p w14:paraId="76AADD77" w14:textId="77777777" w:rsidR="00E77384" w:rsidRPr="00D826A1" w:rsidRDefault="00E77384" w:rsidP="00674124">
            <w:pPr>
              <w:pStyle w:val="Tablebodytext"/>
              <w:jc w:val="right"/>
            </w:pPr>
            <w:r w:rsidRPr="00D826A1">
              <w:rPr>
                <w:rFonts w:ascii="Calibri" w:hAnsi="Calibri" w:cs="Calibri"/>
                <w:color w:val="000000"/>
                <w:sz w:val="22"/>
              </w:rPr>
              <w:t>36</w:t>
            </w:r>
          </w:p>
        </w:tc>
        <w:tc>
          <w:tcPr>
            <w:tcW w:w="765" w:type="dxa"/>
            <w:tcBorders>
              <w:left w:val="single" w:sz="4" w:space="0" w:color="auto"/>
            </w:tcBorders>
            <w:vAlign w:val="bottom"/>
          </w:tcPr>
          <w:p w14:paraId="13FF1E10" w14:textId="77777777" w:rsidR="00E77384" w:rsidRPr="00D826A1" w:rsidRDefault="00E77384" w:rsidP="00674124">
            <w:pPr>
              <w:pStyle w:val="Tablebodytext"/>
              <w:jc w:val="right"/>
              <w:rPr>
                <w:color w:val="000000"/>
              </w:rPr>
            </w:pPr>
            <w:r w:rsidRPr="00D826A1">
              <w:rPr>
                <w:rFonts w:ascii="Calibri" w:hAnsi="Calibri" w:cs="Calibri"/>
                <w:color w:val="000000"/>
                <w:sz w:val="22"/>
              </w:rPr>
              <w:t>194</w:t>
            </w:r>
          </w:p>
        </w:tc>
      </w:tr>
      <w:tr w:rsidR="00E77384" w:rsidRPr="00D826A1" w14:paraId="67654FDE" w14:textId="77777777" w:rsidTr="00674124">
        <w:tc>
          <w:tcPr>
            <w:tcW w:w="919" w:type="dxa"/>
            <w:vAlign w:val="bottom"/>
          </w:tcPr>
          <w:p w14:paraId="1B121351" w14:textId="77777777" w:rsidR="00E77384" w:rsidRPr="00D826A1" w:rsidRDefault="00E77384" w:rsidP="00674124">
            <w:pPr>
              <w:pStyle w:val="Tablebodytext"/>
            </w:pPr>
            <w:r w:rsidRPr="00D826A1">
              <w:rPr>
                <w:rFonts w:ascii="Calibri" w:hAnsi="Calibri" w:cs="Calibri"/>
                <w:color w:val="000000"/>
                <w:sz w:val="22"/>
              </w:rPr>
              <w:t>PI</w:t>
            </w:r>
          </w:p>
        </w:tc>
        <w:tc>
          <w:tcPr>
            <w:tcW w:w="387" w:type="dxa"/>
            <w:vAlign w:val="bottom"/>
          </w:tcPr>
          <w:p w14:paraId="1F7BCE8A" w14:textId="77777777" w:rsidR="00E77384" w:rsidRPr="00D826A1" w:rsidRDefault="00E77384" w:rsidP="00674124">
            <w:pPr>
              <w:pStyle w:val="Tablebodytext"/>
              <w:jc w:val="right"/>
            </w:pPr>
          </w:p>
        </w:tc>
        <w:tc>
          <w:tcPr>
            <w:tcW w:w="867" w:type="dxa"/>
            <w:vAlign w:val="bottom"/>
          </w:tcPr>
          <w:p w14:paraId="6BAF3BE1" w14:textId="77777777" w:rsidR="00E77384" w:rsidRPr="00D826A1" w:rsidRDefault="00E77384" w:rsidP="00674124">
            <w:pPr>
              <w:pStyle w:val="Tablebodytext"/>
              <w:jc w:val="right"/>
            </w:pPr>
            <w:r w:rsidRPr="00D826A1">
              <w:rPr>
                <w:rFonts w:ascii="Calibri" w:hAnsi="Calibri" w:cs="Calibri"/>
                <w:color w:val="000000"/>
                <w:sz w:val="22"/>
              </w:rPr>
              <w:t>1</w:t>
            </w:r>
          </w:p>
        </w:tc>
        <w:tc>
          <w:tcPr>
            <w:tcW w:w="868" w:type="dxa"/>
            <w:vAlign w:val="bottom"/>
          </w:tcPr>
          <w:p w14:paraId="3C9905F9"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10</w:t>
            </w:r>
          </w:p>
        </w:tc>
        <w:tc>
          <w:tcPr>
            <w:tcW w:w="868" w:type="dxa"/>
            <w:vAlign w:val="bottom"/>
          </w:tcPr>
          <w:p w14:paraId="5586F633"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7</w:t>
            </w:r>
          </w:p>
        </w:tc>
        <w:tc>
          <w:tcPr>
            <w:tcW w:w="868" w:type="dxa"/>
            <w:vAlign w:val="bottom"/>
          </w:tcPr>
          <w:p w14:paraId="359FED14"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15</w:t>
            </w:r>
          </w:p>
        </w:tc>
        <w:tc>
          <w:tcPr>
            <w:tcW w:w="867" w:type="dxa"/>
            <w:vAlign w:val="bottom"/>
          </w:tcPr>
          <w:p w14:paraId="5356D6FB"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16</w:t>
            </w:r>
          </w:p>
        </w:tc>
        <w:tc>
          <w:tcPr>
            <w:tcW w:w="868" w:type="dxa"/>
            <w:vAlign w:val="bottom"/>
          </w:tcPr>
          <w:p w14:paraId="4582364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18</w:t>
            </w:r>
          </w:p>
        </w:tc>
        <w:tc>
          <w:tcPr>
            <w:tcW w:w="868" w:type="dxa"/>
            <w:vAlign w:val="bottom"/>
          </w:tcPr>
          <w:p w14:paraId="2F69D6A8"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32</w:t>
            </w:r>
          </w:p>
        </w:tc>
        <w:tc>
          <w:tcPr>
            <w:tcW w:w="868" w:type="dxa"/>
            <w:tcBorders>
              <w:right w:val="single" w:sz="4" w:space="0" w:color="auto"/>
            </w:tcBorders>
            <w:vAlign w:val="bottom"/>
          </w:tcPr>
          <w:p w14:paraId="0A5CA4BB" w14:textId="77777777" w:rsidR="00E77384" w:rsidRPr="00D826A1" w:rsidRDefault="00E77384" w:rsidP="00674124">
            <w:pPr>
              <w:pStyle w:val="Tablebodytext"/>
              <w:jc w:val="right"/>
            </w:pPr>
            <w:r w:rsidRPr="00D826A1">
              <w:rPr>
                <w:rFonts w:ascii="Calibri" w:hAnsi="Calibri" w:cs="Calibri"/>
                <w:color w:val="000000"/>
                <w:sz w:val="22"/>
              </w:rPr>
              <w:t>28</w:t>
            </w:r>
          </w:p>
        </w:tc>
        <w:tc>
          <w:tcPr>
            <w:tcW w:w="765" w:type="dxa"/>
            <w:tcBorders>
              <w:left w:val="single" w:sz="4" w:space="0" w:color="auto"/>
            </w:tcBorders>
            <w:vAlign w:val="bottom"/>
          </w:tcPr>
          <w:p w14:paraId="1F28482B" w14:textId="77777777" w:rsidR="00E77384" w:rsidRPr="00D826A1" w:rsidRDefault="00E77384" w:rsidP="00674124">
            <w:pPr>
              <w:pStyle w:val="Tablebodytext"/>
              <w:jc w:val="right"/>
              <w:rPr>
                <w:color w:val="000000"/>
              </w:rPr>
            </w:pPr>
            <w:r w:rsidRPr="00D826A1">
              <w:rPr>
                <w:rFonts w:ascii="Calibri" w:hAnsi="Calibri" w:cs="Calibri"/>
                <w:color w:val="000000"/>
                <w:sz w:val="22"/>
              </w:rPr>
              <w:t>127</w:t>
            </w:r>
          </w:p>
        </w:tc>
      </w:tr>
      <w:tr w:rsidR="00E77384" w:rsidRPr="00D826A1" w14:paraId="072827E9"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vAlign w:val="bottom"/>
          </w:tcPr>
          <w:p w14:paraId="34B5E4F8" w14:textId="77777777" w:rsidR="00E77384" w:rsidRPr="00D826A1" w:rsidRDefault="00E77384" w:rsidP="00674124">
            <w:pPr>
              <w:pStyle w:val="Tablebodytext"/>
            </w:pPr>
            <w:r w:rsidRPr="00D826A1">
              <w:rPr>
                <w:rFonts w:ascii="Calibri" w:hAnsi="Calibri" w:cs="Calibri"/>
                <w:color w:val="000000"/>
                <w:sz w:val="22"/>
              </w:rPr>
              <w:t>PDR</w:t>
            </w:r>
          </w:p>
        </w:tc>
        <w:tc>
          <w:tcPr>
            <w:tcW w:w="387" w:type="dxa"/>
            <w:vAlign w:val="bottom"/>
          </w:tcPr>
          <w:p w14:paraId="411DD875" w14:textId="77777777" w:rsidR="00E77384" w:rsidRPr="00D826A1" w:rsidRDefault="00E77384" w:rsidP="00674124">
            <w:pPr>
              <w:pStyle w:val="Tablebodytext"/>
              <w:jc w:val="right"/>
            </w:pPr>
          </w:p>
        </w:tc>
        <w:tc>
          <w:tcPr>
            <w:tcW w:w="867" w:type="dxa"/>
            <w:vAlign w:val="bottom"/>
          </w:tcPr>
          <w:p w14:paraId="3105DC98" w14:textId="77777777" w:rsidR="00E77384" w:rsidRPr="00D826A1" w:rsidRDefault="00E77384" w:rsidP="00674124">
            <w:pPr>
              <w:pStyle w:val="Tablebodytext"/>
              <w:jc w:val="right"/>
            </w:pPr>
            <w:r w:rsidRPr="00D826A1">
              <w:rPr>
                <w:rFonts w:ascii="Calibri" w:hAnsi="Calibri" w:cs="Calibri"/>
                <w:color w:val="000000"/>
                <w:sz w:val="22"/>
              </w:rPr>
              <w:t>2</w:t>
            </w:r>
          </w:p>
        </w:tc>
        <w:tc>
          <w:tcPr>
            <w:tcW w:w="868" w:type="dxa"/>
            <w:vAlign w:val="bottom"/>
          </w:tcPr>
          <w:p w14:paraId="48EC6FC3"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12</w:t>
            </w:r>
          </w:p>
        </w:tc>
        <w:tc>
          <w:tcPr>
            <w:tcW w:w="868" w:type="dxa"/>
            <w:vAlign w:val="bottom"/>
          </w:tcPr>
          <w:p w14:paraId="31885CB0"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18</w:t>
            </w:r>
          </w:p>
        </w:tc>
        <w:tc>
          <w:tcPr>
            <w:tcW w:w="868" w:type="dxa"/>
            <w:vAlign w:val="bottom"/>
          </w:tcPr>
          <w:p w14:paraId="5758A56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20</w:t>
            </w:r>
          </w:p>
        </w:tc>
        <w:tc>
          <w:tcPr>
            <w:tcW w:w="867" w:type="dxa"/>
            <w:vAlign w:val="bottom"/>
          </w:tcPr>
          <w:p w14:paraId="7ECE359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30</w:t>
            </w:r>
          </w:p>
        </w:tc>
        <w:tc>
          <w:tcPr>
            <w:tcW w:w="868" w:type="dxa"/>
            <w:vAlign w:val="bottom"/>
          </w:tcPr>
          <w:p w14:paraId="47EB8FAB"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9</w:t>
            </w:r>
          </w:p>
        </w:tc>
        <w:tc>
          <w:tcPr>
            <w:tcW w:w="868" w:type="dxa"/>
            <w:vAlign w:val="bottom"/>
          </w:tcPr>
          <w:p w14:paraId="32F35F79"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13</w:t>
            </w:r>
          </w:p>
        </w:tc>
        <w:tc>
          <w:tcPr>
            <w:tcW w:w="868" w:type="dxa"/>
            <w:tcBorders>
              <w:right w:val="single" w:sz="4" w:space="0" w:color="auto"/>
            </w:tcBorders>
            <w:vAlign w:val="bottom"/>
          </w:tcPr>
          <w:p w14:paraId="3DA28251" w14:textId="77777777" w:rsidR="00E77384" w:rsidRPr="00D826A1" w:rsidRDefault="00E77384" w:rsidP="00674124">
            <w:pPr>
              <w:pStyle w:val="Tablebodytext"/>
              <w:jc w:val="right"/>
            </w:pPr>
          </w:p>
        </w:tc>
        <w:tc>
          <w:tcPr>
            <w:tcW w:w="765" w:type="dxa"/>
            <w:tcBorders>
              <w:left w:val="single" w:sz="4" w:space="0" w:color="auto"/>
            </w:tcBorders>
            <w:vAlign w:val="bottom"/>
          </w:tcPr>
          <w:p w14:paraId="1E6E43B5" w14:textId="77777777" w:rsidR="00E77384" w:rsidRPr="00D826A1" w:rsidRDefault="00E77384" w:rsidP="00674124">
            <w:pPr>
              <w:pStyle w:val="Tablebodytext"/>
              <w:jc w:val="right"/>
              <w:rPr>
                <w:color w:val="000000"/>
              </w:rPr>
            </w:pPr>
            <w:r w:rsidRPr="00D826A1">
              <w:rPr>
                <w:rFonts w:ascii="Calibri" w:hAnsi="Calibri" w:cs="Calibri"/>
                <w:color w:val="000000"/>
                <w:sz w:val="22"/>
              </w:rPr>
              <w:t>104</w:t>
            </w:r>
          </w:p>
        </w:tc>
      </w:tr>
      <w:tr w:rsidR="00E77384" w:rsidRPr="00D826A1" w14:paraId="0C69AB4B" w14:textId="77777777" w:rsidTr="00674124">
        <w:tc>
          <w:tcPr>
            <w:tcW w:w="919" w:type="dxa"/>
            <w:tcBorders>
              <w:bottom w:val="single" w:sz="8" w:space="0" w:color="000000"/>
            </w:tcBorders>
            <w:vAlign w:val="bottom"/>
          </w:tcPr>
          <w:p w14:paraId="2A8FCF1E" w14:textId="77777777" w:rsidR="00E77384" w:rsidRPr="00D826A1" w:rsidRDefault="00E77384" w:rsidP="00674124">
            <w:pPr>
              <w:pStyle w:val="Tablebodytext"/>
            </w:pPr>
            <w:r w:rsidRPr="00D826A1">
              <w:rPr>
                <w:rFonts w:ascii="Calibri" w:hAnsi="Calibri" w:cs="Calibri"/>
                <w:color w:val="000000"/>
                <w:sz w:val="22"/>
              </w:rPr>
              <w:t>HDR</w:t>
            </w:r>
          </w:p>
        </w:tc>
        <w:tc>
          <w:tcPr>
            <w:tcW w:w="387" w:type="dxa"/>
            <w:tcBorders>
              <w:bottom w:val="single" w:sz="8" w:space="0" w:color="000000"/>
            </w:tcBorders>
            <w:vAlign w:val="bottom"/>
          </w:tcPr>
          <w:p w14:paraId="6A097196" w14:textId="77777777" w:rsidR="00E77384" w:rsidRPr="00D826A1" w:rsidRDefault="00E77384" w:rsidP="00674124">
            <w:pPr>
              <w:pStyle w:val="Tablebodytext"/>
              <w:jc w:val="right"/>
            </w:pPr>
          </w:p>
        </w:tc>
        <w:tc>
          <w:tcPr>
            <w:tcW w:w="867" w:type="dxa"/>
            <w:tcBorders>
              <w:bottom w:val="single" w:sz="8" w:space="0" w:color="000000"/>
            </w:tcBorders>
            <w:vAlign w:val="bottom"/>
          </w:tcPr>
          <w:p w14:paraId="07577078" w14:textId="77777777" w:rsidR="00E77384" w:rsidRPr="00D826A1" w:rsidRDefault="00E77384" w:rsidP="00674124">
            <w:pPr>
              <w:pStyle w:val="Tablebodytext"/>
              <w:jc w:val="right"/>
            </w:pPr>
            <w:r w:rsidRPr="00D826A1">
              <w:rPr>
                <w:rFonts w:ascii="Calibri" w:hAnsi="Calibri" w:cs="Calibri"/>
                <w:color w:val="000000"/>
                <w:sz w:val="22"/>
              </w:rPr>
              <w:t>6</w:t>
            </w:r>
          </w:p>
        </w:tc>
        <w:tc>
          <w:tcPr>
            <w:tcW w:w="868" w:type="dxa"/>
            <w:tcBorders>
              <w:bottom w:val="single" w:sz="8" w:space="0" w:color="000000"/>
            </w:tcBorders>
            <w:vAlign w:val="bottom"/>
          </w:tcPr>
          <w:p w14:paraId="4082716D"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30</w:t>
            </w:r>
          </w:p>
        </w:tc>
        <w:tc>
          <w:tcPr>
            <w:tcW w:w="868" w:type="dxa"/>
            <w:tcBorders>
              <w:bottom w:val="single" w:sz="8" w:space="0" w:color="000000"/>
            </w:tcBorders>
            <w:vAlign w:val="bottom"/>
          </w:tcPr>
          <w:p w14:paraId="67464786"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29</w:t>
            </w:r>
          </w:p>
        </w:tc>
        <w:tc>
          <w:tcPr>
            <w:tcW w:w="868" w:type="dxa"/>
            <w:tcBorders>
              <w:bottom w:val="single" w:sz="8" w:space="0" w:color="000000"/>
            </w:tcBorders>
            <w:vAlign w:val="bottom"/>
          </w:tcPr>
          <w:p w14:paraId="0E32D339"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40</w:t>
            </w:r>
          </w:p>
        </w:tc>
        <w:tc>
          <w:tcPr>
            <w:tcW w:w="867" w:type="dxa"/>
            <w:tcBorders>
              <w:bottom w:val="single" w:sz="8" w:space="0" w:color="000000"/>
            </w:tcBorders>
            <w:vAlign w:val="bottom"/>
          </w:tcPr>
          <w:p w14:paraId="4EDDE8A1"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58</w:t>
            </w:r>
          </w:p>
        </w:tc>
        <w:tc>
          <w:tcPr>
            <w:tcW w:w="868" w:type="dxa"/>
            <w:tcBorders>
              <w:bottom w:val="single" w:sz="8" w:space="0" w:color="000000"/>
            </w:tcBorders>
            <w:vAlign w:val="bottom"/>
          </w:tcPr>
          <w:p w14:paraId="323247C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15</w:t>
            </w:r>
          </w:p>
        </w:tc>
        <w:tc>
          <w:tcPr>
            <w:tcW w:w="868" w:type="dxa"/>
            <w:tcBorders>
              <w:bottom w:val="single" w:sz="8" w:space="0" w:color="000000"/>
            </w:tcBorders>
            <w:vAlign w:val="bottom"/>
          </w:tcPr>
          <w:p w14:paraId="4DF938B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16</w:t>
            </w:r>
          </w:p>
        </w:tc>
        <w:tc>
          <w:tcPr>
            <w:tcW w:w="868" w:type="dxa"/>
            <w:tcBorders>
              <w:bottom w:val="single" w:sz="8" w:space="0" w:color="000000"/>
              <w:right w:val="single" w:sz="4" w:space="0" w:color="auto"/>
            </w:tcBorders>
            <w:vAlign w:val="bottom"/>
          </w:tcPr>
          <w:p w14:paraId="6D02D6D8" w14:textId="77777777" w:rsidR="00E77384" w:rsidRPr="00D826A1" w:rsidRDefault="00E77384" w:rsidP="00674124">
            <w:pPr>
              <w:pStyle w:val="Tablebodytext"/>
              <w:jc w:val="right"/>
            </w:pPr>
          </w:p>
        </w:tc>
        <w:tc>
          <w:tcPr>
            <w:tcW w:w="765" w:type="dxa"/>
            <w:tcBorders>
              <w:left w:val="single" w:sz="4" w:space="0" w:color="auto"/>
              <w:bottom w:val="single" w:sz="8" w:space="0" w:color="000000"/>
            </w:tcBorders>
            <w:vAlign w:val="bottom"/>
          </w:tcPr>
          <w:p w14:paraId="20F9060C" w14:textId="77777777" w:rsidR="00E77384" w:rsidRPr="00D826A1" w:rsidRDefault="00E77384" w:rsidP="00674124">
            <w:pPr>
              <w:pStyle w:val="Tablebodytext"/>
              <w:jc w:val="right"/>
              <w:rPr>
                <w:color w:val="000000"/>
              </w:rPr>
            </w:pPr>
            <w:r w:rsidRPr="00D826A1">
              <w:rPr>
                <w:rFonts w:ascii="Calibri" w:hAnsi="Calibri" w:cs="Calibri"/>
                <w:color w:val="000000"/>
                <w:sz w:val="22"/>
              </w:rPr>
              <w:t>194</w:t>
            </w:r>
          </w:p>
        </w:tc>
      </w:tr>
      <w:tr w:rsidR="00E77384" w:rsidRPr="00D826A1" w14:paraId="40E5BD5F"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tcBorders>
              <w:top w:val="single" w:sz="8" w:space="0" w:color="000000"/>
              <w:bottom w:val="single" w:sz="8" w:space="0" w:color="000000"/>
            </w:tcBorders>
            <w:vAlign w:val="bottom"/>
          </w:tcPr>
          <w:p w14:paraId="4CDD00D0"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387" w:type="dxa"/>
            <w:tcBorders>
              <w:top w:val="single" w:sz="8" w:space="0" w:color="000000"/>
              <w:bottom w:val="single" w:sz="8" w:space="0" w:color="000000"/>
            </w:tcBorders>
            <w:vAlign w:val="bottom"/>
          </w:tcPr>
          <w:p w14:paraId="5574F79D" w14:textId="77777777" w:rsidR="00E77384" w:rsidRPr="00D826A1" w:rsidRDefault="00E77384" w:rsidP="00674124">
            <w:pPr>
              <w:pStyle w:val="Tablebodytext"/>
              <w:jc w:val="right"/>
            </w:pPr>
            <w:r w:rsidRPr="00D826A1">
              <w:rPr>
                <w:rFonts w:ascii="Calibri" w:hAnsi="Calibri" w:cs="Calibri"/>
                <w:b/>
                <w:bCs/>
                <w:color w:val="000000"/>
                <w:sz w:val="22"/>
              </w:rPr>
              <w:t>15</w:t>
            </w:r>
          </w:p>
        </w:tc>
        <w:tc>
          <w:tcPr>
            <w:tcW w:w="867" w:type="dxa"/>
            <w:tcBorders>
              <w:top w:val="single" w:sz="8" w:space="0" w:color="000000"/>
              <w:bottom w:val="single" w:sz="8" w:space="0" w:color="000000"/>
            </w:tcBorders>
            <w:vAlign w:val="bottom"/>
          </w:tcPr>
          <w:p w14:paraId="034C29E4" w14:textId="77777777" w:rsidR="00E77384" w:rsidRPr="00D826A1" w:rsidRDefault="00E77384" w:rsidP="00674124">
            <w:pPr>
              <w:pStyle w:val="Tablebodytext"/>
              <w:jc w:val="right"/>
            </w:pPr>
            <w:r w:rsidRPr="00D826A1">
              <w:rPr>
                <w:rFonts w:ascii="Calibri" w:hAnsi="Calibri" w:cs="Calibri"/>
                <w:b/>
                <w:bCs/>
                <w:color w:val="000000"/>
                <w:sz w:val="22"/>
              </w:rPr>
              <w:t>17</w:t>
            </w:r>
          </w:p>
        </w:tc>
        <w:tc>
          <w:tcPr>
            <w:tcW w:w="868" w:type="dxa"/>
            <w:tcBorders>
              <w:top w:val="single" w:sz="8" w:space="0" w:color="000000"/>
              <w:bottom w:val="single" w:sz="8" w:space="0" w:color="000000"/>
            </w:tcBorders>
            <w:vAlign w:val="bottom"/>
          </w:tcPr>
          <w:p w14:paraId="1BEFB9DE"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73</w:t>
            </w:r>
          </w:p>
        </w:tc>
        <w:tc>
          <w:tcPr>
            <w:tcW w:w="868" w:type="dxa"/>
            <w:tcBorders>
              <w:top w:val="single" w:sz="8" w:space="0" w:color="000000"/>
              <w:bottom w:val="single" w:sz="8" w:space="0" w:color="000000"/>
            </w:tcBorders>
            <w:vAlign w:val="bottom"/>
          </w:tcPr>
          <w:p w14:paraId="56BA294E"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76</w:t>
            </w:r>
          </w:p>
        </w:tc>
        <w:tc>
          <w:tcPr>
            <w:tcW w:w="868" w:type="dxa"/>
            <w:tcBorders>
              <w:top w:val="single" w:sz="8" w:space="0" w:color="000000"/>
              <w:bottom w:val="single" w:sz="8" w:space="0" w:color="000000"/>
            </w:tcBorders>
            <w:vAlign w:val="bottom"/>
          </w:tcPr>
          <w:p w14:paraId="3ECF73E5"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128</w:t>
            </w:r>
          </w:p>
        </w:tc>
        <w:tc>
          <w:tcPr>
            <w:tcW w:w="867" w:type="dxa"/>
            <w:tcBorders>
              <w:top w:val="single" w:sz="8" w:space="0" w:color="000000"/>
              <w:bottom w:val="single" w:sz="8" w:space="0" w:color="000000"/>
            </w:tcBorders>
            <w:vAlign w:val="bottom"/>
          </w:tcPr>
          <w:p w14:paraId="379DFADF"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135</w:t>
            </w:r>
          </w:p>
        </w:tc>
        <w:tc>
          <w:tcPr>
            <w:tcW w:w="868" w:type="dxa"/>
            <w:tcBorders>
              <w:top w:val="single" w:sz="8" w:space="0" w:color="000000"/>
              <w:bottom w:val="single" w:sz="8" w:space="0" w:color="000000"/>
            </w:tcBorders>
            <w:vAlign w:val="bottom"/>
          </w:tcPr>
          <w:p w14:paraId="42AE1F51"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63</w:t>
            </w:r>
          </w:p>
        </w:tc>
        <w:tc>
          <w:tcPr>
            <w:tcW w:w="868" w:type="dxa"/>
            <w:tcBorders>
              <w:top w:val="single" w:sz="8" w:space="0" w:color="000000"/>
              <w:bottom w:val="single" w:sz="8" w:space="0" w:color="000000"/>
            </w:tcBorders>
            <w:vAlign w:val="bottom"/>
          </w:tcPr>
          <w:p w14:paraId="2CF44C41"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120</w:t>
            </w:r>
          </w:p>
        </w:tc>
        <w:tc>
          <w:tcPr>
            <w:tcW w:w="868" w:type="dxa"/>
            <w:tcBorders>
              <w:top w:val="single" w:sz="8" w:space="0" w:color="000000"/>
              <w:bottom w:val="single" w:sz="8" w:space="0" w:color="000000"/>
              <w:right w:val="single" w:sz="4" w:space="0" w:color="auto"/>
            </w:tcBorders>
            <w:vAlign w:val="bottom"/>
          </w:tcPr>
          <w:p w14:paraId="331E2DAF" w14:textId="77777777" w:rsidR="00E77384" w:rsidRPr="00D826A1" w:rsidRDefault="00E77384" w:rsidP="00674124">
            <w:pPr>
              <w:pStyle w:val="Tablebodytext"/>
              <w:jc w:val="right"/>
            </w:pPr>
            <w:r w:rsidRPr="00D826A1">
              <w:rPr>
                <w:rFonts w:ascii="Calibri" w:hAnsi="Calibri" w:cs="Calibri"/>
                <w:b/>
                <w:bCs/>
                <w:color w:val="000000"/>
                <w:sz w:val="22"/>
              </w:rPr>
              <w:t>75</w:t>
            </w:r>
          </w:p>
        </w:tc>
        <w:tc>
          <w:tcPr>
            <w:tcW w:w="765" w:type="dxa"/>
            <w:tcBorders>
              <w:top w:val="single" w:sz="8" w:space="0" w:color="000000"/>
              <w:left w:val="single" w:sz="4" w:space="0" w:color="auto"/>
              <w:bottom w:val="single" w:sz="8" w:space="0" w:color="000000"/>
            </w:tcBorders>
            <w:vAlign w:val="bottom"/>
          </w:tcPr>
          <w:p w14:paraId="27CB64C6" w14:textId="77777777" w:rsidR="00E77384" w:rsidRPr="00D826A1" w:rsidRDefault="00E77384" w:rsidP="00674124">
            <w:pPr>
              <w:pStyle w:val="Tablebodytext"/>
              <w:jc w:val="right"/>
              <w:rPr>
                <w:b/>
                <w:bCs/>
                <w:color w:val="000000"/>
              </w:rPr>
            </w:pPr>
            <w:r w:rsidRPr="00D826A1">
              <w:rPr>
                <w:rFonts w:ascii="Calibri" w:hAnsi="Calibri" w:cs="Calibri"/>
                <w:b/>
                <w:bCs/>
                <w:color w:val="000000"/>
                <w:sz w:val="22"/>
              </w:rPr>
              <w:t>702</w:t>
            </w:r>
          </w:p>
        </w:tc>
      </w:tr>
    </w:tbl>
    <w:p w14:paraId="489EBD41" w14:textId="69987797" w:rsidR="00E77384" w:rsidRDefault="00E77384" w:rsidP="00E77384"/>
    <w:p w14:paraId="1930DCCF" w14:textId="77777777" w:rsidR="009B2468" w:rsidRPr="00D826A1" w:rsidRDefault="009B2468" w:rsidP="00E77384"/>
    <w:p w14:paraId="0CCF34FE" w14:textId="77777777" w:rsidR="00E77384" w:rsidRPr="00D826A1" w:rsidRDefault="00E77384" w:rsidP="00E77384">
      <w:pPr>
        <w:pStyle w:val="TableHeading"/>
      </w:pPr>
      <w:r w:rsidRPr="00D826A1">
        <w:t>Survey responses by type and round</w:t>
      </w:r>
    </w:p>
    <w:tbl>
      <w:tblPr>
        <w:tblStyle w:val="ARTDTable2"/>
        <w:tblW w:w="0" w:type="auto"/>
        <w:tblLook w:val="04A0" w:firstRow="1" w:lastRow="0" w:firstColumn="1" w:lastColumn="0" w:noHBand="0" w:noVBand="1"/>
        <w:tblCaption w:val="Table 5. Survey responses by type and round"/>
        <w:tblDescription w:val="Table 5. Survey responses by type and round"/>
      </w:tblPr>
      <w:tblGrid>
        <w:gridCol w:w="930"/>
        <w:gridCol w:w="387"/>
        <w:gridCol w:w="865"/>
        <w:gridCol w:w="866"/>
        <w:gridCol w:w="867"/>
        <w:gridCol w:w="867"/>
        <w:gridCol w:w="866"/>
        <w:gridCol w:w="867"/>
        <w:gridCol w:w="867"/>
        <w:gridCol w:w="867"/>
        <w:gridCol w:w="764"/>
      </w:tblGrid>
      <w:tr w:rsidR="00E77384" w:rsidRPr="00D826A1" w14:paraId="163F2F78" w14:textId="77777777" w:rsidTr="00674124">
        <w:trPr>
          <w:cnfStyle w:val="100000000000" w:firstRow="1" w:lastRow="0" w:firstColumn="0" w:lastColumn="0" w:oddVBand="0" w:evenVBand="0" w:oddHBand="0" w:evenHBand="0" w:firstRowFirstColumn="0" w:firstRowLastColumn="0" w:lastRowFirstColumn="0" w:lastRowLastColumn="0"/>
        </w:trPr>
        <w:tc>
          <w:tcPr>
            <w:tcW w:w="919" w:type="dxa"/>
            <w:vAlign w:val="bottom"/>
          </w:tcPr>
          <w:p w14:paraId="0430A79A" w14:textId="77777777" w:rsidR="00E77384" w:rsidRPr="00D826A1" w:rsidRDefault="00E77384" w:rsidP="00674124">
            <w:pPr>
              <w:pStyle w:val="Tablecolumnheading"/>
              <w:rPr>
                <w:color w:val="FFFFFF" w:themeColor="background1"/>
              </w:rPr>
            </w:pPr>
          </w:p>
        </w:tc>
        <w:tc>
          <w:tcPr>
            <w:tcW w:w="387" w:type="dxa"/>
            <w:vAlign w:val="bottom"/>
          </w:tcPr>
          <w:p w14:paraId="599A82AE"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w:t>
            </w:r>
          </w:p>
        </w:tc>
        <w:tc>
          <w:tcPr>
            <w:tcW w:w="867" w:type="dxa"/>
            <w:vAlign w:val="bottom"/>
          </w:tcPr>
          <w:p w14:paraId="17942ED8"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2012 Round 1</w:t>
            </w:r>
          </w:p>
        </w:tc>
        <w:tc>
          <w:tcPr>
            <w:tcW w:w="868" w:type="dxa"/>
            <w:vAlign w:val="bottom"/>
          </w:tcPr>
          <w:p w14:paraId="2AD5E1F2"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1</w:t>
            </w:r>
          </w:p>
        </w:tc>
        <w:tc>
          <w:tcPr>
            <w:tcW w:w="868" w:type="dxa"/>
            <w:vAlign w:val="bottom"/>
          </w:tcPr>
          <w:p w14:paraId="6A49D3B5"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2</w:t>
            </w:r>
          </w:p>
        </w:tc>
        <w:tc>
          <w:tcPr>
            <w:tcW w:w="868" w:type="dxa"/>
            <w:vAlign w:val="bottom"/>
          </w:tcPr>
          <w:p w14:paraId="2D4BBBF1"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2014 Round 1</w:t>
            </w:r>
          </w:p>
        </w:tc>
        <w:tc>
          <w:tcPr>
            <w:tcW w:w="867" w:type="dxa"/>
            <w:vAlign w:val="bottom"/>
          </w:tcPr>
          <w:p w14:paraId="4D75E9B0"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2015 Round 1</w:t>
            </w:r>
          </w:p>
        </w:tc>
        <w:tc>
          <w:tcPr>
            <w:tcW w:w="868" w:type="dxa"/>
            <w:vAlign w:val="bottom"/>
          </w:tcPr>
          <w:p w14:paraId="3F92D64F"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2016 Round 1</w:t>
            </w:r>
          </w:p>
        </w:tc>
        <w:tc>
          <w:tcPr>
            <w:tcW w:w="868" w:type="dxa"/>
            <w:vAlign w:val="bottom"/>
          </w:tcPr>
          <w:p w14:paraId="7F347893"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2017 Round 1</w:t>
            </w:r>
          </w:p>
        </w:tc>
        <w:tc>
          <w:tcPr>
            <w:tcW w:w="868" w:type="dxa"/>
            <w:tcBorders>
              <w:right w:val="single" w:sz="4" w:space="0" w:color="auto"/>
            </w:tcBorders>
            <w:vAlign w:val="bottom"/>
          </w:tcPr>
          <w:p w14:paraId="1B02A47A"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2018 Round 1</w:t>
            </w:r>
          </w:p>
        </w:tc>
        <w:tc>
          <w:tcPr>
            <w:tcW w:w="765" w:type="dxa"/>
            <w:tcBorders>
              <w:left w:val="single" w:sz="4" w:space="0" w:color="auto"/>
            </w:tcBorders>
            <w:vAlign w:val="bottom"/>
          </w:tcPr>
          <w:p w14:paraId="4F6CA693"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Grand Total</w:t>
            </w:r>
          </w:p>
        </w:tc>
      </w:tr>
      <w:tr w:rsidR="00E77384" w:rsidRPr="00D826A1" w14:paraId="5285FFC7" w14:textId="77777777" w:rsidTr="00674124">
        <w:tc>
          <w:tcPr>
            <w:tcW w:w="919" w:type="dxa"/>
            <w:vAlign w:val="bottom"/>
          </w:tcPr>
          <w:p w14:paraId="110CCECF" w14:textId="77777777" w:rsidR="00E77384" w:rsidRPr="00D826A1" w:rsidRDefault="00E77384" w:rsidP="00674124">
            <w:pPr>
              <w:pStyle w:val="Tablebodytext"/>
            </w:pPr>
            <w:r w:rsidRPr="00D826A1">
              <w:rPr>
                <w:rFonts w:ascii="Calibri" w:hAnsi="Calibri" w:cs="Calibri"/>
                <w:color w:val="000000"/>
                <w:sz w:val="22"/>
              </w:rPr>
              <w:t>RO</w:t>
            </w:r>
          </w:p>
        </w:tc>
        <w:tc>
          <w:tcPr>
            <w:tcW w:w="387" w:type="dxa"/>
            <w:vAlign w:val="bottom"/>
          </w:tcPr>
          <w:p w14:paraId="3366A83A" w14:textId="77777777" w:rsidR="00E77384" w:rsidRPr="00D826A1" w:rsidRDefault="00E77384" w:rsidP="00674124">
            <w:pPr>
              <w:pStyle w:val="Tablebodytext"/>
              <w:jc w:val="right"/>
            </w:pPr>
            <w:r w:rsidRPr="00D826A1">
              <w:rPr>
                <w:rFonts w:ascii="Calibri" w:hAnsi="Calibri" w:cs="Calibri"/>
                <w:color w:val="000000"/>
                <w:sz w:val="22"/>
              </w:rPr>
              <w:t>15</w:t>
            </w:r>
          </w:p>
        </w:tc>
        <w:tc>
          <w:tcPr>
            <w:tcW w:w="867" w:type="dxa"/>
            <w:vAlign w:val="bottom"/>
          </w:tcPr>
          <w:p w14:paraId="0450886C" w14:textId="77777777" w:rsidR="00E77384" w:rsidRPr="00D826A1" w:rsidRDefault="00E77384" w:rsidP="00674124">
            <w:pPr>
              <w:pStyle w:val="Tablebodytext"/>
              <w:jc w:val="right"/>
            </w:pPr>
          </w:p>
        </w:tc>
        <w:tc>
          <w:tcPr>
            <w:tcW w:w="868" w:type="dxa"/>
            <w:vAlign w:val="bottom"/>
          </w:tcPr>
          <w:p w14:paraId="208E586D" w14:textId="77777777" w:rsidR="00E77384" w:rsidRPr="00D826A1" w:rsidRDefault="00E77384" w:rsidP="00674124">
            <w:pPr>
              <w:pStyle w:val="Tablebodytext"/>
              <w:jc w:val="right"/>
            </w:pPr>
          </w:p>
        </w:tc>
        <w:tc>
          <w:tcPr>
            <w:tcW w:w="868" w:type="dxa"/>
            <w:vAlign w:val="bottom"/>
          </w:tcPr>
          <w:p w14:paraId="0FE30220" w14:textId="77777777" w:rsidR="00E77384" w:rsidRPr="00D826A1" w:rsidRDefault="00E77384" w:rsidP="00674124">
            <w:pPr>
              <w:pStyle w:val="Tablebodytext"/>
              <w:jc w:val="right"/>
            </w:pPr>
          </w:p>
        </w:tc>
        <w:tc>
          <w:tcPr>
            <w:tcW w:w="868" w:type="dxa"/>
            <w:vAlign w:val="bottom"/>
          </w:tcPr>
          <w:p w14:paraId="12D545C4" w14:textId="77777777" w:rsidR="00E77384" w:rsidRPr="00D826A1" w:rsidRDefault="00E77384" w:rsidP="00674124">
            <w:pPr>
              <w:pStyle w:val="Tablebodytext"/>
              <w:jc w:val="right"/>
            </w:pPr>
          </w:p>
        </w:tc>
        <w:tc>
          <w:tcPr>
            <w:tcW w:w="867" w:type="dxa"/>
            <w:vAlign w:val="bottom"/>
          </w:tcPr>
          <w:p w14:paraId="1AE23643" w14:textId="77777777" w:rsidR="00E77384" w:rsidRPr="00D826A1" w:rsidRDefault="00E77384" w:rsidP="00674124">
            <w:pPr>
              <w:pStyle w:val="Tablebodytext"/>
              <w:jc w:val="right"/>
            </w:pPr>
          </w:p>
        </w:tc>
        <w:tc>
          <w:tcPr>
            <w:tcW w:w="868" w:type="dxa"/>
            <w:vAlign w:val="bottom"/>
          </w:tcPr>
          <w:p w14:paraId="73487BCF" w14:textId="77777777" w:rsidR="00E77384" w:rsidRPr="00D826A1" w:rsidRDefault="00E77384" w:rsidP="00674124">
            <w:pPr>
              <w:pStyle w:val="Tablebodytext"/>
              <w:jc w:val="right"/>
            </w:pPr>
          </w:p>
        </w:tc>
        <w:tc>
          <w:tcPr>
            <w:tcW w:w="868" w:type="dxa"/>
            <w:vAlign w:val="bottom"/>
          </w:tcPr>
          <w:p w14:paraId="3EC29B60" w14:textId="77777777" w:rsidR="00E77384" w:rsidRPr="00D826A1" w:rsidRDefault="00E77384" w:rsidP="00674124">
            <w:pPr>
              <w:pStyle w:val="Tablebodytext"/>
              <w:jc w:val="right"/>
            </w:pPr>
          </w:p>
        </w:tc>
        <w:tc>
          <w:tcPr>
            <w:tcW w:w="868" w:type="dxa"/>
            <w:tcBorders>
              <w:right w:val="single" w:sz="4" w:space="0" w:color="auto"/>
            </w:tcBorders>
            <w:vAlign w:val="bottom"/>
          </w:tcPr>
          <w:p w14:paraId="4ACF905C" w14:textId="77777777" w:rsidR="00E77384" w:rsidRPr="00D826A1" w:rsidRDefault="00E77384" w:rsidP="00674124">
            <w:pPr>
              <w:pStyle w:val="Tablebodytext"/>
              <w:jc w:val="right"/>
            </w:pPr>
          </w:p>
        </w:tc>
        <w:tc>
          <w:tcPr>
            <w:tcW w:w="765" w:type="dxa"/>
            <w:tcBorders>
              <w:left w:val="single" w:sz="4" w:space="0" w:color="auto"/>
            </w:tcBorders>
            <w:vAlign w:val="bottom"/>
          </w:tcPr>
          <w:p w14:paraId="17E1F523" w14:textId="77777777" w:rsidR="00E77384" w:rsidRPr="00D826A1" w:rsidRDefault="00E77384" w:rsidP="00674124">
            <w:pPr>
              <w:pStyle w:val="Tablebodytext"/>
              <w:jc w:val="right"/>
              <w:rPr>
                <w:color w:val="000000"/>
              </w:rPr>
            </w:pPr>
            <w:r w:rsidRPr="00D826A1">
              <w:rPr>
                <w:rFonts w:ascii="Calibri" w:hAnsi="Calibri" w:cs="Calibri"/>
                <w:color w:val="000000"/>
                <w:sz w:val="22"/>
              </w:rPr>
              <w:t>15</w:t>
            </w:r>
          </w:p>
        </w:tc>
      </w:tr>
      <w:tr w:rsidR="00E77384" w:rsidRPr="00D826A1" w14:paraId="6C648F92"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vAlign w:val="bottom"/>
          </w:tcPr>
          <w:p w14:paraId="79B25ABE" w14:textId="77777777" w:rsidR="00E77384" w:rsidRPr="00D826A1" w:rsidRDefault="00E77384" w:rsidP="00674124">
            <w:pPr>
              <w:pStyle w:val="Tablebodytext"/>
            </w:pPr>
            <w:r w:rsidRPr="00D826A1">
              <w:rPr>
                <w:rFonts w:ascii="Calibri" w:hAnsi="Calibri" w:cs="Calibri"/>
                <w:color w:val="000000"/>
                <w:sz w:val="22"/>
              </w:rPr>
              <w:t>Research Hub</w:t>
            </w:r>
          </w:p>
        </w:tc>
        <w:tc>
          <w:tcPr>
            <w:tcW w:w="387" w:type="dxa"/>
            <w:vAlign w:val="bottom"/>
          </w:tcPr>
          <w:p w14:paraId="4A5028FA" w14:textId="77777777" w:rsidR="00E77384" w:rsidRPr="00D826A1" w:rsidRDefault="00E77384" w:rsidP="00674124">
            <w:pPr>
              <w:pStyle w:val="Tablebodytext"/>
              <w:jc w:val="right"/>
            </w:pPr>
          </w:p>
        </w:tc>
        <w:tc>
          <w:tcPr>
            <w:tcW w:w="867" w:type="dxa"/>
            <w:vAlign w:val="bottom"/>
          </w:tcPr>
          <w:p w14:paraId="0040E5B3" w14:textId="77777777" w:rsidR="00E77384" w:rsidRPr="00D826A1" w:rsidRDefault="00E77384" w:rsidP="00674124">
            <w:pPr>
              <w:pStyle w:val="Tablebodytext"/>
              <w:jc w:val="right"/>
            </w:pPr>
            <w:r w:rsidRPr="00D826A1">
              <w:rPr>
                <w:rFonts w:ascii="Calibri" w:hAnsi="Calibri" w:cs="Calibri"/>
                <w:color w:val="000000"/>
                <w:sz w:val="22"/>
              </w:rPr>
              <w:t>17</w:t>
            </w:r>
          </w:p>
        </w:tc>
        <w:tc>
          <w:tcPr>
            <w:tcW w:w="868" w:type="dxa"/>
            <w:vAlign w:val="bottom"/>
          </w:tcPr>
          <w:p w14:paraId="54B8C690"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43</w:t>
            </w:r>
          </w:p>
        </w:tc>
        <w:tc>
          <w:tcPr>
            <w:tcW w:w="868" w:type="dxa"/>
            <w:vAlign w:val="bottom"/>
          </w:tcPr>
          <w:p w14:paraId="4FA6678B"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76</w:t>
            </w:r>
          </w:p>
        </w:tc>
        <w:tc>
          <w:tcPr>
            <w:tcW w:w="868" w:type="dxa"/>
            <w:vAlign w:val="bottom"/>
          </w:tcPr>
          <w:p w14:paraId="3DDF1092"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99</w:t>
            </w:r>
          </w:p>
        </w:tc>
        <w:tc>
          <w:tcPr>
            <w:tcW w:w="867" w:type="dxa"/>
            <w:vAlign w:val="bottom"/>
          </w:tcPr>
          <w:p w14:paraId="318B790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77</w:t>
            </w:r>
          </w:p>
        </w:tc>
        <w:tc>
          <w:tcPr>
            <w:tcW w:w="868" w:type="dxa"/>
            <w:vAlign w:val="bottom"/>
          </w:tcPr>
          <w:p w14:paraId="4EAF8A30" w14:textId="77777777" w:rsidR="00E77384" w:rsidRPr="00D826A1" w:rsidRDefault="00E77384" w:rsidP="00674124">
            <w:pPr>
              <w:pStyle w:val="Tablebodytext"/>
              <w:jc w:val="right"/>
              <w:rPr>
                <w:rFonts w:ascii="Calibri" w:hAnsi="Calibri" w:cs="Calibri"/>
                <w:color w:val="000000"/>
                <w:sz w:val="22"/>
              </w:rPr>
            </w:pPr>
          </w:p>
        </w:tc>
        <w:tc>
          <w:tcPr>
            <w:tcW w:w="868" w:type="dxa"/>
            <w:vAlign w:val="bottom"/>
          </w:tcPr>
          <w:p w14:paraId="3F55428E"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39</w:t>
            </w:r>
          </w:p>
        </w:tc>
        <w:tc>
          <w:tcPr>
            <w:tcW w:w="868" w:type="dxa"/>
            <w:tcBorders>
              <w:right w:val="single" w:sz="4" w:space="0" w:color="auto"/>
            </w:tcBorders>
            <w:vAlign w:val="bottom"/>
          </w:tcPr>
          <w:p w14:paraId="44E729BC" w14:textId="77777777" w:rsidR="00E77384" w:rsidRPr="00D826A1" w:rsidRDefault="00E77384" w:rsidP="00674124">
            <w:pPr>
              <w:pStyle w:val="Tablebodytext"/>
              <w:jc w:val="right"/>
            </w:pPr>
            <w:r w:rsidRPr="00D826A1">
              <w:rPr>
                <w:rFonts w:ascii="Calibri" w:hAnsi="Calibri" w:cs="Calibri"/>
                <w:color w:val="000000"/>
                <w:sz w:val="22"/>
              </w:rPr>
              <w:t>31</w:t>
            </w:r>
          </w:p>
        </w:tc>
        <w:tc>
          <w:tcPr>
            <w:tcW w:w="765" w:type="dxa"/>
            <w:tcBorders>
              <w:left w:val="single" w:sz="4" w:space="0" w:color="auto"/>
            </w:tcBorders>
            <w:vAlign w:val="bottom"/>
          </w:tcPr>
          <w:p w14:paraId="7338FD91" w14:textId="77777777" w:rsidR="00E77384" w:rsidRPr="00D826A1" w:rsidRDefault="00E77384" w:rsidP="00674124">
            <w:pPr>
              <w:pStyle w:val="Tablebodytext"/>
              <w:jc w:val="right"/>
              <w:rPr>
                <w:color w:val="000000"/>
              </w:rPr>
            </w:pPr>
            <w:r w:rsidRPr="00D826A1">
              <w:rPr>
                <w:rFonts w:ascii="Calibri" w:hAnsi="Calibri" w:cs="Calibri"/>
                <w:color w:val="000000"/>
                <w:sz w:val="22"/>
              </w:rPr>
              <w:t>382</w:t>
            </w:r>
          </w:p>
        </w:tc>
      </w:tr>
      <w:tr w:rsidR="00E77384" w:rsidRPr="00D826A1" w14:paraId="64A31C6C" w14:textId="77777777" w:rsidTr="00674124">
        <w:tc>
          <w:tcPr>
            <w:tcW w:w="919" w:type="dxa"/>
            <w:tcBorders>
              <w:bottom w:val="single" w:sz="8" w:space="0" w:color="000000"/>
            </w:tcBorders>
            <w:vAlign w:val="bottom"/>
          </w:tcPr>
          <w:p w14:paraId="68E4C375" w14:textId="77777777" w:rsidR="00E77384" w:rsidRPr="00D826A1" w:rsidRDefault="00E77384" w:rsidP="00674124">
            <w:pPr>
              <w:pStyle w:val="Tablebodytext"/>
            </w:pPr>
            <w:r w:rsidRPr="00D826A1">
              <w:t>Training Centre</w:t>
            </w:r>
          </w:p>
        </w:tc>
        <w:tc>
          <w:tcPr>
            <w:tcW w:w="387" w:type="dxa"/>
            <w:tcBorders>
              <w:bottom w:val="single" w:sz="8" w:space="0" w:color="000000"/>
            </w:tcBorders>
            <w:vAlign w:val="bottom"/>
          </w:tcPr>
          <w:p w14:paraId="2B2B3D3E" w14:textId="77777777" w:rsidR="00E77384" w:rsidRPr="00D826A1" w:rsidRDefault="00E77384" w:rsidP="00674124">
            <w:pPr>
              <w:pStyle w:val="Tablebodytext"/>
              <w:jc w:val="right"/>
            </w:pPr>
          </w:p>
        </w:tc>
        <w:tc>
          <w:tcPr>
            <w:tcW w:w="867" w:type="dxa"/>
            <w:tcBorders>
              <w:bottom w:val="single" w:sz="8" w:space="0" w:color="000000"/>
            </w:tcBorders>
            <w:vAlign w:val="bottom"/>
          </w:tcPr>
          <w:p w14:paraId="34D92FEB" w14:textId="77777777" w:rsidR="00E77384" w:rsidRPr="00D826A1" w:rsidRDefault="00E77384" w:rsidP="00674124">
            <w:pPr>
              <w:pStyle w:val="Tablebodytext"/>
              <w:jc w:val="right"/>
            </w:pPr>
          </w:p>
        </w:tc>
        <w:tc>
          <w:tcPr>
            <w:tcW w:w="868" w:type="dxa"/>
            <w:tcBorders>
              <w:bottom w:val="single" w:sz="8" w:space="0" w:color="000000"/>
            </w:tcBorders>
            <w:vAlign w:val="bottom"/>
          </w:tcPr>
          <w:p w14:paraId="0B100D49"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30</w:t>
            </w:r>
          </w:p>
        </w:tc>
        <w:tc>
          <w:tcPr>
            <w:tcW w:w="868" w:type="dxa"/>
            <w:tcBorders>
              <w:bottom w:val="single" w:sz="8" w:space="0" w:color="000000"/>
            </w:tcBorders>
            <w:vAlign w:val="bottom"/>
          </w:tcPr>
          <w:p w14:paraId="01DA64DE" w14:textId="77777777" w:rsidR="00E77384" w:rsidRPr="00D826A1" w:rsidRDefault="00E77384" w:rsidP="00674124">
            <w:pPr>
              <w:pStyle w:val="Tablebodytext"/>
              <w:jc w:val="right"/>
              <w:rPr>
                <w:rFonts w:ascii="Calibri" w:hAnsi="Calibri" w:cs="Calibri"/>
                <w:color w:val="000000"/>
                <w:sz w:val="22"/>
              </w:rPr>
            </w:pPr>
          </w:p>
        </w:tc>
        <w:tc>
          <w:tcPr>
            <w:tcW w:w="868" w:type="dxa"/>
            <w:tcBorders>
              <w:bottom w:val="single" w:sz="8" w:space="0" w:color="000000"/>
            </w:tcBorders>
            <w:vAlign w:val="bottom"/>
          </w:tcPr>
          <w:p w14:paraId="325C46BB"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29</w:t>
            </w:r>
          </w:p>
        </w:tc>
        <w:tc>
          <w:tcPr>
            <w:tcW w:w="867" w:type="dxa"/>
            <w:tcBorders>
              <w:bottom w:val="single" w:sz="8" w:space="0" w:color="000000"/>
            </w:tcBorders>
            <w:vAlign w:val="bottom"/>
          </w:tcPr>
          <w:p w14:paraId="1912429D"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58</w:t>
            </w:r>
          </w:p>
        </w:tc>
        <w:tc>
          <w:tcPr>
            <w:tcW w:w="868" w:type="dxa"/>
            <w:tcBorders>
              <w:bottom w:val="single" w:sz="8" w:space="0" w:color="000000"/>
            </w:tcBorders>
            <w:vAlign w:val="bottom"/>
          </w:tcPr>
          <w:p w14:paraId="6C9240D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63</w:t>
            </w:r>
          </w:p>
        </w:tc>
        <w:tc>
          <w:tcPr>
            <w:tcW w:w="868" w:type="dxa"/>
            <w:tcBorders>
              <w:bottom w:val="single" w:sz="8" w:space="0" w:color="000000"/>
            </w:tcBorders>
            <w:vAlign w:val="bottom"/>
          </w:tcPr>
          <w:p w14:paraId="41CFA1E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81</w:t>
            </w:r>
          </w:p>
        </w:tc>
        <w:tc>
          <w:tcPr>
            <w:tcW w:w="868" w:type="dxa"/>
            <w:tcBorders>
              <w:bottom w:val="single" w:sz="8" w:space="0" w:color="000000"/>
              <w:right w:val="single" w:sz="4" w:space="0" w:color="auto"/>
            </w:tcBorders>
            <w:vAlign w:val="bottom"/>
          </w:tcPr>
          <w:p w14:paraId="5583BEC3" w14:textId="77777777" w:rsidR="00E77384" w:rsidRPr="00D826A1" w:rsidRDefault="00E77384" w:rsidP="00674124">
            <w:pPr>
              <w:pStyle w:val="Tablebodytext"/>
              <w:jc w:val="right"/>
            </w:pPr>
            <w:r w:rsidRPr="00D826A1">
              <w:rPr>
                <w:rFonts w:ascii="Calibri" w:hAnsi="Calibri" w:cs="Calibri"/>
                <w:color w:val="000000"/>
                <w:sz w:val="22"/>
              </w:rPr>
              <w:t>44</w:t>
            </w:r>
          </w:p>
        </w:tc>
        <w:tc>
          <w:tcPr>
            <w:tcW w:w="765" w:type="dxa"/>
            <w:tcBorders>
              <w:left w:val="single" w:sz="4" w:space="0" w:color="auto"/>
              <w:bottom w:val="single" w:sz="8" w:space="0" w:color="000000"/>
            </w:tcBorders>
            <w:vAlign w:val="bottom"/>
          </w:tcPr>
          <w:p w14:paraId="3A3A2B7D" w14:textId="77777777" w:rsidR="00E77384" w:rsidRPr="00D826A1" w:rsidRDefault="00E77384" w:rsidP="00674124">
            <w:pPr>
              <w:pStyle w:val="Tablebodytext"/>
              <w:jc w:val="right"/>
              <w:rPr>
                <w:color w:val="000000"/>
              </w:rPr>
            </w:pPr>
            <w:r w:rsidRPr="00D826A1">
              <w:rPr>
                <w:rFonts w:ascii="Calibri" w:hAnsi="Calibri" w:cs="Calibri"/>
                <w:color w:val="000000"/>
                <w:sz w:val="22"/>
              </w:rPr>
              <w:t>305</w:t>
            </w:r>
          </w:p>
        </w:tc>
      </w:tr>
      <w:tr w:rsidR="00E77384" w:rsidRPr="00D826A1" w14:paraId="35F61939" w14:textId="77777777" w:rsidTr="00674124">
        <w:trPr>
          <w:cnfStyle w:val="000000010000" w:firstRow="0" w:lastRow="0" w:firstColumn="0" w:lastColumn="0" w:oddVBand="0" w:evenVBand="0" w:oddHBand="0" w:evenHBand="1" w:firstRowFirstColumn="0" w:firstRowLastColumn="0" w:lastRowFirstColumn="0" w:lastRowLastColumn="0"/>
        </w:trPr>
        <w:tc>
          <w:tcPr>
            <w:tcW w:w="919" w:type="dxa"/>
            <w:tcBorders>
              <w:top w:val="single" w:sz="8" w:space="0" w:color="000000"/>
              <w:bottom w:val="single" w:sz="8" w:space="0" w:color="000000"/>
            </w:tcBorders>
            <w:vAlign w:val="bottom"/>
          </w:tcPr>
          <w:p w14:paraId="6086360C"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387" w:type="dxa"/>
            <w:tcBorders>
              <w:top w:val="single" w:sz="8" w:space="0" w:color="000000"/>
              <w:bottom w:val="single" w:sz="8" w:space="0" w:color="000000"/>
            </w:tcBorders>
            <w:vAlign w:val="bottom"/>
          </w:tcPr>
          <w:p w14:paraId="17D449E5" w14:textId="77777777" w:rsidR="00E77384" w:rsidRPr="00D826A1" w:rsidRDefault="00E77384" w:rsidP="00674124">
            <w:pPr>
              <w:pStyle w:val="Tablebodytext"/>
              <w:jc w:val="right"/>
            </w:pPr>
            <w:r w:rsidRPr="00D826A1">
              <w:rPr>
                <w:rFonts w:ascii="Calibri" w:hAnsi="Calibri" w:cs="Calibri"/>
                <w:b/>
                <w:bCs/>
                <w:color w:val="000000"/>
                <w:sz w:val="22"/>
              </w:rPr>
              <w:t>15</w:t>
            </w:r>
          </w:p>
        </w:tc>
        <w:tc>
          <w:tcPr>
            <w:tcW w:w="867" w:type="dxa"/>
            <w:tcBorders>
              <w:top w:val="single" w:sz="8" w:space="0" w:color="000000"/>
              <w:bottom w:val="single" w:sz="8" w:space="0" w:color="000000"/>
            </w:tcBorders>
            <w:vAlign w:val="bottom"/>
          </w:tcPr>
          <w:p w14:paraId="4623A05F" w14:textId="77777777" w:rsidR="00E77384" w:rsidRPr="00D826A1" w:rsidRDefault="00E77384" w:rsidP="00674124">
            <w:pPr>
              <w:pStyle w:val="Tablebodytext"/>
              <w:jc w:val="right"/>
            </w:pPr>
            <w:r w:rsidRPr="00D826A1">
              <w:rPr>
                <w:rFonts w:ascii="Calibri" w:hAnsi="Calibri" w:cs="Calibri"/>
                <w:b/>
                <w:bCs/>
                <w:color w:val="000000"/>
                <w:sz w:val="22"/>
              </w:rPr>
              <w:t>17</w:t>
            </w:r>
          </w:p>
        </w:tc>
        <w:tc>
          <w:tcPr>
            <w:tcW w:w="868" w:type="dxa"/>
            <w:tcBorders>
              <w:top w:val="single" w:sz="8" w:space="0" w:color="000000"/>
              <w:bottom w:val="single" w:sz="8" w:space="0" w:color="000000"/>
            </w:tcBorders>
            <w:vAlign w:val="bottom"/>
          </w:tcPr>
          <w:p w14:paraId="5FCC2F9B"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73</w:t>
            </w:r>
          </w:p>
        </w:tc>
        <w:tc>
          <w:tcPr>
            <w:tcW w:w="868" w:type="dxa"/>
            <w:tcBorders>
              <w:top w:val="single" w:sz="8" w:space="0" w:color="000000"/>
              <w:bottom w:val="single" w:sz="8" w:space="0" w:color="000000"/>
            </w:tcBorders>
            <w:vAlign w:val="bottom"/>
          </w:tcPr>
          <w:p w14:paraId="374B3802"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76</w:t>
            </w:r>
          </w:p>
        </w:tc>
        <w:tc>
          <w:tcPr>
            <w:tcW w:w="868" w:type="dxa"/>
            <w:tcBorders>
              <w:top w:val="single" w:sz="8" w:space="0" w:color="000000"/>
              <w:bottom w:val="single" w:sz="8" w:space="0" w:color="000000"/>
            </w:tcBorders>
            <w:vAlign w:val="bottom"/>
          </w:tcPr>
          <w:p w14:paraId="5BB07160"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128</w:t>
            </w:r>
          </w:p>
        </w:tc>
        <w:tc>
          <w:tcPr>
            <w:tcW w:w="867" w:type="dxa"/>
            <w:tcBorders>
              <w:top w:val="single" w:sz="8" w:space="0" w:color="000000"/>
              <w:bottom w:val="single" w:sz="8" w:space="0" w:color="000000"/>
            </w:tcBorders>
            <w:vAlign w:val="bottom"/>
          </w:tcPr>
          <w:p w14:paraId="1AFA691D"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135</w:t>
            </w:r>
          </w:p>
        </w:tc>
        <w:tc>
          <w:tcPr>
            <w:tcW w:w="868" w:type="dxa"/>
            <w:tcBorders>
              <w:top w:val="single" w:sz="8" w:space="0" w:color="000000"/>
              <w:bottom w:val="single" w:sz="8" w:space="0" w:color="000000"/>
            </w:tcBorders>
            <w:vAlign w:val="bottom"/>
          </w:tcPr>
          <w:p w14:paraId="139F2CF8"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63</w:t>
            </w:r>
          </w:p>
        </w:tc>
        <w:tc>
          <w:tcPr>
            <w:tcW w:w="868" w:type="dxa"/>
            <w:tcBorders>
              <w:top w:val="single" w:sz="8" w:space="0" w:color="000000"/>
              <w:bottom w:val="single" w:sz="8" w:space="0" w:color="000000"/>
            </w:tcBorders>
            <w:vAlign w:val="bottom"/>
          </w:tcPr>
          <w:p w14:paraId="5C8CD8BE"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120</w:t>
            </w:r>
          </w:p>
        </w:tc>
        <w:tc>
          <w:tcPr>
            <w:tcW w:w="868" w:type="dxa"/>
            <w:tcBorders>
              <w:top w:val="single" w:sz="8" w:space="0" w:color="000000"/>
              <w:bottom w:val="single" w:sz="8" w:space="0" w:color="000000"/>
              <w:right w:val="single" w:sz="4" w:space="0" w:color="auto"/>
            </w:tcBorders>
            <w:vAlign w:val="bottom"/>
          </w:tcPr>
          <w:p w14:paraId="2263E923" w14:textId="77777777" w:rsidR="00E77384" w:rsidRPr="00D826A1" w:rsidRDefault="00E77384" w:rsidP="00674124">
            <w:pPr>
              <w:pStyle w:val="Tablebodytext"/>
              <w:jc w:val="right"/>
            </w:pPr>
            <w:r w:rsidRPr="00D826A1">
              <w:rPr>
                <w:rFonts w:ascii="Calibri" w:hAnsi="Calibri" w:cs="Calibri"/>
                <w:b/>
                <w:bCs/>
                <w:color w:val="000000"/>
                <w:sz w:val="22"/>
              </w:rPr>
              <w:t>75</w:t>
            </w:r>
          </w:p>
        </w:tc>
        <w:tc>
          <w:tcPr>
            <w:tcW w:w="765" w:type="dxa"/>
            <w:tcBorders>
              <w:top w:val="single" w:sz="8" w:space="0" w:color="000000"/>
              <w:left w:val="single" w:sz="4" w:space="0" w:color="auto"/>
              <w:bottom w:val="single" w:sz="8" w:space="0" w:color="000000"/>
            </w:tcBorders>
            <w:vAlign w:val="bottom"/>
          </w:tcPr>
          <w:p w14:paraId="6DF39DB5" w14:textId="77777777" w:rsidR="00E77384" w:rsidRPr="00D826A1" w:rsidRDefault="00E77384" w:rsidP="00674124">
            <w:pPr>
              <w:pStyle w:val="Tablebodytext"/>
              <w:jc w:val="right"/>
              <w:rPr>
                <w:b/>
                <w:bCs/>
                <w:color w:val="000000"/>
              </w:rPr>
            </w:pPr>
            <w:r w:rsidRPr="00D826A1">
              <w:rPr>
                <w:rFonts w:ascii="Calibri" w:hAnsi="Calibri" w:cs="Calibri"/>
                <w:b/>
                <w:bCs/>
                <w:color w:val="000000"/>
                <w:sz w:val="22"/>
              </w:rPr>
              <w:t>702</w:t>
            </w:r>
          </w:p>
        </w:tc>
      </w:tr>
    </w:tbl>
    <w:p w14:paraId="3D326BE9" w14:textId="77777777" w:rsidR="00E77384" w:rsidRPr="00D826A1" w:rsidRDefault="00E77384" w:rsidP="00E77384"/>
    <w:p w14:paraId="52629911" w14:textId="77777777" w:rsidR="00E77384" w:rsidRPr="00D826A1" w:rsidRDefault="00E77384" w:rsidP="00E77384">
      <w:pPr>
        <w:pStyle w:val="ExecSummaryH2"/>
      </w:pPr>
      <w:bookmarkStart w:id="159" w:name="_Toc10104804"/>
      <w:bookmarkStart w:id="160" w:name="_Toc10105007"/>
      <w:bookmarkStart w:id="161" w:name="_Toc10105609"/>
      <w:r w:rsidRPr="00D826A1">
        <w:t>Interviews</w:t>
      </w:r>
      <w:bookmarkEnd w:id="159"/>
      <w:bookmarkEnd w:id="160"/>
      <w:bookmarkEnd w:id="161"/>
    </w:p>
    <w:p w14:paraId="2B970FB2" w14:textId="77777777" w:rsidR="00E77384" w:rsidRPr="00D826A1" w:rsidRDefault="00E77384" w:rsidP="00E77384">
      <w:pPr>
        <w:pStyle w:val="TableHeading"/>
      </w:pPr>
      <w:r w:rsidRPr="00D826A1">
        <w:t>Interviews by role and type</w:t>
      </w:r>
    </w:p>
    <w:tbl>
      <w:tblPr>
        <w:tblStyle w:val="ARTDTable2"/>
        <w:tblW w:w="0" w:type="auto"/>
        <w:tblLook w:val="04A0" w:firstRow="1" w:lastRow="0" w:firstColumn="1" w:lastColumn="0" w:noHBand="0" w:noVBand="1"/>
        <w:tblCaption w:val="Table 6. Interviews by role and type"/>
        <w:tblDescription w:val="Table 6. Interviews by role and type"/>
      </w:tblPr>
      <w:tblGrid>
        <w:gridCol w:w="1854"/>
        <w:gridCol w:w="1888"/>
        <w:gridCol w:w="1824"/>
        <w:gridCol w:w="1824"/>
        <w:gridCol w:w="1623"/>
      </w:tblGrid>
      <w:tr w:rsidR="00E77384" w:rsidRPr="00D826A1" w14:paraId="64F7F644" w14:textId="77777777" w:rsidTr="00674124">
        <w:trPr>
          <w:cnfStyle w:val="100000000000" w:firstRow="1" w:lastRow="0" w:firstColumn="0" w:lastColumn="0" w:oddVBand="0" w:evenVBand="0" w:oddHBand="0" w:evenHBand="0" w:firstRowFirstColumn="0" w:firstRowLastColumn="0" w:lastRowFirstColumn="0" w:lastRowLastColumn="0"/>
        </w:trPr>
        <w:tc>
          <w:tcPr>
            <w:tcW w:w="1854" w:type="dxa"/>
            <w:vAlign w:val="bottom"/>
          </w:tcPr>
          <w:p w14:paraId="5D41F66E" w14:textId="77777777" w:rsidR="00E77384" w:rsidRPr="00D826A1" w:rsidRDefault="00E77384" w:rsidP="00674124">
            <w:pPr>
              <w:pStyle w:val="Tablecolumnheading"/>
              <w:rPr>
                <w:color w:val="FFFFFF" w:themeColor="background1"/>
              </w:rPr>
            </w:pPr>
          </w:p>
        </w:tc>
        <w:tc>
          <w:tcPr>
            <w:tcW w:w="1888" w:type="dxa"/>
            <w:vAlign w:val="bottom"/>
          </w:tcPr>
          <w:p w14:paraId="4697C0D6"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RO/ARC/DIIS</w:t>
            </w:r>
          </w:p>
        </w:tc>
        <w:tc>
          <w:tcPr>
            <w:tcW w:w="1824" w:type="dxa"/>
            <w:vAlign w:val="bottom"/>
          </w:tcPr>
          <w:p w14:paraId="46CDBAA4"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Research Hub</w:t>
            </w:r>
          </w:p>
        </w:tc>
        <w:tc>
          <w:tcPr>
            <w:tcW w:w="1824" w:type="dxa"/>
            <w:tcBorders>
              <w:right w:val="single" w:sz="4" w:space="0" w:color="auto"/>
            </w:tcBorders>
            <w:vAlign w:val="bottom"/>
          </w:tcPr>
          <w:p w14:paraId="5D7E0ACE"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Training Centre</w:t>
            </w:r>
          </w:p>
        </w:tc>
        <w:tc>
          <w:tcPr>
            <w:tcW w:w="1623" w:type="dxa"/>
            <w:tcBorders>
              <w:left w:val="single" w:sz="4" w:space="0" w:color="auto"/>
            </w:tcBorders>
            <w:vAlign w:val="bottom"/>
          </w:tcPr>
          <w:p w14:paraId="477169E3"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Total</w:t>
            </w:r>
          </w:p>
        </w:tc>
      </w:tr>
      <w:tr w:rsidR="00E77384" w:rsidRPr="00D826A1" w14:paraId="42261FFD" w14:textId="77777777" w:rsidTr="00674124">
        <w:tc>
          <w:tcPr>
            <w:tcW w:w="1854" w:type="dxa"/>
            <w:vAlign w:val="bottom"/>
          </w:tcPr>
          <w:p w14:paraId="17AF6F83" w14:textId="77777777" w:rsidR="00E77384" w:rsidRPr="00D826A1" w:rsidRDefault="00E77384" w:rsidP="00674124">
            <w:pPr>
              <w:pStyle w:val="Tablebodytext"/>
            </w:pPr>
            <w:r w:rsidRPr="00D826A1">
              <w:rPr>
                <w:rFonts w:ascii="Calibri" w:hAnsi="Calibri" w:cs="Calibri"/>
                <w:color w:val="000000"/>
                <w:sz w:val="22"/>
              </w:rPr>
              <w:t>RO</w:t>
            </w:r>
          </w:p>
        </w:tc>
        <w:tc>
          <w:tcPr>
            <w:tcW w:w="1888" w:type="dxa"/>
            <w:vAlign w:val="bottom"/>
          </w:tcPr>
          <w:p w14:paraId="4055C224" w14:textId="77777777" w:rsidR="00E77384" w:rsidRPr="00D826A1" w:rsidRDefault="00E77384" w:rsidP="00674124">
            <w:pPr>
              <w:pStyle w:val="Tablebodytext"/>
              <w:jc w:val="right"/>
            </w:pPr>
            <w:r w:rsidRPr="00D826A1">
              <w:rPr>
                <w:rFonts w:ascii="Calibri" w:hAnsi="Calibri" w:cs="Calibri"/>
                <w:color w:val="000000"/>
                <w:sz w:val="22"/>
              </w:rPr>
              <w:t>9</w:t>
            </w:r>
          </w:p>
        </w:tc>
        <w:tc>
          <w:tcPr>
            <w:tcW w:w="1824" w:type="dxa"/>
            <w:vAlign w:val="bottom"/>
          </w:tcPr>
          <w:p w14:paraId="3505B8D8" w14:textId="77777777" w:rsidR="00E77384" w:rsidRPr="00D826A1" w:rsidRDefault="00E77384" w:rsidP="00674124">
            <w:pPr>
              <w:pStyle w:val="Tablebodytext"/>
              <w:jc w:val="right"/>
            </w:pPr>
          </w:p>
        </w:tc>
        <w:tc>
          <w:tcPr>
            <w:tcW w:w="1824" w:type="dxa"/>
            <w:tcBorders>
              <w:right w:val="single" w:sz="4" w:space="0" w:color="auto"/>
            </w:tcBorders>
            <w:vAlign w:val="bottom"/>
          </w:tcPr>
          <w:p w14:paraId="3791012C" w14:textId="77777777" w:rsidR="00E77384" w:rsidRPr="00D826A1" w:rsidRDefault="00E77384" w:rsidP="00674124">
            <w:pPr>
              <w:pStyle w:val="Tablebodytext"/>
              <w:jc w:val="right"/>
            </w:pPr>
          </w:p>
        </w:tc>
        <w:tc>
          <w:tcPr>
            <w:tcW w:w="1623" w:type="dxa"/>
            <w:tcBorders>
              <w:left w:val="single" w:sz="4" w:space="0" w:color="auto"/>
            </w:tcBorders>
            <w:vAlign w:val="bottom"/>
          </w:tcPr>
          <w:p w14:paraId="50E6D27F" w14:textId="77777777" w:rsidR="00E77384" w:rsidRPr="00D826A1" w:rsidRDefault="00E77384" w:rsidP="00674124">
            <w:pPr>
              <w:pStyle w:val="Tablebodytext"/>
              <w:jc w:val="right"/>
              <w:rPr>
                <w:color w:val="000000"/>
              </w:rPr>
            </w:pPr>
            <w:r w:rsidRPr="00D826A1">
              <w:rPr>
                <w:rFonts w:ascii="Calibri" w:hAnsi="Calibri" w:cs="Calibri"/>
                <w:color w:val="000000"/>
                <w:sz w:val="22"/>
              </w:rPr>
              <w:t>9</w:t>
            </w:r>
          </w:p>
        </w:tc>
      </w:tr>
      <w:tr w:rsidR="00E77384" w:rsidRPr="00D826A1" w14:paraId="49325AF2"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vAlign w:val="bottom"/>
          </w:tcPr>
          <w:p w14:paraId="4BA5FC2F" w14:textId="77777777" w:rsidR="00E77384" w:rsidRPr="00D826A1" w:rsidRDefault="00E77384" w:rsidP="00674124">
            <w:pPr>
              <w:pStyle w:val="Tablebodytext"/>
            </w:pPr>
            <w:r w:rsidRPr="00D826A1">
              <w:rPr>
                <w:rFonts w:ascii="Calibri" w:hAnsi="Calibri" w:cs="Calibri"/>
                <w:color w:val="000000"/>
                <w:sz w:val="22"/>
              </w:rPr>
              <w:t>ARC</w:t>
            </w:r>
          </w:p>
        </w:tc>
        <w:tc>
          <w:tcPr>
            <w:tcW w:w="1888" w:type="dxa"/>
            <w:vAlign w:val="bottom"/>
          </w:tcPr>
          <w:p w14:paraId="39C877A8" w14:textId="77777777" w:rsidR="00E77384" w:rsidRPr="00D826A1" w:rsidRDefault="00E77384" w:rsidP="00674124">
            <w:pPr>
              <w:pStyle w:val="Tablebodytext"/>
              <w:jc w:val="right"/>
            </w:pPr>
            <w:r w:rsidRPr="00D826A1">
              <w:t>2</w:t>
            </w:r>
          </w:p>
        </w:tc>
        <w:tc>
          <w:tcPr>
            <w:tcW w:w="1824" w:type="dxa"/>
            <w:vAlign w:val="bottom"/>
          </w:tcPr>
          <w:p w14:paraId="5AA3470A" w14:textId="77777777" w:rsidR="00E77384" w:rsidRPr="00D826A1" w:rsidRDefault="00E77384" w:rsidP="00674124">
            <w:pPr>
              <w:pStyle w:val="Tablebodytext"/>
              <w:jc w:val="right"/>
            </w:pPr>
          </w:p>
        </w:tc>
        <w:tc>
          <w:tcPr>
            <w:tcW w:w="1824" w:type="dxa"/>
            <w:tcBorders>
              <w:right w:val="single" w:sz="4" w:space="0" w:color="auto"/>
            </w:tcBorders>
            <w:vAlign w:val="bottom"/>
          </w:tcPr>
          <w:p w14:paraId="44E930C3" w14:textId="77777777" w:rsidR="00E77384" w:rsidRPr="00D826A1" w:rsidRDefault="00E77384" w:rsidP="00674124">
            <w:pPr>
              <w:pStyle w:val="Tablebodytext"/>
              <w:jc w:val="right"/>
            </w:pPr>
          </w:p>
        </w:tc>
        <w:tc>
          <w:tcPr>
            <w:tcW w:w="1623" w:type="dxa"/>
            <w:tcBorders>
              <w:left w:val="single" w:sz="4" w:space="0" w:color="auto"/>
            </w:tcBorders>
            <w:vAlign w:val="bottom"/>
          </w:tcPr>
          <w:p w14:paraId="4100726B"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6C05035D" w14:textId="77777777" w:rsidTr="00674124">
        <w:tc>
          <w:tcPr>
            <w:tcW w:w="1854" w:type="dxa"/>
            <w:vAlign w:val="bottom"/>
          </w:tcPr>
          <w:p w14:paraId="2BD7DB38" w14:textId="77777777" w:rsidR="00E77384" w:rsidRPr="00D826A1" w:rsidRDefault="00E77384" w:rsidP="00674124">
            <w:pPr>
              <w:pStyle w:val="Tablebodytext"/>
            </w:pPr>
            <w:r w:rsidRPr="00D826A1">
              <w:rPr>
                <w:rFonts w:ascii="Calibri" w:hAnsi="Calibri" w:cs="Calibri"/>
                <w:color w:val="000000"/>
                <w:sz w:val="22"/>
              </w:rPr>
              <w:t>DIIS</w:t>
            </w:r>
          </w:p>
        </w:tc>
        <w:tc>
          <w:tcPr>
            <w:tcW w:w="1888" w:type="dxa"/>
            <w:vAlign w:val="bottom"/>
          </w:tcPr>
          <w:p w14:paraId="1301BD00" w14:textId="77777777" w:rsidR="00E77384" w:rsidRPr="00D826A1" w:rsidRDefault="00E77384" w:rsidP="00674124">
            <w:pPr>
              <w:pStyle w:val="Tablebodytext"/>
              <w:jc w:val="right"/>
            </w:pPr>
            <w:r w:rsidRPr="00D826A1">
              <w:t>2</w:t>
            </w:r>
          </w:p>
        </w:tc>
        <w:tc>
          <w:tcPr>
            <w:tcW w:w="1824" w:type="dxa"/>
            <w:vAlign w:val="bottom"/>
          </w:tcPr>
          <w:p w14:paraId="44BC71AE" w14:textId="77777777" w:rsidR="00E77384" w:rsidRPr="00D826A1" w:rsidRDefault="00E77384" w:rsidP="00674124">
            <w:pPr>
              <w:pStyle w:val="Tablebodytext"/>
              <w:jc w:val="right"/>
            </w:pPr>
          </w:p>
        </w:tc>
        <w:tc>
          <w:tcPr>
            <w:tcW w:w="1824" w:type="dxa"/>
            <w:tcBorders>
              <w:right w:val="single" w:sz="4" w:space="0" w:color="auto"/>
            </w:tcBorders>
            <w:vAlign w:val="bottom"/>
          </w:tcPr>
          <w:p w14:paraId="0C620165" w14:textId="77777777" w:rsidR="00E77384" w:rsidRPr="00D826A1" w:rsidRDefault="00E77384" w:rsidP="00674124">
            <w:pPr>
              <w:pStyle w:val="Tablebodytext"/>
              <w:jc w:val="right"/>
            </w:pPr>
          </w:p>
        </w:tc>
        <w:tc>
          <w:tcPr>
            <w:tcW w:w="1623" w:type="dxa"/>
            <w:tcBorders>
              <w:left w:val="single" w:sz="4" w:space="0" w:color="auto"/>
            </w:tcBorders>
            <w:vAlign w:val="bottom"/>
          </w:tcPr>
          <w:p w14:paraId="26DC49B9"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44FAA586" w14:textId="77777777" w:rsidTr="00674124">
        <w:trPr>
          <w:cnfStyle w:val="000000010000" w:firstRow="0" w:lastRow="0" w:firstColumn="0" w:lastColumn="0" w:oddVBand="0" w:evenVBand="0" w:oddHBand="0" w:evenHBand="1" w:firstRowFirstColumn="0" w:firstRowLastColumn="0" w:lastRowFirstColumn="0" w:lastRowLastColumn="0"/>
        </w:trPr>
        <w:tc>
          <w:tcPr>
            <w:tcW w:w="1854" w:type="dxa"/>
            <w:tcBorders>
              <w:bottom w:val="single" w:sz="8" w:space="0" w:color="000000"/>
            </w:tcBorders>
            <w:vAlign w:val="bottom"/>
          </w:tcPr>
          <w:p w14:paraId="175EF9BA" w14:textId="5246B7D7" w:rsidR="00E77384" w:rsidRPr="00D826A1" w:rsidRDefault="00FC2B29" w:rsidP="00674124">
            <w:pPr>
              <w:pStyle w:val="Tablebodytext"/>
            </w:pPr>
            <w:r w:rsidRPr="00D826A1">
              <w:rPr>
                <w:rFonts w:ascii="Calibri" w:hAnsi="Calibri" w:cs="Calibri"/>
                <w:color w:val="000000"/>
                <w:sz w:val="22"/>
              </w:rPr>
              <w:t>Dir</w:t>
            </w:r>
            <w:r w:rsidR="00E77384" w:rsidRPr="00D826A1">
              <w:rPr>
                <w:rFonts w:ascii="Calibri" w:hAnsi="Calibri" w:cs="Calibri"/>
                <w:color w:val="000000"/>
                <w:sz w:val="22"/>
              </w:rPr>
              <w:t>/</w:t>
            </w:r>
            <w:proofErr w:type="spellStart"/>
            <w:r w:rsidRPr="00D826A1">
              <w:rPr>
                <w:rFonts w:ascii="Calibri" w:hAnsi="Calibri" w:cs="Calibri"/>
                <w:color w:val="000000"/>
                <w:sz w:val="22"/>
              </w:rPr>
              <w:t>Mgr</w:t>
            </w:r>
            <w:proofErr w:type="spellEnd"/>
          </w:p>
        </w:tc>
        <w:tc>
          <w:tcPr>
            <w:tcW w:w="1888" w:type="dxa"/>
            <w:tcBorders>
              <w:bottom w:val="single" w:sz="8" w:space="0" w:color="000000"/>
            </w:tcBorders>
            <w:vAlign w:val="bottom"/>
          </w:tcPr>
          <w:p w14:paraId="319F20A0" w14:textId="77777777" w:rsidR="00E77384" w:rsidRPr="00D826A1" w:rsidRDefault="00E77384" w:rsidP="00674124">
            <w:pPr>
              <w:pStyle w:val="Tablebodytext"/>
              <w:jc w:val="right"/>
            </w:pPr>
          </w:p>
        </w:tc>
        <w:tc>
          <w:tcPr>
            <w:tcW w:w="1824" w:type="dxa"/>
            <w:tcBorders>
              <w:bottom w:val="single" w:sz="8" w:space="0" w:color="000000"/>
            </w:tcBorders>
            <w:vAlign w:val="bottom"/>
          </w:tcPr>
          <w:p w14:paraId="40B35B9D" w14:textId="77777777" w:rsidR="00E77384" w:rsidRPr="00D826A1" w:rsidRDefault="00E77384" w:rsidP="00674124">
            <w:pPr>
              <w:pStyle w:val="Tablebodytext"/>
              <w:jc w:val="right"/>
            </w:pPr>
            <w:r w:rsidRPr="00D826A1">
              <w:rPr>
                <w:rFonts w:ascii="Calibri" w:hAnsi="Calibri" w:cs="Calibri"/>
                <w:color w:val="000000"/>
                <w:sz w:val="22"/>
              </w:rPr>
              <w:t>10</w:t>
            </w:r>
          </w:p>
        </w:tc>
        <w:tc>
          <w:tcPr>
            <w:tcW w:w="1824" w:type="dxa"/>
            <w:tcBorders>
              <w:bottom w:val="single" w:sz="8" w:space="0" w:color="000000"/>
              <w:right w:val="single" w:sz="4" w:space="0" w:color="auto"/>
            </w:tcBorders>
            <w:vAlign w:val="bottom"/>
          </w:tcPr>
          <w:p w14:paraId="3BCE666F" w14:textId="77777777" w:rsidR="00E77384" w:rsidRPr="00D826A1" w:rsidRDefault="00E77384" w:rsidP="00674124">
            <w:pPr>
              <w:pStyle w:val="Tablebodytext"/>
              <w:jc w:val="right"/>
            </w:pPr>
            <w:r w:rsidRPr="00D826A1">
              <w:t>10</w:t>
            </w:r>
          </w:p>
        </w:tc>
        <w:tc>
          <w:tcPr>
            <w:tcW w:w="1623" w:type="dxa"/>
            <w:tcBorders>
              <w:left w:val="single" w:sz="4" w:space="0" w:color="auto"/>
              <w:bottom w:val="single" w:sz="8" w:space="0" w:color="000000"/>
            </w:tcBorders>
            <w:vAlign w:val="bottom"/>
          </w:tcPr>
          <w:p w14:paraId="783C8657" w14:textId="77777777" w:rsidR="00E77384" w:rsidRPr="00D826A1" w:rsidRDefault="00E77384" w:rsidP="00674124">
            <w:pPr>
              <w:pStyle w:val="Tablebodytext"/>
              <w:jc w:val="right"/>
              <w:rPr>
                <w:color w:val="000000"/>
              </w:rPr>
            </w:pPr>
            <w:r w:rsidRPr="00D826A1">
              <w:rPr>
                <w:color w:val="000000"/>
              </w:rPr>
              <w:t>20</w:t>
            </w:r>
          </w:p>
        </w:tc>
      </w:tr>
      <w:tr w:rsidR="00E77384" w:rsidRPr="00D826A1" w14:paraId="08D148AF" w14:textId="77777777" w:rsidTr="00674124">
        <w:tc>
          <w:tcPr>
            <w:tcW w:w="1854" w:type="dxa"/>
            <w:tcBorders>
              <w:top w:val="single" w:sz="8" w:space="0" w:color="000000"/>
              <w:bottom w:val="single" w:sz="8" w:space="0" w:color="000000"/>
            </w:tcBorders>
            <w:vAlign w:val="bottom"/>
          </w:tcPr>
          <w:p w14:paraId="5EACF180"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1888" w:type="dxa"/>
            <w:tcBorders>
              <w:top w:val="single" w:sz="8" w:space="0" w:color="000000"/>
              <w:bottom w:val="single" w:sz="8" w:space="0" w:color="000000"/>
            </w:tcBorders>
            <w:vAlign w:val="bottom"/>
          </w:tcPr>
          <w:p w14:paraId="2BB9A3F4" w14:textId="77777777" w:rsidR="00E77384" w:rsidRPr="00D826A1" w:rsidRDefault="00E77384" w:rsidP="00674124">
            <w:pPr>
              <w:pStyle w:val="Tablebodytext"/>
              <w:jc w:val="right"/>
            </w:pPr>
            <w:r w:rsidRPr="00D826A1">
              <w:rPr>
                <w:rFonts w:ascii="Calibri" w:hAnsi="Calibri" w:cs="Calibri"/>
                <w:b/>
                <w:bCs/>
                <w:color w:val="000000"/>
                <w:sz w:val="22"/>
              </w:rPr>
              <w:t>13</w:t>
            </w:r>
          </w:p>
        </w:tc>
        <w:tc>
          <w:tcPr>
            <w:tcW w:w="1824" w:type="dxa"/>
            <w:tcBorders>
              <w:top w:val="single" w:sz="8" w:space="0" w:color="000000"/>
              <w:bottom w:val="single" w:sz="8" w:space="0" w:color="000000"/>
            </w:tcBorders>
            <w:vAlign w:val="bottom"/>
          </w:tcPr>
          <w:p w14:paraId="0BD38310" w14:textId="77777777" w:rsidR="00E77384" w:rsidRPr="00D826A1" w:rsidRDefault="00E77384" w:rsidP="00674124">
            <w:pPr>
              <w:pStyle w:val="Tablebodytext"/>
              <w:jc w:val="right"/>
            </w:pPr>
            <w:r w:rsidRPr="00D826A1">
              <w:rPr>
                <w:rFonts w:ascii="Calibri" w:hAnsi="Calibri" w:cs="Calibri"/>
                <w:b/>
                <w:bCs/>
                <w:color w:val="000000"/>
                <w:sz w:val="22"/>
              </w:rPr>
              <w:t>10</w:t>
            </w:r>
          </w:p>
        </w:tc>
        <w:tc>
          <w:tcPr>
            <w:tcW w:w="1824" w:type="dxa"/>
            <w:tcBorders>
              <w:top w:val="single" w:sz="8" w:space="0" w:color="000000"/>
              <w:bottom w:val="single" w:sz="8" w:space="0" w:color="000000"/>
              <w:right w:val="single" w:sz="4" w:space="0" w:color="auto"/>
            </w:tcBorders>
            <w:vAlign w:val="bottom"/>
          </w:tcPr>
          <w:p w14:paraId="4C57B1DC" w14:textId="77777777" w:rsidR="00E77384" w:rsidRPr="00D826A1" w:rsidRDefault="00E77384" w:rsidP="00674124">
            <w:pPr>
              <w:pStyle w:val="Tablebodytext"/>
              <w:jc w:val="right"/>
            </w:pPr>
            <w:r w:rsidRPr="00D826A1">
              <w:rPr>
                <w:rFonts w:ascii="Calibri" w:hAnsi="Calibri" w:cs="Calibri"/>
                <w:b/>
                <w:bCs/>
                <w:color w:val="000000"/>
                <w:sz w:val="22"/>
              </w:rPr>
              <w:t>10</w:t>
            </w:r>
          </w:p>
        </w:tc>
        <w:tc>
          <w:tcPr>
            <w:tcW w:w="1623" w:type="dxa"/>
            <w:tcBorders>
              <w:top w:val="single" w:sz="8" w:space="0" w:color="000000"/>
              <w:left w:val="single" w:sz="4" w:space="0" w:color="auto"/>
              <w:bottom w:val="single" w:sz="8" w:space="0" w:color="000000"/>
            </w:tcBorders>
            <w:vAlign w:val="bottom"/>
          </w:tcPr>
          <w:p w14:paraId="5B4F35D6" w14:textId="77777777" w:rsidR="00E77384" w:rsidRPr="00D826A1" w:rsidRDefault="00E77384" w:rsidP="00674124">
            <w:pPr>
              <w:pStyle w:val="Tablebodytext"/>
              <w:jc w:val="right"/>
              <w:rPr>
                <w:b/>
                <w:bCs/>
                <w:color w:val="000000"/>
              </w:rPr>
            </w:pPr>
            <w:r w:rsidRPr="00D826A1">
              <w:rPr>
                <w:b/>
                <w:bCs/>
                <w:color w:val="000000"/>
              </w:rPr>
              <w:t>33</w:t>
            </w:r>
          </w:p>
        </w:tc>
      </w:tr>
    </w:tbl>
    <w:p w14:paraId="5FDE114D" w14:textId="77777777" w:rsidR="00E77384" w:rsidRPr="00D826A1" w:rsidRDefault="00E77384" w:rsidP="00E77384"/>
    <w:p w14:paraId="654AABDC" w14:textId="77777777" w:rsidR="00E77384" w:rsidRPr="00D826A1" w:rsidRDefault="00E77384" w:rsidP="00E77384">
      <w:pPr>
        <w:pStyle w:val="TableHeading"/>
      </w:pPr>
      <w:r w:rsidRPr="00D826A1">
        <w:t>Interviews by role and round</w:t>
      </w:r>
    </w:p>
    <w:tbl>
      <w:tblPr>
        <w:tblStyle w:val="ARTDTable2"/>
        <w:tblW w:w="0" w:type="auto"/>
        <w:tblLayout w:type="fixed"/>
        <w:tblLook w:val="04A0" w:firstRow="1" w:lastRow="0" w:firstColumn="1" w:lastColumn="0" w:noHBand="0" w:noVBand="1"/>
        <w:tblCaption w:val="Table 7. Interviews by role and round"/>
        <w:tblDescription w:val="Table 7. Interviews by role and round"/>
      </w:tblPr>
      <w:tblGrid>
        <w:gridCol w:w="1077"/>
        <w:gridCol w:w="993"/>
        <w:gridCol w:w="786"/>
        <w:gridCol w:w="787"/>
        <w:gridCol w:w="786"/>
        <w:gridCol w:w="787"/>
        <w:gridCol w:w="787"/>
        <w:gridCol w:w="786"/>
        <w:gridCol w:w="787"/>
        <w:gridCol w:w="731"/>
        <w:gridCol w:w="706"/>
      </w:tblGrid>
      <w:tr w:rsidR="00E77384" w:rsidRPr="00D826A1" w14:paraId="37702315" w14:textId="77777777" w:rsidTr="00674124">
        <w:trPr>
          <w:cnfStyle w:val="100000000000" w:firstRow="1" w:lastRow="0" w:firstColumn="0" w:lastColumn="0" w:oddVBand="0" w:evenVBand="0" w:oddHBand="0" w:evenHBand="0" w:firstRowFirstColumn="0" w:firstRowLastColumn="0" w:lastRowFirstColumn="0" w:lastRowLastColumn="0"/>
        </w:trPr>
        <w:tc>
          <w:tcPr>
            <w:tcW w:w="1077" w:type="dxa"/>
            <w:vAlign w:val="bottom"/>
          </w:tcPr>
          <w:p w14:paraId="7CAFFE8B" w14:textId="77777777" w:rsidR="00E77384" w:rsidRPr="00D826A1" w:rsidRDefault="00E77384" w:rsidP="00674124">
            <w:pPr>
              <w:pStyle w:val="Tablecolumnheading"/>
              <w:rPr>
                <w:color w:val="FFFFFF" w:themeColor="background1"/>
              </w:rPr>
            </w:pPr>
          </w:p>
        </w:tc>
        <w:tc>
          <w:tcPr>
            <w:tcW w:w="993" w:type="dxa"/>
            <w:vAlign w:val="bottom"/>
          </w:tcPr>
          <w:p w14:paraId="06C522B8"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RO/ARC/DIIS</w:t>
            </w:r>
          </w:p>
        </w:tc>
        <w:tc>
          <w:tcPr>
            <w:tcW w:w="786" w:type="dxa"/>
            <w:vAlign w:val="bottom"/>
          </w:tcPr>
          <w:p w14:paraId="53D1A903"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2012 Round 1</w:t>
            </w:r>
          </w:p>
        </w:tc>
        <w:tc>
          <w:tcPr>
            <w:tcW w:w="787" w:type="dxa"/>
            <w:vAlign w:val="bottom"/>
          </w:tcPr>
          <w:p w14:paraId="2D4DAC76"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1</w:t>
            </w:r>
          </w:p>
        </w:tc>
        <w:tc>
          <w:tcPr>
            <w:tcW w:w="786" w:type="dxa"/>
            <w:vAlign w:val="bottom"/>
          </w:tcPr>
          <w:p w14:paraId="17DDF294"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2</w:t>
            </w:r>
          </w:p>
        </w:tc>
        <w:tc>
          <w:tcPr>
            <w:tcW w:w="787" w:type="dxa"/>
            <w:vAlign w:val="bottom"/>
          </w:tcPr>
          <w:p w14:paraId="38AFC4B9"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2014 Round 1</w:t>
            </w:r>
          </w:p>
        </w:tc>
        <w:tc>
          <w:tcPr>
            <w:tcW w:w="787" w:type="dxa"/>
            <w:vAlign w:val="bottom"/>
          </w:tcPr>
          <w:p w14:paraId="4A1AC672"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2015 Round 1</w:t>
            </w:r>
          </w:p>
        </w:tc>
        <w:tc>
          <w:tcPr>
            <w:tcW w:w="786" w:type="dxa"/>
            <w:vAlign w:val="bottom"/>
          </w:tcPr>
          <w:p w14:paraId="003BEA12"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2016 Round 1</w:t>
            </w:r>
          </w:p>
        </w:tc>
        <w:tc>
          <w:tcPr>
            <w:tcW w:w="787" w:type="dxa"/>
            <w:vAlign w:val="bottom"/>
          </w:tcPr>
          <w:p w14:paraId="158F622C"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2017 Round 1</w:t>
            </w:r>
          </w:p>
        </w:tc>
        <w:tc>
          <w:tcPr>
            <w:tcW w:w="731" w:type="dxa"/>
            <w:tcBorders>
              <w:right w:val="single" w:sz="4" w:space="0" w:color="auto"/>
            </w:tcBorders>
            <w:vAlign w:val="bottom"/>
          </w:tcPr>
          <w:p w14:paraId="38B5FD37"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2018 Round 1</w:t>
            </w:r>
          </w:p>
        </w:tc>
        <w:tc>
          <w:tcPr>
            <w:tcW w:w="706" w:type="dxa"/>
            <w:tcBorders>
              <w:left w:val="single" w:sz="4" w:space="0" w:color="auto"/>
            </w:tcBorders>
            <w:vAlign w:val="bottom"/>
          </w:tcPr>
          <w:p w14:paraId="38BFF6E9"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Grand Total</w:t>
            </w:r>
          </w:p>
        </w:tc>
      </w:tr>
      <w:tr w:rsidR="00E77384" w:rsidRPr="00D826A1" w14:paraId="409FBCEC" w14:textId="77777777" w:rsidTr="00674124">
        <w:tc>
          <w:tcPr>
            <w:tcW w:w="1077" w:type="dxa"/>
            <w:vAlign w:val="bottom"/>
          </w:tcPr>
          <w:p w14:paraId="63FEBFAF" w14:textId="77777777" w:rsidR="00E77384" w:rsidRPr="00D826A1" w:rsidRDefault="00E77384" w:rsidP="00674124">
            <w:pPr>
              <w:pStyle w:val="Tablebodytext"/>
            </w:pPr>
            <w:r w:rsidRPr="00D826A1">
              <w:rPr>
                <w:rFonts w:ascii="Calibri" w:hAnsi="Calibri" w:cs="Calibri"/>
                <w:color w:val="000000"/>
                <w:sz w:val="22"/>
              </w:rPr>
              <w:t>RO</w:t>
            </w:r>
          </w:p>
        </w:tc>
        <w:tc>
          <w:tcPr>
            <w:tcW w:w="993" w:type="dxa"/>
            <w:vAlign w:val="bottom"/>
          </w:tcPr>
          <w:p w14:paraId="3F0C7B5C" w14:textId="77777777" w:rsidR="00E77384" w:rsidRPr="00D826A1" w:rsidRDefault="00E77384" w:rsidP="00674124">
            <w:pPr>
              <w:pStyle w:val="Tablebodytext"/>
              <w:jc w:val="right"/>
            </w:pPr>
            <w:r w:rsidRPr="00D826A1">
              <w:rPr>
                <w:rFonts w:ascii="Calibri" w:hAnsi="Calibri" w:cs="Calibri"/>
                <w:color w:val="000000"/>
                <w:sz w:val="22"/>
              </w:rPr>
              <w:t>9</w:t>
            </w:r>
          </w:p>
        </w:tc>
        <w:tc>
          <w:tcPr>
            <w:tcW w:w="786" w:type="dxa"/>
            <w:vAlign w:val="bottom"/>
          </w:tcPr>
          <w:p w14:paraId="5CE549A5" w14:textId="77777777" w:rsidR="00E77384" w:rsidRPr="00D826A1" w:rsidRDefault="00E77384" w:rsidP="00674124">
            <w:pPr>
              <w:pStyle w:val="Tablebodytext"/>
              <w:jc w:val="right"/>
            </w:pPr>
          </w:p>
        </w:tc>
        <w:tc>
          <w:tcPr>
            <w:tcW w:w="787" w:type="dxa"/>
            <w:vAlign w:val="bottom"/>
          </w:tcPr>
          <w:p w14:paraId="634714E2" w14:textId="77777777" w:rsidR="00E77384" w:rsidRPr="00D826A1" w:rsidRDefault="00E77384" w:rsidP="00674124">
            <w:pPr>
              <w:pStyle w:val="Tablebodytext"/>
              <w:jc w:val="right"/>
            </w:pPr>
          </w:p>
        </w:tc>
        <w:tc>
          <w:tcPr>
            <w:tcW w:w="786" w:type="dxa"/>
            <w:vAlign w:val="bottom"/>
          </w:tcPr>
          <w:p w14:paraId="38F9090E" w14:textId="77777777" w:rsidR="00E77384" w:rsidRPr="00D826A1" w:rsidRDefault="00E77384" w:rsidP="00674124">
            <w:pPr>
              <w:pStyle w:val="Tablebodytext"/>
              <w:jc w:val="right"/>
            </w:pPr>
          </w:p>
        </w:tc>
        <w:tc>
          <w:tcPr>
            <w:tcW w:w="787" w:type="dxa"/>
            <w:vAlign w:val="bottom"/>
          </w:tcPr>
          <w:p w14:paraId="44DD2797" w14:textId="77777777" w:rsidR="00E77384" w:rsidRPr="00D826A1" w:rsidRDefault="00E77384" w:rsidP="00674124">
            <w:pPr>
              <w:pStyle w:val="Tablebodytext"/>
              <w:jc w:val="right"/>
            </w:pPr>
          </w:p>
        </w:tc>
        <w:tc>
          <w:tcPr>
            <w:tcW w:w="787" w:type="dxa"/>
            <w:vAlign w:val="bottom"/>
          </w:tcPr>
          <w:p w14:paraId="7344ACF6" w14:textId="77777777" w:rsidR="00E77384" w:rsidRPr="00D826A1" w:rsidRDefault="00E77384" w:rsidP="00674124">
            <w:pPr>
              <w:pStyle w:val="Tablebodytext"/>
              <w:jc w:val="right"/>
            </w:pPr>
          </w:p>
        </w:tc>
        <w:tc>
          <w:tcPr>
            <w:tcW w:w="786" w:type="dxa"/>
            <w:vAlign w:val="bottom"/>
          </w:tcPr>
          <w:p w14:paraId="2CAC42CB" w14:textId="77777777" w:rsidR="00E77384" w:rsidRPr="00D826A1" w:rsidRDefault="00E77384" w:rsidP="00674124">
            <w:pPr>
              <w:pStyle w:val="Tablebodytext"/>
              <w:jc w:val="right"/>
            </w:pPr>
          </w:p>
        </w:tc>
        <w:tc>
          <w:tcPr>
            <w:tcW w:w="787" w:type="dxa"/>
            <w:vAlign w:val="bottom"/>
          </w:tcPr>
          <w:p w14:paraId="678B2F19" w14:textId="77777777" w:rsidR="00E77384" w:rsidRPr="00D826A1" w:rsidRDefault="00E77384" w:rsidP="00674124">
            <w:pPr>
              <w:pStyle w:val="Tablebodytext"/>
              <w:jc w:val="right"/>
            </w:pPr>
          </w:p>
        </w:tc>
        <w:tc>
          <w:tcPr>
            <w:tcW w:w="731" w:type="dxa"/>
            <w:tcBorders>
              <w:right w:val="single" w:sz="4" w:space="0" w:color="auto"/>
            </w:tcBorders>
            <w:vAlign w:val="bottom"/>
          </w:tcPr>
          <w:p w14:paraId="619ACB9D" w14:textId="77777777" w:rsidR="00E77384" w:rsidRPr="00D826A1" w:rsidRDefault="00E77384" w:rsidP="00674124">
            <w:pPr>
              <w:pStyle w:val="Tablebodytext"/>
              <w:jc w:val="right"/>
            </w:pPr>
          </w:p>
        </w:tc>
        <w:tc>
          <w:tcPr>
            <w:tcW w:w="706" w:type="dxa"/>
            <w:tcBorders>
              <w:left w:val="single" w:sz="4" w:space="0" w:color="auto"/>
            </w:tcBorders>
            <w:vAlign w:val="bottom"/>
          </w:tcPr>
          <w:p w14:paraId="0A8237B4" w14:textId="77777777" w:rsidR="00E77384" w:rsidRPr="00D826A1" w:rsidRDefault="00E77384" w:rsidP="00674124">
            <w:pPr>
              <w:pStyle w:val="Tablebodytext"/>
              <w:jc w:val="right"/>
              <w:rPr>
                <w:color w:val="000000"/>
              </w:rPr>
            </w:pPr>
            <w:r w:rsidRPr="00D826A1">
              <w:rPr>
                <w:rFonts w:ascii="Calibri" w:hAnsi="Calibri" w:cs="Calibri"/>
                <w:color w:val="000000"/>
                <w:sz w:val="22"/>
              </w:rPr>
              <w:t>9</w:t>
            </w:r>
          </w:p>
        </w:tc>
      </w:tr>
      <w:tr w:rsidR="00E77384" w:rsidRPr="00D826A1" w14:paraId="624353EA" w14:textId="77777777" w:rsidTr="00674124">
        <w:trPr>
          <w:cnfStyle w:val="000000010000" w:firstRow="0" w:lastRow="0" w:firstColumn="0" w:lastColumn="0" w:oddVBand="0" w:evenVBand="0" w:oddHBand="0" w:evenHBand="1" w:firstRowFirstColumn="0" w:firstRowLastColumn="0" w:lastRowFirstColumn="0" w:lastRowLastColumn="0"/>
        </w:trPr>
        <w:tc>
          <w:tcPr>
            <w:tcW w:w="1077" w:type="dxa"/>
            <w:vAlign w:val="bottom"/>
          </w:tcPr>
          <w:p w14:paraId="4B1F7CFB" w14:textId="77777777" w:rsidR="00E77384" w:rsidRPr="00D826A1" w:rsidRDefault="00E77384" w:rsidP="00674124">
            <w:pPr>
              <w:pStyle w:val="Tablebodytext"/>
            </w:pPr>
            <w:r w:rsidRPr="00D826A1">
              <w:rPr>
                <w:rFonts w:ascii="Calibri" w:hAnsi="Calibri" w:cs="Calibri"/>
                <w:color w:val="000000"/>
                <w:sz w:val="22"/>
              </w:rPr>
              <w:t>ARC</w:t>
            </w:r>
          </w:p>
        </w:tc>
        <w:tc>
          <w:tcPr>
            <w:tcW w:w="993" w:type="dxa"/>
            <w:vAlign w:val="bottom"/>
          </w:tcPr>
          <w:p w14:paraId="120A7B75" w14:textId="77777777" w:rsidR="00E77384" w:rsidRPr="00D826A1" w:rsidRDefault="00E77384" w:rsidP="00674124">
            <w:pPr>
              <w:pStyle w:val="Tablebodytext"/>
              <w:jc w:val="right"/>
            </w:pPr>
            <w:r w:rsidRPr="00D826A1">
              <w:t>2</w:t>
            </w:r>
          </w:p>
        </w:tc>
        <w:tc>
          <w:tcPr>
            <w:tcW w:w="786" w:type="dxa"/>
            <w:vAlign w:val="bottom"/>
          </w:tcPr>
          <w:p w14:paraId="372EFBEA" w14:textId="77777777" w:rsidR="00E77384" w:rsidRPr="00D826A1" w:rsidRDefault="00E77384" w:rsidP="00674124">
            <w:pPr>
              <w:pStyle w:val="Tablebodytext"/>
              <w:jc w:val="right"/>
            </w:pPr>
          </w:p>
        </w:tc>
        <w:tc>
          <w:tcPr>
            <w:tcW w:w="787" w:type="dxa"/>
            <w:vAlign w:val="bottom"/>
          </w:tcPr>
          <w:p w14:paraId="208313A1"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5F94D63C"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6BEBB853"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4D0B4402"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443CE44E"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6F0F6D88" w14:textId="77777777" w:rsidR="00E77384" w:rsidRPr="00D826A1" w:rsidRDefault="00E77384" w:rsidP="00674124">
            <w:pPr>
              <w:pStyle w:val="Tablebodytext"/>
              <w:jc w:val="right"/>
              <w:rPr>
                <w:rFonts w:ascii="Calibri" w:hAnsi="Calibri" w:cs="Calibri"/>
                <w:color w:val="000000"/>
                <w:sz w:val="22"/>
              </w:rPr>
            </w:pPr>
          </w:p>
        </w:tc>
        <w:tc>
          <w:tcPr>
            <w:tcW w:w="731" w:type="dxa"/>
            <w:tcBorders>
              <w:right w:val="single" w:sz="4" w:space="0" w:color="auto"/>
            </w:tcBorders>
            <w:vAlign w:val="bottom"/>
          </w:tcPr>
          <w:p w14:paraId="3DE9FB82" w14:textId="77777777" w:rsidR="00E77384" w:rsidRPr="00D826A1" w:rsidRDefault="00E77384" w:rsidP="00674124">
            <w:pPr>
              <w:pStyle w:val="Tablebodytext"/>
              <w:jc w:val="right"/>
            </w:pPr>
          </w:p>
        </w:tc>
        <w:tc>
          <w:tcPr>
            <w:tcW w:w="706" w:type="dxa"/>
            <w:tcBorders>
              <w:left w:val="single" w:sz="4" w:space="0" w:color="auto"/>
            </w:tcBorders>
            <w:vAlign w:val="bottom"/>
          </w:tcPr>
          <w:p w14:paraId="546282DE"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0F976F92" w14:textId="77777777" w:rsidTr="00674124">
        <w:tc>
          <w:tcPr>
            <w:tcW w:w="1077" w:type="dxa"/>
            <w:vAlign w:val="bottom"/>
          </w:tcPr>
          <w:p w14:paraId="4BF72CF8" w14:textId="77777777" w:rsidR="00E77384" w:rsidRPr="00D826A1" w:rsidRDefault="00E77384" w:rsidP="00674124">
            <w:pPr>
              <w:pStyle w:val="Tablebodytext"/>
            </w:pPr>
            <w:r w:rsidRPr="00D826A1">
              <w:rPr>
                <w:rFonts w:ascii="Calibri" w:hAnsi="Calibri" w:cs="Calibri"/>
                <w:color w:val="000000"/>
                <w:sz w:val="22"/>
              </w:rPr>
              <w:t>DIIS</w:t>
            </w:r>
          </w:p>
        </w:tc>
        <w:tc>
          <w:tcPr>
            <w:tcW w:w="993" w:type="dxa"/>
            <w:vAlign w:val="bottom"/>
          </w:tcPr>
          <w:p w14:paraId="648514B0" w14:textId="77777777" w:rsidR="00E77384" w:rsidRPr="00D826A1" w:rsidRDefault="00E77384" w:rsidP="00674124">
            <w:pPr>
              <w:pStyle w:val="Tablebodytext"/>
              <w:jc w:val="right"/>
            </w:pPr>
            <w:r w:rsidRPr="00D826A1">
              <w:t>2</w:t>
            </w:r>
          </w:p>
        </w:tc>
        <w:tc>
          <w:tcPr>
            <w:tcW w:w="786" w:type="dxa"/>
            <w:vAlign w:val="bottom"/>
          </w:tcPr>
          <w:p w14:paraId="607781AC" w14:textId="77777777" w:rsidR="00E77384" w:rsidRPr="00D826A1" w:rsidRDefault="00E77384" w:rsidP="00674124">
            <w:pPr>
              <w:pStyle w:val="Tablebodytext"/>
              <w:jc w:val="right"/>
            </w:pPr>
          </w:p>
        </w:tc>
        <w:tc>
          <w:tcPr>
            <w:tcW w:w="787" w:type="dxa"/>
            <w:vAlign w:val="bottom"/>
          </w:tcPr>
          <w:p w14:paraId="63B6863D"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6C48BB6F"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3D4B7308"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1288CE5B"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2561215F"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1A4A08B7" w14:textId="77777777" w:rsidR="00E77384" w:rsidRPr="00D826A1" w:rsidRDefault="00E77384" w:rsidP="00674124">
            <w:pPr>
              <w:pStyle w:val="Tablebodytext"/>
              <w:jc w:val="right"/>
              <w:rPr>
                <w:rFonts w:ascii="Calibri" w:hAnsi="Calibri" w:cs="Calibri"/>
                <w:color w:val="000000"/>
                <w:sz w:val="22"/>
              </w:rPr>
            </w:pPr>
          </w:p>
        </w:tc>
        <w:tc>
          <w:tcPr>
            <w:tcW w:w="731" w:type="dxa"/>
            <w:tcBorders>
              <w:right w:val="single" w:sz="4" w:space="0" w:color="auto"/>
            </w:tcBorders>
            <w:vAlign w:val="bottom"/>
          </w:tcPr>
          <w:p w14:paraId="253D07BC" w14:textId="77777777" w:rsidR="00E77384" w:rsidRPr="00D826A1" w:rsidRDefault="00E77384" w:rsidP="00674124">
            <w:pPr>
              <w:pStyle w:val="Tablebodytext"/>
              <w:jc w:val="right"/>
            </w:pPr>
          </w:p>
        </w:tc>
        <w:tc>
          <w:tcPr>
            <w:tcW w:w="706" w:type="dxa"/>
            <w:tcBorders>
              <w:left w:val="single" w:sz="4" w:space="0" w:color="auto"/>
            </w:tcBorders>
            <w:vAlign w:val="bottom"/>
          </w:tcPr>
          <w:p w14:paraId="315E7411"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68C267F4" w14:textId="77777777" w:rsidTr="00674124">
        <w:trPr>
          <w:cnfStyle w:val="000000010000" w:firstRow="0" w:lastRow="0" w:firstColumn="0" w:lastColumn="0" w:oddVBand="0" w:evenVBand="0" w:oddHBand="0" w:evenHBand="1" w:firstRowFirstColumn="0" w:firstRowLastColumn="0" w:lastRowFirstColumn="0" w:lastRowLastColumn="0"/>
        </w:trPr>
        <w:tc>
          <w:tcPr>
            <w:tcW w:w="1077" w:type="dxa"/>
            <w:tcBorders>
              <w:bottom w:val="single" w:sz="8" w:space="0" w:color="000000"/>
            </w:tcBorders>
            <w:vAlign w:val="bottom"/>
          </w:tcPr>
          <w:p w14:paraId="3F9FDAC7" w14:textId="02BCB155" w:rsidR="00E77384" w:rsidRPr="00D826A1" w:rsidRDefault="00FC2B29" w:rsidP="00674124">
            <w:pPr>
              <w:pStyle w:val="Tablebodytext"/>
            </w:pPr>
            <w:r w:rsidRPr="00D826A1">
              <w:rPr>
                <w:rFonts w:ascii="Calibri" w:hAnsi="Calibri" w:cs="Calibri"/>
                <w:color w:val="000000"/>
                <w:sz w:val="22"/>
              </w:rPr>
              <w:t>Dir</w:t>
            </w:r>
            <w:r w:rsidR="00E77384" w:rsidRPr="00D826A1">
              <w:rPr>
                <w:rFonts w:ascii="Calibri" w:hAnsi="Calibri" w:cs="Calibri"/>
                <w:color w:val="000000"/>
                <w:sz w:val="22"/>
              </w:rPr>
              <w:t>/</w:t>
            </w:r>
            <w:proofErr w:type="spellStart"/>
            <w:r w:rsidRPr="00D826A1">
              <w:rPr>
                <w:rFonts w:ascii="Calibri" w:hAnsi="Calibri" w:cs="Calibri"/>
                <w:color w:val="000000"/>
                <w:sz w:val="22"/>
              </w:rPr>
              <w:t>Mgr</w:t>
            </w:r>
            <w:proofErr w:type="spellEnd"/>
          </w:p>
        </w:tc>
        <w:tc>
          <w:tcPr>
            <w:tcW w:w="993" w:type="dxa"/>
            <w:tcBorders>
              <w:bottom w:val="single" w:sz="8" w:space="0" w:color="000000"/>
            </w:tcBorders>
            <w:vAlign w:val="bottom"/>
          </w:tcPr>
          <w:p w14:paraId="7298DA9C" w14:textId="77777777" w:rsidR="00E77384" w:rsidRPr="00D826A1" w:rsidRDefault="00E77384" w:rsidP="00674124">
            <w:pPr>
              <w:pStyle w:val="Tablebodytext"/>
              <w:jc w:val="right"/>
            </w:pPr>
          </w:p>
        </w:tc>
        <w:tc>
          <w:tcPr>
            <w:tcW w:w="786" w:type="dxa"/>
            <w:tcBorders>
              <w:bottom w:val="single" w:sz="8" w:space="0" w:color="000000"/>
            </w:tcBorders>
            <w:vAlign w:val="bottom"/>
          </w:tcPr>
          <w:p w14:paraId="6D077619" w14:textId="77777777" w:rsidR="00E77384" w:rsidRPr="00D826A1" w:rsidRDefault="00E77384" w:rsidP="00674124">
            <w:pPr>
              <w:pStyle w:val="Tablebodytext"/>
              <w:jc w:val="right"/>
            </w:pPr>
            <w:r w:rsidRPr="00D826A1">
              <w:t>0</w:t>
            </w:r>
          </w:p>
        </w:tc>
        <w:tc>
          <w:tcPr>
            <w:tcW w:w="787" w:type="dxa"/>
            <w:tcBorders>
              <w:bottom w:val="single" w:sz="8" w:space="0" w:color="000000"/>
            </w:tcBorders>
            <w:vAlign w:val="bottom"/>
          </w:tcPr>
          <w:p w14:paraId="524A9EC8"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786" w:type="dxa"/>
            <w:tcBorders>
              <w:bottom w:val="single" w:sz="8" w:space="0" w:color="000000"/>
            </w:tcBorders>
            <w:vAlign w:val="bottom"/>
          </w:tcPr>
          <w:p w14:paraId="13BA48A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787" w:type="dxa"/>
            <w:tcBorders>
              <w:bottom w:val="single" w:sz="8" w:space="0" w:color="000000"/>
            </w:tcBorders>
            <w:vAlign w:val="bottom"/>
          </w:tcPr>
          <w:p w14:paraId="6C8315D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787" w:type="dxa"/>
            <w:tcBorders>
              <w:bottom w:val="single" w:sz="8" w:space="0" w:color="000000"/>
            </w:tcBorders>
            <w:vAlign w:val="bottom"/>
          </w:tcPr>
          <w:p w14:paraId="7BEB03F8"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786" w:type="dxa"/>
            <w:tcBorders>
              <w:bottom w:val="single" w:sz="8" w:space="0" w:color="000000"/>
            </w:tcBorders>
            <w:vAlign w:val="bottom"/>
          </w:tcPr>
          <w:p w14:paraId="020439F5"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7" w:type="dxa"/>
            <w:tcBorders>
              <w:bottom w:val="single" w:sz="8" w:space="0" w:color="000000"/>
            </w:tcBorders>
            <w:vAlign w:val="bottom"/>
          </w:tcPr>
          <w:p w14:paraId="77301F0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w:t>
            </w:r>
          </w:p>
        </w:tc>
        <w:tc>
          <w:tcPr>
            <w:tcW w:w="731" w:type="dxa"/>
            <w:tcBorders>
              <w:bottom w:val="single" w:sz="8" w:space="0" w:color="000000"/>
              <w:right w:val="single" w:sz="4" w:space="0" w:color="auto"/>
            </w:tcBorders>
            <w:vAlign w:val="bottom"/>
          </w:tcPr>
          <w:p w14:paraId="0C234423"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4</w:t>
            </w:r>
          </w:p>
        </w:tc>
        <w:tc>
          <w:tcPr>
            <w:tcW w:w="706" w:type="dxa"/>
            <w:tcBorders>
              <w:left w:val="single" w:sz="4" w:space="0" w:color="auto"/>
              <w:bottom w:val="single" w:sz="8" w:space="0" w:color="000000"/>
            </w:tcBorders>
            <w:vAlign w:val="bottom"/>
          </w:tcPr>
          <w:p w14:paraId="3FF9AF2F" w14:textId="77777777" w:rsidR="00E77384" w:rsidRPr="00D826A1" w:rsidRDefault="00E77384" w:rsidP="00674124">
            <w:pPr>
              <w:pStyle w:val="Tablebodytext"/>
              <w:jc w:val="right"/>
              <w:rPr>
                <w:color w:val="000000"/>
              </w:rPr>
            </w:pPr>
            <w:r w:rsidRPr="00D826A1">
              <w:rPr>
                <w:color w:val="000000"/>
              </w:rPr>
              <w:t>20</w:t>
            </w:r>
          </w:p>
        </w:tc>
      </w:tr>
      <w:tr w:rsidR="00E77384" w:rsidRPr="00D826A1" w14:paraId="3D5776BC" w14:textId="77777777" w:rsidTr="00674124">
        <w:tc>
          <w:tcPr>
            <w:tcW w:w="1077" w:type="dxa"/>
            <w:tcBorders>
              <w:top w:val="single" w:sz="8" w:space="0" w:color="000000"/>
              <w:bottom w:val="single" w:sz="8" w:space="0" w:color="000000"/>
            </w:tcBorders>
            <w:vAlign w:val="bottom"/>
          </w:tcPr>
          <w:p w14:paraId="051AD93B"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993" w:type="dxa"/>
            <w:tcBorders>
              <w:top w:val="single" w:sz="8" w:space="0" w:color="000000"/>
              <w:bottom w:val="single" w:sz="8" w:space="0" w:color="000000"/>
            </w:tcBorders>
            <w:vAlign w:val="bottom"/>
          </w:tcPr>
          <w:p w14:paraId="720C5AE3" w14:textId="77777777" w:rsidR="00E77384" w:rsidRPr="00D826A1" w:rsidRDefault="00E77384" w:rsidP="00674124">
            <w:pPr>
              <w:pStyle w:val="Tablebodytext"/>
              <w:jc w:val="right"/>
            </w:pPr>
            <w:r w:rsidRPr="00D826A1">
              <w:rPr>
                <w:rFonts w:ascii="Calibri" w:hAnsi="Calibri" w:cs="Calibri"/>
                <w:b/>
                <w:bCs/>
                <w:color w:val="000000"/>
                <w:sz w:val="22"/>
              </w:rPr>
              <w:t>13</w:t>
            </w:r>
          </w:p>
        </w:tc>
        <w:tc>
          <w:tcPr>
            <w:tcW w:w="786" w:type="dxa"/>
            <w:tcBorders>
              <w:top w:val="single" w:sz="8" w:space="0" w:color="000000"/>
              <w:bottom w:val="single" w:sz="8" w:space="0" w:color="000000"/>
            </w:tcBorders>
            <w:vAlign w:val="bottom"/>
          </w:tcPr>
          <w:p w14:paraId="5F07A7FB" w14:textId="77777777" w:rsidR="00E77384" w:rsidRPr="00D826A1" w:rsidRDefault="00E77384" w:rsidP="00674124">
            <w:pPr>
              <w:pStyle w:val="Tablebodytext"/>
              <w:jc w:val="right"/>
            </w:pPr>
            <w:r w:rsidRPr="00D826A1">
              <w:rPr>
                <w:rFonts w:ascii="Calibri" w:hAnsi="Calibri" w:cs="Calibri"/>
                <w:b/>
                <w:bCs/>
                <w:color w:val="000000"/>
                <w:sz w:val="22"/>
              </w:rPr>
              <w:t>0</w:t>
            </w:r>
          </w:p>
        </w:tc>
        <w:tc>
          <w:tcPr>
            <w:tcW w:w="787" w:type="dxa"/>
            <w:tcBorders>
              <w:top w:val="single" w:sz="8" w:space="0" w:color="000000"/>
              <w:bottom w:val="single" w:sz="8" w:space="0" w:color="000000"/>
            </w:tcBorders>
            <w:vAlign w:val="bottom"/>
          </w:tcPr>
          <w:p w14:paraId="43C42937"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2</w:t>
            </w:r>
          </w:p>
        </w:tc>
        <w:tc>
          <w:tcPr>
            <w:tcW w:w="786" w:type="dxa"/>
            <w:tcBorders>
              <w:top w:val="single" w:sz="8" w:space="0" w:color="000000"/>
              <w:bottom w:val="single" w:sz="8" w:space="0" w:color="000000"/>
            </w:tcBorders>
            <w:vAlign w:val="bottom"/>
          </w:tcPr>
          <w:p w14:paraId="576E056F"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7" w:type="dxa"/>
            <w:tcBorders>
              <w:top w:val="single" w:sz="8" w:space="0" w:color="000000"/>
              <w:bottom w:val="single" w:sz="8" w:space="0" w:color="000000"/>
            </w:tcBorders>
            <w:vAlign w:val="bottom"/>
          </w:tcPr>
          <w:p w14:paraId="32D36717"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7" w:type="dxa"/>
            <w:tcBorders>
              <w:top w:val="single" w:sz="8" w:space="0" w:color="000000"/>
              <w:bottom w:val="single" w:sz="8" w:space="0" w:color="000000"/>
            </w:tcBorders>
            <w:vAlign w:val="bottom"/>
          </w:tcPr>
          <w:p w14:paraId="7326A92E"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6" w:type="dxa"/>
            <w:tcBorders>
              <w:top w:val="single" w:sz="8" w:space="0" w:color="000000"/>
              <w:bottom w:val="single" w:sz="8" w:space="0" w:color="000000"/>
            </w:tcBorders>
            <w:vAlign w:val="bottom"/>
          </w:tcPr>
          <w:p w14:paraId="2D354305"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w:t>
            </w:r>
          </w:p>
        </w:tc>
        <w:tc>
          <w:tcPr>
            <w:tcW w:w="787" w:type="dxa"/>
            <w:tcBorders>
              <w:top w:val="single" w:sz="8" w:space="0" w:color="000000"/>
              <w:bottom w:val="single" w:sz="8" w:space="0" w:color="000000"/>
            </w:tcBorders>
            <w:vAlign w:val="bottom"/>
          </w:tcPr>
          <w:p w14:paraId="6F58F3A6"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4</w:t>
            </w:r>
          </w:p>
        </w:tc>
        <w:tc>
          <w:tcPr>
            <w:tcW w:w="731" w:type="dxa"/>
            <w:tcBorders>
              <w:top w:val="single" w:sz="8" w:space="0" w:color="000000"/>
              <w:bottom w:val="single" w:sz="8" w:space="0" w:color="000000"/>
              <w:right w:val="single" w:sz="4" w:space="0" w:color="auto"/>
            </w:tcBorders>
            <w:vAlign w:val="bottom"/>
          </w:tcPr>
          <w:p w14:paraId="42882988"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4</w:t>
            </w:r>
          </w:p>
        </w:tc>
        <w:tc>
          <w:tcPr>
            <w:tcW w:w="706" w:type="dxa"/>
            <w:tcBorders>
              <w:top w:val="single" w:sz="8" w:space="0" w:color="000000"/>
              <w:left w:val="single" w:sz="4" w:space="0" w:color="auto"/>
              <w:bottom w:val="single" w:sz="8" w:space="0" w:color="000000"/>
            </w:tcBorders>
            <w:vAlign w:val="bottom"/>
          </w:tcPr>
          <w:p w14:paraId="7CAE148E"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33</w:t>
            </w:r>
          </w:p>
        </w:tc>
      </w:tr>
    </w:tbl>
    <w:p w14:paraId="5F72DA8B" w14:textId="77777777" w:rsidR="00E77384" w:rsidRPr="00D826A1" w:rsidRDefault="00E77384" w:rsidP="00E77384"/>
    <w:p w14:paraId="5436F4F1" w14:textId="77777777" w:rsidR="00E77384" w:rsidRPr="00D826A1" w:rsidRDefault="00E77384" w:rsidP="00E77384">
      <w:pPr>
        <w:pStyle w:val="TableHeading"/>
      </w:pPr>
      <w:r w:rsidRPr="00D826A1">
        <w:t>Interviews by type and round</w:t>
      </w:r>
    </w:p>
    <w:tbl>
      <w:tblPr>
        <w:tblStyle w:val="ARTDTable2"/>
        <w:tblW w:w="0" w:type="auto"/>
        <w:tblLayout w:type="fixed"/>
        <w:tblLook w:val="04A0" w:firstRow="1" w:lastRow="0" w:firstColumn="1" w:lastColumn="0" w:noHBand="0" w:noVBand="1"/>
        <w:tblCaption w:val="Table 8. Interviews by type and round"/>
        <w:tblDescription w:val="Table 8. Interviews by type and round"/>
      </w:tblPr>
      <w:tblGrid>
        <w:gridCol w:w="1077"/>
        <w:gridCol w:w="993"/>
        <w:gridCol w:w="786"/>
        <w:gridCol w:w="787"/>
        <w:gridCol w:w="786"/>
        <w:gridCol w:w="787"/>
        <w:gridCol w:w="787"/>
        <w:gridCol w:w="786"/>
        <w:gridCol w:w="787"/>
        <w:gridCol w:w="731"/>
        <w:gridCol w:w="706"/>
      </w:tblGrid>
      <w:tr w:rsidR="00E77384" w:rsidRPr="00D826A1" w14:paraId="33094A17" w14:textId="77777777" w:rsidTr="00674124">
        <w:trPr>
          <w:cnfStyle w:val="100000000000" w:firstRow="1" w:lastRow="0" w:firstColumn="0" w:lastColumn="0" w:oddVBand="0" w:evenVBand="0" w:oddHBand="0" w:evenHBand="0" w:firstRowFirstColumn="0" w:firstRowLastColumn="0" w:lastRowFirstColumn="0" w:lastRowLastColumn="0"/>
        </w:trPr>
        <w:tc>
          <w:tcPr>
            <w:tcW w:w="1077" w:type="dxa"/>
            <w:vAlign w:val="bottom"/>
          </w:tcPr>
          <w:p w14:paraId="5B5F9159" w14:textId="77777777" w:rsidR="00E77384" w:rsidRPr="00D826A1" w:rsidRDefault="00E77384" w:rsidP="00674124">
            <w:pPr>
              <w:pStyle w:val="Tablecolumnheading"/>
              <w:rPr>
                <w:color w:val="FFFFFF" w:themeColor="background1"/>
              </w:rPr>
            </w:pPr>
          </w:p>
        </w:tc>
        <w:tc>
          <w:tcPr>
            <w:tcW w:w="993" w:type="dxa"/>
            <w:vAlign w:val="bottom"/>
          </w:tcPr>
          <w:p w14:paraId="7C57EE54"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RO/ARC/DIIS</w:t>
            </w:r>
          </w:p>
        </w:tc>
        <w:tc>
          <w:tcPr>
            <w:tcW w:w="786" w:type="dxa"/>
            <w:vAlign w:val="bottom"/>
          </w:tcPr>
          <w:p w14:paraId="545EF50A"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2012 Round 1</w:t>
            </w:r>
          </w:p>
        </w:tc>
        <w:tc>
          <w:tcPr>
            <w:tcW w:w="787" w:type="dxa"/>
            <w:vAlign w:val="bottom"/>
          </w:tcPr>
          <w:p w14:paraId="59EB6975"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1</w:t>
            </w:r>
          </w:p>
        </w:tc>
        <w:tc>
          <w:tcPr>
            <w:tcW w:w="786" w:type="dxa"/>
            <w:vAlign w:val="bottom"/>
          </w:tcPr>
          <w:p w14:paraId="37398BC4"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2013 Round 2</w:t>
            </w:r>
          </w:p>
        </w:tc>
        <w:tc>
          <w:tcPr>
            <w:tcW w:w="787" w:type="dxa"/>
            <w:vAlign w:val="bottom"/>
          </w:tcPr>
          <w:p w14:paraId="35B3A503"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2014 Round 1</w:t>
            </w:r>
          </w:p>
        </w:tc>
        <w:tc>
          <w:tcPr>
            <w:tcW w:w="787" w:type="dxa"/>
            <w:vAlign w:val="bottom"/>
          </w:tcPr>
          <w:p w14:paraId="47CE3084"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2015 Round 1</w:t>
            </w:r>
          </w:p>
        </w:tc>
        <w:tc>
          <w:tcPr>
            <w:tcW w:w="786" w:type="dxa"/>
            <w:vAlign w:val="bottom"/>
          </w:tcPr>
          <w:p w14:paraId="4C281C48"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2016 Round 1</w:t>
            </w:r>
          </w:p>
        </w:tc>
        <w:tc>
          <w:tcPr>
            <w:tcW w:w="787" w:type="dxa"/>
            <w:vAlign w:val="bottom"/>
          </w:tcPr>
          <w:p w14:paraId="39D1D850" w14:textId="77777777" w:rsidR="00E77384" w:rsidRPr="00D826A1" w:rsidRDefault="00E77384" w:rsidP="00674124">
            <w:pPr>
              <w:pStyle w:val="Tablecolumnheading"/>
              <w:rPr>
                <w:rFonts w:ascii="Calibri" w:hAnsi="Calibri" w:cs="Calibri"/>
                <w:bCs w:val="0"/>
                <w:color w:val="FFFFFF" w:themeColor="background1"/>
                <w:sz w:val="22"/>
              </w:rPr>
            </w:pPr>
            <w:r w:rsidRPr="00D826A1">
              <w:rPr>
                <w:rFonts w:ascii="Calibri" w:hAnsi="Calibri" w:cs="Calibri"/>
                <w:bCs w:val="0"/>
                <w:color w:val="FFFFFF" w:themeColor="background1"/>
                <w:sz w:val="22"/>
              </w:rPr>
              <w:t>2017 Round 1</w:t>
            </w:r>
          </w:p>
        </w:tc>
        <w:tc>
          <w:tcPr>
            <w:tcW w:w="731" w:type="dxa"/>
            <w:tcBorders>
              <w:right w:val="single" w:sz="4" w:space="0" w:color="auto"/>
            </w:tcBorders>
            <w:vAlign w:val="bottom"/>
          </w:tcPr>
          <w:p w14:paraId="42644CF4" w14:textId="77777777" w:rsidR="00E77384" w:rsidRPr="00D826A1" w:rsidRDefault="00E77384" w:rsidP="00674124">
            <w:pPr>
              <w:pStyle w:val="Tablecolumnheading"/>
              <w:rPr>
                <w:color w:val="FFFFFF" w:themeColor="background1"/>
              </w:rPr>
            </w:pPr>
            <w:r w:rsidRPr="00D826A1">
              <w:rPr>
                <w:rFonts w:ascii="Calibri" w:hAnsi="Calibri" w:cs="Calibri"/>
                <w:bCs w:val="0"/>
                <w:color w:val="FFFFFF" w:themeColor="background1"/>
                <w:sz w:val="22"/>
              </w:rPr>
              <w:t>2018 Round 1</w:t>
            </w:r>
          </w:p>
        </w:tc>
        <w:tc>
          <w:tcPr>
            <w:tcW w:w="706" w:type="dxa"/>
            <w:tcBorders>
              <w:left w:val="single" w:sz="4" w:space="0" w:color="auto"/>
            </w:tcBorders>
            <w:vAlign w:val="bottom"/>
          </w:tcPr>
          <w:p w14:paraId="1CE908F4" w14:textId="77777777" w:rsidR="00E77384" w:rsidRPr="00D826A1" w:rsidRDefault="00E77384" w:rsidP="00674124">
            <w:pPr>
              <w:pStyle w:val="Tablecolumnheading"/>
              <w:rPr>
                <w:bCs w:val="0"/>
                <w:color w:val="FFFFFF" w:themeColor="background1"/>
                <w:lang w:eastAsia="en-AU"/>
              </w:rPr>
            </w:pPr>
            <w:r w:rsidRPr="00D826A1">
              <w:rPr>
                <w:rFonts w:ascii="Calibri" w:hAnsi="Calibri" w:cs="Calibri"/>
                <w:bCs w:val="0"/>
                <w:color w:val="FFFFFF" w:themeColor="background1"/>
                <w:sz w:val="22"/>
              </w:rPr>
              <w:t>Grand Total</w:t>
            </w:r>
          </w:p>
        </w:tc>
      </w:tr>
      <w:tr w:rsidR="00E77384" w:rsidRPr="00D826A1" w14:paraId="24D0FC15" w14:textId="77777777" w:rsidTr="00674124">
        <w:tc>
          <w:tcPr>
            <w:tcW w:w="1077" w:type="dxa"/>
            <w:vAlign w:val="bottom"/>
          </w:tcPr>
          <w:p w14:paraId="066C18D8" w14:textId="77777777" w:rsidR="00E77384" w:rsidRPr="00D826A1" w:rsidRDefault="00E77384" w:rsidP="00674124">
            <w:pPr>
              <w:pStyle w:val="Tablebodytext"/>
            </w:pPr>
            <w:r w:rsidRPr="00D826A1">
              <w:rPr>
                <w:rFonts w:ascii="Calibri" w:hAnsi="Calibri" w:cs="Calibri"/>
                <w:color w:val="000000"/>
                <w:sz w:val="22"/>
              </w:rPr>
              <w:t>RO</w:t>
            </w:r>
          </w:p>
        </w:tc>
        <w:tc>
          <w:tcPr>
            <w:tcW w:w="993" w:type="dxa"/>
            <w:vAlign w:val="bottom"/>
          </w:tcPr>
          <w:p w14:paraId="7C01CAB1" w14:textId="77777777" w:rsidR="00E77384" w:rsidRPr="00D826A1" w:rsidRDefault="00E77384" w:rsidP="00674124">
            <w:pPr>
              <w:pStyle w:val="Tablebodytext"/>
              <w:jc w:val="right"/>
            </w:pPr>
            <w:r w:rsidRPr="00D826A1">
              <w:rPr>
                <w:rFonts w:ascii="Calibri" w:hAnsi="Calibri" w:cs="Calibri"/>
                <w:color w:val="000000"/>
                <w:sz w:val="22"/>
              </w:rPr>
              <w:t>9</w:t>
            </w:r>
          </w:p>
        </w:tc>
        <w:tc>
          <w:tcPr>
            <w:tcW w:w="786" w:type="dxa"/>
            <w:vAlign w:val="bottom"/>
          </w:tcPr>
          <w:p w14:paraId="6BC9D94A" w14:textId="77777777" w:rsidR="00E77384" w:rsidRPr="00D826A1" w:rsidRDefault="00E77384" w:rsidP="00674124">
            <w:pPr>
              <w:pStyle w:val="Tablebodytext"/>
              <w:jc w:val="right"/>
            </w:pPr>
          </w:p>
        </w:tc>
        <w:tc>
          <w:tcPr>
            <w:tcW w:w="787" w:type="dxa"/>
            <w:vAlign w:val="bottom"/>
          </w:tcPr>
          <w:p w14:paraId="39A1E8CA" w14:textId="77777777" w:rsidR="00E77384" w:rsidRPr="00D826A1" w:rsidRDefault="00E77384" w:rsidP="00674124">
            <w:pPr>
              <w:pStyle w:val="Tablebodytext"/>
              <w:jc w:val="right"/>
            </w:pPr>
          </w:p>
        </w:tc>
        <w:tc>
          <w:tcPr>
            <w:tcW w:w="786" w:type="dxa"/>
            <w:vAlign w:val="bottom"/>
          </w:tcPr>
          <w:p w14:paraId="136C5F6F" w14:textId="77777777" w:rsidR="00E77384" w:rsidRPr="00D826A1" w:rsidRDefault="00E77384" w:rsidP="00674124">
            <w:pPr>
              <w:pStyle w:val="Tablebodytext"/>
              <w:jc w:val="right"/>
            </w:pPr>
          </w:p>
        </w:tc>
        <w:tc>
          <w:tcPr>
            <w:tcW w:w="787" w:type="dxa"/>
            <w:vAlign w:val="bottom"/>
          </w:tcPr>
          <w:p w14:paraId="3F95D4D4" w14:textId="77777777" w:rsidR="00E77384" w:rsidRPr="00D826A1" w:rsidRDefault="00E77384" w:rsidP="00674124">
            <w:pPr>
              <w:pStyle w:val="Tablebodytext"/>
              <w:jc w:val="right"/>
            </w:pPr>
          </w:p>
        </w:tc>
        <w:tc>
          <w:tcPr>
            <w:tcW w:w="787" w:type="dxa"/>
            <w:vAlign w:val="bottom"/>
          </w:tcPr>
          <w:p w14:paraId="7212A8FF" w14:textId="77777777" w:rsidR="00E77384" w:rsidRPr="00D826A1" w:rsidRDefault="00E77384" w:rsidP="00674124">
            <w:pPr>
              <w:pStyle w:val="Tablebodytext"/>
              <w:jc w:val="right"/>
            </w:pPr>
          </w:p>
        </w:tc>
        <w:tc>
          <w:tcPr>
            <w:tcW w:w="786" w:type="dxa"/>
            <w:vAlign w:val="bottom"/>
          </w:tcPr>
          <w:p w14:paraId="50EA32A0" w14:textId="77777777" w:rsidR="00E77384" w:rsidRPr="00D826A1" w:rsidRDefault="00E77384" w:rsidP="00674124">
            <w:pPr>
              <w:pStyle w:val="Tablebodytext"/>
              <w:jc w:val="right"/>
            </w:pPr>
          </w:p>
        </w:tc>
        <w:tc>
          <w:tcPr>
            <w:tcW w:w="787" w:type="dxa"/>
            <w:vAlign w:val="bottom"/>
          </w:tcPr>
          <w:p w14:paraId="43A504DC" w14:textId="77777777" w:rsidR="00E77384" w:rsidRPr="00D826A1" w:rsidRDefault="00E77384" w:rsidP="00674124">
            <w:pPr>
              <w:pStyle w:val="Tablebodytext"/>
              <w:jc w:val="right"/>
            </w:pPr>
          </w:p>
        </w:tc>
        <w:tc>
          <w:tcPr>
            <w:tcW w:w="731" w:type="dxa"/>
            <w:tcBorders>
              <w:right w:val="single" w:sz="4" w:space="0" w:color="auto"/>
            </w:tcBorders>
            <w:vAlign w:val="bottom"/>
          </w:tcPr>
          <w:p w14:paraId="2CB83281" w14:textId="77777777" w:rsidR="00E77384" w:rsidRPr="00D826A1" w:rsidRDefault="00E77384" w:rsidP="00674124">
            <w:pPr>
              <w:pStyle w:val="Tablebodytext"/>
              <w:jc w:val="right"/>
            </w:pPr>
          </w:p>
        </w:tc>
        <w:tc>
          <w:tcPr>
            <w:tcW w:w="706" w:type="dxa"/>
            <w:tcBorders>
              <w:left w:val="single" w:sz="4" w:space="0" w:color="auto"/>
            </w:tcBorders>
            <w:vAlign w:val="bottom"/>
          </w:tcPr>
          <w:p w14:paraId="31765CC0" w14:textId="77777777" w:rsidR="00E77384" w:rsidRPr="00D826A1" w:rsidRDefault="00E77384" w:rsidP="00674124">
            <w:pPr>
              <w:pStyle w:val="Tablebodytext"/>
              <w:jc w:val="right"/>
              <w:rPr>
                <w:color w:val="000000"/>
              </w:rPr>
            </w:pPr>
            <w:r w:rsidRPr="00D826A1">
              <w:rPr>
                <w:rFonts w:ascii="Calibri" w:hAnsi="Calibri" w:cs="Calibri"/>
                <w:color w:val="000000"/>
                <w:sz w:val="22"/>
              </w:rPr>
              <w:t>9</w:t>
            </w:r>
          </w:p>
        </w:tc>
      </w:tr>
      <w:tr w:rsidR="00E77384" w:rsidRPr="00D826A1" w14:paraId="703462C5" w14:textId="77777777" w:rsidTr="00674124">
        <w:trPr>
          <w:cnfStyle w:val="000000010000" w:firstRow="0" w:lastRow="0" w:firstColumn="0" w:lastColumn="0" w:oddVBand="0" w:evenVBand="0" w:oddHBand="0" w:evenHBand="1" w:firstRowFirstColumn="0" w:firstRowLastColumn="0" w:lastRowFirstColumn="0" w:lastRowLastColumn="0"/>
        </w:trPr>
        <w:tc>
          <w:tcPr>
            <w:tcW w:w="1077" w:type="dxa"/>
            <w:vAlign w:val="bottom"/>
          </w:tcPr>
          <w:p w14:paraId="00636C4D" w14:textId="77777777" w:rsidR="00E77384" w:rsidRPr="00D826A1" w:rsidRDefault="00E77384" w:rsidP="00674124">
            <w:pPr>
              <w:pStyle w:val="Tablebodytext"/>
            </w:pPr>
            <w:r w:rsidRPr="00D826A1">
              <w:rPr>
                <w:rFonts w:ascii="Calibri" w:hAnsi="Calibri" w:cs="Calibri"/>
                <w:color w:val="000000"/>
                <w:sz w:val="22"/>
              </w:rPr>
              <w:t>ARC</w:t>
            </w:r>
          </w:p>
        </w:tc>
        <w:tc>
          <w:tcPr>
            <w:tcW w:w="993" w:type="dxa"/>
            <w:vAlign w:val="bottom"/>
          </w:tcPr>
          <w:p w14:paraId="013E8212" w14:textId="77777777" w:rsidR="00E77384" w:rsidRPr="00D826A1" w:rsidRDefault="00E77384" w:rsidP="00674124">
            <w:pPr>
              <w:pStyle w:val="Tablebodytext"/>
              <w:jc w:val="right"/>
            </w:pPr>
            <w:r w:rsidRPr="00D826A1">
              <w:t>2</w:t>
            </w:r>
          </w:p>
        </w:tc>
        <w:tc>
          <w:tcPr>
            <w:tcW w:w="786" w:type="dxa"/>
            <w:vAlign w:val="bottom"/>
          </w:tcPr>
          <w:p w14:paraId="56109394" w14:textId="77777777" w:rsidR="00E77384" w:rsidRPr="00D826A1" w:rsidRDefault="00E77384" w:rsidP="00674124">
            <w:pPr>
              <w:pStyle w:val="Tablebodytext"/>
              <w:jc w:val="right"/>
            </w:pPr>
          </w:p>
        </w:tc>
        <w:tc>
          <w:tcPr>
            <w:tcW w:w="787" w:type="dxa"/>
            <w:vAlign w:val="bottom"/>
          </w:tcPr>
          <w:p w14:paraId="54FA6EF7"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267FE2DB"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132EBF55"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036ED635"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4E1C56D1"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303B662B" w14:textId="77777777" w:rsidR="00E77384" w:rsidRPr="00D826A1" w:rsidRDefault="00E77384" w:rsidP="00674124">
            <w:pPr>
              <w:pStyle w:val="Tablebodytext"/>
              <w:jc w:val="right"/>
              <w:rPr>
                <w:rFonts w:ascii="Calibri" w:hAnsi="Calibri" w:cs="Calibri"/>
                <w:color w:val="000000"/>
                <w:sz w:val="22"/>
              </w:rPr>
            </w:pPr>
          </w:p>
        </w:tc>
        <w:tc>
          <w:tcPr>
            <w:tcW w:w="731" w:type="dxa"/>
            <w:tcBorders>
              <w:right w:val="single" w:sz="4" w:space="0" w:color="auto"/>
            </w:tcBorders>
            <w:vAlign w:val="bottom"/>
          </w:tcPr>
          <w:p w14:paraId="71CB5C14" w14:textId="77777777" w:rsidR="00E77384" w:rsidRPr="00D826A1" w:rsidRDefault="00E77384" w:rsidP="00674124">
            <w:pPr>
              <w:pStyle w:val="Tablebodytext"/>
              <w:jc w:val="right"/>
            </w:pPr>
          </w:p>
        </w:tc>
        <w:tc>
          <w:tcPr>
            <w:tcW w:w="706" w:type="dxa"/>
            <w:tcBorders>
              <w:left w:val="single" w:sz="4" w:space="0" w:color="auto"/>
            </w:tcBorders>
            <w:vAlign w:val="bottom"/>
          </w:tcPr>
          <w:p w14:paraId="21987104"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60F93C3B" w14:textId="77777777" w:rsidTr="00674124">
        <w:tc>
          <w:tcPr>
            <w:tcW w:w="1077" w:type="dxa"/>
            <w:vAlign w:val="bottom"/>
          </w:tcPr>
          <w:p w14:paraId="24BE01E0" w14:textId="77777777" w:rsidR="00E77384" w:rsidRPr="00D826A1" w:rsidRDefault="00E77384" w:rsidP="00674124">
            <w:pPr>
              <w:pStyle w:val="Tablebodytext"/>
            </w:pPr>
            <w:r w:rsidRPr="00D826A1">
              <w:rPr>
                <w:rFonts w:ascii="Calibri" w:hAnsi="Calibri" w:cs="Calibri"/>
                <w:color w:val="000000"/>
                <w:sz w:val="22"/>
              </w:rPr>
              <w:t>DIIS</w:t>
            </w:r>
          </w:p>
        </w:tc>
        <w:tc>
          <w:tcPr>
            <w:tcW w:w="993" w:type="dxa"/>
            <w:vAlign w:val="bottom"/>
          </w:tcPr>
          <w:p w14:paraId="285AADD7" w14:textId="77777777" w:rsidR="00E77384" w:rsidRPr="00D826A1" w:rsidRDefault="00E77384" w:rsidP="00674124">
            <w:pPr>
              <w:pStyle w:val="Tablebodytext"/>
              <w:jc w:val="right"/>
            </w:pPr>
            <w:r w:rsidRPr="00D826A1">
              <w:t>2</w:t>
            </w:r>
          </w:p>
        </w:tc>
        <w:tc>
          <w:tcPr>
            <w:tcW w:w="786" w:type="dxa"/>
            <w:vAlign w:val="bottom"/>
          </w:tcPr>
          <w:p w14:paraId="39CBE52D" w14:textId="77777777" w:rsidR="00E77384" w:rsidRPr="00D826A1" w:rsidRDefault="00E77384" w:rsidP="00674124">
            <w:pPr>
              <w:pStyle w:val="Tablebodytext"/>
              <w:jc w:val="right"/>
            </w:pPr>
          </w:p>
        </w:tc>
        <w:tc>
          <w:tcPr>
            <w:tcW w:w="787" w:type="dxa"/>
            <w:vAlign w:val="bottom"/>
          </w:tcPr>
          <w:p w14:paraId="5E23C18B"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1CC4D54E"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4637C2B7"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6435B4DB" w14:textId="77777777" w:rsidR="00E77384" w:rsidRPr="00D826A1" w:rsidRDefault="00E77384" w:rsidP="00674124">
            <w:pPr>
              <w:pStyle w:val="Tablebodytext"/>
              <w:jc w:val="right"/>
              <w:rPr>
                <w:rFonts w:ascii="Calibri" w:hAnsi="Calibri" w:cs="Calibri"/>
                <w:color w:val="000000"/>
                <w:sz w:val="22"/>
              </w:rPr>
            </w:pPr>
          </w:p>
        </w:tc>
        <w:tc>
          <w:tcPr>
            <w:tcW w:w="786" w:type="dxa"/>
            <w:vAlign w:val="bottom"/>
          </w:tcPr>
          <w:p w14:paraId="7B680F3F" w14:textId="77777777" w:rsidR="00E77384" w:rsidRPr="00D826A1" w:rsidRDefault="00E77384" w:rsidP="00674124">
            <w:pPr>
              <w:pStyle w:val="Tablebodytext"/>
              <w:jc w:val="right"/>
              <w:rPr>
                <w:rFonts w:ascii="Calibri" w:hAnsi="Calibri" w:cs="Calibri"/>
                <w:color w:val="000000"/>
                <w:sz w:val="22"/>
              </w:rPr>
            </w:pPr>
          </w:p>
        </w:tc>
        <w:tc>
          <w:tcPr>
            <w:tcW w:w="787" w:type="dxa"/>
            <w:vAlign w:val="bottom"/>
          </w:tcPr>
          <w:p w14:paraId="621DCDFC" w14:textId="77777777" w:rsidR="00E77384" w:rsidRPr="00D826A1" w:rsidRDefault="00E77384" w:rsidP="00674124">
            <w:pPr>
              <w:pStyle w:val="Tablebodytext"/>
              <w:jc w:val="right"/>
              <w:rPr>
                <w:rFonts w:ascii="Calibri" w:hAnsi="Calibri" w:cs="Calibri"/>
                <w:color w:val="000000"/>
                <w:sz w:val="22"/>
              </w:rPr>
            </w:pPr>
          </w:p>
        </w:tc>
        <w:tc>
          <w:tcPr>
            <w:tcW w:w="731" w:type="dxa"/>
            <w:tcBorders>
              <w:right w:val="single" w:sz="4" w:space="0" w:color="auto"/>
            </w:tcBorders>
            <w:vAlign w:val="bottom"/>
          </w:tcPr>
          <w:p w14:paraId="2C741E2E" w14:textId="77777777" w:rsidR="00E77384" w:rsidRPr="00D826A1" w:rsidRDefault="00E77384" w:rsidP="00674124">
            <w:pPr>
              <w:pStyle w:val="Tablebodytext"/>
              <w:jc w:val="right"/>
            </w:pPr>
          </w:p>
        </w:tc>
        <w:tc>
          <w:tcPr>
            <w:tcW w:w="706" w:type="dxa"/>
            <w:tcBorders>
              <w:left w:val="single" w:sz="4" w:space="0" w:color="auto"/>
            </w:tcBorders>
            <w:vAlign w:val="bottom"/>
          </w:tcPr>
          <w:p w14:paraId="7DB6982F" w14:textId="77777777" w:rsidR="00E77384" w:rsidRPr="00D826A1" w:rsidRDefault="00E77384" w:rsidP="00674124">
            <w:pPr>
              <w:pStyle w:val="Tablebodytext"/>
              <w:jc w:val="right"/>
              <w:rPr>
                <w:color w:val="000000"/>
              </w:rPr>
            </w:pPr>
            <w:r w:rsidRPr="00D826A1">
              <w:rPr>
                <w:rFonts w:ascii="Calibri" w:hAnsi="Calibri" w:cs="Calibri"/>
                <w:color w:val="000000"/>
                <w:sz w:val="22"/>
              </w:rPr>
              <w:t>2</w:t>
            </w:r>
          </w:p>
        </w:tc>
      </w:tr>
      <w:tr w:rsidR="00E77384" w:rsidRPr="00D826A1" w14:paraId="2A3DDC70" w14:textId="77777777" w:rsidTr="00674124">
        <w:trPr>
          <w:cnfStyle w:val="000000010000" w:firstRow="0" w:lastRow="0" w:firstColumn="0" w:lastColumn="0" w:oddVBand="0" w:evenVBand="0" w:oddHBand="0" w:evenHBand="1" w:firstRowFirstColumn="0" w:firstRowLastColumn="0" w:lastRowFirstColumn="0" w:lastRowLastColumn="0"/>
        </w:trPr>
        <w:tc>
          <w:tcPr>
            <w:tcW w:w="1077" w:type="dxa"/>
            <w:vAlign w:val="bottom"/>
          </w:tcPr>
          <w:p w14:paraId="548898B2" w14:textId="77777777" w:rsidR="00E77384" w:rsidRPr="00D826A1" w:rsidRDefault="00E77384" w:rsidP="00674124">
            <w:pPr>
              <w:pStyle w:val="Tablebodytext"/>
              <w:rPr>
                <w:rFonts w:ascii="Calibri" w:hAnsi="Calibri" w:cs="Calibri"/>
                <w:color w:val="000000"/>
                <w:sz w:val="22"/>
              </w:rPr>
            </w:pPr>
            <w:r w:rsidRPr="00D826A1">
              <w:rPr>
                <w:rFonts w:ascii="Calibri" w:hAnsi="Calibri" w:cs="Calibri"/>
                <w:color w:val="000000"/>
                <w:sz w:val="22"/>
              </w:rPr>
              <w:t>Research Hub</w:t>
            </w:r>
          </w:p>
        </w:tc>
        <w:tc>
          <w:tcPr>
            <w:tcW w:w="993" w:type="dxa"/>
            <w:vAlign w:val="bottom"/>
          </w:tcPr>
          <w:p w14:paraId="1756C8C5" w14:textId="77777777" w:rsidR="00E77384" w:rsidRPr="00D826A1" w:rsidRDefault="00E77384" w:rsidP="00674124">
            <w:pPr>
              <w:pStyle w:val="Tablebodytext"/>
              <w:jc w:val="right"/>
            </w:pPr>
          </w:p>
        </w:tc>
        <w:tc>
          <w:tcPr>
            <w:tcW w:w="786" w:type="dxa"/>
            <w:vAlign w:val="bottom"/>
          </w:tcPr>
          <w:p w14:paraId="7760FAD0" w14:textId="77777777" w:rsidR="00E77384" w:rsidRPr="00D826A1" w:rsidRDefault="00E77384" w:rsidP="00674124">
            <w:pPr>
              <w:pStyle w:val="Tablebodytext"/>
              <w:jc w:val="right"/>
            </w:pPr>
            <w:r w:rsidRPr="00D826A1">
              <w:t>0</w:t>
            </w:r>
          </w:p>
        </w:tc>
        <w:tc>
          <w:tcPr>
            <w:tcW w:w="787" w:type="dxa"/>
            <w:vAlign w:val="bottom"/>
          </w:tcPr>
          <w:p w14:paraId="5E83082E"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6" w:type="dxa"/>
            <w:vAlign w:val="bottom"/>
          </w:tcPr>
          <w:p w14:paraId="63DDA80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787" w:type="dxa"/>
            <w:vAlign w:val="bottom"/>
          </w:tcPr>
          <w:p w14:paraId="4984BE4F"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7" w:type="dxa"/>
            <w:vAlign w:val="bottom"/>
          </w:tcPr>
          <w:p w14:paraId="0485B066"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786" w:type="dxa"/>
            <w:vAlign w:val="bottom"/>
          </w:tcPr>
          <w:p w14:paraId="17CCE86A"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0</w:t>
            </w:r>
          </w:p>
        </w:tc>
        <w:tc>
          <w:tcPr>
            <w:tcW w:w="787" w:type="dxa"/>
            <w:vAlign w:val="bottom"/>
          </w:tcPr>
          <w:p w14:paraId="2AFCD631"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731" w:type="dxa"/>
            <w:tcBorders>
              <w:right w:val="single" w:sz="4" w:space="0" w:color="auto"/>
            </w:tcBorders>
            <w:vAlign w:val="bottom"/>
          </w:tcPr>
          <w:p w14:paraId="40B1EBAB" w14:textId="77777777" w:rsidR="00E77384" w:rsidRPr="00D826A1" w:rsidRDefault="00E77384" w:rsidP="00674124">
            <w:pPr>
              <w:pStyle w:val="Tablebodytext"/>
              <w:jc w:val="right"/>
            </w:pPr>
            <w:r w:rsidRPr="00D826A1">
              <w:t>1</w:t>
            </w:r>
          </w:p>
        </w:tc>
        <w:tc>
          <w:tcPr>
            <w:tcW w:w="706" w:type="dxa"/>
            <w:tcBorders>
              <w:left w:val="single" w:sz="4" w:space="0" w:color="auto"/>
            </w:tcBorders>
            <w:vAlign w:val="bottom"/>
          </w:tcPr>
          <w:p w14:paraId="04AADF1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10</w:t>
            </w:r>
          </w:p>
        </w:tc>
      </w:tr>
      <w:tr w:rsidR="00E77384" w:rsidRPr="00D826A1" w14:paraId="368C989C" w14:textId="77777777" w:rsidTr="00674124">
        <w:tc>
          <w:tcPr>
            <w:tcW w:w="1077" w:type="dxa"/>
            <w:tcBorders>
              <w:bottom w:val="single" w:sz="8" w:space="0" w:color="000000"/>
            </w:tcBorders>
            <w:vAlign w:val="bottom"/>
          </w:tcPr>
          <w:p w14:paraId="223E6F0F" w14:textId="77777777" w:rsidR="00E77384" w:rsidRPr="00D826A1" w:rsidRDefault="00E77384" w:rsidP="00674124">
            <w:pPr>
              <w:pStyle w:val="Tablebodytext"/>
            </w:pPr>
            <w:r w:rsidRPr="00D826A1">
              <w:rPr>
                <w:rFonts w:ascii="Calibri" w:hAnsi="Calibri" w:cs="Calibri"/>
                <w:color w:val="000000"/>
                <w:sz w:val="22"/>
              </w:rPr>
              <w:t>Training Centre</w:t>
            </w:r>
          </w:p>
        </w:tc>
        <w:tc>
          <w:tcPr>
            <w:tcW w:w="993" w:type="dxa"/>
            <w:tcBorders>
              <w:bottom w:val="single" w:sz="8" w:space="0" w:color="000000"/>
            </w:tcBorders>
            <w:vAlign w:val="bottom"/>
          </w:tcPr>
          <w:p w14:paraId="50375908" w14:textId="77777777" w:rsidR="00E77384" w:rsidRPr="00D826A1" w:rsidRDefault="00E77384" w:rsidP="00674124">
            <w:pPr>
              <w:pStyle w:val="Tablebodytext"/>
              <w:jc w:val="right"/>
            </w:pPr>
          </w:p>
        </w:tc>
        <w:tc>
          <w:tcPr>
            <w:tcW w:w="786" w:type="dxa"/>
            <w:tcBorders>
              <w:bottom w:val="single" w:sz="8" w:space="0" w:color="000000"/>
            </w:tcBorders>
            <w:vAlign w:val="bottom"/>
          </w:tcPr>
          <w:p w14:paraId="765F65CA" w14:textId="77777777" w:rsidR="00E77384" w:rsidRPr="00D826A1" w:rsidRDefault="00E77384" w:rsidP="00674124">
            <w:pPr>
              <w:pStyle w:val="Tablebodytext"/>
              <w:jc w:val="right"/>
            </w:pPr>
            <w:r w:rsidRPr="00D826A1">
              <w:t>0</w:t>
            </w:r>
          </w:p>
        </w:tc>
        <w:tc>
          <w:tcPr>
            <w:tcW w:w="787" w:type="dxa"/>
            <w:tcBorders>
              <w:bottom w:val="single" w:sz="8" w:space="0" w:color="000000"/>
            </w:tcBorders>
            <w:vAlign w:val="bottom"/>
          </w:tcPr>
          <w:p w14:paraId="44D0E713"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6" w:type="dxa"/>
            <w:tcBorders>
              <w:bottom w:val="single" w:sz="8" w:space="0" w:color="000000"/>
            </w:tcBorders>
            <w:vAlign w:val="bottom"/>
          </w:tcPr>
          <w:p w14:paraId="1D3DA4F0"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0</w:t>
            </w:r>
          </w:p>
        </w:tc>
        <w:tc>
          <w:tcPr>
            <w:tcW w:w="787" w:type="dxa"/>
            <w:tcBorders>
              <w:bottom w:val="single" w:sz="8" w:space="0" w:color="000000"/>
            </w:tcBorders>
            <w:vAlign w:val="bottom"/>
          </w:tcPr>
          <w:p w14:paraId="60ED474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787" w:type="dxa"/>
            <w:tcBorders>
              <w:bottom w:val="single" w:sz="8" w:space="0" w:color="000000"/>
            </w:tcBorders>
            <w:vAlign w:val="bottom"/>
          </w:tcPr>
          <w:p w14:paraId="09D46290"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6" w:type="dxa"/>
            <w:tcBorders>
              <w:bottom w:val="single" w:sz="8" w:space="0" w:color="000000"/>
            </w:tcBorders>
            <w:vAlign w:val="bottom"/>
          </w:tcPr>
          <w:p w14:paraId="33D5D3C7"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1</w:t>
            </w:r>
          </w:p>
        </w:tc>
        <w:tc>
          <w:tcPr>
            <w:tcW w:w="787" w:type="dxa"/>
            <w:tcBorders>
              <w:bottom w:val="single" w:sz="8" w:space="0" w:color="000000"/>
            </w:tcBorders>
            <w:vAlign w:val="bottom"/>
          </w:tcPr>
          <w:p w14:paraId="2D2A4C3D"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2</w:t>
            </w:r>
          </w:p>
        </w:tc>
        <w:tc>
          <w:tcPr>
            <w:tcW w:w="731" w:type="dxa"/>
            <w:tcBorders>
              <w:bottom w:val="single" w:sz="8" w:space="0" w:color="000000"/>
              <w:right w:val="single" w:sz="4" w:space="0" w:color="auto"/>
            </w:tcBorders>
            <w:vAlign w:val="bottom"/>
          </w:tcPr>
          <w:p w14:paraId="4ABB9CEC" w14:textId="77777777" w:rsidR="00E77384" w:rsidRPr="00D826A1" w:rsidRDefault="00E77384" w:rsidP="00674124">
            <w:pPr>
              <w:pStyle w:val="Tablebodytext"/>
              <w:jc w:val="right"/>
              <w:rPr>
                <w:rFonts w:ascii="Calibri" w:hAnsi="Calibri" w:cs="Calibri"/>
                <w:color w:val="000000"/>
                <w:sz w:val="22"/>
              </w:rPr>
            </w:pPr>
            <w:r w:rsidRPr="00D826A1">
              <w:rPr>
                <w:rFonts w:ascii="Calibri" w:hAnsi="Calibri" w:cs="Calibri"/>
                <w:color w:val="000000"/>
                <w:sz w:val="22"/>
              </w:rPr>
              <w:t>3</w:t>
            </w:r>
          </w:p>
        </w:tc>
        <w:tc>
          <w:tcPr>
            <w:tcW w:w="706" w:type="dxa"/>
            <w:tcBorders>
              <w:left w:val="single" w:sz="4" w:space="0" w:color="auto"/>
              <w:bottom w:val="single" w:sz="8" w:space="0" w:color="000000"/>
            </w:tcBorders>
            <w:vAlign w:val="bottom"/>
          </w:tcPr>
          <w:p w14:paraId="1A7FDEA1" w14:textId="77777777" w:rsidR="00E77384" w:rsidRPr="00D826A1" w:rsidRDefault="00E77384" w:rsidP="00674124">
            <w:pPr>
              <w:pStyle w:val="Tablebodytext"/>
              <w:jc w:val="right"/>
              <w:rPr>
                <w:color w:val="000000"/>
              </w:rPr>
            </w:pPr>
            <w:r w:rsidRPr="00D826A1">
              <w:rPr>
                <w:color w:val="000000"/>
              </w:rPr>
              <w:t>10</w:t>
            </w:r>
          </w:p>
        </w:tc>
      </w:tr>
      <w:tr w:rsidR="00E77384" w:rsidRPr="00D826A1" w14:paraId="7EFB7557" w14:textId="77777777" w:rsidTr="00674124">
        <w:trPr>
          <w:cnfStyle w:val="000000010000" w:firstRow="0" w:lastRow="0" w:firstColumn="0" w:lastColumn="0" w:oddVBand="0" w:evenVBand="0" w:oddHBand="0" w:evenHBand="1" w:firstRowFirstColumn="0" w:firstRowLastColumn="0" w:lastRowFirstColumn="0" w:lastRowLastColumn="0"/>
        </w:trPr>
        <w:tc>
          <w:tcPr>
            <w:tcW w:w="1077" w:type="dxa"/>
            <w:tcBorders>
              <w:top w:val="single" w:sz="8" w:space="0" w:color="000000"/>
              <w:bottom w:val="single" w:sz="8" w:space="0" w:color="000000"/>
            </w:tcBorders>
            <w:vAlign w:val="bottom"/>
          </w:tcPr>
          <w:p w14:paraId="4AC77582" w14:textId="77777777" w:rsidR="00E77384" w:rsidRPr="00D826A1" w:rsidRDefault="00E77384" w:rsidP="00674124">
            <w:pPr>
              <w:pStyle w:val="Tablebodytext"/>
            </w:pPr>
            <w:r w:rsidRPr="00D826A1">
              <w:rPr>
                <w:rFonts w:ascii="Calibri" w:hAnsi="Calibri" w:cs="Calibri"/>
                <w:b/>
                <w:bCs/>
                <w:color w:val="000000"/>
                <w:sz w:val="22"/>
              </w:rPr>
              <w:t>Grand Total</w:t>
            </w:r>
          </w:p>
        </w:tc>
        <w:tc>
          <w:tcPr>
            <w:tcW w:w="993" w:type="dxa"/>
            <w:tcBorders>
              <w:top w:val="single" w:sz="8" w:space="0" w:color="000000"/>
              <w:bottom w:val="single" w:sz="8" w:space="0" w:color="000000"/>
            </w:tcBorders>
            <w:vAlign w:val="bottom"/>
          </w:tcPr>
          <w:p w14:paraId="60F3D816" w14:textId="77777777" w:rsidR="00E77384" w:rsidRPr="00D826A1" w:rsidRDefault="00E77384" w:rsidP="00674124">
            <w:pPr>
              <w:pStyle w:val="Tablebodytext"/>
              <w:jc w:val="right"/>
            </w:pPr>
            <w:r w:rsidRPr="00D826A1">
              <w:rPr>
                <w:rFonts w:ascii="Calibri" w:hAnsi="Calibri" w:cs="Calibri"/>
                <w:b/>
                <w:bCs/>
                <w:color w:val="000000"/>
                <w:sz w:val="22"/>
              </w:rPr>
              <w:t>13</w:t>
            </w:r>
          </w:p>
        </w:tc>
        <w:tc>
          <w:tcPr>
            <w:tcW w:w="786" w:type="dxa"/>
            <w:tcBorders>
              <w:top w:val="single" w:sz="8" w:space="0" w:color="000000"/>
              <w:bottom w:val="single" w:sz="8" w:space="0" w:color="000000"/>
            </w:tcBorders>
            <w:vAlign w:val="bottom"/>
          </w:tcPr>
          <w:p w14:paraId="05B5B85C" w14:textId="77777777" w:rsidR="00E77384" w:rsidRPr="00D826A1" w:rsidRDefault="00E77384" w:rsidP="00674124">
            <w:pPr>
              <w:pStyle w:val="Tablebodytext"/>
              <w:jc w:val="right"/>
            </w:pPr>
            <w:r w:rsidRPr="00D826A1">
              <w:rPr>
                <w:rFonts w:ascii="Calibri" w:hAnsi="Calibri" w:cs="Calibri"/>
                <w:b/>
                <w:bCs/>
                <w:color w:val="000000"/>
                <w:sz w:val="22"/>
              </w:rPr>
              <w:t>0</w:t>
            </w:r>
          </w:p>
        </w:tc>
        <w:tc>
          <w:tcPr>
            <w:tcW w:w="787" w:type="dxa"/>
            <w:tcBorders>
              <w:top w:val="single" w:sz="8" w:space="0" w:color="000000"/>
              <w:bottom w:val="single" w:sz="8" w:space="0" w:color="000000"/>
            </w:tcBorders>
            <w:vAlign w:val="bottom"/>
          </w:tcPr>
          <w:p w14:paraId="276E5845"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2</w:t>
            </w:r>
          </w:p>
        </w:tc>
        <w:tc>
          <w:tcPr>
            <w:tcW w:w="786" w:type="dxa"/>
            <w:tcBorders>
              <w:top w:val="single" w:sz="8" w:space="0" w:color="000000"/>
              <w:bottom w:val="single" w:sz="8" w:space="0" w:color="000000"/>
            </w:tcBorders>
            <w:vAlign w:val="bottom"/>
          </w:tcPr>
          <w:p w14:paraId="4F3D2768"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7" w:type="dxa"/>
            <w:tcBorders>
              <w:top w:val="single" w:sz="8" w:space="0" w:color="000000"/>
              <w:bottom w:val="single" w:sz="8" w:space="0" w:color="000000"/>
            </w:tcBorders>
            <w:vAlign w:val="bottom"/>
          </w:tcPr>
          <w:p w14:paraId="781DA089"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7" w:type="dxa"/>
            <w:tcBorders>
              <w:top w:val="single" w:sz="8" w:space="0" w:color="000000"/>
              <w:bottom w:val="single" w:sz="8" w:space="0" w:color="000000"/>
            </w:tcBorders>
            <w:vAlign w:val="bottom"/>
          </w:tcPr>
          <w:p w14:paraId="23A4AD38"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w:t>
            </w:r>
          </w:p>
        </w:tc>
        <w:tc>
          <w:tcPr>
            <w:tcW w:w="786" w:type="dxa"/>
            <w:tcBorders>
              <w:top w:val="single" w:sz="8" w:space="0" w:color="000000"/>
              <w:bottom w:val="single" w:sz="8" w:space="0" w:color="000000"/>
            </w:tcBorders>
            <w:vAlign w:val="bottom"/>
          </w:tcPr>
          <w:p w14:paraId="7F960426"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1</w:t>
            </w:r>
          </w:p>
        </w:tc>
        <w:tc>
          <w:tcPr>
            <w:tcW w:w="787" w:type="dxa"/>
            <w:tcBorders>
              <w:top w:val="single" w:sz="8" w:space="0" w:color="000000"/>
              <w:bottom w:val="single" w:sz="8" w:space="0" w:color="000000"/>
            </w:tcBorders>
            <w:vAlign w:val="bottom"/>
          </w:tcPr>
          <w:p w14:paraId="392A1898"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4</w:t>
            </w:r>
          </w:p>
        </w:tc>
        <w:tc>
          <w:tcPr>
            <w:tcW w:w="731" w:type="dxa"/>
            <w:tcBorders>
              <w:top w:val="single" w:sz="8" w:space="0" w:color="000000"/>
              <w:bottom w:val="single" w:sz="8" w:space="0" w:color="000000"/>
              <w:right w:val="single" w:sz="4" w:space="0" w:color="auto"/>
            </w:tcBorders>
            <w:vAlign w:val="bottom"/>
          </w:tcPr>
          <w:p w14:paraId="1EFE638D"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4</w:t>
            </w:r>
          </w:p>
        </w:tc>
        <w:tc>
          <w:tcPr>
            <w:tcW w:w="706" w:type="dxa"/>
            <w:tcBorders>
              <w:top w:val="single" w:sz="8" w:space="0" w:color="000000"/>
              <w:left w:val="single" w:sz="4" w:space="0" w:color="auto"/>
              <w:bottom w:val="single" w:sz="8" w:space="0" w:color="000000"/>
            </w:tcBorders>
            <w:vAlign w:val="bottom"/>
          </w:tcPr>
          <w:p w14:paraId="203DD405" w14:textId="77777777" w:rsidR="00E77384" w:rsidRPr="00D826A1" w:rsidRDefault="00E77384" w:rsidP="00674124">
            <w:pPr>
              <w:pStyle w:val="Tablebodytext"/>
              <w:jc w:val="right"/>
              <w:rPr>
                <w:rFonts w:ascii="Calibri" w:hAnsi="Calibri" w:cs="Calibri"/>
                <w:b/>
                <w:bCs/>
                <w:color w:val="000000"/>
                <w:sz w:val="22"/>
              </w:rPr>
            </w:pPr>
            <w:r w:rsidRPr="00D826A1">
              <w:rPr>
                <w:rFonts w:ascii="Calibri" w:hAnsi="Calibri" w:cs="Calibri"/>
                <w:b/>
                <w:bCs/>
                <w:color w:val="000000"/>
                <w:sz w:val="22"/>
              </w:rPr>
              <w:t>33</w:t>
            </w:r>
          </w:p>
        </w:tc>
      </w:tr>
    </w:tbl>
    <w:p w14:paraId="0FD18D49" w14:textId="77777777" w:rsidR="00E77384" w:rsidRPr="00D826A1" w:rsidRDefault="00E77384" w:rsidP="00E77384"/>
    <w:p w14:paraId="52CE27D4" w14:textId="77777777" w:rsidR="00375DF3" w:rsidRPr="00D826A1" w:rsidRDefault="00375DF3" w:rsidP="00080A13">
      <w:pPr>
        <w:pStyle w:val="Appendix"/>
        <w:sectPr w:rsidR="00375DF3" w:rsidRPr="00D826A1" w:rsidSect="00D273E8">
          <w:headerReference w:type="even" r:id="rId38"/>
          <w:headerReference w:type="default" r:id="rId39"/>
          <w:footerReference w:type="default" r:id="rId40"/>
          <w:type w:val="continuous"/>
          <w:pgSz w:w="11906" w:h="16838" w:code="9"/>
          <w:pgMar w:top="1418" w:right="1418" w:bottom="1418" w:left="1418" w:header="567" w:footer="567" w:gutter="0"/>
          <w:cols w:space="708"/>
          <w:docGrid w:linePitch="360"/>
        </w:sectPr>
      </w:pPr>
      <w:bookmarkStart w:id="162" w:name="_Toc3968719"/>
      <w:bookmarkEnd w:id="1"/>
      <w:bookmarkEnd w:id="2"/>
    </w:p>
    <w:bookmarkEnd w:id="162"/>
    <w:p w14:paraId="46B29993" w14:textId="77777777" w:rsidR="00E562BA" w:rsidRPr="00807725" w:rsidRDefault="00E562BA" w:rsidP="00807725"/>
    <w:sectPr w:rsidR="00E562BA" w:rsidRPr="00807725" w:rsidSect="001334F9">
      <w:headerReference w:type="default" r:id="rId41"/>
      <w:footerReference w:type="default" r:id="rId42"/>
      <w:pgSz w:w="11906" w:h="16838" w:code="9"/>
      <w:pgMar w:top="1418"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E2818" w14:textId="77777777" w:rsidR="00266616" w:rsidRDefault="00266616" w:rsidP="00E562BA">
      <w:pPr>
        <w:spacing w:after="0" w:line="240" w:lineRule="auto"/>
      </w:pPr>
      <w:r>
        <w:separator/>
      </w:r>
    </w:p>
    <w:p w14:paraId="17E51563" w14:textId="77777777" w:rsidR="00266616" w:rsidRDefault="00266616"/>
    <w:p w14:paraId="4A722366" w14:textId="77777777" w:rsidR="00266616" w:rsidRDefault="00266616"/>
  </w:endnote>
  <w:endnote w:type="continuationSeparator" w:id="0">
    <w:p w14:paraId="74416ADF" w14:textId="77777777" w:rsidR="00266616" w:rsidRDefault="00266616" w:rsidP="00E562BA">
      <w:pPr>
        <w:spacing w:after="0" w:line="240" w:lineRule="auto"/>
      </w:pPr>
      <w:r>
        <w:continuationSeparator/>
      </w:r>
    </w:p>
    <w:p w14:paraId="0CADE4C0" w14:textId="77777777" w:rsidR="00266616" w:rsidRDefault="00266616"/>
    <w:p w14:paraId="062D576B" w14:textId="77777777" w:rsidR="00266616" w:rsidRDefault="00266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Look w:val="04A0" w:firstRow="1" w:lastRow="0" w:firstColumn="1" w:lastColumn="0" w:noHBand="0" w:noVBand="1"/>
    </w:tblPr>
    <w:tblGrid>
      <w:gridCol w:w="4428"/>
      <w:gridCol w:w="2340"/>
      <w:gridCol w:w="2520"/>
    </w:tblGrid>
    <w:tr w:rsidR="00CD7DEE" w:rsidRPr="004F4B82" w14:paraId="11D09AA6" w14:textId="77777777" w:rsidTr="00147661">
      <w:trPr>
        <w:trHeight w:val="1012"/>
      </w:trPr>
      <w:tc>
        <w:tcPr>
          <w:tcW w:w="4428" w:type="dxa"/>
          <w:shd w:val="clear" w:color="auto" w:fill="auto"/>
          <w:vAlign w:val="center"/>
        </w:tcPr>
        <w:p w14:paraId="556316EF" w14:textId="77777777" w:rsidR="00CD7DEE" w:rsidRPr="004F4B82" w:rsidRDefault="00CD7DEE" w:rsidP="00147661">
          <w:pPr>
            <w:rPr>
              <w:rFonts w:cs="Segoe UI"/>
            </w:rPr>
          </w:pPr>
          <w:r w:rsidRPr="004F4B82">
            <w:rPr>
              <w:rFonts w:cs="Segoe UI"/>
              <w:noProof/>
              <w:lang w:eastAsia="en-AU"/>
            </w:rPr>
            <w:drawing>
              <wp:inline distT="0" distB="0" distL="0" distR="0" wp14:anchorId="29A349D0" wp14:editId="24A56A20">
                <wp:extent cx="1828800" cy="522219"/>
                <wp:effectExtent l="0" t="0" r="0" b="0"/>
                <wp:docPr id="36" name="Picture 17" descr="ARTD Consultants logo" title="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522219"/>
                        </a:xfrm>
                        <a:prstGeom prst="rect">
                          <a:avLst/>
                        </a:prstGeom>
                        <a:noFill/>
                        <a:ln w="9525">
                          <a:noFill/>
                          <a:miter lim="800000"/>
                          <a:headEnd/>
                          <a:tailEnd/>
                        </a:ln>
                      </pic:spPr>
                    </pic:pic>
                  </a:graphicData>
                </a:graphic>
              </wp:inline>
            </w:drawing>
          </w:r>
        </w:p>
      </w:tc>
      <w:tc>
        <w:tcPr>
          <w:tcW w:w="2340" w:type="dxa"/>
          <w:shd w:val="clear" w:color="auto" w:fill="auto"/>
        </w:tcPr>
        <w:p w14:paraId="5573B4A7" w14:textId="77777777" w:rsidR="00CD7DEE" w:rsidRPr="00A832B3" w:rsidRDefault="00CD7DEE" w:rsidP="00A832B3">
          <w:pPr>
            <w:pStyle w:val="ARTDcompanydetails"/>
          </w:pPr>
          <w:r w:rsidRPr="00A832B3">
            <w:t xml:space="preserve">ARTD Pty Ltd </w:t>
          </w:r>
        </w:p>
        <w:p w14:paraId="52E63EBD" w14:textId="77777777" w:rsidR="00CD7DEE" w:rsidRPr="00A832B3" w:rsidRDefault="00CD7DEE" w:rsidP="00A832B3">
          <w:pPr>
            <w:pStyle w:val="ARTDcompanydetails"/>
          </w:pPr>
          <w:r w:rsidRPr="00A832B3">
            <w:t xml:space="preserve">ABN 75 003 701 764 </w:t>
          </w:r>
        </w:p>
        <w:p w14:paraId="6601AADB" w14:textId="77777777" w:rsidR="00CD7DEE" w:rsidRPr="00A832B3" w:rsidRDefault="00CD7DEE" w:rsidP="00A832B3">
          <w:pPr>
            <w:pStyle w:val="ARTDcompanydetails"/>
          </w:pPr>
          <w:r w:rsidRPr="00A832B3">
            <w:t xml:space="preserve">Tel 02 9373 9900 </w:t>
          </w:r>
        </w:p>
        <w:p w14:paraId="6904775C" w14:textId="77777777" w:rsidR="00CD7DEE" w:rsidRPr="00A832B3" w:rsidRDefault="00CD7DEE" w:rsidP="00A832B3">
          <w:pPr>
            <w:pStyle w:val="ARTDcompanydetails"/>
          </w:pPr>
          <w:r w:rsidRPr="00A832B3">
            <w:t>Fax 02 9373 9998</w:t>
          </w:r>
        </w:p>
      </w:tc>
      <w:tc>
        <w:tcPr>
          <w:tcW w:w="2520" w:type="dxa"/>
          <w:shd w:val="clear" w:color="auto" w:fill="auto"/>
        </w:tcPr>
        <w:p w14:paraId="6B640286" w14:textId="77777777" w:rsidR="00CD7DEE" w:rsidRPr="00A832B3" w:rsidRDefault="00CD7DEE" w:rsidP="00A832B3">
          <w:pPr>
            <w:pStyle w:val="ARTDcompanydetails"/>
          </w:pPr>
          <w:r w:rsidRPr="00A832B3">
            <w:t xml:space="preserve">Level 4, 352 Kent St Sydney </w:t>
          </w:r>
        </w:p>
        <w:p w14:paraId="76C1C36A" w14:textId="77777777" w:rsidR="00CD7DEE" w:rsidRPr="00A832B3" w:rsidRDefault="00CD7DEE" w:rsidP="00A832B3">
          <w:pPr>
            <w:pStyle w:val="ARTDcompanydetails"/>
          </w:pPr>
          <w:r w:rsidRPr="00A832B3">
            <w:t xml:space="preserve">PO Box 1167 </w:t>
          </w:r>
        </w:p>
        <w:p w14:paraId="0272B9B7" w14:textId="77777777" w:rsidR="00CD7DEE" w:rsidRPr="00A832B3" w:rsidRDefault="00CD7DEE" w:rsidP="00A832B3">
          <w:pPr>
            <w:pStyle w:val="ARTDcompanydetails"/>
          </w:pPr>
          <w:r w:rsidRPr="00A832B3">
            <w:t xml:space="preserve">Queen Victoria Building </w:t>
          </w:r>
        </w:p>
        <w:p w14:paraId="064B4CDE" w14:textId="77777777" w:rsidR="00CD7DEE" w:rsidRPr="00A832B3" w:rsidRDefault="00CD7DEE" w:rsidP="00A832B3">
          <w:pPr>
            <w:pStyle w:val="ARTDcompanydetails"/>
          </w:pPr>
          <w:r w:rsidRPr="00A832B3">
            <w:t>NSW 1230 Australia</w:t>
          </w:r>
        </w:p>
      </w:tc>
    </w:tr>
  </w:tbl>
  <w:p w14:paraId="0AC98D0B" w14:textId="77777777" w:rsidR="00CD7DEE" w:rsidRPr="004F4B82" w:rsidRDefault="00CD7DEE" w:rsidP="00EF151F">
    <w:pPr>
      <w:spacing w:after="0" w:line="240" w:lineRule="auto"/>
      <w:rPr>
        <w:rFonts w:cs="Segoe UI"/>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958AE" w14:textId="69483185" w:rsidR="00CD7DEE" w:rsidRPr="004F4B82" w:rsidRDefault="00CD7DEE" w:rsidP="00E562BA">
    <w:pPr>
      <w:spacing w:after="0" w:line="240" w:lineRule="auto"/>
      <w:jc w:val="right"/>
      <w:rPr>
        <w:rFonts w:cs="Segoe UI"/>
        <w:szCs w:val="24"/>
      </w:rPr>
    </w:pPr>
    <w:r w:rsidRPr="004F4B82">
      <w:rPr>
        <w:rFonts w:cs="Segoe UI"/>
        <w:noProof/>
        <w:lang w:eastAsia="en-AU"/>
      </w:rPr>
      <w:drawing>
        <wp:anchor distT="0" distB="0" distL="114300" distR="114300" simplePos="0" relativeHeight="251662848" behindDoc="1" locked="0" layoutInCell="1" allowOverlap="1" wp14:anchorId="7E09828F" wp14:editId="532BA5DC">
          <wp:simplePos x="0" y="0"/>
          <wp:positionH relativeFrom="column">
            <wp:posOffset>115</wp:posOffset>
          </wp:positionH>
          <wp:positionV relativeFrom="paragraph">
            <wp:posOffset>42372</wp:posOffset>
          </wp:positionV>
          <wp:extent cx="1607820" cy="329144"/>
          <wp:effectExtent l="0" t="0" r="0" b="0"/>
          <wp:wrapNone/>
          <wp:docPr id="38" name="Picture 38" descr="ARTD Consultants logo" title="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14:sizeRelV relativeFrom="margin">
            <wp14:pctHeight>0</wp14:pctHeight>
          </wp14:sizeRelV>
        </wp:anchor>
      </w:drawing>
    </w:r>
    <w:r w:rsidRPr="004F4B82">
      <w:rPr>
        <w:rStyle w:val="PageNumber"/>
        <w:rFonts w:cs="Segoe UI"/>
        <w:szCs w:val="24"/>
      </w:rPr>
      <w:fldChar w:fldCharType="begin"/>
    </w:r>
    <w:r w:rsidRPr="004F4B82">
      <w:rPr>
        <w:rStyle w:val="PageNumber"/>
        <w:rFonts w:cs="Segoe UI"/>
        <w:szCs w:val="24"/>
      </w:rPr>
      <w:instrText xml:space="preserve"> PAGE </w:instrText>
    </w:r>
    <w:r w:rsidRPr="004F4B82">
      <w:rPr>
        <w:rStyle w:val="PageNumber"/>
        <w:rFonts w:cs="Segoe UI"/>
        <w:szCs w:val="24"/>
      </w:rPr>
      <w:fldChar w:fldCharType="separate"/>
    </w:r>
    <w:r>
      <w:rPr>
        <w:rStyle w:val="PageNumber"/>
        <w:rFonts w:cs="Segoe UI"/>
        <w:noProof/>
        <w:szCs w:val="24"/>
      </w:rPr>
      <w:t>iii</w:t>
    </w:r>
    <w:r w:rsidRPr="004F4B82">
      <w:rPr>
        <w:rStyle w:val="PageNumber"/>
        <w:rFonts w:cs="Segoe UI"/>
        <w:szCs w:val="24"/>
      </w:rPr>
      <w:fldChar w:fldCharType="end"/>
    </w:r>
  </w:p>
  <w:p w14:paraId="5A0BFA7A" w14:textId="77777777" w:rsidR="00CD7DEE" w:rsidRPr="004F4B82" w:rsidRDefault="00CD7DEE" w:rsidP="00E562BA">
    <w:pPr>
      <w:spacing w:after="0" w:line="240" w:lineRule="auto"/>
      <w:rPr>
        <w:rFonts w:cs="Segoe UI"/>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2D84" w14:textId="2E6A6F37" w:rsidR="00CD7DEE" w:rsidRPr="0068330C" w:rsidRDefault="00CD7DEE" w:rsidP="00E562BA">
    <w:pPr>
      <w:spacing w:after="0" w:line="240" w:lineRule="auto"/>
      <w:jc w:val="right"/>
      <w:rPr>
        <w:szCs w:val="24"/>
      </w:rPr>
    </w:pPr>
    <w:r>
      <w:rPr>
        <w:noProof/>
        <w:lang w:eastAsia="en-AU"/>
      </w:rPr>
      <w:drawing>
        <wp:anchor distT="0" distB="0" distL="114300" distR="114300" simplePos="0" relativeHeight="251654656" behindDoc="1" locked="0" layoutInCell="1" allowOverlap="1" wp14:anchorId="37A55AC7" wp14:editId="64412DCA">
          <wp:simplePos x="0" y="0"/>
          <wp:positionH relativeFrom="column">
            <wp:posOffset>115</wp:posOffset>
          </wp:positionH>
          <wp:positionV relativeFrom="paragraph">
            <wp:posOffset>38086</wp:posOffset>
          </wp:positionV>
          <wp:extent cx="1607820" cy="329144"/>
          <wp:effectExtent l="0" t="0" r="0" b="0"/>
          <wp:wrapNone/>
          <wp:docPr id="39" name="Picture 39" descr="ARTD Consultants logo" title="ARTD 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_logo_www.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7820" cy="329144"/>
                  </a:xfrm>
                  <a:prstGeom prst="rect">
                    <a:avLst/>
                  </a:prstGeom>
                  <a:noFill/>
                </pic:spPr>
              </pic:pic>
            </a:graphicData>
          </a:graphic>
          <wp14:sizeRelV relativeFrom="margin">
            <wp14:pctHeight>0</wp14:pctHeight>
          </wp14:sizeRelV>
        </wp:anchor>
      </w:drawing>
    </w:r>
    <w:r w:rsidRPr="0068330C">
      <w:rPr>
        <w:rStyle w:val="PageNumber"/>
        <w:szCs w:val="24"/>
      </w:rPr>
      <w:fldChar w:fldCharType="begin"/>
    </w:r>
    <w:r w:rsidRPr="0068330C">
      <w:rPr>
        <w:rStyle w:val="PageNumber"/>
        <w:szCs w:val="24"/>
      </w:rPr>
      <w:instrText xml:space="preserve"> PAGE </w:instrText>
    </w:r>
    <w:r w:rsidRPr="0068330C">
      <w:rPr>
        <w:rStyle w:val="PageNumber"/>
        <w:szCs w:val="24"/>
      </w:rPr>
      <w:fldChar w:fldCharType="separate"/>
    </w:r>
    <w:r>
      <w:rPr>
        <w:rStyle w:val="PageNumber"/>
        <w:noProof/>
        <w:szCs w:val="24"/>
      </w:rPr>
      <w:t>21</w:t>
    </w:r>
    <w:r w:rsidRPr="0068330C">
      <w:rPr>
        <w:rStyle w:val="PageNumber"/>
        <w:szCs w:val="24"/>
      </w:rPr>
      <w:fldChar w:fldCharType="end"/>
    </w:r>
  </w:p>
  <w:p w14:paraId="4140E091" w14:textId="77777777" w:rsidR="00CD7DEE" w:rsidRPr="0068330C" w:rsidRDefault="00CD7DEE" w:rsidP="00E562BA">
    <w:pPr>
      <w:spacing w:after="0" w:line="240" w:lineRule="auto"/>
      <w:rPr>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52827" w14:textId="77777777" w:rsidR="00CD7DEE" w:rsidRPr="0068330C" w:rsidRDefault="00CD7DEE" w:rsidP="00E562BA">
    <w:pPr>
      <w:spacing w:after="0" w:line="240" w:lineRule="auto"/>
      <w:jc w:val="right"/>
      <w:rPr>
        <w:szCs w:val="24"/>
      </w:rPr>
    </w:pPr>
  </w:p>
  <w:p w14:paraId="72222792" w14:textId="77777777" w:rsidR="00CD7DEE" w:rsidRPr="0068330C" w:rsidRDefault="00CD7DEE" w:rsidP="00E562BA">
    <w:pPr>
      <w:spacing w:after="0" w:line="240" w:lineRule="auto"/>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0F7BC" w14:textId="77777777" w:rsidR="00266616" w:rsidRDefault="00266616" w:rsidP="00B0160F">
      <w:pPr>
        <w:spacing w:after="0" w:line="240" w:lineRule="auto"/>
      </w:pPr>
      <w:r>
        <w:separator/>
      </w:r>
    </w:p>
  </w:footnote>
  <w:footnote w:type="continuationSeparator" w:id="0">
    <w:p w14:paraId="12DD95F1" w14:textId="77777777" w:rsidR="00266616" w:rsidRDefault="00266616" w:rsidP="00E562BA">
      <w:pPr>
        <w:spacing w:after="0" w:line="240" w:lineRule="auto"/>
      </w:pPr>
      <w:r>
        <w:continuationSeparator/>
      </w:r>
    </w:p>
    <w:p w14:paraId="59CDFBC4" w14:textId="77777777" w:rsidR="00266616" w:rsidRDefault="00266616"/>
    <w:p w14:paraId="4E407767" w14:textId="77777777" w:rsidR="00266616" w:rsidRDefault="00266616"/>
  </w:footnote>
  <w:footnote w:id="1">
    <w:p w14:paraId="23120BB2" w14:textId="1DAE684A" w:rsidR="00CD7DEE" w:rsidRDefault="00CD7DEE" w:rsidP="00E77384">
      <w:pPr>
        <w:pStyle w:val="Notes"/>
      </w:pPr>
      <w:r>
        <w:rPr>
          <w:rStyle w:val="FootnoteReference"/>
        </w:rPr>
        <w:footnoteRef/>
      </w:r>
      <w:r>
        <w:t xml:space="preserve"> With the exception of questions aimed at ARC and Industry Growth Centre stakeholders which were separately vetted by the Program Evaluation section at the ARC.</w:t>
      </w:r>
    </w:p>
  </w:footnote>
  <w:footnote w:id="2">
    <w:p w14:paraId="3410A992" w14:textId="26233A37" w:rsidR="00CD7DEE" w:rsidRDefault="00CD7DEE">
      <w:pPr>
        <w:pStyle w:val="FootnoteText"/>
      </w:pPr>
      <w:r>
        <w:rPr>
          <w:rStyle w:val="FootnoteReference"/>
        </w:rPr>
        <w:footnoteRef/>
      </w:r>
      <w:r>
        <w:t xml:space="preserve"> The question language was: “How useful were the following ARC sources of information and advice in supporting the establishment of your [Hub/Centre]” – while there was a prefacing statement that stated that questions related to the establishment and post-establishment phases, it is possible that respondents limited their views to the role of information and advice in the establishment phase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A2593" w14:textId="04BA1C34" w:rsidR="00CD7DEE" w:rsidRPr="00EB41D7" w:rsidRDefault="00CD7DEE">
    <w:pPr>
      <w:pStyle w:val="Header"/>
      <w:rPr>
        <w:rFonts w:cs="Segoe UI"/>
      </w:rPr>
    </w:pPr>
    <w:r>
      <w:rPr>
        <w:rFonts w:cs="Segoe UI"/>
      </w:rPr>
      <w:t>Final</w:t>
    </w:r>
    <w:r w:rsidRPr="00EB41D7">
      <w:rPr>
        <w:rFonts w:cs="Segoe UI"/>
      </w:rPr>
      <w:tab/>
    </w:r>
    <w:r w:rsidRPr="00EB41D7">
      <w:rPr>
        <w:rFonts w:cs="Segoe UI"/>
      </w:rPr>
      <w:tab/>
      <w:t>ITRP Evaluation Findings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0ED0D" w14:textId="77777777" w:rsidR="00CD7DEE" w:rsidRDefault="00CD7DEE">
    <w:pPr>
      <w:pStyle w:val="Header"/>
    </w:pPr>
    <w:r w:rsidRPr="00790A83">
      <w:rPr>
        <w:noProof/>
        <w:lang w:eastAsia="en-AU"/>
      </w:rPr>
      <w:drawing>
        <wp:anchor distT="0" distB="0" distL="114300" distR="114300" simplePos="0" relativeHeight="251663872" behindDoc="1" locked="0" layoutInCell="1" allowOverlap="1" wp14:anchorId="350324D8" wp14:editId="4909FDB5">
          <wp:simplePos x="0" y="0"/>
          <wp:positionH relativeFrom="column">
            <wp:posOffset>-900430</wp:posOffset>
          </wp:positionH>
          <wp:positionV relativeFrom="page">
            <wp:posOffset>0</wp:posOffset>
          </wp:positionV>
          <wp:extent cx="7563484" cy="10695883"/>
          <wp:effectExtent l="0" t="0" r="0" b="0"/>
          <wp:wrapNone/>
          <wp:docPr id="37" name="Picture 7" descr="front page cover image with text saying survey and interviews for the evaluation of the industrial transformation research program" title="Front pag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D A4 Report Cover 14bOct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484" cy="10695883"/>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908D" w14:textId="77777777" w:rsidR="00CD7DEE" w:rsidRDefault="00CD7D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35C75" w14:textId="77777777" w:rsidR="00CD7DEE" w:rsidRDefault="00CD7D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8F87" w14:textId="77777777" w:rsidR="00CD7DEE" w:rsidRDefault="00CD7DEE">
    <w:pPr>
      <w:pStyle w:val="Header"/>
    </w:pPr>
    <w:r>
      <w:rPr>
        <w:rFonts w:cs="Segoe UI"/>
        <w:noProof/>
        <w:lang w:eastAsia="en-AU"/>
      </w:rPr>
      <w:drawing>
        <wp:anchor distT="0" distB="0" distL="114300" distR="114300" simplePos="0" relativeHeight="251660800" behindDoc="1" locked="0" layoutInCell="1" allowOverlap="1" wp14:anchorId="37DC017C" wp14:editId="65FE4BBC">
          <wp:simplePos x="0" y="0"/>
          <wp:positionH relativeFrom="margin">
            <wp:align>center</wp:align>
          </wp:positionH>
          <wp:positionV relativeFrom="margin">
            <wp:align>center</wp:align>
          </wp:positionV>
          <wp:extent cx="7556223" cy="10688400"/>
          <wp:effectExtent l="0" t="0" r="6985" b="0"/>
          <wp:wrapNone/>
          <wp:docPr id="6" name="Picture 6" descr="Back cover image" title="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D methods - how we do our work\Reporting\Desktop publishing\2015 Templates_in progress\2 - Word templates\Back page FIN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223"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C3E"/>
    <w:multiLevelType w:val="multilevel"/>
    <w:tmpl w:val="A860E952"/>
    <w:styleLink w:val="Numbers"/>
    <w:lvl w:ilvl="0">
      <w:start w:val="1"/>
      <w:numFmt w:val="decimal"/>
      <w:pStyle w:val="ListNumber"/>
      <w:lvlText w:val="%1."/>
      <w:lvlJc w:val="left"/>
      <w:pPr>
        <w:tabs>
          <w:tab w:val="num" w:pos="454"/>
        </w:tabs>
        <w:ind w:left="454" w:hanging="454"/>
      </w:pPr>
      <w:rPr>
        <w:rFonts w:hint="default"/>
      </w:rPr>
    </w:lvl>
    <w:lvl w:ilvl="1">
      <w:start w:val="1"/>
      <w:numFmt w:val="lowerLetter"/>
      <w:pStyle w:val="Listletterlevel2"/>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1C75AA4"/>
    <w:multiLevelType w:val="hybridMultilevel"/>
    <w:tmpl w:val="1A2AF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D0537"/>
    <w:multiLevelType w:val="multilevel"/>
    <w:tmpl w:val="139496F0"/>
    <w:styleLink w:val="TableBulletDash"/>
    <w:lvl w:ilvl="0">
      <w:numFmt w:val="bullet"/>
      <w:lvlText w:val="–"/>
      <w:lvlJc w:val="left"/>
      <w:pPr>
        <w:tabs>
          <w:tab w:val="num" w:pos="567"/>
        </w:tabs>
        <w:ind w:left="567" w:hanging="283"/>
      </w:pPr>
      <w:rPr>
        <w:rFonts w:ascii="Arial" w:hAnsi="Aria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0A65307"/>
    <w:multiLevelType w:val="multilevel"/>
    <w:tmpl w:val="D16CDC40"/>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9422B8A"/>
    <w:multiLevelType w:val="hybridMultilevel"/>
    <w:tmpl w:val="F8C2E21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6" w15:restartNumberingAfterBreak="0">
    <w:nsid w:val="1DC94F5E"/>
    <w:multiLevelType w:val="multilevel"/>
    <w:tmpl w:val="A860E952"/>
    <w:numStyleLink w:val="Numbers"/>
  </w:abstractNum>
  <w:abstractNum w:abstractNumId="7" w15:restartNumberingAfterBreak="0">
    <w:nsid w:val="210C7510"/>
    <w:multiLevelType w:val="multilevel"/>
    <w:tmpl w:val="FD8EC2D8"/>
    <w:styleLink w:val="TableNumbers"/>
    <w:lvl w:ilvl="0">
      <w:start w:val="1"/>
      <w:numFmt w:val="decimal"/>
      <w:pStyle w:val="TableHeading"/>
      <w:lvlText w:val="Table %1."/>
      <w:lvlJc w:val="left"/>
      <w:pPr>
        <w:tabs>
          <w:tab w:val="num" w:pos="1304"/>
        </w:tabs>
        <w:ind w:left="1304" w:hanging="1304"/>
      </w:pPr>
      <w:rPr>
        <w:rFonts w:hint="default"/>
      </w:rPr>
    </w:lvl>
    <w:lvl w:ilvl="1">
      <w:start w:val="1"/>
      <w:numFmt w:val="none"/>
      <w:lvlText w:val="Tabl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167257F"/>
    <w:multiLevelType w:val="hybridMultilevel"/>
    <w:tmpl w:val="4D8EA0EA"/>
    <w:lvl w:ilvl="0" w:tplc="687E2C50">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CB6D90"/>
    <w:multiLevelType w:val="hybridMultilevel"/>
    <w:tmpl w:val="92A68CE8"/>
    <w:lvl w:ilvl="0" w:tplc="AF2E0830">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7B4C61"/>
    <w:multiLevelType w:val="hybridMultilevel"/>
    <w:tmpl w:val="C318FA8E"/>
    <w:lvl w:ilvl="0" w:tplc="0C30D2E8">
      <w:start w:val="1"/>
      <w:numFmt w:val="decimal"/>
      <w:pStyle w:val="GeneralHeading2"/>
      <w:lvlText w:val="%1."/>
      <w:lvlJc w:val="left"/>
      <w:pPr>
        <w:ind w:left="360" w:hanging="360"/>
      </w:pPr>
      <w:rPr>
        <w:rFonts w:ascii="Segoe UI" w:hAnsi="Segoe UI" w:hint="default"/>
        <w:b/>
        <w:i w:val="0"/>
        <w:color w:val="08193E" w:themeColor="accent1"/>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7A0310"/>
    <w:multiLevelType w:val="hybridMultilevel"/>
    <w:tmpl w:val="46EE9158"/>
    <w:lvl w:ilvl="0" w:tplc="A0764E90">
      <w:start w:val="2"/>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686317"/>
    <w:multiLevelType w:val="hybridMultilevel"/>
    <w:tmpl w:val="599C0CB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601CA8E6">
      <w:numFmt w:val="bullet"/>
      <w:lvlText w:val="-"/>
      <w:lvlJc w:val="left"/>
      <w:pPr>
        <w:ind w:left="2340" w:hanging="360"/>
      </w:pPr>
      <w:rPr>
        <w:rFonts w:ascii="Segoe UI" w:eastAsia="Calibri" w:hAnsi="Segoe UI" w:cs="Segoe U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BD598D"/>
    <w:multiLevelType w:val="hybridMultilevel"/>
    <w:tmpl w:val="7D86E0D8"/>
    <w:lvl w:ilvl="0" w:tplc="99BC6D96">
      <w:numFmt w:val="bullet"/>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E36DEB"/>
    <w:multiLevelType w:val="hybridMultilevel"/>
    <w:tmpl w:val="42D40B12"/>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5" w15:restartNumberingAfterBreak="0">
    <w:nsid w:val="44356712"/>
    <w:multiLevelType w:val="multilevel"/>
    <w:tmpl w:val="1922B4B2"/>
    <w:styleLink w:val="TableBullet0"/>
    <w:lvl w:ilvl="0">
      <w:start w:val="1"/>
      <w:numFmt w:val="bullet"/>
      <w:lvlText w:val=""/>
      <w:lvlJc w:val="left"/>
      <w:pPr>
        <w:tabs>
          <w:tab w:val="num" w:pos="284"/>
        </w:tabs>
        <w:ind w:left="284" w:hanging="284"/>
      </w:pPr>
      <w:rPr>
        <w:rFonts w:ascii="Symbol" w:hAnsi="Symbol"/>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ED4B27"/>
    <w:multiLevelType w:val="multilevel"/>
    <w:tmpl w:val="FD8EC2D8"/>
    <w:numStyleLink w:val="TableNumbers"/>
  </w:abstractNum>
  <w:abstractNum w:abstractNumId="17" w15:restartNumberingAfterBreak="0">
    <w:nsid w:val="479A331B"/>
    <w:multiLevelType w:val="hybridMultilevel"/>
    <w:tmpl w:val="8842C02A"/>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8" w15:restartNumberingAfterBreak="0">
    <w:nsid w:val="49B2080D"/>
    <w:multiLevelType w:val="hybridMultilevel"/>
    <w:tmpl w:val="9982759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15:restartNumberingAfterBreak="0">
    <w:nsid w:val="4AAD18DA"/>
    <w:multiLevelType w:val="hybridMultilevel"/>
    <w:tmpl w:val="312478A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0" w15:restartNumberingAfterBreak="0">
    <w:nsid w:val="4F9B3A98"/>
    <w:multiLevelType w:val="multilevel"/>
    <w:tmpl w:val="CF22094A"/>
    <w:styleLink w:val="NumberedList"/>
    <w:lvl w:ilvl="0">
      <w:start w:val="1"/>
      <w:numFmt w:val="bullet"/>
      <w:lvlText w:val=""/>
      <w:lvlJc w:val="left"/>
      <w:pPr>
        <w:tabs>
          <w:tab w:val="num" w:pos="454"/>
        </w:tabs>
        <w:ind w:left="454" w:hanging="454"/>
      </w:pPr>
      <w:rPr>
        <w:rFonts w:ascii="Wingdings" w:hAnsi="Wingdings" w:hint="default"/>
        <w:b w:val="0"/>
        <w:i w:val="0"/>
        <w:caps w:val="0"/>
        <w:strike w:val="0"/>
        <w:dstrike w:val="0"/>
        <w:vanish w:val="0"/>
        <w:color w:val="000000"/>
        <w:sz w:val="22"/>
        <w:vertAlign w:val="baseline"/>
      </w:rPr>
    </w:lvl>
    <w:lvl w:ilvl="1">
      <w:start w:val="1"/>
      <w:numFmt w:val="decimal"/>
      <w:lvlText w:val="%2."/>
      <w:lvlJc w:val="left"/>
      <w:pPr>
        <w:tabs>
          <w:tab w:val="num" w:pos="680"/>
        </w:tabs>
        <w:ind w:left="680" w:hanging="680"/>
      </w:pPr>
      <w:rPr>
        <w:rFonts w:ascii="Cambria" w:hAnsi="Cambria"/>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8F2CD6"/>
    <w:multiLevelType w:val="multilevel"/>
    <w:tmpl w:val="AA585DFC"/>
    <w:styleLink w:val="Headings"/>
    <w:lvl w:ilvl="0">
      <w:start w:val="1"/>
      <w:numFmt w:val="decimal"/>
      <w:pStyle w:val="Heading1"/>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22" w15:restartNumberingAfterBreak="0">
    <w:nsid w:val="5E2D3A44"/>
    <w:multiLevelType w:val="hybridMultilevel"/>
    <w:tmpl w:val="13AE570C"/>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3" w15:restartNumberingAfterBreak="0">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31D2940"/>
    <w:multiLevelType w:val="multilevel"/>
    <w:tmpl w:val="3DE617F8"/>
    <w:numStyleLink w:val="FigureNumbers"/>
  </w:abstractNum>
  <w:abstractNum w:abstractNumId="25" w15:restartNumberingAfterBreak="0">
    <w:nsid w:val="64345B21"/>
    <w:multiLevelType w:val="hybridMultilevel"/>
    <w:tmpl w:val="B05AF740"/>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26" w15:restartNumberingAfterBreak="0">
    <w:nsid w:val="657C1980"/>
    <w:multiLevelType w:val="hybridMultilevel"/>
    <w:tmpl w:val="9982759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15:restartNumberingAfterBreak="0">
    <w:nsid w:val="69C20D09"/>
    <w:multiLevelType w:val="hybridMultilevel"/>
    <w:tmpl w:val="9982759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6E952781"/>
    <w:multiLevelType w:val="hybridMultilevel"/>
    <w:tmpl w:val="5F641594"/>
    <w:lvl w:ilvl="0" w:tplc="1CA6729E">
      <w:start w:val="1"/>
      <w:numFmt w:val="decimal"/>
      <w:pStyle w:val="Appendix"/>
      <w:lvlText w:val="Appendix %1."/>
      <w:lvlJc w:val="left"/>
      <w:pPr>
        <w:ind w:left="360" w:hanging="360"/>
      </w:pPr>
      <w:rPr>
        <w:rFonts w:cs="Times New Roman"/>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0CE5CED"/>
    <w:multiLevelType w:val="multilevel"/>
    <w:tmpl w:val="2A9AA854"/>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9752"/>
        </w:tabs>
        <w:ind w:left="9752" w:hanging="680"/>
      </w:pPr>
      <w:rPr>
        <w:rFonts w:hint="default"/>
      </w:rPr>
    </w:lvl>
    <w:lvl w:ilvl="2">
      <w:start w:val="1"/>
      <w:numFmt w:val="decimal"/>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30" w15:restartNumberingAfterBreak="0">
    <w:nsid w:val="737D598B"/>
    <w:multiLevelType w:val="hybridMultilevel"/>
    <w:tmpl w:val="E3888E9E"/>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1" w15:restartNumberingAfterBreak="0">
    <w:nsid w:val="73AE2FF6"/>
    <w:multiLevelType w:val="hybridMultilevel"/>
    <w:tmpl w:val="4F1C6BF8"/>
    <w:lvl w:ilvl="0" w:tplc="CEFA0A2E">
      <w:start w:val="1"/>
      <w:numFmt w:val="bullet"/>
      <w:pStyle w:val="Boxbullets"/>
      <w:lvlText w:val=""/>
      <w:lvlJc w:val="left"/>
      <w:pPr>
        <w:ind w:left="360" w:hanging="360"/>
      </w:pPr>
      <w:rPr>
        <w:rFonts w:ascii="Wingdings" w:hAnsi="Wingdings" w:hint="default"/>
        <w:caps w:val="0"/>
        <w:strike w:val="0"/>
        <w:dstrike w:val="0"/>
        <w:vanish w:val="0"/>
        <w:color w:val="000000"/>
        <w:sz w:val="22"/>
        <w:vertAlign w:val="baseline"/>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AD4059"/>
    <w:multiLevelType w:val="hybridMultilevel"/>
    <w:tmpl w:val="8DBCE976"/>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3" w15:restartNumberingAfterBreak="0">
    <w:nsid w:val="7C3A1164"/>
    <w:multiLevelType w:val="hybridMultilevel"/>
    <w:tmpl w:val="A0D2383C"/>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4" w15:restartNumberingAfterBreak="0">
    <w:nsid w:val="7DAB520A"/>
    <w:multiLevelType w:val="hybridMultilevel"/>
    <w:tmpl w:val="9982759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15:restartNumberingAfterBreak="0">
    <w:nsid w:val="7DD36E97"/>
    <w:multiLevelType w:val="multilevel"/>
    <w:tmpl w:val="0C207A9A"/>
    <w:numStyleLink w:val="Bullets"/>
  </w:abstractNum>
  <w:num w:numId="1">
    <w:abstractNumId w:val="8"/>
  </w:num>
  <w:num w:numId="2">
    <w:abstractNumId w:val="15"/>
  </w:num>
  <w:num w:numId="3">
    <w:abstractNumId w:val="2"/>
  </w:num>
  <w:num w:numId="4">
    <w:abstractNumId w:val="20"/>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3"/>
  </w:num>
  <w:num w:numId="9">
    <w:abstractNumId w:val="31"/>
  </w:num>
  <w:num w:numId="10">
    <w:abstractNumId w:val="7"/>
  </w:num>
  <w:num w:numId="11">
    <w:abstractNumId w:val="23"/>
  </w:num>
  <w:num w:numId="12">
    <w:abstractNumId w:val="24"/>
  </w:num>
  <w:num w:numId="13">
    <w:abstractNumId w:val="16"/>
  </w:num>
  <w:num w:numId="14">
    <w:abstractNumId w:val="0"/>
  </w:num>
  <w:num w:numId="15">
    <w:abstractNumId w:val="6"/>
  </w:num>
  <w:num w:numId="16">
    <w:abstractNumId w:val="35"/>
  </w:num>
  <w:num w:numId="17">
    <w:abstractNumId w:val="10"/>
  </w:num>
  <w:num w:numId="18">
    <w:abstractNumId w:val="28"/>
  </w:num>
  <w:num w:numId="19">
    <w:abstractNumId w:val="12"/>
  </w:num>
  <w:num w:numId="20">
    <w:abstractNumId w:val="11"/>
  </w:num>
  <w:num w:numId="21">
    <w:abstractNumId w:val="9"/>
  </w:num>
  <w:num w:numId="22">
    <w:abstractNumId w:val="13"/>
  </w:num>
  <w:num w:numId="23">
    <w:abstractNumId w:val="27"/>
  </w:num>
  <w:num w:numId="24">
    <w:abstractNumId w:val="4"/>
  </w:num>
  <w:num w:numId="25">
    <w:abstractNumId w:val="25"/>
  </w:num>
  <w:num w:numId="26">
    <w:abstractNumId w:val="30"/>
  </w:num>
  <w:num w:numId="27">
    <w:abstractNumId w:val="33"/>
  </w:num>
  <w:num w:numId="28">
    <w:abstractNumId w:val="19"/>
  </w:num>
  <w:num w:numId="29">
    <w:abstractNumId w:val="17"/>
  </w:num>
  <w:num w:numId="30">
    <w:abstractNumId w:val="22"/>
  </w:num>
  <w:num w:numId="31">
    <w:abstractNumId w:val="32"/>
  </w:num>
  <w:num w:numId="32">
    <w:abstractNumId w:val="5"/>
  </w:num>
  <w:num w:numId="33">
    <w:abstractNumId w:val="14"/>
  </w:num>
  <w:num w:numId="34">
    <w:abstractNumId w:val="16"/>
    <w:lvlOverride w:ilvl="0">
      <w:lvl w:ilvl="0">
        <w:start w:val="1"/>
        <w:numFmt w:val="decimal"/>
        <w:pStyle w:val="TableHeading"/>
        <w:lvlText w:val="Table %1."/>
        <w:lvlJc w:val="left"/>
        <w:pPr>
          <w:tabs>
            <w:tab w:val="num" w:pos="1304"/>
          </w:tabs>
          <w:ind w:left="1304" w:hanging="1304"/>
        </w:pPr>
        <w:rPr>
          <w:rFonts w:hint="default"/>
          <w:b/>
        </w:rPr>
      </w:lvl>
    </w:lvlOverride>
  </w:num>
  <w:num w:numId="35">
    <w:abstractNumId w:val="26"/>
  </w:num>
  <w:num w:numId="36">
    <w:abstractNumId w:val="34"/>
  </w:num>
  <w:num w:numId="37">
    <w:abstractNumId w:val="1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rawingGridHorizontalSpacing w:val="105"/>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29"/>
    <w:rsid w:val="00001DD0"/>
    <w:rsid w:val="00010046"/>
    <w:rsid w:val="00011507"/>
    <w:rsid w:val="00013F9D"/>
    <w:rsid w:val="000155F2"/>
    <w:rsid w:val="00016343"/>
    <w:rsid w:val="0001668B"/>
    <w:rsid w:val="00017FDA"/>
    <w:rsid w:val="0002056C"/>
    <w:rsid w:val="0002230A"/>
    <w:rsid w:val="00027126"/>
    <w:rsid w:val="00027A7B"/>
    <w:rsid w:val="00036C15"/>
    <w:rsid w:val="000404AF"/>
    <w:rsid w:val="0004230B"/>
    <w:rsid w:val="00044BEF"/>
    <w:rsid w:val="00052329"/>
    <w:rsid w:val="000536CA"/>
    <w:rsid w:val="00055772"/>
    <w:rsid w:val="000575B1"/>
    <w:rsid w:val="00061478"/>
    <w:rsid w:val="00063373"/>
    <w:rsid w:val="00074C82"/>
    <w:rsid w:val="000765EC"/>
    <w:rsid w:val="00080A13"/>
    <w:rsid w:val="00085133"/>
    <w:rsid w:val="00087199"/>
    <w:rsid w:val="00090E8F"/>
    <w:rsid w:val="00091C7D"/>
    <w:rsid w:val="00096F17"/>
    <w:rsid w:val="000977B2"/>
    <w:rsid w:val="000A095D"/>
    <w:rsid w:val="000A0FAE"/>
    <w:rsid w:val="000A49FB"/>
    <w:rsid w:val="000A58E0"/>
    <w:rsid w:val="000C1175"/>
    <w:rsid w:val="000C13A9"/>
    <w:rsid w:val="000C1B62"/>
    <w:rsid w:val="000C308E"/>
    <w:rsid w:val="000C3674"/>
    <w:rsid w:val="000C423D"/>
    <w:rsid w:val="000C4C95"/>
    <w:rsid w:val="000C5851"/>
    <w:rsid w:val="000D037C"/>
    <w:rsid w:val="000D1489"/>
    <w:rsid w:val="000D5568"/>
    <w:rsid w:val="000D7694"/>
    <w:rsid w:val="000E18CF"/>
    <w:rsid w:val="000E41BE"/>
    <w:rsid w:val="000F0D4C"/>
    <w:rsid w:val="000F4A64"/>
    <w:rsid w:val="0010522F"/>
    <w:rsid w:val="00106748"/>
    <w:rsid w:val="00106C17"/>
    <w:rsid w:val="001151BD"/>
    <w:rsid w:val="00115274"/>
    <w:rsid w:val="001175B2"/>
    <w:rsid w:val="00117D99"/>
    <w:rsid w:val="00123953"/>
    <w:rsid w:val="00130B52"/>
    <w:rsid w:val="00131AE1"/>
    <w:rsid w:val="00131ED7"/>
    <w:rsid w:val="001320F7"/>
    <w:rsid w:val="001333BF"/>
    <w:rsid w:val="001334F9"/>
    <w:rsid w:val="00137989"/>
    <w:rsid w:val="001401AE"/>
    <w:rsid w:val="001424B0"/>
    <w:rsid w:val="001429BD"/>
    <w:rsid w:val="00142D6A"/>
    <w:rsid w:val="001437D8"/>
    <w:rsid w:val="00146E82"/>
    <w:rsid w:val="00147661"/>
    <w:rsid w:val="00150A8D"/>
    <w:rsid w:val="00154F2B"/>
    <w:rsid w:val="001554E4"/>
    <w:rsid w:val="001560AE"/>
    <w:rsid w:val="00161E85"/>
    <w:rsid w:val="00166A3E"/>
    <w:rsid w:val="00172329"/>
    <w:rsid w:val="00182D91"/>
    <w:rsid w:val="00183B26"/>
    <w:rsid w:val="001842BF"/>
    <w:rsid w:val="001907A3"/>
    <w:rsid w:val="00193F5E"/>
    <w:rsid w:val="0019706C"/>
    <w:rsid w:val="00197833"/>
    <w:rsid w:val="001A0E52"/>
    <w:rsid w:val="001A1B05"/>
    <w:rsid w:val="001A3D12"/>
    <w:rsid w:val="001A6ADE"/>
    <w:rsid w:val="001B01B0"/>
    <w:rsid w:val="001B1433"/>
    <w:rsid w:val="001B7265"/>
    <w:rsid w:val="001C2734"/>
    <w:rsid w:val="001C703D"/>
    <w:rsid w:val="001D0469"/>
    <w:rsid w:val="001D2223"/>
    <w:rsid w:val="001D36AA"/>
    <w:rsid w:val="001D47FF"/>
    <w:rsid w:val="001E18E6"/>
    <w:rsid w:val="001E1A17"/>
    <w:rsid w:val="001E40CD"/>
    <w:rsid w:val="001F0366"/>
    <w:rsid w:val="001F2F84"/>
    <w:rsid w:val="001F3D41"/>
    <w:rsid w:val="00203259"/>
    <w:rsid w:val="002044AE"/>
    <w:rsid w:val="00206D07"/>
    <w:rsid w:val="002129C4"/>
    <w:rsid w:val="002157BF"/>
    <w:rsid w:val="00217ADA"/>
    <w:rsid w:val="00221C3F"/>
    <w:rsid w:val="00221EA9"/>
    <w:rsid w:val="00222D90"/>
    <w:rsid w:val="00232321"/>
    <w:rsid w:val="0023365C"/>
    <w:rsid w:val="00233CCF"/>
    <w:rsid w:val="00235B63"/>
    <w:rsid w:val="00241E76"/>
    <w:rsid w:val="002422D6"/>
    <w:rsid w:val="002428F2"/>
    <w:rsid w:val="00243661"/>
    <w:rsid w:val="00245CCC"/>
    <w:rsid w:val="00246C2E"/>
    <w:rsid w:val="00254BF3"/>
    <w:rsid w:val="00260312"/>
    <w:rsid w:val="002622A9"/>
    <w:rsid w:val="00263502"/>
    <w:rsid w:val="0026469A"/>
    <w:rsid w:val="00266616"/>
    <w:rsid w:val="002666EF"/>
    <w:rsid w:val="00267232"/>
    <w:rsid w:val="00272F11"/>
    <w:rsid w:val="002758DA"/>
    <w:rsid w:val="00275D69"/>
    <w:rsid w:val="00275F42"/>
    <w:rsid w:val="00276482"/>
    <w:rsid w:val="00281831"/>
    <w:rsid w:val="002836F4"/>
    <w:rsid w:val="00291F80"/>
    <w:rsid w:val="00294B68"/>
    <w:rsid w:val="00295F91"/>
    <w:rsid w:val="00297CAE"/>
    <w:rsid w:val="002A16A2"/>
    <w:rsid w:val="002B0526"/>
    <w:rsid w:val="002B35BE"/>
    <w:rsid w:val="002B3DEB"/>
    <w:rsid w:val="002B487E"/>
    <w:rsid w:val="002B5B49"/>
    <w:rsid w:val="002C24FE"/>
    <w:rsid w:val="002C30E2"/>
    <w:rsid w:val="002C45C3"/>
    <w:rsid w:val="002D2BF9"/>
    <w:rsid w:val="002E1ECD"/>
    <w:rsid w:val="002E1FF1"/>
    <w:rsid w:val="002E68CD"/>
    <w:rsid w:val="002E71C7"/>
    <w:rsid w:val="002F0838"/>
    <w:rsid w:val="002F424D"/>
    <w:rsid w:val="002F4361"/>
    <w:rsid w:val="002F5167"/>
    <w:rsid w:val="002F59A7"/>
    <w:rsid w:val="002F60B2"/>
    <w:rsid w:val="002F6407"/>
    <w:rsid w:val="00303CE3"/>
    <w:rsid w:val="00306178"/>
    <w:rsid w:val="003062E1"/>
    <w:rsid w:val="00311160"/>
    <w:rsid w:val="00311E8D"/>
    <w:rsid w:val="0031597B"/>
    <w:rsid w:val="00317BC9"/>
    <w:rsid w:val="003243EB"/>
    <w:rsid w:val="003262E5"/>
    <w:rsid w:val="00327125"/>
    <w:rsid w:val="0033258C"/>
    <w:rsid w:val="00335670"/>
    <w:rsid w:val="00336411"/>
    <w:rsid w:val="003379E1"/>
    <w:rsid w:val="00343846"/>
    <w:rsid w:val="003439AB"/>
    <w:rsid w:val="003441DA"/>
    <w:rsid w:val="003444AE"/>
    <w:rsid w:val="00345751"/>
    <w:rsid w:val="003522BC"/>
    <w:rsid w:val="003528E8"/>
    <w:rsid w:val="003536FE"/>
    <w:rsid w:val="00353C82"/>
    <w:rsid w:val="00356B74"/>
    <w:rsid w:val="00357808"/>
    <w:rsid w:val="00363215"/>
    <w:rsid w:val="00363BFA"/>
    <w:rsid w:val="00366E14"/>
    <w:rsid w:val="003700C1"/>
    <w:rsid w:val="003708DD"/>
    <w:rsid w:val="00375A19"/>
    <w:rsid w:val="00375DF3"/>
    <w:rsid w:val="0037617D"/>
    <w:rsid w:val="0037736E"/>
    <w:rsid w:val="003779DD"/>
    <w:rsid w:val="00384963"/>
    <w:rsid w:val="003853DF"/>
    <w:rsid w:val="00390689"/>
    <w:rsid w:val="00391521"/>
    <w:rsid w:val="003973DE"/>
    <w:rsid w:val="003A06FB"/>
    <w:rsid w:val="003A15CB"/>
    <w:rsid w:val="003A1F2A"/>
    <w:rsid w:val="003A22BB"/>
    <w:rsid w:val="003A2CFF"/>
    <w:rsid w:val="003A327F"/>
    <w:rsid w:val="003A43F4"/>
    <w:rsid w:val="003B501A"/>
    <w:rsid w:val="003C57F0"/>
    <w:rsid w:val="003C6EEC"/>
    <w:rsid w:val="003D3027"/>
    <w:rsid w:val="003D3C50"/>
    <w:rsid w:val="003D3DEE"/>
    <w:rsid w:val="003D4D69"/>
    <w:rsid w:val="003D6773"/>
    <w:rsid w:val="003E1CB6"/>
    <w:rsid w:val="003E2A2B"/>
    <w:rsid w:val="003E2B72"/>
    <w:rsid w:val="003E34FB"/>
    <w:rsid w:val="003F1D32"/>
    <w:rsid w:val="003F2D52"/>
    <w:rsid w:val="003F56B9"/>
    <w:rsid w:val="003F5E85"/>
    <w:rsid w:val="003F6BFC"/>
    <w:rsid w:val="004028EF"/>
    <w:rsid w:val="004046A0"/>
    <w:rsid w:val="00404802"/>
    <w:rsid w:val="004079F9"/>
    <w:rsid w:val="004110AE"/>
    <w:rsid w:val="00416B60"/>
    <w:rsid w:val="00420E22"/>
    <w:rsid w:val="00422500"/>
    <w:rsid w:val="00423CF5"/>
    <w:rsid w:val="0042554C"/>
    <w:rsid w:val="00425C29"/>
    <w:rsid w:val="0043003A"/>
    <w:rsid w:val="00431C6B"/>
    <w:rsid w:val="00435312"/>
    <w:rsid w:val="00444341"/>
    <w:rsid w:val="00446D0E"/>
    <w:rsid w:val="0044709C"/>
    <w:rsid w:val="004527EB"/>
    <w:rsid w:val="00452D01"/>
    <w:rsid w:val="00454793"/>
    <w:rsid w:val="00460626"/>
    <w:rsid w:val="004701B4"/>
    <w:rsid w:val="00472426"/>
    <w:rsid w:val="00474952"/>
    <w:rsid w:val="004836EB"/>
    <w:rsid w:val="00484D0D"/>
    <w:rsid w:val="00485417"/>
    <w:rsid w:val="0049188E"/>
    <w:rsid w:val="00495F6A"/>
    <w:rsid w:val="004A3BF3"/>
    <w:rsid w:val="004A4A6E"/>
    <w:rsid w:val="004A5051"/>
    <w:rsid w:val="004A544D"/>
    <w:rsid w:val="004A6991"/>
    <w:rsid w:val="004A73A1"/>
    <w:rsid w:val="004A7941"/>
    <w:rsid w:val="004B452A"/>
    <w:rsid w:val="004C359F"/>
    <w:rsid w:val="004C4463"/>
    <w:rsid w:val="004C5B17"/>
    <w:rsid w:val="004D08B7"/>
    <w:rsid w:val="004D2168"/>
    <w:rsid w:val="004D49CA"/>
    <w:rsid w:val="004D4F7C"/>
    <w:rsid w:val="004D68AF"/>
    <w:rsid w:val="004E39AC"/>
    <w:rsid w:val="004E3BBB"/>
    <w:rsid w:val="004E6DDC"/>
    <w:rsid w:val="004F441C"/>
    <w:rsid w:val="004F4C01"/>
    <w:rsid w:val="00505B5B"/>
    <w:rsid w:val="00505B79"/>
    <w:rsid w:val="005111B4"/>
    <w:rsid w:val="005119B8"/>
    <w:rsid w:val="0051315F"/>
    <w:rsid w:val="0051548A"/>
    <w:rsid w:val="005162D7"/>
    <w:rsid w:val="005165B1"/>
    <w:rsid w:val="005202AC"/>
    <w:rsid w:val="00520313"/>
    <w:rsid w:val="005204BC"/>
    <w:rsid w:val="005223D5"/>
    <w:rsid w:val="00522630"/>
    <w:rsid w:val="00542057"/>
    <w:rsid w:val="00542E55"/>
    <w:rsid w:val="00544174"/>
    <w:rsid w:val="00544560"/>
    <w:rsid w:val="005445ED"/>
    <w:rsid w:val="00544C72"/>
    <w:rsid w:val="005474C2"/>
    <w:rsid w:val="0054795F"/>
    <w:rsid w:val="005503A1"/>
    <w:rsid w:val="005518CC"/>
    <w:rsid w:val="00560B89"/>
    <w:rsid w:val="00565034"/>
    <w:rsid w:val="00566107"/>
    <w:rsid w:val="00572D96"/>
    <w:rsid w:val="00572FBC"/>
    <w:rsid w:val="00582766"/>
    <w:rsid w:val="00590BD6"/>
    <w:rsid w:val="0059359B"/>
    <w:rsid w:val="00595C99"/>
    <w:rsid w:val="00596A16"/>
    <w:rsid w:val="005A088F"/>
    <w:rsid w:val="005A14FC"/>
    <w:rsid w:val="005A61A5"/>
    <w:rsid w:val="005B4202"/>
    <w:rsid w:val="005B70C7"/>
    <w:rsid w:val="005C2355"/>
    <w:rsid w:val="005C474F"/>
    <w:rsid w:val="005C565C"/>
    <w:rsid w:val="005D5097"/>
    <w:rsid w:val="005D55D0"/>
    <w:rsid w:val="005D6E37"/>
    <w:rsid w:val="005D7D59"/>
    <w:rsid w:val="005E0609"/>
    <w:rsid w:val="005E0F56"/>
    <w:rsid w:val="005E1741"/>
    <w:rsid w:val="005F1315"/>
    <w:rsid w:val="005F29D4"/>
    <w:rsid w:val="005F63E3"/>
    <w:rsid w:val="00613B1C"/>
    <w:rsid w:val="00614DED"/>
    <w:rsid w:val="00615ACA"/>
    <w:rsid w:val="00617873"/>
    <w:rsid w:val="00620DF2"/>
    <w:rsid w:val="006216B3"/>
    <w:rsid w:val="006233AB"/>
    <w:rsid w:val="00623882"/>
    <w:rsid w:val="006257C6"/>
    <w:rsid w:val="0062752A"/>
    <w:rsid w:val="00631A4C"/>
    <w:rsid w:val="0063502B"/>
    <w:rsid w:val="00640D6A"/>
    <w:rsid w:val="00644AD9"/>
    <w:rsid w:val="00646A42"/>
    <w:rsid w:val="006538C8"/>
    <w:rsid w:val="00654991"/>
    <w:rsid w:val="00656B21"/>
    <w:rsid w:val="006607E4"/>
    <w:rsid w:val="00660CA9"/>
    <w:rsid w:val="006631EE"/>
    <w:rsid w:val="006635F9"/>
    <w:rsid w:val="00664984"/>
    <w:rsid w:val="00664A7C"/>
    <w:rsid w:val="00664CBE"/>
    <w:rsid w:val="00664D18"/>
    <w:rsid w:val="00665006"/>
    <w:rsid w:val="00666BF1"/>
    <w:rsid w:val="0067297F"/>
    <w:rsid w:val="00674124"/>
    <w:rsid w:val="00676AB4"/>
    <w:rsid w:val="00677893"/>
    <w:rsid w:val="00681750"/>
    <w:rsid w:val="00681BD4"/>
    <w:rsid w:val="00681C63"/>
    <w:rsid w:val="0068339C"/>
    <w:rsid w:val="006834BE"/>
    <w:rsid w:val="00683B29"/>
    <w:rsid w:val="00690595"/>
    <w:rsid w:val="00690810"/>
    <w:rsid w:val="00690B7B"/>
    <w:rsid w:val="006976E1"/>
    <w:rsid w:val="006A1033"/>
    <w:rsid w:val="006A7A31"/>
    <w:rsid w:val="006B4E89"/>
    <w:rsid w:val="006C36DA"/>
    <w:rsid w:val="006C3B2C"/>
    <w:rsid w:val="006C3C05"/>
    <w:rsid w:val="006C5F17"/>
    <w:rsid w:val="006C6221"/>
    <w:rsid w:val="006C6E29"/>
    <w:rsid w:val="006C6EFF"/>
    <w:rsid w:val="006C73B4"/>
    <w:rsid w:val="006D0D89"/>
    <w:rsid w:val="006D1BB2"/>
    <w:rsid w:val="006D2BA7"/>
    <w:rsid w:val="006D2C88"/>
    <w:rsid w:val="006D345D"/>
    <w:rsid w:val="006D54A7"/>
    <w:rsid w:val="006D625B"/>
    <w:rsid w:val="006E46C0"/>
    <w:rsid w:val="006F101F"/>
    <w:rsid w:val="006F4003"/>
    <w:rsid w:val="006F7E76"/>
    <w:rsid w:val="00700CF6"/>
    <w:rsid w:val="00700E5B"/>
    <w:rsid w:val="00701508"/>
    <w:rsid w:val="007035AC"/>
    <w:rsid w:val="00710C0C"/>
    <w:rsid w:val="00710D88"/>
    <w:rsid w:val="00711C20"/>
    <w:rsid w:val="00716C3C"/>
    <w:rsid w:val="00720D72"/>
    <w:rsid w:val="0072491E"/>
    <w:rsid w:val="00726AB7"/>
    <w:rsid w:val="00726E3E"/>
    <w:rsid w:val="00730A35"/>
    <w:rsid w:val="0073484C"/>
    <w:rsid w:val="00735474"/>
    <w:rsid w:val="00736049"/>
    <w:rsid w:val="00744A3E"/>
    <w:rsid w:val="0074505F"/>
    <w:rsid w:val="0074620C"/>
    <w:rsid w:val="00747944"/>
    <w:rsid w:val="00751CE7"/>
    <w:rsid w:val="00756726"/>
    <w:rsid w:val="007637D8"/>
    <w:rsid w:val="00764CF0"/>
    <w:rsid w:val="007700D2"/>
    <w:rsid w:val="00775F0E"/>
    <w:rsid w:val="00776372"/>
    <w:rsid w:val="007766D7"/>
    <w:rsid w:val="00780080"/>
    <w:rsid w:val="00781F29"/>
    <w:rsid w:val="00786202"/>
    <w:rsid w:val="00786909"/>
    <w:rsid w:val="00790A83"/>
    <w:rsid w:val="00793EC2"/>
    <w:rsid w:val="00794C3A"/>
    <w:rsid w:val="007A3DD2"/>
    <w:rsid w:val="007A4F4D"/>
    <w:rsid w:val="007A50FE"/>
    <w:rsid w:val="007A61BD"/>
    <w:rsid w:val="007A6497"/>
    <w:rsid w:val="007A69DF"/>
    <w:rsid w:val="007A71DB"/>
    <w:rsid w:val="007C323B"/>
    <w:rsid w:val="007C4FFB"/>
    <w:rsid w:val="007C5BC7"/>
    <w:rsid w:val="007C61BD"/>
    <w:rsid w:val="007C6753"/>
    <w:rsid w:val="007D1650"/>
    <w:rsid w:val="007D44AA"/>
    <w:rsid w:val="007D4BED"/>
    <w:rsid w:val="007D5482"/>
    <w:rsid w:val="007D54A2"/>
    <w:rsid w:val="007E32E9"/>
    <w:rsid w:val="007E4DE0"/>
    <w:rsid w:val="007F0D2A"/>
    <w:rsid w:val="007F3D35"/>
    <w:rsid w:val="008009EB"/>
    <w:rsid w:val="00801A6D"/>
    <w:rsid w:val="0080576F"/>
    <w:rsid w:val="00806ACD"/>
    <w:rsid w:val="00807725"/>
    <w:rsid w:val="00811510"/>
    <w:rsid w:val="008138B3"/>
    <w:rsid w:val="00814891"/>
    <w:rsid w:val="00815E23"/>
    <w:rsid w:val="00816FF9"/>
    <w:rsid w:val="00817F7A"/>
    <w:rsid w:val="00822F76"/>
    <w:rsid w:val="008249B9"/>
    <w:rsid w:val="008249EE"/>
    <w:rsid w:val="00824B26"/>
    <w:rsid w:val="00825387"/>
    <w:rsid w:val="00830B1E"/>
    <w:rsid w:val="008317C3"/>
    <w:rsid w:val="0083241A"/>
    <w:rsid w:val="00833545"/>
    <w:rsid w:val="00835237"/>
    <w:rsid w:val="008370F7"/>
    <w:rsid w:val="00837E39"/>
    <w:rsid w:val="008401EA"/>
    <w:rsid w:val="00852735"/>
    <w:rsid w:val="00857B18"/>
    <w:rsid w:val="00860FFF"/>
    <w:rsid w:val="00863023"/>
    <w:rsid w:val="0086599A"/>
    <w:rsid w:val="00866EA9"/>
    <w:rsid w:val="00867975"/>
    <w:rsid w:val="00870C5F"/>
    <w:rsid w:val="00871460"/>
    <w:rsid w:val="00872A99"/>
    <w:rsid w:val="008739C0"/>
    <w:rsid w:val="00873B4D"/>
    <w:rsid w:val="00880D5A"/>
    <w:rsid w:val="0088517E"/>
    <w:rsid w:val="00886CC5"/>
    <w:rsid w:val="008938B6"/>
    <w:rsid w:val="008958F8"/>
    <w:rsid w:val="00895A2E"/>
    <w:rsid w:val="00895E46"/>
    <w:rsid w:val="008A0B55"/>
    <w:rsid w:val="008B1B0F"/>
    <w:rsid w:val="008B549B"/>
    <w:rsid w:val="008C5565"/>
    <w:rsid w:val="008C5C9F"/>
    <w:rsid w:val="008C6159"/>
    <w:rsid w:val="008C70F3"/>
    <w:rsid w:val="008D0194"/>
    <w:rsid w:val="008D2EF3"/>
    <w:rsid w:val="008D4A02"/>
    <w:rsid w:val="008D65CC"/>
    <w:rsid w:val="008E7DE2"/>
    <w:rsid w:val="008F063B"/>
    <w:rsid w:val="008F0E06"/>
    <w:rsid w:val="008F153C"/>
    <w:rsid w:val="008F2BFC"/>
    <w:rsid w:val="008F4790"/>
    <w:rsid w:val="008F4D5E"/>
    <w:rsid w:val="008F6B6D"/>
    <w:rsid w:val="00900881"/>
    <w:rsid w:val="00900EAD"/>
    <w:rsid w:val="0090127E"/>
    <w:rsid w:val="00901EFD"/>
    <w:rsid w:val="009030C5"/>
    <w:rsid w:val="009037CC"/>
    <w:rsid w:val="00910837"/>
    <w:rsid w:val="00910DDE"/>
    <w:rsid w:val="009153C2"/>
    <w:rsid w:val="00922B75"/>
    <w:rsid w:val="009232EA"/>
    <w:rsid w:val="00925522"/>
    <w:rsid w:val="00935FCC"/>
    <w:rsid w:val="00940EED"/>
    <w:rsid w:val="00942789"/>
    <w:rsid w:val="00942D59"/>
    <w:rsid w:val="0094726E"/>
    <w:rsid w:val="0095158C"/>
    <w:rsid w:val="00952827"/>
    <w:rsid w:val="0095360B"/>
    <w:rsid w:val="009573DA"/>
    <w:rsid w:val="00961929"/>
    <w:rsid w:val="00962400"/>
    <w:rsid w:val="00962DDE"/>
    <w:rsid w:val="0096366C"/>
    <w:rsid w:val="00964A4C"/>
    <w:rsid w:val="00966967"/>
    <w:rsid w:val="0097027A"/>
    <w:rsid w:val="00970DF0"/>
    <w:rsid w:val="00974875"/>
    <w:rsid w:val="00986165"/>
    <w:rsid w:val="009871FA"/>
    <w:rsid w:val="00993B91"/>
    <w:rsid w:val="00993E51"/>
    <w:rsid w:val="00994707"/>
    <w:rsid w:val="00996EA5"/>
    <w:rsid w:val="009A1F4D"/>
    <w:rsid w:val="009A2A17"/>
    <w:rsid w:val="009A32E9"/>
    <w:rsid w:val="009A4A4D"/>
    <w:rsid w:val="009A5F89"/>
    <w:rsid w:val="009B14D3"/>
    <w:rsid w:val="009B1F9C"/>
    <w:rsid w:val="009B2468"/>
    <w:rsid w:val="009B2BA6"/>
    <w:rsid w:val="009B39E0"/>
    <w:rsid w:val="009C0592"/>
    <w:rsid w:val="009C221C"/>
    <w:rsid w:val="009C5AED"/>
    <w:rsid w:val="009D09FC"/>
    <w:rsid w:val="009E1233"/>
    <w:rsid w:val="009E264A"/>
    <w:rsid w:val="009E44B0"/>
    <w:rsid w:val="009E77B0"/>
    <w:rsid w:val="009F0170"/>
    <w:rsid w:val="009F4E57"/>
    <w:rsid w:val="009F4ED9"/>
    <w:rsid w:val="009F5E4D"/>
    <w:rsid w:val="009F60EA"/>
    <w:rsid w:val="00A100D2"/>
    <w:rsid w:val="00A137AA"/>
    <w:rsid w:val="00A21D92"/>
    <w:rsid w:val="00A230B2"/>
    <w:rsid w:val="00A23DDD"/>
    <w:rsid w:val="00A25EE8"/>
    <w:rsid w:val="00A3147A"/>
    <w:rsid w:val="00A31B5D"/>
    <w:rsid w:val="00A329D9"/>
    <w:rsid w:val="00A32B01"/>
    <w:rsid w:val="00A34F1C"/>
    <w:rsid w:val="00A36B6E"/>
    <w:rsid w:val="00A40F7D"/>
    <w:rsid w:val="00A47B7E"/>
    <w:rsid w:val="00A57456"/>
    <w:rsid w:val="00A61ADC"/>
    <w:rsid w:val="00A61FEF"/>
    <w:rsid w:val="00A63101"/>
    <w:rsid w:val="00A723A8"/>
    <w:rsid w:val="00A738A9"/>
    <w:rsid w:val="00A73EAC"/>
    <w:rsid w:val="00A74111"/>
    <w:rsid w:val="00A743D8"/>
    <w:rsid w:val="00A76169"/>
    <w:rsid w:val="00A76C67"/>
    <w:rsid w:val="00A832B3"/>
    <w:rsid w:val="00A8396C"/>
    <w:rsid w:val="00A85327"/>
    <w:rsid w:val="00A855A2"/>
    <w:rsid w:val="00A95CB0"/>
    <w:rsid w:val="00A979FB"/>
    <w:rsid w:val="00AA05AE"/>
    <w:rsid w:val="00AA18E4"/>
    <w:rsid w:val="00AA4E72"/>
    <w:rsid w:val="00AB3C76"/>
    <w:rsid w:val="00AB6AB8"/>
    <w:rsid w:val="00AC1AF9"/>
    <w:rsid w:val="00AC2895"/>
    <w:rsid w:val="00AD2134"/>
    <w:rsid w:val="00AD46E7"/>
    <w:rsid w:val="00AD6032"/>
    <w:rsid w:val="00AE0B4C"/>
    <w:rsid w:val="00AE20E7"/>
    <w:rsid w:val="00AE4B56"/>
    <w:rsid w:val="00AE5A09"/>
    <w:rsid w:val="00AF0D44"/>
    <w:rsid w:val="00AF1157"/>
    <w:rsid w:val="00AF117A"/>
    <w:rsid w:val="00AF12D7"/>
    <w:rsid w:val="00AF153E"/>
    <w:rsid w:val="00AF1FD3"/>
    <w:rsid w:val="00AF59FC"/>
    <w:rsid w:val="00AF61DD"/>
    <w:rsid w:val="00AF69B8"/>
    <w:rsid w:val="00AF723B"/>
    <w:rsid w:val="00B00365"/>
    <w:rsid w:val="00B0160F"/>
    <w:rsid w:val="00B05E80"/>
    <w:rsid w:val="00B0678C"/>
    <w:rsid w:val="00B07C2F"/>
    <w:rsid w:val="00B1102A"/>
    <w:rsid w:val="00B12EC0"/>
    <w:rsid w:val="00B2532E"/>
    <w:rsid w:val="00B32AC2"/>
    <w:rsid w:val="00B33074"/>
    <w:rsid w:val="00B34EA9"/>
    <w:rsid w:val="00B40BFF"/>
    <w:rsid w:val="00B419FB"/>
    <w:rsid w:val="00B42F33"/>
    <w:rsid w:val="00B44E2E"/>
    <w:rsid w:val="00B46345"/>
    <w:rsid w:val="00B467AF"/>
    <w:rsid w:val="00B5071F"/>
    <w:rsid w:val="00B516C3"/>
    <w:rsid w:val="00B53644"/>
    <w:rsid w:val="00B556D1"/>
    <w:rsid w:val="00B62C88"/>
    <w:rsid w:val="00B63199"/>
    <w:rsid w:val="00B64F14"/>
    <w:rsid w:val="00B65428"/>
    <w:rsid w:val="00B65BF6"/>
    <w:rsid w:val="00B65EAB"/>
    <w:rsid w:val="00B73B49"/>
    <w:rsid w:val="00B74402"/>
    <w:rsid w:val="00B74531"/>
    <w:rsid w:val="00B777D5"/>
    <w:rsid w:val="00B81D67"/>
    <w:rsid w:val="00B822D0"/>
    <w:rsid w:val="00B86379"/>
    <w:rsid w:val="00B86397"/>
    <w:rsid w:val="00B872EC"/>
    <w:rsid w:val="00B908FB"/>
    <w:rsid w:val="00B91414"/>
    <w:rsid w:val="00B91415"/>
    <w:rsid w:val="00B9312D"/>
    <w:rsid w:val="00BA0569"/>
    <w:rsid w:val="00BA2DC1"/>
    <w:rsid w:val="00BA3301"/>
    <w:rsid w:val="00BB0698"/>
    <w:rsid w:val="00BB2204"/>
    <w:rsid w:val="00BB6429"/>
    <w:rsid w:val="00BC1FAB"/>
    <w:rsid w:val="00BC240F"/>
    <w:rsid w:val="00BC32CF"/>
    <w:rsid w:val="00BD00DD"/>
    <w:rsid w:val="00BD10EE"/>
    <w:rsid w:val="00BE2F0F"/>
    <w:rsid w:val="00BE48A2"/>
    <w:rsid w:val="00BE4A81"/>
    <w:rsid w:val="00BF3A34"/>
    <w:rsid w:val="00BF6AB5"/>
    <w:rsid w:val="00BF6C2C"/>
    <w:rsid w:val="00BF7F4A"/>
    <w:rsid w:val="00C00CBE"/>
    <w:rsid w:val="00C055BC"/>
    <w:rsid w:val="00C0583B"/>
    <w:rsid w:val="00C10126"/>
    <w:rsid w:val="00C105BD"/>
    <w:rsid w:val="00C1721D"/>
    <w:rsid w:val="00C20B41"/>
    <w:rsid w:val="00C21E29"/>
    <w:rsid w:val="00C232C9"/>
    <w:rsid w:val="00C25D5F"/>
    <w:rsid w:val="00C2751A"/>
    <w:rsid w:val="00C32542"/>
    <w:rsid w:val="00C36738"/>
    <w:rsid w:val="00C5039D"/>
    <w:rsid w:val="00C56FCE"/>
    <w:rsid w:val="00C5760B"/>
    <w:rsid w:val="00C6747A"/>
    <w:rsid w:val="00C743AD"/>
    <w:rsid w:val="00C807FD"/>
    <w:rsid w:val="00C85A59"/>
    <w:rsid w:val="00C87607"/>
    <w:rsid w:val="00C87B5F"/>
    <w:rsid w:val="00C9590C"/>
    <w:rsid w:val="00CA2011"/>
    <w:rsid w:val="00CA4391"/>
    <w:rsid w:val="00CA46D7"/>
    <w:rsid w:val="00CA5BD8"/>
    <w:rsid w:val="00CB02A0"/>
    <w:rsid w:val="00CB0DC0"/>
    <w:rsid w:val="00CB1C2D"/>
    <w:rsid w:val="00CB23E4"/>
    <w:rsid w:val="00CB29C7"/>
    <w:rsid w:val="00CB428A"/>
    <w:rsid w:val="00CB5EFA"/>
    <w:rsid w:val="00CB7929"/>
    <w:rsid w:val="00CB7F53"/>
    <w:rsid w:val="00CC4BC0"/>
    <w:rsid w:val="00CD30E3"/>
    <w:rsid w:val="00CD7DEE"/>
    <w:rsid w:val="00CE190C"/>
    <w:rsid w:val="00CE26A0"/>
    <w:rsid w:val="00CF0CA1"/>
    <w:rsid w:val="00CF0CC4"/>
    <w:rsid w:val="00CF3847"/>
    <w:rsid w:val="00D00E2E"/>
    <w:rsid w:val="00D069DB"/>
    <w:rsid w:val="00D06A0E"/>
    <w:rsid w:val="00D07738"/>
    <w:rsid w:val="00D13E8E"/>
    <w:rsid w:val="00D21F3C"/>
    <w:rsid w:val="00D22FF3"/>
    <w:rsid w:val="00D24F79"/>
    <w:rsid w:val="00D25A51"/>
    <w:rsid w:val="00D260F4"/>
    <w:rsid w:val="00D273E8"/>
    <w:rsid w:val="00D37A83"/>
    <w:rsid w:val="00D45B10"/>
    <w:rsid w:val="00D5054F"/>
    <w:rsid w:val="00D51754"/>
    <w:rsid w:val="00D54430"/>
    <w:rsid w:val="00D5491D"/>
    <w:rsid w:val="00D54B24"/>
    <w:rsid w:val="00D57488"/>
    <w:rsid w:val="00D622A8"/>
    <w:rsid w:val="00D62DC9"/>
    <w:rsid w:val="00D659E8"/>
    <w:rsid w:val="00D6654C"/>
    <w:rsid w:val="00D66B63"/>
    <w:rsid w:val="00D66F17"/>
    <w:rsid w:val="00D72E95"/>
    <w:rsid w:val="00D74E18"/>
    <w:rsid w:val="00D76CEF"/>
    <w:rsid w:val="00D80B5A"/>
    <w:rsid w:val="00D826A1"/>
    <w:rsid w:val="00D83CC4"/>
    <w:rsid w:val="00D8441F"/>
    <w:rsid w:val="00D85753"/>
    <w:rsid w:val="00D85E90"/>
    <w:rsid w:val="00D8606F"/>
    <w:rsid w:val="00D87C99"/>
    <w:rsid w:val="00D9005C"/>
    <w:rsid w:val="00D91251"/>
    <w:rsid w:val="00D916AB"/>
    <w:rsid w:val="00D94017"/>
    <w:rsid w:val="00D9687C"/>
    <w:rsid w:val="00DA24E0"/>
    <w:rsid w:val="00DA5B50"/>
    <w:rsid w:val="00DB6FCF"/>
    <w:rsid w:val="00DC186C"/>
    <w:rsid w:val="00DC5B05"/>
    <w:rsid w:val="00DD53A4"/>
    <w:rsid w:val="00DD6AA0"/>
    <w:rsid w:val="00DD6EE6"/>
    <w:rsid w:val="00DD7BE2"/>
    <w:rsid w:val="00DE5167"/>
    <w:rsid w:val="00DE5E29"/>
    <w:rsid w:val="00DE71C7"/>
    <w:rsid w:val="00DF2C6B"/>
    <w:rsid w:val="00DF42FF"/>
    <w:rsid w:val="00DF7F18"/>
    <w:rsid w:val="00E009F2"/>
    <w:rsid w:val="00E034C3"/>
    <w:rsid w:val="00E06716"/>
    <w:rsid w:val="00E10077"/>
    <w:rsid w:val="00E131A8"/>
    <w:rsid w:val="00E132B3"/>
    <w:rsid w:val="00E14186"/>
    <w:rsid w:val="00E14AE5"/>
    <w:rsid w:val="00E20A14"/>
    <w:rsid w:val="00E20E2C"/>
    <w:rsid w:val="00E22AC8"/>
    <w:rsid w:val="00E246B7"/>
    <w:rsid w:val="00E30E0F"/>
    <w:rsid w:val="00E352AC"/>
    <w:rsid w:val="00E35A13"/>
    <w:rsid w:val="00E44165"/>
    <w:rsid w:val="00E50376"/>
    <w:rsid w:val="00E5043C"/>
    <w:rsid w:val="00E51D8A"/>
    <w:rsid w:val="00E5245F"/>
    <w:rsid w:val="00E52B4B"/>
    <w:rsid w:val="00E53A17"/>
    <w:rsid w:val="00E562BA"/>
    <w:rsid w:val="00E606BC"/>
    <w:rsid w:val="00E65AAA"/>
    <w:rsid w:val="00E6655A"/>
    <w:rsid w:val="00E67271"/>
    <w:rsid w:val="00E748EB"/>
    <w:rsid w:val="00E756CA"/>
    <w:rsid w:val="00E76BB8"/>
    <w:rsid w:val="00E77384"/>
    <w:rsid w:val="00E80AC8"/>
    <w:rsid w:val="00E82F6E"/>
    <w:rsid w:val="00E83822"/>
    <w:rsid w:val="00E8483A"/>
    <w:rsid w:val="00E90CA5"/>
    <w:rsid w:val="00E937E4"/>
    <w:rsid w:val="00E93CE1"/>
    <w:rsid w:val="00E94004"/>
    <w:rsid w:val="00EA0187"/>
    <w:rsid w:val="00EA1ACF"/>
    <w:rsid w:val="00EA5224"/>
    <w:rsid w:val="00EA5797"/>
    <w:rsid w:val="00EB1A3B"/>
    <w:rsid w:val="00EB1A67"/>
    <w:rsid w:val="00EB1C03"/>
    <w:rsid w:val="00EB5103"/>
    <w:rsid w:val="00EB5D74"/>
    <w:rsid w:val="00EB64B3"/>
    <w:rsid w:val="00EB795B"/>
    <w:rsid w:val="00EC1109"/>
    <w:rsid w:val="00EC1299"/>
    <w:rsid w:val="00EC36A3"/>
    <w:rsid w:val="00EC3B68"/>
    <w:rsid w:val="00EC6F17"/>
    <w:rsid w:val="00ED6289"/>
    <w:rsid w:val="00ED66C5"/>
    <w:rsid w:val="00ED6CE1"/>
    <w:rsid w:val="00EE0DAB"/>
    <w:rsid w:val="00EE7042"/>
    <w:rsid w:val="00EF0AA8"/>
    <w:rsid w:val="00EF0B62"/>
    <w:rsid w:val="00EF151F"/>
    <w:rsid w:val="00F005DF"/>
    <w:rsid w:val="00F01813"/>
    <w:rsid w:val="00F02B79"/>
    <w:rsid w:val="00F03679"/>
    <w:rsid w:val="00F123C4"/>
    <w:rsid w:val="00F129B4"/>
    <w:rsid w:val="00F173DF"/>
    <w:rsid w:val="00F21BDF"/>
    <w:rsid w:val="00F21E24"/>
    <w:rsid w:val="00F24088"/>
    <w:rsid w:val="00F24105"/>
    <w:rsid w:val="00F25C74"/>
    <w:rsid w:val="00F2771A"/>
    <w:rsid w:val="00F30581"/>
    <w:rsid w:val="00F3105D"/>
    <w:rsid w:val="00F36228"/>
    <w:rsid w:val="00F37F0A"/>
    <w:rsid w:val="00F40A9C"/>
    <w:rsid w:val="00F41D7B"/>
    <w:rsid w:val="00F43339"/>
    <w:rsid w:val="00F4493F"/>
    <w:rsid w:val="00F46527"/>
    <w:rsid w:val="00F50D43"/>
    <w:rsid w:val="00F51645"/>
    <w:rsid w:val="00F5408A"/>
    <w:rsid w:val="00F54B42"/>
    <w:rsid w:val="00F54E2C"/>
    <w:rsid w:val="00F63153"/>
    <w:rsid w:val="00F64084"/>
    <w:rsid w:val="00F71D8A"/>
    <w:rsid w:val="00F75DAB"/>
    <w:rsid w:val="00F82D39"/>
    <w:rsid w:val="00F84ECC"/>
    <w:rsid w:val="00F952D1"/>
    <w:rsid w:val="00F979A9"/>
    <w:rsid w:val="00FA1902"/>
    <w:rsid w:val="00FA22C2"/>
    <w:rsid w:val="00FA3B73"/>
    <w:rsid w:val="00FA3E6B"/>
    <w:rsid w:val="00FA691B"/>
    <w:rsid w:val="00FB0344"/>
    <w:rsid w:val="00FB6D69"/>
    <w:rsid w:val="00FC2B29"/>
    <w:rsid w:val="00FC381D"/>
    <w:rsid w:val="00FC52EF"/>
    <w:rsid w:val="00FD0E8D"/>
    <w:rsid w:val="00FD3A76"/>
    <w:rsid w:val="00FE2345"/>
    <w:rsid w:val="00FE38E5"/>
    <w:rsid w:val="00FF05BA"/>
    <w:rsid w:val="00FF0E16"/>
    <w:rsid w:val="00FF1EC5"/>
    <w:rsid w:val="00FF2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884B7"/>
  <w15:docId w15:val="{B2BD36CD-99B8-4F68-952B-33C920E6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F0B62"/>
    <w:pPr>
      <w:spacing w:after="240" w:line="264" w:lineRule="auto"/>
    </w:pPr>
    <w:rPr>
      <w:rFonts w:ascii="Segoe UI" w:hAnsi="Segoe UI"/>
      <w:sz w:val="22"/>
      <w:szCs w:val="22"/>
      <w:lang w:eastAsia="en-US"/>
    </w:rPr>
  </w:style>
  <w:style w:type="paragraph" w:styleId="Heading1">
    <w:name w:val="heading 1"/>
    <w:basedOn w:val="Normal"/>
    <w:next w:val="Normal"/>
    <w:link w:val="Heading1Char"/>
    <w:autoRedefine/>
    <w:qFormat/>
    <w:rsid w:val="00EF151F"/>
    <w:pPr>
      <w:keepNext/>
      <w:pageBreakBefore/>
      <w:numPr>
        <w:numId w:val="5"/>
      </w:numPr>
      <w:shd w:val="clear" w:color="auto" w:fill="08193E"/>
      <w:spacing w:before="240" w:after="600"/>
      <w:outlineLvl w:val="0"/>
    </w:pPr>
    <w:rPr>
      <w:rFonts w:eastAsia="Times New Roman"/>
      <w:b/>
      <w:bCs/>
      <w:sz w:val="40"/>
      <w:szCs w:val="28"/>
    </w:rPr>
  </w:style>
  <w:style w:type="paragraph" w:styleId="Heading2">
    <w:name w:val="heading 2"/>
    <w:aliases w:val="h2"/>
    <w:basedOn w:val="Normal"/>
    <w:next w:val="Normal"/>
    <w:link w:val="Heading2Char"/>
    <w:autoRedefine/>
    <w:qFormat/>
    <w:rsid w:val="002E68CD"/>
    <w:pPr>
      <w:keepNext/>
      <w:keepLines/>
      <w:numPr>
        <w:ilvl w:val="1"/>
        <w:numId w:val="7"/>
      </w:numPr>
      <w:tabs>
        <w:tab w:val="clear" w:pos="9752"/>
        <w:tab w:val="num" w:pos="680"/>
      </w:tabs>
      <w:spacing w:before="360"/>
      <w:ind w:left="680"/>
      <w:outlineLvl w:val="1"/>
    </w:pPr>
    <w:rPr>
      <w:rFonts w:eastAsia="Times New Roman"/>
      <w:b/>
      <w:bCs/>
      <w:color w:val="08193E"/>
      <w:sz w:val="30"/>
      <w:szCs w:val="26"/>
    </w:rPr>
  </w:style>
  <w:style w:type="paragraph" w:styleId="Heading3">
    <w:name w:val="heading 3"/>
    <w:aliases w:val="h3"/>
    <w:basedOn w:val="Normal"/>
    <w:next w:val="Normal"/>
    <w:link w:val="Heading3Char"/>
    <w:qFormat/>
    <w:rsid w:val="00EF151F"/>
    <w:pPr>
      <w:keepNext/>
      <w:keepLines/>
      <w:numPr>
        <w:ilvl w:val="2"/>
        <w:numId w:val="5"/>
      </w:numPr>
      <w:spacing w:before="360"/>
      <w:outlineLvl w:val="2"/>
    </w:pPr>
    <w:rPr>
      <w:rFonts w:eastAsia="Times New Roman"/>
      <w:b/>
      <w:bCs/>
      <w:color w:val="08193E"/>
      <w:sz w:val="26"/>
    </w:rPr>
  </w:style>
  <w:style w:type="paragraph" w:styleId="Heading4">
    <w:name w:val="heading 4"/>
    <w:basedOn w:val="Heading3"/>
    <w:next w:val="Normal"/>
    <w:link w:val="Heading4Char"/>
    <w:qFormat/>
    <w:rsid w:val="006B4391"/>
    <w:pPr>
      <w:numPr>
        <w:ilvl w:val="0"/>
        <w:numId w:val="0"/>
      </w:numPr>
      <w:outlineLvl w:val="3"/>
    </w:pPr>
    <w:rPr>
      <w:bCs w:val="0"/>
      <w:i/>
      <w:iCs/>
      <w:sz w:val="24"/>
    </w:rPr>
  </w:style>
  <w:style w:type="paragraph" w:styleId="Heading5">
    <w:name w:val="heading 5"/>
    <w:basedOn w:val="Normal"/>
    <w:next w:val="Normal"/>
    <w:link w:val="Heading5Char"/>
    <w:uiPriority w:val="9"/>
    <w:semiHidden/>
    <w:qFormat/>
    <w:rsid w:val="00350D83"/>
    <w:pPr>
      <w:keepNext/>
      <w:keepLines/>
      <w:spacing w:before="240" w:after="120"/>
      <w:outlineLvl w:val="4"/>
    </w:pPr>
    <w:rPr>
      <w:rFonts w:eastAsia="Times New Roman"/>
      <w:i/>
      <w:color w:val="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51F"/>
    <w:rPr>
      <w:rFonts w:ascii="Segoe UI" w:eastAsia="Times New Roman" w:hAnsi="Segoe UI"/>
      <w:b/>
      <w:bCs/>
      <w:sz w:val="40"/>
      <w:szCs w:val="28"/>
      <w:shd w:val="clear" w:color="auto" w:fill="08193E"/>
      <w:lang w:eastAsia="en-US"/>
    </w:rPr>
  </w:style>
  <w:style w:type="paragraph" w:styleId="NormalWeb">
    <w:name w:val="Normal (Web)"/>
    <w:basedOn w:val="Normal"/>
    <w:uiPriority w:val="99"/>
    <w:semiHidden/>
    <w:unhideWhenUsed/>
    <w:rsid w:val="00B62B41"/>
    <w:pPr>
      <w:spacing w:before="100" w:beforeAutospacing="1" w:after="100" w:afterAutospacing="1" w:line="240" w:lineRule="auto"/>
    </w:pPr>
    <w:rPr>
      <w:rFonts w:ascii="Times New Roman" w:eastAsia="Times New Roman" w:hAnsi="Times New Roman"/>
      <w:szCs w:val="24"/>
      <w:lang w:eastAsia="en-AU"/>
    </w:rPr>
  </w:style>
  <w:style w:type="character" w:customStyle="1" w:styleId="Heading2Char">
    <w:name w:val="Heading 2 Char"/>
    <w:aliases w:val="h2 Char"/>
    <w:basedOn w:val="DefaultParagraphFont"/>
    <w:link w:val="Heading2"/>
    <w:rsid w:val="002E68CD"/>
    <w:rPr>
      <w:rFonts w:ascii="Segoe UI" w:eastAsia="Times New Roman" w:hAnsi="Segoe UI"/>
      <w:b/>
      <w:bCs/>
      <w:color w:val="08193E"/>
      <w:sz w:val="30"/>
      <w:szCs w:val="26"/>
      <w:lang w:eastAsia="en-US"/>
    </w:rPr>
  </w:style>
  <w:style w:type="character" w:customStyle="1" w:styleId="Heading3Char">
    <w:name w:val="Heading 3 Char"/>
    <w:aliases w:val="h3 Char"/>
    <w:basedOn w:val="DefaultParagraphFont"/>
    <w:link w:val="Heading3"/>
    <w:rsid w:val="00EF151F"/>
    <w:rPr>
      <w:rFonts w:ascii="Segoe UI" w:eastAsia="Times New Roman" w:hAnsi="Segoe UI"/>
      <w:b/>
      <w:bCs/>
      <w:color w:val="08193E"/>
      <w:sz w:val="26"/>
      <w:szCs w:val="22"/>
      <w:lang w:eastAsia="en-US"/>
    </w:rPr>
  </w:style>
  <w:style w:type="paragraph" w:styleId="Header">
    <w:name w:val="header"/>
    <w:basedOn w:val="Normal"/>
    <w:link w:val="HeaderChar"/>
    <w:uiPriority w:val="99"/>
    <w:semiHidden/>
    <w:rsid w:val="00701508"/>
    <w:pPr>
      <w:tabs>
        <w:tab w:val="center" w:pos="4513"/>
        <w:tab w:val="right" w:pos="9026"/>
      </w:tabs>
      <w:spacing w:after="0" w:line="240" w:lineRule="auto"/>
    </w:pPr>
    <w:rPr>
      <w:i/>
    </w:rPr>
  </w:style>
  <w:style w:type="character" w:customStyle="1" w:styleId="HeaderChar">
    <w:name w:val="Header Char"/>
    <w:basedOn w:val="DefaultParagraphFont"/>
    <w:link w:val="Header"/>
    <w:uiPriority w:val="99"/>
    <w:semiHidden/>
    <w:rsid w:val="002F424D"/>
    <w:rPr>
      <w:rFonts w:ascii="Cambria" w:hAnsi="Cambria"/>
      <w:i/>
      <w:sz w:val="24"/>
      <w:szCs w:val="22"/>
      <w:lang w:eastAsia="en-US"/>
    </w:rPr>
  </w:style>
  <w:style w:type="paragraph" w:styleId="Footer">
    <w:name w:val="footer"/>
    <w:aliases w:val="Footer text"/>
    <w:basedOn w:val="Normal"/>
    <w:link w:val="FooterChar"/>
    <w:uiPriority w:val="99"/>
    <w:semiHidden/>
    <w:rsid w:val="00B11F0F"/>
    <w:pPr>
      <w:tabs>
        <w:tab w:val="center" w:pos="4513"/>
        <w:tab w:val="right" w:pos="9026"/>
      </w:tabs>
      <w:spacing w:after="0" w:line="240" w:lineRule="auto"/>
    </w:pPr>
    <w:rPr>
      <w:i/>
      <w:sz w:val="16"/>
    </w:rPr>
  </w:style>
  <w:style w:type="character" w:customStyle="1" w:styleId="FooterChar">
    <w:name w:val="Footer Char"/>
    <w:aliases w:val="Footer text Char"/>
    <w:basedOn w:val="DefaultParagraphFont"/>
    <w:link w:val="Footer"/>
    <w:uiPriority w:val="99"/>
    <w:semiHidden/>
    <w:rsid w:val="002F424D"/>
    <w:rPr>
      <w:rFonts w:ascii="Cambria" w:hAnsi="Cambria"/>
      <w:i/>
      <w:sz w:val="16"/>
      <w:szCs w:val="22"/>
      <w:lang w:eastAsia="en-US"/>
    </w:rPr>
  </w:style>
  <w:style w:type="table" w:styleId="TableGrid">
    <w:name w:val="Table Grid"/>
    <w:basedOn w:val="TableNormal"/>
    <w:uiPriority w:val="59"/>
    <w:rsid w:val="00C94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4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156"/>
    <w:rPr>
      <w:rFonts w:ascii="Tahoma" w:hAnsi="Tahoma" w:cs="Tahoma"/>
      <w:sz w:val="16"/>
      <w:szCs w:val="16"/>
    </w:rPr>
  </w:style>
  <w:style w:type="paragraph" w:styleId="TOC2">
    <w:name w:val="toc 2"/>
    <w:basedOn w:val="Normal"/>
    <w:next w:val="Normal"/>
    <w:autoRedefine/>
    <w:uiPriority w:val="39"/>
    <w:unhideWhenUsed/>
    <w:rsid w:val="00EC1109"/>
    <w:pPr>
      <w:tabs>
        <w:tab w:val="left" w:pos="1134"/>
        <w:tab w:val="right" w:leader="dot" w:pos="9016"/>
      </w:tabs>
      <w:spacing w:after="0" w:line="240" w:lineRule="auto"/>
      <w:ind w:left="1134" w:right="567" w:hanging="567"/>
    </w:pPr>
    <w:rPr>
      <w:noProof/>
      <w:szCs w:val="24"/>
    </w:rPr>
  </w:style>
  <w:style w:type="paragraph" w:styleId="TOC1">
    <w:name w:val="toc 1"/>
    <w:basedOn w:val="Normal"/>
    <w:next w:val="Normal"/>
    <w:autoRedefine/>
    <w:uiPriority w:val="39"/>
    <w:unhideWhenUsed/>
    <w:rsid w:val="00900881"/>
    <w:pPr>
      <w:tabs>
        <w:tab w:val="right" w:leader="dot" w:pos="9015"/>
      </w:tabs>
      <w:spacing w:before="240" w:after="0" w:line="240" w:lineRule="auto"/>
      <w:ind w:left="567" w:right="567" w:hanging="567"/>
    </w:pPr>
    <w:rPr>
      <w:b/>
      <w:noProof/>
      <w:szCs w:val="24"/>
      <w:lang w:eastAsia="en-AU"/>
    </w:rPr>
  </w:style>
  <w:style w:type="paragraph" w:styleId="TOC3">
    <w:name w:val="toc 3"/>
    <w:basedOn w:val="Normal"/>
    <w:next w:val="Normal"/>
    <w:autoRedefine/>
    <w:uiPriority w:val="39"/>
    <w:unhideWhenUsed/>
    <w:rsid w:val="00574104"/>
    <w:pPr>
      <w:tabs>
        <w:tab w:val="right" w:leader="dot" w:pos="9016"/>
      </w:tabs>
      <w:spacing w:before="60" w:after="0" w:line="240" w:lineRule="auto"/>
      <w:ind w:left="1701" w:hanging="567"/>
    </w:pPr>
    <w:rPr>
      <w:noProof/>
    </w:rPr>
  </w:style>
  <w:style w:type="character" w:styleId="Hyperlink">
    <w:name w:val="Hyperlink"/>
    <w:basedOn w:val="DefaultParagraphFont"/>
    <w:uiPriority w:val="99"/>
    <w:rsid w:val="00900881"/>
    <w:rPr>
      <w:color w:val="EB7633" w:themeColor="accent3"/>
      <w:u w:val="single"/>
    </w:rPr>
  </w:style>
  <w:style w:type="paragraph" w:customStyle="1" w:styleId="GeneralHeading">
    <w:name w:val="General Heading"/>
    <w:basedOn w:val="Heading1"/>
    <w:next w:val="Normal"/>
    <w:qFormat/>
    <w:rsid w:val="00142D6A"/>
    <w:pPr>
      <w:numPr>
        <w:numId w:val="0"/>
      </w:numPr>
    </w:pPr>
  </w:style>
  <w:style w:type="paragraph" w:styleId="TOCHeading">
    <w:name w:val="TOC Heading"/>
    <w:basedOn w:val="Heading1"/>
    <w:next w:val="Normal"/>
    <w:autoRedefine/>
    <w:uiPriority w:val="39"/>
    <w:unhideWhenUsed/>
    <w:qFormat/>
    <w:rsid w:val="00142D6A"/>
    <w:pPr>
      <w:keepLines/>
      <w:pageBreakBefore w:val="0"/>
      <w:numPr>
        <w:numId w:val="0"/>
      </w:numPr>
      <w:outlineLvl w:val="9"/>
    </w:pPr>
    <w:rPr>
      <w:rFonts w:eastAsiaTheme="majorEastAsia" w:cstheme="majorBidi"/>
      <w:color w:val="FFFFFF" w:themeColor="background1"/>
    </w:rPr>
  </w:style>
  <w:style w:type="paragraph" w:customStyle="1" w:styleId="Reporttitle">
    <w:name w:val="Report title"/>
    <w:basedOn w:val="Normal"/>
    <w:qFormat/>
    <w:rsid w:val="001C703D"/>
    <w:pPr>
      <w:spacing w:after="0" w:line="240" w:lineRule="auto"/>
      <w:jc w:val="right"/>
    </w:pPr>
    <w:rPr>
      <w:rFonts w:cs="Segoe UI"/>
      <w:caps/>
      <w:color w:val="FFFFFF"/>
      <w:sz w:val="84"/>
      <w:szCs w:val="84"/>
    </w:rPr>
  </w:style>
  <w:style w:type="paragraph" w:customStyle="1" w:styleId="Tablebodytext">
    <w:name w:val="Table body text"/>
    <w:basedOn w:val="Normal"/>
    <w:qFormat/>
    <w:rsid w:val="00931E0B"/>
    <w:pPr>
      <w:spacing w:after="0" w:line="240" w:lineRule="auto"/>
    </w:pPr>
    <w:rPr>
      <w:sz w:val="20"/>
    </w:rPr>
  </w:style>
  <w:style w:type="paragraph" w:customStyle="1" w:styleId="Tablebullet">
    <w:name w:val="Table bullet"/>
    <w:basedOn w:val="Tablebodytext"/>
    <w:qFormat/>
    <w:rsid w:val="00753FC6"/>
    <w:pPr>
      <w:numPr>
        <w:numId w:val="1"/>
      </w:numPr>
      <w:ind w:left="227" w:hanging="227"/>
    </w:pPr>
  </w:style>
  <w:style w:type="paragraph" w:customStyle="1" w:styleId="Listdashlevel2">
    <w:name w:val="List dash (level 2)"/>
    <w:basedOn w:val="Normal"/>
    <w:qFormat/>
    <w:rsid w:val="00AF117A"/>
    <w:pPr>
      <w:numPr>
        <w:ilvl w:val="1"/>
        <w:numId w:val="16"/>
      </w:numPr>
      <w:spacing w:after="0" w:line="240" w:lineRule="auto"/>
    </w:pPr>
  </w:style>
  <w:style w:type="paragraph" w:customStyle="1" w:styleId="Notes">
    <w:name w:val="Notes"/>
    <w:basedOn w:val="Normal"/>
    <w:qFormat/>
    <w:rsid w:val="00B12EC0"/>
    <w:pPr>
      <w:spacing w:after="0" w:line="240" w:lineRule="auto"/>
    </w:pPr>
    <w:rPr>
      <w:sz w:val="18"/>
    </w:rPr>
  </w:style>
  <w:style w:type="paragraph" w:customStyle="1" w:styleId="ColorfulGrid-Accent11">
    <w:name w:val="Colorful Grid - Accent 11"/>
    <w:basedOn w:val="Normal"/>
    <w:next w:val="Normal"/>
    <w:link w:val="ColorfulGrid-Accent1Char"/>
    <w:uiPriority w:val="29"/>
    <w:semiHidden/>
    <w:qFormat/>
    <w:rsid w:val="0091528F"/>
    <w:pPr>
      <w:spacing w:line="240" w:lineRule="auto"/>
      <w:ind w:left="567"/>
    </w:pPr>
    <w:rPr>
      <w:i/>
      <w:iCs/>
      <w:color w:val="000000"/>
    </w:rPr>
  </w:style>
  <w:style w:type="character" w:customStyle="1" w:styleId="ColorfulGrid-Accent1Char">
    <w:name w:val="Colorful Grid - Accent 1 Char"/>
    <w:basedOn w:val="DefaultParagraphFont"/>
    <w:link w:val="ColorfulGrid-Accent11"/>
    <w:uiPriority w:val="29"/>
    <w:semiHidden/>
    <w:rsid w:val="00974875"/>
    <w:rPr>
      <w:rFonts w:ascii="Cambria" w:hAnsi="Cambria"/>
      <w:i/>
      <w:iCs/>
      <w:color w:val="000000"/>
      <w:sz w:val="24"/>
      <w:szCs w:val="22"/>
      <w:lang w:eastAsia="en-US"/>
    </w:rPr>
  </w:style>
  <w:style w:type="paragraph" w:styleId="Subtitle">
    <w:name w:val="Subtitle"/>
    <w:aliases w:val="Report subtitle"/>
    <w:basedOn w:val="Normal"/>
    <w:next w:val="Reporttype"/>
    <w:link w:val="SubtitleChar"/>
    <w:uiPriority w:val="11"/>
    <w:qFormat/>
    <w:rsid w:val="001C703D"/>
    <w:pPr>
      <w:spacing w:before="120" w:after="120" w:line="240" w:lineRule="auto"/>
      <w:jc w:val="right"/>
    </w:pPr>
    <w:rPr>
      <w:rFonts w:cs="Segoe UI"/>
      <w:smallCaps/>
      <w:color w:val="08193E"/>
      <w:sz w:val="40"/>
      <w:szCs w:val="40"/>
    </w:rPr>
  </w:style>
  <w:style w:type="character" w:customStyle="1" w:styleId="SubtitleChar">
    <w:name w:val="Subtitle Char"/>
    <w:aliases w:val="Report subtitle Char"/>
    <w:basedOn w:val="DefaultParagraphFont"/>
    <w:link w:val="Subtitle"/>
    <w:uiPriority w:val="11"/>
    <w:rsid w:val="001C703D"/>
    <w:rPr>
      <w:rFonts w:ascii="Segoe UI" w:hAnsi="Segoe UI" w:cs="Segoe UI"/>
      <w:smallCaps/>
      <w:color w:val="08193E"/>
      <w:sz w:val="40"/>
      <w:szCs w:val="40"/>
      <w:lang w:eastAsia="en-US"/>
    </w:rPr>
  </w:style>
  <w:style w:type="paragraph" w:customStyle="1" w:styleId="Reportdate">
    <w:name w:val="Report date"/>
    <w:basedOn w:val="Normal"/>
    <w:semiHidden/>
    <w:qFormat/>
    <w:rsid w:val="00895E46"/>
    <w:pPr>
      <w:spacing w:after="300" w:line="240" w:lineRule="auto"/>
      <w:contextualSpacing/>
    </w:pPr>
    <w:rPr>
      <w:rFonts w:eastAsia="Times New Roman"/>
      <w:b/>
      <w:color w:val="1F497D"/>
      <w:spacing w:val="5"/>
      <w:kern w:val="28"/>
      <w:szCs w:val="52"/>
    </w:rPr>
  </w:style>
  <w:style w:type="paragraph" w:customStyle="1" w:styleId="Boxname">
    <w:name w:val="Box name"/>
    <w:basedOn w:val="Heading3"/>
    <w:semiHidden/>
    <w:qFormat/>
    <w:rsid w:val="00960E17"/>
    <w:pPr>
      <w:numPr>
        <w:ilvl w:val="0"/>
        <w:numId w:val="0"/>
      </w:numPr>
      <w:pBdr>
        <w:top w:val="single" w:sz="4" w:space="4" w:color="1F497D"/>
        <w:left w:val="single" w:sz="4" w:space="4" w:color="1F497D"/>
        <w:bottom w:val="single" w:sz="4" w:space="4" w:color="1F497D"/>
        <w:right w:val="single" w:sz="4" w:space="4" w:color="1F497D"/>
      </w:pBdr>
      <w:shd w:val="clear" w:color="auto" w:fill="1F497D"/>
      <w:spacing w:after="120"/>
    </w:pPr>
    <w:rPr>
      <w:rFonts w:ascii="Arial Narrow" w:hAnsi="Arial Narrow"/>
      <w:color w:val="EEECE1"/>
    </w:rPr>
  </w:style>
  <w:style w:type="paragraph" w:customStyle="1" w:styleId="Boxtext">
    <w:name w:val="Box t ext"/>
    <w:basedOn w:val="Normal"/>
    <w:semiHidden/>
    <w:qFormat/>
    <w:rsid w:val="00960E17"/>
    <w:pPr>
      <w:pBdr>
        <w:top w:val="single" w:sz="4" w:space="4" w:color="1F497D"/>
        <w:left w:val="single" w:sz="4" w:space="4" w:color="1F497D"/>
        <w:bottom w:val="single" w:sz="4" w:space="4" w:color="1F497D"/>
        <w:right w:val="single" w:sz="4" w:space="4" w:color="1F497D"/>
      </w:pBdr>
      <w:spacing w:before="240"/>
    </w:pPr>
    <w:rPr>
      <w:rFonts w:ascii="Arial Narrow" w:hAnsi="Arial Narrow"/>
      <w:sz w:val="20"/>
    </w:rPr>
  </w:style>
  <w:style w:type="paragraph" w:customStyle="1" w:styleId="Boxbullet">
    <w:name w:val="Box bullet"/>
    <w:basedOn w:val="Boxtext"/>
    <w:semiHidden/>
    <w:qFormat/>
    <w:rsid w:val="00AF117A"/>
    <w:pPr>
      <w:spacing w:after="0"/>
    </w:pPr>
  </w:style>
  <w:style w:type="paragraph" w:styleId="FootnoteText">
    <w:name w:val="footnote text"/>
    <w:basedOn w:val="Normal"/>
    <w:link w:val="FootnoteTextChar"/>
    <w:uiPriority w:val="99"/>
    <w:semiHidden/>
    <w:unhideWhenUsed/>
    <w:rsid w:val="006537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37BD"/>
    <w:rPr>
      <w:rFonts w:ascii="Segoe UI Light" w:hAnsi="Segoe UI Light"/>
      <w:sz w:val="20"/>
      <w:szCs w:val="20"/>
    </w:rPr>
  </w:style>
  <w:style w:type="character" w:styleId="FootnoteReference">
    <w:name w:val="footnote reference"/>
    <w:basedOn w:val="DefaultParagraphFont"/>
    <w:uiPriority w:val="99"/>
    <w:semiHidden/>
    <w:unhideWhenUsed/>
    <w:rsid w:val="006537BD"/>
    <w:rPr>
      <w:vertAlign w:val="superscript"/>
    </w:rPr>
  </w:style>
  <w:style w:type="character" w:customStyle="1" w:styleId="Heading4Char">
    <w:name w:val="Heading 4 Char"/>
    <w:basedOn w:val="DefaultParagraphFont"/>
    <w:link w:val="Heading4"/>
    <w:rsid w:val="00EF0B62"/>
    <w:rPr>
      <w:rFonts w:ascii="Segoe UI" w:eastAsia="Times New Roman" w:hAnsi="Segoe UI"/>
      <w:b/>
      <w:i/>
      <w:iCs/>
      <w:color w:val="08193E"/>
      <w:sz w:val="24"/>
      <w:szCs w:val="22"/>
      <w:lang w:eastAsia="en-US"/>
    </w:rPr>
  </w:style>
  <w:style w:type="character" w:customStyle="1" w:styleId="Heading5Char">
    <w:name w:val="Heading 5 Char"/>
    <w:basedOn w:val="DefaultParagraphFont"/>
    <w:link w:val="Heading5"/>
    <w:uiPriority w:val="9"/>
    <w:semiHidden/>
    <w:rsid w:val="0063502B"/>
    <w:rPr>
      <w:rFonts w:ascii="Cambria" w:eastAsia="Times New Roman" w:hAnsi="Cambria"/>
      <w:i/>
      <w:color w:val="1F497D"/>
      <w:sz w:val="24"/>
      <w:szCs w:val="22"/>
      <w:lang w:eastAsia="en-US"/>
    </w:rPr>
  </w:style>
  <w:style w:type="character" w:styleId="BookTitle">
    <w:name w:val="Book Title"/>
    <w:basedOn w:val="DefaultParagraphFont"/>
    <w:uiPriority w:val="33"/>
    <w:semiHidden/>
    <w:qFormat/>
    <w:rsid w:val="00774484"/>
    <w:rPr>
      <w:b/>
      <w:bCs/>
      <w:smallCaps/>
      <w:spacing w:val="5"/>
    </w:rPr>
  </w:style>
  <w:style w:type="paragraph" w:customStyle="1" w:styleId="ExecSummaryH3">
    <w:name w:val="Exec Summary H3"/>
    <w:basedOn w:val="Heading3"/>
    <w:next w:val="Normal"/>
    <w:qFormat/>
    <w:rsid w:val="00900EAD"/>
    <w:pPr>
      <w:keepLines w:val="0"/>
      <w:numPr>
        <w:ilvl w:val="0"/>
        <w:numId w:val="0"/>
      </w:numPr>
      <w:spacing w:before="240" w:line="240" w:lineRule="auto"/>
      <w:outlineLvl w:val="9"/>
    </w:pPr>
    <w:rPr>
      <w:rFonts w:cs="Arial"/>
      <w:sz w:val="22"/>
      <w:szCs w:val="26"/>
      <w:lang w:eastAsia="en-AU"/>
    </w:rPr>
  </w:style>
  <w:style w:type="paragraph" w:styleId="TableofFigures">
    <w:name w:val="table of figures"/>
    <w:basedOn w:val="Normal"/>
    <w:next w:val="Normal"/>
    <w:uiPriority w:val="99"/>
    <w:rsid w:val="00A404DE"/>
    <w:pPr>
      <w:tabs>
        <w:tab w:val="left" w:pos="1800"/>
        <w:tab w:val="right" w:leader="dot" w:pos="9000"/>
      </w:tabs>
      <w:spacing w:line="240" w:lineRule="auto"/>
      <w:ind w:left="1077" w:right="567" w:hanging="1077"/>
    </w:pPr>
    <w:rPr>
      <w:rFonts w:eastAsia="Times New Roman"/>
      <w:color w:val="000000"/>
      <w:szCs w:val="20"/>
      <w:lang w:eastAsia="en-AU"/>
    </w:rPr>
  </w:style>
  <w:style w:type="paragraph" w:customStyle="1" w:styleId="ExecSummaryH2">
    <w:name w:val="Exec Summary H2"/>
    <w:basedOn w:val="Heading2"/>
    <w:next w:val="Normal"/>
    <w:qFormat/>
    <w:rsid w:val="00117998"/>
    <w:pPr>
      <w:numPr>
        <w:ilvl w:val="0"/>
        <w:numId w:val="0"/>
      </w:numPr>
    </w:pPr>
  </w:style>
  <w:style w:type="paragraph" w:customStyle="1" w:styleId="Boxheading">
    <w:name w:val="Box heading"/>
    <w:basedOn w:val="Normal"/>
    <w:next w:val="Boxtext0"/>
    <w:autoRedefine/>
    <w:qFormat/>
    <w:rsid w:val="00DD7BE2"/>
    <w:pPr>
      <w:keepNext/>
      <w:shd w:val="clear" w:color="auto" w:fill="F2CEA1"/>
      <w:spacing w:after="0" w:line="240" w:lineRule="auto"/>
      <w:ind w:left="1134" w:hanging="1134"/>
    </w:pPr>
    <w:rPr>
      <w:b/>
      <w:sz w:val="20"/>
    </w:rPr>
  </w:style>
  <w:style w:type="paragraph" w:customStyle="1" w:styleId="Boxtext0">
    <w:name w:val="Box text"/>
    <w:basedOn w:val="Tablebodytext"/>
    <w:qFormat/>
    <w:rsid w:val="00DD7BE2"/>
    <w:pPr>
      <w:shd w:val="clear" w:color="auto" w:fill="F2CEA1"/>
      <w:spacing w:after="120"/>
    </w:pPr>
  </w:style>
  <w:style w:type="paragraph" w:customStyle="1" w:styleId="Boxbullets">
    <w:name w:val="Box bullets"/>
    <w:basedOn w:val="Tablebullet"/>
    <w:qFormat/>
    <w:rsid w:val="00DD7BE2"/>
    <w:pPr>
      <w:numPr>
        <w:numId w:val="9"/>
      </w:numPr>
      <w:shd w:val="clear" w:color="auto" w:fill="F2CEA1"/>
      <w:ind w:left="227" w:hanging="227"/>
    </w:pPr>
  </w:style>
  <w:style w:type="character" w:styleId="PageNumber">
    <w:name w:val="page number"/>
    <w:basedOn w:val="DefaultParagraphFont"/>
    <w:semiHidden/>
    <w:rsid w:val="00E674D4"/>
  </w:style>
  <w:style w:type="paragraph" w:styleId="TOC4">
    <w:name w:val="toc 4"/>
    <w:basedOn w:val="Normal"/>
    <w:next w:val="Normal"/>
    <w:autoRedefine/>
    <w:semiHidden/>
    <w:rsid w:val="00D57AEF"/>
    <w:pPr>
      <w:tabs>
        <w:tab w:val="right" w:leader="dot" w:pos="9060"/>
      </w:tabs>
      <w:spacing w:before="40" w:after="0" w:line="240" w:lineRule="auto"/>
      <w:ind w:left="1701"/>
    </w:pPr>
    <w:rPr>
      <w:i/>
      <w:noProof/>
      <w:sz w:val="20"/>
      <w:szCs w:val="20"/>
    </w:rPr>
  </w:style>
  <w:style w:type="paragraph" w:customStyle="1" w:styleId="Tablecolumnheading">
    <w:name w:val="Table column heading"/>
    <w:basedOn w:val="Tablebodytext"/>
    <w:qFormat/>
    <w:rsid w:val="00931E0B"/>
    <w:rPr>
      <w:b/>
      <w:bCs/>
      <w:color w:val="FFFFFF"/>
    </w:rPr>
  </w:style>
  <w:style w:type="paragraph" w:customStyle="1" w:styleId="Tablecolumnheadingdata">
    <w:name w:val="Table column heading data"/>
    <w:basedOn w:val="Tablecolumnheading"/>
    <w:rsid w:val="00931E0B"/>
    <w:pPr>
      <w:jc w:val="right"/>
    </w:pPr>
    <w:rPr>
      <w:rFonts w:eastAsia="Times New Roman"/>
      <w:szCs w:val="20"/>
    </w:rPr>
  </w:style>
  <w:style w:type="paragraph" w:customStyle="1" w:styleId="Tabledata">
    <w:name w:val="Table data"/>
    <w:basedOn w:val="Tablebodytext"/>
    <w:qFormat/>
    <w:rsid w:val="00931E0B"/>
    <w:pPr>
      <w:jc w:val="right"/>
    </w:pPr>
    <w:rPr>
      <w:rFonts w:eastAsia="Times New Roman"/>
      <w:szCs w:val="20"/>
    </w:rPr>
  </w:style>
  <w:style w:type="numbering" w:customStyle="1" w:styleId="TableBullet0">
    <w:name w:val="Table Bullet"/>
    <w:basedOn w:val="NoList"/>
    <w:rsid w:val="005D5668"/>
    <w:pPr>
      <w:numPr>
        <w:numId w:val="2"/>
      </w:numPr>
    </w:pPr>
  </w:style>
  <w:style w:type="numbering" w:customStyle="1" w:styleId="TableBulletDash">
    <w:name w:val="Table Bullet Dash"/>
    <w:basedOn w:val="NoList"/>
    <w:rsid w:val="005D5668"/>
    <w:pPr>
      <w:numPr>
        <w:numId w:val="3"/>
      </w:numPr>
    </w:pPr>
  </w:style>
  <w:style w:type="paragraph" w:styleId="Index1">
    <w:name w:val="index 1"/>
    <w:basedOn w:val="Normal"/>
    <w:next w:val="Normal"/>
    <w:autoRedefine/>
    <w:semiHidden/>
    <w:rsid w:val="00A404DE"/>
    <w:pPr>
      <w:ind w:left="210" w:hanging="210"/>
    </w:pPr>
  </w:style>
  <w:style w:type="numbering" w:customStyle="1" w:styleId="NumberedList">
    <w:name w:val="Numbered List"/>
    <w:basedOn w:val="NoList"/>
    <w:rsid w:val="00980457"/>
    <w:pPr>
      <w:numPr>
        <w:numId w:val="4"/>
      </w:numPr>
    </w:pPr>
  </w:style>
  <w:style w:type="paragraph" w:customStyle="1" w:styleId="Listletterlevel2">
    <w:name w:val="List letter (level 2)"/>
    <w:basedOn w:val="ListNumber"/>
    <w:qFormat/>
    <w:rsid w:val="00AF117A"/>
    <w:pPr>
      <w:numPr>
        <w:ilvl w:val="1"/>
      </w:numPr>
    </w:pPr>
  </w:style>
  <w:style w:type="paragraph" w:styleId="Quote">
    <w:name w:val="Quote"/>
    <w:basedOn w:val="Normal"/>
    <w:next w:val="Normal"/>
    <w:link w:val="QuoteChar"/>
    <w:uiPriority w:val="29"/>
    <w:qFormat/>
    <w:rsid w:val="00C56FCE"/>
    <w:pPr>
      <w:ind w:left="454"/>
    </w:pPr>
    <w:rPr>
      <w:i/>
      <w:iCs/>
    </w:rPr>
  </w:style>
  <w:style w:type="character" w:customStyle="1" w:styleId="QuoteChar">
    <w:name w:val="Quote Char"/>
    <w:basedOn w:val="DefaultParagraphFont"/>
    <w:link w:val="Quote"/>
    <w:uiPriority w:val="29"/>
    <w:rsid w:val="00C56FCE"/>
    <w:rPr>
      <w:rFonts w:ascii="Cambria" w:hAnsi="Cambria"/>
      <w:i/>
      <w:iCs/>
      <w:sz w:val="22"/>
      <w:szCs w:val="22"/>
      <w:lang w:eastAsia="en-US"/>
    </w:rPr>
  </w:style>
  <w:style w:type="paragraph" w:customStyle="1" w:styleId="ARTDcompanydetails">
    <w:name w:val="ARTD company details"/>
    <w:basedOn w:val="Reportdate"/>
    <w:uiPriority w:val="1"/>
    <w:rsid w:val="00A832B3"/>
    <w:pPr>
      <w:spacing w:after="0"/>
    </w:pPr>
    <w:rPr>
      <w:rFonts w:cs="Segoe UI"/>
      <w:bCs/>
      <w:color w:val="08193E"/>
      <w:sz w:val="16"/>
      <w:szCs w:val="20"/>
    </w:rPr>
  </w:style>
  <w:style w:type="paragraph" w:customStyle="1" w:styleId="FrontPage">
    <w:name w:val="FrontPage"/>
    <w:basedOn w:val="Normal"/>
    <w:semiHidden/>
    <w:qFormat/>
    <w:rsid w:val="00147661"/>
    <w:pPr>
      <w:spacing w:after="3320" w:line="240" w:lineRule="auto"/>
    </w:pPr>
  </w:style>
  <w:style w:type="paragraph" w:styleId="ListBullet">
    <w:name w:val="List Bullet"/>
    <w:basedOn w:val="Normal"/>
    <w:uiPriority w:val="99"/>
    <w:unhideWhenUsed/>
    <w:qFormat/>
    <w:rsid w:val="00AF117A"/>
    <w:pPr>
      <w:numPr>
        <w:numId w:val="16"/>
      </w:numPr>
      <w:spacing w:after="0" w:line="240" w:lineRule="auto"/>
    </w:pPr>
  </w:style>
  <w:style w:type="numbering" w:customStyle="1" w:styleId="Headings">
    <w:name w:val="Headings"/>
    <w:uiPriority w:val="99"/>
    <w:rsid w:val="00EF151F"/>
    <w:pPr>
      <w:numPr>
        <w:numId w:val="5"/>
      </w:numPr>
    </w:pPr>
  </w:style>
  <w:style w:type="numbering" w:customStyle="1" w:styleId="Bullets">
    <w:name w:val="Bullets"/>
    <w:uiPriority w:val="99"/>
    <w:rsid w:val="00AF117A"/>
    <w:pPr>
      <w:numPr>
        <w:numId w:val="8"/>
      </w:numPr>
    </w:pPr>
  </w:style>
  <w:style w:type="paragraph" w:styleId="ListNumber">
    <w:name w:val="List Number"/>
    <w:basedOn w:val="Normal"/>
    <w:uiPriority w:val="99"/>
    <w:unhideWhenUsed/>
    <w:qFormat/>
    <w:rsid w:val="00AF117A"/>
    <w:pPr>
      <w:numPr>
        <w:numId w:val="15"/>
      </w:numPr>
      <w:spacing w:after="0" w:line="240" w:lineRule="auto"/>
    </w:pPr>
  </w:style>
  <w:style w:type="table" w:customStyle="1" w:styleId="ARTDTable">
    <w:name w:val="ARTD_Table"/>
    <w:basedOn w:val="TableNormal"/>
    <w:uiPriority w:val="99"/>
    <w:rsid w:val="00142D6A"/>
    <w:rPr>
      <w:rFonts w:asciiTheme="majorHAnsi" w:hAnsiTheme="majorHAnsi"/>
    </w:rPr>
    <w:tblPr>
      <w:tblInd w:w="57" w:type="dxa"/>
      <w:tblBorders>
        <w:top w:val="single" w:sz="4" w:space="0" w:color="08193E" w:themeColor="text1"/>
        <w:bottom w:val="single" w:sz="4" w:space="0" w:color="08193E" w:themeColor="text1"/>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themeColor="text1"/>
          <w:left w:val="nil"/>
          <w:bottom w:val="single" w:sz="4" w:space="0" w:color="08193E" w:themeColor="text1"/>
          <w:right w:val="nil"/>
          <w:insideH w:val="nil"/>
          <w:insideV w:val="nil"/>
          <w:tl2br w:val="nil"/>
          <w:tr2bl w:val="nil"/>
        </w:tcBorders>
        <w:shd w:val="clear" w:color="auto" w:fill="F0F1E9"/>
      </w:tcPr>
    </w:tblStylePr>
  </w:style>
  <w:style w:type="table" w:customStyle="1" w:styleId="ARTDTable2">
    <w:name w:val="ARTD_Table_2"/>
    <w:basedOn w:val="TableNormal"/>
    <w:uiPriority w:val="99"/>
    <w:rsid w:val="00431C6B"/>
    <w:rPr>
      <w:rFonts w:asciiTheme="majorHAnsi" w:hAnsiTheme="majorHAnsi"/>
    </w:rPr>
    <w:tblPr>
      <w:tblStyleRowBandSize w:val="1"/>
      <w:tblInd w:w="57" w:type="dxa"/>
      <w:tblBorders>
        <w:bottom w:val="single" w:sz="4" w:space="0" w:color="auto"/>
      </w:tblBorders>
      <w:tblCellMar>
        <w:top w:w="113" w:type="dxa"/>
        <w:left w:w="57" w:type="dxa"/>
        <w:bottom w:w="57" w:type="dxa"/>
        <w:right w:w="57" w:type="dxa"/>
      </w:tblCellMar>
    </w:tblPr>
    <w:trPr>
      <w:cantSplit/>
    </w:trPr>
    <w:tcPr>
      <w:shd w:val="clear" w:color="auto" w:fill="auto"/>
    </w:tcPr>
    <w:tblStylePr w:type="firstRow">
      <w:tblPr/>
      <w:trPr>
        <w:cantSplit w:val="0"/>
        <w:tblHeader/>
      </w:trPr>
      <w:tcPr>
        <w:shd w:val="clear" w:color="auto" w:fill="08193E"/>
      </w:tcPr>
    </w:tblStylePr>
    <w:tblStylePr w:type="lastRow">
      <w:rPr>
        <w:b/>
      </w:rPr>
      <w:tblPr/>
      <w:tcPr>
        <w:tcBorders>
          <w:top w:val="single" w:sz="4" w:space="0" w:color="08193E" w:themeColor="text1"/>
          <w:bottom w:val="single" w:sz="4" w:space="0" w:color="08193E" w:themeColor="text1"/>
        </w:tcBorders>
        <w:shd w:val="clear" w:color="auto" w:fill="auto"/>
      </w:tcPr>
    </w:tblStylePr>
    <w:tblStylePr w:type="band2Horz">
      <w:tblPr/>
      <w:tcPr>
        <w:shd w:val="clear" w:color="auto" w:fill="F0F1E9"/>
      </w:tcPr>
    </w:tblStylePr>
  </w:style>
  <w:style w:type="paragraph" w:customStyle="1" w:styleId="TableHeading">
    <w:name w:val="Table Heading"/>
    <w:basedOn w:val="Normal"/>
    <w:next w:val="Normal"/>
    <w:qFormat/>
    <w:rsid w:val="003062E1"/>
    <w:pPr>
      <w:numPr>
        <w:numId w:val="13"/>
      </w:numPr>
      <w:spacing w:before="480" w:line="240" w:lineRule="auto"/>
    </w:pPr>
    <w:rPr>
      <w:b/>
    </w:rPr>
  </w:style>
  <w:style w:type="paragraph" w:customStyle="1" w:styleId="FigureHeading">
    <w:name w:val="Figure Heading"/>
    <w:basedOn w:val="TableHeading"/>
    <w:next w:val="Normal"/>
    <w:uiPriority w:val="1"/>
    <w:qFormat/>
    <w:rsid w:val="003062E1"/>
    <w:pPr>
      <w:keepNext/>
      <w:numPr>
        <w:numId w:val="12"/>
      </w:numPr>
    </w:pPr>
  </w:style>
  <w:style w:type="numbering" w:customStyle="1" w:styleId="TableNumbers">
    <w:name w:val="TableNumbers"/>
    <w:uiPriority w:val="99"/>
    <w:rsid w:val="003062E1"/>
    <w:pPr>
      <w:numPr>
        <w:numId w:val="10"/>
      </w:numPr>
    </w:pPr>
  </w:style>
  <w:style w:type="numbering" w:customStyle="1" w:styleId="FigureNumbers">
    <w:name w:val="FigureNumbers"/>
    <w:uiPriority w:val="99"/>
    <w:rsid w:val="003062E1"/>
    <w:pPr>
      <w:numPr>
        <w:numId w:val="11"/>
      </w:numPr>
    </w:pPr>
  </w:style>
  <w:style w:type="paragraph" w:styleId="Caption">
    <w:name w:val="caption"/>
    <w:basedOn w:val="Normal"/>
    <w:next w:val="Normal"/>
    <w:uiPriority w:val="35"/>
    <w:unhideWhenUsed/>
    <w:qFormat/>
    <w:rsid w:val="00807725"/>
    <w:pPr>
      <w:spacing w:after="200" w:line="240" w:lineRule="auto"/>
    </w:pPr>
    <w:rPr>
      <w:b/>
      <w:bCs/>
      <w:color w:val="08193E"/>
      <w:sz w:val="18"/>
      <w:szCs w:val="18"/>
    </w:rPr>
  </w:style>
  <w:style w:type="numbering" w:customStyle="1" w:styleId="Numbers">
    <w:name w:val="Numbers"/>
    <w:uiPriority w:val="99"/>
    <w:rsid w:val="00AF117A"/>
    <w:pPr>
      <w:numPr>
        <w:numId w:val="14"/>
      </w:numPr>
    </w:pPr>
  </w:style>
  <w:style w:type="paragraph" w:customStyle="1" w:styleId="GeneralHeading2">
    <w:name w:val="General Heading 2"/>
    <w:basedOn w:val="Heading2"/>
    <w:next w:val="Normal"/>
    <w:qFormat/>
    <w:rsid w:val="00807725"/>
    <w:pPr>
      <w:numPr>
        <w:ilvl w:val="0"/>
        <w:numId w:val="17"/>
      </w:numPr>
    </w:pPr>
  </w:style>
  <w:style w:type="paragraph" w:customStyle="1" w:styleId="Appendix">
    <w:name w:val="Appendix"/>
    <w:basedOn w:val="Heading1"/>
    <w:next w:val="Normal"/>
    <w:link w:val="AppendixChar"/>
    <w:qFormat/>
    <w:rsid w:val="001334F9"/>
    <w:pPr>
      <w:numPr>
        <w:numId w:val="18"/>
      </w:numPr>
      <w:tabs>
        <w:tab w:val="left" w:pos="2835"/>
      </w:tabs>
    </w:pPr>
    <w:rPr>
      <w:color w:val="FFFFFF" w:themeColor="background1"/>
    </w:rPr>
  </w:style>
  <w:style w:type="character" w:customStyle="1" w:styleId="AppendixChar">
    <w:name w:val="Appendix Char"/>
    <w:link w:val="Appendix"/>
    <w:rsid w:val="001334F9"/>
    <w:rPr>
      <w:rFonts w:ascii="Segoe UI" w:eastAsia="Times New Roman" w:hAnsi="Segoe UI"/>
      <w:b/>
      <w:bCs/>
      <w:color w:val="FFFFFF" w:themeColor="background1"/>
      <w:sz w:val="40"/>
      <w:szCs w:val="28"/>
      <w:shd w:val="clear" w:color="auto" w:fill="08193E"/>
      <w:lang w:eastAsia="en-US"/>
    </w:rPr>
  </w:style>
  <w:style w:type="paragraph" w:customStyle="1" w:styleId="ProjexHead">
    <w:name w:val="Proj ex Head"/>
    <w:basedOn w:val="Normal"/>
    <w:qFormat/>
    <w:rsid w:val="00142D6A"/>
    <w:pPr>
      <w:spacing w:before="240" w:after="0" w:line="240" w:lineRule="auto"/>
      <w:ind w:left="340"/>
    </w:pPr>
    <w:rPr>
      <w:rFonts w:cs="Segoe UI"/>
      <w:b/>
    </w:rPr>
  </w:style>
  <w:style w:type="paragraph" w:customStyle="1" w:styleId="ProjexText">
    <w:name w:val="Proj ex Text"/>
    <w:basedOn w:val="Normal"/>
    <w:qFormat/>
    <w:rsid w:val="00142D6A"/>
    <w:pPr>
      <w:spacing w:after="0" w:line="240" w:lineRule="auto"/>
      <w:ind w:left="340"/>
    </w:pPr>
    <w:rPr>
      <w:rFonts w:cs="Segoe UI"/>
      <w:sz w:val="20"/>
    </w:rPr>
  </w:style>
  <w:style w:type="paragraph" w:customStyle="1" w:styleId="Reporttype">
    <w:name w:val="Report type"/>
    <w:basedOn w:val="Normal"/>
    <w:next w:val="Reportperiod"/>
    <w:qFormat/>
    <w:rsid w:val="001C703D"/>
    <w:pPr>
      <w:spacing w:before="240" w:after="120" w:line="240" w:lineRule="auto"/>
      <w:jc w:val="right"/>
    </w:pPr>
    <w:rPr>
      <w:rFonts w:cs="Segoe UI"/>
      <w:smallCaps/>
      <w:color w:val="08193E"/>
      <w:sz w:val="32"/>
      <w:szCs w:val="32"/>
    </w:rPr>
  </w:style>
  <w:style w:type="paragraph" w:customStyle="1" w:styleId="Reportperiod">
    <w:name w:val="Report period"/>
    <w:basedOn w:val="Normal"/>
    <w:qFormat/>
    <w:rsid w:val="001C703D"/>
    <w:pPr>
      <w:spacing w:before="240" w:after="120" w:line="240" w:lineRule="auto"/>
      <w:jc w:val="right"/>
    </w:pPr>
    <w:rPr>
      <w:rFonts w:cs="Segoe UI"/>
      <w:smallCaps/>
      <w:color w:val="08193E"/>
      <w:sz w:val="24"/>
    </w:rPr>
  </w:style>
  <w:style w:type="paragraph" w:customStyle="1" w:styleId="TOCHeading2">
    <w:name w:val="TOC Heading 2"/>
    <w:basedOn w:val="ExecSummaryH2"/>
    <w:qFormat/>
    <w:rsid w:val="000C308E"/>
    <w:rPr>
      <w:rFonts w:cs="Segoe UI"/>
    </w:rPr>
  </w:style>
  <w:style w:type="character" w:styleId="CommentReference">
    <w:name w:val="annotation reference"/>
    <w:basedOn w:val="DefaultParagraphFont"/>
    <w:uiPriority w:val="99"/>
    <w:semiHidden/>
    <w:unhideWhenUsed/>
    <w:rsid w:val="00F952D1"/>
    <w:rPr>
      <w:sz w:val="16"/>
      <w:szCs w:val="16"/>
    </w:rPr>
  </w:style>
  <w:style w:type="paragraph" w:styleId="CommentText">
    <w:name w:val="annotation text"/>
    <w:basedOn w:val="Normal"/>
    <w:link w:val="CommentTextChar"/>
    <w:uiPriority w:val="99"/>
    <w:unhideWhenUsed/>
    <w:rsid w:val="00F952D1"/>
    <w:pPr>
      <w:spacing w:line="240" w:lineRule="auto"/>
    </w:pPr>
    <w:rPr>
      <w:sz w:val="20"/>
      <w:szCs w:val="20"/>
    </w:rPr>
  </w:style>
  <w:style w:type="character" w:customStyle="1" w:styleId="CommentTextChar">
    <w:name w:val="Comment Text Char"/>
    <w:basedOn w:val="DefaultParagraphFont"/>
    <w:link w:val="CommentText"/>
    <w:uiPriority w:val="99"/>
    <w:rsid w:val="00F952D1"/>
    <w:rPr>
      <w:rFonts w:ascii="Segoe UI" w:hAnsi="Segoe UI"/>
      <w:lang w:eastAsia="en-US"/>
    </w:rPr>
  </w:style>
  <w:style w:type="paragraph" w:styleId="CommentSubject">
    <w:name w:val="annotation subject"/>
    <w:basedOn w:val="CommentText"/>
    <w:next w:val="CommentText"/>
    <w:link w:val="CommentSubjectChar"/>
    <w:uiPriority w:val="99"/>
    <w:semiHidden/>
    <w:unhideWhenUsed/>
    <w:rsid w:val="00F952D1"/>
    <w:rPr>
      <w:b/>
      <w:bCs/>
    </w:rPr>
  </w:style>
  <w:style w:type="character" w:customStyle="1" w:styleId="CommentSubjectChar">
    <w:name w:val="Comment Subject Char"/>
    <w:basedOn w:val="CommentTextChar"/>
    <w:link w:val="CommentSubject"/>
    <w:uiPriority w:val="99"/>
    <w:semiHidden/>
    <w:rsid w:val="00F952D1"/>
    <w:rPr>
      <w:rFonts w:ascii="Segoe UI" w:hAnsi="Segoe UI"/>
      <w:b/>
      <w:bCs/>
      <w:lang w:eastAsia="en-US"/>
    </w:rPr>
  </w:style>
  <w:style w:type="paragraph" w:styleId="ListParagraph">
    <w:name w:val="List Paragraph"/>
    <w:basedOn w:val="Normal"/>
    <w:uiPriority w:val="34"/>
    <w:qFormat/>
    <w:rsid w:val="00036C15"/>
    <w:pPr>
      <w:ind w:left="720"/>
      <w:contextualSpacing/>
    </w:pPr>
  </w:style>
  <w:style w:type="table" w:customStyle="1" w:styleId="ARTDTable20">
    <w:name w:val="ARTD_Table2"/>
    <w:basedOn w:val="TableNormal"/>
    <w:uiPriority w:val="99"/>
    <w:rsid w:val="001175B2"/>
    <w:rPr>
      <w:rFonts w:ascii="Segoe UI" w:hAnsi="Segoe UI"/>
    </w:rPr>
    <w:tblPr>
      <w:tblInd w:w="57" w:type="dxa"/>
      <w:tblBorders>
        <w:top w:val="single" w:sz="4" w:space="0" w:color="08193E"/>
        <w:bottom w:val="single" w:sz="4" w:space="0" w:color="08193E"/>
        <w:insideH w:val="single" w:sz="8" w:space="0" w:color="EEECE1"/>
      </w:tblBorders>
      <w:tblCellMar>
        <w:top w:w="113" w:type="dxa"/>
        <w:left w:w="57" w:type="dxa"/>
        <w:bottom w:w="57" w:type="dxa"/>
        <w:right w:w="57" w:type="dxa"/>
      </w:tblCellMar>
    </w:tblPr>
    <w:tblStylePr w:type="firstRow">
      <w:tblPr/>
      <w:tcPr>
        <w:shd w:val="clear" w:color="auto" w:fill="08193E"/>
      </w:tcPr>
    </w:tblStylePr>
    <w:tblStylePr w:type="lastRow">
      <w:tblPr/>
      <w:tcPr>
        <w:tcBorders>
          <w:top w:val="single" w:sz="4" w:space="0" w:color="08193E"/>
          <w:left w:val="nil"/>
          <w:bottom w:val="single" w:sz="4" w:space="0" w:color="08193E"/>
          <w:right w:val="nil"/>
          <w:insideH w:val="nil"/>
          <w:insideV w:val="nil"/>
          <w:tl2br w:val="nil"/>
          <w:tr2bl w:val="nil"/>
        </w:tcBorders>
        <w:shd w:val="clear" w:color="auto" w:fill="F0F1E9"/>
      </w:tcPr>
    </w:tblStylePr>
  </w:style>
  <w:style w:type="paragraph" w:styleId="Revision">
    <w:name w:val="Revision"/>
    <w:hidden/>
    <w:uiPriority w:val="99"/>
    <w:semiHidden/>
    <w:rsid w:val="001175B2"/>
    <w:rPr>
      <w:rFonts w:ascii="Segoe UI" w:hAnsi="Segoe U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17734">
      <w:bodyDiv w:val="1"/>
      <w:marLeft w:val="0"/>
      <w:marRight w:val="0"/>
      <w:marTop w:val="0"/>
      <w:marBottom w:val="0"/>
      <w:divBdr>
        <w:top w:val="none" w:sz="0" w:space="0" w:color="auto"/>
        <w:left w:val="none" w:sz="0" w:space="0" w:color="auto"/>
        <w:bottom w:val="none" w:sz="0" w:space="0" w:color="auto"/>
        <w:right w:val="none" w:sz="0" w:space="0" w:color="auto"/>
      </w:divBdr>
    </w:div>
    <w:div w:id="1980108943">
      <w:bodyDiv w:val="1"/>
      <w:marLeft w:val="0"/>
      <w:marRight w:val="0"/>
      <w:marTop w:val="0"/>
      <w:marBottom w:val="0"/>
      <w:divBdr>
        <w:top w:val="none" w:sz="0" w:space="0" w:color="auto"/>
        <w:left w:val="none" w:sz="0" w:space="0" w:color="auto"/>
        <w:bottom w:val="none" w:sz="0" w:space="0" w:color="auto"/>
        <w:right w:val="none" w:sz="0" w:space="0" w:color="auto"/>
      </w:divBdr>
      <w:divsChild>
        <w:div w:id="1163816861">
          <w:marLeft w:val="1166"/>
          <w:marRight w:val="0"/>
          <w:marTop w:val="86"/>
          <w:marBottom w:val="0"/>
          <w:divBdr>
            <w:top w:val="none" w:sz="0" w:space="0" w:color="auto"/>
            <w:left w:val="none" w:sz="0" w:space="0" w:color="auto"/>
            <w:bottom w:val="none" w:sz="0" w:space="0" w:color="auto"/>
            <w:right w:val="none" w:sz="0" w:space="0" w:color="auto"/>
          </w:divBdr>
        </w:div>
        <w:div w:id="630289817">
          <w:marLeft w:val="1166"/>
          <w:marRight w:val="0"/>
          <w:marTop w:val="86"/>
          <w:marBottom w:val="0"/>
          <w:divBdr>
            <w:top w:val="none" w:sz="0" w:space="0" w:color="auto"/>
            <w:left w:val="none" w:sz="0" w:space="0" w:color="auto"/>
            <w:bottom w:val="none" w:sz="0" w:space="0" w:color="auto"/>
            <w:right w:val="none" w:sz="0" w:space="0" w:color="auto"/>
          </w:divBdr>
        </w:div>
        <w:div w:id="316691338">
          <w:marLeft w:val="1166"/>
          <w:marRight w:val="0"/>
          <w:marTop w:val="86"/>
          <w:marBottom w:val="0"/>
          <w:divBdr>
            <w:top w:val="none" w:sz="0" w:space="0" w:color="auto"/>
            <w:left w:val="none" w:sz="0" w:space="0" w:color="auto"/>
            <w:bottom w:val="none" w:sz="0" w:space="0" w:color="auto"/>
            <w:right w:val="none" w:sz="0" w:space="0" w:color="auto"/>
          </w:divBdr>
        </w:div>
        <w:div w:id="1999184043">
          <w:marLeft w:val="1166"/>
          <w:marRight w:val="0"/>
          <w:marTop w:val="86"/>
          <w:marBottom w:val="0"/>
          <w:divBdr>
            <w:top w:val="none" w:sz="0" w:space="0" w:color="auto"/>
            <w:left w:val="none" w:sz="0" w:space="0" w:color="auto"/>
            <w:bottom w:val="none" w:sz="0" w:space="0" w:color="auto"/>
            <w:right w:val="none" w:sz="0" w:space="0" w:color="auto"/>
          </w:divBdr>
        </w:div>
        <w:div w:id="1924291090">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4.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T:\ARTD%20business%20-%20overall%20company\Templates\Current%20Templates%20(live)\Core%20templates\3a%20-%20Standard%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36993292505104"/>
          <c:y val="4.3650793650793648E-2"/>
          <c:w val="0.39256033100029164"/>
          <c:h val="0.68966502474861879"/>
        </c:manualLayout>
      </c:layout>
      <c:barChart>
        <c:barDir val="bar"/>
        <c:grouping val="stacked"/>
        <c:varyColors val="0"/>
        <c:ser>
          <c:idx val="0"/>
          <c:order val="0"/>
          <c:tx>
            <c:strRef>
              <c:f>Sheet1!$B$1</c:f>
              <c:strCache>
                <c:ptCount val="1"/>
                <c:pt idx="0">
                  <c:v>Mildly disagree</c:v>
                </c:pt>
              </c:strCache>
            </c:strRef>
          </c:tx>
          <c:spPr>
            <a:solidFill>
              <a:schemeClr val="accent2"/>
            </a:solidFill>
            <a:ln>
              <a:noFill/>
            </a:ln>
            <a:effectLst/>
          </c:spPr>
          <c:invertIfNegative val="0"/>
          <c:cat>
            <c:strRef>
              <c:f>Sheet1!$A$2:$A$5</c:f>
              <c:strCache>
                <c:ptCount val="4"/>
                <c:pt idx="0">
                  <c:v>Training Centres focus on strengthening the capabilities of industries and other research end-users in identified Industrial Transformation Priority areas</c:v>
                </c:pt>
                <c:pt idx="1">
                  <c:v>Training Centres are focused on research training and collaboration with the goal of driving growth, productivity and competitiveness within key growth sectors</c:v>
                </c:pt>
                <c:pt idx="2">
                  <c:v>Training Centres effectively foster opportunities for research trainees (HDRs/PDRs) to pursue industry training</c:v>
                </c:pt>
                <c:pt idx="3">
                  <c:v>Training Centres enhance research training collaboration between universities and organisations outside the Australian higher education sector</c:v>
                </c:pt>
              </c:strCache>
            </c:strRef>
          </c:cat>
          <c:val>
            <c:numRef>
              <c:f>Sheet1!$B$2:$B$5</c:f>
              <c:numCache>
                <c:formatCode>0%</c:formatCode>
                <c:ptCount val="4"/>
                <c:pt idx="0">
                  <c:v>-7.0000000000000007E-2</c:v>
                </c:pt>
                <c:pt idx="1">
                  <c:v>-0.04</c:v>
                </c:pt>
                <c:pt idx="2">
                  <c:v>-0.04</c:v>
                </c:pt>
                <c:pt idx="3">
                  <c:v>-0.05</c:v>
                </c:pt>
              </c:numCache>
            </c:numRef>
          </c:val>
          <c:extLst>
            <c:ext xmlns:c16="http://schemas.microsoft.com/office/drawing/2014/chart" uri="{C3380CC4-5D6E-409C-BE32-E72D297353CC}">
              <c16:uniqueId val="{00000000-A4FB-4144-B467-60BFA9833EA8}"/>
            </c:ext>
          </c:extLst>
        </c:ser>
        <c:ser>
          <c:idx val="1"/>
          <c:order val="1"/>
          <c:tx>
            <c:strRef>
              <c:f>Sheet1!$C$1</c:f>
              <c:strCache>
                <c:ptCount val="1"/>
                <c:pt idx="0">
                  <c:v>Disagree</c:v>
                </c:pt>
              </c:strCache>
            </c:strRef>
          </c:tx>
          <c:spPr>
            <a:solidFill>
              <a:schemeClr val="tx1"/>
            </a:solidFill>
            <a:ln>
              <a:noFill/>
            </a:ln>
            <a:effectLst/>
          </c:spPr>
          <c:invertIfNegative val="0"/>
          <c:cat>
            <c:strRef>
              <c:f>Sheet1!$A$2:$A$5</c:f>
              <c:strCache>
                <c:ptCount val="4"/>
                <c:pt idx="0">
                  <c:v>Training Centres focus on strengthening the capabilities of industries and other research end-users in identified Industrial Transformation Priority areas</c:v>
                </c:pt>
                <c:pt idx="1">
                  <c:v>Training Centres are focused on research training and collaboration with the goal of driving growth, productivity and competitiveness within key growth sectors</c:v>
                </c:pt>
                <c:pt idx="2">
                  <c:v>Training Centres effectively foster opportunities for research trainees (HDRs/PDRs) to pursue industry training</c:v>
                </c:pt>
                <c:pt idx="3">
                  <c:v>Training Centres enhance research training collaboration between universities and organisations outside the Australian higher education sector</c:v>
                </c:pt>
              </c:strCache>
            </c:strRef>
          </c:cat>
          <c:val>
            <c:numRef>
              <c:f>Sheet1!$C$2:$C$5</c:f>
              <c:numCache>
                <c:formatCode>0%</c:formatCode>
                <c:ptCount val="4"/>
                <c:pt idx="0">
                  <c:v>-0.03</c:v>
                </c:pt>
                <c:pt idx="1">
                  <c:v>-0.03</c:v>
                </c:pt>
                <c:pt idx="2">
                  <c:v>-0.02</c:v>
                </c:pt>
                <c:pt idx="3">
                  <c:v>-0.02</c:v>
                </c:pt>
              </c:numCache>
            </c:numRef>
          </c:val>
          <c:extLst>
            <c:ext xmlns:c16="http://schemas.microsoft.com/office/drawing/2014/chart" uri="{C3380CC4-5D6E-409C-BE32-E72D297353CC}">
              <c16:uniqueId val="{00000001-A4FB-4144-B467-60BFA9833EA8}"/>
            </c:ext>
          </c:extLst>
        </c:ser>
        <c:ser>
          <c:idx val="2"/>
          <c:order val="2"/>
          <c:tx>
            <c:strRef>
              <c:f>Sheet1!$D$1</c:f>
              <c:strCache>
                <c:ptCount val="1"/>
                <c:pt idx="0">
                  <c:v>Mildly 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Training Centres focus on strengthening the capabilities of industries and other research end-users in identified Industrial Transformation Priority areas</c:v>
                </c:pt>
                <c:pt idx="1">
                  <c:v>Training Centres are focused on research training and collaboration with the goal of driving growth, productivity and competitiveness within key growth sectors</c:v>
                </c:pt>
                <c:pt idx="2">
                  <c:v>Training Centres effectively foster opportunities for research trainees (HDRs/PDRs) to pursue industry training</c:v>
                </c:pt>
                <c:pt idx="3">
                  <c:v>Training Centres enhance research training collaboration between universities and organisations outside the Australian higher education sector</c:v>
                </c:pt>
              </c:strCache>
            </c:strRef>
          </c:cat>
          <c:val>
            <c:numRef>
              <c:f>Sheet1!$D$2:$D$5</c:f>
              <c:numCache>
                <c:formatCode>0%</c:formatCode>
                <c:ptCount val="4"/>
                <c:pt idx="0">
                  <c:v>0.28000000000000003</c:v>
                </c:pt>
                <c:pt idx="1">
                  <c:v>0.26</c:v>
                </c:pt>
                <c:pt idx="2">
                  <c:v>0.28000000000000003</c:v>
                </c:pt>
                <c:pt idx="3">
                  <c:v>0.22</c:v>
                </c:pt>
              </c:numCache>
            </c:numRef>
          </c:val>
          <c:extLst>
            <c:ext xmlns:c16="http://schemas.microsoft.com/office/drawing/2014/chart" uri="{C3380CC4-5D6E-409C-BE32-E72D297353CC}">
              <c16:uniqueId val="{00000002-A4FB-4144-B467-60BFA9833EA8}"/>
            </c:ext>
          </c:extLst>
        </c:ser>
        <c:ser>
          <c:idx val="3"/>
          <c:order val="3"/>
          <c:tx>
            <c:strRef>
              <c:f>Sheet1!$E$1</c:f>
              <c:strCache>
                <c:ptCount val="1"/>
                <c:pt idx="0">
                  <c:v>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Training Centres focus on strengthening the capabilities of industries and other research end-users in identified Industrial Transformation Priority areas</c:v>
                </c:pt>
                <c:pt idx="1">
                  <c:v>Training Centres are focused on research training and collaboration with the goal of driving growth, productivity and competitiveness within key growth sectors</c:v>
                </c:pt>
                <c:pt idx="2">
                  <c:v>Training Centres effectively foster opportunities for research trainees (HDRs/PDRs) to pursue industry training</c:v>
                </c:pt>
                <c:pt idx="3">
                  <c:v>Training Centres enhance research training collaboration between universities and organisations outside the Australian higher education sector</c:v>
                </c:pt>
              </c:strCache>
            </c:strRef>
          </c:cat>
          <c:val>
            <c:numRef>
              <c:f>Sheet1!$E$2:$E$5</c:f>
              <c:numCache>
                <c:formatCode>0%</c:formatCode>
                <c:ptCount val="4"/>
                <c:pt idx="0">
                  <c:v>0.63</c:v>
                </c:pt>
                <c:pt idx="1">
                  <c:v>0.66</c:v>
                </c:pt>
                <c:pt idx="2">
                  <c:v>0.66</c:v>
                </c:pt>
                <c:pt idx="3">
                  <c:v>0.72</c:v>
                </c:pt>
              </c:numCache>
            </c:numRef>
          </c:val>
          <c:extLst>
            <c:ext xmlns:c16="http://schemas.microsoft.com/office/drawing/2014/chart" uri="{C3380CC4-5D6E-409C-BE32-E72D297353CC}">
              <c16:uniqueId val="{00000003-A4FB-4144-B467-60BFA9833EA8}"/>
            </c:ext>
          </c:extLst>
        </c:ser>
        <c:dLbls>
          <c:showLegendKey val="0"/>
          <c:showVal val="0"/>
          <c:showCatName val="0"/>
          <c:showSerName val="0"/>
          <c:showPercent val="0"/>
          <c:showBubbleSize val="0"/>
        </c:dLbls>
        <c:gapWidth val="50"/>
        <c:overlap val="100"/>
        <c:axId val="144086528"/>
        <c:axId val="144088064"/>
      </c:barChart>
      <c:catAx>
        <c:axId val="14408652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4088064"/>
        <c:crosses val="autoZero"/>
        <c:auto val="1"/>
        <c:lblAlgn val="ctr"/>
        <c:lblOffset val="100"/>
        <c:noMultiLvlLbl val="0"/>
      </c:catAx>
      <c:valAx>
        <c:axId val="144088064"/>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RTD_20151015">
  <a:themeElements>
    <a:clrScheme name="ARTD">
      <a:dk1>
        <a:srgbClr val="08193E"/>
      </a:dk1>
      <a:lt1>
        <a:srgbClr val="FFFFFF"/>
      </a:lt1>
      <a:dk2>
        <a:srgbClr val="FFFFFF"/>
      </a:dk2>
      <a:lt2>
        <a:srgbClr val="FFFFFF"/>
      </a:lt2>
      <a:accent1>
        <a:srgbClr val="08193E"/>
      </a:accent1>
      <a:accent2>
        <a:srgbClr val="838C96"/>
      </a:accent2>
      <a:accent3>
        <a:srgbClr val="EB7633"/>
      </a:accent3>
      <a:accent4>
        <a:srgbClr val="F2CEA1"/>
      </a:accent4>
      <a:accent5>
        <a:srgbClr val="A7B27E"/>
      </a:accent5>
      <a:accent6>
        <a:srgbClr val="E1E5D4"/>
      </a:accent6>
      <a:hlink>
        <a:srgbClr val="08193E"/>
      </a:hlink>
      <a:folHlink>
        <a:srgbClr val="0070C0"/>
      </a:folHlink>
    </a:clrScheme>
    <a:fontScheme name="ARTD_2015">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ARTD" insertBeforeMso="TabHome">
        <group id="customGroup" label="Heading Styles">
          <box id="box1" boxStyle="vertical">
            <button idMso="Heading1Apply" label="Heading 1" imageMso="_1"/>
            <button idMso="Heading2Apply" label="Heading 2" imageMso="_2"/>
            <button idMso="Heading3Apply" label="Heading 3" imageMso="_3"/>
            <button id="ApplyHeading4" label="Heading 4" onAction="ApplyHeading4" imageMso="_4"/>
            <button id="ApplyAppendixHeading" label="Appendix Heading" onAction="ApplyAppendixHeading"/>
          </box>
          <separator id="separator1"/>
          <menu id="customMenu1" label="Other Headings" itemSize="normal">
            <button id="ApplyGeneralHeading" label="General Headings" onAction="ApplyGeneralHeading"/>
            <button id="ApplyGeneralHeading2" label="General Headings Level 2" onAction="ApplyGeneralHeading2"/>
            <button id="ApplyExecSummH2" label="Exec Summary H2" onAction="ApplyExecSummH2"/>
            <button id="ApplyExecSummH3" label="Exec Summary H3" onAction="ApplyExecSummH3"/>
          </menu>
        </group>
        <group id="customGroup1" label="Other Styles">
          <button idMso="StyleNormal" visible="true" size="large" label="Normal" imageMso="AlignLeft"/>
          <separator id="separator4"/>
          <menu id="customMenu2" label="Bullets" itemSize="normal">
            <button idMso="ListBulletApply" label="Bullets"/>
            <button id="ApplyListDashLvl2" label="Dashes" onAction="ApplyListDashLvl2"/>
            <button id="ApplyNumbering" label="Numbers" onAction="ApplyNumbering"/>
            <button id="ApplyListLetterLvl2" label="Letters" onAction="ApplyListLetterLvl2"/>
          </menu>
          <menu id="customMenu3" label="Table Styles" itemSize="normal">
            <button id="ApplyTableColumnHeading" label="Table Column Heading" onAction="ApplyTableColumnHeading"/>
            <button id="ApplyTableBodyText" label="Table Text" onAction="ApplyTableBodyText"/>
            <button id="ApplyTableBullet" label="Table Bullet" onAction="ApplyTableBullet"/>
            <button id="ApplyTableColumnHeadingData" label="Table Heading - Data" onAction="ApplyTableColumnHeadingData"/>
            <button id="ApplyTableData" label="Table Text - Data" onAction="ApplyTableData"/>
          </menu>
          <menu id="customMenu4" label="Box Styles" itemSize="normal">
            <button id="InsertPullout" label="Insert Box" onAction="InsertPullout"/>
            <button id="ApplyBoxHeading" label="Box Heading" onAction="ApplyBoxHeading"/>
            <button id="ApplyBoxText" label="Box Text" onAction="ApplyBoxText"/>
            <button id="ApplyBoxBullets" label="Box Bullets" onAction="ApplyBoxBullets"/>
          </menu>
          <separator id="separator3"/>
          <menu id="customMenu5" label="Report Titles" itemSize="normal">
            <button id="ApplyReportTitle" label="Report Title" onAction="ApplyReportTitle"/>
            <button id="ApplyReportSubtitle" label="Report Subtitle" onAction="ApplyReportSubtitle"/>
            <button id="ApplyReportType" label="Report Type" onAction="ApplyReportType"/>
            <button id="ApplyReportPeriod" label="Report Period" onAction="ApplyReportPeriod"/>
          </menu>
          <menu id="customMenu6" label="Tables and Figures" itemSize="normal">
            <button id="ApplyTableHeading" label="Table Headings" onAction="ApplyTableHeading"/>
            <button id="ApplyFigureHeading" label="Figure Headings" onAction="ApplyFigureHeading"/>
          </menu>
          <separator id="separator5"/>
          <menu id="customMenu7" label="Other styles" itemSize="normal">
            <button id="ApplyNotes" label="Footnotes" onAction="ApplyNotes"/>
            <button id="ApplyQuotes" label="Quotes" onAction="ApplyQuotes"/>
            <button id="ApplyProjectExHeading" label="Project Heading" onAction="ApplyProjectExHeading"/>
            <button id="ApplyProjectExText" label="Project Text" onAction="ApplyProjectExText"/>
          </menu>
          <separator xmlns="http://schemas.microsoft.com/office/2006/01/customui" id="separator6"/>
          <toggleButton idMso="Bold"/>
          <toggleButton idMso="Italic"/>
          <toggleButton idMso="Underline"/>
        </group>
        <group id="customGroup2" label="ARTD Tables">
          <button id="CreatesTables" visible="true" size="large" label="ARTD Table" onAction="CreatesTables" imageMso="CreateTable"/>
          <button id="CreatesTables2" visible="true" size="large" label="ARTD Table 2" onAction="CreatesTables2" imageMso="AccessListCustomDatasheet"/>
          <button id="ShadeTableRow" visible="true" size="large" label="Total Row" imageMso="TableRowSelect" onAction="ShadeTableRow"/>
        </group>
        <group id="customGroup3" label="&#13;&#10;ARTD Tools">
          <button id="RemoveSpacesAfter" visible="true" size="large" label="Remove Space After" onAction="RemoveSpacesAfter" imageMso="WordCloseParaAbove"/>
          <button id="AddHalfSpacesAfter" visible="true" size="large" label="Add Half Space After" onAction="AddHalfSpacesAfter" imageMso="WordCloseParaBelow"/>
          <button id="AddSpacesAfter" visible="true" size="large" label="Add Space After" onAction="AddSpacesAfter" imageMso="WordCloseParaBelow"/>
          <button id="PasteUnformatted" visible="true" size="large" label="Unformatted" onAction="PasteUnformatted" imageMso="Paste" screentip="Copy your formatted text, then use this button to paste without formatting"/>
          <button idMso="TableOfContentsUpdate" visible="true" size="large" label="UpdateTOC" imageMso="AccessRefreshAllLists"/>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9D7E8-B1DD-4E27-86CC-8CC60210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 - Standard report template</Template>
  <TotalTime>83</TotalTime>
  <Pages>44</Pages>
  <Words>9540</Words>
  <Characters>54383</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ARTD</Company>
  <LinksUpToDate>false</LinksUpToDate>
  <CharactersWithSpaces>63796</CharactersWithSpaces>
  <SharedDoc>false</SharedDoc>
  <HLinks>
    <vt:vector size="102" baseType="variant">
      <vt:variant>
        <vt:i4>2031671</vt:i4>
      </vt:variant>
      <vt:variant>
        <vt:i4>104</vt:i4>
      </vt:variant>
      <vt:variant>
        <vt:i4>0</vt:i4>
      </vt:variant>
      <vt:variant>
        <vt:i4>5</vt:i4>
      </vt:variant>
      <vt:variant>
        <vt:lpwstr/>
      </vt:variant>
      <vt:variant>
        <vt:lpwstr>_Toc306960413</vt:lpwstr>
      </vt:variant>
      <vt:variant>
        <vt:i4>2031671</vt:i4>
      </vt:variant>
      <vt:variant>
        <vt:i4>98</vt:i4>
      </vt:variant>
      <vt:variant>
        <vt:i4>0</vt:i4>
      </vt:variant>
      <vt:variant>
        <vt:i4>5</vt:i4>
      </vt:variant>
      <vt:variant>
        <vt:lpwstr/>
      </vt:variant>
      <vt:variant>
        <vt:lpwstr>_Toc306960412</vt:lpwstr>
      </vt:variant>
      <vt:variant>
        <vt:i4>2031671</vt:i4>
      </vt:variant>
      <vt:variant>
        <vt:i4>92</vt:i4>
      </vt:variant>
      <vt:variant>
        <vt:i4>0</vt:i4>
      </vt:variant>
      <vt:variant>
        <vt:i4>5</vt:i4>
      </vt:variant>
      <vt:variant>
        <vt:lpwstr/>
      </vt:variant>
      <vt:variant>
        <vt:lpwstr>_Toc306960411</vt:lpwstr>
      </vt:variant>
      <vt:variant>
        <vt:i4>1703984</vt:i4>
      </vt:variant>
      <vt:variant>
        <vt:i4>83</vt:i4>
      </vt:variant>
      <vt:variant>
        <vt:i4>0</vt:i4>
      </vt:variant>
      <vt:variant>
        <vt:i4>5</vt:i4>
      </vt:variant>
      <vt:variant>
        <vt:lpwstr/>
      </vt:variant>
      <vt:variant>
        <vt:lpwstr>_Toc306960346</vt:lpwstr>
      </vt:variant>
      <vt:variant>
        <vt:i4>1703984</vt:i4>
      </vt:variant>
      <vt:variant>
        <vt:i4>77</vt:i4>
      </vt:variant>
      <vt:variant>
        <vt:i4>0</vt:i4>
      </vt:variant>
      <vt:variant>
        <vt:i4>5</vt:i4>
      </vt:variant>
      <vt:variant>
        <vt:lpwstr/>
      </vt:variant>
      <vt:variant>
        <vt:lpwstr>_Toc306960345</vt:lpwstr>
      </vt:variant>
      <vt:variant>
        <vt:i4>1703984</vt:i4>
      </vt:variant>
      <vt:variant>
        <vt:i4>68</vt:i4>
      </vt:variant>
      <vt:variant>
        <vt:i4>0</vt:i4>
      </vt:variant>
      <vt:variant>
        <vt:i4>5</vt:i4>
      </vt:variant>
      <vt:variant>
        <vt:lpwstr/>
      </vt:variant>
      <vt:variant>
        <vt:lpwstr>_Toc306960344</vt:lpwstr>
      </vt:variant>
      <vt:variant>
        <vt:i4>1703984</vt:i4>
      </vt:variant>
      <vt:variant>
        <vt:i4>62</vt:i4>
      </vt:variant>
      <vt:variant>
        <vt:i4>0</vt:i4>
      </vt:variant>
      <vt:variant>
        <vt:i4>5</vt:i4>
      </vt:variant>
      <vt:variant>
        <vt:lpwstr/>
      </vt:variant>
      <vt:variant>
        <vt:lpwstr>_Toc306960343</vt:lpwstr>
      </vt:variant>
      <vt:variant>
        <vt:i4>1703984</vt:i4>
      </vt:variant>
      <vt:variant>
        <vt:i4>56</vt:i4>
      </vt:variant>
      <vt:variant>
        <vt:i4>0</vt:i4>
      </vt:variant>
      <vt:variant>
        <vt:i4>5</vt:i4>
      </vt:variant>
      <vt:variant>
        <vt:lpwstr/>
      </vt:variant>
      <vt:variant>
        <vt:lpwstr>_Toc306960342</vt:lpwstr>
      </vt:variant>
      <vt:variant>
        <vt:i4>1703984</vt:i4>
      </vt:variant>
      <vt:variant>
        <vt:i4>50</vt:i4>
      </vt:variant>
      <vt:variant>
        <vt:i4>0</vt:i4>
      </vt:variant>
      <vt:variant>
        <vt:i4>5</vt:i4>
      </vt:variant>
      <vt:variant>
        <vt:lpwstr/>
      </vt:variant>
      <vt:variant>
        <vt:lpwstr>_Toc306960341</vt:lpwstr>
      </vt:variant>
      <vt:variant>
        <vt:i4>1703984</vt:i4>
      </vt:variant>
      <vt:variant>
        <vt:i4>44</vt:i4>
      </vt:variant>
      <vt:variant>
        <vt:i4>0</vt:i4>
      </vt:variant>
      <vt:variant>
        <vt:i4>5</vt:i4>
      </vt:variant>
      <vt:variant>
        <vt:lpwstr/>
      </vt:variant>
      <vt:variant>
        <vt:lpwstr>_Toc306960340</vt:lpwstr>
      </vt:variant>
      <vt:variant>
        <vt:i4>1900592</vt:i4>
      </vt:variant>
      <vt:variant>
        <vt:i4>38</vt:i4>
      </vt:variant>
      <vt:variant>
        <vt:i4>0</vt:i4>
      </vt:variant>
      <vt:variant>
        <vt:i4>5</vt:i4>
      </vt:variant>
      <vt:variant>
        <vt:lpwstr/>
      </vt:variant>
      <vt:variant>
        <vt:lpwstr>_Toc306960339</vt:lpwstr>
      </vt:variant>
      <vt:variant>
        <vt:i4>1900592</vt:i4>
      </vt:variant>
      <vt:variant>
        <vt:i4>32</vt:i4>
      </vt:variant>
      <vt:variant>
        <vt:i4>0</vt:i4>
      </vt:variant>
      <vt:variant>
        <vt:i4>5</vt:i4>
      </vt:variant>
      <vt:variant>
        <vt:lpwstr/>
      </vt:variant>
      <vt:variant>
        <vt:lpwstr>_Toc306960338</vt:lpwstr>
      </vt:variant>
      <vt:variant>
        <vt:i4>1900592</vt:i4>
      </vt:variant>
      <vt:variant>
        <vt:i4>26</vt:i4>
      </vt:variant>
      <vt:variant>
        <vt:i4>0</vt:i4>
      </vt:variant>
      <vt:variant>
        <vt:i4>5</vt:i4>
      </vt:variant>
      <vt:variant>
        <vt:lpwstr/>
      </vt:variant>
      <vt:variant>
        <vt:lpwstr>_Toc306960337</vt:lpwstr>
      </vt:variant>
      <vt:variant>
        <vt:i4>1900592</vt:i4>
      </vt:variant>
      <vt:variant>
        <vt:i4>20</vt:i4>
      </vt:variant>
      <vt:variant>
        <vt:i4>0</vt:i4>
      </vt:variant>
      <vt:variant>
        <vt:i4>5</vt:i4>
      </vt:variant>
      <vt:variant>
        <vt:lpwstr/>
      </vt:variant>
      <vt:variant>
        <vt:lpwstr>_Toc306960336</vt:lpwstr>
      </vt:variant>
      <vt:variant>
        <vt:i4>1900592</vt:i4>
      </vt:variant>
      <vt:variant>
        <vt:i4>14</vt:i4>
      </vt:variant>
      <vt:variant>
        <vt:i4>0</vt:i4>
      </vt:variant>
      <vt:variant>
        <vt:i4>5</vt:i4>
      </vt:variant>
      <vt:variant>
        <vt:lpwstr/>
      </vt:variant>
      <vt:variant>
        <vt:lpwstr>_Toc306960335</vt:lpwstr>
      </vt:variant>
      <vt:variant>
        <vt:i4>1900592</vt:i4>
      </vt:variant>
      <vt:variant>
        <vt:i4>8</vt:i4>
      </vt:variant>
      <vt:variant>
        <vt:i4>0</vt:i4>
      </vt:variant>
      <vt:variant>
        <vt:i4>5</vt:i4>
      </vt:variant>
      <vt:variant>
        <vt:lpwstr/>
      </vt:variant>
      <vt:variant>
        <vt:lpwstr>_Toc306960334</vt:lpwstr>
      </vt:variant>
      <vt:variant>
        <vt:i4>1900592</vt:i4>
      </vt:variant>
      <vt:variant>
        <vt:i4>2</vt:i4>
      </vt:variant>
      <vt:variant>
        <vt:i4>0</vt:i4>
      </vt:variant>
      <vt:variant>
        <vt:i4>5</vt:i4>
      </vt:variant>
      <vt:variant>
        <vt:lpwstr/>
      </vt:variant>
      <vt:variant>
        <vt:lpwstr>_Toc306960333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 Atkinson</dc:creator>
  <cp:lastModifiedBy>Cassie Hesketh</cp:lastModifiedBy>
  <cp:revision>4</cp:revision>
  <cp:lastPrinted>2020-02-14T03:35:00Z</cp:lastPrinted>
  <dcterms:created xsi:type="dcterms:W3CDTF">2019-07-12T05:29:00Z</dcterms:created>
  <dcterms:modified xsi:type="dcterms:W3CDTF">2020-02-14T04:50:00Z</dcterms:modified>
  <cp:category>Report</cp:category>
</cp:coreProperties>
</file>