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D56FC" w14:textId="77777777" w:rsidR="00E03FBE" w:rsidRDefault="00E03FBE" w:rsidP="00C71B84">
      <w:pPr>
        <w:jc w:val="center"/>
        <w:rPr>
          <w:rFonts w:ascii="Arial" w:hAnsi="Arial" w:cs="Arial"/>
          <w:noProof/>
          <w:color w:val="FFFFFF"/>
          <w:sz w:val="18"/>
          <w:szCs w:val="20"/>
          <w:lang w:eastAsia="en-AU"/>
        </w:rPr>
      </w:pPr>
      <w:bookmarkStart w:id="0" w:name="_GoBack"/>
      <w:bookmarkEnd w:id="0"/>
    </w:p>
    <w:p w14:paraId="621A7538" w14:textId="53E8A636" w:rsidR="00570333" w:rsidRPr="00E26729" w:rsidRDefault="00570333" w:rsidP="00C71B84">
      <w:pPr>
        <w:jc w:val="center"/>
        <w:rPr>
          <w:b/>
        </w:rPr>
      </w:pPr>
      <w:r w:rsidRPr="00E26729">
        <w:rPr>
          <w:rFonts w:ascii="Arial" w:hAnsi="Arial" w:cs="Arial"/>
          <w:noProof/>
          <w:color w:val="FFFFFF"/>
          <w:sz w:val="18"/>
          <w:szCs w:val="20"/>
          <w:lang w:eastAsia="en-AU"/>
        </w:rPr>
        <w:drawing>
          <wp:inline distT="0" distB="0" distL="0" distR="0" wp14:anchorId="439BF3B2" wp14:editId="3094B4CB">
            <wp:extent cx="2421952" cy="1504950"/>
            <wp:effectExtent l="0" t="0" r="0" b="0"/>
            <wp:docPr id="2" name="Picture 2" descr="Australian Government crest with Australian Research Council underneath" title="A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25" cy="152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E533E" w14:textId="0A50C40A" w:rsidR="00E26729" w:rsidRPr="00E26729" w:rsidRDefault="00E26729" w:rsidP="00570333">
      <w:pPr>
        <w:ind w:left="-709"/>
        <w:jc w:val="center"/>
        <w:rPr>
          <w:b/>
          <w:i/>
          <w:sz w:val="24"/>
        </w:rPr>
      </w:pPr>
      <w:r w:rsidRPr="00E26729">
        <w:rPr>
          <w:b/>
          <w:i/>
          <w:sz w:val="24"/>
        </w:rPr>
        <w:t>Please note that this document is a general indicator of the non-allowable items known across all schemes and some items below will not be relevant for some select schemes/rounds</w:t>
      </w:r>
    </w:p>
    <w:p w14:paraId="577D5BB8" w14:textId="722EEC65" w:rsidR="00E26729" w:rsidRPr="00E26729" w:rsidRDefault="00E26729" w:rsidP="00570333">
      <w:pPr>
        <w:ind w:left="-709"/>
        <w:jc w:val="center"/>
        <w:rPr>
          <w:b/>
          <w:i/>
          <w:sz w:val="24"/>
        </w:rPr>
      </w:pPr>
      <w:r w:rsidRPr="00E26729">
        <w:rPr>
          <w:b/>
          <w:i/>
          <w:sz w:val="24"/>
        </w:rPr>
        <w:t xml:space="preserve">Please </w:t>
      </w:r>
      <w:r w:rsidRPr="004D556B">
        <w:rPr>
          <w:b/>
          <w:i/>
          <w:sz w:val="24"/>
          <w:u w:val="single"/>
        </w:rPr>
        <w:t>always</w:t>
      </w:r>
      <w:r w:rsidRPr="00E26729">
        <w:rPr>
          <w:b/>
          <w:i/>
          <w:sz w:val="24"/>
        </w:rPr>
        <w:t xml:space="preserve"> refer to the specific ARC Funding Rules/Guidelines and/or Agreements, for confirmation on the full range of items allowed/not allowed </w:t>
      </w:r>
    </w:p>
    <w:p w14:paraId="1CA7D917" w14:textId="77777777" w:rsidR="00E26729" w:rsidRDefault="00E26729" w:rsidP="00570333">
      <w:pPr>
        <w:ind w:left="-709"/>
        <w:jc w:val="center"/>
        <w:rPr>
          <w:b/>
          <w:sz w:val="28"/>
        </w:rPr>
      </w:pPr>
    </w:p>
    <w:p w14:paraId="10BB7E56" w14:textId="199C4FA3" w:rsidR="00794D12" w:rsidRPr="00D35B60" w:rsidRDefault="00794D12" w:rsidP="00570333">
      <w:pPr>
        <w:ind w:left="-709"/>
        <w:jc w:val="center"/>
        <w:rPr>
          <w:b/>
          <w:sz w:val="28"/>
        </w:rPr>
      </w:pPr>
      <w:r w:rsidRPr="00D35B60">
        <w:rPr>
          <w:b/>
          <w:sz w:val="28"/>
        </w:rPr>
        <w:t>GENERAL NON-ALLOWABLE ITEMS</w:t>
      </w:r>
      <w:r w:rsidR="00D35B60" w:rsidRPr="00D35B60">
        <w:rPr>
          <w:b/>
          <w:sz w:val="28"/>
        </w:rPr>
        <w:t xml:space="preserve"> to be purchased with ARC funds</w:t>
      </w:r>
    </w:p>
    <w:tbl>
      <w:tblPr>
        <w:tblStyle w:val="TableGrid"/>
        <w:tblW w:w="5310" w:type="pct"/>
        <w:tblInd w:w="-431" w:type="dxa"/>
        <w:tblLook w:val="04A0" w:firstRow="1" w:lastRow="0" w:firstColumn="1" w:lastColumn="0" w:noHBand="0" w:noVBand="1"/>
        <w:tblCaption w:val="General non-allowable items"/>
        <w:tblDescription w:val="Two colums. First column title: Item, which lists the non-allowable items. Second column title: Excluded schemes"/>
      </w:tblPr>
      <w:tblGrid>
        <w:gridCol w:w="9923"/>
      </w:tblGrid>
      <w:tr w:rsidR="004D556B" w:rsidRPr="005D5D1D" w14:paraId="549FC63A" w14:textId="30685315" w:rsidTr="004D556B">
        <w:trPr>
          <w:trHeight w:val="394"/>
          <w:tblHeader/>
        </w:trPr>
        <w:tc>
          <w:tcPr>
            <w:tcW w:w="5000" w:type="pct"/>
            <w:shd w:val="clear" w:color="auto" w:fill="F7CAAC" w:themeFill="accent2" w:themeFillTint="66"/>
          </w:tcPr>
          <w:p w14:paraId="03EA7539" w14:textId="77777777" w:rsidR="004D556B" w:rsidRPr="005D5D1D" w:rsidRDefault="004D556B">
            <w:pPr>
              <w:rPr>
                <w:rFonts w:cstheme="minorHAnsi"/>
                <w:b/>
                <w:sz w:val="24"/>
              </w:rPr>
            </w:pPr>
            <w:bookmarkStart w:id="1" w:name="Title_1" w:colFirst="0" w:colLast="0"/>
            <w:r w:rsidRPr="005D5D1D">
              <w:rPr>
                <w:rFonts w:cstheme="minorHAnsi"/>
                <w:b/>
                <w:sz w:val="24"/>
              </w:rPr>
              <w:t>ITEM</w:t>
            </w:r>
          </w:p>
        </w:tc>
      </w:tr>
      <w:bookmarkEnd w:id="1"/>
      <w:tr w:rsidR="004D556B" w:rsidRPr="005D5D1D" w14:paraId="44533D80" w14:textId="43C4DD98" w:rsidTr="004D556B">
        <w:tc>
          <w:tcPr>
            <w:tcW w:w="5000" w:type="pct"/>
          </w:tcPr>
          <w:p w14:paraId="10847398" w14:textId="77777777" w:rsidR="004D556B" w:rsidRPr="005D5D1D" w:rsidRDefault="004D556B" w:rsidP="006816F2">
            <w:pPr>
              <w:rPr>
                <w:rFonts w:cstheme="minorHAnsi"/>
                <w:b/>
                <w:sz w:val="24"/>
              </w:rPr>
            </w:pPr>
            <w:r w:rsidRPr="005D5D1D">
              <w:rPr>
                <w:rFonts w:eastAsia="Times New Roman" w:cstheme="minorHAnsi"/>
                <w:b/>
                <w:bCs/>
                <w:color w:val="000000"/>
                <w:sz w:val="24"/>
                <w:lang w:eastAsia="en-AU"/>
              </w:rPr>
              <w:t>Basic facilities</w:t>
            </w:r>
          </w:p>
        </w:tc>
      </w:tr>
      <w:tr w:rsidR="004D556B" w:rsidRPr="005D5D1D" w14:paraId="511A61C1" w14:textId="302E184C" w:rsidTr="004D556B">
        <w:tc>
          <w:tcPr>
            <w:tcW w:w="5000" w:type="pct"/>
            <w:vAlign w:val="center"/>
          </w:tcPr>
          <w:p w14:paraId="486B2294" w14:textId="63CA1B65" w:rsidR="004D556B" w:rsidRPr="005D5D1D" w:rsidRDefault="004D556B" w:rsidP="00410567">
            <w:pPr>
              <w:rPr>
                <w:rFonts w:eastAsia="Times New Roman" w:cstheme="minorHAnsi"/>
                <w:bCs/>
                <w:color w:val="000000"/>
                <w:sz w:val="24"/>
                <w:lang w:eastAsia="en-AU"/>
              </w:rPr>
            </w:pPr>
            <w:r w:rsidRPr="005D5D1D">
              <w:rPr>
                <w:rFonts w:eastAsia="Times New Roman" w:cstheme="minorHAnsi"/>
                <w:bCs/>
                <w:color w:val="000000"/>
                <w:sz w:val="24"/>
                <w:lang w:eastAsia="en-AU"/>
              </w:rPr>
              <w:t>Access to workshop services</w:t>
            </w:r>
            <w:r>
              <w:rPr>
                <w:rFonts w:eastAsia="Times New Roman" w:cstheme="minorHAnsi"/>
                <w:bCs/>
                <w:color w:val="000000"/>
                <w:sz w:val="24"/>
                <w:lang w:eastAsia="en-AU"/>
              </w:rPr>
              <w:t>**</w:t>
            </w:r>
          </w:p>
        </w:tc>
      </w:tr>
      <w:tr w:rsidR="004D556B" w:rsidRPr="005D5D1D" w14:paraId="33CC725B" w14:textId="4BCCBD86" w:rsidTr="004D556B">
        <w:tc>
          <w:tcPr>
            <w:tcW w:w="5000" w:type="pct"/>
            <w:vAlign w:val="center"/>
          </w:tcPr>
          <w:p w14:paraId="7C2508B8" w14:textId="77777777" w:rsidR="004D556B" w:rsidRPr="005D5D1D" w:rsidRDefault="004D556B" w:rsidP="00410567">
            <w:pPr>
              <w:rPr>
                <w:rFonts w:cstheme="minorHAnsi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Access to a basic library collection</w:t>
            </w:r>
          </w:p>
        </w:tc>
      </w:tr>
      <w:tr w:rsidR="004D556B" w:rsidRPr="005D5D1D" w14:paraId="0A47E9DA" w14:textId="083E94C9" w:rsidTr="004D556B">
        <w:tc>
          <w:tcPr>
            <w:tcW w:w="5000" w:type="pct"/>
            <w:vAlign w:val="center"/>
          </w:tcPr>
          <w:p w14:paraId="454BDC1C" w14:textId="77777777" w:rsidR="004D556B" w:rsidRPr="005D5D1D" w:rsidRDefault="004D556B" w:rsidP="0041056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Access to film or music editing facilities</w:t>
            </w:r>
          </w:p>
        </w:tc>
      </w:tr>
      <w:tr w:rsidR="004D556B" w:rsidRPr="005D5D1D" w14:paraId="39B150E5" w14:textId="6C4922EE" w:rsidTr="004D556B">
        <w:tc>
          <w:tcPr>
            <w:tcW w:w="5000" w:type="pct"/>
            <w:vAlign w:val="center"/>
          </w:tcPr>
          <w:p w14:paraId="03E31535" w14:textId="77777777" w:rsidR="004D556B" w:rsidRPr="005D5D1D" w:rsidRDefault="004D556B" w:rsidP="0041056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Accommodation (laboratory and office space)</w:t>
            </w:r>
          </w:p>
        </w:tc>
      </w:tr>
      <w:tr w:rsidR="004D556B" w:rsidRPr="005D5D1D" w14:paraId="5EFFFD68" w14:textId="122372B9" w:rsidTr="004D556B">
        <w:tc>
          <w:tcPr>
            <w:tcW w:w="5000" w:type="pct"/>
            <w:vAlign w:val="center"/>
          </w:tcPr>
          <w:p w14:paraId="62793556" w14:textId="77777777" w:rsidR="004D556B" w:rsidRPr="005D5D1D" w:rsidRDefault="004D556B" w:rsidP="0041056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Provision of basic computer facilities and standard software</w:t>
            </w:r>
          </w:p>
        </w:tc>
      </w:tr>
      <w:tr w:rsidR="004D556B" w:rsidRPr="005D5D1D" w14:paraId="0599D35A" w14:textId="6E307C83" w:rsidTr="004D556B">
        <w:tc>
          <w:tcPr>
            <w:tcW w:w="5000" w:type="pct"/>
            <w:vAlign w:val="center"/>
          </w:tcPr>
          <w:p w14:paraId="1DA95E78" w14:textId="77777777" w:rsidR="004D556B" w:rsidRPr="005D5D1D" w:rsidRDefault="004D556B" w:rsidP="0041056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Standard reference materials or funds for abstracting services</w:t>
            </w:r>
          </w:p>
        </w:tc>
      </w:tr>
      <w:tr w:rsidR="004D556B" w:rsidRPr="005D5D1D" w14:paraId="38059E86" w14:textId="218356C1" w:rsidTr="004D556B">
        <w:tc>
          <w:tcPr>
            <w:tcW w:w="5000" w:type="pct"/>
            <w:vAlign w:val="center"/>
          </w:tcPr>
          <w:p w14:paraId="794DC82F" w14:textId="547DF794" w:rsidR="004D556B" w:rsidRPr="005D5D1D" w:rsidRDefault="004D556B" w:rsidP="0041056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Web hosting</w:t>
            </w:r>
            <w:r>
              <w:rPr>
                <w:rFonts w:cstheme="minorHAnsi"/>
                <w:color w:val="000000"/>
                <w:sz w:val="24"/>
              </w:rPr>
              <w:t>**</w:t>
            </w:r>
          </w:p>
        </w:tc>
      </w:tr>
      <w:tr w:rsidR="004D556B" w:rsidRPr="005D5D1D" w14:paraId="5A77E6A5" w14:textId="19AF020E" w:rsidTr="004D556B">
        <w:tc>
          <w:tcPr>
            <w:tcW w:w="5000" w:type="pct"/>
            <w:vAlign w:val="center"/>
          </w:tcPr>
          <w:p w14:paraId="4A9F4070" w14:textId="11CF6E35" w:rsidR="004D556B" w:rsidRPr="005D5D1D" w:rsidRDefault="004D556B" w:rsidP="0041056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Web development</w:t>
            </w:r>
            <w:r>
              <w:rPr>
                <w:rFonts w:cstheme="minorHAnsi"/>
                <w:color w:val="000000"/>
                <w:sz w:val="24"/>
              </w:rPr>
              <w:t>**</w:t>
            </w:r>
          </w:p>
        </w:tc>
      </w:tr>
      <w:tr w:rsidR="004D556B" w:rsidRPr="005D5D1D" w14:paraId="370CD3DB" w14:textId="7DAD3F7E" w:rsidTr="004D556B">
        <w:tc>
          <w:tcPr>
            <w:tcW w:w="5000" w:type="pct"/>
            <w:vAlign w:val="center"/>
          </w:tcPr>
          <w:p w14:paraId="44D83F9A" w14:textId="139A7EB5" w:rsidR="004D556B" w:rsidRPr="005D5D1D" w:rsidRDefault="004D556B" w:rsidP="0041056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Use of photocopiers, telephones, mobile phones (purchase and call charges), mail, fax, email and internet services</w:t>
            </w:r>
          </w:p>
        </w:tc>
      </w:tr>
      <w:tr w:rsidR="004D556B" w:rsidRPr="005D5D1D" w14:paraId="6146D535" w14:textId="441E7A5E" w:rsidTr="004D556B">
        <w:tc>
          <w:tcPr>
            <w:tcW w:w="5000" w:type="pct"/>
          </w:tcPr>
          <w:p w14:paraId="02285B65" w14:textId="77777777" w:rsidR="004D556B" w:rsidRPr="005D5D1D" w:rsidRDefault="004D556B" w:rsidP="00250247">
            <w:pPr>
              <w:rPr>
                <w:rFonts w:cstheme="minorHAnsi"/>
                <w:b/>
                <w:sz w:val="24"/>
              </w:rPr>
            </w:pPr>
            <w:r w:rsidRPr="005D5D1D">
              <w:rPr>
                <w:rFonts w:eastAsia="Times New Roman" w:cstheme="minorHAnsi"/>
                <w:b/>
                <w:bCs/>
                <w:color w:val="000000"/>
                <w:sz w:val="24"/>
                <w:lang w:eastAsia="en-AU"/>
              </w:rPr>
              <w:t>Costs not directly related to research or the Project</w:t>
            </w:r>
          </w:p>
        </w:tc>
      </w:tr>
      <w:tr w:rsidR="004D556B" w:rsidRPr="005D5D1D" w14:paraId="1F2E36EE" w14:textId="7455E583" w:rsidTr="004D556B">
        <w:tc>
          <w:tcPr>
            <w:tcW w:w="5000" w:type="pct"/>
            <w:vAlign w:val="center"/>
          </w:tcPr>
          <w:p w14:paraId="756E2FD7" w14:textId="77777777" w:rsidR="004D556B" w:rsidRPr="005D5D1D" w:rsidRDefault="004D556B" w:rsidP="00250247">
            <w:pPr>
              <w:rPr>
                <w:rFonts w:cstheme="minorHAnsi"/>
                <w:sz w:val="24"/>
              </w:rPr>
            </w:pPr>
            <w:r w:rsidRPr="005D5D1D">
              <w:rPr>
                <w:rFonts w:cstheme="minorHAnsi"/>
                <w:sz w:val="24"/>
              </w:rPr>
              <w:t>Professional membership fees</w:t>
            </w:r>
          </w:p>
        </w:tc>
      </w:tr>
      <w:tr w:rsidR="004D556B" w:rsidRPr="005D5D1D" w14:paraId="0EEA5E84" w14:textId="68E0D956" w:rsidTr="004D556B">
        <w:tc>
          <w:tcPr>
            <w:tcW w:w="5000" w:type="pct"/>
            <w:vAlign w:val="center"/>
          </w:tcPr>
          <w:p w14:paraId="4AFE0A9F" w14:textId="77777777" w:rsidR="004D556B" w:rsidRPr="005D5D1D" w:rsidRDefault="004D556B" w:rsidP="00250247">
            <w:pPr>
              <w:rPr>
                <w:rFonts w:cstheme="minorHAnsi"/>
                <w:sz w:val="24"/>
              </w:rPr>
            </w:pPr>
            <w:r w:rsidRPr="005D5D1D">
              <w:rPr>
                <w:rFonts w:cstheme="minorHAnsi"/>
                <w:sz w:val="24"/>
              </w:rPr>
              <w:t>Professional development courses</w:t>
            </w:r>
          </w:p>
        </w:tc>
      </w:tr>
      <w:tr w:rsidR="004D556B" w:rsidRPr="005D5D1D" w14:paraId="27340F08" w14:textId="0AEE1F7A" w:rsidTr="004D556B">
        <w:tc>
          <w:tcPr>
            <w:tcW w:w="5000" w:type="pct"/>
            <w:vAlign w:val="center"/>
          </w:tcPr>
          <w:p w14:paraId="50389EE1" w14:textId="77777777" w:rsidR="004D556B" w:rsidRPr="005D5D1D" w:rsidRDefault="004D556B" w:rsidP="00250247">
            <w:pPr>
              <w:rPr>
                <w:rFonts w:cstheme="minorHAnsi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Fees for patent application and maintenance</w:t>
            </w:r>
          </w:p>
        </w:tc>
      </w:tr>
      <w:tr w:rsidR="004D556B" w:rsidRPr="005D5D1D" w14:paraId="6AEDABDA" w14:textId="1350F539" w:rsidTr="004D556B">
        <w:tc>
          <w:tcPr>
            <w:tcW w:w="5000" w:type="pct"/>
            <w:vAlign w:val="center"/>
          </w:tcPr>
          <w:p w14:paraId="133171F6" w14:textId="77777777" w:rsidR="004D556B" w:rsidRPr="005D5D1D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Equipment for live music or drama performances</w:t>
            </w:r>
          </w:p>
        </w:tc>
      </w:tr>
      <w:tr w:rsidR="004D556B" w:rsidRPr="005D5D1D" w14:paraId="41854D19" w14:textId="52EC85B2" w:rsidTr="004D556B">
        <w:tc>
          <w:tcPr>
            <w:tcW w:w="5000" w:type="pct"/>
            <w:vAlign w:val="center"/>
          </w:tcPr>
          <w:p w14:paraId="3AE6C0F5" w14:textId="77777777" w:rsidR="004D556B" w:rsidRPr="005D5D1D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Visas</w:t>
            </w:r>
          </w:p>
        </w:tc>
      </w:tr>
      <w:tr w:rsidR="004D556B" w:rsidRPr="005D5D1D" w14:paraId="3397CFEF" w14:textId="4ADDC631" w:rsidTr="004D556B">
        <w:tc>
          <w:tcPr>
            <w:tcW w:w="5000" w:type="pct"/>
            <w:vAlign w:val="center"/>
          </w:tcPr>
          <w:p w14:paraId="31EB869C" w14:textId="77777777" w:rsidR="004D556B" w:rsidRPr="005D5D1D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Relocation costs</w:t>
            </w:r>
          </w:p>
        </w:tc>
      </w:tr>
      <w:tr w:rsidR="004D556B" w:rsidRPr="005D5D1D" w14:paraId="3D482698" w14:textId="2D3AF1D2" w:rsidTr="004D556B">
        <w:tc>
          <w:tcPr>
            <w:tcW w:w="5000" w:type="pct"/>
            <w:vAlign w:val="center"/>
          </w:tcPr>
          <w:p w14:paraId="6210E5AE" w14:textId="65358919" w:rsidR="004D556B" w:rsidRPr="005D5D1D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Costs of dependants</w:t>
            </w:r>
            <w:r>
              <w:rPr>
                <w:rFonts w:cstheme="minorHAnsi"/>
                <w:color w:val="000000"/>
                <w:sz w:val="24"/>
              </w:rPr>
              <w:t>**</w:t>
            </w:r>
          </w:p>
        </w:tc>
      </w:tr>
      <w:tr w:rsidR="004D556B" w:rsidRPr="005D5D1D" w14:paraId="79B1E59D" w14:textId="642FCACC" w:rsidTr="004D556B">
        <w:tc>
          <w:tcPr>
            <w:tcW w:w="5000" w:type="pct"/>
            <w:vAlign w:val="center"/>
          </w:tcPr>
          <w:p w14:paraId="13FD5BA8" w14:textId="77777777" w:rsidR="004D556B" w:rsidRPr="005D5D1D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Entertainment costs</w:t>
            </w:r>
          </w:p>
        </w:tc>
      </w:tr>
      <w:tr w:rsidR="004D556B" w:rsidRPr="005D5D1D" w14:paraId="200BFA87" w14:textId="15F358C2" w:rsidTr="004D556B">
        <w:tc>
          <w:tcPr>
            <w:tcW w:w="5000" w:type="pct"/>
            <w:vAlign w:val="center"/>
          </w:tcPr>
          <w:p w14:paraId="38C2B0F8" w14:textId="77777777" w:rsidR="004D556B" w:rsidRPr="005D5D1D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Hospitality costs</w:t>
            </w:r>
          </w:p>
        </w:tc>
      </w:tr>
      <w:tr w:rsidR="004D556B" w:rsidRPr="005D5D1D" w14:paraId="64D3ECE7" w14:textId="3BEB658D" w:rsidTr="004D556B">
        <w:tc>
          <w:tcPr>
            <w:tcW w:w="5000" w:type="pct"/>
            <w:vAlign w:val="center"/>
          </w:tcPr>
          <w:p w14:paraId="0696DE1F" w14:textId="77777777" w:rsidR="004D556B" w:rsidRPr="005D5D1D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Insurance</w:t>
            </w:r>
          </w:p>
        </w:tc>
      </w:tr>
      <w:tr w:rsidR="004D556B" w:rsidRPr="005D5D1D" w14:paraId="3DE5A64A" w14:textId="2FDF0C93" w:rsidTr="004D556B">
        <w:tc>
          <w:tcPr>
            <w:tcW w:w="5000" w:type="pct"/>
            <w:vAlign w:val="center"/>
          </w:tcPr>
          <w:p w14:paraId="3134491D" w14:textId="77777777" w:rsidR="004D556B" w:rsidRPr="005D5D1D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Other indirect costs</w:t>
            </w:r>
          </w:p>
        </w:tc>
      </w:tr>
      <w:tr w:rsidR="004D556B" w:rsidRPr="005D5D1D" w14:paraId="624302B4" w14:textId="77777777" w:rsidTr="004D556B">
        <w:tc>
          <w:tcPr>
            <w:tcW w:w="5000" w:type="pct"/>
            <w:vAlign w:val="center"/>
          </w:tcPr>
          <w:p w14:paraId="67B1DB6B" w14:textId="4020D2E0" w:rsidR="004D556B" w:rsidRPr="005D5D1D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Hosting of workshops, seminars, conferences and other similar activities</w:t>
            </w:r>
            <w:r>
              <w:rPr>
                <w:rFonts w:cstheme="minorHAnsi"/>
                <w:color w:val="000000"/>
                <w:sz w:val="24"/>
              </w:rPr>
              <w:t>**</w:t>
            </w:r>
          </w:p>
        </w:tc>
      </w:tr>
      <w:tr w:rsidR="004D556B" w:rsidRPr="005D5D1D" w14:paraId="045C999F" w14:textId="5C9F4BF7" w:rsidTr="004D556B">
        <w:tc>
          <w:tcPr>
            <w:tcW w:w="5000" w:type="pct"/>
            <w:vAlign w:val="center"/>
          </w:tcPr>
          <w:p w14:paraId="65DDADAC" w14:textId="77777777" w:rsidR="004D556B" w:rsidRPr="005D5D1D" w:rsidRDefault="004D556B" w:rsidP="00250247">
            <w:pPr>
              <w:rPr>
                <w:rFonts w:eastAsia="Times New Roman" w:cstheme="minorHAnsi"/>
                <w:b/>
                <w:bCs/>
                <w:color w:val="000000"/>
                <w:sz w:val="24"/>
                <w:lang w:eastAsia="en-AU"/>
              </w:rPr>
            </w:pPr>
            <w:r w:rsidRPr="005D5D1D">
              <w:rPr>
                <w:rFonts w:cstheme="minorHAnsi"/>
                <w:b/>
                <w:sz w:val="24"/>
              </w:rPr>
              <w:t>Capital works and general infrastructure costs</w:t>
            </w:r>
          </w:p>
        </w:tc>
      </w:tr>
      <w:tr w:rsidR="004D556B" w:rsidRPr="005D5D1D" w14:paraId="547B5CEB" w14:textId="2F952FA3" w:rsidTr="004D556B">
        <w:tc>
          <w:tcPr>
            <w:tcW w:w="5000" w:type="pct"/>
            <w:vAlign w:val="center"/>
          </w:tcPr>
          <w:p w14:paraId="6F7E1F15" w14:textId="77777777" w:rsidR="004D556B" w:rsidRPr="005D5D1D" w:rsidRDefault="004D556B" w:rsidP="00250247">
            <w:pPr>
              <w:rPr>
                <w:rFonts w:cstheme="minorHAnsi"/>
                <w:bCs/>
                <w:color w:val="000000"/>
                <w:sz w:val="24"/>
              </w:rPr>
            </w:pPr>
            <w:r w:rsidRPr="005D5D1D">
              <w:rPr>
                <w:rFonts w:cstheme="minorHAnsi"/>
                <w:bCs/>
                <w:color w:val="000000"/>
                <w:sz w:val="24"/>
              </w:rPr>
              <w:t>Bench fees or similar laboratory access fees</w:t>
            </w:r>
          </w:p>
        </w:tc>
      </w:tr>
      <w:tr w:rsidR="004D556B" w:rsidRPr="005D5D1D" w14:paraId="294E5880" w14:textId="1051E443" w:rsidTr="004D556B">
        <w:tc>
          <w:tcPr>
            <w:tcW w:w="5000" w:type="pct"/>
            <w:vAlign w:val="center"/>
          </w:tcPr>
          <w:p w14:paraId="1BA8799E" w14:textId="77777777" w:rsidR="004D556B" w:rsidRPr="005D5D1D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sz w:val="24"/>
              </w:rPr>
              <w:t>Descriptive data compilations, catalogues or bibliographies</w:t>
            </w:r>
          </w:p>
        </w:tc>
      </w:tr>
      <w:tr w:rsidR="004D556B" w:rsidRPr="005D5D1D" w14:paraId="1F7CD3ED" w14:textId="355EC21D" w:rsidTr="004D556B">
        <w:tc>
          <w:tcPr>
            <w:tcW w:w="5000" w:type="pct"/>
            <w:vAlign w:val="center"/>
          </w:tcPr>
          <w:p w14:paraId="3DA5DF85" w14:textId="77777777" w:rsidR="004D556B" w:rsidRPr="005D5D1D" w:rsidRDefault="004D556B" w:rsidP="00250247">
            <w:pPr>
              <w:rPr>
                <w:rFonts w:cstheme="minorHAnsi"/>
                <w:sz w:val="24"/>
              </w:rPr>
            </w:pPr>
            <w:r w:rsidRPr="005D5D1D">
              <w:rPr>
                <w:rFonts w:cstheme="minorHAnsi"/>
                <w:sz w:val="24"/>
              </w:rPr>
              <w:t>Compilation of data, computer programs, research tools and aids</w:t>
            </w:r>
          </w:p>
        </w:tc>
      </w:tr>
      <w:tr w:rsidR="004D556B" w:rsidRPr="005D5D1D" w14:paraId="71D2FC7C" w14:textId="18277365" w:rsidTr="004D556B">
        <w:tc>
          <w:tcPr>
            <w:tcW w:w="5000" w:type="pct"/>
            <w:vAlign w:val="center"/>
          </w:tcPr>
          <w:p w14:paraId="12DAE013" w14:textId="77777777" w:rsidR="004D556B" w:rsidRPr="005D5D1D" w:rsidRDefault="004D556B" w:rsidP="00250247">
            <w:pPr>
              <w:rPr>
                <w:rFonts w:cstheme="minorHAnsi"/>
                <w:sz w:val="24"/>
              </w:rPr>
            </w:pPr>
            <w:r w:rsidRPr="005D5D1D">
              <w:rPr>
                <w:rFonts w:cstheme="minorHAnsi"/>
                <w:sz w:val="24"/>
              </w:rPr>
              <w:t>Materials for outreach programs and teaching materials</w:t>
            </w:r>
          </w:p>
        </w:tc>
      </w:tr>
      <w:tr w:rsidR="004D556B" w:rsidRPr="005D5D1D" w14:paraId="4B75B09A" w14:textId="7BD9B503" w:rsidTr="004D556B">
        <w:tc>
          <w:tcPr>
            <w:tcW w:w="5000" w:type="pct"/>
            <w:vAlign w:val="center"/>
          </w:tcPr>
          <w:p w14:paraId="462D1B1B" w14:textId="77777777" w:rsidR="004D556B" w:rsidRPr="005D5D1D" w:rsidRDefault="004D556B" w:rsidP="00250247">
            <w:pPr>
              <w:rPr>
                <w:rFonts w:cstheme="minorHAnsi"/>
                <w:bCs/>
                <w:color w:val="000000"/>
                <w:sz w:val="24"/>
              </w:rPr>
            </w:pPr>
            <w:r w:rsidRPr="005D5D1D">
              <w:rPr>
                <w:rFonts w:cstheme="minorHAnsi"/>
                <w:sz w:val="24"/>
              </w:rPr>
              <w:lastRenderedPageBreak/>
              <w:t>Salaries and/or on costs, in whole or in part for CIs, PIs, Hub/Centre Directors, support staff, and advisory committees</w:t>
            </w:r>
          </w:p>
        </w:tc>
      </w:tr>
      <w:tr w:rsidR="004D556B" w:rsidRPr="005D5D1D" w14:paraId="3E9D9B1D" w14:textId="6F9D4A03" w:rsidTr="004D556B">
        <w:tc>
          <w:tcPr>
            <w:tcW w:w="5000" w:type="pct"/>
            <w:vAlign w:val="center"/>
          </w:tcPr>
          <w:p w14:paraId="7D04DCF5" w14:textId="57F40459" w:rsidR="004D556B" w:rsidRPr="005D5D1D" w:rsidRDefault="004D556B" w:rsidP="00250247">
            <w:pPr>
              <w:rPr>
                <w:rFonts w:cstheme="minorHAnsi"/>
                <w:bCs/>
                <w:color w:val="000000"/>
                <w:sz w:val="24"/>
              </w:rPr>
            </w:pPr>
            <w:r w:rsidRPr="005D5D1D">
              <w:rPr>
                <w:rFonts w:cstheme="minorHAnsi"/>
                <w:bCs/>
                <w:color w:val="000000"/>
                <w:sz w:val="24"/>
              </w:rPr>
              <w:t>Publication costs</w:t>
            </w:r>
            <w:r>
              <w:rPr>
                <w:rFonts w:cstheme="minorHAnsi"/>
                <w:bCs/>
                <w:color w:val="000000"/>
                <w:sz w:val="24"/>
              </w:rPr>
              <w:t>**</w:t>
            </w:r>
          </w:p>
        </w:tc>
      </w:tr>
      <w:tr w:rsidR="004D556B" w:rsidRPr="005D5D1D" w14:paraId="28F1062B" w14:textId="621A7EDD" w:rsidTr="004D556B">
        <w:tc>
          <w:tcPr>
            <w:tcW w:w="5000" w:type="pct"/>
            <w:vAlign w:val="center"/>
          </w:tcPr>
          <w:p w14:paraId="3F5487F8" w14:textId="77777777" w:rsidR="004D556B" w:rsidRPr="005D5D1D" w:rsidRDefault="004D556B" w:rsidP="00250247">
            <w:pPr>
              <w:rPr>
                <w:rFonts w:cstheme="minorHAnsi"/>
                <w:bCs/>
                <w:color w:val="000000"/>
                <w:sz w:val="24"/>
              </w:rPr>
            </w:pPr>
            <w:r w:rsidRPr="005D5D1D">
              <w:rPr>
                <w:rFonts w:cstheme="minorHAnsi"/>
                <w:bCs/>
                <w:color w:val="000000"/>
                <w:sz w:val="24"/>
              </w:rPr>
              <w:t>Special Studies Programs</w:t>
            </w:r>
          </w:p>
        </w:tc>
      </w:tr>
      <w:tr w:rsidR="004D556B" w:rsidRPr="005D5D1D" w14:paraId="5C425451" w14:textId="654DD2D8" w:rsidTr="004D556B">
        <w:tc>
          <w:tcPr>
            <w:tcW w:w="5000" w:type="pct"/>
            <w:vAlign w:val="center"/>
          </w:tcPr>
          <w:p w14:paraId="418667A1" w14:textId="77777777" w:rsidR="004D556B" w:rsidRPr="005D5D1D" w:rsidRDefault="004D556B" w:rsidP="00250247">
            <w:pPr>
              <w:rPr>
                <w:rFonts w:cstheme="minorHAnsi"/>
                <w:bCs/>
                <w:color w:val="000000"/>
                <w:sz w:val="24"/>
              </w:rPr>
            </w:pPr>
            <w:r w:rsidRPr="005D5D1D">
              <w:rPr>
                <w:rFonts w:cstheme="minorHAnsi"/>
                <w:bCs/>
                <w:sz w:val="24"/>
              </w:rPr>
              <w:t>Research Support for Partner Investigators (apart from short-term project support for investigators visiting from overseas and domestic and international travel associated with a project)</w:t>
            </w:r>
          </w:p>
        </w:tc>
      </w:tr>
      <w:tr w:rsidR="004D556B" w:rsidRPr="005D5D1D" w14:paraId="40013AA6" w14:textId="61BF8B68" w:rsidTr="004D556B">
        <w:tc>
          <w:tcPr>
            <w:tcW w:w="5000" w:type="pct"/>
            <w:vAlign w:val="center"/>
          </w:tcPr>
          <w:p w14:paraId="77A9968B" w14:textId="4154F77E" w:rsidR="004D556B" w:rsidRPr="005D5D1D" w:rsidRDefault="004D556B" w:rsidP="00250247">
            <w:pPr>
              <w:rPr>
                <w:rFonts w:cstheme="minorHAnsi"/>
                <w:bCs/>
                <w:color w:val="000000"/>
                <w:sz w:val="24"/>
              </w:rPr>
            </w:pPr>
            <w:r w:rsidRPr="005D5D1D">
              <w:rPr>
                <w:rFonts w:cstheme="minorHAnsi"/>
                <w:bCs/>
                <w:color w:val="000000"/>
                <w:sz w:val="24"/>
              </w:rPr>
              <w:t xml:space="preserve">Fee for service costs (where the Project does not lead to capability building or development of the research infrastructure) </w:t>
            </w:r>
            <w:r>
              <w:rPr>
                <w:rFonts w:cstheme="minorHAnsi"/>
                <w:bCs/>
                <w:color w:val="000000"/>
                <w:sz w:val="24"/>
              </w:rPr>
              <w:t>**</w:t>
            </w:r>
          </w:p>
        </w:tc>
      </w:tr>
      <w:tr w:rsidR="004D556B" w:rsidRPr="005D5D1D" w14:paraId="7D349B40" w14:textId="0CE48531" w:rsidTr="004D556B">
        <w:tc>
          <w:tcPr>
            <w:tcW w:w="5000" w:type="pct"/>
            <w:vAlign w:val="center"/>
          </w:tcPr>
          <w:p w14:paraId="0A33B85E" w14:textId="288BD00F" w:rsidR="004D556B" w:rsidRPr="005D5D1D" w:rsidRDefault="004D556B" w:rsidP="00FB61F9">
            <w:pPr>
              <w:rPr>
                <w:rFonts w:cstheme="minorHAnsi"/>
                <w:bCs/>
                <w:color w:val="000000"/>
                <w:sz w:val="24"/>
              </w:rPr>
            </w:pPr>
            <w:r w:rsidRPr="005D5D1D">
              <w:rPr>
                <w:rFonts w:cstheme="minorHAnsi"/>
                <w:bCs/>
                <w:color w:val="000000"/>
                <w:sz w:val="24"/>
              </w:rPr>
              <w:t xml:space="preserve">Teaching and/or teaching relief </w:t>
            </w:r>
            <w:r>
              <w:rPr>
                <w:rFonts w:cstheme="minorHAnsi"/>
                <w:bCs/>
                <w:color w:val="000000"/>
                <w:sz w:val="24"/>
              </w:rPr>
              <w:t>**</w:t>
            </w:r>
          </w:p>
        </w:tc>
      </w:tr>
      <w:tr w:rsidR="004D556B" w:rsidRPr="005D5D1D" w14:paraId="0505A25D" w14:textId="7E8FFF94" w:rsidTr="004D556B">
        <w:tc>
          <w:tcPr>
            <w:tcW w:w="5000" w:type="pct"/>
            <w:vAlign w:val="center"/>
          </w:tcPr>
          <w:p w14:paraId="18796ADF" w14:textId="75E411B4" w:rsidR="004D556B" w:rsidRPr="004D556B" w:rsidRDefault="004D556B" w:rsidP="00250247">
            <w:pPr>
              <w:rPr>
                <w:rFonts w:cstheme="minorHAnsi"/>
                <w:color w:val="000000"/>
                <w:sz w:val="24"/>
              </w:rPr>
            </w:pPr>
            <w:r w:rsidRPr="005D5D1D">
              <w:rPr>
                <w:rFonts w:cstheme="minorHAnsi"/>
                <w:color w:val="000000"/>
                <w:sz w:val="24"/>
              </w:rPr>
              <w:t>Activities leading solely to the creation or performance of a work of art (visual, musical, performance design, etc)</w:t>
            </w:r>
          </w:p>
        </w:tc>
      </w:tr>
      <w:tr w:rsidR="004D556B" w:rsidRPr="005D5D1D" w14:paraId="61DF2F48" w14:textId="1E139630" w:rsidTr="004D556B">
        <w:tc>
          <w:tcPr>
            <w:tcW w:w="5000" w:type="pct"/>
            <w:vAlign w:val="center"/>
          </w:tcPr>
          <w:p w14:paraId="443289D9" w14:textId="77777777" w:rsidR="004D556B" w:rsidRPr="005D5D1D" w:rsidRDefault="004D556B" w:rsidP="00250247">
            <w:pPr>
              <w:rPr>
                <w:rFonts w:cstheme="minorHAnsi"/>
                <w:sz w:val="24"/>
              </w:rPr>
            </w:pPr>
            <w:r w:rsidRPr="005D5D1D">
              <w:rPr>
                <w:rFonts w:cstheme="minorHAnsi"/>
                <w:sz w:val="24"/>
              </w:rPr>
              <w:t>Salary top ups for personnel above the salary level specified in the Funding Rules</w:t>
            </w:r>
          </w:p>
        </w:tc>
      </w:tr>
      <w:tr w:rsidR="004D556B" w:rsidRPr="005D5D1D" w14:paraId="095FDD64" w14:textId="66C749FB" w:rsidTr="004D556B">
        <w:tc>
          <w:tcPr>
            <w:tcW w:w="5000" w:type="pct"/>
            <w:vAlign w:val="center"/>
          </w:tcPr>
          <w:p w14:paraId="2953A7FA" w14:textId="47A294F0" w:rsidR="004D556B" w:rsidRPr="005D5D1D" w:rsidRDefault="004D556B" w:rsidP="00250247">
            <w:pPr>
              <w:rPr>
                <w:rFonts w:cstheme="minorHAnsi"/>
                <w:sz w:val="24"/>
              </w:rPr>
            </w:pPr>
            <w:r w:rsidRPr="005D5D1D">
              <w:rPr>
                <w:rFonts w:cstheme="minorHAnsi"/>
                <w:sz w:val="24"/>
              </w:rPr>
              <w:t>Fees for international students or the Higher Education Contribution Scheme (HECS) and Higher Education Loan Program (HELP) liabilities for students</w:t>
            </w:r>
          </w:p>
        </w:tc>
      </w:tr>
    </w:tbl>
    <w:p w14:paraId="3DBD0851" w14:textId="39037AEA" w:rsidR="006816F2" w:rsidRPr="004D556B" w:rsidRDefault="004D556B" w:rsidP="004D556B">
      <w:pPr>
        <w:ind w:left="-709"/>
        <w:jc w:val="center"/>
        <w:rPr>
          <w:b/>
          <w:i/>
          <w:sz w:val="24"/>
        </w:rPr>
      </w:pPr>
      <w:r w:rsidRPr="004D556B">
        <w:rPr>
          <w:b/>
          <w:i/>
          <w:sz w:val="24"/>
        </w:rPr>
        <w:t xml:space="preserve">**Exceptions may affect some Funding Rules/Grant Guidelines. Please refer to </w:t>
      </w:r>
      <w:r w:rsidR="0040657B">
        <w:rPr>
          <w:b/>
          <w:i/>
          <w:sz w:val="24"/>
        </w:rPr>
        <w:t>the</w:t>
      </w:r>
      <w:r w:rsidRPr="004D556B">
        <w:rPr>
          <w:b/>
          <w:i/>
          <w:sz w:val="24"/>
        </w:rPr>
        <w:t xml:space="preserve"> </w:t>
      </w:r>
      <w:r w:rsidR="0040657B">
        <w:rPr>
          <w:b/>
          <w:i/>
          <w:sz w:val="24"/>
        </w:rPr>
        <w:t>Funding Rules/Grant Guidelines specific to the year,</w:t>
      </w:r>
      <w:r w:rsidRPr="004D556B">
        <w:rPr>
          <w:b/>
          <w:i/>
          <w:sz w:val="24"/>
        </w:rPr>
        <w:t xml:space="preserve"> for confirmation</w:t>
      </w:r>
      <w:r>
        <w:rPr>
          <w:b/>
          <w:i/>
          <w:sz w:val="24"/>
        </w:rPr>
        <w:t>**</w:t>
      </w:r>
    </w:p>
    <w:p w14:paraId="021B9CF8" w14:textId="77777777" w:rsidR="004D556B" w:rsidRDefault="004D556B" w:rsidP="009D596C">
      <w:pPr>
        <w:jc w:val="center"/>
        <w:rPr>
          <w:b/>
          <w:sz w:val="24"/>
        </w:rPr>
      </w:pPr>
    </w:p>
    <w:p w14:paraId="3C847643" w14:textId="7139861D" w:rsidR="00794D12" w:rsidRPr="00794D12" w:rsidRDefault="00794D12" w:rsidP="009D596C">
      <w:pPr>
        <w:jc w:val="center"/>
        <w:rPr>
          <w:b/>
          <w:sz w:val="24"/>
        </w:rPr>
      </w:pPr>
      <w:r w:rsidRPr="00794D12">
        <w:rPr>
          <w:b/>
          <w:sz w:val="24"/>
        </w:rPr>
        <w:t>SCHEME SPECIFIC NON-ALLOWABLE ITEMS</w:t>
      </w:r>
    </w:p>
    <w:tbl>
      <w:tblPr>
        <w:tblStyle w:val="TableGrid"/>
        <w:tblpPr w:leftFromText="180" w:rightFromText="180" w:vertAnchor="text" w:tblpX="-734" w:tblpY="1"/>
        <w:tblOverlap w:val="never"/>
        <w:tblW w:w="10060" w:type="dxa"/>
        <w:tblLook w:val="04A0" w:firstRow="1" w:lastRow="0" w:firstColumn="1" w:lastColumn="0" w:noHBand="0" w:noVBand="1"/>
        <w:tblCaption w:val="Scheme specific non-allowable items"/>
        <w:tblDescription w:val="One column with rows listing scheme-specific non-allowable items."/>
      </w:tblPr>
      <w:tblGrid>
        <w:gridCol w:w="10060"/>
      </w:tblGrid>
      <w:tr w:rsidR="00794D12" w:rsidRPr="005D5D1D" w14:paraId="2E3C1456" w14:textId="77777777" w:rsidTr="00E03FBE">
        <w:trPr>
          <w:tblHeader/>
        </w:trPr>
        <w:tc>
          <w:tcPr>
            <w:tcW w:w="10060" w:type="dxa"/>
            <w:shd w:val="clear" w:color="auto" w:fill="92D050"/>
          </w:tcPr>
          <w:p w14:paraId="40B9AD59" w14:textId="77777777" w:rsidR="00794D12" w:rsidRPr="005D5D1D" w:rsidRDefault="00794D12" w:rsidP="00C71B84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bookmarkStart w:id="2" w:name="Title_2" w:colFirst="0" w:colLast="0"/>
            <w:r w:rsidRPr="005D5D1D">
              <w:rPr>
                <w:rFonts w:ascii="Calibri" w:hAnsi="Calibri"/>
                <w:b/>
                <w:bCs/>
                <w:color w:val="000000"/>
                <w:sz w:val="24"/>
              </w:rPr>
              <w:t>LIEF SPECIFIC NON-ALLOWABLES</w:t>
            </w:r>
          </w:p>
        </w:tc>
      </w:tr>
      <w:bookmarkEnd w:id="2"/>
      <w:tr w:rsidR="00794D12" w:rsidRPr="005D5D1D" w14:paraId="588CDE21" w14:textId="77777777" w:rsidTr="00C71B84">
        <w:tc>
          <w:tcPr>
            <w:tcW w:w="10060" w:type="dxa"/>
            <w:vAlign w:val="center"/>
          </w:tcPr>
          <w:p w14:paraId="51E4FB63" w14:textId="5FF186B2" w:rsidR="00794D12" w:rsidRPr="005D5D1D" w:rsidRDefault="00794D12" w:rsidP="00C71B84">
            <w:pPr>
              <w:rPr>
                <w:i/>
                <w:sz w:val="24"/>
              </w:rPr>
            </w:pPr>
            <w:r w:rsidRPr="005D5D1D">
              <w:rPr>
                <w:sz w:val="24"/>
              </w:rPr>
              <w:t xml:space="preserve">Standard refurbishment costs of a laboratory </w:t>
            </w:r>
          </w:p>
        </w:tc>
      </w:tr>
      <w:tr w:rsidR="00794D12" w:rsidRPr="005D5D1D" w14:paraId="3E25D99A" w14:textId="77777777" w:rsidTr="00C71B84">
        <w:tc>
          <w:tcPr>
            <w:tcW w:w="10060" w:type="dxa"/>
            <w:vAlign w:val="center"/>
          </w:tcPr>
          <w:p w14:paraId="2F3277AC" w14:textId="4FC93540" w:rsidR="00794D12" w:rsidRPr="005D5D1D" w:rsidRDefault="00794D12" w:rsidP="00C71B84">
            <w:pPr>
              <w:rPr>
                <w:sz w:val="24"/>
              </w:rPr>
            </w:pPr>
            <w:r w:rsidRPr="005D5D1D">
              <w:rPr>
                <w:rFonts w:ascii="Calibri" w:hAnsi="Calibri"/>
                <w:bCs/>
                <w:color w:val="000000"/>
                <w:sz w:val="24"/>
              </w:rPr>
              <w:t xml:space="preserve">Costs of accommodation associated with the proposed research infrastructure </w:t>
            </w:r>
          </w:p>
        </w:tc>
      </w:tr>
      <w:tr w:rsidR="00794D12" w:rsidRPr="005D5D1D" w14:paraId="6E13848E" w14:textId="77777777" w:rsidTr="00C71B84">
        <w:tc>
          <w:tcPr>
            <w:tcW w:w="10060" w:type="dxa"/>
            <w:vAlign w:val="center"/>
          </w:tcPr>
          <w:p w14:paraId="4D19B3CC" w14:textId="6FE36601" w:rsidR="00794D12" w:rsidRPr="005D5D1D" w:rsidRDefault="00122294" w:rsidP="003C035E">
            <w:pPr>
              <w:rPr>
                <w:sz w:val="24"/>
              </w:rPr>
            </w:pPr>
            <w:r w:rsidRPr="005D5D1D">
              <w:rPr>
                <w:sz w:val="24"/>
              </w:rPr>
              <w:t>Teaching and/or teaching relief</w:t>
            </w:r>
            <w:r w:rsidR="003C035E">
              <w:rPr>
                <w:i/>
                <w:sz w:val="24"/>
              </w:rPr>
              <w:t>**</w:t>
            </w:r>
          </w:p>
        </w:tc>
      </w:tr>
      <w:tr w:rsidR="00794D12" w:rsidRPr="005D5D1D" w14:paraId="5BE7690C" w14:textId="77777777" w:rsidTr="00C71B84">
        <w:tc>
          <w:tcPr>
            <w:tcW w:w="10060" w:type="dxa"/>
            <w:vAlign w:val="center"/>
          </w:tcPr>
          <w:p w14:paraId="7DD1278E" w14:textId="77777777" w:rsidR="00FF27FD" w:rsidRPr="005D5D1D" w:rsidRDefault="00794D12" w:rsidP="00C71B84">
            <w:pPr>
              <w:rPr>
                <w:rFonts w:ascii="Calibri" w:hAnsi="Calibri"/>
                <w:bCs/>
                <w:color w:val="000000"/>
                <w:sz w:val="24"/>
              </w:rPr>
            </w:pPr>
            <w:r w:rsidRPr="005D5D1D">
              <w:rPr>
                <w:rFonts w:ascii="Calibri" w:hAnsi="Calibri"/>
                <w:bCs/>
                <w:color w:val="000000"/>
                <w:sz w:val="24"/>
              </w:rPr>
              <w:t>Travel costs associated with use of the proposed research infrastructure</w:t>
            </w:r>
          </w:p>
        </w:tc>
      </w:tr>
      <w:tr w:rsidR="00FF27FD" w:rsidRPr="005D5D1D" w14:paraId="7543E98F" w14:textId="77777777" w:rsidTr="00C71B84">
        <w:tc>
          <w:tcPr>
            <w:tcW w:w="10060" w:type="dxa"/>
            <w:vAlign w:val="center"/>
          </w:tcPr>
          <w:p w14:paraId="57B5D1F1" w14:textId="605F3E3A" w:rsidR="00FF27FD" w:rsidRPr="005D5D1D" w:rsidRDefault="00FF27FD" w:rsidP="003C035E">
            <w:pPr>
              <w:rPr>
                <w:rFonts w:ascii="Calibri" w:hAnsi="Calibri"/>
                <w:bCs/>
                <w:i/>
                <w:color w:val="000000"/>
                <w:sz w:val="24"/>
              </w:rPr>
            </w:pPr>
            <w:r w:rsidRPr="005D5D1D">
              <w:rPr>
                <w:sz w:val="24"/>
              </w:rPr>
              <w:t>Salaries and/or on costs, in whole or in part, for research using the facility for example,</w:t>
            </w:r>
            <w:r w:rsidR="003C035E">
              <w:rPr>
                <w:sz w:val="24"/>
              </w:rPr>
              <w:t xml:space="preserve"> for research support personnel</w:t>
            </w:r>
            <w:r w:rsidR="003C035E">
              <w:rPr>
                <w:i/>
                <w:sz w:val="24"/>
              </w:rPr>
              <w:t>**</w:t>
            </w:r>
          </w:p>
        </w:tc>
      </w:tr>
      <w:tr w:rsidR="00F25318" w:rsidRPr="005D5D1D" w14:paraId="1B573DEC" w14:textId="77777777" w:rsidTr="00C71B84">
        <w:tc>
          <w:tcPr>
            <w:tcW w:w="10060" w:type="dxa"/>
            <w:vAlign w:val="center"/>
          </w:tcPr>
          <w:p w14:paraId="4963F914" w14:textId="71F075BA" w:rsidR="00F25318" w:rsidRPr="005D5D1D" w:rsidRDefault="00F25318" w:rsidP="003C035E">
            <w:pPr>
              <w:rPr>
                <w:i/>
                <w:sz w:val="24"/>
              </w:rPr>
            </w:pPr>
            <w:r w:rsidRPr="005D5D1D">
              <w:rPr>
                <w:sz w:val="24"/>
              </w:rPr>
              <w:t>Maintenance and/or operational costs of the proposed research infrastructure after the first year of the Project, including for multi-year Projects permitted</w:t>
            </w:r>
            <w:r w:rsidR="003C035E">
              <w:rPr>
                <w:sz w:val="24"/>
              </w:rPr>
              <w:t>**</w:t>
            </w:r>
          </w:p>
        </w:tc>
      </w:tr>
      <w:tr w:rsidR="00170369" w:rsidRPr="005D5D1D" w14:paraId="03C676B2" w14:textId="77777777" w:rsidTr="00C71B84">
        <w:tc>
          <w:tcPr>
            <w:tcW w:w="10060" w:type="dxa"/>
            <w:vAlign w:val="center"/>
          </w:tcPr>
          <w:p w14:paraId="7CEF4F69" w14:textId="2C4825BC" w:rsidR="00170369" w:rsidRPr="005D5D1D" w:rsidRDefault="003C035E" w:rsidP="003C035E">
            <w:pPr>
              <w:rPr>
                <w:i/>
                <w:sz w:val="24"/>
              </w:rPr>
            </w:pPr>
            <w:r>
              <w:rPr>
                <w:sz w:val="24"/>
              </w:rPr>
              <w:t>Operational costs</w:t>
            </w:r>
            <w:r>
              <w:rPr>
                <w:i/>
                <w:sz w:val="24"/>
              </w:rPr>
              <w:t>**</w:t>
            </w:r>
          </w:p>
        </w:tc>
      </w:tr>
      <w:tr w:rsidR="00794D12" w:rsidRPr="005D5D1D" w14:paraId="08A0C7BA" w14:textId="77777777" w:rsidTr="00C71B84">
        <w:tc>
          <w:tcPr>
            <w:tcW w:w="10060" w:type="dxa"/>
            <w:shd w:val="clear" w:color="auto" w:fill="92D050"/>
          </w:tcPr>
          <w:p w14:paraId="13E30E1A" w14:textId="77777777" w:rsidR="00794D12" w:rsidRPr="005D5D1D" w:rsidRDefault="00794D12" w:rsidP="00C71B84">
            <w:pPr>
              <w:rPr>
                <w:sz w:val="24"/>
              </w:rPr>
            </w:pPr>
            <w:r w:rsidRPr="005D5D1D">
              <w:rPr>
                <w:b/>
                <w:sz w:val="24"/>
              </w:rPr>
              <w:t>FUTURE FELLOWHIPS SPECIFIC NON-ALLOWABLES</w:t>
            </w:r>
          </w:p>
        </w:tc>
      </w:tr>
      <w:tr w:rsidR="00794D12" w:rsidRPr="005D5D1D" w14:paraId="704109FA" w14:textId="77777777" w:rsidTr="00C71B84">
        <w:tc>
          <w:tcPr>
            <w:tcW w:w="10060" w:type="dxa"/>
            <w:vAlign w:val="center"/>
          </w:tcPr>
          <w:p w14:paraId="1B1ADA9A" w14:textId="5B62E396" w:rsidR="00794D12" w:rsidRPr="005D5D1D" w:rsidRDefault="00794D12" w:rsidP="00C71B84">
            <w:pPr>
              <w:rPr>
                <w:rFonts w:ascii="Calibri" w:eastAsia="Times New Roman" w:hAnsi="Calibri" w:cs="Times New Roman"/>
                <w:bCs/>
                <w:i/>
                <w:color w:val="000000"/>
                <w:sz w:val="24"/>
                <w:lang w:eastAsia="en-AU"/>
              </w:rPr>
            </w:pPr>
            <w:r w:rsidRPr="005D5D1D">
              <w:rPr>
                <w:rFonts w:ascii="Calibri" w:hAnsi="Calibri"/>
                <w:bCs/>
                <w:color w:val="000000"/>
                <w:sz w:val="24"/>
              </w:rPr>
              <w:t>Costs of accommodation associated with the proposed research infrastructure</w:t>
            </w:r>
          </w:p>
        </w:tc>
      </w:tr>
      <w:tr w:rsidR="00794D12" w:rsidRPr="005D5D1D" w14:paraId="575A8895" w14:textId="77777777" w:rsidTr="00C71B84">
        <w:tc>
          <w:tcPr>
            <w:tcW w:w="10060" w:type="dxa"/>
            <w:vAlign w:val="center"/>
          </w:tcPr>
          <w:p w14:paraId="0A28B954" w14:textId="75614677" w:rsidR="00794D12" w:rsidRPr="005D5D1D" w:rsidRDefault="00794D12" w:rsidP="003C035E">
            <w:pPr>
              <w:rPr>
                <w:sz w:val="24"/>
              </w:rPr>
            </w:pPr>
            <w:r w:rsidRPr="005D5D1D">
              <w:rPr>
                <w:rFonts w:ascii="Calibri" w:eastAsia="Times New Roman" w:hAnsi="Calibri" w:cs="Times New Roman"/>
                <w:bCs/>
                <w:color w:val="000000"/>
                <w:sz w:val="24"/>
                <w:lang w:eastAsia="en-AU"/>
              </w:rPr>
              <w:t>Sti</w:t>
            </w:r>
            <w:r w:rsidR="003C035E">
              <w:rPr>
                <w:rFonts w:ascii="Calibri" w:eastAsia="Times New Roman" w:hAnsi="Calibri" w:cs="Times New Roman"/>
                <w:bCs/>
                <w:color w:val="000000"/>
                <w:sz w:val="24"/>
                <w:lang w:eastAsia="en-AU"/>
              </w:rPr>
              <w:t>pends for Postgraduate students**</w:t>
            </w:r>
          </w:p>
        </w:tc>
      </w:tr>
      <w:tr w:rsidR="00794D12" w:rsidRPr="005D5D1D" w14:paraId="145ABA50" w14:textId="77777777" w:rsidTr="00C71B84">
        <w:tc>
          <w:tcPr>
            <w:tcW w:w="10060" w:type="dxa"/>
            <w:vAlign w:val="center"/>
          </w:tcPr>
          <w:p w14:paraId="47369764" w14:textId="511C4293" w:rsidR="00794D12" w:rsidRPr="005D5D1D" w:rsidRDefault="00794D12" w:rsidP="003C035E">
            <w:pPr>
              <w:rPr>
                <w:i/>
                <w:sz w:val="24"/>
              </w:rPr>
            </w:pPr>
            <w:r w:rsidRPr="005D5D1D">
              <w:rPr>
                <w:rFonts w:ascii="Calibri" w:eastAsia="Times New Roman" w:hAnsi="Calibri" w:cs="Times New Roman"/>
                <w:bCs/>
                <w:color w:val="000000"/>
                <w:sz w:val="24"/>
                <w:lang w:eastAsia="en-AU"/>
              </w:rPr>
              <w:t>Research suppo</w:t>
            </w:r>
            <w:r w:rsidR="003C035E">
              <w:rPr>
                <w:rFonts w:ascii="Calibri" w:eastAsia="Times New Roman" w:hAnsi="Calibri" w:cs="Times New Roman"/>
                <w:bCs/>
                <w:color w:val="000000"/>
                <w:sz w:val="24"/>
                <w:lang w:eastAsia="en-AU"/>
              </w:rPr>
              <w:t>rt for other investigators (FT)**</w:t>
            </w:r>
          </w:p>
        </w:tc>
      </w:tr>
      <w:tr w:rsidR="00794D12" w:rsidRPr="005D5D1D" w14:paraId="2730C2B1" w14:textId="77777777" w:rsidTr="00C71B84">
        <w:tc>
          <w:tcPr>
            <w:tcW w:w="10060" w:type="dxa"/>
            <w:vAlign w:val="center"/>
          </w:tcPr>
          <w:p w14:paraId="332B8241" w14:textId="405A8B41" w:rsidR="00794D12" w:rsidRPr="005D5D1D" w:rsidRDefault="003C035E" w:rsidP="003C035E">
            <w:pPr>
              <w:rPr>
                <w:rFonts w:ascii="Calibri" w:hAnsi="Calibri"/>
                <w:bCs/>
                <w:color w:val="000000"/>
                <w:sz w:val="24"/>
              </w:rPr>
            </w:pPr>
            <w:r>
              <w:rPr>
                <w:rFonts w:ascii="Calibri" w:hAnsi="Calibri"/>
                <w:bCs/>
                <w:color w:val="000000"/>
                <w:sz w:val="24"/>
              </w:rPr>
              <w:t>Construction and refurbishment**</w:t>
            </w:r>
          </w:p>
        </w:tc>
      </w:tr>
      <w:tr w:rsidR="00794D12" w:rsidRPr="005D5D1D" w14:paraId="5328287E" w14:textId="77777777" w:rsidTr="00C71B84">
        <w:tc>
          <w:tcPr>
            <w:tcW w:w="10060" w:type="dxa"/>
            <w:shd w:val="clear" w:color="auto" w:fill="92D050"/>
            <w:vAlign w:val="center"/>
          </w:tcPr>
          <w:p w14:paraId="14A9DA4B" w14:textId="6D2674C9" w:rsidR="00794D12" w:rsidRPr="005D5D1D" w:rsidRDefault="00794D12" w:rsidP="003C035E">
            <w:pPr>
              <w:rPr>
                <w:rFonts w:ascii="Calibri" w:hAnsi="Calibri"/>
                <w:bCs/>
                <w:color w:val="000000"/>
                <w:sz w:val="24"/>
              </w:rPr>
            </w:pPr>
            <w:r w:rsidRPr="005D5D1D">
              <w:rPr>
                <w:b/>
                <w:sz w:val="24"/>
              </w:rPr>
              <w:t>LAUREATE FELLOWSHIPS 2010 to 2013 (FL1</w:t>
            </w:r>
            <w:r w:rsidR="00BD7001" w:rsidRPr="005D5D1D">
              <w:rPr>
                <w:b/>
                <w:sz w:val="24"/>
              </w:rPr>
              <w:t>1</w:t>
            </w:r>
            <w:r w:rsidRPr="005D5D1D">
              <w:rPr>
                <w:b/>
                <w:sz w:val="24"/>
              </w:rPr>
              <w:t xml:space="preserve"> – FL13) SP</w:t>
            </w:r>
            <w:r w:rsidR="003C035E">
              <w:rPr>
                <w:b/>
                <w:sz w:val="24"/>
              </w:rPr>
              <w:t>E</w:t>
            </w:r>
            <w:r w:rsidRPr="005D5D1D">
              <w:rPr>
                <w:b/>
                <w:sz w:val="24"/>
              </w:rPr>
              <w:t>CIFIC NON-ALLOWABLES</w:t>
            </w:r>
          </w:p>
        </w:tc>
      </w:tr>
      <w:tr w:rsidR="00794D12" w:rsidRPr="005D5D1D" w14:paraId="722F3EB5" w14:textId="77777777" w:rsidTr="00C71B84">
        <w:tc>
          <w:tcPr>
            <w:tcW w:w="10060" w:type="dxa"/>
            <w:vAlign w:val="center"/>
          </w:tcPr>
          <w:p w14:paraId="46A63AEC" w14:textId="77777777" w:rsidR="00794D12" w:rsidRPr="005D5D1D" w:rsidRDefault="00794D12" w:rsidP="00C71B84">
            <w:pPr>
              <w:rPr>
                <w:rFonts w:ascii="Calibri" w:hAnsi="Calibri"/>
                <w:bCs/>
                <w:color w:val="000000"/>
                <w:sz w:val="24"/>
              </w:rPr>
            </w:pPr>
            <w:r w:rsidRPr="005D5D1D">
              <w:rPr>
                <w:rFonts w:ascii="Calibri" w:hAnsi="Calibri"/>
                <w:bCs/>
                <w:color w:val="000000"/>
                <w:sz w:val="24"/>
              </w:rPr>
              <w:t>Advertising and appointment costs</w:t>
            </w:r>
          </w:p>
        </w:tc>
      </w:tr>
      <w:tr w:rsidR="00794D12" w:rsidRPr="005D5D1D" w14:paraId="3411DE39" w14:textId="77777777" w:rsidTr="00C71B84">
        <w:tc>
          <w:tcPr>
            <w:tcW w:w="10060" w:type="dxa"/>
            <w:shd w:val="clear" w:color="auto" w:fill="92D050"/>
            <w:vAlign w:val="center"/>
          </w:tcPr>
          <w:p w14:paraId="198590D4" w14:textId="0768F3AF" w:rsidR="00794D12" w:rsidRPr="005D5D1D" w:rsidRDefault="00AF61B3" w:rsidP="00C71B84">
            <w:pPr>
              <w:rPr>
                <w:rFonts w:ascii="Calibri" w:hAnsi="Calibri"/>
                <w:bCs/>
                <w:color w:val="000000"/>
                <w:sz w:val="24"/>
              </w:rPr>
            </w:pPr>
            <w:r w:rsidRPr="005D5D1D">
              <w:rPr>
                <w:rFonts w:ascii="Calibri" w:hAnsi="Calibri"/>
                <w:b/>
                <w:bCs/>
                <w:color w:val="000000"/>
                <w:sz w:val="24"/>
              </w:rPr>
              <w:t xml:space="preserve">SRI </w:t>
            </w:r>
            <w:r w:rsidR="00794D12" w:rsidRPr="005D5D1D">
              <w:rPr>
                <w:rFonts w:ascii="Calibri" w:hAnsi="Calibri"/>
                <w:b/>
                <w:bCs/>
                <w:color w:val="000000"/>
                <w:sz w:val="24"/>
              </w:rPr>
              <w:t>SPECIFIC NON-ALLOWABLES</w:t>
            </w:r>
          </w:p>
        </w:tc>
      </w:tr>
      <w:tr w:rsidR="00794D12" w:rsidRPr="005D5D1D" w14:paraId="5095F218" w14:textId="77777777" w:rsidTr="00C71B84">
        <w:tc>
          <w:tcPr>
            <w:tcW w:w="10060" w:type="dxa"/>
            <w:vAlign w:val="center"/>
          </w:tcPr>
          <w:p w14:paraId="2C86F5F1" w14:textId="77777777" w:rsidR="00794D12" w:rsidRPr="005D5D1D" w:rsidRDefault="00794D12" w:rsidP="00C71B84">
            <w:pPr>
              <w:rPr>
                <w:rFonts w:ascii="Calibri" w:hAnsi="Calibri"/>
                <w:color w:val="000000"/>
                <w:sz w:val="24"/>
              </w:rPr>
            </w:pPr>
            <w:r w:rsidRPr="005D5D1D">
              <w:rPr>
                <w:rFonts w:ascii="Calibri" w:hAnsi="Calibri"/>
                <w:color w:val="000000"/>
                <w:sz w:val="24"/>
              </w:rPr>
              <w:t>Public relations and marketing initiatives</w:t>
            </w:r>
          </w:p>
        </w:tc>
      </w:tr>
      <w:tr w:rsidR="00794D12" w:rsidRPr="005D5D1D" w14:paraId="6B77A892" w14:textId="77777777" w:rsidTr="00C71B84">
        <w:tc>
          <w:tcPr>
            <w:tcW w:w="10060" w:type="dxa"/>
            <w:vAlign w:val="center"/>
          </w:tcPr>
          <w:p w14:paraId="237570DE" w14:textId="77777777" w:rsidR="00794D12" w:rsidRPr="005D5D1D" w:rsidRDefault="00794D12" w:rsidP="00C71B84">
            <w:pPr>
              <w:rPr>
                <w:rFonts w:ascii="Calibri" w:hAnsi="Calibri"/>
                <w:color w:val="000000"/>
                <w:sz w:val="24"/>
              </w:rPr>
            </w:pPr>
            <w:r w:rsidRPr="005D5D1D">
              <w:rPr>
                <w:rFonts w:ascii="Calibri" w:hAnsi="Calibri"/>
                <w:bCs/>
                <w:color w:val="000000"/>
                <w:sz w:val="24"/>
              </w:rPr>
              <w:t>Direct development of the products and other commercialisation activities</w:t>
            </w:r>
          </w:p>
        </w:tc>
      </w:tr>
      <w:tr w:rsidR="00794D12" w:rsidRPr="005D5D1D" w14:paraId="336DA958" w14:textId="77777777" w:rsidTr="00C71B84">
        <w:tc>
          <w:tcPr>
            <w:tcW w:w="10060" w:type="dxa"/>
            <w:shd w:val="clear" w:color="auto" w:fill="92D050"/>
            <w:vAlign w:val="center"/>
          </w:tcPr>
          <w:p w14:paraId="688AE485" w14:textId="77777777" w:rsidR="00794D12" w:rsidRPr="005D5D1D" w:rsidRDefault="00794D12" w:rsidP="00C71B84">
            <w:pPr>
              <w:rPr>
                <w:rFonts w:ascii="Calibri" w:hAnsi="Calibri"/>
                <w:bCs/>
                <w:color w:val="000000"/>
                <w:sz w:val="24"/>
              </w:rPr>
            </w:pPr>
            <w:r w:rsidRPr="005D5D1D">
              <w:rPr>
                <w:rFonts w:ascii="Calibri" w:hAnsi="Calibri"/>
                <w:b/>
                <w:bCs/>
                <w:color w:val="000000"/>
                <w:sz w:val="24"/>
              </w:rPr>
              <w:t>CENTRES OF EXCELLENCE SPECIFIC NON-ALLOWABLES</w:t>
            </w:r>
          </w:p>
        </w:tc>
      </w:tr>
      <w:tr w:rsidR="00794D12" w:rsidRPr="005D5D1D" w14:paraId="3D6E7D0A" w14:textId="77777777" w:rsidTr="00C71B84">
        <w:tc>
          <w:tcPr>
            <w:tcW w:w="10060" w:type="dxa"/>
            <w:vAlign w:val="center"/>
          </w:tcPr>
          <w:p w14:paraId="11066572" w14:textId="77777777" w:rsidR="00794D12" w:rsidRPr="005D5D1D" w:rsidRDefault="00794D12" w:rsidP="00C71B84">
            <w:pPr>
              <w:rPr>
                <w:rFonts w:ascii="Calibri" w:hAnsi="Calibri"/>
                <w:bCs/>
                <w:color w:val="000000"/>
                <w:sz w:val="24"/>
              </w:rPr>
            </w:pPr>
            <w:r w:rsidRPr="005D5D1D">
              <w:rPr>
                <w:rFonts w:ascii="Calibri" w:hAnsi="Calibri"/>
                <w:bCs/>
                <w:color w:val="000000"/>
                <w:sz w:val="24"/>
              </w:rPr>
              <w:t>Direct development of the products and other commercialisation activities</w:t>
            </w:r>
          </w:p>
        </w:tc>
      </w:tr>
      <w:tr w:rsidR="00794D12" w:rsidRPr="005D5D1D" w14:paraId="1E38F44D" w14:textId="77777777" w:rsidTr="00C71B84">
        <w:tc>
          <w:tcPr>
            <w:tcW w:w="10060" w:type="dxa"/>
            <w:vAlign w:val="center"/>
          </w:tcPr>
          <w:p w14:paraId="52BFAC11" w14:textId="77777777" w:rsidR="00794D12" w:rsidRPr="005D5D1D" w:rsidRDefault="00794D12" w:rsidP="00C71B84">
            <w:pPr>
              <w:rPr>
                <w:rFonts w:ascii="Calibri" w:hAnsi="Calibri"/>
                <w:bCs/>
                <w:color w:val="000000"/>
                <w:sz w:val="24"/>
              </w:rPr>
            </w:pPr>
            <w:r w:rsidRPr="005D5D1D">
              <w:rPr>
                <w:rFonts w:ascii="Calibri" w:hAnsi="Calibri"/>
                <w:bCs/>
                <w:color w:val="000000"/>
                <w:sz w:val="24"/>
              </w:rPr>
              <w:t>Investigations that are more appropriately undertaken by way of a consultancy</w:t>
            </w:r>
          </w:p>
        </w:tc>
      </w:tr>
      <w:tr w:rsidR="00BF56D1" w:rsidRPr="005D5D1D" w14:paraId="5F73E356" w14:textId="77777777" w:rsidTr="00C71B84">
        <w:tc>
          <w:tcPr>
            <w:tcW w:w="10060" w:type="dxa"/>
            <w:vAlign w:val="center"/>
          </w:tcPr>
          <w:p w14:paraId="0A00E593" w14:textId="77777777" w:rsidR="00BF56D1" w:rsidRPr="005D5D1D" w:rsidRDefault="00BF56D1" w:rsidP="00C71B84">
            <w:pPr>
              <w:rPr>
                <w:rFonts w:ascii="Calibri" w:hAnsi="Calibri"/>
                <w:bCs/>
                <w:color w:val="000000"/>
                <w:sz w:val="24"/>
              </w:rPr>
            </w:pPr>
            <w:r w:rsidRPr="005D5D1D">
              <w:rPr>
                <w:rFonts w:ascii="Calibri" w:hAnsi="Calibri"/>
                <w:bCs/>
                <w:color w:val="000000"/>
                <w:sz w:val="24"/>
              </w:rPr>
              <w:t>Teaching relief</w:t>
            </w:r>
          </w:p>
        </w:tc>
      </w:tr>
      <w:tr w:rsidR="00794D12" w:rsidRPr="005D5D1D" w14:paraId="39BF9FD0" w14:textId="77777777" w:rsidTr="00C71B84">
        <w:tc>
          <w:tcPr>
            <w:tcW w:w="10060" w:type="dxa"/>
            <w:shd w:val="clear" w:color="auto" w:fill="92D050"/>
            <w:vAlign w:val="center"/>
          </w:tcPr>
          <w:p w14:paraId="01912EDE" w14:textId="77777777" w:rsidR="00794D12" w:rsidRPr="005D5D1D" w:rsidRDefault="00794D12" w:rsidP="00C71B84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5D5D1D">
              <w:rPr>
                <w:rFonts w:ascii="Calibri" w:hAnsi="Calibri"/>
                <w:b/>
                <w:bCs/>
                <w:color w:val="000000"/>
                <w:sz w:val="24"/>
              </w:rPr>
              <w:t>ITTC 2013 (IC13) SPECIFIC NON-ALLOWABLES</w:t>
            </w:r>
          </w:p>
        </w:tc>
      </w:tr>
      <w:tr w:rsidR="00794D12" w:rsidRPr="005D5D1D" w14:paraId="7438EE58" w14:textId="77777777" w:rsidTr="00C71B84">
        <w:tc>
          <w:tcPr>
            <w:tcW w:w="10060" w:type="dxa"/>
            <w:vAlign w:val="center"/>
          </w:tcPr>
          <w:p w14:paraId="0762CC01" w14:textId="77777777" w:rsidR="00794D12" w:rsidRPr="005D5D1D" w:rsidRDefault="00794D12" w:rsidP="00C71B84">
            <w:pPr>
              <w:rPr>
                <w:rFonts w:ascii="Calibri" w:hAnsi="Calibri"/>
                <w:b/>
                <w:bCs/>
                <w:color w:val="000000"/>
                <w:sz w:val="24"/>
              </w:rPr>
            </w:pPr>
            <w:r w:rsidRPr="005D5D1D">
              <w:rPr>
                <w:rFonts w:ascii="Calibri" w:hAnsi="Calibri"/>
                <w:bCs/>
                <w:color w:val="000000"/>
                <w:sz w:val="24"/>
              </w:rPr>
              <w:t>Domestic or international travel costs for Training Centre Directors, CIs or PIs</w:t>
            </w:r>
          </w:p>
        </w:tc>
      </w:tr>
    </w:tbl>
    <w:p w14:paraId="69EEFD21" w14:textId="1CA80675" w:rsidR="003C035E" w:rsidRPr="003C035E" w:rsidRDefault="003C035E" w:rsidP="003C035E">
      <w:pPr>
        <w:ind w:left="-709"/>
        <w:jc w:val="center"/>
        <w:rPr>
          <w:b/>
          <w:i/>
          <w:sz w:val="24"/>
        </w:rPr>
      </w:pPr>
      <w:r w:rsidRPr="004D556B">
        <w:rPr>
          <w:b/>
          <w:i/>
          <w:sz w:val="24"/>
        </w:rPr>
        <w:t xml:space="preserve">**Exceptions may affect some </w:t>
      </w:r>
      <w:r>
        <w:rPr>
          <w:b/>
          <w:i/>
          <w:sz w:val="24"/>
        </w:rPr>
        <w:t>rounds</w:t>
      </w:r>
      <w:r w:rsidRPr="004D556B">
        <w:rPr>
          <w:b/>
          <w:i/>
          <w:sz w:val="24"/>
        </w:rPr>
        <w:t xml:space="preserve">. </w:t>
      </w:r>
      <w:r w:rsidR="0040657B" w:rsidRPr="004D556B">
        <w:rPr>
          <w:b/>
          <w:i/>
          <w:sz w:val="24"/>
        </w:rPr>
        <w:t xml:space="preserve">Please refer to </w:t>
      </w:r>
      <w:r w:rsidR="0040657B">
        <w:rPr>
          <w:b/>
          <w:i/>
          <w:sz w:val="24"/>
        </w:rPr>
        <w:t>the</w:t>
      </w:r>
      <w:r w:rsidR="0040657B" w:rsidRPr="004D556B">
        <w:rPr>
          <w:b/>
          <w:i/>
          <w:sz w:val="24"/>
        </w:rPr>
        <w:t xml:space="preserve"> </w:t>
      </w:r>
      <w:r w:rsidR="0040657B">
        <w:rPr>
          <w:b/>
          <w:i/>
          <w:sz w:val="24"/>
        </w:rPr>
        <w:t>Funding Rules/Grant Guidelines specific to the year,</w:t>
      </w:r>
      <w:r w:rsidR="0040657B" w:rsidRPr="004D556B">
        <w:rPr>
          <w:b/>
          <w:i/>
          <w:sz w:val="24"/>
        </w:rPr>
        <w:t xml:space="preserve"> for confirmation</w:t>
      </w:r>
      <w:r w:rsidR="0040657B">
        <w:rPr>
          <w:b/>
          <w:i/>
          <w:sz w:val="24"/>
        </w:rPr>
        <w:t xml:space="preserve"> </w:t>
      </w:r>
      <w:r>
        <w:rPr>
          <w:b/>
          <w:i/>
          <w:sz w:val="24"/>
        </w:rPr>
        <w:t>**</w:t>
      </w:r>
    </w:p>
    <w:sectPr w:rsidR="003C035E" w:rsidRPr="003C035E" w:rsidSect="003C03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D7E41" w14:textId="77777777" w:rsidR="001322EE" w:rsidRDefault="001322EE" w:rsidP="006C691C">
      <w:pPr>
        <w:spacing w:after="0" w:line="240" w:lineRule="auto"/>
      </w:pPr>
      <w:r>
        <w:separator/>
      </w:r>
    </w:p>
  </w:endnote>
  <w:endnote w:type="continuationSeparator" w:id="0">
    <w:p w14:paraId="4206042B" w14:textId="77777777" w:rsidR="001322EE" w:rsidRDefault="001322EE" w:rsidP="006C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774C4" w14:textId="77777777" w:rsidR="006C691C" w:rsidRDefault="006C69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99370" w14:textId="77777777" w:rsidR="006C691C" w:rsidRDefault="006C69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3E812" w14:textId="77777777" w:rsidR="006C691C" w:rsidRDefault="006C69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30FD0" w14:textId="77777777" w:rsidR="001322EE" w:rsidRDefault="001322EE" w:rsidP="006C691C">
      <w:pPr>
        <w:spacing w:after="0" w:line="240" w:lineRule="auto"/>
      </w:pPr>
      <w:r>
        <w:separator/>
      </w:r>
    </w:p>
  </w:footnote>
  <w:footnote w:type="continuationSeparator" w:id="0">
    <w:p w14:paraId="0640A446" w14:textId="77777777" w:rsidR="001322EE" w:rsidRDefault="001322EE" w:rsidP="006C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13449" w14:textId="77777777" w:rsidR="006C691C" w:rsidRDefault="006C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BAED7" w14:textId="77777777" w:rsidR="006C691C" w:rsidRDefault="006C69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230B" w14:textId="77777777" w:rsidR="006C691C" w:rsidRDefault="006C69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743"/>
    <w:multiLevelType w:val="hybridMultilevel"/>
    <w:tmpl w:val="D6200AE6"/>
    <w:lvl w:ilvl="0" w:tplc="B9F21D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52BB"/>
    <w:multiLevelType w:val="hybridMultilevel"/>
    <w:tmpl w:val="BB78A3E4"/>
    <w:lvl w:ilvl="0" w:tplc="F6AA6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04F0"/>
    <w:multiLevelType w:val="hybridMultilevel"/>
    <w:tmpl w:val="57D4D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4097F"/>
    <w:multiLevelType w:val="hybridMultilevel"/>
    <w:tmpl w:val="E304B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F2"/>
    <w:rsid w:val="00007428"/>
    <w:rsid w:val="00021958"/>
    <w:rsid w:val="00055449"/>
    <w:rsid w:val="00056E11"/>
    <w:rsid w:val="000710B6"/>
    <w:rsid w:val="000D5374"/>
    <w:rsid w:val="00122294"/>
    <w:rsid w:val="0012642D"/>
    <w:rsid w:val="0013085F"/>
    <w:rsid w:val="001322EE"/>
    <w:rsid w:val="00170369"/>
    <w:rsid w:val="001C6C93"/>
    <w:rsid w:val="002410F2"/>
    <w:rsid w:val="00250247"/>
    <w:rsid w:val="00256BAE"/>
    <w:rsid w:val="002573D8"/>
    <w:rsid w:val="00257EE7"/>
    <w:rsid w:val="0028182B"/>
    <w:rsid w:val="00307093"/>
    <w:rsid w:val="003646F9"/>
    <w:rsid w:val="00397311"/>
    <w:rsid w:val="003B29E6"/>
    <w:rsid w:val="003C035E"/>
    <w:rsid w:val="003D0FF7"/>
    <w:rsid w:val="0040657B"/>
    <w:rsid w:val="00410567"/>
    <w:rsid w:val="00415030"/>
    <w:rsid w:val="00473F08"/>
    <w:rsid w:val="004B4D34"/>
    <w:rsid w:val="004D556B"/>
    <w:rsid w:val="004F5AC9"/>
    <w:rsid w:val="00534F1E"/>
    <w:rsid w:val="00554901"/>
    <w:rsid w:val="00570333"/>
    <w:rsid w:val="0057240E"/>
    <w:rsid w:val="00581C80"/>
    <w:rsid w:val="00593281"/>
    <w:rsid w:val="005A1A8C"/>
    <w:rsid w:val="005A7249"/>
    <w:rsid w:val="005C5063"/>
    <w:rsid w:val="005D5D1D"/>
    <w:rsid w:val="005F6C32"/>
    <w:rsid w:val="00647CC8"/>
    <w:rsid w:val="00654680"/>
    <w:rsid w:val="006816F2"/>
    <w:rsid w:val="00682D7E"/>
    <w:rsid w:val="006B66F5"/>
    <w:rsid w:val="006B7345"/>
    <w:rsid w:val="006C691C"/>
    <w:rsid w:val="00712DEB"/>
    <w:rsid w:val="00726AAA"/>
    <w:rsid w:val="00751120"/>
    <w:rsid w:val="00782FB7"/>
    <w:rsid w:val="00794D12"/>
    <w:rsid w:val="007C6DCC"/>
    <w:rsid w:val="007D4F55"/>
    <w:rsid w:val="008048D6"/>
    <w:rsid w:val="00812861"/>
    <w:rsid w:val="00834561"/>
    <w:rsid w:val="00877115"/>
    <w:rsid w:val="00892F41"/>
    <w:rsid w:val="00897E96"/>
    <w:rsid w:val="0090701D"/>
    <w:rsid w:val="00916B73"/>
    <w:rsid w:val="00952288"/>
    <w:rsid w:val="00984C33"/>
    <w:rsid w:val="009B7932"/>
    <w:rsid w:val="009C68C6"/>
    <w:rsid w:val="009D596C"/>
    <w:rsid w:val="00A40B26"/>
    <w:rsid w:val="00A851A6"/>
    <w:rsid w:val="00AF61B3"/>
    <w:rsid w:val="00B57143"/>
    <w:rsid w:val="00B8548F"/>
    <w:rsid w:val="00BA76DB"/>
    <w:rsid w:val="00BD7001"/>
    <w:rsid w:val="00BF56D1"/>
    <w:rsid w:val="00C17260"/>
    <w:rsid w:val="00C32C33"/>
    <w:rsid w:val="00C379CE"/>
    <w:rsid w:val="00C43E41"/>
    <w:rsid w:val="00C71B84"/>
    <w:rsid w:val="00C96208"/>
    <w:rsid w:val="00CB1344"/>
    <w:rsid w:val="00CB1AD4"/>
    <w:rsid w:val="00CF01E7"/>
    <w:rsid w:val="00D0337A"/>
    <w:rsid w:val="00D35B60"/>
    <w:rsid w:val="00D42799"/>
    <w:rsid w:val="00D86660"/>
    <w:rsid w:val="00E00D05"/>
    <w:rsid w:val="00E03FBE"/>
    <w:rsid w:val="00E26729"/>
    <w:rsid w:val="00E426FB"/>
    <w:rsid w:val="00E56612"/>
    <w:rsid w:val="00ED2DC2"/>
    <w:rsid w:val="00EF3D54"/>
    <w:rsid w:val="00F1509A"/>
    <w:rsid w:val="00F25318"/>
    <w:rsid w:val="00F33B42"/>
    <w:rsid w:val="00F60EA5"/>
    <w:rsid w:val="00F70163"/>
    <w:rsid w:val="00F97134"/>
    <w:rsid w:val="00FB61F9"/>
    <w:rsid w:val="00FE2138"/>
    <w:rsid w:val="00FE525D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BF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6F2"/>
    <w:pPr>
      <w:ind w:left="720"/>
      <w:contextualSpacing/>
    </w:pPr>
  </w:style>
  <w:style w:type="table" w:styleId="TableGrid">
    <w:name w:val="Table Grid"/>
    <w:basedOn w:val="TableNormal"/>
    <w:uiPriority w:val="39"/>
    <w:rsid w:val="0068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1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7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E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1C"/>
  </w:style>
  <w:style w:type="paragraph" w:styleId="Footer">
    <w:name w:val="footer"/>
    <w:basedOn w:val="Normal"/>
    <w:link w:val="FooterChar"/>
    <w:uiPriority w:val="99"/>
    <w:unhideWhenUsed/>
    <w:rsid w:val="006C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2019-11-11T23:42:00Z</dcterms:created>
  <dcterms:modified xsi:type="dcterms:W3CDTF">2019-11-11T23:42:00Z</dcterms:modified>
</cp:coreProperties>
</file>