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3488" w14:textId="23242631" w:rsidR="000B12FD" w:rsidRDefault="00572F7B" w:rsidP="00572F7B">
      <w:pPr>
        <w:pStyle w:val="BodyText"/>
        <w:spacing w:before="0" w:after="0" w:line="240" w:lineRule="auto"/>
        <w:rPr>
          <w:rFonts w:ascii="Cambria"/>
          <w:sz w:val="20"/>
        </w:rPr>
      </w:pPr>
      <w:r w:rsidRPr="00572F7B">
        <w:rPr>
          <w:rFonts w:asciiTheme="majorHAnsi" w:eastAsia="Cambria" w:hAnsiTheme="majorHAnsi" w:cs="Cambria"/>
          <w:color w:val="auto"/>
          <w:sz w:val="44"/>
          <w:szCs w:val="44"/>
        </w:rPr>
        <w:t>Aboriginal and</w:t>
      </w:r>
      <w:r>
        <w:rPr>
          <w:rFonts w:asciiTheme="majorHAnsi" w:eastAsia="Cambria" w:hAnsiTheme="majorHAnsi" w:cs="Cambria"/>
          <w:color w:val="auto"/>
          <w:sz w:val="44"/>
          <w:szCs w:val="44"/>
        </w:rPr>
        <w:t xml:space="preserve"> </w:t>
      </w:r>
      <w:r w:rsidRPr="00572F7B">
        <w:rPr>
          <w:rFonts w:asciiTheme="majorHAnsi" w:eastAsia="Cambria" w:hAnsiTheme="majorHAnsi" w:cs="Cambria"/>
          <w:color w:val="auto"/>
          <w:sz w:val="44"/>
          <w:szCs w:val="44"/>
        </w:rPr>
        <w:t>Torres Strait Islander Researchers and Research Statement</w:t>
      </w:r>
    </w:p>
    <w:tbl>
      <w:tblPr>
        <w:tblStyle w:val="TableGrid"/>
        <w:tblW w:w="0" w:type="auto"/>
        <w:tblInd w:w="108" w:type="dxa"/>
        <w:tblLook w:val="04A0" w:firstRow="1" w:lastRow="0" w:firstColumn="1" w:lastColumn="0" w:noHBand="0" w:noVBand="1"/>
      </w:tblPr>
      <w:tblGrid>
        <w:gridCol w:w="1881"/>
        <w:gridCol w:w="3223"/>
        <w:gridCol w:w="1947"/>
        <w:gridCol w:w="2182"/>
      </w:tblGrid>
      <w:tr w:rsidR="000E0B93" w14:paraId="3BB2B572" w14:textId="77777777" w:rsidTr="009300BE">
        <w:tc>
          <w:tcPr>
            <w:tcW w:w="1881" w:type="dxa"/>
            <w:tcBorders>
              <w:top w:val="single" w:sz="12" w:space="0" w:color="1A0D52"/>
              <w:left w:val="single" w:sz="12" w:space="0" w:color="1A0D52"/>
              <w:bottom w:val="single" w:sz="8" w:space="0" w:color="FFFFFF" w:themeColor="background1"/>
              <w:right w:val="single" w:sz="12" w:space="0" w:color="1A0D52"/>
            </w:tcBorders>
            <w:shd w:val="clear" w:color="auto" w:fill="1A0D52"/>
          </w:tcPr>
          <w:p w14:paraId="60F41A60" w14:textId="77777777" w:rsidR="000E0B93" w:rsidRPr="00250236" w:rsidRDefault="000E0B93" w:rsidP="00094F4B">
            <w:pPr>
              <w:spacing w:before="60" w:after="60"/>
              <w:rPr>
                <w:color w:val="FFFFFF" w:themeColor="background1"/>
              </w:rPr>
            </w:pPr>
            <w:r w:rsidRPr="00250236">
              <w:rPr>
                <w:color w:val="FFFFFF" w:themeColor="background1"/>
              </w:rPr>
              <w:t xml:space="preserve">Policy Name: </w:t>
            </w:r>
          </w:p>
        </w:tc>
        <w:tc>
          <w:tcPr>
            <w:tcW w:w="7352" w:type="dxa"/>
            <w:gridSpan w:val="3"/>
            <w:tcBorders>
              <w:top w:val="single" w:sz="12" w:space="0" w:color="1A0D52"/>
              <w:left w:val="single" w:sz="12" w:space="0" w:color="1A0D52"/>
              <w:bottom w:val="single" w:sz="12" w:space="0" w:color="1A0D52"/>
              <w:right w:val="nil"/>
            </w:tcBorders>
          </w:tcPr>
          <w:p w14:paraId="0FA4ADF8" w14:textId="55D94283" w:rsidR="000E0B93" w:rsidRPr="00250236" w:rsidRDefault="00572F7B" w:rsidP="00572F7B">
            <w:r w:rsidRPr="00572F7B">
              <w:rPr>
                <w:rStyle w:val="Strong"/>
                <w:rFonts w:asciiTheme="minorHAnsi" w:hAnsiTheme="minorHAnsi"/>
              </w:rPr>
              <w:t>Aboriginal and</w:t>
            </w:r>
            <w:r>
              <w:rPr>
                <w:rStyle w:val="Strong"/>
                <w:rFonts w:asciiTheme="minorHAnsi" w:hAnsiTheme="minorHAnsi"/>
              </w:rPr>
              <w:t xml:space="preserve"> </w:t>
            </w:r>
            <w:r w:rsidRPr="00572F7B">
              <w:rPr>
                <w:rStyle w:val="Strong"/>
                <w:rFonts w:asciiTheme="minorHAnsi" w:hAnsiTheme="minorHAnsi"/>
              </w:rPr>
              <w:t>Torres Strait Islander Researchers and Research Statement</w:t>
            </w:r>
          </w:p>
        </w:tc>
      </w:tr>
      <w:tr w:rsidR="00866FD1" w14:paraId="402A2969"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51E7B2A6" w14:textId="77777777" w:rsidR="00866FD1" w:rsidRPr="00250236" w:rsidRDefault="00866FD1" w:rsidP="00094F4B">
            <w:pPr>
              <w:spacing w:before="60" w:after="60"/>
              <w:rPr>
                <w:color w:val="FFFFFF" w:themeColor="background1"/>
              </w:rPr>
            </w:pPr>
            <w:r w:rsidRPr="00250236">
              <w:rPr>
                <w:color w:val="FFFFFF" w:themeColor="background1"/>
              </w:rPr>
              <w:t>Policy Owner:</w:t>
            </w:r>
          </w:p>
        </w:tc>
        <w:tc>
          <w:tcPr>
            <w:tcW w:w="7352" w:type="dxa"/>
            <w:gridSpan w:val="3"/>
            <w:tcBorders>
              <w:top w:val="single" w:sz="12" w:space="0" w:color="1A0D52"/>
              <w:left w:val="single" w:sz="12" w:space="0" w:color="1A0D52"/>
              <w:bottom w:val="single" w:sz="12" w:space="0" w:color="1A0D52"/>
              <w:right w:val="nil"/>
            </w:tcBorders>
          </w:tcPr>
          <w:p w14:paraId="40BD7B26" w14:textId="422FCD46" w:rsidR="00866FD1" w:rsidRPr="00250236" w:rsidRDefault="008203EA" w:rsidP="009C0770">
            <w:r>
              <w:t>Branch Manager, Research Evaluation and Policy</w:t>
            </w:r>
          </w:p>
        </w:tc>
      </w:tr>
      <w:tr w:rsidR="00457290" w14:paraId="7CCB4F46"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2C837B5C" w14:textId="77777777" w:rsidR="00866FD1" w:rsidRPr="00250236" w:rsidRDefault="00866FD1" w:rsidP="00094F4B">
            <w:pPr>
              <w:spacing w:before="60" w:after="60"/>
              <w:rPr>
                <w:color w:val="FFFFFF" w:themeColor="background1"/>
              </w:rPr>
            </w:pPr>
            <w:r w:rsidRPr="00250236">
              <w:rPr>
                <w:color w:val="FFFFFF" w:themeColor="background1"/>
              </w:rPr>
              <w:t>Effective from:</w:t>
            </w:r>
          </w:p>
        </w:tc>
        <w:sdt>
          <w:sdtPr>
            <w:id w:val="374128747"/>
            <w:placeholder>
              <w:docPart w:val="497EA292317B443F82F899AEDF958003"/>
            </w:placeholder>
            <w:date w:fullDate="2020-11-30T00:00:00Z">
              <w:dateFormat w:val="d/MM/yyyy"/>
              <w:lid w:val="en-AU"/>
              <w:storeMappedDataAs w:val="dateTime"/>
              <w:calendar w:val="gregorian"/>
            </w:date>
          </w:sdtPr>
          <w:sdtEndPr/>
          <w:sdtContent>
            <w:tc>
              <w:tcPr>
                <w:tcW w:w="3223" w:type="dxa"/>
                <w:tcBorders>
                  <w:top w:val="single" w:sz="12" w:space="0" w:color="1A0D52"/>
                  <w:left w:val="single" w:sz="12" w:space="0" w:color="1A0D52"/>
                  <w:bottom w:val="single" w:sz="12" w:space="0" w:color="1A0D52"/>
                  <w:right w:val="single" w:sz="12" w:space="0" w:color="1A0D52"/>
                </w:tcBorders>
              </w:tcPr>
              <w:p w14:paraId="4B204692" w14:textId="748038AE" w:rsidR="00866FD1" w:rsidRPr="00250236" w:rsidRDefault="00CB4069" w:rsidP="009C0770">
                <w:r>
                  <w:t>30</w:t>
                </w:r>
                <w:r w:rsidR="00D06325" w:rsidRPr="00CB4069">
                  <w:t>/1</w:t>
                </w:r>
                <w:r>
                  <w:t>1</w:t>
                </w:r>
                <w:r w:rsidR="00D06325" w:rsidRPr="00CB4069">
                  <w:t>/202</w:t>
                </w:r>
                <w:r>
                  <w:t>0</w:t>
                </w:r>
              </w:p>
            </w:tc>
          </w:sdtContent>
        </w:sdt>
        <w:tc>
          <w:tcPr>
            <w:tcW w:w="1947"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30403A30" w14:textId="77777777" w:rsidR="00866FD1" w:rsidRPr="00250236" w:rsidRDefault="00866FD1" w:rsidP="009C0770">
            <w:pPr>
              <w:rPr>
                <w:color w:val="FFFFFF" w:themeColor="background1"/>
              </w:rPr>
            </w:pPr>
            <w:r w:rsidRPr="00250236">
              <w:rPr>
                <w:color w:val="FFFFFF" w:themeColor="background1"/>
              </w:rPr>
              <w:t>Version number:</w:t>
            </w:r>
          </w:p>
        </w:tc>
        <w:tc>
          <w:tcPr>
            <w:tcW w:w="2182" w:type="dxa"/>
            <w:tcBorders>
              <w:top w:val="single" w:sz="12" w:space="0" w:color="1A0D52"/>
              <w:left w:val="single" w:sz="12" w:space="0" w:color="1A0D52"/>
              <w:bottom w:val="single" w:sz="12" w:space="0" w:color="1A0D52"/>
              <w:right w:val="nil"/>
            </w:tcBorders>
          </w:tcPr>
          <w:p w14:paraId="2B05138A" w14:textId="31ECB81F" w:rsidR="00866FD1" w:rsidRPr="00DC5D4D" w:rsidRDefault="00CB4069" w:rsidP="009C0770">
            <w:r>
              <w:t>1.2</w:t>
            </w:r>
          </w:p>
        </w:tc>
      </w:tr>
      <w:tr w:rsidR="009300BE" w14:paraId="64FE4890" w14:textId="77777777">
        <w:tc>
          <w:tcPr>
            <w:tcW w:w="1881" w:type="dxa"/>
            <w:tcBorders>
              <w:top w:val="single" w:sz="8" w:space="0" w:color="FFFFFF" w:themeColor="background1"/>
              <w:left w:val="single" w:sz="12" w:space="0" w:color="1A0D52"/>
              <w:bottom w:val="single" w:sz="12" w:space="0" w:color="1A0D52"/>
              <w:right w:val="single" w:sz="12" w:space="0" w:color="1A0D52"/>
            </w:tcBorders>
            <w:shd w:val="clear" w:color="auto" w:fill="1A0D52"/>
          </w:tcPr>
          <w:p w14:paraId="1EAD2ED6" w14:textId="77777777" w:rsidR="009300BE" w:rsidRPr="00982092" w:rsidRDefault="009300BE" w:rsidP="00094F4B">
            <w:pPr>
              <w:spacing w:before="60" w:after="60"/>
              <w:rPr>
                <w:color w:val="FFFFFF" w:themeColor="background1"/>
              </w:rPr>
            </w:pPr>
            <w:r w:rsidRPr="00982092">
              <w:rPr>
                <w:color w:val="FFFFFF" w:themeColor="background1"/>
              </w:rPr>
              <w:t>Date for revision:</w:t>
            </w:r>
          </w:p>
        </w:tc>
        <w:tc>
          <w:tcPr>
            <w:tcW w:w="7352" w:type="dxa"/>
            <w:gridSpan w:val="3"/>
            <w:tcBorders>
              <w:top w:val="single" w:sz="12" w:space="0" w:color="1A0D52"/>
              <w:left w:val="single" w:sz="12" w:space="0" w:color="1A0D52"/>
              <w:bottom w:val="single" w:sz="12" w:space="0" w:color="1A0D52"/>
              <w:right w:val="single" w:sz="12" w:space="0" w:color="1A0D52"/>
            </w:tcBorders>
          </w:tcPr>
          <w:sdt>
            <w:sdtPr>
              <w:id w:val="-290600173"/>
              <w:placeholder>
                <w:docPart w:val="D9B6A28A33E54808AF22CD3F1C739E31"/>
              </w:placeholder>
              <w:date w:fullDate="2022-11-30T00:00:00Z">
                <w:dateFormat w:val="d/MM/yyyy"/>
                <w:lid w:val="en-AU"/>
                <w:storeMappedDataAs w:val="dateTime"/>
                <w:calendar w:val="gregorian"/>
              </w:date>
            </w:sdtPr>
            <w:sdtEndPr/>
            <w:sdtContent>
              <w:p w14:paraId="74EA8BB3" w14:textId="11D82B67" w:rsidR="009300BE" w:rsidRPr="00982092" w:rsidRDefault="00CB4069" w:rsidP="009C0770">
                <w:r>
                  <w:t>30</w:t>
                </w:r>
                <w:r w:rsidR="00D06325" w:rsidRPr="00CB4069">
                  <w:t>/1</w:t>
                </w:r>
                <w:r>
                  <w:t>1</w:t>
                </w:r>
                <w:r w:rsidR="00D06325" w:rsidRPr="00CB4069">
                  <w:t>/202</w:t>
                </w:r>
                <w:r>
                  <w:t>2</w:t>
                </w:r>
              </w:p>
            </w:sdtContent>
          </w:sdt>
        </w:tc>
      </w:tr>
    </w:tbl>
    <w:p w14:paraId="0F3AB85D" w14:textId="77777777" w:rsidR="00531350" w:rsidRPr="003F6829" w:rsidRDefault="00531350">
      <w:pPr>
        <w:spacing w:before="0" w:after="0" w:line="240" w:lineRule="auto"/>
        <w:rPr>
          <w:color w:val="FF0000"/>
        </w:rPr>
      </w:pPr>
      <w:bookmarkStart w:id="0" w:name="Contents"/>
      <w:bookmarkStart w:id="1" w:name="_bookmark0"/>
      <w:bookmarkEnd w:id="0"/>
      <w:bookmarkEnd w:id="1"/>
      <w:r w:rsidRPr="003F6829">
        <w:rPr>
          <w:color w:val="FF0000"/>
        </w:rPr>
        <w:br w:type="page"/>
      </w:r>
    </w:p>
    <w:p w14:paraId="5ABF8A2C" w14:textId="77777777" w:rsidR="00673F2F" w:rsidRDefault="00673F2F" w:rsidP="003F6829">
      <w:pPr>
        <w:pStyle w:val="TOCHeading"/>
      </w:pPr>
      <w:bookmarkStart w:id="2" w:name="_Toc153372153"/>
      <w:bookmarkStart w:id="3" w:name="_Toc160100904"/>
      <w:r>
        <w:lastRenderedPageBreak/>
        <w:t>Table of Contents</w:t>
      </w:r>
      <w:bookmarkEnd w:id="2"/>
      <w:bookmarkEnd w:id="3"/>
    </w:p>
    <w:p w14:paraId="1AD00C3F" w14:textId="236CBB0A" w:rsidR="00B736F5" w:rsidRDefault="00B34F88">
      <w:pPr>
        <w:pStyle w:val="TOC2"/>
        <w:tabs>
          <w:tab w:val="right" w:leader="dot" w:pos="9346"/>
        </w:tabs>
        <w:rPr>
          <w:rFonts w:asciiTheme="minorHAnsi" w:eastAsiaTheme="minorEastAsia" w:hAnsiTheme="minorHAnsi" w:cstheme="minorBidi"/>
          <w:noProof/>
          <w:color w:val="auto"/>
          <w:kern w:val="2"/>
          <w:lang w:eastAsia="en-AU"/>
          <w14:ligatures w14:val="standardContextual"/>
        </w:rPr>
      </w:pPr>
      <w:r>
        <w:rPr>
          <w:sz w:val="23"/>
        </w:rPr>
        <w:fldChar w:fldCharType="begin"/>
      </w:r>
      <w:r>
        <w:rPr>
          <w:sz w:val="23"/>
        </w:rPr>
        <w:instrText xml:space="preserve"> TOC \o "1-2" \h \z \u </w:instrText>
      </w:r>
      <w:r>
        <w:rPr>
          <w:sz w:val="23"/>
        </w:rPr>
        <w:fldChar w:fldCharType="separate"/>
      </w:r>
      <w:hyperlink w:anchor="_Toc160100904" w:history="1">
        <w:r w:rsidR="00B736F5" w:rsidRPr="002D4E19">
          <w:rPr>
            <w:rStyle w:val="Hyperlink"/>
            <w:noProof/>
          </w:rPr>
          <w:t>Table of Contents</w:t>
        </w:r>
        <w:r w:rsidR="00B736F5">
          <w:rPr>
            <w:noProof/>
            <w:webHidden/>
          </w:rPr>
          <w:tab/>
        </w:r>
        <w:r w:rsidR="00B736F5">
          <w:rPr>
            <w:noProof/>
            <w:webHidden/>
          </w:rPr>
          <w:fldChar w:fldCharType="begin"/>
        </w:r>
        <w:r w:rsidR="00B736F5">
          <w:rPr>
            <w:noProof/>
            <w:webHidden/>
          </w:rPr>
          <w:instrText xml:space="preserve"> PAGEREF _Toc160100904 \h </w:instrText>
        </w:r>
        <w:r w:rsidR="00B736F5">
          <w:rPr>
            <w:noProof/>
            <w:webHidden/>
          </w:rPr>
        </w:r>
        <w:r w:rsidR="00B736F5">
          <w:rPr>
            <w:noProof/>
            <w:webHidden/>
          </w:rPr>
          <w:fldChar w:fldCharType="separate"/>
        </w:r>
        <w:r w:rsidR="00B736F5">
          <w:rPr>
            <w:noProof/>
            <w:webHidden/>
          </w:rPr>
          <w:t>2</w:t>
        </w:r>
        <w:r w:rsidR="00B736F5">
          <w:rPr>
            <w:noProof/>
            <w:webHidden/>
          </w:rPr>
          <w:fldChar w:fldCharType="end"/>
        </w:r>
      </w:hyperlink>
    </w:p>
    <w:p w14:paraId="3A7289CE" w14:textId="5627B2D9" w:rsidR="00B736F5" w:rsidRDefault="00554B42">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0905" w:history="1">
        <w:r w:rsidR="00B736F5" w:rsidRPr="002D4E19">
          <w:rPr>
            <w:rStyle w:val="Hyperlink"/>
            <w:noProof/>
          </w:rPr>
          <w:t>Context</w:t>
        </w:r>
        <w:r w:rsidR="00B736F5">
          <w:rPr>
            <w:noProof/>
            <w:webHidden/>
          </w:rPr>
          <w:tab/>
        </w:r>
        <w:r w:rsidR="00B736F5">
          <w:rPr>
            <w:noProof/>
            <w:webHidden/>
          </w:rPr>
          <w:fldChar w:fldCharType="begin"/>
        </w:r>
        <w:r w:rsidR="00B736F5">
          <w:rPr>
            <w:noProof/>
            <w:webHidden/>
          </w:rPr>
          <w:instrText xml:space="preserve"> PAGEREF _Toc160100905 \h </w:instrText>
        </w:r>
        <w:r w:rsidR="00B736F5">
          <w:rPr>
            <w:noProof/>
            <w:webHidden/>
          </w:rPr>
        </w:r>
        <w:r w:rsidR="00B736F5">
          <w:rPr>
            <w:noProof/>
            <w:webHidden/>
          </w:rPr>
          <w:fldChar w:fldCharType="separate"/>
        </w:r>
        <w:r w:rsidR="00B736F5">
          <w:rPr>
            <w:noProof/>
            <w:webHidden/>
          </w:rPr>
          <w:t>3</w:t>
        </w:r>
        <w:r w:rsidR="00B736F5">
          <w:rPr>
            <w:noProof/>
            <w:webHidden/>
          </w:rPr>
          <w:fldChar w:fldCharType="end"/>
        </w:r>
      </w:hyperlink>
    </w:p>
    <w:p w14:paraId="571D7129" w14:textId="65B9ECCE" w:rsidR="00B736F5" w:rsidRDefault="00554B42">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0906" w:history="1">
        <w:r w:rsidR="00B736F5" w:rsidRPr="002D4E19">
          <w:rPr>
            <w:rStyle w:val="Hyperlink"/>
            <w:noProof/>
          </w:rPr>
          <w:t>Purpose</w:t>
        </w:r>
        <w:r w:rsidR="00B736F5">
          <w:rPr>
            <w:noProof/>
            <w:webHidden/>
          </w:rPr>
          <w:tab/>
        </w:r>
        <w:r w:rsidR="00B736F5">
          <w:rPr>
            <w:noProof/>
            <w:webHidden/>
          </w:rPr>
          <w:fldChar w:fldCharType="begin"/>
        </w:r>
        <w:r w:rsidR="00B736F5">
          <w:rPr>
            <w:noProof/>
            <w:webHidden/>
          </w:rPr>
          <w:instrText xml:space="preserve"> PAGEREF _Toc160100906 \h </w:instrText>
        </w:r>
        <w:r w:rsidR="00B736F5">
          <w:rPr>
            <w:noProof/>
            <w:webHidden/>
          </w:rPr>
        </w:r>
        <w:r w:rsidR="00B736F5">
          <w:rPr>
            <w:noProof/>
            <w:webHidden/>
          </w:rPr>
          <w:fldChar w:fldCharType="separate"/>
        </w:r>
        <w:r w:rsidR="00B736F5">
          <w:rPr>
            <w:noProof/>
            <w:webHidden/>
          </w:rPr>
          <w:t>3</w:t>
        </w:r>
        <w:r w:rsidR="00B736F5">
          <w:rPr>
            <w:noProof/>
            <w:webHidden/>
          </w:rPr>
          <w:fldChar w:fldCharType="end"/>
        </w:r>
      </w:hyperlink>
    </w:p>
    <w:p w14:paraId="1F8B1D1F" w14:textId="12A286EE" w:rsidR="00B736F5" w:rsidRDefault="00554B42">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0907" w:history="1">
        <w:r w:rsidR="00B736F5" w:rsidRPr="002D4E19">
          <w:rPr>
            <w:rStyle w:val="Hyperlink"/>
            <w:noProof/>
          </w:rPr>
          <w:t>Principles</w:t>
        </w:r>
        <w:r w:rsidR="00B736F5">
          <w:rPr>
            <w:noProof/>
            <w:webHidden/>
          </w:rPr>
          <w:tab/>
        </w:r>
        <w:r w:rsidR="00B736F5">
          <w:rPr>
            <w:noProof/>
            <w:webHidden/>
          </w:rPr>
          <w:fldChar w:fldCharType="begin"/>
        </w:r>
        <w:r w:rsidR="00B736F5">
          <w:rPr>
            <w:noProof/>
            <w:webHidden/>
          </w:rPr>
          <w:instrText xml:space="preserve"> PAGEREF _Toc160100907 \h </w:instrText>
        </w:r>
        <w:r w:rsidR="00B736F5">
          <w:rPr>
            <w:noProof/>
            <w:webHidden/>
          </w:rPr>
        </w:r>
        <w:r w:rsidR="00B736F5">
          <w:rPr>
            <w:noProof/>
            <w:webHidden/>
          </w:rPr>
          <w:fldChar w:fldCharType="separate"/>
        </w:r>
        <w:r w:rsidR="00B736F5">
          <w:rPr>
            <w:noProof/>
            <w:webHidden/>
          </w:rPr>
          <w:t>4</w:t>
        </w:r>
        <w:r w:rsidR="00B736F5">
          <w:rPr>
            <w:noProof/>
            <w:webHidden/>
          </w:rPr>
          <w:fldChar w:fldCharType="end"/>
        </w:r>
      </w:hyperlink>
    </w:p>
    <w:p w14:paraId="36E8DEF7" w14:textId="36B7395E" w:rsidR="00B736F5" w:rsidRDefault="00554B42">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0908" w:history="1">
        <w:r w:rsidR="00B736F5" w:rsidRPr="002D4E19">
          <w:rPr>
            <w:rStyle w:val="Hyperlink"/>
            <w:noProof/>
          </w:rPr>
          <w:t>Implementation</w:t>
        </w:r>
        <w:r w:rsidR="00B736F5">
          <w:rPr>
            <w:noProof/>
            <w:webHidden/>
          </w:rPr>
          <w:tab/>
        </w:r>
        <w:r w:rsidR="00B736F5">
          <w:rPr>
            <w:noProof/>
            <w:webHidden/>
          </w:rPr>
          <w:fldChar w:fldCharType="begin"/>
        </w:r>
        <w:r w:rsidR="00B736F5">
          <w:rPr>
            <w:noProof/>
            <w:webHidden/>
          </w:rPr>
          <w:instrText xml:space="preserve"> PAGEREF _Toc160100908 \h </w:instrText>
        </w:r>
        <w:r w:rsidR="00B736F5">
          <w:rPr>
            <w:noProof/>
            <w:webHidden/>
          </w:rPr>
        </w:r>
        <w:r w:rsidR="00B736F5">
          <w:rPr>
            <w:noProof/>
            <w:webHidden/>
          </w:rPr>
          <w:fldChar w:fldCharType="separate"/>
        </w:r>
        <w:r w:rsidR="00B736F5">
          <w:rPr>
            <w:noProof/>
            <w:webHidden/>
          </w:rPr>
          <w:t>4</w:t>
        </w:r>
        <w:r w:rsidR="00B736F5">
          <w:rPr>
            <w:noProof/>
            <w:webHidden/>
          </w:rPr>
          <w:fldChar w:fldCharType="end"/>
        </w:r>
      </w:hyperlink>
    </w:p>
    <w:p w14:paraId="1EBE861F" w14:textId="5EB82FB2" w:rsidR="00B736F5" w:rsidRDefault="00554B42">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0909" w:history="1">
        <w:r w:rsidR="00B736F5" w:rsidRPr="002D4E19">
          <w:rPr>
            <w:rStyle w:val="Hyperlink"/>
            <w:noProof/>
          </w:rPr>
          <w:t>Contact details</w:t>
        </w:r>
        <w:r w:rsidR="00B736F5">
          <w:rPr>
            <w:noProof/>
            <w:webHidden/>
          </w:rPr>
          <w:tab/>
        </w:r>
        <w:r w:rsidR="00B736F5">
          <w:rPr>
            <w:noProof/>
            <w:webHidden/>
          </w:rPr>
          <w:fldChar w:fldCharType="begin"/>
        </w:r>
        <w:r w:rsidR="00B736F5">
          <w:rPr>
            <w:noProof/>
            <w:webHidden/>
          </w:rPr>
          <w:instrText xml:space="preserve"> PAGEREF _Toc160100909 \h </w:instrText>
        </w:r>
        <w:r w:rsidR="00B736F5">
          <w:rPr>
            <w:noProof/>
            <w:webHidden/>
          </w:rPr>
        </w:r>
        <w:r w:rsidR="00B736F5">
          <w:rPr>
            <w:noProof/>
            <w:webHidden/>
          </w:rPr>
          <w:fldChar w:fldCharType="separate"/>
        </w:r>
        <w:r w:rsidR="00B736F5">
          <w:rPr>
            <w:noProof/>
            <w:webHidden/>
          </w:rPr>
          <w:t>7</w:t>
        </w:r>
        <w:r w:rsidR="00B736F5">
          <w:rPr>
            <w:noProof/>
            <w:webHidden/>
          </w:rPr>
          <w:fldChar w:fldCharType="end"/>
        </w:r>
      </w:hyperlink>
    </w:p>
    <w:p w14:paraId="0E2C0551" w14:textId="7705170F" w:rsidR="00B736F5" w:rsidRDefault="00554B42">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0910" w:history="1">
        <w:r w:rsidR="00B736F5" w:rsidRPr="002D4E19">
          <w:rPr>
            <w:rStyle w:val="Hyperlink"/>
            <w:noProof/>
            <w:lang w:eastAsia="en-AU"/>
          </w:rPr>
          <w:t>Document control</w:t>
        </w:r>
        <w:r w:rsidR="00B736F5">
          <w:rPr>
            <w:noProof/>
            <w:webHidden/>
          </w:rPr>
          <w:tab/>
        </w:r>
        <w:r w:rsidR="00B736F5">
          <w:rPr>
            <w:noProof/>
            <w:webHidden/>
          </w:rPr>
          <w:fldChar w:fldCharType="begin"/>
        </w:r>
        <w:r w:rsidR="00B736F5">
          <w:rPr>
            <w:noProof/>
            <w:webHidden/>
          </w:rPr>
          <w:instrText xml:space="preserve"> PAGEREF _Toc160100910 \h </w:instrText>
        </w:r>
        <w:r w:rsidR="00B736F5">
          <w:rPr>
            <w:noProof/>
            <w:webHidden/>
          </w:rPr>
        </w:r>
        <w:r w:rsidR="00B736F5">
          <w:rPr>
            <w:noProof/>
            <w:webHidden/>
          </w:rPr>
          <w:fldChar w:fldCharType="separate"/>
        </w:r>
        <w:r w:rsidR="00B736F5">
          <w:rPr>
            <w:noProof/>
            <w:webHidden/>
          </w:rPr>
          <w:t>7</w:t>
        </w:r>
        <w:r w:rsidR="00B736F5">
          <w:rPr>
            <w:noProof/>
            <w:webHidden/>
          </w:rPr>
          <w:fldChar w:fldCharType="end"/>
        </w:r>
      </w:hyperlink>
    </w:p>
    <w:p w14:paraId="06539065" w14:textId="49D4B4CA" w:rsidR="00894D30" w:rsidRDefault="00B34F88" w:rsidP="00894D30">
      <w:pPr>
        <w:sectPr w:rsidR="00894D30" w:rsidSect="000863ED">
          <w:footerReference w:type="default" r:id="rId11"/>
          <w:headerReference w:type="first" r:id="rId12"/>
          <w:footerReference w:type="first" r:id="rId13"/>
          <w:type w:val="continuous"/>
          <w:pgSz w:w="11910" w:h="16840"/>
          <w:pgMar w:top="993" w:right="1278" w:bottom="1134" w:left="1276" w:header="0" w:footer="647" w:gutter="0"/>
          <w:cols w:space="720"/>
          <w:titlePg/>
          <w:docGrid w:linePitch="299"/>
        </w:sectPr>
      </w:pPr>
      <w:r>
        <w:rPr>
          <w:sz w:val="23"/>
        </w:rPr>
        <w:fldChar w:fldCharType="end"/>
      </w:r>
      <w:bookmarkStart w:id="4" w:name="_Toc61537787"/>
    </w:p>
    <w:p w14:paraId="71E2B157" w14:textId="7EE1237C" w:rsidR="00F37E5F" w:rsidRPr="00583318" w:rsidRDefault="00F37E5F" w:rsidP="00F37E5F">
      <w:pPr>
        <w:pStyle w:val="Heading1"/>
      </w:pPr>
      <w:bookmarkStart w:id="5" w:name="_Toc160100905"/>
      <w:bookmarkEnd w:id="4"/>
      <w:r>
        <w:lastRenderedPageBreak/>
        <w:t>Context</w:t>
      </w:r>
      <w:bookmarkEnd w:id="5"/>
      <w:r w:rsidRPr="00583318">
        <w:tab/>
      </w:r>
    </w:p>
    <w:p w14:paraId="08FAA024" w14:textId="77777777" w:rsidR="00A761AA" w:rsidRPr="007C037C" w:rsidRDefault="00A761AA" w:rsidP="00A761AA">
      <w:pPr>
        <w:rPr>
          <w:szCs w:val="24"/>
        </w:rPr>
      </w:pPr>
      <w:r>
        <w:rPr>
          <w:szCs w:val="24"/>
        </w:rPr>
        <w:t xml:space="preserve">In line with the principles outlined in </w:t>
      </w:r>
      <w:r w:rsidRPr="00EE40F5">
        <w:rPr>
          <w:szCs w:val="24"/>
        </w:rPr>
        <w:t xml:space="preserve">the </w:t>
      </w:r>
      <w:hyperlink r:id="rId14" w:history="1">
        <w:r w:rsidRPr="00754C5D">
          <w:rPr>
            <w:rStyle w:val="Hyperlink"/>
            <w:i/>
            <w:iCs/>
            <w:szCs w:val="24"/>
          </w:rPr>
          <w:t>ARC</w:t>
        </w:r>
        <w:r w:rsidRPr="00754C5D">
          <w:rPr>
            <w:rStyle w:val="Hyperlink"/>
            <w:i/>
            <w:szCs w:val="24"/>
          </w:rPr>
          <w:t xml:space="preserve"> Research Workforce Statement</w:t>
        </w:r>
      </w:hyperlink>
      <w:r>
        <w:rPr>
          <w:szCs w:val="24"/>
        </w:rPr>
        <w:t>, t</w:t>
      </w:r>
      <w:r w:rsidRPr="007C037C">
        <w:rPr>
          <w:szCs w:val="24"/>
        </w:rPr>
        <w:t xml:space="preserve">he ARC supports researchers from diverse backgrounds, cultures and ethnicities and </w:t>
      </w:r>
      <w:r>
        <w:rPr>
          <w:szCs w:val="24"/>
        </w:rPr>
        <w:t>is committed to ensuring</w:t>
      </w:r>
      <w:r w:rsidRPr="007C037C">
        <w:rPr>
          <w:szCs w:val="24"/>
        </w:rPr>
        <w:t xml:space="preserve"> that all eligible researchers have </w:t>
      </w:r>
      <w:r>
        <w:rPr>
          <w:szCs w:val="24"/>
        </w:rPr>
        <w:t xml:space="preserve">fair and equitable access to </w:t>
      </w:r>
      <w:r w:rsidRPr="007C037C">
        <w:rPr>
          <w:szCs w:val="24"/>
        </w:rPr>
        <w:t xml:space="preserve">the </w:t>
      </w:r>
      <w:r>
        <w:rPr>
          <w:szCs w:val="24"/>
        </w:rPr>
        <w:t xml:space="preserve">funding available through the </w:t>
      </w:r>
      <w:hyperlink r:id="rId15" w:history="1">
        <w:r w:rsidRPr="0069283A">
          <w:rPr>
            <w:rStyle w:val="Hyperlink"/>
            <w:szCs w:val="24"/>
          </w:rPr>
          <w:t>National Competitive Grants Program</w:t>
        </w:r>
      </w:hyperlink>
      <w:r>
        <w:rPr>
          <w:szCs w:val="24"/>
        </w:rPr>
        <w:t xml:space="preserve"> (NCGP). </w:t>
      </w:r>
      <w:r w:rsidRPr="007C037C">
        <w:rPr>
          <w:szCs w:val="24"/>
        </w:rPr>
        <w:t>The ARC recognises the importance of</w:t>
      </w:r>
      <w:r>
        <w:rPr>
          <w:szCs w:val="24"/>
        </w:rPr>
        <w:t>, and actively supports,</w:t>
      </w:r>
      <w:r w:rsidRPr="007C037C">
        <w:rPr>
          <w:szCs w:val="24"/>
        </w:rPr>
        <w:t xml:space="preserve"> participation by Aboriginal and Torres Strait Islander researchers in the research workforce and the further development of a cohort of honours and higher degree by research students.</w:t>
      </w:r>
    </w:p>
    <w:p w14:paraId="11DE4AB1" w14:textId="77777777" w:rsidR="00A761AA" w:rsidRDefault="00A761AA" w:rsidP="00A761AA">
      <w:pPr>
        <w:rPr>
          <w:szCs w:val="24"/>
        </w:rPr>
      </w:pPr>
    </w:p>
    <w:p w14:paraId="17E411F7" w14:textId="77777777" w:rsidR="00A761AA" w:rsidRDefault="00A761AA" w:rsidP="00A761AA">
      <w:pPr>
        <w:rPr>
          <w:szCs w:val="24"/>
        </w:rPr>
      </w:pPr>
      <w:r w:rsidRPr="00F00881">
        <w:rPr>
          <w:szCs w:val="24"/>
        </w:rPr>
        <w:t xml:space="preserve">The ARC supports Aboriginal and Torres Strait Islander researchers, research students and research </w:t>
      </w:r>
      <w:r>
        <w:rPr>
          <w:szCs w:val="24"/>
        </w:rPr>
        <w:t>under all NCGP schemes, including the</w:t>
      </w:r>
      <w:r w:rsidRPr="00F00881">
        <w:rPr>
          <w:szCs w:val="24"/>
        </w:rPr>
        <w:t xml:space="preserve"> </w:t>
      </w:r>
      <w:r w:rsidRPr="00F00881">
        <w:rPr>
          <w:i/>
          <w:szCs w:val="24"/>
        </w:rPr>
        <w:t>Discovery Indigenous</w:t>
      </w:r>
      <w:r w:rsidRPr="00F00881">
        <w:rPr>
          <w:szCs w:val="24"/>
        </w:rPr>
        <w:t xml:space="preserve"> scheme, which </w:t>
      </w:r>
      <w:r>
        <w:rPr>
          <w:szCs w:val="24"/>
        </w:rPr>
        <w:t xml:space="preserve">exclusively </w:t>
      </w:r>
      <w:r w:rsidRPr="00F00881">
        <w:rPr>
          <w:szCs w:val="24"/>
        </w:rPr>
        <w:t>fund</w:t>
      </w:r>
      <w:r>
        <w:rPr>
          <w:szCs w:val="24"/>
        </w:rPr>
        <w:t xml:space="preserve">s </w:t>
      </w:r>
      <w:r w:rsidRPr="00F00881">
        <w:rPr>
          <w:szCs w:val="24"/>
        </w:rPr>
        <w:t>awards, projects and stipends for Aboriginal and Torres Strait Islander researchers and research students.</w:t>
      </w:r>
      <w:r w:rsidRPr="007C037C">
        <w:rPr>
          <w:szCs w:val="24"/>
        </w:rPr>
        <w:t xml:space="preserve"> </w:t>
      </w:r>
    </w:p>
    <w:p w14:paraId="2391E3E9" w14:textId="77777777" w:rsidR="00A761AA" w:rsidRDefault="00A761AA" w:rsidP="00A761AA">
      <w:pPr>
        <w:rPr>
          <w:szCs w:val="24"/>
        </w:rPr>
      </w:pPr>
    </w:p>
    <w:p w14:paraId="2EE11772" w14:textId="77777777" w:rsidR="00A761AA" w:rsidRDefault="00A761AA" w:rsidP="00A761AA">
      <w:pPr>
        <w:rPr>
          <w:szCs w:val="24"/>
        </w:rPr>
      </w:pPr>
      <w:r w:rsidRPr="007C037C">
        <w:rPr>
          <w:szCs w:val="24"/>
        </w:rPr>
        <w:t xml:space="preserve">Encouraging broad participation, including through targeted funding schemes is a priority for the ARC to ensure that outstanding </w:t>
      </w:r>
      <w:r>
        <w:rPr>
          <w:szCs w:val="24"/>
        </w:rPr>
        <w:t xml:space="preserve">research and </w:t>
      </w:r>
      <w:r w:rsidRPr="007C037C">
        <w:rPr>
          <w:szCs w:val="24"/>
        </w:rPr>
        <w:t xml:space="preserve">researchers contribute to </w:t>
      </w:r>
      <w:r>
        <w:rPr>
          <w:szCs w:val="24"/>
        </w:rPr>
        <w:t xml:space="preserve">achieving </w:t>
      </w:r>
      <w:r w:rsidRPr="007C037C">
        <w:rPr>
          <w:szCs w:val="24"/>
        </w:rPr>
        <w:t xml:space="preserve">Australia’s research and innovation goals. </w:t>
      </w:r>
      <w:r>
        <w:t xml:space="preserve">The award of NCGP funding is predicated on research excellence determined through a rigorous peer review process involving </w:t>
      </w:r>
      <w:r>
        <w:rPr>
          <w:szCs w:val="24"/>
        </w:rPr>
        <w:t>assessors</w:t>
      </w:r>
      <w:r w:rsidRPr="007C037C">
        <w:rPr>
          <w:szCs w:val="24"/>
        </w:rPr>
        <w:t xml:space="preserve"> with expertise in the nominated field of research.</w:t>
      </w:r>
    </w:p>
    <w:p w14:paraId="0C4D33EE" w14:textId="77777777" w:rsidR="00A761AA" w:rsidRDefault="00A761AA" w:rsidP="00A761AA">
      <w:pPr>
        <w:rPr>
          <w:szCs w:val="24"/>
        </w:rPr>
      </w:pPr>
    </w:p>
    <w:p w14:paraId="08CDD7D4" w14:textId="77777777" w:rsidR="00A761AA" w:rsidRDefault="00A761AA" w:rsidP="00A761AA">
      <w:pPr>
        <w:rPr>
          <w:szCs w:val="24"/>
        </w:rPr>
      </w:pPr>
      <w:r w:rsidRPr="00754C5D">
        <w:rPr>
          <w:szCs w:val="24"/>
        </w:rPr>
        <w:t>The ARC is committed to collaborating with Aboriginal and Torres Strait Islander researchers to increase the visibility of Indigenous research in national research evaluations. Excellence in Research for Australia (ERA) and the Engagement and Impact assessment (EI) evaluate and report on the quality of research that is conducted in Australia’s institutions, how well universities are engaging with the end-users of their research, and how universities are translating their research into economic, social, environmental, cultural and other impacts.</w:t>
      </w:r>
      <w:r>
        <w:rPr>
          <w:szCs w:val="24"/>
        </w:rPr>
        <w:t xml:space="preserve"> </w:t>
      </w:r>
    </w:p>
    <w:p w14:paraId="5BDD937D" w14:textId="77777777" w:rsidR="00A761AA" w:rsidRDefault="00A761AA" w:rsidP="00A761AA">
      <w:pPr>
        <w:rPr>
          <w:szCs w:val="24"/>
        </w:rPr>
      </w:pPr>
    </w:p>
    <w:p w14:paraId="5E701A72" w14:textId="77777777" w:rsidR="00A761AA" w:rsidRDefault="00A761AA" w:rsidP="00A761AA">
      <w:pPr>
        <w:rPr>
          <w:szCs w:val="24"/>
        </w:rPr>
      </w:pPr>
      <w:r w:rsidRPr="007C037C">
        <w:rPr>
          <w:szCs w:val="24"/>
        </w:rPr>
        <w:t xml:space="preserve">The ARC draws on the diversity and experience of the ARC Advisory Council, the ARC College of Experts, selection advisory committee members, </w:t>
      </w:r>
      <w:r>
        <w:rPr>
          <w:szCs w:val="24"/>
        </w:rPr>
        <w:t>research assessment committees</w:t>
      </w:r>
      <w:r w:rsidRPr="00F24CB9">
        <w:rPr>
          <w:szCs w:val="24"/>
        </w:rPr>
        <w:t xml:space="preserve"> and </w:t>
      </w:r>
      <w:r w:rsidRPr="007C037C">
        <w:rPr>
          <w:szCs w:val="24"/>
        </w:rPr>
        <w:t>research leaders and institutions including the Australian Institute of Aboriginal and Torres Strait Islander Studies (AIATSIS), for advice on mechanisms and strategies to support Aboriginal and Torres Strait Islander researchers</w:t>
      </w:r>
      <w:r>
        <w:rPr>
          <w:szCs w:val="24"/>
        </w:rPr>
        <w:t xml:space="preserve"> and research</w:t>
      </w:r>
      <w:r w:rsidRPr="007C037C">
        <w:rPr>
          <w:szCs w:val="24"/>
        </w:rPr>
        <w:t>.</w:t>
      </w:r>
    </w:p>
    <w:p w14:paraId="3EF5B5D7" w14:textId="77ADE430" w:rsidR="00567310" w:rsidRPr="00583318" w:rsidRDefault="00567310" w:rsidP="00567310">
      <w:pPr>
        <w:pStyle w:val="Heading1"/>
      </w:pPr>
      <w:bookmarkStart w:id="6" w:name="_Toc160100906"/>
      <w:r>
        <w:t>Purpose</w:t>
      </w:r>
      <w:bookmarkEnd w:id="6"/>
      <w:r w:rsidRPr="00583318">
        <w:tab/>
      </w:r>
    </w:p>
    <w:p w14:paraId="5B58E31A" w14:textId="77777777" w:rsidR="00DB2647" w:rsidRPr="00C921E9" w:rsidRDefault="00DB2647" w:rsidP="00DB2647">
      <w:r w:rsidRPr="00C921E9">
        <w:t>This policy statement articulates the ARC’s commitment to continuously supporting Aboriginal and Torres Strait Islander researchers, research students and research through our key activities. The ARC recognises the valuable contributions Aboriginal and Torres Strait Islander researchers make across the range of disciplines funded by the ARC, as well as the impact ARC funded research has on issues affecting Aboriginal and Torres Strait Islander peoples and communities.</w:t>
      </w:r>
    </w:p>
    <w:p w14:paraId="7C0D492A" w14:textId="77777777" w:rsidR="00DB2647" w:rsidRPr="00C921E9" w:rsidRDefault="00DB2647" w:rsidP="00C921E9">
      <w:pPr>
        <w:spacing w:after="0" w:line="240" w:lineRule="auto"/>
      </w:pPr>
    </w:p>
    <w:p w14:paraId="24BCBF9A" w14:textId="77777777" w:rsidR="00DB2647" w:rsidRPr="00C921E9" w:rsidRDefault="00DB2647" w:rsidP="00DB2647">
      <w:r w:rsidRPr="00C921E9">
        <w:t xml:space="preserve">Support for Aboriginal and Torres Strait Islander researchers, research students and research is a fundamental component of the ARC’s </w:t>
      </w:r>
      <w:hyperlink r:id="rId16" w:history="1">
        <w:r w:rsidRPr="00C921E9">
          <w:rPr>
            <w:rStyle w:val="Hyperlink"/>
            <w:i/>
          </w:rPr>
          <w:t>Reconciliation Action Plan</w:t>
        </w:r>
        <w:r w:rsidRPr="00C921E9">
          <w:rPr>
            <w:rStyle w:val="Hyperlink"/>
            <w:i/>
            <w:iCs/>
          </w:rPr>
          <w:t xml:space="preserve"> 2019–2021</w:t>
        </w:r>
      </w:hyperlink>
      <w:r w:rsidRPr="00C921E9">
        <w:t xml:space="preserve">, which demonstrates the ARC’s commitment to reconciliation, including our Vision: </w:t>
      </w:r>
    </w:p>
    <w:p w14:paraId="52914D15" w14:textId="77777777" w:rsidR="005C160F" w:rsidRPr="00C921E9" w:rsidRDefault="005C160F" w:rsidP="005C160F">
      <w:pPr>
        <w:pStyle w:val="BodyText"/>
        <w:tabs>
          <w:tab w:val="left" w:pos="567"/>
          <w:tab w:val="left" w:pos="1134"/>
        </w:tabs>
        <w:ind w:left="360"/>
        <w:jc w:val="center"/>
        <w:rPr>
          <w:i/>
          <w:iCs/>
          <w:sz w:val="22"/>
          <w:szCs w:val="22"/>
        </w:rPr>
      </w:pPr>
      <w:r w:rsidRPr="00C921E9">
        <w:rPr>
          <w:i/>
          <w:iCs/>
          <w:sz w:val="22"/>
          <w:szCs w:val="22"/>
        </w:rPr>
        <w:t xml:space="preserve">Research for a creative, innovative and productive Australia—featuring research by Aboriginal and Torres Strait Islander researchers and students and for the benefit of Aboriginal and Torres Strait </w:t>
      </w:r>
      <w:r w:rsidRPr="00C921E9">
        <w:rPr>
          <w:i/>
          <w:iCs/>
          <w:sz w:val="22"/>
          <w:szCs w:val="22"/>
        </w:rPr>
        <w:lastRenderedPageBreak/>
        <w:t>Islander communities and peoples.</w:t>
      </w:r>
    </w:p>
    <w:p w14:paraId="3EFEDDD7" w14:textId="77777777" w:rsidR="005C160F" w:rsidRDefault="005C160F" w:rsidP="00DB2647">
      <w:pPr>
        <w:rPr>
          <w:szCs w:val="24"/>
        </w:rPr>
      </w:pPr>
    </w:p>
    <w:p w14:paraId="3B19D2D4" w14:textId="0A75E454" w:rsidR="000B12FD" w:rsidRPr="00583318" w:rsidRDefault="00B71769" w:rsidP="00583318">
      <w:pPr>
        <w:pStyle w:val="Heading1"/>
      </w:pPr>
      <w:bookmarkStart w:id="7" w:name="Aim"/>
      <w:bookmarkStart w:id="8" w:name="_bookmark2"/>
      <w:bookmarkStart w:id="9" w:name="Key_Principles"/>
      <w:bookmarkStart w:id="10" w:name="_bookmark3"/>
      <w:bookmarkStart w:id="11" w:name="_Toc160100907"/>
      <w:bookmarkEnd w:id="7"/>
      <w:bookmarkEnd w:id="8"/>
      <w:bookmarkEnd w:id="9"/>
      <w:bookmarkEnd w:id="10"/>
      <w:r>
        <w:t>Principles</w:t>
      </w:r>
      <w:bookmarkEnd w:id="11"/>
      <w:r w:rsidR="005E32E8" w:rsidRPr="00583318">
        <w:tab/>
      </w:r>
    </w:p>
    <w:p w14:paraId="63B83449" w14:textId="77777777" w:rsidR="005750A5" w:rsidRPr="00C921E9" w:rsidRDefault="005750A5" w:rsidP="005750A5">
      <w:pPr>
        <w:pStyle w:val="BodyText"/>
        <w:tabs>
          <w:tab w:val="left" w:pos="567"/>
          <w:tab w:val="left" w:pos="1134"/>
        </w:tabs>
        <w:rPr>
          <w:sz w:val="22"/>
          <w:szCs w:val="22"/>
        </w:rPr>
      </w:pPr>
      <w:r w:rsidRPr="00C921E9">
        <w:rPr>
          <w:sz w:val="22"/>
          <w:szCs w:val="22"/>
        </w:rPr>
        <w:t xml:space="preserve">To support Aboriginal and Torres Strait Islander researchers, research students and research the ARC undertakes a range of actions to: </w:t>
      </w:r>
    </w:p>
    <w:p w14:paraId="2CBAC8BC" w14:textId="77777777" w:rsidR="005750A5" w:rsidRPr="00C921E9" w:rsidRDefault="005750A5" w:rsidP="005750A5">
      <w:pPr>
        <w:pStyle w:val="BodyText"/>
        <w:widowControl/>
        <w:numPr>
          <w:ilvl w:val="0"/>
          <w:numId w:val="19"/>
        </w:numPr>
        <w:tabs>
          <w:tab w:val="left" w:pos="567"/>
          <w:tab w:val="left" w:pos="1134"/>
        </w:tabs>
        <w:autoSpaceDE/>
        <w:autoSpaceDN/>
        <w:spacing w:after="60" w:line="240" w:lineRule="auto"/>
        <w:rPr>
          <w:sz w:val="22"/>
          <w:szCs w:val="22"/>
        </w:rPr>
      </w:pPr>
      <w:r w:rsidRPr="00C921E9">
        <w:rPr>
          <w:sz w:val="22"/>
          <w:szCs w:val="22"/>
        </w:rPr>
        <w:t>build a strong and engaged Aboriginal and Torres Strait Islander research workforce</w:t>
      </w:r>
    </w:p>
    <w:p w14:paraId="14B3A393" w14:textId="77777777" w:rsidR="005750A5" w:rsidRPr="00C921E9" w:rsidRDefault="005750A5" w:rsidP="005750A5">
      <w:pPr>
        <w:pStyle w:val="BodyText"/>
        <w:widowControl/>
        <w:numPr>
          <w:ilvl w:val="0"/>
          <w:numId w:val="19"/>
        </w:numPr>
        <w:tabs>
          <w:tab w:val="left" w:pos="567"/>
          <w:tab w:val="left" w:pos="1134"/>
        </w:tabs>
        <w:autoSpaceDE/>
        <w:autoSpaceDN/>
        <w:spacing w:after="60" w:line="240" w:lineRule="auto"/>
        <w:rPr>
          <w:sz w:val="22"/>
          <w:szCs w:val="22"/>
        </w:rPr>
      </w:pPr>
      <w:r w:rsidRPr="00C921E9">
        <w:rPr>
          <w:sz w:val="22"/>
          <w:szCs w:val="22"/>
        </w:rPr>
        <w:t>capture the quality, engagement and impacts of Aboriginal and Torres Strait Islander research and examine national benefits</w:t>
      </w:r>
    </w:p>
    <w:p w14:paraId="4A96F89F" w14:textId="77777777" w:rsidR="005750A5" w:rsidRPr="00C921E9" w:rsidRDefault="005750A5" w:rsidP="005750A5">
      <w:pPr>
        <w:pStyle w:val="BodyText"/>
        <w:widowControl/>
        <w:numPr>
          <w:ilvl w:val="0"/>
          <w:numId w:val="19"/>
        </w:numPr>
        <w:tabs>
          <w:tab w:val="left" w:pos="567"/>
          <w:tab w:val="left" w:pos="1134"/>
        </w:tabs>
        <w:autoSpaceDE/>
        <w:autoSpaceDN/>
        <w:spacing w:after="60" w:line="240" w:lineRule="auto"/>
        <w:rPr>
          <w:sz w:val="22"/>
          <w:szCs w:val="22"/>
        </w:rPr>
      </w:pPr>
      <w:r w:rsidRPr="00C921E9">
        <w:rPr>
          <w:sz w:val="22"/>
          <w:szCs w:val="22"/>
        </w:rPr>
        <w:t>enable national and international collaboration across disciplines, between Aboriginal and Torres Strait Islander and non-Indigenous researchers to address complex issues and priorities</w:t>
      </w:r>
    </w:p>
    <w:p w14:paraId="1CCCCAC6" w14:textId="77777777" w:rsidR="005750A5" w:rsidRPr="00C921E9" w:rsidRDefault="005750A5" w:rsidP="005750A5">
      <w:pPr>
        <w:pStyle w:val="BodyText"/>
        <w:widowControl/>
        <w:numPr>
          <w:ilvl w:val="0"/>
          <w:numId w:val="19"/>
        </w:numPr>
        <w:tabs>
          <w:tab w:val="left" w:pos="567"/>
          <w:tab w:val="left" w:pos="1134"/>
        </w:tabs>
        <w:autoSpaceDE/>
        <w:autoSpaceDN/>
        <w:spacing w:after="60" w:line="240" w:lineRule="auto"/>
        <w:rPr>
          <w:sz w:val="22"/>
          <w:szCs w:val="22"/>
        </w:rPr>
      </w:pPr>
      <w:r w:rsidRPr="00C921E9">
        <w:rPr>
          <w:sz w:val="22"/>
          <w:szCs w:val="22"/>
        </w:rPr>
        <w:t>feature Aboriginal and Torres Strait Islander researchers and research outcomes in ARC communications</w:t>
      </w:r>
    </w:p>
    <w:p w14:paraId="778BCDB1" w14:textId="77777777" w:rsidR="005750A5" w:rsidRPr="00C921E9" w:rsidRDefault="005750A5" w:rsidP="005750A5">
      <w:pPr>
        <w:pStyle w:val="BodyText"/>
        <w:widowControl/>
        <w:numPr>
          <w:ilvl w:val="0"/>
          <w:numId w:val="19"/>
        </w:numPr>
        <w:tabs>
          <w:tab w:val="left" w:pos="567"/>
          <w:tab w:val="left" w:pos="1134"/>
        </w:tabs>
        <w:autoSpaceDE/>
        <w:autoSpaceDN/>
        <w:spacing w:after="60" w:line="240" w:lineRule="auto"/>
        <w:rPr>
          <w:sz w:val="22"/>
          <w:szCs w:val="22"/>
        </w:rPr>
      </w:pPr>
      <w:r w:rsidRPr="00C921E9">
        <w:rPr>
          <w:sz w:val="22"/>
          <w:szCs w:val="22"/>
        </w:rPr>
        <w:t>ensure engagement by Aboriginal and Torres Strait Islander researchers in peer review and evaluation processes</w:t>
      </w:r>
    </w:p>
    <w:p w14:paraId="495EEF3E" w14:textId="77777777" w:rsidR="005750A5" w:rsidRPr="00C921E9" w:rsidRDefault="005750A5" w:rsidP="005750A5">
      <w:pPr>
        <w:pStyle w:val="BodyText"/>
        <w:widowControl/>
        <w:numPr>
          <w:ilvl w:val="0"/>
          <w:numId w:val="19"/>
        </w:numPr>
        <w:tabs>
          <w:tab w:val="left" w:pos="567"/>
          <w:tab w:val="left" w:pos="1134"/>
        </w:tabs>
        <w:autoSpaceDE/>
        <w:autoSpaceDN/>
        <w:spacing w:after="60" w:line="240" w:lineRule="auto"/>
        <w:rPr>
          <w:sz w:val="22"/>
          <w:szCs w:val="22"/>
        </w:rPr>
      </w:pPr>
      <w:r w:rsidRPr="00C921E9">
        <w:rPr>
          <w:sz w:val="22"/>
          <w:szCs w:val="22"/>
        </w:rPr>
        <w:t xml:space="preserve">promote funding options for Aboriginal and Torres Strait Islander researchers under the NCGP, including the </w:t>
      </w:r>
      <w:r w:rsidRPr="00C921E9">
        <w:rPr>
          <w:i/>
          <w:sz w:val="22"/>
          <w:szCs w:val="22"/>
        </w:rPr>
        <w:t>Discovery Indigenous</w:t>
      </w:r>
      <w:r w:rsidRPr="00C921E9">
        <w:rPr>
          <w:sz w:val="22"/>
          <w:szCs w:val="22"/>
        </w:rPr>
        <w:t xml:space="preserve"> scheme, with the aim of achieving population parity participation rates</w:t>
      </w:r>
    </w:p>
    <w:p w14:paraId="5A0D05BF" w14:textId="77777777" w:rsidR="005750A5" w:rsidRPr="00C921E9" w:rsidRDefault="005750A5" w:rsidP="005750A5">
      <w:pPr>
        <w:pStyle w:val="BodyText"/>
        <w:widowControl/>
        <w:numPr>
          <w:ilvl w:val="0"/>
          <w:numId w:val="19"/>
        </w:numPr>
        <w:tabs>
          <w:tab w:val="left" w:pos="567"/>
          <w:tab w:val="left" w:pos="1134"/>
        </w:tabs>
        <w:autoSpaceDE/>
        <w:autoSpaceDN/>
        <w:spacing w:after="60" w:line="240" w:lineRule="auto"/>
        <w:rPr>
          <w:sz w:val="22"/>
          <w:szCs w:val="22"/>
        </w:rPr>
      </w:pPr>
      <w:r w:rsidRPr="00C921E9">
        <w:rPr>
          <w:sz w:val="22"/>
          <w:szCs w:val="22"/>
        </w:rPr>
        <w:t>monitor the efficacy of funding and assessment mechanisms to support Aboriginal and Torres Strait Islander researchers at all career stages</w:t>
      </w:r>
    </w:p>
    <w:p w14:paraId="40A263A0" w14:textId="77777777" w:rsidR="005750A5" w:rsidRPr="00C921E9" w:rsidRDefault="005750A5" w:rsidP="005750A5">
      <w:pPr>
        <w:pStyle w:val="BodyText"/>
        <w:widowControl/>
        <w:numPr>
          <w:ilvl w:val="0"/>
          <w:numId w:val="19"/>
        </w:numPr>
        <w:tabs>
          <w:tab w:val="left" w:pos="567"/>
          <w:tab w:val="left" w:pos="1134"/>
        </w:tabs>
        <w:autoSpaceDE/>
        <w:autoSpaceDN/>
        <w:spacing w:after="60" w:line="240" w:lineRule="auto"/>
        <w:rPr>
          <w:sz w:val="22"/>
          <w:szCs w:val="22"/>
        </w:rPr>
      </w:pPr>
      <w:r w:rsidRPr="00C921E9">
        <w:rPr>
          <w:sz w:val="22"/>
          <w:szCs w:val="22"/>
        </w:rPr>
        <w:t xml:space="preserve">participate in policy development and discussions about Aboriginal and Torres Strait Islander engagement and priorities </w:t>
      </w:r>
    </w:p>
    <w:p w14:paraId="30D4D8E7" w14:textId="77777777" w:rsidR="005750A5" w:rsidRPr="00C921E9" w:rsidRDefault="005750A5" w:rsidP="005750A5">
      <w:pPr>
        <w:pStyle w:val="BodyText"/>
        <w:widowControl/>
        <w:numPr>
          <w:ilvl w:val="0"/>
          <w:numId w:val="19"/>
        </w:numPr>
        <w:tabs>
          <w:tab w:val="left" w:pos="567"/>
          <w:tab w:val="left" w:pos="1134"/>
        </w:tabs>
        <w:autoSpaceDE/>
        <w:autoSpaceDN/>
        <w:spacing w:after="60" w:line="240" w:lineRule="auto"/>
        <w:rPr>
          <w:sz w:val="22"/>
          <w:szCs w:val="22"/>
        </w:rPr>
      </w:pPr>
      <w:r w:rsidRPr="00C921E9">
        <w:rPr>
          <w:sz w:val="22"/>
          <w:szCs w:val="22"/>
        </w:rPr>
        <w:t>analyse and report NCGP funding outcomes for Aboriginal and Torres Strait Islander researchers and research.</w:t>
      </w:r>
    </w:p>
    <w:p w14:paraId="04586321" w14:textId="7BABEC12" w:rsidR="00581CEA" w:rsidRDefault="00581CEA">
      <w:pPr>
        <w:spacing w:before="0" w:after="0" w:line="240" w:lineRule="auto"/>
      </w:pPr>
    </w:p>
    <w:p w14:paraId="30E1FACF" w14:textId="685FA533" w:rsidR="00581CEA" w:rsidRDefault="00B71769" w:rsidP="00B71769">
      <w:pPr>
        <w:pStyle w:val="Heading1"/>
      </w:pPr>
      <w:bookmarkStart w:id="12" w:name="_Toc160100908"/>
      <w:r>
        <w:t>Implementation</w:t>
      </w:r>
      <w:bookmarkEnd w:id="12"/>
    </w:p>
    <w:p w14:paraId="2CC2D160" w14:textId="77777777" w:rsidR="00D2408C" w:rsidRPr="00D2408C" w:rsidRDefault="00D2408C" w:rsidP="00D2408C">
      <w:bookmarkStart w:id="13" w:name="_Toc81921768"/>
      <w:bookmarkStart w:id="14" w:name="_Toc81985457"/>
      <w:r w:rsidRPr="00D2408C">
        <w:t>The ARC has implemented a range of initiatives to support Aboriginal and Torres Strait Islander researchers, research students and research.</w:t>
      </w:r>
    </w:p>
    <w:p w14:paraId="48E70CB7" w14:textId="77777777" w:rsidR="00D2408C" w:rsidRPr="00D2408C" w:rsidRDefault="00D2408C" w:rsidP="00D2408C"/>
    <w:p w14:paraId="62DFB533" w14:textId="77777777" w:rsidR="00D2408C" w:rsidRPr="00D2408C" w:rsidRDefault="00D2408C" w:rsidP="00D2408C">
      <w:pPr>
        <w:rPr>
          <w:b/>
        </w:rPr>
      </w:pPr>
      <w:r w:rsidRPr="00D2408C">
        <w:rPr>
          <w:b/>
        </w:rPr>
        <w:t>National Competitive Grants Program (NCGP)</w:t>
      </w:r>
    </w:p>
    <w:p w14:paraId="3B3754DF" w14:textId="77777777" w:rsidR="00D2408C" w:rsidRPr="00D2408C" w:rsidRDefault="00D2408C" w:rsidP="00D2408C">
      <w:pPr>
        <w:rPr>
          <w:b/>
        </w:rPr>
      </w:pPr>
    </w:p>
    <w:p w14:paraId="54BFC5B4" w14:textId="77777777" w:rsidR="00D2408C" w:rsidRPr="00D2408C" w:rsidRDefault="00D2408C" w:rsidP="00D2408C">
      <w:pPr>
        <w:numPr>
          <w:ilvl w:val="0"/>
          <w:numId w:val="24"/>
        </w:numPr>
      </w:pPr>
      <w:r w:rsidRPr="00D2408C">
        <w:t>Aboriginal and Torres Strait Islander researchers and research can be funded under all NCGP schemes.</w:t>
      </w:r>
    </w:p>
    <w:p w14:paraId="5C106A4C" w14:textId="77777777" w:rsidR="00D2408C" w:rsidRPr="00D2408C" w:rsidRDefault="00D2408C" w:rsidP="00D2408C"/>
    <w:p w14:paraId="7CCAD2A0" w14:textId="77777777" w:rsidR="00D2408C" w:rsidRPr="00D2408C" w:rsidRDefault="00D2408C" w:rsidP="00D2408C">
      <w:pPr>
        <w:rPr>
          <w:b/>
          <w:i/>
        </w:rPr>
      </w:pPr>
      <w:r w:rsidRPr="00D2408C">
        <w:rPr>
          <w:b/>
          <w:i/>
        </w:rPr>
        <w:t>Targeted funding</w:t>
      </w:r>
    </w:p>
    <w:p w14:paraId="0BFF4F58" w14:textId="77777777" w:rsidR="00D2408C" w:rsidRPr="00D2408C" w:rsidRDefault="00D2408C" w:rsidP="00D2408C">
      <w:pPr>
        <w:numPr>
          <w:ilvl w:val="0"/>
          <w:numId w:val="21"/>
        </w:numPr>
      </w:pPr>
      <w:r w:rsidRPr="00D2408C">
        <w:t xml:space="preserve">The </w:t>
      </w:r>
      <w:r w:rsidRPr="00D2408C">
        <w:rPr>
          <w:i/>
        </w:rPr>
        <w:t>Discovery Indigenous</w:t>
      </w:r>
      <w:r w:rsidRPr="00D2408C">
        <w:t xml:space="preserve"> scheme exclusively funds Aboriginal and Torres Strait Islander researchers and research students. Funding is provided through Administering Organisations for: </w:t>
      </w:r>
    </w:p>
    <w:p w14:paraId="5C93A953" w14:textId="77777777" w:rsidR="00D2408C" w:rsidRPr="00D2408C" w:rsidRDefault="00D2408C" w:rsidP="00D2408C">
      <w:pPr>
        <w:numPr>
          <w:ilvl w:val="1"/>
          <w:numId w:val="21"/>
        </w:numPr>
      </w:pPr>
      <w:r w:rsidRPr="00D2408C">
        <w:t>projects in any discipline, undertaken by an Aboriginal or Torres Strait Islander researcher (Chief Investigator) independently or in collaboration with other researchers, including non-Indigenous researchers</w:t>
      </w:r>
    </w:p>
    <w:p w14:paraId="27D3C47F" w14:textId="77777777" w:rsidR="00D2408C" w:rsidRPr="00D2408C" w:rsidRDefault="00D2408C" w:rsidP="00D2408C">
      <w:pPr>
        <w:numPr>
          <w:ilvl w:val="1"/>
          <w:numId w:val="21"/>
        </w:numPr>
      </w:pPr>
      <w:r w:rsidRPr="00D2408C">
        <w:lastRenderedPageBreak/>
        <w:t>Discovery Australian Aboriginal and Torres Strait Islander Awards (DAATSIAs), which are awarded in conjunction with a Discovery Indigenous project, at one of five salary levels (commensurate with academic levels A – E) for up to five consecutive years. A project may include one or more DAATSIAs.</w:t>
      </w:r>
    </w:p>
    <w:p w14:paraId="09AD2EED" w14:textId="5410782E" w:rsidR="00D2408C" w:rsidRPr="00D2408C" w:rsidRDefault="00D2408C" w:rsidP="00D2408C">
      <w:pPr>
        <w:numPr>
          <w:ilvl w:val="1"/>
          <w:numId w:val="21"/>
        </w:numPr>
      </w:pPr>
      <w:r w:rsidRPr="00D2408C">
        <w:t>stipends for higher degree by research students</w:t>
      </w:r>
      <w:r w:rsidR="00B56E17">
        <w:t xml:space="preserve"> </w:t>
      </w:r>
      <w:r w:rsidRPr="00D2408C">
        <w:t xml:space="preserve">stipends for Aboriginal and/or Torres Strait Islander honours students, which are only available under the </w:t>
      </w:r>
      <w:r w:rsidRPr="00D2408C">
        <w:rPr>
          <w:i/>
          <w:iCs/>
        </w:rPr>
        <w:t xml:space="preserve">Discovery Indigenous </w:t>
      </w:r>
      <w:r w:rsidRPr="00D2408C">
        <w:t xml:space="preserve">scheme. </w:t>
      </w:r>
    </w:p>
    <w:p w14:paraId="53EE00C2" w14:textId="77777777" w:rsidR="00D2408C" w:rsidRPr="00D2408C" w:rsidRDefault="00D2408C" w:rsidP="00D2408C"/>
    <w:p w14:paraId="6C9FE7F5" w14:textId="77777777" w:rsidR="00D2408C" w:rsidRPr="00D2408C" w:rsidRDefault="00D2408C" w:rsidP="00D2408C">
      <w:pPr>
        <w:rPr>
          <w:b/>
          <w:i/>
        </w:rPr>
      </w:pPr>
      <w:r w:rsidRPr="00D2408C">
        <w:rPr>
          <w:b/>
          <w:i/>
        </w:rPr>
        <w:t>Eligibility</w:t>
      </w:r>
    </w:p>
    <w:p w14:paraId="4D929C96" w14:textId="77777777" w:rsidR="00D2408C" w:rsidRPr="00D2408C" w:rsidRDefault="00D2408C" w:rsidP="00D2408C">
      <w:pPr>
        <w:numPr>
          <w:ilvl w:val="0"/>
          <w:numId w:val="21"/>
        </w:numPr>
        <w:rPr>
          <w:lang w:val="en-US"/>
        </w:rPr>
      </w:pPr>
      <w:r w:rsidRPr="00D2408C">
        <w:rPr>
          <w:lang w:val="en-US"/>
        </w:rPr>
        <w:t xml:space="preserve">Under the </w:t>
      </w:r>
      <w:r w:rsidRPr="00D2408C">
        <w:rPr>
          <w:i/>
          <w:lang w:val="en-US"/>
        </w:rPr>
        <w:t>Discovery Indigenous</w:t>
      </w:r>
      <w:r w:rsidRPr="00D2408C">
        <w:rPr>
          <w:lang w:val="en-US"/>
        </w:rPr>
        <w:t xml:space="preserve"> scheme projects must be led by an Aboriginal or Torres Strait Islander researcher. An Aboriginal or Torres Strait Islander researcher is defined as a person of Australian Aboriginal or Torres Strait Islander descent, who identifies as an Australian Aboriginal or Torres Strait Islander person and is accepted as an Australian Aboriginal or Torres Strait Islander person by the community in which they live or have lived.</w:t>
      </w:r>
    </w:p>
    <w:p w14:paraId="0C8E06A1" w14:textId="77777777" w:rsidR="00D2408C" w:rsidRPr="00D2408C" w:rsidRDefault="00D2408C" w:rsidP="00D2408C">
      <w:pPr>
        <w:numPr>
          <w:ilvl w:val="0"/>
          <w:numId w:val="21"/>
        </w:numPr>
        <w:rPr>
          <w:lang w:val="en-US"/>
        </w:rPr>
      </w:pPr>
      <w:r w:rsidRPr="00D2408C">
        <w:rPr>
          <w:lang w:val="en-US"/>
        </w:rPr>
        <w:t>All Australian universities, the Batchelor Institute of Indigenous Tertiary Education and AIATSIS are Eligible Organisations for NCGP funding schemes (except Linkage Learned Academies Special Projects and certain Special Research Initiatives where, depending on the initiative, specific eligible organisations may be identified).</w:t>
      </w:r>
    </w:p>
    <w:p w14:paraId="3FA103B0" w14:textId="77777777" w:rsidR="00D2408C" w:rsidRPr="00D2408C" w:rsidRDefault="00D2408C" w:rsidP="00D2408C">
      <w:pPr>
        <w:rPr>
          <w:lang w:val="en-US"/>
        </w:rPr>
      </w:pPr>
    </w:p>
    <w:p w14:paraId="1F174F6E" w14:textId="77777777" w:rsidR="00D2408C" w:rsidRPr="00D2408C" w:rsidRDefault="00D2408C" w:rsidP="00D2408C">
      <w:pPr>
        <w:rPr>
          <w:b/>
        </w:rPr>
      </w:pPr>
      <w:r w:rsidRPr="00D2408C">
        <w:rPr>
          <w:b/>
          <w:i/>
        </w:rPr>
        <w:t>Conditions of award</w:t>
      </w:r>
    </w:p>
    <w:p w14:paraId="5C4EF64B" w14:textId="77777777" w:rsidR="00D2408C" w:rsidRPr="00D2408C" w:rsidRDefault="00D2408C" w:rsidP="00D2408C">
      <w:pPr>
        <w:numPr>
          <w:ilvl w:val="0"/>
          <w:numId w:val="20"/>
        </w:numPr>
      </w:pPr>
      <w:r w:rsidRPr="00D2408C">
        <w:t>DAATSIAs may be undertaken part-time, for a period of up to eight years.  Fellowship and award recipients, including DAATSIAs, can access parental, recreation and sick leave, and up to twelve months additional leave.</w:t>
      </w:r>
    </w:p>
    <w:p w14:paraId="5C4B7216" w14:textId="77777777" w:rsidR="00D2408C" w:rsidRPr="00D2408C" w:rsidRDefault="00D2408C" w:rsidP="00D2408C">
      <w:pPr>
        <w:numPr>
          <w:ilvl w:val="0"/>
          <w:numId w:val="20"/>
        </w:numPr>
      </w:pPr>
      <w:r w:rsidRPr="00D2408C">
        <w:t xml:space="preserve">In exceptional circumstances, a DAATSIA’s salary may be used for other purposes to support a project. </w:t>
      </w:r>
    </w:p>
    <w:p w14:paraId="5564A3D6" w14:textId="77777777" w:rsidR="00D2408C" w:rsidRPr="00D2408C" w:rsidRDefault="00D2408C" w:rsidP="00D2408C"/>
    <w:p w14:paraId="10EE2D86" w14:textId="77777777" w:rsidR="00D2408C" w:rsidRPr="00D2408C" w:rsidRDefault="00D2408C" w:rsidP="00D2408C">
      <w:pPr>
        <w:rPr>
          <w:b/>
          <w:i/>
        </w:rPr>
      </w:pPr>
      <w:r w:rsidRPr="00D2408C">
        <w:rPr>
          <w:b/>
          <w:i/>
        </w:rPr>
        <w:t>Assessment</w:t>
      </w:r>
    </w:p>
    <w:p w14:paraId="1C552CEC" w14:textId="77777777" w:rsidR="00D2408C" w:rsidRPr="00D2408C" w:rsidRDefault="00D2408C" w:rsidP="00D2408C">
      <w:pPr>
        <w:numPr>
          <w:ilvl w:val="0"/>
          <w:numId w:val="20"/>
        </w:numPr>
      </w:pPr>
      <w:r w:rsidRPr="00D2408C">
        <w:t>The Research Opportunity and Performance Evidence (ROPE) assessment criterion is used in most NCGP schemes to recognise research excellence in the context of diverse career and life opportunities and experiences. ROPE considers a researcher’s capacity, productivity and contribution, relative to opportunity and experience, recognising the impact of career interruptions for any reason, including Aboriginal and Torres Strait Islander community obligations.</w:t>
      </w:r>
    </w:p>
    <w:p w14:paraId="0AA918E7" w14:textId="77777777" w:rsidR="00D2408C" w:rsidRPr="00D2408C" w:rsidRDefault="00D2408C" w:rsidP="00D2408C">
      <w:pPr>
        <w:numPr>
          <w:ilvl w:val="0"/>
          <w:numId w:val="20"/>
        </w:numPr>
      </w:pPr>
      <w:r w:rsidRPr="00D2408C">
        <w:t xml:space="preserve">The ARC promotes Aboriginal and Torres Strait Islander membership of ARC committees. </w:t>
      </w:r>
    </w:p>
    <w:p w14:paraId="142D0E1E" w14:textId="77777777" w:rsidR="00D2408C" w:rsidRPr="00D2408C" w:rsidRDefault="00D2408C" w:rsidP="00D2408C"/>
    <w:p w14:paraId="1F835138" w14:textId="77777777" w:rsidR="00D2408C" w:rsidRPr="00D2408C" w:rsidRDefault="00D2408C" w:rsidP="00D2408C">
      <w:pPr>
        <w:rPr>
          <w:b/>
          <w:i/>
        </w:rPr>
      </w:pPr>
      <w:r w:rsidRPr="00D2408C">
        <w:rPr>
          <w:b/>
          <w:i/>
        </w:rPr>
        <w:t>Research classification and Engagement</w:t>
      </w:r>
    </w:p>
    <w:p w14:paraId="0BCF8D4A" w14:textId="77777777" w:rsidR="00D2408C" w:rsidRPr="00D2408C" w:rsidRDefault="00D2408C" w:rsidP="00D2408C">
      <w:pPr>
        <w:numPr>
          <w:ilvl w:val="0"/>
          <w:numId w:val="20"/>
        </w:numPr>
      </w:pPr>
      <w:r w:rsidRPr="00D2408C">
        <w:t>The ARC is committed to implementing</w:t>
      </w:r>
      <w:r w:rsidRPr="00D2408C" w:rsidDel="006B2F94">
        <w:t xml:space="preserve"> </w:t>
      </w:r>
      <w:r w:rsidRPr="00D2408C">
        <w:t>the 20 new fields of research for Indigenous studies, included in the revised Australian and New Zealand Standard Research Classification (</w:t>
      </w:r>
      <w:hyperlink r:id="rId17" w:history="1">
        <w:r w:rsidRPr="00D2408C">
          <w:rPr>
            <w:rStyle w:val="Hyperlink"/>
          </w:rPr>
          <w:t>ANZSRC 2020</w:t>
        </w:r>
      </w:hyperlink>
      <w:r w:rsidRPr="00D2408C">
        <w:t>),</w:t>
      </w:r>
      <w:r w:rsidRPr="00D2408C" w:rsidDel="006B2F94">
        <w:t xml:space="preserve"> </w:t>
      </w:r>
      <w:r w:rsidRPr="00D2408C">
        <w:t xml:space="preserve">in future NCGP scheme rounds. </w:t>
      </w:r>
    </w:p>
    <w:p w14:paraId="346C0F59" w14:textId="77777777" w:rsidR="00D2408C" w:rsidRPr="00D2408C" w:rsidRDefault="00D2408C" w:rsidP="00D2408C">
      <w:pPr>
        <w:numPr>
          <w:ilvl w:val="0"/>
          <w:numId w:val="20"/>
        </w:numPr>
      </w:pPr>
      <w:r w:rsidRPr="00D2408C">
        <w:t xml:space="preserve">The ARC features the outcomes of Aboriginal and Torres Strait Islander research, and research undertaken by Aboriginal and Torres Strait Islander researchers, in ARC publications including </w:t>
      </w:r>
      <w:hyperlink r:id="rId18" w:history="1">
        <w:r w:rsidRPr="00D2408C">
          <w:rPr>
            <w:rStyle w:val="Hyperlink"/>
          </w:rPr>
          <w:t>Making a Difference: Outcomes of ARC supported research</w:t>
        </w:r>
      </w:hyperlink>
      <w:r w:rsidRPr="00D2408C">
        <w:t>.</w:t>
      </w:r>
    </w:p>
    <w:p w14:paraId="30959D67" w14:textId="77777777" w:rsidR="00D2408C" w:rsidRPr="00D2408C" w:rsidRDefault="00D2408C" w:rsidP="00D2408C">
      <w:pPr>
        <w:numPr>
          <w:ilvl w:val="0"/>
          <w:numId w:val="23"/>
        </w:numPr>
      </w:pPr>
      <w:r w:rsidRPr="00D2408C">
        <w:t xml:space="preserve">All ARC funded researchers are required to build strategies for enabling collaboration with Aboriginal and Torres Strait Islander communities, as applicable, in accordance with the: </w:t>
      </w:r>
    </w:p>
    <w:p w14:paraId="76C44A9C" w14:textId="77777777" w:rsidR="00D2408C" w:rsidRPr="00D2408C" w:rsidRDefault="00D2408C" w:rsidP="00D2408C">
      <w:pPr>
        <w:numPr>
          <w:ilvl w:val="1"/>
          <w:numId w:val="23"/>
        </w:numPr>
        <w:rPr>
          <w:iCs/>
        </w:rPr>
      </w:pPr>
      <w:r w:rsidRPr="00D2408C">
        <w:rPr>
          <w:i/>
          <w:iCs/>
        </w:rPr>
        <w:lastRenderedPageBreak/>
        <w:t xml:space="preserve">The Australian Institute of Aboriginal and Torres Strait Islander Studies Guidelines for Ethical Research in Australian Indigenous Studies </w:t>
      </w:r>
      <w:r w:rsidRPr="00D2408C">
        <w:rPr>
          <w:iCs/>
        </w:rPr>
        <w:t>(2012)</w:t>
      </w:r>
      <w:r w:rsidRPr="00D2408C">
        <w:rPr>
          <w:i/>
          <w:iCs/>
        </w:rPr>
        <w:t xml:space="preserve"> </w:t>
      </w:r>
    </w:p>
    <w:p w14:paraId="636F4CD6" w14:textId="77777777" w:rsidR="00D2408C" w:rsidRPr="00D2408C" w:rsidRDefault="00D2408C" w:rsidP="00D2408C">
      <w:pPr>
        <w:numPr>
          <w:ilvl w:val="1"/>
          <w:numId w:val="23"/>
        </w:numPr>
        <w:rPr>
          <w:i/>
          <w:iCs/>
        </w:rPr>
      </w:pPr>
      <w:r w:rsidRPr="00D2408C">
        <w:rPr>
          <w:i/>
          <w:iCs/>
        </w:rPr>
        <w:t xml:space="preserve">The Australia Council for the Arts Indigenous Cultural Protocols for Producing Indigenous Australian Music, Writing, Visual Arts, Media Arts, and Performing Arts </w:t>
      </w:r>
      <w:r w:rsidRPr="00D2408C">
        <w:rPr>
          <w:iCs/>
        </w:rPr>
        <w:t>(2007)</w:t>
      </w:r>
    </w:p>
    <w:p w14:paraId="3FE3ABD9" w14:textId="77777777" w:rsidR="00D2408C" w:rsidRPr="00D2408C" w:rsidRDefault="00D2408C" w:rsidP="00D2408C">
      <w:pPr>
        <w:numPr>
          <w:ilvl w:val="1"/>
          <w:numId w:val="23"/>
        </w:numPr>
      </w:pPr>
      <w:r w:rsidRPr="00D2408C">
        <w:rPr>
          <w:i/>
        </w:rPr>
        <w:t xml:space="preserve">Ethical conduct in research with Aboriginal and Torres Strait Islander Peoples and communities:  Guidelines for researchers and stakeholders </w:t>
      </w:r>
      <w:r w:rsidRPr="00D2408C">
        <w:t xml:space="preserve">(2018) </w:t>
      </w:r>
    </w:p>
    <w:p w14:paraId="1C447236" w14:textId="77777777" w:rsidR="00D2408C" w:rsidRPr="00D2408C" w:rsidRDefault="00D2408C" w:rsidP="00D2408C">
      <w:pPr>
        <w:numPr>
          <w:ilvl w:val="1"/>
          <w:numId w:val="23"/>
        </w:numPr>
      </w:pPr>
      <w:r w:rsidRPr="00D2408C">
        <w:rPr>
          <w:i/>
        </w:rPr>
        <w:t>Keeping research on track II</w:t>
      </w:r>
      <w:r w:rsidRPr="00D2408C">
        <w:t xml:space="preserve"> (2018) </w:t>
      </w:r>
    </w:p>
    <w:p w14:paraId="08DE34F2" w14:textId="77777777" w:rsidR="00D2408C" w:rsidRPr="00D2408C" w:rsidRDefault="00D2408C" w:rsidP="00D2408C">
      <w:pPr>
        <w:numPr>
          <w:ilvl w:val="1"/>
          <w:numId w:val="23"/>
        </w:numPr>
      </w:pPr>
      <w:r w:rsidRPr="00D2408C">
        <w:rPr>
          <w:i/>
        </w:rPr>
        <w:t xml:space="preserve">The National Statement on Ethical Conduct in Human Research </w:t>
      </w:r>
      <w:r w:rsidRPr="00D2408C">
        <w:t xml:space="preserve">(2007) – updated 2018. </w:t>
      </w:r>
    </w:p>
    <w:p w14:paraId="4FA1EBA6" w14:textId="77777777" w:rsidR="00D2408C" w:rsidRPr="00D2408C" w:rsidRDefault="00D2408C" w:rsidP="00D2408C"/>
    <w:p w14:paraId="11DA20F0" w14:textId="77777777" w:rsidR="00D2408C" w:rsidRPr="00D2408C" w:rsidRDefault="00D2408C" w:rsidP="00D2408C">
      <w:pPr>
        <w:numPr>
          <w:ilvl w:val="0"/>
          <w:numId w:val="23"/>
        </w:numPr>
      </w:pPr>
      <w:r w:rsidRPr="00D2408C">
        <w:t>Under the Linkage Program, the ARC requires Eligible Organisations to partner with other organisations (including industry, Government, and non- profit) which provides an opportunity for Aboriginal and Torres Strait Islander organisations to participate on research projects, centres and hubs.</w:t>
      </w:r>
    </w:p>
    <w:p w14:paraId="782E64A9" w14:textId="77777777" w:rsidR="00D2408C" w:rsidRPr="00D2408C" w:rsidRDefault="00D2408C" w:rsidP="00D2408C">
      <w:pPr>
        <w:numPr>
          <w:ilvl w:val="0"/>
          <w:numId w:val="23"/>
        </w:numPr>
      </w:pPr>
      <w:r w:rsidRPr="00D2408C">
        <w:t>The ARC works closely with stakeholders including AIATSIS and Universities Australia on policies and best practice to support Aboriginal and Torres Strait Islander researchers and research.</w:t>
      </w:r>
    </w:p>
    <w:p w14:paraId="26D8A08E" w14:textId="77777777" w:rsidR="00D2408C" w:rsidRPr="00D2408C" w:rsidRDefault="00D2408C" w:rsidP="00D2408C">
      <w:pPr>
        <w:rPr>
          <w:b/>
          <w:i/>
        </w:rPr>
      </w:pPr>
    </w:p>
    <w:p w14:paraId="5F94367C" w14:textId="77777777" w:rsidR="00D2408C" w:rsidRPr="00D2408C" w:rsidRDefault="00D2408C" w:rsidP="00D2408C">
      <w:pPr>
        <w:rPr>
          <w:b/>
          <w:i/>
        </w:rPr>
      </w:pPr>
      <w:r w:rsidRPr="00D2408C">
        <w:rPr>
          <w:b/>
          <w:i/>
        </w:rPr>
        <w:t>Monitoring and Reporting</w:t>
      </w:r>
    </w:p>
    <w:p w14:paraId="53FB1726" w14:textId="77777777" w:rsidR="00D2408C" w:rsidRPr="00D2408C" w:rsidRDefault="00D2408C" w:rsidP="00D2408C">
      <w:pPr>
        <w:numPr>
          <w:ilvl w:val="0"/>
          <w:numId w:val="23"/>
        </w:numPr>
      </w:pPr>
      <w:r w:rsidRPr="00D2408C">
        <w:t>Researchers are able to include that they identify as an Aboriginal and/or Torres Strait Islander person in the personal details section of an application in the Research Management System (RMS). This information is confidential and only reported in a consolidated form. It is an important input to policy development.</w:t>
      </w:r>
    </w:p>
    <w:p w14:paraId="62B4006B" w14:textId="55038F7E" w:rsidR="00D2408C" w:rsidRPr="00D2408C" w:rsidRDefault="00D2408C" w:rsidP="00D2408C">
      <w:pPr>
        <w:numPr>
          <w:ilvl w:val="0"/>
          <w:numId w:val="23"/>
        </w:numPr>
      </w:pPr>
      <w:r w:rsidRPr="00D2408C">
        <w:t>The ARC monitors the funding outcomes for Aboriginal and Torres Strait Islander researchers and research in each selection round to identify any issues</w:t>
      </w:r>
      <w:r w:rsidR="00567A01">
        <w:t>.</w:t>
      </w:r>
    </w:p>
    <w:p w14:paraId="2E80ED20" w14:textId="77777777" w:rsidR="00D2408C" w:rsidRPr="00D2408C" w:rsidRDefault="00D2408C" w:rsidP="00D2408C">
      <w:pPr>
        <w:rPr>
          <w:b/>
        </w:rPr>
      </w:pPr>
    </w:p>
    <w:p w14:paraId="2315BFD1" w14:textId="77777777" w:rsidR="00D2408C" w:rsidRPr="00D2408C" w:rsidRDefault="00D2408C" w:rsidP="00D2408C">
      <w:pPr>
        <w:rPr>
          <w:b/>
        </w:rPr>
      </w:pPr>
      <w:r w:rsidRPr="00D2408C">
        <w:rPr>
          <w:b/>
        </w:rPr>
        <w:t xml:space="preserve">National Research Evaluations </w:t>
      </w:r>
    </w:p>
    <w:p w14:paraId="146C6A94" w14:textId="77777777" w:rsidR="00D2408C" w:rsidRPr="00D2408C" w:rsidRDefault="00D2408C" w:rsidP="00D2408C">
      <w:pPr>
        <w:rPr>
          <w:b/>
        </w:rPr>
      </w:pPr>
    </w:p>
    <w:p w14:paraId="1E416557" w14:textId="77777777" w:rsidR="00D2408C" w:rsidRPr="00D2408C" w:rsidRDefault="00D2408C" w:rsidP="00D2408C">
      <w:pPr>
        <w:numPr>
          <w:ilvl w:val="0"/>
          <w:numId w:val="22"/>
        </w:numPr>
      </w:pPr>
      <w:r w:rsidRPr="00D2408C">
        <w:t>The ARC is committed to implementing</w:t>
      </w:r>
      <w:r w:rsidRPr="00D2408C" w:rsidDel="006B2F94">
        <w:t xml:space="preserve"> </w:t>
      </w:r>
      <w:r w:rsidRPr="00D2408C">
        <w:t xml:space="preserve">the 20 new fields of research for Indigenous studies included in </w:t>
      </w:r>
      <w:hyperlink r:id="rId19" w:history="1">
        <w:r w:rsidRPr="00D2408C">
          <w:rPr>
            <w:rStyle w:val="Hyperlink"/>
          </w:rPr>
          <w:t>ANZSRC 2020</w:t>
        </w:r>
      </w:hyperlink>
      <w:r w:rsidRPr="00D2408C">
        <w:t>,</w:t>
      </w:r>
      <w:r w:rsidRPr="00D2408C" w:rsidDel="006B2F94">
        <w:t xml:space="preserve"> </w:t>
      </w:r>
      <w:r w:rsidRPr="00D2408C">
        <w:t xml:space="preserve">in the next rounds of the Excellence in Research for Australia (ERA) and Engagement and Impact (EI) assessments in 2023 and 2024 respectively. </w:t>
      </w:r>
    </w:p>
    <w:p w14:paraId="4DD98F93" w14:textId="77777777" w:rsidR="00D2408C" w:rsidRPr="00D2408C" w:rsidRDefault="00D2408C" w:rsidP="00D2408C">
      <w:pPr>
        <w:numPr>
          <w:ilvl w:val="0"/>
          <w:numId w:val="22"/>
        </w:numPr>
      </w:pPr>
      <w:r w:rsidRPr="00D2408C">
        <w:t>The new Indigenous studies fields of research will enable organisations to collect and report information and data on Aboriginal and Torres Strait Islander, Māori and Pacific Peoples in ways that were not previously possible.</w:t>
      </w:r>
    </w:p>
    <w:p w14:paraId="2E65D37E" w14:textId="77777777" w:rsidR="00D2408C" w:rsidRPr="00D2408C" w:rsidRDefault="00D2408C" w:rsidP="00D2408C">
      <w:pPr>
        <w:numPr>
          <w:ilvl w:val="0"/>
          <w:numId w:val="22"/>
        </w:numPr>
      </w:pPr>
      <w:r w:rsidRPr="00D2408C">
        <w:t xml:space="preserve">The EI assessment uses qualitative studies, assessed by an expert panel comprising Aboriginal and Torres Strait Islander leaders of research, business and community, to capture the impacts of Aboriginal and Torres Strait Islander research, as well as university support for translating Aboriginal and Torres Strait Islander research into wider impacts. Outcomes from the EI assessment and highly rated impact studies are published in the </w:t>
      </w:r>
      <w:hyperlink r:id="rId20" w:history="1">
        <w:r w:rsidRPr="00D2408C">
          <w:rPr>
            <w:rStyle w:val="Hyperlink"/>
          </w:rPr>
          <w:t>ARC Data Portal</w:t>
        </w:r>
      </w:hyperlink>
      <w:r w:rsidRPr="00D2408C">
        <w:t xml:space="preserve">. </w:t>
      </w:r>
    </w:p>
    <w:p w14:paraId="136F617E" w14:textId="77777777" w:rsidR="00D2408C" w:rsidRPr="00D2408C" w:rsidRDefault="00D2408C" w:rsidP="00D2408C">
      <w:pPr>
        <w:numPr>
          <w:ilvl w:val="0"/>
          <w:numId w:val="22"/>
        </w:numPr>
      </w:pPr>
      <w:r w:rsidRPr="00D2408C">
        <w:t>Consultation with representatives of the Aboriginal and Torres Strait Islander research community has, and will continue to be, an important and integral part of developing, reviewing and implementing the ERA and EI programs.</w:t>
      </w:r>
    </w:p>
    <w:p w14:paraId="0BBA5611" w14:textId="77777777" w:rsidR="00AD4EFE" w:rsidRDefault="00AD4EFE" w:rsidP="00581CEA"/>
    <w:p w14:paraId="67A6CA05" w14:textId="385172BD" w:rsidR="000B12FD" w:rsidRDefault="005E32E8" w:rsidP="00CE39FF">
      <w:pPr>
        <w:pStyle w:val="Heading1"/>
      </w:pPr>
      <w:bookmarkStart w:id="15" w:name="_Toc160100909"/>
      <w:r w:rsidRPr="008F7B81">
        <w:lastRenderedPageBreak/>
        <w:t>Contact details</w:t>
      </w:r>
      <w:bookmarkEnd w:id="13"/>
      <w:bookmarkEnd w:id="14"/>
      <w:bookmarkEnd w:id="15"/>
      <w:r w:rsidRPr="008F7B81">
        <w:tab/>
      </w:r>
    </w:p>
    <w:p w14:paraId="227F4C1E" w14:textId="77777777" w:rsidR="00581CEA" w:rsidRPr="00581CEA" w:rsidRDefault="00581CEA" w:rsidP="00581CEA">
      <w:r w:rsidRPr="00581CEA">
        <w:t>Australian Research Council</w:t>
      </w:r>
    </w:p>
    <w:p w14:paraId="0897D3C6" w14:textId="77777777" w:rsidR="00581CEA" w:rsidRPr="00581CEA" w:rsidRDefault="00581CEA" w:rsidP="00581CEA">
      <w:r w:rsidRPr="00581CEA">
        <w:t xml:space="preserve">Phone: +61 2 6287 6600 </w:t>
      </w:r>
    </w:p>
    <w:p w14:paraId="43A4013C" w14:textId="28E21C38" w:rsidR="00581CEA" w:rsidRPr="00581CEA" w:rsidRDefault="00581CEA" w:rsidP="00581CEA">
      <w:r w:rsidRPr="00581CEA">
        <w:t xml:space="preserve">Email: </w:t>
      </w:r>
      <w:hyperlink r:id="rId21" w:history="1">
        <w:r w:rsidR="00561CA7" w:rsidRPr="00A83C3E">
          <w:rPr>
            <w:rStyle w:val="Hyperlink"/>
          </w:rPr>
          <w:t>info@arc.gov.au</w:t>
        </w:r>
      </w:hyperlink>
      <w:r w:rsidR="00561CA7">
        <w:t xml:space="preserve"> </w:t>
      </w:r>
    </w:p>
    <w:p w14:paraId="05D03E61" w14:textId="77777777" w:rsidR="00581CEA" w:rsidRPr="00581CEA" w:rsidRDefault="00581CEA" w:rsidP="00581CEA">
      <w:r w:rsidRPr="00581CEA">
        <w:t>www.arc.gov.au</w:t>
      </w:r>
    </w:p>
    <w:p w14:paraId="20F5D214" w14:textId="77777777" w:rsidR="00581CEA" w:rsidRPr="00581CEA" w:rsidRDefault="00581CEA" w:rsidP="00581CEA">
      <w:r w:rsidRPr="00581CEA">
        <w:t xml:space="preserve">Level 2, 11 Lancaster Place, Canberra Airport ACT 2609 </w:t>
      </w:r>
    </w:p>
    <w:p w14:paraId="54B9F16E" w14:textId="61D91150" w:rsidR="00F0338F" w:rsidRDefault="00581CEA" w:rsidP="00581CEA">
      <w:pPr>
        <w:rPr>
          <w:rFonts w:asciiTheme="minorHAnsi" w:hAnsiTheme="minorHAnsi"/>
          <w:color w:val="FF0000"/>
          <w:lang w:eastAsia="en-AU"/>
        </w:rPr>
      </w:pPr>
      <w:r w:rsidRPr="00581CEA">
        <w:t>GPO Box 2702, Canberra ACT 2601</w:t>
      </w:r>
      <w:r w:rsidRPr="00581CEA">
        <w:cr/>
      </w:r>
    </w:p>
    <w:p w14:paraId="7C6FE87E" w14:textId="77777777" w:rsidR="00A60FB2" w:rsidRPr="00F0338F" w:rsidRDefault="00A60FB2" w:rsidP="00A60FB2">
      <w:pPr>
        <w:pStyle w:val="Heading1"/>
        <w:rPr>
          <w:szCs w:val="22"/>
          <w:lang w:eastAsia="en-AU"/>
        </w:rPr>
      </w:pPr>
      <w:bookmarkStart w:id="16" w:name="_Toc160100910"/>
      <w:r>
        <w:rPr>
          <w:lang w:eastAsia="en-AU"/>
        </w:rPr>
        <w:t>Document control</w:t>
      </w:r>
      <w:bookmarkEnd w:id="16"/>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268"/>
        <w:gridCol w:w="1853"/>
        <w:gridCol w:w="3260"/>
      </w:tblGrid>
      <w:tr w:rsidR="000B12FD" w14:paraId="63105FF9" w14:textId="77777777" w:rsidTr="004822D3">
        <w:trPr>
          <w:trHeight w:val="532"/>
          <w:tblHeader/>
        </w:trPr>
        <w:tc>
          <w:tcPr>
            <w:tcW w:w="1975" w:type="dxa"/>
          </w:tcPr>
          <w:p w14:paraId="6C371A50" w14:textId="77777777" w:rsidR="000B12FD" w:rsidRDefault="005E32E8">
            <w:pPr>
              <w:pStyle w:val="TableParagraph"/>
              <w:spacing w:before="119"/>
              <w:ind w:left="107"/>
              <w:rPr>
                <w:b/>
                <w:sz w:val="24"/>
              </w:rPr>
            </w:pPr>
            <w:r>
              <w:rPr>
                <w:b/>
                <w:sz w:val="24"/>
              </w:rPr>
              <w:t>Number</w:t>
            </w:r>
          </w:p>
        </w:tc>
        <w:tc>
          <w:tcPr>
            <w:tcW w:w="2268" w:type="dxa"/>
          </w:tcPr>
          <w:p w14:paraId="18F968AD" w14:textId="77777777" w:rsidR="000B12FD" w:rsidRDefault="005E32E8">
            <w:pPr>
              <w:pStyle w:val="TableParagraph"/>
              <w:spacing w:before="119"/>
              <w:rPr>
                <w:b/>
                <w:sz w:val="24"/>
              </w:rPr>
            </w:pPr>
            <w:r>
              <w:rPr>
                <w:b/>
                <w:sz w:val="24"/>
              </w:rPr>
              <w:t>Date</w:t>
            </w:r>
            <w:r>
              <w:rPr>
                <w:b/>
                <w:spacing w:val="-3"/>
                <w:sz w:val="24"/>
              </w:rPr>
              <w:t xml:space="preserve"> </w:t>
            </w:r>
            <w:r>
              <w:rPr>
                <w:b/>
                <w:sz w:val="24"/>
              </w:rPr>
              <w:t>Approved</w:t>
            </w:r>
          </w:p>
        </w:tc>
        <w:tc>
          <w:tcPr>
            <w:tcW w:w="1853" w:type="dxa"/>
          </w:tcPr>
          <w:p w14:paraId="333160D5" w14:textId="77777777" w:rsidR="000B12FD" w:rsidRDefault="005E32E8">
            <w:pPr>
              <w:pStyle w:val="TableParagraph"/>
              <w:spacing w:before="119"/>
              <w:ind w:left="105"/>
              <w:rPr>
                <w:b/>
                <w:sz w:val="24"/>
              </w:rPr>
            </w:pPr>
            <w:r>
              <w:rPr>
                <w:b/>
                <w:sz w:val="24"/>
              </w:rPr>
              <w:t>Approved</w:t>
            </w:r>
            <w:r>
              <w:rPr>
                <w:b/>
                <w:spacing w:val="-1"/>
                <w:sz w:val="24"/>
              </w:rPr>
              <w:t xml:space="preserve"> </w:t>
            </w:r>
            <w:r>
              <w:rPr>
                <w:b/>
                <w:sz w:val="24"/>
              </w:rPr>
              <w:t>By</w:t>
            </w:r>
          </w:p>
        </w:tc>
        <w:tc>
          <w:tcPr>
            <w:tcW w:w="3260" w:type="dxa"/>
          </w:tcPr>
          <w:p w14:paraId="085C96C3" w14:textId="77777777" w:rsidR="000B12FD" w:rsidRDefault="005E32E8">
            <w:pPr>
              <w:pStyle w:val="TableParagraph"/>
              <w:spacing w:before="119"/>
              <w:rPr>
                <w:b/>
                <w:sz w:val="24"/>
              </w:rPr>
            </w:pPr>
            <w:r>
              <w:rPr>
                <w:b/>
                <w:sz w:val="24"/>
              </w:rPr>
              <w:t>Brief</w:t>
            </w:r>
            <w:r>
              <w:rPr>
                <w:b/>
                <w:spacing w:val="-2"/>
                <w:sz w:val="24"/>
              </w:rPr>
              <w:t xml:space="preserve"> </w:t>
            </w:r>
            <w:r>
              <w:rPr>
                <w:b/>
                <w:sz w:val="24"/>
              </w:rPr>
              <w:t>Description</w:t>
            </w:r>
          </w:p>
        </w:tc>
      </w:tr>
      <w:tr w:rsidR="000B12FD" w14:paraId="7C001E69" w14:textId="77777777" w:rsidTr="00DB7934">
        <w:trPr>
          <w:trHeight w:val="532"/>
        </w:trPr>
        <w:tc>
          <w:tcPr>
            <w:tcW w:w="1975" w:type="dxa"/>
            <w:shd w:val="clear" w:color="auto" w:fill="auto"/>
          </w:tcPr>
          <w:p w14:paraId="3E2E5B33" w14:textId="603BD95F" w:rsidR="000B12FD" w:rsidRPr="009C0770" w:rsidRDefault="009C0770" w:rsidP="009C0770">
            <w:pPr>
              <w:ind w:left="113"/>
              <w:rPr>
                <w:rFonts w:asciiTheme="minorHAnsi" w:hAnsiTheme="minorHAnsi" w:cstheme="minorHAnsi"/>
              </w:rPr>
            </w:pPr>
            <w:r w:rsidRPr="00DB7934">
              <w:rPr>
                <w:rFonts w:asciiTheme="minorHAnsi" w:hAnsiTheme="minorHAnsi" w:cstheme="minorHAnsi"/>
              </w:rPr>
              <w:t xml:space="preserve">Version </w:t>
            </w:r>
            <w:r>
              <w:rPr>
                <w:rFonts w:asciiTheme="minorHAnsi" w:hAnsiTheme="minorHAnsi" w:cstheme="minorHAnsi"/>
              </w:rPr>
              <w:t>1</w:t>
            </w:r>
            <w:r w:rsidR="00DB7934">
              <w:rPr>
                <w:rFonts w:asciiTheme="minorHAnsi" w:hAnsiTheme="minorHAnsi" w:cstheme="minorHAnsi"/>
              </w:rPr>
              <w:t>.2</w:t>
            </w:r>
          </w:p>
        </w:tc>
        <w:tc>
          <w:tcPr>
            <w:tcW w:w="2268" w:type="dxa"/>
            <w:shd w:val="clear" w:color="auto" w:fill="auto"/>
          </w:tcPr>
          <w:p w14:paraId="6E8FCCE7" w14:textId="5E49BA8C" w:rsidR="00066A9A" w:rsidRPr="009C0770" w:rsidRDefault="00AD1844" w:rsidP="009C0770">
            <w:pPr>
              <w:ind w:left="113"/>
              <w:rPr>
                <w:rFonts w:asciiTheme="minorHAnsi" w:hAnsiTheme="minorHAnsi" w:cstheme="minorHAnsi"/>
              </w:rPr>
            </w:pPr>
            <w:r>
              <w:rPr>
                <w:rFonts w:asciiTheme="minorHAnsi" w:hAnsiTheme="minorHAnsi" w:cstheme="minorHAnsi"/>
              </w:rPr>
              <w:t>November</w:t>
            </w:r>
            <w:r w:rsidR="009C0770" w:rsidRPr="00DB7934">
              <w:rPr>
                <w:rFonts w:asciiTheme="minorHAnsi" w:hAnsiTheme="minorHAnsi" w:cstheme="minorHAnsi"/>
              </w:rPr>
              <w:t xml:space="preserve"> 20</w:t>
            </w:r>
            <w:r>
              <w:rPr>
                <w:rFonts w:asciiTheme="minorHAnsi" w:hAnsiTheme="minorHAnsi" w:cstheme="minorHAnsi"/>
              </w:rPr>
              <w:t>20</w:t>
            </w:r>
          </w:p>
        </w:tc>
        <w:tc>
          <w:tcPr>
            <w:tcW w:w="1853" w:type="dxa"/>
            <w:shd w:val="clear" w:color="auto" w:fill="auto"/>
          </w:tcPr>
          <w:p w14:paraId="3624ADBD" w14:textId="51262E1D" w:rsidR="003B1280" w:rsidRPr="009C0770" w:rsidRDefault="00CB4069" w:rsidP="009C0770">
            <w:pPr>
              <w:ind w:left="113"/>
              <w:rPr>
                <w:rFonts w:asciiTheme="minorHAnsi" w:hAnsiTheme="minorHAnsi" w:cstheme="minorHAnsi"/>
                <w:b/>
                <w:bCs/>
              </w:rPr>
            </w:pPr>
            <w:r w:rsidRPr="00CB4069">
              <w:rPr>
                <w:rFonts w:asciiTheme="minorHAnsi" w:hAnsiTheme="minorHAnsi" w:cstheme="minorHAnsi"/>
              </w:rPr>
              <w:t>Senior Management Group (SMG)</w:t>
            </w:r>
          </w:p>
        </w:tc>
        <w:tc>
          <w:tcPr>
            <w:tcW w:w="3260" w:type="dxa"/>
          </w:tcPr>
          <w:p w14:paraId="3D478683" w14:textId="12C5DB13" w:rsidR="000B12FD" w:rsidRPr="009C0770" w:rsidRDefault="00E551E5" w:rsidP="009C0770">
            <w:pPr>
              <w:ind w:left="113"/>
              <w:rPr>
                <w:rFonts w:asciiTheme="minorHAnsi" w:hAnsiTheme="minorHAnsi" w:cstheme="minorHAnsi"/>
              </w:rPr>
            </w:pPr>
            <w:r w:rsidRPr="00E551E5">
              <w:rPr>
                <w:rFonts w:asciiTheme="minorHAnsi" w:hAnsiTheme="minorHAnsi" w:cstheme="minorHAnsi"/>
              </w:rPr>
              <w:t>The ARC supports Aboriginal and Torres Strait Islander researchers through the research funding schemes of the NCGP. NCGP funding is awarded across all disciplines for research projects, fellowships, awards, centres and hubs and is predicated on research excellence.</w:t>
            </w:r>
          </w:p>
        </w:tc>
      </w:tr>
    </w:tbl>
    <w:p w14:paraId="2B9BA5A5" w14:textId="77777777" w:rsidR="005E32E8" w:rsidRDefault="005E32E8"/>
    <w:sectPr w:rsidR="005E32E8" w:rsidSect="000863ED">
      <w:pgSz w:w="11910" w:h="16840"/>
      <w:pgMar w:top="993" w:right="1278" w:bottom="1134" w:left="1276"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5D4AD" w14:textId="77777777" w:rsidR="000863ED" w:rsidRDefault="000863ED">
      <w:pPr>
        <w:spacing w:before="0" w:after="0" w:line="240" w:lineRule="auto"/>
      </w:pPr>
      <w:r>
        <w:separator/>
      </w:r>
    </w:p>
  </w:endnote>
  <w:endnote w:type="continuationSeparator" w:id="0">
    <w:p w14:paraId="651F7C05" w14:textId="77777777" w:rsidR="000863ED" w:rsidRDefault="000863ED">
      <w:pPr>
        <w:spacing w:before="0" w:after="0" w:line="240" w:lineRule="auto"/>
      </w:pPr>
      <w:r>
        <w:continuationSeparator/>
      </w:r>
    </w:p>
  </w:endnote>
  <w:endnote w:type="continuationNotice" w:id="1">
    <w:p w14:paraId="1C5E8C37" w14:textId="77777777" w:rsidR="000863ED" w:rsidRDefault="000863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altName w:val="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232382"/>
      <w:docPartObj>
        <w:docPartGallery w:val="Page Numbers (Bottom of Page)"/>
        <w:docPartUnique/>
      </w:docPartObj>
    </w:sdtPr>
    <w:sdtEndPr>
      <w:rPr>
        <w:i/>
        <w:iCs/>
      </w:rPr>
    </w:sdtEndPr>
    <w:sdtContent>
      <w:sdt>
        <w:sdtPr>
          <w:id w:val="-1769616900"/>
          <w:docPartObj>
            <w:docPartGallery w:val="Page Numbers (Top of Page)"/>
            <w:docPartUnique/>
          </w:docPartObj>
        </w:sdtPr>
        <w:sdtEndPr>
          <w:rPr>
            <w:i/>
            <w:iCs/>
          </w:rPr>
        </w:sdtEndPr>
        <w:sdtContent>
          <w:p w14:paraId="224C56EC" w14:textId="462DE139" w:rsidR="000B12FD" w:rsidRPr="00581CEA" w:rsidRDefault="00694DA8" w:rsidP="00694DA8">
            <w:pPr>
              <w:pStyle w:val="Footer"/>
              <w:rPr>
                <w:b/>
                <w:bCs/>
                <w:sz w:val="24"/>
                <w:szCs w:val="24"/>
              </w:rPr>
            </w:pPr>
            <w:r>
              <w:t>Aboriginal and Torres Strait Islander Researchers and Research Statement</w:t>
            </w:r>
            <w:r w:rsidR="0011004F">
              <w:tab/>
            </w:r>
            <w:r w:rsidR="002B0512">
              <w:t xml:space="preserve">Page </w:t>
            </w:r>
            <w:r w:rsidR="002B0512">
              <w:rPr>
                <w:b/>
                <w:bCs/>
                <w:sz w:val="24"/>
                <w:szCs w:val="24"/>
              </w:rPr>
              <w:fldChar w:fldCharType="begin"/>
            </w:r>
            <w:r w:rsidR="002B0512">
              <w:rPr>
                <w:b/>
                <w:bCs/>
              </w:rPr>
              <w:instrText xml:space="preserve"> PAGE </w:instrText>
            </w:r>
            <w:r w:rsidR="002B0512">
              <w:rPr>
                <w:b/>
                <w:bCs/>
                <w:sz w:val="24"/>
                <w:szCs w:val="24"/>
              </w:rPr>
              <w:fldChar w:fldCharType="separate"/>
            </w:r>
            <w:r w:rsidR="002B0512">
              <w:rPr>
                <w:b/>
                <w:bCs/>
                <w:noProof/>
              </w:rPr>
              <w:t>2</w:t>
            </w:r>
            <w:r w:rsidR="002B0512">
              <w:rPr>
                <w:b/>
                <w:bCs/>
                <w:sz w:val="24"/>
                <w:szCs w:val="24"/>
              </w:rPr>
              <w:fldChar w:fldCharType="end"/>
            </w:r>
            <w:r w:rsidR="002B0512">
              <w:t xml:space="preserve"> of </w:t>
            </w:r>
            <w:r w:rsidR="002B0512">
              <w:rPr>
                <w:b/>
                <w:bCs/>
                <w:sz w:val="24"/>
                <w:szCs w:val="24"/>
              </w:rPr>
              <w:fldChar w:fldCharType="begin"/>
            </w:r>
            <w:r w:rsidR="002B0512">
              <w:rPr>
                <w:b/>
                <w:bCs/>
              </w:rPr>
              <w:instrText xml:space="preserve"> NUMPAGES  </w:instrText>
            </w:r>
            <w:r w:rsidR="002B0512">
              <w:rPr>
                <w:b/>
                <w:bCs/>
                <w:sz w:val="24"/>
                <w:szCs w:val="24"/>
              </w:rPr>
              <w:fldChar w:fldCharType="separate"/>
            </w:r>
            <w:r w:rsidR="002B0512">
              <w:rPr>
                <w:b/>
                <w:bCs/>
                <w:noProof/>
              </w:rPr>
              <w:t>2</w:t>
            </w:r>
            <w:r w:rsidR="002B0512">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25D4" w14:textId="77777777" w:rsidR="00583318" w:rsidRDefault="00583318">
    <w:pPr>
      <w:pStyle w:val="Footer"/>
    </w:pPr>
    <w:r>
      <w:rPr>
        <w:noProof/>
        <w:color w:val="FFFFFF"/>
        <w:shd w:val="clear" w:color="auto" w:fill="1F487C"/>
      </w:rPr>
      <w:drawing>
        <wp:anchor distT="0" distB="0" distL="114300" distR="114300" simplePos="0" relativeHeight="251658240" behindDoc="1" locked="0" layoutInCell="1" allowOverlap="1" wp14:anchorId="0B3BB19D" wp14:editId="0C199081">
          <wp:simplePos x="0" y="0"/>
          <wp:positionH relativeFrom="column">
            <wp:posOffset>-841518</wp:posOffset>
          </wp:positionH>
          <wp:positionV relativeFrom="paragraph">
            <wp:posOffset>276225</wp:posOffset>
          </wp:positionV>
          <wp:extent cx="7600950" cy="334283"/>
          <wp:effectExtent l="0" t="0" r="0" b="8890"/>
          <wp:wrapNone/>
          <wp:docPr id="1627467472" name="Picture 162746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0950" cy="3342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E7B0A" w14:textId="77777777" w:rsidR="000863ED" w:rsidRDefault="000863ED">
      <w:pPr>
        <w:spacing w:before="0" w:after="0" w:line="240" w:lineRule="auto"/>
      </w:pPr>
      <w:r>
        <w:separator/>
      </w:r>
    </w:p>
  </w:footnote>
  <w:footnote w:type="continuationSeparator" w:id="0">
    <w:p w14:paraId="5C94BC88" w14:textId="77777777" w:rsidR="000863ED" w:rsidRDefault="000863ED">
      <w:pPr>
        <w:spacing w:before="0" w:after="0" w:line="240" w:lineRule="auto"/>
      </w:pPr>
      <w:r>
        <w:continuationSeparator/>
      </w:r>
    </w:p>
  </w:footnote>
  <w:footnote w:type="continuationNotice" w:id="1">
    <w:p w14:paraId="2CBFBC8C" w14:textId="77777777" w:rsidR="000863ED" w:rsidRDefault="000863E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BD75" w14:textId="77777777" w:rsidR="00E13A06" w:rsidRPr="00D01F2A" w:rsidRDefault="00D01F2A" w:rsidP="00D01F2A">
    <w:pPr>
      <w:pStyle w:val="Header"/>
    </w:pPr>
    <w:r>
      <w:rPr>
        <w:noProof/>
      </w:rPr>
      <w:drawing>
        <wp:anchor distT="0" distB="0" distL="114300" distR="114300" simplePos="0" relativeHeight="251658241" behindDoc="0" locked="0" layoutInCell="1" allowOverlap="1" wp14:anchorId="65A6A2DE" wp14:editId="44C3164F">
          <wp:simplePos x="0" y="0"/>
          <wp:positionH relativeFrom="page">
            <wp:posOffset>-27940</wp:posOffset>
          </wp:positionH>
          <wp:positionV relativeFrom="page">
            <wp:posOffset>-34925</wp:posOffset>
          </wp:positionV>
          <wp:extent cx="7584440" cy="1680845"/>
          <wp:effectExtent l="0" t="0" r="0" b="0"/>
          <wp:wrapTopAndBottom/>
          <wp:docPr id="137600081" name="Picture 137600081" descr="Australian Government - Australian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ustralian Government - Australian Research Council"/>
                  <pic:cNvPicPr/>
                </pic:nvPicPr>
                <pic:blipFill rotWithShape="1">
                  <a:blip r:embed="rId1"/>
                  <a:srcRect b="36892"/>
                  <a:stretch/>
                </pic:blipFill>
                <pic:spPr bwMode="auto">
                  <a:xfrm>
                    <a:off x="0" y="0"/>
                    <a:ext cx="7584440" cy="168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C3F"/>
    <w:multiLevelType w:val="hybridMultilevel"/>
    <w:tmpl w:val="FD484C58"/>
    <w:lvl w:ilvl="0" w:tplc="F488BC68">
      <w:numFmt w:val="bullet"/>
      <w:lvlText w:val="o"/>
      <w:lvlJc w:val="left"/>
      <w:pPr>
        <w:ind w:left="1080" w:hanging="360"/>
      </w:pPr>
      <w:rPr>
        <w:rFonts w:ascii="Courier New" w:eastAsia="Courier New" w:hAnsi="Courier New" w:cs="Courier New"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1" w15:restartNumberingAfterBreak="0">
    <w:nsid w:val="049322A6"/>
    <w:multiLevelType w:val="multilevel"/>
    <w:tmpl w:val="E38C138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92D21FD"/>
    <w:multiLevelType w:val="hybridMultilevel"/>
    <w:tmpl w:val="4904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47679"/>
    <w:multiLevelType w:val="hybridMultilevel"/>
    <w:tmpl w:val="A5425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081FE4"/>
    <w:multiLevelType w:val="hybridMultilevel"/>
    <w:tmpl w:val="C4EC25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E30C06"/>
    <w:multiLevelType w:val="hybridMultilevel"/>
    <w:tmpl w:val="D39A6BDA"/>
    <w:lvl w:ilvl="0" w:tplc="0C090001">
      <w:start w:val="1"/>
      <w:numFmt w:val="bullet"/>
      <w:lvlText w:val=""/>
      <w:lvlJc w:val="left"/>
      <w:pPr>
        <w:ind w:left="720" w:hanging="360"/>
      </w:pPr>
      <w:rPr>
        <w:rFonts w:ascii="Symbol" w:hAnsi="Symbol"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94703"/>
    <w:multiLevelType w:val="hybridMultilevel"/>
    <w:tmpl w:val="1786DD98"/>
    <w:lvl w:ilvl="0" w:tplc="7D6618EE">
      <w:numFmt w:val="bullet"/>
      <w:lvlText w:val="–"/>
      <w:lvlJc w:val="left"/>
      <w:pPr>
        <w:ind w:left="180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1D311B50"/>
    <w:multiLevelType w:val="hybridMultilevel"/>
    <w:tmpl w:val="3AF887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65318D"/>
    <w:multiLevelType w:val="multilevel"/>
    <w:tmpl w:val="49384896"/>
    <w:lvl w:ilvl="0">
      <w:start w:val="1"/>
      <w:numFmt w:val="decimal"/>
      <w:pStyle w:val="ListParagraph"/>
      <w:lvlText w:val="%1."/>
      <w:lvlJc w:val="left"/>
      <w:pPr>
        <w:ind w:left="717"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947139"/>
    <w:multiLevelType w:val="hybridMultilevel"/>
    <w:tmpl w:val="D5360E14"/>
    <w:lvl w:ilvl="0" w:tplc="7D6618EE">
      <w:numFmt w:val="bullet"/>
      <w:lvlText w:val="–"/>
      <w:lvlJc w:val="left"/>
      <w:pPr>
        <w:ind w:left="108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97A73C2"/>
    <w:multiLevelType w:val="hybridMultilevel"/>
    <w:tmpl w:val="5D0AD024"/>
    <w:lvl w:ilvl="0" w:tplc="0C090001">
      <w:start w:val="1"/>
      <w:numFmt w:val="bullet"/>
      <w:lvlText w:val=""/>
      <w:lvlJc w:val="left"/>
      <w:pPr>
        <w:ind w:left="1080" w:hanging="360"/>
      </w:pPr>
      <w:rPr>
        <w:rFonts w:ascii="Symbol" w:hAnsi="Symbol"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11" w15:restartNumberingAfterBreak="0">
    <w:nsid w:val="2F435DE2"/>
    <w:multiLevelType w:val="hybridMultilevel"/>
    <w:tmpl w:val="103AF4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1750699"/>
    <w:multiLevelType w:val="multilevel"/>
    <w:tmpl w:val="3C8C1CB8"/>
    <w:lvl w:ilvl="0">
      <w:start w:val="1"/>
      <w:numFmt w:val="bullet"/>
      <w:pStyle w:val="Bullet1"/>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Arial" w:hAnsi="Arial"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3" w15:restartNumberingAfterBreak="0">
    <w:nsid w:val="333B2AC5"/>
    <w:multiLevelType w:val="hybridMultilevel"/>
    <w:tmpl w:val="05D87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5300C7"/>
    <w:multiLevelType w:val="hybridMultilevel"/>
    <w:tmpl w:val="DDFC9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FCB08B2"/>
    <w:multiLevelType w:val="hybridMultilevel"/>
    <w:tmpl w:val="F6EAF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413F27"/>
    <w:multiLevelType w:val="hybridMultilevel"/>
    <w:tmpl w:val="2820C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21656"/>
    <w:multiLevelType w:val="multilevel"/>
    <w:tmpl w:val="317260B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
      <w:lvlJc w:val="left"/>
      <w:pPr>
        <w:tabs>
          <w:tab w:val="num" w:pos="3969"/>
        </w:tabs>
        <w:ind w:left="1021" w:hanging="341"/>
      </w:pPr>
      <w:rPr>
        <w:rFonts w:ascii="Walbaum Display Light" w:hAnsi="Walbaum Display Light"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4C786937"/>
    <w:multiLevelType w:val="hybridMultilevel"/>
    <w:tmpl w:val="7D220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030588B"/>
    <w:multiLevelType w:val="hybridMultilevel"/>
    <w:tmpl w:val="1BF6F4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6B453B7"/>
    <w:multiLevelType w:val="hybridMultilevel"/>
    <w:tmpl w:val="A3965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8A462D"/>
    <w:multiLevelType w:val="hybridMultilevel"/>
    <w:tmpl w:val="EA94B800"/>
    <w:lvl w:ilvl="0" w:tplc="7D6618EE">
      <w:numFmt w:val="bullet"/>
      <w:lvlText w:val="–"/>
      <w:lvlJc w:val="left"/>
      <w:pPr>
        <w:ind w:left="72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0C4381"/>
    <w:multiLevelType w:val="hybridMultilevel"/>
    <w:tmpl w:val="22E074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F2929C9"/>
    <w:multiLevelType w:val="hybridMultilevel"/>
    <w:tmpl w:val="A11075F2"/>
    <w:lvl w:ilvl="0" w:tplc="5866D5E2">
      <w:numFmt w:val="bullet"/>
      <w:lvlText w:val=""/>
      <w:lvlJc w:val="left"/>
      <w:pPr>
        <w:ind w:left="860" w:hanging="360"/>
      </w:pPr>
      <w:rPr>
        <w:rFonts w:ascii="Symbol" w:eastAsia="Symbol" w:hAnsi="Symbol" w:cs="Symbol" w:hint="default"/>
        <w:w w:val="100"/>
        <w:lang w:val="en-AU" w:eastAsia="en-US" w:bidi="ar-SA"/>
      </w:rPr>
    </w:lvl>
    <w:lvl w:ilvl="1" w:tplc="F488BC68">
      <w:numFmt w:val="bullet"/>
      <w:lvlText w:val="o"/>
      <w:lvlJc w:val="left"/>
      <w:pPr>
        <w:ind w:left="1580" w:hanging="360"/>
      </w:pPr>
      <w:rPr>
        <w:rFonts w:ascii="Courier New" w:eastAsia="Courier New" w:hAnsi="Courier New" w:cs="Courier New" w:hint="default"/>
        <w:b w:val="0"/>
        <w:bCs w:val="0"/>
        <w:i w:val="0"/>
        <w:iCs w:val="0"/>
        <w:w w:val="100"/>
        <w:sz w:val="24"/>
        <w:szCs w:val="24"/>
        <w:lang w:val="en-AU" w:eastAsia="en-US" w:bidi="ar-SA"/>
      </w:rPr>
    </w:lvl>
    <w:lvl w:ilvl="2" w:tplc="735028EE">
      <w:numFmt w:val="bullet"/>
      <w:lvlText w:val="•"/>
      <w:lvlJc w:val="left"/>
      <w:pPr>
        <w:ind w:left="2465" w:hanging="360"/>
      </w:pPr>
      <w:rPr>
        <w:rFonts w:hint="default"/>
        <w:lang w:val="en-AU" w:eastAsia="en-US" w:bidi="ar-SA"/>
      </w:rPr>
    </w:lvl>
    <w:lvl w:ilvl="3" w:tplc="B4525518">
      <w:numFmt w:val="bullet"/>
      <w:lvlText w:val="•"/>
      <w:lvlJc w:val="left"/>
      <w:pPr>
        <w:ind w:left="3350" w:hanging="360"/>
      </w:pPr>
      <w:rPr>
        <w:rFonts w:hint="default"/>
        <w:lang w:val="en-AU" w:eastAsia="en-US" w:bidi="ar-SA"/>
      </w:rPr>
    </w:lvl>
    <w:lvl w:ilvl="4" w:tplc="DD0EE896">
      <w:numFmt w:val="bullet"/>
      <w:lvlText w:val="•"/>
      <w:lvlJc w:val="left"/>
      <w:pPr>
        <w:ind w:left="4235" w:hanging="360"/>
      </w:pPr>
      <w:rPr>
        <w:rFonts w:hint="default"/>
        <w:lang w:val="en-AU" w:eastAsia="en-US" w:bidi="ar-SA"/>
      </w:rPr>
    </w:lvl>
    <w:lvl w:ilvl="5" w:tplc="6ED66CA6">
      <w:numFmt w:val="bullet"/>
      <w:lvlText w:val="•"/>
      <w:lvlJc w:val="left"/>
      <w:pPr>
        <w:ind w:left="5120" w:hanging="360"/>
      </w:pPr>
      <w:rPr>
        <w:rFonts w:hint="default"/>
        <w:lang w:val="en-AU" w:eastAsia="en-US" w:bidi="ar-SA"/>
      </w:rPr>
    </w:lvl>
    <w:lvl w:ilvl="6" w:tplc="820EB772">
      <w:numFmt w:val="bullet"/>
      <w:lvlText w:val="•"/>
      <w:lvlJc w:val="left"/>
      <w:pPr>
        <w:ind w:left="6005" w:hanging="360"/>
      </w:pPr>
      <w:rPr>
        <w:rFonts w:hint="default"/>
        <w:lang w:val="en-AU" w:eastAsia="en-US" w:bidi="ar-SA"/>
      </w:rPr>
    </w:lvl>
    <w:lvl w:ilvl="7" w:tplc="07DCF470">
      <w:numFmt w:val="bullet"/>
      <w:lvlText w:val="•"/>
      <w:lvlJc w:val="left"/>
      <w:pPr>
        <w:ind w:left="6890" w:hanging="360"/>
      </w:pPr>
      <w:rPr>
        <w:rFonts w:hint="default"/>
        <w:lang w:val="en-AU" w:eastAsia="en-US" w:bidi="ar-SA"/>
      </w:rPr>
    </w:lvl>
    <w:lvl w:ilvl="8" w:tplc="36920912">
      <w:numFmt w:val="bullet"/>
      <w:lvlText w:val="•"/>
      <w:lvlJc w:val="left"/>
      <w:pPr>
        <w:ind w:left="7776" w:hanging="360"/>
      </w:pPr>
      <w:rPr>
        <w:rFonts w:hint="default"/>
        <w:lang w:val="en-AU" w:eastAsia="en-US" w:bidi="ar-SA"/>
      </w:rPr>
    </w:lvl>
  </w:abstractNum>
  <w:num w:numId="1" w16cid:durableId="735861727">
    <w:abstractNumId w:val="23"/>
  </w:num>
  <w:num w:numId="2" w16cid:durableId="1708986940">
    <w:abstractNumId w:val="18"/>
  </w:num>
  <w:num w:numId="3" w16cid:durableId="1918516618">
    <w:abstractNumId w:val="3"/>
  </w:num>
  <w:num w:numId="4" w16cid:durableId="110367545">
    <w:abstractNumId w:val="2"/>
  </w:num>
  <w:num w:numId="5" w16cid:durableId="1307080505">
    <w:abstractNumId w:val="20"/>
  </w:num>
  <w:num w:numId="6" w16cid:durableId="163935548">
    <w:abstractNumId w:val="0"/>
  </w:num>
  <w:num w:numId="7" w16cid:durableId="1712999240">
    <w:abstractNumId w:val="10"/>
  </w:num>
  <w:num w:numId="8" w16cid:durableId="938491862">
    <w:abstractNumId w:val="6"/>
  </w:num>
  <w:num w:numId="9" w16cid:durableId="395904732">
    <w:abstractNumId w:val="21"/>
  </w:num>
  <w:num w:numId="10" w16cid:durableId="1887527964">
    <w:abstractNumId w:val="5"/>
  </w:num>
  <w:num w:numId="11" w16cid:durableId="1480073081">
    <w:abstractNumId w:val="12"/>
  </w:num>
  <w:num w:numId="12" w16cid:durableId="411976512">
    <w:abstractNumId w:val="13"/>
  </w:num>
  <w:num w:numId="13" w16cid:durableId="1368406589">
    <w:abstractNumId w:val="9"/>
  </w:num>
  <w:num w:numId="14" w16cid:durableId="1802532897">
    <w:abstractNumId w:val="16"/>
  </w:num>
  <w:num w:numId="15" w16cid:durableId="797995922">
    <w:abstractNumId w:val="15"/>
  </w:num>
  <w:num w:numId="16" w16cid:durableId="134690883">
    <w:abstractNumId w:val="8"/>
  </w:num>
  <w:num w:numId="17" w16cid:durableId="1748502487">
    <w:abstractNumId w:val="1"/>
  </w:num>
  <w:num w:numId="18" w16cid:durableId="1668291447">
    <w:abstractNumId w:val="17"/>
  </w:num>
  <w:num w:numId="19" w16cid:durableId="6101659">
    <w:abstractNumId w:val="19"/>
  </w:num>
  <w:num w:numId="20" w16cid:durableId="1208109190">
    <w:abstractNumId w:val="11"/>
  </w:num>
  <w:num w:numId="21" w16cid:durableId="2137874030">
    <w:abstractNumId w:val="4"/>
  </w:num>
  <w:num w:numId="22" w16cid:durableId="194124914">
    <w:abstractNumId w:val="7"/>
  </w:num>
  <w:num w:numId="23" w16cid:durableId="403377018">
    <w:abstractNumId w:val="22"/>
  </w:num>
  <w:num w:numId="24" w16cid:durableId="1728340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25"/>
    <w:rsid w:val="00024328"/>
    <w:rsid w:val="00050F5C"/>
    <w:rsid w:val="000532B3"/>
    <w:rsid w:val="00066A9A"/>
    <w:rsid w:val="000863ED"/>
    <w:rsid w:val="000879A1"/>
    <w:rsid w:val="00087A96"/>
    <w:rsid w:val="00091248"/>
    <w:rsid w:val="00092003"/>
    <w:rsid w:val="0009487B"/>
    <w:rsid w:val="00094F4B"/>
    <w:rsid w:val="000A2541"/>
    <w:rsid w:val="000B12FD"/>
    <w:rsid w:val="000B5D70"/>
    <w:rsid w:val="000E0B93"/>
    <w:rsid w:val="000F2E59"/>
    <w:rsid w:val="00102D4C"/>
    <w:rsid w:val="0011004F"/>
    <w:rsid w:val="0011527F"/>
    <w:rsid w:val="00124A8C"/>
    <w:rsid w:val="00132049"/>
    <w:rsid w:val="00137C6D"/>
    <w:rsid w:val="0019027A"/>
    <w:rsid w:val="001A4D11"/>
    <w:rsid w:val="001A5019"/>
    <w:rsid w:val="001B2A91"/>
    <w:rsid w:val="001C7016"/>
    <w:rsid w:val="001F25C0"/>
    <w:rsid w:val="001F642F"/>
    <w:rsid w:val="00201F10"/>
    <w:rsid w:val="00205EA9"/>
    <w:rsid w:val="00212AB0"/>
    <w:rsid w:val="00213EAB"/>
    <w:rsid w:val="00214040"/>
    <w:rsid w:val="00214E66"/>
    <w:rsid w:val="00215144"/>
    <w:rsid w:val="0021738D"/>
    <w:rsid w:val="00223B61"/>
    <w:rsid w:val="00225670"/>
    <w:rsid w:val="00243AFB"/>
    <w:rsid w:val="00245BA8"/>
    <w:rsid w:val="00247935"/>
    <w:rsid w:val="00250236"/>
    <w:rsid w:val="00256CE6"/>
    <w:rsid w:val="0025759F"/>
    <w:rsid w:val="002766F7"/>
    <w:rsid w:val="002808D7"/>
    <w:rsid w:val="002A2D58"/>
    <w:rsid w:val="002B0512"/>
    <w:rsid w:val="002B680F"/>
    <w:rsid w:val="002D2FB5"/>
    <w:rsid w:val="002E2557"/>
    <w:rsid w:val="002E63EB"/>
    <w:rsid w:val="00323AD9"/>
    <w:rsid w:val="00330698"/>
    <w:rsid w:val="0037106C"/>
    <w:rsid w:val="00371A5F"/>
    <w:rsid w:val="00374635"/>
    <w:rsid w:val="003833C3"/>
    <w:rsid w:val="0038413B"/>
    <w:rsid w:val="003977FF"/>
    <w:rsid w:val="00397B56"/>
    <w:rsid w:val="003B1280"/>
    <w:rsid w:val="003C517E"/>
    <w:rsid w:val="003C7A90"/>
    <w:rsid w:val="003D0996"/>
    <w:rsid w:val="003D43DE"/>
    <w:rsid w:val="003E7B59"/>
    <w:rsid w:val="003F6829"/>
    <w:rsid w:val="004028CE"/>
    <w:rsid w:val="00405C7F"/>
    <w:rsid w:val="00411FB0"/>
    <w:rsid w:val="00415291"/>
    <w:rsid w:val="00420144"/>
    <w:rsid w:val="00457290"/>
    <w:rsid w:val="00460E87"/>
    <w:rsid w:val="004652A1"/>
    <w:rsid w:val="004735D1"/>
    <w:rsid w:val="00476C5B"/>
    <w:rsid w:val="00481173"/>
    <w:rsid w:val="004822D3"/>
    <w:rsid w:val="00486D83"/>
    <w:rsid w:val="00497F51"/>
    <w:rsid w:val="00500D77"/>
    <w:rsid w:val="00505F5A"/>
    <w:rsid w:val="00510261"/>
    <w:rsid w:val="005210F6"/>
    <w:rsid w:val="00531350"/>
    <w:rsid w:val="00532DA4"/>
    <w:rsid w:val="00554B42"/>
    <w:rsid w:val="00561CA7"/>
    <w:rsid w:val="00567310"/>
    <w:rsid w:val="00567A01"/>
    <w:rsid w:val="00572F7B"/>
    <w:rsid w:val="005750A5"/>
    <w:rsid w:val="00581CEA"/>
    <w:rsid w:val="00583318"/>
    <w:rsid w:val="00592E82"/>
    <w:rsid w:val="005A32A0"/>
    <w:rsid w:val="005A65E0"/>
    <w:rsid w:val="005A738F"/>
    <w:rsid w:val="005C160F"/>
    <w:rsid w:val="005D2BAE"/>
    <w:rsid w:val="005E32E8"/>
    <w:rsid w:val="005F18DB"/>
    <w:rsid w:val="00601CE3"/>
    <w:rsid w:val="00616005"/>
    <w:rsid w:val="00616573"/>
    <w:rsid w:val="00626ECA"/>
    <w:rsid w:val="00632FF7"/>
    <w:rsid w:val="00641753"/>
    <w:rsid w:val="00645887"/>
    <w:rsid w:val="006466F6"/>
    <w:rsid w:val="006476DE"/>
    <w:rsid w:val="00673F2F"/>
    <w:rsid w:val="00694DA8"/>
    <w:rsid w:val="006A1501"/>
    <w:rsid w:val="006A5F3C"/>
    <w:rsid w:val="00721C97"/>
    <w:rsid w:val="00731EE4"/>
    <w:rsid w:val="00731FA8"/>
    <w:rsid w:val="0074258E"/>
    <w:rsid w:val="00746BF3"/>
    <w:rsid w:val="007514EB"/>
    <w:rsid w:val="00752193"/>
    <w:rsid w:val="00757F0B"/>
    <w:rsid w:val="00764590"/>
    <w:rsid w:val="0076691A"/>
    <w:rsid w:val="007B1F31"/>
    <w:rsid w:val="007C5543"/>
    <w:rsid w:val="007D4D4E"/>
    <w:rsid w:val="007D6278"/>
    <w:rsid w:val="007F2E72"/>
    <w:rsid w:val="008063CF"/>
    <w:rsid w:val="00810873"/>
    <w:rsid w:val="008113A8"/>
    <w:rsid w:val="00812E7C"/>
    <w:rsid w:val="008203EA"/>
    <w:rsid w:val="00836EA3"/>
    <w:rsid w:val="00866FD1"/>
    <w:rsid w:val="00870E71"/>
    <w:rsid w:val="008764CA"/>
    <w:rsid w:val="00894D30"/>
    <w:rsid w:val="008956EE"/>
    <w:rsid w:val="008B6717"/>
    <w:rsid w:val="008F540E"/>
    <w:rsid w:val="008F6541"/>
    <w:rsid w:val="008F7B81"/>
    <w:rsid w:val="00906DAC"/>
    <w:rsid w:val="009125EF"/>
    <w:rsid w:val="009300BE"/>
    <w:rsid w:val="00951C65"/>
    <w:rsid w:val="009548D9"/>
    <w:rsid w:val="0097456E"/>
    <w:rsid w:val="00974BA9"/>
    <w:rsid w:val="00982092"/>
    <w:rsid w:val="00986657"/>
    <w:rsid w:val="009A49EF"/>
    <w:rsid w:val="009A6A35"/>
    <w:rsid w:val="009A7231"/>
    <w:rsid w:val="009B7AF7"/>
    <w:rsid w:val="009C0770"/>
    <w:rsid w:val="009C38B5"/>
    <w:rsid w:val="009E5D21"/>
    <w:rsid w:val="009E647D"/>
    <w:rsid w:val="009F644A"/>
    <w:rsid w:val="00A07CF0"/>
    <w:rsid w:val="00A60FB2"/>
    <w:rsid w:val="00A64F2F"/>
    <w:rsid w:val="00A761AA"/>
    <w:rsid w:val="00A9476F"/>
    <w:rsid w:val="00AA6FD8"/>
    <w:rsid w:val="00AB1252"/>
    <w:rsid w:val="00AB342F"/>
    <w:rsid w:val="00AB4DB1"/>
    <w:rsid w:val="00AD1844"/>
    <w:rsid w:val="00AD4EFE"/>
    <w:rsid w:val="00B010D0"/>
    <w:rsid w:val="00B027F8"/>
    <w:rsid w:val="00B1301B"/>
    <w:rsid w:val="00B22399"/>
    <w:rsid w:val="00B26D9E"/>
    <w:rsid w:val="00B34165"/>
    <w:rsid w:val="00B34F88"/>
    <w:rsid w:val="00B56E17"/>
    <w:rsid w:val="00B67E3A"/>
    <w:rsid w:val="00B71769"/>
    <w:rsid w:val="00B736F5"/>
    <w:rsid w:val="00B73F9F"/>
    <w:rsid w:val="00B91A49"/>
    <w:rsid w:val="00B94E76"/>
    <w:rsid w:val="00BA00E1"/>
    <w:rsid w:val="00BA779F"/>
    <w:rsid w:val="00BC710C"/>
    <w:rsid w:val="00BD4D1E"/>
    <w:rsid w:val="00BE4423"/>
    <w:rsid w:val="00BE5E37"/>
    <w:rsid w:val="00C560A4"/>
    <w:rsid w:val="00C56D7B"/>
    <w:rsid w:val="00C5727F"/>
    <w:rsid w:val="00C83692"/>
    <w:rsid w:val="00C921E9"/>
    <w:rsid w:val="00C94283"/>
    <w:rsid w:val="00CB4069"/>
    <w:rsid w:val="00CC16B4"/>
    <w:rsid w:val="00CC50D9"/>
    <w:rsid w:val="00CD3D78"/>
    <w:rsid w:val="00CE39FF"/>
    <w:rsid w:val="00CE4C92"/>
    <w:rsid w:val="00CF163A"/>
    <w:rsid w:val="00D01F2A"/>
    <w:rsid w:val="00D06325"/>
    <w:rsid w:val="00D06BFA"/>
    <w:rsid w:val="00D143FB"/>
    <w:rsid w:val="00D2408C"/>
    <w:rsid w:val="00D266A4"/>
    <w:rsid w:val="00D33288"/>
    <w:rsid w:val="00D33D21"/>
    <w:rsid w:val="00D360FA"/>
    <w:rsid w:val="00D42125"/>
    <w:rsid w:val="00D42552"/>
    <w:rsid w:val="00D46A50"/>
    <w:rsid w:val="00D67928"/>
    <w:rsid w:val="00D84D1A"/>
    <w:rsid w:val="00D913B2"/>
    <w:rsid w:val="00D9356B"/>
    <w:rsid w:val="00D976BC"/>
    <w:rsid w:val="00DA5048"/>
    <w:rsid w:val="00DA6BB7"/>
    <w:rsid w:val="00DB2647"/>
    <w:rsid w:val="00DB7934"/>
    <w:rsid w:val="00DC5D4D"/>
    <w:rsid w:val="00DD4813"/>
    <w:rsid w:val="00DF662A"/>
    <w:rsid w:val="00E13A06"/>
    <w:rsid w:val="00E20EE2"/>
    <w:rsid w:val="00E278FD"/>
    <w:rsid w:val="00E35C3F"/>
    <w:rsid w:val="00E36EAF"/>
    <w:rsid w:val="00E4278E"/>
    <w:rsid w:val="00E50351"/>
    <w:rsid w:val="00E50FF6"/>
    <w:rsid w:val="00E551E5"/>
    <w:rsid w:val="00E56464"/>
    <w:rsid w:val="00E6315F"/>
    <w:rsid w:val="00E72242"/>
    <w:rsid w:val="00E912E0"/>
    <w:rsid w:val="00E95DBE"/>
    <w:rsid w:val="00EA044A"/>
    <w:rsid w:val="00EA34B7"/>
    <w:rsid w:val="00EC7389"/>
    <w:rsid w:val="00EE2E49"/>
    <w:rsid w:val="00F02917"/>
    <w:rsid w:val="00F0338F"/>
    <w:rsid w:val="00F126ED"/>
    <w:rsid w:val="00F27C3E"/>
    <w:rsid w:val="00F37E5F"/>
    <w:rsid w:val="00F65B08"/>
    <w:rsid w:val="00F678D8"/>
    <w:rsid w:val="00F946FD"/>
    <w:rsid w:val="00F95C60"/>
    <w:rsid w:val="00FA30A0"/>
    <w:rsid w:val="00FD5FC8"/>
    <w:rsid w:val="00FE0A7F"/>
    <w:rsid w:val="1C787979"/>
    <w:rsid w:val="2378687B"/>
    <w:rsid w:val="26CF2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FC8"/>
    <w:pPr>
      <w:spacing w:before="120" w:after="120" w:line="264" w:lineRule="auto"/>
    </w:pPr>
    <w:rPr>
      <w:rFonts w:ascii="Calibri" w:eastAsia="Calibri" w:hAnsi="Calibri" w:cs="Calibri"/>
      <w:color w:val="2D3037"/>
      <w:lang w:val="en-AU"/>
    </w:rPr>
  </w:style>
  <w:style w:type="paragraph" w:styleId="Heading1">
    <w:name w:val="heading 1"/>
    <w:basedOn w:val="Normal"/>
    <w:uiPriority w:val="9"/>
    <w:qFormat/>
    <w:rsid w:val="00243AFB"/>
    <w:pPr>
      <w:pBdr>
        <w:bottom w:val="single" w:sz="18" w:space="1" w:color="170F39" w:themeColor="background2" w:themeShade="80"/>
      </w:pBdr>
      <w:spacing w:before="280"/>
      <w:outlineLvl w:val="0"/>
    </w:pPr>
    <w:rPr>
      <w:rFonts w:ascii="Cambria" w:eastAsia="Arial" w:hAnsi="Cambria" w:cs="Arial"/>
      <w:bCs/>
      <w:color w:val="170F39" w:themeColor="background2" w:themeShade="80"/>
      <w:sz w:val="40"/>
      <w:szCs w:val="32"/>
    </w:rPr>
  </w:style>
  <w:style w:type="paragraph" w:styleId="Heading2">
    <w:name w:val="heading 2"/>
    <w:uiPriority w:val="9"/>
    <w:unhideWhenUsed/>
    <w:qFormat/>
    <w:rsid w:val="00FD5FC8"/>
    <w:pPr>
      <w:spacing w:before="120" w:after="60"/>
      <w:outlineLvl w:val="1"/>
    </w:pPr>
    <w:rPr>
      <w:rFonts w:ascii="Calibri" w:eastAsiaTheme="majorEastAsia" w:hAnsi="Calibri" w:cstheme="majorBidi"/>
      <w:b/>
      <w:i/>
      <w:color w:val="292750" w:themeColor="accent1" w:themeShade="80"/>
      <w:sz w:val="28"/>
      <w:szCs w:val="24"/>
      <w:lang w:val="en-AU"/>
    </w:rPr>
  </w:style>
  <w:style w:type="paragraph" w:styleId="Heading3">
    <w:name w:val="heading 3"/>
    <w:basedOn w:val="Normal"/>
    <w:next w:val="Normal"/>
    <w:link w:val="Heading3Char"/>
    <w:uiPriority w:val="9"/>
    <w:unhideWhenUsed/>
    <w:qFormat/>
    <w:rsid w:val="00FD5FC8"/>
    <w:pPr>
      <w:keepNext/>
      <w:keepLines/>
      <w:spacing w:after="40"/>
      <w:outlineLvl w:val="2"/>
    </w:pPr>
    <w:rPr>
      <w:rFonts w:eastAsiaTheme="majorEastAsia" w:cstheme="majorBidi"/>
      <w:b/>
      <w:color w:val="292750" w:themeColor="accent1" w:themeShade="80"/>
      <w:sz w:val="24"/>
      <w:szCs w:val="24"/>
      <w:u w:val="single"/>
    </w:rPr>
  </w:style>
  <w:style w:type="paragraph" w:styleId="Heading4">
    <w:name w:val="heading 4"/>
    <w:basedOn w:val="Normal"/>
    <w:next w:val="Normal"/>
    <w:link w:val="Heading4Char"/>
    <w:uiPriority w:val="9"/>
    <w:unhideWhenUsed/>
    <w:qFormat/>
    <w:rsid w:val="00397B56"/>
    <w:pPr>
      <w:keepNext/>
      <w:keepLines/>
      <w:spacing w:before="40" w:after="0"/>
      <w:outlineLvl w:val="3"/>
    </w:pPr>
    <w:rPr>
      <w:rFonts w:eastAsiaTheme="majorEastAsia" w:cstheme="majorBidi"/>
      <w:i/>
      <w:iCs/>
      <w:color w:val="3E3A78" w:themeColor="accent1" w:themeShade="BF"/>
    </w:rPr>
  </w:style>
  <w:style w:type="paragraph" w:styleId="Heading5">
    <w:name w:val="heading 5"/>
    <w:basedOn w:val="Normal"/>
    <w:next w:val="Normal"/>
    <w:link w:val="Heading5Char"/>
    <w:uiPriority w:val="9"/>
    <w:semiHidden/>
    <w:unhideWhenUsed/>
    <w:qFormat/>
    <w:rsid w:val="00397B56"/>
    <w:pPr>
      <w:keepNext/>
      <w:keepLines/>
      <w:spacing w:before="40" w:after="0"/>
      <w:outlineLvl w:val="4"/>
    </w:pPr>
    <w:rPr>
      <w:rFonts w:asciiTheme="majorHAnsi" w:eastAsiaTheme="majorEastAsia" w:hAnsiTheme="majorHAnsi" w:cstheme="majorBidi"/>
      <w:color w:val="3E3A7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7B56"/>
    <w:rPr>
      <w:sz w:val="24"/>
      <w:szCs w:val="24"/>
    </w:rPr>
  </w:style>
  <w:style w:type="paragraph" w:styleId="Title">
    <w:name w:val="Title"/>
    <w:basedOn w:val="Normal"/>
    <w:uiPriority w:val="10"/>
    <w:qFormat/>
    <w:rsid w:val="002A2D58"/>
    <w:pPr>
      <w:pBdr>
        <w:bottom w:val="single" w:sz="24" w:space="1" w:color="auto"/>
      </w:pBdr>
      <w:spacing w:before="99"/>
      <w:outlineLvl w:val="0"/>
    </w:pPr>
    <w:rPr>
      <w:rFonts w:ascii="Dovetail MVB" w:eastAsia="Cambria" w:hAnsi="Dovetail MVB" w:cs="Cambria"/>
      <w:color w:val="auto"/>
      <w:sz w:val="96"/>
      <w:szCs w:val="44"/>
    </w:rPr>
  </w:style>
  <w:style w:type="paragraph" w:styleId="ListParagraph">
    <w:name w:val="List Paragraph"/>
    <w:basedOn w:val="Normal"/>
    <w:uiPriority w:val="1"/>
    <w:qFormat/>
    <w:rsid w:val="00497F51"/>
    <w:pPr>
      <w:numPr>
        <w:numId w:val="16"/>
      </w:numPr>
      <w:spacing w:before="23"/>
    </w:pPr>
    <w:rPr>
      <w:rFonts w:asciiTheme="minorHAnsi" w:hAnsiTheme="minorHAnsi"/>
      <w:szCs w:val="20"/>
    </w:rPr>
  </w:style>
  <w:style w:type="paragraph" w:customStyle="1" w:styleId="TableParagraph">
    <w:name w:val="Table Paragraph"/>
    <w:basedOn w:val="Normal"/>
    <w:uiPriority w:val="1"/>
    <w:qFormat/>
    <w:pPr>
      <w:ind w:left="108"/>
    </w:pPr>
  </w:style>
  <w:style w:type="character" w:customStyle="1" w:styleId="Heading3Char">
    <w:name w:val="Heading 3 Char"/>
    <w:basedOn w:val="DefaultParagraphFont"/>
    <w:link w:val="Heading3"/>
    <w:uiPriority w:val="9"/>
    <w:rsid w:val="00FD5FC8"/>
    <w:rPr>
      <w:rFonts w:ascii="Calibri" w:eastAsiaTheme="majorEastAsia" w:hAnsi="Calibri" w:cstheme="majorBidi"/>
      <w:b/>
      <w:color w:val="292750" w:themeColor="accent1" w:themeShade="80"/>
      <w:sz w:val="24"/>
      <w:szCs w:val="24"/>
      <w:u w:val="single"/>
      <w:lang w:val="en-AU"/>
    </w:rPr>
  </w:style>
  <w:style w:type="table" w:styleId="TableGrid">
    <w:name w:val="Table Grid"/>
    <w:basedOn w:val="TableNormal"/>
    <w:uiPriority w:val="39"/>
    <w:rsid w:val="000E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31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83318"/>
    <w:rPr>
      <w:rFonts w:ascii="Solitaire MVB Pro Sm Lt" w:eastAsia="Calibri" w:hAnsi="Solitaire MVB Pro Sm Lt" w:cs="Calibri"/>
      <w:lang w:val="en-AU"/>
    </w:rPr>
  </w:style>
  <w:style w:type="paragraph" w:styleId="Footer">
    <w:name w:val="footer"/>
    <w:basedOn w:val="Normal"/>
    <w:link w:val="FooterChar"/>
    <w:uiPriority w:val="99"/>
    <w:unhideWhenUsed/>
    <w:rsid w:val="0058331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83318"/>
    <w:rPr>
      <w:rFonts w:ascii="Solitaire MVB Pro Sm Lt" w:eastAsia="Calibri" w:hAnsi="Solitaire MVB Pro Sm Lt" w:cs="Calibri"/>
      <w:lang w:val="en-AU"/>
    </w:rPr>
  </w:style>
  <w:style w:type="character" w:customStyle="1" w:styleId="Heading4Char">
    <w:name w:val="Heading 4 Char"/>
    <w:basedOn w:val="DefaultParagraphFont"/>
    <w:link w:val="Heading4"/>
    <w:uiPriority w:val="9"/>
    <w:rsid w:val="00397B56"/>
    <w:rPr>
      <w:rFonts w:ascii="Calibri" w:eastAsiaTheme="majorEastAsia" w:hAnsi="Calibri" w:cstheme="majorBidi"/>
      <w:i/>
      <w:iCs/>
      <w:color w:val="3E3A78" w:themeColor="accent1" w:themeShade="BF"/>
      <w:lang w:val="en-AU"/>
    </w:rPr>
  </w:style>
  <w:style w:type="paragraph" w:styleId="TOCHeading">
    <w:name w:val="TOC Heading"/>
    <w:basedOn w:val="Heading1"/>
    <w:next w:val="Normal"/>
    <w:uiPriority w:val="39"/>
    <w:unhideWhenUsed/>
    <w:qFormat/>
    <w:rsid w:val="00BA00E1"/>
    <w:pPr>
      <w:keepNext/>
      <w:keepLines/>
      <w:widowControl/>
      <w:pBdr>
        <w:bottom w:val="none" w:sz="0" w:space="0" w:color="auto"/>
      </w:pBdr>
      <w:autoSpaceDE/>
      <w:autoSpaceDN/>
      <w:spacing w:after="0" w:line="259" w:lineRule="auto"/>
      <w:outlineLvl w:val="1"/>
    </w:pPr>
    <w:rPr>
      <w:rFonts w:ascii="Calibri" w:eastAsiaTheme="majorEastAsia" w:hAnsi="Calibri" w:cstheme="majorBidi"/>
      <w:b/>
      <w:bCs w:val="0"/>
      <w:color w:val="3E3A78" w:themeColor="accent1" w:themeShade="BF"/>
      <w:sz w:val="28"/>
      <w:lang w:val="en-US"/>
    </w:rPr>
  </w:style>
  <w:style w:type="paragraph" w:styleId="TOC1">
    <w:name w:val="toc 1"/>
    <w:basedOn w:val="Normal"/>
    <w:next w:val="Normal"/>
    <w:autoRedefine/>
    <w:uiPriority w:val="39"/>
    <w:unhideWhenUsed/>
    <w:rsid w:val="00E95DBE"/>
    <w:pPr>
      <w:spacing w:after="100"/>
    </w:pPr>
  </w:style>
  <w:style w:type="paragraph" w:styleId="TOC2">
    <w:name w:val="toc 2"/>
    <w:basedOn w:val="Normal"/>
    <w:next w:val="Normal"/>
    <w:autoRedefine/>
    <w:uiPriority w:val="39"/>
    <w:unhideWhenUsed/>
    <w:rsid w:val="00E95DBE"/>
    <w:pPr>
      <w:spacing w:after="100"/>
      <w:ind w:left="220"/>
    </w:pPr>
  </w:style>
  <w:style w:type="paragraph" w:styleId="TOC3">
    <w:name w:val="toc 3"/>
    <w:basedOn w:val="Normal"/>
    <w:next w:val="Normal"/>
    <w:autoRedefine/>
    <w:uiPriority w:val="39"/>
    <w:unhideWhenUsed/>
    <w:rsid w:val="00E95DBE"/>
    <w:pPr>
      <w:spacing w:after="100"/>
      <w:ind w:left="440"/>
    </w:pPr>
  </w:style>
  <w:style w:type="character" w:styleId="Hyperlink">
    <w:name w:val="Hyperlink"/>
    <w:basedOn w:val="DefaultParagraphFont"/>
    <w:uiPriority w:val="99"/>
    <w:unhideWhenUsed/>
    <w:rsid w:val="00E95DBE"/>
    <w:rPr>
      <w:color w:val="0563C1" w:themeColor="hyperlink"/>
      <w:u w:val="single"/>
    </w:rPr>
  </w:style>
  <w:style w:type="character" w:styleId="PlaceholderText">
    <w:name w:val="Placeholder Text"/>
    <w:basedOn w:val="DefaultParagraphFont"/>
    <w:uiPriority w:val="99"/>
    <w:semiHidden/>
    <w:rsid w:val="00B1301B"/>
    <w:rPr>
      <w:color w:val="808080"/>
    </w:rPr>
  </w:style>
  <w:style w:type="character" w:customStyle="1" w:styleId="Heading5Char">
    <w:name w:val="Heading 5 Char"/>
    <w:basedOn w:val="DefaultParagraphFont"/>
    <w:link w:val="Heading5"/>
    <w:uiPriority w:val="9"/>
    <w:semiHidden/>
    <w:rsid w:val="00397B56"/>
    <w:rPr>
      <w:rFonts w:asciiTheme="majorHAnsi" w:eastAsiaTheme="majorEastAsia" w:hAnsiTheme="majorHAnsi" w:cstheme="majorBidi"/>
      <w:color w:val="3E3A78" w:themeColor="accent1" w:themeShade="BF"/>
      <w:lang w:val="en-AU"/>
    </w:rPr>
  </w:style>
  <w:style w:type="paragraph" w:customStyle="1" w:styleId="Bullet1">
    <w:name w:val="Bullet1"/>
    <w:basedOn w:val="Normal"/>
    <w:uiPriority w:val="4"/>
    <w:qFormat/>
    <w:rsid w:val="008B6717"/>
    <w:pPr>
      <w:widowControl/>
      <w:numPr>
        <w:numId w:val="11"/>
      </w:numPr>
      <w:suppressAutoHyphens/>
      <w:autoSpaceDE/>
      <w:autoSpaceDN/>
      <w:spacing w:line="280" w:lineRule="exact"/>
      <w:ind w:left="697"/>
    </w:pPr>
    <w:rPr>
      <w:rFonts w:eastAsia="Times New Roman" w:cs="Arial"/>
      <w:u w:color="000000"/>
      <w:lang w:eastAsia="en-AU"/>
    </w:rPr>
  </w:style>
  <w:style w:type="character" w:styleId="Strong">
    <w:name w:val="Strong"/>
    <w:uiPriority w:val="22"/>
    <w:qFormat/>
    <w:rsid w:val="005A738F"/>
    <w:rPr>
      <w:rFonts w:ascii="Times New Roman" w:hAnsi="Times New Roman"/>
      <w:b/>
      <w:bCs/>
      <w:i w:val="0"/>
      <w:color w:val="auto"/>
      <w:sz w:val="24"/>
    </w:rPr>
  </w:style>
  <w:style w:type="paragraph" w:customStyle="1" w:styleId="Default">
    <w:name w:val="Default"/>
    <w:rsid w:val="00F0338F"/>
    <w:pPr>
      <w:widowControl/>
      <w:adjustRightInd w:val="0"/>
    </w:pPr>
    <w:rPr>
      <w:rFonts w:ascii="Cambria" w:eastAsia="Calibri" w:hAnsi="Cambria" w:cs="Cambria"/>
      <w:color w:val="000000"/>
      <w:sz w:val="24"/>
      <w:szCs w:val="24"/>
      <w:lang w:val="en-AU"/>
    </w:rPr>
  </w:style>
  <w:style w:type="character" w:styleId="Emphasis">
    <w:name w:val="Emphasis"/>
    <w:uiPriority w:val="20"/>
    <w:qFormat/>
    <w:rsid w:val="00F0338F"/>
    <w:rPr>
      <w:rFonts w:ascii="Times New Roman" w:hAnsi="Times New Roman"/>
      <w:b w:val="0"/>
      <w:i/>
      <w:iCs/>
      <w:color w:val="auto"/>
      <w:sz w:val="24"/>
    </w:rPr>
  </w:style>
  <w:style w:type="paragraph" w:styleId="Subtitle">
    <w:name w:val="Subtitle"/>
    <w:basedOn w:val="Normal"/>
    <w:next w:val="Normal"/>
    <w:link w:val="SubtitleChar"/>
    <w:uiPriority w:val="11"/>
    <w:rsid w:val="00F0338F"/>
    <w:pPr>
      <w:widowControl/>
      <w:numPr>
        <w:ilvl w:val="1"/>
      </w:numPr>
      <w:autoSpaceDE/>
      <w:autoSpaceDN/>
      <w:spacing w:line="240" w:lineRule="auto"/>
      <w:ind w:left="57"/>
    </w:pPr>
    <w:rPr>
      <w:rFonts w:ascii="Arial" w:eastAsia="Times New Roman" w:hAnsi="Arial" w:cs="Arial"/>
      <w:iCs/>
      <w:color w:val="1F497D"/>
      <w:sz w:val="40"/>
      <w:szCs w:val="24"/>
      <w:lang w:bidi="hi-IN"/>
    </w:rPr>
  </w:style>
  <w:style w:type="character" w:customStyle="1" w:styleId="SubtitleChar">
    <w:name w:val="Subtitle Char"/>
    <w:basedOn w:val="DefaultParagraphFont"/>
    <w:link w:val="Subtitle"/>
    <w:uiPriority w:val="11"/>
    <w:rsid w:val="00F0338F"/>
    <w:rPr>
      <w:rFonts w:ascii="Arial" w:eastAsia="Times New Roman" w:hAnsi="Arial" w:cs="Arial"/>
      <w:iCs/>
      <w:color w:val="1F497D"/>
      <w:sz w:val="40"/>
      <w:szCs w:val="24"/>
      <w:lang w:val="en-AU" w:bidi="hi-IN"/>
    </w:rPr>
  </w:style>
  <w:style w:type="character" w:styleId="UnresolvedMention">
    <w:name w:val="Unresolved Mention"/>
    <w:basedOn w:val="DefaultParagraphFont"/>
    <w:uiPriority w:val="99"/>
    <w:semiHidden/>
    <w:unhideWhenUsed/>
    <w:rsid w:val="00F0338F"/>
    <w:rPr>
      <w:color w:val="605E5C"/>
      <w:shd w:val="clear" w:color="auto" w:fill="E1DFDD"/>
    </w:rPr>
  </w:style>
  <w:style w:type="paragraph" w:styleId="NoSpacing">
    <w:name w:val="No Spacing"/>
    <w:uiPriority w:val="1"/>
    <w:qFormat/>
    <w:rsid w:val="009B7AF7"/>
    <w:rPr>
      <w:rFonts w:ascii="Calibri" w:eastAsia="Calibri" w:hAnsi="Calibri" w:cs="Calibri"/>
      <w:color w:val="2D3037"/>
      <w:lang w:val="en-AU"/>
    </w:rPr>
  </w:style>
  <w:style w:type="character" w:styleId="CommentReference">
    <w:name w:val="annotation reference"/>
    <w:basedOn w:val="DefaultParagraphFont"/>
    <w:uiPriority w:val="99"/>
    <w:semiHidden/>
    <w:unhideWhenUsed/>
    <w:rsid w:val="00486D83"/>
    <w:rPr>
      <w:sz w:val="16"/>
      <w:szCs w:val="16"/>
    </w:rPr>
  </w:style>
  <w:style w:type="paragraph" w:styleId="CommentText">
    <w:name w:val="annotation text"/>
    <w:basedOn w:val="Normal"/>
    <w:link w:val="CommentTextChar"/>
    <w:uiPriority w:val="99"/>
    <w:unhideWhenUsed/>
    <w:rsid w:val="00486D83"/>
    <w:pPr>
      <w:spacing w:line="240" w:lineRule="auto"/>
    </w:pPr>
    <w:rPr>
      <w:sz w:val="20"/>
      <w:szCs w:val="20"/>
    </w:rPr>
  </w:style>
  <w:style w:type="character" w:customStyle="1" w:styleId="CommentTextChar">
    <w:name w:val="Comment Text Char"/>
    <w:basedOn w:val="DefaultParagraphFont"/>
    <w:link w:val="CommentText"/>
    <w:uiPriority w:val="99"/>
    <w:rsid w:val="00486D83"/>
    <w:rPr>
      <w:rFonts w:ascii="Calibri" w:eastAsia="Calibri" w:hAnsi="Calibri" w:cs="Calibri"/>
      <w:color w:val="2D3037"/>
      <w:sz w:val="20"/>
      <w:szCs w:val="20"/>
      <w:lang w:val="en-AU"/>
    </w:rPr>
  </w:style>
  <w:style w:type="paragraph" w:styleId="CommentSubject">
    <w:name w:val="annotation subject"/>
    <w:basedOn w:val="CommentText"/>
    <w:next w:val="CommentText"/>
    <w:link w:val="CommentSubjectChar"/>
    <w:uiPriority w:val="99"/>
    <w:semiHidden/>
    <w:unhideWhenUsed/>
    <w:rsid w:val="00486D83"/>
    <w:rPr>
      <w:b/>
      <w:bCs/>
    </w:rPr>
  </w:style>
  <w:style w:type="character" w:customStyle="1" w:styleId="CommentSubjectChar">
    <w:name w:val="Comment Subject Char"/>
    <w:basedOn w:val="CommentTextChar"/>
    <w:link w:val="CommentSubject"/>
    <w:uiPriority w:val="99"/>
    <w:semiHidden/>
    <w:rsid w:val="00486D83"/>
    <w:rPr>
      <w:rFonts w:ascii="Calibri" w:eastAsia="Calibri" w:hAnsi="Calibri" w:cs="Calibri"/>
      <w:b/>
      <w:bCs/>
      <w:color w:val="2D3037"/>
      <w:sz w:val="20"/>
      <w:szCs w:val="20"/>
      <w:lang w:val="en-AU"/>
    </w:rPr>
  </w:style>
  <w:style w:type="character" w:styleId="Mention">
    <w:name w:val="Mention"/>
    <w:basedOn w:val="DefaultParagraphFont"/>
    <w:uiPriority w:val="99"/>
    <w:unhideWhenUsed/>
    <w:rsid w:val="006A5F3C"/>
    <w:rPr>
      <w:color w:val="2B579A"/>
      <w:shd w:val="clear" w:color="auto" w:fill="E1DFDD"/>
    </w:rPr>
  </w:style>
  <w:style w:type="character" w:styleId="FollowedHyperlink">
    <w:name w:val="FollowedHyperlink"/>
    <w:basedOn w:val="DefaultParagraphFont"/>
    <w:uiPriority w:val="99"/>
    <w:semiHidden/>
    <w:unhideWhenUsed/>
    <w:rsid w:val="00411F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88296">
      <w:bodyDiv w:val="1"/>
      <w:marLeft w:val="0"/>
      <w:marRight w:val="0"/>
      <w:marTop w:val="0"/>
      <w:marBottom w:val="0"/>
      <w:divBdr>
        <w:top w:val="none" w:sz="0" w:space="0" w:color="auto"/>
        <w:left w:val="none" w:sz="0" w:space="0" w:color="auto"/>
        <w:bottom w:val="none" w:sz="0" w:space="0" w:color="auto"/>
        <w:right w:val="none" w:sz="0" w:space="0" w:color="auto"/>
      </w:divBdr>
    </w:div>
    <w:div w:id="78874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rc.gov.au/news-publications/publications/making-difference" TargetMode="External"/><Relationship Id="rId3" Type="http://schemas.openxmlformats.org/officeDocument/2006/relationships/customXml" Target="../customXml/item3.xml"/><Relationship Id="rId21" Type="http://schemas.openxmlformats.org/officeDocument/2006/relationships/hyperlink" Target="mailto:info@ar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rc.gov.au/news-publications/media/network-messages/revised-australian-and-new-zealand-standard-research-classification-anzsrc-2020" TargetMode="External"/><Relationship Id="rId2" Type="http://schemas.openxmlformats.org/officeDocument/2006/relationships/customXml" Target="../customXml/item2.xml"/><Relationship Id="rId16" Type="http://schemas.openxmlformats.org/officeDocument/2006/relationships/hyperlink" Target="https://www.arc.gov.au/sites/default/files/australian-research-council-innovate-2019-2021.pdf" TargetMode="External"/><Relationship Id="rId20" Type="http://schemas.openxmlformats.org/officeDocument/2006/relationships/hyperlink" Target="https://dataportal.arc.gov.au/Lan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rc.gov.au/grants/national-competitive-grants-progra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rc.gov.au/news-publications/media/network-messages/revised-australian-and-new-zealand-standard-research-classification-anzsrc-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gov.au/policies-strategies/strategy/arc-research-workforce-statemen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7EA292317B443F82F899AEDF958003"/>
        <w:category>
          <w:name w:val="General"/>
          <w:gallery w:val="placeholder"/>
        </w:category>
        <w:types>
          <w:type w:val="bbPlcHdr"/>
        </w:types>
        <w:behaviors>
          <w:behavior w:val="content"/>
        </w:behaviors>
        <w:guid w:val="{064A98CC-816A-4016-80BE-CDB3B0DC1F2E}"/>
      </w:docPartPr>
      <w:docPartBody>
        <w:p w:rsidR="00BC220B" w:rsidRDefault="0073236D">
          <w:pPr>
            <w:pStyle w:val="497EA292317B443F82F899AEDF958003"/>
          </w:pPr>
          <w:r w:rsidRPr="00250236">
            <w:rPr>
              <w:rStyle w:val="PlaceholderText"/>
              <w:color w:val="FF0000"/>
            </w:rPr>
            <w:t>Click or tap to enter a date.</w:t>
          </w:r>
        </w:p>
      </w:docPartBody>
    </w:docPart>
    <w:docPart>
      <w:docPartPr>
        <w:name w:val="D9B6A28A33E54808AF22CD3F1C739E31"/>
        <w:category>
          <w:name w:val="General"/>
          <w:gallery w:val="placeholder"/>
        </w:category>
        <w:types>
          <w:type w:val="bbPlcHdr"/>
        </w:types>
        <w:behaviors>
          <w:behavior w:val="content"/>
        </w:behaviors>
        <w:guid w:val="{B1B868C1-10F5-4DED-B944-B6B7CB22DAA7}"/>
      </w:docPartPr>
      <w:docPartBody>
        <w:p w:rsidR="00BC220B" w:rsidRDefault="0073236D">
          <w:pPr>
            <w:pStyle w:val="D9B6A28A33E54808AF22CD3F1C739E31"/>
          </w:pPr>
          <w:r w:rsidRPr="00250236">
            <w:rPr>
              <w:rStyle w:val="PlaceholderText"/>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altName w:val="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D"/>
    <w:rsid w:val="0073236D"/>
    <w:rsid w:val="0093044D"/>
    <w:rsid w:val="00A81D5D"/>
    <w:rsid w:val="00FD6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90CC64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36D"/>
    <w:rPr>
      <w:color w:val="808080"/>
    </w:rPr>
  </w:style>
  <w:style w:type="paragraph" w:customStyle="1" w:styleId="93261A1D0F514CDD85EA0055EAC14776">
    <w:name w:val="93261A1D0F514CDD85EA0055EAC14776"/>
    <w:rsid w:val="0073236D"/>
  </w:style>
  <w:style w:type="paragraph" w:customStyle="1" w:styleId="E85F8405D71044BEAFBFA8CFDA477800">
    <w:name w:val="E85F8405D71044BEAFBFA8CFDA477800"/>
    <w:rsid w:val="0073236D"/>
  </w:style>
  <w:style w:type="paragraph" w:customStyle="1" w:styleId="497EA292317B443F82F899AEDF958003">
    <w:name w:val="497EA292317B443F82F899AEDF958003"/>
  </w:style>
  <w:style w:type="paragraph" w:customStyle="1" w:styleId="D9B6A28A33E54808AF22CD3F1C739E31">
    <w:name w:val="D9B6A28A33E54808AF22CD3F1C739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I 2024">
      <a:dk1>
        <a:sysClr val="windowText" lastClr="000000"/>
      </a:dk1>
      <a:lt1>
        <a:sysClr val="window" lastClr="FFFFFF"/>
      </a:lt1>
      <a:dk2>
        <a:srgbClr val="1A0E51"/>
      </a:dk2>
      <a:lt2>
        <a:srgbClr val="2F1E73"/>
      </a:lt2>
      <a:accent1>
        <a:srgbClr val="534EA1"/>
      </a:accent1>
      <a:accent2>
        <a:srgbClr val="8177B7"/>
      </a:accent2>
      <a:accent3>
        <a:srgbClr val="9E91C5"/>
      </a:accent3>
      <a:accent4>
        <a:srgbClr val="B9B0D7"/>
      </a:accent4>
      <a:accent5>
        <a:srgbClr val="B1921F"/>
      </a:accent5>
      <a:accent6>
        <a:srgbClr val="D2C66B"/>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fa4970-7f82-475f-885f-ec033aa4af35">
      <Terms xmlns="http://schemas.microsoft.com/office/infopath/2007/PartnerControls"/>
    </lcf76f155ced4ddcb4097134ff3c332f>
    <_Flow_SignoffStatus xmlns="58fa4970-7f82-475f-885f-ec033aa4af35" xsi:nil="true"/>
    <AllDocumentsPrinted xmlns="58fa4970-7f82-475f-885f-ec033aa4af35">false</AllDocumentsPrinted>
    <MonthandYearDone xmlns="58fa4970-7f82-475f-885f-ec033aa4af35" xsi:nil="true"/>
    <TaxCatchAll xmlns="a2e84ca8-29c3-447a-8cba-2d1310f6d81f" xsi:nil="true"/>
    <SharedWithUsers xmlns="a2e84ca8-29c3-447a-8cba-2d1310f6d81f">
      <UserInfo>
        <DisplayName>Benjamin Poulsen</DisplayName>
        <AccountId>909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23" ma:contentTypeDescription="Create a new document." ma:contentTypeScope="" ma:versionID="8533a8d4f7fcbde09044523f70199dd0">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bbba08e04c6c1becbc1ce915c684d6c1"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AllDocumentsPrinted" minOccurs="0"/>
                <xsd:element ref="ns2:MonthandYearDon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AllDocumentsPrinted" ma:index="25" nillable="true" ma:displayName="All Documents Printed" ma:default="0" ma:format="Dropdown" ma:internalName="AllDocumentsPrinted">
      <xsd:simpleType>
        <xsd:restriction base="dms:Boolean"/>
      </xsd:simpleType>
    </xsd:element>
    <xsd:element name="MonthandYearDone" ma:index="26" nillable="true" ma:displayName="Month and Year Done" ma:format="DateOnly" ma:internalName="MonthandYearDone">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649450-cc36-4ff3-bea1-b72eb8f9b69d}" ma:internalName="TaxCatchAll" ma:showField="CatchAllData" ma:web="a2e84ca8-29c3-447a-8cba-2d1310f6d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Sof19</b:Tag>
    <b:SourceType>JournalArticle</b:SourceType>
    <b:Guid>{2D07C730-FB8D-426F-A220-59AF71E43205}</b:Guid>
    <b:Author>
      <b:Author>
        <b:NameList xmlns:msxsl="urn:schemas-microsoft-com:xslt" xmlns:b="http://schemas.openxmlformats.org/officeDocument/2006/bibliography">
          <b:Person>
            <b:Last>Sofya</b:Last>
            <b:First>Brown</b:First>
            <b:Middle/>
          </b:Person>
        </b:NameList>
      </b:Author>
    </b:Author>
    <b:Title>Why People use Lorem Ipsum to represent dummy text</b:Title>
    <b:JournalName>Journal of Education</b:JournalName>
    <b:City/>
    <b:Year>2019</b:Year>
    <b:Month/>
    <b:Day/>
    <b:Pages>11-16</b:Pages>
    <b:Publisher/>
    <b:Volume>1</b:Volume>
    <b:Issue>1</b:Issue>
    <b:ShortTitle/>
    <b:StandardNumber/>
    <b:Comments/>
    <b:Medium/>
    <b:YearAccessed>2021</b:YearAccessed>
    <b:MonthAccessed>9</b:MonthAccessed>
    <b:DayAccessed>28</b:DayAccessed>
    <b:URL>https://demo.openjournaltheme.com/index.php/joe/article/view/10</b:URL>
    <b:DOI/>
    <b:RefOrder>2</b:RefOrder>
  </b:Source>
</b:Sources>
</file>

<file path=customXml/itemProps1.xml><?xml version="1.0" encoding="utf-8"?>
<ds:datastoreItem xmlns:ds="http://schemas.openxmlformats.org/officeDocument/2006/customXml" ds:itemID="{D5E9209B-B862-4075-B4E4-933CFBEEA062}">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a2e84ca8-29c3-447a-8cba-2d1310f6d81f"/>
    <ds:schemaRef ds:uri="58fa4970-7f82-475f-885f-ec033aa4af35"/>
    <ds:schemaRef ds:uri="http://www.w3.org/XML/1998/namespace"/>
    <ds:schemaRef ds:uri="http://purl.org/dc/dcmitype/"/>
  </ds:schemaRefs>
</ds:datastoreItem>
</file>

<file path=customXml/itemProps2.xml><?xml version="1.0" encoding="utf-8"?>
<ds:datastoreItem xmlns:ds="http://schemas.openxmlformats.org/officeDocument/2006/customXml" ds:itemID="{7C920A65-7396-4D24-A1CC-C6CF6FB1C8CC}">
  <ds:schemaRefs>
    <ds:schemaRef ds:uri="http://schemas.microsoft.com/sharepoint/v3/contenttype/forms"/>
  </ds:schemaRefs>
</ds:datastoreItem>
</file>

<file path=customXml/itemProps3.xml><?xml version="1.0" encoding="utf-8"?>
<ds:datastoreItem xmlns:ds="http://schemas.openxmlformats.org/officeDocument/2006/customXml" ds:itemID="{6A67EA87-89C7-49D8-A30F-805C75938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a4970-7f82-475f-885f-ec033aa4af35"/>
    <ds:schemaRef ds:uri="a2e84ca8-29c3-447a-8cba-2d1310f6d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E1E96-F350-4B6E-A6C1-9F63E445BD7B}">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2024-02-29T00:39:00Z</dcterms:created>
  <dcterms:modified xsi:type="dcterms:W3CDTF">2024-03-05T02:52:00Z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y fmtid="{D5CDD505-2E9C-101B-9397-08002B2CF9AE}" pid="3" name="MediaServiceImageTags">
    <vt:lpwstr/>
  </property>
</Properties>
</file>