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2FA3" w14:textId="77777777" w:rsidR="00F15454" w:rsidRDefault="00F15454" w:rsidP="00FE0093"/>
    <w:p w14:paraId="71F5A3A2" w14:textId="7ECF0F2C" w:rsidR="009850DE" w:rsidRPr="00FF1DE7" w:rsidRDefault="009850DE" w:rsidP="00FE0093">
      <w:pPr>
        <w:rPr>
          <w:b/>
          <w:bCs/>
        </w:rPr>
      </w:pPr>
      <w:hyperlink r:id="rId11">
        <w:r w:rsidRPr="5DE1DFF9">
          <w:rPr>
            <w:rStyle w:val="Hyperlink"/>
            <w:b/>
            <w:bCs/>
          </w:rPr>
          <w:t>Discovery Projects | Australian Research Council</w:t>
        </w:r>
      </w:hyperlink>
    </w:p>
    <w:p w14:paraId="5D0592A7" w14:textId="2B456C2C" w:rsidR="0069179E" w:rsidRPr="00081EEC" w:rsidRDefault="00D367D8" w:rsidP="0069179E">
      <w:pPr>
        <w:pStyle w:val="Heading1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>R</w:t>
      </w:r>
      <w:r w:rsidR="0069179E" w:rsidRPr="00081EEC">
        <w:rPr>
          <w:color w:val="102F4C" w:themeColor="accent3" w:themeShade="80"/>
        </w:rPr>
        <w:t>eview of the</w:t>
      </w:r>
      <w:r w:rsidRPr="00081EEC">
        <w:rPr>
          <w:color w:val="102F4C" w:themeColor="accent3" w:themeShade="80"/>
        </w:rPr>
        <w:t xml:space="preserve"> Discovery Projects </w:t>
      </w:r>
      <w:r w:rsidR="00FC604D" w:rsidRPr="00081EEC">
        <w:rPr>
          <w:color w:val="102F4C" w:themeColor="accent3" w:themeShade="80"/>
        </w:rPr>
        <w:t>2-</w:t>
      </w:r>
      <w:r w:rsidR="18A3D6C4" w:rsidRPr="00081EEC">
        <w:rPr>
          <w:color w:val="102F4C" w:themeColor="accent3" w:themeShade="80"/>
        </w:rPr>
        <w:t>step</w:t>
      </w:r>
      <w:r w:rsidR="00661E74" w:rsidRPr="00081EEC">
        <w:rPr>
          <w:color w:val="102F4C" w:themeColor="accent3" w:themeShade="80"/>
        </w:rPr>
        <w:t xml:space="preserve"> application</w:t>
      </w:r>
      <w:r w:rsidR="0069179E" w:rsidRPr="00081EEC">
        <w:rPr>
          <w:color w:val="102F4C" w:themeColor="accent3" w:themeShade="80"/>
        </w:rPr>
        <w:t xml:space="preserve"> process </w:t>
      </w:r>
    </w:p>
    <w:p w14:paraId="515C9012" w14:textId="33711720" w:rsidR="00185565" w:rsidRPr="00081EEC" w:rsidRDefault="00185565" w:rsidP="00185565">
      <w:pPr>
        <w:pStyle w:val="Heading2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 xml:space="preserve">Overview  </w:t>
      </w:r>
    </w:p>
    <w:p w14:paraId="0F2472BD" w14:textId="59290563" w:rsidR="00936800" w:rsidRDefault="00FE0093" w:rsidP="00FE0093">
      <w:r>
        <w:t>In 202</w:t>
      </w:r>
      <w:r w:rsidR="76CE0EC0">
        <w:t>3</w:t>
      </w:r>
      <w:r>
        <w:t xml:space="preserve">, </w:t>
      </w:r>
      <w:r w:rsidR="00546495">
        <w:t>in</w:t>
      </w:r>
      <w:r w:rsidR="6F1E014D">
        <w:t xml:space="preserve"> response to the recommendations of the </w:t>
      </w:r>
      <w:hyperlink r:id="rId12">
        <w:r w:rsidR="00E072E9" w:rsidRPr="4B641BF6">
          <w:rPr>
            <w:rStyle w:val="Hyperlink"/>
          </w:rPr>
          <w:t>Review of the Australian Research Council Act 2001</w:t>
        </w:r>
      </w:hyperlink>
      <w:r>
        <w:t xml:space="preserve">, the ARC introduced a </w:t>
      </w:r>
      <w:r w:rsidR="006B4B01">
        <w:t>2</w:t>
      </w:r>
      <w:r w:rsidR="00CF177B">
        <w:t>-</w:t>
      </w:r>
      <w:r w:rsidR="098F4FD2">
        <w:t xml:space="preserve">step </w:t>
      </w:r>
      <w:r>
        <w:t xml:space="preserve">application process for </w:t>
      </w:r>
      <w:r w:rsidR="00546495">
        <w:t xml:space="preserve">the </w:t>
      </w:r>
      <w:r>
        <w:t>Discovery Projects</w:t>
      </w:r>
      <w:r w:rsidR="00A3488A">
        <w:t xml:space="preserve"> (DP)</w:t>
      </w:r>
      <w:r w:rsidR="00546495">
        <w:t xml:space="preserve"> scheme</w:t>
      </w:r>
      <w:r>
        <w:t xml:space="preserve">. </w:t>
      </w:r>
    </w:p>
    <w:p w14:paraId="50C80DAC" w14:textId="18FD928E" w:rsidR="00FE0093" w:rsidRPr="00FF1DE7" w:rsidRDefault="0F921218" w:rsidP="00FE0093">
      <w:r>
        <w:t xml:space="preserve">The </w:t>
      </w:r>
      <w:r w:rsidR="002A4323">
        <w:t>new</w:t>
      </w:r>
      <w:r>
        <w:t xml:space="preserve"> process </w:t>
      </w:r>
      <w:r w:rsidR="00421E23">
        <w:t xml:space="preserve">added an Expression of Interest (EOI) stage prior to full applications. </w:t>
      </w:r>
      <w:r w:rsidR="00FE0093">
        <w:t xml:space="preserve">Applicants first submitted a </w:t>
      </w:r>
      <w:r w:rsidR="009A6366">
        <w:t xml:space="preserve">2 </w:t>
      </w:r>
      <w:r w:rsidR="00B8792C">
        <w:t>page</w:t>
      </w:r>
      <w:r w:rsidR="00236D39">
        <w:t xml:space="preserve"> </w:t>
      </w:r>
      <w:r w:rsidR="00FE0093">
        <w:t xml:space="preserve">EOI, </w:t>
      </w:r>
      <w:r w:rsidR="6FF68978">
        <w:t xml:space="preserve">which was assessed </w:t>
      </w:r>
      <w:r w:rsidR="007F7853">
        <w:t xml:space="preserve">individually </w:t>
      </w:r>
      <w:r w:rsidR="6FF68978">
        <w:t xml:space="preserve">by </w:t>
      </w:r>
      <w:r w:rsidR="006B4B01">
        <w:t xml:space="preserve">3 </w:t>
      </w:r>
      <w:r w:rsidR="6FF68978">
        <w:t xml:space="preserve">members of the </w:t>
      </w:r>
      <w:hyperlink r:id="rId13">
        <w:r w:rsidR="6FF68978" w:rsidRPr="4B641BF6">
          <w:rPr>
            <w:rStyle w:val="Hyperlink"/>
          </w:rPr>
          <w:t>ARC College of Experts</w:t>
        </w:r>
      </w:hyperlink>
      <w:r w:rsidR="007F5D64">
        <w:t xml:space="preserve"> (College)</w:t>
      </w:r>
      <w:r w:rsidR="001668B4">
        <w:t>. O</w:t>
      </w:r>
      <w:r w:rsidR="00FE0093">
        <w:t xml:space="preserve">nly proposals </w:t>
      </w:r>
      <w:r w:rsidR="190D5F6A">
        <w:t xml:space="preserve">shortlisted in this assessment </w:t>
      </w:r>
      <w:r w:rsidR="699A56F4">
        <w:t>step</w:t>
      </w:r>
      <w:r w:rsidR="190D5F6A">
        <w:t xml:space="preserve"> </w:t>
      </w:r>
      <w:r w:rsidR="00FE0093">
        <w:t>were invited to submit a full application.</w:t>
      </w:r>
    </w:p>
    <w:p w14:paraId="2B909407" w14:textId="4D0EF482" w:rsidR="00854F01" w:rsidRDefault="00E048A4" w:rsidP="00FE0093">
      <w:r>
        <w:t>The introduction of an EOI process</w:t>
      </w:r>
      <w:r w:rsidR="00FE0093" w:rsidRPr="00FF1DE7">
        <w:t xml:space="preserve"> aimed to</w:t>
      </w:r>
      <w:r w:rsidR="00854F01">
        <w:t>:</w:t>
      </w:r>
      <w:r w:rsidR="00FE0093" w:rsidRPr="00FF1DE7">
        <w:t xml:space="preserve"> </w:t>
      </w:r>
    </w:p>
    <w:p w14:paraId="619CD0BF" w14:textId="62E8DAE8" w:rsidR="005B5931" w:rsidRDefault="005B5931" w:rsidP="00854F01">
      <w:pPr>
        <w:pStyle w:val="ListParagraph"/>
        <w:numPr>
          <w:ilvl w:val="0"/>
          <w:numId w:val="19"/>
        </w:numPr>
      </w:pPr>
      <w:r>
        <w:t>Bolster research excellence</w:t>
      </w:r>
      <w:r w:rsidR="0075252C">
        <w:t>;</w:t>
      </w:r>
      <w:r>
        <w:t xml:space="preserve"> </w:t>
      </w:r>
    </w:p>
    <w:p w14:paraId="337E04F8" w14:textId="51F1F85B" w:rsidR="00854F01" w:rsidRDefault="00854F01" w:rsidP="00854F01">
      <w:pPr>
        <w:pStyle w:val="ListParagraph"/>
        <w:numPr>
          <w:ilvl w:val="0"/>
          <w:numId w:val="19"/>
        </w:numPr>
      </w:pPr>
      <w:r>
        <w:t>R</w:t>
      </w:r>
      <w:r w:rsidR="00E90152">
        <w:t>educe</w:t>
      </w:r>
      <w:r w:rsidR="00FE0093" w:rsidRPr="00FF1DE7">
        <w:t xml:space="preserve"> </w:t>
      </w:r>
      <w:r w:rsidR="00913ECB">
        <w:t>administrative burden</w:t>
      </w:r>
      <w:r w:rsidR="004767BE">
        <w:t xml:space="preserve"> for</w:t>
      </w:r>
      <w:r w:rsidR="00913ECB">
        <w:t xml:space="preserve"> researchers</w:t>
      </w:r>
      <w:r w:rsidR="00E20E80">
        <w:t xml:space="preserve"> and ins</w:t>
      </w:r>
      <w:r w:rsidR="004767BE">
        <w:t>titutions</w:t>
      </w:r>
      <w:r w:rsidR="0CC4BDE8">
        <w:t>;</w:t>
      </w:r>
    </w:p>
    <w:p w14:paraId="588B21D6" w14:textId="5A536714" w:rsidR="00854F01" w:rsidRDefault="00854F01" w:rsidP="00854F01">
      <w:pPr>
        <w:pStyle w:val="ListParagraph"/>
        <w:numPr>
          <w:ilvl w:val="0"/>
          <w:numId w:val="19"/>
        </w:numPr>
      </w:pPr>
      <w:r>
        <w:t>A</w:t>
      </w:r>
      <w:r w:rsidR="00A5298A">
        <w:t xml:space="preserve">ddress </w:t>
      </w:r>
      <w:r w:rsidR="004767BE">
        <w:t>delays between submission and outcomes</w:t>
      </w:r>
      <w:r w:rsidR="24A82E9A">
        <w:t>;</w:t>
      </w:r>
    </w:p>
    <w:p w14:paraId="01F0424B" w14:textId="0860CE3C" w:rsidR="00854F01" w:rsidRDefault="00854F01" w:rsidP="00854F01">
      <w:pPr>
        <w:pStyle w:val="ListParagraph"/>
        <w:numPr>
          <w:ilvl w:val="0"/>
          <w:numId w:val="19"/>
        </w:numPr>
      </w:pPr>
      <w:r>
        <w:t>I</w:t>
      </w:r>
      <w:r w:rsidR="006B3E18">
        <w:t xml:space="preserve">mprove assessment </w:t>
      </w:r>
      <w:r w:rsidR="00043B8F">
        <w:t>efficiency; and</w:t>
      </w:r>
      <w:r w:rsidR="00C215C2">
        <w:t xml:space="preserve"> </w:t>
      </w:r>
    </w:p>
    <w:p w14:paraId="25C15BBA" w14:textId="604109E3" w:rsidR="00FE0093" w:rsidRPr="00FF1DE7" w:rsidRDefault="00854F01" w:rsidP="00854F01">
      <w:pPr>
        <w:pStyle w:val="ListParagraph"/>
        <w:numPr>
          <w:ilvl w:val="0"/>
          <w:numId w:val="19"/>
        </w:numPr>
      </w:pPr>
      <w:r>
        <w:t>E</w:t>
      </w:r>
      <w:r w:rsidR="006B3E18">
        <w:t>nhance</w:t>
      </w:r>
      <w:r w:rsidR="006B3E18" w:rsidRPr="008171ED">
        <w:t xml:space="preserve"> the success rate at the full application stage</w:t>
      </w:r>
      <w:r w:rsidR="006B3E18">
        <w:t xml:space="preserve">. </w:t>
      </w:r>
    </w:p>
    <w:p w14:paraId="49C2AAD7" w14:textId="32076EF9" w:rsidR="00FE0093" w:rsidRPr="00FE0093" w:rsidRDefault="007F1088" w:rsidP="00FE0093">
      <w:r>
        <w:t>In 2025, t</w:t>
      </w:r>
      <w:r w:rsidR="00FE0093">
        <w:t>he ARC conducted a</w:t>
      </w:r>
      <w:r w:rsidR="00BB559B">
        <w:t>n internal</w:t>
      </w:r>
      <w:r w:rsidR="00FE0093">
        <w:t xml:space="preserve"> review </w:t>
      </w:r>
      <w:r w:rsidR="76CC2835">
        <w:t xml:space="preserve">of the </w:t>
      </w:r>
      <w:r w:rsidR="00FC604D">
        <w:t>2-</w:t>
      </w:r>
      <w:r w:rsidR="4F889986">
        <w:t>step</w:t>
      </w:r>
      <w:r w:rsidR="76CC2835">
        <w:t xml:space="preserve"> </w:t>
      </w:r>
      <w:r w:rsidR="00E87247">
        <w:t xml:space="preserve">application </w:t>
      </w:r>
      <w:r w:rsidR="76CC2835">
        <w:t xml:space="preserve">process </w:t>
      </w:r>
      <w:r w:rsidR="00FE0093">
        <w:t xml:space="preserve">after </w:t>
      </w:r>
      <w:r w:rsidR="00C121E6">
        <w:t xml:space="preserve">3 EOI </w:t>
      </w:r>
      <w:r w:rsidR="56BD59CC">
        <w:t>rounds</w:t>
      </w:r>
      <w:r w:rsidR="00300E62">
        <w:t xml:space="preserve"> (DP25</w:t>
      </w:r>
      <w:r w:rsidR="00C121E6">
        <w:t xml:space="preserve">, </w:t>
      </w:r>
      <w:r w:rsidR="00B570C3">
        <w:t>DP26</w:t>
      </w:r>
      <w:r w:rsidR="00C121E6">
        <w:t>, DP27</w:t>
      </w:r>
      <w:r w:rsidR="00B570C3">
        <w:t>)</w:t>
      </w:r>
      <w:r w:rsidR="00FE0093">
        <w:t xml:space="preserve">. </w:t>
      </w:r>
      <w:r w:rsidR="0095704F">
        <w:t>This</w:t>
      </w:r>
      <w:r w:rsidR="009868E7" w:rsidRPr="00CB34D7">
        <w:t xml:space="preserve"> </w:t>
      </w:r>
      <w:r w:rsidR="00FE0093" w:rsidRPr="00CB34D7">
        <w:t>summary outlines</w:t>
      </w:r>
      <w:r w:rsidR="009868E7" w:rsidRPr="00CB34D7">
        <w:t xml:space="preserve"> key learnings from the review supported by </w:t>
      </w:r>
      <w:r w:rsidR="00B960EE" w:rsidRPr="00CB34D7">
        <w:t xml:space="preserve">data analysis provided </w:t>
      </w:r>
      <w:r w:rsidR="00546E19">
        <w:t>at</w:t>
      </w:r>
      <w:r w:rsidR="00546E19" w:rsidRPr="00CB34D7">
        <w:t xml:space="preserve"> </w:t>
      </w:r>
      <w:r w:rsidR="00B960EE" w:rsidRPr="00CB34D7">
        <w:rPr>
          <w:u w:val="single"/>
        </w:rPr>
        <w:t>Appendix A</w:t>
      </w:r>
      <w:r w:rsidR="00B960EE" w:rsidRPr="00CB34D7">
        <w:t xml:space="preserve">. </w:t>
      </w:r>
      <w:r w:rsidR="00C121E6" w:rsidRPr="00CB34D7">
        <w:t xml:space="preserve">The data </w:t>
      </w:r>
      <w:r w:rsidR="00B77DBC" w:rsidRPr="00CB34D7">
        <w:t xml:space="preserve">used for the review </w:t>
      </w:r>
      <w:r w:rsidR="00FF03FE" w:rsidRPr="00CB34D7">
        <w:t>includes</w:t>
      </w:r>
      <w:r w:rsidR="00B77DBC" w:rsidRPr="00CB34D7">
        <w:t xml:space="preserve"> </w:t>
      </w:r>
      <w:r w:rsidR="00FF03FE" w:rsidRPr="00CB34D7">
        <w:t xml:space="preserve">analysis on EOI outcomes for DP25, DP26 and DP27, and </w:t>
      </w:r>
      <w:r w:rsidR="00B77DBC" w:rsidRPr="00CB34D7">
        <w:t>full application outcomes for DP25 and DP26</w:t>
      </w:r>
      <w:r w:rsidR="008B7130">
        <w:rPr>
          <w:rStyle w:val="FootnoteReference"/>
        </w:rPr>
        <w:footnoteReference w:id="1"/>
      </w:r>
      <w:r w:rsidR="0072543A">
        <w:t>.</w:t>
      </w:r>
      <w:r w:rsidR="00546E19">
        <w:t xml:space="preserve"> </w:t>
      </w:r>
      <w:r w:rsidR="004C26DB">
        <w:t xml:space="preserve">DP27 full applications are under assessment and outcomes are not yet available. </w:t>
      </w:r>
    </w:p>
    <w:p w14:paraId="4C20D525" w14:textId="67F7296D" w:rsidR="00FE0093" w:rsidRPr="00081EEC" w:rsidRDefault="00782403" w:rsidP="00940D5E">
      <w:pPr>
        <w:pStyle w:val="Heading2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 xml:space="preserve">Key </w:t>
      </w:r>
      <w:r w:rsidR="00A5298A" w:rsidRPr="00081EEC">
        <w:rPr>
          <w:color w:val="102F4C" w:themeColor="accent3" w:themeShade="80"/>
        </w:rPr>
        <w:t>learning</w:t>
      </w:r>
      <w:r w:rsidR="008B5144" w:rsidRPr="00081EEC">
        <w:rPr>
          <w:color w:val="102F4C" w:themeColor="accent3" w:themeShade="80"/>
        </w:rPr>
        <w:t>s</w:t>
      </w:r>
    </w:p>
    <w:p w14:paraId="387F9AF1" w14:textId="50663BB7" w:rsidR="00151C56" w:rsidRPr="00081EEC" w:rsidRDefault="00151C56" w:rsidP="00151C56">
      <w:pPr>
        <w:pStyle w:val="Heading3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 xml:space="preserve">Impact of application </w:t>
      </w:r>
      <w:r w:rsidR="009C01C1" w:rsidRPr="00081EEC">
        <w:rPr>
          <w:color w:val="102F4C" w:themeColor="accent3" w:themeShade="80"/>
        </w:rPr>
        <w:t>format</w:t>
      </w:r>
    </w:p>
    <w:p w14:paraId="5E5634C8" w14:textId="30DFF99B" w:rsidR="00D9055F" w:rsidRDefault="00A816BB" w:rsidP="00D9055F">
      <w:pPr>
        <w:pStyle w:val="ListParagraph"/>
        <w:numPr>
          <w:ilvl w:val="0"/>
          <w:numId w:val="30"/>
        </w:numPr>
      </w:pPr>
      <w:r>
        <w:t xml:space="preserve">The introduction of an EOI stage led to a substantial increase in the total number of applications submitted to the scheme. Analysis shows no evidence </w:t>
      </w:r>
      <w:r w:rsidR="00132F0C">
        <w:t xml:space="preserve">that the </w:t>
      </w:r>
      <w:r w:rsidR="00132F0C">
        <w:lastRenderedPageBreak/>
        <w:t xml:space="preserve">EOI stage </w:t>
      </w:r>
      <w:r w:rsidR="00356FD0">
        <w:t xml:space="preserve">resulted in increased </w:t>
      </w:r>
      <w:r w:rsidR="0026118B">
        <w:t xml:space="preserve">research excellence through more competitive applications </w:t>
      </w:r>
      <w:r w:rsidR="00BF6A67">
        <w:t>in the</w:t>
      </w:r>
      <w:r w:rsidR="0026118B">
        <w:t xml:space="preserve"> scheme (</w:t>
      </w:r>
      <w:r w:rsidR="00CF2792">
        <w:t>compared to</w:t>
      </w:r>
      <w:r w:rsidR="0026118B">
        <w:t xml:space="preserve"> </w:t>
      </w:r>
      <w:r w:rsidR="0026118B" w:rsidRPr="00CB34D7">
        <w:t>pre-EOI rounds</w:t>
      </w:r>
      <w:r w:rsidR="0026118B">
        <w:t>)</w:t>
      </w:r>
      <w:r w:rsidR="0026118B" w:rsidRPr="00CB34D7">
        <w:t xml:space="preserve">. </w:t>
      </w:r>
      <w:r w:rsidR="0026118B">
        <w:t xml:space="preserve"> </w:t>
      </w:r>
    </w:p>
    <w:p w14:paraId="12BD913A" w14:textId="15C0BD97" w:rsidR="00DA4774" w:rsidRDefault="00DA4774" w:rsidP="008A51B3">
      <w:pPr>
        <w:pStyle w:val="ListParagraph"/>
        <w:numPr>
          <w:ilvl w:val="0"/>
          <w:numId w:val="30"/>
        </w:numPr>
      </w:pPr>
      <w:r w:rsidRPr="00FE0093">
        <w:t>More researchers applied because the EOI was quicker to prepare</w:t>
      </w:r>
      <w:r w:rsidRPr="00C73257">
        <w:t xml:space="preserve"> </w:t>
      </w:r>
      <w:r w:rsidRPr="00FE0093">
        <w:t>a</w:t>
      </w:r>
      <w:r>
        <w:t>s a</w:t>
      </w:r>
      <w:r w:rsidRPr="00FE0093">
        <w:t xml:space="preserve"> </w:t>
      </w:r>
      <w:r>
        <w:t>2-page</w:t>
      </w:r>
      <w:r w:rsidRPr="00FE0093">
        <w:t xml:space="preserve"> project pitch</w:t>
      </w:r>
      <w:r>
        <w:t xml:space="preserve"> with no budget</w:t>
      </w:r>
      <w:r w:rsidR="00CC6FAF">
        <w:t xml:space="preserve"> requirement</w:t>
      </w:r>
      <w:r w:rsidRPr="00FE0093">
        <w:t>.</w:t>
      </w:r>
      <w:r>
        <w:t xml:space="preserve"> </w:t>
      </w:r>
      <w:r w:rsidRPr="00FE0093">
        <w:t>This</w:t>
      </w:r>
      <w:r w:rsidRPr="00FE0093" w:rsidDel="009E7C7E">
        <w:t xml:space="preserve"> </w:t>
      </w:r>
      <w:r>
        <w:t>generated</w:t>
      </w:r>
      <w:r w:rsidRPr="00FE0093">
        <w:t xml:space="preserve"> a </w:t>
      </w:r>
      <w:r>
        <w:t>larger</w:t>
      </w:r>
      <w:r w:rsidRPr="00FE0093">
        <w:t xml:space="preserve"> </w:t>
      </w:r>
      <w:r>
        <w:t xml:space="preserve">number of applications </w:t>
      </w:r>
      <w:r w:rsidR="002C16E8">
        <w:t>with</w:t>
      </w:r>
      <w:r w:rsidR="00BD3AB1">
        <w:t xml:space="preserve"> a respective</w:t>
      </w:r>
      <w:r>
        <w:t xml:space="preserve"> reduc</w:t>
      </w:r>
      <w:r w:rsidR="00BD3AB1">
        <w:t xml:space="preserve">tion </w:t>
      </w:r>
      <w:r w:rsidR="7557A9D0">
        <w:t xml:space="preserve">for applicants </w:t>
      </w:r>
      <w:r w:rsidR="00BD3AB1">
        <w:t>in</w:t>
      </w:r>
      <w:r>
        <w:t xml:space="preserve"> administrative burden at the EOI stage</w:t>
      </w:r>
      <w:r w:rsidR="00E76FD4">
        <w:t>. H</w:t>
      </w:r>
      <w:r>
        <w:t>owever</w:t>
      </w:r>
      <w:r w:rsidR="00E76FD4">
        <w:t>, for applicants progressing to the full application</w:t>
      </w:r>
      <w:r w:rsidR="00812B85">
        <w:t xml:space="preserve"> stage, the </w:t>
      </w:r>
      <w:r w:rsidR="00BD3AB1">
        <w:t xml:space="preserve">overall </w:t>
      </w:r>
      <w:r w:rsidR="00812B85">
        <w:t>a</w:t>
      </w:r>
      <w:r w:rsidR="00136CCD">
        <w:t>pplication process</w:t>
      </w:r>
      <w:r w:rsidR="00812B85">
        <w:t xml:space="preserve"> burden increased because they were required to complete</w:t>
      </w:r>
      <w:r w:rsidR="00495495">
        <w:t xml:space="preserve"> both an EOI and a full application. </w:t>
      </w:r>
      <w:r>
        <w:t xml:space="preserve"> </w:t>
      </w:r>
      <w:r w:rsidR="00C24B88">
        <w:t>Feedback</w:t>
      </w:r>
      <w:r w:rsidR="00603E03">
        <w:t xml:space="preserve"> from R</w:t>
      </w:r>
      <w:r w:rsidR="00B27EA8">
        <w:t xml:space="preserve">esearch </w:t>
      </w:r>
      <w:r w:rsidR="00603E03">
        <w:t>O</w:t>
      </w:r>
      <w:r w:rsidR="00B27EA8">
        <w:t>ffice</w:t>
      </w:r>
      <w:r w:rsidR="00603E03">
        <w:t xml:space="preserve">s </w:t>
      </w:r>
      <w:r w:rsidR="00C24B88">
        <w:t>during these three EOI</w:t>
      </w:r>
      <w:r w:rsidR="00B30C57">
        <w:t>-structured</w:t>
      </w:r>
      <w:r w:rsidR="00C24B88">
        <w:t xml:space="preserve"> </w:t>
      </w:r>
      <w:r w:rsidR="00B30C57">
        <w:t>rounds</w:t>
      </w:r>
      <w:r w:rsidR="00603E03">
        <w:t xml:space="preserve"> indic</w:t>
      </w:r>
      <w:r w:rsidR="26B397DE">
        <w:t>a</w:t>
      </w:r>
      <w:r w:rsidR="00603E03">
        <w:t xml:space="preserve">ted an increase in administrative burden which </w:t>
      </w:r>
      <w:r w:rsidR="58332953">
        <w:t xml:space="preserve">echoes </w:t>
      </w:r>
      <w:r w:rsidR="0075252C">
        <w:t>the feedback</w:t>
      </w:r>
      <w:r w:rsidR="00603E03">
        <w:t xml:space="preserve"> received by the ARC during the NCGP Policy Review consultations. </w:t>
      </w:r>
    </w:p>
    <w:p w14:paraId="38FE2127" w14:textId="2AA9597B" w:rsidR="00151C56" w:rsidRDefault="00151C56" w:rsidP="005255BE">
      <w:pPr>
        <w:pStyle w:val="ListParagraph"/>
        <w:numPr>
          <w:ilvl w:val="0"/>
          <w:numId w:val="20"/>
        </w:numPr>
      </w:pPr>
      <w:r w:rsidRPr="00FE0093">
        <w:t xml:space="preserve">The EOI format </w:t>
      </w:r>
      <w:r w:rsidR="00B30C57">
        <w:t>was</w:t>
      </w:r>
      <w:r w:rsidRPr="00FE0093">
        <w:t xml:space="preserve"> </w:t>
      </w:r>
      <w:r>
        <w:t xml:space="preserve">limited </w:t>
      </w:r>
      <w:r w:rsidR="00B30C57">
        <w:t>i</w:t>
      </w:r>
      <w:r w:rsidR="001B49CE">
        <w:t>n</w:t>
      </w:r>
      <w:r w:rsidR="00B30C57">
        <w:t xml:space="preserve"> its</w:t>
      </w:r>
      <w:r>
        <w:t xml:space="preserve"> ability to</w:t>
      </w:r>
      <w:r w:rsidRPr="00FE0093">
        <w:t xml:space="preserve"> </w:t>
      </w:r>
      <w:r w:rsidR="00B30C57">
        <w:t>capture the detail of</w:t>
      </w:r>
      <w:r w:rsidRPr="00FE0093">
        <w:t xml:space="preserve"> large or interdisciplinary projects.</w:t>
      </w:r>
      <w:r>
        <w:t xml:space="preserve"> Complex </w:t>
      </w:r>
      <w:r w:rsidRPr="00FE0093">
        <w:t xml:space="preserve">ideas </w:t>
      </w:r>
      <w:r>
        <w:t>or methodologies</w:t>
      </w:r>
      <w:r w:rsidRPr="00FE0093">
        <w:t xml:space="preserve"> may not have been captured well in </w:t>
      </w:r>
      <w:r w:rsidR="000B592B">
        <w:t>2</w:t>
      </w:r>
      <w:r w:rsidRPr="00FE0093">
        <w:t xml:space="preserve"> pages.</w:t>
      </w:r>
      <w:r w:rsidRPr="005255BE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</w:t>
      </w:r>
      <w:r w:rsidR="009F3D17">
        <w:t>For example</w:t>
      </w:r>
      <w:r w:rsidR="00F83020">
        <w:t>,</w:t>
      </w:r>
      <w:r w:rsidR="00B30C57">
        <w:t xml:space="preserve"> some </w:t>
      </w:r>
      <w:r w:rsidR="00E87D0E">
        <w:t>strong</w:t>
      </w:r>
      <w:r w:rsidRPr="00025A08">
        <w:t xml:space="preserve"> projects underperformed at </w:t>
      </w:r>
      <w:r w:rsidR="00FE0AE0" w:rsidRPr="00025A08">
        <w:t>EOI</w:t>
      </w:r>
      <w:r w:rsidR="00FE0AE0">
        <w:t xml:space="preserve"> but</w:t>
      </w:r>
      <w:r w:rsidR="00B30C57">
        <w:t xml:space="preserve"> scored</w:t>
      </w:r>
      <w:r w:rsidR="00EC31E4">
        <w:t xml:space="preserve"> higher</w:t>
      </w:r>
      <w:r w:rsidR="00B30C57">
        <w:t xml:space="preserve"> </w:t>
      </w:r>
      <w:r w:rsidRPr="00025A08">
        <w:t xml:space="preserve">at </w:t>
      </w:r>
      <w:r w:rsidR="007710F5">
        <w:t>the</w:t>
      </w:r>
      <w:r w:rsidRPr="00025A08">
        <w:t xml:space="preserve"> full application</w:t>
      </w:r>
      <w:r w:rsidR="007710F5">
        <w:t xml:space="preserve"> stage</w:t>
      </w:r>
      <w:r w:rsidR="0042720F">
        <w:t xml:space="preserve"> </w:t>
      </w:r>
      <w:r w:rsidR="00D732EC">
        <w:t>(and were recommended for funding)</w:t>
      </w:r>
      <w:r w:rsidR="00157B0A">
        <w:t xml:space="preserve">, while </w:t>
      </w:r>
      <w:r w:rsidRPr="00025A08">
        <w:t>some well</w:t>
      </w:r>
      <w:r w:rsidR="00296324" w:rsidRPr="00025A08">
        <w:t>-</w:t>
      </w:r>
      <w:r w:rsidRPr="00025A08">
        <w:t>pitched EOIs did not translate into strong full proposals</w:t>
      </w:r>
      <w:r w:rsidR="002E2D4C">
        <w:t>.</w:t>
      </w:r>
    </w:p>
    <w:p w14:paraId="666B896A" w14:textId="00E66271" w:rsidR="005255BE" w:rsidRDefault="00C6677A" w:rsidP="005255BE">
      <w:pPr>
        <w:pStyle w:val="ListParagraph"/>
        <w:numPr>
          <w:ilvl w:val="0"/>
          <w:numId w:val="20"/>
        </w:numPr>
      </w:pPr>
      <w:r>
        <w:t>To reduce duplication, selected information from EOIs was automatically populated into the full application and locked. While this reduced re-entry effort for shortlisted applicants, it created constraints</w:t>
      </w:r>
      <w:r w:rsidR="00063644">
        <w:t xml:space="preserve"> where team composition or participating organisations legitimately changed between stages (for example due to researcher mobility and partnership development). This represent</w:t>
      </w:r>
      <w:r w:rsidR="00A8336D">
        <w:t>ed</w:t>
      </w:r>
      <w:r w:rsidR="00063644">
        <w:t xml:space="preserve"> a systems design limitation associated with EOI implementation rather than a conceptual limi</w:t>
      </w:r>
      <w:r w:rsidR="00CA333B">
        <w:t>tation of EOIs as a screening mechanism.</w:t>
      </w:r>
    </w:p>
    <w:p w14:paraId="578FC885" w14:textId="3133899A" w:rsidR="000F01AA" w:rsidRPr="00081EEC" w:rsidRDefault="00DC5666" w:rsidP="000F01AA">
      <w:pPr>
        <w:pStyle w:val="Heading3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 xml:space="preserve">Impact on assessment and </w:t>
      </w:r>
      <w:r w:rsidR="000F01AA" w:rsidRPr="00081EEC">
        <w:rPr>
          <w:color w:val="102F4C" w:themeColor="accent3" w:themeShade="80"/>
        </w:rPr>
        <w:t>assessors</w:t>
      </w:r>
    </w:p>
    <w:p w14:paraId="521D239C" w14:textId="19F8ADAE" w:rsidR="00476AC4" w:rsidRDefault="003D2030" w:rsidP="005255BE">
      <w:pPr>
        <w:pStyle w:val="ListParagraph"/>
        <w:numPr>
          <w:ilvl w:val="0"/>
          <w:numId w:val="21"/>
        </w:numPr>
      </w:pPr>
      <w:r>
        <w:t>A small p</w:t>
      </w:r>
      <w:r w:rsidR="009335AE">
        <w:t>ercentage</w:t>
      </w:r>
      <w:r>
        <w:t xml:space="preserve"> of </w:t>
      </w:r>
      <w:r w:rsidR="00357EF4">
        <w:t>EOIs received highly disparate scores</w:t>
      </w:r>
      <w:r w:rsidR="006364AB">
        <w:t>.</w:t>
      </w:r>
      <w:r w:rsidR="00F637C5">
        <w:t xml:space="preserve"> </w:t>
      </w:r>
      <w:r w:rsidR="006364AB">
        <w:t>A</w:t>
      </w:r>
      <w:r w:rsidR="002D02C8">
        <w:t xml:space="preserve">cross DP25-DP27, fewer than </w:t>
      </w:r>
      <w:r w:rsidR="006F1553">
        <w:t xml:space="preserve">five per cent </w:t>
      </w:r>
      <w:r w:rsidR="00745A06">
        <w:t>of EOIs shortlisted for full application had disparate scores. The ARC’s existing calibration process</w:t>
      </w:r>
      <w:r w:rsidR="00351366">
        <w:t xml:space="preserve"> (</w:t>
      </w:r>
      <w:hyperlink r:id="rId14">
        <w:r w:rsidR="00351366">
          <w:rPr>
            <w:rStyle w:val="Hyperlink"/>
          </w:rPr>
          <w:t>available here</w:t>
        </w:r>
      </w:hyperlink>
      <w:r w:rsidR="00351366">
        <w:t>)</w:t>
      </w:r>
      <w:r w:rsidR="00B92095">
        <w:t xml:space="preserve"> mitigated the risk of disadvantage for these applicants. </w:t>
      </w:r>
    </w:p>
    <w:p w14:paraId="027733C1" w14:textId="2DFE7773" w:rsidR="00273347" w:rsidRDefault="00804AB5" w:rsidP="008A51B3">
      <w:pPr>
        <w:pStyle w:val="ListParagraph"/>
        <w:numPr>
          <w:ilvl w:val="0"/>
          <w:numId w:val="21"/>
        </w:numPr>
      </w:pPr>
      <w:r>
        <w:t>The EOI stage relied exclusively on College of Experts members as assessors and used a shorter application form. As a result, applications in highly specialised or emerging sub-fields may not have benefited from direct review by dee</w:t>
      </w:r>
      <w:r w:rsidR="00902280">
        <w:t>p subject-matter experts</w:t>
      </w:r>
      <w:r w:rsidR="00691CFF">
        <w:t xml:space="preserve">. </w:t>
      </w:r>
    </w:p>
    <w:p w14:paraId="4F4E91D8" w14:textId="17A8D86D" w:rsidR="00273347" w:rsidRPr="00273347" w:rsidRDefault="00E32A80" w:rsidP="00273347">
      <w:pPr>
        <w:pStyle w:val="ListParagraph"/>
        <w:numPr>
          <w:ilvl w:val="0"/>
          <w:numId w:val="21"/>
        </w:numPr>
      </w:pPr>
      <w:r w:rsidRPr="003A4E74">
        <w:t xml:space="preserve">There was </w:t>
      </w:r>
      <w:r w:rsidR="00AA21A6">
        <w:t>targeted</w:t>
      </w:r>
      <w:r w:rsidRPr="003A4E74" w:rsidDel="00AA21A6">
        <w:t xml:space="preserve"> </w:t>
      </w:r>
      <w:r w:rsidRPr="003A4E74">
        <w:t>use of</w:t>
      </w:r>
      <w:r w:rsidR="00D365B8" w:rsidRPr="003A4E74">
        <w:t xml:space="preserve"> </w:t>
      </w:r>
      <w:r w:rsidRPr="003A4E74">
        <w:t>assessor</w:t>
      </w:r>
      <w:r w:rsidR="00D365B8" w:rsidRPr="003A4E74">
        <w:t>s</w:t>
      </w:r>
      <w:r w:rsidRPr="003A4E74">
        <w:t xml:space="preserve"> </w:t>
      </w:r>
      <w:r w:rsidR="00D365B8" w:rsidRPr="003A4E74">
        <w:t xml:space="preserve">through the EOI process </w:t>
      </w:r>
      <w:r w:rsidR="004D00D0" w:rsidRPr="003A4E74">
        <w:t xml:space="preserve">which </w:t>
      </w:r>
      <w:r w:rsidR="004D4029" w:rsidRPr="003A4E74">
        <w:t>involved the entire College of</w:t>
      </w:r>
      <w:r w:rsidR="004D00D0" w:rsidRPr="003A4E74">
        <w:t xml:space="preserve"> </w:t>
      </w:r>
      <w:r w:rsidR="001467CB" w:rsidRPr="003A4E74">
        <w:t xml:space="preserve">Experts cohort </w:t>
      </w:r>
      <w:r w:rsidR="00A24097" w:rsidRPr="003A4E74">
        <w:t>to en</w:t>
      </w:r>
      <w:r w:rsidR="008607C6" w:rsidRPr="003A4E74">
        <w:t>sure every EOI received 3 assessments</w:t>
      </w:r>
      <w:r w:rsidR="0004189E" w:rsidRPr="003A4E74">
        <w:t>.</w:t>
      </w:r>
      <w:r w:rsidR="009744D9">
        <w:t xml:space="preserve"> </w:t>
      </w:r>
      <w:r w:rsidR="009744D9" w:rsidRPr="003F6C24">
        <w:t xml:space="preserve">The use of the full College at the EOI stage </w:t>
      </w:r>
      <w:r w:rsidR="00F97243">
        <w:t>enabled appr</w:t>
      </w:r>
      <w:r w:rsidR="00191959">
        <w:t xml:space="preserve">opriate matching of assessors for interdisciplinary applications. </w:t>
      </w:r>
      <w:r w:rsidR="009744D9" w:rsidRPr="003F6C24">
        <w:t>However, the shorter format of the EOI</w:t>
      </w:r>
      <w:r w:rsidR="00056427">
        <w:t xml:space="preserve"> </w:t>
      </w:r>
      <w:r w:rsidR="003349B7">
        <w:t>limited the extent to which</w:t>
      </w:r>
      <w:r w:rsidR="00C42033">
        <w:t xml:space="preserve"> applicants – particularly larger interdisciplinary teams – could articulate project integration and team capability, which in turn </w:t>
      </w:r>
      <w:r w:rsidR="00C42033">
        <w:lastRenderedPageBreak/>
        <w:t>constrained assessors’ ability to fully assess</w:t>
      </w:r>
      <w:r w:rsidR="00A5790A">
        <w:t xml:space="preserve"> the coherence and strength of</w:t>
      </w:r>
      <w:r w:rsidR="00C42033">
        <w:t xml:space="preserve"> </w:t>
      </w:r>
      <w:r w:rsidR="00A5790A">
        <w:t xml:space="preserve">such applications. </w:t>
      </w:r>
    </w:p>
    <w:p w14:paraId="3560BEC9" w14:textId="00D9AF5B" w:rsidR="00EB66FD" w:rsidRPr="00081EEC" w:rsidRDefault="000B2E7D" w:rsidP="00093FBF">
      <w:pPr>
        <w:pStyle w:val="Heading3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>Impact on s</w:t>
      </w:r>
      <w:r w:rsidR="00EB66FD" w:rsidRPr="00081EEC">
        <w:rPr>
          <w:color w:val="102F4C" w:themeColor="accent3" w:themeShade="80"/>
        </w:rPr>
        <w:t xml:space="preserve">cheme delivery </w:t>
      </w:r>
    </w:p>
    <w:p w14:paraId="0EFDAD39" w14:textId="4A671C00" w:rsidR="001F1FEF" w:rsidRDefault="00A1777C" w:rsidP="004E4D57">
      <w:pPr>
        <w:pStyle w:val="ListParagraph"/>
        <w:numPr>
          <w:ilvl w:val="0"/>
          <w:numId w:val="22"/>
        </w:numPr>
      </w:pPr>
      <w:r>
        <w:t>All</w:t>
      </w:r>
      <w:r w:rsidR="00EB66FD">
        <w:t xml:space="preserve"> applicants who were not shortlisted </w:t>
      </w:r>
      <w:r w:rsidR="0009390A">
        <w:t xml:space="preserve">in the </w:t>
      </w:r>
      <w:r w:rsidR="00FC604D">
        <w:t>2-</w:t>
      </w:r>
      <w:r w:rsidR="7627FC4F">
        <w:t>step</w:t>
      </w:r>
      <w:r w:rsidR="0009390A">
        <w:t xml:space="preserve"> process </w:t>
      </w:r>
      <w:r w:rsidR="00EB66FD">
        <w:t xml:space="preserve">received outcomes within </w:t>
      </w:r>
      <w:r w:rsidR="00E60C77">
        <w:t>3</w:t>
      </w:r>
      <w:r w:rsidR="00EB66FD">
        <w:t xml:space="preserve"> months, compared </w:t>
      </w:r>
      <w:r w:rsidR="000E273B">
        <w:t xml:space="preserve">to </w:t>
      </w:r>
      <w:r w:rsidR="0023614C">
        <w:t>between 8-13</w:t>
      </w:r>
      <w:r w:rsidR="00EB66FD">
        <w:t xml:space="preserve"> </w:t>
      </w:r>
      <w:r w:rsidR="0023614C">
        <w:t xml:space="preserve">months in previous rounds. </w:t>
      </w:r>
      <w:r w:rsidR="00EB66FD">
        <w:t xml:space="preserve"> </w:t>
      </w:r>
    </w:p>
    <w:p w14:paraId="03AB459B" w14:textId="2BFFBADE" w:rsidR="0067171B" w:rsidRDefault="00DA226F" w:rsidP="004E4D57">
      <w:pPr>
        <w:pStyle w:val="ListParagraph"/>
        <w:numPr>
          <w:ilvl w:val="0"/>
          <w:numId w:val="22"/>
        </w:numPr>
      </w:pPr>
      <w:r>
        <w:t xml:space="preserve">Per </w:t>
      </w:r>
      <w:r w:rsidR="00461AE8">
        <w:t>Table</w:t>
      </w:r>
      <w:r>
        <w:t xml:space="preserve"> 1</w:t>
      </w:r>
      <w:r w:rsidR="00461AE8">
        <w:t xml:space="preserve"> below</w:t>
      </w:r>
      <w:r>
        <w:t>, t</w:t>
      </w:r>
      <w:r w:rsidR="001F1FEF">
        <w:t xml:space="preserve">he </w:t>
      </w:r>
      <w:r w:rsidR="00FC604D">
        <w:t>2-</w:t>
      </w:r>
      <w:r w:rsidR="63A9DEC2">
        <w:t>step</w:t>
      </w:r>
      <w:r w:rsidR="001F1FEF">
        <w:t xml:space="preserve"> application process delivered full application outcomes on </w:t>
      </w:r>
      <w:r w:rsidR="0068224A">
        <w:t>similar</w:t>
      </w:r>
      <w:r w:rsidR="001F1FEF">
        <w:t xml:space="preserve"> </w:t>
      </w:r>
      <w:r w:rsidR="00FF3C50">
        <w:t xml:space="preserve">timeframes </w:t>
      </w:r>
      <w:r w:rsidR="0009390A">
        <w:t>as previous rounds.</w:t>
      </w:r>
      <w:r w:rsidR="00BC4955">
        <w:t xml:space="preserve"> </w:t>
      </w:r>
      <w:r w:rsidR="00F646C9" w:rsidDel="000F1A63">
        <w:t xml:space="preserve"> </w:t>
      </w:r>
    </w:p>
    <w:p w14:paraId="172227F8" w14:textId="77777777" w:rsidR="00F646C9" w:rsidRDefault="00F646C9" w:rsidP="008A51B3">
      <w:pPr>
        <w:pStyle w:val="ListParagrap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25"/>
        <w:gridCol w:w="2120"/>
        <w:gridCol w:w="1465"/>
        <w:gridCol w:w="3799"/>
      </w:tblGrid>
      <w:tr w:rsidR="00300E62" w14:paraId="0DA61543" w14:textId="77777777" w:rsidTr="00617257">
        <w:tc>
          <w:tcPr>
            <w:tcW w:w="1825" w:type="dxa"/>
            <w:shd w:val="clear" w:color="auto" w:fill="0E2841" w:themeFill="text2"/>
          </w:tcPr>
          <w:p w14:paraId="7C6E09C5" w14:textId="01906B53" w:rsidR="00411C9D" w:rsidRPr="00927028" w:rsidRDefault="00411C9D" w:rsidP="00411C9D">
            <w:pPr>
              <w:rPr>
                <w:b/>
                <w:bCs/>
                <w:color w:val="FFFFFF" w:themeColor="background1"/>
              </w:rPr>
            </w:pPr>
            <w:r w:rsidRPr="00927028">
              <w:rPr>
                <w:b/>
                <w:bCs/>
                <w:color w:val="FFFFFF" w:themeColor="background1"/>
              </w:rPr>
              <w:t>Funding round</w:t>
            </w:r>
          </w:p>
        </w:tc>
        <w:tc>
          <w:tcPr>
            <w:tcW w:w="2120" w:type="dxa"/>
            <w:shd w:val="clear" w:color="auto" w:fill="0E2841" w:themeFill="text2"/>
          </w:tcPr>
          <w:p w14:paraId="2479B9B0" w14:textId="32064E4D" w:rsidR="00411C9D" w:rsidRPr="00927028" w:rsidRDefault="00411C9D" w:rsidP="00411C9D">
            <w:pPr>
              <w:rPr>
                <w:b/>
                <w:bCs/>
                <w:color w:val="FFFFFF" w:themeColor="background1"/>
              </w:rPr>
            </w:pPr>
            <w:r w:rsidRPr="00927028">
              <w:rPr>
                <w:b/>
                <w:bCs/>
                <w:color w:val="FFFFFF" w:themeColor="background1"/>
              </w:rPr>
              <w:t>Scheme opened</w:t>
            </w:r>
          </w:p>
        </w:tc>
        <w:tc>
          <w:tcPr>
            <w:tcW w:w="1465" w:type="dxa"/>
            <w:shd w:val="clear" w:color="auto" w:fill="0E2841" w:themeFill="text2"/>
          </w:tcPr>
          <w:p w14:paraId="6CD556CC" w14:textId="36F3BCCD" w:rsidR="00411C9D" w:rsidRPr="00927028" w:rsidRDefault="00411C9D" w:rsidP="00411C9D">
            <w:pPr>
              <w:rPr>
                <w:b/>
                <w:bCs/>
                <w:color w:val="FFFFFF" w:themeColor="background1"/>
              </w:rPr>
            </w:pPr>
            <w:r w:rsidRPr="00927028">
              <w:rPr>
                <w:b/>
                <w:bCs/>
                <w:color w:val="FFFFFF" w:themeColor="background1"/>
              </w:rPr>
              <w:t>Announced</w:t>
            </w:r>
          </w:p>
        </w:tc>
        <w:tc>
          <w:tcPr>
            <w:tcW w:w="3799" w:type="dxa"/>
            <w:shd w:val="clear" w:color="auto" w:fill="0E2841" w:themeFill="text2"/>
          </w:tcPr>
          <w:p w14:paraId="4F6FC359" w14:textId="2CFBBC6F" w:rsidR="00411C9D" w:rsidRPr="00927028" w:rsidRDefault="00411C9D" w:rsidP="00411C9D">
            <w:pPr>
              <w:rPr>
                <w:b/>
                <w:bCs/>
                <w:color w:val="FFFFFF" w:themeColor="background1"/>
              </w:rPr>
            </w:pPr>
            <w:r w:rsidRPr="00927028">
              <w:rPr>
                <w:b/>
                <w:bCs/>
                <w:color w:val="FFFFFF" w:themeColor="background1"/>
              </w:rPr>
              <w:t>Duration</w:t>
            </w:r>
          </w:p>
        </w:tc>
      </w:tr>
      <w:tr w:rsidR="00300E62" w14:paraId="5B4C6055" w14:textId="77777777" w:rsidTr="00617257">
        <w:trPr>
          <w:trHeight w:val="585"/>
        </w:trPr>
        <w:tc>
          <w:tcPr>
            <w:tcW w:w="1825" w:type="dxa"/>
            <w:vMerge w:val="restart"/>
            <w:shd w:val="clear" w:color="auto" w:fill="A5C9EB" w:themeFill="text2" w:themeFillTint="40"/>
          </w:tcPr>
          <w:p w14:paraId="37D7D4AB" w14:textId="5F1C77A0" w:rsidR="001B5055" w:rsidRDefault="001B5055" w:rsidP="00411C9D">
            <w:r>
              <w:t>DP26</w:t>
            </w:r>
          </w:p>
        </w:tc>
        <w:tc>
          <w:tcPr>
            <w:tcW w:w="2120" w:type="dxa"/>
            <w:shd w:val="clear" w:color="auto" w:fill="A5C9EB" w:themeFill="text2" w:themeFillTint="40"/>
          </w:tcPr>
          <w:p w14:paraId="6E067DA8" w14:textId="6BE76E36" w:rsidR="001B5055" w:rsidRDefault="001B5055" w:rsidP="00411C9D">
            <w:r w:rsidRPr="007E4925">
              <w:t>EOI - 31/10/2024</w:t>
            </w:r>
          </w:p>
        </w:tc>
        <w:tc>
          <w:tcPr>
            <w:tcW w:w="1465" w:type="dxa"/>
            <w:vMerge w:val="restart"/>
            <w:shd w:val="clear" w:color="auto" w:fill="A5C9EB" w:themeFill="text2" w:themeFillTint="40"/>
          </w:tcPr>
          <w:p w14:paraId="16AE077C" w14:textId="77777777" w:rsidR="001B5055" w:rsidRPr="006D126F" w:rsidRDefault="001B5055" w:rsidP="006D126F">
            <w:r w:rsidRPr="006D126F">
              <w:t>28/10/2025 </w:t>
            </w:r>
          </w:p>
          <w:p w14:paraId="2D61D027" w14:textId="77777777" w:rsidR="001B5055" w:rsidRPr="006D126F" w:rsidRDefault="001B5055" w:rsidP="006D126F">
            <w:r w:rsidRPr="006D126F">
              <w:t>(tranche 1)</w:t>
            </w:r>
          </w:p>
          <w:p w14:paraId="497BD4FC" w14:textId="77777777" w:rsidR="001B5055" w:rsidRDefault="001B5055" w:rsidP="00411C9D"/>
          <w:p w14:paraId="0A0F988F" w14:textId="77777777" w:rsidR="001B5055" w:rsidRDefault="001B5055" w:rsidP="00411C9D"/>
        </w:tc>
        <w:tc>
          <w:tcPr>
            <w:tcW w:w="3799" w:type="dxa"/>
            <w:shd w:val="clear" w:color="auto" w:fill="A5C9EB" w:themeFill="text2" w:themeFillTint="40"/>
          </w:tcPr>
          <w:p w14:paraId="135C699D" w14:textId="099F1D21" w:rsidR="001B5055" w:rsidRDefault="001B5055" w:rsidP="00411C9D">
            <w:r w:rsidRPr="00062380">
              <w:t xml:space="preserve">EOI to </w:t>
            </w:r>
            <w:r>
              <w:t>a</w:t>
            </w:r>
            <w:r w:rsidRPr="00062380">
              <w:t>nn</w:t>
            </w:r>
            <w:r w:rsidR="00D17A45">
              <w:t>ouncement</w:t>
            </w:r>
            <w:r w:rsidRPr="00062380">
              <w:t xml:space="preserve"> - 11 months, 29 days</w:t>
            </w:r>
          </w:p>
        </w:tc>
      </w:tr>
      <w:tr w:rsidR="00300E62" w14:paraId="3F0FBA0A" w14:textId="77777777" w:rsidTr="00617257">
        <w:trPr>
          <w:trHeight w:val="585"/>
        </w:trPr>
        <w:tc>
          <w:tcPr>
            <w:tcW w:w="1825" w:type="dxa"/>
            <w:vMerge/>
            <w:shd w:val="clear" w:color="auto" w:fill="A5C9EB" w:themeFill="text2" w:themeFillTint="40"/>
          </w:tcPr>
          <w:p w14:paraId="61506FD2" w14:textId="77777777" w:rsidR="001B5055" w:rsidRDefault="001B5055" w:rsidP="00411C9D"/>
        </w:tc>
        <w:tc>
          <w:tcPr>
            <w:tcW w:w="2120" w:type="dxa"/>
            <w:shd w:val="clear" w:color="auto" w:fill="A5C9EB" w:themeFill="text2" w:themeFillTint="40"/>
          </w:tcPr>
          <w:p w14:paraId="65DEAFC4" w14:textId="17BAD35D" w:rsidR="001B5055" w:rsidRPr="007E4925" w:rsidRDefault="001B5055" w:rsidP="007E4925">
            <w:r w:rsidRPr="007E4925">
              <w:t xml:space="preserve">Full </w:t>
            </w:r>
            <w:r>
              <w:t>a</w:t>
            </w:r>
            <w:r w:rsidRPr="007E4925">
              <w:t>pp</w:t>
            </w:r>
            <w:r>
              <w:t>lication</w:t>
            </w:r>
            <w:r w:rsidRPr="007E4925">
              <w:t xml:space="preserve"> - 5/03/2025</w:t>
            </w:r>
          </w:p>
        </w:tc>
        <w:tc>
          <w:tcPr>
            <w:tcW w:w="1465" w:type="dxa"/>
            <w:vMerge/>
            <w:shd w:val="clear" w:color="auto" w:fill="A5C9EB" w:themeFill="text2" w:themeFillTint="40"/>
          </w:tcPr>
          <w:p w14:paraId="2B09E24C" w14:textId="77777777" w:rsidR="001B5055" w:rsidRPr="006D126F" w:rsidRDefault="001B5055" w:rsidP="006D126F"/>
        </w:tc>
        <w:tc>
          <w:tcPr>
            <w:tcW w:w="3799" w:type="dxa"/>
            <w:shd w:val="clear" w:color="auto" w:fill="A5C9EB" w:themeFill="text2" w:themeFillTint="40"/>
          </w:tcPr>
          <w:p w14:paraId="353B4D42" w14:textId="0B6D2517" w:rsidR="001B5055" w:rsidRPr="00062380" w:rsidRDefault="00D17A45" w:rsidP="00062380">
            <w:r w:rsidRPr="00062380">
              <w:t xml:space="preserve">Full </w:t>
            </w:r>
            <w:r>
              <w:t>a</w:t>
            </w:r>
            <w:r w:rsidRPr="00062380">
              <w:t>pp</w:t>
            </w:r>
            <w:r w:rsidR="00A2741F">
              <w:t>lication</w:t>
            </w:r>
            <w:r w:rsidRPr="00062380">
              <w:t xml:space="preserve"> to </w:t>
            </w:r>
            <w:r>
              <w:t>a</w:t>
            </w:r>
            <w:r w:rsidRPr="00062380">
              <w:t>nn</w:t>
            </w:r>
            <w:r w:rsidR="00A2741F">
              <w:t>ouncement</w:t>
            </w:r>
            <w:r w:rsidRPr="00062380">
              <w:t xml:space="preserve"> - 7 months, 24 days</w:t>
            </w:r>
          </w:p>
        </w:tc>
      </w:tr>
      <w:tr w:rsidR="005255BE" w14:paraId="6AFB7FAD" w14:textId="77777777" w:rsidTr="00617257">
        <w:trPr>
          <w:trHeight w:val="585"/>
        </w:trPr>
        <w:tc>
          <w:tcPr>
            <w:tcW w:w="1825" w:type="dxa"/>
            <w:vMerge w:val="restart"/>
            <w:shd w:val="clear" w:color="auto" w:fill="A5C9EB" w:themeFill="text2" w:themeFillTint="40"/>
          </w:tcPr>
          <w:p w14:paraId="48F22C66" w14:textId="788A7801" w:rsidR="00A225B0" w:rsidRDefault="00A225B0" w:rsidP="00411C9D">
            <w:r>
              <w:t>DP25</w:t>
            </w:r>
          </w:p>
        </w:tc>
        <w:tc>
          <w:tcPr>
            <w:tcW w:w="2120" w:type="dxa"/>
            <w:shd w:val="clear" w:color="auto" w:fill="A5C9EB" w:themeFill="text2" w:themeFillTint="40"/>
          </w:tcPr>
          <w:p w14:paraId="0D9E1994" w14:textId="627684EF" w:rsidR="00A225B0" w:rsidRDefault="00A225B0" w:rsidP="00411C9D">
            <w:r>
              <w:t>EOI - 22/02/2024</w:t>
            </w:r>
          </w:p>
        </w:tc>
        <w:tc>
          <w:tcPr>
            <w:tcW w:w="1465" w:type="dxa"/>
            <w:vMerge w:val="restart"/>
            <w:shd w:val="clear" w:color="auto" w:fill="A5C9EB" w:themeFill="text2" w:themeFillTint="40"/>
          </w:tcPr>
          <w:p w14:paraId="0547F20D" w14:textId="73787E6C" w:rsidR="00A225B0" w:rsidRDefault="00A225B0" w:rsidP="00411C9D">
            <w:r>
              <w:t>26/11/2024</w:t>
            </w:r>
          </w:p>
        </w:tc>
        <w:tc>
          <w:tcPr>
            <w:tcW w:w="3799" w:type="dxa"/>
            <w:shd w:val="clear" w:color="auto" w:fill="A5C9EB" w:themeFill="text2" w:themeFillTint="40"/>
          </w:tcPr>
          <w:p w14:paraId="341D8170" w14:textId="22889E7E" w:rsidR="00A225B0" w:rsidRDefault="00A225B0" w:rsidP="00A225B0">
            <w:r w:rsidRPr="002857B5">
              <w:t xml:space="preserve">EOI to </w:t>
            </w:r>
            <w:r>
              <w:t>a</w:t>
            </w:r>
            <w:r w:rsidRPr="002857B5">
              <w:t>nn</w:t>
            </w:r>
            <w:r>
              <w:t>ouncement</w:t>
            </w:r>
            <w:r w:rsidRPr="002857B5">
              <w:t xml:space="preserve"> - 10 months, 5 days</w:t>
            </w:r>
          </w:p>
        </w:tc>
      </w:tr>
      <w:tr w:rsidR="005255BE" w14:paraId="37E27C98" w14:textId="77777777" w:rsidTr="00617257">
        <w:trPr>
          <w:trHeight w:val="585"/>
        </w:trPr>
        <w:tc>
          <w:tcPr>
            <w:tcW w:w="1825" w:type="dxa"/>
            <w:vMerge/>
            <w:shd w:val="clear" w:color="auto" w:fill="A5C9EB" w:themeFill="text2" w:themeFillTint="40"/>
          </w:tcPr>
          <w:p w14:paraId="1C71F876" w14:textId="77777777" w:rsidR="00A225B0" w:rsidRDefault="00A225B0" w:rsidP="00411C9D"/>
        </w:tc>
        <w:tc>
          <w:tcPr>
            <w:tcW w:w="2120" w:type="dxa"/>
            <w:shd w:val="clear" w:color="auto" w:fill="A5C9EB" w:themeFill="text2" w:themeFillTint="40"/>
          </w:tcPr>
          <w:p w14:paraId="5B558522" w14:textId="0B56FC50" w:rsidR="00A225B0" w:rsidRDefault="00A225B0" w:rsidP="00411C9D">
            <w:r>
              <w:t>Full application – 11/04/2024</w:t>
            </w:r>
          </w:p>
        </w:tc>
        <w:tc>
          <w:tcPr>
            <w:tcW w:w="1465" w:type="dxa"/>
            <w:vMerge/>
            <w:shd w:val="clear" w:color="auto" w:fill="A5C9EB" w:themeFill="text2" w:themeFillTint="40"/>
          </w:tcPr>
          <w:p w14:paraId="7AE14104" w14:textId="77777777" w:rsidR="00A225B0" w:rsidRDefault="00A225B0" w:rsidP="00411C9D"/>
        </w:tc>
        <w:tc>
          <w:tcPr>
            <w:tcW w:w="3799" w:type="dxa"/>
            <w:shd w:val="clear" w:color="auto" w:fill="A5C9EB" w:themeFill="text2" w:themeFillTint="40"/>
          </w:tcPr>
          <w:p w14:paraId="2E882439" w14:textId="60DA8E8E" w:rsidR="00A225B0" w:rsidRPr="002857B5" w:rsidRDefault="00A225B0" w:rsidP="002857B5">
            <w:r w:rsidRPr="002857B5">
              <w:t xml:space="preserve">Full </w:t>
            </w:r>
            <w:r w:rsidR="006E6A6B">
              <w:t>a</w:t>
            </w:r>
            <w:r w:rsidRPr="002857B5">
              <w:t>pp</w:t>
            </w:r>
            <w:r w:rsidR="006E6A6B">
              <w:t>lication</w:t>
            </w:r>
            <w:r w:rsidRPr="002857B5">
              <w:t xml:space="preserve"> to </w:t>
            </w:r>
            <w:r w:rsidR="006E6A6B">
              <w:t>a</w:t>
            </w:r>
            <w:r w:rsidRPr="002857B5">
              <w:t>nn</w:t>
            </w:r>
            <w:r w:rsidR="006E6A6B">
              <w:t>ouncement</w:t>
            </w:r>
            <w:r w:rsidRPr="002857B5">
              <w:t xml:space="preserve"> - 7 months, 16 days</w:t>
            </w:r>
          </w:p>
        </w:tc>
      </w:tr>
      <w:tr w:rsidR="00300E62" w14:paraId="24560B27" w14:textId="77777777" w:rsidTr="0034302B">
        <w:tc>
          <w:tcPr>
            <w:tcW w:w="1825" w:type="dxa"/>
            <w:shd w:val="clear" w:color="auto" w:fill="FFFFFF" w:themeFill="background1"/>
          </w:tcPr>
          <w:p w14:paraId="378A5C58" w14:textId="1FFCC3C2" w:rsidR="00411C9D" w:rsidRDefault="00411C9D" w:rsidP="00411C9D">
            <w:r>
              <w:t>DP24</w:t>
            </w:r>
          </w:p>
        </w:tc>
        <w:tc>
          <w:tcPr>
            <w:tcW w:w="2120" w:type="dxa"/>
            <w:shd w:val="clear" w:color="auto" w:fill="FFFFFF" w:themeFill="background1"/>
          </w:tcPr>
          <w:p w14:paraId="52056DDD" w14:textId="5513A65E" w:rsidR="00411C9D" w:rsidRDefault="00361659" w:rsidP="00411C9D">
            <w:r>
              <w:t>1/12/2022</w:t>
            </w:r>
          </w:p>
        </w:tc>
        <w:tc>
          <w:tcPr>
            <w:tcW w:w="1465" w:type="dxa"/>
            <w:shd w:val="clear" w:color="auto" w:fill="FFFFFF" w:themeFill="background1"/>
          </w:tcPr>
          <w:p w14:paraId="3554A595" w14:textId="010BB828" w:rsidR="00411C9D" w:rsidRDefault="00361659" w:rsidP="00411C9D">
            <w:r>
              <w:t>30/10/2023</w:t>
            </w:r>
          </w:p>
        </w:tc>
        <w:tc>
          <w:tcPr>
            <w:tcW w:w="3799" w:type="dxa"/>
            <w:shd w:val="clear" w:color="auto" w:fill="FFFFFF" w:themeFill="background1"/>
          </w:tcPr>
          <w:p w14:paraId="0B6106FF" w14:textId="0C810AFA" w:rsidR="00411C9D" w:rsidRDefault="00361659" w:rsidP="00411C9D">
            <w:r>
              <w:t>10 months, 29 days</w:t>
            </w:r>
          </w:p>
        </w:tc>
      </w:tr>
      <w:tr w:rsidR="00300E62" w14:paraId="0E633CE9" w14:textId="77777777" w:rsidTr="0034302B">
        <w:tc>
          <w:tcPr>
            <w:tcW w:w="1825" w:type="dxa"/>
            <w:shd w:val="clear" w:color="auto" w:fill="FFFFFF" w:themeFill="background1"/>
          </w:tcPr>
          <w:p w14:paraId="13F69895" w14:textId="29EB714F" w:rsidR="00411C9D" w:rsidRDefault="00411C9D" w:rsidP="00411C9D">
            <w:r>
              <w:t>DP23</w:t>
            </w:r>
          </w:p>
        </w:tc>
        <w:tc>
          <w:tcPr>
            <w:tcW w:w="2120" w:type="dxa"/>
            <w:shd w:val="clear" w:color="auto" w:fill="FFFFFF" w:themeFill="background1"/>
          </w:tcPr>
          <w:p w14:paraId="7648558E" w14:textId="715DE56B" w:rsidR="00411C9D" w:rsidRDefault="00361659" w:rsidP="00411C9D">
            <w:r>
              <w:t>22/03/2022</w:t>
            </w:r>
          </w:p>
        </w:tc>
        <w:tc>
          <w:tcPr>
            <w:tcW w:w="1465" w:type="dxa"/>
            <w:shd w:val="clear" w:color="auto" w:fill="FFFFFF" w:themeFill="background1"/>
          </w:tcPr>
          <w:p w14:paraId="50072916" w14:textId="4180606C" w:rsidR="00411C9D" w:rsidRDefault="00361659" w:rsidP="00411C9D">
            <w:r>
              <w:t>24/11/2022</w:t>
            </w:r>
          </w:p>
        </w:tc>
        <w:tc>
          <w:tcPr>
            <w:tcW w:w="3799" w:type="dxa"/>
            <w:shd w:val="clear" w:color="auto" w:fill="FFFFFF" w:themeFill="background1"/>
          </w:tcPr>
          <w:p w14:paraId="3DC01E9D" w14:textId="70D5FB16" w:rsidR="00411C9D" w:rsidRDefault="00361659" w:rsidP="00411C9D">
            <w:r>
              <w:t>8 months, 2 days</w:t>
            </w:r>
          </w:p>
        </w:tc>
      </w:tr>
      <w:tr w:rsidR="00300E62" w14:paraId="06704FD4" w14:textId="77777777" w:rsidTr="0034302B">
        <w:tc>
          <w:tcPr>
            <w:tcW w:w="1825" w:type="dxa"/>
          </w:tcPr>
          <w:p w14:paraId="10248240" w14:textId="64C40346" w:rsidR="00411C9D" w:rsidRDefault="00411C9D" w:rsidP="00411C9D">
            <w:r>
              <w:t>DP22</w:t>
            </w:r>
          </w:p>
        </w:tc>
        <w:tc>
          <w:tcPr>
            <w:tcW w:w="2120" w:type="dxa"/>
          </w:tcPr>
          <w:p w14:paraId="63A58F4A" w14:textId="691ADE91" w:rsidR="00411C9D" w:rsidRDefault="00AB43ED" w:rsidP="00411C9D">
            <w:r>
              <w:t>11/11/2020</w:t>
            </w:r>
          </w:p>
        </w:tc>
        <w:tc>
          <w:tcPr>
            <w:tcW w:w="1465" w:type="dxa"/>
          </w:tcPr>
          <w:p w14:paraId="6176F301" w14:textId="01EEE344" w:rsidR="00411C9D" w:rsidRDefault="00AB43ED" w:rsidP="00411C9D">
            <w:r>
              <w:t>24/12/2021</w:t>
            </w:r>
          </w:p>
        </w:tc>
        <w:tc>
          <w:tcPr>
            <w:tcW w:w="3799" w:type="dxa"/>
          </w:tcPr>
          <w:p w14:paraId="2B55677F" w14:textId="1AF7587C" w:rsidR="00411C9D" w:rsidRDefault="00361659" w:rsidP="00411C9D">
            <w:r>
              <w:t>13 months, 13 days</w:t>
            </w:r>
          </w:p>
        </w:tc>
      </w:tr>
      <w:tr w:rsidR="00300E62" w14:paraId="56FA7EA3" w14:textId="77777777" w:rsidTr="0034302B">
        <w:tc>
          <w:tcPr>
            <w:tcW w:w="1825" w:type="dxa"/>
          </w:tcPr>
          <w:p w14:paraId="1DB31F95" w14:textId="13BB5E91" w:rsidR="00411C9D" w:rsidRDefault="00411C9D" w:rsidP="00411C9D">
            <w:r>
              <w:t>DP21</w:t>
            </w:r>
          </w:p>
        </w:tc>
        <w:tc>
          <w:tcPr>
            <w:tcW w:w="2120" w:type="dxa"/>
          </w:tcPr>
          <w:p w14:paraId="7BCF4701" w14:textId="7C01A027" w:rsidR="00411C9D" w:rsidRDefault="00AB43ED" w:rsidP="00411C9D">
            <w:r>
              <w:t>13/11/2019</w:t>
            </w:r>
          </w:p>
        </w:tc>
        <w:tc>
          <w:tcPr>
            <w:tcW w:w="1465" w:type="dxa"/>
          </w:tcPr>
          <w:p w14:paraId="59E3F430" w14:textId="017430B4" w:rsidR="00411C9D" w:rsidRDefault="00AB43ED" w:rsidP="00411C9D">
            <w:r>
              <w:t>13/1</w:t>
            </w:r>
            <w:r w:rsidR="00927028">
              <w:t>1</w:t>
            </w:r>
            <w:r>
              <w:t>/2020</w:t>
            </w:r>
          </w:p>
        </w:tc>
        <w:tc>
          <w:tcPr>
            <w:tcW w:w="3799" w:type="dxa"/>
          </w:tcPr>
          <w:p w14:paraId="191BB4F9" w14:textId="01854BB2" w:rsidR="00411C9D" w:rsidRDefault="00AB43ED" w:rsidP="00411C9D">
            <w:r>
              <w:t>12 months</w:t>
            </w:r>
          </w:p>
        </w:tc>
      </w:tr>
      <w:tr w:rsidR="00300E62" w14:paraId="4BFCE211" w14:textId="77777777" w:rsidTr="0034302B">
        <w:tc>
          <w:tcPr>
            <w:tcW w:w="1825" w:type="dxa"/>
          </w:tcPr>
          <w:p w14:paraId="62D9064F" w14:textId="16F1A7C2" w:rsidR="00411C9D" w:rsidRDefault="00411C9D" w:rsidP="00411C9D">
            <w:r>
              <w:t>DP20</w:t>
            </w:r>
          </w:p>
        </w:tc>
        <w:tc>
          <w:tcPr>
            <w:tcW w:w="2120" w:type="dxa"/>
          </w:tcPr>
          <w:p w14:paraId="3AD3EF66" w14:textId="0CAC9E07" w:rsidR="00411C9D" w:rsidRDefault="00411C9D" w:rsidP="00411C9D">
            <w:r>
              <w:t>10/12/2018</w:t>
            </w:r>
          </w:p>
        </w:tc>
        <w:tc>
          <w:tcPr>
            <w:tcW w:w="1465" w:type="dxa"/>
          </w:tcPr>
          <w:p w14:paraId="6F93E8B4" w14:textId="617D1FB6" w:rsidR="00411C9D" w:rsidRDefault="00AB43ED" w:rsidP="00411C9D">
            <w:r>
              <w:t>15/1</w:t>
            </w:r>
            <w:r w:rsidR="00927028">
              <w:t>1</w:t>
            </w:r>
            <w:r>
              <w:t>/2019</w:t>
            </w:r>
          </w:p>
        </w:tc>
        <w:tc>
          <w:tcPr>
            <w:tcW w:w="3799" w:type="dxa"/>
          </w:tcPr>
          <w:p w14:paraId="18533AA1" w14:textId="5E9AC9C8" w:rsidR="00411C9D" w:rsidRDefault="00AB43ED" w:rsidP="00411C9D">
            <w:r>
              <w:t>11 months, 5 days</w:t>
            </w:r>
          </w:p>
        </w:tc>
      </w:tr>
    </w:tbl>
    <w:p w14:paraId="4D5AD6F6" w14:textId="74E2BAAA" w:rsidR="0067171B" w:rsidRPr="008E6958" w:rsidRDefault="00461AE8" w:rsidP="008E6958">
      <w:pPr>
        <w:rPr>
          <w:i/>
          <w:iCs/>
        </w:rPr>
      </w:pPr>
      <w:r>
        <w:rPr>
          <w:i/>
          <w:iCs/>
        </w:rPr>
        <w:t>Table</w:t>
      </w:r>
      <w:r w:rsidR="0067171B" w:rsidRPr="008E6958">
        <w:rPr>
          <w:i/>
          <w:iCs/>
        </w:rPr>
        <w:t xml:space="preserve"> 1</w:t>
      </w:r>
      <w:r w:rsidR="0067171B">
        <w:rPr>
          <w:i/>
          <w:iCs/>
        </w:rPr>
        <w:t>:</w:t>
      </w:r>
      <w:r w:rsidR="001B34E2">
        <w:rPr>
          <w:i/>
          <w:iCs/>
        </w:rPr>
        <w:t xml:space="preserve"> Scheme delivery dates for Discovery Projects</w:t>
      </w:r>
      <w:r w:rsidR="00185C44">
        <w:rPr>
          <w:i/>
          <w:iCs/>
        </w:rPr>
        <w:t xml:space="preserve"> (DP20-</w:t>
      </w:r>
      <w:r w:rsidR="00D4445A">
        <w:rPr>
          <w:i/>
          <w:iCs/>
        </w:rPr>
        <w:t>DP</w:t>
      </w:r>
      <w:r w:rsidR="00471988">
        <w:rPr>
          <w:i/>
          <w:iCs/>
        </w:rPr>
        <w:t xml:space="preserve">26). </w:t>
      </w:r>
    </w:p>
    <w:p w14:paraId="5B366CF4" w14:textId="31827264" w:rsidR="3FA51C5A" w:rsidRPr="00081EEC" w:rsidRDefault="000B2E7D" w:rsidP="005127D8">
      <w:pPr>
        <w:pStyle w:val="Heading3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>Impact on success rates</w:t>
      </w:r>
    </w:p>
    <w:p w14:paraId="368B73FA" w14:textId="1D33838F" w:rsidR="005A15CF" w:rsidRDefault="005A15CF" w:rsidP="00A030FF">
      <w:pPr>
        <w:pStyle w:val="ListParagraph"/>
        <w:numPr>
          <w:ilvl w:val="0"/>
          <w:numId w:val="23"/>
        </w:numPr>
      </w:pPr>
      <w:r>
        <w:t>The 2-step process impacted the overall success rate when comparing EOIs to successful full applications</w:t>
      </w:r>
      <w:r w:rsidRPr="00FE0093">
        <w:t>.</w:t>
      </w:r>
    </w:p>
    <w:p w14:paraId="2A1D26A3" w14:textId="14472570" w:rsidR="003D7151" w:rsidRDefault="002F4123" w:rsidP="00D02BD6">
      <w:pPr>
        <w:pStyle w:val="ListParagraph"/>
        <w:numPr>
          <w:ilvl w:val="0"/>
          <w:numId w:val="23"/>
        </w:numPr>
      </w:pPr>
      <w:r>
        <w:t xml:space="preserve">Per </w:t>
      </w:r>
      <w:r w:rsidR="001373D7">
        <w:t>Table 2 below</w:t>
      </w:r>
      <w:r>
        <w:t>, t</w:t>
      </w:r>
      <w:r w:rsidR="005127D8">
        <w:t xml:space="preserve">he </w:t>
      </w:r>
      <w:r w:rsidR="001052A1">
        <w:t>over</w:t>
      </w:r>
      <w:r w:rsidR="00142B42">
        <w:t xml:space="preserve">all </w:t>
      </w:r>
      <w:r w:rsidR="005127D8">
        <w:t xml:space="preserve">success rate at </w:t>
      </w:r>
      <w:r w:rsidR="009204A1">
        <w:t xml:space="preserve">the </w:t>
      </w:r>
      <w:r w:rsidR="005127D8">
        <w:t xml:space="preserve">full application stage </w:t>
      </w:r>
      <w:r w:rsidR="009F0075">
        <w:t>compared to the number of EOIs submitted was 12.</w:t>
      </w:r>
      <w:r w:rsidR="00325943">
        <w:t>9 per cent</w:t>
      </w:r>
      <w:r w:rsidR="007200A9">
        <w:t>,</w:t>
      </w:r>
      <w:r w:rsidR="00F63E22">
        <w:t xml:space="preserve"> and</w:t>
      </w:r>
      <w:r w:rsidR="006125A5">
        <w:t xml:space="preserve"> </w:t>
      </w:r>
      <w:r w:rsidR="009204A1">
        <w:t xml:space="preserve">the </w:t>
      </w:r>
      <w:r w:rsidR="005127D8">
        <w:t>success rate at the full application stage</w:t>
      </w:r>
      <w:r w:rsidR="005F1335">
        <w:t xml:space="preserve"> compared to </w:t>
      </w:r>
      <w:r w:rsidR="009204A1">
        <w:t xml:space="preserve">the </w:t>
      </w:r>
      <w:r w:rsidR="005F1335">
        <w:t>number of EOIs shortlisted</w:t>
      </w:r>
      <w:r w:rsidR="005127D8">
        <w:t xml:space="preserve"> was 47.3 per cent in DP25</w:t>
      </w:r>
      <w:r w:rsidR="00A40680">
        <w:rPr>
          <w:rStyle w:val="FootnoteReference"/>
        </w:rPr>
        <w:footnoteReference w:id="2"/>
      </w:r>
      <w:r w:rsidR="00F60E7E">
        <w:t>.</w:t>
      </w:r>
      <w:r w:rsidR="005127D8">
        <w:t>still pending</w:t>
      </w:r>
      <w:r w:rsidR="0067040B">
        <w:t xml:space="preserve"> as a </w:t>
      </w:r>
      <w:r w:rsidR="00362305">
        <w:t xml:space="preserve">small number </w:t>
      </w:r>
      <w:r w:rsidR="0067040B">
        <w:t xml:space="preserve">of applications are </w:t>
      </w:r>
      <w:r w:rsidR="00362305">
        <w:t>still undergoing final due diligence checks</w:t>
      </w:r>
      <w:r w:rsidR="00162291">
        <w:t xml:space="preserve">). </w:t>
      </w:r>
    </w:p>
    <w:p w14:paraId="7C22B38B" w14:textId="05CD2550" w:rsidR="001C4191" w:rsidRPr="00A04ADD" w:rsidRDefault="00EA39E5" w:rsidP="00D02BD6">
      <w:pPr>
        <w:pStyle w:val="ListParagraph"/>
        <w:numPr>
          <w:ilvl w:val="0"/>
          <w:numId w:val="23"/>
        </w:numPr>
      </w:pPr>
      <w:r>
        <w:t xml:space="preserve">Prior to </w:t>
      </w:r>
      <w:r w:rsidR="00592055">
        <w:t xml:space="preserve">the introduction of </w:t>
      </w:r>
      <w:r w:rsidR="002A2533">
        <w:t xml:space="preserve">the </w:t>
      </w:r>
      <w:r w:rsidR="00592055">
        <w:t xml:space="preserve">2-step process, </w:t>
      </w:r>
      <w:r w:rsidR="009A169C">
        <w:t>the</w:t>
      </w:r>
      <w:r w:rsidR="00B224DA">
        <w:t xml:space="preserve"> average success rate</w:t>
      </w:r>
      <w:r w:rsidR="00C002B0">
        <w:t xml:space="preserve"> over the</w:t>
      </w:r>
      <w:r w:rsidR="009A169C">
        <w:t xml:space="preserve"> last 5 rounds of </w:t>
      </w:r>
      <w:r w:rsidR="001845EF">
        <w:t xml:space="preserve">Discovery </w:t>
      </w:r>
      <w:r w:rsidR="00F73A35">
        <w:t xml:space="preserve">Projects </w:t>
      </w:r>
      <w:r w:rsidR="00C002B0">
        <w:t>(DP</w:t>
      </w:r>
      <w:r w:rsidR="004B6A24">
        <w:t>20-DP24)</w:t>
      </w:r>
      <w:r w:rsidR="00AA5BBF">
        <w:t xml:space="preserve"> was 19.3 per cent. </w:t>
      </w:r>
      <w:r w:rsidR="00B02BCC">
        <w:t>S</w:t>
      </w:r>
      <w:r w:rsidR="00360BF6">
        <w:t xml:space="preserve">uccess rates vary relative to submission volume, and the introduction of the </w:t>
      </w:r>
      <w:r w:rsidR="009B2C82">
        <w:t>2</w:t>
      </w:r>
      <w:r w:rsidR="00B9586B">
        <w:t>-</w:t>
      </w:r>
      <w:r w:rsidR="66617876">
        <w:t>step</w:t>
      </w:r>
      <w:r w:rsidR="00360BF6">
        <w:t xml:space="preserve"> process increased application volume in the scheme.</w:t>
      </w:r>
    </w:p>
    <w:p w14:paraId="1ADD187C" w14:textId="77777777" w:rsidR="00FE0AE0" w:rsidRDefault="00FE0AE0" w:rsidP="00FE0AE0"/>
    <w:p w14:paraId="2640DBD7" w14:textId="77777777" w:rsidR="00FE0AE0" w:rsidRDefault="00FE0AE0" w:rsidP="00FE0AE0"/>
    <w:p w14:paraId="76E93FB4" w14:textId="77777777" w:rsidR="00FE0AE0" w:rsidRDefault="00FE0AE0" w:rsidP="00FE0AE0"/>
    <w:p w14:paraId="22C150DF" w14:textId="77777777" w:rsidR="00FE0AE0" w:rsidRPr="00A04ADD" w:rsidRDefault="00FE0AE0" w:rsidP="008A51B3"/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1C4191" w:rsidRPr="00DB5DAD" w14:paraId="7709C2FD" w14:textId="77777777" w:rsidTr="00F024A3">
        <w:tc>
          <w:tcPr>
            <w:tcW w:w="1502" w:type="dxa"/>
            <w:shd w:val="clear" w:color="auto" w:fill="0E2841" w:themeFill="text2"/>
          </w:tcPr>
          <w:p w14:paraId="4BCD8BDD" w14:textId="77777777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>Funding round</w:t>
            </w:r>
          </w:p>
        </w:tc>
        <w:tc>
          <w:tcPr>
            <w:tcW w:w="1503" w:type="dxa"/>
            <w:shd w:val="clear" w:color="auto" w:fill="0E2841" w:themeFill="text2"/>
          </w:tcPr>
          <w:p w14:paraId="277B8058" w14:textId="77777777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>EOIs submitted</w:t>
            </w:r>
          </w:p>
        </w:tc>
        <w:tc>
          <w:tcPr>
            <w:tcW w:w="1503" w:type="dxa"/>
            <w:shd w:val="clear" w:color="auto" w:fill="0E2841" w:themeFill="text2"/>
          </w:tcPr>
          <w:p w14:paraId="47F76864" w14:textId="77777777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 xml:space="preserve">Success rate at EOI </w:t>
            </w:r>
          </w:p>
        </w:tc>
        <w:tc>
          <w:tcPr>
            <w:tcW w:w="1502" w:type="dxa"/>
            <w:shd w:val="clear" w:color="auto" w:fill="0E2841" w:themeFill="text2"/>
          </w:tcPr>
          <w:p w14:paraId="796C958C" w14:textId="77777777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>Applications submitted</w:t>
            </w:r>
          </w:p>
        </w:tc>
        <w:tc>
          <w:tcPr>
            <w:tcW w:w="1503" w:type="dxa"/>
            <w:shd w:val="clear" w:color="auto" w:fill="0E2841" w:themeFill="text2"/>
          </w:tcPr>
          <w:p w14:paraId="55B2182A" w14:textId="77777777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 xml:space="preserve">Success rate at full application </w:t>
            </w:r>
          </w:p>
        </w:tc>
        <w:tc>
          <w:tcPr>
            <w:tcW w:w="1503" w:type="dxa"/>
            <w:shd w:val="clear" w:color="auto" w:fill="0E2841" w:themeFill="text2"/>
          </w:tcPr>
          <w:p w14:paraId="2C55EA49" w14:textId="27A1D3F0" w:rsidR="001C4191" w:rsidRPr="009C7E76" w:rsidRDefault="001C419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C7E76">
              <w:rPr>
                <w:b/>
                <w:bCs/>
                <w:color w:val="FFFFFF" w:themeColor="background1"/>
                <w:sz w:val="22"/>
                <w:szCs w:val="22"/>
              </w:rPr>
              <w:t>Success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rate of full application</w:t>
            </w:r>
            <w:r w:rsidR="00A90923">
              <w:rPr>
                <w:b/>
                <w:bCs/>
                <w:color w:val="FFFFFF" w:themeColor="background1"/>
                <w:sz w:val="22"/>
                <w:szCs w:val="22"/>
              </w:rPr>
              <w:t>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against EOIs submitted</w:t>
            </w:r>
          </w:p>
        </w:tc>
      </w:tr>
      <w:tr w:rsidR="001C4191" w14:paraId="1DD3925D" w14:textId="77777777" w:rsidTr="00F024A3">
        <w:tc>
          <w:tcPr>
            <w:tcW w:w="1502" w:type="dxa"/>
            <w:shd w:val="clear" w:color="auto" w:fill="A5C9EB" w:themeFill="text2" w:themeFillTint="40"/>
          </w:tcPr>
          <w:p w14:paraId="4C8A6742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DP26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74A838D9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4063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7499CFEB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 xml:space="preserve">27.7 per cent </w:t>
            </w:r>
          </w:p>
        </w:tc>
        <w:tc>
          <w:tcPr>
            <w:tcW w:w="1502" w:type="dxa"/>
            <w:shd w:val="clear" w:color="auto" w:fill="A5C9EB" w:themeFill="text2" w:themeFillTint="40"/>
          </w:tcPr>
          <w:p w14:paraId="4BCA6A93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1123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2F675B27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Pending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2B20A12A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Pending</w:t>
            </w:r>
          </w:p>
        </w:tc>
      </w:tr>
      <w:tr w:rsidR="001C4191" w:rsidRPr="005127D8" w14:paraId="1C8EF703" w14:textId="77777777" w:rsidTr="00F024A3">
        <w:tc>
          <w:tcPr>
            <w:tcW w:w="1502" w:type="dxa"/>
            <w:shd w:val="clear" w:color="auto" w:fill="A5C9EB" w:themeFill="text2" w:themeFillTint="40"/>
          </w:tcPr>
          <w:p w14:paraId="58A2C5E9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DP25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778F6A76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4147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53F42382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9C7E76">
              <w:rPr>
                <w:sz w:val="22"/>
                <w:szCs w:val="22"/>
              </w:rPr>
              <w:t xml:space="preserve"> per cent </w:t>
            </w:r>
          </w:p>
        </w:tc>
        <w:tc>
          <w:tcPr>
            <w:tcW w:w="1502" w:type="dxa"/>
            <w:shd w:val="clear" w:color="auto" w:fill="A5C9EB" w:themeFill="text2" w:themeFillTint="40"/>
          </w:tcPr>
          <w:p w14:paraId="580308C5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1132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07743F8B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47.3 per cent</w:t>
            </w:r>
          </w:p>
        </w:tc>
        <w:tc>
          <w:tcPr>
            <w:tcW w:w="1503" w:type="dxa"/>
            <w:shd w:val="clear" w:color="auto" w:fill="A5C9EB" w:themeFill="text2" w:themeFillTint="40"/>
          </w:tcPr>
          <w:p w14:paraId="11B66009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 per cent</w:t>
            </w:r>
          </w:p>
        </w:tc>
      </w:tr>
      <w:tr w:rsidR="001C4191" w:rsidRPr="006949CF" w14:paraId="6E9C14B0" w14:textId="77777777">
        <w:tc>
          <w:tcPr>
            <w:tcW w:w="1502" w:type="dxa"/>
          </w:tcPr>
          <w:p w14:paraId="33A6FB58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DP24</w:t>
            </w:r>
          </w:p>
        </w:tc>
        <w:tc>
          <w:tcPr>
            <w:tcW w:w="1503" w:type="dxa"/>
          </w:tcPr>
          <w:p w14:paraId="28051CDC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3" w:type="dxa"/>
          </w:tcPr>
          <w:p w14:paraId="6730FF1C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2" w:type="dxa"/>
          </w:tcPr>
          <w:p w14:paraId="5DB7B12F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2590</w:t>
            </w:r>
          </w:p>
        </w:tc>
        <w:tc>
          <w:tcPr>
            <w:tcW w:w="1503" w:type="dxa"/>
          </w:tcPr>
          <w:p w14:paraId="6B153402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16.3 per cent</w:t>
            </w:r>
          </w:p>
        </w:tc>
        <w:tc>
          <w:tcPr>
            <w:tcW w:w="1503" w:type="dxa"/>
          </w:tcPr>
          <w:p w14:paraId="27792C0F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C4191" w:rsidRPr="00F81783" w14:paraId="553FB846" w14:textId="77777777">
        <w:tc>
          <w:tcPr>
            <w:tcW w:w="1502" w:type="dxa"/>
          </w:tcPr>
          <w:p w14:paraId="74D28A96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DP23</w:t>
            </w:r>
          </w:p>
        </w:tc>
        <w:tc>
          <w:tcPr>
            <w:tcW w:w="1503" w:type="dxa"/>
          </w:tcPr>
          <w:p w14:paraId="4C1B9700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3" w:type="dxa"/>
          </w:tcPr>
          <w:p w14:paraId="597CB43D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2" w:type="dxa"/>
          </w:tcPr>
          <w:p w14:paraId="201B6ED0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2588</w:t>
            </w:r>
          </w:p>
        </w:tc>
        <w:tc>
          <w:tcPr>
            <w:tcW w:w="1503" w:type="dxa"/>
          </w:tcPr>
          <w:p w14:paraId="5776F58E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18.5 per cent</w:t>
            </w:r>
          </w:p>
        </w:tc>
        <w:tc>
          <w:tcPr>
            <w:tcW w:w="1503" w:type="dxa"/>
          </w:tcPr>
          <w:p w14:paraId="09B73A2E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C4191" w:rsidRPr="008558A9" w14:paraId="6530F0E3" w14:textId="77777777">
        <w:tc>
          <w:tcPr>
            <w:tcW w:w="1502" w:type="dxa"/>
          </w:tcPr>
          <w:p w14:paraId="088D2CCD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DP22</w:t>
            </w:r>
          </w:p>
        </w:tc>
        <w:tc>
          <w:tcPr>
            <w:tcW w:w="1503" w:type="dxa"/>
          </w:tcPr>
          <w:p w14:paraId="2AFC6002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3" w:type="dxa"/>
          </w:tcPr>
          <w:p w14:paraId="2EFBF4A9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2" w:type="dxa"/>
          </w:tcPr>
          <w:p w14:paraId="12E5B942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3095</w:t>
            </w:r>
          </w:p>
        </w:tc>
        <w:tc>
          <w:tcPr>
            <w:tcW w:w="1503" w:type="dxa"/>
          </w:tcPr>
          <w:p w14:paraId="1200E5DB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19.0 per cent</w:t>
            </w:r>
          </w:p>
        </w:tc>
        <w:tc>
          <w:tcPr>
            <w:tcW w:w="1503" w:type="dxa"/>
          </w:tcPr>
          <w:p w14:paraId="477EC3F9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C4191" w:rsidRPr="00ED55D7" w14:paraId="61F2CE7B" w14:textId="77777777">
        <w:tc>
          <w:tcPr>
            <w:tcW w:w="1502" w:type="dxa"/>
          </w:tcPr>
          <w:p w14:paraId="21960E9B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DP21</w:t>
            </w:r>
          </w:p>
        </w:tc>
        <w:tc>
          <w:tcPr>
            <w:tcW w:w="1503" w:type="dxa"/>
          </w:tcPr>
          <w:p w14:paraId="14BB177E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3" w:type="dxa"/>
          </w:tcPr>
          <w:p w14:paraId="688105AD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2" w:type="dxa"/>
          </w:tcPr>
          <w:p w14:paraId="38C3B3EF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3019</w:t>
            </w:r>
          </w:p>
        </w:tc>
        <w:tc>
          <w:tcPr>
            <w:tcW w:w="1503" w:type="dxa"/>
          </w:tcPr>
          <w:p w14:paraId="46DABBDA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20.0 per cent</w:t>
            </w:r>
          </w:p>
        </w:tc>
        <w:tc>
          <w:tcPr>
            <w:tcW w:w="1503" w:type="dxa"/>
          </w:tcPr>
          <w:p w14:paraId="506586D7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C4191" w:rsidRPr="00BC1181" w14:paraId="5DD88F81" w14:textId="77777777">
        <w:tc>
          <w:tcPr>
            <w:tcW w:w="1502" w:type="dxa"/>
          </w:tcPr>
          <w:p w14:paraId="3AE81F7F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DP20</w:t>
            </w:r>
          </w:p>
        </w:tc>
        <w:tc>
          <w:tcPr>
            <w:tcW w:w="1503" w:type="dxa"/>
          </w:tcPr>
          <w:p w14:paraId="760D2AAB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3" w:type="dxa"/>
          </w:tcPr>
          <w:p w14:paraId="722AD2A9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N/A</w:t>
            </w:r>
          </w:p>
        </w:tc>
        <w:tc>
          <w:tcPr>
            <w:tcW w:w="1502" w:type="dxa"/>
          </w:tcPr>
          <w:p w14:paraId="6FE09700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2875</w:t>
            </w:r>
          </w:p>
        </w:tc>
        <w:tc>
          <w:tcPr>
            <w:tcW w:w="1503" w:type="dxa"/>
          </w:tcPr>
          <w:p w14:paraId="160DD3B6" w14:textId="77777777" w:rsidR="001C4191" w:rsidRPr="009C7E76" w:rsidRDefault="001C4191">
            <w:pPr>
              <w:rPr>
                <w:sz w:val="22"/>
                <w:szCs w:val="22"/>
              </w:rPr>
            </w:pPr>
            <w:r w:rsidRPr="009C7E76">
              <w:rPr>
                <w:sz w:val="22"/>
                <w:szCs w:val="22"/>
              </w:rPr>
              <w:t>23.0 per cent</w:t>
            </w:r>
          </w:p>
        </w:tc>
        <w:tc>
          <w:tcPr>
            <w:tcW w:w="1503" w:type="dxa"/>
          </w:tcPr>
          <w:p w14:paraId="2B7FB892" w14:textId="77777777" w:rsidR="001C4191" w:rsidRPr="009C7E76" w:rsidRDefault="001C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</w:tbl>
    <w:p w14:paraId="76625A6E" w14:textId="0A2A73C1" w:rsidR="00BD72CD" w:rsidRDefault="001373D7" w:rsidP="00DB5DAD">
      <w:r>
        <w:rPr>
          <w:i/>
          <w:iCs/>
        </w:rPr>
        <w:t>Table</w:t>
      </w:r>
      <w:r w:rsidR="00C47842" w:rsidRPr="00A303CD">
        <w:rPr>
          <w:i/>
          <w:iCs/>
        </w:rPr>
        <w:t xml:space="preserve"> </w:t>
      </w:r>
      <w:r w:rsidR="00B02BCC">
        <w:rPr>
          <w:i/>
          <w:iCs/>
        </w:rPr>
        <w:t>2</w:t>
      </w:r>
      <w:r w:rsidR="00C47842" w:rsidRPr="00A303CD">
        <w:rPr>
          <w:i/>
          <w:iCs/>
        </w:rPr>
        <w:t xml:space="preserve">: Success rates </w:t>
      </w:r>
      <w:r w:rsidR="0081676D" w:rsidRPr="00A303CD">
        <w:rPr>
          <w:i/>
          <w:iCs/>
        </w:rPr>
        <w:t xml:space="preserve">and application volumes </w:t>
      </w:r>
      <w:r w:rsidR="0081676D">
        <w:rPr>
          <w:i/>
          <w:iCs/>
        </w:rPr>
        <w:t>(DP20-</w:t>
      </w:r>
      <w:r w:rsidR="00D4445A">
        <w:rPr>
          <w:i/>
          <w:iCs/>
        </w:rPr>
        <w:t>DP</w:t>
      </w:r>
      <w:r w:rsidR="0081676D">
        <w:rPr>
          <w:i/>
          <w:iCs/>
        </w:rPr>
        <w:t>26).</w:t>
      </w:r>
    </w:p>
    <w:p w14:paraId="774BA76F" w14:textId="0A8B3AC4" w:rsidR="008B5721" w:rsidRPr="00081EEC" w:rsidRDefault="008B5721" w:rsidP="00185565">
      <w:pPr>
        <w:pStyle w:val="Heading2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t>Impact on equity</w:t>
      </w:r>
      <w:r w:rsidR="00004C02" w:rsidRPr="00081EEC">
        <w:rPr>
          <w:color w:val="102F4C" w:themeColor="accent3" w:themeShade="80"/>
        </w:rPr>
        <w:t xml:space="preserve"> </w:t>
      </w:r>
    </w:p>
    <w:p w14:paraId="34AB6946" w14:textId="65B10FA6" w:rsidR="00754BC1" w:rsidRDefault="00BD4FD0" w:rsidP="00B67B90">
      <w:r>
        <w:t>Across</w:t>
      </w:r>
      <w:r w:rsidR="00C724C1">
        <w:t xml:space="preserve"> </w:t>
      </w:r>
      <w:r w:rsidR="00806E2C">
        <w:t>two years</w:t>
      </w:r>
      <w:r w:rsidR="00C724C1">
        <w:t xml:space="preserve"> of data</w:t>
      </w:r>
      <w:r w:rsidR="00222463">
        <w:t xml:space="preserve"> (</w:t>
      </w:r>
      <w:r w:rsidR="001F4FFD">
        <w:t>DP</w:t>
      </w:r>
      <w:r w:rsidR="00222463">
        <w:t>25-</w:t>
      </w:r>
      <w:r w:rsidR="00C40BA1">
        <w:t>DP</w:t>
      </w:r>
      <w:r w:rsidR="00222463">
        <w:t>2</w:t>
      </w:r>
      <w:r w:rsidR="0042407E">
        <w:t>6</w:t>
      </w:r>
      <w:r w:rsidR="00222463">
        <w:t>)</w:t>
      </w:r>
      <w:r>
        <w:t>,</w:t>
      </w:r>
      <w:r w:rsidR="00C724C1">
        <w:t xml:space="preserve"> there is no evidence that </w:t>
      </w:r>
      <w:r w:rsidR="21B3A08F">
        <w:t xml:space="preserve">a </w:t>
      </w:r>
      <w:r w:rsidR="00B83C35">
        <w:t>2</w:t>
      </w:r>
      <w:r w:rsidR="21B3A08F">
        <w:t>-step</w:t>
      </w:r>
      <w:r w:rsidR="00C724C1">
        <w:t xml:space="preserve"> process</w:t>
      </w:r>
      <w:r w:rsidR="15A88835">
        <w:t xml:space="preserve"> </w:t>
      </w:r>
      <w:r w:rsidR="00C724C1">
        <w:t>introduced inequit</w:t>
      </w:r>
      <w:r w:rsidR="4D26DE8F">
        <w:t>ies</w:t>
      </w:r>
      <w:r w:rsidR="00C724C1">
        <w:t xml:space="preserve"> across gender, institution type, assessment panels, or other applicant characteristics. </w:t>
      </w:r>
      <w:r w:rsidR="00E43B0F">
        <w:t xml:space="preserve">See Appendix A for the data analysis. </w:t>
      </w:r>
    </w:p>
    <w:p w14:paraId="011B6EE8" w14:textId="57402D72" w:rsidR="00FE0093" w:rsidRPr="00FE0093" w:rsidRDefault="00FE0093" w:rsidP="006A2133">
      <w:pPr>
        <w:pStyle w:val="Heading2"/>
        <w:tabs>
          <w:tab w:val="left" w:pos="3390"/>
          <w:tab w:val="left" w:pos="5790"/>
        </w:tabs>
      </w:pPr>
      <w:r w:rsidRPr="00081EEC">
        <w:rPr>
          <w:color w:val="102F4C" w:themeColor="accent3" w:themeShade="80"/>
        </w:rPr>
        <w:t>Conclusion</w:t>
      </w:r>
      <w:r w:rsidR="006A2133">
        <w:tab/>
      </w:r>
      <w:r w:rsidR="006A2133">
        <w:tab/>
      </w:r>
    </w:p>
    <w:p w14:paraId="098471CD" w14:textId="61321232" w:rsidR="007E6365" w:rsidRDefault="00FE0093" w:rsidP="00C5776C">
      <w:r>
        <w:t>The</w:t>
      </w:r>
      <w:r w:rsidR="00BB5690">
        <w:t xml:space="preserve"> review found</w:t>
      </w:r>
      <w:r>
        <w:t xml:space="preserve"> </w:t>
      </w:r>
      <w:r w:rsidR="007746D7">
        <w:t>t</w:t>
      </w:r>
      <w:r w:rsidR="00D97D68">
        <w:t>hat</w:t>
      </w:r>
      <w:r w:rsidR="00944547">
        <w:t>:</w:t>
      </w:r>
      <w:r w:rsidR="007E6365">
        <w:t xml:space="preserve"> </w:t>
      </w:r>
    </w:p>
    <w:p w14:paraId="26957D81" w14:textId="54B2347C" w:rsidR="00AC09C8" w:rsidRPr="00CB34D7" w:rsidRDefault="00B47547" w:rsidP="007E6365">
      <w:pPr>
        <w:pStyle w:val="ListParagraph"/>
        <w:numPr>
          <w:ilvl w:val="0"/>
          <w:numId w:val="17"/>
        </w:numPr>
      </w:pPr>
      <w:r w:rsidRPr="00CB34D7">
        <w:t>The EOI process did not</w:t>
      </w:r>
      <w:r w:rsidR="00A23E2B" w:rsidRPr="00CB34D7">
        <w:t xml:space="preserve"> lead to an overall increase in the number of competitive </w:t>
      </w:r>
      <w:r w:rsidRPr="00CB34D7">
        <w:t>applications submitted to the ARC</w:t>
      </w:r>
      <w:r w:rsidR="003C39D7">
        <w:t xml:space="preserve"> compared to pre-EOI rounds</w:t>
      </w:r>
      <w:r w:rsidR="00C624B3">
        <w:t>.</w:t>
      </w:r>
    </w:p>
    <w:p w14:paraId="0E04A467" w14:textId="2456968A" w:rsidR="007E6365" w:rsidRDefault="00AC09C8" w:rsidP="00AC09C8">
      <w:pPr>
        <w:pStyle w:val="ListParagraph"/>
        <w:numPr>
          <w:ilvl w:val="0"/>
          <w:numId w:val="17"/>
        </w:numPr>
      </w:pPr>
      <w:r>
        <w:t xml:space="preserve">Introduction of a 2-step process resulted in an increase in number of applications and reduced overall success rate. </w:t>
      </w:r>
      <w:r w:rsidR="001201E6" w:rsidRPr="001201E6">
        <w:t xml:space="preserve">While the EOI </w:t>
      </w:r>
      <w:r w:rsidR="009D3AF5">
        <w:t>step</w:t>
      </w:r>
      <w:r w:rsidR="001201E6" w:rsidRPr="001201E6">
        <w:t xml:space="preserve"> reduced burden for applicants who did not progress, the burden on those invited to submit a full application was higher.</w:t>
      </w:r>
    </w:p>
    <w:p w14:paraId="0D086C91" w14:textId="7F9DD935" w:rsidR="00C85F4E" w:rsidRDefault="00463530" w:rsidP="000A08F6">
      <w:r w:rsidRPr="00463530">
        <w:t>A 2</w:t>
      </w:r>
      <w:r w:rsidRPr="00463530">
        <w:noBreakHyphen/>
        <w:t xml:space="preserve">step process </w:t>
      </w:r>
      <w:r w:rsidR="00BE72EA">
        <w:t>appears</w:t>
      </w:r>
      <w:r w:rsidRPr="00463530">
        <w:t xml:space="preserve"> most effective when a scheme targets specific research areas, problems or questions, as it provides an early mechanism to determine whether applications fall within the scope of the scheme’s objectives.</w:t>
      </w:r>
      <w:r>
        <w:t xml:space="preserve"> </w:t>
      </w:r>
      <w:r w:rsidR="000A08F6">
        <w:t>A</w:t>
      </w:r>
      <w:r w:rsidR="000A08F6" w:rsidRPr="00562AE6">
        <w:t xml:space="preserve">t the same time, there </w:t>
      </w:r>
      <w:r w:rsidR="000A08F6">
        <w:t>were</w:t>
      </w:r>
      <w:r w:rsidR="000A08F6" w:rsidRPr="00562AE6">
        <w:t xml:space="preserve"> </w:t>
      </w:r>
      <w:r w:rsidR="000A08F6">
        <w:t>lessons learnt</w:t>
      </w:r>
      <w:r w:rsidR="000A08F6" w:rsidRPr="00562AE6">
        <w:t xml:space="preserve"> that </w:t>
      </w:r>
      <w:r w:rsidR="00632C81">
        <w:t>require consideration</w:t>
      </w:r>
      <w:r w:rsidR="000A08F6" w:rsidRPr="00562AE6">
        <w:t xml:space="preserve"> in future EOI processes, </w:t>
      </w:r>
      <w:r w:rsidR="00275B17">
        <w:t>including</w:t>
      </w:r>
      <w:r>
        <w:t xml:space="preserve"> the need for</w:t>
      </w:r>
      <w:r w:rsidR="00C85F4E">
        <w:t>:</w:t>
      </w:r>
      <w:r w:rsidR="000A08F6" w:rsidRPr="00562AE6">
        <w:t xml:space="preserve"> </w:t>
      </w:r>
    </w:p>
    <w:p w14:paraId="07E9338A" w14:textId="184357A1" w:rsidR="00735294" w:rsidRDefault="00661EE9" w:rsidP="00735294">
      <w:pPr>
        <w:pStyle w:val="ListParagraph"/>
        <w:numPr>
          <w:ilvl w:val="0"/>
          <w:numId w:val="18"/>
        </w:numPr>
      </w:pPr>
      <w:r>
        <w:t xml:space="preserve">Nuanced, fine-grained </w:t>
      </w:r>
      <w:r w:rsidR="000A08F6">
        <w:t>assessment of proposals in small</w:t>
      </w:r>
      <w:r>
        <w:t>er</w:t>
      </w:r>
      <w:r w:rsidR="000A08F6">
        <w:t xml:space="preserve"> </w:t>
      </w:r>
      <w:r w:rsidR="00617257">
        <w:t>fields;</w:t>
      </w:r>
    </w:p>
    <w:p w14:paraId="0A13AB80" w14:textId="2EA77F38" w:rsidR="00735294" w:rsidRDefault="00735294" w:rsidP="00735294">
      <w:pPr>
        <w:pStyle w:val="ListParagraph"/>
        <w:numPr>
          <w:ilvl w:val="0"/>
          <w:numId w:val="18"/>
        </w:numPr>
      </w:pPr>
      <w:r>
        <w:t>T</w:t>
      </w:r>
      <w:r w:rsidRPr="00562AE6">
        <w:t xml:space="preserve">he </w:t>
      </w:r>
      <w:r w:rsidR="000A08F6" w:rsidRPr="00562AE6">
        <w:t>right blend of assessors</w:t>
      </w:r>
      <w:r w:rsidR="00BE72EA">
        <w:t>;</w:t>
      </w:r>
      <w:r w:rsidR="00700F9D">
        <w:t xml:space="preserve"> and</w:t>
      </w:r>
    </w:p>
    <w:p w14:paraId="0C3A5D55" w14:textId="214706F8" w:rsidR="00700F9D" w:rsidRDefault="00803B5B" w:rsidP="00C85F4E">
      <w:pPr>
        <w:pStyle w:val="ListParagraph"/>
        <w:numPr>
          <w:ilvl w:val="0"/>
          <w:numId w:val="18"/>
        </w:numPr>
      </w:pPr>
      <w:r>
        <w:t>An efficient</w:t>
      </w:r>
      <w:r w:rsidR="000A08F6">
        <w:t xml:space="preserve"> </w:t>
      </w:r>
      <w:r w:rsidR="00FD478A">
        <w:t xml:space="preserve">approach to managing </w:t>
      </w:r>
      <w:r w:rsidR="00806E2C">
        <w:t>disparate scores</w:t>
      </w:r>
      <w:r w:rsidR="000A08F6" w:rsidRPr="00562AE6">
        <w:t>.</w:t>
      </w:r>
      <w:r w:rsidR="003F6C24">
        <w:t xml:space="preserve"> </w:t>
      </w:r>
    </w:p>
    <w:p w14:paraId="5FB3C957" w14:textId="77777777" w:rsidR="00FD478A" w:rsidRDefault="00FD478A" w:rsidP="00595537">
      <w:r w:rsidRPr="00FD478A">
        <w:lastRenderedPageBreak/>
        <w:t>These lessons highlight the importance of strong assessor matching and consistent scoring processes to ensure that the EOI stage can reliably filter for scope and suitability — particularly in schemes with targeted research priorities.</w:t>
      </w:r>
    </w:p>
    <w:p w14:paraId="766E8FE6" w14:textId="6AC848D4" w:rsidR="00AF042F" w:rsidRPr="004978D7" w:rsidRDefault="00362874" w:rsidP="00595537">
      <w:r w:rsidRPr="00362874">
        <w:t xml:space="preserve">These findings on the DP </w:t>
      </w:r>
      <w:r w:rsidR="00DE0F1A">
        <w:t>2</w:t>
      </w:r>
      <w:r w:rsidR="00C04BD8">
        <w:t>-step</w:t>
      </w:r>
      <w:r w:rsidRPr="00362874">
        <w:t xml:space="preserve"> assessment model </w:t>
      </w:r>
      <w:r w:rsidR="00441BC3">
        <w:t xml:space="preserve">will </w:t>
      </w:r>
      <w:r w:rsidRPr="00362874">
        <w:t>inform the approach to assessment design in the new NCGP</w:t>
      </w:r>
      <w:r w:rsidR="00FE0093" w:rsidRPr="00FE0093">
        <w:t xml:space="preserve"> </w:t>
      </w:r>
      <w:r w:rsidR="00451373">
        <w:t>National Competitive Grants Program (</w:t>
      </w:r>
      <w:r w:rsidR="3A35EE86">
        <w:t>NCGP</w:t>
      </w:r>
      <w:r w:rsidR="00451373">
        <w:t>)</w:t>
      </w:r>
      <w:r>
        <w:t>.</w:t>
      </w:r>
    </w:p>
    <w:p w14:paraId="64293B57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69CE9B6A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7B71EBF9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4D9476DE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60EC45A0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74B06E5F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6E0826F3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132BC50E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7948DE1D" w14:textId="77777777" w:rsidR="00081EEC" w:rsidRDefault="00081EEC" w:rsidP="00D367D8">
      <w:pPr>
        <w:pStyle w:val="Heading1"/>
        <w:rPr>
          <w:color w:val="102F4C" w:themeColor="accent3" w:themeShade="80"/>
        </w:rPr>
      </w:pPr>
    </w:p>
    <w:p w14:paraId="2A28926B" w14:textId="77777777" w:rsidR="00081EEC" w:rsidRDefault="00081EEC" w:rsidP="00081EEC"/>
    <w:p w14:paraId="39E25346" w14:textId="77777777" w:rsidR="00081EEC" w:rsidRPr="00081EEC" w:rsidRDefault="00081EEC" w:rsidP="00081EEC"/>
    <w:p w14:paraId="0B6A0BB5" w14:textId="113354CC" w:rsidR="00D367D8" w:rsidRPr="00081EEC" w:rsidRDefault="00D367D8" w:rsidP="00D367D8">
      <w:pPr>
        <w:pStyle w:val="Heading1"/>
        <w:rPr>
          <w:color w:val="102F4C" w:themeColor="accent3" w:themeShade="80"/>
        </w:rPr>
      </w:pPr>
      <w:r w:rsidRPr="00081EEC">
        <w:rPr>
          <w:color w:val="102F4C" w:themeColor="accent3" w:themeShade="80"/>
        </w:rPr>
        <w:lastRenderedPageBreak/>
        <w:t xml:space="preserve">Appendix A </w:t>
      </w:r>
      <w:r w:rsidR="00B84248" w:rsidRPr="00081EEC">
        <w:rPr>
          <w:color w:val="102F4C" w:themeColor="accent3" w:themeShade="80"/>
        </w:rPr>
        <w:t xml:space="preserve">Review </w:t>
      </w:r>
      <w:r w:rsidR="00D55135" w:rsidRPr="00081EEC">
        <w:rPr>
          <w:color w:val="102F4C" w:themeColor="accent3" w:themeShade="80"/>
        </w:rPr>
        <w:t>of Discovery Projects 2-step application process</w:t>
      </w:r>
    </w:p>
    <w:p w14:paraId="50230269" w14:textId="69D68BB0" w:rsidR="001258FE" w:rsidRPr="00081EEC" w:rsidRDefault="008C06BA" w:rsidP="001258FE">
      <w:pPr>
        <w:pStyle w:val="Heading2"/>
        <w:rPr>
          <w:rFonts w:eastAsia="Calibri" w:cs="Calibri"/>
          <w:b/>
          <w:bCs/>
          <w:color w:val="102F4C" w:themeColor="accent3" w:themeShade="80"/>
          <w:szCs w:val="22"/>
        </w:rPr>
      </w:pPr>
      <w:r w:rsidRPr="00081EEC">
        <w:rPr>
          <w:b/>
          <w:bCs/>
          <w:color w:val="102F4C" w:themeColor="accent3" w:themeShade="80"/>
        </w:rPr>
        <w:t xml:space="preserve">Application volume and overall success rate </w:t>
      </w:r>
    </w:p>
    <w:p w14:paraId="6A204BB6" w14:textId="2665DB64" w:rsidR="001258FE" w:rsidRDefault="001258FE" w:rsidP="001258FE">
      <w:pPr>
        <w:spacing w:before="280" w:after="120" w:line="264" w:lineRule="auto"/>
        <w:rPr>
          <w:rFonts w:eastAsia="Calibri" w:cs="Calibri"/>
        </w:rPr>
      </w:pPr>
      <w:r w:rsidRPr="2CC77B61">
        <w:rPr>
          <w:rFonts w:eastAsia="Calibri" w:cs="Calibri"/>
        </w:rPr>
        <w:t xml:space="preserve">The introduction of the EOI process increased short-form application volume by ~60% (2,590 → 4,147), while </w:t>
      </w:r>
      <w:r>
        <w:rPr>
          <w:rFonts w:eastAsia="Calibri" w:cs="Calibri"/>
        </w:rPr>
        <w:t xml:space="preserve">the number of full applications funded </w:t>
      </w:r>
      <w:r w:rsidRPr="2CC77B61">
        <w:rPr>
          <w:rFonts w:eastAsia="Calibri" w:cs="Calibri"/>
        </w:rPr>
        <w:t xml:space="preserve">increased modestly (421 → ~536). The overall success rate declined from 16.3% to ~13%, driven by increased application volume at the EOI step, rather than reduced funding. </w:t>
      </w:r>
      <w:r w:rsidR="00EC25D6">
        <w:rPr>
          <w:rFonts w:eastAsia="Calibri" w:cs="Calibri"/>
        </w:rPr>
        <w:t xml:space="preserve">The EOI process was effective in </w:t>
      </w:r>
      <w:r w:rsidRPr="2CC77B61">
        <w:rPr>
          <w:rFonts w:eastAsia="Calibri" w:cs="Calibri"/>
        </w:rPr>
        <w:t xml:space="preserve">broadening </w:t>
      </w:r>
      <w:r w:rsidR="00F71E5B" w:rsidRPr="2CC77B61">
        <w:rPr>
          <w:rFonts w:eastAsia="Calibri" w:cs="Calibri"/>
        </w:rPr>
        <w:t>participation and</w:t>
      </w:r>
      <w:r w:rsidRPr="2CC77B61">
        <w:rPr>
          <w:rFonts w:eastAsia="Calibri" w:cs="Calibri"/>
        </w:rPr>
        <w:t xml:space="preserve"> lowering of applicant burden</w:t>
      </w:r>
      <w:r w:rsidR="00EC25D6">
        <w:rPr>
          <w:rFonts w:eastAsia="Calibri" w:cs="Calibri"/>
        </w:rPr>
        <w:t xml:space="preserve"> at the EOI stage</w:t>
      </w:r>
      <w:r w:rsidR="00AD16A8">
        <w:rPr>
          <w:rFonts w:eastAsia="Calibri" w:cs="Calibri"/>
        </w:rPr>
        <w:t>.</w:t>
      </w:r>
      <w:r w:rsidRPr="2CC77B61">
        <w:rPr>
          <w:rFonts w:eastAsia="Calibri" w:cs="Calibri"/>
        </w:rPr>
        <w:t xml:space="preserve"> </w:t>
      </w:r>
      <w:r w:rsidR="00F71E5B">
        <w:rPr>
          <w:rFonts w:eastAsia="Calibri" w:cs="Calibri"/>
        </w:rPr>
        <w:t>However,</w:t>
      </w:r>
      <w:r w:rsidR="00EC25D6">
        <w:rPr>
          <w:rFonts w:eastAsia="Calibri" w:cs="Calibri"/>
        </w:rPr>
        <w:t xml:space="preserve"> </w:t>
      </w:r>
      <w:r w:rsidRPr="2CC77B61">
        <w:rPr>
          <w:rFonts w:eastAsia="Calibri" w:cs="Calibri"/>
        </w:rPr>
        <w:t xml:space="preserve">~72% (4147 → 1141) of applications </w:t>
      </w:r>
      <w:r w:rsidR="557BD8BA" w:rsidRPr="761744DB">
        <w:rPr>
          <w:rFonts w:eastAsia="Calibri" w:cs="Calibri"/>
        </w:rPr>
        <w:t>were filtered out</w:t>
      </w:r>
      <w:r w:rsidRPr="761744DB">
        <w:rPr>
          <w:rFonts w:eastAsia="Calibri" w:cs="Calibri"/>
        </w:rPr>
        <w:t xml:space="preserve"> before</w:t>
      </w:r>
      <w:r w:rsidR="3971B2B7" w:rsidRPr="761744DB">
        <w:rPr>
          <w:rFonts w:eastAsia="Calibri" w:cs="Calibri"/>
        </w:rPr>
        <w:t xml:space="preserve"> the </w:t>
      </w:r>
      <w:r w:rsidRPr="761744DB">
        <w:rPr>
          <w:rFonts w:eastAsia="Calibri" w:cs="Calibri"/>
        </w:rPr>
        <w:t xml:space="preserve">full </w:t>
      </w:r>
      <w:r w:rsidR="226259A2" w:rsidRPr="761744DB">
        <w:rPr>
          <w:rFonts w:eastAsia="Calibri" w:cs="Calibri"/>
        </w:rPr>
        <w:t xml:space="preserve">application </w:t>
      </w:r>
      <w:r w:rsidRPr="761744DB">
        <w:rPr>
          <w:rFonts w:eastAsia="Calibri" w:cs="Calibri"/>
        </w:rPr>
        <w:t>stage.</w:t>
      </w:r>
      <w:r w:rsidRPr="2CC77B61">
        <w:rPr>
          <w:rFonts w:eastAsia="Calibri" w:cs="Calibri"/>
        </w:rPr>
        <w:t xml:space="preserve"> The observed decline in overall success rate (incorporating EOI and full application outcomes), is </w:t>
      </w:r>
      <w:r w:rsidR="00911B82">
        <w:rPr>
          <w:rFonts w:eastAsia="Calibri" w:cs="Calibri"/>
        </w:rPr>
        <w:t xml:space="preserve">therefore a function of higher entry volume, not a shift in funding settings </w:t>
      </w:r>
      <w:r w:rsidR="00806E2C">
        <w:rPr>
          <w:rFonts w:eastAsia="Calibri" w:cs="Calibri"/>
        </w:rPr>
        <w:t xml:space="preserve">or </w:t>
      </w:r>
      <w:r w:rsidR="00806E2C" w:rsidRPr="2CC77B61">
        <w:rPr>
          <w:rFonts w:eastAsia="Calibri" w:cs="Calibri"/>
        </w:rPr>
        <w:t>increase</w:t>
      </w:r>
      <w:r w:rsidRPr="2CC77B61">
        <w:rPr>
          <w:rFonts w:eastAsia="Calibri" w:cs="Calibri"/>
        </w:rPr>
        <w:t xml:space="preserve"> in </w:t>
      </w:r>
      <w:r w:rsidR="00EC25D6">
        <w:rPr>
          <w:rFonts w:eastAsia="Calibri" w:cs="Calibri"/>
        </w:rPr>
        <w:t xml:space="preserve">absolute number of excellent </w:t>
      </w:r>
      <w:r w:rsidRPr="2CC77B61">
        <w:rPr>
          <w:rFonts w:eastAsia="Calibri" w:cs="Calibri"/>
        </w:rPr>
        <w:t>competitive</w:t>
      </w:r>
      <w:r w:rsidR="00EC25D6">
        <w:rPr>
          <w:rFonts w:eastAsia="Calibri" w:cs="Calibri"/>
        </w:rPr>
        <w:t xml:space="preserve"> applications as</w:t>
      </w:r>
      <w:r w:rsidRPr="2CC77B61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demonstrated in </w:t>
      </w:r>
      <w:r w:rsidR="00A75036">
        <w:rPr>
          <w:rFonts w:eastAsia="Calibri" w:cs="Calibri"/>
        </w:rPr>
        <w:t>Figure 1 below</w:t>
      </w:r>
      <w:r>
        <w:rPr>
          <w:rFonts w:eastAsia="Calibri" w:cs="Calibri"/>
        </w:rPr>
        <w:t xml:space="preserve">.  </w:t>
      </w:r>
    </w:p>
    <w:p w14:paraId="06FD6B19" w14:textId="43024352" w:rsidR="004C41FB" w:rsidRDefault="004C41FB" w:rsidP="001258FE">
      <w:pPr>
        <w:spacing w:before="280" w:after="120" w:line="264" w:lineRule="auto"/>
        <w:rPr>
          <w:rFonts w:eastAsia="Calibri" w:cs="Calibri"/>
        </w:rPr>
      </w:pPr>
      <w:r>
        <w:rPr>
          <w:noProof/>
        </w:rPr>
        <w:drawing>
          <wp:inline distT="0" distB="0" distL="0" distR="0" wp14:anchorId="48DD8531" wp14:editId="05BD7B28">
            <wp:extent cx="6086475" cy="3438525"/>
            <wp:effectExtent l="0" t="0" r="9525" b="9525"/>
            <wp:docPr id="1808532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FF504B-48E5-4E1B-37E6-C3E383C2B4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303356" w14:textId="0540AEBD" w:rsidR="00A75036" w:rsidRPr="00AC09C8" w:rsidRDefault="00A75036" w:rsidP="00AC09C8">
      <w:pPr>
        <w:spacing w:after="0" w:line="264" w:lineRule="auto"/>
        <w:rPr>
          <w:rFonts w:eastAsia="Calibri" w:cs="Calibri"/>
          <w:i/>
          <w:iCs/>
          <w:sz w:val="20"/>
          <w:szCs w:val="20"/>
        </w:rPr>
      </w:pPr>
      <w:r w:rsidRPr="00AC09C8">
        <w:rPr>
          <w:rFonts w:eastAsia="Calibri" w:cs="Calibri"/>
          <w:i/>
          <w:iCs/>
          <w:sz w:val="20"/>
          <w:szCs w:val="20"/>
        </w:rPr>
        <w:t>Figure 1: Application volume and success rate</w:t>
      </w:r>
    </w:p>
    <w:p w14:paraId="5B470743" w14:textId="70B44E14" w:rsidR="00DC6728" w:rsidRPr="002B62AF" w:rsidRDefault="00EC25D6" w:rsidP="00DC6728">
      <w:pPr>
        <w:pStyle w:val="Heading2"/>
      </w:pPr>
      <w:r w:rsidRPr="00081EEC">
        <w:rPr>
          <w:rStyle w:val="Heading2Char"/>
          <w:b/>
          <w:color w:val="102F4C" w:themeColor="accent3" w:themeShade="80"/>
        </w:rPr>
        <w:t>Gender</w:t>
      </w:r>
      <w:r w:rsidR="00DC6728" w:rsidRPr="00081EEC">
        <w:rPr>
          <w:color w:val="102F4C" w:themeColor="accent3" w:themeShade="80"/>
        </w:rPr>
        <w:t xml:space="preserve"> </w:t>
      </w:r>
      <w:r w:rsidR="00DC6728" w:rsidRPr="002B62AF">
        <w:tab/>
      </w:r>
    </w:p>
    <w:p w14:paraId="19E8BAF6" w14:textId="4BE25A01" w:rsidR="00D204DA" w:rsidRDefault="6ECFBB9D" w:rsidP="00D204DA">
      <w:pPr>
        <w:spacing w:before="280" w:after="120" w:line="264" w:lineRule="auto"/>
        <w:rPr>
          <w:rFonts w:eastAsia="Calibri" w:cs="Calibri"/>
        </w:rPr>
      </w:pPr>
      <w:r w:rsidRPr="6DE2CDD1">
        <w:rPr>
          <w:rFonts w:eastAsiaTheme="majorEastAsia"/>
        </w:rPr>
        <w:t>The data illustrated no</w:t>
      </w:r>
      <w:r w:rsidRPr="00B9D87E">
        <w:rPr>
          <w:rStyle w:val="Heading3Char"/>
        </w:rPr>
        <w:t xml:space="preserve"> </w:t>
      </w:r>
      <w:r w:rsidRPr="00B9D87E">
        <w:rPr>
          <w:rFonts w:eastAsia="Calibri" w:cs="Calibri"/>
        </w:rPr>
        <w:t xml:space="preserve">evidence that the </w:t>
      </w:r>
      <w:r w:rsidRPr="6DE2CDD1">
        <w:rPr>
          <w:rFonts w:eastAsiaTheme="majorEastAsia"/>
        </w:rPr>
        <w:t>two-step</w:t>
      </w:r>
      <w:r w:rsidRPr="00B9D87E">
        <w:rPr>
          <w:rFonts w:eastAsia="Calibri" w:cs="Calibri"/>
        </w:rPr>
        <w:t xml:space="preserve"> process introduced gender-based inequity.</w:t>
      </w:r>
      <w:r w:rsidR="4CC16AEE" w:rsidRPr="6DE2CDD1">
        <w:rPr>
          <w:rFonts w:eastAsia="Calibri" w:cs="Calibri"/>
        </w:rPr>
        <w:t xml:space="preserve"> </w:t>
      </w:r>
      <w:r w:rsidR="0E50E558" w:rsidRPr="6DE2CDD1">
        <w:rPr>
          <w:rFonts w:eastAsia="Calibri" w:cs="Calibri"/>
        </w:rPr>
        <w:t xml:space="preserve">Applications </w:t>
      </w:r>
      <w:r w:rsidR="00081EEC" w:rsidRPr="6DE2CDD1">
        <w:rPr>
          <w:rFonts w:eastAsia="Calibri" w:cs="Calibri"/>
        </w:rPr>
        <w:t>with female</w:t>
      </w:r>
      <w:r w:rsidR="4CC16AEE" w:rsidRPr="6DE2CDD1">
        <w:rPr>
          <w:rFonts w:eastAsia="Calibri" w:cs="Calibri"/>
        </w:rPr>
        <w:t xml:space="preserve"> </w:t>
      </w:r>
      <w:r w:rsidR="0E50E558" w:rsidRPr="6DE2CDD1">
        <w:rPr>
          <w:rFonts w:eastAsia="Calibri" w:cs="Calibri"/>
        </w:rPr>
        <w:t>Lead Chief Investigator</w:t>
      </w:r>
      <w:r w:rsidR="419125CA" w:rsidRPr="6DE2CDD1">
        <w:rPr>
          <w:rFonts w:eastAsia="Calibri" w:cs="Calibri"/>
        </w:rPr>
        <w:t>s</w:t>
      </w:r>
      <w:r w:rsidR="0E50E558" w:rsidRPr="6DE2CDD1">
        <w:rPr>
          <w:rFonts w:eastAsia="Calibri" w:cs="Calibri"/>
        </w:rPr>
        <w:t xml:space="preserve"> (CI</w:t>
      </w:r>
      <w:r w:rsidR="6352D8AE" w:rsidRPr="6DE2CDD1">
        <w:rPr>
          <w:rFonts w:eastAsia="Calibri" w:cs="Calibri"/>
        </w:rPr>
        <w:t>s</w:t>
      </w:r>
      <w:r w:rsidR="0E50E558" w:rsidRPr="6DE2CDD1">
        <w:rPr>
          <w:rFonts w:eastAsia="Calibri" w:cs="Calibri"/>
        </w:rPr>
        <w:t xml:space="preserve">) </w:t>
      </w:r>
      <w:r w:rsidR="4CC16AEE" w:rsidRPr="6DE2CDD1">
        <w:rPr>
          <w:rFonts w:eastAsia="Calibri" w:cs="Calibri"/>
        </w:rPr>
        <w:t>consistently represent</w:t>
      </w:r>
      <w:r w:rsidRPr="6DE2CDD1">
        <w:rPr>
          <w:rFonts w:eastAsia="Calibri" w:cs="Calibri"/>
        </w:rPr>
        <w:t xml:space="preserve"> </w:t>
      </w:r>
      <w:r w:rsidR="0E50E558" w:rsidRPr="6DE2CDD1">
        <w:rPr>
          <w:rFonts w:eastAsia="Calibri" w:cs="Calibri"/>
        </w:rPr>
        <w:t xml:space="preserve">around one-third of total applications. </w:t>
      </w:r>
      <w:r w:rsidR="2E1A9662" w:rsidRPr="6DE2CDD1">
        <w:rPr>
          <w:rFonts w:eastAsia="Calibri" w:cs="Calibri"/>
        </w:rPr>
        <w:t>The percentage of successful applications</w:t>
      </w:r>
      <w:r w:rsidR="0E50E558" w:rsidRPr="6DE2CDD1">
        <w:rPr>
          <w:rFonts w:eastAsia="Calibri" w:cs="Calibri"/>
        </w:rPr>
        <w:t xml:space="preserve"> </w:t>
      </w:r>
      <w:r w:rsidR="1686C414" w:rsidRPr="6DE2CDD1">
        <w:rPr>
          <w:rFonts w:eastAsia="Calibri" w:cs="Calibri"/>
        </w:rPr>
        <w:t xml:space="preserve">relative to the proportion of submission </w:t>
      </w:r>
      <w:r w:rsidR="6FAEB6A6" w:rsidRPr="6DE2CDD1">
        <w:rPr>
          <w:rFonts w:eastAsia="Calibri" w:cs="Calibri"/>
        </w:rPr>
        <w:t xml:space="preserve">within </w:t>
      </w:r>
      <w:r w:rsidR="6BFB7C53" w:rsidRPr="6DE2CDD1">
        <w:rPr>
          <w:rFonts w:eastAsia="Calibri" w:cs="Calibri"/>
        </w:rPr>
        <w:t>the</w:t>
      </w:r>
      <w:r w:rsidR="00C51095" w:rsidRPr="6DE2CDD1">
        <w:rPr>
          <w:rFonts w:eastAsia="Calibri" w:cs="Calibri"/>
        </w:rPr>
        <w:t xml:space="preserve"> female and male led application cohorts</w:t>
      </w:r>
      <w:r w:rsidR="0E50E558" w:rsidRPr="6DE2CDD1">
        <w:rPr>
          <w:rFonts w:eastAsia="Calibri" w:cs="Calibri"/>
        </w:rPr>
        <w:t xml:space="preserve"> are broadly comparable across </w:t>
      </w:r>
      <w:r w:rsidR="0080080B" w:rsidRPr="6DE2CDD1">
        <w:rPr>
          <w:rFonts w:eastAsia="Calibri" w:cs="Calibri"/>
        </w:rPr>
        <w:t>both</w:t>
      </w:r>
      <w:r w:rsidR="0E50E558" w:rsidRPr="6DE2CDD1">
        <w:rPr>
          <w:rFonts w:eastAsia="Calibri" w:cs="Calibri"/>
        </w:rPr>
        <w:t xml:space="preserve"> stages, indicating </w:t>
      </w:r>
      <w:r w:rsidR="006C0B74" w:rsidRPr="6DE2CDD1">
        <w:rPr>
          <w:rFonts w:eastAsia="Calibri" w:cs="Calibri"/>
        </w:rPr>
        <w:t xml:space="preserve">consistency </w:t>
      </w:r>
      <w:r w:rsidR="0005550A" w:rsidRPr="6DE2CDD1">
        <w:rPr>
          <w:rFonts w:eastAsia="Calibri" w:cs="Calibri"/>
        </w:rPr>
        <w:t xml:space="preserve">in </w:t>
      </w:r>
      <w:r w:rsidR="0005550A" w:rsidRPr="6DE2CDD1">
        <w:rPr>
          <w:rFonts w:eastAsia="Calibri" w:cs="Calibri"/>
        </w:rPr>
        <w:lastRenderedPageBreak/>
        <w:t xml:space="preserve">assessment outcomes </w:t>
      </w:r>
      <w:r w:rsidR="006C0B74" w:rsidRPr="6DE2CDD1">
        <w:rPr>
          <w:rFonts w:eastAsia="Calibri" w:cs="Calibri"/>
        </w:rPr>
        <w:t>within gender cohorts</w:t>
      </w:r>
      <w:r w:rsidR="0E50E558" w:rsidRPr="6DE2CDD1">
        <w:rPr>
          <w:rFonts w:eastAsia="Calibri" w:cs="Calibri"/>
        </w:rPr>
        <w:t xml:space="preserve">. However, </w:t>
      </w:r>
      <w:r w:rsidR="66034E9C" w:rsidRPr="6DE2CDD1">
        <w:rPr>
          <w:rFonts w:eastAsia="Calibri" w:cs="Calibri"/>
        </w:rPr>
        <w:t xml:space="preserve">applications </w:t>
      </w:r>
      <w:r w:rsidR="211EFD40" w:rsidRPr="6DE2CDD1">
        <w:rPr>
          <w:rFonts w:eastAsia="Calibri" w:cs="Calibri"/>
        </w:rPr>
        <w:t xml:space="preserve">with </w:t>
      </w:r>
      <w:r w:rsidR="0E50E558" w:rsidRPr="6DE2CDD1">
        <w:rPr>
          <w:rFonts w:eastAsia="Calibri" w:cs="Calibri"/>
        </w:rPr>
        <w:t xml:space="preserve">male </w:t>
      </w:r>
      <w:r w:rsidR="66034E9C" w:rsidRPr="6DE2CDD1">
        <w:rPr>
          <w:rFonts w:eastAsia="Calibri" w:cs="Calibri"/>
        </w:rPr>
        <w:t xml:space="preserve">lead CIs </w:t>
      </w:r>
      <w:r w:rsidR="0E50E558" w:rsidRPr="6DE2CDD1">
        <w:rPr>
          <w:rFonts w:eastAsia="Calibri" w:cs="Calibri"/>
        </w:rPr>
        <w:t>account for a larger share of successful applications</w:t>
      </w:r>
      <w:r w:rsidR="08A809CE" w:rsidRPr="6DE2CDD1">
        <w:rPr>
          <w:rFonts w:eastAsia="Calibri" w:cs="Calibri"/>
        </w:rPr>
        <w:t>, which reflects</w:t>
      </w:r>
      <w:r w:rsidR="29E37DB0" w:rsidRPr="6DE2CDD1">
        <w:rPr>
          <w:rFonts w:eastAsia="Calibri" w:cs="Calibri"/>
        </w:rPr>
        <w:t xml:space="preserve"> </w:t>
      </w:r>
      <w:r w:rsidR="00617257" w:rsidRPr="6DE2CDD1">
        <w:rPr>
          <w:rFonts w:eastAsia="Calibri" w:cs="Calibri"/>
        </w:rPr>
        <w:t>the higher</w:t>
      </w:r>
      <w:r w:rsidR="0E50E558" w:rsidRPr="6DE2CDD1">
        <w:rPr>
          <w:rFonts w:eastAsia="Calibri" w:cs="Calibri"/>
        </w:rPr>
        <w:t xml:space="preserve"> </w:t>
      </w:r>
      <w:r w:rsidR="06070B42" w:rsidRPr="6DE2CDD1">
        <w:rPr>
          <w:rFonts w:eastAsia="Calibri" w:cs="Calibri"/>
        </w:rPr>
        <w:t xml:space="preserve">proportion of </w:t>
      </w:r>
      <w:r w:rsidR="00617257" w:rsidRPr="6DE2CDD1">
        <w:rPr>
          <w:rFonts w:eastAsia="Calibri" w:cs="Calibri"/>
        </w:rPr>
        <w:t>total applications</w:t>
      </w:r>
      <w:r w:rsidR="0E50E558" w:rsidRPr="6DE2CDD1">
        <w:rPr>
          <w:rFonts w:eastAsia="Calibri" w:cs="Calibri"/>
        </w:rPr>
        <w:t> submitted</w:t>
      </w:r>
      <w:r w:rsidR="13000F59" w:rsidRPr="6DE2CDD1">
        <w:rPr>
          <w:rFonts w:eastAsia="Calibri" w:cs="Calibri"/>
        </w:rPr>
        <w:t xml:space="preserve"> with male lead CIs</w:t>
      </w:r>
      <w:r w:rsidR="00DC6728" w:rsidRPr="6DE2CDD1">
        <w:rPr>
          <w:rStyle w:val="FootnoteReference"/>
          <w:rFonts w:eastAsia="Calibri" w:cs="Calibri"/>
        </w:rPr>
        <w:footnoteReference w:id="3"/>
      </w:r>
      <w:r w:rsidR="00B90D94" w:rsidRPr="6DE2CDD1">
        <w:rPr>
          <w:rFonts w:eastAsia="Calibri" w:cs="Calibri"/>
        </w:rPr>
        <w:t xml:space="preserve">. </w:t>
      </w:r>
    </w:p>
    <w:p w14:paraId="3F276687" w14:textId="5A49EA7D" w:rsidR="00D0351B" w:rsidRDefault="00D60DDA" w:rsidP="00D204DA">
      <w:pPr>
        <w:spacing w:before="280" w:after="120" w:line="264" w:lineRule="auto"/>
        <w:rPr>
          <w:rFonts w:eastAsia="Calibri" w:cs="Calibri"/>
        </w:rPr>
      </w:pPr>
      <w:r>
        <w:rPr>
          <w:noProof/>
        </w:rPr>
        <w:drawing>
          <wp:inline distT="0" distB="0" distL="0" distR="0" wp14:anchorId="60B59826" wp14:editId="559B8A4F">
            <wp:extent cx="5695950" cy="3095625"/>
            <wp:effectExtent l="0" t="0" r="0" b="9525"/>
            <wp:docPr id="4224285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14A571-E47F-3D38-45B2-70AA9E8B5E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83EFBDE" w14:textId="54898918" w:rsidR="004B42AE" w:rsidRDefault="004B42AE" w:rsidP="004B42AE">
      <w:pPr>
        <w:spacing w:after="0"/>
        <w:rPr>
          <w:i/>
          <w:iCs/>
          <w:sz w:val="20"/>
          <w:szCs w:val="20"/>
          <w:lang w:eastAsia="en-AU"/>
        </w:rPr>
      </w:pPr>
      <w:r w:rsidRPr="00AC09C8">
        <w:rPr>
          <w:i/>
          <w:iCs/>
          <w:sz w:val="20"/>
          <w:szCs w:val="20"/>
          <w:lang w:eastAsia="en-AU"/>
        </w:rPr>
        <w:t xml:space="preserve">Figure </w:t>
      </w:r>
      <w:r>
        <w:rPr>
          <w:i/>
          <w:iCs/>
          <w:sz w:val="20"/>
          <w:szCs w:val="20"/>
          <w:lang w:eastAsia="en-AU"/>
        </w:rPr>
        <w:t>2</w:t>
      </w:r>
      <w:r w:rsidRPr="00AC09C8">
        <w:rPr>
          <w:i/>
          <w:iCs/>
          <w:sz w:val="20"/>
          <w:szCs w:val="20"/>
          <w:lang w:eastAsia="en-AU"/>
        </w:rPr>
        <w:t xml:space="preserve">: </w:t>
      </w:r>
      <w:r>
        <w:rPr>
          <w:i/>
          <w:iCs/>
          <w:sz w:val="20"/>
          <w:szCs w:val="20"/>
          <w:lang w:eastAsia="en-AU"/>
        </w:rPr>
        <w:t>Relative numbers of submissions</w:t>
      </w:r>
      <w:r w:rsidR="00F86DA9">
        <w:rPr>
          <w:i/>
          <w:iCs/>
          <w:sz w:val="20"/>
          <w:szCs w:val="20"/>
          <w:lang w:eastAsia="en-AU"/>
        </w:rPr>
        <w:t xml:space="preserve"> and success by Lead CI gender </w:t>
      </w:r>
    </w:p>
    <w:p w14:paraId="273E5D1F" w14:textId="523B6CB4" w:rsidR="00F86DA9" w:rsidRPr="00AC09C8" w:rsidRDefault="009D73D3" w:rsidP="004B42AE">
      <w:pPr>
        <w:spacing w:after="0"/>
        <w:rPr>
          <w:i/>
          <w:iCs/>
          <w:sz w:val="20"/>
          <w:szCs w:val="20"/>
          <w:lang w:eastAsia="en-AU"/>
        </w:rPr>
      </w:pPr>
      <w:r>
        <w:rPr>
          <w:noProof/>
        </w:rPr>
        <w:drawing>
          <wp:inline distT="0" distB="0" distL="0" distR="0" wp14:anchorId="4CC61B25" wp14:editId="652971AA">
            <wp:extent cx="5734050" cy="3419475"/>
            <wp:effectExtent l="0" t="0" r="0" b="9525"/>
            <wp:docPr id="13250147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D4044A7-F195-4A78-3E55-CEBDAE74BC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317525B" w14:textId="3E37DEBB" w:rsidR="00330B8E" w:rsidRDefault="00330B8E" w:rsidP="00330B8E">
      <w:pPr>
        <w:spacing w:after="0"/>
        <w:rPr>
          <w:i/>
          <w:iCs/>
          <w:sz w:val="20"/>
          <w:szCs w:val="20"/>
          <w:lang w:eastAsia="en-AU"/>
        </w:rPr>
      </w:pPr>
      <w:r w:rsidRPr="00AC09C8">
        <w:rPr>
          <w:i/>
          <w:iCs/>
          <w:sz w:val="20"/>
          <w:szCs w:val="20"/>
          <w:lang w:eastAsia="en-AU"/>
        </w:rPr>
        <w:t xml:space="preserve">Figure </w:t>
      </w:r>
      <w:r w:rsidR="00603F35">
        <w:rPr>
          <w:i/>
          <w:iCs/>
          <w:sz w:val="20"/>
          <w:szCs w:val="20"/>
          <w:lang w:eastAsia="en-AU"/>
        </w:rPr>
        <w:t>3</w:t>
      </w:r>
      <w:r w:rsidRPr="00AC09C8">
        <w:rPr>
          <w:i/>
          <w:iCs/>
          <w:sz w:val="20"/>
          <w:szCs w:val="20"/>
          <w:lang w:eastAsia="en-AU"/>
        </w:rPr>
        <w:t xml:space="preserve">: </w:t>
      </w:r>
      <w:r>
        <w:rPr>
          <w:i/>
          <w:iCs/>
          <w:sz w:val="20"/>
          <w:szCs w:val="20"/>
          <w:lang w:eastAsia="en-AU"/>
        </w:rPr>
        <w:t xml:space="preserve">Relative percentage of submissions and success by Lead CI gender </w:t>
      </w:r>
    </w:p>
    <w:p w14:paraId="497743C8" w14:textId="77777777" w:rsidR="00DD31FE" w:rsidRPr="00DD31FE" w:rsidRDefault="00DD31FE" w:rsidP="00AF576B">
      <w:pPr>
        <w:ind w:left="142"/>
        <w:rPr>
          <w:rFonts w:eastAsia="Calibri" w:cs="Calibri"/>
        </w:rPr>
      </w:pPr>
    </w:p>
    <w:p w14:paraId="3E91E23C" w14:textId="77777777" w:rsidR="009A68AD" w:rsidRPr="00081EEC" w:rsidRDefault="00DC6728" w:rsidP="009F0CA2">
      <w:pPr>
        <w:spacing w:before="280" w:after="120" w:line="264" w:lineRule="auto"/>
        <w:rPr>
          <w:rStyle w:val="Heading3Char"/>
          <w:b/>
          <w:bCs/>
          <w:color w:val="102F4C" w:themeColor="accent3" w:themeShade="80"/>
        </w:rPr>
      </w:pPr>
      <w:r w:rsidRPr="00081EEC">
        <w:rPr>
          <w:rStyle w:val="Heading2Char"/>
          <w:b/>
          <w:bCs/>
          <w:color w:val="102F4C" w:themeColor="accent3" w:themeShade="80"/>
        </w:rPr>
        <w:lastRenderedPageBreak/>
        <w:t>Panel</w:t>
      </w:r>
    </w:p>
    <w:p w14:paraId="66DDAB85" w14:textId="3EC26393" w:rsidR="009F0CA2" w:rsidRPr="00776E67" w:rsidRDefault="009F0CA2" w:rsidP="009F0CA2">
      <w:pPr>
        <w:spacing w:before="280" w:after="120" w:line="264" w:lineRule="auto"/>
        <w:rPr>
          <w:rFonts w:eastAsia="Calibri" w:cs="Calibri"/>
        </w:rPr>
      </w:pPr>
      <w:r w:rsidRPr="00520D97">
        <w:rPr>
          <w:rFonts w:eastAsia="Calibri" w:cs="Calibri"/>
        </w:rPr>
        <w:t>Panel outcomes remain</w:t>
      </w:r>
      <w:r w:rsidR="00BF443F">
        <w:rPr>
          <w:rFonts w:eastAsia="Calibri" w:cs="Calibri"/>
        </w:rPr>
        <w:t>ed</w:t>
      </w:r>
      <w:r w:rsidRPr="00520D97">
        <w:rPr>
          <w:rFonts w:eastAsia="Calibri" w:cs="Calibri"/>
        </w:rPr>
        <w:t xml:space="preserve"> stable across years, with no evidence of systematic differences in </w:t>
      </w:r>
      <w:r>
        <w:rPr>
          <w:rFonts w:eastAsia="Calibri" w:cs="Calibri"/>
        </w:rPr>
        <w:t>success</w:t>
      </w:r>
      <w:r w:rsidRPr="00520D97">
        <w:rPr>
          <w:rFonts w:eastAsia="Calibri" w:cs="Calibri"/>
        </w:rPr>
        <w:t xml:space="preserve"> rates under the two-st</w:t>
      </w:r>
      <w:r>
        <w:rPr>
          <w:rFonts w:eastAsia="Calibri" w:cs="Calibri"/>
        </w:rPr>
        <w:t>ep</w:t>
      </w:r>
      <w:r w:rsidRPr="00520D97">
        <w:rPr>
          <w:rFonts w:eastAsia="Calibri" w:cs="Calibri"/>
        </w:rPr>
        <w:t xml:space="preserve"> process. </w:t>
      </w:r>
      <w:r w:rsidRPr="00C75C47">
        <w:rPr>
          <w:rFonts w:eastAsia="Calibri" w:cs="Calibri"/>
        </w:rPr>
        <w:t xml:space="preserve">While some variation exists at the EOI stage </w:t>
      </w:r>
      <w:r>
        <w:rPr>
          <w:rFonts w:eastAsia="Calibri" w:cs="Calibri"/>
        </w:rPr>
        <w:t>in some years</w:t>
      </w:r>
      <w:r w:rsidRPr="00C75C47">
        <w:rPr>
          <w:rFonts w:eastAsia="Calibri" w:cs="Calibri"/>
        </w:rPr>
        <w:t xml:space="preserve"> (e.g., higher shortlisting in HCA (~35%</w:t>
      </w:r>
      <w:r w:rsidR="001510DF">
        <w:rPr>
          <w:rFonts w:eastAsia="Calibri" w:cs="Calibri"/>
        </w:rPr>
        <w:t xml:space="preserve"> in DP25 and DP26</w:t>
      </w:r>
      <w:r w:rsidRPr="00C75C47">
        <w:rPr>
          <w:rFonts w:eastAsia="Calibri" w:cs="Calibri"/>
        </w:rPr>
        <w:t>)), these patterns are stable over time and reflect underlying disciplinary structures rather than effects of the two-st</w:t>
      </w:r>
      <w:r>
        <w:rPr>
          <w:rFonts w:eastAsia="Calibri" w:cs="Calibri"/>
        </w:rPr>
        <w:t>ep</w:t>
      </w:r>
      <w:r w:rsidRPr="00C75C47">
        <w:rPr>
          <w:rFonts w:eastAsia="Calibri" w:cs="Calibri"/>
        </w:rPr>
        <w:t xml:space="preserve"> process. The share of applications going to each panel (BSB, HCA, SBE, EIC, MPCE) remain</w:t>
      </w:r>
      <w:r w:rsidR="00B9175C">
        <w:rPr>
          <w:rFonts w:eastAsia="Calibri" w:cs="Calibri"/>
        </w:rPr>
        <w:t>ed</w:t>
      </w:r>
      <w:r w:rsidRPr="00C75C47">
        <w:rPr>
          <w:rFonts w:eastAsia="Calibri" w:cs="Calibri"/>
        </w:rPr>
        <w:t xml:space="preserve"> broadly consistent across years, with EIC, BSB, and MPCE receiving the largest volumes, HCA the smallest, and SBE in the mid-range—mirroring the pre-EOI distribution. This stability indicates that differences in shortlisting rates are driven by discipline-specific dynamics rather than changes introduced by the EOI process.</w:t>
      </w:r>
      <w:r w:rsidRPr="00520D97">
        <w:rPr>
          <w:rFonts w:eastAsia="Calibri" w:cs="Calibri"/>
        </w:rPr>
        <w:t xml:space="preserve"> </w:t>
      </w:r>
    </w:p>
    <w:p w14:paraId="16890E56" w14:textId="4052C746" w:rsidR="00405E18" w:rsidRDefault="00BE4BAF" w:rsidP="00405E18">
      <w:pPr>
        <w:pStyle w:val="Caption"/>
        <w:rPr>
          <w:i w:val="0"/>
          <w:iCs w:val="0"/>
          <w:u w:val="single"/>
        </w:rPr>
      </w:pPr>
      <w:bookmarkStart w:id="0" w:name="_Ref224913247"/>
      <w:r>
        <w:rPr>
          <w:noProof/>
        </w:rPr>
        <w:drawing>
          <wp:inline distT="0" distB="0" distL="0" distR="0" wp14:anchorId="42B3AE55" wp14:editId="1D0BF718">
            <wp:extent cx="5731510" cy="3228975"/>
            <wp:effectExtent l="0" t="0" r="2540" b="9525"/>
            <wp:docPr id="15013491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3A9591-47FB-F52F-491A-55D43B5D82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405E18" w:rsidRPr="00F32102">
        <w:rPr>
          <w:i w:val="0"/>
          <w:iCs w:val="0"/>
          <w:u w:val="single"/>
        </w:rPr>
        <w:t xml:space="preserve">*BSB = Biological Sciences and Biotechnology; EIC = Engineering, Information and Computing Sciences; HCA = Humanities and Creative Arts; MPCE = Mathematics, Physics, Chemistry and Earth Sciences; SBE = Social, Behavioural and Economics Sciences  </w:t>
      </w:r>
    </w:p>
    <w:p w14:paraId="3D0FDDEC" w14:textId="25BF87BD" w:rsidR="00F710B0" w:rsidRPr="00AC09C8" w:rsidRDefault="00F710B0" w:rsidP="00AC09C8">
      <w:pPr>
        <w:spacing w:after="0"/>
        <w:rPr>
          <w:i/>
          <w:iCs/>
          <w:sz w:val="20"/>
          <w:szCs w:val="20"/>
          <w:lang w:eastAsia="en-AU"/>
        </w:rPr>
      </w:pPr>
      <w:r w:rsidRPr="00AC09C8">
        <w:rPr>
          <w:i/>
          <w:iCs/>
          <w:sz w:val="20"/>
          <w:szCs w:val="20"/>
          <w:lang w:eastAsia="en-AU"/>
        </w:rPr>
        <w:t xml:space="preserve">Figure </w:t>
      </w:r>
      <w:r w:rsidR="00603F35">
        <w:rPr>
          <w:i/>
          <w:iCs/>
          <w:sz w:val="20"/>
          <w:szCs w:val="20"/>
          <w:lang w:eastAsia="en-AU"/>
        </w:rPr>
        <w:t>4</w:t>
      </w:r>
      <w:r w:rsidRPr="00AC09C8">
        <w:rPr>
          <w:i/>
          <w:iCs/>
          <w:sz w:val="20"/>
          <w:szCs w:val="20"/>
          <w:lang w:eastAsia="en-AU"/>
        </w:rPr>
        <w:t>: Application and overall success rate by Panel</w:t>
      </w:r>
    </w:p>
    <w:bookmarkEnd w:id="0"/>
    <w:p w14:paraId="0D6E55E1" w14:textId="5CE15966" w:rsidR="00F710B0" w:rsidRPr="00081EEC" w:rsidRDefault="00DC6728" w:rsidP="00DC6728">
      <w:pPr>
        <w:spacing w:before="280" w:after="120" w:line="264" w:lineRule="auto"/>
        <w:rPr>
          <w:rStyle w:val="Heading2Char"/>
          <w:b/>
          <w:bCs/>
          <w:color w:val="102F4C" w:themeColor="accent3" w:themeShade="80"/>
        </w:rPr>
      </w:pPr>
      <w:r w:rsidRPr="00081EEC">
        <w:rPr>
          <w:rStyle w:val="Heading2Char"/>
          <w:b/>
          <w:bCs/>
          <w:color w:val="102F4C" w:themeColor="accent3" w:themeShade="80"/>
        </w:rPr>
        <w:t>Institution Group</w:t>
      </w:r>
    </w:p>
    <w:p w14:paraId="4D15AAE1" w14:textId="295C2FB5" w:rsidR="00DC6728" w:rsidRDefault="00DC6728" w:rsidP="00DC6728">
      <w:pPr>
        <w:spacing w:before="280" w:after="120" w:line="264" w:lineRule="auto"/>
        <w:rPr>
          <w:rFonts w:eastAsia="Calibri" w:cs="Calibri"/>
        </w:rPr>
      </w:pPr>
      <w:r w:rsidRPr="2CC77B61">
        <w:rPr>
          <w:rFonts w:eastAsia="Calibri" w:cs="Calibri"/>
        </w:rPr>
        <w:t>The two-step process introduced</w:t>
      </w:r>
      <w:r w:rsidRPr="2CC77B61" w:rsidDel="003C5A77">
        <w:rPr>
          <w:rFonts w:eastAsia="Calibri" w:cs="Calibri"/>
        </w:rPr>
        <w:t xml:space="preserve"> </w:t>
      </w:r>
      <w:r w:rsidRPr="2CC77B61">
        <w:rPr>
          <w:rFonts w:eastAsia="Calibri" w:cs="Calibri"/>
        </w:rPr>
        <w:t>modest increases in shortlisting</w:t>
      </w:r>
      <w:r w:rsidRPr="2CC77B61" w:rsidDel="003C5A77">
        <w:rPr>
          <w:rFonts w:eastAsia="Calibri" w:cs="Calibri"/>
        </w:rPr>
        <w:t xml:space="preserve"> for </w:t>
      </w:r>
      <w:r w:rsidRPr="2CC77B61">
        <w:rPr>
          <w:rFonts w:eastAsia="Calibri" w:cs="Calibri"/>
        </w:rPr>
        <w:t>G</w:t>
      </w:r>
      <w:r w:rsidR="00C97965">
        <w:rPr>
          <w:rFonts w:eastAsia="Calibri" w:cs="Calibri"/>
        </w:rPr>
        <w:t xml:space="preserve">roup </w:t>
      </w:r>
      <w:r w:rsidRPr="2CC77B61">
        <w:rPr>
          <w:rFonts w:eastAsia="Calibri" w:cs="Calibri"/>
        </w:rPr>
        <w:t>o</w:t>
      </w:r>
      <w:r w:rsidR="00C97965">
        <w:rPr>
          <w:rFonts w:eastAsia="Calibri" w:cs="Calibri"/>
        </w:rPr>
        <w:t>f Eight (Go</w:t>
      </w:r>
      <w:r w:rsidRPr="2CC77B61">
        <w:rPr>
          <w:rFonts w:eastAsia="Calibri" w:cs="Calibri"/>
        </w:rPr>
        <w:t>8</w:t>
      </w:r>
      <w:r w:rsidR="00C97965">
        <w:rPr>
          <w:rFonts w:eastAsia="Calibri" w:cs="Calibri"/>
        </w:rPr>
        <w:t>)</w:t>
      </w:r>
      <w:r w:rsidRPr="2CC77B61">
        <w:rPr>
          <w:rFonts w:eastAsia="Calibri" w:cs="Calibri"/>
        </w:rPr>
        <w:t xml:space="preserve"> institutions, </w:t>
      </w:r>
      <w:r w:rsidRPr="2CC77B61" w:rsidDel="003C5A77">
        <w:rPr>
          <w:rFonts w:eastAsia="Calibri" w:cs="Calibri"/>
        </w:rPr>
        <w:t>but this</w:t>
      </w:r>
      <w:r w:rsidR="00F710B0">
        <w:rPr>
          <w:rFonts w:eastAsia="Calibri" w:cs="Calibri"/>
        </w:rPr>
        <w:t xml:space="preserve"> was calibrated </w:t>
      </w:r>
      <w:r w:rsidR="001F2873">
        <w:rPr>
          <w:rFonts w:eastAsia="Calibri" w:cs="Calibri"/>
        </w:rPr>
        <w:t xml:space="preserve">at </w:t>
      </w:r>
      <w:r w:rsidR="001F2873" w:rsidRPr="2CC77B61">
        <w:rPr>
          <w:rFonts w:eastAsia="Calibri" w:cs="Calibri"/>
        </w:rPr>
        <w:t>the</w:t>
      </w:r>
      <w:r w:rsidRPr="2CC77B61">
        <w:rPr>
          <w:rFonts w:eastAsia="Calibri" w:cs="Calibri"/>
        </w:rPr>
        <w:t xml:space="preserve"> full application stage. There is no evidence of </w:t>
      </w:r>
      <w:r w:rsidR="00441976">
        <w:rPr>
          <w:rFonts w:eastAsia="Calibri" w:cs="Calibri"/>
        </w:rPr>
        <w:t>EOI-</w:t>
      </w:r>
      <w:r w:rsidR="0012473A">
        <w:rPr>
          <w:rFonts w:eastAsia="Calibri" w:cs="Calibri"/>
        </w:rPr>
        <w:t>related</w:t>
      </w:r>
      <w:r w:rsidRPr="2CC77B61">
        <w:rPr>
          <w:rFonts w:eastAsia="Calibri" w:cs="Calibri"/>
        </w:rPr>
        <w:t xml:space="preserve"> inequity in final funding outcomes. Go8 institutions receive a higher share of shortlisting (~66% applications (762 of 1141)), but once shortlisted, success rates between Go8 and Non-Go8 are statistically equivalent. The observed gap is concentrated entirely at the EOI stage. </w:t>
      </w:r>
    </w:p>
    <w:p w14:paraId="1B34F072" w14:textId="3E0124AE" w:rsidR="00A40199" w:rsidRDefault="00A40199" w:rsidP="00AC09C8">
      <w:pPr>
        <w:spacing w:before="280" w:after="0" w:line="264" w:lineRule="auto"/>
        <w:rPr>
          <w:rFonts w:eastAsia="Calibri" w:cs="Calibri"/>
        </w:rPr>
      </w:pPr>
      <w:r>
        <w:rPr>
          <w:noProof/>
        </w:rPr>
        <w:lastRenderedPageBreak/>
        <w:drawing>
          <wp:inline distT="0" distB="0" distL="0" distR="0" wp14:anchorId="4CE8E972" wp14:editId="49518E86">
            <wp:extent cx="5731510" cy="3067666"/>
            <wp:effectExtent l="0" t="0" r="2540" b="0"/>
            <wp:docPr id="1358231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93F3B11-8955-A600-0008-A94FDA7072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331A65B" w14:textId="3FC7351A" w:rsidR="001F2873" w:rsidRPr="00AC09C8" w:rsidRDefault="00C55FC6" w:rsidP="00AC09C8">
      <w:pPr>
        <w:spacing w:after="0" w:line="264" w:lineRule="auto"/>
        <w:rPr>
          <w:rFonts w:eastAsia="Calibri" w:cs="Calibri"/>
          <w:i/>
          <w:iCs/>
          <w:sz w:val="20"/>
          <w:szCs w:val="20"/>
        </w:rPr>
      </w:pPr>
      <w:r w:rsidRPr="00AC09C8">
        <w:rPr>
          <w:rFonts w:eastAsia="Calibri" w:cs="Calibri"/>
          <w:i/>
          <w:iCs/>
          <w:sz w:val="20"/>
          <w:szCs w:val="20"/>
        </w:rPr>
        <w:t xml:space="preserve">Figure </w:t>
      </w:r>
      <w:r w:rsidR="00603F35">
        <w:rPr>
          <w:rFonts w:eastAsia="Calibri" w:cs="Calibri"/>
          <w:i/>
          <w:iCs/>
          <w:sz w:val="20"/>
          <w:szCs w:val="20"/>
        </w:rPr>
        <w:t>5</w:t>
      </w:r>
      <w:r w:rsidRPr="00AC09C8">
        <w:rPr>
          <w:rFonts w:eastAsia="Calibri" w:cs="Calibri"/>
          <w:i/>
          <w:iCs/>
          <w:sz w:val="20"/>
          <w:szCs w:val="20"/>
        </w:rPr>
        <w:t xml:space="preserve">: Application volumes and overall success rate </w:t>
      </w:r>
      <w:r w:rsidR="004929A1" w:rsidRPr="00AC09C8">
        <w:rPr>
          <w:rFonts w:eastAsia="Calibri" w:cs="Calibri"/>
          <w:i/>
          <w:iCs/>
          <w:sz w:val="20"/>
          <w:szCs w:val="20"/>
        </w:rPr>
        <w:t>by Go8 vs non Go8</w:t>
      </w:r>
    </w:p>
    <w:p w14:paraId="2847B096" w14:textId="614E2995" w:rsidR="00887945" w:rsidRPr="00081EEC" w:rsidRDefault="00DC6728" w:rsidP="00DC6728">
      <w:pPr>
        <w:spacing w:before="280" w:after="120" w:line="264" w:lineRule="auto"/>
        <w:rPr>
          <w:rFonts w:eastAsia="Calibri" w:cs="Calibri"/>
          <w:b/>
          <w:bCs/>
          <w:color w:val="102F4C" w:themeColor="accent3" w:themeShade="80"/>
          <w:szCs w:val="22"/>
        </w:rPr>
      </w:pPr>
      <w:r w:rsidRPr="00081EEC">
        <w:rPr>
          <w:rStyle w:val="Heading3Char"/>
          <w:b/>
          <w:bCs/>
          <w:color w:val="102F4C" w:themeColor="accent3" w:themeShade="80"/>
        </w:rPr>
        <w:t>Career Stage</w:t>
      </w:r>
      <w:r w:rsidRPr="00081EEC">
        <w:rPr>
          <w:rFonts w:eastAsia="Calibri" w:cs="Calibri"/>
          <w:b/>
          <w:bCs/>
          <w:color w:val="102F4C" w:themeColor="accent3" w:themeShade="80"/>
          <w:szCs w:val="22"/>
        </w:rPr>
        <w:t xml:space="preserve"> </w:t>
      </w:r>
    </w:p>
    <w:p w14:paraId="53495107" w14:textId="3EE8E7DE" w:rsidR="00DC6728" w:rsidRDefault="00412856" w:rsidP="00DC6728">
      <w:pPr>
        <w:spacing w:before="280" w:after="120" w:line="264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Analysis by career stage shows higher success rates for senior researchers relative to </w:t>
      </w:r>
      <w:r w:rsidR="00FA6B25">
        <w:rPr>
          <w:rFonts w:eastAsia="Calibri" w:cs="Calibri"/>
          <w:szCs w:val="22"/>
        </w:rPr>
        <w:t>Early Career Researchers (ECRs), consistent with differences in research experience and track record</w:t>
      </w:r>
      <w:r w:rsidR="00236A7C">
        <w:rPr>
          <w:rFonts w:eastAsia="Calibri" w:cs="Calibri"/>
          <w:szCs w:val="22"/>
        </w:rPr>
        <w:t>. ECRs are shortlisted at lower rates</w:t>
      </w:r>
      <w:r w:rsidR="006414B5">
        <w:rPr>
          <w:rFonts w:eastAsia="Calibri" w:cs="Calibri"/>
          <w:szCs w:val="22"/>
        </w:rPr>
        <w:t xml:space="preserve"> </w:t>
      </w:r>
      <w:r w:rsidR="006414B5" w:rsidRPr="00776E67">
        <w:rPr>
          <w:rFonts w:eastAsia="Calibri" w:cs="Calibri"/>
          <w:szCs w:val="22"/>
        </w:rPr>
        <w:t>(10–15%)</w:t>
      </w:r>
      <w:r w:rsidR="006414B5">
        <w:rPr>
          <w:rFonts w:eastAsia="Calibri" w:cs="Calibri"/>
          <w:szCs w:val="22"/>
        </w:rPr>
        <w:t>,</w:t>
      </w:r>
      <w:r w:rsidR="00236A7C">
        <w:rPr>
          <w:rFonts w:eastAsia="Calibri" w:cs="Calibri"/>
          <w:szCs w:val="22"/>
        </w:rPr>
        <w:t xml:space="preserve"> which reflects the Discovery Projects scheme’s focus on established investigator-led rese</w:t>
      </w:r>
      <w:r w:rsidR="006D4FFE">
        <w:rPr>
          <w:rFonts w:eastAsia="Calibri" w:cs="Calibri"/>
          <w:szCs w:val="22"/>
        </w:rPr>
        <w:t>arch rather than an effect of the EOI process.</w:t>
      </w:r>
      <w:r w:rsidR="00DD583B">
        <w:rPr>
          <w:rFonts w:eastAsia="Calibri" w:cs="Calibri"/>
          <w:szCs w:val="22"/>
        </w:rPr>
        <w:t xml:space="preserve"> Where sample sizes allow, outcomes at the full application stage are broadly comparable across career stages</w:t>
      </w:r>
      <w:r w:rsidR="00C55FC6">
        <w:rPr>
          <w:rFonts w:eastAsia="Calibri" w:cs="Calibri"/>
          <w:szCs w:val="22"/>
        </w:rPr>
        <w:t xml:space="preserve">. </w:t>
      </w:r>
    </w:p>
    <w:p w14:paraId="2646295A" w14:textId="6CAD2AF9" w:rsidR="00D00A35" w:rsidRPr="00776E67" w:rsidRDefault="00D00A35" w:rsidP="00DC6728">
      <w:pPr>
        <w:spacing w:before="280" w:after="120" w:line="264" w:lineRule="auto"/>
        <w:rPr>
          <w:rFonts w:eastAsia="Calibri" w:cs="Calibri"/>
          <w:szCs w:val="22"/>
        </w:rPr>
      </w:pPr>
      <w:r>
        <w:rPr>
          <w:noProof/>
        </w:rPr>
        <w:drawing>
          <wp:inline distT="0" distB="0" distL="0" distR="0" wp14:anchorId="4A568506" wp14:editId="7C1DC3BD">
            <wp:extent cx="5731510" cy="3033003"/>
            <wp:effectExtent l="0" t="0" r="2540" b="15240"/>
            <wp:docPr id="7462650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B837306-6B55-6061-7BB5-0F822C856D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59D2E3E" w14:textId="584CFF4F" w:rsidR="004929A1" w:rsidRPr="00AC09C8" w:rsidRDefault="004929A1" w:rsidP="00AC09C8">
      <w:pPr>
        <w:spacing w:after="0" w:line="264" w:lineRule="auto"/>
        <w:rPr>
          <w:rFonts w:eastAsia="Calibri" w:cs="Calibri"/>
          <w:i/>
          <w:iCs/>
          <w:sz w:val="20"/>
          <w:szCs w:val="20"/>
        </w:rPr>
      </w:pPr>
      <w:r w:rsidRPr="00AC09C8">
        <w:rPr>
          <w:rFonts w:eastAsia="Calibri" w:cs="Calibri"/>
          <w:i/>
          <w:iCs/>
          <w:sz w:val="20"/>
          <w:szCs w:val="20"/>
        </w:rPr>
        <w:t>Figure</w:t>
      </w:r>
      <w:r w:rsidR="00603F35">
        <w:rPr>
          <w:rFonts w:eastAsia="Calibri" w:cs="Calibri"/>
          <w:i/>
          <w:iCs/>
          <w:sz w:val="20"/>
          <w:szCs w:val="20"/>
        </w:rPr>
        <w:t xml:space="preserve"> 6</w:t>
      </w:r>
      <w:r w:rsidRPr="00AC09C8">
        <w:rPr>
          <w:rFonts w:eastAsia="Calibri" w:cs="Calibri"/>
          <w:i/>
          <w:iCs/>
          <w:sz w:val="20"/>
          <w:szCs w:val="20"/>
        </w:rPr>
        <w:t xml:space="preserve">: Application volumes and overall success rate by career stage </w:t>
      </w:r>
    </w:p>
    <w:p w14:paraId="16BA20E0" w14:textId="7667E2B6" w:rsidR="00887945" w:rsidRPr="00081EEC" w:rsidRDefault="00DC6728" w:rsidP="00DC6728">
      <w:pPr>
        <w:spacing w:before="280" w:after="120" w:line="264" w:lineRule="auto"/>
        <w:rPr>
          <w:rFonts w:eastAsia="Calibri" w:cs="Calibri"/>
          <w:b/>
          <w:bCs/>
          <w:color w:val="102F4C" w:themeColor="accent3" w:themeShade="80"/>
        </w:rPr>
      </w:pPr>
      <w:r w:rsidRPr="00081EEC">
        <w:rPr>
          <w:rStyle w:val="Heading3Char"/>
          <w:b/>
          <w:bCs/>
          <w:color w:val="102F4C" w:themeColor="accent3" w:themeShade="80"/>
        </w:rPr>
        <w:lastRenderedPageBreak/>
        <w:t xml:space="preserve">College of </w:t>
      </w:r>
      <w:r w:rsidR="00D76DD7" w:rsidRPr="00081EEC">
        <w:rPr>
          <w:rStyle w:val="Heading3Char"/>
          <w:b/>
          <w:bCs/>
          <w:color w:val="102F4C" w:themeColor="accent3" w:themeShade="80"/>
        </w:rPr>
        <w:t>E</w:t>
      </w:r>
      <w:r w:rsidRPr="00081EEC">
        <w:rPr>
          <w:rStyle w:val="Heading3Char"/>
          <w:b/>
          <w:bCs/>
          <w:color w:val="102F4C" w:themeColor="accent3" w:themeShade="80"/>
        </w:rPr>
        <w:t xml:space="preserve">xperts </w:t>
      </w:r>
      <w:r w:rsidR="00D76DD7" w:rsidRPr="00081EEC">
        <w:rPr>
          <w:rStyle w:val="Heading3Char"/>
          <w:b/>
          <w:bCs/>
          <w:color w:val="102F4C" w:themeColor="accent3" w:themeShade="80"/>
        </w:rPr>
        <w:t>I</w:t>
      </w:r>
      <w:r w:rsidRPr="00081EEC">
        <w:rPr>
          <w:rStyle w:val="Heading3Char"/>
          <w:b/>
          <w:bCs/>
          <w:color w:val="102F4C" w:themeColor="accent3" w:themeShade="80"/>
        </w:rPr>
        <w:t>nvolvement</w:t>
      </w:r>
    </w:p>
    <w:p w14:paraId="3EB66AD6" w14:textId="13AA83FC" w:rsidR="00DC6728" w:rsidRDefault="00DC6728" w:rsidP="00DC6728">
      <w:pPr>
        <w:spacing w:before="280" w:after="120" w:line="264" w:lineRule="auto"/>
        <w:rPr>
          <w:rFonts w:eastAsia="Calibri" w:cs="Calibri"/>
        </w:rPr>
      </w:pPr>
      <w:r w:rsidRPr="2CC77B61">
        <w:rPr>
          <w:rFonts w:eastAsia="Calibri" w:cs="Calibri"/>
        </w:rPr>
        <w:t>College</w:t>
      </w:r>
      <w:r w:rsidRPr="6ED1972D">
        <w:rPr>
          <w:rFonts w:eastAsia="Calibri" w:cs="Calibri"/>
        </w:rPr>
        <w:t xml:space="preserve"> </w:t>
      </w:r>
      <w:r w:rsidRPr="1AB9536D">
        <w:rPr>
          <w:rFonts w:eastAsia="Calibri" w:cs="Calibri"/>
        </w:rPr>
        <w:t>of</w:t>
      </w:r>
      <w:r w:rsidRPr="16B40983">
        <w:rPr>
          <w:rFonts w:eastAsia="Calibri" w:cs="Calibri"/>
        </w:rPr>
        <w:t xml:space="preserve"> </w:t>
      </w:r>
      <w:r w:rsidR="0012473A">
        <w:rPr>
          <w:rFonts w:eastAsia="Calibri" w:cs="Calibri"/>
        </w:rPr>
        <w:t>E</w:t>
      </w:r>
      <w:r w:rsidRPr="16B40983">
        <w:rPr>
          <w:rFonts w:eastAsia="Calibri" w:cs="Calibri"/>
        </w:rPr>
        <w:t>xpert</w:t>
      </w:r>
      <w:r w:rsidR="00887945">
        <w:rPr>
          <w:rFonts w:eastAsia="Calibri" w:cs="Calibri"/>
        </w:rPr>
        <w:t xml:space="preserve"> members</w:t>
      </w:r>
      <w:r w:rsidRPr="2CC77B61">
        <w:rPr>
          <w:rFonts w:eastAsia="Calibri" w:cs="Calibri"/>
        </w:rPr>
        <w:t xml:space="preserve"> have been allowed to submit applications in the EOI stage they are assessing, primarily due to the need for a large enough cohort of general assessors to </w:t>
      </w:r>
      <w:r w:rsidR="00D76DD7">
        <w:rPr>
          <w:rFonts w:eastAsia="Calibri" w:cs="Calibri"/>
        </w:rPr>
        <w:t xml:space="preserve">ensure each EOI receives a total of 3 assessments. EOIs involving participation of </w:t>
      </w:r>
      <w:r w:rsidRPr="2CC77B61">
        <w:rPr>
          <w:rFonts w:eastAsia="Calibri" w:cs="Calibri"/>
        </w:rPr>
        <w:t xml:space="preserve">College </w:t>
      </w:r>
      <w:r w:rsidR="00D76DD7">
        <w:rPr>
          <w:rFonts w:eastAsia="Calibri" w:cs="Calibri"/>
        </w:rPr>
        <w:t>members</w:t>
      </w:r>
      <w:r w:rsidRPr="2CC77B61">
        <w:rPr>
          <w:rFonts w:eastAsia="Calibri" w:cs="Calibri"/>
        </w:rPr>
        <w:t xml:space="preserve"> were shortlisted at a rate of </w:t>
      </w:r>
      <w:r>
        <w:rPr>
          <w:rFonts w:eastAsia="Calibri" w:cs="Calibri"/>
        </w:rPr>
        <w:t>~44%</w:t>
      </w:r>
      <w:r w:rsidRPr="2CC77B61">
        <w:rPr>
          <w:rFonts w:eastAsia="Calibri" w:cs="Calibri"/>
        </w:rPr>
        <w:t>% versus non-College</w:t>
      </w:r>
      <w:r w:rsidR="00D76DD7">
        <w:rPr>
          <w:rFonts w:eastAsia="Calibri" w:cs="Calibri"/>
        </w:rPr>
        <w:t xml:space="preserve"> EOIs</w:t>
      </w:r>
      <w:r w:rsidRPr="2CC77B61">
        <w:rPr>
          <w:rFonts w:eastAsia="Calibri" w:cs="Calibri"/>
        </w:rPr>
        <w:t xml:space="preserve"> at </w:t>
      </w:r>
      <w:r>
        <w:rPr>
          <w:rFonts w:eastAsia="Calibri" w:cs="Calibri"/>
        </w:rPr>
        <w:t>~26</w:t>
      </w:r>
      <w:r w:rsidRPr="2CC77B61">
        <w:rPr>
          <w:rFonts w:eastAsia="Calibri" w:cs="Calibri"/>
        </w:rPr>
        <w:t>%.</w:t>
      </w:r>
      <w:r>
        <w:rPr>
          <w:rFonts w:eastAsia="Calibri" w:cs="Calibri"/>
        </w:rPr>
        <w:t xml:space="preserve"> </w:t>
      </w:r>
      <w:r w:rsidRPr="2CC77B61">
        <w:rPr>
          <w:rFonts w:eastAsia="Calibri" w:cs="Calibri"/>
        </w:rPr>
        <w:t xml:space="preserve">Applications involving College members achieved higher success rates (≈13pp gap at full stage). </w:t>
      </w:r>
      <w:r w:rsidR="00582E27">
        <w:rPr>
          <w:rFonts w:eastAsia="Calibri" w:cs="Calibri"/>
        </w:rPr>
        <w:t>This higher success rate</w:t>
      </w:r>
      <w:r w:rsidR="0090338A">
        <w:rPr>
          <w:rFonts w:eastAsia="Calibri" w:cs="Calibri"/>
        </w:rPr>
        <w:t xml:space="preserve"> is attributable to the eminence of College </w:t>
      </w:r>
      <w:r w:rsidR="00E271B5">
        <w:rPr>
          <w:rFonts w:eastAsia="Calibri" w:cs="Calibri"/>
        </w:rPr>
        <w:t>members, who are typically senior researchers with strong research track records and experience. Importantly, t</w:t>
      </w:r>
      <w:r w:rsidRPr="2CC77B61">
        <w:rPr>
          <w:rFonts w:eastAsia="Calibri" w:cs="Calibri"/>
        </w:rPr>
        <w:t xml:space="preserve">his pattern existed </w:t>
      </w:r>
      <w:r>
        <w:rPr>
          <w:rFonts w:eastAsia="Calibri" w:cs="Calibri"/>
        </w:rPr>
        <w:t>before two-step process</w:t>
      </w:r>
      <w:r w:rsidR="004F2879">
        <w:rPr>
          <w:rFonts w:eastAsia="Calibri" w:cs="Calibri"/>
        </w:rPr>
        <w:t xml:space="preserve"> was</w:t>
      </w:r>
      <w:r>
        <w:rPr>
          <w:rFonts w:eastAsia="Calibri" w:cs="Calibri"/>
        </w:rPr>
        <w:t xml:space="preserve"> introduced</w:t>
      </w:r>
      <w:r w:rsidRPr="2CC77B61">
        <w:rPr>
          <w:rFonts w:eastAsia="Calibri" w:cs="Calibri"/>
        </w:rPr>
        <w:t xml:space="preserve"> (≈11.8pp) and has remained stable in the full application stage.  The two</w:t>
      </w:r>
      <w:r>
        <w:rPr>
          <w:rFonts w:eastAsia="Calibri" w:cs="Calibri"/>
        </w:rPr>
        <w:t>-</w:t>
      </w:r>
      <w:r w:rsidRPr="2CC77B61">
        <w:rPr>
          <w:rFonts w:eastAsia="Calibri" w:cs="Calibri"/>
        </w:rPr>
        <w:t xml:space="preserve">step process </w:t>
      </w:r>
      <w:r w:rsidR="00D76DD7">
        <w:rPr>
          <w:rFonts w:eastAsia="Calibri" w:cs="Calibri"/>
        </w:rPr>
        <w:t>has</w:t>
      </w:r>
      <w:r w:rsidRPr="2CC77B61">
        <w:rPr>
          <w:rFonts w:eastAsia="Calibri" w:cs="Calibri"/>
        </w:rPr>
        <w:t xml:space="preserve"> not introduce</w:t>
      </w:r>
      <w:r w:rsidR="00D76DD7">
        <w:rPr>
          <w:rFonts w:eastAsia="Calibri" w:cs="Calibri"/>
        </w:rPr>
        <w:t>d</w:t>
      </w:r>
      <w:r w:rsidRPr="2CC77B61">
        <w:rPr>
          <w:rFonts w:eastAsia="Calibri" w:cs="Calibri"/>
        </w:rPr>
        <w:t xml:space="preserve"> new equity </w:t>
      </w:r>
      <w:r w:rsidRPr="58717B5B">
        <w:rPr>
          <w:rFonts w:eastAsia="Calibri" w:cs="Calibri"/>
        </w:rPr>
        <w:t>concerns</w:t>
      </w:r>
      <w:r w:rsidRPr="2CC77B61">
        <w:rPr>
          <w:rFonts w:eastAsia="Calibri" w:cs="Calibri"/>
        </w:rPr>
        <w:t xml:space="preserve"> related to college status.</w:t>
      </w:r>
      <w:r w:rsidR="002E6F94">
        <w:rPr>
          <w:rFonts w:eastAsia="Calibri" w:cs="Calibri"/>
        </w:rPr>
        <w:t xml:space="preserve"> </w:t>
      </w:r>
      <w:r w:rsidR="00D90C4D" w:rsidRPr="00D90C4D">
        <w:rPr>
          <w:rFonts w:eastAsia="Calibri" w:cs="Calibri"/>
        </w:rPr>
        <w:t>Accordingly, ongoing monitoring for potential bias and conflict</w:t>
      </w:r>
      <w:r w:rsidR="00D90C4D" w:rsidRPr="00D90C4D">
        <w:rPr>
          <w:rFonts w:eastAsia="Calibri" w:cs="Calibri"/>
        </w:rPr>
        <w:noBreakHyphen/>
        <w:t>of</w:t>
      </w:r>
      <w:r w:rsidR="00D90C4D" w:rsidRPr="00D90C4D">
        <w:rPr>
          <w:rFonts w:eastAsia="Calibri" w:cs="Calibri"/>
        </w:rPr>
        <w:noBreakHyphen/>
        <w:t>interest compliance remains important.</w:t>
      </w:r>
      <w:r w:rsidR="00D90C4D">
        <w:rPr>
          <w:rFonts w:eastAsia="Calibri" w:cs="Calibri"/>
        </w:rPr>
        <w:t xml:space="preserve"> Conflict of interest was strictly monitored throughout the </w:t>
      </w:r>
      <w:r w:rsidR="00C72AEC">
        <w:rPr>
          <w:rFonts w:eastAsia="Calibri" w:cs="Calibri"/>
        </w:rPr>
        <w:t xml:space="preserve">assessment </w:t>
      </w:r>
      <w:r w:rsidR="00D90C4D">
        <w:rPr>
          <w:rFonts w:eastAsia="Calibri" w:cs="Calibri"/>
        </w:rPr>
        <w:t xml:space="preserve">process, and to </w:t>
      </w:r>
      <w:r w:rsidR="00C72AEC">
        <w:rPr>
          <w:rFonts w:eastAsia="Calibri" w:cs="Calibri"/>
        </w:rPr>
        <w:t xml:space="preserve">further </w:t>
      </w:r>
      <w:r w:rsidR="00617257">
        <w:rPr>
          <w:rFonts w:eastAsia="Calibri" w:cs="Calibri"/>
        </w:rPr>
        <w:t xml:space="preserve">strengthen </w:t>
      </w:r>
      <w:r w:rsidR="00617257" w:rsidRPr="002E6F94">
        <w:rPr>
          <w:rFonts w:eastAsia="Calibri" w:cs="Calibri"/>
        </w:rPr>
        <w:t>probity</w:t>
      </w:r>
      <w:r w:rsidR="002E6F94" w:rsidRPr="002E6F94">
        <w:rPr>
          <w:rFonts w:eastAsia="Calibri" w:cs="Calibri"/>
        </w:rPr>
        <w:t xml:space="preserve"> of the assessment process, shortlisted College applicants were ineligible to participate in the Selection Advisory Committee assessing the full application. This measure</w:t>
      </w:r>
      <w:r w:rsidR="002E6F94">
        <w:rPr>
          <w:rFonts w:eastAsia="Calibri" w:cs="Calibri"/>
        </w:rPr>
        <w:t xml:space="preserve"> has been in place since the </w:t>
      </w:r>
      <w:r w:rsidR="002E6F94" w:rsidRPr="002E6F94">
        <w:rPr>
          <w:rFonts w:eastAsia="Calibri" w:cs="Calibri"/>
        </w:rPr>
        <w:t xml:space="preserve">DP25 round </w:t>
      </w:r>
      <w:r w:rsidRPr="2CC77B61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 </w:t>
      </w:r>
    </w:p>
    <w:tbl>
      <w:tblPr>
        <w:tblStyle w:val="GridTable4-Accent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47"/>
        <w:gridCol w:w="897"/>
        <w:gridCol w:w="848"/>
        <w:gridCol w:w="898"/>
        <w:gridCol w:w="898"/>
        <w:gridCol w:w="911"/>
        <w:gridCol w:w="848"/>
        <w:gridCol w:w="898"/>
        <w:gridCol w:w="898"/>
        <w:gridCol w:w="911"/>
      </w:tblGrid>
      <w:tr w:rsidR="00F03F18" w:rsidRPr="005E1ADF" w14:paraId="7DC596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F8BD44" w14:textId="3C20BD6F" w:rsidR="00F03F18" w:rsidRPr="00C22F73" w:rsidRDefault="00F03F1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2F73">
              <w:rPr>
                <w:rFonts w:ascii="Arial" w:hAnsi="Arial" w:cs="Arial"/>
                <w:sz w:val="17"/>
                <w:szCs w:val="17"/>
              </w:rPr>
              <w:t xml:space="preserve">College </w:t>
            </w:r>
            <w:r w:rsidR="000B59BA">
              <w:rPr>
                <w:rFonts w:ascii="Arial" w:hAnsi="Arial" w:cs="Arial"/>
                <w:sz w:val="17"/>
                <w:szCs w:val="17"/>
              </w:rPr>
              <w:t>member on an application</w:t>
            </w:r>
            <w:r w:rsidRPr="00C22F73">
              <w:rPr>
                <w:rFonts w:ascii="Arial" w:hAnsi="Arial" w:cs="Arial"/>
                <w:sz w:val="17"/>
                <w:szCs w:val="17"/>
              </w:rPr>
              <w:t>?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A81A095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2024 Total Full (n)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FA6DE4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2024 Funded Rate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567DAC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2025 Total EOI (n)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C201203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2025 EOI Rate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5FF7D2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2025  Full App Rate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B32181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2025 Overall Success Rate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C19598F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2026 Total EOI (n)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38D9AFD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2026 EOI Rate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7FC628" w14:textId="77777777" w:rsidR="00F03F18" w:rsidRPr="00C22F73" w:rsidRDefault="00F03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2026 Full Apps Rate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E1DC1A" w14:textId="77777777" w:rsidR="00F03F18" w:rsidRPr="00C22F73" w:rsidRDefault="00F03F1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22F73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2026 Overall Success Rate</w:t>
            </w:r>
          </w:p>
        </w:tc>
      </w:tr>
      <w:tr w:rsidR="00F03F18" w:rsidRPr="005E1ADF" w14:paraId="5172B7BF" w14:textId="77777777" w:rsidTr="00F0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203544A1" w14:textId="77777777" w:rsidR="00F03F18" w:rsidRPr="005E1ADF" w:rsidRDefault="00F03F18">
            <w:pPr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Yes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36969826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245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4A57C478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26.90%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24190131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334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6E4F8738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43.70%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7C03680D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58.20%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29BBAC8A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25.40%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1FD700AD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318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1641BED2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45.30%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73424D30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59.70%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5C9EB" w:themeFill="text2" w:themeFillTint="40"/>
            <w:hideMark/>
          </w:tcPr>
          <w:p w14:paraId="51980E8A" w14:textId="77777777" w:rsidR="00F03F18" w:rsidRPr="005E1ADF" w:rsidRDefault="00F03F18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27.00%</w:t>
            </w:r>
          </w:p>
        </w:tc>
      </w:tr>
      <w:tr w:rsidR="00F03F18" w:rsidRPr="005E1ADF" w14:paraId="14F7B4D6" w14:textId="77777777">
        <w:trPr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FEA4" w14:textId="77777777" w:rsidR="00F03F18" w:rsidRPr="005E1ADF" w:rsidRDefault="00F03F18">
            <w:pPr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4C4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2,345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9F37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15.10%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CEB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3,813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F857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26.10%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AB3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45.30%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5762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11.80%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007A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3,745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12CC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26.30%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0B15" w14:textId="77777777" w:rsidR="00F03F18" w:rsidRPr="005E1ADF" w:rsidRDefault="00F03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46.00%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D87A" w14:textId="77777777" w:rsidR="00F03F18" w:rsidRPr="005E1ADF" w:rsidRDefault="00F03F1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12.10%</w:t>
            </w:r>
          </w:p>
        </w:tc>
      </w:tr>
      <w:tr w:rsidR="00F03F18" w:rsidRPr="005E1ADF" w14:paraId="3DF4BB01" w14:textId="77777777" w:rsidTr="00F0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shd w:val="clear" w:color="auto" w:fill="A5C9EB" w:themeFill="text2" w:themeFillTint="40"/>
            <w:hideMark/>
          </w:tcPr>
          <w:p w14:paraId="7DE13A99" w14:textId="77777777" w:rsidR="00F03F18" w:rsidRPr="005E1ADF" w:rsidRDefault="00F03F18">
            <w:pPr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Gap between Yes College vs No College</w:t>
            </w:r>
          </w:p>
        </w:tc>
        <w:tc>
          <w:tcPr>
            <w:tcW w:w="847" w:type="dxa"/>
            <w:shd w:val="clear" w:color="auto" w:fill="A5C9EB" w:themeFill="text2" w:themeFillTint="40"/>
            <w:hideMark/>
          </w:tcPr>
          <w:p w14:paraId="4491FD03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 </w:t>
            </w:r>
          </w:p>
        </w:tc>
        <w:tc>
          <w:tcPr>
            <w:tcW w:w="897" w:type="dxa"/>
            <w:shd w:val="clear" w:color="auto" w:fill="A5C9EB" w:themeFill="text2" w:themeFillTint="40"/>
            <w:hideMark/>
          </w:tcPr>
          <w:p w14:paraId="2FA438A1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11.80%</w:t>
            </w:r>
          </w:p>
        </w:tc>
        <w:tc>
          <w:tcPr>
            <w:tcW w:w="848" w:type="dxa"/>
            <w:shd w:val="clear" w:color="auto" w:fill="A5C9EB" w:themeFill="text2" w:themeFillTint="40"/>
            <w:hideMark/>
          </w:tcPr>
          <w:p w14:paraId="4A1D387A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 </w:t>
            </w:r>
          </w:p>
        </w:tc>
        <w:tc>
          <w:tcPr>
            <w:tcW w:w="898" w:type="dxa"/>
            <w:shd w:val="clear" w:color="auto" w:fill="A5C9EB" w:themeFill="text2" w:themeFillTint="40"/>
            <w:hideMark/>
          </w:tcPr>
          <w:p w14:paraId="5E0C7ECE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17.60%</w:t>
            </w:r>
          </w:p>
        </w:tc>
        <w:tc>
          <w:tcPr>
            <w:tcW w:w="898" w:type="dxa"/>
            <w:shd w:val="clear" w:color="auto" w:fill="A5C9EB" w:themeFill="text2" w:themeFillTint="40"/>
            <w:hideMark/>
          </w:tcPr>
          <w:p w14:paraId="2069808D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 </w:t>
            </w:r>
          </w:p>
        </w:tc>
        <w:tc>
          <w:tcPr>
            <w:tcW w:w="911" w:type="dxa"/>
            <w:shd w:val="clear" w:color="auto" w:fill="A5C9EB" w:themeFill="text2" w:themeFillTint="40"/>
            <w:hideMark/>
          </w:tcPr>
          <w:p w14:paraId="0A75614A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13.60%</w:t>
            </w:r>
          </w:p>
        </w:tc>
        <w:tc>
          <w:tcPr>
            <w:tcW w:w="848" w:type="dxa"/>
            <w:shd w:val="clear" w:color="auto" w:fill="A5C9EB" w:themeFill="text2" w:themeFillTint="40"/>
            <w:hideMark/>
          </w:tcPr>
          <w:p w14:paraId="542212F9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 </w:t>
            </w:r>
          </w:p>
        </w:tc>
        <w:tc>
          <w:tcPr>
            <w:tcW w:w="898" w:type="dxa"/>
            <w:shd w:val="clear" w:color="auto" w:fill="A5C9EB" w:themeFill="text2" w:themeFillTint="40"/>
            <w:hideMark/>
          </w:tcPr>
          <w:p w14:paraId="3A3EB20D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19.00%</w:t>
            </w:r>
          </w:p>
        </w:tc>
        <w:tc>
          <w:tcPr>
            <w:tcW w:w="898" w:type="dxa"/>
            <w:shd w:val="clear" w:color="auto" w:fill="A5C9EB" w:themeFill="text2" w:themeFillTint="40"/>
            <w:hideMark/>
          </w:tcPr>
          <w:p w14:paraId="12415D2A" w14:textId="77777777" w:rsidR="00F03F18" w:rsidRPr="005E1ADF" w:rsidRDefault="00F03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 </w:t>
            </w:r>
          </w:p>
        </w:tc>
        <w:tc>
          <w:tcPr>
            <w:tcW w:w="911" w:type="dxa"/>
            <w:shd w:val="clear" w:color="auto" w:fill="A5C9EB" w:themeFill="text2" w:themeFillTint="40"/>
            <w:hideMark/>
          </w:tcPr>
          <w:p w14:paraId="709FCFD3" w14:textId="77777777" w:rsidR="00F03F18" w:rsidRPr="005E1ADF" w:rsidRDefault="00F03F18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5E1ADF">
              <w:rPr>
                <w:rFonts w:ascii="Arial" w:hAnsi="Arial" w:cs="Arial"/>
                <w:color w:val="1A1A1A"/>
                <w:sz w:val="19"/>
                <w:szCs w:val="19"/>
              </w:rPr>
              <w:t>14.90%</w:t>
            </w:r>
          </w:p>
        </w:tc>
      </w:tr>
    </w:tbl>
    <w:p w14:paraId="78446DFE" w14:textId="15125719" w:rsidR="001A344E" w:rsidRPr="00AC09C8" w:rsidRDefault="001A344E" w:rsidP="001A344E">
      <w:pPr>
        <w:spacing w:before="280" w:after="120" w:line="264" w:lineRule="auto"/>
        <w:rPr>
          <w:rFonts w:eastAsia="Calibri" w:cs="Calibri"/>
          <w:i/>
          <w:iCs/>
          <w:sz w:val="20"/>
          <w:szCs w:val="20"/>
        </w:rPr>
      </w:pPr>
      <w:r w:rsidRPr="00AC09C8">
        <w:rPr>
          <w:rFonts w:eastAsia="Calibri" w:cs="Calibri"/>
          <w:i/>
          <w:iCs/>
          <w:sz w:val="20"/>
          <w:szCs w:val="20"/>
        </w:rPr>
        <w:t>Table</w:t>
      </w:r>
      <w:r w:rsidR="00590E68">
        <w:rPr>
          <w:rFonts w:eastAsia="Calibri" w:cs="Calibri"/>
          <w:i/>
          <w:iCs/>
          <w:sz w:val="20"/>
          <w:szCs w:val="20"/>
        </w:rPr>
        <w:t xml:space="preserve"> </w:t>
      </w:r>
      <w:r w:rsidR="00C33E34">
        <w:rPr>
          <w:rFonts w:eastAsia="Calibri" w:cs="Calibri"/>
          <w:i/>
          <w:iCs/>
          <w:sz w:val="20"/>
          <w:szCs w:val="20"/>
        </w:rPr>
        <w:t>A.</w:t>
      </w:r>
      <w:r w:rsidR="00590E68">
        <w:rPr>
          <w:rFonts w:eastAsia="Calibri" w:cs="Calibri"/>
          <w:i/>
          <w:iCs/>
          <w:sz w:val="20"/>
          <w:szCs w:val="20"/>
        </w:rPr>
        <w:t>1</w:t>
      </w:r>
      <w:r w:rsidRPr="00AC09C8">
        <w:rPr>
          <w:rFonts w:eastAsia="Calibri" w:cs="Calibri"/>
          <w:i/>
          <w:iCs/>
          <w:sz w:val="20"/>
          <w:szCs w:val="20"/>
        </w:rPr>
        <w:t xml:space="preserve">: </w:t>
      </w:r>
      <w:r w:rsidR="000B59BA" w:rsidRPr="00AC09C8">
        <w:rPr>
          <w:rFonts w:eastAsia="Calibri" w:cs="Calibri"/>
          <w:i/>
          <w:iCs/>
          <w:sz w:val="20"/>
          <w:szCs w:val="20"/>
        </w:rPr>
        <w:t xml:space="preserve">College member involvement and success rates </w:t>
      </w:r>
      <w:r w:rsidRPr="00AC09C8">
        <w:rPr>
          <w:rFonts w:eastAsia="Calibri" w:cs="Calibri"/>
          <w:i/>
          <w:iCs/>
          <w:sz w:val="20"/>
          <w:szCs w:val="20"/>
        </w:rPr>
        <w:t xml:space="preserve"> </w:t>
      </w:r>
    </w:p>
    <w:p w14:paraId="4AD31521" w14:textId="77777777" w:rsidR="004222AF" w:rsidRDefault="004222AF" w:rsidP="00DC6728">
      <w:pPr>
        <w:rPr>
          <w:rStyle w:val="Heading3Char"/>
        </w:rPr>
      </w:pPr>
    </w:p>
    <w:p w14:paraId="1ADDCF18" w14:textId="77777777" w:rsidR="00D02BD6" w:rsidRDefault="00D02BD6" w:rsidP="00DC6728">
      <w:pPr>
        <w:rPr>
          <w:rStyle w:val="Heading3Char"/>
        </w:rPr>
      </w:pPr>
    </w:p>
    <w:p w14:paraId="5C425D91" w14:textId="0D7CA952" w:rsidR="00DC6728" w:rsidRPr="00AC09C8" w:rsidRDefault="00DC6728" w:rsidP="00AC09C8">
      <w:pPr>
        <w:spacing w:after="120" w:line="264" w:lineRule="auto"/>
        <w:rPr>
          <w:rFonts w:eastAsia="Calibri"/>
          <w:i/>
          <w:iCs/>
        </w:rPr>
      </w:pPr>
    </w:p>
    <w:sectPr w:rsidR="00DC6728" w:rsidRPr="00AC09C8" w:rsidSect="00E675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B378" w14:textId="77777777" w:rsidR="00766279" w:rsidRDefault="00766279" w:rsidP="009A4A05">
      <w:pPr>
        <w:spacing w:after="0" w:line="240" w:lineRule="auto"/>
      </w:pPr>
      <w:r>
        <w:separator/>
      </w:r>
    </w:p>
  </w:endnote>
  <w:endnote w:type="continuationSeparator" w:id="0">
    <w:p w14:paraId="6C155B07" w14:textId="77777777" w:rsidR="00766279" w:rsidRDefault="00766279" w:rsidP="009A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03EA" w14:textId="70A17C46" w:rsidR="009A4A05" w:rsidRDefault="009A4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2976D2" wp14:editId="38890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1141678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9B8BE" w14:textId="7A711A3A" w:rsidR="009A4A05" w:rsidRPr="009A4A05" w:rsidRDefault="009A4A05" w:rsidP="009A4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A4A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976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0D39B8BE" w14:textId="7A711A3A" w:rsidR="009A4A05" w:rsidRPr="009A4A05" w:rsidRDefault="009A4A05" w:rsidP="009A4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A4A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3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804D8" w14:textId="1EDD2A23" w:rsidR="00292798" w:rsidRDefault="00292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B3ED" w14:textId="26D6B986" w:rsidR="009A4A05" w:rsidRDefault="009A4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9814E9" wp14:editId="53B10F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6520652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3BDA9" w14:textId="676FC466" w:rsidR="009A4A05" w:rsidRPr="009A4A05" w:rsidRDefault="009A4A05" w:rsidP="009A4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A4A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814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QYDQ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" filled="f" stroked="f">
              <v:textbox style="mso-fit-shape-to-text:t" inset="0,0,0,15pt">
                <w:txbxContent>
                  <w:p w14:paraId="2263BDA9" w14:textId="676FC466" w:rsidR="009A4A05" w:rsidRPr="009A4A05" w:rsidRDefault="009A4A05" w:rsidP="009A4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A4A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C9E" w14:textId="77777777" w:rsidR="00766279" w:rsidRDefault="00766279" w:rsidP="009A4A05">
      <w:pPr>
        <w:spacing w:after="0" w:line="240" w:lineRule="auto"/>
      </w:pPr>
      <w:r>
        <w:separator/>
      </w:r>
    </w:p>
  </w:footnote>
  <w:footnote w:type="continuationSeparator" w:id="0">
    <w:p w14:paraId="24DE9BFD" w14:textId="77777777" w:rsidR="00766279" w:rsidRDefault="00766279" w:rsidP="009A4A05">
      <w:pPr>
        <w:spacing w:after="0" w:line="240" w:lineRule="auto"/>
      </w:pPr>
      <w:r>
        <w:continuationSeparator/>
      </w:r>
    </w:p>
  </w:footnote>
  <w:footnote w:id="1">
    <w:p w14:paraId="53EC6CAB" w14:textId="1E16F9CC" w:rsidR="008B7130" w:rsidRDefault="008B71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D61D1">
        <w:t xml:space="preserve">DP26 full applications outcomes data excludes a small number of applications </w:t>
      </w:r>
      <w:r w:rsidR="65302AA1">
        <w:t xml:space="preserve">that </w:t>
      </w:r>
      <w:r w:rsidR="001D61D1">
        <w:t>are still undergoing final due diligence checks</w:t>
      </w:r>
    </w:p>
  </w:footnote>
  <w:footnote w:id="2">
    <w:p w14:paraId="225EF7BC" w14:textId="6530916B" w:rsidR="00A40680" w:rsidRDefault="00A406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543A">
        <w:t xml:space="preserve">Entire </w:t>
      </w:r>
      <w:r>
        <w:t>DP26 full applications outcomes data</w:t>
      </w:r>
      <w:r w:rsidR="0072543A">
        <w:t xml:space="preserve"> is not yet available as a </w:t>
      </w:r>
      <w:r>
        <w:t>small number of applications are still undergoing final due diligence checks</w:t>
      </w:r>
      <w:r w:rsidR="00C90B87">
        <w:t>.</w:t>
      </w:r>
    </w:p>
  </w:footnote>
  <w:footnote w:id="3">
    <w:p w14:paraId="2B231725" w14:textId="7B2F3E5C" w:rsidR="0098471D" w:rsidRDefault="009847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489C" w:rsidRPr="00F3489C">
        <w:t>The ARC publishes gender outcomes for discipline panels in our</w:t>
      </w:r>
      <w:r w:rsidR="00BC10AE" w:rsidRPr="00BC10AE">
        <w:rPr>
          <w:sz w:val="24"/>
          <w:szCs w:val="24"/>
        </w:rPr>
        <w:t xml:space="preserve"> </w:t>
      </w:r>
      <w:hyperlink r:id="rId1" w:history="1">
        <w:r w:rsidR="00BC10AE">
          <w:rPr>
            <w:rStyle w:val="Hyperlink"/>
          </w:rPr>
          <w:t>Selection Outcome Reports</w:t>
        </w:r>
      </w:hyperlink>
      <w:r w:rsidR="00BC10AE">
        <w:t>.</w:t>
      </w:r>
      <w:r w:rsidR="00F3489C" w:rsidRPr="00F3489C">
        <w:t xml:space="preserve"> Proportions of female and male led applications as a percentage of submission volume, as well as success rates by gender vary significantly between the 5 discipline panels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078C" w14:textId="35482672" w:rsidR="009A4A05" w:rsidRDefault="009A4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F7C473" wp14:editId="09A044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1065944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FC957" w14:textId="0FABBB31" w:rsidR="009A4A05" w:rsidRPr="009A4A05" w:rsidRDefault="009A4A05" w:rsidP="009A4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A4A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7C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030FC957" w14:textId="0FABBB31" w:rsidR="009A4A05" w:rsidRPr="009A4A05" w:rsidRDefault="009A4A05" w:rsidP="009A4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A4A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A721" w14:textId="62ED2B60" w:rsidR="009A4A05" w:rsidRDefault="009A4A05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4AE7497" wp14:editId="768803B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3764449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8B4DF" w14:textId="521FAB66" w:rsidR="009A4A05" w:rsidRPr="009A4A05" w:rsidRDefault="009A4A05" w:rsidP="009A4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A4A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74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5C58B4DF" w14:textId="521FAB66" w:rsidR="009A4A05" w:rsidRPr="009A4A05" w:rsidRDefault="009A4A05" w:rsidP="009A4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A4A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EAA8" w14:textId="0F672210" w:rsidR="009A4A05" w:rsidRDefault="009A4A05" w:rsidP="005C0F89">
    <w:pPr>
      <w:pStyle w:val="Header"/>
      <w:ind w:firstLine="4513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2EE7F75" wp14:editId="031F3B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8707977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4DB1F" w14:textId="23E73F8E" w:rsidR="009A4A05" w:rsidRPr="009A4A05" w:rsidRDefault="009A4A05" w:rsidP="009A4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A4A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E7F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gc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Y+5vNPi3lEya6XrfPhqwBNolFSh1tJZLHT&#10;1oc+dUyJtQxsGqXSZpT5zYGY0ZNdO4xW6PYdaaqS3ozd76E641AO+n17yzcNlt4yH56ZwwVjtyja&#10;8ISHVNCWFAaLkhrcj7/5Yz7yjlFKWhRMSQ0qmhL1zeA+oraSMf2czyMZbnTvR8Mc9T2gDKf4IixP&#10;ZswLajSlA/2Kcl7HQhhihmO5kobRvA+9cvE5cLFepySUkWVha3aWR+hIV+TypXtlzg6EB9zUI4xq&#10;YsUb3vvceNPb9TEg+2kpkdqeyIFxlGBa6/BcosZ//U9Z10e9+gk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oU54HA0CAAAcBAAA&#10;DgAAAAAAAAAAAAAAAAAuAgAAZHJzL2Uyb0RvYy54bWxQSwECLQAUAAYACAAAACEAI0IZ4dkAAAAD&#10;AQAADwAAAAAAAAAAAAAAAABnBAAAZHJzL2Rvd25yZXYueG1sUEsFBgAAAAAEAAQA8wAAAG0FAAAA&#10;AA==&#10;" filled="f" stroked="f">
              <v:textbox style="mso-fit-shape-to-text:t" inset="0,15pt,0,0">
                <w:txbxContent>
                  <w:p w14:paraId="7FD4DB1F" w14:textId="23E73F8E" w:rsidR="009A4A05" w:rsidRPr="009A4A05" w:rsidRDefault="009A4A05" w:rsidP="009A4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A4A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0F89">
      <w:t xml:space="preserve">                            </w:t>
    </w:r>
    <w:r w:rsidR="00E67518">
      <w:rPr>
        <w:noProof/>
      </w:rPr>
      <w:drawing>
        <wp:inline distT="0" distB="0" distL="0" distR="0" wp14:anchorId="572BE64C" wp14:editId="23049FF8">
          <wp:extent cx="6626860" cy="603250"/>
          <wp:effectExtent l="0" t="0" r="2540" b="6350"/>
          <wp:docPr id="20315036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8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B9A"/>
    <w:multiLevelType w:val="multilevel"/>
    <w:tmpl w:val="1FB4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B3A98"/>
    <w:multiLevelType w:val="multilevel"/>
    <w:tmpl w:val="4A6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F69FF"/>
    <w:multiLevelType w:val="hybridMultilevel"/>
    <w:tmpl w:val="5CE05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24D0"/>
    <w:multiLevelType w:val="multilevel"/>
    <w:tmpl w:val="D6B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4412C"/>
    <w:multiLevelType w:val="hybridMultilevel"/>
    <w:tmpl w:val="FD9A9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6FF8"/>
    <w:multiLevelType w:val="hybridMultilevel"/>
    <w:tmpl w:val="88D036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70F51"/>
    <w:multiLevelType w:val="multilevel"/>
    <w:tmpl w:val="CCD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91DCF"/>
    <w:multiLevelType w:val="hybridMultilevel"/>
    <w:tmpl w:val="4D287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55A7"/>
    <w:multiLevelType w:val="hybridMultilevel"/>
    <w:tmpl w:val="842AD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1782"/>
    <w:multiLevelType w:val="multilevel"/>
    <w:tmpl w:val="CCD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30E18"/>
    <w:multiLevelType w:val="multilevel"/>
    <w:tmpl w:val="A66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E528C"/>
    <w:multiLevelType w:val="multilevel"/>
    <w:tmpl w:val="3CA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00305"/>
    <w:multiLevelType w:val="hybridMultilevel"/>
    <w:tmpl w:val="2CBCB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A1201"/>
    <w:multiLevelType w:val="hybridMultilevel"/>
    <w:tmpl w:val="B48612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AB7"/>
    <w:multiLevelType w:val="hybridMultilevel"/>
    <w:tmpl w:val="EFD68B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78C10A"/>
    <w:multiLevelType w:val="hybridMultilevel"/>
    <w:tmpl w:val="C73249E2"/>
    <w:lvl w:ilvl="0" w:tplc="EBBC5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05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E05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A2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C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3E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47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2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EAD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F3CAD"/>
    <w:multiLevelType w:val="multilevel"/>
    <w:tmpl w:val="E72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06E2D"/>
    <w:multiLevelType w:val="hybridMultilevel"/>
    <w:tmpl w:val="E1143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92374"/>
    <w:multiLevelType w:val="hybridMultilevel"/>
    <w:tmpl w:val="CC4E47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CA58BA"/>
    <w:multiLevelType w:val="multilevel"/>
    <w:tmpl w:val="403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2226E"/>
    <w:multiLevelType w:val="hybridMultilevel"/>
    <w:tmpl w:val="FD6CB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73F5"/>
    <w:multiLevelType w:val="multilevel"/>
    <w:tmpl w:val="90E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C0DCD"/>
    <w:multiLevelType w:val="hybridMultilevel"/>
    <w:tmpl w:val="6C18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26C7C"/>
    <w:multiLevelType w:val="multilevel"/>
    <w:tmpl w:val="3AD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B7F55"/>
    <w:multiLevelType w:val="hybridMultilevel"/>
    <w:tmpl w:val="46245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6D71"/>
    <w:multiLevelType w:val="hybridMultilevel"/>
    <w:tmpl w:val="9DE84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337E4"/>
    <w:multiLevelType w:val="multilevel"/>
    <w:tmpl w:val="CCD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65C0A"/>
    <w:multiLevelType w:val="hybridMultilevel"/>
    <w:tmpl w:val="874E2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F7E27"/>
    <w:multiLevelType w:val="multilevel"/>
    <w:tmpl w:val="EE58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D7B0D"/>
    <w:multiLevelType w:val="multilevel"/>
    <w:tmpl w:val="F8D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76339">
    <w:abstractNumId w:val="23"/>
  </w:num>
  <w:num w:numId="2" w16cid:durableId="1028679487">
    <w:abstractNumId w:val="7"/>
  </w:num>
  <w:num w:numId="3" w16cid:durableId="1455905137">
    <w:abstractNumId w:val="29"/>
  </w:num>
  <w:num w:numId="4" w16cid:durableId="1762801251">
    <w:abstractNumId w:val="21"/>
  </w:num>
  <w:num w:numId="5" w16cid:durableId="1953513411">
    <w:abstractNumId w:val="3"/>
  </w:num>
  <w:num w:numId="6" w16cid:durableId="1992366791">
    <w:abstractNumId w:val="19"/>
  </w:num>
  <w:num w:numId="7" w16cid:durableId="1997144357">
    <w:abstractNumId w:val="26"/>
  </w:num>
  <w:num w:numId="8" w16cid:durableId="333267262">
    <w:abstractNumId w:val="10"/>
  </w:num>
  <w:num w:numId="9" w16cid:durableId="449394521">
    <w:abstractNumId w:val="28"/>
  </w:num>
  <w:num w:numId="10" w16cid:durableId="466244051">
    <w:abstractNumId w:val="0"/>
  </w:num>
  <w:num w:numId="11" w16cid:durableId="603996430">
    <w:abstractNumId w:val="16"/>
  </w:num>
  <w:num w:numId="12" w16cid:durableId="894126052">
    <w:abstractNumId w:val="1"/>
  </w:num>
  <w:num w:numId="13" w16cid:durableId="908347948">
    <w:abstractNumId w:val="11"/>
  </w:num>
  <w:num w:numId="14" w16cid:durableId="75130259">
    <w:abstractNumId w:val="4"/>
  </w:num>
  <w:num w:numId="15" w16cid:durableId="1609124201">
    <w:abstractNumId w:val="15"/>
  </w:num>
  <w:num w:numId="16" w16cid:durableId="888109390">
    <w:abstractNumId w:val="15"/>
  </w:num>
  <w:num w:numId="17" w16cid:durableId="696346219">
    <w:abstractNumId w:val="24"/>
  </w:num>
  <w:num w:numId="18" w16cid:durableId="8411192">
    <w:abstractNumId w:val="8"/>
  </w:num>
  <w:num w:numId="19" w16cid:durableId="1188565988">
    <w:abstractNumId w:val="17"/>
  </w:num>
  <w:num w:numId="20" w16cid:durableId="1816995106">
    <w:abstractNumId w:val="9"/>
  </w:num>
  <w:num w:numId="21" w16cid:durableId="20400905">
    <w:abstractNumId w:val="20"/>
  </w:num>
  <w:num w:numId="22" w16cid:durableId="770079657">
    <w:abstractNumId w:val="22"/>
  </w:num>
  <w:num w:numId="23" w16cid:durableId="2013220009">
    <w:abstractNumId w:val="12"/>
  </w:num>
  <w:num w:numId="24" w16cid:durableId="1806777298">
    <w:abstractNumId w:val="13"/>
  </w:num>
  <w:num w:numId="25" w16cid:durableId="1540581767">
    <w:abstractNumId w:val="14"/>
  </w:num>
  <w:num w:numId="26" w16cid:durableId="569385169">
    <w:abstractNumId w:val="18"/>
  </w:num>
  <w:num w:numId="27" w16cid:durableId="1796750525">
    <w:abstractNumId w:val="27"/>
  </w:num>
  <w:num w:numId="28" w16cid:durableId="568346899">
    <w:abstractNumId w:val="5"/>
  </w:num>
  <w:num w:numId="29" w16cid:durableId="1588466007">
    <w:abstractNumId w:val="25"/>
  </w:num>
  <w:num w:numId="30" w16cid:durableId="947591430">
    <w:abstractNumId w:val="6"/>
  </w:num>
  <w:num w:numId="31" w16cid:durableId="49704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93"/>
    <w:rsid w:val="000010E3"/>
    <w:rsid w:val="0000162D"/>
    <w:rsid w:val="00004484"/>
    <w:rsid w:val="00004C02"/>
    <w:rsid w:val="00004C5E"/>
    <w:rsid w:val="00004E8A"/>
    <w:rsid w:val="0000562D"/>
    <w:rsid w:val="0001086F"/>
    <w:rsid w:val="00010914"/>
    <w:rsid w:val="00012EF1"/>
    <w:rsid w:val="00013871"/>
    <w:rsid w:val="00013B11"/>
    <w:rsid w:val="00013B18"/>
    <w:rsid w:val="000142BD"/>
    <w:rsid w:val="00015179"/>
    <w:rsid w:val="0001550C"/>
    <w:rsid w:val="00015FF8"/>
    <w:rsid w:val="00016A3B"/>
    <w:rsid w:val="00017C92"/>
    <w:rsid w:val="00020FB7"/>
    <w:rsid w:val="00021C87"/>
    <w:rsid w:val="00022B6D"/>
    <w:rsid w:val="00023AD6"/>
    <w:rsid w:val="00024541"/>
    <w:rsid w:val="000245BB"/>
    <w:rsid w:val="0002491E"/>
    <w:rsid w:val="00024D98"/>
    <w:rsid w:val="000253DB"/>
    <w:rsid w:val="00025A08"/>
    <w:rsid w:val="00025EFE"/>
    <w:rsid w:val="000270F2"/>
    <w:rsid w:val="0002743D"/>
    <w:rsid w:val="00027CC4"/>
    <w:rsid w:val="00027F6C"/>
    <w:rsid w:val="000313AE"/>
    <w:rsid w:val="0003160C"/>
    <w:rsid w:val="00032221"/>
    <w:rsid w:val="00033198"/>
    <w:rsid w:val="00033FDA"/>
    <w:rsid w:val="000355B5"/>
    <w:rsid w:val="00035885"/>
    <w:rsid w:val="00035F08"/>
    <w:rsid w:val="00036104"/>
    <w:rsid w:val="000374F1"/>
    <w:rsid w:val="00040E42"/>
    <w:rsid w:val="0004189E"/>
    <w:rsid w:val="00042792"/>
    <w:rsid w:val="00042A29"/>
    <w:rsid w:val="00043B8F"/>
    <w:rsid w:val="00043CA3"/>
    <w:rsid w:val="00045429"/>
    <w:rsid w:val="0004775F"/>
    <w:rsid w:val="000509D6"/>
    <w:rsid w:val="00050CF0"/>
    <w:rsid w:val="00051383"/>
    <w:rsid w:val="000529C5"/>
    <w:rsid w:val="00053255"/>
    <w:rsid w:val="00053481"/>
    <w:rsid w:val="00053A5D"/>
    <w:rsid w:val="000541D7"/>
    <w:rsid w:val="00054BAF"/>
    <w:rsid w:val="0005550A"/>
    <w:rsid w:val="00055CDD"/>
    <w:rsid w:val="00055E7D"/>
    <w:rsid w:val="00056427"/>
    <w:rsid w:val="00056A0F"/>
    <w:rsid w:val="00056A9F"/>
    <w:rsid w:val="000577E2"/>
    <w:rsid w:val="00060781"/>
    <w:rsid w:val="000622C6"/>
    <w:rsid w:val="00062380"/>
    <w:rsid w:val="00063644"/>
    <w:rsid w:val="00064AFA"/>
    <w:rsid w:val="00064B85"/>
    <w:rsid w:val="00064E6E"/>
    <w:rsid w:val="00065A9A"/>
    <w:rsid w:val="0006645C"/>
    <w:rsid w:val="000668B3"/>
    <w:rsid w:val="00067117"/>
    <w:rsid w:val="00067580"/>
    <w:rsid w:val="00067BF3"/>
    <w:rsid w:val="00070419"/>
    <w:rsid w:val="000705D8"/>
    <w:rsid w:val="0007328F"/>
    <w:rsid w:val="0007369A"/>
    <w:rsid w:val="00073871"/>
    <w:rsid w:val="000812A5"/>
    <w:rsid w:val="00081EEC"/>
    <w:rsid w:val="00085D75"/>
    <w:rsid w:val="00086DCF"/>
    <w:rsid w:val="00087B79"/>
    <w:rsid w:val="00090440"/>
    <w:rsid w:val="00093325"/>
    <w:rsid w:val="0009388C"/>
    <w:rsid w:val="0009390A"/>
    <w:rsid w:val="00093FBF"/>
    <w:rsid w:val="00094EE1"/>
    <w:rsid w:val="00095CCB"/>
    <w:rsid w:val="000963BF"/>
    <w:rsid w:val="00096D1D"/>
    <w:rsid w:val="000A0854"/>
    <w:rsid w:val="000A08F6"/>
    <w:rsid w:val="000A437F"/>
    <w:rsid w:val="000A4727"/>
    <w:rsid w:val="000A536D"/>
    <w:rsid w:val="000A593C"/>
    <w:rsid w:val="000A616F"/>
    <w:rsid w:val="000B110A"/>
    <w:rsid w:val="000B1B0E"/>
    <w:rsid w:val="000B2E7D"/>
    <w:rsid w:val="000B3046"/>
    <w:rsid w:val="000B335D"/>
    <w:rsid w:val="000B461F"/>
    <w:rsid w:val="000B52D3"/>
    <w:rsid w:val="000B5407"/>
    <w:rsid w:val="000B54C2"/>
    <w:rsid w:val="000B592B"/>
    <w:rsid w:val="000B59BA"/>
    <w:rsid w:val="000B5B7A"/>
    <w:rsid w:val="000B5DC4"/>
    <w:rsid w:val="000B611A"/>
    <w:rsid w:val="000B63D2"/>
    <w:rsid w:val="000B64DB"/>
    <w:rsid w:val="000C1310"/>
    <w:rsid w:val="000C2E83"/>
    <w:rsid w:val="000C4280"/>
    <w:rsid w:val="000C57E2"/>
    <w:rsid w:val="000C5898"/>
    <w:rsid w:val="000C72F4"/>
    <w:rsid w:val="000C743B"/>
    <w:rsid w:val="000C7B36"/>
    <w:rsid w:val="000D1853"/>
    <w:rsid w:val="000D2C7C"/>
    <w:rsid w:val="000D38F6"/>
    <w:rsid w:val="000E009D"/>
    <w:rsid w:val="000E0871"/>
    <w:rsid w:val="000E22FD"/>
    <w:rsid w:val="000E273B"/>
    <w:rsid w:val="000E34AE"/>
    <w:rsid w:val="000E3A16"/>
    <w:rsid w:val="000E40A4"/>
    <w:rsid w:val="000E4BB2"/>
    <w:rsid w:val="000E6DF8"/>
    <w:rsid w:val="000E6F5C"/>
    <w:rsid w:val="000F01AA"/>
    <w:rsid w:val="000F1326"/>
    <w:rsid w:val="000F1A63"/>
    <w:rsid w:val="000F1DBF"/>
    <w:rsid w:val="000F220D"/>
    <w:rsid w:val="000F363E"/>
    <w:rsid w:val="000F3C65"/>
    <w:rsid w:val="000F3CDC"/>
    <w:rsid w:val="000F6C87"/>
    <w:rsid w:val="000F6FF3"/>
    <w:rsid w:val="00101445"/>
    <w:rsid w:val="00101C68"/>
    <w:rsid w:val="00103B20"/>
    <w:rsid w:val="00103E30"/>
    <w:rsid w:val="0010448D"/>
    <w:rsid w:val="00104A73"/>
    <w:rsid w:val="001052A1"/>
    <w:rsid w:val="00105E6B"/>
    <w:rsid w:val="0010628E"/>
    <w:rsid w:val="00107038"/>
    <w:rsid w:val="001101CB"/>
    <w:rsid w:val="00111A51"/>
    <w:rsid w:val="001120D5"/>
    <w:rsid w:val="00112F57"/>
    <w:rsid w:val="0011367F"/>
    <w:rsid w:val="00113B67"/>
    <w:rsid w:val="001146B1"/>
    <w:rsid w:val="001160C9"/>
    <w:rsid w:val="00116338"/>
    <w:rsid w:val="001176A6"/>
    <w:rsid w:val="001201E6"/>
    <w:rsid w:val="00120A73"/>
    <w:rsid w:val="00120E36"/>
    <w:rsid w:val="00123717"/>
    <w:rsid w:val="0012473A"/>
    <w:rsid w:val="001258FE"/>
    <w:rsid w:val="001267B1"/>
    <w:rsid w:val="001270D7"/>
    <w:rsid w:val="001270F1"/>
    <w:rsid w:val="001271F2"/>
    <w:rsid w:val="00130F45"/>
    <w:rsid w:val="00131555"/>
    <w:rsid w:val="00131745"/>
    <w:rsid w:val="00132C50"/>
    <w:rsid w:val="00132F0C"/>
    <w:rsid w:val="00134399"/>
    <w:rsid w:val="001361BB"/>
    <w:rsid w:val="001367B6"/>
    <w:rsid w:val="00136CCD"/>
    <w:rsid w:val="001373D7"/>
    <w:rsid w:val="0013782A"/>
    <w:rsid w:val="0014085C"/>
    <w:rsid w:val="0014125A"/>
    <w:rsid w:val="001413CD"/>
    <w:rsid w:val="001423EA"/>
    <w:rsid w:val="00142B42"/>
    <w:rsid w:val="001430B4"/>
    <w:rsid w:val="00143986"/>
    <w:rsid w:val="001443FB"/>
    <w:rsid w:val="0014528F"/>
    <w:rsid w:val="00146248"/>
    <w:rsid w:val="001467CB"/>
    <w:rsid w:val="001506DB"/>
    <w:rsid w:val="001510DF"/>
    <w:rsid w:val="001514AC"/>
    <w:rsid w:val="00151960"/>
    <w:rsid w:val="00151C56"/>
    <w:rsid w:val="00152019"/>
    <w:rsid w:val="00152977"/>
    <w:rsid w:val="0015420E"/>
    <w:rsid w:val="001543D4"/>
    <w:rsid w:val="00154D6A"/>
    <w:rsid w:val="0015506C"/>
    <w:rsid w:val="00155807"/>
    <w:rsid w:val="00155CD8"/>
    <w:rsid w:val="0015705C"/>
    <w:rsid w:val="00157B0A"/>
    <w:rsid w:val="001608D5"/>
    <w:rsid w:val="00161CEB"/>
    <w:rsid w:val="00162291"/>
    <w:rsid w:val="00162353"/>
    <w:rsid w:val="00162E03"/>
    <w:rsid w:val="00163345"/>
    <w:rsid w:val="00163AA0"/>
    <w:rsid w:val="001643F2"/>
    <w:rsid w:val="001659EB"/>
    <w:rsid w:val="001668B4"/>
    <w:rsid w:val="00166942"/>
    <w:rsid w:val="00166BBC"/>
    <w:rsid w:val="001729E0"/>
    <w:rsid w:val="00173899"/>
    <w:rsid w:val="001747C0"/>
    <w:rsid w:val="00177D49"/>
    <w:rsid w:val="00177DFA"/>
    <w:rsid w:val="00181592"/>
    <w:rsid w:val="00183942"/>
    <w:rsid w:val="0018398D"/>
    <w:rsid w:val="001845EF"/>
    <w:rsid w:val="00185565"/>
    <w:rsid w:val="00185C44"/>
    <w:rsid w:val="001874E2"/>
    <w:rsid w:val="00190052"/>
    <w:rsid w:val="0019045F"/>
    <w:rsid w:val="00191959"/>
    <w:rsid w:val="0019225C"/>
    <w:rsid w:val="00192705"/>
    <w:rsid w:val="00192E95"/>
    <w:rsid w:val="00193F1E"/>
    <w:rsid w:val="00194CA6"/>
    <w:rsid w:val="00196610"/>
    <w:rsid w:val="00197350"/>
    <w:rsid w:val="001A0A32"/>
    <w:rsid w:val="001A1B41"/>
    <w:rsid w:val="001A292C"/>
    <w:rsid w:val="001A344E"/>
    <w:rsid w:val="001A40BF"/>
    <w:rsid w:val="001A5CFD"/>
    <w:rsid w:val="001A6A1C"/>
    <w:rsid w:val="001A740B"/>
    <w:rsid w:val="001B1097"/>
    <w:rsid w:val="001B34E2"/>
    <w:rsid w:val="001B3DCE"/>
    <w:rsid w:val="001B49CE"/>
    <w:rsid w:val="001B4BF4"/>
    <w:rsid w:val="001B5055"/>
    <w:rsid w:val="001B581F"/>
    <w:rsid w:val="001B5FAB"/>
    <w:rsid w:val="001B7C97"/>
    <w:rsid w:val="001C1E9C"/>
    <w:rsid w:val="001C3D4A"/>
    <w:rsid w:val="001C4191"/>
    <w:rsid w:val="001C5770"/>
    <w:rsid w:val="001C5BF2"/>
    <w:rsid w:val="001C5D0E"/>
    <w:rsid w:val="001C6BE8"/>
    <w:rsid w:val="001C6F07"/>
    <w:rsid w:val="001C7673"/>
    <w:rsid w:val="001C7F11"/>
    <w:rsid w:val="001D01DC"/>
    <w:rsid w:val="001D0B16"/>
    <w:rsid w:val="001D11B2"/>
    <w:rsid w:val="001D19E0"/>
    <w:rsid w:val="001D2A62"/>
    <w:rsid w:val="001D34F4"/>
    <w:rsid w:val="001D5F26"/>
    <w:rsid w:val="001D61D1"/>
    <w:rsid w:val="001D6337"/>
    <w:rsid w:val="001D70E2"/>
    <w:rsid w:val="001D7ABB"/>
    <w:rsid w:val="001E0540"/>
    <w:rsid w:val="001E0A34"/>
    <w:rsid w:val="001E10AB"/>
    <w:rsid w:val="001E2736"/>
    <w:rsid w:val="001E3B85"/>
    <w:rsid w:val="001E42EE"/>
    <w:rsid w:val="001E5280"/>
    <w:rsid w:val="001E56C5"/>
    <w:rsid w:val="001E5E42"/>
    <w:rsid w:val="001E6D65"/>
    <w:rsid w:val="001F0A4C"/>
    <w:rsid w:val="001F0D7A"/>
    <w:rsid w:val="001F1361"/>
    <w:rsid w:val="001F1FEF"/>
    <w:rsid w:val="001F269D"/>
    <w:rsid w:val="001F26DE"/>
    <w:rsid w:val="001F27AE"/>
    <w:rsid w:val="001F2873"/>
    <w:rsid w:val="001F2B59"/>
    <w:rsid w:val="001F3B72"/>
    <w:rsid w:val="001F4278"/>
    <w:rsid w:val="001F4FFD"/>
    <w:rsid w:val="001F5FCE"/>
    <w:rsid w:val="001F65BD"/>
    <w:rsid w:val="001F7844"/>
    <w:rsid w:val="00201B0C"/>
    <w:rsid w:val="002029D8"/>
    <w:rsid w:val="00202B6D"/>
    <w:rsid w:val="00204154"/>
    <w:rsid w:val="00205294"/>
    <w:rsid w:val="0020625F"/>
    <w:rsid w:val="002128F7"/>
    <w:rsid w:val="00213016"/>
    <w:rsid w:val="0021625A"/>
    <w:rsid w:val="0021682A"/>
    <w:rsid w:val="002174F6"/>
    <w:rsid w:val="002178DE"/>
    <w:rsid w:val="00217CA2"/>
    <w:rsid w:val="00220299"/>
    <w:rsid w:val="00221FCF"/>
    <w:rsid w:val="0022238B"/>
    <w:rsid w:val="00222463"/>
    <w:rsid w:val="00223D81"/>
    <w:rsid w:val="002249F4"/>
    <w:rsid w:val="002261BB"/>
    <w:rsid w:val="00226640"/>
    <w:rsid w:val="00227221"/>
    <w:rsid w:val="0022739E"/>
    <w:rsid w:val="00227D1E"/>
    <w:rsid w:val="00230591"/>
    <w:rsid w:val="00231D7C"/>
    <w:rsid w:val="00231E05"/>
    <w:rsid w:val="002329E9"/>
    <w:rsid w:val="00232CAB"/>
    <w:rsid w:val="00232D02"/>
    <w:rsid w:val="00232FB3"/>
    <w:rsid w:val="0023379B"/>
    <w:rsid w:val="00234A15"/>
    <w:rsid w:val="00234C10"/>
    <w:rsid w:val="002351F8"/>
    <w:rsid w:val="002359F8"/>
    <w:rsid w:val="0023612A"/>
    <w:rsid w:val="0023614C"/>
    <w:rsid w:val="00236A7C"/>
    <w:rsid w:val="00236D39"/>
    <w:rsid w:val="002413A9"/>
    <w:rsid w:val="00241A2A"/>
    <w:rsid w:val="00243F21"/>
    <w:rsid w:val="0024482A"/>
    <w:rsid w:val="00246862"/>
    <w:rsid w:val="00247A24"/>
    <w:rsid w:val="0025098F"/>
    <w:rsid w:val="0025196F"/>
    <w:rsid w:val="00252063"/>
    <w:rsid w:val="002521E5"/>
    <w:rsid w:val="0025253B"/>
    <w:rsid w:val="00252F45"/>
    <w:rsid w:val="002542EE"/>
    <w:rsid w:val="002555FB"/>
    <w:rsid w:val="0026118B"/>
    <w:rsid w:val="0026149C"/>
    <w:rsid w:val="00261F0F"/>
    <w:rsid w:val="00263447"/>
    <w:rsid w:val="002635D4"/>
    <w:rsid w:val="00263922"/>
    <w:rsid w:val="002643CF"/>
    <w:rsid w:val="002644EE"/>
    <w:rsid w:val="002648D8"/>
    <w:rsid w:val="00264955"/>
    <w:rsid w:val="00264B75"/>
    <w:rsid w:val="002656DE"/>
    <w:rsid w:val="0026618D"/>
    <w:rsid w:val="002668E0"/>
    <w:rsid w:val="002704DC"/>
    <w:rsid w:val="00271259"/>
    <w:rsid w:val="00273347"/>
    <w:rsid w:val="00273C54"/>
    <w:rsid w:val="00273FC6"/>
    <w:rsid w:val="00274B33"/>
    <w:rsid w:val="00274BA0"/>
    <w:rsid w:val="00274EDF"/>
    <w:rsid w:val="00275B17"/>
    <w:rsid w:val="002768FC"/>
    <w:rsid w:val="00280AB6"/>
    <w:rsid w:val="00280B22"/>
    <w:rsid w:val="00281B83"/>
    <w:rsid w:val="00281E44"/>
    <w:rsid w:val="00281FD0"/>
    <w:rsid w:val="002821E2"/>
    <w:rsid w:val="00282C32"/>
    <w:rsid w:val="00284398"/>
    <w:rsid w:val="002849F9"/>
    <w:rsid w:val="00285594"/>
    <w:rsid w:val="002857B5"/>
    <w:rsid w:val="002858E9"/>
    <w:rsid w:val="002873FE"/>
    <w:rsid w:val="0028752A"/>
    <w:rsid w:val="002903CE"/>
    <w:rsid w:val="0029044D"/>
    <w:rsid w:val="002916BE"/>
    <w:rsid w:val="0029218F"/>
    <w:rsid w:val="002925CB"/>
    <w:rsid w:val="0029267D"/>
    <w:rsid w:val="00292798"/>
    <w:rsid w:val="00295239"/>
    <w:rsid w:val="00295801"/>
    <w:rsid w:val="00296324"/>
    <w:rsid w:val="00296BC2"/>
    <w:rsid w:val="0029701A"/>
    <w:rsid w:val="00297FEC"/>
    <w:rsid w:val="002A0027"/>
    <w:rsid w:val="002A1304"/>
    <w:rsid w:val="002A21D2"/>
    <w:rsid w:val="002A2533"/>
    <w:rsid w:val="002A29FD"/>
    <w:rsid w:val="002A3F18"/>
    <w:rsid w:val="002A3F99"/>
    <w:rsid w:val="002A4014"/>
    <w:rsid w:val="002A4323"/>
    <w:rsid w:val="002A5C20"/>
    <w:rsid w:val="002A60BF"/>
    <w:rsid w:val="002A70AC"/>
    <w:rsid w:val="002B05AD"/>
    <w:rsid w:val="002B17B5"/>
    <w:rsid w:val="002B18F8"/>
    <w:rsid w:val="002B1F07"/>
    <w:rsid w:val="002B32D7"/>
    <w:rsid w:val="002B3583"/>
    <w:rsid w:val="002B4358"/>
    <w:rsid w:val="002B48C4"/>
    <w:rsid w:val="002B4DAD"/>
    <w:rsid w:val="002B5D54"/>
    <w:rsid w:val="002B6BAF"/>
    <w:rsid w:val="002B6DC4"/>
    <w:rsid w:val="002B76B7"/>
    <w:rsid w:val="002B7921"/>
    <w:rsid w:val="002C032E"/>
    <w:rsid w:val="002C0739"/>
    <w:rsid w:val="002C16E8"/>
    <w:rsid w:val="002C23D6"/>
    <w:rsid w:val="002C2DE8"/>
    <w:rsid w:val="002C35C1"/>
    <w:rsid w:val="002C4D6A"/>
    <w:rsid w:val="002C5B21"/>
    <w:rsid w:val="002C6064"/>
    <w:rsid w:val="002C6FD1"/>
    <w:rsid w:val="002C7758"/>
    <w:rsid w:val="002D02C8"/>
    <w:rsid w:val="002D29F1"/>
    <w:rsid w:val="002D3726"/>
    <w:rsid w:val="002D5F34"/>
    <w:rsid w:val="002D70C1"/>
    <w:rsid w:val="002D74B8"/>
    <w:rsid w:val="002D756F"/>
    <w:rsid w:val="002D7612"/>
    <w:rsid w:val="002E0435"/>
    <w:rsid w:val="002E07B8"/>
    <w:rsid w:val="002E083A"/>
    <w:rsid w:val="002E0AA6"/>
    <w:rsid w:val="002E1269"/>
    <w:rsid w:val="002E1D03"/>
    <w:rsid w:val="002E2D4C"/>
    <w:rsid w:val="002E3151"/>
    <w:rsid w:val="002E3163"/>
    <w:rsid w:val="002E4F57"/>
    <w:rsid w:val="002E5707"/>
    <w:rsid w:val="002E5FB6"/>
    <w:rsid w:val="002E5FE8"/>
    <w:rsid w:val="002E6F94"/>
    <w:rsid w:val="002F0354"/>
    <w:rsid w:val="002F0D3F"/>
    <w:rsid w:val="002F0F3A"/>
    <w:rsid w:val="002F15C6"/>
    <w:rsid w:val="002F2055"/>
    <w:rsid w:val="002F3433"/>
    <w:rsid w:val="002F4123"/>
    <w:rsid w:val="002F4601"/>
    <w:rsid w:val="002F4C94"/>
    <w:rsid w:val="002F53EB"/>
    <w:rsid w:val="002F6EA6"/>
    <w:rsid w:val="002F768D"/>
    <w:rsid w:val="00300055"/>
    <w:rsid w:val="00300E62"/>
    <w:rsid w:val="00301302"/>
    <w:rsid w:val="00301FC3"/>
    <w:rsid w:val="0030518D"/>
    <w:rsid w:val="003061D8"/>
    <w:rsid w:val="00307372"/>
    <w:rsid w:val="0030770B"/>
    <w:rsid w:val="00307B0E"/>
    <w:rsid w:val="0031012F"/>
    <w:rsid w:val="003105E8"/>
    <w:rsid w:val="003111D4"/>
    <w:rsid w:val="00311298"/>
    <w:rsid w:val="003137CA"/>
    <w:rsid w:val="00314758"/>
    <w:rsid w:val="00314B62"/>
    <w:rsid w:val="00316BE0"/>
    <w:rsid w:val="00320A91"/>
    <w:rsid w:val="00321663"/>
    <w:rsid w:val="00321E05"/>
    <w:rsid w:val="00322DD7"/>
    <w:rsid w:val="0032353D"/>
    <w:rsid w:val="0032365D"/>
    <w:rsid w:val="00324E63"/>
    <w:rsid w:val="00324FB4"/>
    <w:rsid w:val="00325943"/>
    <w:rsid w:val="003265A1"/>
    <w:rsid w:val="00326E0A"/>
    <w:rsid w:val="0032733B"/>
    <w:rsid w:val="00327923"/>
    <w:rsid w:val="00330909"/>
    <w:rsid w:val="00330972"/>
    <w:rsid w:val="00330B8E"/>
    <w:rsid w:val="00330FDE"/>
    <w:rsid w:val="0033271A"/>
    <w:rsid w:val="0033336A"/>
    <w:rsid w:val="0033375E"/>
    <w:rsid w:val="00333A30"/>
    <w:rsid w:val="00334613"/>
    <w:rsid w:val="0033483F"/>
    <w:rsid w:val="003349B7"/>
    <w:rsid w:val="003377D1"/>
    <w:rsid w:val="00337FB5"/>
    <w:rsid w:val="0034027D"/>
    <w:rsid w:val="0034155F"/>
    <w:rsid w:val="003420BA"/>
    <w:rsid w:val="0034220E"/>
    <w:rsid w:val="0034256F"/>
    <w:rsid w:val="00342C71"/>
    <w:rsid w:val="0034302B"/>
    <w:rsid w:val="0034383F"/>
    <w:rsid w:val="00346E1D"/>
    <w:rsid w:val="00350C55"/>
    <w:rsid w:val="00351366"/>
    <w:rsid w:val="00351CEE"/>
    <w:rsid w:val="00351F14"/>
    <w:rsid w:val="003520C0"/>
    <w:rsid w:val="00352871"/>
    <w:rsid w:val="00353028"/>
    <w:rsid w:val="003531FD"/>
    <w:rsid w:val="00354099"/>
    <w:rsid w:val="00356FD0"/>
    <w:rsid w:val="003570FF"/>
    <w:rsid w:val="00357267"/>
    <w:rsid w:val="00357EF4"/>
    <w:rsid w:val="003603CB"/>
    <w:rsid w:val="00360BF6"/>
    <w:rsid w:val="00361659"/>
    <w:rsid w:val="00362305"/>
    <w:rsid w:val="00362874"/>
    <w:rsid w:val="00362990"/>
    <w:rsid w:val="003629F3"/>
    <w:rsid w:val="00362C05"/>
    <w:rsid w:val="0036567C"/>
    <w:rsid w:val="0036579D"/>
    <w:rsid w:val="003659ED"/>
    <w:rsid w:val="00366237"/>
    <w:rsid w:val="00366CF3"/>
    <w:rsid w:val="00366D34"/>
    <w:rsid w:val="00371628"/>
    <w:rsid w:val="00371A8D"/>
    <w:rsid w:val="00371E58"/>
    <w:rsid w:val="00372D88"/>
    <w:rsid w:val="00373D97"/>
    <w:rsid w:val="003748B4"/>
    <w:rsid w:val="00375321"/>
    <w:rsid w:val="00376A9B"/>
    <w:rsid w:val="003779C1"/>
    <w:rsid w:val="00380712"/>
    <w:rsid w:val="00380829"/>
    <w:rsid w:val="00381864"/>
    <w:rsid w:val="00381ABE"/>
    <w:rsid w:val="00381B8C"/>
    <w:rsid w:val="003822DE"/>
    <w:rsid w:val="00383CB5"/>
    <w:rsid w:val="00384C5F"/>
    <w:rsid w:val="00384EF5"/>
    <w:rsid w:val="0039462E"/>
    <w:rsid w:val="0039471B"/>
    <w:rsid w:val="00394D8F"/>
    <w:rsid w:val="003950FE"/>
    <w:rsid w:val="00396DC6"/>
    <w:rsid w:val="00397691"/>
    <w:rsid w:val="003978C0"/>
    <w:rsid w:val="003A0619"/>
    <w:rsid w:val="003A067C"/>
    <w:rsid w:val="003A0DE5"/>
    <w:rsid w:val="003A1722"/>
    <w:rsid w:val="003A25ED"/>
    <w:rsid w:val="003A2A95"/>
    <w:rsid w:val="003A47F4"/>
    <w:rsid w:val="003A4E74"/>
    <w:rsid w:val="003A55BB"/>
    <w:rsid w:val="003A6D67"/>
    <w:rsid w:val="003A7164"/>
    <w:rsid w:val="003A7605"/>
    <w:rsid w:val="003B0D30"/>
    <w:rsid w:val="003B4252"/>
    <w:rsid w:val="003B48CD"/>
    <w:rsid w:val="003B5021"/>
    <w:rsid w:val="003B549B"/>
    <w:rsid w:val="003B5D2E"/>
    <w:rsid w:val="003B6452"/>
    <w:rsid w:val="003B79B8"/>
    <w:rsid w:val="003C09A4"/>
    <w:rsid w:val="003C2961"/>
    <w:rsid w:val="003C39D7"/>
    <w:rsid w:val="003C49B7"/>
    <w:rsid w:val="003C5D78"/>
    <w:rsid w:val="003C7030"/>
    <w:rsid w:val="003C731A"/>
    <w:rsid w:val="003C7AFD"/>
    <w:rsid w:val="003D0189"/>
    <w:rsid w:val="003D0889"/>
    <w:rsid w:val="003D0BDF"/>
    <w:rsid w:val="003D2019"/>
    <w:rsid w:val="003D2030"/>
    <w:rsid w:val="003D37B6"/>
    <w:rsid w:val="003D46ED"/>
    <w:rsid w:val="003D49E3"/>
    <w:rsid w:val="003D4EA9"/>
    <w:rsid w:val="003D594A"/>
    <w:rsid w:val="003D5BD0"/>
    <w:rsid w:val="003D6845"/>
    <w:rsid w:val="003D7151"/>
    <w:rsid w:val="003E0A8E"/>
    <w:rsid w:val="003E0C9D"/>
    <w:rsid w:val="003E13A8"/>
    <w:rsid w:val="003E1511"/>
    <w:rsid w:val="003E3105"/>
    <w:rsid w:val="003E3755"/>
    <w:rsid w:val="003E4AD2"/>
    <w:rsid w:val="003E4AD4"/>
    <w:rsid w:val="003E51C4"/>
    <w:rsid w:val="003E524E"/>
    <w:rsid w:val="003E529D"/>
    <w:rsid w:val="003E5A1E"/>
    <w:rsid w:val="003E66A3"/>
    <w:rsid w:val="003E7560"/>
    <w:rsid w:val="003E7CC2"/>
    <w:rsid w:val="003F136B"/>
    <w:rsid w:val="003F3675"/>
    <w:rsid w:val="003F5658"/>
    <w:rsid w:val="003F5D79"/>
    <w:rsid w:val="003F674E"/>
    <w:rsid w:val="003F6C24"/>
    <w:rsid w:val="00400597"/>
    <w:rsid w:val="00401047"/>
    <w:rsid w:val="00401B11"/>
    <w:rsid w:val="0040231E"/>
    <w:rsid w:val="00402E33"/>
    <w:rsid w:val="004031BE"/>
    <w:rsid w:val="004032E6"/>
    <w:rsid w:val="00403579"/>
    <w:rsid w:val="00404D8A"/>
    <w:rsid w:val="00405920"/>
    <w:rsid w:val="00405E18"/>
    <w:rsid w:val="00407622"/>
    <w:rsid w:val="00407F1A"/>
    <w:rsid w:val="00410B30"/>
    <w:rsid w:val="004111E2"/>
    <w:rsid w:val="00411C71"/>
    <w:rsid w:val="00411C9D"/>
    <w:rsid w:val="00412856"/>
    <w:rsid w:val="00412AB6"/>
    <w:rsid w:val="00412E4F"/>
    <w:rsid w:val="004131C0"/>
    <w:rsid w:val="00413FF3"/>
    <w:rsid w:val="004165B8"/>
    <w:rsid w:val="0041677F"/>
    <w:rsid w:val="00417C94"/>
    <w:rsid w:val="0042031D"/>
    <w:rsid w:val="004206F2"/>
    <w:rsid w:val="00421211"/>
    <w:rsid w:val="004215D9"/>
    <w:rsid w:val="00421E23"/>
    <w:rsid w:val="004222AF"/>
    <w:rsid w:val="00423EA2"/>
    <w:rsid w:val="0042407E"/>
    <w:rsid w:val="00425413"/>
    <w:rsid w:val="00425A02"/>
    <w:rsid w:val="00425A48"/>
    <w:rsid w:val="0042720F"/>
    <w:rsid w:val="00430EDD"/>
    <w:rsid w:val="00431711"/>
    <w:rsid w:val="004340DA"/>
    <w:rsid w:val="00435721"/>
    <w:rsid w:val="00435923"/>
    <w:rsid w:val="00436623"/>
    <w:rsid w:val="00436F83"/>
    <w:rsid w:val="00440EC0"/>
    <w:rsid w:val="00441248"/>
    <w:rsid w:val="00441976"/>
    <w:rsid w:val="00441BC3"/>
    <w:rsid w:val="00441C22"/>
    <w:rsid w:val="004433DD"/>
    <w:rsid w:val="004437E5"/>
    <w:rsid w:val="00444687"/>
    <w:rsid w:val="00444A79"/>
    <w:rsid w:val="00444A83"/>
    <w:rsid w:val="004462CA"/>
    <w:rsid w:val="004470C6"/>
    <w:rsid w:val="00447CF8"/>
    <w:rsid w:val="00450BC6"/>
    <w:rsid w:val="00451373"/>
    <w:rsid w:val="00451F25"/>
    <w:rsid w:val="004526B8"/>
    <w:rsid w:val="00452B48"/>
    <w:rsid w:val="00454C35"/>
    <w:rsid w:val="004557F4"/>
    <w:rsid w:val="004558EC"/>
    <w:rsid w:val="00455F58"/>
    <w:rsid w:val="00456335"/>
    <w:rsid w:val="00456B72"/>
    <w:rsid w:val="00456E13"/>
    <w:rsid w:val="0045746E"/>
    <w:rsid w:val="00461AE8"/>
    <w:rsid w:val="004634EA"/>
    <w:rsid w:val="00463530"/>
    <w:rsid w:val="0046386F"/>
    <w:rsid w:val="00464642"/>
    <w:rsid w:val="00465A7B"/>
    <w:rsid w:val="00465E20"/>
    <w:rsid w:val="00466C7A"/>
    <w:rsid w:val="00467324"/>
    <w:rsid w:val="00467644"/>
    <w:rsid w:val="004676EF"/>
    <w:rsid w:val="004701C5"/>
    <w:rsid w:val="00470752"/>
    <w:rsid w:val="004707C1"/>
    <w:rsid w:val="004715B8"/>
    <w:rsid w:val="00471988"/>
    <w:rsid w:val="00472D3C"/>
    <w:rsid w:val="00473508"/>
    <w:rsid w:val="00473D5E"/>
    <w:rsid w:val="00475BE6"/>
    <w:rsid w:val="004767BE"/>
    <w:rsid w:val="00476AC4"/>
    <w:rsid w:val="00476CC2"/>
    <w:rsid w:val="004774EC"/>
    <w:rsid w:val="004776D9"/>
    <w:rsid w:val="00477E74"/>
    <w:rsid w:val="00480CBB"/>
    <w:rsid w:val="004811B3"/>
    <w:rsid w:val="00482E93"/>
    <w:rsid w:val="00483B50"/>
    <w:rsid w:val="004845B3"/>
    <w:rsid w:val="00484608"/>
    <w:rsid w:val="004847E9"/>
    <w:rsid w:val="00484AC5"/>
    <w:rsid w:val="004853CC"/>
    <w:rsid w:val="00485F29"/>
    <w:rsid w:val="0048606A"/>
    <w:rsid w:val="004866A7"/>
    <w:rsid w:val="00487264"/>
    <w:rsid w:val="00491C53"/>
    <w:rsid w:val="004929A1"/>
    <w:rsid w:val="00493424"/>
    <w:rsid w:val="00493CAE"/>
    <w:rsid w:val="00494EAC"/>
    <w:rsid w:val="00495495"/>
    <w:rsid w:val="00495D6D"/>
    <w:rsid w:val="00496570"/>
    <w:rsid w:val="004966D4"/>
    <w:rsid w:val="00497082"/>
    <w:rsid w:val="004978D7"/>
    <w:rsid w:val="004A055E"/>
    <w:rsid w:val="004A1200"/>
    <w:rsid w:val="004A124E"/>
    <w:rsid w:val="004A1403"/>
    <w:rsid w:val="004A19C6"/>
    <w:rsid w:val="004A21EC"/>
    <w:rsid w:val="004A3073"/>
    <w:rsid w:val="004A3AE2"/>
    <w:rsid w:val="004A4817"/>
    <w:rsid w:val="004A5D7A"/>
    <w:rsid w:val="004A60EE"/>
    <w:rsid w:val="004A634B"/>
    <w:rsid w:val="004A65C7"/>
    <w:rsid w:val="004A6C15"/>
    <w:rsid w:val="004A70FC"/>
    <w:rsid w:val="004A728D"/>
    <w:rsid w:val="004B1F21"/>
    <w:rsid w:val="004B20F5"/>
    <w:rsid w:val="004B223E"/>
    <w:rsid w:val="004B2458"/>
    <w:rsid w:val="004B268E"/>
    <w:rsid w:val="004B28CF"/>
    <w:rsid w:val="004B2FC0"/>
    <w:rsid w:val="004B3409"/>
    <w:rsid w:val="004B3670"/>
    <w:rsid w:val="004B42AE"/>
    <w:rsid w:val="004B6A24"/>
    <w:rsid w:val="004B7D77"/>
    <w:rsid w:val="004C05EC"/>
    <w:rsid w:val="004C136A"/>
    <w:rsid w:val="004C1750"/>
    <w:rsid w:val="004C19AF"/>
    <w:rsid w:val="004C2235"/>
    <w:rsid w:val="004C236A"/>
    <w:rsid w:val="004C26DB"/>
    <w:rsid w:val="004C3FFC"/>
    <w:rsid w:val="004C41FB"/>
    <w:rsid w:val="004C4379"/>
    <w:rsid w:val="004C4DC6"/>
    <w:rsid w:val="004C6147"/>
    <w:rsid w:val="004C7160"/>
    <w:rsid w:val="004D00D0"/>
    <w:rsid w:val="004D061D"/>
    <w:rsid w:val="004D07ED"/>
    <w:rsid w:val="004D17D5"/>
    <w:rsid w:val="004D4029"/>
    <w:rsid w:val="004D5038"/>
    <w:rsid w:val="004D6309"/>
    <w:rsid w:val="004D6D17"/>
    <w:rsid w:val="004D7332"/>
    <w:rsid w:val="004D7EA5"/>
    <w:rsid w:val="004E00EC"/>
    <w:rsid w:val="004E0D73"/>
    <w:rsid w:val="004E1097"/>
    <w:rsid w:val="004E1603"/>
    <w:rsid w:val="004E1875"/>
    <w:rsid w:val="004E18C1"/>
    <w:rsid w:val="004E2F07"/>
    <w:rsid w:val="004E3786"/>
    <w:rsid w:val="004E3A10"/>
    <w:rsid w:val="004E3D73"/>
    <w:rsid w:val="004E4750"/>
    <w:rsid w:val="004E4D57"/>
    <w:rsid w:val="004E7CCB"/>
    <w:rsid w:val="004F1544"/>
    <w:rsid w:val="004F15CA"/>
    <w:rsid w:val="004F2879"/>
    <w:rsid w:val="004F2CF1"/>
    <w:rsid w:val="004F39D5"/>
    <w:rsid w:val="004F445E"/>
    <w:rsid w:val="004F5C78"/>
    <w:rsid w:val="004F5D2E"/>
    <w:rsid w:val="004F6A52"/>
    <w:rsid w:val="0050031D"/>
    <w:rsid w:val="005011AA"/>
    <w:rsid w:val="005024CC"/>
    <w:rsid w:val="0050292E"/>
    <w:rsid w:val="0050465A"/>
    <w:rsid w:val="005100E5"/>
    <w:rsid w:val="005127D8"/>
    <w:rsid w:val="005132EC"/>
    <w:rsid w:val="00514E9C"/>
    <w:rsid w:val="005166DB"/>
    <w:rsid w:val="00516991"/>
    <w:rsid w:val="00517870"/>
    <w:rsid w:val="00522D03"/>
    <w:rsid w:val="0052372A"/>
    <w:rsid w:val="005255BE"/>
    <w:rsid w:val="00525693"/>
    <w:rsid w:val="00525F17"/>
    <w:rsid w:val="0052786B"/>
    <w:rsid w:val="00527D5A"/>
    <w:rsid w:val="00530577"/>
    <w:rsid w:val="00535A5E"/>
    <w:rsid w:val="00537DFF"/>
    <w:rsid w:val="0054085A"/>
    <w:rsid w:val="00540DE0"/>
    <w:rsid w:val="00540FF2"/>
    <w:rsid w:val="005427EA"/>
    <w:rsid w:val="00542B7B"/>
    <w:rsid w:val="0054317B"/>
    <w:rsid w:val="005442F5"/>
    <w:rsid w:val="0054476A"/>
    <w:rsid w:val="00545B6A"/>
    <w:rsid w:val="0054606D"/>
    <w:rsid w:val="005463B6"/>
    <w:rsid w:val="00546495"/>
    <w:rsid w:val="00546E19"/>
    <w:rsid w:val="00547CFD"/>
    <w:rsid w:val="005501C9"/>
    <w:rsid w:val="0055022E"/>
    <w:rsid w:val="0055027E"/>
    <w:rsid w:val="00551788"/>
    <w:rsid w:val="00552BB4"/>
    <w:rsid w:val="0055455F"/>
    <w:rsid w:val="00554B2A"/>
    <w:rsid w:val="0055505E"/>
    <w:rsid w:val="00556AA6"/>
    <w:rsid w:val="005575AE"/>
    <w:rsid w:val="005604CA"/>
    <w:rsid w:val="00562527"/>
    <w:rsid w:val="00562AE6"/>
    <w:rsid w:val="00562B2C"/>
    <w:rsid w:val="0056308D"/>
    <w:rsid w:val="0056327E"/>
    <w:rsid w:val="00563D1F"/>
    <w:rsid w:val="00564001"/>
    <w:rsid w:val="00564752"/>
    <w:rsid w:val="00564BB4"/>
    <w:rsid w:val="00566364"/>
    <w:rsid w:val="005678C6"/>
    <w:rsid w:val="00567C03"/>
    <w:rsid w:val="00570067"/>
    <w:rsid w:val="00570223"/>
    <w:rsid w:val="00570B98"/>
    <w:rsid w:val="005718ED"/>
    <w:rsid w:val="00572340"/>
    <w:rsid w:val="005730D4"/>
    <w:rsid w:val="005732F9"/>
    <w:rsid w:val="00573914"/>
    <w:rsid w:val="00574A09"/>
    <w:rsid w:val="00574B34"/>
    <w:rsid w:val="005760BE"/>
    <w:rsid w:val="005763E1"/>
    <w:rsid w:val="00577D97"/>
    <w:rsid w:val="005821D2"/>
    <w:rsid w:val="00582E27"/>
    <w:rsid w:val="005845A4"/>
    <w:rsid w:val="00584D1D"/>
    <w:rsid w:val="00584FF1"/>
    <w:rsid w:val="005864BC"/>
    <w:rsid w:val="00587B9B"/>
    <w:rsid w:val="00590E68"/>
    <w:rsid w:val="00591011"/>
    <w:rsid w:val="00592055"/>
    <w:rsid w:val="005920D1"/>
    <w:rsid w:val="00592F27"/>
    <w:rsid w:val="00593108"/>
    <w:rsid w:val="00593339"/>
    <w:rsid w:val="00593A82"/>
    <w:rsid w:val="0059404E"/>
    <w:rsid w:val="00595537"/>
    <w:rsid w:val="00595F95"/>
    <w:rsid w:val="00597C0E"/>
    <w:rsid w:val="005A0672"/>
    <w:rsid w:val="005A115D"/>
    <w:rsid w:val="005A15CF"/>
    <w:rsid w:val="005A189D"/>
    <w:rsid w:val="005A26F5"/>
    <w:rsid w:val="005A3038"/>
    <w:rsid w:val="005A34AB"/>
    <w:rsid w:val="005A45ED"/>
    <w:rsid w:val="005A56B8"/>
    <w:rsid w:val="005A5BDF"/>
    <w:rsid w:val="005B0ADF"/>
    <w:rsid w:val="005B0DE5"/>
    <w:rsid w:val="005B18D3"/>
    <w:rsid w:val="005B1B20"/>
    <w:rsid w:val="005B1FBC"/>
    <w:rsid w:val="005B2458"/>
    <w:rsid w:val="005B3B47"/>
    <w:rsid w:val="005B3DEF"/>
    <w:rsid w:val="005B3EDC"/>
    <w:rsid w:val="005B4D40"/>
    <w:rsid w:val="005B52C5"/>
    <w:rsid w:val="005B5931"/>
    <w:rsid w:val="005B5ABB"/>
    <w:rsid w:val="005B6A64"/>
    <w:rsid w:val="005C0B5A"/>
    <w:rsid w:val="005C0F89"/>
    <w:rsid w:val="005C2400"/>
    <w:rsid w:val="005C2D04"/>
    <w:rsid w:val="005C2FFC"/>
    <w:rsid w:val="005C3035"/>
    <w:rsid w:val="005C3076"/>
    <w:rsid w:val="005C31D4"/>
    <w:rsid w:val="005C71C6"/>
    <w:rsid w:val="005D1739"/>
    <w:rsid w:val="005D2E7F"/>
    <w:rsid w:val="005D3AE1"/>
    <w:rsid w:val="005D5437"/>
    <w:rsid w:val="005D5EB8"/>
    <w:rsid w:val="005E0CB8"/>
    <w:rsid w:val="005E0CFB"/>
    <w:rsid w:val="005E2299"/>
    <w:rsid w:val="005E2732"/>
    <w:rsid w:val="005E2AAF"/>
    <w:rsid w:val="005E2CF1"/>
    <w:rsid w:val="005E2D6F"/>
    <w:rsid w:val="005E3BD5"/>
    <w:rsid w:val="005E3F74"/>
    <w:rsid w:val="005E540A"/>
    <w:rsid w:val="005E61A5"/>
    <w:rsid w:val="005E7DCD"/>
    <w:rsid w:val="005F08CB"/>
    <w:rsid w:val="005F1335"/>
    <w:rsid w:val="005F1602"/>
    <w:rsid w:val="005F1770"/>
    <w:rsid w:val="005F1D40"/>
    <w:rsid w:val="005F272E"/>
    <w:rsid w:val="005F353D"/>
    <w:rsid w:val="005F3CF7"/>
    <w:rsid w:val="005F4AE7"/>
    <w:rsid w:val="005F61A4"/>
    <w:rsid w:val="005F64E2"/>
    <w:rsid w:val="005F7A8E"/>
    <w:rsid w:val="0060008E"/>
    <w:rsid w:val="0060115D"/>
    <w:rsid w:val="006016F6"/>
    <w:rsid w:val="006018E0"/>
    <w:rsid w:val="00601D9D"/>
    <w:rsid w:val="006025B5"/>
    <w:rsid w:val="00603E03"/>
    <w:rsid w:val="00603F35"/>
    <w:rsid w:val="00604F20"/>
    <w:rsid w:val="006053B0"/>
    <w:rsid w:val="006054A4"/>
    <w:rsid w:val="00605693"/>
    <w:rsid w:val="00605B31"/>
    <w:rsid w:val="00605B4D"/>
    <w:rsid w:val="006064F0"/>
    <w:rsid w:val="00606921"/>
    <w:rsid w:val="00606943"/>
    <w:rsid w:val="00607D1B"/>
    <w:rsid w:val="006125A5"/>
    <w:rsid w:val="00613092"/>
    <w:rsid w:val="00614995"/>
    <w:rsid w:val="00615220"/>
    <w:rsid w:val="006152D9"/>
    <w:rsid w:val="00615395"/>
    <w:rsid w:val="00615ADA"/>
    <w:rsid w:val="00617257"/>
    <w:rsid w:val="0062010B"/>
    <w:rsid w:val="006217FB"/>
    <w:rsid w:val="00624695"/>
    <w:rsid w:val="00624B91"/>
    <w:rsid w:val="006254FE"/>
    <w:rsid w:val="0062600C"/>
    <w:rsid w:val="006306B4"/>
    <w:rsid w:val="00630D80"/>
    <w:rsid w:val="00631289"/>
    <w:rsid w:val="00632576"/>
    <w:rsid w:val="00632703"/>
    <w:rsid w:val="00632C81"/>
    <w:rsid w:val="00632E7B"/>
    <w:rsid w:val="006337C7"/>
    <w:rsid w:val="00636396"/>
    <w:rsid w:val="006364AB"/>
    <w:rsid w:val="006368A1"/>
    <w:rsid w:val="00636DCC"/>
    <w:rsid w:val="00636F2F"/>
    <w:rsid w:val="00637E45"/>
    <w:rsid w:val="006414B5"/>
    <w:rsid w:val="00641692"/>
    <w:rsid w:val="00642B1C"/>
    <w:rsid w:val="00642F3A"/>
    <w:rsid w:val="00643B47"/>
    <w:rsid w:val="00643B8F"/>
    <w:rsid w:val="0064460E"/>
    <w:rsid w:val="00647404"/>
    <w:rsid w:val="00647CE2"/>
    <w:rsid w:val="0065191E"/>
    <w:rsid w:val="00652865"/>
    <w:rsid w:val="00652C93"/>
    <w:rsid w:val="00652EDA"/>
    <w:rsid w:val="0065333D"/>
    <w:rsid w:val="00653718"/>
    <w:rsid w:val="00653B15"/>
    <w:rsid w:val="00653E77"/>
    <w:rsid w:val="00654086"/>
    <w:rsid w:val="00656E2A"/>
    <w:rsid w:val="00661527"/>
    <w:rsid w:val="00661AFC"/>
    <w:rsid w:val="00661E74"/>
    <w:rsid w:val="00661EE9"/>
    <w:rsid w:val="0066294A"/>
    <w:rsid w:val="00664568"/>
    <w:rsid w:val="006646D6"/>
    <w:rsid w:val="00664EC9"/>
    <w:rsid w:val="00665B86"/>
    <w:rsid w:val="00666230"/>
    <w:rsid w:val="00667EBC"/>
    <w:rsid w:val="0067012B"/>
    <w:rsid w:val="0067040B"/>
    <w:rsid w:val="00670564"/>
    <w:rsid w:val="00670A34"/>
    <w:rsid w:val="00670D19"/>
    <w:rsid w:val="0067110C"/>
    <w:rsid w:val="00671249"/>
    <w:rsid w:val="006712AC"/>
    <w:rsid w:val="0067171B"/>
    <w:rsid w:val="00671B89"/>
    <w:rsid w:val="00674F46"/>
    <w:rsid w:val="006768AC"/>
    <w:rsid w:val="006769AE"/>
    <w:rsid w:val="00676A39"/>
    <w:rsid w:val="0067728D"/>
    <w:rsid w:val="0067738E"/>
    <w:rsid w:val="00680B4B"/>
    <w:rsid w:val="00680C01"/>
    <w:rsid w:val="0068218A"/>
    <w:rsid w:val="0068224A"/>
    <w:rsid w:val="0068254C"/>
    <w:rsid w:val="0068279F"/>
    <w:rsid w:val="00682B72"/>
    <w:rsid w:val="00683A5C"/>
    <w:rsid w:val="00683D14"/>
    <w:rsid w:val="00685922"/>
    <w:rsid w:val="00685C00"/>
    <w:rsid w:val="00685E64"/>
    <w:rsid w:val="0068615A"/>
    <w:rsid w:val="0068666D"/>
    <w:rsid w:val="00690565"/>
    <w:rsid w:val="00690753"/>
    <w:rsid w:val="00690953"/>
    <w:rsid w:val="0069098F"/>
    <w:rsid w:val="0069179E"/>
    <w:rsid w:val="006918C0"/>
    <w:rsid w:val="00691CFF"/>
    <w:rsid w:val="00692652"/>
    <w:rsid w:val="00694337"/>
    <w:rsid w:val="006949CF"/>
    <w:rsid w:val="00694EC1"/>
    <w:rsid w:val="00695417"/>
    <w:rsid w:val="006955E4"/>
    <w:rsid w:val="00695B3C"/>
    <w:rsid w:val="0069609D"/>
    <w:rsid w:val="00697B41"/>
    <w:rsid w:val="006A1B58"/>
    <w:rsid w:val="006A2133"/>
    <w:rsid w:val="006A51A3"/>
    <w:rsid w:val="006A5812"/>
    <w:rsid w:val="006A5B15"/>
    <w:rsid w:val="006A7A47"/>
    <w:rsid w:val="006A7AC8"/>
    <w:rsid w:val="006B169F"/>
    <w:rsid w:val="006B2CF1"/>
    <w:rsid w:val="006B3E18"/>
    <w:rsid w:val="006B4B01"/>
    <w:rsid w:val="006B58F0"/>
    <w:rsid w:val="006B635F"/>
    <w:rsid w:val="006B7AA4"/>
    <w:rsid w:val="006C0B74"/>
    <w:rsid w:val="006C0E61"/>
    <w:rsid w:val="006C30F3"/>
    <w:rsid w:val="006C337C"/>
    <w:rsid w:val="006C614F"/>
    <w:rsid w:val="006C642B"/>
    <w:rsid w:val="006C64E3"/>
    <w:rsid w:val="006C72A8"/>
    <w:rsid w:val="006C7452"/>
    <w:rsid w:val="006C7CBF"/>
    <w:rsid w:val="006D028C"/>
    <w:rsid w:val="006D04CF"/>
    <w:rsid w:val="006D1167"/>
    <w:rsid w:val="006D126F"/>
    <w:rsid w:val="006D1384"/>
    <w:rsid w:val="006D2459"/>
    <w:rsid w:val="006D2880"/>
    <w:rsid w:val="006D304C"/>
    <w:rsid w:val="006D39B3"/>
    <w:rsid w:val="006D41D4"/>
    <w:rsid w:val="006D4FFE"/>
    <w:rsid w:val="006D5467"/>
    <w:rsid w:val="006D580E"/>
    <w:rsid w:val="006D5E36"/>
    <w:rsid w:val="006D6C43"/>
    <w:rsid w:val="006D6CF0"/>
    <w:rsid w:val="006D7BBB"/>
    <w:rsid w:val="006E0CD4"/>
    <w:rsid w:val="006E0DBD"/>
    <w:rsid w:val="006E0F0F"/>
    <w:rsid w:val="006E104C"/>
    <w:rsid w:val="006E32DA"/>
    <w:rsid w:val="006E4107"/>
    <w:rsid w:val="006E429F"/>
    <w:rsid w:val="006E5142"/>
    <w:rsid w:val="006E69D3"/>
    <w:rsid w:val="006E6A6B"/>
    <w:rsid w:val="006E7794"/>
    <w:rsid w:val="006E7F67"/>
    <w:rsid w:val="006F0770"/>
    <w:rsid w:val="006F0BCF"/>
    <w:rsid w:val="006F1364"/>
    <w:rsid w:val="006F1553"/>
    <w:rsid w:val="006F2203"/>
    <w:rsid w:val="006F306C"/>
    <w:rsid w:val="006F31FB"/>
    <w:rsid w:val="006F3398"/>
    <w:rsid w:val="006F3795"/>
    <w:rsid w:val="006F45D5"/>
    <w:rsid w:val="006F679A"/>
    <w:rsid w:val="006F6D3C"/>
    <w:rsid w:val="006F7A7E"/>
    <w:rsid w:val="00700F9D"/>
    <w:rsid w:val="007020D2"/>
    <w:rsid w:val="007022E4"/>
    <w:rsid w:val="0070303C"/>
    <w:rsid w:val="00703998"/>
    <w:rsid w:val="00704766"/>
    <w:rsid w:val="00705509"/>
    <w:rsid w:val="00706504"/>
    <w:rsid w:val="00711D60"/>
    <w:rsid w:val="0071243E"/>
    <w:rsid w:val="00712F4F"/>
    <w:rsid w:val="00713669"/>
    <w:rsid w:val="00714508"/>
    <w:rsid w:val="00714572"/>
    <w:rsid w:val="0071460F"/>
    <w:rsid w:val="00715839"/>
    <w:rsid w:val="00715D85"/>
    <w:rsid w:val="00716C91"/>
    <w:rsid w:val="00717D96"/>
    <w:rsid w:val="007200A9"/>
    <w:rsid w:val="00720B31"/>
    <w:rsid w:val="007211B1"/>
    <w:rsid w:val="00722887"/>
    <w:rsid w:val="007236F0"/>
    <w:rsid w:val="00724BC1"/>
    <w:rsid w:val="0072543A"/>
    <w:rsid w:val="0072664E"/>
    <w:rsid w:val="0072684B"/>
    <w:rsid w:val="00726A8B"/>
    <w:rsid w:val="0072712B"/>
    <w:rsid w:val="00727BFC"/>
    <w:rsid w:val="00730D0F"/>
    <w:rsid w:val="00733489"/>
    <w:rsid w:val="00734032"/>
    <w:rsid w:val="00734522"/>
    <w:rsid w:val="00735294"/>
    <w:rsid w:val="00735A11"/>
    <w:rsid w:val="00736334"/>
    <w:rsid w:val="00736D9E"/>
    <w:rsid w:val="007373E6"/>
    <w:rsid w:val="00740400"/>
    <w:rsid w:val="00741309"/>
    <w:rsid w:val="00741B16"/>
    <w:rsid w:val="00742248"/>
    <w:rsid w:val="00743A62"/>
    <w:rsid w:val="00745421"/>
    <w:rsid w:val="00745A06"/>
    <w:rsid w:val="00751498"/>
    <w:rsid w:val="00751D57"/>
    <w:rsid w:val="0075252C"/>
    <w:rsid w:val="007527EF"/>
    <w:rsid w:val="007528AA"/>
    <w:rsid w:val="00753A84"/>
    <w:rsid w:val="00754BC1"/>
    <w:rsid w:val="00755A21"/>
    <w:rsid w:val="00756033"/>
    <w:rsid w:val="007571BD"/>
    <w:rsid w:val="007600CE"/>
    <w:rsid w:val="007603CD"/>
    <w:rsid w:val="00760A71"/>
    <w:rsid w:val="007628C8"/>
    <w:rsid w:val="00763927"/>
    <w:rsid w:val="00764813"/>
    <w:rsid w:val="00765527"/>
    <w:rsid w:val="00765C81"/>
    <w:rsid w:val="00766150"/>
    <w:rsid w:val="00766279"/>
    <w:rsid w:val="00766E74"/>
    <w:rsid w:val="007710F5"/>
    <w:rsid w:val="007714C7"/>
    <w:rsid w:val="00771695"/>
    <w:rsid w:val="00771EA4"/>
    <w:rsid w:val="00772D3C"/>
    <w:rsid w:val="0077344B"/>
    <w:rsid w:val="007746D7"/>
    <w:rsid w:val="00774A1B"/>
    <w:rsid w:val="00774A5E"/>
    <w:rsid w:val="00774B1C"/>
    <w:rsid w:val="00775986"/>
    <w:rsid w:val="00780792"/>
    <w:rsid w:val="00780939"/>
    <w:rsid w:val="00781CBF"/>
    <w:rsid w:val="00782403"/>
    <w:rsid w:val="00783623"/>
    <w:rsid w:val="00784113"/>
    <w:rsid w:val="00784DE4"/>
    <w:rsid w:val="007863E0"/>
    <w:rsid w:val="007869E3"/>
    <w:rsid w:val="00786EFA"/>
    <w:rsid w:val="00790323"/>
    <w:rsid w:val="00790AA0"/>
    <w:rsid w:val="00790BA7"/>
    <w:rsid w:val="00791F8B"/>
    <w:rsid w:val="00792A0D"/>
    <w:rsid w:val="007956D6"/>
    <w:rsid w:val="00795736"/>
    <w:rsid w:val="00795B9B"/>
    <w:rsid w:val="00796C3D"/>
    <w:rsid w:val="0079745E"/>
    <w:rsid w:val="00797F17"/>
    <w:rsid w:val="007A35D8"/>
    <w:rsid w:val="007A40CA"/>
    <w:rsid w:val="007A4BEA"/>
    <w:rsid w:val="007A522F"/>
    <w:rsid w:val="007A538A"/>
    <w:rsid w:val="007A5829"/>
    <w:rsid w:val="007A592E"/>
    <w:rsid w:val="007A5C36"/>
    <w:rsid w:val="007A5C3C"/>
    <w:rsid w:val="007A7CD6"/>
    <w:rsid w:val="007B035F"/>
    <w:rsid w:val="007B03BE"/>
    <w:rsid w:val="007B2AE8"/>
    <w:rsid w:val="007B2B1D"/>
    <w:rsid w:val="007B3122"/>
    <w:rsid w:val="007B34A9"/>
    <w:rsid w:val="007C0B3A"/>
    <w:rsid w:val="007C0D40"/>
    <w:rsid w:val="007C23D1"/>
    <w:rsid w:val="007C2457"/>
    <w:rsid w:val="007C256C"/>
    <w:rsid w:val="007C2A5C"/>
    <w:rsid w:val="007C34C1"/>
    <w:rsid w:val="007C448C"/>
    <w:rsid w:val="007C52D8"/>
    <w:rsid w:val="007C5318"/>
    <w:rsid w:val="007C55DD"/>
    <w:rsid w:val="007C6A09"/>
    <w:rsid w:val="007D0D22"/>
    <w:rsid w:val="007D0E98"/>
    <w:rsid w:val="007D1A43"/>
    <w:rsid w:val="007D2741"/>
    <w:rsid w:val="007D476E"/>
    <w:rsid w:val="007D4DF1"/>
    <w:rsid w:val="007D523E"/>
    <w:rsid w:val="007D584E"/>
    <w:rsid w:val="007D5C1E"/>
    <w:rsid w:val="007E3D67"/>
    <w:rsid w:val="007E414B"/>
    <w:rsid w:val="007E4925"/>
    <w:rsid w:val="007E56BA"/>
    <w:rsid w:val="007E6365"/>
    <w:rsid w:val="007E69C0"/>
    <w:rsid w:val="007F1088"/>
    <w:rsid w:val="007F2C53"/>
    <w:rsid w:val="007F2E49"/>
    <w:rsid w:val="007F337F"/>
    <w:rsid w:val="007F485C"/>
    <w:rsid w:val="007F5234"/>
    <w:rsid w:val="007F5D64"/>
    <w:rsid w:val="007F69FF"/>
    <w:rsid w:val="007F6B64"/>
    <w:rsid w:val="007F6E1A"/>
    <w:rsid w:val="007F7084"/>
    <w:rsid w:val="007F7853"/>
    <w:rsid w:val="007F7EF3"/>
    <w:rsid w:val="0080080B"/>
    <w:rsid w:val="00801FD7"/>
    <w:rsid w:val="008021A7"/>
    <w:rsid w:val="00803952"/>
    <w:rsid w:val="00803B5B"/>
    <w:rsid w:val="008040BC"/>
    <w:rsid w:val="00804AB5"/>
    <w:rsid w:val="00804C2D"/>
    <w:rsid w:val="00805847"/>
    <w:rsid w:val="0080676D"/>
    <w:rsid w:val="00806870"/>
    <w:rsid w:val="00806C57"/>
    <w:rsid w:val="00806E2C"/>
    <w:rsid w:val="00810C73"/>
    <w:rsid w:val="00811F59"/>
    <w:rsid w:val="00812B85"/>
    <w:rsid w:val="00814F9D"/>
    <w:rsid w:val="00815190"/>
    <w:rsid w:val="0081676D"/>
    <w:rsid w:val="00816E28"/>
    <w:rsid w:val="00816F92"/>
    <w:rsid w:val="008171ED"/>
    <w:rsid w:val="00817899"/>
    <w:rsid w:val="008201F0"/>
    <w:rsid w:val="0082034C"/>
    <w:rsid w:val="00820A7A"/>
    <w:rsid w:val="008210A0"/>
    <w:rsid w:val="0082205D"/>
    <w:rsid w:val="00822911"/>
    <w:rsid w:val="0082326C"/>
    <w:rsid w:val="00823931"/>
    <w:rsid w:val="00824A56"/>
    <w:rsid w:val="00826EAD"/>
    <w:rsid w:val="00826FC2"/>
    <w:rsid w:val="008307B6"/>
    <w:rsid w:val="00831798"/>
    <w:rsid w:val="0083191A"/>
    <w:rsid w:val="0083199C"/>
    <w:rsid w:val="008325FB"/>
    <w:rsid w:val="0083495C"/>
    <w:rsid w:val="00834C9B"/>
    <w:rsid w:val="00836467"/>
    <w:rsid w:val="008368FD"/>
    <w:rsid w:val="00836F2E"/>
    <w:rsid w:val="0083707F"/>
    <w:rsid w:val="00837398"/>
    <w:rsid w:val="008373C3"/>
    <w:rsid w:val="00837A71"/>
    <w:rsid w:val="0084078F"/>
    <w:rsid w:val="00841B32"/>
    <w:rsid w:val="00844459"/>
    <w:rsid w:val="00846AAC"/>
    <w:rsid w:val="008472DE"/>
    <w:rsid w:val="00852F8E"/>
    <w:rsid w:val="00854F01"/>
    <w:rsid w:val="00855138"/>
    <w:rsid w:val="00855452"/>
    <w:rsid w:val="008558A9"/>
    <w:rsid w:val="00855F1B"/>
    <w:rsid w:val="008607C6"/>
    <w:rsid w:val="00860A1D"/>
    <w:rsid w:val="0086202E"/>
    <w:rsid w:val="008632E1"/>
    <w:rsid w:val="0086331D"/>
    <w:rsid w:val="008641E1"/>
    <w:rsid w:val="0086532E"/>
    <w:rsid w:val="00865393"/>
    <w:rsid w:val="00865A80"/>
    <w:rsid w:val="00866F99"/>
    <w:rsid w:val="008703AE"/>
    <w:rsid w:val="00870A9C"/>
    <w:rsid w:val="00870DC7"/>
    <w:rsid w:val="008715EE"/>
    <w:rsid w:val="008716CD"/>
    <w:rsid w:val="00871B00"/>
    <w:rsid w:val="00871CD3"/>
    <w:rsid w:val="00872510"/>
    <w:rsid w:val="008726D4"/>
    <w:rsid w:val="008733B4"/>
    <w:rsid w:val="00874FCD"/>
    <w:rsid w:val="00877031"/>
    <w:rsid w:val="00880532"/>
    <w:rsid w:val="00880C06"/>
    <w:rsid w:val="00881514"/>
    <w:rsid w:val="00881A7A"/>
    <w:rsid w:val="008826E5"/>
    <w:rsid w:val="00884A73"/>
    <w:rsid w:val="00885190"/>
    <w:rsid w:val="00886A9E"/>
    <w:rsid w:val="00887945"/>
    <w:rsid w:val="00890978"/>
    <w:rsid w:val="00891220"/>
    <w:rsid w:val="00891506"/>
    <w:rsid w:val="00891708"/>
    <w:rsid w:val="00893102"/>
    <w:rsid w:val="00893F6E"/>
    <w:rsid w:val="00896C77"/>
    <w:rsid w:val="008A0329"/>
    <w:rsid w:val="008A081A"/>
    <w:rsid w:val="008A1345"/>
    <w:rsid w:val="008A2111"/>
    <w:rsid w:val="008A271C"/>
    <w:rsid w:val="008A3528"/>
    <w:rsid w:val="008A3DB8"/>
    <w:rsid w:val="008A4C59"/>
    <w:rsid w:val="008A51B3"/>
    <w:rsid w:val="008A5C55"/>
    <w:rsid w:val="008A77D2"/>
    <w:rsid w:val="008B0B5F"/>
    <w:rsid w:val="008B16D8"/>
    <w:rsid w:val="008B2609"/>
    <w:rsid w:val="008B3066"/>
    <w:rsid w:val="008B3861"/>
    <w:rsid w:val="008B5144"/>
    <w:rsid w:val="008B53B5"/>
    <w:rsid w:val="008B5474"/>
    <w:rsid w:val="008B5721"/>
    <w:rsid w:val="008B6431"/>
    <w:rsid w:val="008B6514"/>
    <w:rsid w:val="008B6A67"/>
    <w:rsid w:val="008B7130"/>
    <w:rsid w:val="008B757E"/>
    <w:rsid w:val="008B789F"/>
    <w:rsid w:val="008C0230"/>
    <w:rsid w:val="008C06BA"/>
    <w:rsid w:val="008C0959"/>
    <w:rsid w:val="008C15E3"/>
    <w:rsid w:val="008C1ACB"/>
    <w:rsid w:val="008C2A1F"/>
    <w:rsid w:val="008C35D4"/>
    <w:rsid w:val="008C37A7"/>
    <w:rsid w:val="008C384B"/>
    <w:rsid w:val="008C4C13"/>
    <w:rsid w:val="008C501F"/>
    <w:rsid w:val="008C5285"/>
    <w:rsid w:val="008C5665"/>
    <w:rsid w:val="008C7D57"/>
    <w:rsid w:val="008D0FB5"/>
    <w:rsid w:val="008D13CB"/>
    <w:rsid w:val="008D15A9"/>
    <w:rsid w:val="008D3264"/>
    <w:rsid w:val="008D37E5"/>
    <w:rsid w:val="008D3DAE"/>
    <w:rsid w:val="008D5C15"/>
    <w:rsid w:val="008D5F1C"/>
    <w:rsid w:val="008D6783"/>
    <w:rsid w:val="008D6B10"/>
    <w:rsid w:val="008D6C2D"/>
    <w:rsid w:val="008E0720"/>
    <w:rsid w:val="008E159E"/>
    <w:rsid w:val="008E1B1B"/>
    <w:rsid w:val="008E32BC"/>
    <w:rsid w:val="008E5153"/>
    <w:rsid w:val="008E587A"/>
    <w:rsid w:val="008E693C"/>
    <w:rsid w:val="008E6958"/>
    <w:rsid w:val="008E7FE6"/>
    <w:rsid w:val="008F0BE9"/>
    <w:rsid w:val="008F20F2"/>
    <w:rsid w:val="008F44DD"/>
    <w:rsid w:val="008F470E"/>
    <w:rsid w:val="008F4890"/>
    <w:rsid w:val="008F4CFD"/>
    <w:rsid w:val="008F5366"/>
    <w:rsid w:val="008F5A64"/>
    <w:rsid w:val="008F5C10"/>
    <w:rsid w:val="008F643D"/>
    <w:rsid w:val="008F6BDF"/>
    <w:rsid w:val="008F6F68"/>
    <w:rsid w:val="008F74E5"/>
    <w:rsid w:val="008F7DFA"/>
    <w:rsid w:val="00900358"/>
    <w:rsid w:val="00901042"/>
    <w:rsid w:val="00902141"/>
    <w:rsid w:val="00902280"/>
    <w:rsid w:val="00902703"/>
    <w:rsid w:val="0090338A"/>
    <w:rsid w:val="0090372B"/>
    <w:rsid w:val="00904B56"/>
    <w:rsid w:val="00905549"/>
    <w:rsid w:val="009077A5"/>
    <w:rsid w:val="00910513"/>
    <w:rsid w:val="00910847"/>
    <w:rsid w:val="00911A92"/>
    <w:rsid w:val="00911AC3"/>
    <w:rsid w:val="00911B82"/>
    <w:rsid w:val="009127A6"/>
    <w:rsid w:val="00912D0E"/>
    <w:rsid w:val="00913342"/>
    <w:rsid w:val="00913777"/>
    <w:rsid w:val="009137FD"/>
    <w:rsid w:val="00913ECB"/>
    <w:rsid w:val="009142E0"/>
    <w:rsid w:val="009145D6"/>
    <w:rsid w:val="00916404"/>
    <w:rsid w:val="00917DDF"/>
    <w:rsid w:val="00917F48"/>
    <w:rsid w:val="00920211"/>
    <w:rsid w:val="009202F7"/>
    <w:rsid w:val="009204A1"/>
    <w:rsid w:val="009207BD"/>
    <w:rsid w:val="00922819"/>
    <w:rsid w:val="00923ADC"/>
    <w:rsid w:val="00924E28"/>
    <w:rsid w:val="00925426"/>
    <w:rsid w:val="00925E28"/>
    <w:rsid w:val="009260F1"/>
    <w:rsid w:val="00926345"/>
    <w:rsid w:val="00926A99"/>
    <w:rsid w:val="00927028"/>
    <w:rsid w:val="00930736"/>
    <w:rsid w:val="009321A3"/>
    <w:rsid w:val="009323B3"/>
    <w:rsid w:val="00933310"/>
    <w:rsid w:val="009335AE"/>
    <w:rsid w:val="00934072"/>
    <w:rsid w:val="00934BA9"/>
    <w:rsid w:val="00935EC5"/>
    <w:rsid w:val="00936800"/>
    <w:rsid w:val="0093684B"/>
    <w:rsid w:val="00936A8F"/>
    <w:rsid w:val="00937C8D"/>
    <w:rsid w:val="00940A7E"/>
    <w:rsid w:val="00940D5E"/>
    <w:rsid w:val="00940EE3"/>
    <w:rsid w:val="009424B9"/>
    <w:rsid w:val="00944547"/>
    <w:rsid w:val="00944F49"/>
    <w:rsid w:val="00947713"/>
    <w:rsid w:val="00950138"/>
    <w:rsid w:val="0095131A"/>
    <w:rsid w:val="00952F35"/>
    <w:rsid w:val="00953085"/>
    <w:rsid w:val="009538E6"/>
    <w:rsid w:val="00954602"/>
    <w:rsid w:val="009549BF"/>
    <w:rsid w:val="00955490"/>
    <w:rsid w:val="009561D9"/>
    <w:rsid w:val="009566B5"/>
    <w:rsid w:val="00956CF2"/>
    <w:rsid w:val="00956D03"/>
    <w:rsid w:val="0095704F"/>
    <w:rsid w:val="009609E4"/>
    <w:rsid w:val="00961924"/>
    <w:rsid w:val="00961C65"/>
    <w:rsid w:val="00962AFF"/>
    <w:rsid w:val="0096376A"/>
    <w:rsid w:val="009642E2"/>
    <w:rsid w:val="00964580"/>
    <w:rsid w:val="00965146"/>
    <w:rsid w:val="009658EF"/>
    <w:rsid w:val="00967019"/>
    <w:rsid w:val="009672A9"/>
    <w:rsid w:val="0097094C"/>
    <w:rsid w:val="00970E90"/>
    <w:rsid w:val="009711DF"/>
    <w:rsid w:val="0097164F"/>
    <w:rsid w:val="00973EFF"/>
    <w:rsid w:val="00973F61"/>
    <w:rsid w:val="00974468"/>
    <w:rsid w:val="009744D9"/>
    <w:rsid w:val="00974A7E"/>
    <w:rsid w:val="0097574F"/>
    <w:rsid w:val="00976EF0"/>
    <w:rsid w:val="00977DC9"/>
    <w:rsid w:val="00980BA3"/>
    <w:rsid w:val="00980D29"/>
    <w:rsid w:val="009813BC"/>
    <w:rsid w:val="0098471D"/>
    <w:rsid w:val="009850DE"/>
    <w:rsid w:val="009868E7"/>
    <w:rsid w:val="00986E09"/>
    <w:rsid w:val="00987102"/>
    <w:rsid w:val="00987628"/>
    <w:rsid w:val="00987EBB"/>
    <w:rsid w:val="009902F9"/>
    <w:rsid w:val="0099287E"/>
    <w:rsid w:val="00992B6D"/>
    <w:rsid w:val="00993B87"/>
    <w:rsid w:val="00993C81"/>
    <w:rsid w:val="00995F03"/>
    <w:rsid w:val="00996561"/>
    <w:rsid w:val="009A0192"/>
    <w:rsid w:val="009A0593"/>
    <w:rsid w:val="009A169C"/>
    <w:rsid w:val="009A2D1B"/>
    <w:rsid w:val="009A2F99"/>
    <w:rsid w:val="009A4624"/>
    <w:rsid w:val="009A492D"/>
    <w:rsid w:val="009A4A05"/>
    <w:rsid w:val="009A4F45"/>
    <w:rsid w:val="009A58AF"/>
    <w:rsid w:val="009A60E9"/>
    <w:rsid w:val="009A6366"/>
    <w:rsid w:val="009A644B"/>
    <w:rsid w:val="009A68AD"/>
    <w:rsid w:val="009A6F1A"/>
    <w:rsid w:val="009A733F"/>
    <w:rsid w:val="009B0259"/>
    <w:rsid w:val="009B0433"/>
    <w:rsid w:val="009B0576"/>
    <w:rsid w:val="009B10A7"/>
    <w:rsid w:val="009B2C82"/>
    <w:rsid w:val="009B320C"/>
    <w:rsid w:val="009B3295"/>
    <w:rsid w:val="009B32C8"/>
    <w:rsid w:val="009B3A25"/>
    <w:rsid w:val="009B42BE"/>
    <w:rsid w:val="009B4DED"/>
    <w:rsid w:val="009B4FD2"/>
    <w:rsid w:val="009B5381"/>
    <w:rsid w:val="009B68A7"/>
    <w:rsid w:val="009B70DC"/>
    <w:rsid w:val="009C01C1"/>
    <w:rsid w:val="009C4F9A"/>
    <w:rsid w:val="009C5B59"/>
    <w:rsid w:val="009C6AC7"/>
    <w:rsid w:val="009D00C8"/>
    <w:rsid w:val="009D0624"/>
    <w:rsid w:val="009D34E0"/>
    <w:rsid w:val="009D3AF5"/>
    <w:rsid w:val="009D4C00"/>
    <w:rsid w:val="009D52EE"/>
    <w:rsid w:val="009D5CC3"/>
    <w:rsid w:val="009D6005"/>
    <w:rsid w:val="009D6E91"/>
    <w:rsid w:val="009D6EE7"/>
    <w:rsid w:val="009D73D3"/>
    <w:rsid w:val="009D7BF7"/>
    <w:rsid w:val="009E01BB"/>
    <w:rsid w:val="009E21E3"/>
    <w:rsid w:val="009E4A6B"/>
    <w:rsid w:val="009E4E74"/>
    <w:rsid w:val="009E7C7E"/>
    <w:rsid w:val="009F0075"/>
    <w:rsid w:val="009F00EC"/>
    <w:rsid w:val="009F0CA2"/>
    <w:rsid w:val="009F1989"/>
    <w:rsid w:val="009F1CD7"/>
    <w:rsid w:val="009F1D24"/>
    <w:rsid w:val="009F1E2F"/>
    <w:rsid w:val="009F354F"/>
    <w:rsid w:val="009F3D17"/>
    <w:rsid w:val="009F43CF"/>
    <w:rsid w:val="009F6A49"/>
    <w:rsid w:val="009F6EE2"/>
    <w:rsid w:val="009F780E"/>
    <w:rsid w:val="009F7F6E"/>
    <w:rsid w:val="00A00D92"/>
    <w:rsid w:val="00A01907"/>
    <w:rsid w:val="00A03078"/>
    <w:rsid w:val="00A030FF"/>
    <w:rsid w:val="00A0335B"/>
    <w:rsid w:val="00A04ADD"/>
    <w:rsid w:val="00A05A30"/>
    <w:rsid w:val="00A072D6"/>
    <w:rsid w:val="00A07310"/>
    <w:rsid w:val="00A073EF"/>
    <w:rsid w:val="00A07698"/>
    <w:rsid w:val="00A07C70"/>
    <w:rsid w:val="00A07E2D"/>
    <w:rsid w:val="00A1006C"/>
    <w:rsid w:val="00A1122F"/>
    <w:rsid w:val="00A12580"/>
    <w:rsid w:val="00A12BF2"/>
    <w:rsid w:val="00A12E22"/>
    <w:rsid w:val="00A14201"/>
    <w:rsid w:val="00A14C3A"/>
    <w:rsid w:val="00A16918"/>
    <w:rsid w:val="00A1777C"/>
    <w:rsid w:val="00A17805"/>
    <w:rsid w:val="00A1780A"/>
    <w:rsid w:val="00A179DF"/>
    <w:rsid w:val="00A2007F"/>
    <w:rsid w:val="00A206D0"/>
    <w:rsid w:val="00A20D1D"/>
    <w:rsid w:val="00A21C1E"/>
    <w:rsid w:val="00A225B0"/>
    <w:rsid w:val="00A22D70"/>
    <w:rsid w:val="00A232B9"/>
    <w:rsid w:val="00A23A16"/>
    <w:rsid w:val="00A23E2B"/>
    <w:rsid w:val="00A24097"/>
    <w:rsid w:val="00A26C0A"/>
    <w:rsid w:val="00A2741F"/>
    <w:rsid w:val="00A303BB"/>
    <w:rsid w:val="00A303CD"/>
    <w:rsid w:val="00A30B2A"/>
    <w:rsid w:val="00A32F9E"/>
    <w:rsid w:val="00A33627"/>
    <w:rsid w:val="00A34048"/>
    <w:rsid w:val="00A34537"/>
    <w:rsid w:val="00A3488A"/>
    <w:rsid w:val="00A34DC6"/>
    <w:rsid w:val="00A36570"/>
    <w:rsid w:val="00A36C64"/>
    <w:rsid w:val="00A3787E"/>
    <w:rsid w:val="00A40199"/>
    <w:rsid w:val="00A403CF"/>
    <w:rsid w:val="00A40680"/>
    <w:rsid w:val="00A425D5"/>
    <w:rsid w:val="00A43038"/>
    <w:rsid w:val="00A43C2E"/>
    <w:rsid w:val="00A43DD4"/>
    <w:rsid w:val="00A4424F"/>
    <w:rsid w:val="00A44CB9"/>
    <w:rsid w:val="00A468A8"/>
    <w:rsid w:val="00A51535"/>
    <w:rsid w:val="00A520EB"/>
    <w:rsid w:val="00A5298A"/>
    <w:rsid w:val="00A545FC"/>
    <w:rsid w:val="00A54682"/>
    <w:rsid w:val="00A5500E"/>
    <w:rsid w:val="00A5790A"/>
    <w:rsid w:val="00A60F6B"/>
    <w:rsid w:val="00A610F4"/>
    <w:rsid w:val="00A61766"/>
    <w:rsid w:val="00A619AD"/>
    <w:rsid w:val="00A62420"/>
    <w:rsid w:val="00A62626"/>
    <w:rsid w:val="00A627A3"/>
    <w:rsid w:val="00A63762"/>
    <w:rsid w:val="00A6538B"/>
    <w:rsid w:val="00A65B2F"/>
    <w:rsid w:val="00A661FD"/>
    <w:rsid w:val="00A674B2"/>
    <w:rsid w:val="00A677AE"/>
    <w:rsid w:val="00A67974"/>
    <w:rsid w:val="00A67D01"/>
    <w:rsid w:val="00A73538"/>
    <w:rsid w:val="00A75036"/>
    <w:rsid w:val="00A753E2"/>
    <w:rsid w:val="00A75567"/>
    <w:rsid w:val="00A758D6"/>
    <w:rsid w:val="00A80844"/>
    <w:rsid w:val="00A81291"/>
    <w:rsid w:val="00A816BB"/>
    <w:rsid w:val="00A81C60"/>
    <w:rsid w:val="00A82027"/>
    <w:rsid w:val="00A8213B"/>
    <w:rsid w:val="00A8336D"/>
    <w:rsid w:val="00A84491"/>
    <w:rsid w:val="00A85468"/>
    <w:rsid w:val="00A85705"/>
    <w:rsid w:val="00A85B40"/>
    <w:rsid w:val="00A86265"/>
    <w:rsid w:val="00A86815"/>
    <w:rsid w:val="00A86A09"/>
    <w:rsid w:val="00A90197"/>
    <w:rsid w:val="00A90675"/>
    <w:rsid w:val="00A90923"/>
    <w:rsid w:val="00A90D41"/>
    <w:rsid w:val="00A926FD"/>
    <w:rsid w:val="00A92F83"/>
    <w:rsid w:val="00A9316D"/>
    <w:rsid w:val="00A93BE0"/>
    <w:rsid w:val="00A948D4"/>
    <w:rsid w:val="00A94EB4"/>
    <w:rsid w:val="00A9670B"/>
    <w:rsid w:val="00A96C71"/>
    <w:rsid w:val="00AA0FA0"/>
    <w:rsid w:val="00AA13CB"/>
    <w:rsid w:val="00AA18E4"/>
    <w:rsid w:val="00AA1E9E"/>
    <w:rsid w:val="00AA21A6"/>
    <w:rsid w:val="00AA295D"/>
    <w:rsid w:val="00AA32E5"/>
    <w:rsid w:val="00AA3700"/>
    <w:rsid w:val="00AA4644"/>
    <w:rsid w:val="00AA52F3"/>
    <w:rsid w:val="00AA5BBF"/>
    <w:rsid w:val="00AA5CB0"/>
    <w:rsid w:val="00AA5D89"/>
    <w:rsid w:val="00AA74DA"/>
    <w:rsid w:val="00AA79CF"/>
    <w:rsid w:val="00AB2FDA"/>
    <w:rsid w:val="00AB31AB"/>
    <w:rsid w:val="00AB3693"/>
    <w:rsid w:val="00AB43ED"/>
    <w:rsid w:val="00AB7208"/>
    <w:rsid w:val="00AB77CE"/>
    <w:rsid w:val="00AB7BB6"/>
    <w:rsid w:val="00AC036F"/>
    <w:rsid w:val="00AC03B9"/>
    <w:rsid w:val="00AC043A"/>
    <w:rsid w:val="00AC0577"/>
    <w:rsid w:val="00AC09C8"/>
    <w:rsid w:val="00AC0DB0"/>
    <w:rsid w:val="00AC227D"/>
    <w:rsid w:val="00AC2F5F"/>
    <w:rsid w:val="00AC33F3"/>
    <w:rsid w:val="00AC3AF4"/>
    <w:rsid w:val="00AC61C6"/>
    <w:rsid w:val="00AC6328"/>
    <w:rsid w:val="00AC648B"/>
    <w:rsid w:val="00AC7EFE"/>
    <w:rsid w:val="00AD15E6"/>
    <w:rsid w:val="00AD16A8"/>
    <w:rsid w:val="00AD1C95"/>
    <w:rsid w:val="00AD3DCE"/>
    <w:rsid w:val="00AD3F8A"/>
    <w:rsid w:val="00AD5640"/>
    <w:rsid w:val="00AE08F1"/>
    <w:rsid w:val="00AE0999"/>
    <w:rsid w:val="00AE10B2"/>
    <w:rsid w:val="00AE1CF3"/>
    <w:rsid w:val="00AE379C"/>
    <w:rsid w:val="00AE4676"/>
    <w:rsid w:val="00AE5084"/>
    <w:rsid w:val="00AE63DD"/>
    <w:rsid w:val="00AE7B6F"/>
    <w:rsid w:val="00AF042F"/>
    <w:rsid w:val="00AF0867"/>
    <w:rsid w:val="00AF0CAD"/>
    <w:rsid w:val="00AF3E70"/>
    <w:rsid w:val="00AF4867"/>
    <w:rsid w:val="00AF576B"/>
    <w:rsid w:val="00AF7C23"/>
    <w:rsid w:val="00AF7F71"/>
    <w:rsid w:val="00B00A76"/>
    <w:rsid w:val="00B01310"/>
    <w:rsid w:val="00B0134B"/>
    <w:rsid w:val="00B02BCC"/>
    <w:rsid w:val="00B0347D"/>
    <w:rsid w:val="00B03EF0"/>
    <w:rsid w:val="00B04B0F"/>
    <w:rsid w:val="00B05B87"/>
    <w:rsid w:val="00B1162D"/>
    <w:rsid w:val="00B119EC"/>
    <w:rsid w:val="00B125CF"/>
    <w:rsid w:val="00B1487B"/>
    <w:rsid w:val="00B15118"/>
    <w:rsid w:val="00B16345"/>
    <w:rsid w:val="00B20578"/>
    <w:rsid w:val="00B208D5"/>
    <w:rsid w:val="00B22049"/>
    <w:rsid w:val="00B224DA"/>
    <w:rsid w:val="00B23814"/>
    <w:rsid w:val="00B241EE"/>
    <w:rsid w:val="00B27EA8"/>
    <w:rsid w:val="00B30C57"/>
    <w:rsid w:val="00B30C7D"/>
    <w:rsid w:val="00B31261"/>
    <w:rsid w:val="00B3133F"/>
    <w:rsid w:val="00B329B1"/>
    <w:rsid w:val="00B33454"/>
    <w:rsid w:val="00B344FA"/>
    <w:rsid w:val="00B34A31"/>
    <w:rsid w:val="00B34EDB"/>
    <w:rsid w:val="00B357BD"/>
    <w:rsid w:val="00B36697"/>
    <w:rsid w:val="00B372CA"/>
    <w:rsid w:val="00B378E9"/>
    <w:rsid w:val="00B37A8B"/>
    <w:rsid w:val="00B40085"/>
    <w:rsid w:val="00B417B4"/>
    <w:rsid w:val="00B42AF4"/>
    <w:rsid w:val="00B43321"/>
    <w:rsid w:val="00B438A4"/>
    <w:rsid w:val="00B45C41"/>
    <w:rsid w:val="00B46AD1"/>
    <w:rsid w:val="00B47547"/>
    <w:rsid w:val="00B52FA6"/>
    <w:rsid w:val="00B53F93"/>
    <w:rsid w:val="00B55AB6"/>
    <w:rsid w:val="00B55C57"/>
    <w:rsid w:val="00B563AC"/>
    <w:rsid w:val="00B563F5"/>
    <w:rsid w:val="00B5688C"/>
    <w:rsid w:val="00B56F4F"/>
    <w:rsid w:val="00B570C3"/>
    <w:rsid w:val="00B5730A"/>
    <w:rsid w:val="00B57709"/>
    <w:rsid w:val="00B57A60"/>
    <w:rsid w:val="00B60CCE"/>
    <w:rsid w:val="00B61D9C"/>
    <w:rsid w:val="00B61FF2"/>
    <w:rsid w:val="00B62620"/>
    <w:rsid w:val="00B62AD9"/>
    <w:rsid w:val="00B63A2A"/>
    <w:rsid w:val="00B63B42"/>
    <w:rsid w:val="00B63C97"/>
    <w:rsid w:val="00B64AFE"/>
    <w:rsid w:val="00B65226"/>
    <w:rsid w:val="00B65630"/>
    <w:rsid w:val="00B6574C"/>
    <w:rsid w:val="00B65D07"/>
    <w:rsid w:val="00B66FCF"/>
    <w:rsid w:val="00B67B90"/>
    <w:rsid w:val="00B67D52"/>
    <w:rsid w:val="00B70435"/>
    <w:rsid w:val="00B71380"/>
    <w:rsid w:val="00B71751"/>
    <w:rsid w:val="00B718EF"/>
    <w:rsid w:val="00B72486"/>
    <w:rsid w:val="00B73480"/>
    <w:rsid w:val="00B73AAF"/>
    <w:rsid w:val="00B73AC6"/>
    <w:rsid w:val="00B76423"/>
    <w:rsid w:val="00B76621"/>
    <w:rsid w:val="00B7752E"/>
    <w:rsid w:val="00B77DBC"/>
    <w:rsid w:val="00B8387F"/>
    <w:rsid w:val="00B83C35"/>
    <w:rsid w:val="00B84248"/>
    <w:rsid w:val="00B8513F"/>
    <w:rsid w:val="00B8575A"/>
    <w:rsid w:val="00B85CA4"/>
    <w:rsid w:val="00B864FA"/>
    <w:rsid w:val="00B86D37"/>
    <w:rsid w:val="00B8720D"/>
    <w:rsid w:val="00B8792C"/>
    <w:rsid w:val="00B902A6"/>
    <w:rsid w:val="00B90D94"/>
    <w:rsid w:val="00B91387"/>
    <w:rsid w:val="00B9175C"/>
    <w:rsid w:val="00B91DE1"/>
    <w:rsid w:val="00B91FA9"/>
    <w:rsid w:val="00B92095"/>
    <w:rsid w:val="00B92995"/>
    <w:rsid w:val="00B93372"/>
    <w:rsid w:val="00B94837"/>
    <w:rsid w:val="00B94E53"/>
    <w:rsid w:val="00B9586B"/>
    <w:rsid w:val="00B95B98"/>
    <w:rsid w:val="00B960EE"/>
    <w:rsid w:val="00B96153"/>
    <w:rsid w:val="00B968B0"/>
    <w:rsid w:val="00B96E65"/>
    <w:rsid w:val="00B96F66"/>
    <w:rsid w:val="00B9D87E"/>
    <w:rsid w:val="00BA0342"/>
    <w:rsid w:val="00BA1712"/>
    <w:rsid w:val="00BA2EEF"/>
    <w:rsid w:val="00BA5224"/>
    <w:rsid w:val="00BA653A"/>
    <w:rsid w:val="00BA69FD"/>
    <w:rsid w:val="00BA72F3"/>
    <w:rsid w:val="00BB0048"/>
    <w:rsid w:val="00BB2FDF"/>
    <w:rsid w:val="00BB30B9"/>
    <w:rsid w:val="00BB342B"/>
    <w:rsid w:val="00BB3692"/>
    <w:rsid w:val="00BB4906"/>
    <w:rsid w:val="00BB4C5C"/>
    <w:rsid w:val="00BB559B"/>
    <w:rsid w:val="00BB5690"/>
    <w:rsid w:val="00BB7784"/>
    <w:rsid w:val="00BC10AE"/>
    <w:rsid w:val="00BC1181"/>
    <w:rsid w:val="00BC22E3"/>
    <w:rsid w:val="00BC25AF"/>
    <w:rsid w:val="00BC2BB6"/>
    <w:rsid w:val="00BC3758"/>
    <w:rsid w:val="00BC4955"/>
    <w:rsid w:val="00BC6456"/>
    <w:rsid w:val="00BC6956"/>
    <w:rsid w:val="00BC697B"/>
    <w:rsid w:val="00BC6C9D"/>
    <w:rsid w:val="00BD0BF5"/>
    <w:rsid w:val="00BD2495"/>
    <w:rsid w:val="00BD25AF"/>
    <w:rsid w:val="00BD2A4B"/>
    <w:rsid w:val="00BD342A"/>
    <w:rsid w:val="00BD3694"/>
    <w:rsid w:val="00BD3AB1"/>
    <w:rsid w:val="00BD4317"/>
    <w:rsid w:val="00BD4CAB"/>
    <w:rsid w:val="00BD4FD0"/>
    <w:rsid w:val="00BD5E85"/>
    <w:rsid w:val="00BD6BDE"/>
    <w:rsid w:val="00BD72CD"/>
    <w:rsid w:val="00BD7337"/>
    <w:rsid w:val="00BE18C9"/>
    <w:rsid w:val="00BE1D68"/>
    <w:rsid w:val="00BE264C"/>
    <w:rsid w:val="00BE292C"/>
    <w:rsid w:val="00BE2C79"/>
    <w:rsid w:val="00BE4379"/>
    <w:rsid w:val="00BE4BAF"/>
    <w:rsid w:val="00BE4E44"/>
    <w:rsid w:val="00BE51BD"/>
    <w:rsid w:val="00BE537F"/>
    <w:rsid w:val="00BE6930"/>
    <w:rsid w:val="00BE6B16"/>
    <w:rsid w:val="00BE6CA3"/>
    <w:rsid w:val="00BE72EA"/>
    <w:rsid w:val="00BF03AF"/>
    <w:rsid w:val="00BF2656"/>
    <w:rsid w:val="00BF2937"/>
    <w:rsid w:val="00BF31D0"/>
    <w:rsid w:val="00BF443F"/>
    <w:rsid w:val="00BF4512"/>
    <w:rsid w:val="00BF46B2"/>
    <w:rsid w:val="00BF5C06"/>
    <w:rsid w:val="00BF5EC4"/>
    <w:rsid w:val="00BF5FEF"/>
    <w:rsid w:val="00BF6112"/>
    <w:rsid w:val="00BF66E6"/>
    <w:rsid w:val="00BF6A67"/>
    <w:rsid w:val="00BF6DBB"/>
    <w:rsid w:val="00C002B0"/>
    <w:rsid w:val="00C010D9"/>
    <w:rsid w:val="00C02208"/>
    <w:rsid w:val="00C04BD8"/>
    <w:rsid w:val="00C05E18"/>
    <w:rsid w:val="00C064FC"/>
    <w:rsid w:val="00C06D4F"/>
    <w:rsid w:val="00C116D4"/>
    <w:rsid w:val="00C11A4B"/>
    <w:rsid w:val="00C121E6"/>
    <w:rsid w:val="00C13399"/>
    <w:rsid w:val="00C1402B"/>
    <w:rsid w:val="00C1413D"/>
    <w:rsid w:val="00C147F0"/>
    <w:rsid w:val="00C14F41"/>
    <w:rsid w:val="00C1699D"/>
    <w:rsid w:val="00C16D54"/>
    <w:rsid w:val="00C16D76"/>
    <w:rsid w:val="00C1790B"/>
    <w:rsid w:val="00C2053F"/>
    <w:rsid w:val="00C20AB9"/>
    <w:rsid w:val="00C215C2"/>
    <w:rsid w:val="00C24B88"/>
    <w:rsid w:val="00C25A2F"/>
    <w:rsid w:val="00C25ADF"/>
    <w:rsid w:val="00C25E13"/>
    <w:rsid w:val="00C26131"/>
    <w:rsid w:val="00C268EE"/>
    <w:rsid w:val="00C278F1"/>
    <w:rsid w:val="00C27BB2"/>
    <w:rsid w:val="00C31BF4"/>
    <w:rsid w:val="00C32695"/>
    <w:rsid w:val="00C33231"/>
    <w:rsid w:val="00C33D51"/>
    <w:rsid w:val="00C33E34"/>
    <w:rsid w:val="00C35193"/>
    <w:rsid w:val="00C355E6"/>
    <w:rsid w:val="00C356DA"/>
    <w:rsid w:val="00C3573F"/>
    <w:rsid w:val="00C358C2"/>
    <w:rsid w:val="00C36075"/>
    <w:rsid w:val="00C3614C"/>
    <w:rsid w:val="00C40BA1"/>
    <w:rsid w:val="00C414C1"/>
    <w:rsid w:val="00C414C7"/>
    <w:rsid w:val="00C4194F"/>
    <w:rsid w:val="00C42033"/>
    <w:rsid w:val="00C4362A"/>
    <w:rsid w:val="00C4372B"/>
    <w:rsid w:val="00C44964"/>
    <w:rsid w:val="00C451DB"/>
    <w:rsid w:val="00C453B2"/>
    <w:rsid w:val="00C46C45"/>
    <w:rsid w:val="00C47766"/>
    <w:rsid w:val="00C47842"/>
    <w:rsid w:val="00C50294"/>
    <w:rsid w:val="00C51095"/>
    <w:rsid w:val="00C510E3"/>
    <w:rsid w:val="00C51AA6"/>
    <w:rsid w:val="00C52483"/>
    <w:rsid w:val="00C530C8"/>
    <w:rsid w:val="00C53C22"/>
    <w:rsid w:val="00C5574C"/>
    <w:rsid w:val="00C55F74"/>
    <w:rsid w:val="00C55FC6"/>
    <w:rsid w:val="00C56163"/>
    <w:rsid w:val="00C56651"/>
    <w:rsid w:val="00C568F1"/>
    <w:rsid w:val="00C56B63"/>
    <w:rsid w:val="00C5776C"/>
    <w:rsid w:val="00C57BEC"/>
    <w:rsid w:val="00C6246B"/>
    <w:rsid w:val="00C624B3"/>
    <w:rsid w:val="00C6342D"/>
    <w:rsid w:val="00C64916"/>
    <w:rsid w:val="00C657F3"/>
    <w:rsid w:val="00C6612E"/>
    <w:rsid w:val="00C6677A"/>
    <w:rsid w:val="00C66CE2"/>
    <w:rsid w:val="00C670AD"/>
    <w:rsid w:val="00C711F9"/>
    <w:rsid w:val="00C7216F"/>
    <w:rsid w:val="00C724C1"/>
    <w:rsid w:val="00C72AEC"/>
    <w:rsid w:val="00C72B17"/>
    <w:rsid w:val="00C73257"/>
    <w:rsid w:val="00C73B2C"/>
    <w:rsid w:val="00C73E15"/>
    <w:rsid w:val="00C7444A"/>
    <w:rsid w:val="00C762B6"/>
    <w:rsid w:val="00C76E65"/>
    <w:rsid w:val="00C8027F"/>
    <w:rsid w:val="00C804CA"/>
    <w:rsid w:val="00C8109A"/>
    <w:rsid w:val="00C81E0B"/>
    <w:rsid w:val="00C82070"/>
    <w:rsid w:val="00C82B0A"/>
    <w:rsid w:val="00C84A92"/>
    <w:rsid w:val="00C851EE"/>
    <w:rsid w:val="00C85EA0"/>
    <w:rsid w:val="00C85F4E"/>
    <w:rsid w:val="00C86752"/>
    <w:rsid w:val="00C86C5D"/>
    <w:rsid w:val="00C86D06"/>
    <w:rsid w:val="00C8755A"/>
    <w:rsid w:val="00C90B87"/>
    <w:rsid w:val="00C913C0"/>
    <w:rsid w:val="00C915B5"/>
    <w:rsid w:val="00C9225A"/>
    <w:rsid w:val="00C926C5"/>
    <w:rsid w:val="00C9323D"/>
    <w:rsid w:val="00C93A2D"/>
    <w:rsid w:val="00C94282"/>
    <w:rsid w:val="00C945C2"/>
    <w:rsid w:val="00C952DB"/>
    <w:rsid w:val="00C956A2"/>
    <w:rsid w:val="00C95CB4"/>
    <w:rsid w:val="00C96717"/>
    <w:rsid w:val="00C977D8"/>
    <w:rsid w:val="00C97965"/>
    <w:rsid w:val="00CA00D8"/>
    <w:rsid w:val="00CA0A20"/>
    <w:rsid w:val="00CA0FB6"/>
    <w:rsid w:val="00CA17AF"/>
    <w:rsid w:val="00CA1957"/>
    <w:rsid w:val="00CA30F8"/>
    <w:rsid w:val="00CA333B"/>
    <w:rsid w:val="00CA4CCC"/>
    <w:rsid w:val="00CA5839"/>
    <w:rsid w:val="00CA59EC"/>
    <w:rsid w:val="00CA7C70"/>
    <w:rsid w:val="00CB00DD"/>
    <w:rsid w:val="00CB0FD7"/>
    <w:rsid w:val="00CB2711"/>
    <w:rsid w:val="00CB34D7"/>
    <w:rsid w:val="00CB3C41"/>
    <w:rsid w:val="00CB3CD4"/>
    <w:rsid w:val="00CB4581"/>
    <w:rsid w:val="00CB61DD"/>
    <w:rsid w:val="00CB6A2D"/>
    <w:rsid w:val="00CB6A49"/>
    <w:rsid w:val="00CB723D"/>
    <w:rsid w:val="00CC0871"/>
    <w:rsid w:val="00CC0E4E"/>
    <w:rsid w:val="00CC1B35"/>
    <w:rsid w:val="00CC1D8C"/>
    <w:rsid w:val="00CC1DE1"/>
    <w:rsid w:val="00CC2C33"/>
    <w:rsid w:val="00CC4276"/>
    <w:rsid w:val="00CC4357"/>
    <w:rsid w:val="00CC43E2"/>
    <w:rsid w:val="00CC4AAB"/>
    <w:rsid w:val="00CC6FAF"/>
    <w:rsid w:val="00CC7485"/>
    <w:rsid w:val="00CC77CB"/>
    <w:rsid w:val="00CD2210"/>
    <w:rsid w:val="00CD2F46"/>
    <w:rsid w:val="00CD5434"/>
    <w:rsid w:val="00CE057E"/>
    <w:rsid w:val="00CE0BB9"/>
    <w:rsid w:val="00CE0CA6"/>
    <w:rsid w:val="00CE0E67"/>
    <w:rsid w:val="00CE0E7B"/>
    <w:rsid w:val="00CE173E"/>
    <w:rsid w:val="00CE1A72"/>
    <w:rsid w:val="00CE265E"/>
    <w:rsid w:val="00CE2703"/>
    <w:rsid w:val="00CE2799"/>
    <w:rsid w:val="00CE35BD"/>
    <w:rsid w:val="00CE45B6"/>
    <w:rsid w:val="00CE4D58"/>
    <w:rsid w:val="00CE54F6"/>
    <w:rsid w:val="00CE6155"/>
    <w:rsid w:val="00CE6395"/>
    <w:rsid w:val="00CE6DD4"/>
    <w:rsid w:val="00CE6E93"/>
    <w:rsid w:val="00CE76FE"/>
    <w:rsid w:val="00CE7C40"/>
    <w:rsid w:val="00CE7E2E"/>
    <w:rsid w:val="00CF177B"/>
    <w:rsid w:val="00CF2792"/>
    <w:rsid w:val="00CF2B76"/>
    <w:rsid w:val="00CF35A2"/>
    <w:rsid w:val="00CF4203"/>
    <w:rsid w:val="00CF494C"/>
    <w:rsid w:val="00CF51FB"/>
    <w:rsid w:val="00CF538A"/>
    <w:rsid w:val="00CF57C2"/>
    <w:rsid w:val="00CF6A65"/>
    <w:rsid w:val="00CF73AA"/>
    <w:rsid w:val="00D00952"/>
    <w:rsid w:val="00D00A35"/>
    <w:rsid w:val="00D01771"/>
    <w:rsid w:val="00D02BD6"/>
    <w:rsid w:val="00D030D7"/>
    <w:rsid w:val="00D0351B"/>
    <w:rsid w:val="00D04E13"/>
    <w:rsid w:val="00D05CF4"/>
    <w:rsid w:val="00D07990"/>
    <w:rsid w:val="00D1005A"/>
    <w:rsid w:val="00D106D0"/>
    <w:rsid w:val="00D10D22"/>
    <w:rsid w:val="00D11C07"/>
    <w:rsid w:val="00D11DB0"/>
    <w:rsid w:val="00D120F7"/>
    <w:rsid w:val="00D129DB"/>
    <w:rsid w:val="00D13342"/>
    <w:rsid w:val="00D13391"/>
    <w:rsid w:val="00D15710"/>
    <w:rsid w:val="00D15BCF"/>
    <w:rsid w:val="00D16A6A"/>
    <w:rsid w:val="00D17499"/>
    <w:rsid w:val="00D177A1"/>
    <w:rsid w:val="00D17A45"/>
    <w:rsid w:val="00D17E32"/>
    <w:rsid w:val="00D204DA"/>
    <w:rsid w:val="00D21277"/>
    <w:rsid w:val="00D21EE5"/>
    <w:rsid w:val="00D22150"/>
    <w:rsid w:val="00D22946"/>
    <w:rsid w:val="00D230A5"/>
    <w:rsid w:val="00D23E58"/>
    <w:rsid w:val="00D261D4"/>
    <w:rsid w:val="00D267AB"/>
    <w:rsid w:val="00D2694A"/>
    <w:rsid w:val="00D320F9"/>
    <w:rsid w:val="00D32E00"/>
    <w:rsid w:val="00D3391E"/>
    <w:rsid w:val="00D33EC6"/>
    <w:rsid w:val="00D35AEA"/>
    <w:rsid w:val="00D365B8"/>
    <w:rsid w:val="00D367D8"/>
    <w:rsid w:val="00D36D81"/>
    <w:rsid w:val="00D40F02"/>
    <w:rsid w:val="00D41583"/>
    <w:rsid w:val="00D43798"/>
    <w:rsid w:val="00D43D0B"/>
    <w:rsid w:val="00D4411C"/>
    <w:rsid w:val="00D4445A"/>
    <w:rsid w:val="00D46041"/>
    <w:rsid w:val="00D4675B"/>
    <w:rsid w:val="00D46CCF"/>
    <w:rsid w:val="00D50A31"/>
    <w:rsid w:val="00D51213"/>
    <w:rsid w:val="00D518CC"/>
    <w:rsid w:val="00D525AB"/>
    <w:rsid w:val="00D52DF5"/>
    <w:rsid w:val="00D54967"/>
    <w:rsid w:val="00D55135"/>
    <w:rsid w:val="00D5522E"/>
    <w:rsid w:val="00D55D4F"/>
    <w:rsid w:val="00D55DF2"/>
    <w:rsid w:val="00D56D30"/>
    <w:rsid w:val="00D572B8"/>
    <w:rsid w:val="00D577BB"/>
    <w:rsid w:val="00D57E05"/>
    <w:rsid w:val="00D60B61"/>
    <w:rsid w:val="00D60C30"/>
    <w:rsid w:val="00D60DDA"/>
    <w:rsid w:val="00D6198F"/>
    <w:rsid w:val="00D61A71"/>
    <w:rsid w:val="00D61B3B"/>
    <w:rsid w:val="00D61BA5"/>
    <w:rsid w:val="00D6218F"/>
    <w:rsid w:val="00D637AD"/>
    <w:rsid w:val="00D63B6C"/>
    <w:rsid w:val="00D64AD9"/>
    <w:rsid w:val="00D65B9D"/>
    <w:rsid w:val="00D66178"/>
    <w:rsid w:val="00D669F4"/>
    <w:rsid w:val="00D66E50"/>
    <w:rsid w:val="00D6770D"/>
    <w:rsid w:val="00D67FF0"/>
    <w:rsid w:val="00D7174B"/>
    <w:rsid w:val="00D723E0"/>
    <w:rsid w:val="00D728A7"/>
    <w:rsid w:val="00D732EC"/>
    <w:rsid w:val="00D737B1"/>
    <w:rsid w:val="00D739D8"/>
    <w:rsid w:val="00D7403A"/>
    <w:rsid w:val="00D75184"/>
    <w:rsid w:val="00D75E05"/>
    <w:rsid w:val="00D76DD7"/>
    <w:rsid w:val="00D77587"/>
    <w:rsid w:val="00D7765B"/>
    <w:rsid w:val="00D807EE"/>
    <w:rsid w:val="00D81F30"/>
    <w:rsid w:val="00D829D4"/>
    <w:rsid w:val="00D83437"/>
    <w:rsid w:val="00D847BD"/>
    <w:rsid w:val="00D85ADC"/>
    <w:rsid w:val="00D85DA0"/>
    <w:rsid w:val="00D862BE"/>
    <w:rsid w:val="00D866CD"/>
    <w:rsid w:val="00D86ED7"/>
    <w:rsid w:val="00D9055F"/>
    <w:rsid w:val="00D90655"/>
    <w:rsid w:val="00D90C4D"/>
    <w:rsid w:val="00D9180A"/>
    <w:rsid w:val="00D92AC8"/>
    <w:rsid w:val="00D92FC7"/>
    <w:rsid w:val="00D9309E"/>
    <w:rsid w:val="00D93962"/>
    <w:rsid w:val="00D93B70"/>
    <w:rsid w:val="00D93E9C"/>
    <w:rsid w:val="00D940B0"/>
    <w:rsid w:val="00D94F0C"/>
    <w:rsid w:val="00D96E81"/>
    <w:rsid w:val="00D971EE"/>
    <w:rsid w:val="00D97498"/>
    <w:rsid w:val="00D976D3"/>
    <w:rsid w:val="00D97D68"/>
    <w:rsid w:val="00DA226F"/>
    <w:rsid w:val="00DA240D"/>
    <w:rsid w:val="00DA3F9E"/>
    <w:rsid w:val="00DA3FA4"/>
    <w:rsid w:val="00DA4774"/>
    <w:rsid w:val="00DB02F8"/>
    <w:rsid w:val="00DB1509"/>
    <w:rsid w:val="00DB17A8"/>
    <w:rsid w:val="00DB1D80"/>
    <w:rsid w:val="00DB37E8"/>
    <w:rsid w:val="00DB4BA2"/>
    <w:rsid w:val="00DB5DAD"/>
    <w:rsid w:val="00DB6735"/>
    <w:rsid w:val="00DB6F6E"/>
    <w:rsid w:val="00DB7920"/>
    <w:rsid w:val="00DC0F17"/>
    <w:rsid w:val="00DC3AA0"/>
    <w:rsid w:val="00DC416D"/>
    <w:rsid w:val="00DC50F1"/>
    <w:rsid w:val="00DC5666"/>
    <w:rsid w:val="00DC5F72"/>
    <w:rsid w:val="00DC6728"/>
    <w:rsid w:val="00DC6B62"/>
    <w:rsid w:val="00DC72FE"/>
    <w:rsid w:val="00DC7401"/>
    <w:rsid w:val="00DD0CC1"/>
    <w:rsid w:val="00DD137F"/>
    <w:rsid w:val="00DD1918"/>
    <w:rsid w:val="00DD310E"/>
    <w:rsid w:val="00DD31FE"/>
    <w:rsid w:val="00DD3A34"/>
    <w:rsid w:val="00DD46C8"/>
    <w:rsid w:val="00DD583B"/>
    <w:rsid w:val="00DD5CC7"/>
    <w:rsid w:val="00DD6C81"/>
    <w:rsid w:val="00DD7C6F"/>
    <w:rsid w:val="00DE0F1A"/>
    <w:rsid w:val="00DE2551"/>
    <w:rsid w:val="00DE3617"/>
    <w:rsid w:val="00DE37DA"/>
    <w:rsid w:val="00DE65CA"/>
    <w:rsid w:val="00DE6F2F"/>
    <w:rsid w:val="00DE70F9"/>
    <w:rsid w:val="00DE7BF1"/>
    <w:rsid w:val="00DF0202"/>
    <w:rsid w:val="00DF0E77"/>
    <w:rsid w:val="00DF1DCA"/>
    <w:rsid w:val="00DF39D5"/>
    <w:rsid w:val="00DF5708"/>
    <w:rsid w:val="00DF5FBA"/>
    <w:rsid w:val="00DF6B75"/>
    <w:rsid w:val="00DF70CB"/>
    <w:rsid w:val="00DF773E"/>
    <w:rsid w:val="00E0167F"/>
    <w:rsid w:val="00E02A66"/>
    <w:rsid w:val="00E02F4C"/>
    <w:rsid w:val="00E048A4"/>
    <w:rsid w:val="00E060EF"/>
    <w:rsid w:val="00E0678A"/>
    <w:rsid w:val="00E06DBF"/>
    <w:rsid w:val="00E0705A"/>
    <w:rsid w:val="00E072B0"/>
    <w:rsid w:val="00E072E9"/>
    <w:rsid w:val="00E07E3C"/>
    <w:rsid w:val="00E07E84"/>
    <w:rsid w:val="00E10E68"/>
    <w:rsid w:val="00E1132D"/>
    <w:rsid w:val="00E11A0B"/>
    <w:rsid w:val="00E11D92"/>
    <w:rsid w:val="00E1262C"/>
    <w:rsid w:val="00E14363"/>
    <w:rsid w:val="00E14FC7"/>
    <w:rsid w:val="00E15166"/>
    <w:rsid w:val="00E16549"/>
    <w:rsid w:val="00E1679A"/>
    <w:rsid w:val="00E1694E"/>
    <w:rsid w:val="00E2013A"/>
    <w:rsid w:val="00E20E80"/>
    <w:rsid w:val="00E2282C"/>
    <w:rsid w:val="00E22D95"/>
    <w:rsid w:val="00E23869"/>
    <w:rsid w:val="00E246EF"/>
    <w:rsid w:val="00E24717"/>
    <w:rsid w:val="00E25A74"/>
    <w:rsid w:val="00E25EF1"/>
    <w:rsid w:val="00E265B5"/>
    <w:rsid w:val="00E269E1"/>
    <w:rsid w:val="00E26AC1"/>
    <w:rsid w:val="00E26C27"/>
    <w:rsid w:val="00E270BD"/>
    <w:rsid w:val="00E271B5"/>
    <w:rsid w:val="00E2786C"/>
    <w:rsid w:val="00E303DA"/>
    <w:rsid w:val="00E305EB"/>
    <w:rsid w:val="00E3187B"/>
    <w:rsid w:val="00E31BCB"/>
    <w:rsid w:val="00E323CE"/>
    <w:rsid w:val="00E32A80"/>
    <w:rsid w:val="00E33DBD"/>
    <w:rsid w:val="00E33EC9"/>
    <w:rsid w:val="00E36087"/>
    <w:rsid w:val="00E378AC"/>
    <w:rsid w:val="00E40E17"/>
    <w:rsid w:val="00E41392"/>
    <w:rsid w:val="00E426A2"/>
    <w:rsid w:val="00E426E1"/>
    <w:rsid w:val="00E42AE3"/>
    <w:rsid w:val="00E42CEF"/>
    <w:rsid w:val="00E43B0F"/>
    <w:rsid w:val="00E45725"/>
    <w:rsid w:val="00E45D2D"/>
    <w:rsid w:val="00E45DF1"/>
    <w:rsid w:val="00E461DF"/>
    <w:rsid w:val="00E473B0"/>
    <w:rsid w:val="00E47470"/>
    <w:rsid w:val="00E51690"/>
    <w:rsid w:val="00E530B8"/>
    <w:rsid w:val="00E543DA"/>
    <w:rsid w:val="00E54600"/>
    <w:rsid w:val="00E546DE"/>
    <w:rsid w:val="00E60C2C"/>
    <w:rsid w:val="00E60C77"/>
    <w:rsid w:val="00E63B1F"/>
    <w:rsid w:val="00E64C77"/>
    <w:rsid w:val="00E65AAE"/>
    <w:rsid w:val="00E67518"/>
    <w:rsid w:val="00E7014F"/>
    <w:rsid w:val="00E71830"/>
    <w:rsid w:val="00E72221"/>
    <w:rsid w:val="00E72947"/>
    <w:rsid w:val="00E746B4"/>
    <w:rsid w:val="00E768F8"/>
    <w:rsid w:val="00E76AB6"/>
    <w:rsid w:val="00E76FD4"/>
    <w:rsid w:val="00E77EC1"/>
    <w:rsid w:val="00E800D5"/>
    <w:rsid w:val="00E80DB0"/>
    <w:rsid w:val="00E81032"/>
    <w:rsid w:val="00E81B7C"/>
    <w:rsid w:val="00E82DF0"/>
    <w:rsid w:val="00E83911"/>
    <w:rsid w:val="00E84D7B"/>
    <w:rsid w:val="00E85F72"/>
    <w:rsid w:val="00E87247"/>
    <w:rsid w:val="00E87D0E"/>
    <w:rsid w:val="00E90152"/>
    <w:rsid w:val="00E9225C"/>
    <w:rsid w:val="00E9329E"/>
    <w:rsid w:val="00E93B42"/>
    <w:rsid w:val="00E93D92"/>
    <w:rsid w:val="00E94F8C"/>
    <w:rsid w:val="00E96464"/>
    <w:rsid w:val="00E96FC4"/>
    <w:rsid w:val="00E9724B"/>
    <w:rsid w:val="00EA02C7"/>
    <w:rsid w:val="00EA20C4"/>
    <w:rsid w:val="00EA39E5"/>
    <w:rsid w:val="00EA3B82"/>
    <w:rsid w:val="00EA461D"/>
    <w:rsid w:val="00EA5106"/>
    <w:rsid w:val="00EA5188"/>
    <w:rsid w:val="00EA5305"/>
    <w:rsid w:val="00EA54BD"/>
    <w:rsid w:val="00EA5A7B"/>
    <w:rsid w:val="00EA6461"/>
    <w:rsid w:val="00EA6CDB"/>
    <w:rsid w:val="00EA7658"/>
    <w:rsid w:val="00EB175E"/>
    <w:rsid w:val="00EB2A5D"/>
    <w:rsid w:val="00EB4757"/>
    <w:rsid w:val="00EB50B8"/>
    <w:rsid w:val="00EB530C"/>
    <w:rsid w:val="00EB5BA5"/>
    <w:rsid w:val="00EB66FD"/>
    <w:rsid w:val="00EC1311"/>
    <w:rsid w:val="00EC232E"/>
    <w:rsid w:val="00EC25D6"/>
    <w:rsid w:val="00EC31E4"/>
    <w:rsid w:val="00EC4FB4"/>
    <w:rsid w:val="00EC6E9C"/>
    <w:rsid w:val="00ED1EC3"/>
    <w:rsid w:val="00ED3EC7"/>
    <w:rsid w:val="00ED534A"/>
    <w:rsid w:val="00ED55D7"/>
    <w:rsid w:val="00ED6DF6"/>
    <w:rsid w:val="00ED7327"/>
    <w:rsid w:val="00ED753D"/>
    <w:rsid w:val="00ED76AB"/>
    <w:rsid w:val="00EE162B"/>
    <w:rsid w:val="00EE1661"/>
    <w:rsid w:val="00EE209C"/>
    <w:rsid w:val="00EE21AD"/>
    <w:rsid w:val="00EE5A9A"/>
    <w:rsid w:val="00EE622A"/>
    <w:rsid w:val="00EE6604"/>
    <w:rsid w:val="00EE7CE8"/>
    <w:rsid w:val="00EF2696"/>
    <w:rsid w:val="00EF438F"/>
    <w:rsid w:val="00EF46BA"/>
    <w:rsid w:val="00EF4AC4"/>
    <w:rsid w:val="00F016BF"/>
    <w:rsid w:val="00F0177A"/>
    <w:rsid w:val="00F01D46"/>
    <w:rsid w:val="00F024A3"/>
    <w:rsid w:val="00F02F0F"/>
    <w:rsid w:val="00F03F18"/>
    <w:rsid w:val="00F040CE"/>
    <w:rsid w:val="00F046CD"/>
    <w:rsid w:val="00F0504B"/>
    <w:rsid w:val="00F050EB"/>
    <w:rsid w:val="00F06B39"/>
    <w:rsid w:val="00F10594"/>
    <w:rsid w:val="00F10606"/>
    <w:rsid w:val="00F123C0"/>
    <w:rsid w:val="00F12769"/>
    <w:rsid w:val="00F14971"/>
    <w:rsid w:val="00F15454"/>
    <w:rsid w:val="00F15D13"/>
    <w:rsid w:val="00F15F72"/>
    <w:rsid w:val="00F17D67"/>
    <w:rsid w:val="00F2294E"/>
    <w:rsid w:val="00F23EC2"/>
    <w:rsid w:val="00F2475E"/>
    <w:rsid w:val="00F25D71"/>
    <w:rsid w:val="00F25E60"/>
    <w:rsid w:val="00F260E8"/>
    <w:rsid w:val="00F267D8"/>
    <w:rsid w:val="00F27C6F"/>
    <w:rsid w:val="00F30211"/>
    <w:rsid w:val="00F3033C"/>
    <w:rsid w:val="00F32CC6"/>
    <w:rsid w:val="00F32CF7"/>
    <w:rsid w:val="00F32E32"/>
    <w:rsid w:val="00F33285"/>
    <w:rsid w:val="00F3448F"/>
    <w:rsid w:val="00F34737"/>
    <w:rsid w:val="00F3489C"/>
    <w:rsid w:val="00F36AC1"/>
    <w:rsid w:val="00F37E4D"/>
    <w:rsid w:val="00F37EFE"/>
    <w:rsid w:val="00F41DC0"/>
    <w:rsid w:val="00F43338"/>
    <w:rsid w:val="00F44170"/>
    <w:rsid w:val="00F44E1C"/>
    <w:rsid w:val="00F468B8"/>
    <w:rsid w:val="00F468D8"/>
    <w:rsid w:val="00F46B2C"/>
    <w:rsid w:val="00F507C4"/>
    <w:rsid w:val="00F5163B"/>
    <w:rsid w:val="00F519D0"/>
    <w:rsid w:val="00F51A1D"/>
    <w:rsid w:val="00F51EF7"/>
    <w:rsid w:val="00F520A9"/>
    <w:rsid w:val="00F52568"/>
    <w:rsid w:val="00F52AF5"/>
    <w:rsid w:val="00F52F4D"/>
    <w:rsid w:val="00F54322"/>
    <w:rsid w:val="00F54E22"/>
    <w:rsid w:val="00F56D38"/>
    <w:rsid w:val="00F60412"/>
    <w:rsid w:val="00F6093C"/>
    <w:rsid w:val="00F60D92"/>
    <w:rsid w:val="00F60E7E"/>
    <w:rsid w:val="00F61575"/>
    <w:rsid w:val="00F61787"/>
    <w:rsid w:val="00F629EB"/>
    <w:rsid w:val="00F62C7C"/>
    <w:rsid w:val="00F63182"/>
    <w:rsid w:val="00F637C5"/>
    <w:rsid w:val="00F63E22"/>
    <w:rsid w:val="00F641AE"/>
    <w:rsid w:val="00F644BB"/>
    <w:rsid w:val="00F646C9"/>
    <w:rsid w:val="00F65574"/>
    <w:rsid w:val="00F66AC9"/>
    <w:rsid w:val="00F7033E"/>
    <w:rsid w:val="00F710B0"/>
    <w:rsid w:val="00F71E5B"/>
    <w:rsid w:val="00F722EE"/>
    <w:rsid w:val="00F7287C"/>
    <w:rsid w:val="00F72B96"/>
    <w:rsid w:val="00F73A35"/>
    <w:rsid w:val="00F73A85"/>
    <w:rsid w:val="00F74005"/>
    <w:rsid w:val="00F74558"/>
    <w:rsid w:val="00F76726"/>
    <w:rsid w:val="00F7720D"/>
    <w:rsid w:val="00F77480"/>
    <w:rsid w:val="00F80530"/>
    <w:rsid w:val="00F81783"/>
    <w:rsid w:val="00F83020"/>
    <w:rsid w:val="00F83E08"/>
    <w:rsid w:val="00F86DA9"/>
    <w:rsid w:val="00F873D1"/>
    <w:rsid w:val="00F8AFD6"/>
    <w:rsid w:val="00F90A91"/>
    <w:rsid w:val="00F911E5"/>
    <w:rsid w:val="00F91563"/>
    <w:rsid w:val="00F91AB0"/>
    <w:rsid w:val="00F93707"/>
    <w:rsid w:val="00F93E1C"/>
    <w:rsid w:val="00F94E29"/>
    <w:rsid w:val="00F95116"/>
    <w:rsid w:val="00F95183"/>
    <w:rsid w:val="00F95BEF"/>
    <w:rsid w:val="00F97243"/>
    <w:rsid w:val="00FA04A3"/>
    <w:rsid w:val="00FA1D4A"/>
    <w:rsid w:val="00FA2257"/>
    <w:rsid w:val="00FA24BA"/>
    <w:rsid w:val="00FA2E7D"/>
    <w:rsid w:val="00FA3B51"/>
    <w:rsid w:val="00FA516C"/>
    <w:rsid w:val="00FA5AA2"/>
    <w:rsid w:val="00FA5B82"/>
    <w:rsid w:val="00FA5BB8"/>
    <w:rsid w:val="00FA6389"/>
    <w:rsid w:val="00FA6B25"/>
    <w:rsid w:val="00FA6B6F"/>
    <w:rsid w:val="00FA70C1"/>
    <w:rsid w:val="00FA7CA8"/>
    <w:rsid w:val="00FA7E66"/>
    <w:rsid w:val="00FB0D20"/>
    <w:rsid w:val="00FB1B88"/>
    <w:rsid w:val="00FB222D"/>
    <w:rsid w:val="00FB245A"/>
    <w:rsid w:val="00FB28E0"/>
    <w:rsid w:val="00FB3AC6"/>
    <w:rsid w:val="00FB47F6"/>
    <w:rsid w:val="00FB4961"/>
    <w:rsid w:val="00FB6971"/>
    <w:rsid w:val="00FB6FE1"/>
    <w:rsid w:val="00FB6FF1"/>
    <w:rsid w:val="00FC01C3"/>
    <w:rsid w:val="00FC040B"/>
    <w:rsid w:val="00FC0726"/>
    <w:rsid w:val="00FC31F7"/>
    <w:rsid w:val="00FC475F"/>
    <w:rsid w:val="00FC4DB2"/>
    <w:rsid w:val="00FC604D"/>
    <w:rsid w:val="00FC6251"/>
    <w:rsid w:val="00FC7109"/>
    <w:rsid w:val="00FC774B"/>
    <w:rsid w:val="00FD30CA"/>
    <w:rsid w:val="00FD3997"/>
    <w:rsid w:val="00FD41AD"/>
    <w:rsid w:val="00FD478A"/>
    <w:rsid w:val="00FD4EC0"/>
    <w:rsid w:val="00FD6D7D"/>
    <w:rsid w:val="00FD7357"/>
    <w:rsid w:val="00FD7AA7"/>
    <w:rsid w:val="00FE0093"/>
    <w:rsid w:val="00FE05B8"/>
    <w:rsid w:val="00FE082E"/>
    <w:rsid w:val="00FE0AE0"/>
    <w:rsid w:val="00FE1A3B"/>
    <w:rsid w:val="00FE3EA0"/>
    <w:rsid w:val="00FE4E0B"/>
    <w:rsid w:val="00FF03FE"/>
    <w:rsid w:val="00FF1414"/>
    <w:rsid w:val="00FF15AB"/>
    <w:rsid w:val="00FF1747"/>
    <w:rsid w:val="00FF17C4"/>
    <w:rsid w:val="00FF1DE7"/>
    <w:rsid w:val="00FF2B14"/>
    <w:rsid w:val="00FF3A3E"/>
    <w:rsid w:val="00FF3C50"/>
    <w:rsid w:val="00FF5673"/>
    <w:rsid w:val="00FF70D0"/>
    <w:rsid w:val="00FF7D6D"/>
    <w:rsid w:val="00FF7FCA"/>
    <w:rsid w:val="0113233A"/>
    <w:rsid w:val="012F46DF"/>
    <w:rsid w:val="01D561FE"/>
    <w:rsid w:val="01F789BE"/>
    <w:rsid w:val="027BF694"/>
    <w:rsid w:val="0280FA9D"/>
    <w:rsid w:val="02B66D8C"/>
    <w:rsid w:val="02B8DA63"/>
    <w:rsid w:val="02EDD7F5"/>
    <w:rsid w:val="030440C5"/>
    <w:rsid w:val="0328DDB4"/>
    <w:rsid w:val="03872AD7"/>
    <w:rsid w:val="046BC95D"/>
    <w:rsid w:val="0498890E"/>
    <w:rsid w:val="04C9445C"/>
    <w:rsid w:val="04CBEC1E"/>
    <w:rsid w:val="06070B42"/>
    <w:rsid w:val="064AA1CE"/>
    <w:rsid w:val="06703247"/>
    <w:rsid w:val="071933D9"/>
    <w:rsid w:val="071F9E2A"/>
    <w:rsid w:val="0725E5A1"/>
    <w:rsid w:val="07CC68DA"/>
    <w:rsid w:val="080A3A83"/>
    <w:rsid w:val="08440B02"/>
    <w:rsid w:val="085763FB"/>
    <w:rsid w:val="085DC3E4"/>
    <w:rsid w:val="08816684"/>
    <w:rsid w:val="08A809CE"/>
    <w:rsid w:val="08D623DA"/>
    <w:rsid w:val="08D67AB9"/>
    <w:rsid w:val="098F4FD2"/>
    <w:rsid w:val="0A4A8B32"/>
    <w:rsid w:val="0A7D47D4"/>
    <w:rsid w:val="0A9D7066"/>
    <w:rsid w:val="0A9E6BF0"/>
    <w:rsid w:val="0ADEBE27"/>
    <w:rsid w:val="0B0666C5"/>
    <w:rsid w:val="0B58CC5C"/>
    <w:rsid w:val="0C01BB18"/>
    <w:rsid w:val="0C93270D"/>
    <w:rsid w:val="0CC4BDE8"/>
    <w:rsid w:val="0DEAB63B"/>
    <w:rsid w:val="0DF51F25"/>
    <w:rsid w:val="0DFD7BAD"/>
    <w:rsid w:val="0E0E709D"/>
    <w:rsid w:val="0E50E558"/>
    <w:rsid w:val="0E61C84F"/>
    <w:rsid w:val="0EB65DAB"/>
    <w:rsid w:val="0F453B7A"/>
    <w:rsid w:val="0F921218"/>
    <w:rsid w:val="0F95B97B"/>
    <w:rsid w:val="0F9CF073"/>
    <w:rsid w:val="0FB9E832"/>
    <w:rsid w:val="104D386E"/>
    <w:rsid w:val="1060822A"/>
    <w:rsid w:val="108D9BF0"/>
    <w:rsid w:val="10C02536"/>
    <w:rsid w:val="11EC0C7D"/>
    <w:rsid w:val="1258A13A"/>
    <w:rsid w:val="13000F59"/>
    <w:rsid w:val="13460449"/>
    <w:rsid w:val="13856491"/>
    <w:rsid w:val="13A44661"/>
    <w:rsid w:val="13CEFCDC"/>
    <w:rsid w:val="13E7814B"/>
    <w:rsid w:val="13F2AD24"/>
    <w:rsid w:val="140A162F"/>
    <w:rsid w:val="143F5017"/>
    <w:rsid w:val="155809F2"/>
    <w:rsid w:val="15A88835"/>
    <w:rsid w:val="15BEDAE6"/>
    <w:rsid w:val="163008F5"/>
    <w:rsid w:val="1686C414"/>
    <w:rsid w:val="16874B22"/>
    <w:rsid w:val="168A4181"/>
    <w:rsid w:val="172B2094"/>
    <w:rsid w:val="1756F822"/>
    <w:rsid w:val="1767A640"/>
    <w:rsid w:val="176CDF12"/>
    <w:rsid w:val="18429870"/>
    <w:rsid w:val="1892B1A2"/>
    <w:rsid w:val="18A3D6C4"/>
    <w:rsid w:val="18C0715D"/>
    <w:rsid w:val="190D5F6A"/>
    <w:rsid w:val="191D6840"/>
    <w:rsid w:val="19BFBDD4"/>
    <w:rsid w:val="19D46052"/>
    <w:rsid w:val="19E27F54"/>
    <w:rsid w:val="1A34A62F"/>
    <w:rsid w:val="1AF14841"/>
    <w:rsid w:val="1B4F4437"/>
    <w:rsid w:val="1B881323"/>
    <w:rsid w:val="1C0120A3"/>
    <w:rsid w:val="1C659883"/>
    <w:rsid w:val="1CDAEC04"/>
    <w:rsid w:val="1CDBF921"/>
    <w:rsid w:val="1CEC0D8A"/>
    <w:rsid w:val="1D2794F0"/>
    <w:rsid w:val="1D83F3A7"/>
    <w:rsid w:val="1DEC3666"/>
    <w:rsid w:val="1E1ED9D1"/>
    <w:rsid w:val="1E2365B5"/>
    <w:rsid w:val="1EAD2209"/>
    <w:rsid w:val="1F5AD045"/>
    <w:rsid w:val="1F84D0DD"/>
    <w:rsid w:val="1FA786BF"/>
    <w:rsid w:val="200A27A1"/>
    <w:rsid w:val="20154CE5"/>
    <w:rsid w:val="203F2558"/>
    <w:rsid w:val="20545E98"/>
    <w:rsid w:val="20CD248C"/>
    <w:rsid w:val="20E8CE6C"/>
    <w:rsid w:val="20F1F673"/>
    <w:rsid w:val="21046F35"/>
    <w:rsid w:val="2108F0BE"/>
    <w:rsid w:val="211BA87C"/>
    <w:rsid w:val="211EFD40"/>
    <w:rsid w:val="213DCDBA"/>
    <w:rsid w:val="21958F74"/>
    <w:rsid w:val="21989440"/>
    <w:rsid w:val="21B3A08F"/>
    <w:rsid w:val="21C31BF3"/>
    <w:rsid w:val="21C53131"/>
    <w:rsid w:val="221B985E"/>
    <w:rsid w:val="22231427"/>
    <w:rsid w:val="22439EC7"/>
    <w:rsid w:val="226259A2"/>
    <w:rsid w:val="22AECC4C"/>
    <w:rsid w:val="23813470"/>
    <w:rsid w:val="2411D35A"/>
    <w:rsid w:val="24124CE6"/>
    <w:rsid w:val="2439EC27"/>
    <w:rsid w:val="249022BD"/>
    <w:rsid w:val="24A82E9A"/>
    <w:rsid w:val="24ABA2ED"/>
    <w:rsid w:val="24DC50BC"/>
    <w:rsid w:val="24E2D05F"/>
    <w:rsid w:val="256FCFB1"/>
    <w:rsid w:val="26484D5D"/>
    <w:rsid w:val="26B397DE"/>
    <w:rsid w:val="271EF342"/>
    <w:rsid w:val="2723B6DB"/>
    <w:rsid w:val="27A238D4"/>
    <w:rsid w:val="27B3864C"/>
    <w:rsid w:val="2810AD1C"/>
    <w:rsid w:val="284F3F86"/>
    <w:rsid w:val="28821954"/>
    <w:rsid w:val="29509FA9"/>
    <w:rsid w:val="2972D734"/>
    <w:rsid w:val="29E37DB0"/>
    <w:rsid w:val="2A3432E8"/>
    <w:rsid w:val="2A3DB0C5"/>
    <w:rsid w:val="2A485521"/>
    <w:rsid w:val="2A61DB95"/>
    <w:rsid w:val="2A919469"/>
    <w:rsid w:val="2A9E30D1"/>
    <w:rsid w:val="2B036918"/>
    <w:rsid w:val="2B29AA12"/>
    <w:rsid w:val="2B9796A4"/>
    <w:rsid w:val="2BD97D22"/>
    <w:rsid w:val="2BE72AD0"/>
    <w:rsid w:val="2C8A25B4"/>
    <w:rsid w:val="2CA31DF5"/>
    <w:rsid w:val="2D4460CB"/>
    <w:rsid w:val="2D709C7D"/>
    <w:rsid w:val="2D88A829"/>
    <w:rsid w:val="2DB6E7C6"/>
    <w:rsid w:val="2E1A9662"/>
    <w:rsid w:val="2E5A4D26"/>
    <w:rsid w:val="2F810A3D"/>
    <w:rsid w:val="309EAE3D"/>
    <w:rsid w:val="310922FA"/>
    <w:rsid w:val="310EEA6F"/>
    <w:rsid w:val="31836E41"/>
    <w:rsid w:val="32D3F1AB"/>
    <w:rsid w:val="32EFE785"/>
    <w:rsid w:val="32F1216F"/>
    <w:rsid w:val="33B7910D"/>
    <w:rsid w:val="33CE801A"/>
    <w:rsid w:val="3417480A"/>
    <w:rsid w:val="34ADEEBA"/>
    <w:rsid w:val="34B81936"/>
    <w:rsid w:val="34E6499F"/>
    <w:rsid w:val="34FE70A6"/>
    <w:rsid w:val="3547F4DC"/>
    <w:rsid w:val="35B90396"/>
    <w:rsid w:val="366B109B"/>
    <w:rsid w:val="370600D8"/>
    <w:rsid w:val="37060449"/>
    <w:rsid w:val="373BC6FC"/>
    <w:rsid w:val="375242FC"/>
    <w:rsid w:val="379379AC"/>
    <w:rsid w:val="388A8B5E"/>
    <w:rsid w:val="392BA664"/>
    <w:rsid w:val="39347A8A"/>
    <w:rsid w:val="3954D935"/>
    <w:rsid w:val="3971B2B7"/>
    <w:rsid w:val="398BBAF8"/>
    <w:rsid w:val="39940555"/>
    <w:rsid w:val="399DC5D1"/>
    <w:rsid w:val="39CD01E5"/>
    <w:rsid w:val="39F03100"/>
    <w:rsid w:val="3A35EE86"/>
    <w:rsid w:val="3A42D25E"/>
    <w:rsid w:val="3A46816A"/>
    <w:rsid w:val="3A5D92B0"/>
    <w:rsid w:val="3AC25A92"/>
    <w:rsid w:val="3B058593"/>
    <w:rsid w:val="3B22D3FD"/>
    <w:rsid w:val="3B6C0CA0"/>
    <w:rsid w:val="3B9ECFA8"/>
    <w:rsid w:val="3BB8ADF6"/>
    <w:rsid w:val="3CA51971"/>
    <w:rsid w:val="3CB86B81"/>
    <w:rsid w:val="3CD5C43D"/>
    <w:rsid w:val="3D911071"/>
    <w:rsid w:val="3DE22456"/>
    <w:rsid w:val="3E0E9876"/>
    <w:rsid w:val="3EDFC39A"/>
    <w:rsid w:val="3FA1084A"/>
    <w:rsid w:val="3FA51C5A"/>
    <w:rsid w:val="40954183"/>
    <w:rsid w:val="409E0D21"/>
    <w:rsid w:val="41656D2C"/>
    <w:rsid w:val="417EC826"/>
    <w:rsid w:val="419125CA"/>
    <w:rsid w:val="420597B0"/>
    <w:rsid w:val="426FAA6E"/>
    <w:rsid w:val="42EFDA8F"/>
    <w:rsid w:val="4407EBE4"/>
    <w:rsid w:val="442B4D29"/>
    <w:rsid w:val="454BE7F5"/>
    <w:rsid w:val="45CEDA86"/>
    <w:rsid w:val="46290D9D"/>
    <w:rsid w:val="466A3C5A"/>
    <w:rsid w:val="46BABBFF"/>
    <w:rsid w:val="470E3075"/>
    <w:rsid w:val="4790A71A"/>
    <w:rsid w:val="47C77162"/>
    <w:rsid w:val="47E04A14"/>
    <w:rsid w:val="480BAF80"/>
    <w:rsid w:val="483ED095"/>
    <w:rsid w:val="48559FAC"/>
    <w:rsid w:val="48734C81"/>
    <w:rsid w:val="489AC6AC"/>
    <w:rsid w:val="496F87EB"/>
    <w:rsid w:val="499F1477"/>
    <w:rsid w:val="49A166B8"/>
    <w:rsid w:val="49FA3D4D"/>
    <w:rsid w:val="4A6A7417"/>
    <w:rsid w:val="4AAF1F76"/>
    <w:rsid w:val="4B309288"/>
    <w:rsid w:val="4B39D31C"/>
    <w:rsid w:val="4B517019"/>
    <w:rsid w:val="4B521260"/>
    <w:rsid w:val="4B641BF6"/>
    <w:rsid w:val="4B7209D5"/>
    <w:rsid w:val="4C140861"/>
    <w:rsid w:val="4C1F15CB"/>
    <w:rsid w:val="4CC16AEE"/>
    <w:rsid w:val="4CD7A7E8"/>
    <w:rsid w:val="4D26DE8F"/>
    <w:rsid w:val="4D27B12C"/>
    <w:rsid w:val="4D59F6EA"/>
    <w:rsid w:val="4D820C45"/>
    <w:rsid w:val="4DB21190"/>
    <w:rsid w:val="4DDBCEC1"/>
    <w:rsid w:val="4DFC288C"/>
    <w:rsid w:val="4E4EC56E"/>
    <w:rsid w:val="4EE6139A"/>
    <w:rsid w:val="4EF148D8"/>
    <w:rsid w:val="4F31ECD5"/>
    <w:rsid w:val="4F4DCB69"/>
    <w:rsid w:val="4F7D1967"/>
    <w:rsid w:val="4F7DBB56"/>
    <w:rsid w:val="4F889986"/>
    <w:rsid w:val="5025B986"/>
    <w:rsid w:val="507127D9"/>
    <w:rsid w:val="50EC7C34"/>
    <w:rsid w:val="51D5DEB1"/>
    <w:rsid w:val="51F029E9"/>
    <w:rsid w:val="52E1F7C6"/>
    <w:rsid w:val="5302F973"/>
    <w:rsid w:val="53862E5C"/>
    <w:rsid w:val="53FC4E28"/>
    <w:rsid w:val="54B936EA"/>
    <w:rsid w:val="5502A610"/>
    <w:rsid w:val="55151B35"/>
    <w:rsid w:val="551A04ED"/>
    <w:rsid w:val="551A2E76"/>
    <w:rsid w:val="552A9FD0"/>
    <w:rsid w:val="557BD8BA"/>
    <w:rsid w:val="55C89373"/>
    <w:rsid w:val="5682E257"/>
    <w:rsid w:val="56BD59CC"/>
    <w:rsid w:val="56DA6374"/>
    <w:rsid w:val="575EAD6E"/>
    <w:rsid w:val="5766ACEF"/>
    <w:rsid w:val="5769014F"/>
    <w:rsid w:val="57801E3A"/>
    <w:rsid w:val="57B378F8"/>
    <w:rsid w:val="581273CF"/>
    <w:rsid w:val="58332953"/>
    <w:rsid w:val="5856053C"/>
    <w:rsid w:val="58FF4211"/>
    <w:rsid w:val="59353094"/>
    <w:rsid w:val="5943D366"/>
    <w:rsid w:val="594A9D71"/>
    <w:rsid w:val="5A463C9C"/>
    <w:rsid w:val="5A78A902"/>
    <w:rsid w:val="5AC9F581"/>
    <w:rsid w:val="5C30D460"/>
    <w:rsid w:val="5D021D72"/>
    <w:rsid w:val="5DE1DFF9"/>
    <w:rsid w:val="5DF73ABF"/>
    <w:rsid w:val="5E65ECDA"/>
    <w:rsid w:val="5EC5E497"/>
    <w:rsid w:val="6041C3AE"/>
    <w:rsid w:val="606D1881"/>
    <w:rsid w:val="60A3F9A6"/>
    <w:rsid w:val="60C6548B"/>
    <w:rsid w:val="60F0ED97"/>
    <w:rsid w:val="616DBEE5"/>
    <w:rsid w:val="61D293C7"/>
    <w:rsid w:val="61E43226"/>
    <w:rsid w:val="6249DB4D"/>
    <w:rsid w:val="634B9978"/>
    <w:rsid w:val="6352D8AE"/>
    <w:rsid w:val="63A9DEC2"/>
    <w:rsid w:val="642FCC3F"/>
    <w:rsid w:val="643BAF92"/>
    <w:rsid w:val="64E3D45F"/>
    <w:rsid w:val="64FBC783"/>
    <w:rsid w:val="65302AA1"/>
    <w:rsid w:val="653C93BC"/>
    <w:rsid w:val="6564626B"/>
    <w:rsid w:val="65716D26"/>
    <w:rsid w:val="65D266DF"/>
    <w:rsid w:val="66034E9C"/>
    <w:rsid w:val="66400B4B"/>
    <w:rsid w:val="66617876"/>
    <w:rsid w:val="66A5076C"/>
    <w:rsid w:val="676038B7"/>
    <w:rsid w:val="679AC60B"/>
    <w:rsid w:val="67B0C5D5"/>
    <w:rsid w:val="67B0D34C"/>
    <w:rsid w:val="681EE8A7"/>
    <w:rsid w:val="68AC527B"/>
    <w:rsid w:val="69172370"/>
    <w:rsid w:val="699A56F4"/>
    <w:rsid w:val="6A04800D"/>
    <w:rsid w:val="6A2E0CCE"/>
    <w:rsid w:val="6A648B93"/>
    <w:rsid w:val="6A9874A9"/>
    <w:rsid w:val="6AAE8942"/>
    <w:rsid w:val="6ABA8173"/>
    <w:rsid w:val="6AECF513"/>
    <w:rsid w:val="6B4FD594"/>
    <w:rsid w:val="6BAB8A5D"/>
    <w:rsid w:val="6BE7E19A"/>
    <w:rsid w:val="6BFB7C53"/>
    <w:rsid w:val="6C488973"/>
    <w:rsid w:val="6CCFC1E6"/>
    <w:rsid w:val="6CF9ABD1"/>
    <w:rsid w:val="6D09BB20"/>
    <w:rsid w:val="6D3DE6B8"/>
    <w:rsid w:val="6D820F28"/>
    <w:rsid w:val="6DB06302"/>
    <w:rsid w:val="6DE2CDD1"/>
    <w:rsid w:val="6E2F2B85"/>
    <w:rsid w:val="6E3063A5"/>
    <w:rsid w:val="6E3D7B29"/>
    <w:rsid w:val="6ECFBB9D"/>
    <w:rsid w:val="6F1E014D"/>
    <w:rsid w:val="6F3E45A4"/>
    <w:rsid w:val="6F6E90C3"/>
    <w:rsid w:val="6FAEB6A6"/>
    <w:rsid w:val="6FF68978"/>
    <w:rsid w:val="6FFDE3C1"/>
    <w:rsid w:val="704B5FC2"/>
    <w:rsid w:val="7077583C"/>
    <w:rsid w:val="7094A1C7"/>
    <w:rsid w:val="70E87332"/>
    <w:rsid w:val="71340ED6"/>
    <w:rsid w:val="71BC2C74"/>
    <w:rsid w:val="733796E7"/>
    <w:rsid w:val="7380B37C"/>
    <w:rsid w:val="73B9C1FA"/>
    <w:rsid w:val="73BABF08"/>
    <w:rsid w:val="741A73C9"/>
    <w:rsid w:val="74983DEE"/>
    <w:rsid w:val="74A9EA67"/>
    <w:rsid w:val="751CE900"/>
    <w:rsid w:val="7534888F"/>
    <w:rsid w:val="7557A9D0"/>
    <w:rsid w:val="75C981DE"/>
    <w:rsid w:val="761744DB"/>
    <w:rsid w:val="7627FC4F"/>
    <w:rsid w:val="762988F7"/>
    <w:rsid w:val="76A98695"/>
    <w:rsid w:val="76B0C278"/>
    <w:rsid w:val="76B75E75"/>
    <w:rsid w:val="76CC2835"/>
    <w:rsid w:val="76CE0EC0"/>
    <w:rsid w:val="76CECE4D"/>
    <w:rsid w:val="77032ADE"/>
    <w:rsid w:val="77158CB6"/>
    <w:rsid w:val="77BCE673"/>
    <w:rsid w:val="77DBC8E6"/>
    <w:rsid w:val="787C1DD3"/>
    <w:rsid w:val="787F00DB"/>
    <w:rsid w:val="788970AF"/>
    <w:rsid w:val="790FB9EF"/>
    <w:rsid w:val="7949BD19"/>
    <w:rsid w:val="7CABFDFE"/>
    <w:rsid w:val="7CFFBE60"/>
    <w:rsid w:val="7D066E87"/>
    <w:rsid w:val="7D0E5A06"/>
    <w:rsid w:val="7D7F921D"/>
    <w:rsid w:val="7D9ADC55"/>
    <w:rsid w:val="7DA704A9"/>
    <w:rsid w:val="7DBF4AC5"/>
    <w:rsid w:val="7DF82F28"/>
    <w:rsid w:val="7E7FB46C"/>
    <w:rsid w:val="7E82641D"/>
    <w:rsid w:val="7F085F7F"/>
    <w:rsid w:val="7F477BF9"/>
    <w:rsid w:val="7F70FC09"/>
    <w:rsid w:val="7F76BB4A"/>
    <w:rsid w:val="7FE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064F"/>
  <w15:chartTrackingRefBased/>
  <w15:docId w15:val="{84B17620-537B-461E-9E94-FF1C3B72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82F9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2F9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093"/>
    <w:pPr>
      <w:keepNext/>
      <w:keepLines/>
      <w:spacing w:before="160" w:after="80"/>
      <w:outlineLvl w:val="2"/>
    </w:pPr>
    <w:rPr>
      <w:rFonts w:eastAsiaTheme="majorEastAsia" w:cstheme="majorBidi"/>
      <w:color w:val="A82F9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2F9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093"/>
    <w:pPr>
      <w:keepNext/>
      <w:keepLines/>
      <w:spacing w:before="80" w:after="40"/>
      <w:outlineLvl w:val="4"/>
    </w:pPr>
    <w:rPr>
      <w:rFonts w:eastAsiaTheme="majorEastAsia" w:cstheme="majorBidi"/>
      <w:color w:val="A82F9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093"/>
    <w:rPr>
      <w:rFonts w:asciiTheme="majorHAnsi" w:eastAsiaTheme="majorEastAsia" w:hAnsiTheme="majorHAnsi" w:cstheme="majorBidi"/>
      <w:color w:val="A82F9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093"/>
    <w:rPr>
      <w:rFonts w:asciiTheme="majorHAnsi" w:eastAsiaTheme="majorEastAsia" w:hAnsiTheme="majorHAnsi" w:cstheme="majorBidi"/>
      <w:color w:val="A82F9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0093"/>
    <w:rPr>
      <w:rFonts w:eastAsiaTheme="majorEastAsia" w:cstheme="majorBidi"/>
      <w:color w:val="A82F9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093"/>
    <w:rPr>
      <w:rFonts w:eastAsiaTheme="majorEastAsia" w:cstheme="majorBidi"/>
      <w:i/>
      <w:iCs/>
      <w:color w:val="A82F9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093"/>
    <w:rPr>
      <w:rFonts w:eastAsiaTheme="majorEastAsia" w:cstheme="majorBidi"/>
      <w:color w:val="A82F9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093"/>
    <w:rPr>
      <w:i/>
      <w:iCs/>
      <w:color w:val="A82F9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093"/>
    <w:pPr>
      <w:pBdr>
        <w:top w:val="single" w:sz="4" w:space="10" w:color="A82F9C" w:themeColor="accent1" w:themeShade="BF"/>
        <w:bottom w:val="single" w:sz="4" w:space="10" w:color="A82F9C" w:themeColor="accent1" w:themeShade="BF"/>
      </w:pBdr>
      <w:spacing w:before="360" w:after="360"/>
      <w:ind w:left="864" w:right="864"/>
      <w:jc w:val="center"/>
    </w:pPr>
    <w:rPr>
      <w:i/>
      <w:iCs/>
      <w:color w:val="A82F9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093"/>
    <w:rPr>
      <w:i/>
      <w:iCs/>
      <w:color w:val="A82F9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093"/>
    <w:rPr>
      <w:b/>
      <w:bCs/>
      <w:smallCaps/>
      <w:color w:val="A82F9C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0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1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05"/>
  </w:style>
  <w:style w:type="paragraph" w:styleId="Footer">
    <w:name w:val="footer"/>
    <w:basedOn w:val="Normal"/>
    <w:link w:val="FooterChar"/>
    <w:uiPriority w:val="99"/>
    <w:unhideWhenUsed/>
    <w:rsid w:val="009A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05"/>
  </w:style>
  <w:style w:type="paragraph" w:styleId="Revision">
    <w:name w:val="Revision"/>
    <w:hidden/>
    <w:uiPriority w:val="99"/>
    <w:semiHidden/>
    <w:rsid w:val="00CF73A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F7084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1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5E18"/>
    <w:pPr>
      <w:spacing w:after="200" w:line="240" w:lineRule="auto"/>
    </w:pPr>
    <w:rPr>
      <w:rFonts w:ascii="Calibri" w:eastAsia="Times New Roman" w:hAnsi="Calibri" w:cs="Times New Roman"/>
      <w:i/>
      <w:iCs/>
      <w:color w:val="0E2841" w:themeColor="text2"/>
      <w:kern w:val="0"/>
      <w:sz w:val="18"/>
      <w:szCs w:val="18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F03F18"/>
    <w:pPr>
      <w:spacing w:after="0" w:line="240" w:lineRule="auto"/>
    </w:pPr>
    <w:tblPr>
      <w:tblStyleRowBandSize w:val="1"/>
      <w:tblStyleColBandSize w:val="1"/>
      <w:tblBorders>
        <w:top w:val="single" w:sz="4" w:space="0" w:color="E197DA" w:themeColor="accent1" w:themeTint="99"/>
        <w:left w:val="single" w:sz="4" w:space="0" w:color="E197DA" w:themeColor="accent1" w:themeTint="99"/>
        <w:bottom w:val="single" w:sz="4" w:space="0" w:color="E197DA" w:themeColor="accent1" w:themeTint="99"/>
        <w:right w:val="single" w:sz="4" w:space="0" w:color="E197DA" w:themeColor="accent1" w:themeTint="99"/>
        <w:insideH w:val="single" w:sz="4" w:space="0" w:color="E197DA" w:themeColor="accent1" w:themeTint="99"/>
        <w:insideV w:val="single" w:sz="4" w:space="0" w:color="E197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52C2" w:themeColor="accent1"/>
          <w:left w:val="single" w:sz="4" w:space="0" w:color="CE52C2" w:themeColor="accent1"/>
          <w:bottom w:val="single" w:sz="4" w:space="0" w:color="CE52C2" w:themeColor="accent1"/>
          <w:right w:val="single" w:sz="4" w:space="0" w:color="CE52C2" w:themeColor="accent1"/>
          <w:insideH w:val="nil"/>
          <w:insideV w:val="nil"/>
        </w:tcBorders>
        <w:shd w:val="clear" w:color="auto" w:fill="CE52C2" w:themeFill="accent1"/>
      </w:tcPr>
    </w:tblStylePr>
    <w:tblStylePr w:type="lastRow">
      <w:rPr>
        <w:b/>
        <w:bCs/>
      </w:rPr>
      <w:tblPr/>
      <w:tcPr>
        <w:tcBorders>
          <w:top w:val="double" w:sz="4" w:space="0" w:color="CE52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F2" w:themeFill="accent1" w:themeFillTint="33"/>
      </w:tcPr>
    </w:tblStylePr>
    <w:tblStylePr w:type="band1Horz">
      <w:tblPr/>
      <w:tcPr>
        <w:shd w:val="clear" w:color="auto" w:fill="F5DCF2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22911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1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1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.gov.au/about-arc/governance/arc-college-experts" TargetMode="External"/><Relationship Id="rId18" Type="http://schemas.openxmlformats.org/officeDocument/2006/relationships/chart" Target="charts/chart4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ducation.gov.au/higher-education-reviews-and-consultations/review-australian-research-council-act-2001" TargetMode="External"/><Relationship Id="rId17" Type="http://schemas.openxmlformats.org/officeDocument/2006/relationships/chart" Target="charts/chart3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.gov.au/funding-research/arc-funding-schemes/discovery/discovery-project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.au/sites/default/files/2026-02/dpei27-expression-of-interest-explainer-and-faq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c.gov.au/dp25-selection-report-funding-commencing-202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.sharepoint.com/sites/DataAnalyticsandModelling/Shared%20Documents/Projects%20and%20Work%20Packages/Work%20Packages/Work%20Package%2027%20-%20DP%20Two%20Stage%20Process%20Analysis/Further%20analysis%20DP%20two%20stage%20-%20Fe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-my.sharepoint.com/personal/rohan_yargop_arc_gov_au/Documents/Board%20Stuff/Copy%20of%20GenderStats0405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-my.sharepoint.com/personal/rohan_yargop_arc_gov_au/Documents/Board%20Stuff/Copy%20of%20GenderStats0405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.sharepoint.com/sites/DataAnalyticsandModelling/Shared%20Documents/Projects%20and%20Work%20Packages/Work%20Packages/Work%20Package%2027%20-%20DP%20Two%20Stage%20Process%20Analysis/Further%20analysis%20DP%20two%20stage%20-%20Fe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.sharepoint.com/sites/DataAnalyticsandModelling/Shared%20Documents/Projects%20and%20Work%20Packages/Work%20Packages/Work%20Package%2027%20-%20DP%20Two%20Stage%20Process%20Analysis/Further%20analysis%20DP%20two%20stage%20-%20Fe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australianresearchcouncil.sharepoint.com/sites/DataAnalyticsandModelling/Shared%20Documents/Projects%20and%20Work%20Packages/Work%20Packages/Work%20Package%2027%20-%20DP%20Two%20Stage%20Process%20Analysis/Further%20analysis%20DP%20two%20stage%20-%20Fe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solidFill>
                  <a:sysClr val="windowText" lastClr="000000"/>
                </a:solidFill>
                <a:effectLst/>
              </a:rPr>
              <a:t>Application volume and overall success rate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741828158991459E-2"/>
          <c:y val="0.10783013796810609"/>
          <c:w val="0.83736859774898864"/>
          <c:h val="0.70226344444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[Charts.xlsx]Sheet4!$B$8</c:f>
              <c:strCache>
                <c:ptCount val="1"/>
                <c:pt idx="0">
                  <c:v>Total Applications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[Charts.xlsx]Sheet4!$A$9:$A$12</c:f>
              <c:strCache>
                <c:ptCount val="4"/>
                <c:pt idx="0">
                  <c:v>2024 (pre-EOI)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</c:strCache>
            </c:strRef>
          </c:cat>
          <c:val>
            <c:numRef>
              <c:f>[Charts.xlsx]Sheet4!$B$9:$B$12</c:f>
              <c:numCache>
                <c:formatCode>#,##0</c:formatCode>
                <c:ptCount val="4"/>
                <c:pt idx="0">
                  <c:v>2590</c:v>
                </c:pt>
                <c:pt idx="1">
                  <c:v>4147</c:v>
                </c:pt>
                <c:pt idx="2">
                  <c:v>4063</c:v>
                </c:pt>
                <c:pt idx="3">
                  <c:v>4679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16-4F34-A293-2E437B6A1C41}"/>
            </c:ext>
          </c:extLst>
        </c:ser>
        <c:ser>
          <c:idx val="1"/>
          <c:order val="1"/>
          <c:tx>
            <c:strRef>
              <c:f>[Charts.xlsx]Sheet4!$C$8</c:f>
              <c:strCache>
                <c:ptCount val="1"/>
                <c:pt idx="0">
                  <c:v>EOI Stage - Shortlisted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A16-4F34-A293-2E437B6A1C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[Charts.xlsx]Sheet4!$A$9:$A$12</c:f>
              <c:strCache>
                <c:ptCount val="4"/>
                <c:pt idx="0">
                  <c:v>2024 (pre-EOI)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</c:strCache>
            </c:strRef>
          </c:cat>
          <c:val>
            <c:numRef>
              <c:f>[Charts.xlsx]Sheet4!$C$9:$C$12</c:f>
              <c:numCache>
                <c:formatCode>#,##0</c:formatCode>
                <c:ptCount val="4"/>
                <c:pt idx="0" formatCode="General">
                  <c:v>0</c:v>
                </c:pt>
                <c:pt idx="1">
                  <c:v>1141</c:v>
                </c:pt>
                <c:pt idx="2">
                  <c:v>1127</c:v>
                </c:pt>
                <c:pt idx="3">
                  <c:v>1733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16-4F34-A293-2E437B6A1C41}"/>
            </c:ext>
          </c:extLst>
        </c:ser>
        <c:ser>
          <c:idx val="2"/>
          <c:order val="2"/>
          <c:tx>
            <c:strRef>
              <c:f>[Charts.xlsx]Sheet4!$D$8</c:f>
              <c:strCache>
                <c:ptCount val="1"/>
                <c:pt idx="0">
                  <c:v>Full Application - Funded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16-4F34-A293-2E437B6A1C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[Charts.xlsx]Sheet4!$A$9:$A$12</c:f>
              <c:strCache>
                <c:ptCount val="4"/>
                <c:pt idx="0">
                  <c:v>2024 (pre-EOI)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</c:strCache>
            </c:strRef>
          </c:cat>
          <c:val>
            <c:numRef>
              <c:f>[Charts.xlsx]Sheet4!$D$9:$D$12</c:f>
              <c:numCache>
                <c:formatCode>General</c:formatCode>
                <c:ptCount val="4"/>
                <c:pt idx="0">
                  <c:v>421</c:v>
                </c:pt>
                <c:pt idx="1">
                  <c:v>536</c:v>
                </c:pt>
                <c:pt idx="2">
                  <c:v>538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16-4F34-A293-2E437B6A1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23856288"/>
        <c:axId val="923852928"/>
      </c:barChart>
      <c:lineChart>
        <c:grouping val="standard"/>
        <c:varyColors val="0"/>
        <c:ser>
          <c:idx val="3"/>
          <c:order val="3"/>
          <c:tx>
            <c:strRef>
              <c:f>[Charts.xlsx]Sheet4!$E$8</c:f>
              <c:strCache>
                <c:ptCount val="1"/>
                <c:pt idx="0">
                  <c:v>Overall Success Rate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2.184001996212138E-3"/>
                  <c:y val="-4.2384111854007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16-4F34-A293-2E437B6A1C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[Charts.xlsx]Sheet4!$A$9:$A$12</c:f>
              <c:strCache>
                <c:ptCount val="4"/>
                <c:pt idx="0">
                  <c:v>2024 (pre-EOI)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</c:strCache>
            </c:strRef>
          </c:cat>
          <c:val>
            <c:numRef>
              <c:f>[Charts.xlsx]Sheet4!$E$9:$E$11</c:f>
              <c:numCache>
                <c:formatCode>0.00%</c:formatCode>
                <c:ptCount val="3"/>
                <c:pt idx="0">
                  <c:v>0.16300000000000001</c:v>
                </c:pt>
                <c:pt idx="1">
                  <c:v>0.129</c:v>
                </c:pt>
                <c:pt idx="2">
                  <c:v>0.13300000000000001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A16-4F34-A293-2E437B6A1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8223"/>
        <c:axId val="3004543"/>
      </c:lineChart>
      <c:catAx>
        <c:axId val="92385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3852928"/>
        <c:crosses val="autoZero"/>
        <c:auto val="1"/>
        <c:lblAlgn val="ctr"/>
        <c:lblOffset val="100"/>
        <c:noMultiLvlLbl val="0"/>
      </c:catAx>
      <c:valAx>
        <c:axId val="9238529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3856288"/>
        <c:crosses val="autoZero"/>
        <c:crossBetween val="between"/>
      </c:valAx>
      <c:valAx>
        <c:axId val="3004543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8223"/>
        <c:crosses val="max"/>
        <c:crossBetween val="between"/>
      </c:valAx>
      <c:catAx>
        <c:axId val="29882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0454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Relative numbers of submissions and success by Lead CI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Total applications 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9.433962264150943E-3"/>
                  <c:y val="-7.05760133738112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4B-42A2-B6EB-2B5C952611A0}"/>
                </c:ext>
              </c:extLst>
            </c:dLbl>
            <c:dLbl>
              <c:idx val="4"/>
              <c:layout>
                <c:manualLayout>
                  <c:x val="-2.3584905660378225E-3"/>
                  <c:y val="-6.64244831753518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4B-42A2-B6EB-2B5C952611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Sheet3!$B$2:$B$7</c:f>
              <c:numCache>
                <c:formatCode>#,##0</c:formatCode>
                <c:ptCount val="6"/>
                <c:pt idx="0" formatCode="General">
                  <c:v>750</c:v>
                </c:pt>
                <c:pt idx="1">
                  <c:v>1298</c:v>
                </c:pt>
                <c:pt idx="2" formatCode="General">
                  <c:v>368</c:v>
                </c:pt>
                <c:pt idx="3">
                  <c:v>1243</c:v>
                </c:pt>
                <c:pt idx="4" formatCode="General">
                  <c:v>342</c:v>
                </c:pt>
                <c:pt idx="5">
                  <c:v>1532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4B-42A2-B6EB-2B5C952611A0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Successful applications by 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Sheet3!$C$2:$C$7</c:f>
              <c:numCache>
                <c:formatCode>#,##0</c:formatCode>
                <c:ptCount val="6"/>
                <c:pt idx="0" formatCode="General">
                  <c:v>123</c:v>
                </c:pt>
                <c:pt idx="1">
                  <c:v>368</c:v>
                </c:pt>
                <c:pt idx="2" formatCode="General">
                  <c:v>175</c:v>
                </c:pt>
                <c:pt idx="3">
                  <c:v>342</c:v>
                </c:pt>
                <c:pt idx="4" formatCode="General">
                  <c:v>170</c:v>
                </c:pt>
                <c:pt idx="5">
                  <c:v>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4B-42A2-B6EB-2B5C952611A0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Total applications 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Sheet3!$D$2:$D$7</c:f>
              <c:numCache>
                <c:formatCode>#,##0</c:formatCode>
                <c:ptCount val="6"/>
                <c:pt idx="0">
                  <c:v>1830</c:v>
                </c:pt>
                <c:pt idx="1">
                  <c:v>2832</c:v>
                </c:pt>
                <c:pt idx="2" formatCode="General">
                  <c:v>766</c:v>
                </c:pt>
                <c:pt idx="3">
                  <c:v>2785</c:v>
                </c:pt>
                <c:pt idx="4" formatCode="General">
                  <c:v>778</c:v>
                </c:pt>
                <c:pt idx="5">
                  <c:v>3090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4B-42A2-B6EB-2B5C952611A0}"/>
            </c:ext>
          </c:extLst>
        </c:ser>
        <c:ser>
          <c:idx val="3"/>
          <c:order val="3"/>
          <c:tx>
            <c:strRef>
              <c:f>Sheet3!$E$1</c:f>
              <c:strCache>
                <c:ptCount val="1"/>
                <c:pt idx="0">
                  <c:v>Successful applications by 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4150943396226393E-2"/>
                  <c:y val="-4.15153019845956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4B-42A2-B6EB-2B5C952611A0}"/>
                </c:ext>
              </c:extLst>
            </c:dLbl>
            <c:dLbl>
              <c:idx val="2"/>
              <c:layout>
                <c:manualLayout>
                  <c:x val="1.4150943396226329E-2"/>
                  <c:y val="-1.245459059537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4B-42A2-B6EB-2B5C952611A0}"/>
                </c:ext>
              </c:extLst>
            </c:dLbl>
            <c:dLbl>
              <c:idx val="4"/>
              <c:layout>
                <c:manualLayout>
                  <c:x val="1.4150943396226415E-2"/>
                  <c:y val="-8.30306039691897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4B-42A2-B6EB-2B5C952611A0}"/>
                </c:ext>
              </c:extLst>
            </c:dLbl>
            <c:dLbl>
              <c:idx val="5"/>
              <c:layout>
                <c:manualLayout>
                  <c:x val="1.886792452830171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4B-42A2-B6EB-2B5C952611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Sheet3!$E$2:$E$7</c:f>
              <c:numCache>
                <c:formatCode>#,##0</c:formatCode>
                <c:ptCount val="6"/>
                <c:pt idx="0">
                  <c:v>296</c:v>
                </c:pt>
                <c:pt idx="1">
                  <c:v>766</c:v>
                </c:pt>
                <c:pt idx="2" formatCode="General">
                  <c:v>359</c:v>
                </c:pt>
                <c:pt idx="3">
                  <c:v>778</c:v>
                </c:pt>
                <c:pt idx="4" formatCode="General">
                  <c:v>365</c:v>
                </c:pt>
                <c:pt idx="5">
                  <c:v>1151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54B-42A2-B6EB-2B5C952611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4229232"/>
        <c:axId val="484223472"/>
      </c:barChart>
      <c:catAx>
        <c:axId val="48422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223472"/>
        <c:crosses val="autoZero"/>
        <c:auto val="1"/>
        <c:lblAlgn val="ctr"/>
        <c:lblOffset val="100"/>
        <c:noMultiLvlLbl val="0"/>
      </c:catAx>
      <c:valAx>
        <c:axId val="48422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22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 b="1">
                <a:solidFill>
                  <a:sysClr val="windowText" lastClr="000000"/>
                </a:solidFill>
              </a:rPr>
              <a:t>Relative percentage of submissions and success by Lead CI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Percentage of applications by female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8502252196449009E-2"/>
                  <c:y val="3.9470591638818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D5-4584-A9F9-948E9C871ABE}"/>
                </c:ext>
              </c:extLst>
            </c:dLbl>
            <c:dLbl>
              <c:idx val="2"/>
              <c:layout>
                <c:manualLayout>
                  <c:x val="-0.10122723646328349"/>
                  <c:y val="-8.5075314314966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D5-4584-A9F9-948E9C871ABE}"/>
                </c:ext>
              </c:extLst>
            </c:dLbl>
            <c:dLbl>
              <c:idx val="4"/>
              <c:layout>
                <c:manualLayout>
                  <c:x val="-8.4285763838991584E-2"/>
                  <c:y val="-6.01661331242095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D5-4584-A9F9-948E9C871ABE}"/>
                </c:ext>
              </c:extLst>
            </c:dLbl>
            <c:dLbl>
              <c:idx val="5"/>
              <c:layout>
                <c:manualLayout>
                  <c:x val="-9.1158010535026729E-2"/>
                  <c:y val="-8.9226844513425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D5-4584-A9F9-948E9C871A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Sheet4!$B$2:$B$7</c:f>
              <c:numCache>
                <c:formatCode>0.00%</c:formatCode>
                <c:ptCount val="6"/>
                <c:pt idx="0">
                  <c:v>0.28957528957528955</c:v>
                </c:pt>
                <c:pt idx="1">
                  <c:v>0.3129973474801061</c:v>
                </c:pt>
                <c:pt idx="2">
                  <c:v>0.32252410166520595</c:v>
                </c:pt>
                <c:pt idx="3" formatCode="0%">
                  <c:v>0.30593157765198131</c:v>
                </c:pt>
                <c:pt idx="4" formatCode="0%">
                  <c:v>0.30346051464063889</c:v>
                </c:pt>
                <c:pt idx="5">
                  <c:v>0.32742038897200254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D5-4584-A9F9-948E9C871ABE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Successful applications by female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5708042001357762E-2"/>
                  <c:y val="-9.7529904910344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D5-4584-A9F9-948E9C871ABE}"/>
                </c:ext>
              </c:extLst>
            </c:dLbl>
            <c:dLbl>
              <c:idx val="3"/>
              <c:layout>
                <c:manualLayout>
                  <c:x val="-3.8269401346858072E-2"/>
                  <c:y val="-3.9408482131912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D5-4584-A9F9-948E9C871A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Sheet4!$C$2:$C$7</c:f>
              <c:numCache>
                <c:formatCode>0.00%</c:formatCode>
                <c:ptCount val="6"/>
                <c:pt idx="0">
                  <c:v>0.29216152019002373</c:v>
                </c:pt>
                <c:pt idx="1">
                  <c:v>8.8738847359537021E-2</c:v>
                </c:pt>
                <c:pt idx="2">
                  <c:v>0.15337423312883436</c:v>
                </c:pt>
                <c:pt idx="3" formatCode="0%">
                  <c:v>8.4174255476249071E-2</c:v>
                </c:pt>
                <c:pt idx="4" formatCode="0%">
                  <c:v>0.15084294587400177</c:v>
                </c:pt>
                <c:pt idx="5">
                  <c:v>0.11946997221628552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1D5-4584-A9F9-948E9C871ABE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Percentage of applications by male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67531701709092E-2"/>
                  <c:y val="3.5319061440358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1D5-4584-A9F9-948E9C871A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Sheet4!$D$2:$D$7</c:f>
              <c:numCache>
                <c:formatCode>0.00%</c:formatCode>
                <c:ptCount val="6"/>
                <c:pt idx="0">
                  <c:v>0.70656370656370659</c:v>
                </c:pt>
                <c:pt idx="1">
                  <c:v>0.68290330359295881</c:v>
                </c:pt>
                <c:pt idx="2">
                  <c:v>0.67134092900964071</c:v>
                </c:pt>
                <c:pt idx="3" formatCode="0%">
                  <c:v>0.68545409795717449</c:v>
                </c:pt>
                <c:pt idx="4" formatCode="0%">
                  <c:v>0.69032830523513755</c:v>
                </c:pt>
                <c:pt idx="5">
                  <c:v>0.6603975208377858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1D5-4584-A9F9-948E9C871ABE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Successful applications by male (%)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8709929981219302E-2"/>
                  <c:y val="-9.7529904910344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D5-4584-A9F9-948E9C871ABE}"/>
                </c:ext>
              </c:extLst>
            </c:dLbl>
            <c:dLbl>
              <c:idx val="2"/>
              <c:layout>
                <c:manualLayout>
                  <c:x val="1.4568861711669301E-2"/>
                  <c:y val="-0.101681435108804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D5-4584-A9F9-948E9C871ABE}"/>
                </c:ext>
              </c:extLst>
            </c:dLbl>
            <c:dLbl>
              <c:idx val="3"/>
              <c:layout>
                <c:manualLayout>
                  <c:x val="-3.1422327715643475E-2"/>
                  <c:y val="-4.3560012330371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1D5-4584-A9F9-948E9C871ABE}"/>
                </c:ext>
              </c:extLst>
            </c:dLbl>
            <c:dLbl>
              <c:idx val="4"/>
              <c:layout>
                <c:manualLayout>
                  <c:x val="-3.3939634197707666E-2"/>
                  <c:y val="-0.109984495505723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D5-4584-A9F9-948E9C871ABE}"/>
                </c:ext>
              </c:extLst>
            </c:dLbl>
            <c:dLbl>
              <c:idx val="5"/>
              <c:layout>
                <c:manualLayout>
                  <c:x val="-5.3497718071584665E-4"/>
                  <c:y val="-2.6953891536533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D5-4584-A9F9-948E9C871A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Sheet4!$A$2:$A$7</c:f>
              <c:strCache>
                <c:ptCount val="6"/>
                <c:pt idx="0">
                  <c:v>2024 (All — Funded) apps</c:v>
                </c:pt>
                <c:pt idx="1">
                  <c:v>2025 EOI Stage</c:v>
                </c:pt>
                <c:pt idx="2">
                  <c:v>2025 Full app </c:v>
                </c:pt>
                <c:pt idx="3">
                  <c:v>2026 EOI Stage</c:v>
                </c:pt>
                <c:pt idx="4">
                  <c:v>2026 Full app</c:v>
                </c:pt>
                <c:pt idx="5">
                  <c:v>2027 EOI Stage</c:v>
                </c:pt>
              </c:strCache>
            </c:strRef>
          </c:cat>
          <c:val>
            <c:numRef>
              <c:f>Sheet4!$E$2:$E$7</c:f>
              <c:numCache>
                <c:formatCode>0.00%</c:formatCode>
                <c:ptCount val="6"/>
                <c:pt idx="0">
                  <c:v>0.70308788598574823</c:v>
                </c:pt>
                <c:pt idx="1">
                  <c:v>0.18471183988425369</c:v>
                </c:pt>
                <c:pt idx="2">
                  <c:v>0.31463628396143734</c:v>
                </c:pt>
                <c:pt idx="3" formatCode="0%">
                  <c:v>0.19148412503076545</c:v>
                </c:pt>
                <c:pt idx="4" formatCode="0%">
                  <c:v>0.32386867790594498</c:v>
                </c:pt>
                <c:pt idx="5">
                  <c:v>0.24599273349006198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C1D5-4584-A9F9-948E9C871AB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14045392"/>
        <c:axId val="314042032"/>
      </c:lineChart>
      <c:catAx>
        <c:axId val="31404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4042032"/>
        <c:crosses val="autoZero"/>
        <c:auto val="1"/>
        <c:lblAlgn val="ctr"/>
        <c:lblOffset val="100"/>
        <c:noMultiLvlLbl val="0"/>
      </c:catAx>
      <c:valAx>
        <c:axId val="3140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404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 b="1">
                <a:solidFill>
                  <a:sysClr val="windowText" lastClr="000000"/>
                </a:solidFill>
              </a:rPr>
              <a:t>Applications and</a:t>
            </a:r>
            <a:r>
              <a:rPr lang="en-AU" b="1" baseline="0">
                <a:solidFill>
                  <a:sysClr val="windowText" lastClr="000000"/>
                </a:solidFill>
              </a:rPr>
              <a:t> o</a:t>
            </a:r>
            <a:r>
              <a:rPr lang="en-AU" b="1">
                <a:solidFill>
                  <a:sysClr val="windowText" lastClr="000000"/>
                </a:solidFill>
              </a:rPr>
              <a:t>verall success rate by Panel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[Charts.xlsx]Sheet4!$B$40</c:f>
              <c:strCache>
                <c:ptCount val="1"/>
                <c:pt idx="0">
                  <c:v>2024 Apps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[Charts.xlsx]Sheet4!$B$41:$B$45</c:f>
              <c:numCache>
                <c:formatCode>General</c:formatCode>
                <c:ptCount val="5"/>
                <c:pt idx="0">
                  <c:v>652</c:v>
                </c:pt>
                <c:pt idx="1">
                  <c:v>767</c:v>
                </c:pt>
                <c:pt idx="2">
                  <c:v>209</c:v>
                </c:pt>
                <c:pt idx="3">
                  <c:v>524</c:v>
                </c:pt>
                <c:pt idx="4">
                  <c:v>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0-49DC-B352-447E6311CEB3}"/>
            </c:ext>
          </c:extLst>
        </c:ser>
        <c:ser>
          <c:idx val="1"/>
          <c:order val="1"/>
          <c:tx>
            <c:strRef>
              <c:f>[Charts.xlsx]Sheet4!$C$40</c:f>
              <c:strCache>
                <c:ptCount val="1"/>
                <c:pt idx="0">
                  <c:v>2025 Apps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[Charts.xlsx]Sheet4!$C$41:$C$45</c:f>
              <c:numCache>
                <c:formatCode>#,##0</c:formatCode>
                <c:ptCount val="5"/>
                <c:pt idx="0">
                  <c:v>1088</c:v>
                </c:pt>
                <c:pt idx="1">
                  <c:v>1119</c:v>
                </c:pt>
                <c:pt idx="2" formatCode="General">
                  <c:v>386</c:v>
                </c:pt>
                <c:pt idx="3" formatCode="General">
                  <c:v>768</c:v>
                </c:pt>
                <c:pt idx="4" formatCode="General">
                  <c:v>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0-49DC-B352-447E6311CEB3}"/>
            </c:ext>
          </c:extLst>
        </c:ser>
        <c:ser>
          <c:idx val="2"/>
          <c:order val="2"/>
          <c:tx>
            <c:strRef>
              <c:f>[Charts.xlsx]Sheet4!$D$40</c:f>
              <c:strCache>
                <c:ptCount val="1"/>
                <c:pt idx="0">
                  <c:v>2026 Apps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1079104808331446E-2"/>
                  <c:y val="3.9331366764995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F9-4800-9030-33F345D076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[Charts.xlsx]Sheet4!$D$41:$D$45</c:f>
              <c:numCache>
                <c:formatCode>#,##0</c:formatCode>
                <c:ptCount val="5"/>
                <c:pt idx="0">
                  <c:v>1035</c:v>
                </c:pt>
                <c:pt idx="1">
                  <c:v>1120</c:v>
                </c:pt>
                <c:pt idx="2" formatCode="General">
                  <c:v>365</c:v>
                </c:pt>
                <c:pt idx="3" formatCode="General">
                  <c:v>748</c:v>
                </c:pt>
                <c:pt idx="4" formatCode="General">
                  <c:v>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70-49DC-B352-447E6311CE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9517135"/>
        <c:axId val="289503695"/>
      </c:barChart>
      <c:lineChart>
        <c:grouping val="standard"/>
        <c:varyColors val="0"/>
        <c:ser>
          <c:idx val="3"/>
          <c:order val="3"/>
          <c:tx>
            <c:strRef>
              <c:f>[Charts.xlsx]Sheet4!$E$40</c:f>
              <c:strCache>
                <c:ptCount val="1"/>
                <c:pt idx="0">
                  <c:v>2024 Rate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2.8805672501661824E-2"/>
                  <c:y val="-3.933136676499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F9-4800-9030-33F345D07619}"/>
                </c:ext>
              </c:extLst>
            </c:dLbl>
            <c:dLbl>
              <c:idx val="1"/>
              <c:layout>
                <c:manualLayout>
                  <c:x val="3.9884777309993354E-2"/>
                  <c:y val="-6.6863323500491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F9-4800-9030-33F345D07619}"/>
                </c:ext>
              </c:extLst>
            </c:dLbl>
            <c:dLbl>
              <c:idx val="2"/>
              <c:layout>
                <c:manualLayout>
                  <c:x val="-1.9942388654996677E-2"/>
                  <c:y val="4.7197640117994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F9-4800-9030-33F345D07619}"/>
                </c:ext>
              </c:extLst>
            </c:dLbl>
            <c:dLbl>
              <c:idx val="3"/>
              <c:layout>
                <c:manualLayout>
                  <c:x val="8.8632838466652705E-3"/>
                  <c:y val="-5.1130776794493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F9-4800-9030-33F345D07619}"/>
                </c:ext>
              </c:extLst>
            </c:dLbl>
            <c:dLbl>
              <c:idx val="4"/>
              <c:layout>
                <c:manualLayout>
                  <c:x val="6.6474628849987295E-3"/>
                  <c:y val="-0.129793510324483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F9-4800-9030-33F345D076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[Charts.xlsx]Sheet4!$E$41:$E$45</c:f>
              <c:numCache>
                <c:formatCode>0.00%</c:formatCode>
                <c:ptCount val="5"/>
                <c:pt idx="0">
                  <c:v>0.16300000000000001</c:v>
                </c:pt>
                <c:pt idx="1">
                  <c:v>0.16200000000000001</c:v>
                </c:pt>
                <c:pt idx="2">
                  <c:v>0.16800000000000001</c:v>
                </c:pt>
                <c:pt idx="3">
                  <c:v>0.17</c:v>
                </c:pt>
                <c:pt idx="4">
                  <c:v>0.153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270-49DC-B352-447E6311CEB3}"/>
            </c:ext>
          </c:extLst>
        </c:ser>
        <c:ser>
          <c:idx val="4"/>
          <c:order val="4"/>
          <c:tx>
            <c:strRef>
              <c:f>[Charts.xlsx]Sheet4!$F$40</c:f>
              <c:strCache>
                <c:ptCount val="1"/>
                <c:pt idx="0">
                  <c:v>2025 Overall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2.6589851539995529E-2"/>
                  <c:y val="6.293018682399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F9-4800-9030-33F345D07619}"/>
                </c:ext>
              </c:extLst>
            </c:dLbl>
            <c:dLbl>
              <c:idx val="1"/>
              <c:layout>
                <c:manualLayout>
                  <c:x val="3.5453135386660679E-2"/>
                  <c:y val="-4.3264503441494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F9-4800-9030-33F345D07619}"/>
                </c:ext>
              </c:extLst>
            </c:dLbl>
            <c:dLbl>
              <c:idx val="2"/>
              <c:layout>
                <c:manualLayout>
                  <c:x val="1.7726567693330378E-2"/>
                  <c:y val="-3.539823008849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F9-4800-9030-33F345D07619}"/>
                </c:ext>
              </c:extLst>
            </c:dLbl>
            <c:dLbl>
              <c:idx val="3"/>
              <c:layout>
                <c:manualLayout>
                  <c:x val="3.323731442499446E-2"/>
                  <c:y val="0.157325467059980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F9-4800-9030-33F345D07619}"/>
                </c:ext>
              </c:extLst>
            </c:dLbl>
            <c:dLbl>
              <c:idx val="4"/>
              <c:layout>
                <c:manualLayout>
                  <c:x val="1.9942388654996677E-2"/>
                  <c:y val="-5.1130776794493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3F9-4800-9030-33F345D076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[Charts.xlsx]Sheet4!$F$41:$F$45</c:f>
              <c:numCache>
                <c:formatCode>0.00%</c:formatCode>
                <c:ptCount val="5"/>
                <c:pt idx="0">
                  <c:v>0.124</c:v>
                </c:pt>
                <c:pt idx="1">
                  <c:v>0.11799999999999999</c:v>
                </c:pt>
                <c:pt idx="2">
                  <c:v>0.17599999999999999</c:v>
                </c:pt>
                <c:pt idx="3">
                  <c:v>0.13700000000000001</c:v>
                </c:pt>
                <c:pt idx="4">
                  <c:v>0.122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270-49DC-B352-447E6311CEB3}"/>
            </c:ext>
          </c:extLst>
        </c:ser>
        <c:ser>
          <c:idx val="5"/>
          <c:order val="5"/>
          <c:tx>
            <c:strRef>
              <c:f>[Charts.xlsx]Sheet4!$G$40</c:f>
              <c:strCache>
                <c:ptCount val="1"/>
                <c:pt idx="0">
                  <c:v>2026 Overall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9942388654996677E-2"/>
                  <c:y val="-2.359882005899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F9-4800-9030-33F345D07619}"/>
                </c:ext>
              </c:extLst>
            </c:dLbl>
            <c:dLbl>
              <c:idx val="1"/>
              <c:layout>
                <c:manualLayout>
                  <c:x val="1.5510746731664001E-2"/>
                  <c:y val="7.472959685349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F9-4800-9030-33F345D07619}"/>
                </c:ext>
              </c:extLst>
            </c:dLbl>
            <c:dLbl>
              <c:idx val="2"/>
              <c:layout>
                <c:manualLayout>
                  <c:x val="1.9942388654996677E-2"/>
                  <c:y val="-6.6863323500491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F9-4800-9030-33F345D07619}"/>
                </c:ext>
              </c:extLst>
            </c:dLbl>
            <c:dLbl>
              <c:idx val="3"/>
              <c:layout>
                <c:manualLayout>
                  <c:x val="3.323731442499446E-2"/>
                  <c:y val="-2.753195673549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F9-4800-9030-33F345D07619}"/>
                </c:ext>
              </c:extLst>
            </c:dLbl>
            <c:dLbl>
              <c:idx val="4"/>
              <c:layout>
                <c:manualLayout>
                  <c:x val="1.5510746731664082E-2"/>
                  <c:y val="5.5063913470993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F9-4800-9030-33F345D076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[Charts.xlsx]Sheet4!$A$41:$A$45</c:f>
              <c:strCache>
                <c:ptCount val="5"/>
                <c:pt idx="0">
                  <c:v>BSB</c:v>
                </c:pt>
                <c:pt idx="1">
                  <c:v>EIC</c:v>
                </c:pt>
                <c:pt idx="2">
                  <c:v>HCA</c:v>
                </c:pt>
                <c:pt idx="3">
                  <c:v>MPCE</c:v>
                </c:pt>
                <c:pt idx="4">
                  <c:v>SBE</c:v>
                </c:pt>
              </c:strCache>
            </c:strRef>
          </c:cat>
          <c:val>
            <c:numRef>
              <c:f>[Charts.xlsx]Sheet4!$G$41:$G$45</c:f>
              <c:numCache>
                <c:formatCode>0.00%</c:formatCode>
                <c:ptCount val="5"/>
                <c:pt idx="0">
                  <c:v>0.13100000000000001</c:v>
                </c:pt>
                <c:pt idx="1">
                  <c:v>0.122</c:v>
                </c:pt>
                <c:pt idx="2">
                  <c:v>0.184</c:v>
                </c:pt>
                <c:pt idx="3">
                  <c:v>0.14399999999999999</c:v>
                </c:pt>
                <c:pt idx="4">
                  <c:v>0.113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270-49DC-B352-447E6311CE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9505135"/>
        <c:axId val="289505615"/>
      </c:lineChart>
      <c:catAx>
        <c:axId val="289517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503695"/>
        <c:crosses val="autoZero"/>
        <c:auto val="1"/>
        <c:lblAlgn val="ctr"/>
        <c:lblOffset val="100"/>
        <c:noMultiLvlLbl val="0"/>
      </c:catAx>
      <c:valAx>
        <c:axId val="28950369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517135"/>
        <c:crosses val="autoZero"/>
        <c:crossBetween val="between"/>
      </c:valAx>
      <c:valAx>
        <c:axId val="289505615"/>
        <c:scaling>
          <c:orientation val="minMax"/>
          <c:min val="8.0000000000000016E-2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505135"/>
        <c:crosses val="max"/>
        <c:crossBetween val="between"/>
      </c:valAx>
      <c:catAx>
        <c:axId val="28950513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895056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 sz="1400" b="1" i="0" u="none" strike="noStrike" kern="1200" spc="0" baseline="0">
                <a:solidFill>
                  <a:sysClr val="windowText" lastClr="000000"/>
                </a:solidFill>
              </a:rPr>
              <a:t>Application volumes and overall success rate by Go8 vs non Go8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[Charts.xlsx]Sheet4!$I$59</c:f>
              <c:strCache>
                <c:ptCount val="1"/>
                <c:pt idx="0">
                  <c:v>2024 Apps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[Charts.xlsx]Sheet4!$I$60:$I$61</c:f>
              <c:numCache>
                <c:formatCode>General</c:formatCode>
                <c:ptCount val="2"/>
                <c:pt idx="0" formatCode="#,##0">
                  <c:v>1622</c:v>
                </c:pt>
                <c:pt idx="1">
                  <c:v>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8-40BA-B341-B5450E4A728B}"/>
            </c:ext>
          </c:extLst>
        </c:ser>
        <c:ser>
          <c:idx val="2"/>
          <c:order val="2"/>
          <c:tx>
            <c:strRef>
              <c:f>[Charts.xlsx]Sheet4!$K$59</c:f>
              <c:strCache>
                <c:ptCount val="1"/>
                <c:pt idx="0">
                  <c:v>2025 Apps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[Charts.xlsx]Sheet4!$K$60:$K$61</c:f>
              <c:numCache>
                <c:formatCode>#,##0</c:formatCode>
                <c:ptCount val="2"/>
                <c:pt idx="0">
                  <c:v>2597</c:v>
                </c:pt>
                <c:pt idx="1">
                  <c:v>1550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A8-40BA-B341-B5450E4A728B}"/>
            </c:ext>
          </c:extLst>
        </c:ser>
        <c:ser>
          <c:idx val="4"/>
          <c:order val="4"/>
          <c:tx>
            <c:strRef>
              <c:f>[Charts.xlsx]Sheet4!$M$59</c:f>
              <c:strCache>
                <c:ptCount val="1"/>
                <c:pt idx="0">
                  <c:v>2026 Apps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[Charts.xlsx]Sheet4!$M$60:$M$61</c:f>
              <c:numCache>
                <c:formatCode>#,##0</c:formatCode>
                <c:ptCount val="2"/>
                <c:pt idx="0">
                  <c:v>2549</c:v>
                </c:pt>
                <c:pt idx="1">
                  <c:v>1514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A8-40BA-B341-B5450E4A728B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80033920"/>
        <c:axId val="1480031520"/>
      </c:barChart>
      <c:lineChart>
        <c:grouping val="standard"/>
        <c:varyColors val="0"/>
        <c:ser>
          <c:idx val="1"/>
          <c:order val="1"/>
          <c:tx>
            <c:strRef>
              <c:f>[Charts.xlsx]Sheet4!$J$59</c:f>
              <c:strCache>
                <c:ptCount val="1"/>
                <c:pt idx="0">
                  <c:v>2024 Rate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[Charts.xlsx]Sheet4!$J$60:$J$61</c:f>
              <c:numCache>
                <c:formatCode>0.00%</c:formatCode>
                <c:ptCount val="2"/>
                <c:pt idx="0">
                  <c:v>0.16300000000000001</c:v>
                </c:pt>
                <c:pt idx="1">
                  <c:v>0.161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3A8-40BA-B341-B5450E4A728B}"/>
            </c:ext>
          </c:extLst>
        </c:ser>
        <c:ser>
          <c:idx val="3"/>
          <c:order val="3"/>
          <c:tx>
            <c:strRef>
              <c:f>[Charts.xlsx]Sheet4!$L$59</c:f>
              <c:strCache>
                <c:ptCount val="1"/>
                <c:pt idx="0">
                  <c:v>2025 Rate (%)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0663088784630931"/>
                  <c:y val="-6.41512202279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A8-40BA-B341-B5450E4A72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[Charts.xlsx]Sheet4!$L$60:$L$61</c:f>
              <c:numCache>
                <c:formatCode>0.00%</c:formatCode>
                <c:ptCount val="2"/>
                <c:pt idx="0">
                  <c:v>0.14099999999999999</c:v>
                </c:pt>
                <c:pt idx="1">
                  <c:v>0.11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3A8-40BA-B341-B5450E4A728B}"/>
            </c:ext>
          </c:extLst>
        </c:ser>
        <c:ser>
          <c:idx val="5"/>
          <c:order val="5"/>
          <c:tx>
            <c:strRef>
              <c:f>[Charts.xlsx]Sheet4!$N$59</c:f>
              <c:strCache>
                <c:ptCount val="1"/>
                <c:pt idx="0">
                  <c:v>2026 Rate (%)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2906040467520777"/>
                  <c:y val="8.281573498964803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A8-40BA-B341-B5450E4A728B}"/>
                </c:ext>
              </c:extLst>
            </c:dLbl>
            <c:dLbl>
              <c:idx val="1"/>
              <c:layout>
                <c:manualLayout>
                  <c:x val="-0.11798129986687626"/>
                  <c:y val="4.554865424430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A8-40BA-B341-B5450E4A72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[Charts.xlsx]Sheet4!$H$60:$H$61</c:f>
              <c:strCache>
                <c:ptCount val="2"/>
                <c:pt idx="0">
                  <c:v>Go8</c:v>
                </c:pt>
                <c:pt idx="1">
                  <c:v>Non-Go8</c:v>
                </c:pt>
              </c:strCache>
            </c:strRef>
          </c:cat>
          <c:val>
            <c:numRef>
              <c:f>[Charts.xlsx]Sheet4!$N$60:$N$61</c:f>
              <c:numCache>
                <c:formatCode>0.00%</c:formatCode>
                <c:ptCount val="2"/>
                <c:pt idx="0">
                  <c:v>0.14399999999999999</c:v>
                </c:pt>
                <c:pt idx="1">
                  <c:v>0.114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3A8-40BA-B341-B5450E4A72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89016639"/>
        <c:axId val="589013279"/>
      </c:lineChart>
      <c:catAx>
        <c:axId val="148003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0031520"/>
        <c:crosses val="autoZero"/>
        <c:auto val="1"/>
        <c:lblAlgn val="ctr"/>
        <c:lblOffset val="100"/>
        <c:noMultiLvlLbl val="0"/>
      </c:catAx>
      <c:valAx>
        <c:axId val="14800315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0033920"/>
        <c:crosses val="autoZero"/>
        <c:crossBetween val="between"/>
      </c:valAx>
      <c:valAx>
        <c:axId val="589013279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9016639"/>
        <c:crosses val="max"/>
        <c:crossBetween val="between"/>
      </c:valAx>
      <c:catAx>
        <c:axId val="5890166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890132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 b="1">
                <a:solidFill>
                  <a:sysClr val="windowText" lastClr="000000"/>
                </a:solidFill>
              </a:rPr>
              <a:t>Application </a:t>
            </a:r>
            <a:r>
              <a:rPr lang="en-AU" sz="1400" b="1" i="0" u="none" strike="noStrike" kern="1200" spc="0" baseline="0">
                <a:solidFill>
                  <a:sysClr val="windowText" lastClr="000000"/>
                </a:solidFill>
              </a:rPr>
              <a:t>volumes</a:t>
            </a:r>
            <a:r>
              <a:rPr lang="en-AU" b="1">
                <a:solidFill>
                  <a:sysClr val="windowText" lastClr="000000"/>
                </a:solidFill>
              </a:rPr>
              <a:t> and overall</a:t>
            </a:r>
            <a:r>
              <a:rPr lang="en-AU" b="1" baseline="0">
                <a:solidFill>
                  <a:sysClr val="windowText" lastClr="000000"/>
                </a:solidFill>
              </a:rPr>
              <a:t> success rate by career stage</a:t>
            </a:r>
            <a:endParaRPr lang="en-A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[Charts.xlsx]Sheet4!$B$83</c:f>
              <c:strCache>
                <c:ptCount val="1"/>
                <c:pt idx="0">
                  <c:v>2024 Apps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[Charts.xlsx]Sheet4!$B$84:$B$86</c:f>
              <c:numCache>
                <c:formatCode>General</c:formatCode>
                <c:ptCount val="3"/>
                <c:pt idx="0">
                  <c:v>58</c:v>
                </c:pt>
                <c:pt idx="1">
                  <c:v>970</c:v>
                </c:pt>
                <c:pt idx="2" formatCode="#,##0">
                  <c:v>1556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3-44E8-BEB2-E393544EB50D}"/>
            </c:ext>
          </c:extLst>
        </c:ser>
        <c:ser>
          <c:idx val="1"/>
          <c:order val="1"/>
          <c:tx>
            <c:strRef>
              <c:f>[Charts.xlsx]Sheet4!$C$83</c:f>
              <c:strCache>
                <c:ptCount val="1"/>
                <c:pt idx="0">
                  <c:v>2025 Apps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[Charts.xlsx]Sheet4!$C$84:$C$86</c:f>
              <c:numCache>
                <c:formatCode>#,##0</c:formatCode>
                <c:ptCount val="3"/>
                <c:pt idx="0" formatCode="General">
                  <c:v>110</c:v>
                </c:pt>
                <c:pt idx="1">
                  <c:v>1592</c:v>
                </c:pt>
                <c:pt idx="2">
                  <c:v>2425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E3-44E8-BEB2-E393544EB50D}"/>
            </c:ext>
          </c:extLst>
        </c:ser>
        <c:ser>
          <c:idx val="2"/>
          <c:order val="2"/>
          <c:tx>
            <c:strRef>
              <c:f>[Charts.xlsx]Sheet4!$D$83</c:f>
              <c:strCache>
                <c:ptCount val="1"/>
                <c:pt idx="0">
                  <c:v>2026 Apps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0622915017834678E-17"/>
                  <c:y val="9.97111541961777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DA-47FF-AD0A-4555BDDDE8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[Charts.xlsx]Sheet4!$D$84:$D$86</c:f>
              <c:numCache>
                <c:formatCode>#,##0</c:formatCode>
                <c:ptCount val="3"/>
                <c:pt idx="0" formatCode="General">
                  <c:v>204</c:v>
                </c:pt>
                <c:pt idx="1">
                  <c:v>1636</c:v>
                </c:pt>
                <c:pt idx="2">
                  <c:v>2209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E3-44E8-BEB2-E393544EB50D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77622048"/>
        <c:axId val="977618688"/>
      </c:barChart>
      <c:lineChart>
        <c:grouping val="standard"/>
        <c:varyColors val="0"/>
        <c:ser>
          <c:idx val="3"/>
          <c:order val="3"/>
          <c:tx>
            <c:strRef>
              <c:f>[Charts.xlsx]Sheet4!$E$83</c:f>
              <c:strCache>
                <c:ptCount val="1"/>
                <c:pt idx="0">
                  <c:v>2024 Rate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9.8626191003766975E-2"/>
                  <c:y val="-3.350083752093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DA-47FF-AD0A-4555BDDDE8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[Charts.xlsx]Sheet4!$E$84:$E$86</c:f>
              <c:numCache>
                <c:formatCode>0.00%</c:formatCode>
                <c:ptCount val="3"/>
                <c:pt idx="0">
                  <c:v>0.121</c:v>
                </c:pt>
                <c:pt idx="1">
                  <c:v>0.14199999999999999</c:v>
                </c:pt>
                <c:pt idx="2">
                  <c:v>0.17699999999999999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2E3-44E8-BEB2-E393544EB50D}"/>
            </c:ext>
          </c:extLst>
        </c:ser>
        <c:ser>
          <c:idx val="4"/>
          <c:order val="4"/>
          <c:tx>
            <c:strRef>
              <c:f>[Charts.xlsx]Sheet4!$F$83</c:f>
              <c:strCache>
                <c:ptCount val="1"/>
                <c:pt idx="0">
                  <c:v>2025 Overall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123421227564813"/>
                  <c:y val="-2.9313232830820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DA-47FF-AD0A-4555BDDDE87A}"/>
                </c:ext>
              </c:extLst>
            </c:dLbl>
            <c:dLbl>
              <c:idx val="1"/>
              <c:layout>
                <c:manualLayout>
                  <c:x val="-0.1562375360070907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DA-47FF-AD0A-4555BDDDE87A}"/>
                </c:ext>
              </c:extLst>
            </c:dLbl>
            <c:dLbl>
              <c:idx val="2"/>
              <c:layout>
                <c:manualLayout>
                  <c:x val="-0.17396410370042109"/>
                  <c:y val="7.5376884422110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DA-47FF-AD0A-4555BDDDE8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[Charts.xlsx]Sheet4!$F$84:$F$86</c:f>
              <c:numCache>
                <c:formatCode>0.00%</c:formatCode>
                <c:ptCount val="3"/>
                <c:pt idx="0">
                  <c:v>2.7E-2</c:v>
                </c:pt>
                <c:pt idx="1">
                  <c:v>0.115</c:v>
                </c:pt>
                <c:pt idx="2">
                  <c:v>0.14399999999999999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2E3-44E8-BEB2-E393544EB50D}"/>
            </c:ext>
          </c:extLst>
        </c:ser>
        <c:ser>
          <c:idx val="5"/>
          <c:order val="5"/>
          <c:tx>
            <c:strRef>
              <c:f>[Charts.xlsx]Sheet4!$G$83</c:f>
              <c:strCache>
                <c:ptCount val="1"/>
                <c:pt idx="0">
                  <c:v>2026 Overall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1.9942388654996677E-2"/>
                  <c:y val="-5.0251256281407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DA-47FF-AD0A-4555BDDDE87A}"/>
                </c:ext>
              </c:extLst>
            </c:dLbl>
            <c:dLbl>
              <c:idx val="2"/>
              <c:layout>
                <c:manualLayout>
                  <c:x val="1.7726567693330378E-2"/>
                  <c:y val="-2.93132328308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DA-47FF-AD0A-4555BDDDE8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[Charts.xlsx]Sheet4!$A$84:$A$86</c:f>
              <c:strCache>
                <c:ptCount val="3"/>
                <c:pt idx="0">
                  <c:v>ECR (0–5 yrs)</c:v>
                </c:pt>
                <c:pt idx="1">
                  <c:v>MCR (6–15 yrs)</c:v>
                </c:pt>
                <c:pt idx="2">
                  <c:v>Senior (16+)</c:v>
                </c:pt>
              </c:strCache>
            </c:strRef>
          </c:cat>
          <c:val>
            <c:numRef>
              <c:f>[Charts.xlsx]Sheet4!$G$84:$G$86</c:f>
              <c:numCache>
                <c:formatCode>0.00%</c:formatCode>
                <c:ptCount val="3"/>
                <c:pt idx="0">
                  <c:v>5.3999999999999999E-2</c:v>
                </c:pt>
                <c:pt idx="1">
                  <c:v>0.12</c:v>
                </c:pt>
                <c:pt idx="2">
                  <c:v>0.14899999999999999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2E3-44E8-BEB2-E393544EB5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7245536"/>
        <c:axId val="1637251776"/>
      </c:lineChart>
      <c:catAx>
        <c:axId val="97762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618688"/>
        <c:crosses val="autoZero"/>
        <c:auto val="1"/>
        <c:lblAlgn val="ctr"/>
        <c:lblOffset val="100"/>
        <c:noMultiLvlLbl val="0"/>
      </c:catAx>
      <c:valAx>
        <c:axId val="9776186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622048"/>
        <c:crosses val="autoZero"/>
        <c:crossBetween val="between"/>
      </c:valAx>
      <c:valAx>
        <c:axId val="163725177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7245536"/>
        <c:crosses val="max"/>
        <c:crossBetween val="between"/>
      </c:valAx>
      <c:catAx>
        <c:axId val="1637245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72517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0.38191</cdr:x>
      <cdr:y>0.21407</cdr:y>
    </cdr:from>
    <cdr:to>
      <cdr:x>0.85531</cdr:x>
      <cdr:y>0.66181</cdr:y>
    </cdr:to>
    <cdr:grpSp>
      <cdr:nvGrpSpPr>
        <cdr:cNvPr id="12" name="Group 11">
          <a:extLst xmlns:a="http://schemas.openxmlformats.org/drawingml/2006/main">
            <a:ext uri="{FF2B5EF4-FFF2-40B4-BE49-F238E27FC236}">
              <a16:creationId xmlns:a16="http://schemas.microsoft.com/office/drawing/2014/main" id="{6A90CDEE-B79E-3B31-246D-72F65D9E29D5}"/>
            </a:ext>
          </a:extLst>
        </cdr:cNvPr>
        <cdr:cNvGrpSpPr/>
      </cdr:nvGrpSpPr>
      <cdr:grpSpPr>
        <a:xfrm xmlns:a="http://schemas.openxmlformats.org/drawingml/2006/main">
          <a:off x="2188926" y="690129"/>
          <a:ext cx="2713275" cy="1443471"/>
          <a:chOff x="2080337" y="803275"/>
          <a:chExt cx="2590088" cy="1409700"/>
        </a:xfrm>
      </cdr:grpSpPr>
      <cdr:cxnSp macro="">
        <cdr:nvCxnSpPr>
          <cdr:cNvPr id="3" name="Straight Arrow Connector 2">
            <a:extLst xmlns:a="http://schemas.openxmlformats.org/drawingml/2006/main">
              <a:ext uri="{FF2B5EF4-FFF2-40B4-BE49-F238E27FC236}">
                <a16:creationId xmlns:a16="http://schemas.microsoft.com/office/drawing/2014/main" id="{E5F0EA8A-5172-64F8-E0DA-0795AA0105C1}"/>
              </a:ext>
            </a:extLst>
          </cdr:cNvPr>
          <cdr:cNvCxnSpPr/>
        </cdr:nvCxnSpPr>
        <cdr:spPr>
          <a:xfrm xmlns:a="http://schemas.openxmlformats.org/drawingml/2006/main">
            <a:off x="2100264" y="1114425"/>
            <a:ext cx="180975" cy="1095375"/>
          </a:xfrm>
          <a:prstGeom xmlns:a="http://schemas.openxmlformats.org/drawingml/2006/main" prst="straightConnector1">
            <a:avLst/>
          </a:prstGeom>
          <a:ln xmlns:a="http://schemas.openxmlformats.org/drawingml/2006/main">
            <a:solidFill>
              <a:srgbClr val="FF0000"/>
            </a:solidFill>
            <a:tailEnd type="triangle"/>
          </a:ln>
        </cdr:spPr>
        <cdr:style>
          <a:lnRef xmlns:a="http://schemas.openxmlformats.org/drawingml/2006/main" idx="2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1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9" name="Straight Arrow Connector 8">
            <a:extLst xmlns:a="http://schemas.openxmlformats.org/drawingml/2006/main">
              <a:ext uri="{FF2B5EF4-FFF2-40B4-BE49-F238E27FC236}">
                <a16:creationId xmlns:a16="http://schemas.microsoft.com/office/drawing/2014/main" id="{B035869B-7E5F-927C-F327-AB97C1F4FD1B}"/>
              </a:ext>
            </a:extLst>
          </cdr:cNvPr>
          <cdr:cNvCxnSpPr/>
        </cdr:nvCxnSpPr>
        <cdr:spPr>
          <a:xfrm xmlns:a="http://schemas.openxmlformats.org/drawingml/2006/main">
            <a:off x="3279775" y="1117600"/>
            <a:ext cx="180975" cy="1095375"/>
          </a:xfrm>
          <a:prstGeom xmlns:a="http://schemas.openxmlformats.org/drawingml/2006/main" prst="straightConnector1">
            <a:avLst/>
          </a:prstGeom>
          <a:ln xmlns:a="http://schemas.openxmlformats.org/drawingml/2006/main">
            <a:solidFill>
              <a:srgbClr val="FF0000"/>
            </a:solidFill>
            <a:tailEnd type="triangle"/>
          </a:ln>
        </cdr:spPr>
        <cdr:style>
          <a:lnRef xmlns:a="http://schemas.openxmlformats.org/drawingml/2006/main" idx="2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1">
            <a:schemeClr val="accent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0" name="Straight Arrow Connector 9">
            <a:extLst xmlns:a="http://schemas.openxmlformats.org/drawingml/2006/main">
              <a:ext uri="{FF2B5EF4-FFF2-40B4-BE49-F238E27FC236}">
                <a16:creationId xmlns:a16="http://schemas.microsoft.com/office/drawing/2014/main" id="{B035869B-7E5F-927C-F327-AB97C1F4FD1B}"/>
              </a:ext>
            </a:extLst>
          </cdr:cNvPr>
          <cdr:cNvCxnSpPr/>
        </cdr:nvCxnSpPr>
        <cdr:spPr>
          <a:xfrm xmlns:a="http://schemas.openxmlformats.org/drawingml/2006/main">
            <a:off x="4489450" y="803275"/>
            <a:ext cx="180975" cy="1095375"/>
          </a:xfrm>
          <a:prstGeom xmlns:a="http://schemas.openxmlformats.org/drawingml/2006/main" prst="straightConnector1">
            <a:avLst/>
          </a:prstGeom>
          <a:ln xmlns:a="http://schemas.openxmlformats.org/drawingml/2006/main">
            <a:solidFill>
              <a:srgbClr val="FF0000"/>
            </a:solidFill>
            <a:tailEnd type="triangle"/>
          </a:ln>
        </cdr:spPr>
        <cdr:style>
          <a:lnRef xmlns:a="http://schemas.openxmlformats.org/drawingml/2006/main" idx="2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1">
            <a:schemeClr val="accent1"/>
          </a:effectRef>
          <a:fontRef xmlns:a="http://schemas.openxmlformats.org/drawingml/2006/main" idx="minor">
            <a:schemeClr val="tx1"/>
          </a:fontRef>
        </cdr:style>
      </cdr:cxnSp>
      <cdr:sp macro="" textlink="">
        <cdr:nvSpPr>
          <cdr:cNvPr id="11" name="TextBox 10">
            <a:extLst xmlns:a="http://schemas.openxmlformats.org/drawingml/2006/main">
              <a:ext uri="{FF2B5EF4-FFF2-40B4-BE49-F238E27FC236}">
                <a16:creationId xmlns:a16="http://schemas.microsoft.com/office/drawing/2014/main" id="{D27D30C2-1309-DE97-F339-AB890BEADBC6}"/>
              </a:ext>
            </a:extLst>
          </cdr:cNvPr>
          <cdr:cNvSpPr txBox="1"/>
        </cdr:nvSpPr>
        <cdr:spPr>
          <a:xfrm xmlns:a="http://schemas.openxmlformats.org/drawingml/2006/main">
            <a:off x="2080337" y="1170964"/>
            <a:ext cx="620035" cy="344350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none" rtlCol="0"/>
          <a:lstStyle xmlns:a="http://schemas.openxmlformats.org/drawingml/2006/main"/>
          <a:p xmlns:a="http://schemas.openxmlformats.org/drawingml/2006/main">
            <a:r>
              <a:rPr lang="en-AU" sz="1100" b="1" kern="1200">
                <a:solidFill>
                  <a:srgbClr val="FF0000"/>
                </a:solidFill>
              </a:rPr>
              <a:t>~72% Filtered</a:t>
            </a:r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CE52C2"/>
      </a:accent1>
      <a:accent2>
        <a:srgbClr val="E197DA"/>
      </a:accent2>
      <a:accent3>
        <a:srgbClr val="215E99"/>
      </a:accent3>
      <a:accent4>
        <a:srgbClr val="4D94D8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B191B4F47544B864FE29E4009AE8" ma:contentTypeVersion="19" ma:contentTypeDescription="Create a new document." ma:contentTypeScope="" ma:versionID="2b0b1c9301b8a9712b2347dd3bc08935">
  <xsd:schema xmlns:xsd="http://www.w3.org/2001/XMLSchema" xmlns:xs="http://www.w3.org/2001/XMLSchema" xmlns:p="http://schemas.microsoft.com/office/2006/metadata/properties" xmlns:ns2="da07af11-7493-4fad-8428-81db4b92e819" xmlns:ns3="eaffc1d0-e7cf-4991-9a13-4bbb84ffb7f3" targetNamespace="http://schemas.microsoft.com/office/2006/metadata/properties" ma:root="true" ma:fieldsID="13def51edf5b520d3fb00ac15e15d7ac" ns2:_="" ns3:_="">
    <xsd:import namespace="da07af11-7493-4fad-8428-81db4b92e819"/>
    <xsd:import namespace="eaffc1d0-e7cf-4991-9a13-4bbb84ff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Notes" minOccurs="0"/>
                <xsd:element ref="ns2:Comments" minOccurs="0"/>
                <xsd:element ref="ns2:Status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af11-7493-4fad-8428-81db4b92e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 - under development"/>
          <xsd:enumeration value="Out for approval/consultation"/>
          <xsd:enumeration value="Approved"/>
        </xsd:restriction>
      </xsd:simpleType>
    </xsd:element>
    <xsd:element name="status0" ma:index="26" nillable="true" ma:displayName="status" ma:format="Dropdown" ma:internalName="status0">
      <xsd:simpleType>
        <xsd:restriction base="dms:Choice">
          <xsd:enumeration value="G2G"/>
          <xsd:enumeration value="Needs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fc1d0-e7cf-4991-9a13-4bbb84ff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58364b-2bd5-4479-95cd-44c574295fee}" ma:internalName="TaxCatchAll" ma:showField="CatchAllData" ma:web="eaffc1d0-e7cf-4991-9a13-4bbb84ffb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fc1d0-e7cf-4991-9a13-4bbb84ffb7f3" xsi:nil="true"/>
    <lcf76f155ced4ddcb4097134ff3c332f xmlns="da07af11-7493-4fad-8428-81db4b92e819">
      <Terms xmlns="http://schemas.microsoft.com/office/infopath/2007/PartnerControls"/>
    </lcf76f155ced4ddcb4097134ff3c332f>
    <Comments xmlns="da07af11-7493-4fad-8428-81db4b92e819" xsi:nil="true"/>
    <Notes xmlns="da07af11-7493-4fad-8428-81db4b92e819" xsi:nil="true"/>
    <status0 xmlns="da07af11-7493-4fad-8428-81db4b92e819" xsi:nil="true"/>
    <Status xmlns="da07af11-7493-4fad-8428-81db4b92e819" xsi:nil="true"/>
  </documentManagement>
</p:properties>
</file>

<file path=customXml/itemProps1.xml><?xml version="1.0" encoding="utf-8"?>
<ds:datastoreItem xmlns:ds="http://schemas.openxmlformats.org/officeDocument/2006/customXml" ds:itemID="{48DDF1F5-AC31-4B33-BE9B-FE1D8FEF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3626A-8886-4094-8AB0-1868D6911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6401A-01C8-409B-81ED-A37DE649B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7af11-7493-4fad-8428-81db4b92e819"/>
    <ds:schemaRef ds:uri="eaffc1d0-e7cf-4991-9a13-4bbb84ff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DDFD5-1FF0-4470-96DF-A10EF039A28B}">
  <ds:schemaRefs>
    <ds:schemaRef ds:uri="http://schemas.microsoft.com/office/2006/metadata/properties"/>
    <ds:schemaRef ds:uri="http://schemas.microsoft.com/office/infopath/2007/PartnerControls"/>
    <ds:schemaRef ds:uri="eaffc1d0-e7cf-4991-9a13-4bbb84ffb7f3"/>
    <ds:schemaRef ds:uri="da07af11-7493-4fad-8428-81db4b92e819"/>
  </ds:schemaRefs>
</ds:datastoreItem>
</file>

<file path=docMetadata/LabelInfo.xml><?xml version="1.0" encoding="utf-8"?>
<clbl:labelList xmlns:clbl="http://schemas.microsoft.com/office/2020/mipLabelMetadata">
  <clbl:label id="{c75dbeec-a1a5-49b4-8a3a-c54972b1ce77}" enabled="0" method="" siteId="{c75dbeec-a1a5-49b4-8a3a-c54972b1ce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12332</Characters>
  <Application>Microsoft Office Word</Application>
  <DocSecurity>0</DocSecurity>
  <Lines>411</Lines>
  <Paragraphs>226</Paragraphs>
  <ScaleCrop>false</ScaleCrop>
  <Company/>
  <LinksUpToDate>false</LinksUpToDate>
  <CharactersWithSpaces>14292</CharactersWithSpaces>
  <SharedDoc>false</SharedDoc>
  <HLinks>
    <vt:vector size="84" baseType="variant">
      <vt:variant>
        <vt:i4>6619174</vt:i4>
      </vt:variant>
      <vt:variant>
        <vt:i4>9</vt:i4>
      </vt:variant>
      <vt:variant>
        <vt:i4>0</vt:i4>
      </vt:variant>
      <vt:variant>
        <vt:i4>5</vt:i4>
      </vt:variant>
      <vt:variant>
        <vt:lpwstr>https://www.arc.gov.au/sites/default/files/2026-02/dpei27-expression-of-interest-explainer-and-faq.pdf</vt:lpwstr>
      </vt:variant>
      <vt:variant>
        <vt:lpwstr/>
      </vt:variant>
      <vt:variant>
        <vt:i4>6881407</vt:i4>
      </vt:variant>
      <vt:variant>
        <vt:i4>6</vt:i4>
      </vt:variant>
      <vt:variant>
        <vt:i4>0</vt:i4>
      </vt:variant>
      <vt:variant>
        <vt:i4>5</vt:i4>
      </vt:variant>
      <vt:variant>
        <vt:lpwstr>https://www.arc.gov.au/about-arc/governance/arc-college-experts</vt:lpwstr>
      </vt:variant>
      <vt:variant>
        <vt:lpwstr/>
      </vt:variant>
      <vt:variant>
        <vt:i4>3866657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https://www.education.gov.au/higher-education-reviews-and-consultations/review-australian-research-council-act-2001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https://www.arc.gov.au/funding-research/arc-funding-schemes/discovery/discovery-projects</vt:lpwstr>
      </vt:variant>
      <vt:variant>
        <vt:lpwstr/>
      </vt:variant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https://www.arc.gov.au/dp25-selection-report-funding-commencing-2025</vt:lpwstr>
      </vt:variant>
      <vt:variant>
        <vt:lpwstr/>
      </vt:variant>
      <vt:variant>
        <vt:i4>4522087</vt:i4>
      </vt:variant>
      <vt:variant>
        <vt:i4>24</vt:i4>
      </vt:variant>
      <vt:variant>
        <vt:i4>0</vt:i4>
      </vt:variant>
      <vt:variant>
        <vt:i4>5</vt:i4>
      </vt:variant>
      <vt:variant>
        <vt:lpwstr>mailto:Alison.Ross@arc.gov.au</vt:lpwstr>
      </vt:variant>
      <vt:variant>
        <vt:lpwstr/>
      </vt:variant>
      <vt:variant>
        <vt:i4>1900598</vt:i4>
      </vt:variant>
      <vt:variant>
        <vt:i4>21</vt:i4>
      </vt:variant>
      <vt:variant>
        <vt:i4>0</vt:i4>
      </vt:variant>
      <vt:variant>
        <vt:i4>5</vt:i4>
      </vt:variant>
      <vt:variant>
        <vt:lpwstr>mailto:Anthony.Murfett@arc.gov.au</vt:lpwstr>
      </vt:variant>
      <vt:variant>
        <vt:lpwstr/>
      </vt:variant>
      <vt:variant>
        <vt:i4>2162693</vt:i4>
      </vt:variant>
      <vt:variant>
        <vt:i4>18</vt:i4>
      </vt:variant>
      <vt:variant>
        <vt:i4>0</vt:i4>
      </vt:variant>
      <vt:variant>
        <vt:i4>5</vt:i4>
      </vt:variant>
      <vt:variant>
        <vt:lpwstr>mailto:Sruthi.Yeruva@arc.gov.au</vt:lpwstr>
      </vt:variant>
      <vt:variant>
        <vt:lpwstr/>
      </vt:variant>
      <vt:variant>
        <vt:i4>3473435</vt:i4>
      </vt:variant>
      <vt:variant>
        <vt:i4>15</vt:i4>
      </vt:variant>
      <vt:variant>
        <vt:i4>0</vt:i4>
      </vt:variant>
      <vt:variant>
        <vt:i4>5</vt:i4>
      </vt:variant>
      <vt:variant>
        <vt:lpwstr>mailto:Jane.Wakeford@arc.gov.au</vt:lpwstr>
      </vt:variant>
      <vt:variant>
        <vt:lpwstr/>
      </vt:variant>
      <vt:variant>
        <vt:i4>5898350</vt:i4>
      </vt:variant>
      <vt:variant>
        <vt:i4>12</vt:i4>
      </vt:variant>
      <vt:variant>
        <vt:i4>0</vt:i4>
      </vt:variant>
      <vt:variant>
        <vt:i4>5</vt:i4>
      </vt:variant>
      <vt:variant>
        <vt:lpwstr>mailto:Rohan.Yargop@arc.gov.au</vt:lpwstr>
      </vt:variant>
      <vt:variant>
        <vt:lpwstr/>
      </vt:variant>
      <vt:variant>
        <vt:i4>3473435</vt:i4>
      </vt:variant>
      <vt:variant>
        <vt:i4>9</vt:i4>
      </vt:variant>
      <vt:variant>
        <vt:i4>0</vt:i4>
      </vt:variant>
      <vt:variant>
        <vt:i4>5</vt:i4>
      </vt:variant>
      <vt:variant>
        <vt:lpwstr>mailto:Jane.Wakeford@arc.gov.au</vt:lpwstr>
      </vt:variant>
      <vt:variant>
        <vt:lpwstr/>
      </vt:variant>
      <vt:variant>
        <vt:i4>2162693</vt:i4>
      </vt:variant>
      <vt:variant>
        <vt:i4>6</vt:i4>
      </vt:variant>
      <vt:variant>
        <vt:i4>0</vt:i4>
      </vt:variant>
      <vt:variant>
        <vt:i4>5</vt:i4>
      </vt:variant>
      <vt:variant>
        <vt:lpwstr>mailto:Sruthi.Yeruva@arc.gov.au</vt:lpwstr>
      </vt:variant>
      <vt:variant>
        <vt:lpwstr/>
      </vt:variant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mailto:Anthony.Murfett@arc.gov.au</vt:lpwstr>
      </vt:variant>
      <vt:variant>
        <vt:lpwstr/>
      </vt:variant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mailto:Rohan.Yargop@arc.gov.au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Thurlow</dc:creator>
  <cp:keywords/>
  <dc:description/>
  <cp:lastModifiedBy>Samantha Blandy</cp:lastModifiedBy>
  <cp:revision>2</cp:revision>
  <dcterms:created xsi:type="dcterms:W3CDTF">2026-05-06T22:26:00Z</dcterms:created>
  <dcterms:modified xsi:type="dcterms:W3CDTF">2026-05-06T22:26:00Z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0x010100B710B191B4F47544B864FE29E4009AE8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6f821ba1,7d901494,520ae21e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62788411,7e03a445,68c61e1a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abea46ff-9697-4aa0-8ebf-843aa494d7e0_Enabled">
    <vt:lpwstr>true</vt:lpwstr>
  </property>
  <property fmtid="{D5CDD505-2E9C-101B-9397-08002B2CF9AE}" pid="12" name="MSIP_Label_abea46ff-9697-4aa0-8ebf-843aa494d7e0_SetDate">
    <vt:lpwstr>2026-02-24T02:40:18Z</vt:lpwstr>
  </property>
  <property fmtid="{D5CDD505-2E9C-101B-9397-08002B2CF9AE}" pid="13" name="MSIP_Label_abea46ff-9697-4aa0-8ebf-843aa494d7e0_Method">
    <vt:lpwstr>Privileged</vt:lpwstr>
  </property>
  <property fmtid="{D5CDD505-2E9C-101B-9397-08002B2CF9AE}" pid="14" name="MSIP_Label_abea46ff-9697-4aa0-8ebf-843aa494d7e0_Name">
    <vt:lpwstr>OFFICIAL</vt:lpwstr>
  </property>
  <property fmtid="{D5CDD505-2E9C-101B-9397-08002B2CF9AE}" pid="15" name="MSIP_Label_abea46ff-9697-4aa0-8ebf-843aa494d7e0_SiteId">
    <vt:lpwstr>c75dbeec-a1a5-49b4-8a3a-c54972b1ce77</vt:lpwstr>
  </property>
  <property fmtid="{D5CDD505-2E9C-101B-9397-08002B2CF9AE}" pid="16" name="MSIP_Label_abea46ff-9697-4aa0-8ebf-843aa494d7e0_ActionId">
    <vt:lpwstr>2a8b1cbf-203b-47a0-8673-d95974b2bd87</vt:lpwstr>
  </property>
  <property fmtid="{D5CDD505-2E9C-101B-9397-08002B2CF9AE}" pid="17" name="MSIP_Label_abea46ff-9697-4aa0-8ebf-843aa494d7e0_ContentBits">
    <vt:lpwstr>3</vt:lpwstr>
  </property>
  <property fmtid="{D5CDD505-2E9C-101B-9397-08002B2CF9AE}" pid="18" name="MSIP_Label_abea46ff-9697-4aa0-8ebf-843aa494d7e0_Tag">
    <vt:lpwstr>10, 0, 1, 1</vt:lpwstr>
  </property>
</Properties>
</file>