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C4C4C" w14:textId="77777777" w:rsidR="00A53BE3" w:rsidRDefault="00000000">
      <w:pPr>
        <w:spacing w:after="50" w:line="259" w:lineRule="auto"/>
        <w:ind w:left="-5"/>
      </w:pPr>
      <w:r>
        <w:rPr>
          <w:rFonts w:ascii="Cambria" w:eastAsia="Cambria" w:hAnsi="Cambria" w:cs="Cambria"/>
          <w:color w:val="000000"/>
          <w:sz w:val="40"/>
        </w:rPr>
        <w:t xml:space="preserve">National Principles of Intellectual Property Management for </w:t>
      </w:r>
    </w:p>
    <w:p w14:paraId="1B27C0CD" w14:textId="77777777" w:rsidR="00A53BE3" w:rsidRDefault="00000000">
      <w:pPr>
        <w:spacing w:after="0" w:line="259" w:lineRule="auto"/>
        <w:ind w:left="-5"/>
      </w:pPr>
      <w:r>
        <w:rPr>
          <w:rFonts w:ascii="Cambria" w:eastAsia="Cambria" w:hAnsi="Cambria" w:cs="Cambria"/>
          <w:color w:val="000000"/>
          <w:sz w:val="40"/>
        </w:rPr>
        <w:t xml:space="preserve">Publicly Funded Researches </w:t>
      </w:r>
      <w:r>
        <w:rPr>
          <w:rFonts w:ascii="Times New Roman" w:eastAsia="Times New Roman" w:hAnsi="Times New Roman" w:cs="Times New Roman"/>
          <w:color w:val="000000"/>
          <w:sz w:val="40"/>
        </w:rPr>
        <w:t xml:space="preserve"> </w:t>
      </w:r>
    </w:p>
    <w:p w14:paraId="5F1C2CFF" w14:textId="77777777" w:rsidR="00A53BE3" w:rsidRDefault="00000000">
      <w:pPr>
        <w:spacing w:after="339" w:line="259" w:lineRule="auto"/>
        <w:ind w:left="-29" w:right="-37" w:firstLine="0"/>
      </w:pPr>
      <w:r>
        <w:rPr>
          <w:noProof/>
          <w:color w:val="000000"/>
          <w:sz w:val="22"/>
        </w:rPr>
        <mc:AlternateContent>
          <mc:Choice Requires="wpg">
            <w:drawing>
              <wp:inline distT="0" distB="0" distL="0" distR="0" wp14:anchorId="24AFB8F5" wp14:editId="045767CC">
                <wp:extent cx="5978017" cy="27432"/>
                <wp:effectExtent l="0" t="0" r="0" b="0"/>
                <wp:docPr id="5219" name="Group 5219"/>
                <wp:cNvGraphicFramePr/>
                <a:graphic xmlns:a="http://schemas.openxmlformats.org/drawingml/2006/main">
                  <a:graphicData uri="http://schemas.microsoft.com/office/word/2010/wordprocessingGroup">
                    <wpg:wgp>
                      <wpg:cNvGrpSpPr/>
                      <wpg:grpSpPr>
                        <a:xfrm>
                          <a:off x="0" y="0"/>
                          <a:ext cx="5978017" cy="27432"/>
                          <a:chOff x="0" y="0"/>
                          <a:chExt cx="5978017" cy="27432"/>
                        </a:xfrm>
                      </wpg:grpSpPr>
                      <wps:wsp>
                        <wps:cNvPr id="6454" name="Shape 6454"/>
                        <wps:cNvSpPr/>
                        <wps:spPr>
                          <a:xfrm>
                            <a:off x="0" y="0"/>
                            <a:ext cx="5978017" cy="27432"/>
                          </a:xfrm>
                          <a:custGeom>
                            <a:avLst/>
                            <a:gdLst/>
                            <a:ahLst/>
                            <a:cxnLst/>
                            <a:rect l="0" t="0" r="0" b="0"/>
                            <a:pathLst>
                              <a:path w="5978017" h="27432">
                                <a:moveTo>
                                  <a:pt x="0" y="0"/>
                                </a:moveTo>
                                <a:lnTo>
                                  <a:pt x="5978017" y="0"/>
                                </a:lnTo>
                                <a:lnTo>
                                  <a:pt x="5978017" y="27432"/>
                                </a:lnTo>
                                <a:lnTo>
                                  <a:pt x="0" y="27432"/>
                                </a:lnTo>
                                <a:lnTo>
                                  <a:pt x="0" y="0"/>
                                </a:lnTo>
                              </a:path>
                            </a:pathLst>
                          </a:custGeom>
                          <a:ln w="0" cap="flat">
                            <a:miter lim="127000"/>
                          </a:ln>
                        </wps:spPr>
                        <wps:style>
                          <a:lnRef idx="0">
                            <a:srgbClr val="000000">
                              <a:alpha val="0"/>
                            </a:srgbClr>
                          </a:lnRef>
                          <a:fillRef idx="1">
                            <a:srgbClr val="170F39"/>
                          </a:fillRef>
                          <a:effectRef idx="0">
                            <a:scrgbClr r="0" g="0" b="0"/>
                          </a:effectRef>
                          <a:fontRef idx="none"/>
                        </wps:style>
                        <wps:bodyPr/>
                      </wps:wsp>
                    </wpg:wgp>
                  </a:graphicData>
                </a:graphic>
              </wp:inline>
            </w:drawing>
          </mc:Choice>
          <mc:Fallback xmlns:a="http://schemas.openxmlformats.org/drawingml/2006/main">
            <w:pict>
              <v:group id="Group 5219" style="width:470.71pt;height:2.15997pt;mso-position-horizontal-relative:char;mso-position-vertical-relative:line" coordsize="59780,274">
                <v:shape id="Shape 6455" style="position:absolute;width:59780;height:274;left:0;top:0;" coordsize="5978017,27432" path="m0,0l5978017,0l5978017,27432l0,27432l0,0">
                  <v:stroke weight="0pt" endcap="flat" joinstyle="miter" miterlimit="10" on="false" color="#000000" opacity="0"/>
                  <v:fill on="true" color="#170f39"/>
                </v:shape>
              </v:group>
            </w:pict>
          </mc:Fallback>
        </mc:AlternateContent>
      </w:r>
    </w:p>
    <w:sdt>
      <w:sdtPr>
        <w:id w:val="-20407431"/>
        <w:docPartObj>
          <w:docPartGallery w:val="Table of Contents"/>
        </w:docPartObj>
      </w:sdtPr>
      <w:sdtContent>
        <w:p w14:paraId="56F71923" w14:textId="77777777" w:rsidR="00A53BE3" w:rsidRDefault="00000000">
          <w:pPr>
            <w:spacing w:after="59" w:line="259" w:lineRule="auto"/>
            <w:ind w:left="0" w:firstLine="0"/>
          </w:pPr>
          <w:r>
            <w:rPr>
              <w:b/>
              <w:color w:val="3E3A78"/>
              <w:sz w:val="28"/>
            </w:rPr>
            <w:t xml:space="preserve">Table of Contents </w:t>
          </w:r>
        </w:p>
        <w:p w14:paraId="608C4022" w14:textId="77777777" w:rsidR="00A53BE3" w:rsidRDefault="00000000">
          <w:pPr>
            <w:pStyle w:val="TOC1"/>
            <w:tabs>
              <w:tab w:val="right" w:leader="dot" w:pos="9349"/>
            </w:tabs>
          </w:pPr>
          <w:r>
            <w:fldChar w:fldCharType="begin"/>
          </w:r>
          <w:r>
            <w:instrText xml:space="preserve"> TOC \o "1-1" \h \z \u </w:instrText>
          </w:r>
          <w:r>
            <w:fldChar w:fldCharType="separate"/>
          </w:r>
          <w:hyperlink w:anchor="_Toc6423">
            <w:r>
              <w:t>Purpose of the Document</w:t>
            </w:r>
            <w:r>
              <w:tab/>
            </w:r>
            <w:r>
              <w:fldChar w:fldCharType="begin"/>
            </w:r>
            <w:r>
              <w:instrText>PAGEREF _Toc6423 \h</w:instrText>
            </w:r>
            <w:r>
              <w:fldChar w:fldCharType="separate"/>
            </w:r>
            <w:r>
              <w:t xml:space="preserve">2 </w:t>
            </w:r>
            <w:r>
              <w:fldChar w:fldCharType="end"/>
            </w:r>
          </w:hyperlink>
        </w:p>
        <w:p w14:paraId="7F85522E" w14:textId="77777777" w:rsidR="00A53BE3" w:rsidRDefault="00000000">
          <w:pPr>
            <w:pStyle w:val="TOC1"/>
            <w:tabs>
              <w:tab w:val="right" w:leader="dot" w:pos="9349"/>
            </w:tabs>
          </w:pPr>
          <w:hyperlink w:anchor="_Toc6424">
            <w:r>
              <w:t>Principles and Policies</w:t>
            </w:r>
            <w:r>
              <w:tab/>
            </w:r>
            <w:r>
              <w:fldChar w:fldCharType="begin"/>
            </w:r>
            <w:r>
              <w:instrText>PAGEREF _Toc6424 \h</w:instrText>
            </w:r>
            <w:r>
              <w:fldChar w:fldCharType="separate"/>
            </w:r>
            <w:r>
              <w:t xml:space="preserve">3 </w:t>
            </w:r>
            <w:r>
              <w:fldChar w:fldCharType="end"/>
            </w:r>
          </w:hyperlink>
        </w:p>
        <w:p w14:paraId="38AEBC40" w14:textId="77777777" w:rsidR="00A53BE3" w:rsidRDefault="00000000">
          <w:pPr>
            <w:pStyle w:val="TOC1"/>
            <w:tabs>
              <w:tab w:val="right" w:leader="dot" w:pos="9349"/>
            </w:tabs>
          </w:pPr>
          <w:hyperlink w:anchor="_Toc6425">
            <w:r>
              <w:t>Accountability</w:t>
            </w:r>
            <w:r>
              <w:tab/>
            </w:r>
            <w:r>
              <w:fldChar w:fldCharType="begin"/>
            </w:r>
            <w:r>
              <w:instrText>PAGEREF _Toc6425 \h</w:instrText>
            </w:r>
            <w:r>
              <w:fldChar w:fldCharType="separate"/>
            </w:r>
            <w:r>
              <w:t xml:space="preserve">5 </w:t>
            </w:r>
            <w:r>
              <w:fldChar w:fldCharType="end"/>
            </w:r>
          </w:hyperlink>
        </w:p>
        <w:p w14:paraId="2278C1BD" w14:textId="77777777" w:rsidR="00A53BE3" w:rsidRDefault="00000000">
          <w:pPr>
            <w:pStyle w:val="TOC1"/>
            <w:tabs>
              <w:tab w:val="right" w:leader="dot" w:pos="9349"/>
            </w:tabs>
          </w:pPr>
          <w:hyperlink w:anchor="_Toc6426">
            <w:r>
              <w:t>Contact Details</w:t>
            </w:r>
            <w:r>
              <w:tab/>
            </w:r>
            <w:r>
              <w:fldChar w:fldCharType="begin"/>
            </w:r>
            <w:r>
              <w:instrText>PAGEREF _Toc6426 \h</w:instrText>
            </w:r>
            <w:r>
              <w:fldChar w:fldCharType="separate"/>
            </w:r>
            <w:r>
              <w:t xml:space="preserve">5 </w:t>
            </w:r>
            <w:r>
              <w:fldChar w:fldCharType="end"/>
            </w:r>
          </w:hyperlink>
        </w:p>
        <w:p w14:paraId="0DAD2503" w14:textId="77777777" w:rsidR="00A53BE3" w:rsidRDefault="00000000">
          <w:r>
            <w:fldChar w:fldCharType="end"/>
          </w:r>
        </w:p>
      </w:sdtContent>
    </w:sdt>
    <w:p w14:paraId="4671A427" w14:textId="77777777" w:rsidR="00A53BE3" w:rsidRDefault="00000000">
      <w:pPr>
        <w:spacing w:after="234" w:line="444" w:lineRule="auto"/>
        <w:ind w:left="-5" w:right="-15"/>
        <w:jc w:val="both"/>
      </w:pPr>
      <w:r>
        <w:rPr>
          <w:rFonts w:ascii="Cambria" w:eastAsia="Cambria" w:hAnsi="Cambria" w:cs="Cambria"/>
          <w:color w:val="170F39"/>
          <w:sz w:val="23"/>
        </w:rPr>
        <w:t xml:space="preserve"> </w:t>
      </w:r>
    </w:p>
    <w:p w14:paraId="10B351A0" w14:textId="77777777" w:rsidR="00A53BE3" w:rsidRDefault="00000000">
      <w:pPr>
        <w:spacing w:after="283" w:line="259" w:lineRule="auto"/>
        <w:ind w:left="0" w:firstLine="0"/>
      </w:pPr>
      <w:r>
        <w:rPr>
          <w:rFonts w:ascii="Cambria" w:eastAsia="Cambria" w:hAnsi="Cambria" w:cs="Cambria"/>
          <w:color w:val="170F39"/>
          <w:sz w:val="40"/>
        </w:rPr>
        <w:t xml:space="preserve"> </w:t>
      </w:r>
    </w:p>
    <w:p w14:paraId="4A4F185A" w14:textId="77777777" w:rsidR="00A53BE3" w:rsidRDefault="00000000">
      <w:pPr>
        <w:spacing w:after="286" w:line="259" w:lineRule="auto"/>
        <w:ind w:left="0" w:firstLine="0"/>
      </w:pPr>
      <w:r>
        <w:rPr>
          <w:rFonts w:ascii="Cambria" w:eastAsia="Cambria" w:hAnsi="Cambria" w:cs="Cambria"/>
          <w:color w:val="170F39"/>
          <w:sz w:val="40"/>
        </w:rPr>
        <w:t xml:space="preserve"> </w:t>
      </w:r>
    </w:p>
    <w:p w14:paraId="57661B7F" w14:textId="77777777" w:rsidR="00A53BE3" w:rsidRDefault="00000000">
      <w:pPr>
        <w:spacing w:after="283" w:line="259" w:lineRule="auto"/>
        <w:ind w:left="0" w:firstLine="0"/>
      </w:pPr>
      <w:r>
        <w:rPr>
          <w:rFonts w:ascii="Cambria" w:eastAsia="Cambria" w:hAnsi="Cambria" w:cs="Cambria"/>
          <w:color w:val="170F39"/>
          <w:sz w:val="40"/>
        </w:rPr>
        <w:t xml:space="preserve"> </w:t>
      </w:r>
    </w:p>
    <w:p w14:paraId="0339B912" w14:textId="77777777" w:rsidR="00A53BE3" w:rsidRDefault="00000000">
      <w:pPr>
        <w:spacing w:after="286" w:line="259" w:lineRule="auto"/>
        <w:ind w:left="0" w:firstLine="0"/>
      </w:pPr>
      <w:r>
        <w:rPr>
          <w:rFonts w:ascii="Cambria" w:eastAsia="Cambria" w:hAnsi="Cambria" w:cs="Cambria"/>
          <w:color w:val="170F39"/>
          <w:sz w:val="40"/>
        </w:rPr>
        <w:t xml:space="preserve"> </w:t>
      </w:r>
    </w:p>
    <w:p w14:paraId="587DAA86" w14:textId="77777777" w:rsidR="00A53BE3" w:rsidRDefault="00000000">
      <w:pPr>
        <w:spacing w:after="286" w:line="259" w:lineRule="auto"/>
        <w:ind w:left="0" w:firstLine="0"/>
      </w:pPr>
      <w:r>
        <w:rPr>
          <w:rFonts w:ascii="Cambria" w:eastAsia="Cambria" w:hAnsi="Cambria" w:cs="Cambria"/>
          <w:color w:val="170F39"/>
          <w:sz w:val="40"/>
        </w:rPr>
        <w:t xml:space="preserve"> </w:t>
      </w:r>
    </w:p>
    <w:p w14:paraId="6803BF5B" w14:textId="77777777" w:rsidR="00A53BE3" w:rsidRDefault="00000000">
      <w:pPr>
        <w:spacing w:after="283" w:line="259" w:lineRule="auto"/>
        <w:ind w:left="0" w:firstLine="0"/>
      </w:pPr>
      <w:r>
        <w:rPr>
          <w:rFonts w:ascii="Cambria" w:eastAsia="Cambria" w:hAnsi="Cambria" w:cs="Cambria"/>
          <w:color w:val="170F39"/>
          <w:sz w:val="40"/>
        </w:rPr>
        <w:t xml:space="preserve"> </w:t>
      </w:r>
    </w:p>
    <w:p w14:paraId="72D0ED62" w14:textId="77777777" w:rsidR="00A53BE3" w:rsidRDefault="00000000">
      <w:pPr>
        <w:spacing w:after="286" w:line="259" w:lineRule="auto"/>
        <w:ind w:left="0" w:firstLine="0"/>
      </w:pPr>
      <w:r>
        <w:rPr>
          <w:rFonts w:ascii="Cambria" w:eastAsia="Cambria" w:hAnsi="Cambria" w:cs="Cambria"/>
          <w:color w:val="170F39"/>
          <w:sz w:val="40"/>
        </w:rPr>
        <w:t xml:space="preserve"> </w:t>
      </w:r>
    </w:p>
    <w:p w14:paraId="542FB4F2" w14:textId="77777777" w:rsidR="00A53BE3" w:rsidRDefault="00000000">
      <w:pPr>
        <w:spacing w:after="283" w:line="259" w:lineRule="auto"/>
        <w:ind w:left="0" w:firstLine="0"/>
      </w:pPr>
      <w:r>
        <w:rPr>
          <w:rFonts w:ascii="Cambria" w:eastAsia="Cambria" w:hAnsi="Cambria" w:cs="Cambria"/>
          <w:color w:val="170F39"/>
          <w:sz w:val="40"/>
        </w:rPr>
        <w:t xml:space="preserve"> </w:t>
      </w:r>
    </w:p>
    <w:p w14:paraId="453D9AEE" w14:textId="77777777" w:rsidR="00A53BE3" w:rsidRDefault="00000000">
      <w:pPr>
        <w:spacing w:after="286" w:line="259" w:lineRule="auto"/>
        <w:ind w:left="0" w:firstLine="0"/>
      </w:pPr>
      <w:r>
        <w:rPr>
          <w:rFonts w:ascii="Cambria" w:eastAsia="Cambria" w:hAnsi="Cambria" w:cs="Cambria"/>
          <w:color w:val="170F39"/>
          <w:sz w:val="40"/>
        </w:rPr>
        <w:t xml:space="preserve"> </w:t>
      </w:r>
    </w:p>
    <w:p w14:paraId="676D6F54" w14:textId="77777777" w:rsidR="00A53BE3" w:rsidRDefault="00000000">
      <w:pPr>
        <w:spacing w:after="286" w:line="259" w:lineRule="auto"/>
        <w:ind w:left="0" w:firstLine="0"/>
      </w:pPr>
      <w:r>
        <w:rPr>
          <w:rFonts w:ascii="Cambria" w:eastAsia="Cambria" w:hAnsi="Cambria" w:cs="Cambria"/>
          <w:color w:val="170F39"/>
          <w:sz w:val="40"/>
        </w:rPr>
        <w:t xml:space="preserve"> </w:t>
      </w:r>
    </w:p>
    <w:p w14:paraId="6C54E5AB" w14:textId="77777777" w:rsidR="00A53BE3" w:rsidRDefault="00000000">
      <w:pPr>
        <w:spacing w:after="283" w:line="259" w:lineRule="auto"/>
        <w:ind w:left="0" w:firstLine="0"/>
      </w:pPr>
      <w:r>
        <w:rPr>
          <w:rFonts w:ascii="Cambria" w:eastAsia="Cambria" w:hAnsi="Cambria" w:cs="Cambria"/>
          <w:color w:val="170F39"/>
          <w:sz w:val="40"/>
        </w:rPr>
        <w:t xml:space="preserve"> </w:t>
      </w:r>
    </w:p>
    <w:p w14:paraId="0FFBD081" w14:textId="77777777" w:rsidR="00A53BE3" w:rsidRDefault="00000000">
      <w:pPr>
        <w:spacing w:after="286" w:line="259" w:lineRule="auto"/>
        <w:ind w:left="0" w:firstLine="0"/>
      </w:pPr>
      <w:r>
        <w:rPr>
          <w:rFonts w:ascii="Cambria" w:eastAsia="Cambria" w:hAnsi="Cambria" w:cs="Cambria"/>
          <w:color w:val="170F39"/>
          <w:sz w:val="40"/>
        </w:rPr>
        <w:t xml:space="preserve"> </w:t>
      </w:r>
    </w:p>
    <w:p w14:paraId="4A7A903F" w14:textId="77777777" w:rsidR="00A53BE3" w:rsidRDefault="00000000">
      <w:pPr>
        <w:spacing w:after="0" w:line="259" w:lineRule="auto"/>
        <w:ind w:left="0" w:firstLine="0"/>
      </w:pPr>
      <w:r>
        <w:rPr>
          <w:rFonts w:ascii="Cambria" w:eastAsia="Cambria" w:hAnsi="Cambria" w:cs="Cambria"/>
          <w:color w:val="170F39"/>
          <w:sz w:val="40"/>
        </w:rPr>
        <w:t xml:space="preserve"> </w:t>
      </w:r>
    </w:p>
    <w:p w14:paraId="5AFCA13E" w14:textId="77777777" w:rsidR="00A53BE3" w:rsidRDefault="00000000">
      <w:pPr>
        <w:pStyle w:val="Heading1"/>
        <w:ind w:left="-5"/>
      </w:pPr>
      <w:bookmarkStart w:id="0" w:name="_Toc6423"/>
      <w:r>
        <w:rPr>
          <w:color w:val="170F39"/>
          <w:sz w:val="40"/>
        </w:rPr>
        <w:t xml:space="preserve">Purpose of the Document </w:t>
      </w:r>
      <w:bookmarkEnd w:id="0"/>
    </w:p>
    <w:p w14:paraId="28C2B7FE" w14:textId="77777777" w:rsidR="00A53BE3" w:rsidRDefault="00000000">
      <w:pPr>
        <w:spacing w:after="171" w:line="259" w:lineRule="auto"/>
        <w:ind w:left="-29" w:right="-37" w:firstLine="0"/>
      </w:pPr>
      <w:r>
        <w:rPr>
          <w:noProof/>
          <w:color w:val="000000"/>
          <w:sz w:val="22"/>
        </w:rPr>
        <mc:AlternateContent>
          <mc:Choice Requires="wpg">
            <w:drawing>
              <wp:inline distT="0" distB="0" distL="0" distR="0" wp14:anchorId="2835B9F4" wp14:editId="302B8C00">
                <wp:extent cx="5978017" cy="27432"/>
                <wp:effectExtent l="0" t="0" r="0" b="0"/>
                <wp:docPr id="5606" name="Group 5606"/>
                <wp:cNvGraphicFramePr/>
                <a:graphic xmlns:a="http://schemas.openxmlformats.org/drawingml/2006/main">
                  <a:graphicData uri="http://schemas.microsoft.com/office/word/2010/wordprocessingGroup">
                    <wpg:wgp>
                      <wpg:cNvGrpSpPr/>
                      <wpg:grpSpPr>
                        <a:xfrm>
                          <a:off x="0" y="0"/>
                          <a:ext cx="5978017" cy="27432"/>
                          <a:chOff x="0" y="0"/>
                          <a:chExt cx="5978017" cy="27432"/>
                        </a:xfrm>
                      </wpg:grpSpPr>
                      <wps:wsp>
                        <wps:cNvPr id="6515" name="Shape 6515"/>
                        <wps:cNvSpPr/>
                        <wps:spPr>
                          <a:xfrm>
                            <a:off x="0" y="0"/>
                            <a:ext cx="5978017" cy="27432"/>
                          </a:xfrm>
                          <a:custGeom>
                            <a:avLst/>
                            <a:gdLst/>
                            <a:ahLst/>
                            <a:cxnLst/>
                            <a:rect l="0" t="0" r="0" b="0"/>
                            <a:pathLst>
                              <a:path w="5978017" h="27432">
                                <a:moveTo>
                                  <a:pt x="0" y="0"/>
                                </a:moveTo>
                                <a:lnTo>
                                  <a:pt x="5978017" y="0"/>
                                </a:lnTo>
                                <a:lnTo>
                                  <a:pt x="5978017" y="27432"/>
                                </a:lnTo>
                                <a:lnTo>
                                  <a:pt x="0" y="27432"/>
                                </a:lnTo>
                                <a:lnTo>
                                  <a:pt x="0" y="0"/>
                                </a:lnTo>
                              </a:path>
                            </a:pathLst>
                          </a:custGeom>
                          <a:ln w="0" cap="flat">
                            <a:miter lim="127000"/>
                          </a:ln>
                        </wps:spPr>
                        <wps:style>
                          <a:lnRef idx="0">
                            <a:srgbClr val="000000">
                              <a:alpha val="0"/>
                            </a:srgbClr>
                          </a:lnRef>
                          <a:fillRef idx="1">
                            <a:srgbClr val="170F39"/>
                          </a:fillRef>
                          <a:effectRef idx="0">
                            <a:scrgbClr r="0" g="0" b="0"/>
                          </a:effectRef>
                          <a:fontRef idx="none"/>
                        </wps:style>
                        <wps:bodyPr/>
                      </wps:wsp>
                    </wpg:wgp>
                  </a:graphicData>
                </a:graphic>
              </wp:inline>
            </w:drawing>
          </mc:Choice>
          <mc:Fallback xmlns:a="http://schemas.openxmlformats.org/drawingml/2006/main">
            <w:pict>
              <v:group id="Group 5606" style="width:470.71pt;height:2.15997pt;mso-position-horizontal-relative:char;mso-position-vertical-relative:line" coordsize="59780,274">
                <v:shape id="Shape 6516" style="position:absolute;width:59780;height:274;left:0;top:0;" coordsize="5978017,27432" path="m0,0l5978017,0l5978017,27432l0,27432l0,0">
                  <v:stroke weight="0pt" endcap="flat" joinstyle="miter" miterlimit="10" on="false" color="#000000" opacity="0"/>
                  <v:fill on="true" color="#170f39"/>
                </v:shape>
              </v:group>
            </w:pict>
          </mc:Fallback>
        </mc:AlternateContent>
      </w:r>
    </w:p>
    <w:p w14:paraId="51195766" w14:textId="77777777" w:rsidR="00A53BE3" w:rsidRDefault="00000000">
      <w:pPr>
        <w:spacing w:after="286" w:line="250" w:lineRule="auto"/>
        <w:ind w:left="0" w:firstLine="0"/>
      </w:pPr>
      <w:r>
        <w:lastRenderedPageBreak/>
        <w:t xml:space="preserve">To provide guidance for the </w:t>
      </w:r>
      <w:r>
        <w:rPr>
          <w:color w:val="000000"/>
        </w:rPr>
        <w:t>ownership, promotion, dissemination, exploitation and, where appropriate, protection of Intellectual Property (IP)</w:t>
      </w:r>
      <w:r>
        <w:rPr>
          <w:color w:val="000000"/>
          <w:vertAlign w:val="superscript"/>
        </w:rPr>
        <w:t>1</w:t>
      </w:r>
      <w:r>
        <w:rPr>
          <w:color w:val="000000"/>
        </w:rPr>
        <w:t xml:space="preserve"> generated through Australian Government funded research by public sector institutions</w:t>
      </w:r>
      <w:r>
        <w:rPr>
          <w:color w:val="000000"/>
          <w:vertAlign w:val="superscript"/>
        </w:rPr>
        <w:t>2</w:t>
      </w:r>
      <w:r>
        <w:rPr>
          <w:b/>
          <w:color w:val="000000"/>
        </w:rPr>
        <w:t xml:space="preserve"> </w:t>
      </w:r>
      <w:r>
        <w:rPr>
          <w:color w:val="000000"/>
        </w:rPr>
        <w:t>.</w:t>
      </w:r>
      <w:r>
        <w:t xml:space="preserve"> </w:t>
      </w:r>
    </w:p>
    <w:p w14:paraId="543AD2DF" w14:textId="77777777" w:rsidR="00A53BE3" w:rsidRDefault="00000000">
      <w:pPr>
        <w:spacing w:after="271"/>
      </w:pPr>
      <w:r>
        <w:t xml:space="preserve">Intellectual Property (IP) is intangible property that attracts rights resulting from intellectual activity in the industrial, scientific, literary or artistic fields. Property protected includes: </w:t>
      </w:r>
    </w:p>
    <w:p w14:paraId="6FB8A7A6" w14:textId="77777777" w:rsidR="00A53BE3" w:rsidRDefault="00000000">
      <w:pPr>
        <w:numPr>
          <w:ilvl w:val="0"/>
          <w:numId w:val="1"/>
        </w:numPr>
        <w:ind w:hanging="360"/>
      </w:pPr>
      <w:r>
        <w:t xml:space="preserve">Literary, artistic and scientific works </w:t>
      </w:r>
    </w:p>
    <w:p w14:paraId="1A048810" w14:textId="77777777" w:rsidR="00A53BE3" w:rsidRDefault="00000000">
      <w:pPr>
        <w:numPr>
          <w:ilvl w:val="0"/>
          <w:numId w:val="1"/>
        </w:numPr>
        <w:ind w:hanging="360"/>
      </w:pPr>
      <w:r>
        <w:t xml:space="preserve">Performances of performing artists, phonograms and broadcasts </w:t>
      </w:r>
    </w:p>
    <w:p w14:paraId="3AE491EC" w14:textId="77777777" w:rsidR="00A53BE3" w:rsidRDefault="00000000">
      <w:pPr>
        <w:numPr>
          <w:ilvl w:val="0"/>
          <w:numId w:val="1"/>
        </w:numPr>
        <w:ind w:hanging="360"/>
      </w:pPr>
      <w:r>
        <w:t xml:space="preserve">Inventions in all fields of human endeavour </w:t>
      </w:r>
    </w:p>
    <w:p w14:paraId="6DBEE8D8" w14:textId="77777777" w:rsidR="00A53BE3" w:rsidRDefault="00000000">
      <w:pPr>
        <w:numPr>
          <w:ilvl w:val="0"/>
          <w:numId w:val="1"/>
        </w:numPr>
        <w:ind w:hanging="360"/>
      </w:pPr>
      <w:r>
        <w:t xml:space="preserve">Scientific discoveries </w:t>
      </w:r>
    </w:p>
    <w:p w14:paraId="4FF785B4" w14:textId="77777777" w:rsidR="00A53BE3" w:rsidRDefault="00000000">
      <w:pPr>
        <w:numPr>
          <w:ilvl w:val="0"/>
          <w:numId w:val="1"/>
        </w:numPr>
        <w:ind w:hanging="360"/>
      </w:pPr>
      <w:r>
        <w:t xml:space="preserve">Industrial designs </w:t>
      </w:r>
    </w:p>
    <w:p w14:paraId="65D11F22" w14:textId="77777777" w:rsidR="00A53BE3" w:rsidRDefault="00000000">
      <w:pPr>
        <w:numPr>
          <w:ilvl w:val="0"/>
          <w:numId w:val="1"/>
        </w:numPr>
        <w:ind w:hanging="360"/>
      </w:pPr>
      <w:r>
        <w:t xml:space="preserve">Trade marks, service marks and commercial names and designations </w:t>
      </w:r>
    </w:p>
    <w:p w14:paraId="22A445E7" w14:textId="77777777" w:rsidR="00A53BE3" w:rsidRDefault="00000000">
      <w:pPr>
        <w:numPr>
          <w:ilvl w:val="0"/>
          <w:numId w:val="1"/>
        </w:numPr>
        <w:spacing w:after="269"/>
        <w:ind w:hanging="360"/>
      </w:pPr>
      <w:r>
        <w:t xml:space="preserve">Protection against unfair competition. </w:t>
      </w:r>
    </w:p>
    <w:p w14:paraId="131A6DA3" w14:textId="77777777" w:rsidR="00A53BE3" w:rsidRDefault="00000000">
      <w:pPr>
        <w:spacing w:after="270"/>
      </w:pPr>
      <w:r>
        <w:t xml:space="preserve">The types of government‐funded research that this document provides guidance for include: grants awarded by ARC, NHMRC, and other government research funding schemes. </w:t>
      </w:r>
    </w:p>
    <w:p w14:paraId="77ECBAF6" w14:textId="77777777" w:rsidR="00A53BE3" w:rsidRDefault="00000000">
      <w:pPr>
        <w:spacing w:after="289"/>
      </w:pPr>
      <w:r>
        <w:t>The following types of research are NOT covered by this document as they should be addressed by internal procedures and agency contracts: research conducted by government departments/agencies for its own purposes (including research conducted by publicly funded research agencies</w:t>
      </w:r>
      <w:r>
        <w:rPr>
          <w:vertAlign w:val="superscript"/>
        </w:rPr>
        <w:t>3</w:t>
      </w:r>
      <w:r>
        <w:t xml:space="preserve"> ), and research procured</w:t>
      </w:r>
      <w:r>
        <w:rPr>
          <w:vertAlign w:val="superscript"/>
        </w:rPr>
        <w:t>4</w:t>
      </w:r>
      <w:r>
        <w:t xml:space="preserve"> by government departments/agencies. </w:t>
      </w:r>
    </w:p>
    <w:p w14:paraId="4FCD6AC6" w14:textId="77777777" w:rsidR="00A53BE3" w:rsidRDefault="00000000">
      <w:pPr>
        <w:spacing w:after="272"/>
      </w:pPr>
      <w:r>
        <w:t xml:space="preserve">The intention of the National Principles is to ensure good management of IP arising from publicly funded research. </w:t>
      </w:r>
    </w:p>
    <w:p w14:paraId="16860E11" w14:textId="77777777" w:rsidR="00A53BE3" w:rsidRDefault="00000000">
      <w:pPr>
        <w:spacing w:after="160"/>
      </w:pPr>
      <w:r>
        <w:t xml:space="preserve">The national principles were formed taking into account the need to encourage a culture of collaboration within the research sector and between researchers and industry; and to allow </w:t>
      </w:r>
    </w:p>
    <w:p w14:paraId="2FD65760" w14:textId="77777777" w:rsidR="00A53BE3" w:rsidRDefault="00000000">
      <w:pPr>
        <w:spacing w:after="0" w:line="259" w:lineRule="auto"/>
        <w:ind w:left="0" w:firstLine="0"/>
      </w:pPr>
      <w:r>
        <w:rPr>
          <w:noProof/>
          <w:color w:val="000000"/>
          <w:sz w:val="22"/>
        </w:rPr>
        <mc:AlternateContent>
          <mc:Choice Requires="wpg">
            <w:drawing>
              <wp:inline distT="0" distB="0" distL="0" distR="0" wp14:anchorId="11A6A4FC" wp14:editId="411407E0">
                <wp:extent cx="1829054" cy="9144"/>
                <wp:effectExtent l="0" t="0" r="0" b="0"/>
                <wp:docPr id="5607" name="Group 5607"/>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6517" name="Shape 651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2D3037"/>
                          </a:fillRef>
                          <a:effectRef idx="0">
                            <a:scrgbClr r="0" g="0" b="0"/>
                          </a:effectRef>
                          <a:fontRef idx="none"/>
                        </wps:style>
                        <wps:bodyPr/>
                      </wps:wsp>
                    </wpg:wgp>
                  </a:graphicData>
                </a:graphic>
              </wp:inline>
            </w:drawing>
          </mc:Choice>
          <mc:Fallback xmlns:a="http://schemas.openxmlformats.org/drawingml/2006/main">
            <w:pict>
              <v:group id="Group 5607" style="width:144.02pt;height:0.720001pt;mso-position-horizontal-relative:char;mso-position-vertical-relative:line" coordsize="18290,91">
                <v:shape id="Shape 6518" style="position:absolute;width:18290;height:91;left:0;top:0;" coordsize="1829054,9144" path="m0,0l1829054,0l1829054,9144l0,9144l0,0">
                  <v:stroke weight="0pt" endcap="flat" joinstyle="miter" miterlimit="10" on="false" color="#000000" opacity="0"/>
                  <v:fill on="true" color="#2d3037"/>
                </v:shape>
              </v:group>
            </w:pict>
          </mc:Fallback>
        </mc:AlternateContent>
      </w:r>
      <w:r>
        <w:rPr>
          <w:color w:val="2D3037"/>
          <w:sz w:val="22"/>
        </w:rPr>
        <w:t xml:space="preserve"> </w:t>
      </w:r>
    </w:p>
    <w:p w14:paraId="4CE2D65D" w14:textId="77777777" w:rsidR="00A53BE3" w:rsidRDefault="00000000">
      <w:pPr>
        <w:numPr>
          <w:ilvl w:val="0"/>
          <w:numId w:val="2"/>
        </w:numPr>
        <w:spacing w:after="0" w:line="259" w:lineRule="auto"/>
        <w:ind w:hanging="67"/>
      </w:pPr>
      <w:hyperlink r:id="rId7">
        <w:r>
          <w:rPr>
            <w:i/>
            <w:color w:val="005A7A"/>
            <w:sz w:val="16"/>
            <w:u w:val="single" w:color="005A7A"/>
          </w:rPr>
          <w:t>The Australian Government Intellectual Property Manual</w:t>
        </w:r>
      </w:hyperlink>
      <w:hyperlink r:id="rId8">
        <w:r>
          <w:rPr>
            <w:color w:val="2D3037"/>
            <w:sz w:val="12"/>
          </w:rPr>
          <w:t xml:space="preserve"> </w:t>
        </w:r>
      </w:hyperlink>
    </w:p>
    <w:p w14:paraId="35469B7B" w14:textId="77777777" w:rsidR="00A53BE3" w:rsidRDefault="00000000">
      <w:pPr>
        <w:numPr>
          <w:ilvl w:val="0"/>
          <w:numId w:val="2"/>
        </w:numPr>
        <w:spacing w:after="274"/>
        <w:ind w:hanging="67"/>
      </w:pPr>
      <w:r>
        <w:rPr>
          <w:sz w:val="16"/>
        </w:rPr>
        <w:t>A public sector institution is one that is funded by, or majority funded by, government including universities, research institutes, hospitals, etc.</w:t>
      </w:r>
      <w:r>
        <w:rPr>
          <w:sz w:val="12"/>
        </w:rPr>
        <w:t xml:space="preserve"> </w:t>
      </w:r>
      <w:r>
        <w:rPr>
          <w:color w:val="000000"/>
          <w:sz w:val="16"/>
          <w:vertAlign w:val="superscript"/>
        </w:rPr>
        <w:t>3</w:t>
      </w:r>
      <w:r>
        <w:rPr>
          <w:color w:val="000000"/>
          <w:sz w:val="16"/>
        </w:rPr>
        <w:t xml:space="preserve"> </w:t>
      </w:r>
      <w:r>
        <w:rPr>
          <w:sz w:val="16"/>
        </w:rPr>
        <w:t xml:space="preserve">Publicly funded research agencies (PFRAs) are Commonwealth research agencies that are subject to either the </w:t>
      </w:r>
      <w:r>
        <w:rPr>
          <w:i/>
          <w:sz w:val="16"/>
        </w:rPr>
        <w:t>Financial Management and Accountability Act 1997</w:t>
      </w:r>
      <w:r>
        <w:rPr>
          <w:sz w:val="16"/>
        </w:rPr>
        <w:t xml:space="preserve"> (FMA Act), e.g. DSTO and Geoscience Australia, or the</w:t>
      </w:r>
      <w:r>
        <w:rPr>
          <w:i/>
          <w:sz w:val="16"/>
        </w:rPr>
        <w:t xml:space="preserve"> Commonwealth Authorities and Companies Act 1997</w:t>
      </w:r>
      <w:r>
        <w:rPr>
          <w:sz w:val="16"/>
        </w:rPr>
        <w:t xml:space="preserve"> (CAC Act), e.g. CSIRO and ANSTO. The </w:t>
      </w:r>
      <w:r>
        <w:rPr>
          <w:i/>
          <w:sz w:val="16"/>
        </w:rPr>
        <w:t>Statement of Intellectual Property Principles</w:t>
      </w:r>
      <w:r>
        <w:rPr>
          <w:sz w:val="16"/>
        </w:rPr>
        <w:t xml:space="preserve"> for Australian Government Agencies (Statement of IP Principles) provides the endorsed Government policy for management of IP in all agencies subject to the FMA Act. The Statement of IP Principles do not apply to agencies subject to the CAC Act but could be considered by these agencies as an expression of good practice in the management of IP. </w:t>
      </w:r>
    </w:p>
    <w:p w14:paraId="70C79486" w14:textId="77777777" w:rsidR="00A53BE3" w:rsidRDefault="00000000">
      <w:pPr>
        <w:spacing w:after="273"/>
        <w:ind w:left="-5"/>
      </w:pPr>
      <w:r>
        <w:rPr>
          <w:color w:val="000000"/>
          <w:sz w:val="16"/>
          <w:vertAlign w:val="superscript"/>
        </w:rPr>
        <w:t>4</w:t>
      </w:r>
      <w:r>
        <w:rPr>
          <w:color w:val="000000"/>
          <w:sz w:val="16"/>
        </w:rPr>
        <w:t xml:space="preserve"> </w:t>
      </w:r>
      <w:r>
        <w:rPr>
          <w:sz w:val="16"/>
        </w:rPr>
        <w:t xml:space="preserve">Under the </w:t>
      </w:r>
      <w:r>
        <w:rPr>
          <w:i/>
          <w:sz w:val="16"/>
        </w:rPr>
        <w:t>Commonwealth Procurement Rules 2012</w:t>
      </w:r>
      <w:r>
        <w:rPr>
          <w:sz w:val="16"/>
        </w:rPr>
        <w:t xml:space="preserve"> (Paragraphs 2.7‐2.9), procurement encompasses the whole process of procuring goods and services. It begins when a need has been identified and a decision has been made on the procurement requirement. Procurement continues through the processes of risk assessment, seeking and evaluating alternative solutions, the awarding of a contract, the delivery of and payment for the goods and services and, where relevant, the ongoing management of the contract and consideration of disposal of goods. Procurement does not include: </w:t>
      </w:r>
    </w:p>
    <w:p w14:paraId="3399C687" w14:textId="77777777" w:rsidR="00A53BE3" w:rsidRDefault="00000000">
      <w:pPr>
        <w:spacing w:after="4"/>
        <w:ind w:left="-5" w:right="2478"/>
      </w:pPr>
      <w:r>
        <w:rPr>
          <w:sz w:val="16"/>
        </w:rPr>
        <w:t xml:space="preserve">a. grants (whether in the form of a contract, conditional gift or deed) </w:t>
      </w:r>
      <w:r>
        <w:rPr>
          <w:i/>
          <w:sz w:val="16"/>
        </w:rPr>
        <w:t>[as defined in FMA Regulation 3A]</w:t>
      </w:r>
      <w:r>
        <w:rPr>
          <w:sz w:val="16"/>
        </w:rPr>
        <w:t xml:space="preserve"> b. investments (or divestments) </w:t>
      </w:r>
    </w:p>
    <w:p w14:paraId="2D61E79C" w14:textId="77777777" w:rsidR="00A53BE3" w:rsidRDefault="00000000">
      <w:pPr>
        <w:numPr>
          <w:ilvl w:val="0"/>
          <w:numId w:val="3"/>
        </w:numPr>
        <w:spacing w:after="4"/>
        <w:ind w:hanging="161"/>
      </w:pPr>
      <w:r>
        <w:rPr>
          <w:sz w:val="16"/>
        </w:rPr>
        <w:t xml:space="preserve">sales by tender </w:t>
      </w:r>
    </w:p>
    <w:p w14:paraId="1FFF18DA" w14:textId="77777777" w:rsidR="00A53BE3" w:rsidRDefault="00000000">
      <w:pPr>
        <w:numPr>
          <w:ilvl w:val="0"/>
          <w:numId w:val="3"/>
        </w:numPr>
        <w:spacing w:after="4"/>
        <w:ind w:hanging="161"/>
      </w:pPr>
      <w:r>
        <w:rPr>
          <w:sz w:val="16"/>
        </w:rPr>
        <w:t xml:space="preserve">loans </w:t>
      </w:r>
    </w:p>
    <w:p w14:paraId="18691A1F" w14:textId="77777777" w:rsidR="00A53BE3" w:rsidRDefault="00000000">
      <w:pPr>
        <w:numPr>
          <w:ilvl w:val="0"/>
          <w:numId w:val="3"/>
        </w:numPr>
        <w:spacing w:after="4"/>
        <w:ind w:hanging="161"/>
      </w:pPr>
      <w:r>
        <w:rPr>
          <w:sz w:val="16"/>
        </w:rPr>
        <w:t xml:space="preserve">procurement of goods and services for resale or procurement of goods and services used in the production of goods for resale </w:t>
      </w:r>
    </w:p>
    <w:p w14:paraId="131BD036" w14:textId="77777777" w:rsidR="00A53BE3" w:rsidRDefault="00000000">
      <w:pPr>
        <w:numPr>
          <w:ilvl w:val="0"/>
          <w:numId w:val="3"/>
        </w:numPr>
        <w:spacing w:after="4"/>
        <w:ind w:hanging="161"/>
      </w:pPr>
      <w:r>
        <w:rPr>
          <w:sz w:val="16"/>
        </w:rPr>
        <w:t xml:space="preserve">any property right not acquired through the expenditure of public money (for example, a right to pursue a legal claim for negligence) g. statutory appointment </w:t>
      </w:r>
    </w:p>
    <w:p w14:paraId="2D0F5CE5" w14:textId="77777777" w:rsidR="00A53BE3" w:rsidRDefault="00000000">
      <w:pPr>
        <w:numPr>
          <w:ilvl w:val="0"/>
          <w:numId w:val="4"/>
        </w:numPr>
        <w:spacing w:after="4"/>
        <w:ind w:hanging="161"/>
      </w:pPr>
      <w:r>
        <w:rPr>
          <w:sz w:val="16"/>
        </w:rPr>
        <w:t xml:space="preserve">appointments made by a Minister using the executive power (for example, the appointment of a person to an advisory board </w:t>
      </w:r>
    </w:p>
    <w:p w14:paraId="416B7649" w14:textId="77777777" w:rsidR="00A53BE3" w:rsidRDefault="00000000">
      <w:pPr>
        <w:numPr>
          <w:ilvl w:val="0"/>
          <w:numId w:val="4"/>
        </w:numPr>
        <w:spacing w:after="312"/>
        <w:ind w:hanging="161"/>
      </w:pPr>
      <w:r>
        <w:rPr>
          <w:sz w:val="16"/>
        </w:rPr>
        <w:t xml:space="preserve">the engagement of employees ‐ such as under the </w:t>
      </w:r>
      <w:r>
        <w:rPr>
          <w:i/>
          <w:sz w:val="16"/>
        </w:rPr>
        <w:t>Public Service Act 1999</w:t>
      </w:r>
      <w:r>
        <w:rPr>
          <w:sz w:val="16"/>
        </w:rPr>
        <w:t xml:space="preserve">, the </w:t>
      </w:r>
      <w:r>
        <w:rPr>
          <w:i/>
          <w:sz w:val="16"/>
        </w:rPr>
        <w:t xml:space="preserve">Parliamentary Services Act 1999, </w:t>
      </w:r>
      <w:r>
        <w:rPr>
          <w:sz w:val="16"/>
        </w:rPr>
        <w:t xml:space="preserve">an agency's enabling legislation or the common law concept of employment. </w:t>
      </w:r>
    </w:p>
    <w:p w14:paraId="52A5B818" w14:textId="77777777" w:rsidR="00A53BE3" w:rsidRDefault="00000000">
      <w:pPr>
        <w:spacing w:after="0" w:line="259" w:lineRule="auto"/>
        <w:ind w:left="0" w:firstLine="0"/>
      </w:pPr>
      <w:r>
        <w:rPr>
          <w:color w:val="2D3037"/>
          <w:sz w:val="20"/>
        </w:rPr>
        <w:t xml:space="preserve"> </w:t>
      </w:r>
    </w:p>
    <w:p w14:paraId="3A9447F0" w14:textId="77777777" w:rsidR="00A53BE3" w:rsidRDefault="00000000">
      <w:pPr>
        <w:spacing w:after="273"/>
      </w:pPr>
      <w:r>
        <w:lastRenderedPageBreak/>
        <w:t xml:space="preserve">for more effective dissemination of new technologies, processes and ideas, especially to small and medium sized enterprises. </w:t>
      </w:r>
    </w:p>
    <w:p w14:paraId="65988625" w14:textId="77777777" w:rsidR="00A53BE3" w:rsidRDefault="00000000">
      <w:pPr>
        <w:spacing w:after="498"/>
      </w:pPr>
      <w:r>
        <w:t xml:space="preserve">Good intellectual property management will foster the most beneficial use of Australian research and development to secure value for industries, government, researchers and the community. </w:t>
      </w:r>
    </w:p>
    <w:p w14:paraId="275F2FFB" w14:textId="77777777" w:rsidR="00A53BE3" w:rsidRDefault="00000000">
      <w:pPr>
        <w:pStyle w:val="Heading1"/>
        <w:ind w:left="-5"/>
      </w:pPr>
      <w:bookmarkStart w:id="1" w:name="_Toc6424"/>
      <w:r>
        <w:t xml:space="preserve">Principles and Policies </w:t>
      </w:r>
      <w:bookmarkEnd w:id="1"/>
    </w:p>
    <w:p w14:paraId="09C0714D" w14:textId="77777777" w:rsidR="00A53BE3" w:rsidRDefault="00000000">
      <w:pPr>
        <w:spacing w:after="173" w:line="259" w:lineRule="auto"/>
        <w:ind w:left="-29" w:right="-37" w:firstLine="0"/>
      </w:pPr>
      <w:r>
        <w:rPr>
          <w:noProof/>
          <w:color w:val="000000"/>
          <w:sz w:val="22"/>
        </w:rPr>
        <mc:AlternateContent>
          <mc:Choice Requires="wpg">
            <w:drawing>
              <wp:inline distT="0" distB="0" distL="0" distR="0" wp14:anchorId="387EFC49" wp14:editId="7AA1432C">
                <wp:extent cx="5978017" cy="27432"/>
                <wp:effectExtent l="0" t="0" r="0" b="0"/>
                <wp:docPr id="5670" name="Group 5670"/>
                <wp:cNvGraphicFramePr/>
                <a:graphic xmlns:a="http://schemas.openxmlformats.org/drawingml/2006/main">
                  <a:graphicData uri="http://schemas.microsoft.com/office/word/2010/wordprocessingGroup">
                    <wpg:wgp>
                      <wpg:cNvGrpSpPr/>
                      <wpg:grpSpPr>
                        <a:xfrm>
                          <a:off x="0" y="0"/>
                          <a:ext cx="5978017" cy="27432"/>
                          <a:chOff x="0" y="0"/>
                          <a:chExt cx="5978017" cy="27432"/>
                        </a:xfrm>
                      </wpg:grpSpPr>
                      <wps:wsp>
                        <wps:cNvPr id="6529" name="Shape 6529"/>
                        <wps:cNvSpPr/>
                        <wps:spPr>
                          <a:xfrm>
                            <a:off x="0" y="0"/>
                            <a:ext cx="5978017" cy="27432"/>
                          </a:xfrm>
                          <a:custGeom>
                            <a:avLst/>
                            <a:gdLst/>
                            <a:ahLst/>
                            <a:cxnLst/>
                            <a:rect l="0" t="0" r="0" b="0"/>
                            <a:pathLst>
                              <a:path w="5978017" h="27432">
                                <a:moveTo>
                                  <a:pt x="0" y="0"/>
                                </a:moveTo>
                                <a:lnTo>
                                  <a:pt x="5978017" y="0"/>
                                </a:lnTo>
                                <a:lnTo>
                                  <a:pt x="5978017" y="27432"/>
                                </a:lnTo>
                                <a:lnTo>
                                  <a:pt x="0" y="27432"/>
                                </a:lnTo>
                                <a:lnTo>
                                  <a:pt x="0" y="0"/>
                                </a:lnTo>
                              </a:path>
                            </a:pathLst>
                          </a:custGeom>
                          <a:ln w="0" cap="flat">
                            <a:miter lim="127000"/>
                          </a:ln>
                        </wps:spPr>
                        <wps:style>
                          <a:lnRef idx="0">
                            <a:srgbClr val="000000">
                              <a:alpha val="0"/>
                            </a:srgbClr>
                          </a:lnRef>
                          <a:fillRef idx="1">
                            <a:srgbClr val="170F39"/>
                          </a:fillRef>
                          <a:effectRef idx="0">
                            <a:scrgbClr r="0" g="0" b="0"/>
                          </a:effectRef>
                          <a:fontRef idx="none"/>
                        </wps:style>
                        <wps:bodyPr/>
                      </wps:wsp>
                    </wpg:wgp>
                  </a:graphicData>
                </a:graphic>
              </wp:inline>
            </w:drawing>
          </mc:Choice>
          <mc:Fallback xmlns:a="http://schemas.openxmlformats.org/drawingml/2006/main">
            <w:pict>
              <v:group id="Group 5670" style="width:470.71pt;height:2.15997pt;mso-position-horizontal-relative:char;mso-position-vertical-relative:line" coordsize="59780,274">
                <v:shape id="Shape 6530" style="position:absolute;width:59780;height:274;left:0;top:0;" coordsize="5978017,27432" path="m0,0l5978017,0l5978017,27432l0,27432l0,0">
                  <v:stroke weight="0pt" endcap="flat" joinstyle="miter" miterlimit="10" on="false" color="#000000" opacity="0"/>
                  <v:fill on="true" color="#170f39"/>
                </v:shape>
              </v:group>
            </w:pict>
          </mc:Fallback>
        </mc:AlternateContent>
      </w:r>
    </w:p>
    <w:p w14:paraId="36C74488" w14:textId="77777777" w:rsidR="00A53BE3" w:rsidRDefault="00000000">
      <w:pPr>
        <w:numPr>
          <w:ilvl w:val="0"/>
          <w:numId w:val="5"/>
        </w:numPr>
        <w:spacing w:after="267"/>
        <w:ind w:hanging="319"/>
      </w:pPr>
      <w:r>
        <w:t xml:space="preserve">The </w:t>
      </w:r>
      <w:r>
        <w:rPr>
          <w:i/>
        </w:rPr>
        <w:t>Australian Code for the Responsible Conduct of Research</w:t>
      </w:r>
      <w:r>
        <w:rPr>
          <w:i/>
          <w:vertAlign w:val="superscript"/>
        </w:rPr>
        <w:t>5</w:t>
      </w:r>
      <w:r>
        <w:rPr>
          <w:b/>
        </w:rPr>
        <w:t xml:space="preserve"> </w:t>
      </w:r>
      <w:r>
        <w:t xml:space="preserve">establishes an overall framework for responsible research practices in Australia. </w:t>
      </w:r>
    </w:p>
    <w:p w14:paraId="159CD9AB" w14:textId="77777777" w:rsidR="00A53BE3" w:rsidRDefault="00000000">
      <w:pPr>
        <w:numPr>
          <w:ilvl w:val="0"/>
          <w:numId w:val="5"/>
        </w:numPr>
        <w:spacing w:after="272"/>
        <w:ind w:hanging="319"/>
      </w:pPr>
      <w:r>
        <w:t xml:space="preserve">Australian research institutions will make every reasonable effort to gain benefit for Australia from IP. This may involve for example protection or making the IP publicly available in a timely manner. </w:t>
      </w:r>
    </w:p>
    <w:p w14:paraId="3D573ACE" w14:textId="77777777" w:rsidR="00A53BE3" w:rsidRDefault="00000000">
      <w:pPr>
        <w:numPr>
          <w:ilvl w:val="0"/>
          <w:numId w:val="5"/>
        </w:numPr>
        <w:spacing w:after="274"/>
        <w:ind w:hanging="319"/>
      </w:pPr>
      <w:r>
        <w:t xml:space="preserve">Ownership and the associated rights of all IP generated as a result of Australian Government competitively funded research will initially be vested in the research institutions receiving and administering the grants as a way of recognising the inventive contribution made by the research institutions. IP generated as a result of collaborative endeavours between research institutions will vest as agreed between those institutions. The ARC and the NHMRC do not wish to hold a stake in direct ownership of IP nor do they intend to benefit directly from commercial outcomes of the research funded through their financial support. </w:t>
      </w:r>
    </w:p>
    <w:p w14:paraId="5677C7D4" w14:textId="77777777" w:rsidR="00A53BE3" w:rsidRDefault="00000000">
      <w:pPr>
        <w:numPr>
          <w:ilvl w:val="0"/>
          <w:numId w:val="5"/>
        </w:numPr>
        <w:spacing w:after="272"/>
        <w:ind w:hanging="319"/>
      </w:pPr>
      <w:r>
        <w:t>Research institutions must have policies</w:t>
      </w:r>
      <w:r>
        <w:rPr>
          <w:vertAlign w:val="superscript"/>
        </w:rPr>
        <w:t>6</w:t>
      </w:r>
      <w:r>
        <w:t xml:space="preserve"> , relating to the ownership and availability for exploitation of IP generated as a result of Australian Government competitive funding. These policies will foster the most valuable use of this IP by industry and commercial ventures, governments, and the research sector by means including: </w:t>
      </w:r>
    </w:p>
    <w:p w14:paraId="4C39E56F" w14:textId="77777777" w:rsidR="00A53BE3" w:rsidRDefault="00000000">
      <w:pPr>
        <w:numPr>
          <w:ilvl w:val="1"/>
          <w:numId w:val="5"/>
        </w:numPr>
        <w:ind w:hanging="360"/>
      </w:pPr>
      <w:r>
        <w:t xml:space="preserve">Making the IP openly accessible through licensing and accessibility arrangements which allow for its use and re‐use, including potentially for commercial exploitation </w:t>
      </w:r>
    </w:p>
    <w:p w14:paraId="6423AFDC" w14:textId="77777777" w:rsidR="00A53BE3" w:rsidRDefault="00000000">
      <w:pPr>
        <w:numPr>
          <w:ilvl w:val="1"/>
          <w:numId w:val="5"/>
        </w:numPr>
        <w:spacing w:after="272"/>
        <w:ind w:hanging="360"/>
      </w:pPr>
      <w:r>
        <w:t xml:space="preserve">Protecting the IP through licensing and accessibility arrangements which provide exclusive opportunities to undertake commercial exploitation. </w:t>
      </w:r>
    </w:p>
    <w:p w14:paraId="481E7146" w14:textId="77777777" w:rsidR="00A53BE3" w:rsidRDefault="00000000">
      <w:pPr>
        <w:numPr>
          <w:ilvl w:val="0"/>
          <w:numId w:val="5"/>
        </w:numPr>
        <w:spacing w:after="269"/>
        <w:ind w:hanging="319"/>
      </w:pPr>
      <w:r>
        <w:t xml:space="preserve">These policies must: </w:t>
      </w:r>
    </w:p>
    <w:p w14:paraId="52EC68EA" w14:textId="77777777" w:rsidR="00A53BE3" w:rsidRDefault="00000000">
      <w:pPr>
        <w:numPr>
          <w:ilvl w:val="1"/>
          <w:numId w:val="5"/>
        </w:numPr>
        <w:ind w:hanging="360"/>
      </w:pPr>
      <w:r>
        <w:t xml:space="preserve">Be approved by the institution's governing body </w:t>
      </w:r>
    </w:p>
    <w:p w14:paraId="5281B4B8" w14:textId="77777777" w:rsidR="00A53BE3" w:rsidRDefault="00000000">
      <w:pPr>
        <w:numPr>
          <w:ilvl w:val="1"/>
          <w:numId w:val="5"/>
        </w:numPr>
        <w:ind w:hanging="360"/>
      </w:pPr>
      <w:r>
        <w:t xml:space="preserve">Ensure that there is clean and clear ownership of IP so as to maximise its chance of promotion, dissemination and exploitation, including exclusive arrangements for commercial exploitation where appropriate </w:t>
      </w:r>
    </w:p>
    <w:p w14:paraId="54FEDD45" w14:textId="77777777" w:rsidR="00A53BE3" w:rsidRDefault="00000000">
      <w:pPr>
        <w:numPr>
          <w:ilvl w:val="1"/>
          <w:numId w:val="5"/>
        </w:numPr>
        <w:spacing w:after="582"/>
        <w:ind w:hanging="360"/>
      </w:pPr>
      <w:r>
        <w:t xml:space="preserve">Make clear to all staff their responsibilities in relation to IP management including, where appropriate, the maintenance of research records (including elab books where possible, and field notebooks) and the handling of research results prior to promoting and disseminating the IP or obtaining IP protection </w:t>
      </w:r>
    </w:p>
    <w:p w14:paraId="507B8585" w14:textId="77777777" w:rsidR="00A53BE3" w:rsidRDefault="00000000">
      <w:pPr>
        <w:spacing w:after="0" w:line="259" w:lineRule="auto"/>
        <w:ind w:left="0" w:firstLine="0"/>
      </w:pPr>
      <w:r>
        <w:rPr>
          <w:noProof/>
          <w:color w:val="000000"/>
          <w:sz w:val="22"/>
        </w:rPr>
        <w:lastRenderedPageBreak/>
        <mc:AlternateContent>
          <mc:Choice Requires="wpg">
            <w:drawing>
              <wp:inline distT="0" distB="0" distL="0" distR="0" wp14:anchorId="179AFA34" wp14:editId="2F7D6340">
                <wp:extent cx="1829054" cy="9144"/>
                <wp:effectExtent l="0" t="0" r="0" b="0"/>
                <wp:docPr id="5671" name="Group 567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6541" name="Shape 654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2D3037"/>
                          </a:fillRef>
                          <a:effectRef idx="0">
                            <a:scrgbClr r="0" g="0" b="0"/>
                          </a:effectRef>
                          <a:fontRef idx="none"/>
                        </wps:style>
                        <wps:bodyPr/>
                      </wps:wsp>
                    </wpg:wgp>
                  </a:graphicData>
                </a:graphic>
              </wp:inline>
            </w:drawing>
          </mc:Choice>
          <mc:Fallback xmlns:a="http://schemas.openxmlformats.org/drawingml/2006/main">
            <w:pict>
              <v:group id="Group 5671" style="width:144.02pt;height:0.719971pt;mso-position-horizontal-relative:char;mso-position-vertical-relative:line" coordsize="18290,91">
                <v:shape id="Shape 6542" style="position:absolute;width:18290;height:91;left:0;top:0;" coordsize="1829054,9144" path="m0,0l1829054,0l1829054,9144l0,9144l0,0">
                  <v:stroke weight="0pt" endcap="flat" joinstyle="miter" miterlimit="10" on="false" color="#000000" opacity="0"/>
                  <v:fill on="true" color="#2d3037"/>
                </v:shape>
              </v:group>
            </w:pict>
          </mc:Fallback>
        </mc:AlternateContent>
      </w:r>
      <w:r>
        <w:rPr>
          <w:color w:val="2D3037"/>
          <w:sz w:val="22"/>
        </w:rPr>
        <w:t xml:space="preserve"> </w:t>
      </w:r>
    </w:p>
    <w:p w14:paraId="2DBE16E9" w14:textId="77777777" w:rsidR="00A53BE3" w:rsidRDefault="00000000">
      <w:pPr>
        <w:numPr>
          <w:ilvl w:val="0"/>
          <w:numId w:val="6"/>
        </w:numPr>
        <w:spacing w:after="4"/>
      </w:pPr>
      <w:r>
        <w:rPr>
          <w:sz w:val="16"/>
        </w:rPr>
        <w:t>National Health and Medical Research Council, Australian Research Council, Universities Australia (2007)</w:t>
      </w:r>
      <w:hyperlink r:id="rId9">
        <w:r>
          <w:rPr>
            <w:sz w:val="16"/>
          </w:rPr>
          <w:t xml:space="preserve"> </w:t>
        </w:r>
      </w:hyperlink>
      <w:hyperlink r:id="rId10">
        <w:r>
          <w:rPr>
            <w:i/>
            <w:color w:val="005A7A"/>
            <w:sz w:val="16"/>
            <w:u w:val="single" w:color="005A7A"/>
          </w:rPr>
          <w:t xml:space="preserve">Australian Code for the Responsible </w:t>
        </w:r>
      </w:hyperlink>
      <w:hyperlink r:id="rId11">
        <w:r>
          <w:rPr>
            <w:i/>
            <w:color w:val="005A7A"/>
            <w:sz w:val="16"/>
            <w:u w:val="single" w:color="005A7A"/>
          </w:rPr>
          <w:t>Conduct of Research</w:t>
        </w:r>
      </w:hyperlink>
      <w:hyperlink r:id="rId12">
        <w:r>
          <w:rPr>
            <w:sz w:val="16"/>
          </w:rPr>
          <w:t xml:space="preserve">. </w:t>
        </w:r>
      </w:hyperlink>
      <w:r>
        <w:rPr>
          <w:sz w:val="16"/>
        </w:rPr>
        <w:t xml:space="preserve"> </w:t>
      </w:r>
      <w:r>
        <w:rPr>
          <w:color w:val="2D3037"/>
          <w:sz w:val="16"/>
        </w:rPr>
        <w:t xml:space="preserve"> </w:t>
      </w:r>
    </w:p>
    <w:p w14:paraId="7081A915" w14:textId="77777777" w:rsidR="00A53BE3" w:rsidRDefault="00000000">
      <w:pPr>
        <w:numPr>
          <w:ilvl w:val="0"/>
          <w:numId w:val="6"/>
        </w:numPr>
        <w:spacing w:after="4"/>
      </w:pPr>
      <w:r>
        <w:rPr>
          <w:sz w:val="16"/>
        </w:rPr>
        <w:t xml:space="preserve">These policies should reflect and be consistent with the </w:t>
      </w:r>
      <w:r>
        <w:rPr>
          <w:i/>
          <w:sz w:val="16"/>
        </w:rPr>
        <w:t xml:space="preserve">Australian Code for the Responsible Conduct of Research </w:t>
      </w:r>
      <w:r>
        <w:rPr>
          <w:sz w:val="16"/>
        </w:rPr>
        <w:t>requirements as set out in Part A, Chapter 1 "</w:t>
      </w:r>
      <w:r>
        <w:rPr>
          <w:i/>
          <w:sz w:val="16"/>
        </w:rPr>
        <w:t>General Principles of Responsible Research</w:t>
      </w:r>
      <w:r>
        <w:rPr>
          <w:sz w:val="16"/>
        </w:rPr>
        <w:t>"</w:t>
      </w:r>
      <w:r>
        <w:rPr>
          <w:color w:val="2D3037"/>
          <w:sz w:val="20"/>
        </w:rPr>
        <w:t xml:space="preserve"> </w:t>
      </w:r>
    </w:p>
    <w:p w14:paraId="39406C90" w14:textId="77777777" w:rsidR="00A53BE3" w:rsidRDefault="00000000">
      <w:pPr>
        <w:numPr>
          <w:ilvl w:val="1"/>
          <w:numId w:val="6"/>
        </w:numPr>
        <w:ind w:hanging="360"/>
      </w:pPr>
      <w:r>
        <w:t>Provide means to help researchers identify IP that should be protected and/or commercialised, or IP that could benefit innovation/the economy of Australia by being made freely available</w:t>
      </w:r>
      <w:r>
        <w:rPr>
          <w:vertAlign w:val="superscript"/>
        </w:rPr>
        <w:footnoteReference w:id="1"/>
      </w:r>
      <w:r>
        <w:t xml:space="preserve"> </w:t>
      </w:r>
    </w:p>
    <w:p w14:paraId="7791935F" w14:textId="77777777" w:rsidR="00A53BE3" w:rsidRDefault="00000000">
      <w:pPr>
        <w:numPr>
          <w:ilvl w:val="1"/>
          <w:numId w:val="6"/>
        </w:numPr>
        <w:ind w:hanging="360"/>
      </w:pPr>
      <w:r>
        <w:t xml:space="preserve">Take note of the rights and needs of all stakeholders involved in the research supported by public funds </w:t>
      </w:r>
    </w:p>
    <w:p w14:paraId="26CF9328" w14:textId="77777777" w:rsidR="00A53BE3" w:rsidRDefault="00000000">
      <w:pPr>
        <w:numPr>
          <w:ilvl w:val="1"/>
          <w:numId w:val="6"/>
        </w:numPr>
        <w:ind w:hanging="360"/>
      </w:pPr>
      <w:r>
        <w:t xml:space="preserve">Have agreements with employees and grant holders on ownership and/or associated rights of IP and keep records of those agreements </w:t>
      </w:r>
    </w:p>
    <w:p w14:paraId="044D31E3" w14:textId="77777777" w:rsidR="00A53BE3" w:rsidRDefault="00000000">
      <w:pPr>
        <w:numPr>
          <w:ilvl w:val="1"/>
          <w:numId w:val="6"/>
        </w:numPr>
        <w:ind w:hanging="360"/>
      </w:pPr>
      <w:r>
        <w:t xml:space="preserve">Define the ways in which benefits from the development and exploitation of the IP will be allocated </w:t>
      </w:r>
    </w:p>
    <w:p w14:paraId="207F8877" w14:textId="77777777" w:rsidR="00A53BE3" w:rsidRDefault="00000000">
      <w:pPr>
        <w:numPr>
          <w:ilvl w:val="1"/>
          <w:numId w:val="6"/>
        </w:numPr>
        <w:ind w:hanging="360"/>
      </w:pPr>
      <w:r>
        <w:t xml:space="preserve">Uphold the academic requirement to publish </w:t>
      </w:r>
    </w:p>
    <w:p w14:paraId="57A2FD25" w14:textId="77777777" w:rsidR="00A53BE3" w:rsidRDefault="00000000">
      <w:pPr>
        <w:numPr>
          <w:ilvl w:val="1"/>
          <w:numId w:val="6"/>
        </w:numPr>
        <w:ind w:hanging="360"/>
      </w:pPr>
      <w:r>
        <w:t xml:space="preserve">Take into account the different circumstances for ownership of IP generated by students during their course of study, research and training </w:t>
      </w:r>
    </w:p>
    <w:p w14:paraId="22D64BF6" w14:textId="77777777" w:rsidR="00A53BE3" w:rsidRDefault="00000000">
      <w:pPr>
        <w:numPr>
          <w:ilvl w:val="1"/>
          <w:numId w:val="6"/>
        </w:numPr>
        <w:spacing w:after="62"/>
        <w:ind w:hanging="360"/>
      </w:pPr>
      <w:r>
        <w:t>Have ways of addressing cases where IP impinges, or potentially impinges, on the cultural, spiritual or other aspects of indigenous peoples</w:t>
      </w:r>
      <w:r>
        <w:rPr>
          <w:vertAlign w:val="superscript"/>
        </w:rPr>
        <w:footnoteReference w:id="2"/>
      </w:r>
      <w:r>
        <w:rPr>
          <w:vertAlign w:val="superscript"/>
        </w:rPr>
        <w:t xml:space="preserve"> </w:t>
      </w:r>
      <w:r>
        <w:rPr>
          <w:vertAlign w:val="superscript"/>
        </w:rPr>
        <w:footnoteReference w:id="3"/>
      </w:r>
      <w:r>
        <w:rPr>
          <w:b/>
          <w:vertAlign w:val="superscript"/>
        </w:rPr>
        <w:t xml:space="preserve"> 10</w:t>
      </w:r>
      <w:r>
        <w:t xml:space="preserve"> </w:t>
      </w:r>
    </w:p>
    <w:p w14:paraId="122CD5D7" w14:textId="77777777" w:rsidR="00A53BE3" w:rsidRDefault="00000000">
      <w:pPr>
        <w:numPr>
          <w:ilvl w:val="1"/>
          <w:numId w:val="6"/>
        </w:numPr>
        <w:ind w:hanging="360"/>
      </w:pPr>
      <w:r>
        <w:t xml:space="preserve">Provide guidance in relation to potential conflicts concerning IP management, ownership, promotion, dissemination, exploitation and, where appropriate, protection of IP </w:t>
      </w:r>
    </w:p>
    <w:p w14:paraId="5D1458CB" w14:textId="77777777" w:rsidR="00A53BE3" w:rsidRDefault="00000000">
      <w:pPr>
        <w:numPr>
          <w:ilvl w:val="1"/>
          <w:numId w:val="6"/>
        </w:numPr>
        <w:spacing w:after="272"/>
        <w:ind w:hanging="360"/>
      </w:pPr>
      <w:r>
        <w:t xml:space="preserve">Provide guidance on the licensing of copyright, in particular, the criteria for publishing under the terms of open access licences. </w:t>
      </w:r>
    </w:p>
    <w:p w14:paraId="709F4CB8" w14:textId="77777777" w:rsidR="00A53BE3" w:rsidRDefault="00000000">
      <w:pPr>
        <w:numPr>
          <w:ilvl w:val="0"/>
          <w:numId w:val="7"/>
        </w:numPr>
        <w:spacing w:after="281"/>
        <w:ind w:hanging="367"/>
      </w:pPr>
      <w:r>
        <w:t xml:space="preserve">For Australia to reap the benefits of the IP, research institutions in receipt of research funding from the Australian Government must assist in the management of IP by providing: </w:t>
      </w:r>
    </w:p>
    <w:p w14:paraId="2A4F1B0B" w14:textId="77777777" w:rsidR="00A53BE3" w:rsidRDefault="00000000">
      <w:pPr>
        <w:numPr>
          <w:ilvl w:val="1"/>
          <w:numId w:val="7"/>
        </w:numPr>
        <w:ind w:hanging="360"/>
      </w:pPr>
      <w:r>
        <w:t>Assistance to researchers in fulfilling their obligations and responsibilities</w:t>
      </w:r>
      <w:r>
        <w:rPr>
          <w:vertAlign w:val="superscript"/>
        </w:rPr>
        <w:footnoteReference w:id="4"/>
      </w:r>
      <w:r>
        <w:rPr>
          <w:i/>
        </w:rPr>
        <w:t xml:space="preserve"> </w:t>
      </w:r>
      <w:r>
        <w:t xml:space="preserve">as well as rewarding and encouraging their participation in any subsequent exploitation process </w:t>
      </w:r>
    </w:p>
    <w:p w14:paraId="37CD3390" w14:textId="77777777" w:rsidR="00A53BE3" w:rsidRDefault="00000000">
      <w:pPr>
        <w:numPr>
          <w:ilvl w:val="1"/>
          <w:numId w:val="7"/>
        </w:numPr>
        <w:ind w:hanging="360"/>
      </w:pPr>
      <w:r>
        <w:t xml:space="preserve">Support for researchers so that they can recognise when their discoveries may provide benefit through promotion and open dissemination or when they may have potential commercial or other public value </w:t>
      </w:r>
    </w:p>
    <w:p w14:paraId="563FE87D" w14:textId="77777777" w:rsidR="00A53BE3" w:rsidRDefault="00000000">
      <w:pPr>
        <w:numPr>
          <w:ilvl w:val="1"/>
          <w:numId w:val="7"/>
        </w:numPr>
        <w:ind w:hanging="360"/>
      </w:pPr>
      <w:r>
        <w:t xml:space="preserve">Advice to the creators of the IP on the options available for either commercialising the IP, or making the IP freely available </w:t>
      </w:r>
    </w:p>
    <w:p w14:paraId="6CC6E0B2" w14:textId="77777777" w:rsidR="00A53BE3" w:rsidRDefault="00000000">
      <w:pPr>
        <w:numPr>
          <w:ilvl w:val="1"/>
          <w:numId w:val="7"/>
        </w:numPr>
        <w:ind w:hanging="360"/>
      </w:pPr>
      <w:r>
        <w:t xml:space="preserve">Regular reviews of IP development and associated commercial activities and outcomes arising from publicly funded research </w:t>
      </w:r>
    </w:p>
    <w:p w14:paraId="24A6EBFA" w14:textId="77777777" w:rsidR="00A53BE3" w:rsidRDefault="00000000">
      <w:pPr>
        <w:numPr>
          <w:ilvl w:val="1"/>
          <w:numId w:val="7"/>
        </w:numPr>
        <w:ind w:hanging="360"/>
      </w:pPr>
      <w:r>
        <w:t xml:space="preserve">Systems to: </w:t>
      </w:r>
    </w:p>
    <w:p w14:paraId="32B78B18" w14:textId="77777777" w:rsidR="00A53BE3" w:rsidRDefault="00000000">
      <w:pPr>
        <w:tabs>
          <w:tab w:val="center" w:pos="1140"/>
          <w:tab w:val="center" w:pos="5288"/>
        </w:tabs>
        <w:spacing w:after="0" w:line="259" w:lineRule="auto"/>
        <w:ind w:left="0" w:firstLine="0"/>
      </w:pPr>
      <w:r>
        <w:rPr>
          <w:color w:val="000000"/>
          <w:sz w:val="22"/>
        </w:rPr>
        <w:tab/>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Identify where data, including datasets and databases, generated by Australian </w:t>
      </w:r>
    </w:p>
    <w:p w14:paraId="465FF72D" w14:textId="77777777" w:rsidR="00A53BE3" w:rsidRDefault="00000000">
      <w:pPr>
        <w:ind w:left="1080" w:right="88" w:firstLine="360"/>
      </w:pPr>
      <w:r>
        <w:t xml:space="preserve">Government funded research, constitutes IP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Support the management of the data from which the IP was derived—including data which constitutes intellectual property, and data which does not constitute intellectual property— in </w:t>
      </w:r>
      <w:r>
        <w:lastRenderedPageBreak/>
        <w:t xml:space="preserve">order to maximise the benefits from the research, including the documentation and safe storage for future use </w:t>
      </w:r>
    </w:p>
    <w:p w14:paraId="6A9A62EB" w14:textId="77777777" w:rsidR="00A53BE3" w:rsidRDefault="00000000">
      <w:pPr>
        <w:numPr>
          <w:ilvl w:val="1"/>
          <w:numId w:val="7"/>
        </w:numPr>
        <w:ind w:hanging="360"/>
      </w:pPr>
      <w:r>
        <w:t xml:space="preserve">Systems to record, manage and report on the IP held by that institution </w:t>
      </w:r>
    </w:p>
    <w:p w14:paraId="3FD1CEF4" w14:textId="77777777" w:rsidR="00A53BE3" w:rsidRDefault="00000000">
      <w:pPr>
        <w:numPr>
          <w:ilvl w:val="1"/>
          <w:numId w:val="7"/>
        </w:numPr>
        <w:spacing w:after="817"/>
        <w:ind w:hanging="360"/>
      </w:pPr>
      <w:r>
        <w:t xml:space="preserve">Guidance to researchers in assessing existing IP in the field that is likely to affect their research. </w:t>
      </w:r>
    </w:p>
    <w:p w14:paraId="6EFD2A99" w14:textId="77777777" w:rsidR="00A53BE3" w:rsidRDefault="00000000">
      <w:pPr>
        <w:spacing w:after="0" w:line="259" w:lineRule="auto"/>
        <w:ind w:left="0" w:firstLine="0"/>
      </w:pPr>
      <w:r>
        <w:rPr>
          <w:noProof/>
          <w:color w:val="000000"/>
          <w:sz w:val="22"/>
        </w:rPr>
        <mc:AlternateContent>
          <mc:Choice Requires="wpg">
            <w:drawing>
              <wp:inline distT="0" distB="0" distL="0" distR="0" wp14:anchorId="7855573A" wp14:editId="7D00491F">
                <wp:extent cx="1829054" cy="9144"/>
                <wp:effectExtent l="0" t="0" r="0" b="0"/>
                <wp:docPr id="5414" name="Group 5414"/>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6545" name="Shape 654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2D3037"/>
                          </a:fillRef>
                          <a:effectRef idx="0">
                            <a:scrgbClr r="0" g="0" b="0"/>
                          </a:effectRef>
                          <a:fontRef idx="none"/>
                        </wps:style>
                        <wps:bodyPr/>
                      </wps:wsp>
                    </wpg:wgp>
                  </a:graphicData>
                </a:graphic>
              </wp:inline>
            </w:drawing>
          </mc:Choice>
          <mc:Fallback xmlns:a="http://schemas.openxmlformats.org/drawingml/2006/main">
            <w:pict>
              <v:group id="Group 5414" style="width:144.02pt;height:0.719971pt;mso-position-horizontal-relative:char;mso-position-vertical-relative:line" coordsize="18290,91">
                <v:shape id="Shape 6546" style="position:absolute;width:18290;height:91;left:0;top:0;" coordsize="1829054,9144" path="m0,0l1829054,0l1829054,9144l0,9144l0,0">
                  <v:stroke weight="0pt" endcap="flat" joinstyle="miter" miterlimit="10" on="false" color="#000000" opacity="0"/>
                  <v:fill on="true" color="#2d3037"/>
                </v:shape>
              </v:group>
            </w:pict>
          </mc:Fallback>
        </mc:AlternateContent>
      </w:r>
      <w:r>
        <w:rPr>
          <w:color w:val="2D3037"/>
          <w:sz w:val="22"/>
        </w:rPr>
        <w:t xml:space="preserve"> </w:t>
      </w:r>
    </w:p>
    <w:p w14:paraId="0158261F" w14:textId="77777777" w:rsidR="00A53BE3" w:rsidRDefault="00000000">
      <w:pPr>
        <w:numPr>
          <w:ilvl w:val="0"/>
          <w:numId w:val="7"/>
        </w:numPr>
        <w:ind w:hanging="367"/>
      </w:pPr>
      <w:r>
        <w:t xml:space="preserve">While not mandatory to the procurement of research by the Australian Government, the </w:t>
      </w:r>
    </w:p>
    <w:p w14:paraId="2DBB3487" w14:textId="77777777" w:rsidR="00A53BE3" w:rsidRDefault="00000000">
      <w:pPr>
        <w:spacing w:after="500"/>
      </w:pPr>
      <w:r>
        <w:t xml:space="preserve">Principles outlined in this document, the </w:t>
      </w:r>
      <w:r>
        <w:rPr>
          <w:i/>
        </w:rPr>
        <w:t>Australian Code for the Responsible Conduct of Research</w:t>
      </w:r>
      <w:r>
        <w:t xml:space="preserve">, and the Statement of Intellectual Property Principles for Australian Government Agencies, may be usefully applied to the procurement process. </w:t>
      </w:r>
    </w:p>
    <w:p w14:paraId="01DADA8B" w14:textId="77777777" w:rsidR="00A53BE3" w:rsidRDefault="00000000">
      <w:pPr>
        <w:pStyle w:val="Heading1"/>
        <w:ind w:left="-5"/>
      </w:pPr>
      <w:bookmarkStart w:id="2" w:name="_Toc6425"/>
      <w:r>
        <w:t xml:space="preserve">Accountability </w:t>
      </w:r>
      <w:bookmarkEnd w:id="2"/>
    </w:p>
    <w:p w14:paraId="43FEA7A7" w14:textId="77777777" w:rsidR="00A53BE3" w:rsidRDefault="00000000">
      <w:pPr>
        <w:spacing w:after="173" w:line="259" w:lineRule="auto"/>
        <w:ind w:left="-29" w:right="-37" w:firstLine="0"/>
      </w:pPr>
      <w:r>
        <w:rPr>
          <w:noProof/>
          <w:color w:val="000000"/>
          <w:sz w:val="22"/>
        </w:rPr>
        <mc:AlternateContent>
          <mc:Choice Requires="wpg">
            <w:drawing>
              <wp:inline distT="0" distB="0" distL="0" distR="0" wp14:anchorId="0F02309D" wp14:editId="620F9E5F">
                <wp:extent cx="5978017" cy="27432"/>
                <wp:effectExtent l="0" t="0" r="0" b="0"/>
                <wp:docPr id="5352" name="Group 5352"/>
                <wp:cNvGraphicFramePr/>
                <a:graphic xmlns:a="http://schemas.openxmlformats.org/drawingml/2006/main">
                  <a:graphicData uri="http://schemas.microsoft.com/office/word/2010/wordprocessingGroup">
                    <wpg:wgp>
                      <wpg:cNvGrpSpPr/>
                      <wpg:grpSpPr>
                        <a:xfrm>
                          <a:off x="0" y="0"/>
                          <a:ext cx="5978017" cy="27432"/>
                          <a:chOff x="0" y="0"/>
                          <a:chExt cx="5978017" cy="27432"/>
                        </a:xfrm>
                      </wpg:grpSpPr>
                      <wps:wsp>
                        <wps:cNvPr id="6547" name="Shape 6547"/>
                        <wps:cNvSpPr/>
                        <wps:spPr>
                          <a:xfrm>
                            <a:off x="0" y="0"/>
                            <a:ext cx="5978017" cy="27432"/>
                          </a:xfrm>
                          <a:custGeom>
                            <a:avLst/>
                            <a:gdLst/>
                            <a:ahLst/>
                            <a:cxnLst/>
                            <a:rect l="0" t="0" r="0" b="0"/>
                            <a:pathLst>
                              <a:path w="5978017" h="27432">
                                <a:moveTo>
                                  <a:pt x="0" y="0"/>
                                </a:moveTo>
                                <a:lnTo>
                                  <a:pt x="5978017" y="0"/>
                                </a:lnTo>
                                <a:lnTo>
                                  <a:pt x="5978017" y="27432"/>
                                </a:lnTo>
                                <a:lnTo>
                                  <a:pt x="0" y="27432"/>
                                </a:lnTo>
                                <a:lnTo>
                                  <a:pt x="0" y="0"/>
                                </a:lnTo>
                              </a:path>
                            </a:pathLst>
                          </a:custGeom>
                          <a:ln w="0" cap="flat">
                            <a:miter lim="127000"/>
                          </a:ln>
                        </wps:spPr>
                        <wps:style>
                          <a:lnRef idx="0">
                            <a:srgbClr val="000000">
                              <a:alpha val="0"/>
                            </a:srgbClr>
                          </a:lnRef>
                          <a:fillRef idx="1">
                            <a:srgbClr val="170F39"/>
                          </a:fillRef>
                          <a:effectRef idx="0">
                            <a:scrgbClr r="0" g="0" b="0"/>
                          </a:effectRef>
                          <a:fontRef idx="none"/>
                        </wps:style>
                        <wps:bodyPr/>
                      </wps:wsp>
                    </wpg:wgp>
                  </a:graphicData>
                </a:graphic>
              </wp:inline>
            </w:drawing>
          </mc:Choice>
          <mc:Fallback xmlns:a="http://schemas.openxmlformats.org/drawingml/2006/main">
            <w:pict>
              <v:group id="Group 5352" style="width:470.71pt;height:2.15997pt;mso-position-horizontal-relative:char;mso-position-vertical-relative:line" coordsize="59780,274">
                <v:shape id="Shape 6548" style="position:absolute;width:59780;height:274;left:0;top:0;" coordsize="5978017,27432" path="m0,0l5978017,0l5978017,27432l0,27432l0,0">
                  <v:stroke weight="0pt" endcap="flat" joinstyle="miter" miterlimit="10" on="false" color="#000000" opacity="0"/>
                  <v:fill on="true" color="#170f39"/>
                </v:shape>
              </v:group>
            </w:pict>
          </mc:Fallback>
        </mc:AlternateContent>
      </w:r>
    </w:p>
    <w:p w14:paraId="1B7286C1" w14:textId="77777777" w:rsidR="00A53BE3" w:rsidRDefault="00000000">
      <w:pPr>
        <w:spacing w:after="293"/>
      </w:pPr>
      <w:r>
        <w:t>Research institutions in receipt of public funds for the purpose of conducting research must, if requested, assist in Government reporting activities to understand and document the IP arising from publicly funded research</w:t>
      </w:r>
      <w:r>
        <w:rPr>
          <w:vertAlign w:val="superscript"/>
        </w:rPr>
        <w:footnoteReference w:id="5"/>
      </w:r>
      <w:r>
        <w:t xml:space="preserve"> . </w:t>
      </w:r>
    </w:p>
    <w:p w14:paraId="13A85B14" w14:textId="77777777" w:rsidR="00A53BE3" w:rsidRDefault="00000000">
      <w:pPr>
        <w:spacing w:after="430" w:line="240" w:lineRule="auto"/>
        <w:ind w:left="0" w:firstLine="0"/>
      </w:pPr>
      <w:r>
        <w:rPr>
          <w:b/>
        </w:rPr>
        <w:t>The Australian Government has released the</w:t>
      </w:r>
      <w:hyperlink r:id="rId13">
        <w:r>
          <w:rPr>
            <w:b/>
          </w:rPr>
          <w:t xml:space="preserve"> </w:t>
        </w:r>
      </w:hyperlink>
      <w:hyperlink r:id="rId14">
        <w:r>
          <w:rPr>
            <w:b/>
            <w:color w:val="005A7A"/>
            <w:u w:val="single" w:color="005A7A"/>
          </w:rPr>
          <w:t>Australian IP Toolkit for Collaboration</w:t>
        </w:r>
      </w:hyperlink>
      <w:hyperlink r:id="rId15">
        <w:r>
          <w:rPr>
            <w:b/>
          </w:rPr>
          <w:t>.</w:t>
        </w:r>
      </w:hyperlink>
      <w:r>
        <w:rPr>
          <w:b/>
        </w:rPr>
        <w:t xml:space="preserve"> This Toolkit is available to help simplify and improve the way businesses and researchers work together.</w:t>
      </w:r>
      <w:r>
        <w:t xml:space="preserve"> </w:t>
      </w:r>
    </w:p>
    <w:p w14:paraId="3CBAD440" w14:textId="77777777" w:rsidR="00A53BE3" w:rsidRDefault="00000000">
      <w:pPr>
        <w:pStyle w:val="Heading1"/>
        <w:ind w:left="-5"/>
      </w:pPr>
      <w:bookmarkStart w:id="3" w:name="_Toc6426"/>
      <w:r>
        <w:rPr>
          <w:color w:val="170F39"/>
          <w:sz w:val="40"/>
        </w:rPr>
        <w:t xml:space="preserve">Contact details  </w:t>
      </w:r>
      <w:bookmarkEnd w:id="3"/>
    </w:p>
    <w:p w14:paraId="666D67C0" w14:textId="77777777" w:rsidR="00A53BE3" w:rsidRDefault="00000000">
      <w:pPr>
        <w:spacing w:after="0" w:line="239" w:lineRule="auto"/>
        <w:ind w:left="-5" w:right="6138"/>
      </w:pPr>
      <w:r>
        <w:rPr>
          <w:color w:val="000000"/>
          <w:sz w:val="22"/>
        </w:rPr>
        <w:t xml:space="preserve">Australian Research Council  Phone: 02 6287 6600 </w:t>
      </w:r>
      <w:r>
        <w:rPr>
          <w:color w:val="5D5D5D"/>
          <w:sz w:val="22"/>
        </w:rPr>
        <w:t xml:space="preserve"> </w:t>
      </w:r>
      <w:r>
        <w:rPr>
          <w:color w:val="5E2D61"/>
          <w:sz w:val="22"/>
          <w:u w:val="single" w:color="5E2D61"/>
        </w:rPr>
        <w:t>privacy@arc.gov.au</w:t>
      </w:r>
      <w:r>
        <w:rPr>
          <w:color w:val="5D5D5D"/>
          <w:sz w:val="22"/>
        </w:rPr>
        <w:t xml:space="preserve"> </w:t>
      </w:r>
      <w:hyperlink r:id="rId16">
        <w:r>
          <w:rPr>
            <w:color w:val="5E2D61"/>
            <w:sz w:val="22"/>
            <w:u w:val="single" w:color="5E2D61"/>
          </w:rPr>
          <w:t>www.arc.gov.au</w:t>
        </w:r>
      </w:hyperlink>
      <w:hyperlink r:id="rId17">
        <w:r>
          <w:rPr>
            <w:color w:val="5D5D5D"/>
            <w:sz w:val="22"/>
          </w:rPr>
          <w:t xml:space="preserve"> </w:t>
        </w:r>
      </w:hyperlink>
      <w:r>
        <w:rPr>
          <w:color w:val="5D5D5D"/>
          <w:sz w:val="22"/>
        </w:rPr>
        <w:t xml:space="preserve">  </w:t>
      </w:r>
    </w:p>
    <w:p w14:paraId="0E321C0D" w14:textId="77777777" w:rsidR="00A53BE3" w:rsidRDefault="00000000">
      <w:pPr>
        <w:spacing w:after="7314" w:line="239" w:lineRule="auto"/>
        <w:ind w:left="-5" w:right="3958"/>
      </w:pPr>
      <w:r>
        <w:rPr>
          <w:color w:val="000000"/>
          <w:sz w:val="22"/>
        </w:rPr>
        <w:lastRenderedPageBreak/>
        <w:t>Level 2, 11 Lancaster Place, Canberra Airport ACT 2609  GPO Box 2702, Canberra ACT 2601</w:t>
      </w:r>
      <w:r>
        <w:rPr>
          <w:color w:val="5D5D5D"/>
          <w:sz w:val="22"/>
        </w:rPr>
        <w:t xml:space="preserve"> </w:t>
      </w:r>
    </w:p>
    <w:p w14:paraId="336AD665" w14:textId="77777777" w:rsidR="00A53BE3" w:rsidRDefault="00000000">
      <w:pPr>
        <w:spacing w:after="0" w:line="259" w:lineRule="auto"/>
        <w:ind w:left="0" w:firstLine="0"/>
      </w:pPr>
      <w:r>
        <w:rPr>
          <w:noProof/>
          <w:color w:val="000000"/>
          <w:sz w:val="22"/>
        </w:rPr>
        <mc:AlternateContent>
          <mc:Choice Requires="wpg">
            <w:drawing>
              <wp:inline distT="0" distB="0" distL="0" distR="0" wp14:anchorId="0C3B8A37" wp14:editId="63322271">
                <wp:extent cx="1829054" cy="9144"/>
                <wp:effectExtent l="0" t="0" r="0" b="0"/>
                <wp:docPr id="5354" name="Group 5354"/>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6549" name="Shape 654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2D3037"/>
                          </a:fillRef>
                          <a:effectRef idx="0">
                            <a:scrgbClr r="0" g="0" b="0"/>
                          </a:effectRef>
                          <a:fontRef idx="none"/>
                        </wps:style>
                        <wps:bodyPr/>
                      </wps:wsp>
                    </wpg:wgp>
                  </a:graphicData>
                </a:graphic>
              </wp:inline>
            </w:drawing>
          </mc:Choice>
          <mc:Fallback xmlns:a="http://schemas.openxmlformats.org/drawingml/2006/main">
            <w:pict>
              <v:group id="Group 5354" style="width:144.02pt;height:0.719971pt;mso-position-horizontal-relative:char;mso-position-vertical-relative:line" coordsize="18290,91">
                <v:shape id="Shape 6550" style="position:absolute;width:18290;height:91;left:0;top:0;" coordsize="1829054,9144" path="m0,0l1829054,0l1829054,9144l0,9144l0,0">
                  <v:stroke weight="0pt" endcap="flat" joinstyle="miter" miterlimit="10" on="false" color="#000000" opacity="0"/>
                  <v:fill on="true" color="#2d3037"/>
                </v:shape>
              </v:group>
            </w:pict>
          </mc:Fallback>
        </mc:AlternateContent>
      </w:r>
      <w:r>
        <w:rPr>
          <w:color w:val="2D3037"/>
          <w:sz w:val="22"/>
        </w:rPr>
        <w:t xml:space="preserve"> </w:t>
      </w:r>
    </w:p>
    <w:sectPr w:rsidR="00A53BE3">
      <w:headerReference w:type="even" r:id="rId18"/>
      <w:headerReference w:type="default" r:id="rId19"/>
      <w:footerReference w:type="even" r:id="rId20"/>
      <w:footerReference w:type="default" r:id="rId21"/>
      <w:headerReference w:type="first" r:id="rId22"/>
      <w:footerReference w:type="first" r:id="rId23"/>
      <w:pgSz w:w="11911" w:h="16841"/>
      <w:pgMar w:top="1042" w:right="1285" w:bottom="1183" w:left="1277" w:header="720"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EC705" w14:textId="77777777" w:rsidR="00D552C4" w:rsidRDefault="00D552C4">
      <w:pPr>
        <w:spacing w:after="0" w:line="240" w:lineRule="auto"/>
      </w:pPr>
      <w:r>
        <w:separator/>
      </w:r>
    </w:p>
  </w:endnote>
  <w:endnote w:type="continuationSeparator" w:id="0">
    <w:p w14:paraId="36756B04" w14:textId="77777777" w:rsidR="00D552C4" w:rsidRDefault="00D55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811C" w14:textId="70449580" w:rsidR="00A53BE3" w:rsidRDefault="00F40828">
    <w:pPr>
      <w:tabs>
        <w:tab w:val="center" w:pos="4513"/>
        <w:tab w:val="center" w:pos="8535"/>
      </w:tabs>
      <w:spacing w:after="0" w:line="259" w:lineRule="auto"/>
      <w:ind w:left="0" w:firstLine="0"/>
    </w:pPr>
    <w:r>
      <w:rPr>
        <w:noProof/>
        <w:color w:val="2D3037"/>
        <w:sz w:val="22"/>
      </w:rPr>
      <mc:AlternateContent>
        <mc:Choice Requires="wps">
          <w:drawing>
            <wp:anchor distT="0" distB="0" distL="0" distR="0" simplePos="0" relativeHeight="251662336" behindDoc="0" locked="0" layoutInCell="1" allowOverlap="1" wp14:anchorId="1228472A" wp14:editId="4A9F2903">
              <wp:simplePos x="635" y="635"/>
              <wp:positionH relativeFrom="page">
                <wp:align>center</wp:align>
              </wp:positionH>
              <wp:positionV relativeFrom="page">
                <wp:align>bottom</wp:align>
              </wp:positionV>
              <wp:extent cx="622300" cy="382905"/>
              <wp:effectExtent l="0" t="0" r="6350" b="0"/>
              <wp:wrapNone/>
              <wp:docPr id="16579769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2905"/>
                      </a:xfrm>
                      <a:prstGeom prst="rect">
                        <a:avLst/>
                      </a:prstGeom>
                      <a:noFill/>
                      <a:ln>
                        <a:noFill/>
                      </a:ln>
                    </wps:spPr>
                    <wps:txbx>
                      <w:txbxContent>
                        <w:p w14:paraId="46E21CE4" w14:textId="6B7B34C9" w:rsidR="00F40828" w:rsidRPr="00F40828" w:rsidRDefault="00F40828" w:rsidP="00F40828">
                          <w:pPr>
                            <w:spacing w:after="0"/>
                            <w:rPr>
                              <w:rFonts w:ascii="Aptos" w:eastAsia="Aptos" w:hAnsi="Aptos" w:cs="Aptos"/>
                              <w:noProof/>
                              <w:color w:val="FF0000"/>
                            </w:rPr>
                          </w:pPr>
                          <w:r w:rsidRPr="00F4082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28472A" id="_x0000_t202" coordsize="21600,21600" o:spt="202" path="m,l,21600r21600,l21600,xe">
              <v:stroke joinstyle="miter"/>
              <v:path gradientshapeok="t" o:connecttype="rect"/>
            </v:shapetype>
            <v:shape id="Text Box 5" o:spid="_x0000_s1028" type="#_x0000_t202" alt="OFFICIAL" style="position:absolute;margin-left:0;margin-top:0;width:49pt;height:30.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tjDAIAABwEAAAOAAAAZHJzL2Uyb0RvYy54bWysU8Fu2zAMvQ/YPwi6L3ZcrOiMOEXWIsOA&#10;oC2QDj0rshQbkEWBUmJnXz9Kjpuu22nYRaZJ6pF8fFrcDp1hR4W+BVvx+SznTFkJdWv3Ff/xvP50&#10;w5kPwtbCgFUVPynPb5cfPyx6V6oCGjC1QkYg1pe9q3gTgiuzzMtGdcLPwClLQQ3YiUC/uM9qFD2h&#10;dyYr8vw66wFrhyCV9+S9H4N8mfC1VjI8au1VYKbi1FtIJ6ZzF89suRDlHoVrWnluQ/xDF51oLRV9&#10;hboXQbADtn9Ada1E8KDDTEKXgdatVGkGmmaev5tm2win0ixEjnevNPn/Bysfjlv3hCwMX2GgBUZC&#10;eudLT844z6Cxi1/qlFGcKDy90qaGwCQ5r4viKqeIpNDVTfEl/xxRsstlhz58U9CxaFQcaSuJLHHc&#10;+DCmTimxloV1a0zajLG/OQgzerJLh9EKw25gbV3xYup+B/WJhkIY9+2dXLdUeiN8eBJIC6ZuSbTh&#10;kQ5toK84nC3OGsCff/PHfOKdopz1JJiKW1I0Z+a7pX1EbU0GTsYuGXMiJNJjD90dkAzn9CKcTCZ5&#10;MZjJ1AjdC8l5FQtRSFhJ5Sq+m8y7MCqXnoNUq1VKIhk5ETZ262SEjnRFLp+HF4HuTHigTT3ApCZR&#10;vuN9zI03vVsdArGflhKpHYk8M04STGs9P5eo8bf/KevyqJe/AAAA//8DAFBLAwQUAAYACAAAACEA&#10;fud5jNkAAAADAQAADwAAAGRycy9kb3ducmV2LnhtbEyPQUvDQBCF74L/YRnBm93YYKkxmyIFTxWh&#10;rRdv291pEs3OhuykTf+9oxe9PHi84b1vytUUOnXCIbWRDNzPMlBILvqWagPv+5e7JajElrztIqGB&#10;CyZYVddXpS18PNMWTzuulZRQKqyBhrkvtE6uwWDTLPZIkh3jECyLHWrtB3uW8tDpeZYtdLAtyUJj&#10;e1w36L52YzDwsOXX8Y32+cc0v3xu+rXLjxtnzO3N9PwEinHiv2P4wRd0qITpEEfySXUG5BH+Vcke&#10;l+IOBhZZDroq9X/26hsAAP//AwBQSwECLQAUAAYACAAAACEAtoM4kv4AAADhAQAAEwAAAAAAAAAA&#10;AAAAAAAAAAAAW0NvbnRlbnRfVHlwZXNdLnhtbFBLAQItABQABgAIAAAAIQA4/SH/1gAAAJQBAAAL&#10;AAAAAAAAAAAAAAAAAC8BAABfcmVscy8ucmVsc1BLAQItABQABgAIAAAAIQAzuQtjDAIAABwEAAAO&#10;AAAAAAAAAAAAAAAAAC4CAABkcnMvZTJvRG9jLnhtbFBLAQItABQABgAIAAAAIQB+53mM2QAAAAMB&#10;AAAPAAAAAAAAAAAAAAAAAGYEAABkcnMvZG93bnJldi54bWxQSwUGAAAAAAQABADzAAAAbAUAAAAA&#10;" filled="f" stroked="f">
              <v:fill o:detectmouseclick="t"/>
              <v:textbox style="mso-fit-shape-to-text:t" inset="0,0,0,15pt">
                <w:txbxContent>
                  <w:p w14:paraId="46E21CE4" w14:textId="6B7B34C9" w:rsidR="00F40828" w:rsidRPr="00F40828" w:rsidRDefault="00F40828" w:rsidP="00F40828">
                    <w:pPr>
                      <w:spacing w:after="0"/>
                      <w:rPr>
                        <w:rFonts w:ascii="Aptos" w:eastAsia="Aptos" w:hAnsi="Aptos" w:cs="Aptos"/>
                        <w:noProof/>
                        <w:color w:val="FF0000"/>
                      </w:rPr>
                    </w:pPr>
                    <w:r w:rsidRPr="00F40828">
                      <w:rPr>
                        <w:rFonts w:ascii="Aptos" w:eastAsia="Aptos" w:hAnsi="Aptos" w:cs="Aptos"/>
                        <w:noProof/>
                        <w:color w:val="FF0000"/>
                      </w:rPr>
                      <w:t>OFFICIAL</w:t>
                    </w:r>
                  </w:p>
                </w:txbxContent>
              </v:textbox>
              <w10:wrap anchorx="page" anchory="page"/>
            </v:shape>
          </w:pict>
        </mc:Fallback>
      </mc:AlternateContent>
    </w:r>
    <w:r w:rsidR="00000000">
      <w:rPr>
        <w:color w:val="2D3037"/>
        <w:sz w:val="22"/>
      </w:rPr>
      <w:t xml:space="preserve"> </w:t>
    </w:r>
    <w:r w:rsidR="00000000">
      <w:rPr>
        <w:color w:val="2D3037"/>
        <w:sz w:val="22"/>
      </w:rPr>
      <w:tab/>
      <w:t xml:space="preserve"> </w:t>
    </w:r>
    <w:r w:rsidR="00000000">
      <w:rPr>
        <w:color w:val="2D3037"/>
        <w:sz w:val="22"/>
      </w:rPr>
      <w:tab/>
      <w:t xml:space="preserve">Page </w:t>
    </w:r>
    <w:r w:rsidR="00000000">
      <w:fldChar w:fldCharType="begin"/>
    </w:r>
    <w:r w:rsidR="00000000">
      <w:instrText xml:space="preserve"> PAGE   \* MERGEFORMAT </w:instrText>
    </w:r>
    <w:r w:rsidR="00000000">
      <w:fldChar w:fldCharType="separate"/>
    </w:r>
    <w:r w:rsidR="00000000">
      <w:rPr>
        <w:b/>
        <w:color w:val="2D3037"/>
        <w:sz w:val="22"/>
      </w:rPr>
      <w:t>1</w:t>
    </w:r>
    <w:r w:rsidR="00000000">
      <w:rPr>
        <w:b/>
        <w:color w:val="2D3037"/>
        <w:sz w:val="22"/>
      </w:rPr>
      <w:fldChar w:fldCharType="end"/>
    </w:r>
    <w:r w:rsidR="00000000">
      <w:rPr>
        <w:color w:val="2D3037"/>
        <w:sz w:val="22"/>
      </w:rPr>
      <w:t xml:space="preserve"> of </w:t>
    </w:r>
    <w:fldSimple w:instr=" NUMPAGES   \* MERGEFORMAT ">
      <w:r w:rsidR="00000000">
        <w:rPr>
          <w:b/>
          <w:color w:val="2D3037"/>
          <w:sz w:val="22"/>
        </w:rPr>
        <w:t>5</w:t>
      </w:r>
    </w:fldSimple>
    <w:r w:rsidR="00000000">
      <w:rPr>
        <w:b/>
        <w:color w:val="2D3037"/>
      </w:rPr>
      <w:t xml:space="preserve"> </w:t>
    </w:r>
  </w:p>
  <w:p w14:paraId="0348CC64" w14:textId="77777777" w:rsidR="00A53BE3" w:rsidRDefault="00000000">
    <w:pPr>
      <w:spacing w:after="0" w:line="259" w:lineRule="auto"/>
      <w:ind w:left="0" w:firstLine="0"/>
    </w:pPr>
    <w:r>
      <w:rPr>
        <w:i/>
        <w:color w:val="2D3037"/>
        <w:sz w:val="22"/>
      </w:rPr>
      <w:t xml:space="preserve">Last updated 16/06/2022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B500" w14:textId="177809E9" w:rsidR="00A53BE3" w:rsidRDefault="00F40828">
    <w:pPr>
      <w:tabs>
        <w:tab w:val="center" w:pos="4513"/>
        <w:tab w:val="center" w:pos="8535"/>
      </w:tabs>
      <w:spacing w:after="0" w:line="259" w:lineRule="auto"/>
      <w:ind w:left="0" w:firstLine="0"/>
    </w:pPr>
    <w:r>
      <w:rPr>
        <w:noProof/>
        <w:color w:val="2D3037"/>
        <w:sz w:val="22"/>
      </w:rPr>
      <mc:AlternateContent>
        <mc:Choice Requires="wps">
          <w:drawing>
            <wp:anchor distT="0" distB="0" distL="0" distR="0" simplePos="0" relativeHeight="251663360" behindDoc="0" locked="0" layoutInCell="1" allowOverlap="1" wp14:anchorId="7320FB65" wp14:editId="2121A158">
              <wp:simplePos x="815340" y="9913620"/>
              <wp:positionH relativeFrom="page">
                <wp:align>center</wp:align>
              </wp:positionH>
              <wp:positionV relativeFrom="page">
                <wp:align>bottom</wp:align>
              </wp:positionV>
              <wp:extent cx="622300" cy="382905"/>
              <wp:effectExtent l="0" t="0" r="6350" b="0"/>
              <wp:wrapNone/>
              <wp:docPr id="18658677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2905"/>
                      </a:xfrm>
                      <a:prstGeom prst="rect">
                        <a:avLst/>
                      </a:prstGeom>
                      <a:noFill/>
                      <a:ln>
                        <a:noFill/>
                      </a:ln>
                    </wps:spPr>
                    <wps:txbx>
                      <w:txbxContent>
                        <w:p w14:paraId="1A6A24A5" w14:textId="750C9B57" w:rsidR="00F40828" w:rsidRPr="00F40828" w:rsidRDefault="00F40828" w:rsidP="00F40828">
                          <w:pPr>
                            <w:spacing w:after="0"/>
                            <w:rPr>
                              <w:rFonts w:ascii="Aptos" w:eastAsia="Aptos" w:hAnsi="Aptos" w:cs="Aptos"/>
                              <w:noProof/>
                              <w:color w:val="FF0000"/>
                            </w:rPr>
                          </w:pPr>
                          <w:r w:rsidRPr="00F4082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20FB65" id="_x0000_t202" coordsize="21600,21600" o:spt="202" path="m,l,21600r21600,l21600,xe">
              <v:stroke joinstyle="miter"/>
              <v:path gradientshapeok="t" o:connecttype="rect"/>
            </v:shapetype>
            <v:shape id="Text Box 6" o:spid="_x0000_s1029" type="#_x0000_t202" alt="OFFICIAL" style="position:absolute;margin-left:0;margin-top:0;width:49pt;height:30.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leCwIAABwEAAAOAAAAZHJzL2Uyb0RvYy54bWysU8Fu2zAMvQ/YPwi6L3ZSrOiMOEXWIsOA&#10;oC2QDj0rshQbkEWBUmJnXz9KjpOu26noRaZJ6pF8fJrf9q1hB4W+AVvy6STnTFkJVWN3Jf/1vPpy&#10;w5kPwlbCgFUlPyrPbxefP807V6gZ1GAqhYxArC86V/I6BFdkmZe1aoWfgFOWghqwFYF+cZdVKDpC&#10;b002y/PrrAOsHIJU3pP3fgjyRcLXWsnwqLVXgZmSU28hnZjObTyzxVwUOxSubuSpDfGOLlrRWCp6&#10;hroXQbA9Nv9AtY1E8KDDREKbgdaNVGkGmmaav5lmUwun0ixEjndnmvzHwcqHw8Y9IQv9d+hpgZGQ&#10;zvnCkzPO02ts45c6ZRQnCo9n2lQfmCTn9Wx2lVNEUujqZvYt/xpRsstlhz78UNCyaJQcaSuJLHFY&#10;+zCkjimxloVVY0zajLF/OQgzerJLh9EK/bZnTUXFx+63UB1pKIRh397JVUOl18KHJ4G0YOqWRBse&#10;6dAGupLDyeKsBvz9P3/MJ94pyllHgim5JUVzZn5a2kfU1mjgaGyTMSVCIj12394ByXBKL8LJZJIX&#10;gxlNjdC+kJyXsRCFhJVUruTb0bwLg3LpOUi1XKYkkpETYW03TkboSFfk8rl/EehOhAfa1AOMahLF&#10;G96H3HjTu+U+EPtpKZHagcgT4yTBtNbTc4kaf/2fsi6PevEHAAD//wMAUEsDBBQABgAIAAAAIQB+&#10;53mM2QAAAAMBAAAPAAAAZHJzL2Rvd25yZXYueG1sTI9BS8NAEIXvgv9hGcGb3dhgqTGbIgVPFaGt&#10;F2/b3WkSzc6G7KRN/72jF708eLzhvW/K1RQ6dcIhtZEM3M8yUEgu+pZqA+/7l7slqMSWvO0ioYEL&#10;JlhV11elLXw80xZPO66VlFAqrIGGuS+0Tq7BYNMs9kiSHeMQLIsdau0He5by0Ol5li10sC3JQmN7&#10;XDfovnZjMPCw5dfxjfb5xzS/fG76tcuPG2fM7c30/ASKceK/Y/jBF3SohOkQR/JJdQbkEf5VyR6X&#10;4g4GFlkOuir1f/bqGwAA//8DAFBLAQItABQABgAIAAAAIQC2gziS/gAAAOEBAAATAAAAAAAAAAAA&#10;AAAAAAAAAABbQ29udGVudF9UeXBlc10ueG1sUEsBAi0AFAAGAAgAAAAhADj9If/WAAAAlAEAAAsA&#10;AAAAAAAAAAAAAAAALwEAAF9yZWxzLy5yZWxzUEsBAi0AFAAGAAgAAAAhAF4GuV4LAgAAHAQAAA4A&#10;AAAAAAAAAAAAAAAALgIAAGRycy9lMm9Eb2MueG1sUEsBAi0AFAAGAAgAAAAhAH7neYzZAAAAAwEA&#10;AA8AAAAAAAAAAAAAAAAAZQQAAGRycy9kb3ducmV2LnhtbFBLBQYAAAAABAAEAPMAAABrBQAAAAA=&#10;" filled="f" stroked="f">
              <v:fill o:detectmouseclick="t"/>
              <v:textbox style="mso-fit-shape-to-text:t" inset="0,0,0,15pt">
                <w:txbxContent>
                  <w:p w14:paraId="1A6A24A5" w14:textId="750C9B57" w:rsidR="00F40828" w:rsidRPr="00F40828" w:rsidRDefault="00F40828" w:rsidP="00F40828">
                    <w:pPr>
                      <w:spacing w:after="0"/>
                      <w:rPr>
                        <w:rFonts w:ascii="Aptos" w:eastAsia="Aptos" w:hAnsi="Aptos" w:cs="Aptos"/>
                        <w:noProof/>
                        <w:color w:val="FF0000"/>
                      </w:rPr>
                    </w:pPr>
                    <w:r w:rsidRPr="00F40828">
                      <w:rPr>
                        <w:rFonts w:ascii="Aptos" w:eastAsia="Aptos" w:hAnsi="Aptos" w:cs="Aptos"/>
                        <w:noProof/>
                        <w:color w:val="FF0000"/>
                      </w:rPr>
                      <w:t>OFFICIAL</w:t>
                    </w:r>
                  </w:p>
                </w:txbxContent>
              </v:textbox>
              <w10:wrap anchorx="page" anchory="page"/>
            </v:shape>
          </w:pict>
        </mc:Fallback>
      </mc:AlternateContent>
    </w:r>
    <w:r w:rsidR="00000000">
      <w:rPr>
        <w:color w:val="2D3037"/>
        <w:sz w:val="22"/>
      </w:rPr>
      <w:t xml:space="preserve"> </w:t>
    </w:r>
    <w:r w:rsidR="00000000">
      <w:rPr>
        <w:color w:val="2D3037"/>
        <w:sz w:val="22"/>
      </w:rPr>
      <w:tab/>
      <w:t xml:space="preserve"> </w:t>
    </w:r>
    <w:r w:rsidR="00000000">
      <w:rPr>
        <w:color w:val="2D3037"/>
        <w:sz w:val="22"/>
      </w:rPr>
      <w:tab/>
      <w:t xml:space="preserve">Page </w:t>
    </w:r>
    <w:r w:rsidR="00000000">
      <w:fldChar w:fldCharType="begin"/>
    </w:r>
    <w:r w:rsidR="00000000">
      <w:instrText xml:space="preserve"> PAGE   \* MERGEFORMAT </w:instrText>
    </w:r>
    <w:r w:rsidR="00000000">
      <w:fldChar w:fldCharType="separate"/>
    </w:r>
    <w:r w:rsidR="00000000">
      <w:rPr>
        <w:b/>
        <w:color w:val="2D3037"/>
        <w:sz w:val="22"/>
      </w:rPr>
      <w:t>1</w:t>
    </w:r>
    <w:r w:rsidR="00000000">
      <w:rPr>
        <w:b/>
        <w:color w:val="2D3037"/>
        <w:sz w:val="22"/>
      </w:rPr>
      <w:fldChar w:fldCharType="end"/>
    </w:r>
    <w:r w:rsidR="00000000">
      <w:rPr>
        <w:color w:val="2D3037"/>
        <w:sz w:val="22"/>
      </w:rPr>
      <w:t xml:space="preserve"> of </w:t>
    </w:r>
    <w:fldSimple w:instr=" NUMPAGES   \* MERGEFORMAT ">
      <w:r w:rsidR="00000000">
        <w:rPr>
          <w:b/>
          <w:color w:val="2D3037"/>
          <w:sz w:val="22"/>
        </w:rPr>
        <w:t>5</w:t>
      </w:r>
    </w:fldSimple>
    <w:r w:rsidR="00000000">
      <w:rPr>
        <w:b/>
        <w:color w:val="2D3037"/>
      </w:rPr>
      <w:t xml:space="preserve"> </w:t>
    </w:r>
  </w:p>
  <w:p w14:paraId="223D8A35" w14:textId="77777777" w:rsidR="00A53BE3" w:rsidRDefault="00000000">
    <w:pPr>
      <w:spacing w:after="0" w:line="259" w:lineRule="auto"/>
      <w:ind w:left="0" w:firstLine="0"/>
    </w:pPr>
    <w:r>
      <w:rPr>
        <w:i/>
        <w:color w:val="2D3037"/>
        <w:sz w:val="22"/>
      </w:rPr>
      <w:t xml:space="preserve">Last updated 16/06/2022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06F4" w14:textId="1A8F9590" w:rsidR="00A53BE3" w:rsidRDefault="00F40828">
    <w:pPr>
      <w:tabs>
        <w:tab w:val="center" w:pos="4513"/>
        <w:tab w:val="center" w:pos="8535"/>
      </w:tabs>
      <w:spacing w:after="0" w:line="259" w:lineRule="auto"/>
      <w:ind w:left="0" w:firstLine="0"/>
    </w:pPr>
    <w:r>
      <w:rPr>
        <w:noProof/>
        <w:color w:val="2D3037"/>
        <w:sz w:val="22"/>
      </w:rPr>
      <mc:AlternateContent>
        <mc:Choice Requires="wps">
          <w:drawing>
            <wp:anchor distT="0" distB="0" distL="0" distR="0" simplePos="0" relativeHeight="251661312" behindDoc="0" locked="0" layoutInCell="1" allowOverlap="1" wp14:anchorId="11697933" wp14:editId="36342809">
              <wp:simplePos x="635" y="635"/>
              <wp:positionH relativeFrom="page">
                <wp:align>center</wp:align>
              </wp:positionH>
              <wp:positionV relativeFrom="page">
                <wp:align>bottom</wp:align>
              </wp:positionV>
              <wp:extent cx="622300" cy="382905"/>
              <wp:effectExtent l="0" t="0" r="6350" b="0"/>
              <wp:wrapNone/>
              <wp:docPr id="10028125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2905"/>
                      </a:xfrm>
                      <a:prstGeom prst="rect">
                        <a:avLst/>
                      </a:prstGeom>
                      <a:noFill/>
                      <a:ln>
                        <a:noFill/>
                      </a:ln>
                    </wps:spPr>
                    <wps:txbx>
                      <w:txbxContent>
                        <w:p w14:paraId="2FE0B3F4" w14:textId="5A645F6C" w:rsidR="00F40828" w:rsidRPr="00F40828" w:rsidRDefault="00F40828" w:rsidP="00F40828">
                          <w:pPr>
                            <w:spacing w:after="0"/>
                            <w:rPr>
                              <w:rFonts w:ascii="Aptos" w:eastAsia="Aptos" w:hAnsi="Aptos" w:cs="Aptos"/>
                              <w:noProof/>
                              <w:color w:val="FF0000"/>
                            </w:rPr>
                          </w:pPr>
                          <w:r w:rsidRPr="00F4082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697933" id="_x0000_t202" coordsize="21600,21600" o:spt="202" path="m,l,21600r21600,l21600,xe">
              <v:stroke joinstyle="miter"/>
              <v:path gradientshapeok="t" o:connecttype="rect"/>
            </v:shapetype>
            <v:shape id="Text Box 4" o:spid="_x0000_s1031" type="#_x0000_t202" alt="OFFICIAL" style="position:absolute;margin-left:0;margin-top:0;width:49pt;height:30.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bTCwIAABwEAAAOAAAAZHJzL2Uyb0RvYy54bWysU8Fu2zAMvQ/YPwi6L3ZSrOiMOEXWIsOA&#10;oi2QDj0rshQbkESBUmJnXz9KiZOu22nYRaZJ6pF8fJrfDtawvcLQgav5dFJyppyEpnPbmv94WX26&#10;4SxE4RphwKmaH1Tgt4uPH+a9r9QMWjCNQkYgLlS9r3kbo6+KIshWWREm4JWjoAa0ItIvbosGRU/o&#10;1hSzsrwuesDGI0gVAnnvj0G+yPhaKxmftA4qMlNz6i3mE/O5SWexmItqi8K3nTy1If6hCys6R0XP&#10;UPciCrbD7g8o20mEADpOJNgCtO6kyjPQNNPy3TTrVniVZyFygj/TFP4frHzcr/0zsjh8hYEWmAjp&#10;fagCOdM8g0abvtQpozhReDjTpobIJDmvZ7OrkiKSQlc3sy/l54RSXC57DPGbAsuSUXOkrWSyxP4h&#10;xGPqmJJqOVh1xuTNGPebgzCTp7h0mKw4bAbWNTXPdZNnA82BhkI47jt4ueqo9IMI8VkgLZi6JdHG&#10;Jzq0gb7mcLI4awF//s2f8ol3inLWk2Bq7kjRnJnvjvaRtDUaOBqbbEyJkESP29k7IBlO6UV4mU3y&#10;YjSjqRHsK8l5mQpRSDhJ5Wq+Gc27eFQuPQeplsucRDLyIj64tZcJOtGVuHwZXgX6E+GRNvUIo5pE&#10;9Y73Y266GfxyF4n9vJQLkSfGSYJ5rafnkjT+9j9nXR714hcAAAD//wMAUEsDBBQABgAIAAAAIQB+&#10;53mM2QAAAAMBAAAPAAAAZHJzL2Rvd25yZXYueG1sTI9BS8NAEIXvgv9hGcGb3dhgqTGbIgVPFaGt&#10;F2/b3WkSzc6G7KRN/72jF708eLzhvW/K1RQ6dcIhtZEM3M8yUEgu+pZqA+/7l7slqMSWvO0ioYEL&#10;JlhV11elLXw80xZPO66VlFAqrIGGuS+0Tq7BYNMs9kiSHeMQLIsdau0He5by0Ol5li10sC3JQmN7&#10;XDfovnZjMPCw5dfxjfb5xzS/fG76tcuPG2fM7c30/ASKceK/Y/jBF3SohOkQR/JJdQbkEf5VyR6X&#10;4g4GFlkOuir1f/bqGwAA//8DAFBLAQItABQABgAIAAAAIQC2gziS/gAAAOEBAAATAAAAAAAAAAAA&#10;AAAAAAAAAABbQ29udGVudF9UeXBlc10ueG1sUEsBAi0AFAAGAAgAAAAhADj9If/WAAAAlAEAAAsA&#10;AAAAAAAAAAAAAAAALwEAAF9yZWxzLy5yZWxzUEsBAi0AFAAGAAgAAAAhADCFFtMLAgAAHAQAAA4A&#10;AAAAAAAAAAAAAAAALgIAAGRycy9lMm9Eb2MueG1sUEsBAi0AFAAGAAgAAAAhAH7neYzZAAAAAwEA&#10;AA8AAAAAAAAAAAAAAAAAZQQAAGRycy9kb3ducmV2LnhtbFBLBQYAAAAABAAEAPMAAABrBQAAAAA=&#10;" filled="f" stroked="f">
              <v:fill o:detectmouseclick="t"/>
              <v:textbox style="mso-fit-shape-to-text:t" inset="0,0,0,15pt">
                <w:txbxContent>
                  <w:p w14:paraId="2FE0B3F4" w14:textId="5A645F6C" w:rsidR="00F40828" w:rsidRPr="00F40828" w:rsidRDefault="00F40828" w:rsidP="00F40828">
                    <w:pPr>
                      <w:spacing w:after="0"/>
                      <w:rPr>
                        <w:rFonts w:ascii="Aptos" w:eastAsia="Aptos" w:hAnsi="Aptos" w:cs="Aptos"/>
                        <w:noProof/>
                        <w:color w:val="FF0000"/>
                      </w:rPr>
                    </w:pPr>
                    <w:r w:rsidRPr="00F40828">
                      <w:rPr>
                        <w:rFonts w:ascii="Aptos" w:eastAsia="Aptos" w:hAnsi="Aptos" w:cs="Aptos"/>
                        <w:noProof/>
                        <w:color w:val="FF0000"/>
                      </w:rPr>
                      <w:t>OFFICIAL</w:t>
                    </w:r>
                  </w:p>
                </w:txbxContent>
              </v:textbox>
              <w10:wrap anchorx="page" anchory="page"/>
            </v:shape>
          </w:pict>
        </mc:Fallback>
      </mc:AlternateContent>
    </w:r>
    <w:r w:rsidR="00000000">
      <w:rPr>
        <w:color w:val="2D3037"/>
        <w:sz w:val="22"/>
      </w:rPr>
      <w:t xml:space="preserve"> </w:t>
    </w:r>
    <w:r w:rsidR="00000000">
      <w:rPr>
        <w:color w:val="2D3037"/>
        <w:sz w:val="22"/>
      </w:rPr>
      <w:tab/>
      <w:t xml:space="preserve"> </w:t>
    </w:r>
    <w:r w:rsidR="00000000">
      <w:rPr>
        <w:color w:val="2D3037"/>
        <w:sz w:val="22"/>
      </w:rPr>
      <w:tab/>
      <w:t xml:space="preserve">Page </w:t>
    </w:r>
    <w:r w:rsidR="00000000">
      <w:fldChar w:fldCharType="begin"/>
    </w:r>
    <w:r w:rsidR="00000000">
      <w:instrText xml:space="preserve"> PAGE   \* MERGEFORMAT </w:instrText>
    </w:r>
    <w:r w:rsidR="00000000">
      <w:fldChar w:fldCharType="separate"/>
    </w:r>
    <w:r w:rsidR="00000000">
      <w:rPr>
        <w:b/>
        <w:color w:val="2D3037"/>
        <w:sz w:val="22"/>
      </w:rPr>
      <w:t>1</w:t>
    </w:r>
    <w:r w:rsidR="00000000">
      <w:rPr>
        <w:b/>
        <w:color w:val="2D3037"/>
        <w:sz w:val="22"/>
      </w:rPr>
      <w:fldChar w:fldCharType="end"/>
    </w:r>
    <w:r w:rsidR="00000000">
      <w:rPr>
        <w:color w:val="2D3037"/>
        <w:sz w:val="22"/>
      </w:rPr>
      <w:t xml:space="preserve"> of </w:t>
    </w:r>
    <w:fldSimple w:instr=" NUMPAGES   \* MERGEFORMAT ">
      <w:r w:rsidR="00000000">
        <w:rPr>
          <w:b/>
          <w:color w:val="2D3037"/>
          <w:sz w:val="22"/>
        </w:rPr>
        <w:t>5</w:t>
      </w:r>
    </w:fldSimple>
    <w:r w:rsidR="00000000">
      <w:rPr>
        <w:b/>
        <w:color w:val="2D3037"/>
      </w:rPr>
      <w:t xml:space="preserve"> </w:t>
    </w:r>
  </w:p>
  <w:p w14:paraId="7960ACC8" w14:textId="77777777" w:rsidR="00A53BE3" w:rsidRDefault="00000000">
    <w:pPr>
      <w:spacing w:after="0" w:line="259" w:lineRule="auto"/>
      <w:ind w:left="0" w:firstLine="0"/>
    </w:pPr>
    <w:r>
      <w:rPr>
        <w:i/>
        <w:color w:val="2D3037"/>
        <w:sz w:val="22"/>
      </w:rPr>
      <w:t xml:space="preserve">Last updated 16/06/2022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4CFEF" w14:textId="77777777" w:rsidR="00D552C4" w:rsidRDefault="00D552C4">
      <w:pPr>
        <w:spacing w:after="0" w:line="259" w:lineRule="auto"/>
        <w:ind w:left="0" w:firstLine="0"/>
      </w:pPr>
      <w:r>
        <w:separator/>
      </w:r>
    </w:p>
  </w:footnote>
  <w:footnote w:type="continuationSeparator" w:id="0">
    <w:p w14:paraId="1C4C5B40" w14:textId="77777777" w:rsidR="00D552C4" w:rsidRDefault="00D552C4">
      <w:pPr>
        <w:spacing w:after="0" w:line="259" w:lineRule="auto"/>
        <w:ind w:left="0" w:firstLine="0"/>
      </w:pPr>
      <w:r>
        <w:continuationSeparator/>
      </w:r>
    </w:p>
  </w:footnote>
  <w:footnote w:id="1">
    <w:p w14:paraId="1B5D14D3" w14:textId="77777777" w:rsidR="00A53BE3" w:rsidRDefault="00000000">
      <w:pPr>
        <w:pStyle w:val="footnotedescription"/>
      </w:pPr>
      <w:r>
        <w:rPr>
          <w:rStyle w:val="footnotemark"/>
        </w:rPr>
        <w:footnoteRef/>
      </w:r>
      <w:r>
        <w:t xml:space="preserve"> Noting that some funding programs already have explicit IP requirements.</w:t>
      </w:r>
      <w:r>
        <w:rPr>
          <w:color w:val="2D3037"/>
        </w:rPr>
        <w:t xml:space="preserve"> </w:t>
      </w:r>
    </w:p>
  </w:footnote>
  <w:footnote w:id="2">
    <w:p w14:paraId="5CF4AF01" w14:textId="77777777" w:rsidR="00A53BE3" w:rsidRDefault="00000000">
      <w:pPr>
        <w:pStyle w:val="footnotedescription"/>
        <w:spacing w:line="245" w:lineRule="auto"/>
      </w:pPr>
      <w:r>
        <w:rPr>
          <w:rStyle w:val="footnotemark"/>
        </w:rPr>
        <w:footnoteRef/>
      </w:r>
      <w:r>
        <w:t xml:space="preserve"> </w:t>
      </w:r>
      <w:hyperlink r:id="rId1">
        <w:r>
          <w:rPr>
            <w:i/>
            <w:color w:val="005A7A"/>
            <w:u w:val="single" w:color="005A7A"/>
          </w:rPr>
          <w:t>National Statement on Ethical Conduct in Human Research</w:t>
        </w:r>
      </w:hyperlink>
      <w:hyperlink r:id="rId2">
        <w:r>
          <w:t xml:space="preserve"> </w:t>
        </w:r>
      </w:hyperlink>
      <w:hyperlink r:id="rId3">
        <w:r>
          <w:t>(</w:t>
        </w:r>
      </w:hyperlink>
      <w:r>
        <w:t>'the Statement'), with particular reference to Chapter 2.2 "</w:t>
      </w:r>
      <w:r>
        <w:rPr>
          <w:i/>
        </w:rPr>
        <w:t>General requirements for consent</w:t>
      </w:r>
      <w:r>
        <w:t>" and Chapter 3.2 "</w:t>
      </w:r>
      <w:r>
        <w:rPr>
          <w:i/>
        </w:rPr>
        <w:t>Databanks</w:t>
      </w:r>
      <w:r>
        <w:t>"</w:t>
      </w:r>
      <w:r>
        <w:rPr>
          <w:color w:val="2D3037"/>
        </w:rPr>
        <w:t xml:space="preserve"> </w:t>
      </w:r>
    </w:p>
  </w:footnote>
  <w:footnote w:id="3">
    <w:p w14:paraId="31EA96BA" w14:textId="77777777" w:rsidR="00A53BE3" w:rsidRDefault="00000000">
      <w:pPr>
        <w:pStyle w:val="footnotedescription"/>
        <w:spacing w:after="56" w:line="223" w:lineRule="auto"/>
        <w:ind w:right="1975"/>
      </w:pPr>
      <w:r>
        <w:rPr>
          <w:rStyle w:val="footnotemark"/>
        </w:rPr>
        <w:footnoteRef/>
      </w:r>
      <w:r>
        <w:t xml:space="preserve"> </w:t>
      </w:r>
      <w:hyperlink r:id="rId4">
        <w:r>
          <w:rPr>
            <w:i/>
            <w:color w:val="005A7A"/>
            <w:u w:val="single" w:color="005A7A"/>
          </w:rPr>
          <w:t>Values and Ethics: Guidelines for Ethical Conduct in Aboriginal and Torres Strait Islander Health Research</w:t>
        </w:r>
      </w:hyperlink>
      <w:hyperlink r:id="rId5">
        <w:r>
          <w:rPr>
            <w:color w:val="2D3037"/>
          </w:rPr>
          <w:t xml:space="preserve"> </w:t>
        </w:r>
      </w:hyperlink>
      <w:r>
        <w:rPr>
          <w:color w:val="2D3037"/>
          <w:vertAlign w:val="superscript"/>
        </w:rPr>
        <w:t>10</w:t>
      </w:r>
      <w:hyperlink r:id="rId6">
        <w:r>
          <w:rPr>
            <w:color w:val="2D3037"/>
          </w:rPr>
          <w:t xml:space="preserve"> </w:t>
        </w:r>
      </w:hyperlink>
      <w:hyperlink r:id="rId7">
        <w:r>
          <w:rPr>
            <w:i/>
            <w:color w:val="005A7A"/>
            <w:u w:val="single" w:color="005A7A"/>
          </w:rPr>
          <w:t>Keeping research on track: a guide for Aboriginal and Torres Strait Islander peoples about health research ethics</w:t>
        </w:r>
      </w:hyperlink>
      <w:hyperlink r:id="rId8">
        <w:r>
          <w:rPr>
            <w:color w:val="2D3037"/>
            <w:sz w:val="20"/>
          </w:rPr>
          <w:t xml:space="preserve"> </w:t>
        </w:r>
      </w:hyperlink>
    </w:p>
  </w:footnote>
  <w:footnote w:id="4">
    <w:p w14:paraId="0FA51D7D" w14:textId="77777777" w:rsidR="00A53BE3" w:rsidRDefault="00000000">
      <w:pPr>
        <w:pStyle w:val="footnotedescription"/>
      </w:pPr>
      <w:r>
        <w:rPr>
          <w:rStyle w:val="footnotemark"/>
        </w:rPr>
        <w:footnoteRef/>
      </w:r>
      <w:r>
        <w:t xml:space="preserve"> </w:t>
      </w:r>
      <w:r>
        <w:rPr>
          <w:sz w:val="24"/>
        </w:rPr>
        <w:t xml:space="preserve">For example, the </w:t>
      </w:r>
      <w:r>
        <w:rPr>
          <w:i/>
          <w:sz w:val="24"/>
        </w:rPr>
        <w:t>Australian Code for the Responsible Conduct of Research</w:t>
      </w:r>
      <w:r>
        <w:rPr>
          <w:color w:val="2D3037"/>
          <w:sz w:val="20"/>
        </w:rPr>
        <w:t xml:space="preserve"> </w:t>
      </w:r>
    </w:p>
  </w:footnote>
  <w:footnote w:id="5">
    <w:p w14:paraId="4C68F590" w14:textId="77777777" w:rsidR="00A53BE3" w:rsidRDefault="00000000">
      <w:pPr>
        <w:pStyle w:val="footnotedescription"/>
      </w:pPr>
      <w:r>
        <w:rPr>
          <w:rStyle w:val="footnotemark"/>
        </w:rPr>
        <w:footnoteRef/>
      </w:r>
      <w:r>
        <w:t xml:space="preserve"> For example, the </w:t>
      </w:r>
      <w:r>
        <w:rPr>
          <w:i/>
        </w:rPr>
        <w:t>National Survey of Research Commercialisation</w:t>
      </w:r>
      <w:r>
        <w:t>.</w:t>
      </w:r>
      <w:r>
        <w:rPr>
          <w:color w:val="2D3037"/>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508B" w14:textId="65237139" w:rsidR="00F40828" w:rsidRDefault="00F40828">
    <w:pPr>
      <w:pStyle w:val="Header"/>
    </w:pPr>
    <w:r>
      <w:rPr>
        <w:noProof/>
      </w:rPr>
      <mc:AlternateContent>
        <mc:Choice Requires="wps">
          <w:drawing>
            <wp:anchor distT="0" distB="0" distL="0" distR="0" simplePos="0" relativeHeight="251659264" behindDoc="0" locked="0" layoutInCell="1" allowOverlap="1" wp14:anchorId="1BBB7F1C" wp14:editId="636BA175">
              <wp:simplePos x="635" y="635"/>
              <wp:positionH relativeFrom="page">
                <wp:align>center</wp:align>
              </wp:positionH>
              <wp:positionV relativeFrom="page">
                <wp:align>top</wp:align>
              </wp:positionV>
              <wp:extent cx="622300" cy="382905"/>
              <wp:effectExtent l="0" t="0" r="6350" b="17145"/>
              <wp:wrapNone/>
              <wp:docPr id="13761631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82905"/>
                      </a:xfrm>
                      <a:prstGeom prst="rect">
                        <a:avLst/>
                      </a:prstGeom>
                      <a:noFill/>
                      <a:ln>
                        <a:noFill/>
                      </a:ln>
                    </wps:spPr>
                    <wps:txbx>
                      <w:txbxContent>
                        <w:p w14:paraId="4CE4880A" w14:textId="7643B2C8" w:rsidR="00F40828" w:rsidRPr="00F40828" w:rsidRDefault="00F40828" w:rsidP="00F40828">
                          <w:pPr>
                            <w:spacing w:after="0"/>
                            <w:rPr>
                              <w:rFonts w:ascii="Aptos" w:eastAsia="Aptos" w:hAnsi="Aptos" w:cs="Aptos"/>
                              <w:noProof/>
                              <w:color w:val="FF0000"/>
                            </w:rPr>
                          </w:pPr>
                          <w:r w:rsidRPr="00F4082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BB7F1C"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0.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iPBwIAABUEAAAOAAAAZHJzL2Uyb0RvYy54bWysU8Fu2zAMvQ/YPwi6L3ZSrOiMOEXWIsOA&#10;oC2QDj0rshQbsERBYmJnXz9Ktpuu22nYRaZJ6pF8fFre9qZlJ+VDA7bk81nOmbISqsYeSv7jefPp&#10;hrOAwlaiBatKflaB364+flh2rlALqKGtlGcEYkPRuZLXiK7IsiBrZUSYgVOWghq8EUi//pBVXnSE&#10;btpskefXWQe+ch6kCoG890OQrxK+1krio9ZBIWtLTr1hOn069/HMVktRHLxwdSPHNsQ/dGFEY6no&#10;K9S9QMGOvvkDyjTSQwCNMwkmA60bqdIMNM08fzfNrhZOpVmInOBeaQr/D1Y+nHbuyTPsv0JPC4yE&#10;dC4UgZxxnl57E7/UKaM4UXh+pU31yCQ5rxeLq5wikkJXN4sv+eeIkl0uOx/wmwLDolFyT1tJZInT&#10;NuCQOqXEWhY2TdumzbT2NwdhRk926TBa2O/7se09VGeaxsOw6ODkpqGaWxHwSXjaLLVJasVHOnQL&#10;XclhtDirwf/8mz/mE+EU5awjpZTckpQ5a79bWkQUVTLmNHdkwU/u/WTYo7kD0t+cnoKTyYx52E6m&#10;9mBeSMfrWIhCwkoqV3KczDscJEvvQKr1OiWRfpzArd05GaEjT5HE5/5FeDcyjbSiB5hkJIp3hA+5&#10;8WZw6yMS7WkbkdOByJFq0l7a5/hOorjf/qesy2te/QIAAP//AwBQSwMEFAAGAAgAAAAhAJ0UpTPZ&#10;AAAAAwEAAA8AAABkcnMvZG93bnJldi54bWxMj81uwjAQhO+VeAdrkXorTqhANGSDEBIHbpT+nE28&#10;JGnjdRQbSHn6bntpLyONZjXzbb4aXKsu1IfGM0I6SUARl942XCG8vmwfFqBCNGxN65kQvijAqhjd&#10;5Saz/srPdDnESkkJh8wg1DF2mdahrMmZMPEdsWQn3zsTxfaVtr25Srlr9TRJ5tqZhmWhNh1taio/&#10;D2eH0MzWPqb0ttt+vLvUp7f9bnbbI96Ph/USVKQh/h3DD76gQyFMR39mG1SLII/EX5XsaSHuiDBP&#10;HkEXuf7PXnwDAAD//wMAUEsBAi0AFAAGAAgAAAAhALaDOJL+AAAA4QEAABMAAAAAAAAAAAAAAAAA&#10;AAAAAFtDb250ZW50X1R5cGVzXS54bWxQSwECLQAUAAYACAAAACEAOP0h/9YAAACUAQAACwAAAAAA&#10;AAAAAAAAAAAvAQAAX3JlbHMvLnJlbHNQSwECLQAUAAYACAAAACEApWB4jwcCAAAVBAAADgAAAAAA&#10;AAAAAAAAAAAuAgAAZHJzL2Uyb0RvYy54bWxQSwECLQAUAAYACAAAACEAnRSlM9kAAAADAQAADwAA&#10;AAAAAAAAAAAAAABhBAAAZHJzL2Rvd25yZXYueG1sUEsFBgAAAAAEAAQA8wAAAGcFAAAAAA==&#10;" filled="f" stroked="f">
              <v:fill o:detectmouseclick="t"/>
              <v:textbox style="mso-fit-shape-to-text:t" inset="0,15pt,0,0">
                <w:txbxContent>
                  <w:p w14:paraId="4CE4880A" w14:textId="7643B2C8" w:rsidR="00F40828" w:rsidRPr="00F40828" w:rsidRDefault="00F40828" w:rsidP="00F40828">
                    <w:pPr>
                      <w:spacing w:after="0"/>
                      <w:rPr>
                        <w:rFonts w:ascii="Aptos" w:eastAsia="Aptos" w:hAnsi="Aptos" w:cs="Aptos"/>
                        <w:noProof/>
                        <w:color w:val="FF0000"/>
                      </w:rPr>
                    </w:pPr>
                    <w:r w:rsidRPr="00F40828">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7481" w14:textId="1CD17BD9" w:rsidR="00F40828" w:rsidRDefault="00F40828">
    <w:pPr>
      <w:pStyle w:val="Header"/>
    </w:pPr>
    <w:r>
      <w:rPr>
        <w:noProof/>
      </w:rPr>
      <mc:AlternateContent>
        <mc:Choice Requires="wps">
          <w:drawing>
            <wp:anchor distT="0" distB="0" distL="0" distR="0" simplePos="0" relativeHeight="251660288" behindDoc="0" locked="0" layoutInCell="1" allowOverlap="1" wp14:anchorId="2B890189" wp14:editId="749F1972">
              <wp:simplePos x="815340" y="457200"/>
              <wp:positionH relativeFrom="page">
                <wp:align>center</wp:align>
              </wp:positionH>
              <wp:positionV relativeFrom="page">
                <wp:align>top</wp:align>
              </wp:positionV>
              <wp:extent cx="622300" cy="382905"/>
              <wp:effectExtent l="0" t="0" r="6350" b="17145"/>
              <wp:wrapNone/>
              <wp:docPr id="8314007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82905"/>
                      </a:xfrm>
                      <a:prstGeom prst="rect">
                        <a:avLst/>
                      </a:prstGeom>
                      <a:noFill/>
                      <a:ln>
                        <a:noFill/>
                      </a:ln>
                    </wps:spPr>
                    <wps:txbx>
                      <w:txbxContent>
                        <w:p w14:paraId="01021F1E" w14:textId="4970627E" w:rsidR="00F40828" w:rsidRPr="00F40828" w:rsidRDefault="00F40828" w:rsidP="00F40828">
                          <w:pPr>
                            <w:spacing w:after="0"/>
                            <w:rPr>
                              <w:rFonts w:ascii="Aptos" w:eastAsia="Aptos" w:hAnsi="Aptos" w:cs="Aptos"/>
                              <w:noProof/>
                              <w:color w:val="FF0000"/>
                            </w:rPr>
                          </w:pPr>
                          <w:r w:rsidRPr="00F4082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890189"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0.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42RCgIAABwEAAAOAAAAZHJzL2Uyb0RvYy54bWysU8Fu2zAMvQ/YPwi6L3ZSrOiMOEXWIsOA&#10;oC2QDj0rshQbkEVBYmJnXz9KjpOu26noRaZJ6pF8fJrf9q1hB+VDA7bk00nOmbISqsbuSv7refXl&#10;hrOAwlbCgFUlP6rAbxefP807V6gZ1GAq5RmB2FB0ruQ1oiuyLMhatSJMwClLQQ2+FUi/fpdVXnSE&#10;3ppslufXWQe+ch6kCoG890OQLxK+1krio9ZBITMlp94wnT6d23hmi7kodl64upGnNsQ7umhFY6no&#10;GepeoGB73/wD1TbSQwCNEwltBlo3UqUZaJpp/maaTS2cSrMQOcGdaQofBysfDhv35Bn236GnBUZC&#10;OheKQM44T699G7/UKaM4UXg806Z6ZJKc17PZVU4RSaGrm9m3/GtEyS6XnQ/4Q0HLolFyT1tJZInD&#10;OuCQOqbEWhZWjTFpM8b+5SDM6MkuHUYL+23PmupV91uojjSUh2HfwclVQ6XXIuCT8LRg6pZEi490&#10;aANdyeFkcVaD//0/f8wn3inKWUeCKbklRXNmflraR9RWMqY0fiTDj+7taNh9ewckwym9CCeTGfPQ&#10;jKb20L6QnJexEIWElVSu5Diadzgol56DVMtlSiIZOYFru3EyQke6IpfP/Yvw7kQ40qYeYFSTKN7w&#10;PuTGm8Et90jsp6VEagciT4yTBNNaT88lavz1f8q6POrFHwAAAP//AwBQSwMEFAAGAAgAAAAhAJ0U&#10;pTPZAAAAAwEAAA8AAABkcnMvZG93bnJldi54bWxMj81uwjAQhO+VeAdrkXorTqhANGSDEBIHbpT+&#10;nE28JGnjdRQbSHn6bntpLyONZjXzbb4aXKsu1IfGM0I6SUARl942XCG8vmwfFqBCNGxN65kQvijA&#10;qhjd5Saz/srPdDnESkkJh8wg1DF2mdahrMmZMPEdsWQn3zsTxfaVtr25Srlr9TRJ5tqZhmWhNh1t&#10;aio/D2eH0MzWPqb0ttt+vLvUp7f9bnbbI96Ph/USVKQh/h3DD76gQyFMR39mG1SLII/EX5XsaSHu&#10;iDBPHkEXuf7PXnwDAAD//wMAUEsBAi0AFAAGAAgAAAAhALaDOJL+AAAA4QEAABMAAAAAAAAAAAAA&#10;AAAAAAAAAFtDb250ZW50X1R5cGVzXS54bWxQSwECLQAUAAYACAAAACEAOP0h/9YAAACUAQAACwAA&#10;AAAAAAAAAAAAAAAvAQAAX3JlbHMvLnJlbHNQSwECLQAUAAYACAAAACEAGr+NkQoCAAAcBAAADgAA&#10;AAAAAAAAAAAAAAAuAgAAZHJzL2Uyb0RvYy54bWxQSwECLQAUAAYACAAAACEAnRSlM9kAAAADAQAA&#10;DwAAAAAAAAAAAAAAAABkBAAAZHJzL2Rvd25yZXYueG1sUEsFBgAAAAAEAAQA8wAAAGoFAAAAAA==&#10;" filled="f" stroked="f">
              <v:fill o:detectmouseclick="t"/>
              <v:textbox style="mso-fit-shape-to-text:t" inset="0,15pt,0,0">
                <w:txbxContent>
                  <w:p w14:paraId="01021F1E" w14:textId="4970627E" w:rsidR="00F40828" w:rsidRPr="00F40828" w:rsidRDefault="00F40828" w:rsidP="00F40828">
                    <w:pPr>
                      <w:spacing w:after="0"/>
                      <w:rPr>
                        <w:rFonts w:ascii="Aptos" w:eastAsia="Aptos" w:hAnsi="Aptos" w:cs="Aptos"/>
                        <w:noProof/>
                        <w:color w:val="FF0000"/>
                      </w:rPr>
                    </w:pPr>
                    <w:r w:rsidRPr="00F40828">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E496" w14:textId="6E7F297F" w:rsidR="00F40828" w:rsidRDefault="00F40828">
    <w:pPr>
      <w:pStyle w:val="Header"/>
    </w:pPr>
    <w:r>
      <w:rPr>
        <w:noProof/>
      </w:rPr>
      <mc:AlternateContent>
        <mc:Choice Requires="wps">
          <w:drawing>
            <wp:anchor distT="0" distB="0" distL="0" distR="0" simplePos="0" relativeHeight="251658240" behindDoc="0" locked="0" layoutInCell="1" allowOverlap="1" wp14:anchorId="1F67F1D6" wp14:editId="597FA540">
              <wp:simplePos x="635" y="635"/>
              <wp:positionH relativeFrom="page">
                <wp:align>center</wp:align>
              </wp:positionH>
              <wp:positionV relativeFrom="page">
                <wp:align>top</wp:align>
              </wp:positionV>
              <wp:extent cx="622300" cy="382905"/>
              <wp:effectExtent l="0" t="0" r="6350" b="17145"/>
              <wp:wrapNone/>
              <wp:docPr id="11360957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82905"/>
                      </a:xfrm>
                      <a:prstGeom prst="rect">
                        <a:avLst/>
                      </a:prstGeom>
                      <a:noFill/>
                      <a:ln>
                        <a:noFill/>
                      </a:ln>
                    </wps:spPr>
                    <wps:txbx>
                      <w:txbxContent>
                        <w:p w14:paraId="0B7F0C82" w14:textId="240F9DD0" w:rsidR="00F40828" w:rsidRPr="00F40828" w:rsidRDefault="00F40828" w:rsidP="00F40828">
                          <w:pPr>
                            <w:spacing w:after="0"/>
                            <w:rPr>
                              <w:rFonts w:ascii="Aptos" w:eastAsia="Aptos" w:hAnsi="Aptos" w:cs="Aptos"/>
                              <w:noProof/>
                              <w:color w:val="FF0000"/>
                            </w:rPr>
                          </w:pPr>
                          <w:r w:rsidRPr="00F4082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67F1D6"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0.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aDAIAABwEAAAOAAAAZHJzL2Uyb0RvYy54bWysU8Fu2zAMvQ/YPwi6L3bSreiMOEXWIsOA&#10;oC2QDj0rshQbkEVBYmJnXz9KjpOt7WnYRaZJ6pF8fJrf9q1hB+VDA7bk00nOmbISqsbuSv7zefXp&#10;hrOAwlbCgFUlP6rAbxcfP8w7V6gZ1GAq5RmB2FB0ruQ1oiuyLMhatSJMwClLQQ2+FUi/fpdVXnSE&#10;3ppslufXWQe+ch6kCoG890OQLxK+1krio9ZBITMlp94wnT6d23hmi7kodl64upGnNsQ/dNGKxlLR&#10;M9S9QMH2vnkD1TbSQwCNEwltBlo3UqUZaJpp/mqaTS2cSrMQOcGdaQr/D1Y+HDbuyTPsv0FPC4yE&#10;dC4UgZxxnl77Nn6pU0ZxovB4pk31yCQ5r2ezq5wikkJXN7Ov+ZeIkl0uOx/wu4KWRaPknraSyBKH&#10;dcAhdUyJtSysGmPSZoz9y0GY0ZNdOowW9tueNVXJP4/db6E60lAehn0HJ1cNlV6LgE/C04KpWxIt&#10;PtKhDXQlh5PFWQ3+13v+mE+8U5SzjgRTckuK5sz8sLSPqK1kTGn8SIYf3dvRsPv2DkiGU3oRTiYz&#10;5qEZTe2hfSE5L2MhCgkrqVzJcTTvcFAuPQeplsuURDJyAtd242SEjnRFLp/7F+HdiXCkTT3AqCZR&#10;vOJ9yI03g1vukdhPS4nUDkSeGCcJprWenkvU+J//KevyqBe/AQAA//8DAFBLAwQUAAYACAAAACEA&#10;nRSlM9kAAAADAQAADwAAAGRycy9kb3ducmV2LnhtbEyPzW7CMBCE75V4B2uReitOqEA0ZIMQEgdu&#10;lP6cTbwkaeN1FBtIefpue2kvI41mNfNtvhpcqy7Uh8YzQjpJQBGX3jZcIby+bB8WoEI0bE3rmRC+&#10;KMCqGN3lJrP+ys90OcRKSQmHzCDUMXaZ1qGsyZkw8R2xZCffOxPF9pW2vblKuWv1NEnm2pmGZaE2&#10;HW1qKj8PZ4fQzNY+pvS22368u9Snt/1udtsj3o+H9RJUpCH+HcMPvqBDIUxHf2YbVIsgj8Rflexp&#10;Ie6IME8eQRe5/s9efAMAAP//AwBQSwECLQAUAAYACAAAACEAtoM4kv4AAADhAQAAEwAAAAAAAAAA&#10;AAAAAAAAAAAAW0NvbnRlbnRfVHlwZXNdLnhtbFBLAQItABQABgAIAAAAIQA4/SH/1gAAAJQBAAAL&#10;AAAAAAAAAAAAAAAAAC8BAABfcmVscy8ucmVsc1BLAQItABQABgAIAAAAIQDD/fVaDAIAABwEAAAO&#10;AAAAAAAAAAAAAAAAAC4CAABkcnMvZTJvRG9jLnhtbFBLAQItABQABgAIAAAAIQCdFKUz2QAAAAMB&#10;AAAPAAAAAAAAAAAAAAAAAGYEAABkcnMvZG93bnJldi54bWxQSwUGAAAAAAQABADzAAAAbAUAAAAA&#10;" filled="f" stroked="f">
              <v:fill o:detectmouseclick="t"/>
              <v:textbox style="mso-fit-shape-to-text:t" inset="0,15pt,0,0">
                <w:txbxContent>
                  <w:p w14:paraId="0B7F0C82" w14:textId="240F9DD0" w:rsidR="00F40828" w:rsidRPr="00F40828" w:rsidRDefault="00F40828" w:rsidP="00F40828">
                    <w:pPr>
                      <w:spacing w:after="0"/>
                      <w:rPr>
                        <w:rFonts w:ascii="Aptos" w:eastAsia="Aptos" w:hAnsi="Aptos" w:cs="Aptos"/>
                        <w:noProof/>
                        <w:color w:val="FF0000"/>
                      </w:rPr>
                    </w:pPr>
                    <w:r w:rsidRPr="00F40828">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890"/>
    <w:multiLevelType w:val="hybridMultilevel"/>
    <w:tmpl w:val="6EC4EDE4"/>
    <w:lvl w:ilvl="0" w:tplc="FB06A180">
      <w:start w:val="5"/>
      <w:numFmt w:val="decimal"/>
      <w:lvlText w:val="%1"/>
      <w:lvlJc w:val="left"/>
      <w:pPr>
        <w:ind w:left="10"/>
      </w:pPr>
      <w:rPr>
        <w:rFonts w:ascii="Calibri" w:eastAsia="Calibri" w:hAnsi="Calibri" w:cs="Calibri"/>
        <w:b w:val="0"/>
        <w:i w:val="0"/>
        <w:strike w:val="0"/>
        <w:dstrike w:val="0"/>
        <w:color w:val="2D3037"/>
        <w:sz w:val="16"/>
        <w:szCs w:val="16"/>
        <w:u w:val="none" w:color="000000"/>
        <w:bdr w:val="none" w:sz="0" w:space="0" w:color="auto"/>
        <w:shd w:val="clear" w:color="auto" w:fill="auto"/>
        <w:vertAlign w:val="superscript"/>
      </w:rPr>
    </w:lvl>
    <w:lvl w:ilvl="1" w:tplc="176E4BCE">
      <w:start w:val="1"/>
      <w:numFmt w:val="bullet"/>
      <w:lvlText w:val="•"/>
      <w:lvlJc w:val="left"/>
      <w:pPr>
        <w:ind w:left="705"/>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2" w:tplc="A7D63684">
      <w:start w:val="1"/>
      <w:numFmt w:val="bullet"/>
      <w:lvlText w:val="▪"/>
      <w:lvlJc w:val="left"/>
      <w:pPr>
        <w:ind w:left="144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3" w:tplc="B8F6263E">
      <w:start w:val="1"/>
      <w:numFmt w:val="bullet"/>
      <w:lvlText w:val="•"/>
      <w:lvlJc w:val="left"/>
      <w:pPr>
        <w:ind w:left="2160"/>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4" w:tplc="7D441E80">
      <w:start w:val="1"/>
      <w:numFmt w:val="bullet"/>
      <w:lvlText w:val="o"/>
      <w:lvlJc w:val="left"/>
      <w:pPr>
        <w:ind w:left="288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5" w:tplc="8FAE87BA">
      <w:start w:val="1"/>
      <w:numFmt w:val="bullet"/>
      <w:lvlText w:val="▪"/>
      <w:lvlJc w:val="left"/>
      <w:pPr>
        <w:ind w:left="360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6" w:tplc="53BE2726">
      <w:start w:val="1"/>
      <w:numFmt w:val="bullet"/>
      <w:lvlText w:val="•"/>
      <w:lvlJc w:val="left"/>
      <w:pPr>
        <w:ind w:left="4320"/>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7" w:tplc="4948A918">
      <w:start w:val="1"/>
      <w:numFmt w:val="bullet"/>
      <w:lvlText w:val="o"/>
      <w:lvlJc w:val="left"/>
      <w:pPr>
        <w:ind w:left="504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8" w:tplc="9DA0969A">
      <w:start w:val="1"/>
      <w:numFmt w:val="bullet"/>
      <w:lvlText w:val="▪"/>
      <w:lvlJc w:val="left"/>
      <w:pPr>
        <w:ind w:left="576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abstractNum>
  <w:abstractNum w:abstractNumId="1" w15:restartNumberingAfterBreak="0">
    <w:nsid w:val="453E208E"/>
    <w:multiLevelType w:val="hybridMultilevel"/>
    <w:tmpl w:val="4D08B68A"/>
    <w:lvl w:ilvl="0" w:tplc="4AAC1EF2">
      <w:start w:val="1"/>
      <w:numFmt w:val="lowerLetter"/>
      <w:lvlText w:val="(%1)"/>
      <w:lvlJc w:val="left"/>
      <w:pPr>
        <w:ind w:left="319"/>
      </w:pPr>
      <w:rPr>
        <w:rFonts w:ascii="Calibri" w:eastAsia="Calibri" w:hAnsi="Calibri" w:cs="Calibri"/>
        <w:b w:val="0"/>
        <w:i w:val="0"/>
        <w:strike w:val="0"/>
        <w:dstrike w:val="0"/>
        <w:color w:val="212529"/>
        <w:sz w:val="24"/>
        <w:szCs w:val="24"/>
        <w:u w:val="none" w:color="000000"/>
        <w:bdr w:val="none" w:sz="0" w:space="0" w:color="auto"/>
        <w:shd w:val="clear" w:color="auto" w:fill="auto"/>
        <w:vertAlign w:val="baseline"/>
      </w:rPr>
    </w:lvl>
    <w:lvl w:ilvl="1" w:tplc="ABB00486">
      <w:start w:val="1"/>
      <w:numFmt w:val="bullet"/>
      <w:lvlText w:val="•"/>
      <w:lvlJc w:val="left"/>
      <w:pPr>
        <w:ind w:left="705"/>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2" w:tplc="FEC45012">
      <w:start w:val="1"/>
      <w:numFmt w:val="bullet"/>
      <w:lvlText w:val="▪"/>
      <w:lvlJc w:val="left"/>
      <w:pPr>
        <w:ind w:left="144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3" w:tplc="38A80118">
      <w:start w:val="1"/>
      <w:numFmt w:val="bullet"/>
      <w:lvlText w:val="•"/>
      <w:lvlJc w:val="left"/>
      <w:pPr>
        <w:ind w:left="2160"/>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4" w:tplc="3DBA68A2">
      <w:start w:val="1"/>
      <w:numFmt w:val="bullet"/>
      <w:lvlText w:val="o"/>
      <w:lvlJc w:val="left"/>
      <w:pPr>
        <w:ind w:left="288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5" w:tplc="6686A22C">
      <w:start w:val="1"/>
      <w:numFmt w:val="bullet"/>
      <w:lvlText w:val="▪"/>
      <w:lvlJc w:val="left"/>
      <w:pPr>
        <w:ind w:left="360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6" w:tplc="02085E9C">
      <w:start w:val="1"/>
      <w:numFmt w:val="bullet"/>
      <w:lvlText w:val="•"/>
      <w:lvlJc w:val="left"/>
      <w:pPr>
        <w:ind w:left="4320"/>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7" w:tplc="05B41210">
      <w:start w:val="1"/>
      <w:numFmt w:val="bullet"/>
      <w:lvlText w:val="o"/>
      <w:lvlJc w:val="left"/>
      <w:pPr>
        <w:ind w:left="504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8" w:tplc="2D4C2256">
      <w:start w:val="1"/>
      <w:numFmt w:val="bullet"/>
      <w:lvlText w:val="▪"/>
      <w:lvlJc w:val="left"/>
      <w:pPr>
        <w:ind w:left="576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abstractNum>
  <w:abstractNum w:abstractNumId="2" w15:restartNumberingAfterBreak="0">
    <w:nsid w:val="4D05019E"/>
    <w:multiLevelType w:val="hybridMultilevel"/>
    <w:tmpl w:val="A69C3294"/>
    <w:lvl w:ilvl="0" w:tplc="D99496A2">
      <w:start w:val="1"/>
      <w:numFmt w:val="bullet"/>
      <w:lvlText w:val="•"/>
      <w:lvlJc w:val="left"/>
      <w:pPr>
        <w:ind w:left="705"/>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1" w:tplc="48461360">
      <w:start w:val="1"/>
      <w:numFmt w:val="bullet"/>
      <w:lvlText w:val="o"/>
      <w:lvlJc w:val="left"/>
      <w:pPr>
        <w:ind w:left="144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2" w:tplc="C764C798">
      <w:start w:val="1"/>
      <w:numFmt w:val="bullet"/>
      <w:lvlText w:val="▪"/>
      <w:lvlJc w:val="left"/>
      <w:pPr>
        <w:ind w:left="216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3" w:tplc="9E56C6A2">
      <w:start w:val="1"/>
      <w:numFmt w:val="bullet"/>
      <w:lvlText w:val="•"/>
      <w:lvlJc w:val="left"/>
      <w:pPr>
        <w:ind w:left="2880"/>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4" w:tplc="BB8EB6E6">
      <w:start w:val="1"/>
      <w:numFmt w:val="bullet"/>
      <w:lvlText w:val="o"/>
      <w:lvlJc w:val="left"/>
      <w:pPr>
        <w:ind w:left="360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5" w:tplc="0CD81A24">
      <w:start w:val="1"/>
      <w:numFmt w:val="bullet"/>
      <w:lvlText w:val="▪"/>
      <w:lvlJc w:val="left"/>
      <w:pPr>
        <w:ind w:left="432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6" w:tplc="44A01B6C">
      <w:start w:val="1"/>
      <w:numFmt w:val="bullet"/>
      <w:lvlText w:val="•"/>
      <w:lvlJc w:val="left"/>
      <w:pPr>
        <w:ind w:left="5040"/>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7" w:tplc="5958F47A">
      <w:start w:val="1"/>
      <w:numFmt w:val="bullet"/>
      <w:lvlText w:val="o"/>
      <w:lvlJc w:val="left"/>
      <w:pPr>
        <w:ind w:left="576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8" w:tplc="97EA808E">
      <w:start w:val="1"/>
      <w:numFmt w:val="bullet"/>
      <w:lvlText w:val="▪"/>
      <w:lvlJc w:val="left"/>
      <w:pPr>
        <w:ind w:left="648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abstractNum>
  <w:abstractNum w:abstractNumId="3" w15:restartNumberingAfterBreak="0">
    <w:nsid w:val="5810328B"/>
    <w:multiLevelType w:val="hybridMultilevel"/>
    <w:tmpl w:val="8FD45FA4"/>
    <w:lvl w:ilvl="0" w:tplc="A2923D4C">
      <w:start w:val="1"/>
      <w:numFmt w:val="decimal"/>
      <w:lvlText w:val="%1"/>
      <w:lvlJc w:val="left"/>
      <w:pPr>
        <w:ind w:left="67"/>
      </w:pPr>
      <w:rPr>
        <w:rFonts w:ascii="Calibri" w:eastAsia="Calibri" w:hAnsi="Calibri" w:cs="Calibri"/>
        <w:b w:val="0"/>
        <w:i w:val="0"/>
        <w:strike w:val="0"/>
        <w:dstrike w:val="0"/>
        <w:color w:val="2D3037"/>
        <w:sz w:val="12"/>
        <w:szCs w:val="12"/>
        <w:u w:val="none" w:color="000000"/>
        <w:bdr w:val="none" w:sz="0" w:space="0" w:color="auto"/>
        <w:shd w:val="clear" w:color="auto" w:fill="auto"/>
        <w:vertAlign w:val="superscript"/>
      </w:rPr>
    </w:lvl>
    <w:lvl w:ilvl="1" w:tplc="F708B854">
      <w:start w:val="1"/>
      <w:numFmt w:val="lowerLetter"/>
      <w:lvlText w:val="%2"/>
      <w:lvlJc w:val="left"/>
      <w:pPr>
        <w:ind w:left="1080"/>
      </w:pPr>
      <w:rPr>
        <w:rFonts w:ascii="Calibri" w:eastAsia="Calibri" w:hAnsi="Calibri" w:cs="Calibri"/>
        <w:b w:val="0"/>
        <w:i w:val="0"/>
        <w:strike w:val="0"/>
        <w:dstrike w:val="0"/>
        <w:color w:val="2D3037"/>
        <w:sz w:val="12"/>
        <w:szCs w:val="12"/>
        <w:u w:val="none" w:color="000000"/>
        <w:bdr w:val="none" w:sz="0" w:space="0" w:color="auto"/>
        <w:shd w:val="clear" w:color="auto" w:fill="auto"/>
        <w:vertAlign w:val="superscript"/>
      </w:rPr>
    </w:lvl>
    <w:lvl w:ilvl="2" w:tplc="10D6371C">
      <w:start w:val="1"/>
      <w:numFmt w:val="lowerRoman"/>
      <w:lvlText w:val="%3"/>
      <w:lvlJc w:val="left"/>
      <w:pPr>
        <w:ind w:left="1800"/>
      </w:pPr>
      <w:rPr>
        <w:rFonts w:ascii="Calibri" w:eastAsia="Calibri" w:hAnsi="Calibri" w:cs="Calibri"/>
        <w:b w:val="0"/>
        <w:i w:val="0"/>
        <w:strike w:val="0"/>
        <w:dstrike w:val="0"/>
        <w:color w:val="2D3037"/>
        <w:sz w:val="12"/>
        <w:szCs w:val="12"/>
        <w:u w:val="none" w:color="000000"/>
        <w:bdr w:val="none" w:sz="0" w:space="0" w:color="auto"/>
        <w:shd w:val="clear" w:color="auto" w:fill="auto"/>
        <w:vertAlign w:val="superscript"/>
      </w:rPr>
    </w:lvl>
    <w:lvl w:ilvl="3" w:tplc="BD341F7C">
      <w:start w:val="1"/>
      <w:numFmt w:val="decimal"/>
      <w:lvlText w:val="%4"/>
      <w:lvlJc w:val="left"/>
      <w:pPr>
        <w:ind w:left="2520"/>
      </w:pPr>
      <w:rPr>
        <w:rFonts w:ascii="Calibri" w:eastAsia="Calibri" w:hAnsi="Calibri" w:cs="Calibri"/>
        <w:b w:val="0"/>
        <w:i w:val="0"/>
        <w:strike w:val="0"/>
        <w:dstrike w:val="0"/>
        <w:color w:val="2D3037"/>
        <w:sz w:val="12"/>
        <w:szCs w:val="12"/>
        <w:u w:val="none" w:color="000000"/>
        <w:bdr w:val="none" w:sz="0" w:space="0" w:color="auto"/>
        <w:shd w:val="clear" w:color="auto" w:fill="auto"/>
        <w:vertAlign w:val="superscript"/>
      </w:rPr>
    </w:lvl>
    <w:lvl w:ilvl="4" w:tplc="3766A598">
      <w:start w:val="1"/>
      <w:numFmt w:val="lowerLetter"/>
      <w:lvlText w:val="%5"/>
      <w:lvlJc w:val="left"/>
      <w:pPr>
        <w:ind w:left="3240"/>
      </w:pPr>
      <w:rPr>
        <w:rFonts w:ascii="Calibri" w:eastAsia="Calibri" w:hAnsi="Calibri" w:cs="Calibri"/>
        <w:b w:val="0"/>
        <w:i w:val="0"/>
        <w:strike w:val="0"/>
        <w:dstrike w:val="0"/>
        <w:color w:val="2D3037"/>
        <w:sz w:val="12"/>
        <w:szCs w:val="12"/>
        <w:u w:val="none" w:color="000000"/>
        <w:bdr w:val="none" w:sz="0" w:space="0" w:color="auto"/>
        <w:shd w:val="clear" w:color="auto" w:fill="auto"/>
        <w:vertAlign w:val="superscript"/>
      </w:rPr>
    </w:lvl>
    <w:lvl w:ilvl="5" w:tplc="6B6468E8">
      <w:start w:val="1"/>
      <w:numFmt w:val="lowerRoman"/>
      <w:lvlText w:val="%6"/>
      <w:lvlJc w:val="left"/>
      <w:pPr>
        <w:ind w:left="3960"/>
      </w:pPr>
      <w:rPr>
        <w:rFonts w:ascii="Calibri" w:eastAsia="Calibri" w:hAnsi="Calibri" w:cs="Calibri"/>
        <w:b w:val="0"/>
        <w:i w:val="0"/>
        <w:strike w:val="0"/>
        <w:dstrike w:val="0"/>
        <w:color w:val="2D3037"/>
        <w:sz w:val="12"/>
        <w:szCs w:val="12"/>
        <w:u w:val="none" w:color="000000"/>
        <w:bdr w:val="none" w:sz="0" w:space="0" w:color="auto"/>
        <w:shd w:val="clear" w:color="auto" w:fill="auto"/>
        <w:vertAlign w:val="superscript"/>
      </w:rPr>
    </w:lvl>
    <w:lvl w:ilvl="6" w:tplc="1D5EE63E">
      <w:start w:val="1"/>
      <w:numFmt w:val="decimal"/>
      <w:lvlText w:val="%7"/>
      <w:lvlJc w:val="left"/>
      <w:pPr>
        <w:ind w:left="4680"/>
      </w:pPr>
      <w:rPr>
        <w:rFonts w:ascii="Calibri" w:eastAsia="Calibri" w:hAnsi="Calibri" w:cs="Calibri"/>
        <w:b w:val="0"/>
        <w:i w:val="0"/>
        <w:strike w:val="0"/>
        <w:dstrike w:val="0"/>
        <w:color w:val="2D3037"/>
        <w:sz w:val="12"/>
        <w:szCs w:val="12"/>
        <w:u w:val="none" w:color="000000"/>
        <w:bdr w:val="none" w:sz="0" w:space="0" w:color="auto"/>
        <w:shd w:val="clear" w:color="auto" w:fill="auto"/>
        <w:vertAlign w:val="superscript"/>
      </w:rPr>
    </w:lvl>
    <w:lvl w:ilvl="7" w:tplc="5E5697F0">
      <w:start w:val="1"/>
      <w:numFmt w:val="lowerLetter"/>
      <w:lvlText w:val="%8"/>
      <w:lvlJc w:val="left"/>
      <w:pPr>
        <w:ind w:left="5400"/>
      </w:pPr>
      <w:rPr>
        <w:rFonts w:ascii="Calibri" w:eastAsia="Calibri" w:hAnsi="Calibri" w:cs="Calibri"/>
        <w:b w:val="0"/>
        <w:i w:val="0"/>
        <w:strike w:val="0"/>
        <w:dstrike w:val="0"/>
        <w:color w:val="2D3037"/>
        <w:sz w:val="12"/>
        <w:szCs w:val="12"/>
        <w:u w:val="none" w:color="000000"/>
        <w:bdr w:val="none" w:sz="0" w:space="0" w:color="auto"/>
        <w:shd w:val="clear" w:color="auto" w:fill="auto"/>
        <w:vertAlign w:val="superscript"/>
      </w:rPr>
    </w:lvl>
    <w:lvl w:ilvl="8" w:tplc="44E4386C">
      <w:start w:val="1"/>
      <w:numFmt w:val="lowerRoman"/>
      <w:lvlText w:val="%9"/>
      <w:lvlJc w:val="left"/>
      <w:pPr>
        <w:ind w:left="6120"/>
      </w:pPr>
      <w:rPr>
        <w:rFonts w:ascii="Calibri" w:eastAsia="Calibri" w:hAnsi="Calibri" w:cs="Calibri"/>
        <w:b w:val="0"/>
        <w:i w:val="0"/>
        <w:strike w:val="0"/>
        <w:dstrike w:val="0"/>
        <w:color w:val="2D3037"/>
        <w:sz w:val="12"/>
        <w:szCs w:val="12"/>
        <w:u w:val="none" w:color="000000"/>
        <w:bdr w:val="none" w:sz="0" w:space="0" w:color="auto"/>
        <w:shd w:val="clear" w:color="auto" w:fill="auto"/>
        <w:vertAlign w:val="superscript"/>
      </w:rPr>
    </w:lvl>
  </w:abstractNum>
  <w:abstractNum w:abstractNumId="4" w15:restartNumberingAfterBreak="0">
    <w:nsid w:val="6C473E09"/>
    <w:multiLevelType w:val="hybridMultilevel"/>
    <w:tmpl w:val="35960920"/>
    <w:lvl w:ilvl="0" w:tplc="64360B54">
      <w:start w:val="8"/>
      <w:numFmt w:val="lowerLetter"/>
      <w:lvlText w:val="%1."/>
      <w:lvlJc w:val="left"/>
      <w:pPr>
        <w:ind w:left="161"/>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1" w:tplc="F82A0AFA">
      <w:start w:val="1"/>
      <w:numFmt w:val="lowerLetter"/>
      <w:lvlText w:val="%2"/>
      <w:lvlJc w:val="left"/>
      <w:pPr>
        <w:ind w:left="1080"/>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2" w:tplc="70088016">
      <w:start w:val="1"/>
      <w:numFmt w:val="lowerRoman"/>
      <w:lvlText w:val="%3"/>
      <w:lvlJc w:val="left"/>
      <w:pPr>
        <w:ind w:left="1800"/>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3" w:tplc="50CAE668">
      <w:start w:val="1"/>
      <w:numFmt w:val="decimal"/>
      <w:lvlText w:val="%4"/>
      <w:lvlJc w:val="left"/>
      <w:pPr>
        <w:ind w:left="2520"/>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4" w:tplc="E914314A">
      <w:start w:val="1"/>
      <w:numFmt w:val="lowerLetter"/>
      <w:lvlText w:val="%5"/>
      <w:lvlJc w:val="left"/>
      <w:pPr>
        <w:ind w:left="3240"/>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5" w:tplc="5E3A65B4">
      <w:start w:val="1"/>
      <w:numFmt w:val="lowerRoman"/>
      <w:lvlText w:val="%6"/>
      <w:lvlJc w:val="left"/>
      <w:pPr>
        <w:ind w:left="3960"/>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6" w:tplc="31363CB6">
      <w:start w:val="1"/>
      <w:numFmt w:val="decimal"/>
      <w:lvlText w:val="%7"/>
      <w:lvlJc w:val="left"/>
      <w:pPr>
        <w:ind w:left="4680"/>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7" w:tplc="775C9092">
      <w:start w:val="1"/>
      <w:numFmt w:val="lowerLetter"/>
      <w:lvlText w:val="%8"/>
      <w:lvlJc w:val="left"/>
      <w:pPr>
        <w:ind w:left="5400"/>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8" w:tplc="DBDABD00">
      <w:start w:val="1"/>
      <w:numFmt w:val="lowerRoman"/>
      <w:lvlText w:val="%9"/>
      <w:lvlJc w:val="left"/>
      <w:pPr>
        <w:ind w:left="6120"/>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abstractNum>
  <w:abstractNum w:abstractNumId="5" w15:restartNumberingAfterBreak="0">
    <w:nsid w:val="73990D11"/>
    <w:multiLevelType w:val="hybridMultilevel"/>
    <w:tmpl w:val="FC447280"/>
    <w:lvl w:ilvl="0" w:tplc="F67E0B48">
      <w:start w:val="6"/>
      <w:numFmt w:val="lowerLetter"/>
      <w:lvlText w:val="(%1)"/>
      <w:lvlJc w:val="left"/>
      <w:pPr>
        <w:ind w:left="367"/>
      </w:pPr>
      <w:rPr>
        <w:rFonts w:ascii="Calibri" w:eastAsia="Calibri" w:hAnsi="Calibri" w:cs="Calibri"/>
        <w:b w:val="0"/>
        <w:i w:val="0"/>
        <w:strike w:val="0"/>
        <w:dstrike w:val="0"/>
        <w:color w:val="212529"/>
        <w:sz w:val="24"/>
        <w:szCs w:val="24"/>
        <w:u w:val="none" w:color="000000"/>
        <w:bdr w:val="none" w:sz="0" w:space="0" w:color="auto"/>
        <w:shd w:val="clear" w:color="auto" w:fill="auto"/>
        <w:vertAlign w:val="baseline"/>
      </w:rPr>
    </w:lvl>
    <w:lvl w:ilvl="1" w:tplc="3E268BC4">
      <w:start w:val="1"/>
      <w:numFmt w:val="bullet"/>
      <w:lvlText w:val="•"/>
      <w:lvlJc w:val="left"/>
      <w:pPr>
        <w:ind w:left="705"/>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2" w:tplc="486225A8">
      <w:start w:val="1"/>
      <w:numFmt w:val="bullet"/>
      <w:lvlText w:val="▪"/>
      <w:lvlJc w:val="left"/>
      <w:pPr>
        <w:ind w:left="144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3" w:tplc="EE26D10C">
      <w:start w:val="1"/>
      <w:numFmt w:val="bullet"/>
      <w:lvlText w:val="•"/>
      <w:lvlJc w:val="left"/>
      <w:pPr>
        <w:ind w:left="2160"/>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4" w:tplc="38FA20FA">
      <w:start w:val="1"/>
      <w:numFmt w:val="bullet"/>
      <w:lvlText w:val="o"/>
      <w:lvlJc w:val="left"/>
      <w:pPr>
        <w:ind w:left="288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5" w:tplc="68FCEC66">
      <w:start w:val="1"/>
      <w:numFmt w:val="bullet"/>
      <w:lvlText w:val="▪"/>
      <w:lvlJc w:val="left"/>
      <w:pPr>
        <w:ind w:left="360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6" w:tplc="B7E20502">
      <w:start w:val="1"/>
      <w:numFmt w:val="bullet"/>
      <w:lvlText w:val="•"/>
      <w:lvlJc w:val="left"/>
      <w:pPr>
        <w:ind w:left="4320"/>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7" w:tplc="9C8AC574">
      <w:start w:val="1"/>
      <w:numFmt w:val="bullet"/>
      <w:lvlText w:val="o"/>
      <w:lvlJc w:val="left"/>
      <w:pPr>
        <w:ind w:left="504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8" w:tplc="8578C792">
      <w:start w:val="1"/>
      <w:numFmt w:val="bullet"/>
      <w:lvlText w:val="▪"/>
      <w:lvlJc w:val="left"/>
      <w:pPr>
        <w:ind w:left="576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abstractNum>
  <w:abstractNum w:abstractNumId="6" w15:restartNumberingAfterBreak="0">
    <w:nsid w:val="77C6378E"/>
    <w:multiLevelType w:val="hybridMultilevel"/>
    <w:tmpl w:val="1A50F2CC"/>
    <w:lvl w:ilvl="0" w:tplc="1C56893C">
      <w:start w:val="3"/>
      <w:numFmt w:val="lowerLetter"/>
      <w:lvlText w:val="%1."/>
      <w:lvlJc w:val="left"/>
      <w:pPr>
        <w:ind w:left="161"/>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1" w:tplc="524E0CAC">
      <w:start w:val="1"/>
      <w:numFmt w:val="lowerLetter"/>
      <w:lvlText w:val="%2"/>
      <w:lvlJc w:val="left"/>
      <w:pPr>
        <w:ind w:left="1080"/>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2" w:tplc="752A5838">
      <w:start w:val="1"/>
      <w:numFmt w:val="lowerRoman"/>
      <w:lvlText w:val="%3"/>
      <w:lvlJc w:val="left"/>
      <w:pPr>
        <w:ind w:left="1800"/>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3" w:tplc="D4D6B99A">
      <w:start w:val="1"/>
      <w:numFmt w:val="decimal"/>
      <w:lvlText w:val="%4"/>
      <w:lvlJc w:val="left"/>
      <w:pPr>
        <w:ind w:left="2520"/>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4" w:tplc="DFBE32F6">
      <w:start w:val="1"/>
      <w:numFmt w:val="lowerLetter"/>
      <w:lvlText w:val="%5"/>
      <w:lvlJc w:val="left"/>
      <w:pPr>
        <w:ind w:left="3240"/>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5" w:tplc="5FA6E2B2">
      <w:start w:val="1"/>
      <w:numFmt w:val="lowerRoman"/>
      <w:lvlText w:val="%6"/>
      <w:lvlJc w:val="left"/>
      <w:pPr>
        <w:ind w:left="3960"/>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6" w:tplc="81D6592E">
      <w:start w:val="1"/>
      <w:numFmt w:val="decimal"/>
      <w:lvlText w:val="%7"/>
      <w:lvlJc w:val="left"/>
      <w:pPr>
        <w:ind w:left="4680"/>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7" w:tplc="D41E1248">
      <w:start w:val="1"/>
      <w:numFmt w:val="lowerLetter"/>
      <w:lvlText w:val="%8"/>
      <w:lvlJc w:val="left"/>
      <w:pPr>
        <w:ind w:left="5400"/>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8" w:tplc="AAE6CC06">
      <w:start w:val="1"/>
      <w:numFmt w:val="lowerRoman"/>
      <w:lvlText w:val="%9"/>
      <w:lvlJc w:val="left"/>
      <w:pPr>
        <w:ind w:left="6120"/>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abstractNum>
  <w:num w:numId="1" w16cid:durableId="516966223">
    <w:abstractNumId w:val="2"/>
  </w:num>
  <w:num w:numId="2" w16cid:durableId="2038777422">
    <w:abstractNumId w:val="3"/>
  </w:num>
  <w:num w:numId="3" w16cid:durableId="1645353917">
    <w:abstractNumId w:val="6"/>
  </w:num>
  <w:num w:numId="4" w16cid:durableId="735860972">
    <w:abstractNumId w:val="4"/>
  </w:num>
  <w:num w:numId="5" w16cid:durableId="446589063">
    <w:abstractNumId w:val="1"/>
  </w:num>
  <w:num w:numId="6" w16cid:durableId="771708855">
    <w:abstractNumId w:val="0"/>
  </w:num>
  <w:num w:numId="7" w16cid:durableId="1248878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BE3"/>
    <w:rsid w:val="00765B29"/>
    <w:rsid w:val="00A53BE3"/>
    <w:rsid w:val="00D552C4"/>
    <w:rsid w:val="00F408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B4E5"/>
  <w15:docId w15:val="{50C2E07C-FCEF-4EB6-B9FC-3143CF6A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10" w:hanging="10"/>
    </w:pPr>
    <w:rPr>
      <w:rFonts w:ascii="Calibri" w:eastAsia="Calibri" w:hAnsi="Calibri" w:cs="Calibri"/>
      <w:color w:val="212529"/>
    </w:rPr>
  </w:style>
  <w:style w:type="paragraph" w:styleId="Heading1">
    <w:name w:val="heading 1"/>
    <w:next w:val="Normal"/>
    <w:link w:val="Heading1Char"/>
    <w:uiPriority w:val="9"/>
    <w:qFormat/>
    <w:pPr>
      <w:keepNext/>
      <w:keepLines/>
      <w:spacing w:after="0" w:line="259" w:lineRule="auto"/>
      <w:ind w:left="10" w:hanging="10"/>
      <w:outlineLvl w:val="0"/>
    </w:pPr>
    <w:rPr>
      <w:rFonts w:ascii="Cambria" w:eastAsia="Cambria" w:hAnsi="Cambria" w:cs="Cambria"/>
      <w:color w:val="000000"/>
      <w:sz w:val="48"/>
    </w:rPr>
  </w:style>
  <w:style w:type="paragraph" w:styleId="Heading2">
    <w:name w:val="heading 2"/>
    <w:next w:val="Normal"/>
    <w:link w:val="Heading2Char"/>
    <w:uiPriority w:val="9"/>
    <w:semiHidden/>
    <w:unhideWhenUsed/>
    <w:qFormat/>
    <w:pPr>
      <w:keepNext/>
      <w:keepLines/>
      <w:spacing w:after="0" w:line="259" w:lineRule="auto"/>
      <w:ind w:left="10" w:hanging="10"/>
      <w:outlineLvl w:val="1"/>
    </w:pPr>
    <w:rPr>
      <w:rFonts w:ascii="Cambria" w:eastAsia="Cambria" w:hAnsi="Cambria" w:cs="Cambria"/>
      <w:color w:val="170F39"/>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color w:val="000000"/>
      <w:sz w:val="48"/>
    </w:rPr>
  </w:style>
  <w:style w:type="paragraph" w:customStyle="1" w:styleId="footnotedescription">
    <w:name w:val="footnote description"/>
    <w:next w:val="Normal"/>
    <w:link w:val="footnotedescriptionChar"/>
    <w:hidden/>
    <w:pPr>
      <w:spacing w:after="0" w:line="259" w:lineRule="auto"/>
    </w:pPr>
    <w:rPr>
      <w:rFonts w:ascii="Calibri" w:eastAsia="Calibri" w:hAnsi="Calibri" w:cs="Calibri"/>
      <w:color w:val="212529"/>
      <w:sz w:val="16"/>
    </w:rPr>
  </w:style>
  <w:style w:type="character" w:customStyle="1" w:styleId="footnotedescriptionChar">
    <w:name w:val="footnote description Char"/>
    <w:link w:val="footnotedescription"/>
    <w:rPr>
      <w:rFonts w:ascii="Calibri" w:eastAsia="Calibri" w:hAnsi="Calibri" w:cs="Calibri"/>
      <w:color w:val="212529"/>
      <w:sz w:val="16"/>
    </w:rPr>
  </w:style>
  <w:style w:type="character" w:customStyle="1" w:styleId="Heading2Char">
    <w:name w:val="Heading 2 Char"/>
    <w:link w:val="Heading2"/>
    <w:rPr>
      <w:rFonts w:ascii="Cambria" w:eastAsia="Cambria" w:hAnsi="Cambria" w:cs="Cambria"/>
      <w:color w:val="170F39"/>
      <w:sz w:val="40"/>
    </w:rPr>
  </w:style>
  <w:style w:type="paragraph" w:styleId="TOC1">
    <w:name w:val="toc 1"/>
    <w:hidden/>
    <w:pPr>
      <w:spacing w:after="179" w:line="352" w:lineRule="auto"/>
      <w:ind w:left="25" w:right="15" w:hanging="10"/>
      <w:jc w:val="both"/>
    </w:pPr>
    <w:rPr>
      <w:rFonts w:ascii="Calibri" w:eastAsia="Calibri" w:hAnsi="Calibri" w:cs="Calibri"/>
      <w:color w:val="2D3037"/>
      <w:sz w:val="22"/>
    </w:rPr>
  </w:style>
  <w:style w:type="character" w:customStyle="1" w:styleId="footnotemark">
    <w:name w:val="footnote mark"/>
    <w:hidden/>
    <w:rPr>
      <w:rFonts w:ascii="Calibri" w:eastAsia="Calibri" w:hAnsi="Calibri" w:cs="Calibri"/>
      <w:color w:val="2D3037"/>
      <w:sz w:val="16"/>
      <w:vertAlign w:val="superscript"/>
    </w:rPr>
  </w:style>
  <w:style w:type="paragraph" w:styleId="Header">
    <w:name w:val="header"/>
    <w:basedOn w:val="Normal"/>
    <w:link w:val="HeaderChar"/>
    <w:uiPriority w:val="99"/>
    <w:unhideWhenUsed/>
    <w:rsid w:val="00F40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28"/>
    <w:rPr>
      <w:rFonts w:ascii="Calibri" w:eastAsia="Calibri" w:hAnsi="Calibri" w:cs="Calibri"/>
      <w:color w:val="2125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g.gov.au/RightsAndProtections/IntellectualProperty/Documents/IntellectualPropertyManual.pdf" TargetMode="External"/><Relationship Id="rId13" Type="http://schemas.openxmlformats.org/officeDocument/2006/relationships/hyperlink" Target="https://www.business.gov.au/info/run/protect-your-ide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ag.gov.au/RightsAndProtections/IntellectualProperty/Documents/IntellectualPropertyManual.pdf" TargetMode="External"/><Relationship Id="rId12" Type="http://schemas.openxmlformats.org/officeDocument/2006/relationships/hyperlink" Target="http://www.nhmrc.gov.au/guidelines-publications/r39" TargetMode="External"/><Relationship Id="rId17" Type="http://schemas.openxmlformats.org/officeDocument/2006/relationships/hyperlink" Target="http://www.arc.gov.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rc.gov.a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mrc.gov.au/guidelines-publications/r3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usiness.gov.au/info/run/protect-your-ideas" TargetMode="External"/><Relationship Id="rId23" Type="http://schemas.openxmlformats.org/officeDocument/2006/relationships/footer" Target="footer3.xml"/><Relationship Id="rId10" Type="http://schemas.openxmlformats.org/officeDocument/2006/relationships/hyperlink" Target="http://www.nhmrc.gov.au/guidelines-publications/r3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nhmrc.gov.au/guidelines-publications/r39" TargetMode="External"/><Relationship Id="rId14" Type="http://schemas.openxmlformats.org/officeDocument/2006/relationships/hyperlink" Target="https://www.business.gov.au/info/run/protect-your-ideas"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nhmrc.gov.au/guidelines-publications/e65" TargetMode="External"/><Relationship Id="rId3" Type="http://schemas.openxmlformats.org/officeDocument/2006/relationships/hyperlink" Target="http://www.nhmrc.gov.au/guidelines-publications/e72" TargetMode="External"/><Relationship Id="rId7" Type="http://schemas.openxmlformats.org/officeDocument/2006/relationships/hyperlink" Target="http://www.nhmrc.gov.au/guidelines-publications/e65" TargetMode="External"/><Relationship Id="rId2" Type="http://schemas.openxmlformats.org/officeDocument/2006/relationships/hyperlink" Target="http://www.nhmrc.gov.au/guidelines-publications/e72" TargetMode="External"/><Relationship Id="rId1" Type="http://schemas.openxmlformats.org/officeDocument/2006/relationships/hyperlink" Target="http://www.nhmrc.gov.au/guidelines-publications/e72" TargetMode="External"/><Relationship Id="rId6" Type="http://schemas.openxmlformats.org/officeDocument/2006/relationships/hyperlink" Target="http://www.nhmrc.gov.au/guidelines-publications/e65" TargetMode="External"/><Relationship Id="rId5" Type="http://schemas.openxmlformats.org/officeDocument/2006/relationships/hyperlink" Target="http://www.nhmrc.gov.au/guidelines-publications/e52" TargetMode="External"/><Relationship Id="rId4" Type="http://schemas.openxmlformats.org/officeDocument/2006/relationships/hyperlink" Target="http://www.nhmrc.gov.au/guidelines-publications/e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1726</Words>
  <Characters>9842</Characters>
  <Application>Microsoft Office Word</Application>
  <DocSecurity>0</DocSecurity>
  <Lines>82</Lines>
  <Paragraphs>23</Paragraphs>
  <ScaleCrop>false</ScaleCrop>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ARC Policy</dc:subject>
  <dc:creator>Amy Tepes</dc:creator>
  <cp:keywords/>
  <cp:lastModifiedBy>Samantha Blandy</cp:lastModifiedBy>
  <cp:revision>2</cp:revision>
  <dcterms:created xsi:type="dcterms:W3CDTF">2026-05-18T02:54:00Z</dcterms:created>
  <dcterms:modified xsi:type="dcterms:W3CDTF">2026-05-18T02:54:00Z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43b77216,5206957e,318e2b4e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3bc5b494,62d2b892,6f36e1ed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bea46ff-9697-4aa0-8ebf-843aa494d7e0_Enabled">
    <vt:lpwstr>true</vt:lpwstr>
  </property>
  <property fmtid="{D5CDD505-2E9C-101B-9397-08002B2CF9AE}" pid="9" name="MSIP_Label_abea46ff-9697-4aa0-8ebf-843aa494d7e0_SetDate">
    <vt:lpwstr>2026-05-18T02:54:47Z</vt:lpwstr>
  </property>
  <property fmtid="{D5CDD505-2E9C-101B-9397-08002B2CF9AE}" pid="10" name="MSIP_Label_abea46ff-9697-4aa0-8ebf-843aa494d7e0_Method">
    <vt:lpwstr>Privileged</vt:lpwstr>
  </property>
  <property fmtid="{D5CDD505-2E9C-101B-9397-08002B2CF9AE}" pid="11" name="MSIP_Label_abea46ff-9697-4aa0-8ebf-843aa494d7e0_Name">
    <vt:lpwstr>OFFICIAL</vt:lpwstr>
  </property>
  <property fmtid="{D5CDD505-2E9C-101B-9397-08002B2CF9AE}" pid="12" name="MSIP_Label_abea46ff-9697-4aa0-8ebf-843aa494d7e0_SiteId">
    <vt:lpwstr>c75dbeec-a1a5-49b4-8a3a-c54972b1ce77</vt:lpwstr>
  </property>
  <property fmtid="{D5CDD505-2E9C-101B-9397-08002B2CF9AE}" pid="13" name="MSIP_Label_abea46ff-9697-4aa0-8ebf-843aa494d7e0_ActionId">
    <vt:lpwstr>433834f7-f20a-4984-b6bb-38440a5a4b4b</vt:lpwstr>
  </property>
  <property fmtid="{D5CDD505-2E9C-101B-9397-08002B2CF9AE}" pid="14" name="MSIP_Label_abea46ff-9697-4aa0-8ebf-843aa494d7e0_ContentBits">
    <vt:lpwstr>3</vt:lpwstr>
  </property>
  <property fmtid="{D5CDD505-2E9C-101B-9397-08002B2CF9AE}" pid="15" name="MSIP_Label_abea46ff-9697-4aa0-8ebf-843aa494d7e0_Tag">
    <vt:lpwstr>10, 0, 1, 1</vt:lpwstr>
  </property>
</Properties>
</file>