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75B5D" w14:textId="6F038741" w:rsidR="000B12FD" w:rsidRPr="003F6829" w:rsidRDefault="00D06325" w:rsidP="00CD3D78">
      <w:pPr>
        <w:pStyle w:val="Title"/>
        <w:tabs>
          <w:tab w:val="left" w:pos="3402"/>
        </w:tabs>
        <w:rPr>
          <w:rFonts w:asciiTheme="majorHAnsi" w:hAnsiTheme="majorHAnsi"/>
          <w:sz w:val="44"/>
        </w:rPr>
      </w:pPr>
      <w:bookmarkStart w:id="0" w:name="_Toc153372152"/>
      <w:r>
        <w:rPr>
          <w:rFonts w:asciiTheme="majorHAnsi" w:hAnsiTheme="majorHAnsi"/>
          <w:sz w:val="44"/>
        </w:rPr>
        <w:t>Research Opportunity and Performance Evidence (ROPE)</w:t>
      </w:r>
      <w:bookmarkEnd w:id="0"/>
    </w:p>
    <w:p w14:paraId="45A83488" w14:textId="77777777" w:rsidR="000B12FD" w:rsidRDefault="000B12FD" w:rsidP="00F126ED">
      <w:pPr>
        <w:pStyle w:val="BodyText"/>
        <w:spacing w:before="0" w:after="0" w:line="240" w:lineRule="auto"/>
        <w:rPr>
          <w:rFonts w:ascii="Cambria"/>
          <w:sz w:val="20"/>
        </w:rPr>
      </w:pPr>
    </w:p>
    <w:tbl>
      <w:tblPr>
        <w:tblStyle w:val="TableGrid"/>
        <w:tblW w:w="0" w:type="auto"/>
        <w:tblInd w:w="108" w:type="dxa"/>
        <w:tblLook w:val="04A0" w:firstRow="1" w:lastRow="0" w:firstColumn="1" w:lastColumn="0" w:noHBand="0" w:noVBand="1"/>
      </w:tblPr>
      <w:tblGrid>
        <w:gridCol w:w="1881"/>
        <w:gridCol w:w="3223"/>
        <w:gridCol w:w="1947"/>
        <w:gridCol w:w="2182"/>
      </w:tblGrid>
      <w:tr w:rsidR="000E0B93" w14:paraId="3BB2B572" w14:textId="77777777" w:rsidTr="009300BE">
        <w:tc>
          <w:tcPr>
            <w:tcW w:w="1881" w:type="dxa"/>
            <w:tcBorders>
              <w:top w:val="single" w:sz="12" w:space="0" w:color="1A0D52"/>
              <w:left w:val="single" w:sz="12" w:space="0" w:color="1A0D52"/>
              <w:bottom w:val="single" w:sz="8" w:space="0" w:color="FFFFFF" w:themeColor="background1"/>
              <w:right w:val="single" w:sz="12" w:space="0" w:color="1A0D52"/>
            </w:tcBorders>
            <w:shd w:val="clear" w:color="auto" w:fill="1A0D52"/>
          </w:tcPr>
          <w:p w14:paraId="60F41A60" w14:textId="77777777" w:rsidR="000E0B93" w:rsidRPr="00250236" w:rsidRDefault="000E0B93" w:rsidP="00094F4B">
            <w:pPr>
              <w:spacing w:before="60" w:after="60"/>
              <w:rPr>
                <w:color w:val="FFFFFF" w:themeColor="background1"/>
              </w:rPr>
            </w:pPr>
            <w:r w:rsidRPr="00250236">
              <w:rPr>
                <w:color w:val="FFFFFF" w:themeColor="background1"/>
              </w:rPr>
              <w:t xml:space="preserve">Policy Name: </w:t>
            </w:r>
          </w:p>
        </w:tc>
        <w:tc>
          <w:tcPr>
            <w:tcW w:w="7352" w:type="dxa"/>
            <w:gridSpan w:val="3"/>
            <w:tcBorders>
              <w:top w:val="single" w:sz="12" w:space="0" w:color="1A0D52"/>
              <w:left w:val="single" w:sz="12" w:space="0" w:color="1A0D52"/>
              <w:bottom w:val="single" w:sz="12" w:space="0" w:color="1A0D52"/>
              <w:right w:val="nil"/>
            </w:tcBorders>
          </w:tcPr>
          <w:p w14:paraId="0FA4ADF8" w14:textId="004AB9D9" w:rsidR="000E0B93" w:rsidRPr="00250236" w:rsidRDefault="00D06325" w:rsidP="00982092">
            <w:r w:rsidRPr="00D06325">
              <w:rPr>
                <w:rStyle w:val="Strong"/>
                <w:rFonts w:asciiTheme="minorHAnsi" w:hAnsiTheme="minorHAnsi"/>
                <w:b w:val="0"/>
                <w:bCs w:val="0"/>
                <w:sz w:val="22"/>
              </w:rPr>
              <w:t>Research Opportunity and Performance Evidence (ROPE)</w:t>
            </w:r>
          </w:p>
        </w:tc>
      </w:tr>
      <w:tr w:rsidR="00866FD1" w14:paraId="402A2969" w14:textId="77777777" w:rsidTr="009300BE">
        <w:tc>
          <w:tcPr>
            <w:tcW w:w="1881"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51E7B2A6" w14:textId="77777777" w:rsidR="00866FD1" w:rsidRPr="00250236" w:rsidRDefault="00866FD1" w:rsidP="00094F4B">
            <w:pPr>
              <w:spacing w:before="60" w:after="60"/>
              <w:rPr>
                <w:color w:val="FFFFFF" w:themeColor="background1"/>
              </w:rPr>
            </w:pPr>
            <w:r w:rsidRPr="00250236">
              <w:rPr>
                <w:color w:val="FFFFFF" w:themeColor="background1"/>
              </w:rPr>
              <w:t>Policy Owner:</w:t>
            </w:r>
          </w:p>
        </w:tc>
        <w:tc>
          <w:tcPr>
            <w:tcW w:w="7352" w:type="dxa"/>
            <w:gridSpan w:val="3"/>
            <w:tcBorders>
              <w:top w:val="single" w:sz="12" w:space="0" w:color="1A0D52"/>
              <w:left w:val="single" w:sz="12" w:space="0" w:color="1A0D52"/>
              <w:bottom w:val="single" w:sz="12" w:space="0" w:color="1A0D52"/>
              <w:right w:val="nil"/>
            </w:tcBorders>
          </w:tcPr>
          <w:p w14:paraId="40BD7B26" w14:textId="422FCD46" w:rsidR="00866FD1" w:rsidRPr="00250236" w:rsidRDefault="008203EA" w:rsidP="009C0770">
            <w:r>
              <w:t>Branch Manager, Research Evaluation and Policy</w:t>
            </w:r>
          </w:p>
        </w:tc>
      </w:tr>
      <w:tr w:rsidR="00457290" w14:paraId="7CCB4F46" w14:textId="77777777" w:rsidTr="009300BE">
        <w:tc>
          <w:tcPr>
            <w:tcW w:w="1881"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2C837B5C" w14:textId="77777777" w:rsidR="00866FD1" w:rsidRPr="00250236" w:rsidRDefault="00866FD1" w:rsidP="00094F4B">
            <w:pPr>
              <w:spacing w:before="60" w:after="60"/>
              <w:rPr>
                <w:color w:val="FFFFFF" w:themeColor="background1"/>
              </w:rPr>
            </w:pPr>
            <w:r w:rsidRPr="00250236">
              <w:rPr>
                <w:color w:val="FFFFFF" w:themeColor="background1"/>
              </w:rPr>
              <w:t>Effective from:</w:t>
            </w:r>
          </w:p>
        </w:tc>
        <w:sdt>
          <w:sdtPr>
            <w:id w:val="374128747"/>
            <w:placeholder>
              <w:docPart w:val="93261A1D0F514CDD85EA0055EAC14776"/>
            </w:placeholder>
            <w:date w:fullDate="2023-12-15T00:00:00Z">
              <w:dateFormat w:val="d/MM/yyyy"/>
              <w:lid w:val="en-AU"/>
              <w:storeMappedDataAs w:val="dateTime"/>
              <w:calendar w:val="gregorian"/>
            </w:date>
          </w:sdtPr>
          <w:sdtContent>
            <w:tc>
              <w:tcPr>
                <w:tcW w:w="3223" w:type="dxa"/>
                <w:tcBorders>
                  <w:top w:val="single" w:sz="12" w:space="0" w:color="1A0D52"/>
                  <w:left w:val="single" w:sz="12" w:space="0" w:color="1A0D52"/>
                  <w:bottom w:val="single" w:sz="12" w:space="0" w:color="1A0D52"/>
                  <w:right w:val="single" w:sz="12" w:space="0" w:color="1A0D52"/>
                </w:tcBorders>
              </w:tcPr>
              <w:p w14:paraId="4B204692" w14:textId="48C7D4C2" w:rsidR="00866FD1" w:rsidRPr="00250236" w:rsidRDefault="00D06325" w:rsidP="009C0770">
                <w:r>
                  <w:t>15/12/2023</w:t>
                </w:r>
              </w:p>
            </w:tc>
          </w:sdtContent>
        </w:sdt>
        <w:tc>
          <w:tcPr>
            <w:tcW w:w="1947"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30403A30" w14:textId="77777777" w:rsidR="00866FD1" w:rsidRPr="00250236" w:rsidRDefault="00866FD1" w:rsidP="009C0770">
            <w:pPr>
              <w:rPr>
                <w:color w:val="FFFFFF" w:themeColor="background1"/>
              </w:rPr>
            </w:pPr>
            <w:r w:rsidRPr="00250236">
              <w:rPr>
                <w:color w:val="FFFFFF" w:themeColor="background1"/>
              </w:rPr>
              <w:t>Version number:</w:t>
            </w:r>
          </w:p>
        </w:tc>
        <w:tc>
          <w:tcPr>
            <w:tcW w:w="2182" w:type="dxa"/>
            <w:tcBorders>
              <w:top w:val="single" w:sz="12" w:space="0" w:color="1A0D52"/>
              <w:left w:val="single" w:sz="12" w:space="0" w:color="1A0D52"/>
              <w:bottom w:val="single" w:sz="12" w:space="0" w:color="1A0D52"/>
              <w:right w:val="nil"/>
            </w:tcBorders>
          </w:tcPr>
          <w:p w14:paraId="2B05138A" w14:textId="46CA80BF" w:rsidR="00866FD1" w:rsidRPr="00DC5D4D" w:rsidRDefault="00AD4EFE" w:rsidP="009C0770">
            <w:fldSimple w:instr="DOCPROPERTY  Version  \* MERGEFORMAT">
              <w:r w:rsidR="00D06325">
                <w:t>2023.1</w:t>
              </w:r>
            </w:fldSimple>
          </w:p>
        </w:tc>
      </w:tr>
      <w:tr w:rsidR="009300BE" w14:paraId="64FE4890" w14:textId="77777777">
        <w:tc>
          <w:tcPr>
            <w:tcW w:w="1881" w:type="dxa"/>
            <w:tcBorders>
              <w:top w:val="single" w:sz="8" w:space="0" w:color="FFFFFF" w:themeColor="background1"/>
              <w:left w:val="single" w:sz="12" w:space="0" w:color="1A0D52"/>
              <w:bottom w:val="single" w:sz="12" w:space="0" w:color="1A0D52"/>
              <w:right w:val="single" w:sz="12" w:space="0" w:color="1A0D52"/>
            </w:tcBorders>
            <w:shd w:val="clear" w:color="auto" w:fill="1A0D52"/>
          </w:tcPr>
          <w:p w14:paraId="1EAD2ED6" w14:textId="77777777" w:rsidR="009300BE" w:rsidRPr="00982092" w:rsidRDefault="009300BE" w:rsidP="00094F4B">
            <w:pPr>
              <w:spacing w:before="60" w:after="60"/>
              <w:rPr>
                <w:color w:val="FFFFFF" w:themeColor="background1"/>
              </w:rPr>
            </w:pPr>
            <w:r w:rsidRPr="00982092">
              <w:rPr>
                <w:color w:val="FFFFFF" w:themeColor="background1"/>
              </w:rPr>
              <w:t>Date for revision:</w:t>
            </w:r>
          </w:p>
        </w:tc>
        <w:tc>
          <w:tcPr>
            <w:tcW w:w="7352" w:type="dxa"/>
            <w:gridSpan w:val="3"/>
            <w:tcBorders>
              <w:top w:val="single" w:sz="12" w:space="0" w:color="1A0D52"/>
              <w:left w:val="single" w:sz="12" w:space="0" w:color="1A0D52"/>
              <w:bottom w:val="single" w:sz="12" w:space="0" w:color="1A0D52"/>
              <w:right w:val="single" w:sz="12" w:space="0" w:color="1A0D52"/>
            </w:tcBorders>
          </w:tcPr>
          <w:sdt>
            <w:sdtPr>
              <w:id w:val="-290600173"/>
              <w:placeholder>
                <w:docPart w:val="E85F8405D71044BEAFBFA8CFDA477800"/>
              </w:placeholder>
              <w:date w:fullDate="2025-12-15T00:00:00Z">
                <w:dateFormat w:val="d/MM/yyyy"/>
                <w:lid w:val="en-AU"/>
                <w:storeMappedDataAs w:val="dateTime"/>
                <w:calendar w:val="gregorian"/>
              </w:date>
            </w:sdtPr>
            <w:sdtContent>
              <w:p w14:paraId="74EA8BB3" w14:textId="23D983D4" w:rsidR="009300BE" w:rsidRPr="00982092" w:rsidRDefault="00D06325" w:rsidP="009C0770">
                <w:r>
                  <w:t>15/12/2025</w:t>
                </w:r>
              </w:p>
            </w:sdtContent>
          </w:sdt>
        </w:tc>
      </w:tr>
    </w:tbl>
    <w:p w14:paraId="0F3AB85D" w14:textId="77777777" w:rsidR="00531350" w:rsidRPr="003F6829" w:rsidRDefault="00531350">
      <w:pPr>
        <w:spacing w:before="0" w:after="0" w:line="240" w:lineRule="auto"/>
        <w:rPr>
          <w:color w:val="FF0000"/>
        </w:rPr>
      </w:pPr>
      <w:bookmarkStart w:id="1" w:name="Contents"/>
      <w:bookmarkStart w:id="2" w:name="_bookmark0"/>
      <w:bookmarkEnd w:id="1"/>
      <w:bookmarkEnd w:id="2"/>
      <w:r w:rsidRPr="003F6829">
        <w:rPr>
          <w:color w:val="FF0000"/>
        </w:rPr>
        <w:br w:type="page"/>
      </w:r>
    </w:p>
    <w:p w14:paraId="5ABF8A2C" w14:textId="77777777" w:rsidR="00673F2F" w:rsidRDefault="00673F2F" w:rsidP="003F6829">
      <w:pPr>
        <w:pStyle w:val="TOCHeading"/>
      </w:pPr>
      <w:bookmarkStart w:id="3" w:name="_Toc153372153"/>
      <w:r>
        <w:lastRenderedPageBreak/>
        <w:t>Table of Contents</w:t>
      </w:r>
      <w:bookmarkEnd w:id="3"/>
    </w:p>
    <w:p w14:paraId="535171CA" w14:textId="14C9DE44" w:rsidR="00581CEA" w:rsidRDefault="00B34F88">
      <w:pPr>
        <w:pStyle w:val="TOC1"/>
        <w:tabs>
          <w:tab w:val="right" w:leader="dot" w:pos="9346"/>
        </w:tabs>
        <w:rPr>
          <w:rFonts w:asciiTheme="minorHAnsi" w:eastAsiaTheme="minorEastAsia" w:hAnsiTheme="minorHAnsi" w:cstheme="minorBidi"/>
          <w:noProof/>
          <w:color w:val="auto"/>
          <w:kern w:val="2"/>
          <w:lang w:eastAsia="en-AU"/>
          <w14:ligatures w14:val="standardContextual"/>
        </w:rPr>
      </w:pPr>
      <w:r>
        <w:rPr>
          <w:sz w:val="23"/>
        </w:rPr>
        <w:fldChar w:fldCharType="begin"/>
      </w:r>
      <w:r>
        <w:rPr>
          <w:sz w:val="23"/>
        </w:rPr>
        <w:instrText xml:space="preserve"> TOC \o "1-2" \h \z \u </w:instrText>
      </w:r>
      <w:r>
        <w:rPr>
          <w:sz w:val="23"/>
        </w:rPr>
        <w:fldChar w:fldCharType="separate"/>
      </w:r>
      <w:hyperlink w:anchor="_Toc153372154" w:history="1">
        <w:r w:rsidR="00581CEA" w:rsidRPr="00A124F0">
          <w:rPr>
            <w:rStyle w:val="Hyperlink"/>
            <w:noProof/>
          </w:rPr>
          <w:t>Context</w:t>
        </w:r>
        <w:r w:rsidR="00581CEA">
          <w:rPr>
            <w:noProof/>
            <w:webHidden/>
          </w:rPr>
          <w:tab/>
        </w:r>
        <w:r w:rsidR="00581CEA">
          <w:rPr>
            <w:noProof/>
            <w:webHidden/>
          </w:rPr>
          <w:fldChar w:fldCharType="begin"/>
        </w:r>
        <w:r w:rsidR="00581CEA">
          <w:rPr>
            <w:noProof/>
            <w:webHidden/>
          </w:rPr>
          <w:instrText xml:space="preserve"> PAGEREF _Toc153372154 \h </w:instrText>
        </w:r>
        <w:r w:rsidR="00581CEA">
          <w:rPr>
            <w:noProof/>
            <w:webHidden/>
          </w:rPr>
        </w:r>
        <w:r w:rsidR="00581CEA">
          <w:rPr>
            <w:noProof/>
            <w:webHidden/>
          </w:rPr>
          <w:fldChar w:fldCharType="separate"/>
        </w:r>
        <w:r w:rsidR="00581CEA">
          <w:rPr>
            <w:noProof/>
            <w:webHidden/>
          </w:rPr>
          <w:t>3</w:t>
        </w:r>
        <w:r w:rsidR="00581CEA">
          <w:rPr>
            <w:noProof/>
            <w:webHidden/>
          </w:rPr>
          <w:fldChar w:fldCharType="end"/>
        </w:r>
      </w:hyperlink>
    </w:p>
    <w:p w14:paraId="768735F6" w14:textId="6A8F3B34" w:rsidR="00581CEA" w:rsidRDefault="00000000">
      <w:pPr>
        <w:pStyle w:val="TOC1"/>
        <w:tabs>
          <w:tab w:val="right" w:leader="dot" w:pos="9346"/>
        </w:tabs>
        <w:rPr>
          <w:rFonts w:asciiTheme="minorHAnsi" w:eastAsiaTheme="minorEastAsia" w:hAnsiTheme="minorHAnsi" w:cstheme="minorBidi"/>
          <w:noProof/>
          <w:color w:val="auto"/>
          <w:kern w:val="2"/>
          <w:lang w:eastAsia="en-AU"/>
          <w14:ligatures w14:val="standardContextual"/>
        </w:rPr>
      </w:pPr>
      <w:hyperlink w:anchor="_Toc153372155" w:history="1">
        <w:r w:rsidR="00581CEA" w:rsidRPr="00A124F0">
          <w:rPr>
            <w:rStyle w:val="Hyperlink"/>
            <w:noProof/>
          </w:rPr>
          <w:t>Purpose</w:t>
        </w:r>
        <w:r w:rsidR="00581CEA">
          <w:rPr>
            <w:noProof/>
            <w:webHidden/>
          </w:rPr>
          <w:tab/>
        </w:r>
        <w:r w:rsidR="00581CEA">
          <w:rPr>
            <w:noProof/>
            <w:webHidden/>
          </w:rPr>
          <w:fldChar w:fldCharType="begin"/>
        </w:r>
        <w:r w:rsidR="00581CEA">
          <w:rPr>
            <w:noProof/>
            <w:webHidden/>
          </w:rPr>
          <w:instrText xml:space="preserve"> PAGEREF _Toc153372155 \h </w:instrText>
        </w:r>
        <w:r w:rsidR="00581CEA">
          <w:rPr>
            <w:noProof/>
            <w:webHidden/>
          </w:rPr>
        </w:r>
        <w:r w:rsidR="00581CEA">
          <w:rPr>
            <w:noProof/>
            <w:webHidden/>
          </w:rPr>
          <w:fldChar w:fldCharType="separate"/>
        </w:r>
        <w:r w:rsidR="00581CEA">
          <w:rPr>
            <w:noProof/>
            <w:webHidden/>
          </w:rPr>
          <w:t>3</w:t>
        </w:r>
        <w:r w:rsidR="00581CEA">
          <w:rPr>
            <w:noProof/>
            <w:webHidden/>
          </w:rPr>
          <w:fldChar w:fldCharType="end"/>
        </w:r>
      </w:hyperlink>
    </w:p>
    <w:p w14:paraId="3C2E0791" w14:textId="30FCBE1B" w:rsidR="00581CEA" w:rsidRDefault="00000000">
      <w:pPr>
        <w:pStyle w:val="TOC1"/>
        <w:tabs>
          <w:tab w:val="right" w:leader="dot" w:pos="9346"/>
        </w:tabs>
        <w:rPr>
          <w:rFonts w:asciiTheme="minorHAnsi" w:eastAsiaTheme="minorEastAsia" w:hAnsiTheme="minorHAnsi" w:cstheme="minorBidi"/>
          <w:noProof/>
          <w:color w:val="auto"/>
          <w:kern w:val="2"/>
          <w:lang w:eastAsia="en-AU"/>
          <w14:ligatures w14:val="standardContextual"/>
        </w:rPr>
      </w:pPr>
      <w:hyperlink w:anchor="_Toc153372156" w:history="1">
        <w:r w:rsidR="00581CEA" w:rsidRPr="00A124F0">
          <w:rPr>
            <w:rStyle w:val="Hyperlink"/>
            <w:noProof/>
          </w:rPr>
          <w:t>Principles</w:t>
        </w:r>
        <w:r w:rsidR="00581CEA">
          <w:rPr>
            <w:noProof/>
            <w:webHidden/>
          </w:rPr>
          <w:tab/>
        </w:r>
        <w:r w:rsidR="00581CEA">
          <w:rPr>
            <w:noProof/>
            <w:webHidden/>
          </w:rPr>
          <w:fldChar w:fldCharType="begin"/>
        </w:r>
        <w:r w:rsidR="00581CEA">
          <w:rPr>
            <w:noProof/>
            <w:webHidden/>
          </w:rPr>
          <w:instrText xml:space="preserve"> PAGEREF _Toc153372156 \h </w:instrText>
        </w:r>
        <w:r w:rsidR="00581CEA">
          <w:rPr>
            <w:noProof/>
            <w:webHidden/>
          </w:rPr>
        </w:r>
        <w:r w:rsidR="00581CEA">
          <w:rPr>
            <w:noProof/>
            <w:webHidden/>
          </w:rPr>
          <w:fldChar w:fldCharType="separate"/>
        </w:r>
        <w:r w:rsidR="00581CEA">
          <w:rPr>
            <w:noProof/>
            <w:webHidden/>
          </w:rPr>
          <w:t>3</w:t>
        </w:r>
        <w:r w:rsidR="00581CEA">
          <w:rPr>
            <w:noProof/>
            <w:webHidden/>
          </w:rPr>
          <w:fldChar w:fldCharType="end"/>
        </w:r>
      </w:hyperlink>
    </w:p>
    <w:p w14:paraId="4CE5206A" w14:textId="27DE205D" w:rsidR="00581CEA" w:rsidRDefault="00000000">
      <w:pPr>
        <w:pStyle w:val="TOC2"/>
        <w:tabs>
          <w:tab w:val="right" w:leader="dot" w:pos="9346"/>
        </w:tabs>
        <w:rPr>
          <w:rFonts w:asciiTheme="minorHAnsi" w:eastAsiaTheme="minorEastAsia" w:hAnsiTheme="minorHAnsi" w:cstheme="minorBidi"/>
          <w:noProof/>
          <w:color w:val="auto"/>
          <w:kern w:val="2"/>
          <w:lang w:eastAsia="en-AU"/>
          <w14:ligatures w14:val="standardContextual"/>
        </w:rPr>
      </w:pPr>
      <w:hyperlink w:anchor="_Toc153372157" w:history="1">
        <w:r w:rsidR="00581CEA" w:rsidRPr="00A124F0">
          <w:rPr>
            <w:rStyle w:val="Hyperlink"/>
            <w:noProof/>
          </w:rPr>
          <w:t>Research Opportunity</w:t>
        </w:r>
        <w:r w:rsidR="00581CEA">
          <w:rPr>
            <w:noProof/>
            <w:webHidden/>
          </w:rPr>
          <w:tab/>
        </w:r>
        <w:r w:rsidR="00581CEA">
          <w:rPr>
            <w:noProof/>
            <w:webHidden/>
          </w:rPr>
          <w:fldChar w:fldCharType="begin"/>
        </w:r>
        <w:r w:rsidR="00581CEA">
          <w:rPr>
            <w:noProof/>
            <w:webHidden/>
          </w:rPr>
          <w:instrText xml:space="preserve"> PAGEREF _Toc153372157 \h </w:instrText>
        </w:r>
        <w:r w:rsidR="00581CEA">
          <w:rPr>
            <w:noProof/>
            <w:webHidden/>
          </w:rPr>
        </w:r>
        <w:r w:rsidR="00581CEA">
          <w:rPr>
            <w:noProof/>
            <w:webHidden/>
          </w:rPr>
          <w:fldChar w:fldCharType="separate"/>
        </w:r>
        <w:r w:rsidR="00581CEA">
          <w:rPr>
            <w:noProof/>
            <w:webHidden/>
          </w:rPr>
          <w:t>3</w:t>
        </w:r>
        <w:r w:rsidR="00581CEA">
          <w:rPr>
            <w:noProof/>
            <w:webHidden/>
          </w:rPr>
          <w:fldChar w:fldCharType="end"/>
        </w:r>
      </w:hyperlink>
    </w:p>
    <w:p w14:paraId="0D195B14" w14:textId="7121A616" w:rsidR="00581CEA" w:rsidRDefault="00000000">
      <w:pPr>
        <w:pStyle w:val="TOC2"/>
        <w:tabs>
          <w:tab w:val="right" w:leader="dot" w:pos="9346"/>
        </w:tabs>
        <w:rPr>
          <w:rFonts w:asciiTheme="minorHAnsi" w:eastAsiaTheme="minorEastAsia" w:hAnsiTheme="minorHAnsi" w:cstheme="minorBidi"/>
          <w:noProof/>
          <w:color w:val="auto"/>
          <w:kern w:val="2"/>
          <w:lang w:eastAsia="en-AU"/>
          <w14:ligatures w14:val="standardContextual"/>
        </w:rPr>
      </w:pPr>
      <w:hyperlink w:anchor="_Toc153372158" w:history="1">
        <w:r w:rsidR="00581CEA" w:rsidRPr="00A124F0">
          <w:rPr>
            <w:rStyle w:val="Hyperlink"/>
            <w:noProof/>
          </w:rPr>
          <w:t>Performance Evidence</w:t>
        </w:r>
        <w:r w:rsidR="00581CEA">
          <w:rPr>
            <w:noProof/>
            <w:webHidden/>
          </w:rPr>
          <w:tab/>
        </w:r>
        <w:r w:rsidR="00581CEA">
          <w:rPr>
            <w:noProof/>
            <w:webHidden/>
          </w:rPr>
          <w:fldChar w:fldCharType="begin"/>
        </w:r>
        <w:r w:rsidR="00581CEA">
          <w:rPr>
            <w:noProof/>
            <w:webHidden/>
          </w:rPr>
          <w:instrText xml:space="preserve"> PAGEREF _Toc153372158 \h </w:instrText>
        </w:r>
        <w:r w:rsidR="00581CEA">
          <w:rPr>
            <w:noProof/>
            <w:webHidden/>
          </w:rPr>
        </w:r>
        <w:r w:rsidR="00581CEA">
          <w:rPr>
            <w:noProof/>
            <w:webHidden/>
          </w:rPr>
          <w:fldChar w:fldCharType="separate"/>
        </w:r>
        <w:r w:rsidR="00581CEA">
          <w:rPr>
            <w:noProof/>
            <w:webHidden/>
          </w:rPr>
          <w:t>4</w:t>
        </w:r>
        <w:r w:rsidR="00581CEA">
          <w:rPr>
            <w:noProof/>
            <w:webHidden/>
          </w:rPr>
          <w:fldChar w:fldCharType="end"/>
        </w:r>
      </w:hyperlink>
    </w:p>
    <w:p w14:paraId="20C7B634" w14:textId="428A6801" w:rsidR="00581CEA" w:rsidRDefault="00000000">
      <w:pPr>
        <w:pStyle w:val="TOC1"/>
        <w:tabs>
          <w:tab w:val="right" w:leader="dot" w:pos="9346"/>
        </w:tabs>
        <w:rPr>
          <w:rFonts w:asciiTheme="minorHAnsi" w:eastAsiaTheme="minorEastAsia" w:hAnsiTheme="minorHAnsi" w:cstheme="minorBidi"/>
          <w:noProof/>
          <w:color w:val="auto"/>
          <w:kern w:val="2"/>
          <w:lang w:eastAsia="en-AU"/>
          <w14:ligatures w14:val="standardContextual"/>
        </w:rPr>
      </w:pPr>
      <w:hyperlink w:anchor="_Toc153372159" w:history="1">
        <w:r w:rsidR="00581CEA" w:rsidRPr="00A124F0">
          <w:rPr>
            <w:rStyle w:val="Hyperlink"/>
            <w:noProof/>
          </w:rPr>
          <w:t>Implementation</w:t>
        </w:r>
        <w:r w:rsidR="00581CEA">
          <w:rPr>
            <w:noProof/>
            <w:webHidden/>
          </w:rPr>
          <w:tab/>
        </w:r>
        <w:r w:rsidR="00581CEA">
          <w:rPr>
            <w:noProof/>
            <w:webHidden/>
          </w:rPr>
          <w:fldChar w:fldCharType="begin"/>
        </w:r>
        <w:r w:rsidR="00581CEA">
          <w:rPr>
            <w:noProof/>
            <w:webHidden/>
          </w:rPr>
          <w:instrText xml:space="preserve"> PAGEREF _Toc153372159 \h </w:instrText>
        </w:r>
        <w:r w:rsidR="00581CEA">
          <w:rPr>
            <w:noProof/>
            <w:webHidden/>
          </w:rPr>
        </w:r>
        <w:r w:rsidR="00581CEA">
          <w:rPr>
            <w:noProof/>
            <w:webHidden/>
          </w:rPr>
          <w:fldChar w:fldCharType="separate"/>
        </w:r>
        <w:r w:rsidR="00581CEA">
          <w:rPr>
            <w:noProof/>
            <w:webHidden/>
          </w:rPr>
          <w:t>4</w:t>
        </w:r>
        <w:r w:rsidR="00581CEA">
          <w:rPr>
            <w:noProof/>
            <w:webHidden/>
          </w:rPr>
          <w:fldChar w:fldCharType="end"/>
        </w:r>
      </w:hyperlink>
    </w:p>
    <w:p w14:paraId="28A5BB9D" w14:textId="072D44AB" w:rsidR="00581CEA" w:rsidRDefault="00000000">
      <w:pPr>
        <w:pStyle w:val="TOC1"/>
        <w:tabs>
          <w:tab w:val="right" w:leader="dot" w:pos="9346"/>
        </w:tabs>
        <w:rPr>
          <w:rFonts w:asciiTheme="minorHAnsi" w:eastAsiaTheme="minorEastAsia" w:hAnsiTheme="minorHAnsi" w:cstheme="minorBidi"/>
          <w:noProof/>
          <w:color w:val="auto"/>
          <w:kern w:val="2"/>
          <w:lang w:eastAsia="en-AU"/>
          <w14:ligatures w14:val="standardContextual"/>
        </w:rPr>
      </w:pPr>
      <w:hyperlink w:anchor="_Toc153372160" w:history="1">
        <w:r w:rsidR="00581CEA" w:rsidRPr="00A124F0">
          <w:rPr>
            <w:rStyle w:val="Hyperlink"/>
            <w:noProof/>
          </w:rPr>
          <w:t>Contact details</w:t>
        </w:r>
        <w:r w:rsidR="00581CEA">
          <w:rPr>
            <w:noProof/>
            <w:webHidden/>
          </w:rPr>
          <w:tab/>
        </w:r>
        <w:r w:rsidR="00581CEA">
          <w:rPr>
            <w:noProof/>
            <w:webHidden/>
          </w:rPr>
          <w:fldChar w:fldCharType="begin"/>
        </w:r>
        <w:r w:rsidR="00581CEA">
          <w:rPr>
            <w:noProof/>
            <w:webHidden/>
          </w:rPr>
          <w:instrText xml:space="preserve"> PAGEREF _Toc153372160 \h </w:instrText>
        </w:r>
        <w:r w:rsidR="00581CEA">
          <w:rPr>
            <w:noProof/>
            <w:webHidden/>
          </w:rPr>
        </w:r>
        <w:r w:rsidR="00581CEA">
          <w:rPr>
            <w:noProof/>
            <w:webHidden/>
          </w:rPr>
          <w:fldChar w:fldCharType="separate"/>
        </w:r>
        <w:r w:rsidR="00581CEA">
          <w:rPr>
            <w:noProof/>
            <w:webHidden/>
          </w:rPr>
          <w:t>5</w:t>
        </w:r>
        <w:r w:rsidR="00581CEA">
          <w:rPr>
            <w:noProof/>
            <w:webHidden/>
          </w:rPr>
          <w:fldChar w:fldCharType="end"/>
        </w:r>
      </w:hyperlink>
    </w:p>
    <w:p w14:paraId="791B3DE3" w14:textId="64049ADE" w:rsidR="00581CEA" w:rsidRDefault="00000000">
      <w:pPr>
        <w:pStyle w:val="TOC1"/>
        <w:tabs>
          <w:tab w:val="right" w:leader="dot" w:pos="9346"/>
        </w:tabs>
        <w:rPr>
          <w:rFonts w:asciiTheme="minorHAnsi" w:eastAsiaTheme="minorEastAsia" w:hAnsiTheme="minorHAnsi" w:cstheme="minorBidi"/>
          <w:noProof/>
          <w:color w:val="auto"/>
          <w:kern w:val="2"/>
          <w:lang w:eastAsia="en-AU"/>
          <w14:ligatures w14:val="standardContextual"/>
        </w:rPr>
      </w:pPr>
      <w:hyperlink w:anchor="_Toc153372161" w:history="1">
        <w:r w:rsidR="00581CEA" w:rsidRPr="00A124F0">
          <w:rPr>
            <w:rStyle w:val="Hyperlink"/>
            <w:noProof/>
            <w:lang w:eastAsia="en-AU"/>
          </w:rPr>
          <w:t>Document control</w:t>
        </w:r>
        <w:r w:rsidR="00581CEA">
          <w:rPr>
            <w:noProof/>
            <w:webHidden/>
          </w:rPr>
          <w:tab/>
        </w:r>
        <w:r w:rsidR="00581CEA">
          <w:rPr>
            <w:noProof/>
            <w:webHidden/>
          </w:rPr>
          <w:fldChar w:fldCharType="begin"/>
        </w:r>
        <w:r w:rsidR="00581CEA">
          <w:rPr>
            <w:noProof/>
            <w:webHidden/>
          </w:rPr>
          <w:instrText xml:space="preserve"> PAGEREF _Toc153372161 \h </w:instrText>
        </w:r>
        <w:r w:rsidR="00581CEA">
          <w:rPr>
            <w:noProof/>
            <w:webHidden/>
          </w:rPr>
        </w:r>
        <w:r w:rsidR="00581CEA">
          <w:rPr>
            <w:noProof/>
            <w:webHidden/>
          </w:rPr>
          <w:fldChar w:fldCharType="separate"/>
        </w:r>
        <w:r w:rsidR="00581CEA">
          <w:rPr>
            <w:noProof/>
            <w:webHidden/>
          </w:rPr>
          <w:t>5</w:t>
        </w:r>
        <w:r w:rsidR="00581CEA">
          <w:rPr>
            <w:noProof/>
            <w:webHidden/>
          </w:rPr>
          <w:fldChar w:fldCharType="end"/>
        </w:r>
      </w:hyperlink>
    </w:p>
    <w:p w14:paraId="06539065" w14:textId="77777777" w:rsidR="00894D30" w:rsidRDefault="00B34F88" w:rsidP="00894D30">
      <w:pPr>
        <w:sectPr w:rsidR="00894D30" w:rsidSect="00CD3D78">
          <w:footerReference w:type="default" r:id="rId8"/>
          <w:headerReference w:type="first" r:id="rId9"/>
          <w:footerReference w:type="first" r:id="rId10"/>
          <w:type w:val="continuous"/>
          <w:pgSz w:w="11910" w:h="16840"/>
          <w:pgMar w:top="993" w:right="1278" w:bottom="1134" w:left="1276" w:header="0" w:footer="647" w:gutter="0"/>
          <w:cols w:space="720"/>
          <w:titlePg/>
          <w:docGrid w:linePitch="299"/>
        </w:sectPr>
      </w:pPr>
      <w:r>
        <w:rPr>
          <w:sz w:val="23"/>
        </w:rPr>
        <w:fldChar w:fldCharType="end"/>
      </w:r>
      <w:bookmarkStart w:id="4" w:name="_Toc61537787"/>
    </w:p>
    <w:p w14:paraId="4ED71BD4" w14:textId="0301C6CE" w:rsidR="00102D4C" w:rsidRDefault="00B71769" w:rsidP="00102D4C">
      <w:pPr>
        <w:pStyle w:val="Heading1"/>
      </w:pPr>
      <w:bookmarkStart w:id="5" w:name="_Toc153372154"/>
      <w:r>
        <w:lastRenderedPageBreak/>
        <w:t>Context</w:t>
      </w:r>
      <w:bookmarkEnd w:id="4"/>
      <w:bookmarkEnd w:id="5"/>
    </w:p>
    <w:p w14:paraId="00831FE7" w14:textId="0746B011" w:rsidR="00B71769" w:rsidRDefault="00B71769" w:rsidP="00B71769">
      <w:pPr>
        <w:rPr>
          <w:b/>
          <w:bCs/>
          <w:color w:val="FF0000"/>
        </w:rPr>
      </w:pPr>
      <w:bookmarkStart w:id="6" w:name="Aim"/>
      <w:bookmarkStart w:id="7" w:name="_bookmark2"/>
      <w:bookmarkStart w:id="8" w:name="_Toc81921730"/>
      <w:bookmarkStart w:id="9" w:name="_Toc81985447"/>
      <w:bookmarkEnd w:id="6"/>
      <w:bookmarkEnd w:id="7"/>
      <w:r>
        <w:t xml:space="preserve">The Australian Research Council (ARC) is committed to ensuring that all eligible researchers, from universities and the wider research sector, including industry, have fair and equitable access to the research funding available through the </w:t>
      </w:r>
      <w:hyperlink r:id="rId11">
        <w:r w:rsidRPr="2378687B">
          <w:rPr>
            <w:rStyle w:val="Hyperlink"/>
            <w:rFonts w:asciiTheme="minorHAnsi" w:hAnsiTheme="minorHAnsi" w:cstheme="minorBidi"/>
          </w:rPr>
          <w:t>National Competitive Grants Program</w:t>
        </w:r>
      </w:hyperlink>
      <w:r>
        <w:t xml:space="preserve"> (NCGP). The NCGP provides a range of opportunities, for researchers at all career stages, to undertake pure basic, strategic basic and applied research across science, technology, </w:t>
      </w:r>
      <w:proofErr w:type="gramStart"/>
      <w:r>
        <w:t>engineering</w:t>
      </w:r>
      <w:proofErr w:type="gramEnd"/>
      <w:r>
        <w:t xml:space="preserve"> and mathematics (STEM), and humanities, arts and social sciences (HASS) disciplines, individually and in teams.</w:t>
      </w:r>
      <w:r w:rsidRPr="2378687B">
        <w:rPr>
          <w:b/>
          <w:bCs/>
          <w:color w:val="FF0000"/>
        </w:rPr>
        <w:t xml:space="preserve"> </w:t>
      </w:r>
    </w:p>
    <w:p w14:paraId="498CF0E9" w14:textId="2E8945AF" w:rsidR="000B12FD" w:rsidRPr="00583318" w:rsidRDefault="00B71769" w:rsidP="00583318">
      <w:pPr>
        <w:pStyle w:val="Heading1"/>
      </w:pPr>
      <w:bookmarkStart w:id="10" w:name="_Toc153372155"/>
      <w:bookmarkEnd w:id="8"/>
      <w:bookmarkEnd w:id="9"/>
      <w:r>
        <w:rPr>
          <w:rFonts w:asciiTheme="minorHAnsi" w:hAnsiTheme="minorHAnsi"/>
          <w:noProof/>
          <w:szCs w:val="20"/>
        </w:rPr>
        <mc:AlternateContent>
          <mc:Choice Requires="wps">
            <w:drawing>
              <wp:anchor distT="0" distB="0" distL="114300" distR="114300" simplePos="0" relativeHeight="251658240" behindDoc="1" locked="0" layoutInCell="1" allowOverlap="1" wp14:anchorId="0DD4DAE0" wp14:editId="12EBBA0D">
                <wp:simplePos x="0" y="0"/>
                <wp:positionH relativeFrom="column">
                  <wp:posOffset>-12065</wp:posOffset>
                </wp:positionH>
                <wp:positionV relativeFrom="paragraph">
                  <wp:posOffset>582295</wp:posOffset>
                </wp:positionV>
                <wp:extent cx="5991225" cy="832485"/>
                <wp:effectExtent l="0" t="0" r="28575" b="24765"/>
                <wp:wrapTight wrapText="bothSides">
                  <wp:wrapPolygon edited="0">
                    <wp:start x="0" y="0"/>
                    <wp:lineTo x="0" y="21748"/>
                    <wp:lineTo x="21634" y="21748"/>
                    <wp:lineTo x="21634" y="0"/>
                    <wp:lineTo x="0" y="0"/>
                  </wp:wrapPolygon>
                </wp:wrapTight>
                <wp:docPr id="266021046" name="Rectangle 266021046"/>
                <wp:cNvGraphicFramePr/>
                <a:graphic xmlns:a="http://schemas.openxmlformats.org/drawingml/2006/main">
                  <a:graphicData uri="http://schemas.microsoft.com/office/word/2010/wordprocessingShape">
                    <wps:wsp>
                      <wps:cNvSpPr/>
                      <wps:spPr>
                        <a:xfrm>
                          <a:off x="0" y="0"/>
                          <a:ext cx="5991225" cy="832485"/>
                        </a:xfrm>
                        <a:prstGeom prst="rect">
                          <a:avLst/>
                        </a:prstGeom>
                      </wps:spPr>
                      <wps:style>
                        <a:lnRef idx="2">
                          <a:schemeClr val="accent4">
                            <a:shade val="15000"/>
                          </a:schemeClr>
                        </a:lnRef>
                        <a:fillRef idx="1">
                          <a:schemeClr val="accent4"/>
                        </a:fillRef>
                        <a:effectRef idx="0">
                          <a:schemeClr val="accent4"/>
                        </a:effectRef>
                        <a:fontRef idx="minor">
                          <a:schemeClr val="lt1"/>
                        </a:fontRef>
                      </wps:style>
                      <wps:txbx>
                        <w:txbxContent>
                          <w:p w14:paraId="13D68873" w14:textId="283D51DC" w:rsidR="00B71769" w:rsidRDefault="00B71769" w:rsidP="00B71769">
                            <w:pPr>
                              <w:rPr>
                                <w:rFonts w:asciiTheme="minorHAnsi" w:hAnsiTheme="minorHAnsi"/>
                                <w:szCs w:val="20"/>
                              </w:rPr>
                            </w:pPr>
                            <w:r>
                              <w:rPr>
                                <w:rFonts w:asciiTheme="minorHAnsi" w:hAnsiTheme="minorHAnsi"/>
                                <w:szCs w:val="20"/>
                              </w:rPr>
                              <w:t>T</w:t>
                            </w:r>
                            <w:r w:rsidRPr="00B71769">
                              <w:rPr>
                                <w:rFonts w:asciiTheme="minorHAnsi" w:hAnsiTheme="minorHAnsi"/>
                                <w:szCs w:val="20"/>
                              </w:rPr>
                              <w:t>he purpose of the Research Opportunity and Performance Evidence (ROPE) policy is to enable the research achievements of applicants in the NCGP to be evaluated in the context of their career and life opportunities and experiences, including, where relevant, significant career interruptions.</w:t>
                            </w:r>
                          </w:p>
                          <w:p w14:paraId="15F55D58" w14:textId="77777777" w:rsidR="00B71769" w:rsidRDefault="00B71769" w:rsidP="00B717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D4DAE0" id="Rectangle 266021046" o:spid="_x0000_s1026" style="position:absolute;margin-left:-.95pt;margin-top:45.85pt;width:471.75pt;height:65.5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jzYgIAAB4FAAAOAAAAZHJzL2Uyb0RvYy54bWysVE1v2zAMvQ/YfxB0X/2xZGuDOkXQosOA&#10;og3WDj0rslQbkEWNUuJkv36U7LhFV2zAsItNieQj9fSo84t9Z9hOoW/BVrw4yTlTVkLd2qeKf3+4&#10;/nDKmQ/C1sKAVRU/KM8vlu/fnfduoUpowNQKGYFYv+hdxZsQ3CLLvGxUJ/wJOGXJqQE7EWiJT1mN&#10;oif0zmRlnn/KesDaIUjlPe1eDU6+TPhaKxnutPYqMFNx6i2kL6bvJn6z5blYPKFwTSvHNsQ/dNGJ&#10;1lLRCepKBMG22P4G1bUSwYMOJxK6DLRupUpnoNMU+avT3DfCqXQWIse7iSb//2Dl7e7erZFo6J1f&#10;eDLjKfYau/in/tg+kXWYyFL7wCRtzs/OirKccybJd/qxnJ3OI5vZc7ZDH74o6Fg0Ko50GYkjsbvx&#10;YQg9hlDec/1khYNRsQVjvynN2poqlik7SUNdGmQ7QZcqpFQ2zAZXI2o1bBfzPE+3S/1MGam7BBiR&#10;dWvMhF38CXvodYyPqSopa0rO/548ZaTKYMOU3LUW8C0AE4qRUD3EH0kaqIkshf1mP17dBurDGhnC&#10;IHHv5HVLtN8IH9YCSdOkfprTcEcfbaCvOIwWZw3gz7f2YzxJjbyc9TQjFfc/tgIVZ+arJRGeFbNZ&#10;HKq0mM0/l7TAl57NS4/ddpdAN1bQi+BkMmN8MEdTI3SPNM6rWJVcwkqqXXEZ8Li4DMPs0oMg1WqV&#10;wmiQnAg39t7JCB4JjrJ62D8KdKP2Aqn2Fo7zJBavJDjExkwLq20A3SZ9RooHXkfqaQiThsYHI075&#10;y3WKen7Wlr8AAAD//wMAUEsDBBQABgAIAAAAIQDewWhi4AAAAAkBAAAPAAAAZHJzL2Rvd25yZXYu&#10;eG1sTI9BT4NAFITvJv6HzTPx1i6gaQtladDEg9HGiF5627JPILLvEXZp0V/vetLjZCYz3+S72fbi&#10;hKPrmBTEywgEUs2mo0bB+9vDYgPCeU1G90yo4Asd7IrLi1xnhs/0iqfKNyKUkMu0gtb7IZPS1S1a&#10;7ZY8IAXvg0erfZBjI82oz6Hc9jKJopW0uqOw0OoB71usP6vJKniZ2pJ5+N4/4k16qHj/VN49r5W6&#10;vprLLQiPs/8Lwy9+QIciMB15IuNEr2ARpyGpII3XIIKf3sYrEEcFSZJsQBa5/P+g+AEAAP//AwBQ&#10;SwECLQAUAAYACAAAACEAtoM4kv4AAADhAQAAEwAAAAAAAAAAAAAAAAAAAAAAW0NvbnRlbnRfVHlw&#10;ZXNdLnhtbFBLAQItABQABgAIAAAAIQA4/SH/1gAAAJQBAAALAAAAAAAAAAAAAAAAAC8BAABfcmVs&#10;cy8ucmVsc1BLAQItABQABgAIAAAAIQBEsCjzYgIAAB4FAAAOAAAAAAAAAAAAAAAAAC4CAABkcnMv&#10;ZTJvRG9jLnhtbFBLAQItABQABgAIAAAAIQDewWhi4AAAAAkBAAAPAAAAAAAAAAAAAAAAALwEAABk&#10;cnMvZG93bnJldi54bWxQSwUGAAAAAAQABADzAAAAyQUAAAAA&#10;" fillcolor="#b9b0d7 [3207]" strokecolor="#171326 [487]" strokeweight="2pt">
                <v:textbox>
                  <w:txbxContent>
                    <w:p w14:paraId="13D68873" w14:textId="283D51DC" w:rsidR="00B71769" w:rsidRDefault="00B71769" w:rsidP="00B71769">
                      <w:pPr>
                        <w:rPr>
                          <w:rFonts w:asciiTheme="minorHAnsi" w:hAnsiTheme="minorHAnsi"/>
                          <w:szCs w:val="20"/>
                        </w:rPr>
                      </w:pPr>
                      <w:r>
                        <w:rPr>
                          <w:rFonts w:asciiTheme="minorHAnsi" w:hAnsiTheme="minorHAnsi"/>
                          <w:szCs w:val="20"/>
                        </w:rPr>
                        <w:t>T</w:t>
                      </w:r>
                      <w:r w:rsidRPr="00B71769">
                        <w:rPr>
                          <w:rFonts w:asciiTheme="minorHAnsi" w:hAnsiTheme="minorHAnsi"/>
                          <w:szCs w:val="20"/>
                        </w:rPr>
                        <w:t>he purpose of the Research Opportunity and Performance Evidence (ROPE) policy is to enable the research achievements of applicants in the NCGP to be evaluated in the context of their career and life opportunities and experiences, including, where relevant, significant career interruptions.</w:t>
                      </w:r>
                    </w:p>
                    <w:p w14:paraId="15F55D58" w14:textId="77777777" w:rsidR="00B71769" w:rsidRDefault="00B71769" w:rsidP="00B71769">
                      <w:pPr>
                        <w:jc w:val="center"/>
                      </w:pPr>
                    </w:p>
                  </w:txbxContent>
                </v:textbox>
                <w10:wrap type="tight"/>
              </v:rect>
            </w:pict>
          </mc:Fallback>
        </mc:AlternateContent>
      </w:r>
      <w:r>
        <w:t>Purpose</w:t>
      </w:r>
      <w:bookmarkEnd w:id="10"/>
      <w:r w:rsidR="00E912E0">
        <w:t xml:space="preserve"> </w:t>
      </w:r>
      <w:r w:rsidR="005E32E8" w:rsidRPr="00583318">
        <w:tab/>
      </w:r>
    </w:p>
    <w:p w14:paraId="15BC2BE1" w14:textId="32AA385B" w:rsidR="00B71769" w:rsidRPr="00B71769" w:rsidRDefault="00B71769" w:rsidP="00B71769">
      <w:pPr>
        <w:rPr>
          <w:rFonts w:asciiTheme="minorHAnsi" w:hAnsiTheme="minorHAnsi"/>
          <w:szCs w:val="20"/>
        </w:rPr>
      </w:pPr>
      <w:r w:rsidRPr="00B71769">
        <w:rPr>
          <w:rFonts w:asciiTheme="minorHAnsi" w:hAnsiTheme="minorHAnsi"/>
          <w:szCs w:val="20"/>
        </w:rPr>
        <w:t xml:space="preserve">The ARC recognises the diverse circumstances that can affect research opportunity and introduced ROPE to enable consideration of a researcher’s capacity, </w:t>
      </w:r>
      <w:proofErr w:type="gramStart"/>
      <w:r w:rsidRPr="00B71769">
        <w:rPr>
          <w:rFonts w:asciiTheme="minorHAnsi" w:hAnsiTheme="minorHAnsi"/>
          <w:szCs w:val="20"/>
        </w:rPr>
        <w:t>productivity</w:t>
      </w:r>
      <w:proofErr w:type="gramEnd"/>
      <w:r w:rsidRPr="00B71769">
        <w:rPr>
          <w:rFonts w:asciiTheme="minorHAnsi" w:hAnsiTheme="minorHAnsi"/>
          <w:szCs w:val="20"/>
        </w:rPr>
        <w:t xml:space="preserve"> and contribution in the context of opportunity and experience. ROPE is intended to ensure equitable access for eligible researchers at all career stages to NCGP schemes. Since ROPE was introduced, NCGP proposals that include career interruptions have had similar or higher success rates as those that do not include career interruptions.</w:t>
      </w:r>
    </w:p>
    <w:p w14:paraId="70AEDC1A" w14:textId="30687701" w:rsidR="00087A96" w:rsidRPr="00087A96" w:rsidRDefault="00B71769" w:rsidP="00B71769">
      <w:r w:rsidRPr="00B71769">
        <w:rPr>
          <w:rFonts w:asciiTheme="minorHAnsi" w:hAnsiTheme="minorHAnsi"/>
          <w:szCs w:val="20"/>
        </w:rPr>
        <w:t>ROPE is designed to support all eligible researchers, with particular emphasis on supporting those researchers in under-represented groups or experiencing proportionally more career interruptions, including women, Aboriginal and/or Torres Strait Islander, and early and mid-career researchers.</w:t>
      </w:r>
      <w:r w:rsidR="00087A96" w:rsidRPr="00087A96">
        <w:t xml:space="preserve"> </w:t>
      </w:r>
    </w:p>
    <w:p w14:paraId="3B19D2D4" w14:textId="3C049740" w:rsidR="000B12FD" w:rsidRPr="00583318" w:rsidRDefault="00B71769" w:rsidP="00583318">
      <w:pPr>
        <w:pStyle w:val="Heading1"/>
      </w:pPr>
      <w:bookmarkStart w:id="11" w:name="Key_Principles"/>
      <w:bookmarkStart w:id="12" w:name="_bookmark3"/>
      <w:bookmarkStart w:id="13" w:name="_Toc153372156"/>
      <w:bookmarkEnd w:id="11"/>
      <w:bookmarkEnd w:id="12"/>
      <w:r>
        <w:t>Principles</w:t>
      </w:r>
      <w:bookmarkEnd w:id="13"/>
      <w:r w:rsidR="005E32E8" w:rsidRPr="00583318">
        <w:tab/>
      </w:r>
    </w:p>
    <w:p w14:paraId="68B9F2BE" w14:textId="01DF2426" w:rsidR="000B12FD" w:rsidRDefault="00B71769" w:rsidP="00B71769">
      <w:pPr>
        <w:pStyle w:val="Heading2"/>
      </w:pPr>
      <w:bookmarkStart w:id="14" w:name="_Toc153372157"/>
      <w:r>
        <w:t>Research Opportunity</w:t>
      </w:r>
      <w:bookmarkStart w:id="15" w:name="Informally_recognising_staff_achievement"/>
      <w:bookmarkStart w:id="16" w:name="_bookmark4"/>
      <w:bookmarkEnd w:id="14"/>
      <w:bookmarkEnd w:id="15"/>
      <w:bookmarkEnd w:id="16"/>
    </w:p>
    <w:p w14:paraId="22221C86" w14:textId="77777777" w:rsidR="00B71769" w:rsidRDefault="00B71769" w:rsidP="00B71769">
      <w:r>
        <w:t>Research opportunity provides context for performance evidence and can include:</w:t>
      </w:r>
    </w:p>
    <w:p w14:paraId="11ACF429" w14:textId="77777777" w:rsidR="00B71769" w:rsidRDefault="00B71769" w:rsidP="00581CEA">
      <w:pPr>
        <w:ind w:left="680" w:hanging="340"/>
      </w:pPr>
      <w:r>
        <w:t>•</w:t>
      </w:r>
      <w:r>
        <w:tab/>
        <w:t>research training</w:t>
      </w:r>
    </w:p>
    <w:p w14:paraId="331F7434" w14:textId="77777777" w:rsidR="00B71769" w:rsidRDefault="00B71769" w:rsidP="00581CEA">
      <w:pPr>
        <w:ind w:left="680" w:hanging="340"/>
      </w:pPr>
      <w:r>
        <w:t>•</w:t>
      </w:r>
      <w:r>
        <w:tab/>
        <w:t>employment in positions with a research component, either within the research sector or outside academia</w:t>
      </w:r>
    </w:p>
    <w:p w14:paraId="58B9C847" w14:textId="77777777" w:rsidR="00B71769" w:rsidRDefault="00B71769" w:rsidP="00581CEA">
      <w:pPr>
        <w:ind w:left="680" w:hanging="340"/>
      </w:pPr>
      <w:r>
        <w:t>•</w:t>
      </w:r>
      <w:r>
        <w:tab/>
        <w:t>research and development activities</w:t>
      </w:r>
    </w:p>
    <w:p w14:paraId="6A454061" w14:textId="77777777" w:rsidR="00B71769" w:rsidRDefault="00B71769" w:rsidP="00581CEA">
      <w:pPr>
        <w:ind w:left="680" w:hanging="340"/>
      </w:pPr>
      <w:r>
        <w:t>•</w:t>
      </w:r>
      <w:r>
        <w:tab/>
        <w:t xml:space="preserve">industry engagement </w:t>
      </w:r>
    </w:p>
    <w:p w14:paraId="7DC3BB5A" w14:textId="77777777" w:rsidR="00B71769" w:rsidRDefault="00B71769" w:rsidP="00581CEA">
      <w:pPr>
        <w:ind w:left="680" w:hanging="340"/>
      </w:pPr>
      <w:r>
        <w:t>•</w:t>
      </w:r>
      <w:r>
        <w:tab/>
        <w:t>research environment, including supervision, mentoring and leadership</w:t>
      </w:r>
    </w:p>
    <w:p w14:paraId="58F75E09" w14:textId="77777777" w:rsidR="00B71769" w:rsidRDefault="00B71769" w:rsidP="00581CEA">
      <w:pPr>
        <w:ind w:left="680" w:hanging="340"/>
      </w:pPr>
      <w:r>
        <w:t>•</w:t>
      </w:r>
      <w:r>
        <w:tab/>
        <w:t xml:space="preserve">professional development </w:t>
      </w:r>
    </w:p>
    <w:p w14:paraId="24DF604E" w14:textId="77777777" w:rsidR="00B71769" w:rsidRDefault="00B71769" w:rsidP="00581CEA">
      <w:pPr>
        <w:ind w:left="680" w:hanging="340"/>
      </w:pPr>
      <w:r>
        <w:t>•</w:t>
      </w:r>
      <w:r>
        <w:tab/>
        <w:t xml:space="preserve">research management experience, and </w:t>
      </w:r>
    </w:p>
    <w:p w14:paraId="287E4C6E" w14:textId="77777777" w:rsidR="00B71769" w:rsidRDefault="00B71769" w:rsidP="00581CEA">
      <w:pPr>
        <w:ind w:left="680" w:hanging="340"/>
      </w:pPr>
      <w:r>
        <w:t>•</w:t>
      </w:r>
      <w:r>
        <w:tab/>
        <w:t xml:space="preserve">access to research and support facilities. </w:t>
      </w:r>
    </w:p>
    <w:p w14:paraId="04586321" w14:textId="77777777" w:rsidR="00581CEA" w:rsidRDefault="00581CEA">
      <w:pPr>
        <w:spacing w:before="0" w:after="0" w:line="240" w:lineRule="auto"/>
      </w:pPr>
      <w:r>
        <w:br w:type="page"/>
      </w:r>
    </w:p>
    <w:p w14:paraId="0AD9EC9E" w14:textId="58E92C61" w:rsidR="00B71769" w:rsidRDefault="00B71769" w:rsidP="00B71769">
      <w:r>
        <w:lastRenderedPageBreak/>
        <w:t xml:space="preserve">Research opportunity specifically allows researchers to quantify significant interruptions relating to career and/or life experiences, which have affected their research capacity, </w:t>
      </w:r>
      <w:proofErr w:type="gramStart"/>
      <w:r>
        <w:t>productivity</w:t>
      </w:r>
      <w:proofErr w:type="gramEnd"/>
      <w:r>
        <w:t xml:space="preserve"> or contribution. The ARC recognises that the impact of any such significant interruption may extend beyond the duration of a specific event. It allows researchers to quantify the full extent of any significant career interruption, reflecting their individual circumstances. Assessors consider performance evidence in relation to the duration of the significant career interruption.</w:t>
      </w:r>
    </w:p>
    <w:p w14:paraId="655715FB" w14:textId="77777777" w:rsidR="00B71769" w:rsidRDefault="00B71769" w:rsidP="00B71769">
      <w:r>
        <w:t>Significant interruptions can include:</w:t>
      </w:r>
    </w:p>
    <w:p w14:paraId="58F31AF2" w14:textId="77777777" w:rsidR="00B71769" w:rsidRDefault="00B71769" w:rsidP="00581CEA">
      <w:pPr>
        <w:ind w:left="680" w:hanging="340"/>
      </w:pPr>
      <w:r>
        <w:t>•</w:t>
      </w:r>
      <w:r>
        <w:tab/>
        <w:t>unemployment</w:t>
      </w:r>
    </w:p>
    <w:p w14:paraId="015D8AD0" w14:textId="77777777" w:rsidR="00B71769" w:rsidRDefault="00B71769" w:rsidP="00581CEA">
      <w:pPr>
        <w:ind w:left="680" w:hanging="340"/>
      </w:pPr>
      <w:r>
        <w:t>•</w:t>
      </w:r>
      <w:r>
        <w:tab/>
        <w:t>non-research employment</w:t>
      </w:r>
    </w:p>
    <w:p w14:paraId="7CA2F951" w14:textId="77777777" w:rsidR="00B71769" w:rsidRDefault="00B71769" w:rsidP="00581CEA">
      <w:pPr>
        <w:ind w:left="680" w:hanging="340"/>
      </w:pPr>
      <w:r>
        <w:t>•</w:t>
      </w:r>
      <w:r>
        <w:tab/>
        <w:t>limited or no access to facilities and resources—such as through workplace interruptions</w:t>
      </w:r>
    </w:p>
    <w:p w14:paraId="13439BA1" w14:textId="77777777" w:rsidR="00B71769" w:rsidRDefault="00B71769" w:rsidP="00581CEA">
      <w:pPr>
        <w:ind w:left="680" w:hanging="340"/>
      </w:pPr>
      <w:r>
        <w:t>•</w:t>
      </w:r>
      <w:r>
        <w:tab/>
        <w:t>disaster management recovery</w:t>
      </w:r>
    </w:p>
    <w:p w14:paraId="23B6309A" w14:textId="77777777" w:rsidR="00B71769" w:rsidRDefault="00B71769" w:rsidP="00581CEA">
      <w:pPr>
        <w:ind w:left="680" w:hanging="340"/>
      </w:pPr>
      <w:r>
        <w:t>•</w:t>
      </w:r>
      <w:r>
        <w:tab/>
        <w:t>misadventure</w:t>
      </w:r>
    </w:p>
    <w:p w14:paraId="1F7357DE" w14:textId="77777777" w:rsidR="00B71769" w:rsidRDefault="00B71769" w:rsidP="00581CEA">
      <w:pPr>
        <w:ind w:left="680" w:hanging="340"/>
      </w:pPr>
      <w:r>
        <w:t>•</w:t>
      </w:r>
      <w:r>
        <w:tab/>
        <w:t>medical conditions</w:t>
      </w:r>
    </w:p>
    <w:p w14:paraId="26FEA3E9" w14:textId="77777777" w:rsidR="00B71769" w:rsidRDefault="00B71769" w:rsidP="00581CEA">
      <w:pPr>
        <w:ind w:left="680" w:hanging="340"/>
      </w:pPr>
      <w:r>
        <w:t>•</w:t>
      </w:r>
      <w:r>
        <w:tab/>
        <w:t>disability</w:t>
      </w:r>
    </w:p>
    <w:p w14:paraId="11E2E755" w14:textId="77777777" w:rsidR="00B71769" w:rsidRDefault="00B71769" w:rsidP="00581CEA">
      <w:pPr>
        <w:ind w:left="680" w:hanging="340"/>
      </w:pPr>
      <w:r>
        <w:t>•</w:t>
      </w:r>
      <w:r>
        <w:tab/>
        <w:t>caring and parental responsibilities, and</w:t>
      </w:r>
    </w:p>
    <w:p w14:paraId="48D15882" w14:textId="77777777" w:rsidR="00B71769" w:rsidRDefault="00B71769" w:rsidP="00581CEA">
      <w:pPr>
        <w:spacing w:after="0"/>
        <w:ind w:left="680" w:hanging="340"/>
      </w:pPr>
      <w:r>
        <w:t>•</w:t>
      </w:r>
      <w:r>
        <w:tab/>
        <w:t>community obligations, including Aboriginal and/or Torres Strait Islander cultural practices and protocols.</w:t>
      </w:r>
    </w:p>
    <w:p w14:paraId="689A9332" w14:textId="50ECB450" w:rsidR="00B67E3A" w:rsidRDefault="00B71769" w:rsidP="00581CEA">
      <w:r>
        <w:t>The nature and extent of significant career interruptions must be certified by the applicant’s Deputy Vice-Chancellor Research or equivalent.</w:t>
      </w:r>
    </w:p>
    <w:p w14:paraId="4E7461B0" w14:textId="6FC605D5" w:rsidR="00581CEA" w:rsidRDefault="00581CEA" w:rsidP="00581CEA">
      <w:pPr>
        <w:pStyle w:val="Heading2"/>
      </w:pPr>
      <w:bookmarkStart w:id="17" w:name="_Toc153372158"/>
      <w:r>
        <w:t>Performance Evidence</w:t>
      </w:r>
      <w:bookmarkEnd w:id="17"/>
    </w:p>
    <w:p w14:paraId="5405FB08" w14:textId="77777777" w:rsidR="00581CEA" w:rsidRDefault="00581CEA" w:rsidP="00581CEA">
      <w:r>
        <w:t xml:space="preserve">Performance evidence should be presented in the context of sector and discipline expectations and address scheme assessment criteria. Such performance evidence may demonstrate research quality, contributions to the research field including research training, contributions to the research sector and economic, environmental, social, </w:t>
      </w:r>
      <w:proofErr w:type="gramStart"/>
      <w:r>
        <w:t>cultural</w:t>
      </w:r>
      <w:proofErr w:type="gramEnd"/>
      <w:r>
        <w:t xml:space="preserve"> and other benefits arising from a candidate’s research record.</w:t>
      </w:r>
    </w:p>
    <w:p w14:paraId="047C3DB3" w14:textId="77777777" w:rsidR="00581CEA" w:rsidRDefault="00581CEA" w:rsidP="00581CEA">
      <w:r>
        <w:t xml:space="preserve">The research activities, </w:t>
      </w:r>
      <w:proofErr w:type="gramStart"/>
      <w:r>
        <w:t>outputs</w:t>
      </w:r>
      <w:proofErr w:type="gramEnd"/>
      <w:r>
        <w:t xml:space="preserve"> and achievements that assessors in the NCGP evaluate can include: </w:t>
      </w:r>
    </w:p>
    <w:p w14:paraId="2D579CB3" w14:textId="77777777" w:rsidR="00581CEA" w:rsidRDefault="00581CEA" w:rsidP="00581CEA">
      <w:pPr>
        <w:ind w:left="680" w:hanging="340"/>
      </w:pPr>
      <w:r>
        <w:t>•</w:t>
      </w:r>
      <w:r>
        <w:tab/>
        <w:t>publications, including research books and chapters, journal articles and conference publications</w:t>
      </w:r>
    </w:p>
    <w:p w14:paraId="15233A00" w14:textId="77777777" w:rsidR="00581CEA" w:rsidRDefault="00581CEA" w:rsidP="00581CEA">
      <w:pPr>
        <w:ind w:left="680" w:hanging="340"/>
      </w:pPr>
      <w:r>
        <w:t>•</w:t>
      </w:r>
      <w:r>
        <w:tab/>
        <w:t xml:space="preserve">intellectual property, including patents, trademarks, </w:t>
      </w:r>
      <w:proofErr w:type="gramStart"/>
      <w:r>
        <w:t>designs</w:t>
      </w:r>
      <w:proofErr w:type="gramEnd"/>
      <w:r>
        <w:t xml:space="preserve"> and plant breeder’s rights</w:t>
      </w:r>
    </w:p>
    <w:p w14:paraId="0374C39B" w14:textId="77777777" w:rsidR="00581CEA" w:rsidRDefault="00581CEA" w:rsidP="00581CEA">
      <w:pPr>
        <w:ind w:left="680" w:hanging="340"/>
      </w:pPr>
      <w:r>
        <w:t>•</w:t>
      </w:r>
      <w:r>
        <w:tab/>
        <w:t xml:space="preserve">non-traditional research outputs, including live performances, recordings or renderings of creative works, public </w:t>
      </w:r>
      <w:proofErr w:type="gramStart"/>
      <w:r>
        <w:t>exhibitions</w:t>
      </w:r>
      <w:proofErr w:type="gramEnd"/>
      <w:r>
        <w:t xml:space="preserve"> and portfolios</w:t>
      </w:r>
    </w:p>
    <w:p w14:paraId="3180CE3A" w14:textId="77777777" w:rsidR="00581CEA" w:rsidRDefault="00581CEA" w:rsidP="00581CEA">
      <w:pPr>
        <w:ind w:left="680" w:hanging="340"/>
      </w:pPr>
      <w:r>
        <w:t>•</w:t>
      </w:r>
      <w:r>
        <w:tab/>
        <w:t>research income, including Australian competitive grants, such as ARC and National Health and Medical Research Council (NHMRC) grants; other public sector income; and industry funding and investment from Australia and overseas</w:t>
      </w:r>
    </w:p>
    <w:p w14:paraId="35745466" w14:textId="77777777" w:rsidR="00581CEA" w:rsidRDefault="00581CEA" w:rsidP="00581CEA">
      <w:pPr>
        <w:ind w:left="680" w:hanging="340"/>
      </w:pPr>
      <w:r>
        <w:t>•</w:t>
      </w:r>
      <w:r>
        <w:tab/>
        <w:t>research supervision and advice, including higher degree by research student completions</w:t>
      </w:r>
    </w:p>
    <w:p w14:paraId="4AD691EA" w14:textId="77777777" w:rsidR="00581CEA" w:rsidRDefault="00581CEA" w:rsidP="00581CEA">
      <w:pPr>
        <w:ind w:left="680" w:hanging="340"/>
      </w:pPr>
      <w:r>
        <w:t>•</w:t>
      </w:r>
      <w:r>
        <w:tab/>
        <w:t>professional development, mentoring and research leadership</w:t>
      </w:r>
    </w:p>
    <w:p w14:paraId="24A89514" w14:textId="77777777" w:rsidR="00581CEA" w:rsidRDefault="00581CEA" w:rsidP="00581CEA">
      <w:pPr>
        <w:ind w:left="680" w:hanging="340"/>
      </w:pPr>
      <w:r>
        <w:t>•</w:t>
      </w:r>
      <w:r>
        <w:tab/>
        <w:t>fellowships, memberships, awards, and keynote addresses</w:t>
      </w:r>
    </w:p>
    <w:p w14:paraId="726BD649" w14:textId="77777777" w:rsidR="00581CEA" w:rsidRDefault="00581CEA" w:rsidP="00581CEA">
      <w:pPr>
        <w:ind w:left="680" w:hanging="340"/>
      </w:pPr>
      <w:r>
        <w:t>•</w:t>
      </w:r>
      <w:r>
        <w:tab/>
        <w:t>policy development and advice</w:t>
      </w:r>
    </w:p>
    <w:p w14:paraId="2E08AD4D" w14:textId="77777777" w:rsidR="00581CEA" w:rsidRDefault="00581CEA" w:rsidP="00581CEA">
      <w:pPr>
        <w:ind w:left="680" w:hanging="340"/>
      </w:pPr>
      <w:r>
        <w:t>•</w:t>
      </w:r>
      <w:r>
        <w:tab/>
        <w:t xml:space="preserve">research impact, including the use of research to achieve environmental, cultural, </w:t>
      </w:r>
      <w:proofErr w:type="gramStart"/>
      <w:r>
        <w:t>social</w:t>
      </w:r>
      <w:proofErr w:type="gramEnd"/>
      <w:r>
        <w:t xml:space="preserve"> or economic changes or improvements, and</w:t>
      </w:r>
    </w:p>
    <w:p w14:paraId="52B2A6C5" w14:textId="1DED2357" w:rsidR="00581CEA" w:rsidRDefault="00581CEA" w:rsidP="00581CEA">
      <w:pPr>
        <w:ind w:left="680" w:hanging="340"/>
      </w:pPr>
      <w:r>
        <w:t>•</w:t>
      </w:r>
      <w:r>
        <w:tab/>
        <w:t>research collaboration.</w:t>
      </w:r>
    </w:p>
    <w:p w14:paraId="30E1FACF" w14:textId="685FA533" w:rsidR="00581CEA" w:rsidRDefault="00B71769" w:rsidP="00B71769">
      <w:pPr>
        <w:pStyle w:val="Heading1"/>
      </w:pPr>
      <w:bookmarkStart w:id="18" w:name="_Toc153372159"/>
      <w:r>
        <w:lastRenderedPageBreak/>
        <w:t>Implementation</w:t>
      </w:r>
      <w:bookmarkEnd w:id="18"/>
    </w:p>
    <w:p w14:paraId="667888F9" w14:textId="77777777" w:rsidR="00581CEA" w:rsidRDefault="00581CEA" w:rsidP="00581CEA">
      <w:bookmarkStart w:id="19" w:name="_Toc81921768"/>
      <w:bookmarkStart w:id="20" w:name="_Toc81985457"/>
      <w:r>
        <w:t xml:space="preserve">Under each scheme, ROPE is structured relative to the scheme objectives, and the research activities, </w:t>
      </w:r>
      <w:proofErr w:type="gramStart"/>
      <w:r>
        <w:t>outputs</w:t>
      </w:r>
      <w:proofErr w:type="gramEnd"/>
      <w:r>
        <w:t xml:space="preserve"> and achievements appropriate to the cohorts eligible to apply. </w:t>
      </w:r>
    </w:p>
    <w:p w14:paraId="392B96F1" w14:textId="77777777" w:rsidR="00581CEA" w:rsidRDefault="00581CEA" w:rsidP="00581CEA">
      <w:r>
        <w:t xml:space="preserve">NCGP scheme documentation, including Grant Guidelines, Instructions to Applicants, Frequently Asked </w:t>
      </w:r>
      <w:proofErr w:type="gramStart"/>
      <w:r>
        <w:t>Questions</w:t>
      </w:r>
      <w:proofErr w:type="gramEnd"/>
      <w:r>
        <w:t xml:space="preserve"> and the application form in RMS, sets out the relevant elements of ROPE for each scheme.</w:t>
      </w:r>
    </w:p>
    <w:p w14:paraId="27AB9501" w14:textId="584A7743" w:rsidR="00581CEA" w:rsidRDefault="00581CEA" w:rsidP="00581CEA">
      <w:r>
        <w:t>As part of the ARC’s commitment to streamlined grant programs and processes, the mechanisms for implementing ROPE in ARC schemes are regularly reviewed and updated where improvements can be found.</w:t>
      </w:r>
    </w:p>
    <w:p w14:paraId="0BBA5611" w14:textId="77777777" w:rsidR="00AD4EFE" w:rsidRDefault="00AD4EFE" w:rsidP="00581CEA"/>
    <w:p w14:paraId="67A6CA05" w14:textId="385172BD" w:rsidR="000B12FD" w:rsidRDefault="005E32E8" w:rsidP="00CE39FF">
      <w:pPr>
        <w:pStyle w:val="Heading1"/>
      </w:pPr>
      <w:bookmarkStart w:id="21" w:name="_Toc153372160"/>
      <w:r w:rsidRPr="008F7B81">
        <w:t>Contact details</w:t>
      </w:r>
      <w:bookmarkEnd w:id="19"/>
      <w:bookmarkEnd w:id="20"/>
      <w:bookmarkEnd w:id="21"/>
      <w:r w:rsidRPr="008F7B81">
        <w:tab/>
      </w:r>
    </w:p>
    <w:p w14:paraId="227F4C1E" w14:textId="77777777" w:rsidR="00581CEA" w:rsidRPr="00581CEA" w:rsidRDefault="00581CEA" w:rsidP="00581CEA">
      <w:r w:rsidRPr="00581CEA">
        <w:t>Australian Research Council</w:t>
      </w:r>
    </w:p>
    <w:p w14:paraId="0897D3C6" w14:textId="77777777" w:rsidR="00581CEA" w:rsidRPr="00581CEA" w:rsidRDefault="00581CEA" w:rsidP="00581CEA">
      <w:r w:rsidRPr="00581CEA">
        <w:t xml:space="preserve">Phone: +61 2 6287 6600 </w:t>
      </w:r>
    </w:p>
    <w:p w14:paraId="43A4013C" w14:textId="28E21C38" w:rsidR="00581CEA" w:rsidRPr="00581CEA" w:rsidRDefault="00581CEA" w:rsidP="00581CEA">
      <w:r w:rsidRPr="00581CEA">
        <w:t xml:space="preserve">Email: </w:t>
      </w:r>
      <w:hyperlink r:id="rId12" w:history="1">
        <w:r w:rsidR="00561CA7" w:rsidRPr="00A83C3E">
          <w:rPr>
            <w:rStyle w:val="Hyperlink"/>
          </w:rPr>
          <w:t>info@arc.gov.au</w:t>
        </w:r>
      </w:hyperlink>
      <w:r w:rsidR="00561CA7">
        <w:t xml:space="preserve"> </w:t>
      </w:r>
    </w:p>
    <w:p w14:paraId="05D03E61" w14:textId="77777777" w:rsidR="00581CEA" w:rsidRPr="00581CEA" w:rsidRDefault="00581CEA" w:rsidP="00581CEA">
      <w:r w:rsidRPr="00581CEA">
        <w:t>www.arc.gov.au</w:t>
      </w:r>
    </w:p>
    <w:p w14:paraId="20F5D214" w14:textId="77777777" w:rsidR="00581CEA" w:rsidRPr="00581CEA" w:rsidRDefault="00581CEA" w:rsidP="00581CEA">
      <w:r w:rsidRPr="00581CEA">
        <w:t xml:space="preserve">Level 2, 11 Lancaster Place, Canberra Airport ACT 2609 </w:t>
      </w:r>
    </w:p>
    <w:p w14:paraId="54B9F16E" w14:textId="61D91150" w:rsidR="00F0338F" w:rsidRDefault="00581CEA" w:rsidP="00581CEA">
      <w:pPr>
        <w:rPr>
          <w:rFonts w:asciiTheme="minorHAnsi" w:hAnsiTheme="minorHAnsi"/>
          <w:color w:val="FF0000"/>
          <w:lang w:eastAsia="en-AU"/>
        </w:rPr>
      </w:pPr>
      <w:r w:rsidRPr="00581CEA">
        <w:t>GPO Box 2702, Canberra ACT 2601</w:t>
      </w:r>
      <w:r w:rsidRPr="00581CEA">
        <w:cr/>
      </w:r>
    </w:p>
    <w:p w14:paraId="7C6FE87E" w14:textId="77777777" w:rsidR="00A60FB2" w:rsidRPr="00F0338F" w:rsidRDefault="00A60FB2" w:rsidP="00A60FB2">
      <w:pPr>
        <w:pStyle w:val="Heading1"/>
        <w:rPr>
          <w:szCs w:val="22"/>
          <w:lang w:eastAsia="en-AU"/>
        </w:rPr>
      </w:pPr>
      <w:bookmarkStart w:id="22" w:name="_Toc153372161"/>
      <w:r>
        <w:rPr>
          <w:lang w:eastAsia="en-AU"/>
        </w:rPr>
        <w:t>Document control</w:t>
      </w:r>
      <w:bookmarkEnd w:id="22"/>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2268"/>
        <w:gridCol w:w="1853"/>
        <w:gridCol w:w="3260"/>
      </w:tblGrid>
      <w:tr w:rsidR="000B12FD" w14:paraId="63105FF9" w14:textId="77777777" w:rsidTr="004822D3">
        <w:trPr>
          <w:trHeight w:val="532"/>
          <w:tblHeader/>
        </w:trPr>
        <w:tc>
          <w:tcPr>
            <w:tcW w:w="1975" w:type="dxa"/>
          </w:tcPr>
          <w:p w14:paraId="6C371A50" w14:textId="77777777" w:rsidR="000B12FD" w:rsidRDefault="005E32E8">
            <w:pPr>
              <w:pStyle w:val="TableParagraph"/>
              <w:spacing w:before="119"/>
              <w:ind w:left="107"/>
              <w:rPr>
                <w:b/>
                <w:sz w:val="24"/>
              </w:rPr>
            </w:pPr>
            <w:r>
              <w:rPr>
                <w:b/>
                <w:sz w:val="24"/>
              </w:rPr>
              <w:t>Number</w:t>
            </w:r>
          </w:p>
        </w:tc>
        <w:tc>
          <w:tcPr>
            <w:tcW w:w="2268" w:type="dxa"/>
          </w:tcPr>
          <w:p w14:paraId="18F968AD" w14:textId="77777777" w:rsidR="000B12FD" w:rsidRDefault="005E32E8">
            <w:pPr>
              <w:pStyle w:val="TableParagraph"/>
              <w:spacing w:before="119"/>
              <w:rPr>
                <w:b/>
                <w:sz w:val="24"/>
              </w:rPr>
            </w:pPr>
            <w:r>
              <w:rPr>
                <w:b/>
                <w:sz w:val="24"/>
              </w:rPr>
              <w:t>Date</w:t>
            </w:r>
            <w:r>
              <w:rPr>
                <w:b/>
                <w:spacing w:val="-3"/>
                <w:sz w:val="24"/>
              </w:rPr>
              <w:t xml:space="preserve"> </w:t>
            </w:r>
            <w:r>
              <w:rPr>
                <w:b/>
                <w:sz w:val="24"/>
              </w:rPr>
              <w:t>Approved</w:t>
            </w:r>
          </w:p>
        </w:tc>
        <w:tc>
          <w:tcPr>
            <w:tcW w:w="1853" w:type="dxa"/>
          </w:tcPr>
          <w:p w14:paraId="333160D5" w14:textId="77777777" w:rsidR="000B12FD" w:rsidRDefault="005E32E8">
            <w:pPr>
              <w:pStyle w:val="TableParagraph"/>
              <w:spacing w:before="119"/>
              <w:ind w:left="105"/>
              <w:rPr>
                <w:b/>
                <w:sz w:val="24"/>
              </w:rPr>
            </w:pPr>
            <w:r>
              <w:rPr>
                <w:b/>
                <w:sz w:val="24"/>
              </w:rPr>
              <w:t>Approved</w:t>
            </w:r>
            <w:r>
              <w:rPr>
                <w:b/>
                <w:spacing w:val="-1"/>
                <w:sz w:val="24"/>
              </w:rPr>
              <w:t xml:space="preserve"> </w:t>
            </w:r>
            <w:r>
              <w:rPr>
                <w:b/>
                <w:sz w:val="24"/>
              </w:rPr>
              <w:t>By</w:t>
            </w:r>
          </w:p>
        </w:tc>
        <w:tc>
          <w:tcPr>
            <w:tcW w:w="3260" w:type="dxa"/>
          </w:tcPr>
          <w:p w14:paraId="085C96C3" w14:textId="77777777" w:rsidR="000B12FD" w:rsidRDefault="005E32E8">
            <w:pPr>
              <w:pStyle w:val="TableParagraph"/>
              <w:spacing w:before="119"/>
              <w:rPr>
                <w:b/>
                <w:sz w:val="24"/>
              </w:rPr>
            </w:pPr>
            <w:r>
              <w:rPr>
                <w:b/>
                <w:sz w:val="24"/>
              </w:rPr>
              <w:t>Brief</w:t>
            </w:r>
            <w:r>
              <w:rPr>
                <w:b/>
                <w:spacing w:val="-2"/>
                <w:sz w:val="24"/>
              </w:rPr>
              <w:t xml:space="preserve"> </w:t>
            </w:r>
            <w:r>
              <w:rPr>
                <w:b/>
                <w:sz w:val="24"/>
              </w:rPr>
              <w:t>Description</w:t>
            </w:r>
          </w:p>
        </w:tc>
      </w:tr>
      <w:tr w:rsidR="000B12FD" w14:paraId="7C001E69" w14:textId="77777777" w:rsidTr="004822D3">
        <w:trPr>
          <w:trHeight w:val="532"/>
        </w:trPr>
        <w:tc>
          <w:tcPr>
            <w:tcW w:w="1975" w:type="dxa"/>
          </w:tcPr>
          <w:p w14:paraId="3E2E5B33" w14:textId="32F00B32" w:rsidR="000B12FD" w:rsidRPr="009C0770" w:rsidRDefault="009C0770" w:rsidP="009C0770">
            <w:pPr>
              <w:ind w:left="113"/>
              <w:rPr>
                <w:rFonts w:asciiTheme="minorHAnsi" w:hAnsiTheme="minorHAnsi" w:cstheme="minorHAnsi"/>
              </w:rPr>
            </w:pPr>
            <w:r w:rsidRPr="009C0770">
              <w:rPr>
                <w:rFonts w:asciiTheme="minorHAnsi" w:hAnsiTheme="minorHAnsi" w:cstheme="minorHAnsi"/>
              </w:rPr>
              <w:t>Version 2023</w:t>
            </w:r>
            <w:r>
              <w:rPr>
                <w:rFonts w:asciiTheme="minorHAnsi" w:hAnsiTheme="minorHAnsi" w:cstheme="minorHAnsi"/>
              </w:rPr>
              <w:t>.1</w:t>
            </w:r>
          </w:p>
        </w:tc>
        <w:tc>
          <w:tcPr>
            <w:tcW w:w="2268" w:type="dxa"/>
          </w:tcPr>
          <w:p w14:paraId="6E8FCCE7" w14:textId="35E92668" w:rsidR="00066A9A" w:rsidRPr="009C0770" w:rsidRDefault="009C0770" w:rsidP="009C0770">
            <w:pPr>
              <w:ind w:left="113"/>
              <w:rPr>
                <w:rFonts w:asciiTheme="minorHAnsi" w:hAnsiTheme="minorHAnsi" w:cstheme="minorHAnsi"/>
              </w:rPr>
            </w:pPr>
            <w:r>
              <w:rPr>
                <w:rFonts w:asciiTheme="minorHAnsi" w:hAnsiTheme="minorHAnsi" w:cstheme="minorHAnsi"/>
              </w:rPr>
              <w:t>December 2023</w:t>
            </w:r>
          </w:p>
        </w:tc>
        <w:tc>
          <w:tcPr>
            <w:tcW w:w="1853" w:type="dxa"/>
          </w:tcPr>
          <w:p w14:paraId="1DB4A4D8" w14:textId="15D531CF" w:rsidR="000B12FD" w:rsidRPr="009C0770" w:rsidRDefault="009C0770" w:rsidP="009C0770">
            <w:pPr>
              <w:ind w:left="113"/>
              <w:rPr>
                <w:rFonts w:asciiTheme="minorHAnsi" w:hAnsiTheme="minorHAnsi" w:cstheme="minorHAnsi"/>
              </w:rPr>
            </w:pPr>
            <w:r w:rsidRPr="009C0770">
              <w:rPr>
                <w:rFonts w:asciiTheme="minorHAnsi" w:hAnsiTheme="minorHAnsi" w:cstheme="minorHAnsi"/>
              </w:rPr>
              <w:t xml:space="preserve">Chief Research Officer </w:t>
            </w:r>
          </w:p>
          <w:p w14:paraId="3624ADBD" w14:textId="240AC9EC" w:rsidR="003B1280" w:rsidRPr="009C0770" w:rsidRDefault="003B1280" w:rsidP="009C0770">
            <w:pPr>
              <w:ind w:left="113"/>
              <w:rPr>
                <w:rFonts w:asciiTheme="minorHAnsi" w:hAnsiTheme="minorHAnsi" w:cstheme="minorHAnsi"/>
                <w:b/>
                <w:bCs/>
              </w:rPr>
            </w:pPr>
          </w:p>
        </w:tc>
        <w:tc>
          <w:tcPr>
            <w:tcW w:w="3260" w:type="dxa"/>
          </w:tcPr>
          <w:p w14:paraId="3D478683" w14:textId="4FF61EA5" w:rsidR="000B12FD" w:rsidRPr="009C0770" w:rsidRDefault="009C0770" w:rsidP="009C0770">
            <w:pPr>
              <w:ind w:left="113"/>
              <w:rPr>
                <w:rFonts w:asciiTheme="minorHAnsi" w:hAnsiTheme="minorHAnsi" w:cstheme="minorHAnsi"/>
              </w:rPr>
            </w:pPr>
            <w:r w:rsidRPr="009C0770">
              <w:rPr>
                <w:rFonts w:asciiTheme="minorHAnsi" w:hAnsiTheme="minorHAnsi" w:cstheme="minorHAnsi"/>
              </w:rPr>
              <w:t>Minor edits to reflect changes made to simplify the implementation of ROPE in ARC schemes</w:t>
            </w:r>
            <w:r w:rsidR="009A6A35">
              <w:rPr>
                <w:rFonts w:asciiTheme="minorHAnsi" w:hAnsiTheme="minorHAnsi" w:cstheme="minorHAnsi"/>
              </w:rPr>
              <w:t xml:space="preserve"> and to align with current Grant Guidelines.</w:t>
            </w:r>
          </w:p>
        </w:tc>
      </w:tr>
    </w:tbl>
    <w:p w14:paraId="2B9BA5A5" w14:textId="77777777" w:rsidR="005E32E8" w:rsidRDefault="005E32E8"/>
    <w:sectPr w:rsidR="005E32E8" w:rsidSect="00894D30">
      <w:pgSz w:w="11910" w:h="16840"/>
      <w:pgMar w:top="993" w:right="1278" w:bottom="1134" w:left="1276" w:header="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6B2FD" w14:textId="77777777" w:rsidR="003C517E" w:rsidRDefault="003C517E">
      <w:pPr>
        <w:spacing w:before="0" w:after="0" w:line="240" w:lineRule="auto"/>
      </w:pPr>
      <w:r>
        <w:separator/>
      </w:r>
    </w:p>
  </w:endnote>
  <w:endnote w:type="continuationSeparator" w:id="0">
    <w:p w14:paraId="4ADBCEE3" w14:textId="77777777" w:rsidR="003C517E" w:rsidRDefault="003C517E">
      <w:pPr>
        <w:spacing w:before="0" w:after="0" w:line="240" w:lineRule="auto"/>
      </w:pPr>
      <w:r>
        <w:continuationSeparator/>
      </w:r>
    </w:p>
  </w:endnote>
  <w:endnote w:type="continuationNotice" w:id="1">
    <w:p w14:paraId="2F030E6A" w14:textId="77777777" w:rsidR="003C517E" w:rsidRDefault="003C517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altName w:val="Walbaum Display Light"/>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vetail MVB">
    <w:altName w:val="Cambria"/>
    <w:panose1 w:val="020A0503030406040203"/>
    <w:charset w:val="00"/>
    <w:family w:val="roman"/>
    <w:notTrueType/>
    <w:pitch w:val="variable"/>
    <w:sig w:usb0="00000007" w:usb1="00000001" w:usb2="00000000" w:usb3="00000000" w:csb0="00000093" w:csb1="00000000"/>
  </w:font>
  <w:font w:name="Solitaire MVB Pro Sm Lt">
    <w:panose1 w:val="020B0400040304060203"/>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232382"/>
      <w:docPartObj>
        <w:docPartGallery w:val="Page Numbers (Bottom of Page)"/>
        <w:docPartUnique/>
      </w:docPartObj>
    </w:sdtPr>
    <w:sdtEndPr>
      <w:rPr>
        <w:i/>
        <w:iCs/>
      </w:rPr>
    </w:sdtEndPr>
    <w:sdtContent>
      <w:sdt>
        <w:sdtPr>
          <w:id w:val="-1769616900"/>
          <w:docPartObj>
            <w:docPartGallery w:val="Page Numbers (Top of Page)"/>
            <w:docPartUnique/>
          </w:docPartObj>
        </w:sdtPr>
        <w:sdtEndPr>
          <w:rPr>
            <w:i/>
            <w:iCs/>
          </w:rPr>
        </w:sdtEndPr>
        <w:sdtContent>
          <w:p w14:paraId="224C56EC" w14:textId="1B80F39C" w:rsidR="000B12FD" w:rsidRPr="00581CEA" w:rsidRDefault="00D06325" w:rsidP="00D42552">
            <w:pPr>
              <w:pStyle w:val="Footer"/>
              <w:rPr>
                <w:b/>
                <w:bCs/>
                <w:sz w:val="24"/>
                <w:szCs w:val="24"/>
              </w:rPr>
            </w:pPr>
            <w:r>
              <w:t>Research Opportunity and Performance Evidence (ROPE)</w:t>
            </w:r>
            <w:r w:rsidR="0011004F">
              <w:tab/>
            </w:r>
            <w:r w:rsidR="002B0512">
              <w:t xml:space="preserve">Page </w:t>
            </w:r>
            <w:r w:rsidR="002B0512">
              <w:rPr>
                <w:b/>
                <w:bCs/>
                <w:sz w:val="24"/>
                <w:szCs w:val="24"/>
              </w:rPr>
              <w:fldChar w:fldCharType="begin"/>
            </w:r>
            <w:r w:rsidR="002B0512">
              <w:rPr>
                <w:b/>
                <w:bCs/>
              </w:rPr>
              <w:instrText xml:space="preserve"> PAGE </w:instrText>
            </w:r>
            <w:r w:rsidR="002B0512">
              <w:rPr>
                <w:b/>
                <w:bCs/>
                <w:sz w:val="24"/>
                <w:szCs w:val="24"/>
              </w:rPr>
              <w:fldChar w:fldCharType="separate"/>
            </w:r>
            <w:r w:rsidR="002B0512">
              <w:rPr>
                <w:b/>
                <w:bCs/>
                <w:noProof/>
              </w:rPr>
              <w:t>2</w:t>
            </w:r>
            <w:r w:rsidR="002B0512">
              <w:rPr>
                <w:b/>
                <w:bCs/>
                <w:sz w:val="24"/>
                <w:szCs w:val="24"/>
              </w:rPr>
              <w:fldChar w:fldCharType="end"/>
            </w:r>
            <w:r w:rsidR="002B0512">
              <w:t xml:space="preserve"> of </w:t>
            </w:r>
            <w:r w:rsidR="002B0512">
              <w:rPr>
                <w:b/>
                <w:bCs/>
                <w:sz w:val="24"/>
                <w:szCs w:val="24"/>
              </w:rPr>
              <w:fldChar w:fldCharType="begin"/>
            </w:r>
            <w:r w:rsidR="002B0512">
              <w:rPr>
                <w:b/>
                <w:bCs/>
              </w:rPr>
              <w:instrText xml:space="preserve"> NUMPAGES  </w:instrText>
            </w:r>
            <w:r w:rsidR="002B0512">
              <w:rPr>
                <w:b/>
                <w:bCs/>
                <w:sz w:val="24"/>
                <w:szCs w:val="24"/>
              </w:rPr>
              <w:fldChar w:fldCharType="separate"/>
            </w:r>
            <w:r w:rsidR="002B0512">
              <w:rPr>
                <w:b/>
                <w:bCs/>
                <w:noProof/>
              </w:rPr>
              <w:t>2</w:t>
            </w:r>
            <w:r w:rsidR="002B0512">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F25D4" w14:textId="77777777" w:rsidR="00583318" w:rsidRDefault="00583318">
    <w:pPr>
      <w:pStyle w:val="Footer"/>
    </w:pPr>
    <w:r>
      <w:rPr>
        <w:noProof/>
        <w:color w:val="FFFFFF"/>
        <w:shd w:val="clear" w:color="auto" w:fill="1F487C"/>
      </w:rPr>
      <w:drawing>
        <wp:anchor distT="0" distB="0" distL="114300" distR="114300" simplePos="0" relativeHeight="251658240" behindDoc="1" locked="0" layoutInCell="1" allowOverlap="1" wp14:anchorId="0B3BB19D" wp14:editId="0C199081">
          <wp:simplePos x="0" y="0"/>
          <wp:positionH relativeFrom="column">
            <wp:posOffset>-841518</wp:posOffset>
          </wp:positionH>
          <wp:positionV relativeFrom="paragraph">
            <wp:posOffset>276225</wp:posOffset>
          </wp:positionV>
          <wp:extent cx="7600950" cy="334283"/>
          <wp:effectExtent l="0" t="0" r="0" b="8890"/>
          <wp:wrapNone/>
          <wp:docPr id="1440737559" name="Picture 1440737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600950" cy="3342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B57A6" w14:textId="77777777" w:rsidR="003C517E" w:rsidRDefault="003C517E">
      <w:pPr>
        <w:spacing w:before="0" w:after="0" w:line="240" w:lineRule="auto"/>
      </w:pPr>
      <w:r>
        <w:separator/>
      </w:r>
    </w:p>
  </w:footnote>
  <w:footnote w:type="continuationSeparator" w:id="0">
    <w:p w14:paraId="24B7ADE9" w14:textId="77777777" w:rsidR="003C517E" w:rsidRDefault="003C517E">
      <w:pPr>
        <w:spacing w:before="0" w:after="0" w:line="240" w:lineRule="auto"/>
      </w:pPr>
      <w:r>
        <w:continuationSeparator/>
      </w:r>
    </w:p>
  </w:footnote>
  <w:footnote w:type="continuationNotice" w:id="1">
    <w:p w14:paraId="104B8038" w14:textId="77777777" w:rsidR="003C517E" w:rsidRDefault="003C517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BD75" w14:textId="77777777" w:rsidR="00E13A06" w:rsidRPr="00D01F2A" w:rsidRDefault="00D01F2A" w:rsidP="00D01F2A">
    <w:pPr>
      <w:pStyle w:val="Header"/>
    </w:pPr>
    <w:r>
      <w:rPr>
        <w:noProof/>
      </w:rPr>
      <w:drawing>
        <wp:anchor distT="0" distB="0" distL="114300" distR="114300" simplePos="0" relativeHeight="251658241" behindDoc="0" locked="0" layoutInCell="1" allowOverlap="1" wp14:anchorId="65A6A2DE" wp14:editId="44C3164F">
          <wp:simplePos x="0" y="0"/>
          <wp:positionH relativeFrom="page">
            <wp:posOffset>-27940</wp:posOffset>
          </wp:positionH>
          <wp:positionV relativeFrom="page">
            <wp:posOffset>-34925</wp:posOffset>
          </wp:positionV>
          <wp:extent cx="7584440" cy="1680845"/>
          <wp:effectExtent l="0" t="0" r="0" b="0"/>
          <wp:wrapTopAndBottom/>
          <wp:docPr id="1130118005" name="Picture 1130118005" descr="Australian Government - Australian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ustralian Government - Australian Research Council"/>
                  <pic:cNvPicPr/>
                </pic:nvPicPr>
                <pic:blipFill rotWithShape="1">
                  <a:blip r:embed="rId1"/>
                  <a:srcRect b="36892"/>
                  <a:stretch/>
                </pic:blipFill>
                <pic:spPr bwMode="auto">
                  <a:xfrm>
                    <a:off x="0" y="0"/>
                    <a:ext cx="7584440" cy="1680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C3F"/>
    <w:multiLevelType w:val="hybridMultilevel"/>
    <w:tmpl w:val="FD484C58"/>
    <w:lvl w:ilvl="0" w:tplc="F488BC68">
      <w:numFmt w:val="bullet"/>
      <w:lvlText w:val="o"/>
      <w:lvlJc w:val="left"/>
      <w:pPr>
        <w:ind w:left="1080" w:hanging="360"/>
      </w:pPr>
      <w:rPr>
        <w:rFonts w:ascii="Courier New" w:eastAsia="Courier New" w:hAnsi="Courier New" w:cs="Courier New" w:hint="default"/>
        <w:b w:val="0"/>
        <w:bCs w:val="0"/>
        <w:i w:val="0"/>
        <w:iCs w:val="0"/>
        <w:w w:val="100"/>
        <w:sz w:val="24"/>
        <w:szCs w:val="24"/>
        <w:lang w:val="en-AU" w:eastAsia="en-US" w:bidi="ar-SA"/>
      </w:rPr>
    </w:lvl>
    <w:lvl w:ilvl="1" w:tplc="0C090003" w:tentative="1">
      <w:start w:val="1"/>
      <w:numFmt w:val="bullet"/>
      <w:lvlText w:val="o"/>
      <w:lvlJc w:val="left"/>
      <w:pPr>
        <w:ind w:left="940" w:hanging="360"/>
      </w:pPr>
      <w:rPr>
        <w:rFonts w:ascii="Courier New" w:hAnsi="Courier New" w:cs="Courier New" w:hint="default"/>
      </w:rPr>
    </w:lvl>
    <w:lvl w:ilvl="2" w:tplc="0C090005" w:tentative="1">
      <w:start w:val="1"/>
      <w:numFmt w:val="bullet"/>
      <w:lvlText w:val=""/>
      <w:lvlJc w:val="left"/>
      <w:pPr>
        <w:ind w:left="1660" w:hanging="360"/>
      </w:pPr>
      <w:rPr>
        <w:rFonts w:ascii="Wingdings" w:hAnsi="Wingdings" w:hint="default"/>
      </w:rPr>
    </w:lvl>
    <w:lvl w:ilvl="3" w:tplc="0C090001" w:tentative="1">
      <w:start w:val="1"/>
      <w:numFmt w:val="bullet"/>
      <w:lvlText w:val=""/>
      <w:lvlJc w:val="left"/>
      <w:pPr>
        <w:ind w:left="2380" w:hanging="360"/>
      </w:pPr>
      <w:rPr>
        <w:rFonts w:ascii="Symbol" w:hAnsi="Symbol" w:hint="default"/>
      </w:rPr>
    </w:lvl>
    <w:lvl w:ilvl="4" w:tplc="0C090003" w:tentative="1">
      <w:start w:val="1"/>
      <w:numFmt w:val="bullet"/>
      <w:lvlText w:val="o"/>
      <w:lvlJc w:val="left"/>
      <w:pPr>
        <w:ind w:left="3100" w:hanging="360"/>
      </w:pPr>
      <w:rPr>
        <w:rFonts w:ascii="Courier New" w:hAnsi="Courier New" w:cs="Courier New" w:hint="default"/>
      </w:rPr>
    </w:lvl>
    <w:lvl w:ilvl="5" w:tplc="0C090005" w:tentative="1">
      <w:start w:val="1"/>
      <w:numFmt w:val="bullet"/>
      <w:lvlText w:val=""/>
      <w:lvlJc w:val="left"/>
      <w:pPr>
        <w:ind w:left="3820" w:hanging="360"/>
      </w:pPr>
      <w:rPr>
        <w:rFonts w:ascii="Wingdings" w:hAnsi="Wingdings" w:hint="default"/>
      </w:rPr>
    </w:lvl>
    <w:lvl w:ilvl="6" w:tplc="0C090001" w:tentative="1">
      <w:start w:val="1"/>
      <w:numFmt w:val="bullet"/>
      <w:lvlText w:val=""/>
      <w:lvlJc w:val="left"/>
      <w:pPr>
        <w:ind w:left="4540" w:hanging="360"/>
      </w:pPr>
      <w:rPr>
        <w:rFonts w:ascii="Symbol" w:hAnsi="Symbol" w:hint="default"/>
      </w:rPr>
    </w:lvl>
    <w:lvl w:ilvl="7" w:tplc="0C090003" w:tentative="1">
      <w:start w:val="1"/>
      <w:numFmt w:val="bullet"/>
      <w:lvlText w:val="o"/>
      <w:lvlJc w:val="left"/>
      <w:pPr>
        <w:ind w:left="5260" w:hanging="360"/>
      </w:pPr>
      <w:rPr>
        <w:rFonts w:ascii="Courier New" w:hAnsi="Courier New" w:cs="Courier New" w:hint="default"/>
      </w:rPr>
    </w:lvl>
    <w:lvl w:ilvl="8" w:tplc="0C090005" w:tentative="1">
      <w:start w:val="1"/>
      <w:numFmt w:val="bullet"/>
      <w:lvlText w:val=""/>
      <w:lvlJc w:val="left"/>
      <w:pPr>
        <w:ind w:left="5980" w:hanging="360"/>
      </w:pPr>
      <w:rPr>
        <w:rFonts w:ascii="Wingdings" w:hAnsi="Wingdings" w:hint="default"/>
      </w:rPr>
    </w:lvl>
  </w:abstractNum>
  <w:abstractNum w:abstractNumId="1" w15:restartNumberingAfterBreak="0">
    <w:nsid w:val="049322A6"/>
    <w:multiLevelType w:val="multilevel"/>
    <w:tmpl w:val="E38C1382"/>
    <w:lvl w:ilvl="0">
      <w:start w:val="1"/>
      <w:numFmt w:val="bullet"/>
      <w:lvlText w:val=""/>
      <w:lvlJc w:val="left"/>
      <w:pPr>
        <w:tabs>
          <w:tab w:val="num" w:pos="680"/>
        </w:tabs>
        <w:ind w:left="340" w:hanging="340"/>
      </w:pPr>
      <w:rPr>
        <w:rFonts w:ascii="Symbol" w:hAnsi="Symbol" w:hint="default"/>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ascii="Walbaum Display Light" w:hAnsi="Walbaum Display Light" w:hint="default"/>
      </w:rPr>
    </w:lvl>
    <w:lvl w:ilvl="2">
      <w:start w:val="1"/>
      <w:numFmt w:val="bullet"/>
      <w:lvlText w:val="o"/>
      <w:lvlJc w:val="left"/>
      <w:pPr>
        <w:tabs>
          <w:tab w:val="num" w:pos="3969"/>
        </w:tabs>
        <w:ind w:left="1021" w:hanging="341"/>
      </w:pPr>
      <w:rPr>
        <w:rFonts w:ascii="Courier New" w:hAnsi="Courier New" w:hint="default"/>
      </w:rPr>
    </w:lvl>
    <w:lvl w:ilvl="3">
      <w:start w:val="1"/>
      <w:numFmt w:val="bullet"/>
      <w:lvlText w:val="·"/>
      <w:lvlJc w:val="left"/>
      <w:pPr>
        <w:tabs>
          <w:tab w:val="num" w:pos="3220"/>
        </w:tabs>
        <w:ind w:left="1361" w:hanging="340"/>
      </w:pPr>
      <w:rPr>
        <w:rFonts w:ascii="Arial" w:hAnsi="Arial" w:hint="default"/>
      </w:rPr>
    </w:lvl>
    <w:lvl w:ilvl="4">
      <w:start w:val="1"/>
      <w:numFmt w:val="bullet"/>
      <w:lvlText w:val="o"/>
      <w:lvlJc w:val="left"/>
      <w:pPr>
        <w:tabs>
          <w:tab w:val="num" w:pos="3940"/>
        </w:tabs>
        <w:ind w:left="3941" w:hanging="361"/>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092D21FD"/>
    <w:multiLevelType w:val="hybridMultilevel"/>
    <w:tmpl w:val="4904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647679"/>
    <w:multiLevelType w:val="hybridMultilevel"/>
    <w:tmpl w:val="A54256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E30C06"/>
    <w:multiLevelType w:val="hybridMultilevel"/>
    <w:tmpl w:val="D39A6BDA"/>
    <w:lvl w:ilvl="0" w:tplc="0C090001">
      <w:start w:val="1"/>
      <w:numFmt w:val="bullet"/>
      <w:lvlText w:val=""/>
      <w:lvlJc w:val="left"/>
      <w:pPr>
        <w:ind w:left="720" w:hanging="360"/>
      </w:pPr>
      <w:rPr>
        <w:rFonts w:ascii="Symbol" w:hAnsi="Symbol" w:hint="default"/>
        <w:b w:val="0"/>
        <w:bCs w:val="0"/>
        <w:i w:val="0"/>
        <w:iCs w:val="0"/>
        <w:w w:val="98"/>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394703"/>
    <w:multiLevelType w:val="hybridMultilevel"/>
    <w:tmpl w:val="1786DD98"/>
    <w:lvl w:ilvl="0" w:tplc="7D6618EE">
      <w:numFmt w:val="bullet"/>
      <w:lvlText w:val="–"/>
      <w:lvlJc w:val="left"/>
      <w:pPr>
        <w:ind w:left="1800" w:hanging="360"/>
      </w:pPr>
      <w:rPr>
        <w:rFonts w:ascii="Calibri" w:eastAsia="Calibri" w:hAnsi="Calibri" w:cs="Calibri" w:hint="default"/>
        <w:b w:val="0"/>
        <w:bCs w:val="0"/>
        <w:i w:val="0"/>
        <w:iCs w:val="0"/>
        <w:w w:val="98"/>
        <w:sz w:val="24"/>
        <w:szCs w:val="24"/>
        <w:lang w:val="en-US" w:eastAsia="en-US" w:bidi="ar-SA"/>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2265318D"/>
    <w:multiLevelType w:val="multilevel"/>
    <w:tmpl w:val="49384896"/>
    <w:lvl w:ilvl="0">
      <w:start w:val="1"/>
      <w:numFmt w:val="decimal"/>
      <w:pStyle w:val="ListParagraph"/>
      <w:lvlText w:val="%1."/>
      <w:lvlJc w:val="left"/>
      <w:pPr>
        <w:ind w:left="717"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947139"/>
    <w:multiLevelType w:val="hybridMultilevel"/>
    <w:tmpl w:val="D5360E14"/>
    <w:lvl w:ilvl="0" w:tplc="7D6618EE">
      <w:numFmt w:val="bullet"/>
      <w:lvlText w:val="–"/>
      <w:lvlJc w:val="left"/>
      <w:pPr>
        <w:ind w:left="1080" w:hanging="360"/>
      </w:pPr>
      <w:rPr>
        <w:rFonts w:ascii="Calibri" w:eastAsia="Calibri" w:hAnsi="Calibri" w:cs="Calibri" w:hint="default"/>
        <w:b w:val="0"/>
        <w:bCs w:val="0"/>
        <w:i w:val="0"/>
        <w:iCs w:val="0"/>
        <w:w w:val="98"/>
        <w:sz w:val="24"/>
        <w:szCs w:val="24"/>
        <w:lang w:val="en-US" w:eastAsia="en-US" w:bidi="ar-SA"/>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97A73C2"/>
    <w:multiLevelType w:val="hybridMultilevel"/>
    <w:tmpl w:val="5D0AD024"/>
    <w:lvl w:ilvl="0" w:tplc="0C090001">
      <w:start w:val="1"/>
      <w:numFmt w:val="bullet"/>
      <w:lvlText w:val=""/>
      <w:lvlJc w:val="left"/>
      <w:pPr>
        <w:ind w:left="1080" w:hanging="360"/>
      </w:pPr>
      <w:rPr>
        <w:rFonts w:ascii="Symbol" w:hAnsi="Symbol" w:hint="default"/>
        <w:b w:val="0"/>
        <w:bCs w:val="0"/>
        <w:i w:val="0"/>
        <w:iCs w:val="0"/>
        <w:w w:val="100"/>
        <w:sz w:val="24"/>
        <w:szCs w:val="24"/>
        <w:lang w:val="en-AU" w:eastAsia="en-US" w:bidi="ar-SA"/>
      </w:rPr>
    </w:lvl>
    <w:lvl w:ilvl="1" w:tplc="0C090003" w:tentative="1">
      <w:start w:val="1"/>
      <w:numFmt w:val="bullet"/>
      <w:lvlText w:val="o"/>
      <w:lvlJc w:val="left"/>
      <w:pPr>
        <w:ind w:left="940" w:hanging="360"/>
      </w:pPr>
      <w:rPr>
        <w:rFonts w:ascii="Courier New" w:hAnsi="Courier New" w:cs="Courier New" w:hint="default"/>
      </w:rPr>
    </w:lvl>
    <w:lvl w:ilvl="2" w:tplc="0C090005" w:tentative="1">
      <w:start w:val="1"/>
      <w:numFmt w:val="bullet"/>
      <w:lvlText w:val=""/>
      <w:lvlJc w:val="left"/>
      <w:pPr>
        <w:ind w:left="1660" w:hanging="360"/>
      </w:pPr>
      <w:rPr>
        <w:rFonts w:ascii="Wingdings" w:hAnsi="Wingdings" w:hint="default"/>
      </w:rPr>
    </w:lvl>
    <w:lvl w:ilvl="3" w:tplc="0C090001" w:tentative="1">
      <w:start w:val="1"/>
      <w:numFmt w:val="bullet"/>
      <w:lvlText w:val=""/>
      <w:lvlJc w:val="left"/>
      <w:pPr>
        <w:ind w:left="2380" w:hanging="360"/>
      </w:pPr>
      <w:rPr>
        <w:rFonts w:ascii="Symbol" w:hAnsi="Symbol" w:hint="default"/>
      </w:rPr>
    </w:lvl>
    <w:lvl w:ilvl="4" w:tplc="0C090003" w:tentative="1">
      <w:start w:val="1"/>
      <w:numFmt w:val="bullet"/>
      <w:lvlText w:val="o"/>
      <w:lvlJc w:val="left"/>
      <w:pPr>
        <w:ind w:left="3100" w:hanging="360"/>
      </w:pPr>
      <w:rPr>
        <w:rFonts w:ascii="Courier New" w:hAnsi="Courier New" w:cs="Courier New" w:hint="default"/>
      </w:rPr>
    </w:lvl>
    <w:lvl w:ilvl="5" w:tplc="0C090005" w:tentative="1">
      <w:start w:val="1"/>
      <w:numFmt w:val="bullet"/>
      <w:lvlText w:val=""/>
      <w:lvlJc w:val="left"/>
      <w:pPr>
        <w:ind w:left="3820" w:hanging="360"/>
      </w:pPr>
      <w:rPr>
        <w:rFonts w:ascii="Wingdings" w:hAnsi="Wingdings" w:hint="default"/>
      </w:rPr>
    </w:lvl>
    <w:lvl w:ilvl="6" w:tplc="0C090001" w:tentative="1">
      <w:start w:val="1"/>
      <w:numFmt w:val="bullet"/>
      <w:lvlText w:val=""/>
      <w:lvlJc w:val="left"/>
      <w:pPr>
        <w:ind w:left="4540" w:hanging="360"/>
      </w:pPr>
      <w:rPr>
        <w:rFonts w:ascii="Symbol" w:hAnsi="Symbol" w:hint="default"/>
      </w:rPr>
    </w:lvl>
    <w:lvl w:ilvl="7" w:tplc="0C090003" w:tentative="1">
      <w:start w:val="1"/>
      <w:numFmt w:val="bullet"/>
      <w:lvlText w:val="o"/>
      <w:lvlJc w:val="left"/>
      <w:pPr>
        <w:ind w:left="5260" w:hanging="360"/>
      </w:pPr>
      <w:rPr>
        <w:rFonts w:ascii="Courier New" w:hAnsi="Courier New" w:cs="Courier New" w:hint="default"/>
      </w:rPr>
    </w:lvl>
    <w:lvl w:ilvl="8" w:tplc="0C090005" w:tentative="1">
      <w:start w:val="1"/>
      <w:numFmt w:val="bullet"/>
      <w:lvlText w:val=""/>
      <w:lvlJc w:val="left"/>
      <w:pPr>
        <w:ind w:left="5980" w:hanging="360"/>
      </w:pPr>
      <w:rPr>
        <w:rFonts w:ascii="Wingdings" w:hAnsi="Wingdings" w:hint="default"/>
      </w:rPr>
    </w:lvl>
  </w:abstractNum>
  <w:abstractNum w:abstractNumId="9" w15:restartNumberingAfterBreak="0">
    <w:nsid w:val="31750699"/>
    <w:multiLevelType w:val="multilevel"/>
    <w:tmpl w:val="3C8C1CB8"/>
    <w:lvl w:ilvl="0">
      <w:start w:val="1"/>
      <w:numFmt w:val="bullet"/>
      <w:pStyle w:val="Bullet1"/>
      <w:lvlText w:val=""/>
      <w:lvlJc w:val="left"/>
      <w:pPr>
        <w:tabs>
          <w:tab w:val="num" w:pos="680"/>
        </w:tabs>
        <w:ind w:left="340" w:hanging="340"/>
      </w:pPr>
      <w:rPr>
        <w:rFonts w:ascii="Symbol" w:hAnsi="Symbol" w:hint="default"/>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ascii="Arial" w:hAnsi="Arial" w:hint="default"/>
      </w:rPr>
    </w:lvl>
    <w:lvl w:ilvl="2">
      <w:start w:val="1"/>
      <w:numFmt w:val="bullet"/>
      <w:lvlText w:val="o"/>
      <w:lvlJc w:val="left"/>
      <w:pPr>
        <w:tabs>
          <w:tab w:val="num" w:pos="3969"/>
        </w:tabs>
        <w:ind w:left="1021" w:hanging="341"/>
      </w:pPr>
      <w:rPr>
        <w:rFonts w:ascii="Courier New" w:hAnsi="Courier New" w:hint="default"/>
      </w:rPr>
    </w:lvl>
    <w:lvl w:ilvl="3">
      <w:start w:val="1"/>
      <w:numFmt w:val="bullet"/>
      <w:lvlText w:val="·"/>
      <w:lvlJc w:val="left"/>
      <w:pPr>
        <w:tabs>
          <w:tab w:val="num" w:pos="3220"/>
        </w:tabs>
        <w:ind w:left="1361" w:hanging="340"/>
      </w:pPr>
      <w:rPr>
        <w:rFonts w:ascii="Arial" w:hAnsi="Arial" w:hint="default"/>
      </w:rPr>
    </w:lvl>
    <w:lvl w:ilvl="4">
      <w:start w:val="1"/>
      <w:numFmt w:val="bullet"/>
      <w:lvlText w:val="o"/>
      <w:lvlJc w:val="left"/>
      <w:pPr>
        <w:tabs>
          <w:tab w:val="num" w:pos="3940"/>
        </w:tabs>
        <w:ind w:left="3941" w:hanging="361"/>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0" w15:restartNumberingAfterBreak="0">
    <w:nsid w:val="333B2AC5"/>
    <w:multiLevelType w:val="hybridMultilevel"/>
    <w:tmpl w:val="05D87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CB08B2"/>
    <w:multiLevelType w:val="hybridMultilevel"/>
    <w:tmpl w:val="F6EAF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413F27"/>
    <w:multiLevelType w:val="hybridMultilevel"/>
    <w:tmpl w:val="2820C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421656"/>
    <w:multiLevelType w:val="multilevel"/>
    <w:tmpl w:val="317260B2"/>
    <w:lvl w:ilvl="0">
      <w:start w:val="1"/>
      <w:numFmt w:val="bullet"/>
      <w:lvlText w:val=""/>
      <w:lvlJc w:val="left"/>
      <w:pPr>
        <w:tabs>
          <w:tab w:val="num" w:pos="680"/>
        </w:tabs>
        <w:ind w:left="340" w:hanging="340"/>
      </w:pPr>
      <w:rPr>
        <w:rFonts w:ascii="Symbol" w:hAnsi="Symbol" w:hint="default"/>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ascii="Walbaum Display Light" w:hAnsi="Walbaum Display Light" w:hint="default"/>
      </w:rPr>
    </w:lvl>
    <w:lvl w:ilvl="2">
      <w:start w:val="1"/>
      <w:numFmt w:val="bullet"/>
      <w:lvlText w:val="̶"/>
      <w:lvlJc w:val="left"/>
      <w:pPr>
        <w:tabs>
          <w:tab w:val="num" w:pos="3969"/>
        </w:tabs>
        <w:ind w:left="1021" w:hanging="341"/>
      </w:pPr>
      <w:rPr>
        <w:rFonts w:ascii="Walbaum Display Light" w:hAnsi="Walbaum Display Light" w:hint="default"/>
      </w:rPr>
    </w:lvl>
    <w:lvl w:ilvl="3">
      <w:start w:val="1"/>
      <w:numFmt w:val="bullet"/>
      <w:lvlText w:val="·"/>
      <w:lvlJc w:val="left"/>
      <w:pPr>
        <w:tabs>
          <w:tab w:val="num" w:pos="3220"/>
        </w:tabs>
        <w:ind w:left="1361" w:hanging="340"/>
      </w:pPr>
      <w:rPr>
        <w:rFonts w:ascii="Arial" w:hAnsi="Arial" w:hint="default"/>
      </w:rPr>
    </w:lvl>
    <w:lvl w:ilvl="4">
      <w:start w:val="1"/>
      <w:numFmt w:val="bullet"/>
      <w:lvlText w:val="o"/>
      <w:lvlJc w:val="left"/>
      <w:pPr>
        <w:tabs>
          <w:tab w:val="num" w:pos="3940"/>
        </w:tabs>
        <w:ind w:left="3941" w:hanging="361"/>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4" w15:restartNumberingAfterBreak="0">
    <w:nsid w:val="4C786937"/>
    <w:multiLevelType w:val="hybridMultilevel"/>
    <w:tmpl w:val="7D2208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6B453B7"/>
    <w:multiLevelType w:val="hybridMultilevel"/>
    <w:tmpl w:val="A3965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88A462D"/>
    <w:multiLevelType w:val="hybridMultilevel"/>
    <w:tmpl w:val="EA94B800"/>
    <w:lvl w:ilvl="0" w:tplc="7D6618EE">
      <w:numFmt w:val="bullet"/>
      <w:lvlText w:val="–"/>
      <w:lvlJc w:val="left"/>
      <w:pPr>
        <w:ind w:left="720" w:hanging="360"/>
      </w:pPr>
      <w:rPr>
        <w:rFonts w:ascii="Calibri" w:eastAsia="Calibri" w:hAnsi="Calibri" w:cs="Calibri" w:hint="default"/>
        <w:b w:val="0"/>
        <w:bCs w:val="0"/>
        <w:i w:val="0"/>
        <w:iCs w:val="0"/>
        <w:w w:val="98"/>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F2929C9"/>
    <w:multiLevelType w:val="hybridMultilevel"/>
    <w:tmpl w:val="A11075F2"/>
    <w:lvl w:ilvl="0" w:tplc="5866D5E2">
      <w:numFmt w:val="bullet"/>
      <w:lvlText w:val=""/>
      <w:lvlJc w:val="left"/>
      <w:pPr>
        <w:ind w:left="860" w:hanging="360"/>
      </w:pPr>
      <w:rPr>
        <w:rFonts w:ascii="Symbol" w:eastAsia="Symbol" w:hAnsi="Symbol" w:cs="Symbol" w:hint="default"/>
        <w:w w:val="100"/>
        <w:lang w:val="en-AU" w:eastAsia="en-US" w:bidi="ar-SA"/>
      </w:rPr>
    </w:lvl>
    <w:lvl w:ilvl="1" w:tplc="F488BC68">
      <w:numFmt w:val="bullet"/>
      <w:lvlText w:val="o"/>
      <w:lvlJc w:val="left"/>
      <w:pPr>
        <w:ind w:left="1580" w:hanging="360"/>
      </w:pPr>
      <w:rPr>
        <w:rFonts w:ascii="Courier New" w:eastAsia="Courier New" w:hAnsi="Courier New" w:cs="Courier New" w:hint="default"/>
        <w:b w:val="0"/>
        <w:bCs w:val="0"/>
        <w:i w:val="0"/>
        <w:iCs w:val="0"/>
        <w:w w:val="100"/>
        <w:sz w:val="24"/>
        <w:szCs w:val="24"/>
        <w:lang w:val="en-AU" w:eastAsia="en-US" w:bidi="ar-SA"/>
      </w:rPr>
    </w:lvl>
    <w:lvl w:ilvl="2" w:tplc="735028EE">
      <w:numFmt w:val="bullet"/>
      <w:lvlText w:val="•"/>
      <w:lvlJc w:val="left"/>
      <w:pPr>
        <w:ind w:left="2465" w:hanging="360"/>
      </w:pPr>
      <w:rPr>
        <w:rFonts w:hint="default"/>
        <w:lang w:val="en-AU" w:eastAsia="en-US" w:bidi="ar-SA"/>
      </w:rPr>
    </w:lvl>
    <w:lvl w:ilvl="3" w:tplc="B4525518">
      <w:numFmt w:val="bullet"/>
      <w:lvlText w:val="•"/>
      <w:lvlJc w:val="left"/>
      <w:pPr>
        <w:ind w:left="3350" w:hanging="360"/>
      </w:pPr>
      <w:rPr>
        <w:rFonts w:hint="default"/>
        <w:lang w:val="en-AU" w:eastAsia="en-US" w:bidi="ar-SA"/>
      </w:rPr>
    </w:lvl>
    <w:lvl w:ilvl="4" w:tplc="DD0EE896">
      <w:numFmt w:val="bullet"/>
      <w:lvlText w:val="•"/>
      <w:lvlJc w:val="left"/>
      <w:pPr>
        <w:ind w:left="4235" w:hanging="360"/>
      </w:pPr>
      <w:rPr>
        <w:rFonts w:hint="default"/>
        <w:lang w:val="en-AU" w:eastAsia="en-US" w:bidi="ar-SA"/>
      </w:rPr>
    </w:lvl>
    <w:lvl w:ilvl="5" w:tplc="6ED66CA6">
      <w:numFmt w:val="bullet"/>
      <w:lvlText w:val="•"/>
      <w:lvlJc w:val="left"/>
      <w:pPr>
        <w:ind w:left="5120" w:hanging="360"/>
      </w:pPr>
      <w:rPr>
        <w:rFonts w:hint="default"/>
        <w:lang w:val="en-AU" w:eastAsia="en-US" w:bidi="ar-SA"/>
      </w:rPr>
    </w:lvl>
    <w:lvl w:ilvl="6" w:tplc="820EB772">
      <w:numFmt w:val="bullet"/>
      <w:lvlText w:val="•"/>
      <w:lvlJc w:val="left"/>
      <w:pPr>
        <w:ind w:left="6005" w:hanging="360"/>
      </w:pPr>
      <w:rPr>
        <w:rFonts w:hint="default"/>
        <w:lang w:val="en-AU" w:eastAsia="en-US" w:bidi="ar-SA"/>
      </w:rPr>
    </w:lvl>
    <w:lvl w:ilvl="7" w:tplc="07DCF470">
      <w:numFmt w:val="bullet"/>
      <w:lvlText w:val="•"/>
      <w:lvlJc w:val="left"/>
      <w:pPr>
        <w:ind w:left="6890" w:hanging="360"/>
      </w:pPr>
      <w:rPr>
        <w:rFonts w:hint="default"/>
        <w:lang w:val="en-AU" w:eastAsia="en-US" w:bidi="ar-SA"/>
      </w:rPr>
    </w:lvl>
    <w:lvl w:ilvl="8" w:tplc="36920912">
      <w:numFmt w:val="bullet"/>
      <w:lvlText w:val="•"/>
      <w:lvlJc w:val="left"/>
      <w:pPr>
        <w:ind w:left="7776" w:hanging="360"/>
      </w:pPr>
      <w:rPr>
        <w:rFonts w:hint="default"/>
        <w:lang w:val="en-AU" w:eastAsia="en-US" w:bidi="ar-SA"/>
      </w:rPr>
    </w:lvl>
  </w:abstractNum>
  <w:num w:numId="1" w16cid:durableId="735861727">
    <w:abstractNumId w:val="17"/>
  </w:num>
  <w:num w:numId="2" w16cid:durableId="1708986940">
    <w:abstractNumId w:val="14"/>
  </w:num>
  <w:num w:numId="3" w16cid:durableId="1918516618">
    <w:abstractNumId w:val="3"/>
  </w:num>
  <w:num w:numId="4" w16cid:durableId="110367545">
    <w:abstractNumId w:val="2"/>
  </w:num>
  <w:num w:numId="5" w16cid:durableId="1307080505">
    <w:abstractNumId w:val="15"/>
  </w:num>
  <w:num w:numId="6" w16cid:durableId="163935548">
    <w:abstractNumId w:val="0"/>
  </w:num>
  <w:num w:numId="7" w16cid:durableId="1712999240">
    <w:abstractNumId w:val="8"/>
  </w:num>
  <w:num w:numId="8" w16cid:durableId="938491862">
    <w:abstractNumId w:val="5"/>
  </w:num>
  <w:num w:numId="9" w16cid:durableId="395904732">
    <w:abstractNumId w:val="16"/>
  </w:num>
  <w:num w:numId="10" w16cid:durableId="1887527964">
    <w:abstractNumId w:val="4"/>
  </w:num>
  <w:num w:numId="11" w16cid:durableId="1480073081">
    <w:abstractNumId w:val="9"/>
  </w:num>
  <w:num w:numId="12" w16cid:durableId="411976512">
    <w:abstractNumId w:val="10"/>
  </w:num>
  <w:num w:numId="13" w16cid:durableId="1368406589">
    <w:abstractNumId w:val="7"/>
  </w:num>
  <w:num w:numId="14" w16cid:durableId="1802532897">
    <w:abstractNumId w:val="12"/>
  </w:num>
  <w:num w:numId="15" w16cid:durableId="797995922">
    <w:abstractNumId w:val="11"/>
  </w:num>
  <w:num w:numId="16" w16cid:durableId="134690883">
    <w:abstractNumId w:val="6"/>
  </w:num>
  <w:num w:numId="17" w16cid:durableId="1748502487">
    <w:abstractNumId w:val="1"/>
  </w:num>
  <w:num w:numId="18" w16cid:durableId="16682914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25"/>
    <w:rsid w:val="00024328"/>
    <w:rsid w:val="00050F5C"/>
    <w:rsid w:val="000532B3"/>
    <w:rsid w:val="00066A9A"/>
    <w:rsid w:val="000879A1"/>
    <w:rsid w:val="00087A96"/>
    <w:rsid w:val="00091248"/>
    <w:rsid w:val="00092003"/>
    <w:rsid w:val="0009487B"/>
    <w:rsid w:val="00094F4B"/>
    <w:rsid w:val="000A2541"/>
    <w:rsid w:val="000B12FD"/>
    <w:rsid w:val="000B5D70"/>
    <w:rsid w:val="000E0B93"/>
    <w:rsid w:val="000F2E59"/>
    <w:rsid w:val="00102D4C"/>
    <w:rsid w:val="0011004F"/>
    <w:rsid w:val="0011527F"/>
    <w:rsid w:val="00124A8C"/>
    <w:rsid w:val="00132049"/>
    <w:rsid w:val="00137C6D"/>
    <w:rsid w:val="0019027A"/>
    <w:rsid w:val="001A4D11"/>
    <w:rsid w:val="001A5019"/>
    <w:rsid w:val="001B2A91"/>
    <w:rsid w:val="001C7016"/>
    <w:rsid w:val="001F25C0"/>
    <w:rsid w:val="001F642F"/>
    <w:rsid w:val="00201F10"/>
    <w:rsid w:val="00213EAB"/>
    <w:rsid w:val="00214040"/>
    <w:rsid w:val="00214E66"/>
    <w:rsid w:val="00215144"/>
    <w:rsid w:val="0021738D"/>
    <w:rsid w:val="00223B61"/>
    <w:rsid w:val="00225670"/>
    <w:rsid w:val="00243AFB"/>
    <w:rsid w:val="00245BA8"/>
    <w:rsid w:val="00250236"/>
    <w:rsid w:val="00256CE6"/>
    <w:rsid w:val="0025759F"/>
    <w:rsid w:val="002766F7"/>
    <w:rsid w:val="002808D7"/>
    <w:rsid w:val="002A2D58"/>
    <w:rsid w:val="002B0512"/>
    <w:rsid w:val="002B680F"/>
    <w:rsid w:val="002D2FB5"/>
    <w:rsid w:val="002E2557"/>
    <w:rsid w:val="002E63EB"/>
    <w:rsid w:val="00323AD9"/>
    <w:rsid w:val="00330698"/>
    <w:rsid w:val="0037106C"/>
    <w:rsid w:val="00371A5F"/>
    <w:rsid w:val="00374635"/>
    <w:rsid w:val="003977FF"/>
    <w:rsid w:val="00397B56"/>
    <w:rsid w:val="003B1280"/>
    <w:rsid w:val="003C517E"/>
    <w:rsid w:val="003D0996"/>
    <w:rsid w:val="003D43DE"/>
    <w:rsid w:val="003E7B59"/>
    <w:rsid w:val="003F6829"/>
    <w:rsid w:val="004028CE"/>
    <w:rsid w:val="00405C7F"/>
    <w:rsid w:val="00415291"/>
    <w:rsid w:val="00420144"/>
    <w:rsid w:val="00457290"/>
    <w:rsid w:val="00460E87"/>
    <w:rsid w:val="004652A1"/>
    <w:rsid w:val="004735D1"/>
    <w:rsid w:val="00476C5B"/>
    <w:rsid w:val="004822D3"/>
    <w:rsid w:val="00486D83"/>
    <w:rsid w:val="00497F51"/>
    <w:rsid w:val="00500D77"/>
    <w:rsid w:val="00505F5A"/>
    <w:rsid w:val="00510261"/>
    <w:rsid w:val="005210F6"/>
    <w:rsid w:val="00531350"/>
    <w:rsid w:val="00532DA4"/>
    <w:rsid w:val="00561CA7"/>
    <w:rsid w:val="00581CEA"/>
    <w:rsid w:val="00583318"/>
    <w:rsid w:val="00592E82"/>
    <w:rsid w:val="005A32A0"/>
    <w:rsid w:val="005A65E0"/>
    <w:rsid w:val="005A738F"/>
    <w:rsid w:val="005D2BAE"/>
    <w:rsid w:val="005E32E8"/>
    <w:rsid w:val="005F18DB"/>
    <w:rsid w:val="00616005"/>
    <w:rsid w:val="00616573"/>
    <w:rsid w:val="00626ECA"/>
    <w:rsid w:val="00632FF7"/>
    <w:rsid w:val="00641753"/>
    <w:rsid w:val="00645887"/>
    <w:rsid w:val="006466F6"/>
    <w:rsid w:val="006476DE"/>
    <w:rsid w:val="00673F2F"/>
    <w:rsid w:val="006A1501"/>
    <w:rsid w:val="006A5F3C"/>
    <w:rsid w:val="00721C97"/>
    <w:rsid w:val="00731EE4"/>
    <w:rsid w:val="00731FA8"/>
    <w:rsid w:val="0074258E"/>
    <w:rsid w:val="00746BF3"/>
    <w:rsid w:val="007514EB"/>
    <w:rsid w:val="00752193"/>
    <w:rsid w:val="00757F0B"/>
    <w:rsid w:val="00764590"/>
    <w:rsid w:val="007B1F31"/>
    <w:rsid w:val="007C5543"/>
    <w:rsid w:val="007D4D4E"/>
    <w:rsid w:val="007D6278"/>
    <w:rsid w:val="007F2E72"/>
    <w:rsid w:val="008063CF"/>
    <w:rsid w:val="00810873"/>
    <w:rsid w:val="008113A8"/>
    <w:rsid w:val="00812E7C"/>
    <w:rsid w:val="008203EA"/>
    <w:rsid w:val="00836EA3"/>
    <w:rsid w:val="00866FD1"/>
    <w:rsid w:val="008764CA"/>
    <w:rsid w:val="00894D30"/>
    <w:rsid w:val="008956EE"/>
    <w:rsid w:val="008B6717"/>
    <w:rsid w:val="008F540E"/>
    <w:rsid w:val="008F6541"/>
    <w:rsid w:val="008F7B81"/>
    <w:rsid w:val="00906DAC"/>
    <w:rsid w:val="009125EF"/>
    <w:rsid w:val="009300BE"/>
    <w:rsid w:val="009548D9"/>
    <w:rsid w:val="0097456E"/>
    <w:rsid w:val="00974BA9"/>
    <w:rsid w:val="00982092"/>
    <w:rsid w:val="00986657"/>
    <w:rsid w:val="009A49EF"/>
    <w:rsid w:val="009A6A35"/>
    <w:rsid w:val="009A7231"/>
    <w:rsid w:val="009B7AF7"/>
    <w:rsid w:val="009C0770"/>
    <w:rsid w:val="009C38B5"/>
    <w:rsid w:val="009E5D21"/>
    <w:rsid w:val="009E647D"/>
    <w:rsid w:val="009F644A"/>
    <w:rsid w:val="00A07CF0"/>
    <w:rsid w:val="00A60FB2"/>
    <w:rsid w:val="00A64F2F"/>
    <w:rsid w:val="00A9476F"/>
    <w:rsid w:val="00AA6FD8"/>
    <w:rsid w:val="00AB1252"/>
    <w:rsid w:val="00AB342F"/>
    <w:rsid w:val="00AB4DB1"/>
    <w:rsid w:val="00AD4EFE"/>
    <w:rsid w:val="00B010D0"/>
    <w:rsid w:val="00B027F8"/>
    <w:rsid w:val="00B1301B"/>
    <w:rsid w:val="00B22399"/>
    <w:rsid w:val="00B26D9E"/>
    <w:rsid w:val="00B34165"/>
    <w:rsid w:val="00B34F88"/>
    <w:rsid w:val="00B67E3A"/>
    <w:rsid w:val="00B71769"/>
    <w:rsid w:val="00B73F9F"/>
    <w:rsid w:val="00B91A49"/>
    <w:rsid w:val="00B94E76"/>
    <w:rsid w:val="00BA00E1"/>
    <w:rsid w:val="00BA779F"/>
    <w:rsid w:val="00BC710C"/>
    <w:rsid w:val="00BD4D1E"/>
    <w:rsid w:val="00BE4423"/>
    <w:rsid w:val="00BE5E37"/>
    <w:rsid w:val="00C560A4"/>
    <w:rsid w:val="00C56D7B"/>
    <w:rsid w:val="00C5727F"/>
    <w:rsid w:val="00C83692"/>
    <w:rsid w:val="00C94283"/>
    <w:rsid w:val="00CC16B4"/>
    <w:rsid w:val="00CC50D9"/>
    <w:rsid w:val="00CD3D78"/>
    <w:rsid w:val="00CE39FF"/>
    <w:rsid w:val="00CE4C92"/>
    <w:rsid w:val="00D01F2A"/>
    <w:rsid w:val="00D06325"/>
    <w:rsid w:val="00D06BFA"/>
    <w:rsid w:val="00D143FB"/>
    <w:rsid w:val="00D266A4"/>
    <w:rsid w:val="00D33288"/>
    <w:rsid w:val="00D33D21"/>
    <w:rsid w:val="00D360FA"/>
    <w:rsid w:val="00D42125"/>
    <w:rsid w:val="00D42552"/>
    <w:rsid w:val="00D46A50"/>
    <w:rsid w:val="00D67928"/>
    <w:rsid w:val="00D84D1A"/>
    <w:rsid w:val="00D913B2"/>
    <w:rsid w:val="00D9356B"/>
    <w:rsid w:val="00D976BC"/>
    <w:rsid w:val="00DA5048"/>
    <w:rsid w:val="00DA6BB7"/>
    <w:rsid w:val="00DC5D4D"/>
    <w:rsid w:val="00DD4813"/>
    <w:rsid w:val="00DF662A"/>
    <w:rsid w:val="00E13A06"/>
    <w:rsid w:val="00E20EE2"/>
    <w:rsid w:val="00E278FD"/>
    <w:rsid w:val="00E35C3F"/>
    <w:rsid w:val="00E36EAF"/>
    <w:rsid w:val="00E4278E"/>
    <w:rsid w:val="00E50351"/>
    <w:rsid w:val="00E50FF6"/>
    <w:rsid w:val="00E56464"/>
    <w:rsid w:val="00E6315F"/>
    <w:rsid w:val="00E72242"/>
    <w:rsid w:val="00E912E0"/>
    <w:rsid w:val="00E95DBE"/>
    <w:rsid w:val="00EA34B7"/>
    <w:rsid w:val="00EE2E49"/>
    <w:rsid w:val="00F0338F"/>
    <w:rsid w:val="00F126ED"/>
    <w:rsid w:val="00F27C3E"/>
    <w:rsid w:val="00F65B08"/>
    <w:rsid w:val="00F678D8"/>
    <w:rsid w:val="00F946FD"/>
    <w:rsid w:val="00F95C60"/>
    <w:rsid w:val="00FA30A0"/>
    <w:rsid w:val="00FD5FC8"/>
    <w:rsid w:val="00FE0A7F"/>
    <w:rsid w:val="1C787979"/>
    <w:rsid w:val="2378687B"/>
    <w:rsid w:val="26CF25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A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FC8"/>
    <w:pPr>
      <w:spacing w:before="120" w:after="120" w:line="264" w:lineRule="auto"/>
    </w:pPr>
    <w:rPr>
      <w:rFonts w:ascii="Calibri" w:eastAsia="Calibri" w:hAnsi="Calibri" w:cs="Calibri"/>
      <w:color w:val="2D3037"/>
      <w:lang w:val="en-AU"/>
    </w:rPr>
  </w:style>
  <w:style w:type="paragraph" w:styleId="Heading1">
    <w:name w:val="heading 1"/>
    <w:basedOn w:val="Normal"/>
    <w:uiPriority w:val="9"/>
    <w:qFormat/>
    <w:rsid w:val="00243AFB"/>
    <w:pPr>
      <w:pBdr>
        <w:bottom w:val="single" w:sz="18" w:space="1" w:color="170F39" w:themeColor="background2" w:themeShade="80"/>
      </w:pBdr>
      <w:spacing w:before="280"/>
      <w:outlineLvl w:val="0"/>
    </w:pPr>
    <w:rPr>
      <w:rFonts w:ascii="Cambria" w:eastAsia="Arial" w:hAnsi="Cambria" w:cs="Arial"/>
      <w:bCs/>
      <w:color w:val="170F39" w:themeColor="background2" w:themeShade="80"/>
      <w:sz w:val="40"/>
      <w:szCs w:val="32"/>
    </w:rPr>
  </w:style>
  <w:style w:type="paragraph" w:styleId="Heading2">
    <w:name w:val="heading 2"/>
    <w:uiPriority w:val="9"/>
    <w:unhideWhenUsed/>
    <w:qFormat/>
    <w:rsid w:val="00FD5FC8"/>
    <w:pPr>
      <w:spacing w:before="120" w:after="60"/>
      <w:outlineLvl w:val="1"/>
    </w:pPr>
    <w:rPr>
      <w:rFonts w:ascii="Calibri" w:eastAsiaTheme="majorEastAsia" w:hAnsi="Calibri" w:cstheme="majorBidi"/>
      <w:b/>
      <w:i/>
      <w:color w:val="292750" w:themeColor="accent1" w:themeShade="80"/>
      <w:sz w:val="28"/>
      <w:szCs w:val="24"/>
      <w:lang w:val="en-AU"/>
    </w:rPr>
  </w:style>
  <w:style w:type="paragraph" w:styleId="Heading3">
    <w:name w:val="heading 3"/>
    <w:basedOn w:val="Normal"/>
    <w:next w:val="Normal"/>
    <w:link w:val="Heading3Char"/>
    <w:uiPriority w:val="9"/>
    <w:unhideWhenUsed/>
    <w:qFormat/>
    <w:rsid w:val="00FD5FC8"/>
    <w:pPr>
      <w:keepNext/>
      <w:keepLines/>
      <w:spacing w:after="40"/>
      <w:outlineLvl w:val="2"/>
    </w:pPr>
    <w:rPr>
      <w:rFonts w:eastAsiaTheme="majorEastAsia" w:cstheme="majorBidi"/>
      <w:b/>
      <w:color w:val="292750" w:themeColor="accent1" w:themeShade="80"/>
      <w:sz w:val="24"/>
      <w:szCs w:val="24"/>
      <w:u w:val="single"/>
    </w:rPr>
  </w:style>
  <w:style w:type="paragraph" w:styleId="Heading4">
    <w:name w:val="heading 4"/>
    <w:basedOn w:val="Normal"/>
    <w:next w:val="Normal"/>
    <w:link w:val="Heading4Char"/>
    <w:uiPriority w:val="9"/>
    <w:unhideWhenUsed/>
    <w:qFormat/>
    <w:rsid w:val="00397B56"/>
    <w:pPr>
      <w:keepNext/>
      <w:keepLines/>
      <w:spacing w:before="40" w:after="0"/>
      <w:outlineLvl w:val="3"/>
    </w:pPr>
    <w:rPr>
      <w:rFonts w:eastAsiaTheme="majorEastAsia" w:cstheme="majorBidi"/>
      <w:i/>
      <w:iCs/>
      <w:color w:val="3E3A78" w:themeColor="accent1" w:themeShade="BF"/>
    </w:rPr>
  </w:style>
  <w:style w:type="paragraph" w:styleId="Heading5">
    <w:name w:val="heading 5"/>
    <w:basedOn w:val="Normal"/>
    <w:next w:val="Normal"/>
    <w:link w:val="Heading5Char"/>
    <w:uiPriority w:val="9"/>
    <w:semiHidden/>
    <w:unhideWhenUsed/>
    <w:qFormat/>
    <w:rsid w:val="00397B56"/>
    <w:pPr>
      <w:keepNext/>
      <w:keepLines/>
      <w:spacing w:before="40" w:after="0"/>
      <w:outlineLvl w:val="4"/>
    </w:pPr>
    <w:rPr>
      <w:rFonts w:asciiTheme="majorHAnsi" w:eastAsiaTheme="majorEastAsia" w:hAnsiTheme="majorHAnsi" w:cstheme="majorBidi"/>
      <w:color w:val="3E3A7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97B56"/>
    <w:rPr>
      <w:sz w:val="24"/>
      <w:szCs w:val="24"/>
    </w:rPr>
  </w:style>
  <w:style w:type="paragraph" w:styleId="Title">
    <w:name w:val="Title"/>
    <w:basedOn w:val="Normal"/>
    <w:uiPriority w:val="10"/>
    <w:qFormat/>
    <w:rsid w:val="002A2D58"/>
    <w:pPr>
      <w:pBdr>
        <w:bottom w:val="single" w:sz="24" w:space="1" w:color="auto"/>
      </w:pBdr>
      <w:spacing w:before="99"/>
      <w:outlineLvl w:val="0"/>
    </w:pPr>
    <w:rPr>
      <w:rFonts w:ascii="Dovetail MVB" w:eastAsia="Cambria" w:hAnsi="Dovetail MVB" w:cs="Cambria"/>
      <w:color w:val="auto"/>
      <w:sz w:val="96"/>
      <w:szCs w:val="44"/>
    </w:rPr>
  </w:style>
  <w:style w:type="paragraph" w:styleId="ListParagraph">
    <w:name w:val="List Paragraph"/>
    <w:basedOn w:val="Normal"/>
    <w:uiPriority w:val="1"/>
    <w:qFormat/>
    <w:rsid w:val="00497F51"/>
    <w:pPr>
      <w:numPr>
        <w:numId w:val="16"/>
      </w:numPr>
      <w:spacing w:before="23"/>
    </w:pPr>
    <w:rPr>
      <w:rFonts w:asciiTheme="minorHAnsi" w:hAnsiTheme="minorHAnsi"/>
      <w:szCs w:val="20"/>
    </w:rPr>
  </w:style>
  <w:style w:type="paragraph" w:customStyle="1" w:styleId="TableParagraph">
    <w:name w:val="Table Paragraph"/>
    <w:basedOn w:val="Normal"/>
    <w:uiPriority w:val="1"/>
    <w:qFormat/>
    <w:pPr>
      <w:ind w:left="108"/>
    </w:pPr>
  </w:style>
  <w:style w:type="character" w:customStyle="1" w:styleId="Heading3Char">
    <w:name w:val="Heading 3 Char"/>
    <w:basedOn w:val="DefaultParagraphFont"/>
    <w:link w:val="Heading3"/>
    <w:uiPriority w:val="9"/>
    <w:rsid w:val="00FD5FC8"/>
    <w:rPr>
      <w:rFonts w:ascii="Calibri" w:eastAsiaTheme="majorEastAsia" w:hAnsi="Calibri" w:cstheme="majorBidi"/>
      <w:b/>
      <w:color w:val="292750" w:themeColor="accent1" w:themeShade="80"/>
      <w:sz w:val="24"/>
      <w:szCs w:val="24"/>
      <w:u w:val="single"/>
      <w:lang w:val="en-AU"/>
    </w:rPr>
  </w:style>
  <w:style w:type="table" w:styleId="TableGrid">
    <w:name w:val="Table Grid"/>
    <w:basedOn w:val="TableNormal"/>
    <w:uiPriority w:val="39"/>
    <w:rsid w:val="000E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331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83318"/>
    <w:rPr>
      <w:rFonts w:ascii="Solitaire MVB Pro Sm Lt" w:eastAsia="Calibri" w:hAnsi="Solitaire MVB Pro Sm Lt" w:cs="Calibri"/>
      <w:lang w:val="en-AU"/>
    </w:rPr>
  </w:style>
  <w:style w:type="paragraph" w:styleId="Footer">
    <w:name w:val="footer"/>
    <w:basedOn w:val="Normal"/>
    <w:link w:val="FooterChar"/>
    <w:uiPriority w:val="99"/>
    <w:unhideWhenUsed/>
    <w:rsid w:val="0058331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83318"/>
    <w:rPr>
      <w:rFonts w:ascii="Solitaire MVB Pro Sm Lt" w:eastAsia="Calibri" w:hAnsi="Solitaire MVB Pro Sm Lt" w:cs="Calibri"/>
      <w:lang w:val="en-AU"/>
    </w:rPr>
  </w:style>
  <w:style w:type="character" w:customStyle="1" w:styleId="Heading4Char">
    <w:name w:val="Heading 4 Char"/>
    <w:basedOn w:val="DefaultParagraphFont"/>
    <w:link w:val="Heading4"/>
    <w:uiPriority w:val="9"/>
    <w:rsid w:val="00397B56"/>
    <w:rPr>
      <w:rFonts w:ascii="Calibri" w:eastAsiaTheme="majorEastAsia" w:hAnsi="Calibri" w:cstheme="majorBidi"/>
      <w:i/>
      <w:iCs/>
      <w:color w:val="3E3A78" w:themeColor="accent1" w:themeShade="BF"/>
      <w:lang w:val="en-AU"/>
    </w:rPr>
  </w:style>
  <w:style w:type="paragraph" w:styleId="TOCHeading">
    <w:name w:val="TOC Heading"/>
    <w:basedOn w:val="Heading1"/>
    <w:next w:val="Normal"/>
    <w:uiPriority w:val="39"/>
    <w:unhideWhenUsed/>
    <w:qFormat/>
    <w:rsid w:val="00BA00E1"/>
    <w:pPr>
      <w:keepNext/>
      <w:keepLines/>
      <w:widowControl/>
      <w:pBdr>
        <w:bottom w:val="none" w:sz="0" w:space="0" w:color="auto"/>
      </w:pBdr>
      <w:autoSpaceDE/>
      <w:autoSpaceDN/>
      <w:spacing w:after="0" w:line="259" w:lineRule="auto"/>
      <w:outlineLvl w:val="1"/>
    </w:pPr>
    <w:rPr>
      <w:rFonts w:ascii="Calibri" w:eastAsiaTheme="majorEastAsia" w:hAnsi="Calibri" w:cstheme="majorBidi"/>
      <w:b/>
      <w:bCs w:val="0"/>
      <w:color w:val="3E3A78" w:themeColor="accent1" w:themeShade="BF"/>
      <w:sz w:val="28"/>
      <w:lang w:val="en-US"/>
    </w:rPr>
  </w:style>
  <w:style w:type="paragraph" w:styleId="TOC1">
    <w:name w:val="toc 1"/>
    <w:basedOn w:val="Normal"/>
    <w:next w:val="Normal"/>
    <w:autoRedefine/>
    <w:uiPriority w:val="39"/>
    <w:unhideWhenUsed/>
    <w:rsid w:val="00E95DBE"/>
    <w:pPr>
      <w:spacing w:after="100"/>
    </w:pPr>
  </w:style>
  <w:style w:type="paragraph" w:styleId="TOC2">
    <w:name w:val="toc 2"/>
    <w:basedOn w:val="Normal"/>
    <w:next w:val="Normal"/>
    <w:autoRedefine/>
    <w:uiPriority w:val="39"/>
    <w:unhideWhenUsed/>
    <w:rsid w:val="00E95DBE"/>
    <w:pPr>
      <w:spacing w:after="100"/>
      <w:ind w:left="220"/>
    </w:pPr>
  </w:style>
  <w:style w:type="paragraph" w:styleId="TOC3">
    <w:name w:val="toc 3"/>
    <w:basedOn w:val="Normal"/>
    <w:next w:val="Normal"/>
    <w:autoRedefine/>
    <w:uiPriority w:val="39"/>
    <w:unhideWhenUsed/>
    <w:rsid w:val="00E95DBE"/>
    <w:pPr>
      <w:spacing w:after="100"/>
      <w:ind w:left="440"/>
    </w:pPr>
  </w:style>
  <w:style w:type="character" w:styleId="Hyperlink">
    <w:name w:val="Hyperlink"/>
    <w:basedOn w:val="DefaultParagraphFont"/>
    <w:uiPriority w:val="99"/>
    <w:unhideWhenUsed/>
    <w:rsid w:val="00E95DBE"/>
    <w:rPr>
      <w:color w:val="0563C1" w:themeColor="hyperlink"/>
      <w:u w:val="single"/>
    </w:rPr>
  </w:style>
  <w:style w:type="character" w:styleId="PlaceholderText">
    <w:name w:val="Placeholder Text"/>
    <w:basedOn w:val="DefaultParagraphFont"/>
    <w:uiPriority w:val="99"/>
    <w:semiHidden/>
    <w:rsid w:val="00B1301B"/>
    <w:rPr>
      <w:color w:val="808080"/>
    </w:rPr>
  </w:style>
  <w:style w:type="character" w:customStyle="1" w:styleId="Heading5Char">
    <w:name w:val="Heading 5 Char"/>
    <w:basedOn w:val="DefaultParagraphFont"/>
    <w:link w:val="Heading5"/>
    <w:uiPriority w:val="9"/>
    <w:semiHidden/>
    <w:rsid w:val="00397B56"/>
    <w:rPr>
      <w:rFonts w:asciiTheme="majorHAnsi" w:eastAsiaTheme="majorEastAsia" w:hAnsiTheme="majorHAnsi" w:cstheme="majorBidi"/>
      <w:color w:val="3E3A78" w:themeColor="accent1" w:themeShade="BF"/>
      <w:lang w:val="en-AU"/>
    </w:rPr>
  </w:style>
  <w:style w:type="paragraph" w:customStyle="1" w:styleId="Bullet1">
    <w:name w:val="Bullet1"/>
    <w:basedOn w:val="Normal"/>
    <w:uiPriority w:val="4"/>
    <w:qFormat/>
    <w:rsid w:val="008B6717"/>
    <w:pPr>
      <w:widowControl/>
      <w:numPr>
        <w:numId w:val="11"/>
      </w:numPr>
      <w:suppressAutoHyphens/>
      <w:autoSpaceDE/>
      <w:autoSpaceDN/>
      <w:spacing w:line="280" w:lineRule="exact"/>
      <w:ind w:left="697"/>
    </w:pPr>
    <w:rPr>
      <w:rFonts w:eastAsia="Times New Roman" w:cs="Arial"/>
      <w:u w:color="000000"/>
      <w:lang w:eastAsia="en-AU"/>
    </w:rPr>
  </w:style>
  <w:style w:type="character" w:styleId="Strong">
    <w:name w:val="Strong"/>
    <w:uiPriority w:val="22"/>
    <w:qFormat/>
    <w:rsid w:val="005A738F"/>
    <w:rPr>
      <w:rFonts w:ascii="Times New Roman" w:hAnsi="Times New Roman"/>
      <w:b/>
      <w:bCs/>
      <w:i w:val="0"/>
      <w:color w:val="auto"/>
      <w:sz w:val="24"/>
    </w:rPr>
  </w:style>
  <w:style w:type="paragraph" w:customStyle="1" w:styleId="Default">
    <w:name w:val="Default"/>
    <w:rsid w:val="00F0338F"/>
    <w:pPr>
      <w:widowControl/>
      <w:adjustRightInd w:val="0"/>
    </w:pPr>
    <w:rPr>
      <w:rFonts w:ascii="Cambria" w:eastAsia="Calibri" w:hAnsi="Cambria" w:cs="Cambria"/>
      <w:color w:val="000000"/>
      <w:sz w:val="24"/>
      <w:szCs w:val="24"/>
      <w:lang w:val="en-AU"/>
    </w:rPr>
  </w:style>
  <w:style w:type="character" w:styleId="Emphasis">
    <w:name w:val="Emphasis"/>
    <w:uiPriority w:val="20"/>
    <w:qFormat/>
    <w:rsid w:val="00F0338F"/>
    <w:rPr>
      <w:rFonts w:ascii="Times New Roman" w:hAnsi="Times New Roman"/>
      <w:b w:val="0"/>
      <w:i/>
      <w:iCs/>
      <w:color w:val="auto"/>
      <w:sz w:val="24"/>
    </w:rPr>
  </w:style>
  <w:style w:type="paragraph" w:styleId="Subtitle">
    <w:name w:val="Subtitle"/>
    <w:basedOn w:val="Normal"/>
    <w:next w:val="Normal"/>
    <w:link w:val="SubtitleChar"/>
    <w:uiPriority w:val="11"/>
    <w:rsid w:val="00F0338F"/>
    <w:pPr>
      <w:widowControl/>
      <w:numPr>
        <w:ilvl w:val="1"/>
      </w:numPr>
      <w:autoSpaceDE/>
      <w:autoSpaceDN/>
      <w:spacing w:line="240" w:lineRule="auto"/>
      <w:ind w:left="57"/>
    </w:pPr>
    <w:rPr>
      <w:rFonts w:ascii="Arial" w:eastAsia="Times New Roman" w:hAnsi="Arial" w:cs="Arial"/>
      <w:iCs/>
      <w:color w:val="1F497D"/>
      <w:sz w:val="40"/>
      <w:szCs w:val="24"/>
      <w:lang w:bidi="hi-IN"/>
    </w:rPr>
  </w:style>
  <w:style w:type="character" w:customStyle="1" w:styleId="SubtitleChar">
    <w:name w:val="Subtitle Char"/>
    <w:basedOn w:val="DefaultParagraphFont"/>
    <w:link w:val="Subtitle"/>
    <w:uiPriority w:val="11"/>
    <w:rsid w:val="00F0338F"/>
    <w:rPr>
      <w:rFonts w:ascii="Arial" w:eastAsia="Times New Roman" w:hAnsi="Arial" w:cs="Arial"/>
      <w:iCs/>
      <w:color w:val="1F497D"/>
      <w:sz w:val="40"/>
      <w:szCs w:val="24"/>
      <w:lang w:val="en-AU" w:bidi="hi-IN"/>
    </w:rPr>
  </w:style>
  <w:style w:type="character" w:styleId="UnresolvedMention">
    <w:name w:val="Unresolved Mention"/>
    <w:basedOn w:val="DefaultParagraphFont"/>
    <w:uiPriority w:val="99"/>
    <w:semiHidden/>
    <w:unhideWhenUsed/>
    <w:rsid w:val="00F0338F"/>
    <w:rPr>
      <w:color w:val="605E5C"/>
      <w:shd w:val="clear" w:color="auto" w:fill="E1DFDD"/>
    </w:rPr>
  </w:style>
  <w:style w:type="paragraph" w:styleId="NoSpacing">
    <w:name w:val="No Spacing"/>
    <w:uiPriority w:val="1"/>
    <w:qFormat/>
    <w:rsid w:val="009B7AF7"/>
    <w:rPr>
      <w:rFonts w:ascii="Calibri" w:eastAsia="Calibri" w:hAnsi="Calibri" w:cs="Calibri"/>
      <w:color w:val="2D3037"/>
      <w:lang w:val="en-AU"/>
    </w:rPr>
  </w:style>
  <w:style w:type="character" w:styleId="CommentReference">
    <w:name w:val="annotation reference"/>
    <w:basedOn w:val="DefaultParagraphFont"/>
    <w:uiPriority w:val="99"/>
    <w:semiHidden/>
    <w:unhideWhenUsed/>
    <w:rsid w:val="00486D83"/>
    <w:rPr>
      <w:sz w:val="16"/>
      <w:szCs w:val="16"/>
    </w:rPr>
  </w:style>
  <w:style w:type="paragraph" w:styleId="CommentText">
    <w:name w:val="annotation text"/>
    <w:basedOn w:val="Normal"/>
    <w:link w:val="CommentTextChar"/>
    <w:uiPriority w:val="99"/>
    <w:unhideWhenUsed/>
    <w:rsid w:val="00486D83"/>
    <w:pPr>
      <w:spacing w:line="240" w:lineRule="auto"/>
    </w:pPr>
    <w:rPr>
      <w:sz w:val="20"/>
      <w:szCs w:val="20"/>
    </w:rPr>
  </w:style>
  <w:style w:type="character" w:customStyle="1" w:styleId="CommentTextChar">
    <w:name w:val="Comment Text Char"/>
    <w:basedOn w:val="DefaultParagraphFont"/>
    <w:link w:val="CommentText"/>
    <w:uiPriority w:val="99"/>
    <w:rsid w:val="00486D83"/>
    <w:rPr>
      <w:rFonts w:ascii="Calibri" w:eastAsia="Calibri" w:hAnsi="Calibri" w:cs="Calibri"/>
      <w:color w:val="2D3037"/>
      <w:sz w:val="20"/>
      <w:szCs w:val="20"/>
      <w:lang w:val="en-AU"/>
    </w:rPr>
  </w:style>
  <w:style w:type="paragraph" w:styleId="CommentSubject">
    <w:name w:val="annotation subject"/>
    <w:basedOn w:val="CommentText"/>
    <w:next w:val="CommentText"/>
    <w:link w:val="CommentSubjectChar"/>
    <w:uiPriority w:val="99"/>
    <w:semiHidden/>
    <w:unhideWhenUsed/>
    <w:rsid w:val="00486D83"/>
    <w:rPr>
      <w:b/>
      <w:bCs/>
    </w:rPr>
  </w:style>
  <w:style w:type="character" w:customStyle="1" w:styleId="CommentSubjectChar">
    <w:name w:val="Comment Subject Char"/>
    <w:basedOn w:val="CommentTextChar"/>
    <w:link w:val="CommentSubject"/>
    <w:uiPriority w:val="99"/>
    <w:semiHidden/>
    <w:rsid w:val="00486D83"/>
    <w:rPr>
      <w:rFonts w:ascii="Calibri" w:eastAsia="Calibri" w:hAnsi="Calibri" w:cs="Calibri"/>
      <w:b/>
      <w:bCs/>
      <w:color w:val="2D3037"/>
      <w:sz w:val="20"/>
      <w:szCs w:val="20"/>
      <w:lang w:val="en-AU"/>
    </w:rPr>
  </w:style>
  <w:style w:type="character" w:styleId="Mention">
    <w:name w:val="Mention"/>
    <w:basedOn w:val="DefaultParagraphFont"/>
    <w:uiPriority w:val="99"/>
    <w:unhideWhenUsed/>
    <w:rsid w:val="006A5F3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588296">
      <w:bodyDiv w:val="1"/>
      <w:marLeft w:val="0"/>
      <w:marRight w:val="0"/>
      <w:marTop w:val="0"/>
      <w:marBottom w:val="0"/>
      <w:divBdr>
        <w:top w:val="none" w:sz="0" w:space="0" w:color="auto"/>
        <w:left w:val="none" w:sz="0" w:space="0" w:color="auto"/>
        <w:bottom w:val="none" w:sz="0" w:space="0" w:color="auto"/>
        <w:right w:val="none" w:sz="0" w:space="0" w:color="auto"/>
      </w:divBdr>
    </w:div>
    <w:div w:id="788747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rc.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gov.au/funding-resear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261A1D0F514CDD85EA0055EAC14776"/>
        <w:category>
          <w:name w:val="General"/>
          <w:gallery w:val="placeholder"/>
        </w:category>
        <w:types>
          <w:type w:val="bbPlcHdr"/>
        </w:types>
        <w:behaviors>
          <w:behavior w:val="content"/>
        </w:behaviors>
        <w:guid w:val="{62567770-B156-4AB1-ABAF-E4E0B29379F0}"/>
      </w:docPartPr>
      <w:docPartBody>
        <w:p w:rsidR="0073236D" w:rsidRDefault="0073236D" w:rsidP="0073236D">
          <w:pPr>
            <w:pStyle w:val="93261A1D0F514CDD85EA0055EAC14776"/>
          </w:pPr>
          <w:r w:rsidRPr="00250236">
            <w:rPr>
              <w:rStyle w:val="PlaceholderText"/>
              <w:color w:val="FF0000"/>
            </w:rPr>
            <w:t>Click or tap to enter a date.</w:t>
          </w:r>
        </w:p>
      </w:docPartBody>
    </w:docPart>
    <w:docPart>
      <w:docPartPr>
        <w:name w:val="E85F8405D71044BEAFBFA8CFDA477800"/>
        <w:category>
          <w:name w:val="General"/>
          <w:gallery w:val="placeholder"/>
        </w:category>
        <w:types>
          <w:type w:val="bbPlcHdr"/>
        </w:types>
        <w:behaviors>
          <w:behavior w:val="content"/>
        </w:behaviors>
        <w:guid w:val="{42B5B3AD-DC7B-4416-9916-92D43CC08BCD}"/>
      </w:docPartPr>
      <w:docPartBody>
        <w:p w:rsidR="0073236D" w:rsidRDefault="0073236D" w:rsidP="0073236D">
          <w:pPr>
            <w:pStyle w:val="E85F8405D71044BEAFBFA8CFDA477800"/>
          </w:pPr>
          <w:r w:rsidRPr="00250236">
            <w:rPr>
              <w:rStyle w:val="PlaceholderText"/>
              <w:color w:val="FF000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altName w:val="Walbaum Display Light"/>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vetail MVB">
    <w:altName w:val="Cambria"/>
    <w:panose1 w:val="020A0503030406040203"/>
    <w:charset w:val="00"/>
    <w:family w:val="roman"/>
    <w:notTrueType/>
    <w:pitch w:val="variable"/>
    <w:sig w:usb0="00000007" w:usb1="00000001" w:usb2="00000000" w:usb3="00000000" w:csb0="00000093" w:csb1="00000000"/>
  </w:font>
  <w:font w:name="Solitaire MVB Pro Sm Lt">
    <w:panose1 w:val="020B0400040304060203"/>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6D"/>
    <w:rsid w:val="0073236D"/>
    <w:rsid w:val="00A81D5D"/>
    <w:rsid w:val="00FD6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90CC64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236D"/>
    <w:rPr>
      <w:color w:val="808080"/>
    </w:rPr>
  </w:style>
  <w:style w:type="paragraph" w:customStyle="1" w:styleId="3D8DE2FA19274B0A9D33DAB157C453DA">
    <w:name w:val="3D8DE2FA19274B0A9D33DAB157C453DA"/>
  </w:style>
  <w:style w:type="paragraph" w:customStyle="1" w:styleId="0B6079BA372646C191C9482ADED4B9C1">
    <w:name w:val="0B6079BA372646C191C9482ADED4B9C1"/>
  </w:style>
  <w:style w:type="paragraph" w:customStyle="1" w:styleId="93261A1D0F514CDD85EA0055EAC14776">
    <w:name w:val="93261A1D0F514CDD85EA0055EAC14776"/>
    <w:rsid w:val="0073236D"/>
  </w:style>
  <w:style w:type="paragraph" w:customStyle="1" w:styleId="E85F8405D71044BEAFBFA8CFDA477800">
    <w:name w:val="E85F8405D71044BEAFBFA8CFDA477800"/>
    <w:rsid w:val="007323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I 2024">
      <a:dk1>
        <a:sysClr val="windowText" lastClr="000000"/>
      </a:dk1>
      <a:lt1>
        <a:sysClr val="window" lastClr="FFFFFF"/>
      </a:lt1>
      <a:dk2>
        <a:srgbClr val="1A0E51"/>
      </a:dk2>
      <a:lt2>
        <a:srgbClr val="2F1E73"/>
      </a:lt2>
      <a:accent1>
        <a:srgbClr val="534EA1"/>
      </a:accent1>
      <a:accent2>
        <a:srgbClr val="8177B7"/>
      </a:accent2>
      <a:accent3>
        <a:srgbClr val="9E91C5"/>
      </a:accent3>
      <a:accent4>
        <a:srgbClr val="B9B0D7"/>
      </a:accent4>
      <a:accent5>
        <a:srgbClr val="B1921F"/>
      </a:accent5>
      <a:accent6>
        <a:srgbClr val="D2C66B"/>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Sof19</b:Tag>
    <b:SourceType>JournalArticle</b:SourceType>
    <b:Guid>{2D07C730-FB8D-426F-A220-59AF71E43205}</b:Guid>
    <b:Author>
      <b:Author>
        <b:NameList xmlns:msxsl="urn:schemas-microsoft-com:xslt" xmlns:b="http://schemas.openxmlformats.org/officeDocument/2006/bibliography">
          <b:Person>
            <b:Last>Sofya</b:Last>
            <b:First>Brown</b:First>
            <b:Middle/>
          </b:Person>
        </b:NameList>
      </b:Author>
    </b:Author>
    <b:Title>Why People use Lorem Ipsum to represent dummy text</b:Title>
    <b:JournalName>Journal of Education</b:JournalName>
    <b:City/>
    <b:Year>2019</b:Year>
    <b:Month/>
    <b:Day/>
    <b:Pages>11-16</b:Pages>
    <b:Publisher/>
    <b:Volume>1</b:Volume>
    <b:Issue>1</b:Issue>
    <b:ShortTitle/>
    <b:StandardNumber/>
    <b:Comments/>
    <b:Medium/>
    <b:YearAccessed>2021</b:YearAccessed>
    <b:MonthAccessed>9</b:MonthAccessed>
    <b:DayAccessed>28</b:DayAccessed>
    <b:URL>https://demo.openjournaltheme.com/index.php/joe/article/view/10</b:URL>
    <b:DOI/>
    <b:RefOrder>2</b:RefOrder>
  </b:Source>
</b:Sources>
</file>

<file path=customXml/itemProps1.xml><?xml version="1.0" encoding="utf-8"?>
<ds:datastoreItem xmlns:ds="http://schemas.openxmlformats.org/officeDocument/2006/customXml" ds:itemID="{40CE1E96-F350-4B6E-A6C1-9F63E445BD7B}">
  <ds:schemaRefs>
    <ds:schemaRef ds:uri="http://schemas.openxmlformats.org/officeDocument/2006/bibliography"/>
    <ds:schemaRef ds:uri="urn:schemas-microsoft-com:xsl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867</Words>
  <Characters>5757</Characters>
  <Application>Microsoft Office Word</Application>
  <DocSecurity>0</DocSecurity>
  <Lines>140</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2023-12-14T05:48:00Z</dcterms:created>
  <dcterms:modified xsi:type="dcterms:W3CDTF">2023-12-14T05:48:00Z</dcterms:modified>
</cp:coreProperties>
</file>