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000B12FD" w:rsidP="00F126ED" w:rsidRDefault="00636D70" w14:paraId="45A83488" w14:textId="6FCC81D7">
      <w:pPr>
        <w:pStyle w:val="BodyText"/>
        <w:spacing w:before="0" w:after="0" w:line="240" w:lineRule="auto"/>
        <w:rPr>
          <w:rFonts w:ascii="Cambria"/>
          <w:sz w:val="20"/>
        </w:rPr>
      </w:pPr>
      <w:r w:rsidRPr="00636D70">
        <w:rPr>
          <w:rFonts w:eastAsia="Cambria" w:cs="Cambria" w:asciiTheme="majorHAnsi" w:hAnsiTheme="majorHAnsi"/>
          <w:color w:val="auto"/>
          <w:sz w:val="44"/>
          <w:szCs w:val="44"/>
        </w:rPr>
        <w:t>Research Workforce Statement</w:t>
      </w:r>
    </w:p>
    <w:tbl>
      <w:tblPr>
        <w:tblStyle w:val="TableGrid"/>
        <w:tblW w:w="0" w:type="auto"/>
        <w:tblInd w:w="108" w:type="dxa"/>
        <w:tblLook w:val="04A0" w:firstRow="1" w:lastRow="0" w:firstColumn="1" w:lastColumn="0" w:noHBand="0" w:noVBand="1"/>
      </w:tblPr>
      <w:tblGrid>
        <w:gridCol w:w="1881"/>
        <w:gridCol w:w="3223"/>
        <w:gridCol w:w="1947"/>
        <w:gridCol w:w="2182"/>
      </w:tblGrid>
      <w:tr w:rsidR="000E0B93" w:rsidTr="009300BE" w14:paraId="3BB2B572" w14:textId="77777777">
        <w:tc>
          <w:tcPr>
            <w:tcW w:w="1881" w:type="dxa"/>
            <w:tcBorders>
              <w:top w:val="single" w:color="1A0D52" w:sz="12" w:space="0"/>
              <w:left w:val="single" w:color="1A0D52" w:sz="12" w:space="0"/>
              <w:bottom w:val="single" w:color="FFFFFF" w:themeColor="background1" w:sz="8" w:space="0"/>
              <w:right w:val="single" w:color="1A0D52" w:sz="12" w:space="0"/>
            </w:tcBorders>
            <w:shd w:val="clear" w:color="auto" w:fill="1A0D52"/>
          </w:tcPr>
          <w:p w:rsidRPr="00250236" w:rsidR="000E0B93" w:rsidP="00094F4B" w:rsidRDefault="000E0B93" w14:paraId="60F41A60" w14:textId="77777777">
            <w:pPr>
              <w:spacing w:before="60" w:after="60"/>
              <w:rPr>
                <w:color w:val="FFFFFF" w:themeColor="background1"/>
              </w:rPr>
            </w:pPr>
            <w:r w:rsidRPr="00250236">
              <w:rPr>
                <w:color w:val="FFFFFF" w:themeColor="background1"/>
              </w:rPr>
              <w:t xml:space="preserve">Policy Name: </w:t>
            </w:r>
          </w:p>
        </w:tc>
        <w:tc>
          <w:tcPr>
            <w:tcW w:w="7352" w:type="dxa"/>
            <w:gridSpan w:val="3"/>
            <w:tcBorders>
              <w:top w:val="single" w:color="1A0D52" w:sz="12" w:space="0"/>
              <w:left w:val="single" w:color="1A0D52" w:sz="12" w:space="0"/>
              <w:bottom w:val="single" w:color="1A0D52" w:sz="12" w:space="0"/>
              <w:right w:val="nil"/>
            </w:tcBorders>
          </w:tcPr>
          <w:p w:rsidRPr="00250236" w:rsidR="000E0B93" w:rsidP="00982092" w:rsidRDefault="00636D70" w14:paraId="0FA4ADF8" w14:textId="44DC81D1">
            <w:r w:rsidRPr="00636D70">
              <w:rPr>
                <w:rStyle w:val="Strong"/>
                <w:rFonts w:asciiTheme="minorHAnsi" w:hAnsiTheme="minorHAnsi"/>
                <w:b w:val="0"/>
                <w:bCs w:val="0"/>
                <w:sz w:val="22"/>
              </w:rPr>
              <w:t>Research Workforce Statement</w:t>
            </w:r>
          </w:p>
        </w:tc>
      </w:tr>
      <w:tr w:rsidR="00866FD1" w:rsidTr="009300BE" w14:paraId="402A2969" w14:textId="77777777">
        <w:tc>
          <w:tcPr>
            <w:tcW w:w="1881" w:type="dxa"/>
            <w:tcBorders>
              <w:top w:val="single" w:color="FFFFFF" w:themeColor="background1" w:sz="8" w:space="0"/>
              <w:left w:val="single" w:color="1A0D52" w:sz="12" w:space="0"/>
              <w:bottom w:val="single" w:color="FFFFFF" w:themeColor="background1" w:sz="8" w:space="0"/>
              <w:right w:val="single" w:color="1A0D52" w:sz="12" w:space="0"/>
            </w:tcBorders>
            <w:shd w:val="clear" w:color="auto" w:fill="1A0D52"/>
          </w:tcPr>
          <w:p w:rsidRPr="00250236" w:rsidR="00866FD1" w:rsidP="00094F4B" w:rsidRDefault="00866FD1" w14:paraId="51E7B2A6" w14:textId="77777777">
            <w:pPr>
              <w:spacing w:before="60" w:after="60"/>
              <w:rPr>
                <w:color w:val="FFFFFF" w:themeColor="background1"/>
              </w:rPr>
            </w:pPr>
            <w:r w:rsidRPr="00250236">
              <w:rPr>
                <w:color w:val="FFFFFF" w:themeColor="background1"/>
              </w:rPr>
              <w:t>Policy Owner:</w:t>
            </w:r>
          </w:p>
        </w:tc>
        <w:tc>
          <w:tcPr>
            <w:tcW w:w="7352" w:type="dxa"/>
            <w:gridSpan w:val="3"/>
            <w:tcBorders>
              <w:top w:val="single" w:color="1A0D52" w:sz="12" w:space="0"/>
              <w:left w:val="single" w:color="1A0D52" w:sz="12" w:space="0"/>
              <w:bottom w:val="single" w:color="1A0D52" w:sz="12" w:space="0"/>
              <w:right w:val="nil"/>
            </w:tcBorders>
          </w:tcPr>
          <w:p w:rsidRPr="00250236" w:rsidR="00866FD1" w:rsidP="009C0770" w:rsidRDefault="008203EA" w14:paraId="40BD7B26" w14:textId="422FCD46">
            <w:r>
              <w:t>Branch Manager, Research Evaluation and Policy</w:t>
            </w:r>
          </w:p>
        </w:tc>
      </w:tr>
      <w:tr w:rsidR="00601B47" w:rsidTr="009300BE" w14:paraId="7CCB4F46" w14:textId="77777777">
        <w:tc>
          <w:tcPr>
            <w:tcW w:w="1881" w:type="dxa"/>
            <w:tcBorders>
              <w:top w:val="single" w:color="FFFFFF" w:themeColor="background1" w:sz="8" w:space="0"/>
              <w:left w:val="single" w:color="1A0D52" w:sz="12" w:space="0"/>
              <w:bottom w:val="single" w:color="FFFFFF" w:themeColor="background1" w:sz="8" w:space="0"/>
              <w:right w:val="single" w:color="1A0D52" w:sz="12" w:space="0"/>
            </w:tcBorders>
            <w:shd w:val="clear" w:color="auto" w:fill="1A0D52"/>
          </w:tcPr>
          <w:p w:rsidRPr="00250236" w:rsidR="00601B47" w:rsidP="00601B47" w:rsidRDefault="00601B47" w14:paraId="2C837B5C" w14:textId="2AAF7F34">
            <w:pPr>
              <w:spacing w:before="60" w:after="60"/>
              <w:rPr>
                <w:color w:val="FFFFFF" w:themeColor="background1"/>
              </w:rPr>
            </w:pPr>
            <w:r w:rsidRPr="009E0F62">
              <w:t>21/07/2022</w:t>
            </w:r>
          </w:p>
        </w:tc>
        <w:tc>
          <w:tcPr>
            <w:tcW w:w="3223" w:type="dxa"/>
            <w:tcBorders>
              <w:top w:val="single" w:color="1A0D52" w:sz="12" w:space="0"/>
              <w:left w:val="single" w:color="1A0D52" w:sz="12" w:space="0"/>
              <w:bottom w:val="single" w:color="1A0D52" w:sz="12" w:space="0"/>
              <w:right w:val="single" w:color="1A0D52" w:sz="12" w:space="0"/>
            </w:tcBorders>
          </w:tcPr>
          <w:p w:rsidRPr="00250236" w:rsidR="00601B47" w:rsidP="00601B47" w:rsidRDefault="00601B47" w14:paraId="4B204692" w14:textId="55241E69">
            <w:r w:rsidRPr="009E0F62">
              <w:t>21/07/2022</w:t>
            </w:r>
          </w:p>
        </w:tc>
        <w:tc>
          <w:tcPr>
            <w:tcW w:w="1947" w:type="dxa"/>
            <w:tcBorders>
              <w:top w:val="single" w:color="FFFFFF" w:themeColor="background1" w:sz="8" w:space="0"/>
              <w:left w:val="single" w:color="1A0D52" w:sz="12" w:space="0"/>
              <w:bottom w:val="single" w:color="FFFFFF" w:themeColor="background1" w:sz="8" w:space="0"/>
              <w:right w:val="single" w:color="1A0D52" w:sz="12" w:space="0"/>
            </w:tcBorders>
            <w:shd w:val="clear" w:color="auto" w:fill="1A0D52"/>
          </w:tcPr>
          <w:p w:rsidRPr="00250236" w:rsidR="00601B47" w:rsidP="00601B47" w:rsidRDefault="00601B47" w14:paraId="30403A30" w14:textId="77777777">
            <w:pPr>
              <w:rPr>
                <w:color w:val="FFFFFF" w:themeColor="background1"/>
              </w:rPr>
            </w:pPr>
            <w:r w:rsidRPr="00250236">
              <w:rPr>
                <w:color w:val="FFFFFF" w:themeColor="background1"/>
              </w:rPr>
              <w:t>Version number:</w:t>
            </w:r>
          </w:p>
        </w:tc>
        <w:tc>
          <w:tcPr>
            <w:tcW w:w="2182" w:type="dxa"/>
            <w:tcBorders>
              <w:top w:val="single" w:color="1A0D52" w:sz="12" w:space="0"/>
              <w:left w:val="single" w:color="1A0D52" w:sz="12" w:space="0"/>
              <w:bottom w:val="single" w:color="1A0D52" w:sz="12" w:space="0"/>
              <w:right w:val="nil"/>
            </w:tcBorders>
          </w:tcPr>
          <w:p w:rsidRPr="00DC5D4D" w:rsidR="00601B47" w:rsidP="00601B47" w:rsidRDefault="00526CA8" w14:paraId="2B05138A" w14:textId="00050502">
            <w:r>
              <w:t>2.1</w:t>
            </w:r>
          </w:p>
        </w:tc>
      </w:tr>
      <w:tr w:rsidR="009300BE" w14:paraId="64FE4890" w14:textId="77777777">
        <w:tc>
          <w:tcPr>
            <w:tcW w:w="1881" w:type="dxa"/>
            <w:tcBorders>
              <w:top w:val="single" w:color="FFFFFF" w:themeColor="background1" w:sz="8" w:space="0"/>
              <w:left w:val="single" w:color="1A0D52" w:sz="12" w:space="0"/>
              <w:bottom w:val="single" w:color="1A0D52" w:sz="12" w:space="0"/>
              <w:right w:val="single" w:color="1A0D52" w:sz="12" w:space="0"/>
            </w:tcBorders>
            <w:shd w:val="clear" w:color="auto" w:fill="1A0D52"/>
          </w:tcPr>
          <w:p w:rsidRPr="00982092" w:rsidR="009300BE" w:rsidP="00094F4B" w:rsidRDefault="009300BE" w14:paraId="1EAD2ED6" w14:textId="77777777">
            <w:pPr>
              <w:spacing w:before="60" w:after="60"/>
              <w:rPr>
                <w:color w:val="FFFFFF" w:themeColor="background1"/>
              </w:rPr>
            </w:pPr>
            <w:r w:rsidRPr="00982092">
              <w:rPr>
                <w:color w:val="FFFFFF" w:themeColor="background1"/>
              </w:rPr>
              <w:t>Date for revision:</w:t>
            </w:r>
          </w:p>
        </w:tc>
        <w:tc>
          <w:tcPr>
            <w:tcW w:w="7352" w:type="dxa"/>
            <w:gridSpan w:val="3"/>
            <w:tcBorders>
              <w:top w:val="single" w:color="1A0D52" w:sz="12" w:space="0"/>
              <w:left w:val="single" w:color="1A0D52" w:sz="12" w:space="0"/>
              <w:bottom w:val="single" w:color="1A0D52" w:sz="12" w:space="0"/>
              <w:right w:val="single" w:color="1A0D52" w:sz="12" w:space="0"/>
            </w:tcBorders>
          </w:tcPr>
          <w:sdt>
            <w:sdtPr>
              <w:id w:val="-290600173"/>
              <w:placeholder>
                <w:docPart w:val="E85F8405D71044BEAFBFA8CFDA477800"/>
              </w:placeholder>
              <w:date w:fullDate="2024-07-21T00:00:00Z">
                <w:dateFormat w:val="d/MM/yyyy"/>
                <w:lid w:val="en-AU"/>
                <w:storeMappedDataAs w:val="dateTime"/>
                <w:calendar w:val="gregorian"/>
              </w:date>
            </w:sdtPr>
            <w:sdtContent>
              <w:p w:rsidRPr="00982092" w:rsidR="009300BE" w:rsidP="009C0770" w:rsidRDefault="00526CA8" w14:paraId="74EA8BB3" w14:textId="29ACEDB6">
                <w:r w:rsidRPr="00526CA8">
                  <w:t>21/07/2024</w:t>
                </w:r>
              </w:p>
            </w:sdtContent>
          </w:sdt>
        </w:tc>
      </w:tr>
    </w:tbl>
    <w:p w:rsidRPr="003F6829" w:rsidR="00531350" w:rsidRDefault="00531350" w14:paraId="0F3AB85D" w14:textId="77777777">
      <w:pPr>
        <w:spacing w:before="0" w:after="0" w:line="240" w:lineRule="auto"/>
        <w:rPr>
          <w:color w:val="FF0000"/>
        </w:rPr>
      </w:pPr>
      <w:bookmarkStart w:name="Contents" w:id="0"/>
      <w:bookmarkStart w:name="_bookmark0" w:id="1"/>
      <w:bookmarkEnd w:id="0"/>
      <w:bookmarkEnd w:id="1"/>
      <w:r w:rsidRPr="003F6829">
        <w:rPr>
          <w:color w:val="FF0000"/>
        </w:rPr>
        <w:br w:type="page"/>
      </w:r>
    </w:p>
    <w:p w:rsidR="00673F2F" w:rsidP="003F6829" w:rsidRDefault="00673F2F" w14:paraId="5ABF8A2C" w14:textId="77777777">
      <w:pPr>
        <w:pStyle w:val="TOCHeading"/>
      </w:pPr>
      <w:bookmarkStart w:name="_Toc153372153" w:id="2"/>
      <w:bookmarkStart w:name="_Toc160107872" w:id="3"/>
      <w:r>
        <w:t>Table of Contents</w:t>
      </w:r>
      <w:bookmarkEnd w:id="2"/>
      <w:bookmarkEnd w:id="3"/>
    </w:p>
    <w:p w:rsidR="00CA5F71" w:rsidRDefault="00B34F88" w14:paraId="31E58724" w14:textId="1625907B">
      <w:pPr>
        <w:pStyle w:val="TOC2"/>
        <w:tabs>
          <w:tab w:val="right" w:leader="dot" w:pos="9346"/>
        </w:tabs>
        <w:rPr>
          <w:rFonts w:asciiTheme="minorHAnsi" w:hAnsiTheme="minorHAnsi" w:eastAsiaTheme="minorEastAsia" w:cstheme="minorBidi"/>
          <w:noProof/>
          <w:color w:val="auto"/>
          <w:kern w:val="2"/>
          <w:lang w:eastAsia="en-AU"/>
          <w14:ligatures w14:val="standardContextual"/>
        </w:rPr>
      </w:pPr>
      <w:r>
        <w:rPr>
          <w:sz w:val="23"/>
        </w:rPr>
        <w:fldChar w:fldCharType="begin"/>
      </w:r>
      <w:r>
        <w:rPr>
          <w:sz w:val="23"/>
        </w:rPr>
        <w:instrText xml:space="preserve"> TOC \o "1-2" \h \z \u </w:instrText>
      </w:r>
      <w:r>
        <w:rPr>
          <w:sz w:val="23"/>
        </w:rPr>
        <w:fldChar w:fldCharType="separate"/>
      </w:r>
      <w:hyperlink w:history="1" w:anchor="_Toc160107872">
        <w:r w:rsidRPr="00EF0B86" w:rsidR="00CA5F71">
          <w:rPr>
            <w:rStyle w:val="Hyperlink"/>
            <w:noProof/>
          </w:rPr>
          <w:t>Table of Contents</w:t>
        </w:r>
        <w:r w:rsidR="00CA5F71">
          <w:rPr>
            <w:noProof/>
            <w:webHidden/>
          </w:rPr>
          <w:tab/>
        </w:r>
        <w:r w:rsidR="00CA5F71">
          <w:rPr>
            <w:noProof/>
            <w:webHidden/>
          </w:rPr>
          <w:fldChar w:fldCharType="begin"/>
        </w:r>
        <w:r w:rsidR="00CA5F71">
          <w:rPr>
            <w:noProof/>
            <w:webHidden/>
          </w:rPr>
          <w:instrText xml:space="preserve"> PAGEREF _Toc160107872 \h </w:instrText>
        </w:r>
        <w:r w:rsidR="00CA5F71">
          <w:rPr>
            <w:noProof/>
            <w:webHidden/>
          </w:rPr>
        </w:r>
        <w:r w:rsidR="00CA5F71">
          <w:rPr>
            <w:noProof/>
            <w:webHidden/>
          </w:rPr>
          <w:fldChar w:fldCharType="separate"/>
        </w:r>
        <w:r w:rsidR="00CA5F71">
          <w:rPr>
            <w:noProof/>
            <w:webHidden/>
          </w:rPr>
          <w:t>2</w:t>
        </w:r>
        <w:r w:rsidR="00CA5F71">
          <w:rPr>
            <w:noProof/>
            <w:webHidden/>
          </w:rPr>
          <w:fldChar w:fldCharType="end"/>
        </w:r>
      </w:hyperlink>
    </w:p>
    <w:p w:rsidR="00CA5F71" w:rsidRDefault="00137716" w14:paraId="4D7E3A1B" w14:textId="06DFC26F">
      <w:pPr>
        <w:pStyle w:val="TOC1"/>
        <w:tabs>
          <w:tab w:val="right" w:leader="dot" w:pos="9346"/>
        </w:tabs>
        <w:rPr>
          <w:rFonts w:asciiTheme="minorHAnsi" w:hAnsiTheme="minorHAnsi" w:eastAsiaTheme="minorEastAsia" w:cstheme="minorBidi"/>
          <w:noProof/>
          <w:color w:val="auto"/>
          <w:kern w:val="2"/>
          <w:lang w:eastAsia="en-AU"/>
          <w14:ligatures w14:val="standardContextual"/>
        </w:rPr>
      </w:pPr>
      <w:hyperlink w:history="1" w:anchor="_Toc160107873">
        <w:r w:rsidRPr="00EF0B86" w:rsidR="00CA5F71">
          <w:rPr>
            <w:rStyle w:val="Hyperlink"/>
            <w:noProof/>
          </w:rPr>
          <w:t>Context</w:t>
        </w:r>
        <w:r w:rsidR="00CA5F71">
          <w:rPr>
            <w:noProof/>
            <w:webHidden/>
          </w:rPr>
          <w:tab/>
        </w:r>
        <w:r w:rsidR="00CA5F71">
          <w:rPr>
            <w:noProof/>
            <w:webHidden/>
          </w:rPr>
          <w:fldChar w:fldCharType="begin"/>
        </w:r>
        <w:r w:rsidR="00CA5F71">
          <w:rPr>
            <w:noProof/>
            <w:webHidden/>
          </w:rPr>
          <w:instrText xml:space="preserve"> PAGEREF _Toc160107873 \h </w:instrText>
        </w:r>
        <w:r w:rsidR="00CA5F71">
          <w:rPr>
            <w:noProof/>
            <w:webHidden/>
          </w:rPr>
        </w:r>
        <w:r w:rsidR="00CA5F71">
          <w:rPr>
            <w:noProof/>
            <w:webHidden/>
          </w:rPr>
          <w:fldChar w:fldCharType="separate"/>
        </w:r>
        <w:r w:rsidR="00CA5F71">
          <w:rPr>
            <w:noProof/>
            <w:webHidden/>
          </w:rPr>
          <w:t>3</w:t>
        </w:r>
        <w:r w:rsidR="00CA5F71">
          <w:rPr>
            <w:noProof/>
            <w:webHidden/>
          </w:rPr>
          <w:fldChar w:fldCharType="end"/>
        </w:r>
      </w:hyperlink>
    </w:p>
    <w:p w:rsidR="00CA5F71" w:rsidRDefault="00137716" w14:paraId="7E880954" w14:textId="4A32E3E6">
      <w:pPr>
        <w:pStyle w:val="TOC1"/>
        <w:tabs>
          <w:tab w:val="right" w:leader="dot" w:pos="9346"/>
        </w:tabs>
        <w:rPr>
          <w:rFonts w:asciiTheme="minorHAnsi" w:hAnsiTheme="minorHAnsi" w:eastAsiaTheme="minorEastAsia" w:cstheme="minorBidi"/>
          <w:noProof/>
          <w:color w:val="auto"/>
          <w:kern w:val="2"/>
          <w:lang w:eastAsia="en-AU"/>
          <w14:ligatures w14:val="standardContextual"/>
        </w:rPr>
      </w:pPr>
      <w:hyperlink w:history="1" w:anchor="_Toc160107874">
        <w:r w:rsidRPr="00EF0B86" w:rsidR="00CA5F71">
          <w:rPr>
            <w:rStyle w:val="Hyperlink"/>
            <w:noProof/>
          </w:rPr>
          <w:t>Purpose</w:t>
        </w:r>
        <w:r w:rsidR="00CA5F71">
          <w:rPr>
            <w:noProof/>
            <w:webHidden/>
          </w:rPr>
          <w:tab/>
        </w:r>
        <w:r w:rsidR="00CA5F71">
          <w:rPr>
            <w:noProof/>
            <w:webHidden/>
          </w:rPr>
          <w:fldChar w:fldCharType="begin"/>
        </w:r>
        <w:r w:rsidR="00CA5F71">
          <w:rPr>
            <w:noProof/>
            <w:webHidden/>
          </w:rPr>
          <w:instrText xml:space="preserve"> PAGEREF _Toc160107874 \h </w:instrText>
        </w:r>
        <w:r w:rsidR="00CA5F71">
          <w:rPr>
            <w:noProof/>
            <w:webHidden/>
          </w:rPr>
        </w:r>
        <w:r w:rsidR="00CA5F71">
          <w:rPr>
            <w:noProof/>
            <w:webHidden/>
          </w:rPr>
          <w:fldChar w:fldCharType="separate"/>
        </w:r>
        <w:r w:rsidR="00CA5F71">
          <w:rPr>
            <w:noProof/>
            <w:webHidden/>
          </w:rPr>
          <w:t>3</w:t>
        </w:r>
        <w:r w:rsidR="00CA5F71">
          <w:rPr>
            <w:noProof/>
            <w:webHidden/>
          </w:rPr>
          <w:fldChar w:fldCharType="end"/>
        </w:r>
      </w:hyperlink>
    </w:p>
    <w:p w:rsidR="00CA5F71" w:rsidRDefault="00137716" w14:paraId="43DACE75" w14:textId="05D9BE73">
      <w:pPr>
        <w:pStyle w:val="TOC1"/>
        <w:tabs>
          <w:tab w:val="right" w:leader="dot" w:pos="9346"/>
        </w:tabs>
        <w:rPr>
          <w:rFonts w:asciiTheme="minorHAnsi" w:hAnsiTheme="minorHAnsi" w:eastAsiaTheme="minorEastAsia" w:cstheme="minorBidi"/>
          <w:noProof/>
          <w:color w:val="auto"/>
          <w:kern w:val="2"/>
          <w:lang w:eastAsia="en-AU"/>
          <w14:ligatures w14:val="standardContextual"/>
        </w:rPr>
      </w:pPr>
      <w:hyperlink w:history="1" w:anchor="_Toc160107875">
        <w:r w:rsidRPr="00EF0B86" w:rsidR="00CA5F71">
          <w:rPr>
            <w:rStyle w:val="Hyperlink"/>
            <w:noProof/>
          </w:rPr>
          <w:t>Principles</w:t>
        </w:r>
        <w:r w:rsidR="00CA5F71">
          <w:rPr>
            <w:noProof/>
            <w:webHidden/>
          </w:rPr>
          <w:tab/>
        </w:r>
        <w:r w:rsidR="00CA5F71">
          <w:rPr>
            <w:noProof/>
            <w:webHidden/>
          </w:rPr>
          <w:fldChar w:fldCharType="begin"/>
        </w:r>
        <w:r w:rsidR="00CA5F71">
          <w:rPr>
            <w:noProof/>
            <w:webHidden/>
          </w:rPr>
          <w:instrText xml:space="preserve"> PAGEREF _Toc160107875 \h </w:instrText>
        </w:r>
        <w:r w:rsidR="00CA5F71">
          <w:rPr>
            <w:noProof/>
            <w:webHidden/>
          </w:rPr>
        </w:r>
        <w:r w:rsidR="00CA5F71">
          <w:rPr>
            <w:noProof/>
            <w:webHidden/>
          </w:rPr>
          <w:fldChar w:fldCharType="separate"/>
        </w:r>
        <w:r w:rsidR="00CA5F71">
          <w:rPr>
            <w:noProof/>
            <w:webHidden/>
          </w:rPr>
          <w:t>3</w:t>
        </w:r>
        <w:r w:rsidR="00CA5F71">
          <w:rPr>
            <w:noProof/>
            <w:webHidden/>
          </w:rPr>
          <w:fldChar w:fldCharType="end"/>
        </w:r>
      </w:hyperlink>
    </w:p>
    <w:p w:rsidR="00CA5F71" w:rsidRDefault="00137716" w14:paraId="3C2F2A8F" w14:textId="0B1CA333">
      <w:pPr>
        <w:pStyle w:val="TOC1"/>
        <w:tabs>
          <w:tab w:val="right" w:leader="dot" w:pos="9346"/>
        </w:tabs>
        <w:rPr>
          <w:rFonts w:asciiTheme="minorHAnsi" w:hAnsiTheme="minorHAnsi" w:eastAsiaTheme="minorEastAsia" w:cstheme="minorBidi"/>
          <w:noProof/>
          <w:color w:val="auto"/>
          <w:kern w:val="2"/>
          <w:lang w:eastAsia="en-AU"/>
          <w14:ligatures w14:val="standardContextual"/>
        </w:rPr>
      </w:pPr>
      <w:hyperlink w:history="1" w:anchor="_Toc160107876">
        <w:r w:rsidRPr="00EF0B86" w:rsidR="00CA5F71">
          <w:rPr>
            <w:rStyle w:val="Hyperlink"/>
            <w:noProof/>
          </w:rPr>
          <w:t>Implementation</w:t>
        </w:r>
        <w:r w:rsidR="00CA5F71">
          <w:rPr>
            <w:noProof/>
            <w:webHidden/>
          </w:rPr>
          <w:tab/>
        </w:r>
        <w:r w:rsidR="00CA5F71">
          <w:rPr>
            <w:noProof/>
            <w:webHidden/>
          </w:rPr>
          <w:fldChar w:fldCharType="begin"/>
        </w:r>
        <w:r w:rsidR="00CA5F71">
          <w:rPr>
            <w:noProof/>
            <w:webHidden/>
          </w:rPr>
          <w:instrText xml:space="preserve"> PAGEREF _Toc160107876 \h </w:instrText>
        </w:r>
        <w:r w:rsidR="00CA5F71">
          <w:rPr>
            <w:noProof/>
            <w:webHidden/>
          </w:rPr>
        </w:r>
        <w:r w:rsidR="00CA5F71">
          <w:rPr>
            <w:noProof/>
            <w:webHidden/>
          </w:rPr>
          <w:fldChar w:fldCharType="separate"/>
        </w:r>
        <w:r w:rsidR="00CA5F71">
          <w:rPr>
            <w:noProof/>
            <w:webHidden/>
          </w:rPr>
          <w:t>4</w:t>
        </w:r>
        <w:r w:rsidR="00CA5F71">
          <w:rPr>
            <w:noProof/>
            <w:webHidden/>
          </w:rPr>
          <w:fldChar w:fldCharType="end"/>
        </w:r>
      </w:hyperlink>
    </w:p>
    <w:p w:rsidR="00CA5F71" w:rsidRDefault="00137716" w14:paraId="7880716F" w14:textId="002F774D">
      <w:pPr>
        <w:pStyle w:val="TOC1"/>
        <w:tabs>
          <w:tab w:val="right" w:leader="dot" w:pos="9346"/>
        </w:tabs>
        <w:rPr>
          <w:rFonts w:asciiTheme="minorHAnsi" w:hAnsiTheme="minorHAnsi" w:eastAsiaTheme="minorEastAsia" w:cstheme="minorBidi"/>
          <w:noProof/>
          <w:color w:val="auto"/>
          <w:kern w:val="2"/>
          <w:lang w:eastAsia="en-AU"/>
          <w14:ligatures w14:val="standardContextual"/>
        </w:rPr>
      </w:pPr>
      <w:hyperlink w:history="1" w:anchor="_Toc160107877">
        <w:r w:rsidRPr="00EF0B86" w:rsidR="00CA5F71">
          <w:rPr>
            <w:rStyle w:val="Hyperlink"/>
            <w:noProof/>
          </w:rPr>
          <w:t>Further Information</w:t>
        </w:r>
        <w:r w:rsidR="00CA5F71">
          <w:rPr>
            <w:noProof/>
            <w:webHidden/>
          </w:rPr>
          <w:tab/>
        </w:r>
        <w:r w:rsidR="00CA5F71">
          <w:rPr>
            <w:noProof/>
            <w:webHidden/>
          </w:rPr>
          <w:fldChar w:fldCharType="begin"/>
        </w:r>
        <w:r w:rsidR="00CA5F71">
          <w:rPr>
            <w:noProof/>
            <w:webHidden/>
          </w:rPr>
          <w:instrText xml:space="preserve"> PAGEREF _Toc160107877 \h </w:instrText>
        </w:r>
        <w:r w:rsidR="00CA5F71">
          <w:rPr>
            <w:noProof/>
            <w:webHidden/>
          </w:rPr>
        </w:r>
        <w:r w:rsidR="00CA5F71">
          <w:rPr>
            <w:noProof/>
            <w:webHidden/>
          </w:rPr>
          <w:fldChar w:fldCharType="separate"/>
        </w:r>
        <w:r w:rsidR="00CA5F71">
          <w:rPr>
            <w:noProof/>
            <w:webHidden/>
          </w:rPr>
          <w:t>5</w:t>
        </w:r>
        <w:r w:rsidR="00CA5F71">
          <w:rPr>
            <w:noProof/>
            <w:webHidden/>
          </w:rPr>
          <w:fldChar w:fldCharType="end"/>
        </w:r>
      </w:hyperlink>
    </w:p>
    <w:p w:rsidR="00CA5F71" w:rsidRDefault="00137716" w14:paraId="728CA615" w14:textId="7B1FD80C">
      <w:pPr>
        <w:pStyle w:val="TOC1"/>
        <w:tabs>
          <w:tab w:val="right" w:leader="dot" w:pos="9346"/>
        </w:tabs>
        <w:rPr>
          <w:rFonts w:asciiTheme="minorHAnsi" w:hAnsiTheme="minorHAnsi" w:eastAsiaTheme="minorEastAsia" w:cstheme="minorBidi"/>
          <w:noProof/>
          <w:color w:val="auto"/>
          <w:kern w:val="2"/>
          <w:lang w:eastAsia="en-AU"/>
          <w14:ligatures w14:val="standardContextual"/>
        </w:rPr>
      </w:pPr>
      <w:hyperlink w:history="1" w:anchor="_Toc160107878">
        <w:r w:rsidRPr="00EF0B86" w:rsidR="00CA5F71">
          <w:rPr>
            <w:rStyle w:val="Hyperlink"/>
            <w:noProof/>
          </w:rPr>
          <w:t>Contact details</w:t>
        </w:r>
        <w:r w:rsidR="00CA5F71">
          <w:rPr>
            <w:noProof/>
            <w:webHidden/>
          </w:rPr>
          <w:tab/>
        </w:r>
        <w:r w:rsidR="00CA5F71">
          <w:rPr>
            <w:noProof/>
            <w:webHidden/>
          </w:rPr>
          <w:fldChar w:fldCharType="begin"/>
        </w:r>
        <w:r w:rsidR="00CA5F71">
          <w:rPr>
            <w:noProof/>
            <w:webHidden/>
          </w:rPr>
          <w:instrText xml:space="preserve"> PAGEREF _Toc160107878 \h </w:instrText>
        </w:r>
        <w:r w:rsidR="00CA5F71">
          <w:rPr>
            <w:noProof/>
            <w:webHidden/>
          </w:rPr>
        </w:r>
        <w:r w:rsidR="00CA5F71">
          <w:rPr>
            <w:noProof/>
            <w:webHidden/>
          </w:rPr>
          <w:fldChar w:fldCharType="separate"/>
        </w:r>
        <w:r w:rsidR="00CA5F71">
          <w:rPr>
            <w:noProof/>
            <w:webHidden/>
          </w:rPr>
          <w:t>5</w:t>
        </w:r>
        <w:r w:rsidR="00CA5F71">
          <w:rPr>
            <w:noProof/>
            <w:webHidden/>
          </w:rPr>
          <w:fldChar w:fldCharType="end"/>
        </w:r>
      </w:hyperlink>
    </w:p>
    <w:p w:rsidR="00CA5F71" w:rsidRDefault="00137716" w14:paraId="18CC7016" w14:textId="0BDDB566">
      <w:pPr>
        <w:pStyle w:val="TOC1"/>
        <w:tabs>
          <w:tab w:val="right" w:leader="dot" w:pos="9346"/>
        </w:tabs>
        <w:rPr>
          <w:rFonts w:asciiTheme="minorHAnsi" w:hAnsiTheme="minorHAnsi" w:eastAsiaTheme="minorEastAsia" w:cstheme="minorBidi"/>
          <w:noProof/>
          <w:color w:val="auto"/>
          <w:kern w:val="2"/>
          <w:lang w:eastAsia="en-AU"/>
          <w14:ligatures w14:val="standardContextual"/>
        </w:rPr>
      </w:pPr>
      <w:hyperlink w:history="1" w:anchor="_Toc160107879">
        <w:r w:rsidRPr="00EF0B86" w:rsidR="00CA5F71">
          <w:rPr>
            <w:rStyle w:val="Hyperlink"/>
            <w:noProof/>
            <w:lang w:eastAsia="en-AU"/>
          </w:rPr>
          <w:t>Document control</w:t>
        </w:r>
        <w:r w:rsidR="00CA5F71">
          <w:rPr>
            <w:noProof/>
            <w:webHidden/>
          </w:rPr>
          <w:tab/>
        </w:r>
        <w:r w:rsidR="00CA5F71">
          <w:rPr>
            <w:noProof/>
            <w:webHidden/>
          </w:rPr>
          <w:fldChar w:fldCharType="begin"/>
        </w:r>
        <w:r w:rsidR="00CA5F71">
          <w:rPr>
            <w:noProof/>
            <w:webHidden/>
          </w:rPr>
          <w:instrText xml:space="preserve"> PAGEREF _Toc160107879 \h </w:instrText>
        </w:r>
        <w:r w:rsidR="00CA5F71">
          <w:rPr>
            <w:noProof/>
            <w:webHidden/>
          </w:rPr>
        </w:r>
        <w:r w:rsidR="00CA5F71">
          <w:rPr>
            <w:noProof/>
            <w:webHidden/>
          </w:rPr>
          <w:fldChar w:fldCharType="separate"/>
        </w:r>
        <w:r w:rsidR="00CA5F71">
          <w:rPr>
            <w:noProof/>
            <w:webHidden/>
          </w:rPr>
          <w:t>5</w:t>
        </w:r>
        <w:r w:rsidR="00CA5F71">
          <w:rPr>
            <w:noProof/>
            <w:webHidden/>
          </w:rPr>
          <w:fldChar w:fldCharType="end"/>
        </w:r>
      </w:hyperlink>
    </w:p>
    <w:p w:rsidR="00894D30" w:rsidP="00894D30" w:rsidRDefault="00B34F88" w14:paraId="06539065" w14:textId="75F4CA97">
      <w:pPr>
        <w:sectPr w:rsidR="00894D30" w:rsidSect="00CD3D78">
          <w:footerReference w:type="default" r:id="rId11"/>
          <w:headerReference w:type="first" r:id="rId12"/>
          <w:footerReference w:type="first" r:id="rId13"/>
          <w:type w:val="continuous"/>
          <w:pgSz w:w="11910" w:h="16840" w:orient="portrait"/>
          <w:pgMar w:top="993" w:right="1278" w:bottom="1134" w:left="1276" w:header="0" w:footer="647" w:gutter="0"/>
          <w:cols w:space="720"/>
          <w:titlePg/>
          <w:docGrid w:linePitch="299"/>
        </w:sectPr>
      </w:pPr>
      <w:r>
        <w:rPr>
          <w:sz w:val="23"/>
        </w:rPr>
        <w:fldChar w:fldCharType="end"/>
      </w:r>
      <w:bookmarkStart w:name="_Toc61537787" w:id="4"/>
    </w:p>
    <w:p w:rsidR="00102D4C" w:rsidP="00102D4C" w:rsidRDefault="00B71769" w14:paraId="4ED71BD4" w14:textId="0301C6CE">
      <w:pPr>
        <w:pStyle w:val="Heading1"/>
      </w:pPr>
      <w:bookmarkStart w:name="_Toc160107873" w:id="5"/>
      <w:r>
        <w:t>Context</w:t>
      </w:r>
      <w:bookmarkEnd w:id="4"/>
      <w:bookmarkEnd w:id="5"/>
    </w:p>
    <w:p w:rsidRPr="00CF7872" w:rsidR="00191A00" w:rsidP="00191A00" w:rsidRDefault="00191A00" w14:paraId="6C1126AD" w14:textId="0ED88101">
      <w:pPr>
        <w:adjustRightInd w:val="0"/>
        <w:rPr>
          <w:szCs w:val="24"/>
        </w:rPr>
      </w:pPr>
      <w:bookmarkStart w:name="Aim" w:id="6"/>
      <w:bookmarkStart w:name="_bookmark2" w:id="7"/>
      <w:bookmarkStart w:name="_Toc81921730" w:id="8"/>
      <w:bookmarkStart w:name="_Toc81985447" w:id="9"/>
      <w:bookmarkEnd w:id="6"/>
      <w:bookmarkEnd w:id="7"/>
      <w:r w:rsidRPr="00CF7872">
        <w:rPr>
          <w:szCs w:val="24"/>
        </w:rPr>
        <w:t xml:space="preserve">The ARC is a Commonwealth entity within the Australian Government that funds research and researchers under the National Competitive Grants Program (NCGP). The </w:t>
      </w:r>
      <w:hyperlink w:history="1" r:id="rId14">
        <w:r w:rsidRPr="00CF7872">
          <w:rPr>
            <w:rStyle w:val="Hyperlink"/>
            <w:szCs w:val="24"/>
          </w:rPr>
          <w:t>NCGP</w:t>
        </w:r>
      </w:hyperlink>
      <w:r w:rsidRPr="00CF7872">
        <w:rPr>
          <w:szCs w:val="24"/>
        </w:rPr>
        <w:t xml:space="preserve"> comprises a range of complementary schemes to support researchers at different career stages, build Australia’s research capability, expand and enhance research networks and collaborations, and develop hubs and centres of research excellence.</w:t>
      </w:r>
    </w:p>
    <w:p w:rsidRPr="00CF7872" w:rsidR="00191A00" w:rsidP="00191A00" w:rsidRDefault="00191A00" w14:paraId="1839BDB0" w14:textId="52AAC982">
      <w:pPr>
        <w:adjustRightInd w:val="0"/>
        <w:rPr>
          <w:szCs w:val="24"/>
        </w:rPr>
      </w:pPr>
      <w:r w:rsidRPr="00CF7872">
        <w:rPr>
          <w:szCs w:val="24"/>
        </w:rPr>
        <w:t>Under the NCGP, Discovery Program schemes support fundamental research, vital to the national innovation system, to develop new ideas, create jobs,</w:t>
      </w:r>
      <w:r>
        <w:rPr>
          <w:szCs w:val="24"/>
        </w:rPr>
        <w:t xml:space="preserve"> foster international collaboration,</w:t>
      </w:r>
      <w:r w:rsidRPr="00CF7872">
        <w:rPr>
          <w:szCs w:val="24"/>
        </w:rPr>
        <w:t xml:space="preserve"> achieve economic </w:t>
      </w:r>
      <w:proofErr w:type="gramStart"/>
      <w:r w:rsidRPr="00CF7872">
        <w:rPr>
          <w:szCs w:val="24"/>
        </w:rPr>
        <w:t>growth</w:t>
      </w:r>
      <w:proofErr w:type="gramEnd"/>
      <w:r w:rsidRPr="00CF7872">
        <w:rPr>
          <w:szCs w:val="24"/>
        </w:rPr>
        <w:t xml:space="preserve"> and benefit Australia. The Linkage Program schemes facilitate national and international research partnerships between higher education, business, industry, </w:t>
      </w:r>
      <w:proofErr w:type="gramStart"/>
      <w:r w:rsidRPr="00CF7872">
        <w:rPr>
          <w:szCs w:val="24"/>
        </w:rPr>
        <w:t>government</w:t>
      </w:r>
      <w:proofErr w:type="gramEnd"/>
      <w:r w:rsidRPr="00CF7872">
        <w:rPr>
          <w:szCs w:val="24"/>
        </w:rPr>
        <w:t xml:space="preserve"> and community organisations to achieve common goals and secure the benefits of research for Australia.</w:t>
      </w:r>
    </w:p>
    <w:p w:rsidRPr="00CF7872" w:rsidR="00191A00" w:rsidP="00191A00" w:rsidRDefault="00191A00" w14:paraId="6EA8988C" w14:textId="08811B9E">
      <w:pPr>
        <w:adjustRightInd w:val="0"/>
        <w:rPr>
          <w:szCs w:val="24"/>
        </w:rPr>
      </w:pPr>
      <w:r w:rsidRPr="00CF7872">
        <w:rPr>
          <w:szCs w:val="24"/>
        </w:rPr>
        <w:t>The ARC supports and facilitates research training and career opportunities for the highest quality Australian and international researchers. Funding is provided on a competitive basis and is predicated on supporting excellence, at whatever stage that occurs in a researcher’s career or research, including for new, next stage or divergent projects. Every proposal submitted to each scheme round is assessed through an extensive peer review process to identify the preeminent research and researchers in the round.</w:t>
      </w:r>
    </w:p>
    <w:p w:rsidRPr="00CF7872" w:rsidR="00191A00" w:rsidP="00191A00" w:rsidRDefault="00191A00" w14:paraId="42411594" w14:textId="038EA8EB">
      <w:pPr>
        <w:adjustRightInd w:val="0"/>
        <w:rPr>
          <w:szCs w:val="24"/>
        </w:rPr>
      </w:pPr>
      <w:r w:rsidRPr="00CF7872">
        <w:rPr>
          <w:szCs w:val="24"/>
        </w:rPr>
        <w:t xml:space="preserve">The ARC’s support for the research workforce is one element of a broader framework. There is significant engagement by key stakeholders, including the higher education and innovation sectors, </w:t>
      </w:r>
      <w:proofErr w:type="gramStart"/>
      <w:r w:rsidRPr="00CF7872">
        <w:rPr>
          <w:szCs w:val="24"/>
        </w:rPr>
        <w:t>government</w:t>
      </w:r>
      <w:proofErr w:type="gramEnd"/>
      <w:r w:rsidRPr="00CF7872">
        <w:rPr>
          <w:szCs w:val="24"/>
        </w:rPr>
        <w:t xml:space="preserve"> and the learned academies in planning for, and supporting, Australia’s research workforce. A key driver of the framework is to inform capacity building across the Australian research workforce, including amongst underrepresented groups such as women and Aboriginal and Torres Strait Islander researchers, to maintain and grow Australia’s competitiveness.</w:t>
      </w:r>
    </w:p>
    <w:p w:rsidRPr="00191A00" w:rsidR="00B71769" w:rsidP="00191A00" w:rsidRDefault="00191A00" w14:paraId="00831FE7" w14:textId="1E65EFFC">
      <w:pPr>
        <w:rPr>
          <w:b/>
          <w:bCs/>
          <w:color w:val="auto"/>
        </w:rPr>
      </w:pPr>
      <w:r w:rsidRPr="00CF7872">
        <w:rPr>
          <w:szCs w:val="24"/>
        </w:rPr>
        <w:t xml:space="preserve">The global dimension of the research workforce is well established, with governments, industry and the education sectors worldwide focusing on attracting and retaining excellent researchers, participating in global </w:t>
      </w:r>
      <w:proofErr w:type="gramStart"/>
      <w:r w:rsidRPr="00CF7872">
        <w:rPr>
          <w:szCs w:val="24"/>
        </w:rPr>
        <w:t>initiatives</w:t>
      </w:r>
      <w:proofErr w:type="gramEnd"/>
      <w:r w:rsidRPr="00CF7872">
        <w:rPr>
          <w:szCs w:val="24"/>
        </w:rPr>
        <w:t xml:space="preserve"> and encouraging their researchers to collaborate with other researchers around the world</w:t>
      </w:r>
      <w:r>
        <w:rPr>
          <w:b/>
          <w:bCs/>
          <w:color w:val="auto"/>
        </w:rPr>
        <w:t>.</w:t>
      </w:r>
    </w:p>
    <w:p w:rsidRPr="00583318" w:rsidR="000B12FD" w:rsidP="00583318" w:rsidRDefault="00B71769" w14:paraId="498CF0E9" w14:textId="2E8945AF">
      <w:pPr>
        <w:pStyle w:val="Heading1"/>
      </w:pPr>
      <w:bookmarkStart w:name="_Toc160107874" w:id="10"/>
      <w:bookmarkEnd w:id="8"/>
      <w:bookmarkEnd w:id="9"/>
      <w:r>
        <w:rPr>
          <w:rFonts w:asciiTheme="minorHAnsi" w:hAnsiTheme="minorHAnsi"/>
          <w:noProof/>
          <w:szCs w:val="20"/>
        </w:rPr>
        <mc:AlternateContent>
          <mc:Choice Requires="wps">
            <w:drawing>
              <wp:anchor distT="0" distB="0" distL="114300" distR="114300" simplePos="0" relativeHeight="251658240" behindDoc="1" locked="0" layoutInCell="1" allowOverlap="1" wp14:anchorId="0DD4DAE0" wp14:editId="12EBBA0D">
                <wp:simplePos x="0" y="0"/>
                <wp:positionH relativeFrom="column">
                  <wp:posOffset>-12065</wp:posOffset>
                </wp:positionH>
                <wp:positionV relativeFrom="paragraph">
                  <wp:posOffset>582295</wp:posOffset>
                </wp:positionV>
                <wp:extent cx="5991225" cy="832485"/>
                <wp:effectExtent l="0" t="0" r="28575" b="24765"/>
                <wp:wrapTight wrapText="bothSides">
                  <wp:wrapPolygon edited="0">
                    <wp:start x="0" y="0"/>
                    <wp:lineTo x="0" y="21748"/>
                    <wp:lineTo x="21634" y="21748"/>
                    <wp:lineTo x="21634" y="0"/>
                    <wp:lineTo x="0" y="0"/>
                  </wp:wrapPolygon>
                </wp:wrapTight>
                <wp:docPr id="266021046" name="Rectangle 266021046"/>
                <wp:cNvGraphicFramePr/>
                <a:graphic xmlns:a="http://schemas.openxmlformats.org/drawingml/2006/main">
                  <a:graphicData uri="http://schemas.microsoft.com/office/word/2010/wordprocessingShape">
                    <wps:wsp>
                      <wps:cNvSpPr/>
                      <wps:spPr>
                        <a:xfrm>
                          <a:off x="0" y="0"/>
                          <a:ext cx="5991225" cy="832485"/>
                        </a:xfrm>
                        <a:prstGeom prst="rect">
                          <a:avLst/>
                        </a:prstGeom>
                      </wps:spPr>
                      <wps:style>
                        <a:lnRef idx="2">
                          <a:schemeClr val="accent4">
                            <a:shade val="15000"/>
                          </a:schemeClr>
                        </a:lnRef>
                        <a:fillRef idx="1">
                          <a:schemeClr val="accent4"/>
                        </a:fillRef>
                        <a:effectRef idx="0">
                          <a:schemeClr val="accent4"/>
                        </a:effectRef>
                        <a:fontRef idx="minor">
                          <a:schemeClr val="lt1"/>
                        </a:fontRef>
                      </wps:style>
                      <wps:txbx>
                        <w:txbxContent>
                          <w:p w:rsidRPr="0010638A" w:rsidR="00B71769" w:rsidP="0010638A" w:rsidRDefault="0010638A" w14:paraId="15F55D58" w14:textId="6199C394">
                            <w:pPr>
                              <w:adjustRightInd w:val="0"/>
                              <w:rPr>
                                <w:rFonts w:cs="HelveticaNeueLTStd-Lt"/>
                                <w:szCs w:val="24"/>
                              </w:rPr>
                            </w:pPr>
                            <w:r w:rsidRPr="00CF7872">
                              <w:rPr>
                                <w:rFonts w:cs="HelveticaNeueLTStd-Lt"/>
                                <w:szCs w:val="24"/>
                              </w:rPr>
                              <w:t>This policy statement articulates the Australian Research Council’s (ARC) commitment and contribution to a strong and sustainable Australian research workforce.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66021046" style="position:absolute;margin-left:-.95pt;margin-top:45.85pt;width:471.75pt;height:65.5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b9b0d7 [3207]" strokecolor="#171326 [487]" strokeweight="2pt" w14:anchorId="0DD4DA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">
                <v:textbox>
                  <w:txbxContent>
                    <w:p w:rsidRPr="0010638A" w:rsidR="00B71769" w:rsidP="0010638A" w:rsidRDefault="0010638A" w14:paraId="15F55D58" w14:textId="6199C394">
                      <w:pPr>
                        <w:adjustRightInd w:val="0"/>
                        <w:rPr>
                          <w:rFonts w:cs="HelveticaNeueLTStd-Lt"/>
                          <w:szCs w:val="24"/>
                        </w:rPr>
                      </w:pPr>
                      <w:r w:rsidRPr="00CF7872">
                        <w:rPr>
                          <w:rFonts w:cs="HelveticaNeueLTStd-Lt"/>
                          <w:szCs w:val="24"/>
                        </w:rPr>
                        <w:t>This policy statement articulates the Australian Research Council’s (ARC) commitment and contribution to a strong and sustainable Australian research workforce.</w:t>
                      </w:r>
                    </w:p>
                  </w:txbxContent>
                </v:textbox>
                <w10:wrap type="tight"/>
              </v:rect>
            </w:pict>
          </mc:Fallback>
        </mc:AlternateContent>
      </w:r>
      <w:r>
        <w:t>Purpose</w:t>
      </w:r>
      <w:bookmarkEnd w:id="10"/>
      <w:r w:rsidR="00E912E0">
        <w:t xml:space="preserve"> </w:t>
      </w:r>
      <w:r w:rsidRPr="00583318" w:rsidR="005E32E8">
        <w:tab/>
      </w:r>
    </w:p>
    <w:p w:rsidRPr="00087A96" w:rsidR="0010638A" w:rsidP="00B71769" w:rsidRDefault="0010638A" w14:paraId="20A57298" w14:textId="77777777"/>
    <w:p w:rsidRPr="00583318" w:rsidR="000B12FD" w:rsidP="00583318" w:rsidRDefault="00B71769" w14:paraId="3B19D2D4" w14:textId="3C049740">
      <w:pPr>
        <w:pStyle w:val="Heading1"/>
      </w:pPr>
      <w:bookmarkStart w:name="Key_Principles" w:id="11"/>
      <w:bookmarkStart w:name="_bookmark3" w:id="12"/>
      <w:bookmarkStart w:name="_Toc160107875" w:id="13"/>
      <w:bookmarkEnd w:id="11"/>
      <w:bookmarkEnd w:id="12"/>
      <w:r>
        <w:t>Principles</w:t>
      </w:r>
      <w:bookmarkEnd w:id="13"/>
      <w:r w:rsidRPr="00583318" w:rsidR="005E32E8">
        <w:tab/>
      </w:r>
    </w:p>
    <w:p w:rsidR="00EC6100" w:rsidP="657B16B5" w:rsidRDefault="00EC6100" w14:paraId="3AF1640A" w14:textId="2A881BEB" w14:noSpellErr="1">
      <w:pPr>
        <w:tabs>
          <w:tab w:val="left" w:leader="none" w:pos="567"/>
          <w:tab w:val="left" w:leader="none" w:pos="1134"/>
          <w:tab w:val="left" w:leader="none" w:pos="1701"/>
          <w:tab w:val="left" w:leader="none" w:pos="2268"/>
        </w:tabs>
        <w:ind w:right="1241"/>
        <w:rPr>
          <w:lang w:val="en-US"/>
        </w:rPr>
      </w:pPr>
      <w:r w:rsidRPr="657B16B5" w:rsidR="00EC6100">
        <w:rPr>
          <w:lang w:val="en-US"/>
        </w:rPr>
        <w:t>The ARC seeks to support a strong and sustainable research workforce through:</w:t>
      </w:r>
    </w:p>
    <w:p w:rsidRPr="00EC6100" w:rsidR="00EC6100" w:rsidP="00EC6100" w:rsidRDefault="00EC6100" w14:paraId="59979B57" w14:textId="77777777">
      <w:pPr>
        <w:tabs>
          <w:tab w:val="left" w:pos="0"/>
          <w:tab w:val="left" w:pos="567"/>
          <w:tab w:val="left" w:pos="1134"/>
          <w:tab w:val="left" w:pos="1701"/>
        </w:tabs>
        <w:ind w:left="1701" w:hanging="1701"/>
        <w:rPr>
          <w:rFonts w:eastAsia="Malgun Gothic" w:asciiTheme="minorHAnsi" w:hAnsiTheme="minorHAnsi" w:cstheme="minorHAnsi"/>
          <w:b/>
          <w:i/>
          <w:iCs/>
          <w:color w:val="231655" w:themeColor="background2" w:themeShade="BF"/>
          <w:sz w:val="28"/>
          <w:szCs w:val="28"/>
        </w:rPr>
      </w:pPr>
      <w:r w:rsidRPr="00EC6100">
        <w:rPr>
          <w:rFonts w:eastAsia="Malgun Gothic" w:asciiTheme="minorHAnsi" w:hAnsiTheme="minorHAnsi" w:cstheme="minorHAnsi"/>
          <w:b/>
          <w:i/>
          <w:iCs/>
          <w:color w:val="231655" w:themeColor="background2" w:themeShade="BF"/>
          <w:sz w:val="28"/>
          <w:szCs w:val="28"/>
        </w:rPr>
        <w:t>Excellence</w:t>
      </w:r>
    </w:p>
    <w:p w:rsidR="00EC6100" w:rsidP="00EC6100" w:rsidRDefault="00EC6100" w14:paraId="282F2BED" w14:textId="77777777">
      <w:pPr>
        <w:tabs>
          <w:tab w:val="left" w:pos="0"/>
          <w:tab w:val="left" w:pos="567"/>
          <w:tab w:val="left" w:pos="1134"/>
          <w:tab w:val="left" w:pos="1701"/>
        </w:tabs>
        <w:rPr>
          <w:rFonts w:eastAsia="Malgun Gothic" w:cs="Levenim MT"/>
        </w:rPr>
      </w:pPr>
      <w:r>
        <w:rPr>
          <w:rFonts w:eastAsia="Malgun Gothic" w:cs="Levenim MT"/>
        </w:rPr>
        <w:t>F</w:t>
      </w:r>
      <w:r w:rsidRPr="00BA78FF">
        <w:rPr>
          <w:rFonts w:eastAsia="Malgun Gothic" w:cs="Levenim MT"/>
        </w:rPr>
        <w:t xml:space="preserve">unding the highest-quality </w:t>
      </w:r>
      <w:r>
        <w:rPr>
          <w:rFonts w:eastAsia="Malgun Gothic" w:cs="Levenim MT"/>
        </w:rPr>
        <w:t xml:space="preserve">eligible </w:t>
      </w:r>
      <w:r w:rsidRPr="00BA78FF">
        <w:rPr>
          <w:rFonts w:eastAsia="Malgun Gothic" w:cs="Levenim MT"/>
        </w:rPr>
        <w:t>researchers</w:t>
      </w:r>
      <w:r>
        <w:rPr>
          <w:rFonts w:eastAsia="Malgun Gothic" w:cs="Levenim MT"/>
        </w:rPr>
        <w:t>, research and research students</w:t>
      </w:r>
      <w:r w:rsidRPr="00BA78FF">
        <w:rPr>
          <w:rFonts w:eastAsia="Malgun Gothic" w:cs="Levenim MT"/>
        </w:rPr>
        <w:t xml:space="preserve"> in </w:t>
      </w:r>
      <w:r>
        <w:rPr>
          <w:rFonts w:eastAsia="Malgun Gothic" w:cs="Levenim MT"/>
        </w:rPr>
        <w:t xml:space="preserve">science, technology, </w:t>
      </w:r>
      <w:proofErr w:type="gramStart"/>
      <w:r>
        <w:rPr>
          <w:rFonts w:eastAsia="Malgun Gothic" w:cs="Levenim MT"/>
        </w:rPr>
        <w:t>engineering</w:t>
      </w:r>
      <w:proofErr w:type="gramEnd"/>
      <w:r>
        <w:rPr>
          <w:rFonts w:eastAsia="Malgun Gothic" w:cs="Levenim MT"/>
        </w:rPr>
        <w:t xml:space="preserve"> and mathematics (STEM), and humanities, arts and social sciences </w:t>
      </w:r>
    </w:p>
    <w:p w:rsidRPr="00EC6100" w:rsidR="00EC6100" w:rsidP="00EC6100" w:rsidRDefault="00EC6100" w14:paraId="1E4155E5" w14:textId="36711E02">
      <w:pPr>
        <w:tabs>
          <w:tab w:val="left" w:pos="0"/>
          <w:tab w:val="left" w:pos="567"/>
          <w:tab w:val="left" w:pos="1134"/>
          <w:tab w:val="left" w:pos="1701"/>
        </w:tabs>
        <w:ind w:left="1701" w:hanging="1701"/>
        <w:jc w:val="both"/>
        <w:rPr>
          <w:rFonts w:eastAsia="Malgun Gothic" w:cs="Levenim MT"/>
        </w:rPr>
      </w:pPr>
      <w:r>
        <w:rPr>
          <w:rFonts w:eastAsia="Malgun Gothic" w:cs="Levenim MT"/>
        </w:rPr>
        <w:t>(HASS)</w:t>
      </w:r>
      <w:r w:rsidRPr="00BA78FF">
        <w:rPr>
          <w:rFonts w:eastAsia="Malgun Gothic" w:cs="Levenim MT"/>
        </w:rPr>
        <w:t xml:space="preserve"> disciplines through a competitive peer review process.</w:t>
      </w:r>
    </w:p>
    <w:p w:rsidRPr="00EC6100" w:rsidR="00EC6100" w:rsidP="00EC6100" w:rsidRDefault="00EC6100" w14:paraId="4B890630" w14:textId="77777777">
      <w:pPr>
        <w:tabs>
          <w:tab w:val="left" w:pos="0"/>
          <w:tab w:val="left" w:pos="567"/>
          <w:tab w:val="left" w:pos="1134"/>
          <w:tab w:val="left" w:pos="1701"/>
          <w:tab w:val="left" w:pos="1843"/>
        </w:tabs>
        <w:ind w:left="1701" w:hanging="1701"/>
        <w:rPr>
          <w:rFonts w:eastAsia="Malgun Gothic" w:asciiTheme="minorHAnsi" w:hAnsiTheme="minorHAnsi" w:cstheme="minorHAnsi"/>
          <w:b/>
          <w:i/>
          <w:iCs/>
          <w:color w:val="231655" w:themeColor="background2" w:themeShade="BF"/>
          <w:sz w:val="28"/>
          <w:szCs w:val="28"/>
        </w:rPr>
      </w:pPr>
      <w:r w:rsidRPr="00EC6100">
        <w:rPr>
          <w:rFonts w:eastAsia="Malgun Gothic" w:asciiTheme="minorHAnsi" w:hAnsiTheme="minorHAnsi" w:cstheme="minorHAnsi"/>
          <w:b/>
          <w:i/>
          <w:iCs/>
          <w:color w:val="231655" w:themeColor="background2" w:themeShade="BF"/>
          <w:sz w:val="28"/>
          <w:szCs w:val="28"/>
        </w:rPr>
        <w:t>Participation</w:t>
      </w:r>
    </w:p>
    <w:p w:rsidRPr="00BA78FF" w:rsidR="00EC6100" w:rsidP="00EC6100" w:rsidRDefault="00EC6100" w14:paraId="62BF2AAA" w14:textId="77777777">
      <w:pPr>
        <w:tabs>
          <w:tab w:val="left" w:pos="0"/>
          <w:tab w:val="left" w:pos="567"/>
          <w:tab w:val="left" w:pos="1134"/>
          <w:tab w:val="left" w:pos="1701"/>
          <w:tab w:val="left" w:pos="1843"/>
        </w:tabs>
        <w:rPr>
          <w:rFonts w:eastAsia="Malgun Gothic" w:cs="Levenim MT"/>
          <w:szCs w:val="24"/>
        </w:rPr>
      </w:pPr>
      <w:r>
        <w:rPr>
          <w:rFonts w:eastAsia="Malgun Gothic" w:cs="Levenim MT"/>
          <w:szCs w:val="24"/>
        </w:rPr>
        <w:t>S</w:t>
      </w:r>
      <w:r w:rsidRPr="00BA78FF">
        <w:rPr>
          <w:rFonts w:eastAsia="Malgun Gothic" w:cs="Levenim MT"/>
          <w:szCs w:val="24"/>
        </w:rPr>
        <w:t xml:space="preserve">upporting participation </w:t>
      </w:r>
      <w:r>
        <w:rPr>
          <w:rFonts w:eastAsia="Malgun Gothic" w:cs="Levenim MT"/>
          <w:szCs w:val="24"/>
        </w:rPr>
        <w:t xml:space="preserve">in the research workforce </w:t>
      </w:r>
      <w:r w:rsidRPr="00BA78FF">
        <w:rPr>
          <w:rFonts w:eastAsia="Malgun Gothic" w:cs="Levenim MT"/>
          <w:szCs w:val="24"/>
        </w:rPr>
        <w:t xml:space="preserve">by researchers at all career stages and from </w:t>
      </w:r>
      <w:r w:rsidRPr="00AD646B">
        <w:rPr>
          <w:rFonts w:eastAsia="Malgun Gothic" w:cs="Levenim MT"/>
        </w:rPr>
        <w:t>under-represented groups, by:</w:t>
      </w:r>
    </w:p>
    <w:p w:rsidRPr="00A82CA0" w:rsidR="00EC6100" w:rsidP="00EC6100" w:rsidRDefault="00EC6100" w14:paraId="5AD4A3AF" w14:textId="77777777">
      <w:pPr>
        <w:pStyle w:val="ListParagraph"/>
        <w:widowControl/>
        <w:numPr>
          <w:ilvl w:val="0"/>
          <w:numId w:val="20"/>
        </w:numPr>
        <w:shd w:val="clear" w:color="auto" w:fill="FFFFFF" w:themeFill="background1"/>
        <w:tabs>
          <w:tab w:val="left" w:pos="0"/>
          <w:tab w:val="left" w:pos="1134"/>
          <w:tab w:val="left" w:pos="1701"/>
        </w:tabs>
        <w:autoSpaceDE/>
        <w:autoSpaceDN/>
        <w:spacing w:before="0" w:after="0" w:line="240" w:lineRule="auto"/>
        <w:ind w:left="714" w:hanging="357"/>
        <w:contextualSpacing/>
        <w:rPr>
          <w:color w:val="auto"/>
          <w:szCs w:val="24"/>
        </w:rPr>
      </w:pPr>
      <w:r w:rsidRPr="00A82CA0">
        <w:rPr>
          <w:color w:val="auto"/>
          <w:szCs w:val="24"/>
        </w:rPr>
        <w:t>funding eligible researchers at different career stage</w:t>
      </w:r>
      <w:r>
        <w:rPr>
          <w:color w:val="auto"/>
          <w:szCs w:val="24"/>
        </w:rPr>
        <w:t>s</w:t>
      </w:r>
      <w:r w:rsidRPr="00A82CA0">
        <w:rPr>
          <w:color w:val="auto"/>
          <w:szCs w:val="24"/>
        </w:rPr>
        <w:t xml:space="preserve"> </w:t>
      </w:r>
      <w:r>
        <w:rPr>
          <w:color w:val="auto"/>
          <w:szCs w:val="24"/>
        </w:rPr>
        <w:t>t</w:t>
      </w:r>
      <w:r w:rsidRPr="00A82CA0">
        <w:rPr>
          <w:color w:val="auto"/>
          <w:szCs w:val="24"/>
        </w:rPr>
        <w:t>hrough</w:t>
      </w:r>
      <w:r>
        <w:rPr>
          <w:color w:val="auto"/>
          <w:szCs w:val="24"/>
        </w:rPr>
        <w:t xml:space="preserve"> all schemes, including</w:t>
      </w:r>
      <w:r w:rsidRPr="00A82CA0">
        <w:rPr>
          <w:color w:val="auto"/>
          <w:szCs w:val="24"/>
        </w:rPr>
        <w:t xml:space="preserve"> fellowship</w:t>
      </w:r>
      <w:r>
        <w:rPr>
          <w:color w:val="auto"/>
          <w:szCs w:val="24"/>
        </w:rPr>
        <w:t>s</w:t>
      </w:r>
      <w:r w:rsidRPr="00A82CA0">
        <w:rPr>
          <w:color w:val="auto"/>
          <w:szCs w:val="24"/>
        </w:rPr>
        <w:t xml:space="preserve"> and </w:t>
      </w:r>
      <w:proofErr w:type="gramStart"/>
      <w:r w:rsidRPr="00A82CA0">
        <w:rPr>
          <w:color w:val="auto"/>
          <w:szCs w:val="24"/>
        </w:rPr>
        <w:t>award</w:t>
      </w:r>
      <w:r>
        <w:rPr>
          <w:color w:val="auto"/>
          <w:szCs w:val="24"/>
        </w:rPr>
        <w:t>s</w:t>
      </w:r>
      <w:proofErr w:type="gramEnd"/>
    </w:p>
    <w:p w:rsidRPr="00A82CA0" w:rsidR="00EC6100" w:rsidP="00EC6100" w:rsidRDefault="00EC6100" w14:paraId="2A9847F1" w14:textId="77777777">
      <w:pPr>
        <w:pStyle w:val="ListParagraph"/>
        <w:widowControl/>
        <w:numPr>
          <w:ilvl w:val="0"/>
          <w:numId w:val="20"/>
        </w:numPr>
        <w:shd w:val="clear" w:color="auto" w:fill="FFFFFF" w:themeFill="background1"/>
        <w:tabs>
          <w:tab w:val="left" w:pos="0"/>
          <w:tab w:val="left" w:pos="1134"/>
          <w:tab w:val="left" w:pos="1701"/>
        </w:tabs>
        <w:autoSpaceDE/>
        <w:autoSpaceDN/>
        <w:spacing w:before="0" w:after="0" w:line="240" w:lineRule="auto"/>
        <w:ind w:left="714" w:hanging="357"/>
        <w:contextualSpacing/>
        <w:rPr>
          <w:color w:val="auto"/>
          <w:szCs w:val="24"/>
        </w:rPr>
      </w:pPr>
      <w:r w:rsidRPr="00A82CA0">
        <w:rPr>
          <w:color w:val="auto"/>
          <w:szCs w:val="24"/>
        </w:rPr>
        <w:t>funding Aboriginal and Torres Strait Islander researchers for projects and fellowships across all disciplines</w:t>
      </w:r>
      <w:r>
        <w:rPr>
          <w:color w:val="auto"/>
          <w:szCs w:val="24"/>
        </w:rPr>
        <w:t xml:space="preserve"> (excluding medical research)</w:t>
      </w:r>
    </w:p>
    <w:p w:rsidRPr="00A82CA0" w:rsidR="00EC6100" w:rsidP="00EC6100" w:rsidRDefault="00EC6100" w14:paraId="2F0CBA73" w14:textId="77777777">
      <w:pPr>
        <w:pStyle w:val="ListParagraph"/>
        <w:widowControl/>
        <w:numPr>
          <w:ilvl w:val="0"/>
          <w:numId w:val="20"/>
        </w:numPr>
        <w:shd w:val="clear" w:color="auto" w:fill="FFFFFF" w:themeFill="background1"/>
        <w:tabs>
          <w:tab w:val="left" w:pos="0"/>
          <w:tab w:val="left" w:pos="1134"/>
          <w:tab w:val="left" w:pos="1701"/>
        </w:tabs>
        <w:autoSpaceDE/>
        <w:autoSpaceDN/>
        <w:spacing w:before="0" w:after="0" w:line="240" w:lineRule="auto"/>
        <w:ind w:left="714" w:hanging="357"/>
        <w:contextualSpacing/>
        <w:rPr>
          <w:color w:val="auto"/>
          <w:szCs w:val="24"/>
        </w:rPr>
      </w:pPr>
      <w:r w:rsidRPr="00A82CA0">
        <w:rPr>
          <w:color w:val="auto"/>
          <w:szCs w:val="24"/>
        </w:rPr>
        <w:t xml:space="preserve">utilising eligibility and assessment criteria to support researchers at particular career stages and in under-represented </w:t>
      </w:r>
      <w:proofErr w:type="gramStart"/>
      <w:r w:rsidRPr="00A82CA0">
        <w:rPr>
          <w:color w:val="auto"/>
          <w:szCs w:val="24"/>
        </w:rPr>
        <w:t>groups</w:t>
      </w:r>
      <w:proofErr w:type="gramEnd"/>
    </w:p>
    <w:p w:rsidR="00EC6100" w:rsidP="00EC6100" w:rsidRDefault="00EC6100" w14:paraId="165995B6" w14:textId="77777777">
      <w:pPr>
        <w:pStyle w:val="ListParagraph"/>
        <w:widowControl/>
        <w:numPr>
          <w:ilvl w:val="0"/>
          <w:numId w:val="20"/>
        </w:numPr>
        <w:shd w:val="clear" w:color="auto" w:fill="FFFFFF" w:themeFill="background1"/>
        <w:tabs>
          <w:tab w:val="left" w:pos="0"/>
          <w:tab w:val="left" w:pos="1134"/>
          <w:tab w:val="left" w:pos="1701"/>
        </w:tabs>
        <w:autoSpaceDE/>
        <w:autoSpaceDN/>
        <w:spacing w:before="0" w:after="0" w:line="240" w:lineRule="auto"/>
        <w:ind w:left="714" w:hanging="357"/>
        <w:contextualSpacing/>
        <w:rPr>
          <w:color w:val="auto"/>
          <w:szCs w:val="24"/>
        </w:rPr>
      </w:pPr>
      <w:r w:rsidRPr="00BA78FF">
        <w:rPr>
          <w:color w:val="auto"/>
          <w:szCs w:val="24"/>
        </w:rPr>
        <w:t>provid</w:t>
      </w:r>
      <w:r>
        <w:rPr>
          <w:color w:val="auto"/>
          <w:szCs w:val="24"/>
        </w:rPr>
        <w:t xml:space="preserve">ing </w:t>
      </w:r>
      <w:r w:rsidRPr="00BA78FF">
        <w:rPr>
          <w:color w:val="auto"/>
          <w:szCs w:val="24"/>
        </w:rPr>
        <w:t>fair access to ARC funding for all eligible researchers and promot</w:t>
      </w:r>
      <w:r>
        <w:rPr>
          <w:color w:val="auto"/>
          <w:szCs w:val="24"/>
        </w:rPr>
        <w:t>ing</w:t>
      </w:r>
      <w:r w:rsidRPr="00BA78FF">
        <w:rPr>
          <w:color w:val="auto"/>
          <w:szCs w:val="24"/>
        </w:rPr>
        <w:t xml:space="preserve"> diversity</w:t>
      </w:r>
      <w:r>
        <w:rPr>
          <w:color w:val="auto"/>
          <w:szCs w:val="24"/>
        </w:rPr>
        <w:t xml:space="preserve">, </w:t>
      </w:r>
      <w:proofErr w:type="gramStart"/>
      <w:r>
        <w:rPr>
          <w:color w:val="auto"/>
          <w:szCs w:val="24"/>
        </w:rPr>
        <w:t>inclusion</w:t>
      </w:r>
      <w:proofErr w:type="gramEnd"/>
      <w:r>
        <w:rPr>
          <w:color w:val="auto"/>
          <w:szCs w:val="24"/>
        </w:rPr>
        <w:t xml:space="preserve"> </w:t>
      </w:r>
      <w:r w:rsidRPr="00BA78FF">
        <w:rPr>
          <w:color w:val="auto"/>
          <w:szCs w:val="24"/>
        </w:rPr>
        <w:t>and equity principles.</w:t>
      </w:r>
    </w:p>
    <w:p w:rsidRPr="00A82CA0" w:rsidR="00EC6100" w:rsidP="00EC6100" w:rsidRDefault="00EC6100" w14:paraId="05D128FC" w14:textId="77777777">
      <w:pPr>
        <w:pStyle w:val="ListParagraph"/>
        <w:numPr>
          <w:ilvl w:val="0"/>
          <w:numId w:val="0"/>
        </w:numPr>
        <w:shd w:val="clear" w:color="auto" w:fill="FFFFFF" w:themeFill="background1"/>
        <w:tabs>
          <w:tab w:val="left" w:pos="0"/>
          <w:tab w:val="left" w:pos="1134"/>
          <w:tab w:val="left" w:pos="1701"/>
        </w:tabs>
        <w:ind w:left="357"/>
        <w:rPr>
          <w:color w:val="auto"/>
          <w:szCs w:val="24"/>
        </w:rPr>
      </w:pPr>
    </w:p>
    <w:p w:rsidRPr="00EC6100" w:rsidR="00EC6100" w:rsidP="00EC6100" w:rsidRDefault="00EC6100" w14:paraId="441DF20F" w14:textId="77777777">
      <w:pPr>
        <w:tabs>
          <w:tab w:val="left" w:pos="0"/>
          <w:tab w:val="left" w:pos="567"/>
          <w:tab w:val="left" w:pos="709"/>
          <w:tab w:val="left" w:pos="1134"/>
          <w:tab w:val="left" w:pos="1701"/>
        </w:tabs>
        <w:ind w:left="1701" w:hanging="1701"/>
        <w:rPr>
          <w:rFonts w:eastAsia="Malgun Gothic" w:asciiTheme="minorHAnsi" w:hAnsiTheme="minorHAnsi" w:cstheme="minorHAnsi"/>
          <w:b/>
          <w:i/>
          <w:iCs/>
          <w:sz w:val="28"/>
          <w:szCs w:val="28"/>
        </w:rPr>
      </w:pPr>
      <w:r w:rsidRPr="00EC6100">
        <w:rPr>
          <w:rFonts w:eastAsia="Malgun Gothic" w:asciiTheme="minorHAnsi" w:hAnsiTheme="minorHAnsi" w:cstheme="minorHAnsi"/>
          <w:b/>
          <w:i/>
          <w:iCs/>
          <w:color w:val="231655" w:themeColor="background2" w:themeShade="BF"/>
          <w:sz w:val="28"/>
          <w:szCs w:val="28"/>
        </w:rPr>
        <w:t>Flexibility</w:t>
      </w:r>
      <w:r w:rsidRPr="00EC6100">
        <w:rPr>
          <w:rFonts w:eastAsia="Malgun Gothic" w:asciiTheme="minorHAnsi" w:hAnsiTheme="minorHAnsi" w:cstheme="minorHAnsi"/>
          <w:b/>
          <w:i/>
          <w:iCs/>
          <w:sz w:val="28"/>
          <w:szCs w:val="28"/>
        </w:rPr>
        <w:tab/>
      </w:r>
    </w:p>
    <w:p w:rsidRPr="00BA78FF" w:rsidR="00EC6100" w:rsidP="00EC6100" w:rsidRDefault="00EC6100" w14:paraId="4BDC1139" w14:textId="77777777">
      <w:pPr>
        <w:tabs>
          <w:tab w:val="left" w:pos="0"/>
          <w:tab w:val="left" w:pos="567"/>
          <w:tab w:val="left" w:pos="709"/>
          <w:tab w:val="left" w:pos="1134"/>
          <w:tab w:val="left" w:pos="1701"/>
        </w:tabs>
        <w:ind w:left="1701" w:hanging="1701"/>
        <w:rPr>
          <w:rFonts w:eastAsia="Malgun Gothic" w:cs="Levenim MT"/>
          <w:szCs w:val="24"/>
        </w:rPr>
      </w:pPr>
      <w:r>
        <w:rPr>
          <w:rFonts w:eastAsia="Malgun Gothic" w:cs="Levenim MT"/>
          <w:szCs w:val="24"/>
        </w:rPr>
        <w:t>P</w:t>
      </w:r>
      <w:r w:rsidRPr="00BA78FF">
        <w:rPr>
          <w:rFonts w:eastAsia="Malgun Gothic" w:cs="Levenim MT"/>
          <w:szCs w:val="24"/>
        </w:rPr>
        <w:t>roviding a framework which gives researchers flexibility in shaping their careers</w:t>
      </w:r>
      <w:r>
        <w:rPr>
          <w:rFonts w:eastAsia="Malgun Gothic" w:cs="Levenim MT"/>
          <w:szCs w:val="24"/>
        </w:rPr>
        <w:t>, by:</w:t>
      </w:r>
    </w:p>
    <w:p w:rsidRPr="00AD646B" w:rsidR="00EC6100" w:rsidP="00EC6100" w:rsidRDefault="00EC6100" w14:paraId="548DA780" w14:textId="77777777">
      <w:pPr>
        <w:pStyle w:val="ListParagraph"/>
        <w:widowControl/>
        <w:numPr>
          <w:ilvl w:val="0"/>
          <w:numId w:val="20"/>
        </w:numPr>
        <w:shd w:val="clear" w:color="auto" w:fill="FFFFFF" w:themeFill="background1"/>
        <w:tabs>
          <w:tab w:val="left" w:pos="0"/>
          <w:tab w:val="left" w:pos="1134"/>
          <w:tab w:val="left" w:pos="1701"/>
        </w:tabs>
        <w:autoSpaceDE/>
        <w:autoSpaceDN/>
        <w:spacing w:before="0" w:after="0" w:line="240" w:lineRule="auto"/>
        <w:ind w:left="714" w:hanging="357"/>
        <w:contextualSpacing/>
        <w:rPr>
          <w:color w:val="auto"/>
          <w:szCs w:val="24"/>
        </w:rPr>
      </w:pPr>
      <w:r w:rsidRPr="00AD646B">
        <w:rPr>
          <w:color w:val="auto"/>
          <w:szCs w:val="24"/>
        </w:rPr>
        <w:t>utilis</w:t>
      </w:r>
      <w:r>
        <w:rPr>
          <w:color w:val="auto"/>
          <w:szCs w:val="24"/>
        </w:rPr>
        <w:t>ing eligibility</w:t>
      </w:r>
      <w:r w:rsidRPr="00AD646B">
        <w:rPr>
          <w:color w:val="auto"/>
          <w:szCs w:val="24"/>
        </w:rPr>
        <w:t xml:space="preserve"> processes and grant conditions that allow for career life </w:t>
      </w:r>
      <w:proofErr w:type="gramStart"/>
      <w:r w:rsidRPr="00AD646B">
        <w:rPr>
          <w:color w:val="auto"/>
          <w:szCs w:val="24"/>
        </w:rPr>
        <w:t>balance</w:t>
      </w:r>
      <w:proofErr w:type="gramEnd"/>
    </w:p>
    <w:p w:rsidRPr="00AD646B" w:rsidR="00EC6100" w:rsidP="00EC6100" w:rsidRDefault="00EC6100" w14:paraId="595FB3A3" w14:textId="77777777">
      <w:pPr>
        <w:pStyle w:val="ListParagraph"/>
        <w:widowControl/>
        <w:numPr>
          <w:ilvl w:val="0"/>
          <w:numId w:val="20"/>
        </w:numPr>
        <w:shd w:val="clear" w:color="auto" w:fill="FFFFFF" w:themeFill="background1"/>
        <w:tabs>
          <w:tab w:val="left" w:pos="0"/>
          <w:tab w:val="left" w:pos="1134"/>
          <w:tab w:val="left" w:pos="1701"/>
        </w:tabs>
        <w:autoSpaceDE/>
        <w:autoSpaceDN/>
        <w:spacing w:before="0" w:after="0" w:line="240" w:lineRule="auto"/>
        <w:ind w:left="714" w:hanging="357"/>
        <w:contextualSpacing/>
        <w:rPr>
          <w:color w:val="auto"/>
          <w:szCs w:val="24"/>
        </w:rPr>
      </w:pPr>
      <w:r w:rsidRPr="00AD646B">
        <w:rPr>
          <w:color w:val="auto"/>
          <w:szCs w:val="24"/>
        </w:rPr>
        <w:t xml:space="preserve">facilitating opportunities for researchers from diverse career and research backgrounds to </w:t>
      </w:r>
      <w:r>
        <w:rPr>
          <w:color w:val="auto"/>
          <w:szCs w:val="24"/>
        </w:rPr>
        <w:t xml:space="preserve">access NCGP </w:t>
      </w:r>
      <w:proofErr w:type="gramStart"/>
      <w:r>
        <w:rPr>
          <w:color w:val="auto"/>
          <w:szCs w:val="24"/>
        </w:rPr>
        <w:t>funding</w:t>
      </w:r>
      <w:proofErr w:type="gramEnd"/>
    </w:p>
    <w:p w:rsidRPr="00AD646B" w:rsidR="00EC6100" w:rsidP="00EC6100" w:rsidRDefault="00EC6100" w14:paraId="477B61C3" w14:textId="77777777">
      <w:pPr>
        <w:pStyle w:val="ListParagraph"/>
        <w:widowControl/>
        <w:numPr>
          <w:ilvl w:val="0"/>
          <w:numId w:val="20"/>
        </w:numPr>
        <w:shd w:val="clear" w:color="auto" w:fill="FFFFFF" w:themeFill="background1"/>
        <w:tabs>
          <w:tab w:val="left" w:pos="0"/>
          <w:tab w:val="left" w:pos="1134"/>
          <w:tab w:val="left" w:pos="1701"/>
        </w:tabs>
        <w:autoSpaceDE/>
        <w:autoSpaceDN/>
        <w:spacing w:before="0" w:after="0" w:line="240" w:lineRule="auto"/>
        <w:ind w:left="714" w:hanging="357"/>
        <w:contextualSpacing/>
        <w:rPr>
          <w:color w:val="auto"/>
          <w:szCs w:val="24"/>
        </w:rPr>
      </w:pPr>
      <w:r>
        <w:rPr>
          <w:color w:val="auto"/>
          <w:szCs w:val="24"/>
        </w:rPr>
        <w:t xml:space="preserve">structuring NCGP schemes, </w:t>
      </w:r>
      <w:r w:rsidRPr="00AD646B">
        <w:rPr>
          <w:color w:val="auto"/>
          <w:szCs w:val="24"/>
        </w:rPr>
        <w:t xml:space="preserve">eligibility and assessment processes, and grant conditions </w:t>
      </w:r>
      <w:r>
        <w:rPr>
          <w:color w:val="auto"/>
          <w:szCs w:val="24"/>
        </w:rPr>
        <w:t xml:space="preserve">to </w:t>
      </w:r>
      <w:r w:rsidRPr="00AD646B">
        <w:rPr>
          <w:color w:val="auto"/>
          <w:szCs w:val="24"/>
        </w:rPr>
        <w:t xml:space="preserve">encourage researchers to work with industry/end-user organisations and support movement between </w:t>
      </w:r>
      <w:proofErr w:type="gramStart"/>
      <w:r w:rsidRPr="00AD646B">
        <w:rPr>
          <w:color w:val="auto"/>
          <w:szCs w:val="24"/>
        </w:rPr>
        <w:t>sectors</w:t>
      </w:r>
      <w:proofErr w:type="gramEnd"/>
    </w:p>
    <w:p w:rsidRPr="00EC6100" w:rsidR="00EC6100" w:rsidP="00EC6100" w:rsidRDefault="00EC6100" w14:paraId="4B0DF51C" w14:textId="54D6C121">
      <w:pPr>
        <w:pStyle w:val="ListParagraph"/>
        <w:widowControl/>
        <w:numPr>
          <w:ilvl w:val="0"/>
          <w:numId w:val="20"/>
        </w:numPr>
        <w:shd w:val="clear" w:color="auto" w:fill="FFFFFF" w:themeFill="background1"/>
        <w:tabs>
          <w:tab w:val="left" w:pos="0"/>
          <w:tab w:val="left" w:pos="1134"/>
          <w:tab w:val="left" w:pos="1701"/>
        </w:tabs>
        <w:autoSpaceDE/>
        <w:autoSpaceDN/>
        <w:spacing w:before="0" w:after="0" w:line="240" w:lineRule="auto"/>
        <w:ind w:left="714" w:hanging="357"/>
        <w:contextualSpacing/>
        <w:rPr>
          <w:color w:val="auto"/>
          <w:szCs w:val="24"/>
        </w:rPr>
      </w:pPr>
      <w:r w:rsidRPr="00AD646B">
        <w:rPr>
          <w:color w:val="auto"/>
          <w:szCs w:val="24"/>
        </w:rPr>
        <w:t xml:space="preserve">utilising funding mechanisms which offer a wide range of support, including individual salaries through fellowships and awards, higher degree by research student stipends, research project costs, access to infrastructure, and establishment of centres, </w:t>
      </w:r>
      <w:proofErr w:type="gramStart"/>
      <w:r w:rsidRPr="00AD646B">
        <w:rPr>
          <w:color w:val="auto"/>
          <w:szCs w:val="24"/>
        </w:rPr>
        <w:t>networks</w:t>
      </w:r>
      <w:proofErr w:type="gramEnd"/>
      <w:r w:rsidRPr="00AD646B">
        <w:rPr>
          <w:color w:val="auto"/>
          <w:szCs w:val="24"/>
        </w:rPr>
        <w:t xml:space="preserve"> and hubs.</w:t>
      </w:r>
    </w:p>
    <w:p w:rsidR="00EC6100" w:rsidP="00EC6100" w:rsidRDefault="00EC6100" w14:paraId="71811733" w14:textId="4DBC0094">
      <w:pPr>
        <w:rPr>
          <w:rFonts w:ascii="Arial" w:hAnsi="Arial" w:eastAsia="Malgun Gothic" w:cs="Arial"/>
          <w:b/>
          <w:szCs w:val="24"/>
        </w:rPr>
      </w:pPr>
    </w:p>
    <w:p w:rsidRPr="00664DDA" w:rsidR="00EC6100" w:rsidP="00EC6100" w:rsidRDefault="00EC6100" w14:paraId="0063EC2D" w14:textId="77777777">
      <w:pPr>
        <w:tabs>
          <w:tab w:val="left" w:pos="567"/>
          <w:tab w:val="left" w:pos="1701"/>
        </w:tabs>
        <w:ind w:left="1701" w:hanging="1701"/>
        <w:rPr>
          <w:rFonts w:eastAsia="Malgun Gothic" w:asciiTheme="minorHAnsi" w:hAnsiTheme="minorHAnsi" w:cstheme="minorHAnsi"/>
          <w:b/>
          <w:i/>
          <w:iCs/>
          <w:sz w:val="28"/>
          <w:szCs w:val="28"/>
        </w:rPr>
      </w:pPr>
      <w:r w:rsidRPr="00664DDA">
        <w:rPr>
          <w:rFonts w:eastAsia="Malgun Gothic" w:asciiTheme="minorHAnsi" w:hAnsiTheme="minorHAnsi" w:cstheme="minorHAnsi"/>
          <w:b/>
          <w:i/>
          <w:iCs/>
          <w:color w:val="231655" w:themeColor="background2" w:themeShade="BF"/>
          <w:sz w:val="28"/>
          <w:szCs w:val="28"/>
        </w:rPr>
        <w:t>Capacity</w:t>
      </w:r>
      <w:r w:rsidRPr="00664DDA">
        <w:rPr>
          <w:rFonts w:eastAsia="Malgun Gothic" w:asciiTheme="minorHAnsi" w:hAnsiTheme="minorHAnsi" w:cstheme="minorHAnsi"/>
          <w:b/>
          <w:i/>
          <w:iCs/>
          <w:sz w:val="28"/>
          <w:szCs w:val="28"/>
        </w:rPr>
        <w:tab/>
      </w:r>
    </w:p>
    <w:p w:rsidRPr="00BA78FF" w:rsidR="00EC6100" w:rsidP="00EC6100" w:rsidRDefault="00EC6100" w14:paraId="14683C83" w14:textId="77777777">
      <w:pPr>
        <w:tabs>
          <w:tab w:val="left" w:pos="567"/>
          <w:tab w:val="left" w:pos="1701"/>
        </w:tabs>
        <w:ind w:left="1701" w:hanging="1701"/>
        <w:rPr>
          <w:rFonts w:eastAsia="Malgun Gothic" w:cs="Levenim MT"/>
          <w:sz w:val="28"/>
        </w:rPr>
      </w:pPr>
      <w:r>
        <w:rPr>
          <w:rFonts w:eastAsia="Malgun Gothic" w:cs="Levenim MT"/>
        </w:rPr>
        <w:t>P</w:t>
      </w:r>
      <w:r w:rsidRPr="00BA78FF">
        <w:rPr>
          <w:rFonts w:eastAsia="Malgun Gothic" w:cs="Levenim MT"/>
        </w:rPr>
        <w:t>roviding support mechanisms to attract and retain the highest quality researchers</w:t>
      </w:r>
      <w:r>
        <w:rPr>
          <w:rFonts w:eastAsia="Malgun Gothic" w:cs="Levenim MT"/>
        </w:rPr>
        <w:t>, by:</w:t>
      </w:r>
    </w:p>
    <w:p w:rsidRPr="00AD646B" w:rsidR="00EC6100" w:rsidP="00EC6100" w:rsidRDefault="00EC6100" w14:paraId="7DE62FF9" w14:textId="77777777">
      <w:pPr>
        <w:pStyle w:val="ListParagraph"/>
        <w:widowControl/>
        <w:numPr>
          <w:ilvl w:val="0"/>
          <w:numId w:val="20"/>
        </w:numPr>
        <w:shd w:val="clear" w:color="auto" w:fill="FFFFFF" w:themeFill="background1"/>
        <w:tabs>
          <w:tab w:val="left" w:pos="0"/>
          <w:tab w:val="left" w:pos="1134"/>
          <w:tab w:val="left" w:pos="1701"/>
        </w:tabs>
        <w:autoSpaceDE/>
        <w:autoSpaceDN/>
        <w:spacing w:before="0" w:after="0" w:line="240" w:lineRule="auto"/>
        <w:ind w:left="714" w:hanging="357"/>
        <w:contextualSpacing/>
        <w:rPr>
          <w:color w:val="auto"/>
          <w:szCs w:val="24"/>
        </w:rPr>
      </w:pPr>
      <w:r w:rsidRPr="00AD646B">
        <w:rPr>
          <w:color w:val="auto"/>
          <w:szCs w:val="24"/>
        </w:rPr>
        <w:t>enabling the conduct of research and research training in high quality and supportive research environments</w:t>
      </w:r>
    </w:p>
    <w:p w:rsidRPr="00AD646B" w:rsidR="00EC6100" w:rsidP="00EC6100" w:rsidRDefault="00EC6100" w14:paraId="02CB6F7C" w14:textId="77777777">
      <w:pPr>
        <w:pStyle w:val="ListParagraph"/>
        <w:widowControl/>
        <w:numPr>
          <w:ilvl w:val="0"/>
          <w:numId w:val="20"/>
        </w:numPr>
        <w:shd w:val="clear" w:color="auto" w:fill="FFFFFF" w:themeFill="background1"/>
        <w:tabs>
          <w:tab w:val="left" w:pos="0"/>
          <w:tab w:val="left" w:pos="1134"/>
          <w:tab w:val="left" w:pos="1701"/>
        </w:tabs>
        <w:autoSpaceDE/>
        <w:autoSpaceDN/>
        <w:spacing w:before="0" w:after="0" w:line="240" w:lineRule="auto"/>
        <w:ind w:left="714" w:hanging="357"/>
        <w:contextualSpacing/>
        <w:rPr>
          <w:color w:val="auto"/>
          <w:szCs w:val="24"/>
        </w:rPr>
      </w:pPr>
      <w:r w:rsidRPr="00AD646B">
        <w:rPr>
          <w:color w:val="auto"/>
          <w:szCs w:val="24"/>
        </w:rPr>
        <w:t>encouraging mentoring of early</w:t>
      </w:r>
      <w:r>
        <w:rPr>
          <w:color w:val="auto"/>
          <w:szCs w:val="24"/>
        </w:rPr>
        <w:t xml:space="preserve"> and mid</w:t>
      </w:r>
      <w:r w:rsidRPr="00AD646B">
        <w:rPr>
          <w:color w:val="auto"/>
          <w:szCs w:val="24"/>
        </w:rPr>
        <w:t>-career researchers</w:t>
      </w:r>
    </w:p>
    <w:p w:rsidRPr="00AD646B" w:rsidR="00EC6100" w:rsidP="00EC6100" w:rsidRDefault="00EC6100" w14:paraId="51808FAF" w14:textId="77777777">
      <w:pPr>
        <w:pStyle w:val="ListParagraph"/>
        <w:widowControl/>
        <w:numPr>
          <w:ilvl w:val="0"/>
          <w:numId w:val="20"/>
        </w:numPr>
        <w:shd w:val="clear" w:color="auto" w:fill="FFFFFF" w:themeFill="background1"/>
        <w:tabs>
          <w:tab w:val="left" w:pos="0"/>
          <w:tab w:val="left" w:pos="1134"/>
          <w:tab w:val="left" w:pos="1701"/>
        </w:tabs>
        <w:autoSpaceDE/>
        <w:autoSpaceDN/>
        <w:spacing w:before="0" w:after="0" w:line="240" w:lineRule="auto"/>
        <w:ind w:left="714" w:hanging="357"/>
        <w:contextualSpacing/>
        <w:rPr>
          <w:color w:val="auto"/>
          <w:szCs w:val="24"/>
        </w:rPr>
      </w:pPr>
      <w:r w:rsidRPr="00AD646B">
        <w:rPr>
          <w:color w:val="auto"/>
          <w:szCs w:val="24"/>
        </w:rPr>
        <w:t xml:space="preserve">promoting mentoring of women researchers, including through the ambassadorial role of the </w:t>
      </w:r>
      <w:hyperlink w:history="1" r:id="rId15">
        <w:r w:rsidRPr="006F3C13">
          <w:rPr>
            <w:rStyle w:val="Hyperlink"/>
            <w:szCs w:val="24"/>
          </w:rPr>
          <w:t>Kathleen Fitzpatrick and Georgina Sweet Australian Laureate Fellowships</w:t>
        </w:r>
      </w:hyperlink>
    </w:p>
    <w:p w:rsidRPr="00AD646B" w:rsidR="00EC6100" w:rsidP="00EC6100" w:rsidRDefault="00EC6100" w14:paraId="4C1509C9" w14:textId="77777777">
      <w:pPr>
        <w:pStyle w:val="ListParagraph"/>
        <w:widowControl/>
        <w:numPr>
          <w:ilvl w:val="0"/>
          <w:numId w:val="20"/>
        </w:numPr>
        <w:shd w:val="clear" w:color="auto" w:fill="FFFFFF" w:themeFill="background1"/>
        <w:tabs>
          <w:tab w:val="left" w:pos="0"/>
          <w:tab w:val="left" w:pos="1134"/>
          <w:tab w:val="left" w:pos="1701"/>
        </w:tabs>
        <w:autoSpaceDE/>
        <w:autoSpaceDN/>
        <w:spacing w:before="0" w:after="0" w:line="240" w:lineRule="auto"/>
        <w:ind w:left="714" w:hanging="357"/>
        <w:contextualSpacing/>
        <w:rPr>
          <w:color w:val="auto"/>
          <w:szCs w:val="24"/>
        </w:rPr>
      </w:pPr>
      <w:r w:rsidRPr="00AD646B">
        <w:rPr>
          <w:color w:val="auto"/>
          <w:szCs w:val="24"/>
        </w:rPr>
        <w:t>fostering domestic and international collaboration</w:t>
      </w:r>
    </w:p>
    <w:p w:rsidR="00EC6100" w:rsidP="00EC6100" w:rsidRDefault="00EC6100" w14:paraId="5E25535D" w14:textId="77777777">
      <w:pPr>
        <w:pStyle w:val="ListParagraph"/>
        <w:widowControl/>
        <w:numPr>
          <w:ilvl w:val="0"/>
          <w:numId w:val="20"/>
        </w:numPr>
        <w:shd w:val="clear" w:color="auto" w:fill="FFFFFF" w:themeFill="background1"/>
        <w:tabs>
          <w:tab w:val="left" w:pos="0"/>
          <w:tab w:val="left" w:pos="1134"/>
          <w:tab w:val="left" w:pos="1701"/>
        </w:tabs>
        <w:autoSpaceDE/>
        <w:autoSpaceDN/>
        <w:spacing w:before="0" w:after="0" w:line="240" w:lineRule="auto"/>
        <w:ind w:left="714" w:hanging="357"/>
        <w:contextualSpacing/>
        <w:rPr>
          <w:color w:val="auto"/>
          <w:szCs w:val="24"/>
        </w:rPr>
      </w:pPr>
      <w:r w:rsidRPr="00AD646B">
        <w:rPr>
          <w:color w:val="auto"/>
          <w:szCs w:val="24"/>
        </w:rPr>
        <w:t>facilitating access to infrastructure.</w:t>
      </w:r>
      <w:bookmarkStart w:name="implementation" w:id="14"/>
      <w:bookmarkEnd w:id="14"/>
    </w:p>
    <w:p w:rsidRPr="00AD646B" w:rsidR="00EC6100" w:rsidP="00664DDA" w:rsidRDefault="00EC6100" w14:paraId="58FBED7A" w14:textId="77777777">
      <w:pPr>
        <w:pStyle w:val="ListParagraph"/>
        <w:numPr>
          <w:ilvl w:val="0"/>
          <w:numId w:val="0"/>
        </w:numPr>
        <w:shd w:val="clear" w:color="auto" w:fill="FFFFFF" w:themeFill="background1"/>
        <w:tabs>
          <w:tab w:val="left" w:pos="0"/>
          <w:tab w:val="left" w:pos="1134"/>
          <w:tab w:val="left" w:pos="1701"/>
        </w:tabs>
        <w:ind w:left="357"/>
        <w:rPr>
          <w:color w:val="auto"/>
          <w:szCs w:val="24"/>
        </w:rPr>
      </w:pPr>
    </w:p>
    <w:p w:rsidRPr="00664DDA" w:rsidR="00EC6100" w:rsidP="00EC6100" w:rsidRDefault="00EC6100" w14:paraId="53D2413A" w14:textId="77777777">
      <w:pPr>
        <w:tabs>
          <w:tab w:val="left" w:pos="567"/>
          <w:tab w:val="left" w:pos="1134"/>
          <w:tab w:val="left" w:pos="1701"/>
          <w:tab w:val="left" w:pos="2268"/>
        </w:tabs>
        <w:ind w:left="1701" w:hanging="1701"/>
        <w:rPr>
          <w:rFonts w:eastAsia="Malgun Gothic" w:asciiTheme="minorHAnsi" w:hAnsiTheme="minorHAnsi" w:cstheme="minorHAnsi"/>
          <w:b/>
          <w:color w:val="231655" w:themeColor="background2" w:themeShade="BF"/>
          <w:sz w:val="28"/>
          <w:szCs w:val="28"/>
        </w:rPr>
      </w:pPr>
      <w:r w:rsidRPr="00664DDA">
        <w:rPr>
          <w:rFonts w:eastAsia="Malgun Gothic" w:asciiTheme="minorHAnsi" w:hAnsiTheme="minorHAnsi" w:cstheme="minorHAnsi"/>
          <w:b/>
          <w:color w:val="231655" w:themeColor="background2" w:themeShade="BF"/>
          <w:sz w:val="28"/>
          <w:szCs w:val="28"/>
        </w:rPr>
        <w:t>Evaluation</w:t>
      </w:r>
    </w:p>
    <w:p w:rsidRPr="002468AE" w:rsidR="00581CEA" w:rsidP="002468AE" w:rsidRDefault="00EC6100" w14:paraId="04586321" w14:textId="6DA91E6F">
      <w:pPr>
        <w:tabs>
          <w:tab w:val="left" w:pos="567"/>
          <w:tab w:val="left" w:pos="1134"/>
          <w:tab w:val="left" w:pos="1701"/>
          <w:tab w:val="left" w:pos="2268"/>
        </w:tabs>
        <w:rPr>
          <w:rFonts w:eastAsia="Malgun Gothic" w:cs="Levenim MT"/>
        </w:rPr>
      </w:pPr>
      <w:r>
        <w:rPr>
          <w:rFonts w:eastAsia="Malgun Gothic" w:cs="Levenim MT"/>
        </w:rPr>
        <w:t>M</w:t>
      </w:r>
      <w:r w:rsidRPr="00BA78FF">
        <w:rPr>
          <w:rFonts w:eastAsia="Malgun Gothic" w:cs="Levenim MT"/>
        </w:rPr>
        <w:t>onitoring the outcomes of ARC mechanisms for strengthening the Australian research workforce and committing to a process of continuous improvement.</w:t>
      </w:r>
    </w:p>
    <w:p w:rsidR="00581CEA" w:rsidP="00B71769" w:rsidRDefault="00B71769" w14:paraId="30E1FACF" w14:textId="772D28EA">
      <w:pPr>
        <w:pStyle w:val="Heading1"/>
      </w:pPr>
      <w:bookmarkStart w:name="_Toc160107876" w:id="15"/>
      <w:r>
        <w:t>Implementation</w:t>
      </w:r>
      <w:bookmarkEnd w:id="15"/>
    </w:p>
    <w:p w:rsidRPr="004A0199" w:rsidR="004A0199" w:rsidP="004A0199" w:rsidRDefault="004A0199" w14:paraId="064A60E4" w14:textId="747DC63E">
      <w:bookmarkStart w:name="_Toc81921768" w:id="16"/>
      <w:bookmarkStart w:name="_Toc81985457" w:id="17"/>
      <w:r w:rsidRPr="00CF7872">
        <w:rPr>
          <w:szCs w:val="24"/>
        </w:rPr>
        <w:t>NCGP schemes support the research workforce, including through targeted schemes</w:t>
      </w:r>
      <w:r>
        <w:rPr>
          <w:szCs w:val="24"/>
        </w:rPr>
        <w:t>,</w:t>
      </w:r>
      <w:r w:rsidRPr="00CF7872">
        <w:rPr>
          <w:szCs w:val="24"/>
        </w:rPr>
        <w:t xml:space="preserve"> for:</w:t>
      </w:r>
    </w:p>
    <w:p w:rsidRPr="00CF7872" w:rsidR="004A0199" w:rsidP="004A0199" w:rsidRDefault="004A0199" w14:paraId="6E73B0E4" w14:textId="77777777">
      <w:pPr>
        <w:pStyle w:val="ListParagraph"/>
        <w:widowControl/>
        <w:numPr>
          <w:ilvl w:val="0"/>
          <w:numId w:val="20"/>
        </w:numPr>
        <w:shd w:val="clear" w:color="auto" w:fill="FFFFFF" w:themeFill="background1"/>
        <w:tabs>
          <w:tab w:val="left" w:pos="0"/>
          <w:tab w:val="left" w:pos="1134"/>
          <w:tab w:val="left" w:pos="1701"/>
        </w:tabs>
        <w:autoSpaceDE/>
        <w:autoSpaceDN/>
        <w:spacing w:before="0" w:after="0" w:line="240" w:lineRule="auto"/>
        <w:ind w:left="714" w:hanging="357"/>
        <w:contextualSpacing/>
        <w:rPr>
          <w:color w:val="auto"/>
          <w:szCs w:val="24"/>
        </w:rPr>
      </w:pPr>
      <w:r w:rsidRPr="00CF7872">
        <w:rPr>
          <w:color w:val="auto"/>
          <w:szCs w:val="24"/>
        </w:rPr>
        <w:t>higher degree by research students (all NCGP schemes), and honours students (</w:t>
      </w:r>
      <w:r w:rsidRPr="00CF7872">
        <w:rPr>
          <w:i/>
          <w:color w:val="auto"/>
          <w:szCs w:val="24"/>
        </w:rPr>
        <w:t>Discovery Indigenous</w:t>
      </w:r>
      <w:r w:rsidRPr="00CF7872">
        <w:rPr>
          <w:color w:val="auto"/>
          <w:szCs w:val="24"/>
        </w:rPr>
        <w:t xml:space="preserve"> scheme only)</w:t>
      </w:r>
    </w:p>
    <w:p w:rsidRPr="00CF7872" w:rsidR="004A0199" w:rsidP="004A0199" w:rsidRDefault="004A0199" w14:paraId="6755FF28" w14:textId="77777777">
      <w:pPr>
        <w:pStyle w:val="ListParagraph"/>
        <w:widowControl/>
        <w:numPr>
          <w:ilvl w:val="0"/>
          <w:numId w:val="20"/>
        </w:numPr>
        <w:shd w:val="clear" w:color="auto" w:fill="FFFFFF" w:themeFill="background1"/>
        <w:tabs>
          <w:tab w:val="left" w:pos="0"/>
          <w:tab w:val="left" w:pos="1134"/>
          <w:tab w:val="left" w:pos="1701"/>
        </w:tabs>
        <w:autoSpaceDE/>
        <w:autoSpaceDN/>
        <w:spacing w:before="0" w:after="0" w:line="240" w:lineRule="auto"/>
        <w:ind w:left="714" w:hanging="357"/>
        <w:contextualSpacing/>
        <w:rPr>
          <w:color w:val="auto"/>
          <w:szCs w:val="24"/>
        </w:rPr>
      </w:pPr>
      <w:r w:rsidRPr="00CF7872">
        <w:rPr>
          <w:color w:val="auto"/>
          <w:szCs w:val="24"/>
        </w:rPr>
        <w:t xml:space="preserve">early-career researchers </w:t>
      </w:r>
    </w:p>
    <w:p w:rsidRPr="00CF7872" w:rsidR="004A0199" w:rsidP="004A0199" w:rsidRDefault="004A0199" w14:paraId="692A83C3" w14:textId="77777777">
      <w:pPr>
        <w:pStyle w:val="ListParagraph"/>
        <w:widowControl/>
        <w:numPr>
          <w:ilvl w:val="0"/>
          <w:numId w:val="20"/>
        </w:numPr>
        <w:shd w:val="clear" w:color="auto" w:fill="FFFFFF" w:themeFill="background1"/>
        <w:tabs>
          <w:tab w:val="left" w:pos="0"/>
          <w:tab w:val="left" w:pos="1134"/>
          <w:tab w:val="left" w:pos="1701"/>
        </w:tabs>
        <w:autoSpaceDE/>
        <w:autoSpaceDN/>
        <w:spacing w:before="0" w:after="0" w:line="240" w:lineRule="auto"/>
        <w:ind w:left="714" w:hanging="357"/>
        <w:contextualSpacing/>
        <w:rPr>
          <w:color w:val="auto"/>
          <w:szCs w:val="24"/>
        </w:rPr>
      </w:pPr>
      <w:r w:rsidRPr="00CF7872">
        <w:rPr>
          <w:color w:val="auto"/>
          <w:szCs w:val="24"/>
        </w:rPr>
        <w:t xml:space="preserve">mid-career researchers </w:t>
      </w:r>
    </w:p>
    <w:p w:rsidRPr="00CF7872" w:rsidR="004A0199" w:rsidP="004A0199" w:rsidRDefault="004A0199" w14:paraId="1F0DAEB4" w14:textId="77777777">
      <w:pPr>
        <w:pStyle w:val="ListParagraph"/>
        <w:widowControl/>
        <w:numPr>
          <w:ilvl w:val="0"/>
          <w:numId w:val="20"/>
        </w:numPr>
        <w:shd w:val="clear" w:color="auto" w:fill="FFFFFF" w:themeFill="background1"/>
        <w:tabs>
          <w:tab w:val="left" w:pos="0"/>
          <w:tab w:val="left" w:pos="1134"/>
          <w:tab w:val="left" w:pos="1701"/>
        </w:tabs>
        <w:autoSpaceDE/>
        <w:autoSpaceDN/>
        <w:spacing w:before="0" w:after="0" w:line="240" w:lineRule="auto"/>
        <w:ind w:left="714" w:hanging="357"/>
        <w:contextualSpacing/>
        <w:rPr>
          <w:color w:val="auto"/>
          <w:szCs w:val="24"/>
        </w:rPr>
      </w:pPr>
      <w:r w:rsidRPr="00CF7872">
        <w:rPr>
          <w:color w:val="auto"/>
          <w:szCs w:val="24"/>
        </w:rPr>
        <w:t xml:space="preserve">world-class researchers and research leaders </w:t>
      </w:r>
    </w:p>
    <w:p w:rsidRPr="00CF7872" w:rsidR="004A0199" w:rsidP="004A0199" w:rsidRDefault="004A0199" w14:paraId="6AF3E137" w14:textId="77777777">
      <w:pPr>
        <w:pStyle w:val="ListParagraph"/>
        <w:widowControl/>
        <w:numPr>
          <w:ilvl w:val="0"/>
          <w:numId w:val="20"/>
        </w:numPr>
        <w:shd w:val="clear" w:color="auto" w:fill="FFFFFF" w:themeFill="background1"/>
        <w:tabs>
          <w:tab w:val="left" w:pos="0"/>
          <w:tab w:val="left" w:pos="1134"/>
          <w:tab w:val="left" w:pos="1701"/>
        </w:tabs>
        <w:autoSpaceDE/>
        <w:autoSpaceDN/>
        <w:spacing w:before="0" w:after="0" w:line="240" w:lineRule="auto"/>
        <w:ind w:left="714" w:hanging="357"/>
        <w:contextualSpacing/>
        <w:rPr>
          <w:color w:val="auto"/>
          <w:szCs w:val="24"/>
        </w:rPr>
      </w:pPr>
      <w:r w:rsidRPr="00CF7872">
        <w:rPr>
          <w:color w:val="auto"/>
          <w:szCs w:val="24"/>
        </w:rPr>
        <w:t>research support staff.</w:t>
      </w:r>
    </w:p>
    <w:p w:rsidRPr="00CF7872" w:rsidR="004A0199" w:rsidP="004A0199" w:rsidRDefault="004A0199" w14:paraId="2913F32B" w14:textId="77777777">
      <w:pPr>
        <w:adjustRightInd w:val="0"/>
        <w:rPr>
          <w:rFonts w:cs="HelveticaNeueLTStd-Lt"/>
          <w:szCs w:val="24"/>
        </w:rPr>
      </w:pPr>
      <w:r w:rsidRPr="00CF7872">
        <w:rPr>
          <w:rFonts w:cs="HelveticaNeueLTStd-Lt"/>
          <w:szCs w:val="24"/>
        </w:rPr>
        <w:t>In particular, the ARC seeks to support diversity in the research workforce, including:</w:t>
      </w:r>
    </w:p>
    <w:p w:rsidRPr="00CF7872" w:rsidR="004A0199" w:rsidP="004A0199" w:rsidRDefault="004A0199" w14:paraId="7D647995" w14:textId="77777777">
      <w:pPr>
        <w:pStyle w:val="ListParagraph"/>
        <w:widowControl/>
        <w:numPr>
          <w:ilvl w:val="0"/>
          <w:numId w:val="20"/>
        </w:numPr>
        <w:shd w:val="clear" w:color="auto" w:fill="FFFFFF" w:themeFill="background1"/>
        <w:tabs>
          <w:tab w:val="left" w:pos="0"/>
          <w:tab w:val="left" w:pos="1134"/>
          <w:tab w:val="left" w:pos="1701"/>
        </w:tabs>
        <w:autoSpaceDE/>
        <w:autoSpaceDN/>
        <w:spacing w:before="0" w:after="0" w:line="240" w:lineRule="auto"/>
        <w:ind w:right="1241"/>
        <w:contextualSpacing/>
        <w:rPr>
          <w:color w:val="auto"/>
          <w:szCs w:val="24"/>
        </w:rPr>
      </w:pPr>
      <w:r w:rsidRPr="00CF7872">
        <w:rPr>
          <w:color w:val="auto"/>
          <w:szCs w:val="24"/>
        </w:rPr>
        <w:t>women in research under all NCGP schemes</w:t>
      </w:r>
    </w:p>
    <w:p w:rsidRPr="00CF7872" w:rsidR="004A0199" w:rsidP="004A0199" w:rsidRDefault="004A0199" w14:paraId="1299357A" w14:textId="77777777">
      <w:pPr>
        <w:pStyle w:val="ListParagraph"/>
        <w:widowControl/>
        <w:numPr>
          <w:ilvl w:val="0"/>
          <w:numId w:val="20"/>
        </w:numPr>
        <w:shd w:val="clear" w:color="auto" w:fill="FFFFFF" w:themeFill="background1"/>
        <w:tabs>
          <w:tab w:val="left" w:pos="0"/>
          <w:tab w:val="left" w:pos="1134"/>
          <w:tab w:val="left" w:pos="1701"/>
        </w:tabs>
        <w:autoSpaceDE/>
        <w:autoSpaceDN/>
        <w:spacing w:before="0" w:after="0" w:line="240" w:lineRule="auto"/>
        <w:ind w:right="1241"/>
        <w:contextualSpacing/>
        <w:rPr>
          <w:color w:val="auto"/>
          <w:szCs w:val="24"/>
        </w:rPr>
      </w:pPr>
      <w:r w:rsidRPr="00CF7872">
        <w:rPr>
          <w:color w:val="auto"/>
          <w:szCs w:val="24"/>
        </w:rPr>
        <w:t xml:space="preserve">researchers returning after a career break or with non-traditional research </w:t>
      </w:r>
      <w:proofErr w:type="gramStart"/>
      <w:r w:rsidRPr="00CF7872">
        <w:rPr>
          <w:color w:val="auto"/>
          <w:szCs w:val="24"/>
        </w:rPr>
        <w:t>careers</w:t>
      </w:r>
      <w:proofErr w:type="gramEnd"/>
    </w:p>
    <w:p w:rsidRPr="004A0199" w:rsidR="004A0199" w:rsidP="004A0199" w:rsidRDefault="004A0199" w14:paraId="53E00454" w14:textId="4C7AEB56">
      <w:pPr>
        <w:pStyle w:val="ListParagraph"/>
        <w:widowControl/>
        <w:numPr>
          <w:ilvl w:val="0"/>
          <w:numId w:val="20"/>
        </w:numPr>
        <w:shd w:val="clear" w:color="auto" w:fill="FFFFFF" w:themeFill="background1"/>
        <w:tabs>
          <w:tab w:val="left" w:pos="0"/>
          <w:tab w:val="left" w:pos="1134"/>
          <w:tab w:val="left" w:pos="1701"/>
        </w:tabs>
        <w:autoSpaceDE/>
        <w:autoSpaceDN/>
        <w:spacing w:before="0" w:after="0" w:line="240" w:lineRule="auto"/>
        <w:ind w:right="1241"/>
        <w:contextualSpacing/>
        <w:rPr>
          <w:color w:val="auto"/>
          <w:szCs w:val="24"/>
        </w:rPr>
      </w:pPr>
      <w:r w:rsidRPr="00CF7872">
        <w:rPr>
          <w:color w:val="auto"/>
          <w:szCs w:val="24"/>
        </w:rPr>
        <w:t>Aboriginal and Torres Strait Islander researchers.</w:t>
      </w:r>
    </w:p>
    <w:p w:rsidRPr="00CF7872" w:rsidR="004A0199" w:rsidP="004A0199" w:rsidRDefault="004A0199" w14:paraId="5412E04F" w14:textId="77777777">
      <w:pPr>
        <w:shd w:val="clear" w:color="auto" w:fill="FFFFFF" w:themeFill="background1"/>
        <w:tabs>
          <w:tab w:val="left" w:pos="0"/>
          <w:tab w:val="left" w:pos="1134"/>
          <w:tab w:val="left" w:pos="1701"/>
        </w:tabs>
        <w:ind w:right="1241"/>
        <w:rPr>
          <w:szCs w:val="24"/>
        </w:rPr>
      </w:pPr>
      <w:r w:rsidRPr="00CF7872">
        <w:rPr>
          <w:szCs w:val="24"/>
        </w:rPr>
        <w:t>NCGP support is delivered by funding directly or indirectly:</w:t>
      </w:r>
    </w:p>
    <w:p w:rsidRPr="00CF7872" w:rsidR="004A0199" w:rsidP="004A0199" w:rsidRDefault="004A0199" w14:paraId="73340FB6" w14:textId="77777777">
      <w:pPr>
        <w:pStyle w:val="ListParagraph"/>
        <w:widowControl/>
        <w:numPr>
          <w:ilvl w:val="0"/>
          <w:numId w:val="20"/>
        </w:numPr>
        <w:shd w:val="clear" w:color="auto" w:fill="FFFFFF" w:themeFill="background1"/>
        <w:tabs>
          <w:tab w:val="left" w:pos="0"/>
          <w:tab w:val="left" w:pos="1134"/>
          <w:tab w:val="left" w:pos="1701"/>
        </w:tabs>
        <w:autoSpaceDE/>
        <w:autoSpaceDN/>
        <w:spacing w:before="0" w:after="0" w:line="240" w:lineRule="auto"/>
        <w:ind w:right="1241"/>
        <w:contextualSpacing/>
        <w:rPr>
          <w:color w:val="auto"/>
          <w:szCs w:val="24"/>
        </w:rPr>
      </w:pPr>
      <w:r w:rsidRPr="00CF7872">
        <w:rPr>
          <w:color w:val="auto"/>
          <w:szCs w:val="24"/>
        </w:rPr>
        <w:t>higher education organisations</w:t>
      </w:r>
    </w:p>
    <w:p w:rsidRPr="00CF7872" w:rsidR="004A0199" w:rsidP="004A0199" w:rsidRDefault="004A0199" w14:paraId="2F4BB13B" w14:textId="77777777">
      <w:pPr>
        <w:pStyle w:val="ListParagraph"/>
        <w:widowControl/>
        <w:numPr>
          <w:ilvl w:val="0"/>
          <w:numId w:val="20"/>
        </w:numPr>
        <w:shd w:val="clear" w:color="auto" w:fill="FFFFFF" w:themeFill="background1"/>
        <w:tabs>
          <w:tab w:val="left" w:pos="0"/>
          <w:tab w:val="left" w:pos="1134"/>
          <w:tab w:val="left" w:pos="1701"/>
        </w:tabs>
        <w:autoSpaceDE/>
        <w:autoSpaceDN/>
        <w:spacing w:before="0" w:after="0" w:line="240" w:lineRule="auto"/>
        <w:ind w:right="1241"/>
        <w:contextualSpacing/>
        <w:rPr>
          <w:color w:val="auto"/>
          <w:szCs w:val="24"/>
        </w:rPr>
      </w:pPr>
      <w:r w:rsidRPr="00CF7872">
        <w:rPr>
          <w:color w:val="auto"/>
          <w:szCs w:val="24"/>
        </w:rPr>
        <w:t>government organisations</w:t>
      </w:r>
    </w:p>
    <w:p w:rsidRPr="00CF7872" w:rsidR="004A0199" w:rsidP="004A0199" w:rsidRDefault="004A0199" w14:paraId="05DADE82" w14:textId="77777777">
      <w:pPr>
        <w:pStyle w:val="ListParagraph"/>
        <w:widowControl/>
        <w:numPr>
          <w:ilvl w:val="0"/>
          <w:numId w:val="20"/>
        </w:numPr>
        <w:shd w:val="clear" w:color="auto" w:fill="FFFFFF" w:themeFill="background1"/>
        <w:tabs>
          <w:tab w:val="left" w:pos="0"/>
          <w:tab w:val="left" w:pos="1134"/>
          <w:tab w:val="left" w:pos="1701"/>
        </w:tabs>
        <w:autoSpaceDE/>
        <w:autoSpaceDN/>
        <w:spacing w:before="0" w:after="0" w:line="240" w:lineRule="auto"/>
        <w:ind w:right="1241"/>
        <w:contextualSpacing/>
        <w:rPr>
          <w:color w:val="auto"/>
          <w:szCs w:val="24"/>
        </w:rPr>
      </w:pPr>
      <w:r w:rsidRPr="00CF7872">
        <w:rPr>
          <w:color w:val="auto"/>
          <w:szCs w:val="24"/>
        </w:rPr>
        <w:t>businesses</w:t>
      </w:r>
    </w:p>
    <w:p w:rsidRPr="00CF7872" w:rsidR="004A0199" w:rsidP="004A0199" w:rsidRDefault="004A0199" w14:paraId="3896CBF0" w14:textId="77777777">
      <w:pPr>
        <w:pStyle w:val="ListParagraph"/>
        <w:widowControl/>
        <w:numPr>
          <w:ilvl w:val="0"/>
          <w:numId w:val="20"/>
        </w:numPr>
        <w:shd w:val="clear" w:color="auto" w:fill="FFFFFF" w:themeFill="background1"/>
        <w:tabs>
          <w:tab w:val="left" w:pos="0"/>
          <w:tab w:val="left" w:pos="1134"/>
          <w:tab w:val="left" w:pos="1701"/>
        </w:tabs>
        <w:autoSpaceDE/>
        <w:autoSpaceDN/>
        <w:spacing w:before="0" w:after="0" w:line="240" w:lineRule="auto"/>
        <w:ind w:right="1241"/>
        <w:contextualSpacing/>
        <w:rPr>
          <w:color w:val="auto"/>
          <w:szCs w:val="24"/>
        </w:rPr>
      </w:pPr>
      <w:r w:rsidRPr="00CF7872">
        <w:rPr>
          <w:color w:val="auto"/>
          <w:szCs w:val="24"/>
        </w:rPr>
        <w:t>community organisations.</w:t>
      </w:r>
    </w:p>
    <w:p w:rsidR="00AD4EFE" w:rsidP="00581CEA" w:rsidRDefault="00AD4EFE" w14:paraId="0BBA5611" w14:textId="77777777"/>
    <w:p w:rsidR="004854D8" w:rsidP="004854D8" w:rsidRDefault="004854D8" w14:paraId="172018C6" w14:textId="4CA30DBD">
      <w:pPr>
        <w:pStyle w:val="Heading1"/>
      </w:pPr>
      <w:bookmarkStart w:name="_Toc160107877" w:id="18"/>
      <w:r>
        <w:t>Further Information</w:t>
      </w:r>
      <w:bookmarkEnd w:id="18"/>
      <w:r w:rsidRPr="008F7B81">
        <w:tab/>
      </w:r>
    </w:p>
    <w:p w:rsidRPr="00CF7872" w:rsidR="004854D8" w:rsidP="004854D8" w:rsidRDefault="004854D8" w14:paraId="4CBF96D0" w14:textId="77777777">
      <w:pPr>
        <w:adjustRightInd w:val="0"/>
        <w:rPr>
          <w:b/>
          <w:bCs/>
          <w:color w:val="4F81BC"/>
          <w:szCs w:val="24"/>
        </w:rPr>
      </w:pPr>
      <w:r w:rsidRPr="00CF7872">
        <w:rPr>
          <w:rFonts w:cs="HelveticaNeueLTStd-Lt"/>
          <w:szCs w:val="24"/>
        </w:rPr>
        <w:t xml:space="preserve">Further documentation is on the ARC website and includes the: </w:t>
      </w:r>
      <w:hyperlink w:history="1" r:id="rId16">
        <w:r w:rsidRPr="00CF7872">
          <w:rPr>
            <w:rStyle w:val="Hyperlink"/>
            <w:rFonts w:cs="HelveticaNeueLTStd-Lt"/>
            <w:i/>
            <w:szCs w:val="24"/>
          </w:rPr>
          <w:t>ARC Research Opportunity and Performance Evidence (ROPE) Statement</w:t>
        </w:r>
      </w:hyperlink>
      <w:r w:rsidRPr="00CF7872">
        <w:rPr>
          <w:rFonts w:cs="HelveticaNeueLTStd-Lt"/>
          <w:szCs w:val="24"/>
        </w:rPr>
        <w:t xml:space="preserve">, </w:t>
      </w:r>
      <w:hyperlink w:history="1" r:id="rId17">
        <w:r w:rsidRPr="00CF7872">
          <w:rPr>
            <w:rStyle w:val="Hyperlink"/>
            <w:rFonts w:cs="HelveticaNeueLTStd-Lt"/>
            <w:i/>
            <w:szCs w:val="24"/>
          </w:rPr>
          <w:t>Gender Equality Statement</w:t>
        </w:r>
      </w:hyperlink>
      <w:r w:rsidRPr="00CF7872">
        <w:rPr>
          <w:rFonts w:cs="HelveticaNeueLTStd-Lt"/>
          <w:i/>
          <w:szCs w:val="24"/>
        </w:rPr>
        <w:t>;</w:t>
      </w:r>
      <w:r>
        <w:rPr>
          <w:rFonts w:cs="HelveticaNeueLTStd-Lt"/>
          <w:i/>
          <w:szCs w:val="24"/>
        </w:rPr>
        <w:t xml:space="preserve"> </w:t>
      </w:r>
      <w:hyperlink w:history="1" r:id="rId18">
        <w:r w:rsidRPr="00DE51C8">
          <w:rPr>
            <w:rStyle w:val="Hyperlink"/>
            <w:rFonts w:cs="HelveticaNeueLTStd-Lt"/>
            <w:i/>
            <w:szCs w:val="24"/>
          </w:rPr>
          <w:t>Eligibility and Career Interruptions Statement</w:t>
        </w:r>
      </w:hyperlink>
      <w:r w:rsidRPr="00CF7872">
        <w:rPr>
          <w:rFonts w:cs="HelveticaNeueLTStd-Lt"/>
          <w:i/>
          <w:szCs w:val="24"/>
        </w:rPr>
        <w:t xml:space="preserve">, </w:t>
      </w:r>
      <w:hyperlink w:history="1" r:id="rId19">
        <w:r w:rsidRPr="00CF7872">
          <w:rPr>
            <w:rStyle w:val="Hyperlink"/>
            <w:rFonts w:cs="HelveticaNeueLTStd-Lt"/>
            <w:i/>
            <w:szCs w:val="24"/>
          </w:rPr>
          <w:t>ARC Early Career Researchers Statement of Support</w:t>
        </w:r>
      </w:hyperlink>
      <w:r w:rsidRPr="00CF7872">
        <w:rPr>
          <w:rFonts w:cs="HelveticaNeueLTStd-Lt"/>
          <w:i/>
          <w:szCs w:val="24"/>
        </w:rPr>
        <w:t xml:space="preserve">, </w:t>
      </w:r>
      <w:r w:rsidRPr="00CF7872">
        <w:rPr>
          <w:rFonts w:cs="HelveticaNeueLTStd-Lt"/>
          <w:szCs w:val="24"/>
        </w:rPr>
        <w:t xml:space="preserve">grant guidelines and agreements for NCGP schemes and </w:t>
      </w:r>
      <w:hyperlink w:history="1" r:id="rId20">
        <w:r w:rsidRPr="00CF7872">
          <w:rPr>
            <w:rStyle w:val="Hyperlink"/>
            <w:rFonts w:cs="HelveticaNeueLTStd-Lt"/>
            <w:szCs w:val="24"/>
          </w:rPr>
          <w:t>international support</w:t>
        </w:r>
      </w:hyperlink>
      <w:r w:rsidRPr="00CF7872">
        <w:rPr>
          <w:rFonts w:cs="HelveticaNeueLTStd-Lt"/>
          <w:szCs w:val="24"/>
        </w:rPr>
        <w:t xml:space="preserve"> information. </w:t>
      </w:r>
    </w:p>
    <w:p w:rsidR="004854D8" w:rsidP="00581CEA" w:rsidRDefault="004854D8" w14:paraId="72E6416D" w14:textId="77777777"/>
    <w:p w:rsidR="000B12FD" w:rsidP="00CE39FF" w:rsidRDefault="005E32E8" w14:paraId="67A6CA05" w14:textId="385172BD">
      <w:pPr>
        <w:pStyle w:val="Heading1"/>
      </w:pPr>
      <w:bookmarkStart w:name="_Toc160107878" w:id="19"/>
      <w:r w:rsidRPr="008F7B81">
        <w:t>Contact details</w:t>
      </w:r>
      <w:bookmarkEnd w:id="16"/>
      <w:bookmarkEnd w:id="17"/>
      <w:bookmarkEnd w:id="19"/>
      <w:r w:rsidRPr="008F7B81">
        <w:tab/>
      </w:r>
    </w:p>
    <w:p w:rsidRPr="00581CEA" w:rsidR="00581CEA" w:rsidP="00581CEA" w:rsidRDefault="00581CEA" w14:paraId="227F4C1E" w14:textId="77777777">
      <w:r w:rsidRPr="00581CEA">
        <w:t>Australian Research Council</w:t>
      </w:r>
    </w:p>
    <w:p w:rsidRPr="00581CEA" w:rsidR="00581CEA" w:rsidP="00581CEA" w:rsidRDefault="00581CEA" w14:paraId="0897D3C6" w14:textId="77777777">
      <w:r w:rsidRPr="00581CEA">
        <w:t xml:space="preserve">Phone: +61 2 6287 6600 </w:t>
      </w:r>
    </w:p>
    <w:p w:rsidRPr="00581CEA" w:rsidR="00581CEA" w:rsidP="00581CEA" w:rsidRDefault="00581CEA" w14:paraId="43A4013C" w14:textId="28E21C38">
      <w:r w:rsidRPr="00581CEA">
        <w:t xml:space="preserve">Email: </w:t>
      </w:r>
      <w:hyperlink w:history="1" r:id="rId21">
        <w:r w:rsidRPr="00A83C3E" w:rsidR="00561CA7">
          <w:rPr>
            <w:rStyle w:val="Hyperlink"/>
          </w:rPr>
          <w:t>info@arc.gov.au</w:t>
        </w:r>
      </w:hyperlink>
      <w:r w:rsidR="00561CA7">
        <w:t xml:space="preserve"> </w:t>
      </w:r>
    </w:p>
    <w:p w:rsidRPr="00581CEA" w:rsidR="00581CEA" w:rsidP="00581CEA" w:rsidRDefault="00581CEA" w14:paraId="05D03E61" w14:textId="77777777">
      <w:r w:rsidRPr="00581CEA">
        <w:t>www.arc.gov.au</w:t>
      </w:r>
    </w:p>
    <w:p w:rsidRPr="00581CEA" w:rsidR="00581CEA" w:rsidP="00581CEA" w:rsidRDefault="00581CEA" w14:paraId="20F5D214" w14:textId="77777777">
      <w:r w:rsidRPr="00581CEA">
        <w:t xml:space="preserve">Level 2, 11 Lancaster Place, Canberra Airport ACT 2609 </w:t>
      </w:r>
    </w:p>
    <w:p w:rsidR="00F0338F" w:rsidP="00581CEA" w:rsidRDefault="00581CEA" w14:paraId="54B9F16E" w14:textId="61D91150">
      <w:pPr>
        <w:rPr>
          <w:rFonts w:asciiTheme="minorHAnsi" w:hAnsiTheme="minorHAnsi"/>
          <w:color w:val="FF0000"/>
          <w:lang w:eastAsia="en-AU"/>
        </w:rPr>
      </w:pPr>
      <w:r w:rsidRPr="00581CEA">
        <w:t>GPO Box 2702, Canberra ACT 2601</w:t>
      </w:r>
      <w:r w:rsidRPr="00581CEA">
        <w:cr/>
      </w:r>
    </w:p>
    <w:p w:rsidRPr="00F0338F" w:rsidR="00A60FB2" w:rsidP="00A60FB2" w:rsidRDefault="00A60FB2" w14:paraId="7C6FE87E" w14:textId="77777777">
      <w:pPr>
        <w:pStyle w:val="Heading1"/>
        <w:rPr>
          <w:szCs w:val="22"/>
          <w:lang w:eastAsia="en-AU"/>
        </w:rPr>
      </w:pPr>
      <w:bookmarkStart w:name="_Toc160107879" w:id="20"/>
      <w:r>
        <w:rPr>
          <w:lang w:eastAsia="en-AU"/>
        </w:rPr>
        <w:t>Document control</w:t>
      </w:r>
      <w:bookmarkEnd w:id="20"/>
    </w:p>
    <w:tbl>
      <w:tblPr>
        <w:tblW w:w="935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75"/>
        <w:gridCol w:w="2268"/>
        <w:gridCol w:w="1853"/>
        <w:gridCol w:w="3260"/>
      </w:tblGrid>
      <w:tr w:rsidR="000B12FD" w:rsidTr="004822D3" w14:paraId="63105FF9" w14:textId="77777777">
        <w:trPr>
          <w:trHeight w:val="532"/>
          <w:tblHeader/>
        </w:trPr>
        <w:tc>
          <w:tcPr>
            <w:tcW w:w="1975" w:type="dxa"/>
          </w:tcPr>
          <w:p w:rsidR="000B12FD" w:rsidRDefault="005E32E8" w14:paraId="6C371A50" w14:textId="77777777">
            <w:pPr>
              <w:pStyle w:val="TableParagraph"/>
              <w:spacing w:before="119"/>
              <w:ind w:left="107"/>
              <w:rPr>
                <w:b/>
                <w:sz w:val="24"/>
              </w:rPr>
            </w:pPr>
            <w:r>
              <w:rPr>
                <w:b/>
                <w:sz w:val="24"/>
              </w:rPr>
              <w:t>Number</w:t>
            </w:r>
          </w:p>
        </w:tc>
        <w:tc>
          <w:tcPr>
            <w:tcW w:w="2268" w:type="dxa"/>
          </w:tcPr>
          <w:p w:rsidR="000B12FD" w:rsidRDefault="005E32E8" w14:paraId="18F968AD" w14:textId="77777777">
            <w:pPr>
              <w:pStyle w:val="TableParagraph"/>
              <w:spacing w:before="119"/>
              <w:rPr>
                <w:b/>
                <w:sz w:val="24"/>
              </w:rPr>
            </w:pPr>
            <w:r>
              <w:rPr>
                <w:b/>
                <w:sz w:val="24"/>
              </w:rPr>
              <w:t>Date</w:t>
            </w:r>
            <w:r>
              <w:rPr>
                <w:b/>
                <w:spacing w:val="-3"/>
                <w:sz w:val="24"/>
              </w:rPr>
              <w:t xml:space="preserve"> </w:t>
            </w:r>
            <w:r>
              <w:rPr>
                <w:b/>
                <w:sz w:val="24"/>
              </w:rPr>
              <w:t>Approved</w:t>
            </w:r>
          </w:p>
        </w:tc>
        <w:tc>
          <w:tcPr>
            <w:tcW w:w="1853" w:type="dxa"/>
          </w:tcPr>
          <w:p w:rsidR="000B12FD" w:rsidRDefault="005E32E8" w14:paraId="333160D5" w14:textId="77777777">
            <w:pPr>
              <w:pStyle w:val="TableParagraph"/>
              <w:spacing w:before="119"/>
              <w:ind w:left="105"/>
              <w:rPr>
                <w:b/>
                <w:sz w:val="24"/>
              </w:rPr>
            </w:pPr>
            <w:r>
              <w:rPr>
                <w:b/>
                <w:sz w:val="24"/>
              </w:rPr>
              <w:t>Approved</w:t>
            </w:r>
            <w:r>
              <w:rPr>
                <w:b/>
                <w:spacing w:val="-1"/>
                <w:sz w:val="24"/>
              </w:rPr>
              <w:t xml:space="preserve"> </w:t>
            </w:r>
            <w:r>
              <w:rPr>
                <w:b/>
                <w:sz w:val="24"/>
              </w:rPr>
              <w:t>By</w:t>
            </w:r>
          </w:p>
        </w:tc>
        <w:tc>
          <w:tcPr>
            <w:tcW w:w="3260" w:type="dxa"/>
          </w:tcPr>
          <w:p w:rsidR="000B12FD" w:rsidRDefault="005E32E8" w14:paraId="085C96C3" w14:textId="77777777">
            <w:pPr>
              <w:pStyle w:val="TableParagraph"/>
              <w:spacing w:before="119"/>
              <w:rPr>
                <w:b/>
                <w:sz w:val="24"/>
              </w:rPr>
            </w:pPr>
            <w:r>
              <w:rPr>
                <w:b/>
                <w:sz w:val="24"/>
              </w:rPr>
              <w:t>Brief</w:t>
            </w:r>
            <w:r>
              <w:rPr>
                <w:b/>
                <w:spacing w:val="-2"/>
                <w:sz w:val="24"/>
              </w:rPr>
              <w:t xml:space="preserve"> </w:t>
            </w:r>
            <w:r>
              <w:rPr>
                <w:b/>
                <w:sz w:val="24"/>
              </w:rPr>
              <w:t>Description</w:t>
            </w:r>
          </w:p>
        </w:tc>
      </w:tr>
      <w:tr w:rsidR="000B12FD" w:rsidTr="004822D3" w14:paraId="7C001E69" w14:textId="77777777">
        <w:trPr>
          <w:trHeight w:val="532"/>
        </w:trPr>
        <w:tc>
          <w:tcPr>
            <w:tcW w:w="1975" w:type="dxa"/>
          </w:tcPr>
          <w:p w:rsidRPr="009C0770" w:rsidR="000B12FD" w:rsidP="009C0770" w:rsidRDefault="00526CA8" w14:paraId="3E2E5B33" w14:textId="4D2AE263">
            <w:pPr>
              <w:ind w:left="113"/>
              <w:rPr>
                <w:rFonts w:asciiTheme="minorHAnsi" w:hAnsiTheme="minorHAnsi" w:cstheme="minorHAnsi"/>
              </w:rPr>
            </w:pPr>
            <w:r>
              <w:rPr>
                <w:rFonts w:asciiTheme="minorHAnsi" w:hAnsiTheme="minorHAnsi" w:cstheme="minorHAnsi"/>
              </w:rPr>
              <w:t>Version 2.1</w:t>
            </w:r>
          </w:p>
        </w:tc>
        <w:tc>
          <w:tcPr>
            <w:tcW w:w="2268" w:type="dxa"/>
          </w:tcPr>
          <w:p w:rsidRPr="009C0770" w:rsidR="00066A9A" w:rsidP="009C0770" w:rsidRDefault="00526CA8" w14:paraId="6E8FCCE7" w14:textId="63053FA9">
            <w:pPr>
              <w:ind w:left="113"/>
              <w:rPr>
                <w:rFonts w:asciiTheme="minorHAnsi" w:hAnsiTheme="minorHAnsi" w:cstheme="minorHAnsi"/>
              </w:rPr>
            </w:pPr>
            <w:r>
              <w:rPr>
                <w:rFonts w:asciiTheme="minorHAnsi" w:hAnsiTheme="minorHAnsi" w:cstheme="minorHAnsi"/>
              </w:rPr>
              <w:t>July 2022</w:t>
            </w:r>
          </w:p>
        </w:tc>
        <w:tc>
          <w:tcPr>
            <w:tcW w:w="1853" w:type="dxa"/>
          </w:tcPr>
          <w:p w:rsidRPr="009C0770" w:rsidR="000B12FD" w:rsidP="009C0770" w:rsidRDefault="009C0770" w14:paraId="1DB4A4D8" w14:textId="15D531CF">
            <w:pPr>
              <w:ind w:left="113"/>
              <w:rPr>
                <w:rFonts w:asciiTheme="minorHAnsi" w:hAnsiTheme="minorHAnsi" w:cstheme="minorHAnsi"/>
              </w:rPr>
            </w:pPr>
            <w:r w:rsidRPr="00526CA8">
              <w:rPr>
                <w:rFonts w:asciiTheme="minorHAnsi" w:hAnsiTheme="minorHAnsi" w:cstheme="minorHAnsi"/>
              </w:rPr>
              <w:t>Chief Research Officer</w:t>
            </w:r>
            <w:r w:rsidRPr="009C0770">
              <w:rPr>
                <w:rFonts w:asciiTheme="minorHAnsi" w:hAnsiTheme="minorHAnsi" w:cstheme="minorHAnsi"/>
              </w:rPr>
              <w:t xml:space="preserve"> </w:t>
            </w:r>
          </w:p>
          <w:p w:rsidRPr="009C0770" w:rsidR="003B1280" w:rsidP="009C0770" w:rsidRDefault="003B1280" w14:paraId="3624ADBD" w14:textId="240AC9EC">
            <w:pPr>
              <w:ind w:left="113"/>
              <w:rPr>
                <w:rFonts w:asciiTheme="minorHAnsi" w:hAnsiTheme="minorHAnsi" w:cstheme="minorHAnsi"/>
                <w:b/>
                <w:bCs/>
              </w:rPr>
            </w:pPr>
          </w:p>
        </w:tc>
        <w:tc>
          <w:tcPr>
            <w:tcW w:w="3260" w:type="dxa"/>
          </w:tcPr>
          <w:p w:rsidRPr="009C0770" w:rsidR="000B12FD" w:rsidP="009C0770" w:rsidRDefault="00137716" w14:paraId="3D478683" w14:textId="5AD50ADA">
            <w:pPr>
              <w:ind w:left="113"/>
              <w:rPr>
                <w:rFonts w:asciiTheme="minorHAnsi" w:hAnsiTheme="minorHAnsi" w:cstheme="minorHAnsi"/>
              </w:rPr>
            </w:pPr>
            <w:r w:rsidRPr="00137716">
              <w:rPr>
                <w:rFonts w:asciiTheme="minorHAnsi" w:hAnsiTheme="minorHAnsi" w:cstheme="minorHAnsi"/>
              </w:rPr>
              <w:t>The purpose of this statement is to articulate the Australian Research Council’s (ARC) contribution to a strong Australian research workforce.</w:t>
            </w:r>
          </w:p>
        </w:tc>
      </w:tr>
    </w:tbl>
    <w:p w:rsidR="005E32E8" w:rsidRDefault="005E32E8" w14:paraId="2B9BA5A5" w14:textId="77777777"/>
    <w:sectPr w:rsidR="005E32E8" w:rsidSect="00894D30">
      <w:pgSz w:w="11910" w:h="16840" w:orient="portrait"/>
      <w:pgMar w:top="993" w:right="1278" w:bottom="1134" w:left="1276" w:header="0" w:footer="6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C517E" w:rsidRDefault="003C517E" w14:paraId="1D96B2FD" w14:textId="77777777">
      <w:pPr>
        <w:spacing w:before="0" w:after="0" w:line="240" w:lineRule="auto"/>
      </w:pPr>
      <w:r>
        <w:separator/>
      </w:r>
    </w:p>
  </w:endnote>
  <w:endnote w:type="continuationSeparator" w:id="0">
    <w:p w:rsidR="003C517E" w:rsidRDefault="003C517E" w14:paraId="4ADBCEE3" w14:textId="77777777">
      <w:pPr>
        <w:spacing w:before="0" w:after="0" w:line="240" w:lineRule="auto"/>
      </w:pPr>
      <w:r>
        <w:continuationSeparator/>
      </w:r>
    </w:p>
  </w:endnote>
  <w:endnote w:type="continuationNotice" w:id="1">
    <w:p w:rsidR="003C517E" w:rsidRDefault="003C517E" w14:paraId="2F030E6A"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albaum Display Light">
    <w:altName w:val="Walbaum Display Light"/>
    <w:charset w:val="00"/>
    <w:family w:val="roman"/>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vetail MVB">
    <w:altName w:val="Cambria"/>
    <w:panose1 w:val="00000000000000000000"/>
    <w:charset w:val="00"/>
    <w:family w:val="roman"/>
    <w:notTrueType/>
    <w:pitch w:val="variable"/>
    <w:sig w:usb0="00000007" w:usb1="00000001" w:usb2="00000000" w:usb3="00000000" w:csb0="00000093" w:csb1="00000000"/>
  </w:font>
  <w:font w:name="Solitaire MVB Pro Sm Lt">
    <w:panose1 w:val="00000000000000000000"/>
    <w:charset w:val="00"/>
    <w:family w:val="swiss"/>
    <w:notTrueType/>
    <w:pitch w:val="variable"/>
    <w:sig w:usb0="00000007" w:usb1="00000001" w:usb2="00000000" w:usb3="00000000" w:csb0="00000093" w:csb1="00000000"/>
  </w:font>
  <w:font w:name="HelveticaNeueLTStd-Lt">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Levenim MT">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9232382"/>
      <w:docPartObj>
        <w:docPartGallery w:val="Page Numbers (Bottom of Page)"/>
        <w:docPartUnique/>
      </w:docPartObj>
    </w:sdtPr>
    <w:sdtEndPr>
      <w:rPr>
        <w:i w:val="1"/>
        <w:iCs w:val="1"/>
      </w:rPr>
    </w:sdtEndPr>
    <w:sdtContent>
      <w:sdt>
        <w:sdtPr>
          <w:id w:val="-1769616900"/>
          <w:docPartObj>
            <w:docPartGallery w:val="Page Numbers (Top of Page)"/>
            <w:docPartUnique/>
          </w:docPartObj>
        </w:sdtPr>
        <w:sdtEndPr>
          <w:rPr>
            <w:i w:val="1"/>
            <w:iCs w:val="1"/>
          </w:rPr>
        </w:sdtEndPr>
        <w:sdtContent>
          <w:p w:rsidRPr="00581CEA" w:rsidR="000B12FD" w:rsidP="00D42552" w:rsidRDefault="00636D70" w14:paraId="224C56EC" w14:textId="26CAFF7D">
            <w:pPr>
              <w:pStyle w:val="Footer"/>
              <w:rPr>
                <w:b/>
                <w:bCs/>
                <w:sz w:val="24"/>
                <w:szCs w:val="24"/>
              </w:rPr>
            </w:pPr>
            <w:r w:rsidRPr="00636D70">
              <w:t>Research Workforce Statement</w:t>
            </w:r>
            <w:r>
              <w:tab/>
            </w:r>
            <w:r w:rsidR="0011004F">
              <w:tab/>
            </w:r>
            <w:r w:rsidR="002B0512">
              <w:t xml:space="preserve">Page </w:t>
            </w:r>
            <w:r w:rsidR="002B0512">
              <w:rPr>
                <w:b/>
                <w:bCs/>
                <w:sz w:val="24"/>
                <w:szCs w:val="24"/>
              </w:rPr>
              <w:fldChar w:fldCharType="begin"/>
            </w:r>
            <w:r w:rsidR="002B0512">
              <w:rPr>
                <w:b/>
                <w:bCs/>
              </w:rPr>
              <w:instrText xml:space="preserve"> PAGE </w:instrText>
            </w:r>
            <w:r w:rsidR="002B0512">
              <w:rPr>
                <w:b/>
                <w:bCs/>
                <w:sz w:val="24"/>
                <w:szCs w:val="24"/>
              </w:rPr>
              <w:fldChar w:fldCharType="separate"/>
            </w:r>
            <w:r w:rsidR="002B0512">
              <w:rPr>
                <w:b/>
                <w:bCs/>
                <w:noProof/>
              </w:rPr>
              <w:t>2</w:t>
            </w:r>
            <w:r w:rsidR="002B0512">
              <w:rPr>
                <w:b/>
                <w:bCs/>
                <w:sz w:val="24"/>
                <w:szCs w:val="24"/>
              </w:rPr>
              <w:fldChar w:fldCharType="end"/>
            </w:r>
            <w:r w:rsidR="002B0512">
              <w:t xml:space="preserve"> of </w:t>
            </w:r>
            <w:r w:rsidR="002B0512">
              <w:rPr>
                <w:b/>
                <w:bCs/>
                <w:sz w:val="24"/>
                <w:szCs w:val="24"/>
              </w:rPr>
              <w:fldChar w:fldCharType="begin"/>
            </w:r>
            <w:r w:rsidR="002B0512">
              <w:rPr>
                <w:b/>
                <w:bCs/>
              </w:rPr>
              <w:instrText xml:space="preserve"> NUMPAGES  </w:instrText>
            </w:r>
            <w:r w:rsidR="002B0512">
              <w:rPr>
                <w:b/>
                <w:bCs/>
                <w:sz w:val="24"/>
                <w:szCs w:val="24"/>
              </w:rPr>
              <w:fldChar w:fldCharType="separate"/>
            </w:r>
            <w:r w:rsidR="002B0512">
              <w:rPr>
                <w:b/>
                <w:bCs/>
                <w:noProof/>
              </w:rPr>
              <w:t>2</w:t>
            </w:r>
            <w:r w:rsidR="002B0512">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583318" w:rsidRDefault="00583318" w14:paraId="7C4F25D4" w14:textId="77777777">
    <w:pPr>
      <w:pStyle w:val="Footer"/>
    </w:pPr>
    <w:r>
      <w:rPr>
        <w:noProof/>
        <w:color w:val="FFFFFF"/>
        <w:shd w:val="clear" w:color="auto" w:fill="1F487C"/>
      </w:rPr>
      <w:drawing>
        <wp:anchor distT="0" distB="0" distL="114300" distR="114300" simplePos="0" relativeHeight="251658240" behindDoc="1" locked="0" layoutInCell="1" allowOverlap="1" wp14:anchorId="0B3BB19D" wp14:editId="0C199081">
          <wp:simplePos x="0" y="0"/>
          <wp:positionH relativeFrom="column">
            <wp:posOffset>-841518</wp:posOffset>
          </wp:positionH>
          <wp:positionV relativeFrom="paragraph">
            <wp:posOffset>276225</wp:posOffset>
          </wp:positionV>
          <wp:extent cx="7600950" cy="334283"/>
          <wp:effectExtent l="0" t="0" r="0" b="8890"/>
          <wp:wrapNone/>
          <wp:docPr id="1440737559" name="Picture 1440737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600950" cy="3342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C517E" w:rsidRDefault="003C517E" w14:paraId="102B57A6" w14:textId="77777777">
      <w:pPr>
        <w:spacing w:before="0" w:after="0" w:line="240" w:lineRule="auto"/>
      </w:pPr>
      <w:r>
        <w:separator/>
      </w:r>
    </w:p>
  </w:footnote>
  <w:footnote w:type="continuationSeparator" w:id="0">
    <w:p w:rsidR="003C517E" w:rsidRDefault="003C517E" w14:paraId="24B7ADE9" w14:textId="77777777">
      <w:pPr>
        <w:spacing w:before="0" w:after="0" w:line="240" w:lineRule="auto"/>
      </w:pPr>
      <w:r>
        <w:continuationSeparator/>
      </w:r>
    </w:p>
  </w:footnote>
  <w:footnote w:type="continuationNotice" w:id="1">
    <w:p w:rsidR="003C517E" w:rsidRDefault="003C517E" w14:paraId="104B8038"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D01F2A" w:rsidR="00E13A06" w:rsidP="00D01F2A" w:rsidRDefault="00D01F2A" w14:paraId="1164BD75" w14:textId="77777777">
    <w:pPr>
      <w:pStyle w:val="Header"/>
    </w:pPr>
    <w:r>
      <w:rPr>
        <w:noProof/>
      </w:rPr>
      <w:drawing>
        <wp:anchor distT="0" distB="0" distL="114300" distR="114300" simplePos="0" relativeHeight="251658241" behindDoc="0" locked="0" layoutInCell="1" allowOverlap="1" wp14:anchorId="65A6A2DE" wp14:editId="44C3164F">
          <wp:simplePos x="0" y="0"/>
          <wp:positionH relativeFrom="page">
            <wp:posOffset>-27940</wp:posOffset>
          </wp:positionH>
          <wp:positionV relativeFrom="page">
            <wp:posOffset>-34925</wp:posOffset>
          </wp:positionV>
          <wp:extent cx="7584440" cy="1680845"/>
          <wp:effectExtent l="0" t="0" r="0" b="0"/>
          <wp:wrapTopAndBottom/>
          <wp:docPr id="1130118005" name="Picture 1130118005" descr="Australian Government - Australian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Australian Government - Australian Research Council"/>
                  <pic:cNvPicPr/>
                </pic:nvPicPr>
                <pic:blipFill rotWithShape="1">
                  <a:blip r:embed="rId1"/>
                  <a:srcRect b="36892"/>
                  <a:stretch/>
                </pic:blipFill>
                <pic:spPr bwMode="auto">
                  <a:xfrm>
                    <a:off x="0" y="0"/>
                    <a:ext cx="7584440" cy="1680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96C3F"/>
    <w:multiLevelType w:val="hybridMultilevel"/>
    <w:tmpl w:val="FD484C58"/>
    <w:lvl w:ilvl="0" w:tplc="F488BC68">
      <w:numFmt w:val="bullet"/>
      <w:lvlText w:val="o"/>
      <w:lvlJc w:val="left"/>
      <w:pPr>
        <w:ind w:left="1080" w:hanging="360"/>
      </w:pPr>
      <w:rPr>
        <w:rFonts w:hint="default" w:ascii="Courier New" w:hAnsi="Courier New" w:eastAsia="Courier New" w:cs="Courier New"/>
        <w:b w:val="0"/>
        <w:bCs w:val="0"/>
        <w:i w:val="0"/>
        <w:iCs w:val="0"/>
        <w:w w:val="100"/>
        <w:sz w:val="24"/>
        <w:szCs w:val="24"/>
        <w:lang w:val="en-AU" w:eastAsia="en-US" w:bidi="ar-SA"/>
      </w:rPr>
    </w:lvl>
    <w:lvl w:ilvl="1" w:tplc="0C090003" w:tentative="1">
      <w:start w:val="1"/>
      <w:numFmt w:val="bullet"/>
      <w:lvlText w:val="o"/>
      <w:lvlJc w:val="left"/>
      <w:pPr>
        <w:ind w:left="940" w:hanging="360"/>
      </w:pPr>
      <w:rPr>
        <w:rFonts w:hint="default" w:ascii="Courier New" w:hAnsi="Courier New" w:cs="Courier New"/>
      </w:rPr>
    </w:lvl>
    <w:lvl w:ilvl="2" w:tplc="0C090005" w:tentative="1">
      <w:start w:val="1"/>
      <w:numFmt w:val="bullet"/>
      <w:lvlText w:val=""/>
      <w:lvlJc w:val="left"/>
      <w:pPr>
        <w:ind w:left="1660" w:hanging="360"/>
      </w:pPr>
      <w:rPr>
        <w:rFonts w:hint="default" w:ascii="Wingdings" w:hAnsi="Wingdings"/>
      </w:rPr>
    </w:lvl>
    <w:lvl w:ilvl="3" w:tplc="0C090001" w:tentative="1">
      <w:start w:val="1"/>
      <w:numFmt w:val="bullet"/>
      <w:lvlText w:val=""/>
      <w:lvlJc w:val="left"/>
      <w:pPr>
        <w:ind w:left="2380" w:hanging="360"/>
      </w:pPr>
      <w:rPr>
        <w:rFonts w:hint="default" w:ascii="Symbol" w:hAnsi="Symbol"/>
      </w:rPr>
    </w:lvl>
    <w:lvl w:ilvl="4" w:tplc="0C090003" w:tentative="1">
      <w:start w:val="1"/>
      <w:numFmt w:val="bullet"/>
      <w:lvlText w:val="o"/>
      <w:lvlJc w:val="left"/>
      <w:pPr>
        <w:ind w:left="3100" w:hanging="360"/>
      </w:pPr>
      <w:rPr>
        <w:rFonts w:hint="default" w:ascii="Courier New" w:hAnsi="Courier New" w:cs="Courier New"/>
      </w:rPr>
    </w:lvl>
    <w:lvl w:ilvl="5" w:tplc="0C090005" w:tentative="1">
      <w:start w:val="1"/>
      <w:numFmt w:val="bullet"/>
      <w:lvlText w:val=""/>
      <w:lvlJc w:val="left"/>
      <w:pPr>
        <w:ind w:left="3820" w:hanging="360"/>
      </w:pPr>
      <w:rPr>
        <w:rFonts w:hint="default" w:ascii="Wingdings" w:hAnsi="Wingdings"/>
      </w:rPr>
    </w:lvl>
    <w:lvl w:ilvl="6" w:tplc="0C090001" w:tentative="1">
      <w:start w:val="1"/>
      <w:numFmt w:val="bullet"/>
      <w:lvlText w:val=""/>
      <w:lvlJc w:val="left"/>
      <w:pPr>
        <w:ind w:left="4540" w:hanging="360"/>
      </w:pPr>
      <w:rPr>
        <w:rFonts w:hint="default" w:ascii="Symbol" w:hAnsi="Symbol"/>
      </w:rPr>
    </w:lvl>
    <w:lvl w:ilvl="7" w:tplc="0C090003" w:tentative="1">
      <w:start w:val="1"/>
      <w:numFmt w:val="bullet"/>
      <w:lvlText w:val="o"/>
      <w:lvlJc w:val="left"/>
      <w:pPr>
        <w:ind w:left="5260" w:hanging="360"/>
      </w:pPr>
      <w:rPr>
        <w:rFonts w:hint="default" w:ascii="Courier New" w:hAnsi="Courier New" w:cs="Courier New"/>
      </w:rPr>
    </w:lvl>
    <w:lvl w:ilvl="8" w:tplc="0C090005" w:tentative="1">
      <w:start w:val="1"/>
      <w:numFmt w:val="bullet"/>
      <w:lvlText w:val=""/>
      <w:lvlJc w:val="left"/>
      <w:pPr>
        <w:ind w:left="5980" w:hanging="360"/>
      </w:pPr>
      <w:rPr>
        <w:rFonts w:hint="default" w:ascii="Wingdings" w:hAnsi="Wingdings"/>
      </w:rPr>
    </w:lvl>
  </w:abstractNum>
  <w:abstractNum w:abstractNumId="1" w15:restartNumberingAfterBreak="0">
    <w:nsid w:val="049322A6"/>
    <w:multiLevelType w:val="multilevel"/>
    <w:tmpl w:val="E38C1382"/>
    <w:lvl w:ilvl="0">
      <w:start w:val="1"/>
      <w:numFmt w:val="bullet"/>
      <w:lvlText w:val=""/>
      <w:lvlJc w:val="left"/>
      <w:pPr>
        <w:tabs>
          <w:tab w:val="num" w:pos="680"/>
        </w:tabs>
        <w:ind w:left="340" w:hanging="340"/>
      </w:pPr>
      <w:rPr>
        <w:rFonts w:hint="default" w:ascii="Symbol" w:hAnsi="Symbol"/>
        <w:b w:val="0"/>
        <w:i w:val="0"/>
        <w:caps w:val="0"/>
        <w:strike w:val="0"/>
        <w:dstrike w:val="0"/>
        <w:vanish w:val="0"/>
        <w:color w:val="000000" w:themeColor="text1"/>
        <w:sz w:val="20"/>
        <w:szCs w:val="18"/>
        <w:vertAlign w:val="baseline"/>
      </w:rPr>
    </w:lvl>
    <w:lvl w:ilvl="1">
      <w:start w:val="1"/>
      <w:numFmt w:val="bullet"/>
      <w:lvlText w:val="̶"/>
      <w:lvlJc w:val="left"/>
      <w:pPr>
        <w:tabs>
          <w:tab w:val="num" w:pos="1780"/>
        </w:tabs>
        <w:ind w:left="680" w:hanging="340"/>
      </w:pPr>
      <w:rPr>
        <w:rFonts w:hint="default" w:ascii="Walbaum Display Light" w:hAnsi="Walbaum Display Light"/>
      </w:rPr>
    </w:lvl>
    <w:lvl w:ilvl="2">
      <w:start w:val="1"/>
      <w:numFmt w:val="bullet"/>
      <w:lvlText w:val="o"/>
      <w:lvlJc w:val="left"/>
      <w:pPr>
        <w:tabs>
          <w:tab w:val="num" w:pos="3969"/>
        </w:tabs>
        <w:ind w:left="1021" w:hanging="341"/>
      </w:pPr>
      <w:rPr>
        <w:rFonts w:hint="default" w:ascii="Courier New" w:hAnsi="Courier New"/>
      </w:rPr>
    </w:lvl>
    <w:lvl w:ilvl="3">
      <w:start w:val="1"/>
      <w:numFmt w:val="bullet"/>
      <w:lvlText w:val="·"/>
      <w:lvlJc w:val="left"/>
      <w:pPr>
        <w:tabs>
          <w:tab w:val="num" w:pos="3220"/>
        </w:tabs>
        <w:ind w:left="1361" w:hanging="340"/>
      </w:pPr>
      <w:rPr>
        <w:rFonts w:hint="default" w:ascii="Arial" w:hAnsi="Arial"/>
      </w:rPr>
    </w:lvl>
    <w:lvl w:ilvl="4">
      <w:start w:val="1"/>
      <w:numFmt w:val="bullet"/>
      <w:lvlText w:val="o"/>
      <w:lvlJc w:val="left"/>
      <w:pPr>
        <w:tabs>
          <w:tab w:val="num" w:pos="3940"/>
        </w:tabs>
        <w:ind w:left="3941" w:hanging="361"/>
      </w:pPr>
      <w:rPr>
        <w:rFonts w:hint="default" w:ascii="Courier New" w:hAnsi="Courier New"/>
      </w:rPr>
    </w:lvl>
    <w:lvl w:ilvl="5">
      <w:start w:val="1"/>
      <w:numFmt w:val="bullet"/>
      <w:lvlText w:val=""/>
      <w:lvlJc w:val="left"/>
      <w:pPr>
        <w:tabs>
          <w:tab w:val="num" w:pos="4660"/>
        </w:tabs>
        <w:ind w:left="4660" w:hanging="360"/>
      </w:pPr>
      <w:rPr>
        <w:rFonts w:hint="default" w:ascii="Wingdings" w:hAnsi="Wingdings"/>
      </w:rPr>
    </w:lvl>
    <w:lvl w:ilvl="6">
      <w:start w:val="1"/>
      <w:numFmt w:val="bullet"/>
      <w:lvlText w:val=""/>
      <w:lvlJc w:val="left"/>
      <w:pPr>
        <w:tabs>
          <w:tab w:val="num" w:pos="5380"/>
        </w:tabs>
        <w:ind w:left="5380" w:hanging="360"/>
      </w:pPr>
      <w:rPr>
        <w:rFonts w:hint="default" w:ascii="Symbol" w:hAnsi="Symbol"/>
      </w:rPr>
    </w:lvl>
    <w:lvl w:ilvl="7">
      <w:start w:val="1"/>
      <w:numFmt w:val="bullet"/>
      <w:lvlText w:val="o"/>
      <w:lvlJc w:val="left"/>
      <w:pPr>
        <w:tabs>
          <w:tab w:val="num" w:pos="6100"/>
        </w:tabs>
        <w:ind w:left="6100" w:hanging="360"/>
      </w:pPr>
      <w:rPr>
        <w:rFonts w:hint="default" w:ascii="Courier New" w:hAnsi="Courier New"/>
      </w:rPr>
    </w:lvl>
    <w:lvl w:ilvl="8">
      <w:start w:val="1"/>
      <w:numFmt w:val="bullet"/>
      <w:lvlText w:val=""/>
      <w:lvlJc w:val="left"/>
      <w:pPr>
        <w:tabs>
          <w:tab w:val="num" w:pos="6820"/>
        </w:tabs>
        <w:ind w:left="6820" w:hanging="360"/>
      </w:pPr>
      <w:rPr>
        <w:rFonts w:hint="default" w:ascii="Wingdings" w:hAnsi="Wingdings"/>
      </w:rPr>
    </w:lvl>
  </w:abstractNum>
  <w:abstractNum w:abstractNumId="2" w15:restartNumberingAfterBreak="0">
    <w:nsid w:val="092D21FD"/>
    <w:multiLevelType w:val="hybridMultilevel"/>
    <w:tmpl w:val="4904840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10647679"/>
    <w:multiLevelType w:val="hybridMultilevel"/>
    <w:tmpl w:val="A54256FC"/>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 w15:restartNumberingAfterBreak="0">
    <w:nsid w:val="14E30C06"/>
    <w:multiLevelType w:val="hybridMultilevel"/>
    <w:tmpl w:val="D39A6BDA"/>
    <w:lvl w:ilvl="0" w:tplc="0C090001">
      <w:start w:val="1"/>
      <w:numFmt w:val="bullet"/>
      <w:lvlText w:val=""/>
      <w:lvlJc w:val="left"/>
      <w:pPr>
        <w:ind w:left="720" w:hanging="360"/>
      </w:pPr>
      <w:rPr>
        <w:rFonts w:hint="default" w:ascii="Symbol" w:hAnsi="Symbol"/>
        <w:b w:val="0"/>
        <w:bCs w:val="0"/>
        <w:i w:val="0"/>
        <w:iCs w:val="0"/>
        <w:w w:val="98"/>
        <w:sz w:val="24"/>
        <w:szCs w:val="24"/>
        <w:lang w:val="en-US" w:eastAsia="en-US" w:bidi="ar-SA"/>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6394703"/>
    <w:multiLevelType w:val="hybridMultilevel"/>
    <w:tmpl w:val="1786DD98"/>
    <w:lvl w:ilvl="0" w:tplc="7D6618EE">
      <w:numFmt w:val="bullet"/>
      <w:lvlText w:val="–"/>
      <w:lvlJc w:val="left"/>
      <w:pPr>
        <w:ind w:left="1800" w:hanging="360"/>
      </w:pPr>
      <w:rPr>
        <w:rFonts w:hint="default" w:ascii="Calibri" w:hAnsi="Calibri" w:eastAsia="Calibri" w:cs="Calibri"/>
        <w:b w:val="0"/>
        <w:bCs w:val="0"/>
        <w:i w:val="0"/>
        <w:iCs w:val="0"/>
        <w:w w:val="98"/>
        <w:sz w:val="24"/>
        <w:szCs w:val="24"/>
        <w:lang w:val="en-US" w:eastAsia="en-US" w:bidi="ar-SA"/>
      </w:rPr>
    </w:lvl>
    <w:lvl w:ilvl="1" w:tplc="0C090003" w:tentative="1">
      <w:start w:val="1"/>
      <w:numFmt w:val="bullet"/>
      <w:lvlText w:val="o"/>
      <w:lvlJc w:val="left"/>
      <w:pPr>
        <w:ind w:left="2520" w:hanging="360"/>
      </w:pPr>
      <w:rPr>
        <w:rFonts w:hint="default" w:ascii="Courier New" w:hAnsi="Courier New" w:cs="Courier New"/>
      </w:rPr>
    </w:lvl>
    <w:lvl w:ilvl="2" w:tplc="0C090005" w:tentative="1">
      <w:start w:val="1"/>
      <w:numFmt w:val="bullet"/>
      <w:lvlText w:val=""/>
      <w:lvlJc w:val="left"/>
      <w:pPr>
        <w:ind w:left="3240" w:hanging="360"/>
      </w:pPr>
      <w:rPr>
        <w:rFonts w:hint="default" w:ascii="Wingdings" w:hAnsi="Wingdings"/>
      </w:rPr>
    </w:lvl>
    <w:lvl w:ilvl="3" w:tplc="0C090001" w:tentative="1">
      <w:start w:val="1"/>
      <w:numFmt w:val="bullet"/>
      <w:lvlText w:val=""/>
      <w:lvlJc w:val="left"/>
      <w:pPr>
        <w:ind w:left="3960" w:hanging="360"/>
      </w:pPr>
      <w:rPr>
        <w:rFonts w:hint="default" w:ascii="Symbol" w:hAnsi="Symbol"/>
      </w:rPr>
    </w:lvl>
    <w:lvl w:ilvl="4" w:tplc="0C090003" w:tentative="1">
      <w:start w:val="1"/>
      <w:numFmt w:val="bullet"/>
      <w:lvlText w:val="o"/>
      <w:lvlJc w:val="left"/>
      <w:pPr>
        <w:ind w:left="4680" w:hanging="360"/>
      </w:pPr>
      <w:rPr>
        <w:rFonts w:hint="default" w:ascii="Courier New" w:hAnsi="Courier New" w:cs="Courier New"/>
      </w:rPr>
    </w:lvl>
    <w:lvl w:ilvl="5" w:tplc="0C090005" w:tentative="1">
      <w:start w:val="1"/>
      <w:numFmt w:val="bullet"/>
      <w:lvlText w:val=""/>
      <w:lvlJc w:val="left"/>
      <w:pPr>
        <w:ind w:left="5400" w:hanging="360"/>
      </w:pPr>
      <w:rPr>
        <w:rFonts w:hint="default" w:ascii="Wingdings" w:hAnsi="Wingdings"/>
      </w:rPr>
    </w:lvl>
    <w:lvl w:ilvl="6" w:tplc="0C090001" w:tentative="1">
      <w:start w:val="1"/>
      <w:numFmt w:val="bullet"/>
      <w:lvlText w:val=""/>
      <w:lvlJc w:val="left"/>
      <w:pPr>
        <w:ind w:left="6120" w:hanging="360"/>
      </w:pPr>
      <w:rPr>
        <w:rFonts w:hint="default" w:ascii="Symbol" w:hAnsi="Symbol"/>
      </w:rPr>
    </w:lvl>
    <w:lvl w:ilvl="7" w:tplc="0C090003" w:tentative="1">
      <w:start w:val="1"/>
      <w:numFmt w:val="bullet"/>
      <w:lvlText w:val="o"/>
      <w:lvlJc w:val="left"/>
      <w:pPr>
        <w:ind w:left="6840" w:hanging="360"/>
      </w:pPr>
      <w:rPr>
        <w:rFonts w:hint="default" w:ascii="Courier New" w:hAnsi="Courier New" w:cs="Courier New"/>
      </w:rPr>
    </w:lvl>
    <w:lvl w:ilvl="8" w:tplc="0C090005" w:tentative="1">
      <w:start w:val="1"/>
      <w:numFmt w:val="bullet"/>
      <w:lvlText w:val=""/>
      <w:lvlJc w:val="left"/>
      <w:pPr>
        <w:ind w:left="7560" w:hanging="360"/>
      </w:pPr>
      <w:rPr>
        <w:rFonts w:hint="default" w:ascii="Wingdings" w:hAnsi="Wingdings"/>
      </w:rPr>
    </w:lvl>
  </w:abstractNum>
  <w:abstractNum w:abstractNumId="6" w15:restartNumberingAfterBreak="0">
    <w:nsid w:val="2265318D"/>
    <w:multiLevelType w:val="multilevel"/>
    <w:tmpl w:val="49384896"/>
    <w:lvl w:ilvl="0">
      <w:start w:val="1"/>
      <w:numFmt w:val="decimal"/>
      <w:pStyle w:val="ListParagraph"/>
      <w:lvlText w:val="%1."/>
      <w:lvlJc w:val="left"/>
      <w:pPr>
        <w:ind w:left="717"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947139"/>
    <w:multiLevelType w:val="hybridMultilevel"/>
    <w:tmpl w:val="D5360E14"/>
    <w:lvl w:ilvl="0" w:tplc="7D6618EE">
      <w:numFmt w:val="bullet"/>
      <w:lvlText w:val="–"/>
      <w:lvlJc w:val="left"/>
      <w:pPr>
        <w:ind w:left="1080" w:hanging="360"/>
      </w:pPr>
      <w:rPr>
        <w:rFonts w:hint="default" w:ascii="Calibri" w:hAnsi="Calibri" w:eastAsia="Calibri" w:cs="Calibri"/>
        <w:b w:val="0"/>
        <w:bCs w:val="0"/>
        <w:i w:val="0"/>
        <w:iCs w:val="0"/>
        <w:w w:val="98"/>
        <w:sz w:val="24"/>
        <w:szCs w:val="24"/>
        <w:lang w:val="en-US" w:eastAsia="en-US" w:bidi="ar-SA"/>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8" w15:restartNumberingAfterBreak="0">
    <w:nsid w:val="297A73C2"/>
    <w:multiLevelType w:val="hybridMultilevel"/>
    <w:tmpl w:val="5D0AD024"/>
    <w:lvl w:ilvl="0" w:tplc="0C090001">
      <w:start w:val="1"/>
      <w:numFmt w:val="bullet"/>
      <w:lvlText w:val=""/>
      <w:lvlJc w:val="left"/>
      <w:pPr>
        <w:ind w:left="1080" w:hanging="360"/>
      </w:pPr>
      <w:rPr>
        <w:rFonts w:hint="default" w:ascii="Symbol" w:hAnsi="Symbol"/>
        <w:b w:val="0"/>
        <w:bCs w:val="0"/>
        <w:i w:val="0"/>
        <w:iCs w:val="0"/>
        <w:w w:val="100"/>
        <w:sz w:val="24"/>
        <w:szCs w:val="24"/>
        <w:lang w:val="en-AU" w:eastAsia="en-US" w:bidi="ar-SA"/>
      </w:rPr>
    </w:lvl>
    <w:lvl w:ilvl="1" w:tplc="0C090003" w:tentative="1">
      <w:start w:val="1"/>
      <w:numFmt w:val="bullet"/>
      <w:lvlText w:val="o"/>
      <w:lvlJc w:val="left"/>
      <w:pPr>
        <w:ind w:left="940" w:hanging="360"/>
      </w:pPr>
      <w:rPr>
        <w:rFonts w:hint="default" w:ascii="Courier New" w:hAnsi="Courier New" w:cs="Courier New"/>
      </w:rPr>
    </w:lvl>
    <w:lvl w:ilvl="2" w:tplc="0C090005" w:tentative="1">
      <w:start w:val="1"/>
      <w:numFmt w:val="bullet"/>
      <w:lvlText w:val=""/>
      <w:lvlJc w:val="left"/>
      <w:pPr>
        <w:ind w:left="1660" w:hanging="360"/>
      </w:pPr>
      <w:rPr>
        <w:rFonts w:hint="default" w:ascii="Wingdings" w:hAnsi="Wingdings"/>
      </w:rPr>
    </w:lvl>
    <w:lvl w:ilvl="3" w:tplc="0C090001" w:tentative="1">
      <w:start w:val="1"/>
      <w:numFmt w:val="bullet"/>
      <w:lvlText w:val=""/>
      <w:lvlJc w:val="left"/>
      <w:pPr>
        <w:ind w:left="2380" w:hanging="360"/>
      </w:pPr>
      <w:rPr>
        <w:rFonts w:hint="default" w:ascii="Symbol" w:hAnsi="Symbol"/>
      </w:rPr>
    </w:lvl>
    <w:lvl w:ilvl="4" w:tplc="0C090003" w:tentative="1">
      <w:start w:val="1"/>
      <w:numFmt w:val="bullet"/>
      <w:lvlText w:val="o"/>
      <w:lvlJc w:val="left"/>
      <w:pPr>
        <w:ind w:left="3100" w:hanging="360"/>
      </w:pPr>
      <w:rPr>
        <w:rFonts w:hint="default" w:ascii="Courier New" w:hAnsi="Courier New" w:cs="Courier New"/>
      </w:rPr>
    </w:lvl>
    <w:lvl w:ilvl="5" w:tplc="0C090005" w:tentative="1">
      <w:start w:val="1"/>
      <w:numFmt w:val="bullet"/>
      <w:lvlText w:val=""/>
      <w:lvlJc w:val="left"/>
      <w:pPr>
        <w:ind w:left="3820" w:hanging="360"/>
      </w:pPr>
      <w:rPr>
        <w:rFonts w:hint="default" w:ascii="Wingdings" w:hAnsi="Wingdings"/>
      </w:rPr>
    </w:lvl>
    <w:lvl w:ilvl="6" w:tplc="0C090001" w:tentative="1">
      <w:start w:val="1"/>
      <w:numFmt w:val="bullet"/>
      <w:lvlText w:val=""/>
      <w:lvlJc w:val="left"/>
      <w:pPr>
        <w:ind w:left="4540" w:hanging="360"/>
      </w:pPr>
      <w:rPr>
        <w:rFonts w:hint="default" w:ascii="Symbol" w:hAnsi="Symbol"/>
      </w:rPr>
    </w:lvl>
    <w:lvl w:ilvl="7" w:tplc="0C090003" w:tentative="1">
      <w:start w:val="1"/>
      <w:numFmt w:val="bullet"/>
      <w:lvlText w:val="o"/>
      <w:lvlJc w:val="left"/>
      <w:pPr>
        <w:ind w:left="5260" w:hanging="360"/>
      </w:pPr>
      <w:rPr>
        <w:rFonts w:hint="default" w:ascii="Courier New" w:hAnsi="Courier New" w:cs="Courier New"/>
      </w:rPr>
    </w:lvl>
    <w:lvl w:ilvl="8" w:tplc="0C090005" w:tentative="1">
      <w:start w:val="1"/>
      <w:numFmt w:val="bullet"/>
      <w:lvlText w:val=""/>
      <w:lvlJc w:val="left"/>
      <w:pPr>
        <w:ind w:left="5980" w:hanging="360"/>
      </w:pPr>
      <w:rPr>
        <w:rFonts w:hint="default" w:ascii="Wingdings" w:hAnsi="Wingdings"/>
      </w:rPr>
    </w:lvl>
  </w:abstractNum>
  <w:abstractNum w:abstractNumId="9" w15:restartNumberingAfterBreak="0">
    <w:nsid w:val="31750699"/>
    <w:multiLevelType w:val="multilevel"/>
    <w:tmpl w:val="3C8C1CB8"/>
    <w:lvl w:ilvl="0">
      <w:start w:val="1"/>
      <w:numFmt w:val="bullet"/>
      <w:pStyle w:val="Bullet1"/>
      <w:lvlText w:val=""/>
      <w:lvlJc w:val="left"/>
      <w:pPr>
        <w:tabs>
          <w:tab w:val="num" w:pos="680"/>
        </w:tabs>
        <w:ind w:left="340" w:hanging="340"/>
      </w:pPr>
      <w:rPr>
        <w:rFonts w:hint="default" w:ascii="Symbol" w:hAnsi="Symbol"/>
        <w:b w:val="0"/>
        <w:i w:val="0"/>
        <w:caps w:val="0"/>
        <w:strike w:val="0"/>
        <w:dstrike w:val="0"/>
        <w:vanish w:val="0"/>
        <w:color w:val="000000" w:themeColor="text1"/>
        <w:sz w:val="20"/>
        <w:szCs w:val="18"/>
        <w:vertAlign w:val="baseline"/>
      </w:rPr>
    </w:lvl>
    <w:lvl w:ilvl="1">
      <w:start w:val="1"/>
      <w:numFmt w:val="bullet"/>
      <w:lvlText w:val="–"/>
      <w:lvlJc w:val="left"/>
      <w:pPr>
        <w:tabs>
          <w:tab w:val="num" w:pos="1780"/>
        </w:tabs>
        <w:ind w:left="680" w:hanging="340"/>
      </w:pPr>
      <w:rPr>
        <w:rFonts w:hint="default" w:ascii="Arial" w:hAnsi="Arial"/>
      </w:rPr>
    </w:lvl>
    <w:lvl w:ilvl="2">
      <w:start w:val="1"/>
      <w:numFmt w:val="bullet"/>
      <w:lvlText w:val="o"/>
      <w:lvlJc w:val="left"/>
      <w:pPr>
        <w:tabs>
          <w:tab w:val="num" w:pos="3969"/>
        </w:tabs>
        <w:ind w:left="1021" w:hanging="341"/>
      </w:pPr>
      <w:rPr>
        <w:rFonts w:hint="default" w:ascii="Courier New" w:hAnsi="Courier New"/>
      </w:rPr>
    </w:lvl>
    <w:lvl w:ilvl="3">
      <w:start w:val="1"/>
      <w:numFmt w:val="bullet"/>
      <w:lvlText w:val="·"/>
      <w:lvlJc w:val="left"/>
      <w:pPr>
        <w:tabs>
          <w:tab w:val="num" w:pos="3220"/>
        </w:tabs>
        <w:ind w:left="1361" w:hanging="340"/>
      </w:pPr>
      <w:rPr>
        <w:rFonts w:hint="default" w:ascii="Arial" w:hAnsi="Arial"/>
      </w:rPr>
    </w:lvl>
    <w:lvl w:ilvl="4">
      <w:start w:val="1"/>
      <w:numFmt w:val="bullet"/>
      <w:lvlText w:val="o"/>
      <w:lvlJc w:val="left"/>
      <w:pPr>
        <w:tabs>
          <w:tab w:val="num" w:pos="3940"/>
        </w:tabs>
        <w:ind w:left="3941" w:hanging="361"/>
      </w:pPr>
      <w:rPr>
        <w:rFonts w:hint="default" w:ascii="Courier New" w:hAnsi="Courier New"/>
      </w:rPr>
    </w:lvl>
    <w:lvl w:ilvl="5">
      <w:start w:val="1"/>
      <w:numFmt w:val="bullet"/>
      <w:lvlText w:val=""/>
      <w:lvlJc w:val="left"/>
      <w:pPr>
        <w:tabs>
          <w:tab w:val="num" w:pos="4660"/>
        </w:tabs>
        <w:ind w:left="4660" w:hanging="360"/>
      </w:pPr>
      <w:rPr>
        <w:rFonts w:hint="default" w:ascii="Wingdings" w:hAnsi="Wingdings"/>
      </w:rPr>
    </w:lvl>
    <w:lvl w:ilvl="6">
      <w:start w:val="1"/>
      <w:numFmt w:val="bullet"/>
      <w:lvlText w:val=""/>
      <w:lvlJc w:val="left"/>
      <w:pPr>
        <w:tabs>
          <w:tab w:val="num" w:pos="5380"/>
        </w:tabs>
        <w:ind w:left="5380" w:hanging="360"/>
      </w:pPr>
      <w:rPr>
        <w:rFonts w:hint="default" w:ascii="Symbol" w:hAnsi="Symbol"/>
      </w:rPr>
    </w:lvl>
    <w:lvl w:ilvl="7">
      <w:start w:val="1"/>
      <w:numFmt w:val="bullet"/>
      <w:lvlText w:val="o"/>
      <w:lvlJc w:val="left"/>
      <w:pPr>
        <w:tabs>
          <w:tab w:val="num" w:pos="6100"/>
        </w:tabs>
        <w:ind w:left="6100" w:hanging="360"/>
      </w:pPr>
      <w:rPr>
        <w:rFonts w:hint="default" w:ascii="Courier New" w:hAnsi="Courier New"/>
      </w:rPr>
    </w:lvl>
    <w:lvl w:ilvl="8">
      <w:start w:val="1"/>
      <w:numFmt w:val="bullet"/>
      <w:lvlText w:val=""/>
      <w:lvlJc w:val="left"/>
      <w:pPr>
        <w:tabs>
          <w:tab w:val="num" w:pos="6820"/>
        </w:tabs>
        <w:ind w:left="6820" w:hanging="360"/>
      </w:pPr>
      <w:rPr>
        <w:rFonts w:hint="default" w:ascii="Wingdings" w:hAnsi="Wingdings"/>
      </w:rPr>
    </w:lvl>
  </w:abstractNum>
  <w:abstractNum w:abstractNumId="10" w15:restartNumberingAfterBreak="0">
    <w:nsid w:val="333B2AC5"/>
    <w:multiLevelType w:val="hybridMultilevel"/>
    <w:tmpl w:val="05D8713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3FCB08B2"/>
    <w:multiLevelType w:val="hybridMultilevel"/>
    <w:tmpl w:val="F6EAF53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40413F27"/>
    <w:multiLevelType w:val="hybridMultilevel"/>
    <w:tmpl w:val="2820C51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42421656"/>
    <w:multiLevelType w:val="multilevel"/>
    <w:tmpl w:val="317260B2"/>
    <w:lvl w:ilvl="0">
      <w:start w:val="1"/>
      <w:numFmt w:val="bullet"/>
      <w:lvlText w:val=""/>
      <w:lvlJc w:val="left"/>
      <w:pPr>
        <w:tabs>
          <w:tab w:val="num" w:pos="680"/>
        </w:tabs>
        <w:ind w:left="340" w:hanging="340"/>
      </w:pPr>
      <w:rPr>
        <w:rFonts w:hint="default" w:ascii="Symbol" w:hAnsi="Symbol"/>
        <w:b w:val="0"/>
        <w:i w:val="0"/>
        <w:caps w:val="0"/>
        <w:strike w:val="0"/>
        <w:dstrike w:val="0"/>
        <w:vanish w:val="0"/>
        <w:color w:val="000000" w:themeColor="text1"/>
        <w:sz w:val="20"/>
        <w:szCs w:val="18"/>
        <w:vertAlign w:val="baseline"/>
      </w:rPr>
    </w:lvl>
    <w:lvl w:ilvl="1">
      <w:start w:val="1"/>
      <w:numFmt w:val="bullet"/>
      <w:lvlText w:val="̶"/>
      <w:lvlJc w:val="left"/>
      <w:pPr>
        <w:tabs>
          <w:tab w:val="num" w:pos="1780"/>
        </w:tabs>
        <w:ind w:left="680" w:hanging="340"/>
      </w:pPr>
      <w:rPr>
        <w:rFonts w:hint="default" w:ascii="Walbaum Display Light" w:hAnsi="Walbaum Display Light"/>
      </w:rPr>
    </w:lvl>
    <w:lvl w:ilvl="2">
      <w:start w:val="1"/>
      <w:numFmt w:val="bullet"/>
      <w:lvlText w:val="̶"/>
      <w:lvlJc w:val="left"/>
      <w:pPr>
        <w:tabs>
          <w:tab w:val="num" w:pos="3969"/>
        </w:tabs>
        <w:ind w:left="1021" w:hanging="341"/>
      </w:pPr>
      <w:rPr>
        <w:rFonts w:hint="default" w:ascii="Walbaum Display Light" w:hAnsi="Walbaum Display Light"/>
      </w:rPr>
    </w:lvl>
    <w:lvl w:ilvl="3">
      <w:start w:val="1"/>
      <w:numFmt w:val="bullet"/>
      <w:lvlText w:val="·"/>
      <w:lvlJc w:val="left"/>
      <w:pPr>
        <w:tabs>
          <w:tab w:val="num" w:pos="3220"/>
        </w:tabs>
        <w:ind w:left="1361" w:hanging="340"/>
      </w:pPr>
      <w:rPr>
        <w:rFonts w:hint="default" w:ascii="Arial" w:hAnsi="Arial"/>
      </w:rPr>
    </w:lvl>
    <w:lvl w:ilvl="4">
      <w:start w:val="1"/>
      <w:numFmt w:val="bullet"/>
      <w:lvlText w:val="o"/>
      <w:lvlJc w:val="left"/>
      <w:pPr>
        <w:tabs>
          <w:tab w:val="num" w:pos="3940"/>
        </w:tabs>
        <w:ind w:left="3941" w:hanging="361"/>
      </w:pPr>
      <w:rPr>
        <w:rFonts w:hint="default" w:ascii="Courier New" w:hAnsi="Courier New"/>
      </w:rPr>
    </w:lvl>
    <w:lvl w:ilvl="5">
      <w:start w:val="1"/>
      <w:numFmt w:val="bullet"/>
      <w:lvlText w:val=""/>
      <w:lvlJc w:val="left"/>
      <w:pPr>
        <w:tabs>
          <w:tab w:val="num" w:pos="4660"/>
        </w:tabs>
        <w:ind w:left="4660" w:hanging="360"/>
      </w:pPr>
      <w:rPr>
        <w:rFonts w:hint="default" w:ascii="Wingdings" w:hAnsi="Wingdings"/>
      </w:rPr>
    </w:lvl>
    <w:lvl w:ilvl="6">
      <w:start w:val="1"/>
      <w:numFmt w:val="bullet"/>
      <w:lvlText w:val=""/>
      <w:lvlJc w:val="left"/>
      <w:pPr>
        <w:tabs>
          <w:tab w:val="num" w:pos="5380"/>
        </w:tabs>
        <w:ind w:left="5380" w:hanging="360"/>
      </w:pPr>
      <w:rPr>
        <w:rFonts w:hint="default" w:ascii="Symbol" w:hAnsi="Symbol"/>
      </w:rPr>
    </w:lvl>
    <w:lvl w:ilvl="7">
      <w:start w:val="1"/>
      <w:numFmt w:val="bullet"/>
      <w:lvlText w:val="o"/>
      <w:lvlJc w:val="left"/>
      <w:pPr>
        <w:tabs>
          <w:tab w:val="num" w:pos="6100"/>
        </w:tabs>
        <w:ind w:left="6100" w:hanging="360"/>
      </w:pPr>
      <w:rPr>
        <w:rFonts w:hint="default" w:ascii="Courier New" w:hAnsi="Courier New"/>
      </w:rPr>
    </w:lvl>
    <w:lvl w:ilvl="8">
      <w:start w:val="1"/>
      <w:numFmt w:val="bullet"/>
      <w:lvlText w:val=""/>
      <w:lvlJc w:val="left"/>
      <w:pPr>
        <w:tabs>
          <w:tab w:val="num" w:pos="6820"/>
        </w:tabs>
        <w:ind w:left="6820" w:hanging="360"/>
      </w:pPr>
      <w:rPr>
        <w:rFonts w:hint="default" w:ascii="Wingdings" w:hAnsi="Wingdings"/>
      </w:rPr>
    </w:lvl>
  </w:abstractNum>
  <w:abstractNum w:abstractNumId="14" w15:restartNumberingAfterBreak="0">
    <w:nsid w:val="4C786937"/>
    <w:multiLevelType w:val="hybridMultilevel"/>
    <w:tmpl w:val="7D22085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5" w15:restartNumberingAfterBreak="0">
    <w:nsid w:val="53A22F35"/>
    <w:multiLevelType w:val="hybridMultilevel"/>
    <w:tmpl w:val="5F1293B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66B453B7"/>
    <w:multiLevelType w:val="hybridMultilevel"/>
    <w:tmpl w:val="A396568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688A462D"/>
    <w:multiLevelType w:val="hybridMultilevel"/>
    <w:tmpl w:val="EA94B800"/>
    <w:lvl w:ilvl="0" w:tplc="7D6618EE">
      <w:numFmt w:val="bullet"/>
      <w:lvlText w:val="–"/>
      <w:lvlJc w:val="left"/>
      <w:pPr>
        <w:ind w:left="720" w:hanging="360"/>
      </w:pPr>
      <w:rPr>
        <w:rFonts w:hint="default" w:ascii="Calibri" w:hAnsi="Calibri" w:eastAsia="Calibri" w:cs="Calibri"/>
        <w:b w:val="0"/>
        <w:bCs w:val="0"/>
        <w:i w:val="0"/>
        <w:iCs w:val="0"/>
        <w:w w:val="98"/>
        <w:sz w:val="24"/>
        <w:szCs w:val="24"/>
        <w:lang w:val="en-US" w:eastAsia="en-US" w:bidi="ar-SA"/>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79F17726"/>
    <w:multiLevelType w:val="hybridMultilevel"/>
    <w:tmpl w:val="1B46D4D6"/>
    <w:lvl w:ilvl="0" w:tplc="4F1AFF5A">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7F2929C9"/>
    <w:multiLevelType w:val="hybridMultilevel"/>
    <w:tmpl w:val="A11075F2"/>
    <w:lvl w:ilvl="0" w:tplc="5866D5E2">
      <w:numFmt w:val="bullet"/>
      <w:lvlText w:val=""/>
      <w:lvlJc w:val="left"/>
      <w:pPr>
        <w:ind w:left="860" w:hanging="360"/>
      </w:pPr>
      <w:rPr>
        <w:rFonts w:hint="default" w:ascii="Symbol" w:hAnsi="Symbol" w:eastAsia="Symbol" w:cs="Symbol"/>
        <w:w w:val="100"/>
        <w:lang w:val="en-AU" w:eastAsia="en-US" w:bidi="ar-SA"/>
      </w:rPr>
    </w:lvl>
    <w:lvl w:ilvl="1" w:tplc="F488BC68">
      <w:numFmt w:val="bullet"/>
      <w:lvlText w:val="o"/>
      <w:lvlJc w:val="left"/>
      <w:pPr>
        <w:ind w:left="1580" w:hanging="360"/>
      </w:pPr>
      <w:rPr>
        <w:rFonts w:hint="default" w:ascii="Courier New" w:hAnsi="Courier New" w:eastAsia="Courier New" w:cs="Courier New"/>
        <w:b w:val="0"/>
        <w:bCs w:val="0"/>
        <w:i w:val="0"/>
        <w:iCs w:val="0"/>
        <w:w w:val="100"/>
        <w:sz w:val="24"/>
        <w:szCs w:val="24"/>
        <w:lang w:val="en-AU" w:eastAsia="en-US" w:bidi="ar-SA"/>
      </w:rPr>
    </w:lvl>
    <w:lvl w:ilvl="2" w:tplc="735028EE">
      <w:numFmt w:val="bullet"/>
      <w:lvlText w:val="•"/>
      <w:lvlJc w:val="left"/>
      <w:pPr>
        <w:ind w:left="2465" w:hanging="360"/>
      </w:pPr>
      <w:rPr>
        <w:rFonts w:hint="default"/>
        <w:lang w:val="en-AU" w:eastAsia="en-US" w:bidi="ar-SA"/>
      </w:rPr>
    </w:lvl>
    <w:lvl w:ilvl="3" w:tplc="B4525518">
      <w:numFmt w:val="bullet"/>
      <w:lvlText w:val="•"/>
      <w:lvlJc w:val="left"/>
      <w:pPr>
        <w:ind w:left="3350" w:hanging="360"/>
      </w:pPr>
      <w:rPr>
        <w:rFonts w:hint="default"/>
        <w:lang w:val="en-AU" w:eastAsia="en-US" w:bidi="ar-SA"/>
      </w:rPr>
    </w:lvl>
    <w:lvl w:ilvl="4" w:tplc="DD0EE896">
      <w:numFmt w:val="bullet"/>
      <w:lvlText w:val="•"/>
      <w:lvlJc w:val="left"/>
      <w:pPr>
        <w:ind w:left="4235" w:hanging="360"/>
      </w:pPr>
      <w:rPr>
        <w:rFonts w:hint="default"/>
        <w:lang w:val="en-AU" w:eastAsia="en-US" w:bidi="ar-SA"/>
      </w:rPr>
    </w:lvl>
    <w:lvl w:ilvl="5" w:tplc="6ED66CA6">
      <w:numFmt w:val="bullet"/>
      <w:lvlText w:val="•"/>
      <w:lvlJc w:val="left"/>
      <w:pPr>
        <w:ind w:left="5120" w:hanging="360"/>
      </w:pPr>
      <w:rPr>
        <w:rFonts w:hint="default"/>
        <w:lang w:val="en-AU" w:eastAsia="en-US" w:bidi="ar-SA"/>
      </w:rPr>
    </w:lvl>
    <w:lvl w:ilvl="6" w:tplc="820EB772">
      <w:numFmt w:val="bullet"/>
      <w:lvlText w:val="•"/>
      <w:lvlJc w:val="left"/>
      <w:pPr>
        <w:ind w:left="6005" w:hanging="360"/>
      </w:pPr>
      <w:rPr>
        <w:rFonts w:hint="default"/>
        <w:lang w:val="en-AU" w:eastAsia="en-US" w:bidi="ar-SA"/>
      </w:rPr>
    </w:lvl>
    <w:lvl w:ilvl="7" w:tplc="07DCF470">
      <w:numFmt w:val="bullet"/>
      <w:lvlText w:val="•"/>
      <w:lvlJc w:val="left"/>
      <w:pPr>
        <w:ind w:left="6890" w:hanging="360"/>
      </w:pPr>
      <w:rPr>
        <w:rFonts w:hint="default"/>
        <w:lang w:val="en-AU" w:eastAsia="en-US" w:bidi="ar-SA"/>
      </w:rPr>
    </w:lvl>
    <w:lvl w:ilvl="8" w:tplc="36920912">
      <w:numFmt w:val="bullet"/>
      <w:lvlText w:val="•"/>
      <w:lvlJc w:val="left"/>
      <w:pPr>
        <w:ind w:left="7776" w:hanging="360"/>
      </w:pPr>
      <w:rPr>
        <w:rFonts w:hint="default"/>
        <w:lang w:val="en-AU" w:eastAsia="en-US" w:bidi="ar-SA"/>
      </w:rPr>
    </w:lvl>
  </w:abstractNum>
  <w:num w:numId="1" w16cid:durableId="735861727">
    <w:abstractNumId w:val="19"/>
  </w:num>
  <w:num w:numId="2" w16cid:durableId="1708986940">
    <w:abstractNumId w:val="14"/>
  </w:num>
  <w:num w:numId="3" w16cid:durableId="1918516618">
    <w:abstractNumId w:val="3"/>
  </w:num>
  <w:num w:numId="4" w16cid:durableId="110367545">
    <w:abstractNumId w:val="2"/>
  </w:num>
  <w:num w:numId="5" w16cid:durableId="1307080505">
    <w:abstractNumId w:val="16"/>
  </w:num>
  <w:num w:numId="6" w16cid:durableId="163935548">
    <w:abstractNumId w:val="0"/>
  </w:num>
  <w:num w:numId="7" w16cid:durableId="1712999240">
    <w:abstractNumId w:val="8"/>
  </w:num>
  <w:num w:numId="8" w16cid:durableId="938491862">
    <w:abstractNumId w:val="5"/>
  </w:num>
  <w:num w:numId="9" w16cid:durableId="395904732">
    <w:abstractNumId w:val="17"/>
  </w:num>
  <w:num w:numId="10" w16cid:durableId="1887527964">
    <w:abstractNumId w:val="4"/>
  </w:num>
  <w:num w:numId="11" w16cid:durableId="1480073081">
    <w:abstractNumId w:val="9"/>
  </w:num>
  <w:num w:numId="12" w16cid:durableId="411976512">
    <w:abstractNumId w:val="10"/>
  </w:num>
  <w:num w:numId="13" w16cid:durableId="1368406589">
    <w:abstractNumId w:val="7"/>
  </w:num>
  <w:num w:numId="14" w16cid:durableId="1802532897">
    <w:abstractNumId w:val="12"/>
  </w:num>
  <w:num w:numId="15" w16cid:durableId="797995922">
    <w:abstractNumId w:val="11"/>
  </w:num>
  <w:num w:numId="16" w16cid:durableId="134690883">
    <w:abstractNumId w:val="6"/>
  </w:num>
  <w:num w:numId="17" w16cid:durableId="1748502487">
    <w:abstractNumId w:val="1"/>
  </w:num>
  <w:num w:numId="18" w16cid:durableId="1668291447">
    <w:abstractNumId w:val="13"/>
  </w:num>
  <w:num w:numId="19" w16cid:durableId="762844355">
    <w:abstractNumId w:val="15"/>
  </w:num>
  <w:num w:numId="20" w16cid:durableId="16880937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325"/>
    <w:rsid w:val="00024328"/>
    <w:rsid w:val="00050F5C"/>
    <w:rsid w:val="000532B3"/>
    <w:rsid w:val="00066A9A"/>
    <w:rsid w:val="000879A1"/>
    <w:rsid w:val="00087A96"/>
    <w:rsid w:val="00091248"/>
    <w:rsid w:val="00092003"/>
    <w:rsid w:val="0009487B"/>
    <w:rsid w:val="00094F4B"/>
    <w:rsid w:val="000A2541"/>
    <w:rsid w:val="000B12FD"/>
    <w:rsid w:val="000B5D70"/>
    <w:rsid w:val="000E0B93"/>
    <w:rsid w:val="000F2E59"/>
    <w:rsid w:val="00102D4C"/>
    <w:rsid w:val="0010638A"/>
    <w:rsid w:val="0011004F"/>
    <w:rsid w:val="0011527F"/>
    <w:rsid w:val="00124A8C"/>
    <w:rsid w:val="00132049"/>
    <w:rsid w:val="00137716"/>
    <w:rsid w:val="00137C6D"/>
    <w:rsid w:val="0019027A"/>
    <w:rsid w:val="00191A00"/>
    <w:rsid w:val="001A4D11"/>
    <w:rsid w:val="001A5019"/>
    <w:rsid w:val="001B2A91"/>
    <w:rsid w:val="001C7016"/>
    <w:rsid w:val="001F25C0"/>
    <w:rsid w:val="001F642F"/>
    <w:rsid w:val="00201F10"/>
    <w:rsid w:val="00213EAB"/>
    <w:rsid w:val="00214040"/>
    <w:rsid w:val="00214E66"/>
    <w:rsid w:val="00215144"/>
    <w:rsid w:val="0021738D"/>
    <w:rsid w:val="00223B61"/>
    <w:rsid w:val="00225670"/>
    <w:rsid w:val="00243AFB"/>
    <w:rsid w:val="00245BA8"/>
    <w:rsid w:val="002468AE"/>
    <w:rsid w:val="00250236"/>
    <w:rsid w:val="00256CE6"/>
    <w:rsid w:val="0025759F"/>
    <w:rsid w:val="002766F7"/>
    <w:rsid w:val="002808D7"/>
    <w:rsid w:val="002A2D58"/>
    <w:rsid w:val="002B0512"/>
    <w:rsid w:val="002B680F"/>
    <w:rsid w:val="002D2FB5"/>
    <w:rsid w:val="002E2557"/>
    <w:rsid w:val="002E63EB"/>
    <w:rsid w:val="00323AD9"/>
    <w:rsid w:val="00330698"/>
    <w:rsid w:val="0037106C"/>
    <w:rsid w:val="00371A5F"/>
    <w:rsid w:val="00374635"/>
    <w:rsid w:val="003977FF"/>
    <w:rsid w:val="00397B56"/>
    <w:rsid w:val="003B1280"/>
    <w:rsid w:val="003C517E"/>
    <w:rsid w:val="003D0996"/>
    <w:rsid w:val="003D43DE"/>
    <w:rsid w:val="003E7B59"/>
    <w:rsid w:val="003F6829"/>
    <w:rsid w:val="004028CE"/>
    <w:rsid w:val="00405C7F"/>
    <w:rsid w:val="00415291"/>
    <w:rsid w:val="00420144"/>
    <w:rsid w:val="00457290"/>
    <w:rsid w:val="00460E87"/>
    <w:rsid w:val="004652A1"/>
    <w:rsid w:val="004735D1"/>
    <w:rsid w:val="00476C5B"/>
    <w:rsid w:val="004822D3"/>
    <w:rsid w:val="004854D8"/>
    <w:rsid w:val="00486D83"/>
    <w:rsid w:val="00497F51"/>
    <w:rsid w:val="004A0199"/>
    <w:rsid w:val="00500D77"/>
    <w:rsid w:val="00505F5A"/>
    <w:rsid w:val="00510261"/>
    <w:rsid w:val="005210F6"/>
    <w:rsid w:val="00526CA8"/>
    <w:rsid w:val="00531350"/>
    <w:rsid w:val="00532DA4"/>
    <w:rsid w:val="00561CA7"/>
    <w:rsid w:val="00581CEA"/>
    <w:rsid w:val="00583318"/>
    <w:rsid w:val="00592E82"/>
    <w:rsid w:val="005A32A0"/>
    <w:rsid w:val="005A65E0"/>
    <w:rsid w:val="005A738F"/>
    <w:rsid w:val="005D2BAE"/>
    <w:rsid w:val="005E32E8"/>
    <w:rsid w:val="005F18DB"/>
    <w:rsid w:val="00601B47"/>
    <w:rsid w:val="00616005"/>
    <w:rsid w:val="00616573"/>
    <w:rsid w:val="00626ECA"/>
    <w:rsid w:val="00632FF7"/>
    <w:rsid w:val="00636D70"/>
    <w:rsid w:val="00641753"/>
    <w:rsid w:val="00645887"/>
    <w:rsid w:val="006466F6"/>
    <w:rsid w:val="006476DE"/>
    <w:rsid w:val="00664DDA"/>
    <w:rsid w:val="00673F2F"/>
    <w:rsid w:val="006A1501"/>
    <w:rsid w:val="006A5F3C"/>
    <w:rsid w:val="00721C97"/>
    <w:rsid w:val="00731EE4"/>
    <w:rsid w:val="00731FA8"/>
    <w:rsid w:val="0073236D"/>
    <w:rsid w:val="0074258E"/>
    <w:rsid w:val="00746BF3"/>
    <w:rsid w:val="007514EB"/>
    <w:rsid w:val="00752193"/>
    <w:rsid w:val="00757F0B"/>
    <w:rsid w:val="00764590"/>
    <w:rsid w:val="007B1F31"/>
    <w:rsid w:val="007C5543"/>
    <w:rsid w:val="007D4D4E"/>
    <w:rsid w:val="007D6278"/>
    <w:rsid w:val="007F2E72"/>
    <w:rsid w:val="008063CF"/>
    <w:rsid w:val="00810873"/>
    <w:rsid w:val="008113A8"/>
    <w:rsid w:val="00812E7C"/>
    <w:rsid w:val="008203EA"/>
    <w:rsid w:val="00836EA3"/>
    <w:rsid w:val="00866FD1"/>
    <w:rsid w:val="008764CA"/>
    <w:rsid w:val="00894D30"/>
    <w:rsid w:val="008956EE"/>
    <w:rsid w:val="008B6717"/>
    <w:rsid w:val="008F540E"/>
    <w:rsid w:val="008F6541"/>
    <w:rsid w:val="008F7B81"/>
    <w:rsid w:val="00906DAC"/>
    <w:rsid w:val="009125EF"/>
    <w:rsid w:val="009300BE"/>
    <w:rsid w:val="009548D9"/>
    <w:rsid w:val="0097456E"/>
    <w:rsid w:val="00974BA9"/>
    <w:rsid w:val="00982092"/>
    <w:rsid w:val="0098262D"/>
    <w:rsid w:val="00986657"/>
    <w:rsid w:val="009A49EF"/>
    <w:rsid w:val="009A6A35"/>
    <w:rsid w:val="009A7231"/>
    <w:rsid w:val="009B7AF7"/>
    <w:rsid w:val="009C0770"/>
    <w:rsid w:val="009C38B5"/>
    <w:rsid w:val="009E5D21"/>
    <w:rsid w:val="009E647D"/>
    <w:rsid w:val="009E71A1"/>
    <w:rsid w:val="009F644A"/>
    <w:rsid w:val="00A07CF0"/>
    <w:rsid w:val="00A41561"/>
    <w:rsid w:val="00A60FB2"/>
    <w:rsid w:val="00A64F2F"/>
    <w:rsid w:val="00A9476F"/>
    <w:rsid w:val="00AA6FD8"/>
    <w:rsid w:val="00AB1252"/>
    <w:rsid w:val="00AB342F"/>
    <w:rsid w:val="00AB4DB1"/>
    <w:rsid w:val="00AD4EFE"/>
    <w:rsid w:val="00B010D0"/>
    <w:rsid w:val="00B027F8"/>
    <w:rsid w:val="00B1301B"/>
    <w:rsid w:val="00B22399"/>
    <w:rsid w:val="00B26D9E"/>
    <w:rsid w:val="00B34165"/>
    <w:rsid w:val="00B34F88"/>
    <w:rsid w:val="00B67E3A"/>
    <w:rsid w:val="00B71769"/>
    <w:rsid w:val="00B73F9F"/>
    <w:rsid w:val="00B816D5"/>
    <w:rsid w:val="00B91A49"/>
    <w:rsid w:val="00B94E76"/>
    <w:rsid w:val="00BA00E1"/>
    <w:rsid w:val="00BA779F"/>
    <w:rsid w:val="00BC710C"/>
    <w:rsid w:val="00BD4D1E"/>
    <w:rsid w:val="00BE4423"/>
    <w:rsid w:val="00BE5E37"/>
    <w:rsid w:val="00C20815"/>
    <w:rsid w:val="00C560A4"/>
    <w:rsid w:val="00C56D7B"/>
    <w:rsid w:val="00C5727F"/>
    <w:rsid w:val="00C83692"/>
    <w:rsid w:val="00C94283"/>
    <w:rsid w:val="00CA5F71"/>
    <w:rsid w:val="00CC16B4"/>
    <w:rsid w:val="00CC50D9"/>
    <w:rsid w:val="00CD3D78"/>
    <w:rsid w:val="00CE39FF"/>
    <w:rsid w:val="00CE4C92"/>
    <w:rsid w:val="00D01F2A"/>
    <w:rsid w:val="00D06325"/>
    <w:rsid w:val="00D06BFA"/>
    <w:rsid w:val="00D143FB"/>
    <w:rsid w:val="00D266A4"/>
    <w:rsid w:val="00D33288"/>
    <w:rsid w:val="00D33D21"/>
    <w:rsid w:val="00D360FA"/>
    <w:rsid w:val="00D42125"/>
    <w:rsid w:val="00D42552"/>
    <w:rsid w:val="00D46A50"/>
    <w:rsid w:val="00D67928"/>
    <w:rsid w:val="00D84D1A"/>
    <w:rsid w:val="00D913B2"/>
    <w:rsid w:val="00D9356B"/>
    <w:rsid w:val="00D976BC"/>
    <w:rsid w:val="00DA5048"/>
    <w:rsid w:val="00DA6BB7"/>
    <w:rsid w:val="00DC5D4D"/>
    <w:rsid w:val="00DD4813"/>
    <w:rsid w:val="00DF662A"/>
    <w:rsid w:val="00E13A06"/>
    <w:rsid w:val="00E20EE2"/>
    <w:rsid w:val="00E278FD"/>
    <w:rsid w:val="00E35C3F"/>
    <w:rsid w:val="00E36EAF"/>
    <w:rsid w:val="00E4278E"/>
    <w:rsid w:val="00E50351"/>
    <w:rsid w:val="00E50FF6"/>
    <w:rsid w:val="00E56464"/>
    <w:rsid w:val="00E6315F"/>
    <w:rsid w:val="00E72242"/>
    <w:rsid w:val="00E912E0"/>
    <w:rsid w:val="00E95DBE"/>
    <w:rsid w:val="00EA34B7"/>
    <w:rsid w:val="00EC6100"/>
    <w:rsid w:val="00EE2E49"/>
    <w:rsid w:val="00F0338F"/>
    <w:rsid w:val="00F126ED"/>
    <w:rsid w:val="00F27C3E"/>
    <w:rsid w:val="00F65B08"/>
    <w:rsid w:val="00F678D8"/>
    <w:rsid w:val="00F946FD"/>
    <w:rsid w:val="00F95C60"/>
    <w:rsid w:val="00FA30A0"/>
    <w:rsid w:val="00FD5FC8"/>
    <w:rsid w:val="00FE0A7F"/>
    <w:rsid w:val="1C787979"/>
    <w:rsid w:val="2378687B"/>
    <w:rsid w:val="26CF25E7"/>
    <w:rsid w:val="657B16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A4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D5FC8"/>
    <w:pPr>
      <w:spacing w:before="120" w:after="120" w:line="264" w:lineRule="auto"/>
    </w:pPr>
    <w:rPr>
      <w:rFonts w:ascii="Calibri" w:hAnsi="Calibri" w:eastAsia="Calibri" w:cs="Calibri"/>
      <w:color w:val="2D3037"/>
      <w:lang w:val="en-AU"/>
    </w:rPr>
  </w:style>
  <w:style w:type="paragraph" w:styleId="Heading1">
    <w:name w:val="heading 1"/>
    <w:basedOn w:val="Normal"/>
    <w:uiPriority w:val="9"/>
    <w:qFormat/>
    <w:rsid w:val="00243AFB"/>
    <w:pPr>
      <w:pBdr>
        <w:bottom w:val="single" w:color="170F39" w:themeColor="background2" w:themeShade="80" w:sz="18" w:space="1"/>
      </w:pBdr>
      <w:spacing w:before="280"/>
      <w:outlineLvl w:val="0"/>
    </w:pPr>
    <w:rPr>
      <w:rFonts w:ascii="Cambria" w:hAnsi="Cambria" w:eastAsia="Arial" w:cs="Arial"/>
      <w:bCs/>
      <w:color w:val="170F39" w:themeColor="background2" w:themeShade="80"/>
      <w:sz w:val="40"/>
      <w:szCs w:val="32"/>
    </w:rPr>
  </w:style>
  <w:style w:type="paragraph" w:styleId="Heading2">
    <w:name w:val="heading 2"/>
    <w:uiPriority w:val="9"/>
    <w:unhideWhenUsed/>
    <w:qFormat/>
    <w:rsid w:val="00FD5FC8"/>
    <w:pPr>
      <w:spacing w:before="120" w:after="60"/>
      <w:outlineLvl w:val="1"/>
    </w:pPr>
    <w:rPr>
      <w:rFonts w:ascii="Calibri" w:hAnsi="Calibri" w:eastAsiaTheme="majorEastAsia" w:cstheme="majorBidi"/>
      <w:b/>
      <w:i/>
      <w:color w:val="292750" w:themeColor="accent1" w:themeShade="80"/>
      <w:sz w:val="28"/>
      <w:szCs w:val="24"/>
      <w:lang w:val="en-AU"/>
    </w:rPr>
  </w:style>
  <w:style w:type="paragraph" w:styleId="Heading3">
    <w:name w:val="heading 3"/>
    <w:basedOn w:val="Normal"/>
    <w:next w:val="Normal"/>
    <w:link w:val="Heading3Char"/>
    <w:uiPriority w:val="9"/>
    <w:unhideWhenUsed/>
    <w:qFormat/>
    <w:rsid w:val="00FD5FC8"/>
    <w:pPr>
      <w:keepNext/>
      <w:keepLines/>
      <w:spacing w:after="40"/>
      <w:outlineLvl w:val="2"/>
    </w:pPr>
    <w:rPr>
      <w:rFonts w:eastAsiaTheme="majorEastAsia" w:cstheme="majorBidi"/>
      <w:b/>
      <w:color w:val="292750" w:themeColor="accent1" w:themeShade="80"/>
      <w:sz w:val="24"/>
      <w:szCs w:val="24"/>
      <w:u w:val="single"/>
    </w:rPr>
  </w:style>
  <w:style w:type="paragraph" w:styleId="Heading4">
    <w:name w:val="heading 4"/>
    <w:basedOn w:val="Normal"/>
    <w:next w:val="Normal"/>
    <w:link w:val="Heading4Char"/>
    <w:uiPriority w:val="9"/>
    <w:unhideWhenUsed/>
    <w:qFormat/>
    <w:rsid w:val="00397B56"/>
    <w:pPr>
      <w:keepNext/>
      <w:keepLines/>
      <w:spacing w:before="40" w:after="0"/>
      <w:outlineLvl w:val="3"/>
    </w:pPr>
    <w:rPr>
      <w:rFonts w:eastAsiaTheme="majorEastAsia" w:cstheme="majorBidi"/>
      <w:i/>
      <w:iCs/>
      <w:color w:val="3E3A78" w:themeColor="accent1" w:themeShade="BF"/>
    </w:rPr>
  </w:style>
  <w:style w:type="paragraph" w:styleId="Heading5">
    <w:name w:val="heading 5"/>
    <w:basedOn w:val="Normal"/>
    <w:next w:val="Normal"/>
    <w:link w:val="Heading5Char"/>
    <w:uiPriority w:val="9"/>
    <w:semiHidden/>
    <w:unhideWhenUsed/>
    <w:qFormat/>
    <w:rsid w:val="00397B56"/>
    <w:pPr>
      <w:keepNext/>
      <w:keepLines/>
      <w:spacing w:before="40" w:after="0"/>
      <w:outlineLvl w:val="4"/>
    </w:pPr>
    <w:rPr>
      <w:rFonts w:asciiTheme="majorHAnsi" w:hAnsiTheme="majorHAnsi" w:eastAsiaTheme="majorEastAsia" w:cstheme="majorBidi"/>
      <w:color w:val="3E3A78"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sid w:val="00397B56"/>
    <w:rPr>
      <w:sz w:val="24"/>
      <w:szCs w:val="24"/>
    </w:rPr>
  </w:style>
  <w:style w:type="paragraph" w:styleId="Title">
    <w:name w:val="Title"/>
    <w:basedOn w:val="Normal"/>
    <w:uiPriority w:val="10"/>
    <w:qFormat/>
    <w:rsid w:val="002A2D58"/>
    <w:pPr>
      <w:pBdr>
        <w:bottom w:val="single" w:color="auto" w:sz="24" w:space="1"/>
      </w:pBdr>
      <w:spacing w:before="99"/>
      <w:outlineLvl w:val="0"/>
    </w:pPr>
    <w:rPr>
      <w:rFonts w:ascii="Dovetail MVB" w:hAnsi="Dovetail MVB" w:eastAsia="Cambria" w:cs="Cambria"/>
      <w:color w:val="auto"/>
      <w:sz w:val="96"/>
      <w:szCs w:val="44"/>
    </w:rPr>
  </w:style>
  <w:style w:type="paragraph" w:styleId="ListParagraph">
    <w:name w:val="List Paragraph"/>
    <w:basedOn w:val="Normal"/>
    <w:link w:val="ListParagraphChar"/>
    <w:uiPriority w:val="34"/>
    <w:qFormat/>
    <w:rsid w:val="00497F51"/>
    <w:pPr>
      <w:numPr>
        <w:numId w:val="16"/>
      </w:numPr>
      <w:spacing w:before="23"/>
    </w:pPr>
    <w:rPr>
      <w:rFonts w:asciiTheme="minorHAnsi" w:hAnsiTheme="minorHAnsi"/>
      <w:szCs w:val="20"/>
    </w:rPr>
  </w:style>
  <w:style w:type="paragraph" w:styleId="TableParagraph" w:customStyle="1">
    <w:name w:val="Table Paragraph"/>
    <w:basedOn w:val="Normal"/>
    <w:uiPriority w:val="1"/>
    <w:qFormat/>
    <w:pPr>
      <w:ind w:left="108"/>
    </w:pPr>
  </w:style>
  <w:style w:type="character" w:styleId="Heading3Char" w:customStyle="1">
    <w:name w:val="Heading 3 Char"/>
    <w:basedOn w:val="DefaultParagraphFont"/>
    <w:link w:val="Heading3"/>
    <w:uiPriority w:val="9"/>
    <w:rsid w:val="00FD5FC8"/>
    <w:rPr>
      <w:rFonts w:ascii="Calibri" w:hAnsi="Calibri" w:eastAsiaTheme="majorEastAsia" w:cstheme="majorBidi"/>
      <w:b/>
      <w:color w:val="292750" w:themeColor="accent1" w:themeShade="80"/>
      <w:sz w:val="24"/>
      <w:szCs w:val="24"/>
      <w:u w:val="single"/>
      <w:lang w:val="en-AU"/>
    </w:rPr>
  </w:style>
  <w:style w:type="table" w:styleId="TableGrid">
    <w:name w:val="Table Grid"/>
    <w:basedOn w:val="TableNormal"/>
    <w:uiPriority w:val="39"/>
    <w:rsid w:val="000E0B9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83318"/>
    <w:pPr>
      <w:tabs>
        <w:tab w:val="center" w:pos="4513"/>
        <w:tab w:val="right" w:pos="9026"/>
      </w:tabs>
      <w:spacing w:before="0" w:after="0" w:line="240" w:lineRule="auto"/>
    </w:pPr>
  </w:style>
  <w:style w:type="character" w:styleId="HeaderChar" w:customStyle="1">
    <w:name w:val="Header Char"/>
    <w:basedOn w:val="DefaultParagraphFont"/>
    <w:link w:val="Header"/>
    <w:uiPriority w:val="99"/>
    <w:rsid w:val="00583318"/>
    <w:rPr>
      <w:rFonts w:ascii="Solitaire MVB Pro Sm Lt" w:hAnsi="Solitaire MVB Pro Sm Lt" w:eastAsia="Calibri" w:cs="Calibri"/>
      <w:lang w:val="en-AU"/>
    </w:rPr>
  </w:style>
  <w:style w:type="paragraph" w:styleId="Footer">
    <w:name w:val="footer"/>
    <w:basedOn w:val="Normal"/>
    <w:link w:val="FooterChar"/>
    <w:uiPriority w:val="99"/>
    <w:unhideWhenUsed/>
    <w:rsid w:val="00583318"/>
    <w:pPr>
      <w:tabs>
        <w:tab w:val="center" w:pos="4513"/>
        <w:tab w:val="right" w:pos="9026"/>
      </w:tabs>
      <w:spacing w:before="0" w:after="0" w:line="240" w:lineRule="auto"/>
    </w:pPr>
  </w:style>
  <w:style w:type="character" w:styleId="FooterChar" w:customStyle="1">
    <w:name w:val="Footer Char"/>
    <w:basedOn w:val="DefaultParagraphFont"/>
    <w:link w:val="Footer"/>
    <w:uiPriority w:val="99"/>
    <w:rsid w:val="00583318"/>
    <w:rPr>
      <w:rFonts w:ascii="Solitaire MVB Pro Sm Lt" w:hAnsi="Solitaire MVB Pro Sm Lt" w:eastAsia="Calibri" w:cs="Calibri"/>
      <w:lang w:val="en-AU"/>
    </w:rPr>
  </w:style>
  <w:style w:type="character" w:styleId="Heading4Char" w:customStyle="1">
    <w:name w:val="Heading 4 Char"/>
    <w:basedOn w:val="DefaultParagraphFont"/>
    <w:link w:val="Heading4"/>
    <w:uiPriority w:val="9"/>
    <w:rsid w:val="00397B56"/>
    <w:rPr>
      <w:rFonts w:ascii="Calibri" w:hAnsi="Calibri" w:eastAsiaTheme="majorEastAsia" w:cstheme="majorBidi"/>
      <w:i/>
      <w:iCs/>
      <w:color w:val="3E3A78" w:themeColor="accent1" w:themeShade="BF"/>
      <w:lang w:val="en-AU"/>
    </w:rPr>
  </w:style>
  <w:style w:type="paragraph" w:styleId="TOCHeading">
    <w:name w:val="TOC Heading"/>
    <w:basedOn w:val="Heading1"/>
    <w:next w:val="Normal"/>
    <w:uiPriority w:val="39"/>
    <w:unhideWhenUsed/>
    <w:qFormat/>
    <w:rsid w:val="00BA00E1"/>
    <w:pPr>
      <w:keepNext/>
      <w:keepLines/>
      <w:widowControl/>
      <w:pBdr>
        <w:bottom w:val="none" w:color="auto" w:sz="0" w:space="0"/>
      </w:pBdr>
      <w:autoSpaceDE/>
      <w:autoSpaceDN/>
      <w:spacing w:after="0" w:line="259" w:lineRule="auto"/>
      <w:outlineLvl w:val="1"/>
    </w:pPr>
    <w:rPr>
      <w:rFonts w:ascii="Calibri" w:hAnsi="Calibri" w:eastAsiaTheme="majorEastAsia" w:cstheme="majorBidi"/>
      <w:b/>
      <w:bCs w:val="0"/>
      <w:color w:val="3E3A78" w:themeColor="accent1" w:themeShade="BF"/>
      <w:sz w:val="28"/>
      <w:lang w:val="en-US"/>
    </w:rPr>
  </w:style>
  <w:style w:type="paragraph" w:styleId="TOC1">
    <w:name w:val="toc 1"/>
    <w:basedOn w:val="Normal"/>
    <w:next w:val="Normal"/>
    <w:autoRedefine/>
    <w:uiPriority w:val="39"/>
    <w:unhideWhenUsed/>
    <w:rsid w:val="00E95DBE"/>
    <w:pPr>
      <w:spacing w:after="100"/>
    </w:pPr>
  </w:style>
  <w:style w:type="paragraph" w:styleId="TOC2">
    <w:name w:val="toc 2"/>
    <w:basedOn w:val="Normal"/>
    <w:next w:val="Normal"/>
    <w:autoRedefine/>
    <w:uiPriority w:val="39"/>
    <w:unhideWhenUsed/>
    <w:rsid w:val="00E95DBE"/>
    <w:pPr>
      <w:spacing w:after="100"/>
      <w:ind w:left="220"/>
    </w:pPr>
  </w:style>
  <w:style w:type="paragraph" w:styleId="TOC3">
    <w:name w:val="toc 3"/>
    <w:basedOn w:val="Normal"/>
    <w:next w:val="Normal"/>
    <w:autoRedefine/>
    <w:uiPriority w:val="39"/>
    <w:unhideWhenUsed/>
    <w:rsid w:val="00E95DBE"/>
    <w:pPr>
      <w:spacing w:after="100"/>
      <w:ind w:left="440"/>
    </w:pPr>
  </w:style>
  <w:style w:type="character" w:styleId="Hyperlink">
    <w:name w:val="Hyperlink"/>
    <w:basedOn w:val="DefaultParagraphFont"/>
    <w:uiPriority w:val="99"/>
    <w:unhideWhenUsed/>
    <w:rsid w:val="00E95DBE"/>
    <w:rPr>
      <w:color w:val="0563C1" w:themeColor="hyperlink"/>
      <w:u w:val="single"/>
    </w:rPr>
  </w:style>
  <w:style w:type="character" w:styleId="PlaceholderText">
    <w:name w:val="Placeholder Text"/>
    <w:basedOn w:val="DefaultParagraphFont"/>
    <w:uiPriority w:val="99"/>
    <w:semiHidden/>
    <w:rsid w:val="00B1301B"/>
    <w:rPr>
      <w:color w:val="808080"/>
    </w:rPr>
  </w:style>
  <w:style w:type="character" w:styleId="Heading5Char" w:customStyle="1">
    <w:name w:val="Heading 5 Char"/>
    <w:basedOn w:val="DefaultParagraphFont"/>
    <w:link w:val="Heading5"/>
    <w:uiPriority w:val="9"/>
    <w:semiHidden/>
    <w:rsid w:val="00397B56"/>
    <w:rPr>
      <w:rFonts w:asciiTheme="majorHAnsi" w:hAnsiTheme="majorHAnsi" w:eastAsiaTheme="majorEastAsia" w:cstheme="majorBidi"/>
      <w:color w:val="3E3A78" w:themeColor="accent1" w:themeShade="BF"/>
      <w:lang w:val="en-AU"/>
    </w:rPr>
  </w:style>
  <w:style w:type="paragraph" w:styleId="Bullet1" w:customStyle="1">
    <w:name w:val="Bullet1"/>
    <w:basedOn w:val="Normal"/>
    <w:uiPriority w:val="4"/>
    <w:qFormat/>
    <w:rsid w:val="008B6717"/>
    <w:pPr>
      <w:widowControl/>
      <w:numPr>
        <w:numId w:val="11"/>
      </w:numPr>
      <w:suppressAutoHyphens/>
      <w:autoSpaceDE/>
      <w:autoSpaceDN/>
      <w:spacing w:line="280" w:lineRule="exact"/>
      <w:ind w:left="697"/>
    </w:pPr>
    <w:rPr>
      <w:rFonts w:eastAsia="Times New Roman" w:cs="Arial"/>
      <w:u w:color="000000"/>
      <w:lang w:eastAsia="en-AU"/>
    </w:rPr>
  </w:style>
  <w:style w:type="character" w:styleId="Strong">
    <w:name w:val="Strong"/>
    <w:uiPriority w:val="22"/>
    <w:qFormat/>
    <w:rsid w:val="005A738F"/>
    <w:rPr>
      <w:rFonts w:ascii="Times New Roman" w:hAnsi="Times New Roman"/>
      <w:b/>
      <w:bCs/>
      <w:i w:val="0"/>
      <w:color w:val="auto"/>
      <w:sz w:val="24"/>
    </w:rPr>
  </w:style>
  <w:style w:type="paragraph" w:styleId="Default" w:customStyle="1">
    <w:name w:val="Default"/>
    <w:rsid w:val="00F0338F"/>
    <w:pPr>
      <w:widowControl/>
      <w:adjustRightInd w:val="0"/>
    </w:pPr>
    <w:rPr>
      <w:rFonts w:ascii="Cambria" w:hAnsi="Cambria" w:eastAsia="Calibri" w:cs="Cambria"/>
      <w:color w:val="000000"/>
      <w:sz w:val="24"/>
      <w:szCs w:val="24"/>
      <w:lang w:val="en-AU"/>
    </w:rPr>
  </w:style>
  <w:style w:type="character" w:styleId="Emphasis">
    <w:name w:val="Emphasis"/>
    <w:uiPriority w:val="20"/>
    <w:qFormat/>
    <w:rsid w:val="00F0338F"/>
    <w:rPr>
      <w:rFonts w:ascii="Times New Roman" w:hAnsi="Times New Roman"/>
      <w:b w:val="0"/>
      <w:i/>
      <w:iCs/>
      <w:color w:val="auto"/>
      <w:sz w:val="24"/>
    </w:rPr>
  </w:style>
  <w:style w:type="paragraph" w:styleId="Subtitle">
    <w:name w:val="Subtitle"/>
    <w:basedOn w:val="Normal"/>
    <w:next w:val="Normal"/>
    <w:link w:val="SubtitleChar"/>
    <w:uiPriority w:val="11"/>
    <w:rsid w:val="00F0338F"/>
    <w:pPr>
      <w:widowControl/>
      <w:numPr>
        <w:ilvl w:val="1"/>
      </w:numPr>
      <w:autoSpaceDE/>
      <w:autoSpaceDN/>
      <w:spacing w:line="240" w:lineRule="auto"/>
      <w:ind w:left="57"/>
    </w:pPr>
    <w:rPr>
      <w:rFonts w:ascii="Arial" w:hAnsi="Arial" w:eastAsia="Times New Roman" w:cs="Arial"/>
      <w:iCs/>
      <w:color w:val="1F497D"/>
      <w:sz w:val="40"/>
      <w:szCs w:val="24"/>
      <w:lang w:bidi="hi-IN"/>
    </w:rPr>
  </w:style>
  <w:style w:type="character" w:styleId="SubtitleChar" w:customStyle="1">
    <w:name w:val="Subtitle Char"/>
    <w:basedOn w:val="DefaultParagraphFont"/>
    <w:link w:val="Subtitle"/>
    <w:uiPriority w:val="11"/>
    <w:rsid w:val="00F0338F"/>
    <w:rPr>
      <w:rFonts w:ascii="Arial" w:hAnsi="Arial" w:eastAsia="Times New Roman" w:cs="Arial"/>
      <w:iCs/>
      <w:color w:val="1F497D"/>
      <w:sz w:val="40"/>
      <w:szCs w:val="24"/>
      <w:lang w:val="en-AU" w:bidi="hi-IN"/>
    </w:rPr>
  </w:style>
  <w:style w:type="character" w:styleId="UnresolvedMention">
    <w:name w:val="Unresolved Mention"/>
    <w:basedOn w:val="DefaultParagraphFont"/>
    <w:uiPriority w:val="99"/>
    <w:semiHidden/>
    <w:unhideWhenUsed/>
    <w:rsid w:val="00F0338F"/>
    <w:rPr>
      <w:color w:val="605E5C"/>
      <w:shd w:val="clear" w:color="auto" w:fill="E1DFDD"/>
    </w:rPr>
  </w:style>
  <w:style w:type="paragraph" w:styleId="NoSpacing">
    <w:name w:val="No Spacing"/>
    <w:uiPriority w:val="1"/>
    <w:qFormat/>
    <w:rsid w:val="009B7AF7"/>
    <w:rPr>
      <w:rFonts w:ascii="Calibri" w:hAnsi="Calibri" w:eastAsia="Calibri" w:cs="Calibri"/>
      <w:color w:val="2D3037"/>
      <w:lang w:val="en-AU"/>
    </w:rPr>
  </w:style>
  <w:style w:type="character" w:styleId="CommentReference">
    <w:name w:val="annotation reference"/>
    <w:basedOn w:val="DefaultParagraphFont"/>
    <w:uiPriority w:val="99"/>
    <w:semiHidden/>
    <w:unhideWhenUsed/>
    <w:rsid w:val="00486D83"/>
    <w:rPr>
      <w:sz w:val="16"/>
      <w:szCs w:val="16"/>
    </w:rPr>
  </w:style>
  <w:style w:type="paragraph" w:styleId="CommentText">
    <w:name w:val="annotation text"/>
    <w:basedOn w:val="Normal"/>
    <w:link w:val="CommentTextChar"/>
    <w:uiPriority w:val="99"/>
    <w:unhideWhenUsed/>
    <w:rsid w:val="00486D83"/>
    <w:pPr>
      <w:spacing w:line="240" w:lineRule="auto"/>
    </w:pPr>
    <w:rPr>
      <w:sz w:val="20"/>
      <w:szCs w:val="20"/>
    </w:rPr>
  </w:style>
  <w:style w:type="character" w:styleId="CommentTextChar" w:customStyle="1">
    <w:name w:val="Comment Text Char"/>
    <w:basedOn w:val="DefaultParagraphFont"/>
    <w:link w:val="CommentText"/>
    <w:uiPriority w:val="99"/>
    <w:rsid w:val="00486D83"/>
    <w:rPr>
      <w:rFonts w:ascii="Calibri" w:hAnsi="Calibri" w:eastAsia="Calibri" w:cs="Calibri"/>
      <w:color w:val="2D3037"/>
      <w:sz w:val="20"/>
      <w:szCs w:val="20"/>
      <w:lang w:val="en-AU"/>
    </w:rPr>
  </w:style>
  <w:style w:type="paragraph" w:styleId="CommentSubject">
    <w:name w:val="annotation subject"/>
    <w:basedOn w:val="CommentText"/>
    <w:next w:val="CommentText"/>
    <w:link w:val="CommentSubjectChar"/>
    <w:uiPriority w:val="99"/>
    <w:semiHidden/>
    <w:unhideWhenUsed/>
    <w:rsid w:val="00486D83"/>
    <w:rPr>
      <w:b/>
      <w:bCs/>
    </w:rPr>
  </w:style>
  <w:style w:type="character" w:styleId="CommentSubjectChar" w:customStyle="1">
    <w:name w:val="Comment Subject Char"/>
    <w:basedOn w:val="CommentTextChar"/>
    <w:link w:val="CommentSubject"/>
    <w:uiPriority w:val="99"/>
    <w:semiHidden/>
    <w:rsid w:val="00486D83"/>
    <w:rPr>
      <w:rFonts w:ascii="Calibri" w:hAnsi="Calibri" w:eastAsia="Calibri" w:cs="Calibri"/>
      <w:b/>
      <w:bCs/>
      <w:color w:val="2D3037"/>
      <w:sz w:val="20"/>
      <w:szCs w:val="20"/>
      <w:lang w:val="en-AU"/>
    </w:rPr>
  </w:style>
  <w:style w:type="character" w:styleId="Mention">
    <w:name w:val="Mention"/>
    <w:basedOn w:val="DefaultParagraphFont"/>
    <w:uiPriority w:val="99"/>
    <w:unhideWhenUsed/>
    <w:rsid w:val="006A5F3C"/>
    <w:rPr>
      <w:color w:val="2B579A"/>
      <w:shd w:val="clear" w:color="auto" w:fill="E1DFDD"/>
    </w:rPr>
  </w:style>
  <w:style w:type="character" w:styleId="ListParagraphChar" w:customStyle="1">
    <w:name w:val="List Paragraph Char"/>
    <w:link w:val="ListParagraph"/>
    <w:uiPriority w:val="34"/>
    <w:locked/>
    <w:rsid w:val="00EC6100"/>
    <w:rPr>
      <w:rFonts w:eastAsia="Calibri" w:cs="Calibri"/>
      <w:color w:val="2D3037"/>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8588296">
      <w:bodyDiv w:val="1"/>
      <w:marLeft w:val="0"/>
      <w:marRight w:val="0"/>
      <w:marTop w:val="0"/>
      <w:marBottom w:val="0"/>
      <w:divBdr>
        <w:top w:val="none" w:sz="0" w:space="0" w:color="auto"/>
        <w:left w:val="none" w:sz="0" w:space="0" w:color="auto"/>
        <w:bottom w:val="none" w:sz="0" w:space="0" w:color="auto"/>
        <w:right w:val="none" w:sz="0" w:space="0" w:color="auto"/>
      </w:divBdr>
    </w:div>
    <w:div w:id="788747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hyperlink" Target="https://www.arc.gov.au/policies-strategies/policy/eligibility-and-career-interruptions-statement" TargetMode="External" Id="rId18" /><Relationship Type="http://schemas.openxmlformats.org/officeDocument/2006/relationships/customXml" Target="../customXml/item3.xml" Id="rId3" /><Relationship Type="http://schemas.openxmlformats.org/officeDocument/2006/relationships/hyperlink" Target="mailto:info@arc.gov.au" TargetMode="Externa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yperlink" Target="https://www.arc.gov.au/policies-strategies/strategy/gender-equality-research-statement-arc-statement-support-and-expectations-gender-equality" TargetMode="External" Id="rId17" /><Relationship Type="http://schemas.openxmlformats.org/officeDocument/2006/relationships/customXml" Target="../customXml/item2.xml" Id="rId2" /><Relationship Type="http://schemas.openxmlformats.org/officeDocument/2006/relationships/hyperlink" Target="https://www.arc.gov.au/policies-strategies/policy/arc-research-opportunity-and-performance-evidence-rope-statement" TargetMode="External" Id="rId16" /><Relationship Type="http://schemas.openxmlformats.org/officeDocument/2006/relationships/hyperlink" Target="https://www.arc.gov.au/policies-strategies/strategy/international"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www.arc.gov.au/policies-strategies/strategy/gender-equality-research/kathleen-fitzpatrick-and-georgina-sweet-australian-laureate-fellows" TargetMode="External"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yperlink" Target="https://www.arc.gov.au/policies-strategies/policy/early-career-researchers-statement-support"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arc.gov.au/grants/national-competitive-grants-program" TargetMode="External" Id="rId14" /><Relationship Type="http://schemas.openxmlformats.org/officeDocument/2006/relationships/fontTable" Target="fontTable.xml" Id="rId22" /></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85F8405D71044BEAFBFA8CFDA477800"/>
        <w:category>
          <w:name w:val="General"/>
          <w:gallery w:val="placeholder"/>
        </w:category>
        <w:types>
          <w:type w:val="bbPlcHdr"/>
        </w:types>
        <w:behaviors>
          <w:behavior w:val="content"/>
        </w:behaviors>
        <w:guid w:val="{42B5B3AD-DC7B-4416-9916-92D43CC08BCD}"/>
      </w:docPartPr>
      <w:docPartBody>
        <w:p w:rsidR="0073236D" w:rsidP="0073236D" w:rsidRDefault="0073236D">
          <w:pPr>
            <w:pStyle w:val="E85F8405D71044BEAFBFA8CFDA477800"/>
          </w:pPr>
          <w:r w:rsidRPr="00250236">
            <w:rPr>
              <w:rStyle w:val="PlaceholderText"/>
              <w:color w:val="FF000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albaum Display Light">
    <w:altName w:val="Walbaum Display Light"/>
    <w:charset w:val="00"/>
    <w:family w:val="roman"/>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vetail MVB">
    <w:altName w:val="Cambria"/>
    <w:panose1 w:val="00000000000000000000"/>
    <w:charset w:val="00"/>
    <w:family w:val="roman"/>
    <w:notTrueType/>
    <w:pitch w:val="variable"/>
    <w:sig w:usb0="00000007" w:usb1="00000001" w:usb2="00000000" w:usb3="00000000" w:csb0="00000093" w:csb1="00000000"/>
  </w:font>
  <w:font w:name="Solitaire MVB Pro Sm Lt">
    <w:panose1 w:val="00000000000000000000"/>
    <w:charset w:val="00"/>
    <w:family w:val="swiss"/>
    <w:notTrueType/>
    <w:pitch w:val="variable"/>
    <w:sig w:usb0="00000007" w:usb1="00000001" w:usb2="00000000" w:usb3="00000000" w:csb0="00000093" w:csb1="00000000"/>
  </w:font>
  <w:font w:name="HelveticaNeueLTStd-Lt">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Levenim MT">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36D"/>
    <w:rsid w:val="0073236D"/>
    <w:rsid w:val="00A81D5D"/>
    <w:rsid w:val="00B158EE"/>
    <w:rsid w:val="00FD68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90CC64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236D"/>
    <w:rPr>
      <w:color w:val="808080"/>
    </w:rPr>
  </w:style>
  <w:style w:type="paragraph" w:customStyle="1" w:styleId="93261A1D0F514CDD85EA0055EAC14776">
    <w:name w:val="93261A1D0F514CDD85EA0055EAC14776"/>
    <w:rsid w:val="0073236D"/>
  </w:style>
  <w:style w:type="paragraph" w:customStyle="1" w:styleId="E85F8405D71044BEAFBFA8CFDA477800">
    <w:name w:val="E85F8405D71044BEAFBFA8CFDA477800"/>
    <w:rsid w:val="007323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I 2024">
      <a:dk1>
        <a:sysClr val="windowText" lastClr="000000"/>
      </a:dk1>
      <a:lt1>
        <a:sysClr val="window" lastClr="FFFFFF"/>
      </a:lt1>
      <a:dk2>
        <a:srgbClr val="1A0E51"/>
      </a:dk2>
      <a:lt2>
        <a:srgbClr val="2F1E73"/>
      </a:lt2>
      <a:accent1>
        <a:srgbClr val="534EA1"/>
      </a:accent1>
      <a:accent2>
        <a:srgbClr val="8177B7"/>
      </a:accent2>
      <a:accent3>
        <a:srgbClr val="9E91C5"/>
      </a:accent3>
      <a:accent4>
        <a:srgbClr val="B9B0D7"/>
      </a:accent4>
      <a:accent5>
        <a:srgbClr val="B1921F"/>
      </a:accent5>
      <a:accent6>
        <a:srgbClr val="D2C66B"/>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fa4970-7f82-475f-885f-ec033aa4af35">
      <Terms xmlns="http://schemas.microsoft.com/office/infopath/2007/PartnerControls"/>
    </lcf76f155ced4ddcb4097134ff3c332f>
    <_Flow_SignoffStatus xmlns="58fa4970-7f82-475f-885f-ec033aa4af35" xsi:nil="true"/>
    <AllDocumentsPrinted xmlns="58fa4970-7f82-475f-885f-ec033aa4af35">false</AllDocumentsPrinted>
    <MonthandYearDone xmlns="58fa4970-7f82-475f-885f-ec033aa4af35" xsi:nil="true"/>
    <TaxCatchAll xmlns="a2e84ca8-29c3-447a-8cba-2d1310f6d81f" xsi:nil="true"/>
    <SharedWithUsers xmlns="a2e84ca8-29c3-447a-8cba-2d1310f6d81f">
      <UserInfo>
        <DisplayName>Benjamin Poulsen</DisplayName>
        <AccountId>909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E441AAE80FDB44A9D1F37906D32CCA" ma:contentTypeVersion="23" ma:contentTypeDescription="Create a new document." ma:contentTypeScope="" ma:versionID="8533a8d4f7fcbde09044523f70199dd0">
  <xsd:schema xmlns:xsd="http://www.w3.org/2001/XMLSchema" xmlns:xs="http://www.w3.org/2001/XMLSchema" xmlns:p="http://schemas.microsoft.com/office/2006/metadata/properties" xmlns:ns2="58fa4970-7f82-475f-885f-ec033aa4af35" xmlns:ns3="a2e84ca8-29c3-447a-8cba-2d1310f6d81f" targetNamespace="http://schemas.microsoft.com/office/2006/metadata/properties" ma:root="true" ma:fieldsID="bbba08e04c6c1becbc1ce915c684d6c1" ns2:_="" ns3:_="">
    <xsd:import namespace="58fa4970-7f82-475f-885f-ec033aa4af35"/>
    <xsd:import namespace="a2e84ca8-29c3-447a-8cba-2d1310f6d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AllDocumentsPrinted" minOccurs="0"/>
                <xsd:element ref="ns2:MonthandYearDon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a4970-7f82-475f-885f-ec033aa4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AllDocumentsPrinted" ma:index="25" nillable="true" ma:displayName="All Documents Printed" ma:default="0" ma:format="Dropdown" ma:internalName="AllDocumentsPrinted">
      <xsd:simpleType>
        <xsd:restriction base="dms:Boolean"/>
      </xsd:simpleType>
    </xsd:element>
    <xsd:element name="MonthandYearDone" ma:index="26" nillable="true" ma:displayName="Month and Year Done" ma:format="DateOnly" ma:internalName="MonthandYearDone">
      <xsd:simpleType>
        <xsd:restriction base="dms:DateTim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84ca8-29c3-447a-8cba-2d1310f6d8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f649450-cc36-4ff3-bea1-b72eb8f9b69d}" ma:internalName="TaxCatchAll" ma:showField="CatchAllData" ma:web="a2e84ca8-29c3-447a-8cba-2d1310f6d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Sof19</b:Tag>
    <b:SourceType>JournalArticle</b:SourceType>
    <b:Guid>{2D07C730-FB8D-426F-A220-59AF71E43205}</b:Guid>
    <b:Author>
      <b:Author>
        <b:NameList xmlns:msxsl="urn:schemas-microsoft-com:xslt" xmlns:b="http://schemas.openxmlformats.org/officeDocument/2006/bibliography">
          <b:Person>
            <b:Last>Sofya</b:Last>
            <b:First>Brown</b:First>
            <b:Middle/>
          </b:Person>
        </b:NameList>
      </b:Author>
    </b:Author>
    <b:Title>Why People use Lorem Ipsum to represent dummy text</b:Title>
    <b:JournalName>Journal of Education</b:JournalName>
    <b:City/>
    <b:Year>2019</b:Year>
    <b:Month/>
    <b:Day/>
    <b:Pages>11-16</b:Pages>
    <b:Publisher/>
    <b:Volume>1</b:Volume>
    <b:Issue>1</b:Issue>
    <b:ShortTitle/>
    <b:StandardNumber/>
    <b:Comments/>
    <b:Medium/>
    <b:YearAccessed>2021</b:YearAccessed>
    <b:MonthAccessed>9</b:MonthAccessed>
    <b:DayAccessed>28</b:DayAccessed>
    <b:URL>https://demo.openjournaltheme.com/index.php/joe/article/view/10</b:URL>
    <b:DOI/>
    <b:RefOrder>2</b:RefOrder>
  </b:Source>
</b:Sources>
</file>

<file path=customXml/itemProps1.xml><?xml version="1.0" encoding="utf-8"?>
<ds:datastoreItem xmlns:ds="http://schemas.openxmlformats.org/officeDocument/2006/customXml" ds:itemID="{29465F2F-5D3D-477E-B58B-090A90C943AD}">
  <ds:schemaRefs>
    <ds:schemaRef ds:uri="http://www.w3.org/XML/1998/namespace"/>
    <ds:schemaRef ds:uri="http://purl.org/dc/elements/1.1/"/>
    <ds:schemaRef ds:uri="http://purl.org/dc/dcmitype/"/>
    <ds:schemaRef ds:uri="http://schemas.microsoft.com/office/2006/documentManagement/types"/>
    <ds:schemaRef ds:uri="58fa4970-7f82-475f-885f-ec033aa4af35"/>
    <ds:schemaRef ds:uri="http://schemas.microsoft.com/office/infopath/2007/PartnerControls"/>
    <ds:schemaRef ds:uri="http://schemas.openxmlformats.org/package/2006/metadata/core-properties"/>
    <ds:schemaRef ds:uri="a2e84ca8-29c3-447a-8cba-2d1310f6d81f"/>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D77443C-46B8-42AC-AF62-6C0DAE0B6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a4970-7f82-475f-885f-ec033aa4af35"/>
    <ds:schemaRef ds:uri="a2e84ca8-29c3-447a-8cba-2d1310f6d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52359-A215-49FD-823D-CC10E8C6938A}">
  <ds:schemaRefs>
    <ds:schemaRef ds:uri="http://schemas.microsoft.com/sharepoint/v3/contenttype/forms"/>
  </ds:schemaRefs>
</ds:datastoreItem>
</file>

<file path=customXml/itemProps4.xml><?xml version="1.0" encoding="utf-8"?>
<ds:datastoreItem xmlns:ds="http://schemas.openxmlformats.org/officeDocument/2006/customXml" ds:itemID="{40CE1E96-F350-4B6E-A6C1-9F63E445BD7B}">
  <ds:schemaRefs>
    <ds:schemaRef ds:uri="http://schemas.openxmlformats.org/officeDocument/2006/bibliography"/>
    <ds:schemaRef ds:uri="urn:schemas-microsoft-com:xslt"/>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Benjamin Poulsen</lastModifiedBy>
  <revision>2</revision>
  <dcterms:created xsi:type="dcterms:W3CDTF">2024-02-29T21:51:00.0000000Z</dcterms:created>
  <dcterms:modified xsi:type="dcterms:W3CDTF">2024-03-26T23:32:53.6214976Z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0x010100CAE441AAE80FDB44A9D1F37906D32CCA</vt:lpwstr>
  </property>
  <property fmtid="{D5CDD505-2E9C-101B-9397-08002B2CF9AE}" pid="3" name="MediaServiceImageTags">
    <vt:lpwstr/>
  </property>
</Properties>
</file>