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AC3C" w14:textId="3572E23E" w:rsidR="0040647C" w:rsidRPr="00DF2BD9" w:rsidRDefault="0040647C" w:rsidP="0040647C">
      <w:pPr>
        <w:spacing w:before="100" w:beforeAutospacing="1" w:after="100" w:afterAutospacing="1" w:line="240" w:lineRule="auto"/>
        <w:outlineLvl w:val="1"/>
        <w:rPr>
          <w:rFonts w:ascii="Calibri" w:eastAsia="Times New Roman" w:hAnsi="Calibri" w:cs="Arial"/>
          <w:b/>
          <w:bCs/>
          <w:color w:val="000000"/>
          <w:sz w:val="40"/>
          <w:szCs w:val="40"/>
          <w:lang w:eastAsia="en-AU"/>
        </w:rPr>
      </w:pPr>
      <w:r w:rsidRPr="00DF2BD9">
        <w:rPr>
          <w:rFonts w:ascii="Calibri" w:eastAsia="Times New Roman" w:hAnsi="Calibri" w:cs="Arial"/>
          <w:b/>
          <w:bCs/>
          <w:color w:val="000000"/>
          <w:sz w:val="40"/>
          <w:szCs w:val="40"/>
          <w:lang w:eastAsia="en-AU"/>
        </w:rPr>
        <w:t>ARC Medical Research Policy</w:t>
      </w:r>
      <w:r w:rsidR="00E25610">
        <w:rPr>
          <w:rFonts w:ascii="Calibri" w:eastAsia="Times New Roman" w:hAnsi="Calibri" w:cs="Arial"/>
          <w:b/>
          <w:bCs/>
          <w:color w:val="000000"/>
          <w:sz w:val="40"/>
          <w:szCs w:val="40"/>
          <w:lang w:eastAsia="en-AU"/>
        </w:rPr>
        <w:t xml:space="preserve"> (v 2018.1)</w:t>
      </w:r>
    </w:p>
    <w:p w14:paraId="2CE84E71" w14:textId="20420021" w:rsidR="0040647C" w:rsidRPr="002C253B" w:rsidRDefault="002C253B" w:rsidP="0040647C">
      <w:pPr>
        <w:spacing w:after="0" w:line="240" w:lineRule="auto"/>
        <w:rPr>
          <w:rFonts w:ascii="Calibri" w:eastAsia="Times New Roman" w:hAnsi="Calibri" w:cs="Arial"/>
          <w:color w:val="000000"/>
          <w:lang w:eastAsia="en-AU"/>
        </w:rPr>
      </w:pPr>
      <w:r w:rsidRPr="002C253B">
        <w:rPr>
          <w:rFonts w:ascii="Calibri" w:eastAsia="Times New Roman" w:hAnsi="Calibri" w:cs="Arial"/>
          <w:color w:val="000000"/>
          <w:lang w:eastAsia="en-AU"/>
        </w:rPr>
        <w:t>The ARC Medical Research Policy Version 2018.1 is effective from 11 September 2018.</w:t>
      </w:r>
    </w:p>
    <w:p w14:paraId="1F0BBFC4" w14:textId="77777777" w:rsidR="002C253B" w:rsidRPr="00DD193A" w:rsidRDefault="002C253B" w:rsidP="0040647C">
      <w:pPr>
        <w:spacing w:after="0" w:line="240" w:lineRule="auto"/>
        <w:rPr>
          <w:rFonts w:ascii="Calibri" w:eastAsia="Times New Roman" w:hAnsi="Calibri" w:cs="Arial"/>
          <w:color w:val="000000"/>
          <w:sz w:val="28"/>
          <w:szCs w:val="28"/>
          <w:lang w:eastAsia="en-AU"/>
        </w:rPr>
      </w:pPr>
    </w:p>
    <w:p w14:paraId="12059B97" w14:textId="18CC4CE3" w:rsidR="0040647C" w:rsidRPr="009B2BEE" w:rsidRDefault="0040647C" w:rsidP="00E05338">
      <w:pPr>
        <w:pStyle w:val="Heading1"/>
      </w:pPr>
      <w:r w:rsidRPr="009B2BEE">
        <w:t xml:space="preserve">Purpose </w:t>
      </w:r>
      <w:r w:rsidRPr="009066F2">
        <w:t>and</w:t>
      </w:r>
      <w:r w:rsidRPr="009B2BEE">
        <w:t xml:space="preserve"> Scope</w:t>
      </w:r>
    </w:p>
    <w:p w14:paraId="7C2E9B9C" w14:textId="77777777" w:rsidR="0040647C" w:rsidRPr="0040647C" w:rsidRDefault="0040647C" w:rsidP="0040647C">
      <w:pPr>
        <w:spacing w:before="100" w:beforeAutospacing="1" w:after="100" w:afterAutospacing="1" w:line="240" w:lineRule="auto"/>
        <w:rPr>
          <w:rFonts w:ascii="Calibri" w:eastAsia="Times New Roman" w:hAnsi="Calibri" w:cs="Arial"/>
          <w:color w:val="000000"/>
          <w:szCs w:val="27"/>
          <w:lang w:eastAsia="en-AU"/>
        </w:rPr>
      </w:pPr>
      <w:r w:rsidRPr="0040647C">
        <w:rPr>
          <w:rFonts w:ascii="Calibri" w:eastAsia="Times New Roman" w:hAnsi="Calibri" w:cs="Arial"/>
          <w:color w:val="000000"/>
          <w:szCs w:val="27"/>
          <w:lang w:eastAsia="en-AU"/>
        </w:rPr>
        <w:t>For the purposes of this policy, the definition of medical and health research includes laboratory-based studies, clinical studies and group/community-based studies that aim to understand the causes, treatment and/or prevention of human diseases and/or the maintenance of human health. The ARC does not normally fund research with these aims.</w:t>
      </w:r>
    </w:p>
    <w:p w14:paraId="2314B2E0" w14:textId="3A404B88" w:rsidR="0040647C" w:rsidRPr="0040647C" w:rsidRDefault="009B2BEE" w:rsidP="0040647C">
      <w:pPr>
        <w:spacing w:before="100" w:beforeAutospacing="1" w:after="100" w:afterAutospacing="1" w:line="240" w:lineRule="auto"/>
        <w:rPr>
          <w:rFonts w:ascii="Calibri" w:eastAsia="Times New Roman" w:hAnsi="Calibri" w:cs="Arial"/>
          <w:color w:val="000000"/>
          <w:szCs w:val="27"/>
          <w:lang w:eastAsia="en-AU"/>
        </w:rPr>
      </w:pPr>
      <w:r>
        <w:rPr>
          <w:rFonts w:ascii="Calibri" w:eastAsia="Times New Roman" w:hAnsi="Calibri" w:cs="Arial"/>
          <w:color w:val="000000"/>
          <w:szCs w:val="27"/>
          <w:lang w:eastAsia="en-AU"/>
        </w:rPr>
        <w:t>Application</w:t>
      </w:r>
      <w:r w:rsidRPr="0040647C">
        <w:rPr>
          <w:rFonts w:ascii="Calibri" w:eastAsia="Times New Roman" w:hAnsi="Calibri" w:cs="Arial"/>
          <w:color w:val="000000"/>
          <w:szCs w:val="27"/>
          <w:lang w:eastAsia="en-AU"/>
        </w:rPr>
        <w:t xml:space="preserve">s </w:t>
      </w:r>
      <w:r w:rsidR="0040647C" w:rsidRPr="0040647C">
        <w:rPr>
          <w:rFonts w:ascii="Calibri" w:eastAsia="Times New Roman" w:hAnsi="Calibri" w:cs="Arial"/>
          <w:color w:val="000000"/>
          <w:szCs w:val="27"/>
          <w:lang w:eastAsia="en-AU"/>
        </w:rPr>
        <w:t>will be considered ineligible for funding under the ARC’s National Competitive Grants Program if they include pre-clinical or clinical medical or health research, including investigations in which humans, animals, or their tissues are used to assess new treatments</w:t>
      </w:r>
      <w:r w:rsidR="00EA0BE8">
        <w:rPr>
          <w:rFonts w:ascii="Calibri" w:eastAsia="Times New Roman" w:hAnsi="Calibri" w:cs="Arial"/>
          <w:color w:val="000000"/>
          <w:szCs w:val="27"/>
          <w:lang w:eastAsia="en-AU"/>
        </w:rPr>
        <w:t xml:space="preserve"> </w:t>
      </w:r>
      <w:r w:rsidR="00C70C64">
        <w:rPr>
          <w:rFonts w:ascii="Calibri" w:eastAsia="Times New Roman" w:hAnsi="Calibri" w:cs="Arial"/>
          <w:color w:val="000000"/>
          <w:szCs w:val="27"/>
          <w:lang w:eastAsia="en-AU"/>
        </w:rPr>
        <w:t>(</w:t>
      </w:r>
      <w:r w:rsidR="00EA0BE8">
        <w:rPr>
          <w:rFonts w:ascii="Calibri" w:eastAsia="Times New Roman" w:hAnsi="Calibri" w:cs="Arial"/>
          <w:color w:val="000000"/>
          <w:szCs w:val="27"/>
          <w:lang w:eastAsia="en-AU"/>
        </w:rPr>
        <w:t>including chemical, pharmaceutical, electronic, mechanical, bioengineering</w:t>
      </w:r>
      <w:r w:rsidR="002A7AB7">
        <w:rPr>
          <w:rFonts w:ascii="Calibri" w:eastAsia="Times New Roman" w:hAnsi="Calibri" w:cs="Arial"/>
          <w:color w:val="000000"/>
          <w:szCs w:val="27"/>
          <w:lang w:eastAsia="en-AU"/>
        </w:rPr>
        <w:t xml:space="preserve"> treatments</w:t>
      </w:r>
      <w:r w:rsidR="00C70C64">
        <w:rPr>
          <w:rFonts w:ascii="Calibri" w:eastAsia="Times New Roman" w:hAnsi="Calibri" w:cs="Arial"/>
          <w:color w:val="000000"/>
          <w:szCs w:val="27"/>
          <w:lang w:eastAsia="en-AU"/>
        </w:rPr>
        <w:t>)</w:t>
      </w:r>
      <w:r w:rsidR="0040647C" w:rsidRPr="0040647C">
        <w:rPr>
          <w:rFonts w:ascii="Calibri" w:eastAsia="Times New Roman" w:hAnsi="Calibri" w:cs="Arial"/>
          <w:color w:val="000000"/>
          <w:szCs w:val="27"/>
          <w:lang w:eastAsia="en-AU"/>
        </w:rPr>
        <w:t>, interventions or tests as a means to prevent, detect, treat</w:t>
      </w:r>
      <w:r w:rsidR="00EA0BE8">
        <w:rPr>
          <w:rFonts w:ascii="Calibri" w:eastAsia="Times New Roman" w:hAnsi="Calibri" w:cs="Arial"/>
          <w:color w:val="000000"/>
          <w:szCs w:val="27"/>
          <w:lang w:eastAsia="en-AU"/>
        </w:rPr>
        <w:t>, understand, diagnose</w:t>
      </w:r>
      <w:r w:rsidR="0040647C" w:rsidRPr="0040647C">
        <w:rPr>
          <w:rFonts w:ascii="Calibri" w:eastAsia="Times New Roman" w:hAnsi="Calibri" w:cs="Arial"/>
          <w:color w:val="000000"/>
          <w:szCs w:val="27"/>
          <w:lang w:eastAsia="en-AU"/>
        </w:rPr>
        <w:t xml:space="preserve"> or manage a human disease or medical condition. The ARC may, however, fund related research to address specific Australian Government medical and health research priorities</w:t>
      </w:r>
      <w:r w:rsidR="009066F2" w:rsidRPr="00DD193A">
        <w:rPr>
          <w:rFonts w:ascii="Calibri" w:eastAsia="Times New Roman" w:hAnsi="Calibri" w:cs="Arial"/>
          <w:color w:val="000000"/>
          <w:szCs w:val="27"/>
          <w:vertAlign w:val="superscript"/>
          <w:lang w:eastAsia="en-AU"/>
        </w:rPr>
        <w:t>1</w:t>
      </w:r>
      <w:r w:rsidR="0040647C" w:rsidRPr="0040647C">
        <w:rPr>
          <w:rFonts w:ascii="Calibri" w:eastAsia="Times New Roman" w:hAnsi="Calibri" w:cs="Arial"/>
          <w:color w:val="000000"/>
          <w:szCs w:val="27"/>
          <w:lang w:eastAsia="en-AU"/>
        </w:rPr>
        <w:t>, either solely or in concert with the National Health and Medical Research Council (NHMRC).</w:t>
      </w:r>
    </w:p>
    <w:p w14:paraId="6C1EF0F2" w14:textId="4E53AD94" w:rsidR="0040647C" w:rsidRPr="0040647C" w:rsidRDefault="0040647C" w:rsidP="0040647C">
      <w:pPr>
        <w:spacing w:before="100" w:beforeAutospacing="1" w:after="100" w:afterAutospacing="1" w:line="240" w:lineRule="auto"/>
        <w:rPr>
          <w:rFonts w:ascii="Calibri" w:eastAsia="Times New Roman" w:hAnsi="Calibri" w:cs="Arial"/>
          <w:color w:val="000000"/>
          <w:szCs w:val="27"/>
          <w:lang w:eastAsia="en-AU"/>
        </w:rPr>
      </w:pPr>
      <w:r w:rsidRPr="0040647C">
        <w:rPr>
          <w:rFonts w:ascii="Calibri" w:eastAsia="Times New Roman" w:hAnsi="Calibri" w:cs="Arial"/>
          <w:color w:val="000000"/>
          <w:szCs w:val="27"/>
          <w:lang w:eastAsia="en-AU"/>
        </w:rPr>
        <w:t xml:space="preserve">This policy details research which is eligible for ARC support. The intended aim is to reduce the likelihood of applicants preparing and submitting </w:t>
      </w:r>
      <w:r w:rsidR="009B2BEE">
        <w:rPr>
          <w:rFonts w:ascii="Calibri" w:eastAsia="Times New Roman" w:hAnsi="Calibri" w:cs="Arial"/>
          <w:color w:val="000000"/>
          <w:szCs w:val="27"/>
          <w:lang w:eastAsia="en-AU"/>
        </w:rPr>
        <w:t>application</w:t>
      </w:r>
      <w:r w:rsidR="009B2BEE" w:rsidRPr="0040647C">
        <w:rPr>
          <w:rFonts w:ascii="Calibri" w:eastAsia="Times New Roman" w:hAnsi="Calibri" w:cs="Arial"/>
          <w:color w:val="000000"/>
          <w:szCs w:val="27"/>
          <w:lang w:eastAsia="en-AU"/>
        </w:rPr>
        <w:t xml:space="preserve">s </w:t>
      </w:r>
      <w:r w:rsidRPr="0040647C">
        <w:rPr>
          <w:rFonts w:ascii="Calibri" w:eastAsia="Times New Roman" w:hAnsi="Calibri" w:cs="Arial"/>
          <w:color w:val="000000"/>
          <w:szCs w:val="27"/>
          <w:lang w:eastAsia="en-AU"/>
        </w:rPr>
        <w:t>to the ARC which are ineligible for funding. Applica</w:t>
      </w:r>
      <w:r w:rsidR="009B2BEE">
        <w:rPr>
          <w:rFonts w:ascii="Calibri" w:eastAsia="Times New Roman" w:hAnsi="Calibri" w:cs="Arial"/>
          <w:color w:val="000000"/>
          <w:szCs w:val="27"/>
          <w:lang w:eastAsia="en-AU"/>
        </w:rPr>
        <w:t>tions</w:t>
      </w:r>
      <w:r w:rsidRPr="0040647C">
        <w:rPr>
          <w:rFonts w:ascii="Calibri" w:eastAsia="Times New Roman" w:hAnsi="Calibri" w:cs="Arial"/>
          <w:color w:val="000000"/>
          <w:szCs w:val="27"/>
          <w:lang w:eastAsia="en-AU"/>
        </w:rPr>
        <w:t xml:space="preserve"> must </w:t>
      </w:r>
      <w:r w:rsidR="009B2BEE">
        <w:rPr>
          <w:rFonts w:ascii="Calibri" w:eastAsia="Times New Roman" w:hAnsi="Calibri" w:cs="Arial"/>
          <w:color w:val="000000"/>
          <w:szCs w:val="27"/>
          <w:lang w:eastAsia="en-AU"/>
        </w:rPr>
        <w:t>include justification detailing</w:t>
      </w:r>
      <w:r w:rsidR="009B2BEE" w:rsidRPr="0040647C">
        <w:rPr>
          <w:rFonts w:ascii="Calibri" w:eastAsia="Times New Roman" w:hAnsi="Calibri" w:cs="Arial"/>
          <w:color w:val="000000"/>
          <w:szCs w:val="27"/>
          <w:lang w:eastAsia="en-AU"/>
        </w:rPr>
        <w:t xml:space="preserve"> </w:t>
      </w:r>
      <w:r w:rsidRPr="0040647C">
        <w:rPr>
          <w:rFonts w:ascii="Calibri" w:eastAsia="Times New Roman" w:hAnsi="Calibri" w:cs="Arial"/>
          <w:color w:val="000000"/>
          <w:szCs w:val="27"/>
          <w:lang w:eastAsia="en-AU"/>
        </w:rPr>
        <w:t xml:space="preserve">why the </w:t>
      </w:r>
      <w:r w:rsidR="009B2BEE">
        <w:rPr>
          <w:rFonts w:ascii="Calibri" w:eastAsia="Times New Roman" w:hAnsi="Calibri" w:cs="Arial"/>
          <w:color w:val="000000"/>
          <w:szCs w:val="27"/>
          <w:lang w:eastAsia="en-AU"/>
        </w:rPr>
        <w:t>application</w:t>
      </w:r>
      <w:r w:rsidR="009B2BEE" w:rsidRPr="0040647C">
        <w:rPr>
          <w:rFonts w:ascii="Calibri" w:eastAsia="Times New Roman" w:hAnsi="Calibri" w:cs="Arial"/>
          <w:color w:val="000000"/>
          <w:szCs w:val="27"/>
          <w:lang w:eastAsia="en-AU"/>
        </w:rPr>
        <w:t xml:space="preserve"> </w:t>
      </w:r>
      <w:proofErr w:type="gramStart"/>
      <w:r w:rsidRPr="0040647C">
        <w:rPr>
          <w:rFonts w:ascii="Calibri" w:eastAsia="Times New Roman" w:hAnsi="Calibri" w:cs="Arial"/>
          <w:color w:val="000000"/>
          <w:szCs w:val="27"/>
          <w:lang w:eastAsia="en-AU"/>
        </w:rPr>
        <w:t>is considered to be</w:t>
      </w:r>
      <w:proofErr w:type="gramEnd"/>
      <w:r w:rsidRPr="0040647C">
        <w:rPr>
          <w:rFonts w:ascii="Calibri" w:eastAsia="Times New Roman" w:hAnsi="Calibri" w:cs="Arial"/>
          <w:color w:val="000000"/>
          <w:szCs w:val="27"/>
          <w:lang w:eastAsia="en-AU"/>
        </w:rPr>
        <w:t xml:space="preserve"> compliant with this policy. The ARC may rely solely on the statement in the </w:t>
      </w:r>
      <w:r w:rsidR="009B2BEE">
        <w:rPr>
          <w:rFonts w:ascii="Calibri" w:eastAsia="Times New Roman" w:hAnsi="Calibri" w:cs="Arial"/>
          <w:color w:val="000000"/>
          <w:szCs w:val="27"/>
          <w:lang w:eastAsia="en-AU"/>
        </w:rPr>
        <w:t>application</w:t>
      </w:r>
      <w:r w:rsidR="009B2BEE" w:rsidRPr="0040647C">
        <w:rPr>
          <w:rFonts w:ascii="Calibri" w:eastAsia="Times New Roman" w:hAnsi="Calibri" w:cs="Arial"/>
          <w:color w:val="000000"/>
          <w:szCs w:val="27"/>
          <w:lang w:eastAsia="en-AU"/>
        </w:rPr>
        <w:t xml:space="preserve"> </w:t>
      </w:r>
      <w:r w:rsidRPr="0040647C">
        <w:rPr>
          <w:rFonts w:ascii="Calibri" w:eastAsia="Times New Roman" w:hAnsi="Calibri" w:cs="Arial"/>
          <w:color w:val="000000"/>
          <w:szCs w:val="27"/>
          <w:lang w:eastAsia="en-AU"/>
        </w:rPr>
        <w:t>to determine whether a</w:t>
      </w:r>
      <w:r w:rsidR="009B2BEE">
        <w:rPr>
          <w:rFonts w:ascii="Calibri" w:eastAsia="Times New Roman" w:hAnsi="Calibri" w:cs="Arial"/>
          <w:color w:val="000000"/>
          <w:szCs w:val="27"/>
          <w:lang w:eastAsia="en-AU"/>
        </w:rPr>
        <w:t>n application</w:t>
      </w:r>
      <w:r w:rsidRPr="0040647C">
        <w:rPr>
          <w:rFonts w:ascii="Calibri" w:eastAsia="Times New Roman" w:hAnsi="Calibri" w:cs="Arial"/>
          <w:color w:val="000000"/>
          <w:szCs w:val="27"/>
          <w:lang w:eastAsia="en-AU"/>
        </w:rPr>
        <w:t xml:space="preserve"> is eligible.</w:t>
      </w:r>
    </w:p>
    <w:p w14:paraId="7A0E6F3E" w14:textId="77777777" w:rsidR="0040647C" w:rsidRPr="0040647C" w:rsidRDefault="0040647C" w:rsidP="0040647C">
      <w:pPr>
        <w:spacing w:before="100" w:beforeAutospacing="1" w:after="100" w:afterAutospacing="1" w:line="240" w:lineRule="auto"/>
        <w:rPr>
          <w:rFonts w:ascii="Calibri" w:eastAsia="Times New Roman" w:hAnsi="Calibri" w:cs="Arial"/>
          <w:color w:val="000000"/>
          <w:szCs w:val="27"/>
          <w:lang w:eastAsia="en-AU"/>
        </w:rPr>
      </w:pPr>
      <w:r w:rsidRPr="0040647C">
        <w:rPr>
          <w:rFonts w:ascii="Calibri" w:eastAsia="Times New Roman" w:hAnsi="Calibri" w:cs="Arial"/>
          <w:color w:val="000000"/>
          <w:szCs w:val="27"/>
          <w:lang w:eastAsia="en-AU"/>
        </w:rPr>
        <w:t xml:space="preserve">Those seeking funding for </w:t>
      </w:r>
      <w:proofErr w:type="gramStart"/>
      <w:r w:rsidRPr="0040647C">
        <w:rPr>
          <w:rFonts w:ascii="Calibri" w:eastAsia="Times New Roman" w:hAnsi="Calibri" w:cs="Arial"/>
          <w:color w:val="000000"/>
          <w:szCs w:val="27"/>
          <w:lang w:eastAsia="en-AU"/>
        </w:rPr>
        <w:t>medical</w:t>
      </w:r>
      <w:proofErr w:type="gramEnd"/>
      <w:r w:rsidRPr="0040647C">
        <w:rPr>
          <w:rFonts w:ascii="Calibri" w:eastAsia="Times New Roman" w:hAnsi="Calibri" w:cs="Arial"/>
          <w:color w:val="000000"/>
          <w:szCs w:val="27"/>
          <w:lang w:eastAsia="en-AU"/>
        </w:rPr>
        <w:t xml:space="preserve"> or health research are advised to explore options available through the NHMRC and other funding bodies, which consider applications in any area relevant to human health, or other medical and health research funding organisations.</w:t>
      </w:r>
    </w:p>
    <w:p w14:paraId="16CE9D21" w14:textId="77777777" w:rsidR="0040647C" w:rsidRPr="00DD193A" w:rsidRDefault="0040647C" w:rsidP="00E05338">
      <w:pPr>
        <w:pStyle w:val="Heading1"/>
      </w:pPr>
      <w:r w:rsidRPr="00DD193A">
        <w:t>Eligible Research</w:t>
      </w:r>
    </w:p>
    <w:p w14:paraId="0F6EBB5B" w14:textId="3BE94136" w:rsidR="0040647C" w:rsidRPr="0040647C" w:rsidRDefault="0040647C" w:rsidP="0040647C">
      <w:pPr>
        <w:spacing w:before="100" w:beforeAutospacing="1" w:after="100" w:afterAutospacing="1" w:line="240" w:lineRule="auto"/>
        <w:rPr>
          <w:rFonts w:ascii="Calibri" w:eastAsia="Times New Roman" w:hAnsi="Calibri" w:cs="Arial"/>
          <w:color w:val="000000"/>
          <w:szCs w:val="27"/>
          <w:lang w:eastAsia="en-AU"/>
        </w:rPr>
      </w:pPr>
      <w:r w:rsidRPr="0040647C">
        <w:rPr>
          <w:rFonts w:ascii="Calibri" w:eastAsia="Times New Roman" w:hAnsi="Calibri" w:cs="Arial"/>
          <w:color w:val="000000"/>
          <w:szCs w:val="27"/>
          <w:lang w:eastAsia="en-AU"/>
        </w:rPr>
        <w:t>Research eligible</w:t>
      </w:r>
      <w:r w:rsidR="00C44012">
        <w:rPr>
          <w:rFonts w:ascii="Calibri" w:eastAsia="Times New Roman" w:hAnsi="Calibri" w:cs="Arial"/>
          <w:color w:val="000000"/>
          <w:szCs w:val="27"/>
          <w:lang w:eastAsia="en-AU"/>
        </w:rPr>
        <w:t xml:space="preserve"> </w:t>
      </w:r>
      <w:r w:rsidRPr="0040647C">
        <w:rPr>
          <w:rFonts w:ascii="Calibri" w:eastAsia="Times New Roman" w:hAnsi="Calibri" w:cs="Arial"/>
          <w:color w:val="000000"/>
          <w:szCs w:val="27"/>
          <w:lang w:eastAsia="en-AU"/>
        </w:rPr>
        <w:t>for ARC support:</w:t>
      </w:r>
    </w:p>
    <w:p w14:paraId="1F18FAC7" w14:textId="3E2EBD74" w:rsidR="008F4542" w:rsidRPr="00DD193A" w:rsidRDefault="0040647C" w:rsidP="00DD193A">
      <w:pPr>
        <w:pStyle w:val="ListParagraph"/>
        <w:numPr>
          <w:ilvl w:val="0"/>
          <w:numId w:val="6"/>
        </w:numPr>
        <w:spacing w:after="120" w:line="240" w:lineRule="auto"/>
        <w:ind w:left="284" w:hanging="284"/>
        <w:contextualSpacing w:val="0"/>
        <w:rPr>
          <w:rFonts w:ascii="Calibri" w:eastAsia="Times New Roman" w:hAnsi="Calibri" w:cs="Arial"/>
          <w:color w:val="000000"/>
          <w:szCs w:val="27"/>
          <w:lang w:eastAsia="en-AU"/>
        </w:rPr>
      </w:pPr>
      <w:r w:rsidRPr="00DD193A">
        <w:rPr>
          <w:rFonts w:ascii="Calibri" w:eastAsia="Times New Roman" w:hAnsi="Calibri" w:cs="Arial"/>
          <w:color w:val="000000"/>
          <w:szCs w:val="27"/>
          <w:lang w:eastAsia="en-AU"/>
        </w:rPr>
        <w:t>research where the aim is the fundamental understanding of biological processes not directly related to human medical and/or health interventions and outcomes (</w:t>
      </w:r>
      <w:proofErr w:type="gramStart"/>
      <w:r w:rsidRPr="00DD193A">
        <w:rPr>
          <w:rFonts w:ascii="Calibri" w:eastAsia="Times New Roman" w:hAnsi="Calibri" w:cs="Arial"/>
          <w:color w:val="000000"/>
          <w:szCs w:val="27"/>
          <w:lang w:eastAsia="en-AU"/>
        </w:rPr>
        <w:t>e.g.</w:t>
      </w:r>
      <w:proofErr w:type="gramEnd"/>
      <w:r w:rsidRPr="00DD193A">
        <w:rPr>
          <w:rFonts w:ascii="Calibri" w:eastAsia="Times New Roman" w:hAnsi="Calibri" w:cs="Arial"/>
          <w:color w:val="000000"/>
          <w:szCs w:val="27"/>
          <w:lang w:eastAsia="en-AU"/>
        </w:rPr>
        <w:t xml:space="preserve"> human biology not related to health); or</w:t>
      </w:r>
    </w:p>
    <w:p w14:paraId="73584ACF" w14:textId="563CBF66" w:rsidR="009B2BEE" w:rsidRPr="008F4542" w:rsidRDefault="0040647C" w:rsidP="008F4542">
      <w:pPr>
        <w:pStyle w:val="ListParagraph"/>
        <w:numPr>
          <w:ilvl w:val="0"/>
          <w:numId w:val="6"/>
        </w:numPr>
        <w:spacing w:after="120" w:line="240" w:lineRule="auto"/>
        <w:ind w:left="284" w:hanging="284"/>
        <w:contextualSpacing w:val="0"/>
        <w:rPr>
          <w:rFonts w:ascii="Calibri" w:eastAsia="Times New Roman" w:hAnsi="Calibri" w:cs="Arial"/>
          <w:color w:val="000000"/>
          <w:szCs w:val="27"/>
          <w:lang w:eastAsia="en-AU"/>
        </w:rPr>
      </w:pPr>
      <w:r w:rsidRPr="008F4542">
        <w:rPr>
          <w:rFonts w:ascii="Calibri" w:eastAsia="Times New Roman" w:hAnsi="Calibri" w:cs="Arial"/>
          <w:color w:val="000000"/>
          <w:szCs w:val="27"/>
          <w:lang w:eastAsia="en-AU"/>
        </w:rPr>
        <w:t>research where the aim is the development of basic knowledge and/or technology platforms</w:t>
      </w:r>
      <w:r w:rsidR="00F50A99" w:rsidRPr="008F4542">
        <w:rPr>
          <w:rFonts w:ascii="Calibri" w:eastAsia="Times New Roman" w:hAnsi="Calibri" w:cs="Arial"/>
          <w:color w:val="000000"/>
          <w:szCs w:val="27"/>
          <w:lang w:eastAsia="en-AU"/>
        </w:rPr>
        <w:t xml:space="preserve"> including </w:t>
      </w:r>
      <w:r w:rsidR="00C70C64" w:rsidRPr="008F4542">
        <w:rPr>
          <w:rFonts w:ascii="Calibri" w:eastAsia="Times New Roman" w:hAnsi="Calibri" w:cs="Arial"/>
          <w:color w:val="000000"/>
          <w:szCs w:val="27"/>
          <w:lang w:eastAsia="en-AU"/>
        </w:rPr>
        <w:t>management systems</w:t>
      </w:r>
      <w:r w:rsidRPr="008F4542">
        <w:rPr>
          <w:rFonts w:ascii="Calibri" w:eastAsia="Times New Roman" w:hAnsi="Calibri" w:cs="Arial"/>
          <w:color w:val="000000"/>
          <w:szCs w:val="27"/>
          <w:lang w:eastAsia="en-AU"/>
        </w:rPr>
        <w:t>, that may have future medical and/or health applications</w:t>
      </w:r>
      <w:r w:rsidR="00630790">
        <w:rPr>
          <w:rFonts w:ascii="Calibri" w:eastAsia="Times New Roman" w:hAnsi="Calibri" w:cs="Arial"/>
          <w:color w:val="000000"/>
          <w:szCs w:val="27"/>
          <w:lang w:eastAsia="en-AU"/>
        </w:rPr>
        <w:t xml:space="preserve"> </w:t>
      </w:r>
      <w:r w:rsidR="00630790" w:rsidRPr="008F4542">
        <w:rPr>
          <w:rFonts w:ascii="Calibri" w:eastAsia="Times New Roman" w:hAnsi="Calibri" w:cs="Arial"/>
          <w:color w:val="000000"/>
          <w:szCs w:val="27"/>
          <w:lang w:eastAsia="en-AU"/>
        </w:rPr>
        <w:t>which</w:t>
      </w:r>
      <w:r w:rsidR="00630790">
        <w:rPr>
          <w:rFonts w:ascii="Calibri" w:eastAsia="Times New Roman" w:hAnsi="Calibri" w:cs="Arial"/>
          <w:color w:val="000000"/>
          <w:szCs w:val="27"/>
          <w:lang w:eastAsia="en-AU"/>
        </w:rPr>
        <w:t xml:space="preserve"> </w:t>
      </w:r>
      <w:r w:rsidRPr="008F4542">
        <w:rPr>
          <w:rFonts w:ascii="Calibri" w:eastAsia="Times New Roman" w:hAnsi="Calibri" w:cs="Arial"/>
          <w:color w:val="000000"/>
          <w:szCs w:val="27"/>
          <w:lang w:eastAsia="en-AU"/>
        </w:rPr>
        <w:t xml:space="preserve">are clearly specified as being outside the scope of the </w:t>
      </w:r>
      <w:r w:rsidR="009B2BEE" w:rsidRPr="008F4542">
        <w:rPr>
          <w:rFonts w:ascii="Calibri" w:eastAsia="Times New Roman" w:hAnsi="Calibri" w:cs="Arial"/>
          <w:color w:val="000000"/>
          <w:szCs w:val="27"/>
          <w:lang w:eastAsia="en-AU"/>
        </w:rPr>
        <w:t>application</w:t>
      </w:r>
      <w:r w:rsidRPr="008F4542">
        <w:rPr>
          <w:rFonts w:ascii="Calibri" w:eastAsia="Times New Roman" w:hAnsi="Calibri" w:cs="Arial"/>
          <w:color w:val="000000"/>
          <w:szCs w:val="27"/>
          <w:lang w:eastAsia="en-AU"/>
        </w:rPr>
        <w:t>; or</w:t>
      </w:r>
    </w:p>
    <w:p w14:paraId="74FD8C7E" w14:textId="2DF0E170" w:rsidR="009B2BEE" w:rsidRDefault="0040647C" w:rsidP="00DD193A">
      <w:pPr>
        <w:pStyle w:val="ListParagraph"/>
        <w:numPr>
          <w:ilvl w:val="0"/>
          <w:numId w:val="6"/>
        </w:numPr>
        <w:spacing w:after="120" w:line="240" w:lineRule="auto"/>
        <w:ind w:left="284" w:hanging="284"/>
        <w:contextualSpacing w:val="0"/>
        <w:rPr>
          <w:rFonts w:ascii="Calibri" w:eastAsia="Times New Roman" w:hAnsi="Calibri" w:cs="Arial"/>
          <w:color w:val="000000"/>
          <w:szCs w:val="27"/>
          <w:lang w:eastAsia="en-AU"/>
        </w:rPr>
      </w:pPr>
      <w:r w:rsidRPr="00DD193A">
        <w:rPr>
          <w:rFonts w:ascii="Calibri" w:eastAsia="Times New Roman" w:hAnsi="Calibri" w:cs="Arial"/>
          <w:color w:val="000000"/>
          <w:szCs w:val="27"/>
          <w:lang w:eastAsia="en-AU"/>
        </w:rPr>
        <w:t>research (including observational research) where the aim is to understand the normal human life cycle (</w:t>
      </w:r>
      <w:proofErr w:type="gramStart"/>
      <w:r w:rsidRPr="00DD193A">
        <w:rPr>
          <w:rFonts w:ascii="Calibri" w:eastAsia="Times New Roman" w:hAnsi="Calibri" w:cs="Arial"/>
          <w:color w:val="000000"/>
          <w:szCs w:val="27"/>
          <w:lang w:eastAsia="en-AU"/>
        </w:rPr>
        <w:t>e.g.</w:t>
      </w:r>
      <w:proofErr w:type="gramEnd"/>
      <w:r w:rsidRPr="00DD193A">
        <w:rPr>
          <w:rFonts w:ascii="Calibri" w:eastAsia="Times New Roman" w:hAnsi="Calibri" w:cs="Arial"/>
          <w:color w:val="000000"/>
          <w:szCs w:val="27"/>
          <w:lang w:eastAsia="en-AU"/>
        </w:rPr>
        <w:t xml:space="preserve"> infancy, childhood, adolescence and ageing) and/or traits and behaviour using human participants or populations, except if it involves a health intervention</w:t>
      </w:r>
      <w:r w:rsidR="00CB5ACE" w:rsidRPr="00DD193A">
        <w:rPr>
          <w:rFonts w:ascii="Calibri" w:eastAsia="Times New Roman" w:hAnsi="Calibri" w:cs="Arial"/>
          <w:color w:val="000000"/>
          <w:szCs w:val="27"/>
          <w:lang w:eastAsia="en-AU"/>
        </w:rPr>
        <w:t xml:space="preserve"> or diseases not specific to those normal cycles</w:t>
      </w:r>
      <w:r w:rsidRPr="00DD193A">
        <w:rPr>
          <w:rFonts w:ascii="Calibri" w:eastAsia="Times New Roman" w:hAnsi="Calibri" w:cs="Arial"/>
          <w:color w:val="000000"/>
          <w:szCs w:val="27"/>
          <w:lang w:eastAsia="en-AU"/>
        </w:rPr>
        <w:t>; or</w:t>
      </w:r>
    </w:p>
    <w:p w14:paraId="261646A9" w14:textId="3FBEEB67" w:rsidR="0040647C" w:rsidRDefault="0040647C" w:rsidP="00DD193A">
      <w:pPr>
        <w:pStyle w:val="ListParagraph"/>
        <w:numPr>
          <w:ilvl w:val="0"/>
          <w:numId w:val="6"/>
        </w:numPr>
        <w:spacing w:after="120" w:line="240" w:lineRule="auto"/>
        <w:ind w:left="284" w:hanging="284"/>
        <w:contextualSpacing w:val="0"/>
        <w:rPr>
          <w:rFonts w:ascii="Calibri" w:eastAsia="Times New Roman" w:hAnsi="Calibri" w:cs="Arial"/>
          <w:color w:val="000000"/>
          <w:szCs w:val="27"/>
          <w:lang w:eastAsia="en-AU"/>
        </w:rPr>
      </w:pPr>
      <w:r w:rsidRPr="00DD193A">
        <w:rPr>
          <w:rFonts w:ascii="Calibri" w:eastAsia="Times New Roman" w:hAnsi="Calibri" w:cs="Arial"/>
          <w:color w:val="000000"/>
          <w:szCs w:val="27"/>
          <w:lang w:eastAsia="en-AU"/>
        </w:rPr>
        <w:t xml:space="preserve">the use or development of equipment, facilities, tools, games, devices, smart phone applications </w:t>
      </w:r>
      <w:r w:rsidR="00F50A99" w:rsidRPr="00DD193A">
        <w:rPr>
          <w:rFonts w:ascii="Calibri" w:eastAsia="Times New Roman" w:hAnsi="Calibri" w:cs="Arial"/>
          <w:color w:val="000000"/>
          <w:szCs w:val="27"/>
          <w:lang w:eastAsia="en-AU"/>
        </w:rPr>
        <w:t xml:space="preserve">and other software </w:t>
      </w:r>
      <w:r w:rsidRPr="00DD193A">
        <w:rPr>
          <w:rFonts w:ascii="Calibri" w:eastAsia="Times New Roman" w:hAnsi="Calibri" w:cs="Arial"/>
          <w:color w:val="000000"/>
          <w:szCs w:val="27"/>
          <w:lang w:eastAsia="en-AU"/>
        </w:rPr>
        <w:t>or items to support eligible research as listed above.</w:t>
      </w:r>
    </w:p>
    <w:p w14:paraId="5FBAF0A2" w14:textId="77777777" w:rsidR="009B2BEE" w:rsidRPr="00DD193A" w:rsidRDefault="009B2BEE" w:rsidP="00DD193A">
      <w:pPr>
        <w:spacing w:after="120" w:line="240" w:lineRule="auto"/>
        <w:rPr>
          <w:rFonts w:ascii="Calibri" w:eastAsia="Times New Roman" w:hAnsi="Calibri" w:cs="Arial"/>
          <w:color w:val="000000"/>
          <w:szCs w:val="27"/>
          <w:lang w:eastAsia="en-AU"/>
        </w:rPr>
      </w:pPr>
    </w:p>
    <w:p w14:paraId="32FE7ECD" w14:textId="77777777" w:rsidR="0040647C" w:rsidRPr="00DD193A" w:rsidRDefault="0040647C" w:rsidP="00E05338">
      <w:pPr>
        <w:pStyle w:val="Heading1"/>
      </w:pPr>
      <w:r w:rsidRPr="00DD193A">
        <w:lastRenderedPageBreak/>
        <w:t>Ineligible Research</w:t>
      </w:r>
    </w:p>
    <w:p w14:paraId="68535251" w14:textId="77777777" w:rsidR="0040647C" w:rsidRPr="0040647C" w:rsidRDefault="0040647C" w:rsidP="0040647C">
      <w:pPr>
        <w:spacing w:before="100" w:beforeAutospacing="1" w:after="100" w:afterAutospacing="1" w:line="240" w:lineRule="auto"/>
        <w:rPr>
          <w:rFonts w:ascii="Calibri" w:eastAsia="Times New Roman" w:hAnsi="Calibri" w:cs="Arial"/>
          <w:color w:val="000000"/>
          <w:szCs w:val="27"/>
          <w:lang w:eastAsia="en-AU"/>
        </w:rPr>
      </w:pPr>
      <w:r w:rsidRPr="0040647C">
        <w:rPr>
          <w:rFonts w:ascii="Calibri" w:eastAsia="Times New Roman" w:hAnsi="Calibri" w:cs="Arial"/>
          <w:color w:val="000000"/>
          <w:szCs w:val="27"/>
          <w:lang w:eastAsia="en-AU"/>
        </w:rPr>
        <w:t>Research ineligible for ARC support:</w:t>
      </w:r>
    </w:p>
    <w:p w14:paraId="3326C991" w14:textId="66F68C95" w:rsidR="009B2BEE" w:rsidRDefault="0040647C" w:rsidP="00DD193A">
      <w:pPr>
        <w:pStyle w:val="ListParagraph"/>
        <w:numPr>
          <w:ilvl w:val="0"/>
          <w:numId w:val="8"/>
        </w:numPr>
        <w:spacing w:after="120" w:line="240" w:lineRule="auto"/>
        <w:ind w:left="284" w:hanging="284"/>
        <w:contextualSpacing w:val="0"/>
        <w:rPr>
          <w:rFonts w:ascii="Calibri" w:eastAsia="Times New Roman" w:hAnsi="Calibri" w:cs="Arial"/>
          <w:color w:val="000000"/>
          <w:szCs w:val="27"/>
          <w:lang w:eastAsia="en-AU"/>
        </w:rPr>
      </w:pPr>
      <w:r w:rsidRPr="00DD193A">
        <w:rPr>
          <w:rFonts w:ascii="Calibri" w:eastAsia="Times New Roman" w:hAnsi="Calibri" w:cs="Arial"/>
          <w:color w:val="000000"/>
          <w:szCs w:val="27"/>
          <w:lang w:eastAsia="en-AU"/>
        </w:rPr>
        <w:t xml:space="preserve">research with direct medical and/or human health aims or purpose, including research on the understanding, aetiology, diagnosis, monitoring, </w:t>
      </w:r>
      <w:proofErr w:type="gramStart"/>
      <w:r w:rsidRPr="00DD193A">
        <w:rPr>
          <w:rFonts w:ascii="Calibri" w:eastAsia="Times New Roman" w:hAnsi="Calibri" w:cs="Arial"/>
          <w:color w:val="000000"/>
          <w:szCs w:val="27"/>
          <w:lang w:eastAsia="en-AU"/>
        </w:rPr>
        <w:t>management</w:t>
      </w:r>
      <w:proofErr w:type="gramEnd"/>
      <w:r w:rsidRPr="00DD193A">
        <w:rPr>
          <w:rFonts w:ascii="Calibri" w:eastAsia="Times New Roman" w:hAnsi="Calibri" w:cs="Arial"/>
          <w:color w:val="000000"/>
          <w:szCs w:val="27"/>
          <w:lang w:eastAsia="en-AU"/>
        </w:rPr>
        <w:t xml:space="preserve"> or treatment of physical or mental disease or other medical and/or human health conditions; or</w:t>
      </w:r>
    </w:p>
    <w:p w14:paraId="5F89D114" w14:textId="1B7C119D" w:rsidR="00B40067" w:rsidRPr="00DD193A" w:rsidRDefault="0040647C" w:rsidP="00DD193A">
      <w:pPr>
        <w:pStyle w:val="ListParagraph"/>
        <w:numPr>
          <w:ilvl w:val="0"/>
          <w:numId w:val="8"/>
        </w:numPr>
        <w:spacing w:after="120" w:line="240" w:lineRule="auto"/>
        <w:ind w:left="284" w:hanging="284"/>
        <w:contextualSpacing w:val="0"/>
        <w:rPr>
          <w:rFonts w:ascii="Calibri" w:eastAsia="Times New Roman" w:hAnsi="Calibri" w:cs="Arial"/>
          <w:color w:val="000000"/>
          <w:szCs w:val="27"/>
          <w:lang w:eastAsia="en-AU"/>
        </w:rPr>
      </w:pPr>
      <w:r w:rsidRPr="00DD193A">
        <w:rPr>
          <w:rFonts w:ascii="Calibri" w:eastAsia="Times New Roman" w:hAnsi="Calibri" w:cs="Arial"/>
          <w:color w:val="000000"/>
          <w:szCs w:val="27"/>
          <w:lang w:eastAsia="en-AU"/>
        </w:rPr>
        <w:t xml:space="preserve">research </w:t>
      </w:r>
      <w:r w:rsidR="00B40067" w:rsidRPr="00DD193A">
        <w:rPr>
          <w:rFonts w:ascii="Calibri" w:eastAsia="Times New Roman" w:hAnsi="Calibri" w:cs="Arial"/>
          <w:color w:val="000000"/>
          <w:szCs w:val="27"/>
          <w:lang w:eastAsia="en-AU"/>
        </w:rPr>
        <w:t>for the development or testing of diagnostic procedures or therapeutic goods (including devices), for the purpose of better understanding human medical and/or health conditions and/or developing treatments for medical and/or human health conditions that involves</w:t>
      </w:r>
      <w:r w:rsidR="002E5D47" w:rsidRPr="00DD193A">
        <w:rPr>
          <w:rFonts w:ascii="Calibri" w:eastAsia="Times New Roman" w:hAnsi="Calibri" w:cs="Arial"/>
          <w:color w:val="000000"/>
          <w:szCs w:val="27"/>
          <w:lang w:eastAsia="en-AU"/>
        </w:rPr>
        <w:t xml:space="preserve"> the use of</w:t>
      </w:r>
      <w:r w:rsidR="00B40067" w:rsidRPr="00DD193A">
        <w:rPr>
          <w:rFonts w:ascii="Calibri" w:eastAsia="Times New Roman" w:hAnsi="Calibri" w:cs="Arial"/>
          <w:color w:val="000000"/>
          <w:szCs w:val="27"/>
          <w:lang w:eastAsia="en-AU"/>
        </w:rPr>
        <w:t>:</w:t>
      </w:r>
    </w:p>
    <w:p w14:paraId="4526DC6F" w14:textId="77777777" w:rsidR="002E5D47" w:rsidRPr="00DD193A" w:rsidRDefault="00B40067" w:rsidP="00DD193A">
      <w:pPr>
        <w:pStyle w:val="ListParagraph"/>
        <w:numPr>
          <w:ilvl w:val="0"/>
          <w:numId w:val="11"/>
        </w:numPr>
        <w:spacing w:after="120" w:line="240" w:lineRule="auto"/>
        <w:ind w:left="851" w:hanging="284"/>
        <w:contextualSpacing w:val="0"/>
        <w:rPr>
          <w:rFonts w:ascii="Calibri" w:eastAsia="Times New Roman" w:hAnsi="Calibri" w:cs="Arial"/>
          <w:color w:val="000000"/>
          <w:szCs w:val="27"/>
          <w:lang w:eastAsia="en-AU"/>
        </w:rPr>
      </w:pPr>
      <w:r w:rsidRPr="00DD193A">
        <w:rPr>
          <w:rFonts w:ascii="Calibri" w:eastAsia="Times New Roman" w:hAnsi="Calibri" w:cs="Arial"/>
          <w:color w:val="000000"/>
          <w:szCs w:val="27"/>
          <w:lang w:eastAsia="en-AU"/>
        </w:rPr>
        <w:t>animals</w:t>
      </w:r>
      <w:r w:rsidR="002E5D47" w:rsidRPr="00DD193A">
        <w:rPr>
          <w:rFonts w:ascii="Calibri" w:eastAsia="Times New Roman" w:hAnsi="Calibri" w:cs="Arial"/>
          <w:color w:val="000000"/>
          <w:szCs w:val="27"/>
          <w:lang w:eastAsia="en-AU"/>
        </w:rPr>
        <w:t>,</w:t>
      </w:r>
      <w:r w:rsidRPr="00DD193A">
        <w:rPr>
          <w:rFonts w:ascii="Calibri" w:eastAsia="Times New Roman" w:hAnsi="Calibri" w:cs="Arial"/>
          <w:color w:val="000000"/>
          <w:szCs w:val="27"/>
          <w:lang w:eastAsia="en-AU"/>
        </w:rPr>
        <w:t xml:space="preserve"> or </w:t>
      </w:r>
    </w:p>
    <w:p w14:paraId="7EE364F0" w14:textId="77777777" w:rsidR="00B40067" w:rsidRPr="00DD193A" w:rsidRDefault="00B40067" w:rsidP="00DD193A">
      <w:pPr>
        <w:pStyle w:val="ListParagraph"/>
        <w:numPr>
          <w:ilvl w:val="0"/>
          <w:numId w:val="11"/>
        </w:numPr>
        <w:spacing w:after="120" w:line="240" w:lineRule="auto"/>
        <w:ind w:left="851" w:hanging="284"/>
        <w:contextualSpacing w:val="0"/>
        <w:rPr>
          <w:rFonts w:ascii="Calibri" w:eastAsia="Times New Roman" w:hAnsi="Calibri" w:cs="Arial"/>
          <w:color w:val="000000"/>
          <w:szCs w:val="27"/>
          <w:lang w:eastAsia="en-AU"/>
        </w:rPr>
      </w:pPr>
      <w:r w:rsidRPr="00DD193A">
        <w:rPr>
          <w:rFonts w:ascii="Calibri" w:eastAsia="Times New Roman" w:hAnsi="Calibri" w:cs="Arial"/>
          <w:color w:val="000000"/>
          <w:szCs w:val="27"/>
          <w:lang w:eastAsia="en-AU"/>
        </w:rPr>
        <w:t>human tissue</w:t>
      </w:r>
      <w:r w:rsidR="002E5D47" w:rsidRPr="00DD193A">
        <w:rPr>
          <w:rFonts w:ascii="Calibri" w:eastAsia="Times New Roman" w:hAnsi="Calibri" w:cs="Arial"/>
          <w:color w:val="000000"/>
          <w:szCs w:val="27"/>
          <w:lang w:eastAsia="en-AU"/>
        </w:rPr>
        <w:t>,</w:t>
      </w:r>
      <w:r w:rsidRPr="00DD193A">
        <w:rPr>
          <w:rFonts w:ascii="Calibri" w:eastAsia="Times New Roman" w:hAnsi="Calibri" w:cs="Arial"/>
          <w:color w:val="000000"/>
          <w:szCs w:val="27"/>
          <w:lang w:eastAsia="en-AU"/>
        </w:rPr>
        <w:t xml:space="preserve"> or </w:t>
      </w:r>
    </w:p>
    <w:p w14:paraId="426A3957" w14:textId="72F39B27" w:rsidR="00223BC3" w:rsidRPr="00DD193A" w:rsidRDefault="0040647C" w:rsidP="00DD193A">
      <w:pPr>
        <w:pStyle w:val="ListParagraph"/>
        <w:numPr>
          <w:ilvl w:val="0"/>
          <w:numId w:val="11"/>
        </w:numPr>
        <w:spacing w:after="120" w:line="240" w:lineRule="auto"/>
        <w:ind w:left="851" w:hanging="284"/>
        <w:contextualSpacing w:val="0"/>
        <w:rPr>
          <w:rFonts w:ascii="Calibri" w:eastAsia="Times New Roman" w:hAnsi="Calibri" w:cs="Arial"/>
          <w:b/>
          <w:bCs/>
          <w:color w:val="000000"/>
          <w:szCs w:val="27"/>
          <w:lang w:eastAsia="en-AU"/>
        </w:rPr>
      </w:pPr>
      <w:r w:rsidRPr="00DD193A">
        <w:rPr>
          <w:rFonts w:ascii="Calibri" w:eastAsia="Times New Roman" w:hAnsi="Calibri" w:cs="Arial"/>
          <w:color w:val="000000"/>
          <w:szCs w:val="27"/>
          <w:lang w:eastAsia="en-AU"/>
        </w:rPr>
        <w:t xml:space="preserve">the use or development of </w:t>
      </w:r>
      <w:r w:rsidR="00EA3FD3" w:rsidRPr="00DD193A">
        <w:rPr>
          <w:rFonts w:ascii="Calibri" w:eastAsia="Times New Roman" w:hAnsi="Calibri" w:cs="Arial"/>
          <w:i/>
          <w:color w:val="000000"/>
          <w:szCs w:val="27"/>
          <w:lang w:eastAsia="en-AU"/>
        </w:rPr>
        <w:t>in vivo</w:t>
      </w:r>
      <w:r w:rsidRPr="00DD193A">
        <w:rPr>
          <w:rFonts w:ascii="Calibri" w:eastAsia="Times New Roman" w:hAnsi="Calibri" w:cs="Arial"/>
          <w:color w:val="000000"/>
          <w:szCs w:val="27"/>
          <w:lang w:eastAsia="en-AU"/>
        </w:rPr>
        <w:t xml:space="preserve"> models</w:t>
      </w:r>
      <w:r w:rsidR="00EA3FD3" w:rsidRPr="00DD193A">
        <w:rPr>
          <w:rFonts w:ascii="Calibri" w:eastAsia="Times New Roman" w:hAnsi="Calibri" w:cs="Arial"/>
          <w:color w:val="000000"/>
          <w:szCs w:val="27"/>
          <w:lang w:eastAsia="en-AU"/>
        </w:rPr>
        <w:t xml:space="preserve"> </w:t>
      </w:r>
      <w:r w:rsidRPr="00DD193A">
        <w:rPr>
          <w:rFonts w:ascii="Calibri" w:eastAsia="Times New Roman" w:hAnsi="Calibri" w:cs="Arial"/>
          <w:color w:val="000000"/>
          <w:szCs w:val="27"/>
          <w:lang w:eastAsia="en-AU"/>
        </w:rPr>
        <w:t xml:space="preserve">of medical and/or health </w:t>
      </w:r>
      <w:proofErr w:type="gramStart"/>
      <w:r w:rsidRPr="00DD193A">
        <w:rPr>
          <w:rFonts w:ascii="Calibri" w:eastAsia="Times New Roman" w:hAnsi="Calibri" w:cs="Arial"/>
          <w:color w:val="000000"/>
          <w:szCs w:val="27"/>
          <w:lang w:eastAsia="en-AU"/>
        </w:rPr>
        <w:t>conditions</w:t>
      </w:r>
      <w:r w:rsidR="00B40067" w:rsidRPr="00DD193A">
        <w:rPr>
          <w:rFonts w:ascii="Calibri" w:eastAsia="Times New Roman" w:hAnsi="Calibri" w:cs="Arial"/>
          <w:color w:val="000000"/>
          <w:szCs w:val="27"/>
          <w:lang w:eastAsia="en-AU"/>
        </w:rPr>
        <w:t xml:space="preserve">,  </w:t>
      </w:r>
      <w:r w:rsidR="002A7AB7">
        <w:rPr>
          <w:rFonts w:ascii="Calibri" w:eastAsia="Times New Roman" w:hAnsi="Calibri" w:cs="Arial"/>
          <w:color w:val="000000"/>
          <w:szCs w:val="27"/>
          <w:lang w:eastAsia="en-AU"/>
        </w:rPr>
        <w:t>either</w:t>
      </w:r>
      <w:proofErr w:type="gramEnd"/>
      <w:r w:rsidR="00B40067" w:rsidRPr="00DD193A">
        <w:rPr>
          <w:rFonts w:ascii="Calibri" w:eastAsia="Times New Roman" w:hAnsi="Calibri" w:cs="Arial"/>
          <w:color w:val="000000"/>
          <w:szCs w:val="27"/>
          <w:lang w:eastAsia="en-AU"/>
        </w:rPr>
        <w:t xml:space="preserve"> animal </w:t>
      </w:r>
      <w:r w:rsidR="002A7AB7">
        <w:rPr>
          <w:rFonts w:ascii="Calibri" w:eastAsia="Times New Roman" w:hAnsi="Calibri" w:cs="Arial"/>
          <w:color w:val="000000"/>
          <w:szCs w:val="27"/>
          <w:lang w:eastAsia="en-AU"/>
        </w:rPr>
        <w:t>or</w:t>
      </w:r>
      <w:r w:rsidR="00B40067" w:rsidRPr="00DD193A">
        <w:rPr>
          <w:rFonts w:ascii="Calibri" w:eastAsia="Times New Roman" w:hAnsi="Calibri" w:cs="Arial"/>
          <w:color w:val="000000"/>
          <w:szCs w:val="27"/>
          <w:lang w:eastAsia="en-AU"/>
        </w:rPr>
        <w:t xml:space="preserve"> cellular</w:t>
      </w:r>
      <w:r w:rsidRPr="00DD193A">
        <w:rPr>
          <w:rFonts w:ascii="Calibri" w:eastAsia="Times New Roman" w:hAnsi="Calibri" w:cs="Arial"/>
          <w:color w:val="000000"/>
          <w:szCs w:val="27"/>
          <w:lang w:eastAsia="en-AU"/>
        </w:rPr>
        <w:t>; or</w:t>
      </w:r>
    </w:p>
    <w:p w14:paraId="63D59D88" w14:textId="71A96B1D" w:rsidR="00223BC3" w:rsidRDefault="0040647C" w:rsidP="00DD193A">
      <w:pPr>
        <w:pStyle w:val="ListParagraph"/>
        <w:numPr>
          <w:ilvl w:val="0"/>
          <w:numId w:val="8"/>
        </w:numPr>
        <w:spacing w:after="120" w:line="240" w:lineRule="auto"/>
        <w:ind w:left="284" w:hanging="284"/>
        <w:contextualSpacing w:val="0"/>
        <w:rPr>
          <w:rFonts w:ascii="Calibri" w:eastAsia="Times New Roman" w:hAnsi="Calibri" w:cs="Arial"/>
          <w:color w:val="000000"/>
          <w:szCs w:val="27"/>
          <w:lang w:eastAsia="en-AU"/>
        </w:rPr>
      </w:pPr>
      <w:r w:rsidRPr="0040647C">
        <w:rPr>
          <w:rFonts w:ascii="Calibri" w:eastAsia="Times New Roman" w:hAnsi="Calibri" w:cs="Arial"/>
          <w:color w:val="000000"/>
          <w:szCs w:val="27"/>
          <w:lang w:eastAsia="en-AU"/>
        </w:rPr>
        <w:t>interventional research in humans, particularly clinical or pre-clinical trials of diagnostic procedures or therapeutic goods (including devices</w:t>
      </w:r>
      <w:r w:rsidR="00F50A99">
        <w:rPr>
          <w:rFonts w:ascii="Calibri" w:eastAsia="Times New Roman" w:hAnsi="Calibri" w:cs="Arial"/>
          <w:color w:val="000000"/>
          <w:szCs w:val="27"/>
          <w:lang w:eastAsia="en-AU"/>
        </w:rPr>
        <w:t xml:space="preserve"> and apps</w:t>
      </w:r>
      <w:r w:rsidRPr="0040647C">
        <w:rPr>
          <w:rFonts w:ascii="Calibri" w:eastAsia="Times New Roman" w:hAnsi="Calibri" w:cs="Arial"/>
          <w:color w:val="000000"/>
          <w:szCs w:val="27"/>
          <w:lang w:eastAsia="en-AU"/>
        </w:rPr>
        <w:t>), or research aiming to modify the medical and/or human health condition or behaviour of the human participants; or</w:t>
      </w:r>
    </w:p>
    <w:p w14:paraId="5DCA8EA0" w14:textId="06942A85" w:rsidR="0040647C" w:rsidRDefault="0040647C" w:rsidP="00DD193A">
      <w:pPr>
        <w:pStyle w:val="ListParagraph"/>
        <w:numPr>
          <w:ilvl w:val="0"/>
          <w:numId w:val="8"/>
        </w:numPr>
        <w:spacing w:after="120" w:line="240" w:lineRule="auto"/>
        <w:ind w:left="284" w:hanging="284"/>
        <w:contextualSpacing w:val="0"/>
        <w:rPr>
          <w:rFonts w:ascii="Calibri" w:eastAsia="Times New Roman" w:hAnsi="Calibri" w:cs="Arial"/>
          <w:color w:val="000000"/>
          <w:szCs w:val="27"/>
          <w:lang w:eastAsia="en-AU"/>
        </w:rPr>
      </w:pPr>
      <w:r w:rsidRPr="0040647C">
        <w:rPr>
          <w:rFonts w:ascii="Calibri" w:eastAsia="Times New Roman" w:hAnsi="Calibri" w:cs="Arial"/>
          <w:color w:val="000000"/>
          <w:szCs w:val="27"/>
          <w:lang w:eastAsia="en-AU"/>
        </w:rPr>
        <w:t>the use or development of equipment, facilities, tools, games, devices, smart phone applications</w:t>
      </w:r>
      <w:r w:rsidR="00E51E70">
        <w:rPr>
          <w:rFonts w:ascii="Calibri" w:eastAsia="Times New Roman" w:hAnsi="Calibri" w:cs="Arial"/>
          <w:color w:val="000000"/>
          <w:szCs w:val="27"/>
          <w:lang w:eastAsia="en-AU"/>
        </w:rPr>
        <w:t xml:space="preserve"> and</w:t>
      </w:r>
      <w:r w:rsidR="00F50A99">
        <w:rPr>
          <w:rFonts w:ascii="Calibri" w:eastAsia="Times New Roman" w:hAnsi="Calibri" w:cs="Arial"/>
          <w:color w:val="000000"/>
          <w:szCs w:val="27"/>
          <w:lang w:eastAsia="en-AU"/>
        </w:rPr>
        <w:t xml:space="preserve"> other software</w:t>
      </w:r>
      <w:r w:rsidRPr="0040647C">
        <w:rPr>
          <w:rFonts w:ascii="Calibri" w:eastAsia="Times New Roman" w:hAnsi="Calibri" w:cs="Arial"/>
          <w:color w:val="000000"/>
          <w:szCs w:val="27"/>
          <w:lang w:eastAsia="en-AU"/>
        </w:rPr>
        <w:t xml:space="preserve"> or items to better understand, diagnose, monitor, manage or treat medical and/or human health conditions.</w:t>
      </w:r>
    </w:p>
    <w:p w14:paraId="20E43574" w14:textId="77777777" w:rsidR="00223BC3" w:rsidRPr="00DD193A" w:rsidRDefault="00223BC3" w:rsidP="00DD193A">
      <w:pPr>
        <w:spacing w:after="120" w:line="240" w:lineRule="auto"/>
        <w:rPr>
          <w:rFonts w:ascii="Calibri" w:eastAsia="Times New Roman" w:hAnsi="Calibri" w:cs="Arial"/>
          <w:color w:val="000000"/>
          <w:szCs w:val="27"/>
          <w:lang w:eastAsia="en-AU"/>
        </w:rPr>
      </w:pPr>
    </w:p>
    <w:p w14:paraId="47ED3547" w14:textId="77777777" w:rsidR="0040647C" w:rsidRPr="00DD193A" w:rsidRDefault="0040647C" w:rsidP="00E05338">
      <w:pPr>
        <w:pStyle w:val="Heading1"/>
      </w:pPr>
      <w:r w:rsidRPr="00DD193A">
        <w:t>Process</w:t>
      </w:r>
    </w:p>
    <w:p w14:paraId="7221BD6E" w14:textId="359767D4" w:rsidR="0040647C" w:rsidRPr="0040647C" w:rsidRDefault="0040647C" w:rsidP="0040647C">
      <w:pPr>
        <w:spacing w:before="100" w:beforeAutospacing="1" w:after="100" w:afterAutospacing="1" w:line="240" w:lineRule="auto"/>
        <w:rPr>
          <w:rFonts w:ascii="Calibri" w:eastAsia="Times New Roman" w:hAnsi="Calibri" w:cs="Arial"/>
          <w:color w:val="000000"/>
          <w:szCs w:val="27"/>
          <w:lang w:eastAsia="en-AU"/>
        </w:rPr>
      </w:pPr>
      <w:r w:rsidRPr="0040647C">
        <w:rPr>
          <w:rFonts w:ascii="Calibri" w:eastAsia="Times New Roman" w:hAnsi="Calibri" w:cs="Arial"/>
          <w:color w:val="000000"/>
          <w:szCs w:val="27"/>
          <w:lang w:eastAsia="en-AU"/>
        </w:rPr>
        <w:t>The ARC may, in its absolute discretion, seek further advice from</w:t>
      </w:r>
      <w:r w:rsidR="00145AB8">
        <w:rPr>
          <w:rFonts w:ascii="Calibri" w:eastAsia="Times New Roman" w:hAnsi="Calibri" w:cs="Arial"/>
          <w:color w:val="000000"/>
          <w:szCs w:val="27"/>
          <w:lang w:eastAsia="en-AU"/>
        </w:rPr>
        <w:t xml:space="preserve"> its Medical Research Advisory Group </w:t>
      </w:r>
      <w:r w:rsidR="00D634D0">
        <w:rPr>
          <w:rFonts w:ascii="Calibri" w:eastAsia="Times New Roman" w:hAnsi="Calibri" w:cs="Arial"/>
          <w:color w:val="000000"/>
          <w:szCs w:val="27"/>
          <w:lang w:eastAsia="en-AU"/>
        </w:rPr>
        <w:t>(</w:t>
      </w:r>
      <w:r w:rsidR="00145AB8">
        <w:rPr>
          <w:rFonts w:ascii="Calibri" w:eastAsia="Times New Roman" w:hAnsi="Calibri" w:cs="Arial"/>
          <w:color w:val="000000"/>
          <w:szCs w:val="27"/>
          <w:lang w:eastAsia="en-AU"/>
        </w:rPr>
        <w:t>an expert committee convened by the ARC</w:t>
      </w:r>
      <w:r w:rsidR="00D634D0">
        <w:rPr>
          <w:rFonts w:ascii="Calibri" w:eastAsia="Times New Roman" w:hAnsi="Calibri" w:cs="Arial"/>
          <w:color w:val="000000"/>
          <w:szCs w:val="27"/>
          <w:lang w:eastAsia="en-AU"/>
        </w:rPr>
        <w:t>),</w:t>
      </w:r>
      <w:r w:rsidR="00992F75">
        <w:rPr>
          <w:rFonts w:ascii="Calibri" w:eastAsia="Times New Roman" w:hAnsi="Calibri" w:cs="Arial"/>
          <w:color w:val="000000"/>
          <w:szCs w:val="27"/>
          <w:lang w:eastAsia="en-AU"/>
        </w:rPr>
        <w:t xml:space="preserve"> </w:t>
      </w:r>
      <w:r w:rsidR="00145AB8" w:rsidRPr="0040647C">
        <w:rPr>
          <w:rFonts w:ascii="Calibri" w:eastAsia="Times New Roman" w:hAnsi="Calibri" w:cs="Arial"/>
          <w:color w:val="000000"/>
          <w:szCs w:val="27"/>
          <w:lang w:eastAsia="en-AU"/>
        </w:rPr>
        <w:t>the</w:t>
      </w:r>
      <w:r w:rsidRPr="0040647C">
        <w:rPr>
          <w:rFonts w:ascii="Calibri" w:eastAsia="Times New Roman" w:hAnsi="Calibri" w:cs="Arial"/>
          <w:color w:val="000000"/>
          <w:szCs w:val="27"/>
          <w:lang w:eastAsia="en-AU"/>
        </w:rPr>
        <w:t xml:space="preserve"> NHMRC, the Administering Organisation or any other relevant party when determining the eligibility of a</w:t>
      </w:r>
      <w:r w:rsidR="00223BC3">
        <w:rPr>
          <w:rFonts w:ascii="Calibri" w:eastAsia="Times New Roman" w:hAnsi="Calibri" w:cs="Arial"/>
          <w:color w:val="000000"/>
          <w:szCs w:val="27"/>
          <w:lang w:eastAsia="en-AU"/>
        </w:rPr>
        <w:t>n application</w:t>
      </w:r>
      <w:r w:rsidRPr="0040647C">
        <w:rPr>
          <w:rFonts w:ascii="Calibri" w:eastAsia="Times New Roman" w:hAnsi="Calibri" w:cs="Arial"/>
          <w:color w:val="000000"/>
          <w:szCs w:val="27"/>
          <w:lang w:eastAsia="en-AU"/>
        </w:rPr>
        <w:t>.</w:t>
      </w:r>
    </w:p>
    <w:p w14:paraId="136D2098" w14:textId="0D6F9A97" w:rsidR="0040647C" w:rsidRPr="0040647C" w:rsidRDefault="0040647C" w:rsidP="0040647C">
      <w:pPr>
        <w:spacing w:before="100" w:beforeAutospacing="1" w:after="100" w:afterAutospacing="1" w:line="240" w:lineRule="auto"/>
        <w:rPr>
          <w:rFonts w:ascii="Calibri" w:eastAsia="Times New Roman" w:hAnsi="Calibri" w:cs="Arial"/>
          <w:color w:val="000000"/>
          <w:szCs w:val="27"/>
          <w:lang w:eastAsia="en-AU"/>
        </w:rPr>
      </w:pPr>
      <w:r w:rsidRPr="0040647C">
        <w:rPr>
          <w:rFonts w:ascii="Calibri" w:eastAsia="Times New Roman" w:hAnsi="Calibri" w:cs="Arial"/>
          <w:color w:val="000000"/>
          <w:szCs w:val="27"/>
          <w:lang w:eastAsia="en-AU"/>
        </w:rPr>
        <w:t>If the ARC determines that a</w:t>
      </w:r>
      <w:r w:rsidR="00223BC3">
        <w:rPr>
          <w:rFonts w:ascii="Calibri" w:eastAsia="Times New Roman" w:hAnsi="Calibri" w:cs="Arial"/>
          <w:color w:val="000000"/>
          <w:szCs w:val="27"/>
          <w:lang w:eastAsia="en-AU"/>
        </w:rPr>
        <w:t>n application</w:t>
      </w:r>
      <w:r w:rsidRPr="0040647C">
        <w:rPr>
          <w:rFonts w:ascii="Calibri" w:eastAsia="Times New Roman" w:hAnsi="Calibri" w:cs="Arial"/>
          <w:color w:val="000000"/>
          <w:szCs w:val="27"/>
          <w:lang w:eastAsia="en-AU"/>
        </w:rPr>
        <w:t xml:space="preserve"> is at risk of not being considered by either agency (ARC or NHMRC), the ARC reserves the right to deem such a</w:t>
      </w:r>
      <w:r w:rsidR="00223BC3">
        <w:rPr>
          <w:rFonts w:ascii="Calibri" w:eastAsia="Times New Roman" w:hAnsi="Calibri" w:cs="Arial"/>
          <w:color w:val="000000"/>
          <w:szCs w:val="27"/>
          <w:lang w:eastAsia="en-AU"/>
        </w:rPr>
        <w:t>n application</w:t>
      </w:r>
      <w:r w:rsidRPr="0040647C">
        <w:rPr>
          <w:rFonts w:ascii="Calibri" w:eastAsia="Times New Roman" w:hAnsi="Calibri" w:cs="Arial"/>
          <w:color w:val="000000"/>
          <w:szCs w:val="27"/>
          <w:lang w:eastAsia="en-AU"/>
        </w:rPr>
        <w:t xml:space="preserve"> eligible for assessment.</w:t>
      </w:r>
    </w:p>
    <w:p w14:paraId="5C8835F8" w14:textId="0065892A" w:rsidR="0040647C" w:rsidRDefault="0040647C" w:rsidP="0040647C">
      <w:pPr>
        <w:spacing w:before="100" w:beforeAutospacing="1" w:after="100" w:afterAutospacing="1" w:line="240" w:lineRule="auto"/>
        <w:rPr>
          <w:rFonts w:ascii="Calibri" w:eastAsia="Times New Roman" w:hAnsi="Calibri" w:cs="Arial"/>
          <w:color w:val="000000"/>
          <w:szCs w:val="27"/>
          <w:lang w:eastAsia="en-AU"/>
        </w:rPr>
      </w:pPr>
      <w:r w:rsidRPr="0040647C">
        <w:rPr>
          <w:rFonts w:ascii="Calibri" w:eastAsia="Times New Roman" w:hAnsi="Calibri" w:cs="Arial"/>
          <w:color w:val="000000"/>
          <w:szCs w:val="27"/>
          <w:lang w:eastAsia="en-AU"/>
        </w:rPr>
        <w:t>Recognising that an integrated research project or program may sometimes include a small element of research not supported under this policy, the ARC may, but is not obliged to, deem such a</w:t>
      </w:r>
      <w:r w:rsidR="00402C4F">
        <w:rPr>
          <w:rFonts w:ascii="Calibri" w:eastAsia="Times New Roman" w:hAnsi="Calibri" w:cs="Arial"/>
          <w:color w:val="000000"/>
          <w:szCs w:val="27"/>
          <w:lang w:eastAsia="en-AU"/>
        </w:rPr>
        <w:t xml:space="preserve">n application </w:t>
      </w:r>
      <w:r w:rsidRPr="0040647C">
        <w:rPr>
          <w:rFonts w:ascii="Calibri" w:eastAsia="Times New Roman" w:hAnsi="Calibri" w:cs="Arial"/>
          <w:color w:val="000000"/>
          <w:szCs w:val="27"/>
          <w:lang w:eastAsia="en-AU"/>
        </w:rPr>
        <w:t xml:space="preserve">eligible for assessment provided the </w:t>
      </w:r>
      <w:r w:rsidR="00223BC3">
        <w:rPr>
          <w:rFonts w:ascii="Calibri" w:eastAsia="Times New Roman" w:hAnsi="Calibri" w:cs="Arial"/>
          <w:color w:val="000000"/>
          <w:szCs w:val="27"/>
          <w:lang w:eastAsia="en-AU"/>
        </w:rPr>
        <w:t>application</w:t>
      </w:r>
      <w:r w:rsidR="00223BC3" w:rsidRPr="0040647C">
        <w:rPr>
          <w:rFonts w:ascii="Calibri" w:eastAsia="Times New Roman" w:hAnsi="Calibri" w:cs="Arial"/>
          <w:color w:val="000000"/>
          <w:szCs w:val="27"/>
          <w:lang w:eastAsia="en-AU"/>
        </w:rPr>
        <w:t xml:space="preserve"> </w:t>
      </w:r>
      <w:r w:rsidRPr="0040647C">
        <w:rPr>
          <w:rFonts w:ascii="Calibri" w:eastAsia="Times New Roman" w:hAnsi="Calibri" w:cs="Arial"/>
          <w:color w:val="000000"/>
          <w:szCs w:val="27"/>
          <w:lang w:eastAsia="en-AU"/>
        </w:rPr>
        <w:t>predominantly comprises eligible research as set out in this policy.</w:t>
      </w:r>
    </w:p>
    <w:p w14:paraId="6CC0FDB5" w14:textId="6074F0B0" w:rsidR="00223BC3" w:rsidRPr="0040647C" w:rsidRDefault="00223BC3" w:rsidP="0040647C">
      <w:pPr>
        <w:spacing w:before="100" w:beforeAutospacing="1" w:after="100" w:afterAutospacing="1" w:line="240" w:lineRule="auto"/>
        <w:rPr>
          <w:rFonts w:ascii="Calibri" w:eastAsia="Times New Roman" w:hAnsi="Calibri" w:cs="Arial"/>
          <w:color w:val="000000"/>
          <w:szCs w:val="27"/>
          <w:lang w:eastAsia="en-AU"/>
        </w:rPr>
      </w:pPr>
      <w:r>
        <w:rPr>
          <w:rFonts w:ascii="Calibri" w:eastAsia="Times New Roman" w:hAnsi="Calibri" w:cs="Arial"/>
          <w:color w:val="000000"/>
          <w:szCs w:val="27"/>
          <w:lang w:eastAsia="en-AU"/>
        </w:rPr>
        <w:t>Applications are still subject to all other eligibility requirements set out in the relevant grant guidelines.</w:t>
      </w:r>
    </w:p>
    <w:p w14:paraId="708B4142" w14:textId="524BCC6D" w:rsidR="0040647C" w:rsidRPr="0040647C" w:rsidRDefault="0024510D" w:rsidP="0040647C">
      <w:pPr>
        <w:spacing w:before="100" w:beforeAutospacing="1" w:after="100" w:afterAutospacing="1" w:line="240" w:lineRule="auto"/>
        <w:rPr>
          <w:rFonts w:ascii="Calibri" w:eastAsia="Times New Roman" w:hAnsi="Calibri" w:cs="Arial"/>
          <w:color w:val="000000"/>
          <w:szCs w:val="27"/>
          <w:lang w:eastAsia="en-AU"/>
        </w:rPr>
      </w:pPr>
      <w:r>
        <w:rPr>
          <w:rFonts w:ascii="Calibri" w:eastAsia="Times New Roman" w:hAnsi="Calibri" w:cs="Arial"/>
          <w:color w:val="000000"/>
          <w:szCs w:val="27"/>
          <w:lang w:eastAsia="en-AU"/>
        </w:rPr>
        <w:t>Applications</w:t>
      </w:r>
      <w:r w:rsidRPr="0040647C">
        <w:rPr>
          <w:rFonts w:ascii="Calibri" w:eastAsia="Times New Roman" w:hAnsi="Calibri" w:cs="Arial"/>
          <w:color w:val="000000"/>
          <w:szCs w:val="27"/>
          <w:lang w:eastAsia="en-AU"/>
        </w:rPr>
        <w:t xml:space="preserve"> </w:t>
      </w:r>
      <w:r w:rsidR="0040647C" w:rsidRPr="0040647C">
        <w:rPr>
          <w:rFonts w:ascii="Calibri" w:eastAsia="Times New Roman" w:hAnsi="Calibri" w:cs="Arial"/>
          <w:color w:val="000000"/>
          <w:szCs w:val="27"/>
          <w:lang w:eastAsia="en-AU"/>
        </w:rPr>
        <w:t>deemed ineligible cannot be recommended or approved for funding under the </w:t>
      </w:r>
      <w:r w:rsidR="0040647C" w:rsidRPr="00B22D1C">
        <w:rPr>
          <w:rFonts w:ascii="Calibri" w:eastAsia="Times New Roman" w:hAnsi="Calibri" w:cs="Arial"/>
          <w:i/>
          <w:iCs/>
          <w:color w:val="000000"/>
          <w:szCs w:val="27"/>
          <w:lang w:eastAsia="en-AU"/>
        </w:rPr>
        <w:t>Australian Research Council Act 2001</w:t>
      </w:r>
      <w:r w:rsidR="0040647C" w:rsidRPr="0040647C">
        <w:rPr>
          <w:rFonts w:ascii="Calibri" w:eastAsia="Times New Roman" w:hAnsi="Calibri" w:cs="Arial"/>
          <w:color w:val="000000"/>
          <w:szCs w:val="27"/>
          <w:lang w:eastAsia="en-AU"/>
        </w:rPr>
        <w:t>.</w:t>
      </w:r>
    </w:p>
    <w:p w14:paraId="5072EE2D" w14:textId="77777777" w:rsidR="0024510D" w:rsidRDefault="0024510D" w:rsidP="00DD193A">
      <w:pPr>
        <w:spacing w:before="100" w:beforeAutospacing="1" w:after="100" w:afterAutospacing="1" w:line="240" w:lineRule="auto"/>
        <w:rPr>
          <w:b/>
          <w:bCs/>
        </w:rPr>
      </w:pPr>
    </w:p>
    <w:p w14:paraId="02E8DAF6" w14:textId="25F55963" w:rsidR="0040647C" w:rsidRPr="00DD193A" w:rsidRDefault="0040647C" w:rsidP="00C946E2">
      <w:pPr>
        <w:pStyle w:val="Heading1"/>
        <w:keepNext/>
      </w:pPr>
      <w:r w:rsidRPr="00DD193A">
        <w:lastRenderedPageBreak/>
        <w:t>Contact details</w:t>
      </w:r>
    </w:p>
    <w:p w14:paraId="0615E30F" w14:textId="246805E0" w:rsidR="0040647C" w:rsidRPr="0040647C" w:rsidRDefault="0040647C" w:rsidP="00DD193A">
      <w:pPr>
        <w:spacing w:before="100" w:beforeAutospacing="1" w:after="100" w:afterAutospacing="1" w:line="240" w:lineRule="auto"/>
        <w:rPr>
          <w:rFonts w:ascii="Calibri" w:eastAsia="Times New Roman" w:hAnsi="Calibri" w:cs="Arial"/>
          <w:color w:val="000000"/>
          <w:szCs w:val="27"/>
          <w:lang w:eastAsia="en-AU"/>
        </w:rPr>
      </w:pPr>
      <w:r w:rsidRPr="00B22D1C">
        <w:rPr>
          <w:rFonts w:ascii="Calibri" w:eastAsia="Times New Roman" w:hAnsi="Calibri" w:cs="Arial"/>
          <w:b/>
          <w:bCs/>
          <w:color w:val="000000"/>
          <w:szCs w:val="27"/>
          <w:lang w:eastAsia="en-AU"/>
        </w:rPr>
        <w:t>Stakeholder Relations</w:t>
      </w:r>
      <w:r w:rsidRPr="0040647C">
        <w:rPr>
          <w:rFonts w:ascii="Calibri" w:eastAsia="Times New Roman" w:hAnsi="Calibri" w:cs="Arial"/>
          <w:b/>
          <w:bCs/>
          <w:color w:val="000000"/>
          <w:szCs w:val="27"/>
          <w:lang w:eastAsia="en-AU"/>
        </w:rPr>
        <w:br/>
      </w:r>
      <w:r w:rsidRPr="0040647C">
        <w:rPr>
          <w:rFonts w:ascii="Calibri" w:eastAsia="Times New Roman" w:hAnsi="Calibri" w:cs="Arial"/>
          <w:color w:val="000000"/>
          <w:szCs w:val="27"/>
          <w:lang w:eastAsia="en-AU"/>
        </w:rPr>
        <w:t>Australian Research Council </w:t>
      </w:r>
      <w:r w:rsidRPr="0040647C">
        <w:rPr>
          <w:rFonts w:ascii="Calibri" w:eastAsia="Times New Roman" w:hAnsi="Calibri" w:cs="Arial"/>
          <w:color w:val="000000"/>
          <w:szCs w:val="27"/>
          <w:lang w:eastAsia="en-AU"/>
        </w:rPr>
        <w:br/>
        <w:t>Phone: 02 6287 6600</w:t>
      </w:r>
      <w:r w:rsidRPr="0040647C">
        <w:rPr>
          <w:rFonts w:ascii="Calibri" w:eastAsia="Times New Roman" w:hAnsi="Calibri" w:cs="Arial"/>
          <w:color w:val="000000"/>
          <w:szCs w:val="27"/>
          <w:lang w:eastAsia="en-AU"/>
        </w:rPr>
        <w:br/>
      </w:r>
      <w:hyperlink r:id="rId8" w:history="1">
        <w:r w:rsidRPr="00B22D1C">
          <w:rPr>
            <w:rFonts w:ascii="Calibri" w:eastAsia="Times New Roman" w:hAnsi="Calibri" w:cs="Arial"/>
            <w:color w:val="000000"/>
            <w:szCs w:val="27"/>
            <w:u w:val="single"/>
            <w:lang w:eastAsia="en-AU"/>
          </w:rPr>
          <w:t>communications@arc.gov.au</w:t>
        </w:r>
        <w:r w:rsidRPr="0040647C">
          <w:rPr>
            <w:rFonts w:ascii="Calibri" w:eastAsia="Times New Roman" w:hAnsi="Calibri" w:cs="Arial"/>
            <w:color w:val="000000"/>
            <w:szCs w:val="27"/>
            <w:u w:val="single"/>
            <w:lang w:eastAsia="en-AU"/>
          </w:rPr>
          <w:br/>
        </w:r>
      </w:hyperlink>
      <w:hyperlink r:id="rId9" w:history="1">
        <w:r w:rsidRPr="00B22D1C">
          <w:rPr>
            <w:rFonts w:ascii="Calibri" w:eastAsia="Times New Roman" w:hAnsi="Calibri" w:cs="Arial"/>
            <w:color w:val="000000"/>
            <w:szCs w:val="27"/>
            <w:u w:val="single"/>
            <w:lang w:eastAsia="en-AU"/>
          </w:rPr>
          <w:t>www.arc.gov.au</w:t>
        </w:r>
        <w:r w:rsidRPr="0040647C">
          <w:rPr>
            <w:rFonts w:ascii="Calibri" w:eastAsia="Times New Roman" w:hAnsi="Calibri" w:cs="Arial"/>
            <w:color w:val="000000"/>
            <w:szCs w:val="27"/>
            <w:u w:val="single"/>
            <w:lang w:eastAsia="en-AU"/>
          </w:rPr>
          <w:br/>
        </w:r>
      </w:hyperlink>
      <w:r w:rsidRPr="0040647C">
        <w:rPr>
          <w:rFonts w:ascii="Calibri" w:eastAsia="Times New Roman" w:hAnsi="Calibri" w:cs="Arial"/>
          <w:color w:val="000000"/>
          <w:szCs w:val="27"/>
          <w:lang w:eastAsia="en-AU"/>
        </w:rPr>
        <w:t>Level 2, 11 Lancaster Place, Canberra Airport ACT 2609 </w:t>
      </w:r>
      <w:r w:rsidRPr="0040647C">
        <w:rPr>
          <w:rFonts w:ascii="Calibri" w:eastAsia="Times New Roman" w:hAnsi="Calibri" w:cs="Arial"/>
          <w:color w:val="000000"/>
          <w:szCs w:val="27"/>
          <w:lang w:eastAsia="en-AU"/>
        </w:rPr>
        <w:br/>
        <w:t>GPO Box 2702, Canberra ACT 2601</w:t>
      </w:r>
      <w:bookmarkStart w:id="0" w:name="one"/>
      <w:r w:rsidR="008D0A6F">
        <w:rPr>
          <w:rFonts w:ascii="Calibri" w:eastAsia="Times New Roman" w:hAnsi="Calibri" w:cs="Arial"/>
          <w:color w:val="000000"/>
          <w:szCs w:val="27"/>
          <w:lang w:eastAsia="en-AU"/>
        </w:rPr>
        <w:pict w14:anchorId="5BB1C65C">
          <v:rect id="_x0000_i1026" style="width:0;height:.75pt" o:hralign="center" o:hrstd="t" o:hr="t" fillcolor="#a0a0a0" stroked="f"/>
        </w:pict>
      </w:r>
    </w:p>
    <w:p w14:paraId="617AD605" w14:textId="7A3107D0" w:rsidR="006D023E" w:rsidRPr="00B22D1C" w:rsidRDefault="009066F2">
      <w:pPr>
        <w:rPr>
          <w:rFonts w:ascii="Calibri" w:hAnsi="Calibri"/>
        </w:rPr>
      </w:pPr>
      <w:r>
        <w:rPr>
          <w:rFonts w:ascii="Calibri" w:eastAsia="Times New Roman" w:hAnsi="Calibri" w:cs="Arial"/>
          <w:color w:val="000000"/>
          <w:szCs w:val="27"/>
          <w:vertAlign w:val="superscript"/>
          <w:lang w:eastAsia="en-AU"/>
        </w:rPr>
        <w:t>1</w:t>
      </w:r>
      <w:r>
        <w:rPr>
          <w:rFonts w:ascii="Calibri" w:eastAsia="Times New Roman" w:hAnsi="Calibri" w:cs="Arial"/>
          <w:color w:val="000000"/>
          <w:szCs w:val="27"/>
          <w:lang w:eastAsia="en-AU"/>
        </w:rPr>
        <w:t xml:space="preserve"> </w:t>
      </w:r>
      <w:r w:rsidR="003E53C5">
        <w:rPr>
          <w:rFonts w:ascii="Calibri" w:eastAsia="Times New Roman" w:hAnsi="Calibri"/>
          <w:color w:val="000000"/>
          <w:lang w:eastAsia="en-AU"/>
        </w:rPr>
        <w:t>Industrial Transformation Research Program (ITRP) applications that address a medical research-related priority identified under the ITRP may be submitted, provided the application clearly addresses the objectives of the ITRP. Consistent with this Policy, the main aim of the application must not be to understand the causes, treatment and/or prevention of human diseases and/or the maintenance of human health.</w:t>
      </w:r>
      <w:r w:rsidR="003E53C5" w:rsidRPr="0040647C" w:rsidDel="0024510D">
        <w:rPr>
          <w:rFonts w:ascii="Calibri" w:eastAsia="Times New Roman" w:hAnsi="Calibri" w:cs="Arial"/>
          <w:color w:val="000000"/>
          <w:szCs w:val="27"/>
          <w:vertAlign w:val="superscript"/>
          <w:lang w:eastAsia="en-AU"/>
        </w:rPr>
        <w:t xml:space="preserve"> </w:t>
      </w:r>
      <w:bookmarkStart w:id="1" w:name="two"/>
      <w:bookmarkStart w:id="2" w:name="three"/>
      <w:bookmarkStart w:id="3" w:name="four"/>
      <w:bookmarkStart w:id="4" w:name="previous"/>
      <w:bookmarkEnd w:id="0"/>
      <w:bookmarkEnd w:id="1"/>
      <w:bookmarkEnd w:id="2"/>
      <w:bookmarkEnd w:id="3"/>
      <w:bookmarkEnd w:id="4"/>
    </w:p>
    <w:sectPr w:rsidR="006D023E" w:rsidRPr="00B22D1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9F48" w14:textId="77777777" w:rsidR="008D0A6F" w:rsidRDefault="008D0A6F" w:rsidP="0024510D">
      <w:pPr>
        <w:spacing w:after="0" w:line="240" w:lineRule="auto"/>
      </w:pPr>
      <w:r>
        <w:separator/>
      </w:r>
    </w:p>
  </w:endnote>
  <w:endnote w:type="continuationSeparator" w:id="0">
    <w:p w14:paraId="52CA122B" w14:textId="77777777" w:rsidR="008D0A6F" w:rsidRDefault="008D0A6F" w:rsidP="002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026969"/>
      <w:docPartObj>
        <w:docPartGallery w:val="Page Numbers (Bottom of Page)"/>
        <w:docPartUnique/>
      </w:docPartObj>
    </w:sdtPr>
    <w:sdtEndPr>
      <w:rPr>
        <w:noProof/>
      </w:rPr>
    </w:sdtEndPr>
    <w:sdtContent>
      <w:p w14:paraId="63743143" w14:textId="670B6E0C" w:rsidR="00FF74D1" w:rsidRDefault="00FF74D1">
        <w:pPr>
          <w:pStyle w:val="Footer"/>
          <w:jc w:val="center"/>
        </w:pPr>
        <w:r>
          <w:fldChar w:fldCharType="begin"/>
        </w:r>
        <w:r>
          <w:instrText xml:space="preserve"> PAGE   \* MERGEFORMAT </w:instrText>
        </w:r>
        <w:r>
          <w:fldChar w:fldCharType="separate"/>
        </w:r>
        <w:r w:rsidR="00DB795D">
          <w:rPr>
            <w:noProof/>
          </w:rPr>
          <w:t>1</w:t>
        </w:r>
        <w:r>
          <w:rPr>
            <w:noProof/>
          </w:rPr>
          <w:fldChar w:fldCharType="end"/>
        </w:r>
      </w:p>
    </w:sdtContent>
  </w:sdt>
  <w:p w14:paraId="106BFFBB" w14:textId="77777777" w:rsidR="00FF74D1" w:rsidRDefault="00FF7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2796F" w14:textId="77777777" w:rsidR="008D0A6F" w:rsidRDefault="008D0A6F" w:rsidP="0024510D">
      <w:pPr>
        <w:spacing w:after="0" w:line="240" w:lineRule="auto"/>
      </w:pPr>
      <w:r>
        <w:separator/>
      </w:r>
    </w:p>
  </w:footnote>
  <w:footnote w:type="continuationSeparator" w:id="0">
    <w:p w14:paraId="1C37E887" w14:textId="77777777" w:rsidR="008D0A6F" w:rsidRDefault="008D0A6F" w:rsidP="00245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57B"/>
    <w:multiLevelType w:val="multilevel"/>
    <w:tmpl w:val="F04E8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92390"/>
    <w:multiLevelType w:val="hybridMultilevel"/>
    <w:tmpl w:val="203C044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5371E74"/>
    <w:multiLevelType w:val="hybridMultilevel"/>
    <w:tmpl w:val="1E76D9AC"/>
    <w:lvl w:ilvl="0" w:tplc="11F8DD22">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E33A12"/>
    <w:multiLevelType w:val="hybridMultilevel"/>
    <w:tmpl w:val="4F44484E"/>
    <w:lvl w:ilvl="0" w:tplc="B8B6A0C0">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7A2F36"/>
    <w:multiLevelType w:val="multilevel"/>
    <w:tmpl w:val="AA2E3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962752"/>
    <w:multiLevelType w:val="hybridMultilevel"/>
    <w:tmpl w:val="7F7C1A32"/>
    <w:lvl w:ilvl="0" w:tplc="0C090017">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70017D6"/>
    <w:multiLevelType w:val="multilevel"/>
    <w:tmpl w:val="594A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7A78EE"/>
    <w:multiLevelType w:val="hybridMultilevel"/>
    <w:tmpl w:val="4E5C7E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7B03767"/>
    <w:multiLevelType w:val="multilevel"/>
    <w:tmpl w:val="3AB484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B27465"/>
    <w:multiLevelType w:val="hybridMultilevel"/>
    <w:tmpl w:val="490494B2"/>
    <w:lvl w:ilvl="0" w:tplc="A31AB62C">
      <w:start w:val="1"/>
      <w:numFmt w:val="lowerRoman"/>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5986390F"/>
    <w:multiLevelType w:val="hybridMultilevel"/>
    <w:tmpl w:val="39ACCE5C"/>
    <w:lvl w:ilvl="0" w:tplc="3E56E57A">
      <w:start w:val="1"/>
      <w:numFmt w:val="decimal"/>
      <w:pStyle w:val="Heading1"/>
      <w:lvlText w:val="%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AB4CCB"/>
    <w:multiLevelType w:val="multilevel"/>
    <w:tmpl w:val="32D2FDAE"/>
    <w:lvl w:ilvl="0">
      <w:start w:val="1"/>
      <w:numFmt w:val="upperLetter"/>
      <w:pStyle w:val="PartHeading"/>
      <w:lvlText w:val="Part %1"/>
      <w:lvlJc w:val="left"/>
      <w:pPr>
        <w:ind w:left="360" w:hanging="360"/>
      </w:pPr>
      <w:rPr>
        <w:rFonts w:hint="default"/>
        <w:b/>
      </w:rPr>
    </w:lvl>
    <w:lvl w:ilvl="1">
      <w:start w:val="1"/>
      <w:numFmt w:val="decimal"/>
      <w:pStyle w:val="StyleHeading2IRD"/>
      <w:lvlText w:val="%1%2."/>
      <w:lvlJc w:val="left"/>
      <w:pPr>
        <w:ind w:left="1004" w:hanging="720"/>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Heading3IRD"/>
      <w:lvlText w:val="%1%2.%3"/>
      <w:lvlJc w:val="left"/>
      <w:pPr>
        <w:ind w:left="1222" w:hanging="10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aralevel1"/>
      <w:lvlText w:val="%1%2.%3.%4"/>
      <w:lvlJc w:val="left"/>
      <w:pPr>
        <w:ind w:left="3000" w:hanging="1440"/>
      </w:pPr>
      <w:rPr>
        <w:rFonts w:ascii="Arial" w:hAnsi="Arial" w:cs="Arial" w:hint="default"/>
        <w:b w:val="0"/>
        <w:sz w:val="22"/>
        <w:szCs w:val="22"/>
      </w:rPr>
    </w:lvl>
    <w:lvl w:ilvl="4">
      <w:start w:val="1"/>
      <w:numFmt w:val="decimal"/>
      <w:lvlRestart w:val="2"/>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6430536">
    <w:abstractNumId w:val="0"/>
  </w:num>
  <w:num w:numId="2" w16cid:durableId="763649963">
    <w:abstractNumId w:val="6"/>
  </w:num>
  <w:num w:numId="3" w16cid:durableId="772941529">
    <w:abstractNumId w:val="8"/>
  </w:num>
  <w:num w:numId="4" w16cid:durableId="376853859">
    <w:abstractNumId w:val="11"/>
  </w:num>
  <w:num w:numId="5" w16cid:durableId="1377311207">
    <w:abstractNumId w:val="10"/>
  </w:num>
  <w:num w:numId="6" w16cid:durableId="1291591451">
    <w:abstractNumId w:val="5"/>
  </w:num>
  <w:num w:numId="7" w16cid:durableId="747850028">
    <w:abstractNumId w:val="3"/>
  </w:num>
  <w:num w:numId="8" w16cid:durableId="1978023092">
    <w:abstractNumId w:val="7"/>
  </w:num>
  <w:num w:numId="9" w16cid:durableId="2076318784">
    <w:abstractNumId w:val="2"/>
  </w:num>
  <w:num w:numId="10" w16cid:durableId="803961428">
    <w:abstractNumId w:val="1"/>
  </w:num>
  <w:num w:numId="11" w16cid:durableId="465437410">
    <w:abstractNumId w:val="9"/>
  </w:num>
  <w:num w:numId="12" w16cid:durableId="782848045">
    <w:abstractNumId w:val="10"/>
  </w:num>
  <w:num w:numId="13" w16cid:durableId="1760710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7C"/>
    <w:rsid w:val="000674FC"/>
    <w:rsid w:val="000811A8"/>
    <w:rsid w:val="000D50DC"/>
    <w:rsid w:val="00145AB8"/>
    <w:rsid w:val="00174D52"/>
    <w:rsid w:val="001E73C4"/>
    <w:rsid w:val="00223BC3"/>
    <w:rsid w:val="0024510D"/>
    <w:rsid w:val="002A1F50"/>
    <w:rsid w:val="002A7AB7"/>
    <w:rsid w:val="002C253B"/>
    <w:rsid w:val="002E5D47"/>
    <w:rsid w:val="003312A9"/>
    <w:rsid w:val="003660A5"/>
    <w:rsid w:val="0038686A"/>
    <w:rsid w:val="003E53C5"/>
    <w:rsid w:val="00402C4F"/>
    <w:rsid w:val="0040647C"/>
    <w:rsid w:val="004570F5"/>
    <w:rsid w:val="004805BE"/>
    <w:rsid w:val="004D6673"/>
    <w:rsid w:val="005D3168"/>
    <w:rsid w:val="00630790"/>
    <w:rsid w:val="006500FB"/>
    <w:rsid w:val="006D023E"/>
    <w:rsid w:val="00832629"/>
    <w:rsid w:val="00847541"/>
    <w:rsid w:val="008D0A6F"/>
    <w:rsid w:val="008F4542"/>
    <w:rsid w:val="009066F2"/>
    <w:rsid w:val="00992F75"/>
    <w:rsid w:val="009B2BEE"/>
    <w:rsid w:val="00A92207"/>
    <w:rsid w:val="00B22D1C"/>
    <w:rsid w:val="00B40067"/>
    <w:rsid w:val="00B54AC4"/>
    <w:rsid w:val="00BB14D5"/>
    <w:rsid w:val="00BB7B86"/>
    <w:rsid w:val="00C35865"/>
    <w:rsid w:val="00C44012"/>
    <w:rsid w:val="00C70C64"/>
    <w:rsid w:val="00C946E2"/>
    <w:rsid w:val="00CA108C"/>
    <w:rsid w:val="00CB5ACE"/>
    <w:rsid w:val="00D05870"/>
    <w:rsid w:val="00D54AA9"/>
    <w:rsid w:val="00D634D0"/>
    <w:rsid w:val="00DB795D"/>
    <w:rsid w:val="00DD193A"/>
    <w:rsid w:val="00DF2BD9"/>
    <w:rsid w:val="00E05338"/>
    <w:rsid w:val="00E10C78"/>
    <w:rsid w:val="00E25610"/>
    <w:rsid w:val="00E51E70"/>
    <w:rsid w:val="00EA0BE8"/>
    <w:rsid w:val="00EA3FD3"/>
    <w:rsid w:val="00ED6B45"/>
    <w:rsid w:val="00F50A99"/>
    <w:rsid w:val="00FF74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F3D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9066F2"/>
    <w:pPr>
      <w:numPr>
        <w:numId w:val="5"/>
      </w:numPr>
      <w:ind w:hanging="720"/>
      <w:outlineLvl w:val="0"/>
    </w:pPr>
    <w:rPr>
      <w:b/>
      <w:bCs/>
      <w:sz w:val="28"/>
      <w:szCs w:val="28"/>
      <w:lang w:eastAsia="en-AU"/>
    </w:rPr>
  </w:style>
  <w:style w:type="paragraph" w:styleId="Heading2">
    <w:name w:val="heading 2"/>
    <w:basedOn w:val="Normal"/>
    <w:link w:val="Heading2Char"/>
    <w:uiPriority w:val="9"/>
    <w:qFormat/>
    <w:rsid w:val="0040647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4">
    <w:name w:val="heading 4"/>
    <w:basedOn w:val="Normal"/>
    <w:link w:val="Heading4Char"/>
    <w:uiPriority w:val="9"/>
    <w:qFormat/>
    <w:rsid w:val="0040647C"/>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647C"/>
    <w:rPr>
      <w:rFonts w:ascii="Times New Roman" w:eastAsia="Times New Roman" w:hAnsi="Times New Roman" w:cs="Times New Roman"/>
      <w:b/>
      <w:bCs/>
      <w:sz w:val="36"/>
      <w:szCs w:val="36"/>
      <w:lang w:eastAsia="en-AU"/>
    </w:rPr>
  </w:style>
  <w:style w:type="character" w:customStyle="1" w:styleId="Heading4Char">
    <w:name w:val="Heading 4 Char"/>
    <w:basedOn w:val="DefaultParagraphFont"/>
    <w:link w:val="Heading4"/>
    <w:uiPriority w:val="9"/>
    <w:rsid w:val="0040647C"/>
    <w:rPr>
      <w:rFonts w:ascii="Times New Roman" w:eastAsia="Times New Roman" w:hAnsi="Times New Roman" w:cs="Times New Roman"/>
      <w:b/>
      <w:bCs/>
      <w:sz w:val="24"/>
      <w:szCs w:val="24"/>
      <w:lang w:eastAsia="en-AU"/>
    </w:rPr>
  </w:style>
  <w:style w:type="character" w:styleId="Emphasis">
    <w:name w:val="Emphasis"/>
    <w:basedOn w:val="DefaultParagraphFont"/>
    <w:uiPriority w:val="20"/>
    <w:qFormat/>
    <w:rsid w:val="0040647C"/>
    <w:rPr>
      <w:i/>
      <w:iCs/>
    </w:rPr>
  </w:style>
  <w:style w:type="character" w:styleId="Hyperlink">
    <w:name w:val="Hyperlink"/>
    <w:basedOn w:val="DefaultParagraphFont"/>
    <w:uiPriority w:val="99"/>
    <w:semiHidden/>
    <w:unhideWhenUsed/>
    <w:rsid w:val="0040647C"/>
    <w:rPr>
      <w:color w:val="0000FF"/>
      <w:u w:val="single"/>
    </w:rPr>
  </w:style>
  <w:style w:type="paragraph" w:styleId="NormalWeb">
    <w:name w:val="Normal (Web)"/>
    <w:basedOn w:val="Normal"/>
    <w:uiPriority w:val="99"/>
    <w:semiHidden/>
    <w:unhideWhenUsed/>
    <w:rsid w:val="0040647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0647C"/>
    <w:rPr>
      <w:b/>
      <w:bCs/>
    </w:rPr>
  </w:style>
  <w:style w:type="character" w:customStyle="1" w:styleId="print-footnote">
    <w:name w:val="print-footnote"/>
    <w:basedOn w:val="DefaultParagraphFont"/>
    <w:rsid w:val="0040647C"/>
  </w:style>
  <w:style w:type="paragraph" w:customStyle="1" w:styleId="default">
    <w:name w:val="default"/>
    <w:basedOn w:val="Normal"/>
    <w:rsid w:val="0040647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A0BE8"/>
    <w:rPr>
      <w:sz w:val="16"/>
      <w:szCs w:val="16"/>
    </w:rPr>
  </w:style>
  <w:style w:type="paragraph" w:styleId="CommentText">
    <w:name w:val="annotation text"/>
    <w:basedOn w:val="Normal"/>
    <w:link w:val="CommentTextChar"/>
    <w:uiPriority w:val="99"/>
    <w:semiHidden/>
    <w:unhideWhenUsed/>
    <w:rsid w:val="00EA0BE8"/>
    <w:pPr>
      <w:spacing w:line="240" w:lineRule="auto"/>
    </w:pPr>
    <w:rPr>
      <w:sz w:val="20"/>
      <w:szCs w:val="20"/>
    </w:rPr>
  </w:style>
  <w:style w:type="character" w:customStyle="1" w:styleId="CommentTextChar">
    <w:name w:val="Comment Text Char"/>
    <w:basedOn w:val="DefaultParagraphFont"/>
    <w:link w:val="CommentText"/>
    <w:uiPriority w:val="99"/>
    <w:semiHidden/>
    <w:rsid w:val="00EA0BE8"/>
    <w:rPr>
      <w:sz w:val="20"/>
      <w:szCs w:val="20"/>
    </w:rPr>
  </w:style>
  <w:style w:type="paragraph" w:styleId="CommentSubject">
    <w:name w:val="annotation subject"/>
    <w:basedOn w:val="CommentText"/>
    <w:next w:val="CommentText"/>
    <w:link w:val="CommentSubjectChar"/>
    <w:uiPriority w:val="99"/>
    <w:semiHidden/>
    <w:unhideWhenUsed/>
    <w:rsid w:val="00EA0BE8"/>
    <w:rPr>
      <w:b/>
      <w:bCs/>
    </w:rPr>
  </w:style>
  <w:style w:type="character" w:customStyle="1" w:styleId="CommentSubjectChar">
    <w:name w:val="Comment Subject Char"/>
    <w:basedOn w:val="CommentTextChar"/>
    <w:link w:val="CommentSubject"/>
    <w:uiPriority w:val="99"/>
    <w:semiHidden/>
    <w:rsid w:val="00EA0BE8"/>
    <w:rPr>
      <w:b/>
      <w:bCs/>
      <w:sz w:val="20"/>
      <w:szCs w:val="20"/>
    </w:rPr>
  </w:style>
  <w:style w:type="paragraph" w:styleId="BalloonText">
    <w:name w:val="Balloon Text"/>
    <w:basedOn w:val="Normal"/>
    <w:link w:val="BalloonTextChar"/>
    <w:uiPriority w:val="99"/>
    <w:semiHidden/>
    <w:unhideWhenUsed/>
    <w:rsid w:val="00EA0B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BE8"/>
    <w:rPr>
      <w:rFonts w:ascii="Segoe UI" w:hAnsi="Segoe UI" w:cs="Segoe UI"/>
      <w:sz w:val="18"/>
      <w:szCs w:val="18"/>
    </w:rPr>
  </w:style>
  <w:style w:type="paragraph" w:customStyle="1" w:styleId="StyleHeading2IRD">
    <w:name w:val="Style Heading2 IRD"/>
    <w:basedOn w:val="Normal"/>
    <w:rsid w:val="00145AB8"/>
    <w:pPr>
      <w:numPr>
        <w:ilvl w:val="1"/>
        <w:numId w:val="4"/>
      </w:numPr>
      <w:tabs>
        <w:tab w:val="left" w:pos="851"/>
        <w:tab w:val="num" w:pos="1440"/>
      </w:tabs>
      <w:spacing w:before="300" w:after="120" w:line="276" w:lineRule="auto"/>
      <w:ind w:left="1146"/>
      <w:outlineLvl w:val="0"/>
    </w:pPr>
    <w:rPr>
      <w:rFonts w:ascii="Times New Roman" w:hAnsi="Times New Roman" w:cs="Times New Roman"/>
      <w:b/>
      <w:sz w:val="28"/>
      <w:szCs w:val="20"/>
    </w:rPr>
  </w:style>
  <w:style w:type="paragraph" w:customStyle="1" w:styleId="Paralevel1">
    <w:name w:val="Para level 1"/>
    <w:basedOn w:val="Normal"/>
    <w:rsid w:val="00145AB8"/>
    <w:pPr>
      <w:numPr>
        <w:ilvl w:val="3"/>
        <w:numId w:val="4"/>
      </w:numPr>
      <w:tabs>
        <w:tab w:val="left" w:pos="1134"/>
      </w:tabs>
      <w:spacing w:before="120" w:after="120" w:line="285" w:lineRule="atLeast"/>
    </w:pPr>
    <w:rPr>
      <w:rFonts w:ascii="Arial" w:hAnsi="Arial"/>
    </w:rPr>
  </w:style>
  <w:style w:type="paragraph" w:customStyle="1" w:styleId="StyleHeading3IRD">
    <w:name w:val="Style Heading 3 IRD"/>
    <w:basedOn w:val="StyleHeading2IRD"/>
    <w:qFormat/>
    <w:rsid w:val="00145AB8"/>
    <w:pPr>
      <w:numPr>
        <w:ilvl w:val="2"/>
      </w:numPr>
    </w:pPr>
    <w:rPr>
      <w:rFonts w:ascii="Arial" w:hAnsi="Arial"/>
      <w:sz w:val="24"/>
      <w:szCs w:val="24"/>
    </w:rPr>
  </w:style>
  <w:style w:type="paragraph" w:customStyle="1" w:styleId="PartHeading">
    <w:name w:val="Part Heading"/>
    <w:basedOn w:val="Normal"/>
    <w:qFormat/>
    <w:rsid w:val="00145AB8"/>
    <w:pPr>
      <w:keepNext/>
      <w:numPr>
        <w:numId w:val="4"/>
      </w:numPr>
      <w:spacing w:before="240" w:after="60" w:line="276" w:lineRule="auto"/>
      <w:outlineLvl w:val="0"/>
    </w:pPr>
    <w:rPr>
      <w:rFonts w:ascii="Arial" w:hAnsi="Arial" w:cs="Arial"/>
      <w:b/>
      <w:bCs/>
      <w:kern w:val="32"/>
      <w:sz w:val="32"/>
      <w:szCs w:val="40"/>
    </w:rPr>
  </w:style>
  <w:style w:type="paragraph" w:customStyle="1" w:styleId="LPSubsection">
    <w:name w:val="LP Subsection"/>
    <w:basedOn w:val="Paralevel1"/>
    <w:link w:val="LPSubsectionChar"/>
    <w:qFormat/>
    <w:rsid w:val="00145AB8"/>
    <w:pPr>
      <w:tabs>
        <w:tab w:val="clear" w:pos="1134"/>
        <w:tab w:val="left" w:pos="0"/>
        <w:tab w:val="left" w:pos="993"/>
      </w:tabs>
      <w:ind w:left="993" w:hanging="993"/>
    </w:pPr>
    <w:rPr>
      <w:rFonts w:cs="Arial"/>
    </w:rPr>
  </w:style>
  <w:style w:type="character" w:customStyle="1" w:styleId="LPSubsectionChar">
    <w:name w:val="LP Subsection Char"/>
    <w:basedOn w:val="DefaultParagraphFont"/>
    <w:link w:val="LPSubsection"/>
    <w:rsid w:val="00145AB8"/>
    <w:rPr>
      <w:rFonts w:ascii="Arial" w:hAnsi="Arial" w:cs="Arial"/>
    </w:rPr>
  </w:style>
  <w:style w:type="paragraph" w:styleId="ListParagraph">
    <w:name w:val="List Paragraph"/>
    <w:basedOn w:val="Normal"/>
    <w:uiPriority w:val="34"/>
    <w:qFormat/>
    <w:rsid w:val="00B40067"/>
    <w:pPr>
      <w:ind w:left="720"/>
      <w:contextualSpacing/>
    </w:pPr>
  </w:style>
  <w:style w:type="character" w:customStyle="1" w:styleId="Heading1Char">
    <w:name w:val="Heading 1 Char"/>
    <w:basedOn w:val="DefaultParagraphFont"/>
    <w:link w:val="Heading1"/>
    <w:uiPriority w:val="9"/>
    <w:rsid w:val="009066F2"/>
    <w:rPr>
      <w:b/>
      <w:bCs/>
      <w:sz w:val="28"/>
      <w:szCs w:val="28"/>
      <w:lang w:eastAsia="en-AU"/>
    </w:rPr>
  </w:style>
  <w:style w:type="paragraph" w:styleId="Revision">
    <w:name w:val="Revision"/>
    <w:hidden/>
    <w:uiPriority w:val="99"/>
    <w:semiHidden/>
    <w:rsid w:val="00223BC3"/>
    <w:pPr>
      <w:spacing w:after="0" w:line="240" w:lineRule="auto"/>
    </w:pPr>
  </w:style>
  <w:style w:type="paragraph" w:styleId="EndnoteText">
    <w:name w:val="endnote text"/>
    <w:basedOn w:val="Normal"/>
    <w:link w:val="EndnoteTextChar"/>
    <w:uiPriority w:val="99"/>
    <w:semiHidden/>
    <w:unhideWhenUsed/>
    <w:rsid w:val="002451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10D"/>
    <w:rPr>
      <w:sz w:val="20"/>
      <w:szCs w:val="20"/>
    </w:rPr>
  </w:style>
  <w:style w:type="character" w:styleId="EndnoteReference">
    <w:name w:val="endnote reference"/>
    <w:basedOn w:val="DefaultParagraphFont"/>
    <w:uiPriority w:val="99"/>
    <w:semiHidden/>
    <w:unhideWhenUsed/>
    <w:rsid w:val="0024510D"/>
    <w:rPr>
      <w:vertAlign w:val="superscript"/>
    </w:rPr>
  </w:style>
  <w:style w:type="paragraph" w:styleId="FootnoteText">
    <w:name w:val="footnote text"/>
    <w:basedOn w:val="Normal"/>
    <w:link w:val="FootnoteTextChar"/>
    <w:uiPriority w:val="99"/>
    <w:semiHidden/>
    <w:unhideWhenUsed/>
    <w:rsid w:val="002451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510D"/>
    <w:rPr>
      <w:sz w:val="20"/>
      <w:szCs w:val="20"/>
    </w:rPr>
  </w:style>
  <w:style w:type="character" w:styleId="FootnoteReference">
    <w:name w:val="footnote reference"/>
    <w:basedOn w:val="DefaultParagraphFont"/>
    <w:uiPriority w:val="99"/>
    <w:semiHidden/>
    <w:unhideWhenUsed/>
    <w:rsid w:val="0024510D"/>
    <w:rPr>
      <w:vertAlign w:val="superscript"/>
    </w:rPr>
  </w:style>
  <w:style w:type="paragraph" w:styleId="Header">
    <w:name w:val="header"/>
    <w:basedOn w:val="Normal"/>
    <w:link w:val="HeaderChar"/>
    <w:uiPriority w:val="99"/>
    <w:unhideWhenUsed/>
    <w:rsid w:val="00FF7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4D1"/>
  </w:style>
  <w:style w:type="paragraph" w:styleId="Footer">
    <w:name w:val="footer"/>
    <w:basedOn w:val="Normal"/>
    <w:link w:val="FooterChar"/>
    <w:uiPriority w:val="99"/>
    <w:unhideWhenUsed/>
    <w:rsid w:val="00FF7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58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131">
          <w:marLeft w:val="0"/>
          <w:marRight w:val="0"/>
          <w:marTop w:val="0"/>
          <w:marBottom w:val="0"/>
          <w:divBdr>
            <w:top w:val="none" w:sz="0" w:space="0" w:color="auto"/>
            <w:left w:val="none" w:sz="0" w:space="0" w:color="auto"/>
            <w:bottom w:val="none" w:sz="0" w:space="0" w:color="auto"/>
            <w:right w:val="none" w:sz="0" w:space="0" w:color="auto"/>
          </w:divBdr>
        </w:div>
        <w:div w:id="1576236734">
          <w:marLeft w:val="0"/>
          <w:marRight w:val="0"/>
          <w:marTop w:val="0"/>
          <w:marBottom w:val="0"/>
          <w:divBdr>
            <w:top w:val="none" w:sz="0" w:space="0" w:color="auto"/>
            <w:left w:val="none" w:sz="0" w:space="0" w:color="auto"/>
            <w:bottom w:val="none" w:sz="0" w:space="0" w:color="auto"/>
            <w:right w:val="none" w:sz="0" w:space="0" w:color="auto"/>
          </w:divBdr>
        </w:div>
        <w:div w:id="150144934">
          <w:marLeft w:val="0"/>
          <w:marRight w:val="0"/>
          <w:marTop w:val="0"/>
          <w:marBottom w:val="0"/>
          <w:divBdr>
            <w:top w:val="none" w:sz="0" w:space="0" w:color="auto"/>
            <w:left w:val="none" w:sz="0" w:space="0" w:color="auto"/>
            <w:bottom w:val="none" w:sz="0" w:space="0" w:color="auto"/>
            <w:right w:val="none" w:sz="0" w:space="0" w:color="auto"/>
          </w:divBdr>
        </w:div>
        <w:div w:id="994603987">
          <w:marLeft w:val="0"/>
          <w:marRight w:val="0"/>
          <w:marTop w:val="0"/>
          <w:marBottom w:val="0"/>
          <w:divBdr>
            <w:top w:val="none" w:sz="0" w:space="0" w:color="auto"/>
            <w:left w:val="none" w:sz="0" w:space="0" w:color="auto"/>
            <w:bottom w:val="none" w:sz="0" w:space="0" w:color="auto"/>
            <w:right w:val="none" w:sz="0" w:space="0" w:color="auto"/>
          </w:divBdr>
          <w:divsChild>
            <w:div w:id="2132748212">
              <w:marLeft w:val="0"/>
              <w:marRight w:val="0"/>
              <w:marTop w:val="0"/>
              <w:marBottom w:val="0"/>
              <w:divBdr>
                <w:top w:val="none" w:sz="0" w:space="0" w:color="auto"/>
                <w:left w:val="none" w:sz="0" w:space="0" w:color="auto"/>
                <w:bottom w:val="none" w:sz="0" w:space="0" w:color="auto"/>
                <w:right w:val="none" w:sz="0" w:space="0" w:color="auto"/>
              </w:divBdr>
              <w:divsChild>
                <w:div w:id="148058953">
                  <w:marLeft w:val="0"/>
                  <w:marRight w:val="0"/>
                  <w:marTop w:val="0"/>
                  <w:marBottom w:val="0"/>
                  <w:divBdr>
                    <w:top w:val="none" w:sz="0" w:space="0" w:color="auto"/>
                    <w:left w:val="none" w:sz="0" w:space="0" w:color="auto"/>
                    <w:bottom w:val="none" w:sz="0" w:space="0" w:color="auto"/>
                    <w:right w:val="none" w:sz="0" w:space="0" w:color="auto"/>
                  </w:divBdr>
                  <w:divsChild>
                    <w:div w:id="1334063201">
                      <w:marLeft w:val="0"/>
                      <w:marRight w:val="0"/>
                      <w:marTop w:val="0"/>
                      <w:marBottom w:val="0"/>
                      <w:divBdr>
                        <w:top w:val="none" w:sz="0" w:space="0" w:color="auto"/>
                        <w:left w:val="none" w:sz="0" w:space="0" w:color="auto"/>
                        <w:bottom w:val="none" w:sz="0" w:space="0" w:color="auto"/>
                        <w:right w:val="none" w:sz="0" w:space="0" w:color="auto"/>
                      </w:divBdr>
                      <w:divsChild>
                        <w:div w:id="910506404">
                          <w:marLeft w:val="0"/>
                          <w:marRight w:val="0"/>
                          <w:marTop w:val="0"/>
                          <w:marBottom w:val="0"/>
                          <w:divBdr>
                            <w:top w:val="none" w:sz="0" w:space="0" w:color="auto"/>
                            <w:left w:val="none" w:sz="0" w:space="0" w:color="auto"/>
                            <w:bottom w:val="none" w:sz="0" w:space="0" w:color="auto"/>
                            <w:right w:val="none" w:sz="0" w:space="0" w:color="auto"/>
                          </w:divBdr>
                          <w:divsChild>
                            <w:div w:id="846361446">
                              <w:marLeft w:val="0"/>
                              <w:marRight w:val="0"/>
                              <w:marTop w:val="0"/>
                              <w:marBottom w:val="0"/>
                              <w:divBdr>
                                <w:top w:val="none" w:sz="0" w:space="0" w:color="auto"/>
                                <w:left w:val="none" w:sz="0" w:space="0" w:color="auto"/>
                                <w:bottom w:val="none" w:sz="0" w:space="0" w:color="auto"/>
                                <w:right w:val="none" w:sz="0" w:space="0" w:color="auto"/>
                              </w:divBdr>
                              <w:divsChild>
                                <w:div w:id="1369069264">
                                  <w:marLeft w:val="0"/>
                                  <w:marRight w:val="0"/>
                                  <w:marTop w:val="0"/>
                                  <w:marBottom w:val="0"/>
                                  <w:divBdr>
                                    <w:top w:val="none" w:sz="0" w:space="0" w:color="auto"/>
                                    <w:left w:val="none" w:sz="0" w:space="0" w:color="auto"/>
                                    <w:bottom w:val="none" w:sz="0" w:space="0" w:color="auto"/>
                                    <w:right w:val="none" w:sz="0" w:space="0" w:color="auto"/>
                                  </w:divBdr>
                                  <w:divsChild>
                                    <w:div w:id="590969864">
                                      <w:marLeft w:val="0"/>
                                      <w:marRight w:val="0"/>
                                      <w:marTop w:val="0"/>
                                      <w:marBottom w:val="0"/>
                                      <w:divBdr>
                                        <w:top w:val="none" w:sz="0" w:space="0" w:color="auto"/>
                                        <w:left w:val="none" w:sz="0" w:space="0" w:color="auto"/>
                                        <w:bottom w:val="none" w:sz="0" w:space="0" w:color="auto"/>
                                        <w:right w:val="none" w:sz="0" w:space="0" w:color="auto"/>
                                      </w:divBdr>
                                    </w:div>
                                    <w:div w:id="1532379483">
                                      <w:marLeft w:val="0"/>
                                      <w:marRight w:val="0"/>
                                      <w:marTop w:val="0"/>
                                      <w:marBottom w:val="0"/>
                                      <w:divBdr>
                                        <w:top w:val="none" w:sz="0" w:space="0" w:color="auto"/>
                                        <w:left w:val="none" w:sz="0" w:space="0" w:color="auto"/>
                                        <w:bottom w:val="none" w:sz="0" w:space="0" w:color="auto"/>
                                        <w:right w:val="none" w:sz="0" w:space="0" w:color="auto"/>
                                      </w:divBdr>
                                    </w:div>
                                    <w:div w:id="1685857710">
                                      <w:marLeft w:val="0"/>
                                      <w:marRight w:val="0"/>
                                      <w:marTop w:val="0"/>
                                      <w:marBottom w:val="0"/>
                                      <w:divBdr>
                                        <w:top w:val="none" w:sz="0" w:space="0" w:color="auto"/>
                                        <w:left w:val="none" w:sz="0" w:space="0" w:color="auto"/>
                                        <w:bottom w:val="none" w:sz="0" w:space="0" w:color="auto"/>
                                        <w:right w:val="none" w:sz="0" w:space="0" w:color="auto"/>
                                      </w:divBdr>
                                    </w:div>
                                    <w:div w:id="581256499">
                                      <w:marLeft w:val="0"/>
                                      <w:marRight w:val="0"/>
                                      <w:marTop w:val="0"/>
                                      <w:marBottom w:val="0"/>
                                      <w:divBdr>
                                        <w:top w:val="none" w:sz="0" w:space="0" w:color="auto"/>
                                        <w:left w:val="none" w:sz="0" w:space="0" w:color="auto"/>
                                        <w:bottom w:val="none" w:sz="0" w:space="0" w:color="auto"/>
                                        <w:right w:val="none" w:sz="0" w:space="0" w:color="auto"/>
                                      </w:divBdr>
                                    </w:div>
                                  </w:divsChild>
                                </w:div>
                                <w:div w:id="483359429">
                                  <w:marLeft w:val="0"/>
                                  <w:marRight w:val="0"/>
                                  <w:marTop w:val="0"/>
                                  <w:marBottom w:val="0"/>
                                  <w:divBdr>
                                    <w:top w:val="none" w:sz="0" w:space="0" w:color="auto"/>
                                    <w:left w:val="none" w:sz="0" w:space="0" w:color="auto"/>
                                    <w:bottom w:val="none" w:sz="0" w:space="0" w:color="auto"/>
                                    <w:right w:val="none" w:sz="0" w:space="0" w:color="auto"/>
                                  </w:divBdr>
                                </w:div>
                                <w:div w:id="2135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277919">
          <w:marLeft w:val="0"/>
          <w:marRight w:val="0"/>
          <w:marTop w:val="0"/>
          <w:marBottom w:val="0"/>
          <w:divBdr>
            <w:top w:val="none" w:sz="0" w:space="0" w:color="auto"/>
            <w:left w:val="none" w:sz="0" w:space="0" w:color="auto"/>
            <w:bottom w:val="none" w:sz="0" w:space="0" w:color="auto"/>
            <w:right w:val="none" w:sz="0" w:space="0" w:color="auto"/>
          </w:divBdr>
        </w:div>
        <w:div w:id="2054959484">
          <w:marLeft w:val="0"/>
          <w:marRight w:val="0"/>
          <w:marTop w:val="0"/>
          <w:marBottom w:val="0"/>
          <w:divBdr>
            <w:top w:val="none" w:sz="0" w:space="0" w:color="auto"/>
            <w:left w:val="none" w:sz="0" w:space="0" w:color="auto"/>
            <w:bottom w:val="none" w:sz="0" w:space="0" w:color="auto"/>
            <w:right w:val="none" w:sz="0" w:space="0" w:color="auto"/>
          </w:divBdr>
        </w:div>
      </w:divsChild>
    </w:div>
    <w:div w:id="226184003">
      <w:bodyDiv w:val="1"/>
      <w:marLeft w:val="0"/>
      <w:marRight w:val="0"/>
      <w:marTop w:val="0"/>
      <w:marBottom w:val="0"/>
      <w:divBdr>
        <w:top w:val="none" w:sz="0" w:space="0" w:color="auto"/>
        <w:left w:val="none" w:sz="0" w:space="0" w:color="auto"/>
        <w:bottom w:val="none" w:sz="0" w:space="0" w:color="auto"/>
        <w:right w:val="none" w:sz="0" w:space="0" w:color="auto"/>
      </w:divBdr>
    </w:div>
    <w:div w:id="411048233">
      <w:bodyDiv w:val="1"/>
      <w:marLeft w:val="0"/>
      <w:marRight w:val="0"/>
      <w:marTop w:val="0"/>
      <w:marBottom w:val="0"/>
      <w:divBdr>
        <w:top w:val="none" w:sz="0" w:space="0" w:color="auto"/>
        <w:left w:val="none" w:sz="0" w:space="0" w:color="auto"/>
        <w:bottom w:val="none" w:sz="0" w:space="0" w:color="auto"/>
        <w:right w:val="none" w:sz="0" w:space="0" w:color="auto"/>
      </w:divBdr>
    </w:div>
    <w:div w:id="124985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arc.gov.au"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c.gov.a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15" ma:contentTypeDescription="Create a new document." ma:contentTypeScope="" ma:versionID="67eb180273704baf12d539494eb9e512">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262028d73d230350eb9d99669289cdae"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8fa4970-7f82-475f-885f-ec033aa4af35" xsi:nil="true"/>
  </documentManagement>
</p:properties>
</file>

<file path=customXml/itemProps1.xml><?xml version="1.0" encoding="utf-8"?>
<ds:datastoreItem xmlns:ds="http://schemas.openxmlformats.org/officeDocument/2006/customXml" ds:itemID="{A213CCCE-F359-4CDF-B8F5-486EBE0C34AE}">
  <ds:schemaRefs>
    <ds:schemaRef ds:uri="http://schemas.openxmlformats.org/officeDocument/2006/bibliography"/>
  </ds:schemaRefs>
</ds:datastoreItem>
</file>

<file path=customXml/itemProps2.xml><?xml version="1.0" encoding="utf-8"?>
<ds:datastoreItem xmlns:ds="http://schemas.openxmlformats.org/officeDocument/2006/customXml" ds:itemID="{11C8F1EF-6E92-45B4-A627-E16C4A4A8100}"/>
</file>

<file path=customXml/itemProps3.xml><?xml version="1.0" encoding="utf-8"?>
<ds:datastoreItem xmlns:ds="http://schemas.openxmlformats.org/officeDocument/2006/customXml" ds:itemID="{C353DC63-36B8-4EFD-9BB5-FB95E14C3380}"/>
</file>

<file path=customXml/itemProps4.xml><?xml version="1.0" encoding="utf-8"?>
<ds:datastoreItem xmlns:ds="http://schemas.openxmlformats.org/officeDocument/2006/customXml" ds:itemID="{2EEBB936-F1AA-49EE-894F-F4AEE6E8BC2B}"/>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2022-06-23T02:37:00Z</dcterms:created>
  <dcterms:modified xsi:type="dcterms:W3CDTF">2022-06-23T02:38:00Z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ies>
</file>